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BF9D4">
      <w:pPr>
        <w:pStyle w:val="19"/>
        <w:ind w:left="0" w:leftChars="0" w:firstLine="0" w:firstLineChars="0"/>
        <w:jc w:val="center"/>
        <w:rPr>
          <w:rFonts w:hint="eastAsia" w:ascii="仿宋" w:hAnsi="仿宋" w:eastAsia="仿宋" w:cs="仿宋"/>
          <w:b/>
          <w:color w:val="000000"/>
          <w:spacing w:val="-20"/>
          <w:sz w:val="52"/>
          <w:szCs w:val="52"/>
          <w:u w:val="none"/>
          <w:lang w:val="en-US" w:eastAsia="zh-CN"/>
        </w:rPr>
      </w:pPr>
      <w:bookmarkStart w:id="0" w:name="_Toc144974478"/>
      <w:bookmarkStart w:id="1" w:name="_Toc152042286"/>
    </w:p>
    <w:p w14:paraId="16633B9C">
      <w:pPr>
        <w:pStyle w:val="19"/>
        <w:ind w:left="0" w:leftChars="0" w:firstLine="0" w:firstLineChars="0"/>
        <w:jc w:val="center"/>
        <w:rPr>
          <w:rFonts w:hint="eastAsia" w:ascii="仿宋" w:hAnsi="仿宋" w:eastAsia="仿宋" w:cs="仿宋"/>
          <w:b/>
          <w:color w:val="000000"/>
          <w:spacing w:val="-20"/>
          <w:sz w:val="52"/>
          <w:szCs w:val="52"/>
          <w:u w:val="none"/>
          <w:lang w:val="en-US" w:eastAsia="zh-CN"/>
        </w:rPr>
      </w:pPr>
    </w:p>
    <w:p w14:paraId="206BE54B">
      <w:pPr>
        <w:pStyle w:val="19"/>
        <w:ind w:left="0" w:leftChars="0" w:firstLine="0" w:firstLineChars="0"/>
        <w:jc w:val="center"/>
        <w:rPr>
          <w:rFonts w:hint="default" w:ascii="仿宋" w:hAnsi="仿宋" w:eastAsia="仿宋" w:cs="仿宋"/>
          <w:b/>
          <w:color w:val="000000"/>
          <w:spacing w:val="-20"/>
          <w:sz w:val="52"/>
          <w:szCs w:val="52"/>
          <w:u w:val="none"/>
          <w:lang w:val="en-US" w:eastAsia="zh-CN"/>
        </w:rPr>
      </w:pPr>
      <w:r>
        <w:rPr>
          <w:rFonts w:hint="eastAsia" w:ascii="仿宋" w:hAnsi="仿宋" w:eastAsia="仿宋" w:cs="仿宋"/>
          <w:b/>
          <w:color w:val="000000"/>
          <w:spacing w:val="-20"/>
          <w:sz w:val="52"/>
          <w:szCs w:val="52"/>
          <w:u w:val="none"/>
          <w:lang w:val="en-US" w:eastAsia="zh-CN"/>
        </w:rPr>
        <w:t>罗山县农业农村局2026年高素质农民培育项目包1、包2、包3</w:t>
      </w:r>
    </w:p>
    <w:p w14:paraId="290CA5BE">
      <w:pPr>
        <w:rPr>
          <w:rFonts w:hint="eastAsia"/>
          <w:lang w:val="en-US" w:eastAsia="zh-CN"/>
        </w:rPr>
      </w:pPr>
    </w:p>
    <w:p w14:paraId="51D75B32">
      <w:pPr>
        <w:rPr>
          <w:rFonts w:hint="eastAsia" w:ascii="仿宋" w:hAnsi="仿宋" w:eastAsia="仿宋" w:cs="仿宋"/>
          <w:b/>
          <w:color w:val="000000"/>
          <w:spacing w:val="-20"/>
          <w:sz w:val="52"/>
          <w:szCs w:val="52"/>
          <w:u w:val="none"/>
          <w:lang w:val="en-US" w:eastAsia="zh-CN"/>
        </w:rPr>
      </w:pPr>
    </w:p>
    <w:p w14:paraId="1B2E50BF">
      <w:pPr>
        <w:pStyle w:val="19"/>
        <w:ind w:left="0" w:leftChars="0" w:firstLine="0" w:firstLineChars="0"/>
        <w:rPr>
          <w:rFonts w:hint="eastAsia"/>
          <w:lang w:eastAsia="zh-CN"/>
        </w:rPr>
      </w:pPr>
    </w:p>
    <w:p w14:paraId="13176A2E">
      <w:pPr>
        <w:bidi w:val="0"/>
        <w:ind w:left="0" w:leftChars="0" w:firstLine="0" w:firstLineChars="0"/>
        <w:jc w:val="center"/>
        <w:rPr>
          <w:rFonts w:hint="eastAsia" w:ascii="仿宋" w:hAnsi="仿宋" w:eastAsia="仿宋" w:cs="仿宋"/>
          <w:b/>
          <w:color w:val="000000"/>
          <w:spacing w:val="-20"/>
          <w:sz w:val="52"/>
          <w:szCs w:val="52"/>
          <w:u w:val="none"/>
          <w:lang w:val="en-US" w:eastAsia="zh-CN"/>
        </w:rPr>
      </w:pPr>
      <w:r>
        <w:rPr>
          <w:rFonts w:hint="eastAsia" w:ascii="仿宋" w:hAnsi="仿宋" w:eastAsia="仿宋" w:cs="仿宋"/>
          <w:b/>
          <w:color w:val="000000"/>
          <w:spacing w:val="-20"/>
          <w:sz w:val="52"/>
          <w:szCs w:val="52"/>
          <w:u w:val="none"/>
          <w:lang w:val="en-US" w:eastAsia="zh-CN"/>
        </w:rPr>
        <w:t>竞争性磋商文件</w:t>
      </w:r>
    </w:p>
    <w:p w14:paraId="4F964567">
      <w:pPr>
        <w:bidi w:val="0"/>
        <w:ind w:left="0" w:leftChars="0" w:firstLine="0" w:firstLineChars="0"/>
        <w:jc w:val="center"/>
        <w:rPr>
          <w:rFonts w:hint="default" w:ascii="仿宋" w:hAnsi="仿宋" w:eastAsia="仿宋" w:cs="仿宋"/>
          <w:color w:val="000000"/>
          <w:sz w:val="28"/>
          <w:lang w:val="en-US" w:eastAsia="zh-CN"/>
        </w:rPr>
      </w:pPr>
      <w:r>
        <w:rPr>
          <w:rFonts w:hint="eastAsia" w:ascii="仿宋" w:hAnsi="仿宋" w:eastAsia="仿宋" w:cs="仿宋"/>
          <w:b/>
          <w:bCs/>
          <w:color w:val="000000"/>
          <w:sz w:val="36"/>
          <w:szCs w:val="28"/>
          <w:lang w:eastAsia="zh-CN"/>
        </w:rPr>
        <w:t>采购编号：罗财</w:t>
      </w:r>
      <w:r>
        <w:rPr>
          <w:rFonts w:hint="eastAsia" w:ascii="仿宋" w:hAnsi="仿宋" w:eastAsia="仿宋" w:cs="仿宋"/>
          <w:b/>
          <w:bCs/>
          <w:color w:val="000000"/>
          <w:sz w:val="36"/>
          <w:szCs w:val="28"/>
          <w:highlight w:val="none"/>
          <w:lang w:val="en-US" w:eastAsia="zh-CN"/>
        </w:rPr>
        <w:t>磋商采购</w:t>
      </w:r>
      <w:r>
        <w:rPr>
          <w:rFonts w:hint="eastAsia" w:ascii="仿宋" w:hAnsi="仿宋" w:eastAsia="仿宋" w:cs="仿宋"/>
          <w:b/>
          <w:bCs/>
          <w:color w:val="000000"/>
          <w:sz w:val="36"/>
          <w:szCs w:val="28"/>
          <w:highlight w:val="none"/>
          <w:lang w:eastAsia="zh-CN"/>
        </w:rPr>
        <w:t>-202</w:t>
      </w:r>
      <w:r>
        <w:rPr>
          <w:rFonts w:hint="eastAsia" w:ascii="仿宋" w:hAnsi="仿宋" w:eastAsia="仿宋" w:cs="仿宋"/>
          <w:b/>
          <w:bCs/>
          <w:color w:val="000000"/>
          <w:sz w:val="36"/>
          <w:szCs w:val="28"/>
          <w:highlight w:val="none"/>
          <w:lang w:val="en-US" w:eastAsia="zh-CN"/>
        </w:rPr>
        <w:t xml:space="preserve">6-16 </w:t>
      </w:r>
    </w:p>
    <w:p w14:paraId="3C25B03C">
      <w:pPr>
        <w:pStyle w:val="57"/>
        <w:ind w:left="0" w:leftChars="0" w:firstLine="324" w:firstLineChars="116"/>
        <w:rPr>
          <w:rFonts w:hint="eastAsia" w:ascii="仿宋" w:hAnsi="仿宋" w:eastAsia="仿宋" w:cs="仿宋"/>
          <w:color w:val="000000"/>
          <w:sz w:val="28"/>
        </w:rPr>
      </w:pPr>
    </w:p>
    <w:p w14:paraId="6702ABBD">
      <w:pPr>
        <w:pStyle w:val="53"/>
        <w:jc w:val="center"/>
        <w:rPr>
          <w:rFonts w:hint="eastAsia" w:ascii="仿宋" w:hAnsi="仿宋" w:eastAsia="仿宋" w:cs="仿宋"/>
          <w:b/>
          <w:bCs/>
          <w:color w:val="000000"/>
          <w:kern w:val="0"/>
          <w:sz w:val="32"/>
          <w:szCs w:val="32"/>
        </w:rPr>
      </w:pPr>
      <w:r>
        <w:rPr>
          <w:rFonts w:hint="default" w:ascii="Times New Roman" w:hAnsi="Times New Roman" w:cs="Times New Roman"/>
          <w:sz w:val="24"/>
          <w:highlight w:val="none"/>
        </w:rPr>
        <w:drawing>
          <wp:inline distT="0" distB="0" distL="114300" distR="114300">
            <wp:extent cx="2496185" cy="2499995"/>
            <wp:effectExtent l="0" t="0" r="18415" b="14605"/>
            <wp:docPr id="5" name="图片 3"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0999"/>
                    <pic:cNvPicPr>
                      <a:picLocks noChangeAspect="1"/>
                    </pic:cNvPicPr>
                  </pic:nvPicPr>
                  <pic:blipFill>
                    <a:blip r:embed="rId15"/>
                    <a:stretch>
                      <a:fillRect/>
                    </a:stretch>
                  </pic:blipFill>
                  <pic:spPr>
                    <a:xfrm>
                      <a:off x="0" y="0"/>
                      <a:ext cx="2496185" cy="2499995"/>
                    </a:xfrm>
                    <a:prstGeom prst="rect">
                      <a:avLst/>
                    </a:prstGeom>
                    <a:noFill/>
                    <a:ln>
                      <a:noFill/>
                    </a:ln>
                  </pic:spPr>
                </pic:pic>
              </a:graphicData>
            </a:graphic>
          </wp:inline>
        </w:drawing>
      </w:r>
    </w:p>
    <w:p w14:paraId="0216C3BA">
      <w:pPr>
        <w:pStyle w:val="53"/>
        <w:rPr>
          <w:rFonts w:hint="eastAsia" w:ascii="仿宋" w:hAnsi="仿宋" w:eastAsia="仿宋" w:cs="仿宋"/>
          <w:b/>
          <w:bCs/>
          <w:color w:val="000000"/>
          <w:kern w:val="0"/>
          <w:sz w:val="32"/>
          <w:szCs w:val="32"/>
        </w:rPr>
      </w:pPr>
    </w:p>
    <w:p w14:paraId="135FABC6">
      <w:pPr>
        <w:pStyle w:val="82"/>
        <w:rPr>
          <w:rFonts w:hint="eastAsia"/>
        </w:rPr>
      </w:pPr>
    </w:p>
    <w:p w14:paraId="7D145C7A">
      <w:pPr>
        <w:widowControl/>
        <w:bidi w:val="0"/>
        <w:spacing w:line="480" w:lineRule="auto"/>
        <w:ind w:left="0" w:leftChars="0" w:firstLine="1263" w:firstLineChars="393"/>
        <w:jc w:val="both"/>
        <w:rPr>
          <w:rFonts w:hint="default" w:ascii="仿宋" w:hAnsi="仿宋" w:eastAsia="仿宋" w:cs="仿宋"/>
          <w:b/>
          <w:bCs/>
          <w:color w:val="000000"/>
          <w:kern w:val="0"/>
          <w:sz w:val="32"/>
          <w:szCs w:val="32"/>
          <w:lang w:val="en-US"/>
        </w:rPr>
      </w:pPr>
      <w:r>
        <w:rPr>
          <w:rFonts w:hint="eastAsia" w:ascii="仿宋" w:hAnsi="仿宋" w:eastAsia="仿宋" w:cs="仿宋"/>
          <w:b/>
          <w:bCs/>
          <w:color w:val="000000"/>
          <w:kern w:val="0"/>
          <w:sz w:val="32"/>
          <w:szCs w:val="32"/>
        </w:rPr>
        <w:t>采</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 xml:space="preserve"> 购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人：</w:t>
      </w:r>
      <w:r>
        <w:rPr>
          <w:rFonts w:hint="eastAsia" w:ascii="仿宋" w:hAnsi="仿宋" w:eastAsia="仿宋" w:cs="仿宋"/>
          <w:b/>
          <w:bCs/>
          <w:color w:val="000000"/>
          <w:kern w:val="0"/>
          <w:sz w:val="32"/>
          <w:szCs w:val="32"/>
          <w:lang w:val="en-US" w:eastAsia="zh-CN"/>
        </w:rPr>
        <w:t>罗山县农业农村局</w:t>
      </w:r>
    </w:p>
    <w:p w14:paraId="7CA4EC56">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rPr>
        <w:t>采购代理机构：</w:t>
      </w:r>
      <w:r>
        <w:rPr>
          <w:rFonts w:hint="eastAsia" w:ascii="仿宋" w:hAnsi="仿宋" w:eastAsia="仿宋" w:cs="仿宋"/>
          <w:b/>
          <w:bCs/>
          <w:color w:val="000000"/>
          <w:kern w:val="0"/>
          <w:sz w:val="32"/>
          <w:szCs w:val="32"/>
          <w:lang w:eastAsia="zh-CN"/>
        </w:rPr>
        <w:t>中金泰富工程管理有限公司</w:t>
      </w:r>
    </w:p>
    <w:p w14:paraId="0154F854">
      <w:pPr>
        <w:widowControl/>
        <w:bidi w:val="0"/>
        <w:spacing w:line="480" w:lineRule="auto"/>
        <w:ind w:left="0" w:leftChars="0" w:firstLine="1263" w:firstLineChars="393"/>
        <w:jc w:val="both"/>
        <w:rPr>
          <w:rFonts w:ascii="宋体" w:hAnsi="宋体" w:cs="宋体"/>
          <w:b/>
          <w:sz w:val="32"/>
        </w:rPr>
        <w:sectPr>
          <w:headerReference r:id="rId5" w:type="default"/>
          <w:footerReference r:id="rId6" w:type="default"/>
          <w:pgSz w:w="11905" w:h="16838"/>
          <w:pgMar w:top="1440" w:right="1803" w:bottom="1440" w:left="1803" w:header="850" w:footer="850" w:gutter="0"/>
          <w:pgNumType w:fmt="decimal" w:start="1"/>
          <w:cols w:space="720" w:num="1"/>
          <w:docGrid w:type="lines" w:linePitch="349" w:charSpace="0"/>
        </w:sectPr>
      </w:pPr>
      <w:r>
        <w:rPr>
          <w:rFonts w:hint="eastAsia" w:ascii="仿宋" w:hAnsi="仿宋" w:eastAsia="仿宋" w:cs="仿宋"/>
          <w:b/>
          <w:bCs/>
          <w:color w:val="000000"/>
          <w:kern w:val="0"/>
          <w:sz w:val="32"/>
          <w:szCs w:val="32"/>
          <w:lang w:eastAsia="zh-CN"/>
        </w:rPr>
        <w:t>日</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lang w:eastAsia="zh-CN"/>
        </w:rPr>
        <w:t>期：</w:t>
      </w:r>
      <w:r>
        <w:rPr>
          <w:rFonts w:hint="eastAsia" w:ascii="仿宋" w:hAnsi="仿宋" w:eastAsia="仿宋" w:cs="仿宋"/>
          <w:b/>
          <w:bCs/>
          <w:color w:val="000000"/>
          <w:kern w:val="0"/>
          <w:sz w:val="32"/>
          <w:szCs w:val="32"/>
          <w:lang w:val="en-US" w:eastAsia="zh-CN"/>
        </w:rPr>
        <w:t>二〇二六</w:t>
      </w:r>
      <w:r>
        <w:rPr>
          <w:rFonts w:hint="eastAsia" w:ascii="仿宋" w:hAnsi="仿宋" w:eastAsia="仿宋" w:cs="仿宋"/>
          <w:b/>
          <w:bCs/>
          <w:color w:val="000000"/>
          <w:kern w:val="0"/>
          <w:sz w:val="32"/>
          <w:szCs w:val="32"/>
          <w:lang w:eastAsia="zh-CN"/>
        </w:rPr>
        <w:t>年</w:t>
      </w:r>
      <w:r>
        <w:rPr>
          <w:rFonts w:hint="eastAsia" w:ascii="仿宋" w:hAnsi="仿宋" w:eastAsia="仿宋" w:cs="仿宋"/>
          <w:b/>
          <w:bCs/>
          <w:color w:val="000000"/>
          <w:kern w:val="0"/>
          <w:sz w:val="32"/>
          <w:szCs w:val="32"/>
          <w:lang w:val="en-US" w:eastAsia="zh-CN"/>
        </w:rPr>
        <w:t>六</w:t>
      </w:r>
      <w:r>
        <w:rPr>
          <w:rFonts w:hint="eastAsia" w:ascii="仿宋" w:hAnsi="仿宋" w:eastAsia="仿宋" w:cs="仿宋"/>
          <w:b/>
          <w:bCs/>
          <w:color w:val="000000"/>
          <w:kern w:val="0"/>
          <w:sz w:val="32"/>
          <w:szCs w:val="32"/>
          <w:lang w:eastAsia="zh-CN"/>
        </w:rPr>
        <w:t>月</w:t>
      </w:r>
    </w:p>
    <w:p w14:paraId="7EC51980">
      <w:pPr>
        <w:pStyle w:val="17"/>
        <w:ind w:firstLine="0" w:firstLineChars="0"/>
        <w:jc w:val="center"/>
        <w:rPr>
          <w:rFonts w:ascii="宋体" w:hAnsi="宋体" w:cs="宋体"/>
          <w:b/>
          <w:sz w:val="32"/>
        </w:rPr>
      </w:pPr>
      <w:r>
        <w:rPr>
          <w:rFonts w:hint="eastAsia" w:ascii="宋体" w:hAnsi="宋体" w:cs="宋体"/>
          <w:b/>
          <w:sz w:val="32"/>
        </w:rPr>
        <w:t>目     录</w:t>
      </w:r>
      <w:bookmarkEnd w:id="0"/>
      <w:bookmarkEnd w:id="1"/>
      <w:bookmarkStart w:id="2" w:name="_Toc152042287"/>
      <w:bookmarkStart w:id="3" w:name="_Toc490667779"/>
      <w:bookmarkStart w:id="4" w:name="_Toc144974479"/>
      <w:bookmarkStart w:id="5" w:name="_Toc152045511"/>
    </w:p>
    <w:p w14:paraId="08BF16D5">
      <w:pPr>
        <w:pStyle w:val="26"/>
        <w:tabs>
          <w:tab w:val="right" w:leader="dot" w:pos="8299"/>
        </w:tabs>
        <w:spacing w:line="440" w:lineRule="exact"/>
        <w:ind w:firstLine="0" w:firstLineChars="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"_Toc32308" </w:instrText>
      </w:r>
      <w:r>
        <w:fldChar w:fldCharType="separate"/>
      </w:r>
      <w:r>
        <w:rPr>
          <w:rFonts w:hint="eastAsia" w:ascii="宋体" w:hAnsi="宋体" w:eastAsia="宋体" w:cs="宋体"/>
          <w:bCs/>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_Toc32308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126F99">
      <w:pPr>
        <w:pStyle w:val="26"/>
        <w:tabs>
          <w:tab w:val="right" w:leader="dot" w:pos="8299"/>
        </w:tabs>
        <w:spacing w:line="440" w:lineRule="exact"/>
        <w:ind w:firstLine="0" w:firstLineChars="0"/>
        <w:rPr>
          <w:rFonts w:ascii="宋体" w:hAnsi="宋体" w:eastAsia="宋体" w:cs="宋体"/>
          <w:sz w:val="24"/>
          <w:szCs w:val="24"/>
        </w:rPr>
      </w:pPr>
      <w:r>
        <w:fldChar w:fldCharType="begin"/>
      </w:r>
      <w:r>
        <w:instrText xml:space="preserve"> HYPERLINK \l "_Toc14928" </w:instrText>
      </w:r>
      <w:r>
        <w:fldChar w:fldCharType="separate"/>
      </w:r>
      <w:r>
        <w:rPr>
          <w:rFonts w:hint="eastAsia" w:ascii="宋体" w:hAnsi="宋体" w:eastAsia="宋体" w:cs="宋体"/>
          <w:bCs/>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_Toc14928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9D2382">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"_Toc22294" </w:instrText>
      </w:r>
      <w:r>
        <w:fldChar w:fldCharType="separate"/>
      </w:r>
      <w:r>
        <w:rPr>
          <w:rFonts w:hint="eastAsia" w:ascii="宋体" w:hAnsi="宋体" w:eastAsia="宋体" w:cs="宋体"/>
          <w:bCs/>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_Toc22294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6FF4D0">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"_Toc24740" </w:instrText>
      </w:r>
      <w:r>
        <w:fldChar w:fldCharType="separate"/>
      </w:r>
      <w:r>
        <w:rPr>
          <w:rFonts w:hint="eastAsia" w:ascii="宋体" w:hAnsi="宋体" w:eastAsia="宋体" w:cs="宋体"/>
          <w:bCs/>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_Toc24740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185144">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"_Toc15552" </w:instrText>
      </w:r>
      <w:r>
        <w:fldChar w:fldCharType="separate"/>
      </w:r>
      <w:r>
        <w:rPr>
          <w:rFonts w:hint="eastAsia" w:ascii="宋体" w:hAnsi="宋体" w:eastAsia="宋体" w:cs="宋体"/>
          <w:bCs/>
          <w:sz w:val="24"/>
          <w:szCs w:val="24"/>
        </w:rPr>
        <w:t>2.竞争性磋商文件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_Toc15552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CFC1B8">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"_Toc22547" </w:instrText>
      </w:r>
      <w:r>
        <w:fldChar w:fldCharType="separate"/>
      </w:r>
      <w:r>
        <w:rPr>
          <w:rFonts w:hint="eastAsia" w:ascii="宋体" w:hAnsi="宋体" w:eastAsia="宋体" w:cs="宋体"/>
          <w:bCs/>
          <w:sz w:val="24"/>
          <w:szCs w:val="24"/>
        </w:rPr>
        <w:t>3.响应文件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_Toc22547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CEBF5C">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"_Toc18951" </w:instrText>
      </w:r>
      <w:r>
        <w:fldChar w:fldCharType="separate"/>
      </w:r>
      <w:r>
        <w:rPr>
          <w:rFonts w:hint="eastAsia" w:ascii="宋体" w:hAnsi="宋体" w:eastAsia="宋体" w:cs="宋体"/>
          <w:bCs/>
          <w:sz w:val="24"/>
          <w:szCs w:val="24"/>
        </w:rPr>
        <w:t>4.磋商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_Toc18951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367D6C">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"_Toc7480" </w:instrText>
      </w:r>
      <w:r>
        <w:fldChar w:fldCharType="separate"/>
      </w:r>
      <w:r>
        <w:rPr>
          <w:rFonts w:hint="eastAsia" w:ascii="宋体" w:hAnsi="宋体" w:eastAsia="宋体" w:cs="宋体"/>
          <w:bCs/>
          <w:sz w:val="24"/>
          <w:szCs w:val="24"/>
        </w:rPr>
        <w:t>5.磋商开始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_Toc7480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D05BB7">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"_Toc24508" </w:instrText>
      </w:r>
      <w:r>
        <w:fldChar w:fldCharType="separate"/>
      </w:r>
      <w:r>
        <w:rPr>
          <w:rFonts w:hint="eastAsia" w:ascii="宋体" w:hAnsi="宋体" w:eastAsia="宋体" w:cs="宋体"/>
          <w:bCs/>
          <w:sz w:val="24"/>
          <w:szCs w:val="24"/>
        </w:rPr>
        <w:t>6.磋商小组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_Toc24508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351C60A">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"_Toc3578" </w:instrText>
      </w:r>
      <w:r>
        <w:fldChar w:fldCharType="separate"/>
      </w:r>
      <w:r>
        <w:rPr>
          <w:rFonts w:hint="eastAsia" w:ascii="宋体" w:hAnsi="宋体" w:eastAsia="宋体" w:cs="宋体"/>
          <w:bCs/>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_Toc3578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FFA0B5">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"_Toc18918" </w:instrText>
      </w:r>
      <w:r>
        <w:fldChar w:fldCharType="separate"/>
      </w:r>
      <w:r>
        <w:rPr>
          <w:rFonts w:hint="eastAsia" w:ascii="宋体" w:hAnsi="宋体" w:eastAsia="宋体" w:cs="宋体"/>
          <w:bCs/>
          <w:sz w:val="24"/>
          <w:szCs w:val="24"/>
        </w:rPr>
        <w:t>8.重新招标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_Toc18918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7C67C1">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"_Toc2509" </w:instrText>
      </w:r>
      <w:r>
        <w:fldChar w:fldCharType="separate"/>
      </w:r>
      <w:r>
        <w:rPr>
          <w:rFonts w:hint="eastAsia" w:ascii="宋体" w:hAnsi="宋体" w:eastAsia="宋体" w:cs="宋体"/>
          <w:bCs/>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_Toc2509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E81A5C">
      <w:pPr>
        <w:pStyle w:val="5"/>
        <w:tabs>
          <w:tab w:val="right" w:leader="dot" w:pos="8299"/>
        </w:tabs>
        <w:spacing w:line="440" w:lineRule="exact"/>
        <w:ind w:left="0" w:firstLine="440"/>
        <w:rPr>
          <w:rFonts w:ascii="宋体" w:hAnsi="宋体" w:eastAsia="宋体" w:cs="宋体"/>
          <w:sz w:val="24"/>
          <w:szCs w:val="24"/>
        </w:rPr>
      </w:pPr>
      <w:r>
        <w:fldChar w:fldCharType="begin"/>
      </w:r>
      <w:r>
        <w:instrText xml:space="preserve"> HYPERLINK \l "_Toc26468" </w:instrText>
      </w:r>
      <w:r>
        <w:fldChar w:fldCharType="separate"/>
      </w:r>
      <w:r>
        <w:rPr>
          <w:rFonts w:hint="eastAsia" w:ascii="宋体" w:hAnsi="宋体" w:eastAsia="宋体" w:cs="宋体"/>
          <w:bCs/>
          <w:sz w:val="24"/>
          <w:szCs w:val="24"/>
        </w:rPr>
        <w:t>10.需要补充的其他内容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208F62">
      <w:pPr>
        <w:pStyle w:val="26"/>
        <w:tabs>
          <w:tab w:val="right" w:leader="dot" w:pos="8299"/>
        </w:tabs>
        <w:spacing w:line="440" w:lineRule="exact"/>
        <w:ind w:firstLine="0" w:firstLineChars="0"/>
        <w:rPr>
          <w:rFonts w:ascii="宋体" w:hAnsi="宋体" w:eastAsia="宋体" w:cs="宋体"/>
          <w:sz w:val="24"/>
          <w:szCs w:val="24"/>
        </w:rPr>
      </w:pPr>
      <w:r>
        <w:fldChar w:fldCharType="begin"/>
      </w:r>
      <w:r>
        <w:instrText xml:space="preserve"> HYPERLINK \l "_Toc22014" </w:instrText>
      </w:r>
      <w:r>
        <w:fldChar w:fldCharType="separate"/>
      </w:r>
      <w:r>
        <w:rPr>
          <w:rFonts w:hint="eastAsia" w:ascii="宋体" w:hAnsi="宋体" w:eastAsia="宋体" w:cs="宋体"/>
          <w:kern w:val="44"/>
          <w:sz w:val="24"/>
          <w:szCs w:val="24"/>
        </w:rPr>
        <w:t>第三章  评审办法（综合评分法）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_Toc22014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C6E3BB">
      <w:pPr>
        <w:pStyle w:val="26"/>
        <w:tabs>
          <w:tab w:val="right" w:leader="dot" w:pos="8299"/>
        </w:tabs>
        <w:spacing w:line="440" w:lineRule="exact"/>
        <w:ind w:firstLine="0" w:firstLineChars="0"/>
        <w:rPr>
          <w:rFonts w:ascii="宋体" w:hAnsi="宋体" w:eastAsia="宋体" w:cs="宋体"/>
          <w:sz w:val="24"/>
          <w:szCs w:val="24"/>
        </w:rPr>
      </w:pPr>
      <w:r>
        <w:fldChar w:fldCharType="begin"/>
      </w:r>
      <w:r>
        <w:instrText xml:space="preserve"> HYPERLINK \l "_Toc21270" </w:instrText>
      </w:r>
      <w:r>
        <w:fldChar w:fldCharType="separate"/>
      </w:r>
      <w:r>
        <w:rPr>
          <w:rFonts w:hint="eastAsia" w:ascii="宋体" w:hAnsi="宋体" w:eastAsia="宋体" w:cs="宋体"/>
          <w:kern w:val="44"/>
          <w:sz w:val="24"/>
          <w:szCs w:val="24"/>
        </w:rPr>
        <w:t>第四章  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_Toc21270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9223D8">
      <w:pPr>
        <w:pStyle w:val="26"/>
        <w:tabs>
          <w:tab w:val="right" w:leader="dot" w:pos="8299"/>
        </w:tabs>
        <w:spacing w:line="440" w:lineRule="exact"/>
        <w:ind w:firstLine="0" w:firstLineChars="0"/>
        <w:rPr>
          <w:rFonts w:ascii="宋体" w:hAnsi="宋体" w:eastAsia="宋体" w:cs="宋体"/>
          <w:sz w:val="24"/>
          <w:szCs w:val="24"/>
        </w:rPr>
      </w:pPr>
      <w:r>
        <w:fldChar w:fldCharType="begin"/>
      </w:r>
      <w:r>
        <w:instrText xml:space="preserve"> HYPERLINK \l "_Toc4703" </w:instrText>
      </w:r>
      <w:r>
        <w:fldChar w:fldCharType="separate"/>
      </w:r>
      <w:r>
        <w:rPr>
          <w:rFonts w:hint="eastAsia" w:ascii="宋体" w:hAnsi="宋体" w:eastAsia="宋体" w:cs="宋体"/>
          <w:sz w:val="24"/>
          <w:szCs w:val="24"/>
        </w:rPr>
        <w:t>第五章 采购</w:t>
      </w:r>
      <w:r>
        <w:rPr>
          <w:rFonts w:hint="eastAsia" w:ascii="宋体" w:hAnsi="宋体" w:eastAsia="宋体" w:cs="宋体"/>
          <w:sz w:val="24"/>
          <w:szCs w:val="24"/>
          <w:lang w:val="en-US" w:eastAsia="zh-CN"/>
        </w:rPr>
        <w:t>内容与</w:t>
      </w:r>
      <w:r>
        <w:rPr>
          <w:rFonts w:hint="eastAsia" w:ascii="宋体" w:hAnsi="宋体" w:eastAsia="宋体" w:cs="宋体"/>
          <w:sz w:val="24"/>
          <w:szCs w:val="24"/>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_Toc4703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488BBE">
      <w:pPr>
        <w:pStyle w:val="26"/>
        <w:tabs>
          <w:tab w:val="right" w:leader="dot" w:pos="8299"/>
        </w:tabs>
        <w:spacing w:line="440" w:lineRule="exact"/>
        <w:ind w:firstLine="0" w:firstLineChars="0"/>
        <w:rPr>
          <w:rFonts w:hint="eastAsia" w:ascii="宋体" w:hAnsi="宋体" w:eastAsia="宋体" w:cs="宋体"/>
          <w:sz w:val="24"/>
          <w:szCs w:val="24"/>
          <w:lang w:val="en-US" w:eastAsia="zh-CN"/>
        </w:rPr>
      </w:pPr>
      <w:r>
        <w:fldChar w:fldCharType="begin"/>
      </w:r>
      <w:r>
        <w:instrText xml:space="preserve"> HYPERLINK \l "_Toc12248" </w:instrText>
      </w:r>
      <w:r>
        <w:fldChar w:fldCharType="separate"/>
      </w:r>
      <w:r>
        <w:rPr>
          <w:rFonts w:hint="eastAsia" w:ascii="宋体" w:hAnsi="宋体" w:eastAsia="宋体" w:cs="宋体"/>
          <w:sz w:val="24"/>
          <w:szCs w:val="24"/>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3CB9D183">
      <w:pPr>
        <w:spacing w:line="440" w:lineRule="exact"/>
        <w:ind w:firstLine="0" w:firstLineChars="0"/>
        <w:rPr>
          <w:rFonts w:ascii="宋体" w:hAnsi="宋体" w:eastAsia="宋体" w:cs="宋体"/>
          <w:sz w:val="24"/>
          <w:szCs w:val="24"/>
        </w:rPr>
      </w:pPr>
      <w:r>
        <w:rPr>
          <w:rFonts w:hint="eastAsia" w:ascii="宋体" w:hAnsi="宋体" w:eastAsia="宋体" w:cs="宋体"/>
          <w:sz w:val="24"/>
          <w:szCs w:val="24"/>
        </w:rPr>
        <w:fldChar w:fldCharType="end"/>
      </w:r>
    </w:p>
    <w:p w14:paraId="0C16B06F">
      <w:pPr>
        <w:rPr>
          <w:rFonts w:hint="eastAsia" w:ascii="宋体" w:hAnsi="宋体" w:eastAsia="宋体" w:cs="宋体"/>
          <w:b/>
          <w:spacing w:val="14"/>
          <w:sz w:val="44"/>
          <w:szCs w:val="44"/>
        </w:rPr>
      </w:pPr>
      <w:r>
        <w:rPr>
          <w:rFonts w:hint="eastAsia" w:ascii="宋体" w:hAnsi="宋体" w:eastAsia="宋体" w:cs="宋体"/>
          <w:b/>
          <w:spacing w:val="14"/>
          <w:sz w:val="44"/>
          <w:szCs w:val="44"/>
        </w:rPr>
        <w:br w:type="page"/>
      </w:r>
    </w:p>
    <w:p w14:paraId="3303F3D9">
      <w:pPr>
        <w:pStyle w:val="61"/>
        <w:spacing w:line="400" w:lineRule="exact"/>
        <w:jc w:val="center"/>
        <w:outlineLvl w:val="0"/>
        <w:rPr>
          <w:rFonts w:hint="eastAsia" w:ascii="宋体" w:cs="宋体"/>
          <w:b/>
          <w:bCs/>
          <w:color w:val="auto"/>
          <w:spacing w:val="14"/>
          <w:sz w:val="36"/>
          <w:szCs w:val="36"/>
          <w:highlight w:val="none"/>
        </w:rPr>
      </w:pPr>
      <w:bookmarkStart w:id="6" w:name="_Toc10202"/>
      <w:r>
        <w:rPr>
          <w:rFonts w:hint="eastAsia" w:ascii="宋体" w:cs="宋体"/>
          <w:b/>
          <w:bCs/>
          <w:color w:val="auto"/>
          <w:spacing w:val="14"/>
          <w:sz w:val="36"/>
          <w:szCs w:val="36"/>
          <w:highlight w:val="none"/>
        </w:rPr>
        <w:t>无范本电子招投标特别提示</w:t>
      </w:r>
      <w:bookmarkEnd w:id="6"/>
    </w:p>
    <w:p w14:paraId="6FD72D1E">
      <w:pPr>
        <w:spacing w:line="360" w:lineRule="exact"/>
        <w:ind w:firstLine="422"/>
        <w:outlineLvl w:val="0"/>
        <w:rPr>
          <w:rFonts w:ascii="宋体" w:hAnsi="宋体"/>
          <w:b/>
          <w:bCs/>
          <w:szCs w:val="21"/>
          <w:u w:val="double"/>
        </w:rPr>
      </w:pPr>
      <w:r>
        <w:rPr>
          <w:rFonts w:hint="eastAsia" w:ascii="宋体" w:hAnsi="宋体"/>
          <w:b/>
          <w:bCs/>
          <w:szCs w:val="21"/>
          <w:u w:val="double"/>
        </w:rPr>
        <w:t>一、</w:t>
      </w:r>
      <w:r>
        <w:rPr>
          <w:rFonts w:hint="eastAsia" w:ascii="宋体" w:hAnsi="宋体"/>
          <w:b/>
          <w:bCs/>
          <w:szCs w:val="21"/>
          <w:u w:val="double"/>
          <w:lang w:eastAsia="zh-CN"/>
        </w:rPr>
        <w:t>供应商</w:t>
      </w:r>
      <w:r>
        <w:rPr>
          <w:rFonts w:hint="eastAsia" w:ascii="宋体" w:hAnsi="宋体"/>
          <w:b/>
          <w:bCs/>
          <w:szCs w:val="21"/>
          <w:u w:val="double"/>
        </w:rPr>
        <w:t>（供应商）注册</w:t>
      </w:r>
    </w:p>
    <w:p w14:paraId="078C31F8">
      <w:pPr>
        <w:spacing w:line="360" w:lineRule="exact"/>
        <w:ind w:firstLine="420"/>
        <w:rPr>
          <w:rFonts w:ascii="宋体" w:hAnsi="宋体"/>
          <w:szCs w:val="21"/>
        </w:rPr>
      </w:pPr>
      <w:r>
        <w:rPr>
          <w:rFonts w:hint="eastAsia" w:ascii="宋体" w:hAnsi="宋体"/>
          <w:szCs w:val="21"/>
        </w:rPr>
        <w:t>凡有意参加本项目的</w:t>
      </w:r>
      <w:r>
        <w:rPr>
          <w:rFonts w:hint="eastAsia" w:ascii="宋体" w:hAnsi="宋体"/>
          <w:szCs w:val="21"/>
          <w:lang w:eastAsia="zh-CN"/>
        </w:rPr>
        <w:t>供应商</w:t>
      </w:r>
      <w:r>
        <w:rPr>
          <w:rFonts w:hint="eastAsia" w:ascii="宋体" w:hAnsi="宋体"/>
          <w:szCs w:val="21"/>
        </w:rPr>
        <w:t>（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w:t>
      </w:r>
      <w:r>
        <w:rPr>
          <w:rFonts w:hint="eastAsia" w:ascii="宋体" w:hAnsi="宋体"/>
          <w:szCs w:val="21"/>
          <w:lang w:eastAsia="zh-CN"/>
        </w:rPr>
        <w:t>供应商</w:t>
      </w:r>
      <w:r>
        <w:rPr>
          <w:rFonts w:hint="eastAsia" w:ascii="宋体" w:hAnsi="宋体"/>
          <w:szCs w:val="21"/>
        </w:rPr>
        <w:t>（供应商）应对所上传材料的真实性、合法性、有效性负责，其上传的信息将全部对外公示，接受社会监督。</w:t>
      </w:r>
    </w:p>
    <w:p w14:paraId="66524DCE">
      <w:pPr>
        <w:spacing w:line="360" w:lineRule="exact"/>
        <w:ind w:firstLine="422"/>
        <w:outlineLvl w:val="0"/>
        <w:rPr>
          <w:rFonts w:ascii="宋体" w:hAnsi="宋体"/>
          <w:b/>
          <w:bCs/>
          <w:szCs w:val="21"/>
          <w:u w:val="double"/>
        </w:rPr>
      </w:pPr>
      <w:bookmarkStart w:id="7" w:name="_Toc19236"/>
      <w:bookmarkEnd w:id="7"/>
      <w:bookmarkStart w:id="8" w:name="_Toc6771"/>
      <w:bookmarkEnd w:id="8"/>
      <w:bookmarkStart w:id="9" w:name="_Toc19275"/>
      <w:bookmarkEnd w:id="9"/>
      <w:bookmarkStart w:id="10" w:name="_Toc29279"/>
      <w:bookmarkEnd w:id="10"/>
      <w:bookmarkStart w:id="11" w:name="_Toc32576"/>
      <w:bookmarkEnd w:id="11"/>
      <w:bookmarkStart w:id="12" w:name="_Toc19598"/>
      <w:bookmarkEnd w:id="12"/>
      <w:r>
        <w:rPr>
          <w:rFonts w:hint="eastAsia" w:ascii="宋体" w:hAnsi="宋体"/>
          <w:b/>
          <w:bCs/>
          <w:szCs w:val="21"/>
          <w:u w:val="double"/>
        </w:rPr>
        <w:t>二、办理CA数字证书</w:t>
      </w:r>
    </w:p>
    <w:p w14:paraId="45BCC1EE">
      <w:pPr>
        <w:spacing w:line="360" w:lineRule="exact"/>
        <w:ind w:firstLine="420"/>
        <w:rPr>
          <w:rFonts w:ascii="宋体" w:hAnsi="宋体"/>
          <w:szCs w:val="21"/>
        </w:rPr>
      </w:pPr>
      <w:r>
        <w:rPr>
          <w:rFonts w:hint="eastAsia" w:ascii="宋体" w:hAnsi="宋体"/>
          <w:szCs w:val="21"/>
        </w:rPr>
        <w:t>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11B8D43">
      <w:pPr>
        <w:spacing w:line="360" w:lineRule="exact"/>
        <w:ind w:firstLine="422"/>
        <w:outlineLvl w:val="0"/>
        <w:rPr>
          <w:rFonts w:ascii="宋体" w:hAnsi="宋体"/>
          <w:b/>
          <w:bCs/>
          <w:szCs w:val="21"/>
          <w:u w:val="double"/>
        </w:rPr>
      </w:pPr>
      <w:bookmarkStart w:id="13" w:name="_Toc17500"/>
      <w:bookmarkEnd w:id="13"/>
      <w:bookmarkStart w:id="14" w:name="_Toc17942"/>
      <w:bookmarkEnd w:id="14"/>
      <w:bookmarkStart w:id="15" w:name="_Toc28650"/>
      <w:bookmarkEnd w:id="15"/>
      <w:bookmarkStart w:id="16" w:name="_Toc29815"/>
      <w:bookmarkEnd w:id="16"/>
      <w:bookmarkStart w:id="17" w:name="_Toc29709"/>
      <w:bookmarkEnd w:id="17"/>
      <w:bookmarkStart w:id="18" w:name="_Toc21228"/>
      <w:bookmarkEnd w:id="18"/>
      <w:r>
        <w:rPr>
          <w:rFonts w:hint="eastAsia" w:ascii="宋体" w:hAnsi="宋体"/>
          <w:b/>
          <w:bCs/>
          <w:szCs w:val="21"/>
          <w:u w:val="double"/>
        </w:rPr>
        <w:t>三、招标（采购）文件获取方式</w:t>
      </w:r>
    </w:p>
    <w:p w14:paraId="47F7B178">
      <w:pPr>
        <w:spacing w:line="360" w:lineRule="exact"/>
        <w:ind w:firstLine="420"/>
        <w:rPr>
          <w:rFonts w:ascii="宋体" w:hAnsi="宋体"/>
          <w:szCs w:val="21"/>
        </w:rPr>
      </w:pPr>
      <w:r>
        <w:rPr>
          <w:rFonts w:hint="eastAsia" w:ascii="宋体" w:hAnsi="宋体"/>
          <w:szCs w:val="21"/>
          <w:lang w:eastAsia="zh-CN"/>
        </w:rPr>
        <w:t>供应商</w:t>
      </w:r>
      <w:r>
        <w:rPr>
          <w:rFonts w:hint="eastAsia" w:ascii="宋体" w:hAnsi="宋体"/>
          <w:szCs w:val="21"/>
        </w:rPr>
        <w:t>（供应商）凭CA数字证书登录会员系统后，即可按网上提示免费下载招标（采购）文件及资料（操作程序详见信阳市公共资源交易中心网站下载中心栏目里</w:t>
      </w:r>
      <w:r>
        <w:rPr>
          <w:rFonts w:hint="eastAsia" w:ascii="宋体" w:hAnsi="宋体"/>
          <w:szCs w:val="21"/>
          <w:lang w:eastAsia="zh-CN"/>
        </w:rPr>
        <w:t>供应商</w:t>
      </w:r>
      <w:r>
        <w:rPr>
          <w:rFonts w:hint="eastAsia" w:ascii="宋体" w:hAnsi="宋体"/>
          <w:szCs w:val="21"/>
        </w:rPr>
        <w:t>操作手册）。招标文件（*.XYZF格式）下载后需使用“信阳市投标文件制作工具软件”打开（该工具软件可在“全国公共资源交易平台（河南省·信阳市）（https://ggzyjy.xinyang.gov.cn/）”网站下载中心栏目内下载或在招标文件领取页面下载）。</w:t>
      </w:r>
    </w:p>
    <w:p w14:paraId="0145D996">
      <w:pPr>
        <w:tabs>
          <w:tab w:val="left" w:pos="0"/>
        </w:tabs>
        <w:spacing w:line="360" w:lineRule="exact"/>
        <w:ind w:firstLine="422"/>
        <w:outlineLvl w:val="0"/>
        <w:rPr>
          <w:rFonts w:ascii="宋体" w:hAnsi="宋体"/>
          <w:b/>
          <w:bCs/>
          <w:szCs w:val="21"/>
          <w:u w:val="double"/>
        </w:rPr>
      </w:pPr>
      <w:bookmarkStart w:id="19" w:name="_Toc28407"/>
      <w:bookmarkEnd w:id="19"/>
      <w:bookmarkStart w:id="20" w:name="_Toc10848"/>
      <w:bookmarkEnd w:id="20"/>
      <w:bookmarkStart w:id="21" w:name="_Toc134"/>
      <w:bookmarkEnd w:id="21"/>
      <w:bookmarkStart w:id="22" w:name="_Toc178"/>
      <w:bookmarkEnd w:id="22"/>
      <w:bookmarkStart w:id="23" w:name="_Toc17795"/>
      <w:bookmarkEnd w:id="23"/>
      <w:bookmarkStart w:id="24" w:name="_Toc27563"/>
      <w:bookmarkEnd w:id="24"/>
      <w:r>
        <w:rPr>
          <w:rFonts w:hint="eastAsia" w:ascii="宋体" w:hAnsi="宋体"/>
          <w:b/>
          <w:bCs/>
          <w:szCs w:val="21"/>
          <w:u w:val="double"/>
        </w:rPr>
        <w:t>四、投标（响应）文件制作</w:t>
      </w:r>
    </w:p>
    <w:p w14:paraId="3E6EA4F8">
      <w:pPr>
        <w:tabs>
          <w:tab w:val="left" w:pos="0"/>
        </w:tabs>
        <w:spacing w:line="360" w:lineRule="exact"/>
        <w:ind w:firstLine="420"/>
        <w:rPr>
          <w:rFonts w:ascii="宋体" w:hAnsi="宋体"/>
          <w:szCs w:val="21"/>
        </w:rPr>
      </w:pPr>
      <w:r>
        <w:rPr>
          <w:rFonts w:hint="eastAsia" w:ascii="宋体" w:hAnsi="宋体"/>
          <w:szCs w:val="21"/>
        </w:rPr>
        <w:t>投标（响应）文件应使用信阳市公共资源交易系统投标文件制作专用工具软件编制，投标（响应）文件格式为“*.XYTF”。</w:t>
      </w:r>
    </w:p>
    <w:p w14:paraId="001F446A">
      <w:pPr>
        <w:tabs>
          <w:tab w:val="left" w:pos="0"/>
        </w:tabs>
        <w:spacing w:line="360" w:lineRule="exact"/>
        <w:ind w:firstLine="420"/>
        <w:rPr>
          <w:rFonts w:ascii="宋体" w:hAnsi="宋体"/>
          <w:szCs w:val="21"/>
        </w:rPr>
      </w:pPr>
      <w:r>
        <w:rPr>
          <w:rFonts w:hint="eastAsia" w:ascii="宋体" w:hAnsi="宋体"/>
          <w:szCs w:val="21"/>
          <w:lang w:eastAsia="zh-CN"/>
        </w:rPr>
        <w:t>供应商</w:t>
      </w:r>
      <w:r>
        <w:rPr>
          <w:rFonts w:hint="eastAsia" w:ascii="宋体" w:hAnsi="宋体"/>
          <w:szCs w:val="21"/>
        </w:rPr>
        <w:t>（供应商）须在投标（响应）文件递交截止时间前制作并提交。</w:t>
      </w:r>
    </w:p>
    <w:p w14:paraId="004632D9">
      <w:pPr>
        <w:pStyle w:val="19"/>
        <w:spacing w:line="360" w:lineRule="exact"/>
        <w:ind w:firstLine="422"/>
        <w:outlineLvl w:val="0"/>
        <w:rPr>
          <w:rFonts w:ascii="宋体" w:hAnsi="宋体"/>
          <w:b/>
          <w:bCs/>
          <w:szCs w:val="21"/>
          <w:u w:val="double"/>
        </w:rPr>
      </w:pPr>
      <w:bookmarkStart w:id="25" w:name="_Toc1311"/>
      <w:bookmarkEnd w:id="25"/>
      <w:bookmarkStart w:id="26" w:name="_Toc5900"/>
      <w:bookmarkEnd w:id="26"/>
      <w:bookmarkStart w:id="27" w:name="_Toc29515"/>
      <w:bookmarkEnd w:id="27"/>
      <w:bookmarkStart w:id="28" w:name="_Toc8715"/>
      <w:bookmarkEnd w:id="28"/>
      <w:bookmarkStart w:id="29" w:name="_Toc15304"/>
      <w:bookmarkEnd w:id="29"/>
      <w:bookmarkStart w:id="30" w:name="_Toc27593"/>
      <w:bookmarkEnd w:id="30"/>
      <w:r>
        <w:rPr>
          <w:rFonts w:hint="eastAsia" w:ascii="宋体" w:hAnsi="宋体"/>
          <w:b/>
          <w:bCs/>
          <w:szCs w:val="21"/>
          <w:u w:val="double"/>
        </w:rPr>
        <w:t>五、投标（响应）文件的签字和盖章要求</w:t>
      </w:r>
    </w:p>
    <w:p w14:paraId="68780DFD">
      <w:pPr>
        <w:snapToGrid w:val="0"/>
        <w:spacing w:line="360" w:lineRule="exact"/>
        <w:ind w:firstLine="420"/>
        <w:jc w:val="left"/>
        <w:rPr>
          <w:rFonts w:ascii="宋体" w:hAnsi="宋体"/>
          <w:szCs w:val="21"/>
        </w:rPr>
      </w:pPr>
      <w:r>
        <w:rPr>
          <w:rFonts w:hint="eastAsia" w:ascii="宋体" w:hAnsi="宋体"/>
          <w:szCs w:val="21"/>
        </w:rPr>
        <w:t>1、投标文件（响应）格式中所有要求</w:t>
      </w:r>
      <w:r>
        <w:rPr>
          <w:rFonts w:hint="eastAsia" w:ascii="宋体" w:hAnsi="宋体"/>
          <w:szCs w:val="21"/>
          <w:lang w:eastAsia="zh-CN"/>
        </w:rPr>
        <w:t>供应商</w:t>
      </w:r>
      <w:r>
        <w:rPr>
          <w:rFonts w:hint="eastAsia" w:ascii="宋体" w:hAnsi="宋体"/>
          <w:szCs w:val="21"/>
        </w:rPr>
        <w:t>（供应商）加盖公章的地方都须加盖</w:t>
      </w:r>
      <w:r>
        <w:rPr>
          <w:rFonts w:hint="eastAsia" w:ascii="宋体" w:hAnsi="宋体"/>
          <w:szCs w:val="21"/>
          <w:lang w:eastAsia="zh-CN"/>
        </w:rPr>
        <w:t>供应商</w:t>
      </w:r>
      <w:r>
        <w:rPr>
          <w:rFonts w:hint="eastAsia" w:ascii="宋体" w:hAnsi="宋体"/>
          <w:szCs w:val="21"/>
        </w:rPr>
        <w:t>（供应商）的CA印章。</w:t>
      </w:r>
    </w:p>
    <w:p w14:paraId="23EF86E5">
      <w:pPr>
        <w:snapToGrid w:val="0"/>
        <w:spacing w:line="360" w:lineRule="exact"/>
        <w:ind w:left="-126" w:leftChars="-60" w:firstLine="525" w:firstLineChars="250"/>
        <w:jc w:val="left"/>
        <w:rPr>
          <w:rFonts w:ascii="宋体" w:hAnsi="宋体"/>
          <w:szCs w:val="21"/>
        </w:rPr>
      </w:pPr>
      <w:r>
        <w:rPr>
          <w:rFonts w:hint="eastAsia" w:ascii="宋体" w:hAnsi="宋体"/>
          <w:szCs w:val="21"/>
        </w:rPr>
        <w:t>2、投标文件（响应）格式中所有要求法定代表人或其委托代理人签字或盖章的地方</w:t>
      </w:r>
      <w:r>
        <w:rPr>
          <w:rFonts w:hint="eastAsia" w:ascii="宋体" w:hAnsi="宋体"/>
          <w:b/>
          <w:bCs/>
          <w:szCs w:val="21"/>
        </w:rPr>
        <w:t>（不含授权委托书委托人签字）</w:t>
      </w:r>
      <w:r>
        <w:rPr>
          <w:rFonts w:hint="eastAsia" w:ascii="宋体" w:hAnsi="宋体"/>
          <w:szCs w:val="21"/>
        </w:rPr>
        <w:t>都须加盖法定代表人</w:t>
      </w:r>
      <w:r>
        <w:rPr>
          <w:rFonts w:hint="eastAsia" w:ascii="宋体" w:hAnsi="宋体"/>
          <w:b/>
          <w:bCs/>
          <w:szCs w:val="21"/>
        </w:rPr>
        <w:t>CA 印章。</w:t>
      </w:r>
    </w:p>
    <w:p w14:paraId="7FDDB417">
      <w:pPr>
        <w:pStyle w:val="19"/>
        <w:spacing w:line="360" w:lineRule="exact"/>
        <w:ind w:firstLine="422"/>
        <w:outlineLvl w:val="0"/>
        <w:rPr>
          <w:rFonts w:ascii="宋体" w:hAnsi="宋体"/>
          <w:b/>
          <w:bCs/>
          <w:szCs w:val="21"/>
          <w:u w:val="double"/>
        </w:rPr>
      </w:pPr>
      <w:bookmarkStart w:id="31" w:name="_Toc25903"/>
      <w:bookmarkEnd w:id="31"/>
      <w:bookmarkStart w:id="32" w:name="_Toc15235"/>
      <w:bookmarkEnd w:id="32"/>
      <w:bookmarkStart w:id="33" w:name="_Toc3358"/>
      <w:bookmarkEnd w:id="33"/>
      <w:bookmarkStart w:id="34" w:name="_Toc5788"/>
      <w:bookmarkEnd w:id="34"/>
      <w:bookmarkStart w:id="35" w:name="_Toc8156"/>
      <w:bookmarkEnd w:id="35"/>
      <w:bookmarkStart w:id="36" w:name="_Toc13929"/>
      <w:bookmarkEnd w:id="36"/>
      <w:r>
        <w:rPr>
          <w:rFonts w:hint="eastAsia" w:ascii="宋体" w:hAnsi="宋体"/>
          <w:b/>
          <w:bCs/>
          <w:szCs w:val="21"/>
          <w:u w:val="double"/>
        </w:rPr>
        <w:t>六、投标文件份数</w:t>
      </w:r>
    </w:p>
    <w:p w14:paraId="3E228CD8">
      <w:pPr>
        <w:snapToGrid w:val="0"/>
        <w:spacing w:line="360" w:lineRule="exact"/>
        <w:ind w:firstLine="420"/>
        <w:jc w:val="left"/>
        <w:rPr>
          <w:rFonts w:ascii="宋体" w:hAnsi="宋体"/>
          <w:szCs w:val="21"/>
        </w:rPr>
      </w:pPr>
      <w:r>
        <w:rPr>
          <w:rFonts w:hint="eastAsia" w:ascii="宋体" w:hAnsi="宋体"/>
          <w:szCs w:val="21"/>
        </w:rPr>
        <w:t>加密的电子投标（响应）文件壹份（*.XYTF 格式，在会员系统指定位置上传）。</w:t>
      </w:r>
    </w:p>
    <w:p w14:paraId="54BD5856">
      <w:pPr>
        <w:pStyle w:val="19"/>
        <w:spacing w:line="360" w:lineRule="exact"/>
        <w:ind w:firstLine="422"/>
        <w:outlineLvl w:val="0"/>
        <w:rPr>
          <w:rFonts w:ascii="宋体" w:hAnsi="宋体"/>
          <w:b/>
          <w:bCs/>
          <w:szCs w:val="21"/>
          <w:u w:val="double"/>
        </w:rPr>
      </w:pPr>
      <w:bookmarkStart w:id="37" w:name="_Toc32312"/>
      <w:bookmarkEnd w:id="37"/>
      <w:bookmarkStart w:id="38" w:name="_Toc26002"/>
      <w:bookmarkEnd w:id="38"/>
      <w:bookmarkStart w:id="39" w:name="_Toc28378"/>
      <w:bookmarkEnd w:id="39"/>
      <w:bookmarkStart w:id="40" w:name="_Toc24864"/>
      <w:bookmarkEnd w:id="40"/>
      <w:bookmarkStart w:id="41" w:name="_Toc31019"/>
      <w:bookmarkEnd w:id="41"/>
      <w:bookmarkStart w:id="42" w:name="_Toc26284"/>
      <w:bookmarkEnd w:id="42"/>
      <w:r>
        <w:rPr>
          <w:rFonts w:hint="eastAsia" w:ascii="宋体" w:hAnsi="宋体"/>
          <w:b/>
          <w:bCs/>
          <w:szCs w:val="21"/>
          <w:u w:val="double"/>
        </w:rPr>
        <w:t>七、投标（响应）文件的递交</w:t>
      </w:r>
    </w:p>
    <w:p w14:paraId="69450AA4">
      <w:pPr>
        <w:snapToGrid w:val="0"/>
        <w:spacing w:line="360" w:lineRule="exact"/>
        <w:ind w:firstLine="420"/>
        <w:rPr>
          <w:rFonts w:ascii="宋体" w:hAnsi="宋体"/>
          <w:szCs w:val="21"/>
        </w:rPr>
      </w:pPr>
      <w:r>
        <w:rPr>
          <w:rFonts w:hint="eastAsia" w:ascii="宋体" w:hAnsi="宋体"/>
          <w:szCs w:val="21"/>
        </w:rPr>
        <w:t>1、电子投标（响应）文件的递交</w:t>
      </w:r>
    </w:p>
    <w:p w14:paraId="4CC62CFC">
      <w:pPr>
        <w:spacing w:line="360" w:lineRule="exact"/>
        <w:ind w:firstLine="420"/>
        <w:jc w:val="left"/>
        <w:rPr>
          <w:rFonts w:ascii="宋体" w:hAnsi="宋体"/>
          <w:szCs w:val="21"/>
        </w:rPr>
      </w:pPr>
      <w:r>
        <w:rPr>
          <w:rFonts w:hint="eastAsia" w:ascii="宋体" w:hAnsi="宋体"/>
          <w:szCs w:val="21"/>
        </w:rPr>
        <w:t>各投标（供应商）人应在投标截止时间前上传加密的电子投标（响应）文件（*.XYTF）到会员系统的指定位置。上传的电子投标文件应使用</w:t>
      </w:r>
      <w:r>
        <w:rPr>
          <w:rFonts w:hint="eastAsia" w:ascii="宋体" w:hAnsi="宋体"/>
          <w:szCs w:val="21"/>
          <w:lang w:eastAsia="zh-CN"/>
        </w:rPr>
        <w:t>供应商</w:t>
      </w:r>
      <w:r>
        <w:rPr>
          <w:rFonts w:hint="eastAsia" w:ascii="宋体" w:hAnsi="宋体"/>
          <w:szCs w:val="21"/>
        </w:rPr>
        <w:t>CA数字证书认证并加密。上传时必须得到交易系统“上传成功”的确认回复后方为上传成功。请</w:t>
      </w:r>
      <w:r>
        <w:rPr>
          <w:rFonts w:hint="eastAsia" w:ascii="宋体" w:hAnsi="宋体"/>
          <w:szCs w:val="21"/>
          <w:lang w:eastAsia="zh-CN"/>
        </w:rPr>
        <w:t>供应商</w:t>
      </w:r>
      <w:r>
        <w:rPr>
          <w:rFonts w:hint="eastAsia" w:ascii="宋体" w:hAnsi="宋体"/>
          <w:szCs w:val="21"/>
        </w:rPr>
        <w:t>（供应商）在上传前务必认真检查上传投标（响应）文件是否完整、正确。</w:t>
      </w:r>
    </w:p>
    <w:p w14:paraId="684F6377">
      <w:pPr>
        <w:spacing w:line="360" w:lineRule="exact"/>
        <w:ind w:firstLine="420"/>
        <w:jc w:val="left"/>
        <w:rPr>
          <w:rFonts w:ascii="宋体" w:hAnsi="宋体"/>
          <w:szCs w:val="21"/>
        </w:rPr>
      </w:pPr>
      <w:r>
        <w:rPr>
          <w:rFonts w:hint="eastAsia" w:ascii="宋体" w:hAnsi="宋体"/>
          <w:szCs w:val="21"/>
        </w:rPr>
        <w:t>2、除电子投标（响应）文件外，不再接受任何纸质文件、资料原件等。</w:t>
      </w:r>
    </w:p>
    <w:p w14:paraId="6EF9680B">
      <w:pPr>
        <w:spacing w:line="360" w:lineRule="exact"/>
        <w:ind w:firstLine="422"/>
        <w:outlineLvl w:val="0"/>
        <w:rPr>
          <w:rFonts w:ascii="宋体" w:hAnsi="宋体"/>
          <w:b/>
          <w:bCs/>
          <w:szCs w:val="21"/>
          <w:u w:val="double"/>
        </w:rPr>
      </w:pPr>
      <w:bookmarkStart w:id="43" w:name="_Toc12020"/>
      <w:bookmarkEnd w:id="43"/>
      <w:bookmarkStart w:id="44" w:name="_Toc29"/>
      <w:bookmarkEnd w:id="44"/>
      <w:bookmarkStart w:id="45" w:name="_Toc6306"/>
      <w:bookmarkEnd w:id="45"/>
      <w:bookmarkStart w:id="46" w:name="_Toc29099"/>
      <w:bookmarkEnd w:id="46"/>
      <w:bookmarkStart w:id="47" w:name="_Toc16208"/>
      <w:bookmarkEnd w:id="47"/>
      <w:r>
        <w:rPr>
          <w:rFonts w:hint="eastAsia" w:ascii="宋体" w:hAnsi="宋体"/>
          <w:b/>
          <w:bCs/>
          <w:szCs w:val="21"/>
          <w:u w:val="double"/>
        </w:rPr>
        <w:t>八、澄清与变更</w:t>
      </w:r>
    </w:p>
    <w:p w14:paraId="49330B25">
      <w:pPr>
        <w:spacing w:line="360" w:lineRule="exact"/>
        <w:ind w:firstLine="420"/>
        <w:rPr>
          <w:rFonts w:ascii="宋体" w:hAnsi="宋体"/>
          <w:szCs w:val="21"/>
        </w:rPr>
      </w:pPr>
      <w:r>
        <w:rPr>
          <w:rFonts w:hint="eastAsia" w:ascii="宋体" w:hAnsi="宋体"/>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宋体" w:hAnsi="宋体"/>
          <w:szCs w:val="21"/>
          <w:lang w:eastAsia="zh-CN"/>
        </w:rPr>
        <w:t>供应商</w:t>
      </w:r>
      <w:r>
        <w:rPr>
          <w:rFonts w:hint="eastAsia" w:ascii="宋体" w:hAnsi="宋体"/>
          <w:szCs w:val="21"/>
        </w:rPr>
        <w:t>（供应商）应在投标（响应）文件递交截止时间前及时查看澄清或修改内容，因</w:t>
      </w:r>
      <w:r>
        <w:rPr>
          <w:rFonts w:hint="eastAsia" w:ascii="宋体" w:hAnsi="宋体"/>
          <w:szCs w:val="21"/>
          <w:lang w:eastAsia="zh-CN"/>
        </w:rPr>
        <w:t>供应商</w:t>
      </w:r>
      <w:r>
        <w:rPr>
          <w:rFonts w:hint="eastAsia" w:ascii="宋体" w:hAnsi="宋体"/>
          <w:szCs w:val="21"/>
        </w:rPr>
        <w:t>（采购人）未及时查看而造成的后果自负。</w:t>
      </w:r>
    </w:p>
    <w:p w14:paraId="58CE3313">
      <w:pPr>
        <w:widowControl/>
        <w:numPr>
          <w:ilvl w:val="0"/>
          <w:numId w:val="2"/>
        </w:numPr>
        <w:spacing w:line="360" w:lineRule="exact"/>
        <w:ind w:firstLine="422"/>
        <w:jc w:val="left"/>
        <w:outlineLvl w:val="0"/>
        <w:rPr>
          <w:rFonts w:ascii="宋体" w:hAnsi="宋体"/>
          <w:b/>
          <w:bCs/>
          <w:szCs w:val="21"/>
          <w:u w:val="double"/>
        </w:rPr>
      </w:pPr>
      <w:bookmarkStart w:id="48" w:name="_Toc19638"/>
      <w:bookmarkEnd w:id="48"/>
      <w:bookmarkStart w:id="49" w:name="_Toc28482"/>
      <w:bookmarkEnd w:id="49"/>
      <w:bookmarkStart w:id="50" w:name="_Toc21482"/>
      <w:bookmarkEnd w:id="50"/>
      <w:bookmarkStart w:id="51" w:name="_Toc29365"/>
      <w:bookmarkEnd w:id="51"/>
      <w:bookmarkStart w:id="52" w:name="_Toc7894"/>
      <w:bookmarkEnd w:id="52"/>
      <w:bookmarkStart w:id="53" w:name="_Toc25919"/>
      <w:bookmarkEnd w:id="53"/>
      <w:r>
        <w:rPr>
          <w:rFonts w:hint="eastAsia" w:ascii="宋体" w:hAnsi="宋体"/>
          <w:b/>
          <w:bCs/>
          <w:szCs w:val="21"/>
          <w:u w:val="double"/>
        </w:rPr>
        <w:t xml:space="preserve">其他注意事项 </w:t>
      </w:r>
    </w:p>
    <w:p w14:paraId="398AB866">
      <w:pPr>
        <w:widowControl/>
        <w:spacing w:line="360" w:lineRule="exact"/>
        <w:ind w:firstLine="422"/>
        <w:jc w:val="left"/>
        <w:rPr>
          <w:rFonts w:ascii="宋体" w:hAnsi="宋体"/>
          <w:b/>
          <w:bCs/>
          <w:szCs w:val="21"/>
          <w:u w:val="double"/>
        </w:rPr>
      </w:pPr>
      <w:r>
        <w:rPr>
          <w:rFonts w:hint="eastAsia" w:ascii="宋体" w:hAnsi="宋体"/>
          <w:b/>
          <w:bCs/>
          <w:szCs w:val="21"/>
          <w:u w:val="double"/>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3B2B174F">
      <w:pPr>
        <w:widowControl/>
        <w:spacing w:line="360" w:lineRule="exact"/>
        <w:ind w:firstLine="422"/>
        <w:jc w:val="left"/>
        <w:outlineLvl w:val="0"/>
        <w:rPr>
          <w:rFonts w:ascii="宋体" w:hAnsi="宋体"/>
          <w:b/>
          <w:bCs/>
          <w:szCs w:val="21"/>
          <w:u w:val="double"/>
        </w:rPr>
      </w:pPr>
      <w:bookmarkStart w:id="54" w:name="_Toc28705"/>
      <w:bookmarkEnd w:id="54"/>
      <w:bookmarkStart w:id="55" w:name="_Toc14464"/>
      <w:bookmarkEnd w:id="55"/>
      <w:bookmarkStart w:id="56" w:name="_Toc6723"/>
      <w:bookmarkEnd w:id="56"/>
      <w:bookmarkStart w:id="57" w:name="_Toc16361"/>
      <w:bookmarkEnd w:id="57"/>
      <w:bookmarkStart w:id="58" w:name="_Toc1356"/>
      <w:bookmarkEnd w:id="58"/>
      <w:bookmarkStart w:id="59" w:name="_Toc6427"/>
      <w:bookmarkEnd w:id="59"/>
      <w:r>
        <w:rPr>
          <w:rFonts w:hint="eastAsia" w:ascii="宋体" w:hAnsi="宋体"/>
          <w:b/>
          <w:bCs/>
          <w:szCs w:val="21"/>
          <w:u w:val="double"/>
        </w:rPr>
        <w:t>十、特别提醒</w:t>
      </w:r>
    </w:p>
    <w:p w14:paraId="034028BC">
      <w:pPr>
        <w:widowControl/>
        <w:spacing w:line="360" w:lineRule="exact"/>
        <w:ind w:firstLine="422"/>
        <w:jc w:val="left"/>
        <w:rPr>
          <w:rFonts w:ascii="宋体" w:hAnsi="宋体"/>
          <w:b/>
          <w:bCs/>
          <w:szCs w:val="21"/>
          <w:u w:val="double"/>
        </w:rPr>
      </w:pPr>
      <w:r>
        <w:rPr>
          <w:rFonts w:hint="eastAsia" w:ascii="宋体" w:hAnsi="宋体"/>
          <w:b/>
          <w:bCs/>
          <w:szCs w:val="21"/>
          <w:u w:val="double"/>
        </w:rPr>
        <w:t>5、投标文件中的扫描件，在确保清晰的前提下，每张最好控制在 500kb 内，生成的加密电子投标文件最好不要超过50MB。</w:t>
      </w:r>
    </w:p>
    <w:p w14:paraId="575912DC">
      <w:pPr>
        <w:pStyle w:val="19"/>
        <w:ind w:firstLine="0" w:firstLineChars="0"/>
        <w:rPr>
          <w:rFonts w:ascii="宋体" w:hAnsi="宋体"/>
          <w:szCs w:val="21"/>
        </w:rPr>
      </w:pPr>
    </w:p>
    <w:p w14:paraId="1CC6CD07">
      <w:pPr>
        <w:pStyle w:val="19"/>
        <w:ind w:firstLine="0" w:firstLineChars="0"/>
        <w:rPr>
          <w:rFonts w:ascii="宋体" w:hAnsi="宋体"/>
          <w:sz w:val="24"/>
        </w:rPr>
      </w:pPr>
    </w:p>
    <w:p w14:paraId="0DE3883E">
      <w:pPr>
        <w:pStyle w:val="19"/>
        <w:ind w:firstLine="0" w:firstLineChars="0"/>
        <w:rPr>
          <w:rFonts w:ascii="宋体" w:hAnsi="宋体"/>
          <w:sz w:val="24"/>
        </w:rPr>
      </w:pPr>
    </w:p>
    <w:p w14:paraId="47B99F41">
      <w:pPr>
        <w:pStyle w:val="19"/>
        <w:ind w:firstLine="0" w:firstLineChars="0"/>
        <w:rPr>
          <w:rFonts w:ascii="宋体" w:hAnsi="宋体"/>
          <w:sz w:val="24"/>
        </w:rPr>
      </w:pPr>
    </w:p>
    <w:p w14:paraId="56EE6A59">
      <w:pPr>
        <w:pStyle w:val="19"/>
        <w:ind w:firstLine="0" w:firstLineChars="0"/>
        <w:rPr>
          <w:rFonts w:ascii="宋体" w:hAnsi="宋体"/>
          <w:sz w:val="24"/>
        </w:rPr>
      </w:pPr>
    </w:p>
    <w:p w14:paraId="4847A31F">
      <w:pPr>
        <w:pStyle w:val="19"/>
        <w:ind w:firstLine="0" w:firstLineChars="0"/>
        <w:rPr>
          <w:rFonts w:ascii="宋体" w:hAnsi="宋体"/>
          <w:sz w:val="24"/>
        </w:rPr>
      </w:pPr>
    </w:p>
    <w:p w14:paraId="32A8FDEA">
      <w:pPr>
        <w:ind w:firstLine="0" w:firstLineChars="0"/>
      </w:pPr>
      <w:bookmarkStart w:id="60" w:name="_Toc30363"/>
    </w:p>
    <w:p w14:paraId="3CF17675">
      <w:pPr>
        <w:pStyle w:val="19"/>
        <w:ind w:firstLine="0" w:firstLineChars="0"/>
      </w:pPr>
    </w:p>
    <w:p w14:paraId="5B4176E5">
      <w:pPr>
        <w:pStyle w:val="48"/>
      </w:pPr>
    </w:p>
    <w:p w14:paraId="426260EF">
      <w:pPr>
        <w:pStyle w:val="51"/>
      </w:pPr>
    </w:p>
    <w:p w14:paraId="599E9ACA"/>
    <w:p w14:paraId="05666203">
      <w:pPr>
        <w:pStyle w:val="19"/>
        <w:ind w:firstLine="0" w:firstLineChars="0"/>
      </w:pPr>
    </w:p>
    <w:p w14:paraId="63315ACB">
      <w:pPr>
        <w:pStyle w:val="48"/>
      </w:pPr>
    </w:p>
    <w:p w14:paraId="54B10110">
      <w:pPr>
        <w:pStyle w:val="51"/>
      </w:pPr>
    </w:p>
    <w:p w14:paraId="7250F021">
      <w:pPr>
        <w:pStyle w:val="5"/>
        <w:tabs>
          <w:tab w:val="right" w:leader="underscore" w:pos="8296"/>
        </w:tabs>
        <w:spacing w:line="540" w:lineRule="exact"/>
        <w:ind w:left="0" w:firstLine="0" w:firstLineChars="0"/>
        <w:jc w:val="center"/>
        <w:outlineLvl w:val="0"/>
        <w:rPr>
          <w:rFonts w:ascii="宋体" w:hAnsi="宋体" w:eastAsia="宋体" w:cs="宋体"/>
          <w:b/>
          <w:bCs/>
          <w:sz w:val="32"/>
          <w:szCs w:val="32"/>
        </w:rPr>
      </w:pPr>
      <w:bookmarkStart w:id="61" w:name="_Toc32308"/>
      <w:r>
        <w:rPr>
          <w:rFonts w:hint="eastAsia" w:ascii="宋体" w:hAnsi="宋体" w:cs="宋体"/>
          <w:b/>
          <w:bCs/>
          <w:sz w:val="32"/>
          <w:szCs w:val="32"/>
        </w:rPr>
        <w:t xml:space="preserve">第一章 </w:t>
      </w:r>
      <w:bookmarkEnd w:id="2"/>
      <w:bookmarkEnd w:id="3"/>
      <w:bookmarkEnd w:id="4"/>
      <w:bookmarkEnd w:id="5"/>
      <w:bookmarkEnd w:id="60"/>
      <w:r>
        <w:rPr>
          <w:rFonts w:hint="eastAsia" w:ascii="宋体" w:hAnsi="宋体" w:cs="宋体"/>
          <w:b/>
          <w:bCs/>
          <w:sz w:val="32"/>
          <w:szCs w:val="32"/>
        </w:rPr>
        <w:t>竞争性磋商公告</w:t>
      </w:r>
      <w:bookmarkEnd w:id="61"/>
    </w:p>
    <w:p w14:paraId="1E5C29C1">
      <w:pPr>
        <w:pStyle w:val="30"/>
        <w:pageBreakBefore w:val="0"/>
        <w:widowControl w:val="0"/>
        <w:kinsoku/>
        <w:overflowPunct/>
        <w:topLinePunct w:val="0"/>
        <w:autoSpaceDE/>
        <w:autoSpaceDN/>
        <w:bidi w:val="0"/>
        <w:spacing w:beforeAutospacing="0" w:afterAutospacing="0" w:line="340" w:lineRule="atLeast"/>
        <w:ind w:firstLine="0" w:firstLineChars="0"/>
        <w:textAlignment w:val="auto"/>
        <w:rPr>
          <w:rFonts w:eastAsia="宋体"/>
          <w:b/>
          <w:sz w:val="21"/>
          <w:szCs w:val="21"/>
        </w:rPr>
      </w:pPr>
      <w:bookmarkStart w:id="62" w:name="OLE_LINK1"/>
      <w:bookmarkStart w:id="63" w:name="_Toc152042303"/>
      <w:bookmarkStart w:id="64" w:name="_Toc152045527"/>
      <w:bookmarkStart w:id="65" w:name="_Toc144974495"/>
      <w:r>
        <w:rPr>
          <w:rFonts w:hint="eastAsia" w:eastAsia="宋体"/>
          <w:b/>
          <w:sz w:val="21"/>
          <w:szCs w:val="21"/>
        </w:rPr>
        <w:t>项目概况</w:t>
      </w:r>
    </w:p>
    <w:p w14:paraId="01F5D6F2">
      <w:pPr>
        <w:pStyle w:val="30"/>
        <w:pageBreakBefore w:val="0"/>
        <w:widowControl w:val="0"/>
        <w:kinsoku/>
        <w:overflowPunct/>
        <w:topLinePunct w:val="0"/>
        <w:autoSpaceDE/>
        <w:autoSpaceDN/>
        <w:bidi w:val="0"/>
        <w:spacing w:beforeAutospacing="0" w:afterAutospacing="0" w:line="340" w:lineRule="atLeast"/>
        <w:ind w:left="0" w:leftChars="0" w:firstLine="420" w:firstLineChars="200"/>
        <w:textAlignment w:val="auto"/>
        <w:rPr>
          <w:rFonts w:eastAsia="宋体"/>
          <w:bCs/>
          <w:color w:val="auto"/>
          <w:sz w:val="21"/>
          <w:szCs w:val="21"/>
          <w:highlight w:val="none"/>
        </w:rPr>
      </w:pPr>
      <w:r>
        <w:rPr>
          <w:rFonts w:hint="eastAsia" w:eastAsia="宋体"/>
          <w:bCs/>
          <w:sz w:val="21"/>
          <w:szCs w:val="21"/>
          <w:lang w:eastAsia="zh-CN"/>
        </w:rPr>
        <w:t>罗山县农业农村局2026年高素质农民培育项目</w:t>
      </w:r>
      <w:r>
        <w:rPr>
          <w:rFonts w:hint="eastAsia" w:eastAsia="宋体"/>
          <w:bCs/>
          <w:sz w:val="21"/>
          <w:szCs w:val="21"/>
        </w:rPr>
        <w:t>的潜在供应商</w:t>
      </w:r>
      <w:r>
        <w:rPr>
          <w:rFonts w:hint="eastAsia" w:ascii="宋体" w:hAnsi="宋体" w:eastAsia="宋体" w:cs="宋体"/>
          <w:bCs/>
          <w:color w:val="auto"/>
          <w:sz w:val="21"/>
          <w:szCs w:val="21"/>
          <w:highlight w:val="none"/>
        </w:rPr>
        <w:t>应在登录“全国公共资源交易平台（河南省.罗山县）（http://ggzyjy.xinyang.gov.cn/luoshan/）”网站，凭办理的企业身份认证锁（CA数字证书）登录会员系统进行网上投标获取招标文件，并于202</w:t>
      </w:r>
      <w:r>
        <w:rPr>
          <w:rFonts w:hint="eastAsia" w:eastAsia="宋体" w:cs="宋体"/>
          <w:bCs/>
          <w:color w:val="auto"/>
          <w:sz w:val="21"/>
          <w:szCs w:val="21"/>
          <w:highlight w:val="none"/>
          <w:lang w:val="en-US" w:eastAsia="zh-CN"/>
        </w:rPr>
        <w:t>6年6</w:t>
      </w:r>
      <w:r>
        <w:rPr>
          <w:rFonts w:hint="eastAsia" w:ascii="宋体" w:hAnsi="宋体" w:eastAsia="宋体" w:cs="宋体"/>
          <w:bCs/>
          <w:color w:val="auto"/>
          <w:sz w:val="21"/>
          <w:szCs w:val="21"/>
          <w:highlight w:val="none"/>
        </w:rPr>
        <w:t>月</w:t>
      </w:r>
      <w:r>
        <w:rPr>
          <w:rFonts w:hint="eastAsia"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日</w:t>
      </w:r>
      <w:r>
        <w:rPr>
          <w:rFonts w:hint="eastAsia"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时30分（北京时间）前递交</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w:t>
      </w:r>
      <w:r>
        <w:rPr>
          <w:rFonts w:hint="eastAsia" w:eastAsia="宋体"/>
          <w:bCs/>
          <w:color w:val="auto"/>
          <w:sz w:val="21"/>
          <w:szCs w:val="21"/>
          <w:highlight w:val="none"/>
        </w:rPr>
        <w:t>。</w:t>
      </w:r>
    </w:p>
    <w:p w14:paraId="7AD71161">
      <w:pPr>
        <w:pStyle w:val="30"/>
        <w:pageBreakBefore w:val="0"/>
        <w:widowControl w:val="0"/>
        <w:kinsoku/>
        <w:overflowPunct/>
        <w:topLinePunct w:val="0"/>
        <w:autoSpaceDE/>
        <w:autoSpaceDN/>
        <w:bidi w:val="0"/>
        <w:spacing w:beforeAutospacing="0" w:afterAutospacing="0" w:line="340" w:lineRule="atLeast"/>
        <w:ind w:left="0" w:leftChars="0" w:firstLine="0" w:firstLineChars="0"/>
        <w:textAlignment w:val="auto"/>
        <w:rPr>
          <w:rFonts w:eastAsia="宋体"/>
          <w:b/>
          <w:color w:val="auto"/>
          <w:sz w:val="21"/>
          <w:szCs w:val="21"/>
          <w:highlight w:val="none"/>
        </w:rPr>
      </w:pPr>
      <w:r>
        <w:rPr>
          <w:rFonts w:hint="eastAsia" w:eastAsia="宋体"/>
          <w:b/>
          <w:color w:val="auto"/>
          <w:sz w:val="21"/>
          <w:szCs w:val="21"/>
          <w:highlight w:val="none"/>
        </w:rPr>
        <w:t>一、项目基本情况</w:t>
      </w:r>
    </w:p>
    <w:p w14:paraId="0C4A0F7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1、项目编号：罗财磋商采购-2026-16</w:t>
      </w:r>
    </w:p>
    <w:p w14:paraId="6BF5AB6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2、项目名称：罗山县农业农村局2026年高素质农民培育项目</w:t>
      </w:r>
    </w:p>
    <w:p w14:paraId="09763A4B">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3、采购方式：竞争性磋商</w:t>
      </w:r>
    </w:p>
    <w:p w14:paraId="0C6322D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4、预算金额</w:t>
      </w:r>
      <w:r>
        <w:rPr>
          <w:rFonts w:hint="eastAsia" w:ascii="宋体" w:hAnsi="宋体" w:eastAsia="宋体" w:cs="宋体"/>
          <w:color w:val="auto"/>
          <w:sz w:val="21"/>
          <w:szCs w:val="21"/>
          <w:highlight w:val="none"/>
          <w:lang w:val="en-US" w:eastAsia="zh-CN"/>
        </w:rPr>
        <w:t>：774000.00元，最高限价：774000.00元；</w:t>
      </w:r>
    </w:p>
    <w:tbl>
      <w:tblPr>
        <w:tblStyle w:val="35"/>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471"/>
        <w:gridCol w:w="3435"/>
        <w:gridCol w:w="1413"/>
        <w:gridCol w:w="1268"/>
        <w:gridCol w:w="1219"/>
      </w:tblGrid>
      <w:tr w14:paraId="17BF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09" w:type="dxa"/>
            <w:vAlign w:val="center"/>
          </w:tcPr>
          <w:p w14:paraId="0BA3A606">
            <w:pPr>
              <w:pStyle w:val="29"/>
              <w:pageBreakBefore w:val="0"/>
              <w:kinsoku/>
              <w:overflowPunct/>
              <w:topLinePunct w:val="0"/>
              <w:autoSpaceDE/>
              <w:autoSpaceDN/>
              <w:bidi w:val="0"/>
              <w:spacing w:line="340" w:lineRule="atLeast"/>
              <w:ind w:left="0" w:leftChars="0" w:firstLine="0" w:firstLineChars="0"/>
              <w:jc w:val="center"/>
              <w:textAlignment w:val="auto"/>
              <w:rPr>
                <w:rFonts w:hint="eastAsia"/>
              </w:rPr>
            </w:pPr>
            <w:r>
              <w:rPr>
                <w:rFonts w:hint="eastAsia"/>
              </w:rPr>
              <w:t>序号</w:t>
            </w:r>
          </w:p>
        </w:tc>
        <w:tc>
          <w:tcPr>
            <w:tcW w:w="1471" w:type="dxa"/>
            <w:vAlign w:val="center"/>
          </w:tcPr>
          <w:p w14:paraId="4EA805D5">
            <w:pPr>
              <w:pStyle w:val="29"/>
              <w:pageBreakBefore w:val="0"/>
              <w:kinsoku/>
              <w:overflowPunct/>
              <w:topLinePunct w:val="0"/>
              <w:autoSpaceDE/>
              <w:autoSpaceDN/>
              <w:bidi w:val="0"/>
              <w:spacing w:line="340" w:lineRule="atLeast"/>
              <w:ind w:left="0" w:leftChars="0" w:firstLine="0" w:firstLineChars="0"/>
              <w:jc w:val="center"/>
              <w:textAlignment w:val="auto"/>
              <w:rPr>
                <w:rFonts w:hint="eastAsia"/>
              </w:rPr>
            </w:pPr>
            <w:r>
              <w:rPr>
                <w:rFonts w:hint="eastAsia"/>
              </w:rPr>
              <w:t>包号</w:t>
            </w:r>
          </w:p>
        </w:tc>
        <w:tc>
          <w:tcPr>
            <w:tcW w:w="3435" w:type="dxa"/>
            <w:vAlign w:val="center"/>
          </w:tcPr>
          <w:p w14:paraId="2DF15864">
            <w:pPr>
              <w:pStyle w:val="29"/>
              <w:pageBreakBefore w:val="0"/>
              <w:kinsoku/>
              <w:overflowPunct/>
              <w:topLinePunct w:val="0"/>
              <w:autoSpaceDE/>
              <w:autoSpaceDN/>
              <w:bidi w:val="0"/>
              <w:spacing w:line="340" w:lineRule="atLeast"/>
              <w:ind w:left="0" w:leftChars="0" w:firstLine="0" w:firstLineChars="0"/>
              <w:jc w:val="center"/>
              <w:textAlignment w:val="auto"/>
              <w:rPr>
                <w:rFonts w:hint="eastAsia"/>
                <w:lang w:eastAsia="zh-CN"/>
              </w:rPr>
            </w:pPr>
            <w:r>
              <w:rPr>
                <w:rFonts w:hint="eastAsia"/>
              </w:rPr>
              <w:t>包名称</w:t>
            </w:r>
          </w:p>
        </w:tc>
        <w:tc>
          <w:tcPr>
            <w:tcW w:w="1413" w:type="dxa"/>
            <w:vAlign w:val="center"/>
          </w:tcPr>
          <w:p w14:paraId="28157B71">
            <w:pPr>
              <w:pStyle w:val="29"/>
              <w:pageBreakBefore w:val="0"/>
              <w:kinsoku/>
              <w:overflowPunct/>
              <w:topLinePunct w:val="0"/>
              <w:autoSpaceDE/>
              <w:autoSpaceDN/>
              <w:bidi w:val="0"/>
              <w:spacing w:line="340" w:lineRule="atLeast"/>
              <w:ind w:left="0" w:leftChars="0" w:firstLine="0" w:firstLineChars="0"/>
              <w:jc w:val="center"/>
              <w:textAlignment w:val="auto"/>
              <w:rPr>
                <w:rFonts w:hint="eastAsia"/>
                <w:lang w:val="en-US" w:eastAsia="zh-CN"/>
              </w:rPr>
            </w:pPr>
            <w:r>
              <w:rPr>
                <w:rFonts w:hint="eastAsia"/>
                <w:lang w:val="en-US" w:eastAsia="zh-CN"/>
              </w:rPr>
              <w:t>包预算（元）</w:t>
            </w:r>
          </w:p>
        </w:tc>
        <w:tc>
          <w:tcPr>
            <w:tcW w:w="1268" w:type="dxa"/>
            <w:vAlign w:val="center"/>
          </w:tcPr>
          <w:p w14:paraId="4E031097">
            <w:pPr>
              <w:pStyle w:val="29"/>
              <w:pageBreakBefore w:val="0"/>
              <w:kinsoku/>
              <w:overflowPunct/>
              <w:topLinePunct w:val="0"/>
              <w:autoSpaceDE/>
              <w:autoSpaceDN/>
              <w:bidi w:val="0"/>
              <w:spacing w:line="340" w:lineRule="atLeast"/>
              <w:ind w:left="0" w:leftChars="0" w:firstLine="0" w:firstLineChars="0"/>
              <w:jc w:val="center"/>
              <w:textAlignment w:val="auto"/>
              <w:rPr>
                <w:rFonts w:hint="eastAsia"/>
                <w:lang w:val="en-US" w:eastAsia="zh-CN"/>
              </w:rPr>
            </w:pPr>
            <w:r>
              <w:rPr>
                <w:rFonts w:hint="eastAsia"/>
                <w:lang w:val="en-US" w:eastAsia="zh-CN"/>
              </w:rPr>
              <w:t>是否专门面向中小企业</w:t>
            </w:r>
          </w:p>
        </w:tc>
        <w:tc>
          <w:tcPr>
            <w:tcW w:w="1219" w:type="dxa"/>
            <w:vAlign w:val="center"/>
          </w:tcPr>
          <w:p w14:paraId="379511DE">
            <w:pPr>
              <w:pStyle w:val="29"/>
              <w:pageBreakBefore w:val="0"/>
              <w:kinsoku/>
              <w:overflowPunct/>
              <w:topLinePunct w:val="0"/>
              <w:autoSpaceDE/>
              <w:autoSpaceDN/>
              <w:bidi w:val="0"/>
              <w:spacing w:line="340" w:lineRule="atLeast"/>
              <w:ind w:left="0" w:leftChars="0" w:firstLine="0" w:firstLineChars="0"/>
              <w:jc w:val="center"/>
              <w:textAlignment w:val="auto"/>
              <w:rPr>
                <w:rFonts w:hint="eastAsia"/>
                <w:lang w:val="en-US" w:eastAsia="zh-CN"/>
              </w:rPr>
            </w:pPr>
            <w:r>
              <w:rPr>
                <w:rFonts w:hint="eastAsia"/>
                <w:lang w:val="en-US" w:eastAsia="zh-CN"/>
              </w:rPr>
              <w:t>包最高限价（元）</w:t>
            </w:r>
          </w:p>
        </w:tc>
      </w:tr>
      <w:tr w14:paraId="6896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09" w:type="dxa"/>
            <w:vAlign w:val="center"/>
          </w:tcPr>
          <w:p w14:paraId="233DBE58">
            <w:pPr>
              <w:pStyle w:val="7"/>
              <w:pageBreakBefore w:val="0"/>
              <w:kinsoku/>
              <w:overflowPunct/>
              <w:topLinePunct w:val="0"/>
              <w:autoSpaceDE/>
              <w:autoSpaceDN/>
              <w:bidi w:val="0"/>
              <w:spacing w:line="340" w:lineRule="atLeast"/>
              <w:ind w:firstLine="0" w:firstLineChars="0"/>
              <w:jc w:val="center"/>
              <w:textAlignment w:val="auto"/>
              <w:rPr>
                <w:rFonts w:hint="eastAsia" w:eastAsia="宋体" w:cs="Times New Roman"/>
                <w:b w:val="0"/>
                <w:kern w:val="0"/>
                <w:sz w:val="21"/>
                <w:szCs w:val="21"/>
                <w:highlight w:val="none"/>
                <w:lang w:val="en-US" w:eastAsia="zh-CN"/>
              </w:rPr>
            </w:pPr>
            <w:r>
              <w:rPr>
                <w:rFonts w:hint="eastAsia" w:eastAsia="宋体" w:cs="Times New Roman"/>
                <w:b w:val="0"/>
                <w:kern w:val="0"/>
                <w:sz w:val="21"/>
                <w:szCs w:val="21"/>
                <w:highlight w:val="none"/>
                <w:lang w:val="en-US" w:eastAsia="zh-CN"/>
              </w:rPr>
              <w:t>1</w:t>
            </w:r>
          </w:p>
        </w:tc>
        <w:tc>
          <w:tcPr>
            <w:tcW w:w="1471" w:type="dxa"/>
            <w:vAlign w:val="center"/>
          </w:tcPr>
          <w:p w14:paraId="09FEBDE4">
            <w:pPr>
              <w:pageBreakBefore w:val="0"/>
              <w:kinsoku/>
              <w:overflowPunct/>
              <w:topLinePunct w:val="0"/>
              <w:autoSpaceDE/>
              <w:autoSpaceDN/>
              <w:bidi w:val="0"/>
              <w:spacing w:line="340" w:lineRule="atLeast"/>
              <w:ind w:left="0" w:leftChars="0" w:firstLine="0" w:firstLineChars="0"/>
              <w:textAlignment w:val="auto"/>
              <w:rPr>
                <w:rFonts w:hint="default" w:eastAsiaTheme="minorEastAsia"/>
                <w:b w:val="0"/>
                <w:bCs w:val="0"/>
                <w:color w:val="auto"/>
                <w:sz w:val="21"/>
                <w:szCs w:val="21"/>
                <w:highlight w:val="none"/>
                <w:lang w:val="en-US" w:eastAsia="zh-CN"/>
              </w:rPr>
            </w:pPr>
            <w:r>
              <w:rPr>
                <w:rFonts w:hint="eastAsia" w:eastAsia="宋体"/>
                <w:b w:val="0"/>
                <w:bCs w:val="0"/>
                <w:color w:val="auto"/>
                <w:sz w:val="21"/>
                <w:szCs w:val="21"/>
                <w:highlight w:val="none"/>
              </w:rPr>
              <w:t>罗财</w:t>
            </w:r>
            <w:r>
              <w:rPr>
                <w:rFonts w:hint="eastAsia" w:eastAsia="宋体"/>
                <w:b w:val="0"/>
                <w:bCs w:val="0"/>
                <w:color w:val="auto"/>
                <w:sz w:val="21"/>
                <w:szCs w:val="21"/>
                <w:highlight w:val="none"/>
                <w:lang w:val="en-US" w:eastAsia="zh-CN"/>
              </w:rPr>
              <w:t>磋商采购</w:t>
            </w:r>
            <w:r>
              <w:rPr>
                <w:rFonts w:cs="宋体"/>
                <w:b w:val="0"/>
                <w:bCs w:val="0"/>
                <w:color w:val="auto"/>
                <w:sz w:val="21"/>
                <w:szCs w:val="21"/>
                <w:highlight w:val="none"/>
              </w:rPr>
              <w:t>-202</w:t>
            </w:r>
            <w:r>
              <w:rPr>
                <w:rFonts w:hint="eastAsia" w:cs="宋体"/>
                <w:b w:val="0"/>
                <w:bCs w:val="0"/>
                <w:color w:val="auto"/>
                <w:sz w:val="21"/>
                <w:szCs w:val="21"/>
                <w:highlight w:val="none"/>
                <w:lang w:val="en-US" w:eastAsia="zh-CN"/>
              </w:rPr>
              <w:t>6</w:t>
            </w:r>
            <w:r>
              <w:rPr>
                <w:rFonts w:cs="宋体"/>
                <w:b w:val="0"/>
                <w:bCs w:val="0"/>
                <w:color w:val="auto"/>
                <w:sz w:val="21"/>
                <w:szCs w:val="21"/>
                <w:highlight w:val="none"/>
              </w:rPr>
              <w:t>-</w:t>
            </w:r>
            <w:r>
              <w:rPr>
                <w:rFonts w:hint="eastAsia" w:cs="宋体"/>
                <w:b w:val="0"/>
                <w:bCs w:val="0"/>
                <w:color w:val="auto"/>
                <w:sz w:val="21"/>
                <w:szCs w:val="21"/>
                <w:highlight w:val="none"/>
                <w:lang w:val="en-US" w:eastAsia="zh-CN"/>
              </w:rPr>
              <w:t>16-1</w:t>
            </w:r>
          </w:p>
        </w:tc>
        <w:tc>
          <w:tcPr>
            <w:tcW w:w="3435" w:type="dxa"/>
          </w:tcPr>
          <w:p w14:paraId="70741DCF">
            <w:pPr>
              <w:pageBreakBefore w:val="0"/>
              <w:kinsoku/>
              <w:overflowPunct/>
              <w:topLinePunct w:val="0"/>
              <w:autoSpaceDE/>
              <w:autoSpaceDN/>
              <w:bidi w:val="0"/>
              <w:spacing w:line="340" w:lineRule="atLeast"/>
              <w:ind w:left="0" w:leftChars="0" w:firstLine="0" w:firstLineChars="0"/>
              <w:jc w:val="left"/>
              <w:textAlignment w:val="auto"/>
              <w:rPr>
                <w:rFonts w:hint="default"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eastAsia="zh-CN"/>
              </w:rPr>
              <w:t>罗山县农业农村局2026年高素质农民培育项目包</w:t>
            </w:r>
            <w:r>
              <w:rPr>
                <w:rFonts w:hint="eastAsia" w:eastAsia="宋体" w:cs="Times New Roman"/>
                <w:b w:val="0"/>
                <w:bCs w:val="0"/>
                <w:kern w:val="0"/>
                <w:sz w:val="21"/>
                <w:szCs w:val="21"/>
                <w:highlight w:val="none"/>
                <w:lang w:val="en-US" w:eastAsia="zh-CN"/>
              </w:rPr>
              <w:t>1</w:t>
            </w:r>
          </w:p>
        </w:tc>
        <w:tc>
          <w:tcPr>
            <w:tcW w:w="1413" w:type="dxa"/>
            <w:vAlign w:val="center"/>
          </w:tcPr>
          <w:p w14:paraId="198FA671">
            <w:pPr>
              <w:pStyle w:val="7"/>
              <w:pageBreakBefore w:val="0"/>
              <w:kinsoku/>
              <w:overflowPunct/>
              <w:topLinePunct w:val="0"/>
              <w:autoSpaceDE/>
              <w:autoSpaceDN/>
              <w:bidi w:val="0"/>
              <w:spacing w:line="340" w:lineRule="atLeast"/>
              <w:ind w:firstLine="0" w:firstLineChars="0"/>
              <w:jc w:val="center"/>
              <w:textAlignment w:val="auto"/>
              <w:rPr>
                <w:rFonts w:hint="default"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258000.00</w:t>
            </w:r>
          </w:p>
        </w:tc>
        <w:tc>
          <w:tcPr>
            <w:tcW w:w="1268" w:type="dxa"/>
            <w:vAlign w:val="center"/>
          </w:tcPr>
          <w:p w14:paraId="14BE1D24">
            <w:pPr>
              <w:pStyle w:val="7"/>
              <w:pageBreakBefore w:val="0"/>
              <w:kinsoku/>
              <w:overflowPunct/>
              <w:topLinePunct w:val="0"/>
              <w:autoSpaceDE/>
              <w:autoSpaceDN/>
              <w:bidi w:val="0"/>
              <w:spacing w:line="340" w:lineRule="atLeast"/>
              <w:ind w:firstLine="0" w:firstLineChars="0"/>
              <w:jc w:val="center"/>
              <w:textAlignment w:val="auto"/>
              <w:rPr>
                <w:rFonts w:hint="eastAsia"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是</w:t>
            </w:r>
          </w:p>
        </w:tc>
        <w:tc>
          <w:tcPr>
            <w:tcW w:w="1219" w:type="dxa"/>
            <w:vAlign w:val="center"/>
          </w:tcPr>
          <w:p w14:paraId="04662617">
            <w:pPr>
              <w:pStyle w:val="7"/>
              <w:pageBreakBefore w:val="0"/>
              <w:kinsoku/>
              <w:overflowPunct/>
              <w:topLinePunct w:val="0"/>
              <w:autoSpaceDE/>
              <w:autoSpaceDN/>
              <w:bidi w:val="0"/>
              <w:spacing w:line="340" w:lineRule="atLeast"/>
              <w:ind w:firstLine="0" w:firstLineChars="0"/>
              <w:jc w:val="center"/>
              <w:textAlignment w:val="auto"/>
              <w:rPr>
                <w:rFonts w:hint="default"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258000.00</w:t>
            </w:r>
          </w:p>
        </w:tc>
      </w:tr>
      <w:tr w14:paraId="365F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09" w:type="dxa"/>
            <w:vAlign w:val="center"/>
          </w:tcPr>
          <w:p w14:paraId="7359EC40">
            <w:pPr>
              <w:pStyle w:val="7"/>
              <w:pageBreakBefore w:val="0"/>
              <w:kinsoku/>
              <w:overflowPunct/>
              <w:topLinePunct w:val="0"/>
              <w:autoSpaceDE/>
              <w:autoSpaceDN/>
              <w:bidi w:val="0"/>
              <w:spacing w:line="340" w:lineRule="atLeast"/>
              <w:ind w:firstLine="0" w:firstLineChars="0"/>
              <w:jc w:val="center"/>
              <w:textAlignment w:val="auto"/>
              <w:rPr>
                <w:rFonts w:hint="default" w:eastAsia="宋体" w:cs="Times New Roman"/>
                <w:b w:val="0"/>
                <w:kern w:val="0"/>
                <w:sz w:val="21"/>
                <w:szCs w:val="21"/>
                <w:highlight w:val="none"/>
                <w:lang w:val="en-US" w:eastAsia="zh-CN"/>
              </w:rPr>
            </w:pPr>
            <w:r>
              <w:rPr>
                <w:rFonts w:hint="eastAsia" w:eastAsia="宋体" w:cs="Times New Roman"/>
                <w:b w:val="0"/>
                <w:kern w:val="0"/>
                <w:sz w:val="21"/>
                <w:szCs w:val="21"/>
                <w:highlight w:val="none"/>
                <w:lang w:val="en-US" w:eastAsia="zh-CN"/>
              </w:rPr>
              <w:t>2</w:t>
            </w:r>
          </w:p>
        </w:tc>
        <w:tc>
          <w:tcPr>
            <w:tcW w:w="1471" w:type="dxa"/>
            <w:vAlign w:val="center"/>
          </w:tcPr>
          <w:p w14:paraId="4A5A8FF9">
            <w:pPr>
              <w:pageBreakBefore w:val="0"/>
              <w:kinsoku/>
              <w:overflowPunct/>
              <w:topLinePunct w:val="0"/>
              <w:autoSpaceDE/>
              <w:autoSpaceDN/>
              <w:bidi w:val="0"/>
              <w:spacing w:line="340" w:lineRule="atLeast"/>
              <w:ind w:left="0" w:leftChars="0" w:firstLine="0" w:firstLineChars="0"/>
              <w:textAlignment w:val="auto"/>
              <w:rPr>
                <w:rFonts w:hint="eastAsia" w:eastAsia="宋体"/>
                <w:b w:val="0"/>
                <w:bCs w:val="0"/>
                <w:color w:val="auto"/>
                <w:sz w:val="21"/>
                <w:szCs w:val="21"/>
                <w:highlight w:val="none"/>
              </w:rPr>
            </w:pPr>
            <w:r>
              <w:rPr>
                <w:rFonts w:hint="eastAsia" w:eastAsia="宋体"/>
                <w:b w:val="0"/>
                <w:bCs w:val="0"/>
                <w:color w:val="auto"/>
                <w:sz w:val="21"/>
                <w:szCs w:val="21"/>
                <w:highlight w:val="none"/>
              </w:rPr>
              <w:t>罗财</w:t>
            </w:r>
            <w:r>
              <w:rPr>
                <w:rFonts w:hint="eastAsia" w:eastAsia="宋体"/>
                <w:b w:val="0"/>
                <w:bCs w:val="0"/>
                <w:color w:val="auto"/>
                <w:sz w:val="21"/>
                <w:szCs w:val="21"/>
                <w:highlight w:val="none"/>
                <w:lang w:val="en-US" w:eastAsia="zh-CN"/>
              </w:rPr>
              <w:t>磋商采购</w:t>
            </w:r>
            <w:r>
              <w:rPr>
                <w:rFonts w:cs="宋体"/>
                <w:b w:val="0"/>
                <w:bCs w:val="0"/>
                <w:color w:val="auto"/>
                <w:sz w:val="21"/>
                <w:szCs w:val="21"/>
                <w:highlight w:val="none"/>
              </w:rPr>
              <w:t>-202</w:t>
            </w:r>
            <w:r>
              <w:rPr>
                <w:rFonts w:hint="eastAsia" w:cs="宋体"/>
                <w:b w:val="0"/>
                <w:bCs w:val="0"/>
                <w:color w:val="auto"/>
                <w:sz w:val="21"/>
                <w:szCs w:val="21"/>
                <w:highlight w:val="none"/>
                <w:lang w:val="en-US" w:eastAsia="zh-CN"/>
              </w:rPr>
              <w:t>6</w:t>
            </w:r>
            <w:r>
              <w:rPr>
                <w:rFonts w:cs="宋体"/>
                <w:b w:val="0"/>
                <w:bCs w:val="0"/>
                <w:color w:val="auto"/>
                <w:sz w:val="21"/>
                <w:szCs w:val="21"/>
                <w:highlight w:val="none"/>
              </w:rPr>
              <w:t>-</w:t>
            </w:r>
            <w:r>
              <w:rPr>
                <w:rFonts w:hint="eastAsia" w:cs="宋体"/>
                <w:b w:val="0"/>
                <w:bCs w:val="0"/>
                <w:color w:val="auto"/>
                <w:sz w:val="21"/>
                <w:szCs w:val="21"/>
                <w:highlight w:val="none"/>
                <w:lang w:val="en-US" w:eastAsia="zh-CN"/>
              </w:rPr>
              <w:t>16-2</w:t>
            </w:r>
          </w:p>
        </w:tc>
        <w:tc>
          <w:tcPr>
            <w:tcW w:w="3435" w:type="dxa"/>
          </w:tcPr>
          <w:p w14:paraId="20215B0B">
            <w:pPr>
              <w:pageBreakBefore w:val="0"/>
              <w:kinsoku/>
              <w:overflowPunct/>
              <w:topLinePunct w:val="0"/>
              <w:autoSpaceDE/>
              <w:autoSpaceDN/>
              <w:bidi w:val="0"/>
              <w:spacing w:line="340" w:lineRule="atLeast"/>
              <w:ind w:left="0" w:leftChars="0" w:firstLine="0" w:firstLineChars="0"/>
              <w:jc w:val="left"/>
              <w:textAlignment w:val="auto"/>
              <w:rPr>
                <w:rFonts w:hint="eastAsia" w:eastAsia="宋体" w:cs="Times New Roman"/>
                <w:b w:val="0"/>
                <w:bCs w:val="0"/>
                <w:kern w:val="0"/>
                <w:sz w:val="21"/>
                <w:szCs w:val="21"/>
                <w:highlight w:val="none"/>
                <w:lang w:eastAsia="zh-CN"/>
              </w:rPr>
            </w:pPr>
            <w:r>
              <w:rPr>
                <w:rFonts w:hint="eastAsia" w:eastAsia="宋体" w:cs="Times New Roman"/>
                <w:b w:val="0"/>
                <w:bCs w:val="0"/>
                <w:kern w:val="0"/>
                <w:sz w:val="21"/>
                <w:szCs w:val="21"/>
                <w:highlight w:val="none"/>
                <w:lang w:eastAsia="zh-CN"/>
              </w:rPr>
              <w:t>罗山县农业农村局2026年高素质农民培育项目包</w:t>
            </w:r>
            <w:r>
              <w:rPr>
                <w:rFonts w:hint="eastAsia" w:eastAsia="宋体" w:cs="Times New Roman"/>
                <w:b w:val="0"/>
                <w:bCs w:val="0"/>
                <w:kern w:val="0"/>
                <w:sz w:val="21"/>
                <w:szCs w:val="21"/>
                <w:highlight w:val="none"/>
                <w:lang w:val="en-US" w:eastAsia="zh-CN"/>
              </w:rPr>
              <w:t>2</w:t>
            </w:r>
          </w:p>
        </w:tc>
        <w:tc>
          <w:tcPr>
            <w:tcW w:w="1413" w:type="dxa"/>
            <w:vAlign w:val="center"/>
          </w:tcPr>
          <w:p w14:paraId="7862EE24">
            <w:pPr>
              <w:pStyle w:val="7"/>
              <w:pageBreakBefore w:val="0"/>
              <w:kinsoku/>
              <w:overflowPunct/>
              <w:topLinePunct w:val="0"/>
              <w:autoSpaceDE/>
              <w:autoSpaceDN/>
              <w:bidi w:val="0"/>
              <w:spacing w:line="340" w:lineRule="atLeast"/>
              <w:ind w:firstLine="0" w:firstLineChars="0"/>
              <w:jc w:val="center"/>
              <w:textAlignment w:val="auto"/>
              <w:rPr>
                <w:rFonts w:hint="eastAsia"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258000.00</w:t>
            </w:r>
          </w:p>
        </w:tc>
        <w:tc>
          <w:tcPr>
            <w:tcW w:w="1268" w:type="dxa"/>
            <w:vAlign w:val="center"/>
          </w:tcPr>
          <w:p w14:paraId="4ED7E7C7">
            <w:pPr>
              <w:pStyle w:val="7"/>
              <w:pageBreakBefore w:val="0"/>
              <w:kinsoku/>
              <w:overflowPunct/>
              <w:topLinePunct w:val="0"/>
              <w:autoSpaceDE/>
              <w:autoSpaceDN/>
              <w:bidi w:val="0"/>
              <w:spacing w:line="340" w:lineRule="atLeast"/>
              <w:ind w:firstLine="0" w:firstLineChars="0"/>
              <w:jc w:val="center"/>
              <w:textAlignment w:val="auto"/>
              <w:rPr>
                <w:rFonts w:hint="eastAsia"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是</w:t>
            </w:r>
          </w:p>
        </w:tc>
        <w:tc>
          <w:tcPr>
            <w:tcW w:w="1219" w:type="dxa"/>
            <w:vAlign w:val="center"/>
          </w:tcPr>
          <w:p w14:paraId="27FBC3AF">
            <w:pPr>
              <w:pStyle w:val="7"/>
              <w:pageBreakBefore w:val="0"/>
              <w:kinsoku/>
              <w:overflowPunct/>
              <w:topLinePunct w:val="0"/>
              <w:autoSpaceDE/>
              <w:autoSpaceDN/>
              <w:bidi w:val="0"/>
              <w:spacing w:line="340" w:lineRule="atLeast"/>
              <w:ind w:firstLine="0" w:firstLineChars="0"/>
              <w:jc w:val="center"/>
              <w:textAlignment w:val="auto"/>
              <w:rPr>
                <w:rFonts w:hint="eastAsia"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258000.00</w:t>
            </w:r>
          </w:p>
        </w:tc>
      </w:tr>
      <w:tr w14:paraId="2B21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09" w:type="dxa"/>
            <w:vAlign w:val="center"/>
          </w:tcPr>
          <w:p w14:paraId="020BF4E6">
            <w:pPr>
              <w:pStyle w:val="7"/>
              <w:pageBreakBefore w:val="0"/>
              <w:kinsoku/>
              <w:overflowPunct/>
              <w:topLinePunct w:val="0"/>
              <w:autoSpaceDE/>
              <w:autoSpaceDN/>
              <w:bidi w:val="0"/>
              <w:spacing w:line="340" w:lineRule="atLeast"/>
              <w:ind w:firstLine="0" w:firstLineChars="0"/>
              <w:jc w:val="center"/>
              <w:textAlignment w:val="auto"/>
              <w:rPr>
                <w:rFonts w:hint="default" w:eastAsia="宋体" w:cs="Times New Roman"/>
                <w:b w:val="0"/>
                <w:kern w:val="0"/>
                <w:sz w:val="21"/>
                <w:szCs w:val="21"/>
                <w:highlight w:val="none"/>
                <w:lang w:val="en-US" w:eastAsia="zh-CN"/>
              </w:rPr>
            </w:pPr>
            <w:r>
              <w:rPr>
                <w:rFonts w:hint="eastAsia" w:eastAsia="宋体" w:cs="Times New Roman"/>
                <w:b w:val="0"/>
                <w:kern w:val="0"/>
                <w:sz w:val="21"/>
                <w:szCs w:val="21"/>
                <w:highlight w:val="none"/>
                <w:lang w:val="en-US" w:eastAsia="zh-CN"/>
              </w:rPr>
              <w:t>3</w:t>
            </w:r>
          </w:p>
        </w:tc>
        <w:tc>
          <w:tcPr>
            <w:tcW w:w="1471" w:type="dxa"/>
            <w:vAlign w:val="center"/>
          </w:tcPr>
          <w:p w14:paraId="71E4C6C9">
            <w:pPr>
              <w:pageBreakBefore w:val="0"/>
              <w:kinsoku/>
              <w:overflowPunct/>
              <w:topLinePunct w:val="0"/>
              <w:autoSpaceDE/>
              <w:autoSpaceDN/>
              <w:bidi w:val="0"/>
              <w:spacing w:line="340" w:lineRule="atLeast"/>
              <w:ind w:left="0" w:leftChars="0" w:firstLine="0" w:firstLineChars="0"/>
              <w:textAlignment w:val="auto"/>
              <w:rPr>
                <w:rFonts w:hint="eastAsia" w:eastAsia="宋体"/>
                <w:b w:val="0"/>
                <w:bCs w:val="0"/>
                <w:color w:val="auto"/>
                <w:sz w:val="21"/>
                <w:szCs w:val="21"/>
                <w:highlight w:val="none"/>
              </w:rPr>
            </w:pPr>
            <w:r>
              <w:rPr>
                <w:rFonts w:hint="eastAsia" w:eastAsia="宋体"/>
                <w:b w:val="0"/>
                <w:bCs w:val="0"/>
                <w:color w:val="auto"/>
                <w:sz w:val="21"/>
                <w:szCs w:val="21"/>
                <w:highlight w:val="none"/>
              </w:rPr>
              <w:t>罗财</w:t>
            </w:r>
            <w:r>
              <w:rPr>
                <w:rFonts w:hint="eastAsia" w:eastAsia="宋体"/>
                <w:b w:val="0"/>
                <w:bCs w:val="0"/>
                <w:color w:val="auto"/>
                <w:sz w:val="21"/>
                <w:szCs w:val="21"/>
                <w:highlight w:val="none"/>
                <w:lang w:val="en-US" w:eastAsia="zh-CN"/>
              </w:rPr>
              <w:t>磋商采购</w:t>
            </w:r>
            <w:r>
              <w:rPr>
                <w:rFonts w:cs="宋体"/>
                <w:b w:val="0"/>
                <w:bCs w:val="0"/>
                <w:color w:val="auto"/>
                <w:sz w:val="21"/>
                <w:szCs w:val="21"/>
                <w:highlight w:val="none"/>
              </w:rPr>
              <w:t>-202</w:t>
            </w:r>
            <w:r>
              <w:rPr>
                <w:rFonts w:hint="eastAsia" w:cs="宋体"/>
                <w:b w:val="0"/>
                <w:bCs w:val="0"/>
                <w:color w:val="auto"/>
                <w:sz w:val="21"/>
                <w:szCs w:val="21"/>
                <w:highlight w:val="none"/>
                <w:lang w:val="en-US" w:eastAsia="zh-CN"/>
              </w:rPr>
              <w:t>6</w:t>
            </w:r>
            <w:r>
              <w:rPr>
                <w:rFonts w:cs="宋体"/>
                <w:b w:val="0"/>
                <w:bCs w:val="0"/>
                <w:color w:val="auto"/>
                <w:sz w:val="21"/>
                <w:szCs w:val="21"/>
                <w:highlight w:val="none"/>
              </w:rPr>
              <w:t>-</w:t>
            </w:r>
            <w:r>
              <w:rPr>
                <w:rFonts w:hint="eastAsia" w:cs="宋体"/>
                <w:b w:val="0"/>
                <w:bCs w:val="0"/>
                <w:color w:val="auto"/>
                <w:sz w:val="21"/>
                <w:szCs w:val="21"/>
                <w:highlight w:val="none"/>
                <w:lang w:val="en-US" w:eastAsia="zh-CN"/>
              </w:rPr>
              <w:t>16-3</w:t>
            </w:r>
          </w:p>
        </w:tc>
        <w:tc>
          <w:tcPr>
            <w:tcW w:w="3435" w:type="dxa"/>
          </w:tcPr>
          <w:p w14:paraId="6F2983F3">
            <w:pPr>
              <w:pageBreakBefore w:val="0"/>
              <w:kinsoku/>
              <w:overflowPunct/>
              <w:topLinePunct w:val="0"/>
              <w:autoSpaceDE/>
              <w:autoSpaceDN/>
              <w:bidi w:val="0"/>
              <w:spacing w:line="340" w:lineRule="atLeast"/>
              <w:ind w:left="0" w:leftChars="0" w:firstLine="0" w:firstLineChars="0"/>
              <w:jc w:val="left"/>
              <w:textAlignment w:val="auto"/>
              <w:rPr>
                <w:rFonts w:hint="eastAsia" w:eastAsia="宋体" w:cs="Times New Roman"/>
                <w:b w:val="0"/>
                <w:bCs w:val="0"/>
                <w:kern w:val="0"/>
                <w:sz w:val="21"/>
                <w:szCs w:val="21"/>
                <w:highlight w:val="none"/>
                <w:lang w:eastAsia="zh-CN"/>
              </w:rPr>
            </w:pPr>
            <w:r>
              <w:rPr>
                <w:rFonts w:hint="eastAsia" w:eastAsia="宋体" w:cs="Times New Roman"/>
                <w:b w:val="0"/>
                <w:bCs w:val="0"/>
                <w:kern w:val="0"/>
                <w:sz w:val="21"/>
                <w:szCs w:val="21"/>
                <w:highlight w:val="none"/>
                <w:lang w:eastAsia="zh-CN"/>
              </w:rPr>
              <w:t>罗山县农业农村局2026年高素质农民培育项目包</w:t>
            </w:r>
            <w:r>
              <w:rPr>
                <w:rFonts w:hint="eastAsia" w:eastAsia="宋体" w:cs="Times New Roman"/>
                <w:b w:val="0"/>
                <w:bCs w:val="0"/>
                <w:kern w:val="0"/>
                <w:sz w:val="21"/>
                <w:szCs w:val="21"/>
                <w:highlight w:val="none"/>
                <w:lang w:val="en-US" w:eastAsia="zh-CN"/>
              </w:rPr>
              <w:t>3</w:t>
            </w:r>
          </w:p>
        </w:tc>
        <w:tc>
          <w:tcPr>
            <w:tcW w:w="1413" w:type="dxa"/>
            <w:vAlign w:val="center"/>
          </w:tcPr>
          <w:p w14:paraId="3712D2CC">
            <w:pPr>
              <w:pStyle w:val="7"/>
              <w:pageBreakBefore w:val="0"/>
              <w:kinsoku/>
              <w:overflowPunct/>
              <w:topLinePunct w:val="0"/>
              <w:autoSpaceDE/>
              <w:autoSpaceDN/>
              <w:bidi w:val="0"/>
              <w:spacing w:line="340" w:lineRule="atLeast"/>
              <w:ind w:firstLine="0" w:firstLineChars="0"/>
              <w:jc w:val="center"/>
              <w:textAlignment w:val="auto"/>
              <w:rPr>
                <w:rFonts w:hint="eastAsia"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258000.00</w:t>
            </w:r>
          </w:p>
        </w:tc>
        <w:tc>
          <w:tcPr>
            <w:tcW w:w="1268" w:type="dxa"/>
            <w:vAlign w:val="center"/>
          </w:tcPr>
          <w:p w14:paraId="1908479C">
            <w:pPr>
              <w:pStyle w:val="7"/>
              <w:pageBreakBefore w:val="0"/>
              <w:kinsoku/>
              <w:overflowPunct/>
              <w:topLinePunct w:val="0"/>
              <w:autoSpaceDE/>
              <w:autoSpaceDN/>
              <w:bidi w:val="0"/>
              <w:spacing w:line="340" w:lineRule="atLeast"/>
              <w:ind w:firstLine="0" w:firstLineChars="0"/>
              <w:jc w:val="center"/>
              <w:textAlignment w:val="auto"/>
              <w:rPr>
                <w:rFonts w:hint="default"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 xml:space="preserve"> 是</w:t>
            </w:r>
          </w:p>
        </w:tc>
        <w:tc>
          <w:tcPr>
            <w:tcW w:w="1219" w:type="dxa"/>
            <w:vAlign w:val="center"/>
          </w:tcPr>
          <w:p w14:paraId="7B7E251F">
            <w:pPr>
              <w:pStyle w:val="7"/>
              <w:pageBreakBefore w:val="0"/>
              <w:kinsoku/>
              <w:overflowPunct/>
              <w:topLinePunct w:val="0"/>
              <w:autoSpaceDE/>
              <w:autoSpaceDN/>
              <w:bidi w:val="0"/>
              <w:spacing w:line="340" w:lineRule="atLeast"/>
              <w:ind w:firstLine="0" w:firstLineChars="0"/>
              <w:jc w:val="center"/>
              <w:textAlignment w:val="auto"/>
              <w:rPr>
                <w:rFonts w:hint="eastAsia" w:eastAsia="宋体" w:cs="Times New Roman"/>
                <w:b w:val="0"/>
                <w:bCs w:val="0"/>
                <w:kern w:val="0"/>
                <w:sz w:val="21"/>
                <w:szCs w:val="21"/>
                <w:highlight w:val="none"/>
                <w:lang w:val="en-US" w:eastAsia="zh-CN"/>
              </w:rPr>
            </w:pPr>
            <w:r>
              <w:rPr>
                <w:rFonts w:hint="eastAsia" w:eastAsia="宋体" w:cs="Times New Roman"/>
                <w:b w:val="0"/>
                <w:bCs w:val="0"/>
                <w:kern w:val="0"/>
                <w:sz w:val="21"/>
                <w:szCs w:val="21"/>
                <w:highlight w:val="none"/>
                <w:lang w:val="en-US" w:eastAsia="zh-CN"/>
              </w:rPr>
              <w:t>258000.00</w:t>
            </w:r>
          </w:p>
        </w:tc>
      </w:tr>
    </w:tbl>
    <w:p w14:paraId="7E3CF0C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5、采购需求：（包括但不限于标的的名称、数量、简要技术需求或服务要求等， 详细内容见竞争性磋商文件第五章内容）：</w:t>
      </w:r>
    </w:p>
    <w:p w14:paraId="50CFB35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 采购内容</w:t>
      </w:r>
      <w:r>
        <w:rPr>
          <w:rFonts w:hint="eastAsia" w:ascii="宋体" w:hAnsi="宋体" w:eastAsia="宋体" w:cs="宋体"/>
          <w:color w:val="auto"/>
          <w:sz w:val="21"/>
          <w:szCs w:val="21"/>
          <w:highlight w:val="none"/>
          <w:lang w:val="en-US" w:eastAsia="zh-CN"/>
        </w:rPr>
        <w:t>：罗山县</w:t>
      </w:r>
      <w:r>
        <w:rPr>
          <w:rFonts w:hint="eastAsia" w:ascii="宋体" w:hAnsi="宋体" w:eastAsia="宋体" w:cs="宋体"/>
          <w:color w:val="auto"/>
          <w:sz w:val="21"/>
          <w:szCs w:val="21"/>
          <w:lang w:val="en-US" w:eastAsia="zh-CN"/>
        </w:rPr>
        <w:t>高素质农民培育培训任务（粮油和重要农产品生产经营主体、新产业新业态带头人、文明乡风建设素质素养提升）每包段86人，共计258人；</w:t>
      </w:r>
    </w:p>
    <w:p w14:paraId="0548877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 资金来源及落实情况：财政资金，已落实；</w:t>
      </w:r>
    </w:p>
    <w:p w14:paraId="651DA8C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5.3质量要求：满足采购人需求；</w:t>
      </w:r>
    </w:p>
    <w:p w14:paraId="6730A84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5.4包段划分：共划分3个包段；</w:t>
      </w:r>
    </w:p>
    <w:p w14:paraId="0C23E69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5.5服务期限：180日历天；</w:t>
      </w:r>
    </w:p>
    <w:p w14:paraId="2AF710C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6、合同履行期限：同服务期限；  </w:t>
      </w:r>
    </w:p>
    <w:p w14:paraId="4D6325B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7、本项目是否接受联合体投标否； </w:t>
      </w:r>
    </w:p>
    <w:p w14:paraId="6DC3131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14:paraId="02CD148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highlight w:val="none"/>
          <w:lang w:val="en-US" w:eastAsia="zh-CN"/>
        </w:rPr>
        <w:t>是否专门面向中小企业：是；</w:t>
      </w:r>
    </w:p>
    <w:p w14:paraId="62F758F1">
      <w:pPr>
        <w:pStyle w:val="30"/>
        <w:pageBreakBefore w:val="0"/>
        <w:widowControl w:val="0"/>
        <w:kinsoku/>
        <w:overflowPunct/>
        <w:topLinePunct w:val="0"/>
        <w:autoSpaceDE/>
        <w:autoSpaceDN/>
        <w:bidi w:val="0"/>
        <w:spacing w:beforeAutospacing="0" w:afterAutospacing="0" w:line="340" w:lineRule="atLeast"/>
        <w:ind w:firstLine="0" w:firstLineChars="0"/>
        <w:textAlignment w:val="auto"/>
        <w:rPr>
          <w:rFonts w:eastAsia="宋体"/>
          <w:b/>
          <w:bCs/>
          <w:sz w:val="21"/>
          <w:szCs w:val="21"/>
        </w:rPr>
      </w:pPr>
      <w:r>
        <w:rPr>
          <w:rFonts w:hint="eastAsia" w:eastAsia="宋体"/>
          <w:b/>
          <w:bCs/>
          <w:sz w:val="21"/>
          <w:szCs w:val="21"/>
        </w:rPr>
        <w:t>二、申请人资格要求：</w:t>
      </w:r>
    </w:p>
    <w:p w14:paraId="0B57D49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14:paraId="7A8F47D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2、落实政府采购政策满足的资格要求：</w:t>
      </w:r>
    </w:p>
    <w:p w14:paraId="362752B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eastAsiaTheme="minorEastAsia"/>
          <w:color w:val="auto"/>
          <w:sz w:val="21"/>
          <w:szCs w:val="21"/>
          <w:lang w:val="en-US" w:eastAsia="zh-CN"/>
        </w:rPr>
      </w:pPr>
      <w:r>
        <w:rPr>
          <w:rFonts w:hint="eastAsia" w:ascii="宋体" w:hAnsi="宋体" w:eastAsia="宋体" w:cs="宋体"/>
          <w:color w:val="auto"/>
          <w:sz w:val="21"/>
          <w:szCs w:val="21"/>
          <w:lang w:val="en-US" w:eastAsia="zh-CN"/>
        </w:rPr>
        <w:t>2.1本项目专门面向中小企业采购，本项目落实促进中小型企业发展政策（监狱企业、残疾人福利性企业视同小微企业），</w:t>
      </w:r>
      <w:r>
        <w:rPr>
          <w:rFonts w:hint="eastAsia" w:eastAsia="宋体" w:cs="宋体"/>
          <w:color w:val="auto"/>
          <w:szCs w:val="24"/>
          <w:highlight w:val="none"/>
          <w:lang w:eastAsia="zh-CN"/>
        </w:rPr>
        <w:t>供应商</w:t>
      </w:r>
      <w:r>
        <w:rPr>
          <w:rFonts w:hint="eastAsia" w:cs="宋体"/>
          <w:color w:val="auto"/>
          <w:szCs w:val="24"/>
          <w:highlight w:val="none"/>
        </w:rPr>
        <w:t>应按</w:t>
      </w:r>
      <w:r>
        <w:rPr>
          <w:rFonts w:hint="eastAsia" w:cs="宋体"/>
          <w:color w:val="auto"/>
          <w:szCs w:val="24"/>
          <w:highlight w:val="none"/>
          <w:lang w:val="en-US" w:eastAsia="zh-CN"/>
        </w:rPr>
        <w:t>磋商</w:t>
      </w:r>
      <w:r>
        <w:rPr>
          <w:rFonts w:hint="eastAsia" w:cs="宋体"/>
          <w:color w:val="auto"/>
          <w:szCs w:val="24"/>
          <w:highlight w:val="none"/>
        </w:rPr>
        <w:t>文件要求提供《中小企业声明函》</w:t>
      </w:r>
      <w:r>
        <w:rPr>
          <w:rFonts w:hint="eastAsia" w:cs="宋体"/>
          <w:color w:val="auto"/>
          <w:szCs w:val="24"/>
          <w:highlight w:val="none"/>
          <w:lang w:eastAsia="zh-CN"/>
        </w:rPr>
        <w:t>；</w:t>
      </w:r>
    </w:p>
    <w:p w14:paraId="509DE26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2.2根据财政部《关于在政府采购活动中查询及使用信用记录有关问题的通知》(财库[2016] 125 号)和豫财购[2016]15 号的规定，对列入失信被执行人、重大税收违法失信主体、政府采购严重违法失信行为记录名单的供应商，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14:paraId="06C52D0C">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 单位负责人为同一人或者存在直接控股、管理关系的不同单位，不得同时参加同一合同项下的政府采购活动（提供加盖供应商公章的“国家企业信用信息公示系统”中公示的公司基础信息包含股东及出资信息。查询截止时点为：从报名开始之日起至投标截止之日止。）</w:t>
      </w:r>
    </w:p>
    <w:p w14:paraId="737AA87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 本项目不允许联合体投标，实行资格后审；</w:t>
      </w:r>
    </w:p>
    <w:p w14:paraId="1212EDF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一个投标人只允许中标1个包段，如有投标人同时为多个包段的第一中标候选人，则确定此投标人为其中前一个包段的中标人，此投标人中标的其他包段则确定第二中标候选人为中标人。如果一个包段第一中标候选人已中标前面包段，那么确定第二中标候选人为本包段中标人，如果第二中标候选人也中标了前面包段，那么确定第三中标候选人为本包段中标人。以此类推顺延，直至最终确定本包段中标人。</w:t>
      </w:r>
    </w:p>
    <w:p w14:paraId="6B88229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3、其他说明：本项目适用信用承诺（详见下述要求）：</w:t>
      </w:r>
    </w:p>
    <w:p w14:paraId="309069F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响应）时，可对照资格要求进行自主核对，确定符合资格要求的，可按照规定提供相关承诺函（详见响应文件“资格审查资料”附件），供应商在资格审查环节提供满足相应条件的书面承诺书，不需要提供以下证明材料：</w:t>
      </w:r>
    </w:p>
    <w:p w14:paraId="30A0C22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①具有独立承担民事责任的能力（提供有效的企业营业执照或</w:t>
      </w:r>
      <w:r>
        <w:rPr>
          <w:rFonts w:hint="eastAsia" w:ascii="宋体" w:hAnsi="宋体" w:eastAsia="宋体" w:cs="宋体"/>
          <w:color w:val="auto"/>
          <w:sz w:val="21"/>
          <w:szCs w:val="21"/>
          <w:highlight w:val="none"/>
          <w:lang w:val="en-US" w:eastAsia="zh-CN"/>
        </w:rPr>
        <w:t>民办非企业单位登记证书</w:t>
      </w:r>
      <w:r>
        <w:rPr>
          <w:rFonts w:hint="eastAsia" w:ascii="宋体" w:hAnsi="宋体" w:eastAsia="宋体" w:cs="宋体"/>
          <w:color w:val="auto"/>
          <w:sz w:val="21"/>
          <w:szCs w:val="21"/>
          <w:lang w:val="en-US" w:eastAsia="zh-CN"/>
        </w:rPr>
        <w:t>）；</w:t>
      </w:r>
    </w:p>
    <w:p w14:paraId="1847606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②有良好的商业信誉和健全的财务</w:t>
      </w:r>
      <w:r>
        <w:rPr>
          <w:rFonts w:hint="eastAsia" w:ascii="宋体" w:hAnsi="宋体" w:eastAsia="宋体" w:cs="宋体"/>
          <w:color w:val="auto"/>
          <w:sz w:val="21"/>
          <w:szCs w:val="21"/>
          <w:highlight w:val="none"/>
          <w:lang w:val="en-US" w:eastAsia="zh-CN"/>
        </w:rPr>
        <w:t>会计制度（提供近2024或2025年度的财务审计报告，若企业成立年份不足1年，则需提供开户行出具的资信证明）；</w:t>
      </w:r>
    </w:p>
    <w:p w14:paraId="7D130B8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③具有履行合同所必需的设备和专业技术能力（提供有效的民办学校办学许可证）；</w:t>
      </w:r>
    </w:p>
    <w:p w14:paraId="3929719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④具有依法缴纳税收和社会保障资金的良好记录【提供2026年以</w:t>
      </w:r>
      <w:r>
        <w:rPr>
          <w:rFonts w:hint="eastAsia" w:ascii="宋体" w:hAnsi="宋体" w:eastAsia="宋体" w:cs="宋体"/>
          <w:color w:val="auto"/>
          <w:sz w:val="21"/>
          <w:szCs w:val="21"/>
          <w:lang w:val="en-US" w:eastAsia="zh-CN"/>
        </w:rPr>
        <w:t>来任意1个月的已依法缴纳税收和社会保障资金的凭据，依法免税或不需要缴纳社会保障资金的供应商，应提供相应证明文件，新成立公司按实际月份提供。（如依法免税的，则须提供相关部门出具的证明文件。如供应商在规定的时间段内没有发生业务的，则提供税务部门出具的纳税证明，或加盖税务部门公章的纳税申报表。）】；</w:t>
      </w:r>
    </w:p>
    <w:p w14:paraId="0E1E30B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⑤参加政府采购活动前三年内在经营活动中没有重大违法记录的证明材料（提供承诺书）；</w:t>
      </w:r>
    </w:p>
    <w:p w14:paraId="3D8EEAC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⑥法律、行政法规规定的其他条件；</w:t>
      </w:r>
    </w:p>
    <w:p w14:paraId="01B799B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lang w:val="en-US" w:eastAsia="zh-CN"/>
        </w:rPr>
        <w:t>供应商在中标（成交）后，应将上述由信用承诺书替代的证明材料提交采购人（采购代理机构）核验，经核验无误后，由采购人发出中标（成交）通知书。</w:t>
      </w:r>
    </w:p>
    <w:p w14:paraId="211C1E9C">
      <w:pPr>
        <w:pStyle w:val="66"/>
        <w:pageBreakBefore w:val="0"/>
        <w:kinsoku/>
        <w:overflowPunct/>
        <w:topLinePunct w:val="0"/>
        <w:autoSpaceDE/>
        <w:autoSpaceDN/>
        <w:bidi w:val="0"/>
        <w:spacing w:after="0" w:line="340" w:lineRule="atLeast"/>
        <w:ind w:left="0" w:leftChars="0" w:firstLine="0" w:firstLineChars="0"/>
        <w:textAlignment w:val="auto"/>
        <w:rPr>
          <w:rFonts w:ascii="宋体" w:hAnsi="宋体" w:eastAsia="宋体" w:cs="宋体"/>
          <w:b/>
          <w:bCs/>
          <w:sz w:val="21"/>
          <w:szCs w:val="21"/>
        </w:rPr>
      </w:pPr>
      <w:r>
        <w:rPr>
          <w:rFonts w:hint="eastAsia" w:ascii="宋体" w:hAnsi="宋体" w:eastAsia="宋体" w:cs="宋体"/>
          <w:b/>
          <w:bCs/>
          <w:kern w:val="0"/>
          <w:sz w:val="21"/>
          <w:szCs w:val="21"/>
        </w:rPr>
        <w:t>三、获取采购文件</w:t>
      </w:r>
    </w:p>
    <w:p w14:paraId="105E34A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1、时间：</w:t>
      </w:r>
      <w:r>
        <w:rPr>
          <w:rFonts w:hint="eastAsia" w:ascii="宋体" w:hAnsi="宋体" w:eastAsia="宋体" w:cs="宋体"/>
          <w:color w:val="auto"/>
          <w:sz w:val="21"/>
          <w:szCs w:val="21"/>
          <w:highlight w:val="none"/>
          <w:lang w:val="en-US" w:eastAsia="zh-CN"/>
        </w:rPr>
        <w:t>2026年6 月 9日至2026年 6 月15 日</w:t>
      </w:r>
      <w:r>
        <w:rPr>
          <w:rFonts w:hint="eastAsia" w:ascii="宋体" w:hAnsi="宋体" w:eastAsia="宋体" w:cs="宋体"/>
          <w:color w:val="0000FF"/>
          <w:sz w:val="21"/>
          <w:szCs w:val="21"/>
          <w:highlight w:val="none"/>
          <w:lang w:val="en-US" w:eastAsia="zh-CN"/>
        </w:rPr>
        <w:t>，</w:t>
      </w:r>
      <w:r>
        <w:rPr>
          <w:rFonts w:hint="eastAsia" w:ascii="宋体" w:hAnsi="宋体" w:eastAsia="宋体" w:cs="宋体"/>
          <w:color w:val="auto"/>
          <w:sz w:val="21"/>
          <w:szCs w:val="21"/>
          <w:highlight w:val="none"/>
          <w:lang w:val="en-US" w:eastAsia="zh-CN"/>
        </w:rPr>
        <w:t>每天上午</w:t>
      </w:r>
      <w:r>
        <w:rPr>
          <w:rFonts w:hint="eastAsia" w:ascii="宋体" w:hAnsi="宋体" w:eastAsia="宋体" w:cs="宋体"/>
          <w:color w:val="auto"/>
          <w:sz w:val="21"/>
          <w:szCs w:val="21"/>
          <w:lang w:val="en-US" w:eastAsia="zh-CN"/>
        </w:rPr>
        <w:t>00:00至12:00，下午12:01至23:59（北京时间，法定节假日除外。）</w:t>
      </w:r>
    </w:p>
    <w:p w14:paraId="0E982AF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2、地点：“全国公共资源交易平台（河南省·罗山县））（http://ggzyjy.xinyang.gov.cn/luoshan/）”网站，凭办理的企业身份认证锁（CA数字证书）登录会员系统。</w:t>
      </w:r>
    </w:p>
    <w:p w14:paraId="09C9E42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式：供应商凭CA数字证书登录会员系统后，即可按网上提示免费下载竞争性磋商文件及资料（操作程序详见信阳市公共资源交易中心网站下载中心栏目里供应商操作手册）。竞争性磋商文件(*.XYZF格式)下载后需使用“信阳市投标文件制作工具软件”打开（该工具软件可在“全国公共资源交易平台（河南省·信阳市）”网站下载中心栏目内下载或在文件领取页面下载）。请供应商下载磋商文件后及时关注系统业务菜单内该项目是否有新的答疑澄清文件。如有请直接下载，不再另行通知。</w:t>
      </w:r>
    </w:p>
    <w:p w14:paraId="656191E2">
      <w:pPr>
        <w:pageBreakBefore w:val="0"/>
        <w:kinsoku/>
        <w:overflowPunct/>
        <w:topLinePunct w:val="0"/>
        <w:autoSpaceDE/>
        <w:autoSpaceDN/>
        <w:bidi w:val="0"/>
        <w:spacing w:line="340" w:lineRule="atLeast"/>
        <w:ind w:firstLine="420" w:firstLineChars="200"/>
        <w:jc w:val="left"/>
        <w:textAlignment w:val="auto"/>
      </w:pPr>
      <w:r>
        <w:rPr>
          <w:rFonts w:hint="eastAsia" w:ascii="宋体" w:hAnsi="宋体" w:cs="宋体"/>
          <w:kern w:val="0"/>
          <w:szCs w:val="21"/>
          <w:lang w:val="en-US" w:eastAsia="zh-CN"/>
        </w:rPr>
        <w:t>4</w:t>
      </w:r>
      <w:r>
        <w:rPr>
          <w:rFonts w:hint="eastAsia" w:ascii="宋体" w:hAnsi="宋体" w:cs="宋体"/>
          <w:kern w:val="0"/>
          <w:szCs w:val="21"/>
        </w:rPr>
        <w:t>、售价：竞争性磋商文件售价0元。</w:t>
      </w:r>
    </w:p>
    <w:p w14:paraId="7FCFD2A3">
      <w:pPr>
        <w:pageBreakBefore w:val="0"/>
        <w:widowControl/>
        <w:kinsoku/>
        <w:overflowPunct/>
        <w:topLinePunct w:val="0"/>
        <w:autoSpaceDE/>
        <w:autoSpaceDN/>
        <w:bidi w:val="0"/>
        <w:spacing w:line="340" w:lineRule="atLeast"/>
        <w:ind w:firstLine="0" w:firstLineChars="0"/>
        <w:textAlignment w:val="auto"/>
        <w:rPr>
          <w:rFonts w:ascii="宋体" w:hAnsi="宋体" w:cs="宋体"/>
          <w:b/>
          <w:bCs/>
          <w:color w:val="auto"/>
          <w:kern w:val="0"/>
          <w:szCs w:val="21"/>
        </w:rPr>
      </w:pPr>
      <w:r>
        <w:rPr>
          <w:rFonts w:hint="eastAsia" w:ascii="宋体" w:hAnsi="宋体" w:cs="宋体"/>
          <w:b/>
          <w:bCs/>
          <w:kern w:val="0"/>
          <w:szCs w:val="21"/>
        </w:rPr>
        <w:t>四</w:t>
      </w:r>
      <w:r>
        <w:rPr>
          <w:rFonts w:hint="eastAsia" w:ascii="宋体" w:hAnsi="宋体" w:cs="宋体"/>
          <w:b/>
          <w:bCs/>
          <w:color w:val="auto"/>
          <w:kern w:val="0"/>
          <w:szCs w:val="21"/>
        </w:rPr>
        <w:t>、响应文件提交：</w:t>
      </w:r>
    </w:p>
    <w:p w14:paraId="3CA6A15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1、时间：</w:t>
      </w:r>
      <w:r>
        <w:rPr>
          <w:rFonts w:hint="eastAsia" w:ascii="宋体" w:hAnsi="宋体" w:eastAsia="宋体" w:cs="宋体"/>
          <w:color w:val="auto"/>
          <w:sz w:val="21"/>
          <w:szCs w:val="21"/>
          <w:highlight w:val="none"/>
          <w:lang w:val="en-US" w:eastAsia="zh-CN"/>
        </w:rPr>
        <w:t>2026年 6月 24日10时30分（北京时间）。</w:t>
      </w:r>
    </w:p>
    <w:p w14:paraId="2C1E429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2、地点：供应商必须在响应文件提交截止时间前通过信阳市公共资源交易中心电子招投标系统上传加密的电子响应文件(*.XYTF格式)。注：加密电子响应文件逾期上传采购人不予受理。</w:t>
      </w:r>
    </w:p>
    <w:p w14:paraId="17CA6194">
      <w:pPr>
        <w:pageBreakBefore w:val="0"/>
        <w:widowControl/>
        <w:kinsoku/>
        <w:overflowPunct/>
        <w:topLinePunct w:val="0"/>
        <w:autoSpaceDE/>
        <w:autoSpaceDN/>
        <w:bidi w:val="0"/>
        <w:spacing w:line="340" w:lineRule="atLeas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五、响应文件开启：</w:t>
      </w:r>
    </w:p>
    <w:p w14:paraId="2443189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1、时间：2026年 6月24 日10时30分（北京时间）。</w:t>
      </w:r>
    </w:p>
    <w:p w14:paraId="756E642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2、地点：罗山县公共资源交易中心不见面开标大厅。</w:t>
      </w:r>
    </w:p>
    <w:p w14:paraId="06172A0B">
      <w:pPr>
        <w:pageBreakBefore w:val="0"/>
        <w:widowControl/>
        <w:kinsoku/>
        <w:overflowPunct/>
        <w:topLinePunct w:val="0"/>
        <w:autoSpaceDE/>
        <w:autoSpaceDN/>
        <w:bidi w:val="0"/>
        <w:spacing w:line="340" w:lineRule="atLeast"/>
        <w:ind w:firstLine="0" w:firstLineChars="0"/>
        <w:textAlignment w:val="auto"/>
        <w:rPr>
          <w:rFonts w:ascii="宋体" w:hAnsi="宋体" w:cs="宋体"/>
          <w:b/>
          <w:bCs/>
          <w:kern w:val="0"/>
          <w:szCs w:val="21"/>
        </w:rPr>
      </w:pPr>
      <w:r>
        <w:rPr>
          <w:rFonts w:hint="eastAsia" w:ascii="宋体" w:hAnsi="宋体" w:cs="宋体"/>
          <w:b/>
          <w:bCs/>
          <w:kern w:val="0"/>
          <w:szCs w:val="21"/>
        </w:rPr>
        <w:t>六、发布公告的媒介及招标公告期限：</w:t>
      </w:r>
    </w:p>
    <w:p w14:paraId="2FD3FF9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本次招标公告在《河南省政府采购网》、《全国公共资源交易平台（河南省·罗山县）》网上发布，招标公告期限为五个工作日。</w:t>
      </w:r>
    </w:p>
    <w:p w14:paraId="25570202">
      <w:pPr>
        <w:pStyle w:val="19"/>
        <w:pageBreakBefore w:val="0"/>
        <w:kinsoku/>
        <w:overflowPunct/>
        <w:topLinePunct w:val="0"/>
        <w:autoSpaceDE/>
        <w:autoSpaceDN/>
        <w:bidi w:val="0"/>
        <w:spacing w:line="340" w:lineRule="atLeast"/>
        <w:ind w:firstLine="0" w:firstLineChars="0"/>
        <w:textAlignment w:val="auto"/>
        <w:rPr>
          <w:rFonts w:ascii="宋体" w:hAnsi="宋体" w:cs="宋体"/>
          <w:b/>
          <w:bCs/>
          <w:szCs w:val="21"/>
        </w:rPr>
      </w:pPr>
      <w:r>
        <w:rPr>
          <w:rFonts w:hint="eastAsia" w:ascii="宋体" w:hAnsi="宋体" w:cs="宋体"/>
          <w:b/>
          <w:bCs/>
          <w:szCs w:val="21"/>
        </w:rPr>
        <w:t>七、其他补充事宜：</w:t>
      </w:r>
    </w:p>
    <w:p w14:paraId="28E8E11E">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1、本项目采用“不见面开标”交易方式，不见面开标大厅网址为 </w:t>
      </w:r>
      <w:r>
        <w:rPr>
          <w:rFonts w:hint="eastAsia" w:ascii="宋体" w:hAnsi="宋体" w:cs="宋体"/>
          <w:color w:val="auto"/>
          <w:kern w:val="0"/>
          <w:szCs w:val="21"/>
          <w:lang w:val="en-US" w:eastAsia="zh-CN"/>
        </w:rPr>
        <w:fldChar w:fldCharType="begin"/>
      </w:r>
      <w:r>
        <w:rPr>
          <w:rFonts w:hint="eastAsia" w:ascii="宋体" w:hAnsi="宋体" w:cs="宋体"/>
          <w:color w:val="auto"/>
          <w:kern w:val="0"/>
          <w:szCs w:val="21"/>
          <w:lang w:val="en-US" w:eastAsia="zh-CN"/>
        </w:rPr>
        <w:instrText xml:space="preserve"> HYPERLINK "https://ggzyjy.xinyang.gov.cn/BidOpening" </w:instrText>
      </w:r>
      <w:r>
        <w:rPr>
          <w:rFonts w:hint="eastAsia" w:ascii="宋体" w:hAnsi="宋体" w:cs="宋体"/>
          <w:color w:val="auto"/>
          <w:kern w:val="0"/>
          <w:szCs w:val="21"/>
          <w:lang w:val="en-US" w:eastAsia="zh-CN"/>
        </w:rPr>
        <w:fldChar w:fldCharType="separate"/>
      </w:r>
      <w:r>
        <w:rPr>
          <w:rFonts w:hint="eastAsia" w:ascii="宋体" w:hAnsi="宋体" w:cs="宋体"/>
          <w:color w:val="auto"/>
          <w:kern w:val="0"/>
          <w:szCs w:val="21"/>
          <w:lang w:val="en-US" w:eastAsia="zh-CN"/>
        </w:rPr>
        <w:t>https://ggzyjy.xinyang.gov.cn/BidOpening</w:t>
      </w:r>
      <w:r>
        <w:rPr>
          <w:rFonts w:hint="eastAsia" w:ascii="宋体" w:hAnsi="宋体" w:cs="宋体"/>
          <w:color w:val="auto"/>
          <w:kern w:val="0"/>
          <w:szCs w:val="21"/>
          <w:lang w:val="en-US" w:eastAsia="zh-CN"/>
        </w:rPr>
        <w:fldChar w:fldCharType="end"/>
      </w:r>
      <w:r>
        <w:rPr>
          <w:rFonts w:hint="eastAsia" w:ascii="宋体" w:hAnsi="宋体" w:cs="宋体"/>
          <w:color w:val="auto"/>
          <w:kern w:val="0"/>
          <w:szCs w:val="21"/>
          <w:lang w:val="en-US" w:eastAsia="zh-CN"/>
        </w:rPr>
        <w:t>供应商无需寄送和递交非加密的电子响应文件，无需到现场参加开标会议，无需到达现场提交原件资料。</w:t>
      </w:r>
    </w:p>
    <w:p w14:paraId="179C0C4D">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2、供应商应当在响应文件提交截止时间前，使用供应商CA数字证书登录不见面开标大厅，在线签到并准时参加开标活动，并在规定时间内完成响应文件解密、答疑澄清等。</w:t>
      </w:r>
    </w:p>
    <w:p w14:paraId="69D364E5">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3、逾期解密或者没有准时在线参加开标活动导致的一切后果供应商自行承担。</w:t>
      </w:r>
    </w:p>
    <w:p w14:paraId="52698599">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4、不见面开标服务的具体事宜，请查阅信阳市公共资源交易中心网站首页—下载中心—信阳市不见面开标大厅系统操作手册。</w:t>
      </w:r>
    </w:p>
    <w:p w14:paraId="13625D0B">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5、特别提示：供应商在线签到时，应如实准确的填写授权委托人的联系电话，开标当天请务必保证电话保持畅通。</w:t>
      </w:r>
    </w:p>
    <w:p w14:paraId="5B38482C">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6、监督单位：罗山县财政局政府采购股      监督电话：0376-2175979</w:t>
      </w:r>
    </w:p>
    <w:p w14:paraId="6B111CD3">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7、本项目实行远程异地评标。</w:t>
      </w:r>
    </w:p>
    <w:p w14:paraId="7AF1C1FE">
      <w:pPr>
        <w:pageBreakBefore w:val="0"/>
        <w:widowControl/>
        <w:kinsoku/>
        <w:overflowPunct/>
        <w:topLinePunct w:val="0"/>
        <w:autoSpaceDE/>
        <w:autoSpaceDN/>
        <w:bidi w:val="0"/>
        <w:spacing w:line="340" w:lineRule="atLeast"/>
        <w:ind w:firstLine="0" w:firstLineChars="0"/>
        <w:textAlignment w:val="auto"/>
        <w:rPr>
          <w:rFonts w:ascii="宋体" w:hAnsi="宋体" w:cs="宋体"/>
          <w:b/>
          <w:bCs/>
          <w:kern w:val="0"/>
          <w:szCs w:val="21"/>
        </w:rPr>
      </w:pPr>
      <w:r>
        <w:rPr>
          <w:rFonts w:hint="eastAsia" w:ascii="宋体" w:hAnsi="宋体" w:cs="宋体"/>
          <w:b/>
          <w:bCs/>
          <w:kern w:val="0"/>
          <w:szCs w:val="21"/>
        </w:rPr>
        <w:t>八、凡对本次招标提出询问，请按照以下方式联系：</w:t>
      </w:r>
    </w:p>
    <w:p w14:paraId="20C22CCA">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1.采购人信息 </w:t>
      </w:r>
    </w:p>
    <w:p w14:paraId="7D7D9D51">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采购人：罗山县农业农村局</w:t>
      </w:r>
    </w:p>
    <w:p w14:paraId="780FD837">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地 址：罗山县行政大道12号</w:t>
      </w:r>
    </w:p>
    <w:p w14:paraId="5F8F791E">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联系人：吴女士</w:t>
      </w:r>
    </w:p>
    <w:p w14:paraId="596A0CE8">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电 话：18638493292</w:t>
      </w:r>
    </w:p>
    <w:p w14:paraId="6E17C512">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2.采购代理机构信息 </w:t>
      </w:r>
    </w:p>
    <w:p w14:paraId="785CDB31">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名 称：中金泰富工程管理有限公司</w:t>
      </w:r>
    </w:p>
    <w:p w14:paraId="2BBA2752">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zh-CN" w:eastAsia="zh-CN"/>
        </w:rPr>
      </w:pPr>
      <w:r>
        <w:rPr>
          <w:rFonts w:hint="eastAsia" w:ascii="宋体" w:hAnsi="宋体" w:cs="宋体"/>
          <w:color w:val="auto"/>
          <w:kern w:val="0"/>
          <w:szCs w:val="21"/>
          <w:lang w:val="en-US" w:eastAsia="zh-CN"/>
        </w:rPr>
        <w:t>地　址：</w:t>
      </w:r>
      <w:r>
        <w:rPr>
          <w:rFonts w:hint="eastAsia" w:ascii="宋体" w:hAnsi="宋体" w:cs="宋体"/>
          <w:color w:val="auto"/>
          <w:kern w:val="0"/>
          <w:szCs w:val="21"/>
          <w:lang w:val="zh-CN" w:eastAsia="zh-CN"/>
        </w:rPr>
        <w:t>郑州市红专路与经七路交叉口向北200米路东中亨大厦7楼712室</w:t>
      </w:r>
    </w:p>
    <w:p w14:paraId="5A15D252">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联系人：许先生</w:t>
      </w:r>
    </w:p>
    <w:p w14:paraId="666222FB">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联系方式：15518597586</w:t>
      </w:r>
    </w:p>
    <w:p w14:paraId="29896B6C">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 xml:space="preserve">3.项目联系方式 </w:t>
      </w:r>
    </w:p>
    <w:p w14:paraId="17E2AEBF">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联系人：许先生</w:t>
      </w:r>
    </w:p>
    <w:p w14:paraId="0D3CC7A8">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联系方式：15518597586</w:t>
      </w:r>
    </w:p>
    <w:p w14:paraId="7228239B">
      <w:pPr>
        <w:pStyle w:val="3"/>
        <w:rPr>
          <w:rFonts w:hint="eastAsia" w:ascii="宋体" w:hAnsi="宋体" w:cs="宋体"/>
          <w:kern w:val="0"/>
          <w:szCs w:val="21"/>
        </w:rPr>
      </w:pPr>
      <w:r>
        <w:rPr>
          <w:rFonts w:hint="eastAsia" w:ascii="宋体" w:hAnsi="宋体" w:cs="宋体"/>
          <w:kern w:val="0"/>
          <w:szCs w:val="21"/>
        </w:rPr>
        <w:t>     </w:t>
      </w:r>
      <w:bookmarkEnd w:id="62"/>
      <w:bookmarkStart w:id="66" w:name="_Toc8890"/>
    </w:p>
    <w:p w14:paraId="11E26EC0">
      <w:pPr>
        <w:pStyle w:val="5"/>
        <w:ind w:left="0" w:leftChars="0" w:firstLine="0" w:firstLineChars="0"/>
        <w:rPr>
          <w:rFonts w:hint="eastAsia"/>
        </w:rPr>
      </w:pPr>
    </w:p>
    <w:p w14:paraId="53A0FE37">
      <w:pPr>
        <w:rPr>
          <w:rFonts w:hint="eastAsia" w:ascii="宋体" w:hAnsi="宋体" w:cs="宋体"/>
          <w:kern w:val="0"/>
          <w:szCs w:val="21"/>
        </w:rPr>
      </w:pPr>
    </w:p>
    <w:p w14:paraId="53DC0F44">
      <w:pPr>
        <w:pStyle w:val="19"/>
        <w:rPr>
          <w:rFonts w:hint="eastAsia" w:ascii="宋体" w:hAnsi="宋体" w:cs="宋体"/>
          <w:kern w:val="0"/>
          <w:szCs w:val="21"/>
        </w:rPr>
      </w:pPr>
    </w:p>
    <w:p w14:paraId="635CA7F7">
      <w:pPr>
        <w:pStyle w:val="48"/>
        <w:rPr>
          <w:rFonts w:hint="eastAsia" w:ascii="宋体" w:hAnsi="宋体" w:cs="宋体"/>
          <w:kern w:val="0"/>
          <w:szCs w:val="21"/>
        </w:rPr>
      </w:pPr>
    </w:p>
    <w:p w14:paraId="6AF28251">
      <w:pPr>
        <w:pStyle w:val="51"/>
        <w:rPr>
          <w:rFonts w:hint="eastAsia" w:ascii="宋体" w:hAnsi="宋体" w:cs="宋体"/>
          <w:kern w:val="0"/>
          <w:szCs w:val="21"/>
        </w:rPr>
      </w:pPr>
    </w:p>
    <w:p w14:paraId="42A71E7A">
      <w:pPr>
        <w:rPr>
          <w:rFonts w:hint="eastAsia" w:ascii="宋体" w:hAnsi="宋体" w:cs="宋体"/>
          <w:kern w:val="0"/>
          <w:szCs w:val="21"/>
        </w:rPr>
      </w:pPr>
    </w:p>
    <w:p w14:paraId="07AC5FEE">
      <w:pPr>
        <w:pStyle w:val="19"/>
        <w:rPr>
          <w:rFonts w:hint="eastAsia" w:ascii="宋体" w:hAnsi="宋体" w:cs="宋体"/>
          <w:kern w:val="0"/>
          <w:szCs w:val="21"/>
        </w:rPr>
      </w:pPr>
    </w:p>
    <w:p w14:paraId="0AD226FE">
      <w:pPr>
        <w:rPr>
          <w:rFonts w:hint="eastAsia"/>
        </w:rPr>
      </w:pPr>
    </w:p>
    <w:p w14:paraId="6C9DE96A">
      <w:pPr>
        <w:pStyle w:val="19"/>
        <w:rPr>
          <w:rFonts w:hint="eastAsia"/>
        </w:rPr>
      </w:pPr>
    </w:p>
    <w:p w14:paraId="60672264">
      <w:pPr>
        <w:rPr>
          <w:rFonts w:hint="eastAsia"/>
        </w:rPr>
      </w:pPr>
    </w:p>
    <w:p w14:paraId="36304CE0">
      <w:pPr>
        <w:pStyle w:val="19"/>
        <w:rPr>
          <w:rFonts w:hint="eastAsia"/>
        </w:rPr>
      </w:pPr>
    </w:p>
    <w:p w14:paraId="10FA4A19">
      <w:pPr>
        <w:rPr>
          <w:rFonts w:hint="eastAsia"/>
        </w:rPr>
      </w:pPr>
    </w:p>
    <w:p w14:paraId="53B51D7F">
      <w:pPr>
        <w:pStyle w:val="19"/>
        <w:rPr>
          <w:rFonts w:hint="eastAsia"/>
        </w:rPr>
      </w:pPr>
    </w:p>
    <w:p w14:paraId="236ACDB7">
      <w:pPr>
        <w:ind w:left="0" w:leftChars="0" w:firstLine="0" w:firstLineChars="0"/>
        <w:jc w:val="center"/>
        <w:rPr>
          <w:rFonts w:ascii="宋体" w:hAnsi="宋体" w:cs="宋体"/>
          <w:b/>
          <w:bCs/>
          <w:sz w:val="32"/>
          <w:szCs w:val="32"/>
        </w:rPr>
      </w:pPr>
      <w:bookmarkStart w:id="67" w:name="_Toc14928"/>
      <w:r>
        <w:rPr>
          <w:rFonts w:hint="eastAsia" w:ascii="宋体" w:hAnsi="宋体" w:cs="宋体"/>
          <w:b/>
          <w:bCs/>
          <w:sz w:val="32"/>
          <w:szCs w:val="32"/>
        </w:rPr>
        <w:t>第二章 供应商须知</w:t>
      </w:r>
      <w:bookmarkEnd w:id="63"/>
      <w:bookmarkEnd w:id="64"/>
      <w:bookmarkEnd w:id="65"/>
      <w:bookmarkEnd w:id="66"/>
      <w:bookmarkEnd w:id="67"/>
    </w:p>
    <w:p w14:paraId="6A001480">
      <w:pPr>
        <w:pStyle w:val="73"/>
        <w:ind w:firstLine="0" w:firstLineChars="0"/>
        <w:jc w:val="center"/>
        <w:rPr>
          <w:rFonts w:ascii="宋体" w:hAnsi="宋体" w:eastAsia="宋体"/>
          <w:b/>
          <w:bCs/>
        </w:rPr>
      </w:pPr>
      <w:bookmarkStart w:id="68" w:name="_Toc152045528"/>
      <w:bookmarkStart w:id="69" w:name="_Toc152042304"/>
      <w:bookmarkStart w:id="70" w:name="_Toc471"/>
      <w:bookmarkStart w:id="71" w:name="_Toc22294"/>
      <w:bookmarkStart w:id="72" w:name="_Toc466298090"/>
      <w:bookmarkStart w:id="73" w:name="_Toc455080107"/>
      <w:bookmarkStart w:id="74" w:name="_Toc144974496"/>
      <w:bookmarkStart w:id="75" w:name="_Toc27072"/>
      <w:r>
        <w:rPr>
          <w:rFonts w:hint="eastAsia" w:ascii="宋体" w:hAnsi="宋体" w:eastAsia="宋体"/>
          <w:b/>
          <w:bCs/>
        </w:rPr>
        <w:t>供应商须知前附表</w:t>
      </w:r>
      <w:bookmarkEnd w:id="68"/>
      <w:bookmarkEnd w:id="69"/>
      <w:bookmarkEnd w:id="70"/>
      <w:bookmarkEnd w:id="71"/>
      <w:bookmarkEnd w:id="72"/>
      <w:bookmarkEnd w:id="73"/>
      <w:bookmarkEnd w:id="74"/>
      <w:bookmarkEnd w:id="75"/>
    </w:p>
    <w:tbl>
      <w:tblPr>
        <w:tblStyle w:val="34"/>
        <w:tblW w:w="8899" w:type="dxa"/>
        <w:tblInd w:w="108" w:type="dxa"/>
        <w:tblLayout w:type="fixed"/>
        <w:tblCellMar>
          <w:top w:w="0" w:type="dxa"/>
          <w:left w:w="108" w:type="dxa"/>
          <w:bottom w:w="0" w:type="dxa"/>
          <w:right w:w="108" w:type="dxa"/>
        </w:tblCellMar>
      </w:tblPr>
      <w:tblGrid>
        <w:gridCol w:w="1085"/>
        <w:gridCol w:w="1933"/>
        <w:gridCol w:w="5881"/>
      </w:tblGrid>
      <w:tr w14:paraId="55F48AA0">
        <w:tblPrEx>
          <w:tblCellMar>
            <w:top w:w="0" w:type="dxa"/>
            <w:left w:w="108" w:type="dxa"/>
            <w:bottom w:w="0" w:type="dxa"/>
            <w:right w:w="108" w:type="dxa"/>
          </w:tblCellMar>
        </w:tblPrEx>
        <w:trPr>
          <w:trHeight w:val="496"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DF92F85">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条款号</w:t>
            </w:r>
          </w:p>
        </w:tc>
        <w:tc>
          <w:tcPr>
            <w:tcW w:w="1933" w:type="dxa"/>
            <w:tcBorders>
              <w:top w:val="single" w:color="auto" w:sz="4" w:space="0"/>
              <w:left w:val="single" w:color="auto" w:sz="4" w:space="0"/>
              <w:bottom w:val="single" w:color="auto" w:sz="4" w:space="0"/>
              <w:right w:val="single" w:color="auto" w:sz="4" w:space="0"/>
            </w:tcBorders>
            <w:noWrap/>
            <w:vAlign w:val="center"/>
          </w:tcPr>
          <w:p w14:paraId="0A768B86">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条款名称</w:t>
            </w:r>
          </w:p>
        </w:tc>
        <w:tc>
          <w:tcPr>
            <w:tcW w:w="5881" w:type="dxa"/>
            <w:tcBorders>
              <w:top w:val="single" w:color="auto" w:sz="4" w:space="0"/>
              <w:left w:val="single" w:color="auto" w:sz="4" w:space="0"/>
              <w:bottom w:val="single" w:color="auto" w:sz="4" w:space="0"/>
              <w:right w:val="single" w:color="auto" w:sz="4" w:space="0"/>
            </w:tcBorders>
            <w:noWrap/>
            <w:vAlign w:val="center"/>
          </w:tcPr>
          <w:p w14:paraId="6861EBCE">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编  列  内  容</w:t>
            </w:r>
          </w:p>
        </w:tc>
      </w:tr>
      <w:tr w14:paraId="2C047A7A">
        <w:tblPrEx>
          <w:tblCellMar>
            <w:top w:w="0" w:type="dxa"/>
            <w:left w:w="108" w:type="dxa"/>
            <w:bottom w:w="0" w:type="dxa"/>
            <w:right w:w="108" w:type="dxa"/>
          </w:tblCellMar>
        </w:tblPrEx>
        <w:trPr>
          <w:trHeight w:val="1420"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7E1F00A">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.1</w:t>
            </w:r>
          </w:p>
        </w:tc>
        <w:tc>
          <w:tcPr>
            <w:tcW w:w="1933" w:type="dxa"/>
            <w:tcBorders>
              <w:top w:val="single" w:color="auto" w:sz="4" w:space="0"/>
              <w:left w:val="single" w:color="auto" w:sz="4" w:space="0"/>
              <w:bottom w:val="single" w:color="auto" w:sz="4" w:space="0"/>
              <w:right w:val="single" w:color="auto" w:sz="4" w:space="0"/>
            </w:tcBorders>
            <w:noWrap/>
            <w:vAlign w:val="center"/>
          </w:tcPr>
          <w:p w14:paraId="64D92B13">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采购人</w:t>
            </w:r>
          </w:p>
        </w:tc>
        <w:tc>
          <w:tcPr>
            <w:tcW w:w="5881" w:type="dxa"/>
            <w:tcBorders>
              <w:top w:val="single" w:color="auto" w:sz="4" w:space="0"/>
              <w:left w:val="single" w:color="auto" w:sz="4" w:space="0"/>
              <w:bottom w:val="single" w:color="auto" w:sz="4" w:space="0"/>
              <w:right w:val="single" w:color="auto" w:sz="4" w:space="0"/>
            </w:tcBorders>
            <w:noWrap/>
            <w:vAlign w:val="center"/>
          </w:tcPr>
          <w:p w14:paraId="386FC9C7">
            <w:pPr>
              <w:adjustRightInd w:val="0"/>
              <w:spacing w:line="400" w:lineRule="exact"/>
              <w:ind w:firstLine="0" w:firstLineChars="0"/>
              <w:jc w:val="both"/>
              <w:textAlignment w:val="baseline"/>
              <w:rPr>
                <w:rFonts w:hint="eastAsia" w:ascii="宋体" w:hAnsi="宋体" w:cs="宋体"/>
                <w:szCs w:val="21"/>
                <w:lang w:val="en-US" w:eastAsia="zh-CN"/>
              </w:rPr>
            </w:pPr>
            <w:r>
              <w:rPr>
                <w:rFonts w:hint="eastAsia" w:ascii="宋体" w:hAnsi="宋体" w:cs="宋体"/>
                <w:szCs w:val="21"/>
                <w:lang w:val="en-US" w:eastAsia="zh-CN"/>
              </w:rPr>
              <w:t>采购人：罗山县农业农村局</w:t>
            </w:r>
          </w:p>
          <w:p w14:paraId="674D3634">
            <w:pPr>
              <w:adjustRightInd w:val="0"/>
              <w:spacing w:line="400" w:lineRule="exact"/>
              <w:ind w:firstLine="0" w:firstLineChars="0"/>
              <w:jc w:val="both"/>
              <w:textAlignment w:val="baseline"/>
              <w:rPr>
                <w:rFonts w:hint="eastAsia" w:ascii="宋体" w:hAnsi="宋体" w:cs="宋体"/>
                <w:szCs w:val="21"/>
                <w:lang w:val="en-US" w:eastAsia="zh-CN"/>
              </w:rPr>
            </w:pPr>
            <w:r>
              <w:rPr>
                <w:rFonts w:hint="eastAsia" w:ascii="宋体" w:hAnsi="宋体" w:cs="宋体"/>
                <w:szCs w:val="21"/>
                <w:lang w:val="en-US" w:eastAsia="zh-CN"/>
              </w:rPr>
              <w:t>地 址：罗山县行政大道12号</w:t>
            </w:r>
          </w:p>
          <w:p w14:paraId="2A9FCBE9">
            <w:pPr>
              <w:adjustRightInd w:val="0"/>
              <w:spacing w:line="400" w:lineRule="exact"/>
              <w:ind w:firstLine="0" w:firstLineChars="0"/>
              <w:jc w:val="both"/>
              <w:textAlignment w:val="baseline"/>
              <w:rPr>
                <w:rFonts w:hint="eastAsia" w:ascii="宋体" w:hAnsi="宋体" w:cs="宋体"/>
                <w:szCs w:val="21"/>
                <w:lang w:val="en-US" w:eastAsia="zh-CN"/>
              </w:rPr>
            </w:pPr>
            <w:r>
              <w:rPr>
                <w:rFonts w:hint="eastAsia" w:ascii="宋体" w:hAnsi="宋体" w:cs="宋体"/>
                <w:szCs w:val="21"/>
                <w:lang w:val="en-US" w:eastAsia="zh-CN"/>
              </w:rPr>
              <w:t>联系人：吴女士</w:t>
            </w:r>
          </w:p>
          <w:p w14:paraId="45CDB626">
            <w:pPr>
              <w:adjustRightInd w:val="0"/>
              <w:spacing w:line="400" w:lineRule="exact"/>
              <w:ind w:firstLine="0" w:firstLineChars="0"/>
              <w:jc w:val="both"/>
              <w:textAlignment w:val="baseline"/>
              <w:rPr>
                <w:rFonts w:hint="default" w:ascii="宋体" w:hAnsi="宋体" w:eastAsia="宋体" w:cs="宋体"/>
                <w:szCs w:val="21"/>
                <w:lang w:val="en-US" w:eastAsia="zh-CN"/>
              </w:rPr>
            </w:pPr>
            <w:r>
              <w:rPr>
                <w:rFonts w:hint="eastAsia" w:ascii="宋体" w:hAnsi="宋体" w:cs="宋体"/>
                <w:szCs w:val="21"/>
                <w:lang w:val="en-US" w:eastAsia="zh-CN"/>
              </w:rPr>
              <w:t>电 话：18638493292</w:t>
            </w:r>
          </w:p>
        </w:tc>
      </w:tr>
      <w:tr w14:paraId="6A5DC20E">
        <w:tblPrEx>
          <w:tblCellMar>
            <w:top w:w="0" w:type="dxa"/>
            <w:left w:w="108" w:type="dxa"/>
            <w:bottom w:w="0" w:type="dxa"/>
            <w:right w:w="108" w:type="dxa"/>
          </w:tblCellMar>
        </w:tblPrEx>
        <w:trPr>
          <w:trHeight w:val="1502"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296630E">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.2</w:t>
            </w:r>
          </w:p>
        </w:tc>
        <w:tc>
          <w:tcPr>
            <w:tcW w:w="1933" w:type="dxa"/>
            <w:tcBorders>
              <w:top w:val="single" w:color="auto" w:sz="4" w:space="0"/>
              <w:left w:val="single" w:color="auto" w:sz="4" w:space="0"/>
              <w:bottom w:val="single" w:color="auto" w:sz="4" w:space="0"/>
              <w:right w:val="single" w:color="auto" w:sz="4" w:space="0"/>
            </w:tcBorders>
            <w:noWrap/>
            <w:vAlign w:val="center"/>
          </w:tcPr>
          <w:p w14:paraId="5DB7A73D">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采购代理机构</w:t>
            </w:r>
          </w:p>
        </w:tc>
        <w:tc>
          <w:tcPr>
            <w:tcW w:w="5881" w:type="dxa"/>
            <w:tcBorders>
              <w:top w:val="single" w:color="auto" w:sz="4" w:space="0"/>
              <w:left w:val="single" w:color="auto" w:sz="4" w:space="0"/>
              <w:bottom w:val="single" w:color="auto" w:sz="4" w:space="0"/>
              <w:right w:val="single" w:color="auto" w:sz="4" w:space="0"/>
            </w:tcBorders>
            <w:noWrap/>
            <w:vAlign w:val="center"/>
          </w:tcPr>
          <w:p w14:paraId="6F20D629">
            <w:pPr>
              <w:adjustRightInd w:val="0"/>
              <w:spacing w:line="400" w:lineRule="exact"/>
              <w:ind w:firstLine="0" w:firstLineChars="0"/>
              <w:jc w:val="both"/>
              <w:textAlignment w:val="baseline"/>
              <w:rPr>
                <w:rFonts w:hint="eastAsia" w:ascii="宋体" w:hAnsi="宋体" w:cs="宋体"/>
                <w:szCs w:val="21"/>
                <w:lang w:val="en-US" w:eastAsia="zh-CN"/>
              </w:rPr>
            </w:pPr>
            <w:r>
              <w:rPr>
                <w:rFonts w:hint="eastAsia" w:ascii="宋体" w:hAnsi="宋体" w:cs="宋体"/>
                <w:szCs w:val="21"/>
                <w:lang w:val="en-US" w:eastAsia="zh-CN"/>
              </w:rPr>
              <w:t>名 称：中金泰富工程管理有限公司</w:t>
            </w:r>
          </w:p>
          <w:p w14:paraId="6999DBE1">
            <w:pPr>
              <w:adjustRightInd w:val="0"/>
              <w:spacing w:line="400" w:lineRule="exact"/>
              <w:ind w:firstLine="0" w:firstLineChars="0"/>
              <w:jc w:val="both"/>
              <w:textAlignment w:val="baseline"/>
              <w:rPr>
                <w:rFonts w:hint="eastAsia" w:ascii="宋体" w:hAnsi="宋体" w:cs="宋体"/>
                <w:szCs w:val="21"/>
                <w:lang w:val="zh-CN" w:eastAsia="zh-CN"/>
              </w:rPr>
            </w:pPr>
            <w:r>
              <w:rPr>
                <w:rFonts w:hint="eastAsia" w:ascii="宋体" w:hAnsi="宋体" w:cs="宋体"/>
                <w:szCs w:val="21"/>
                <w:lang w:val="en-US" w:eastAsia="zh-CN"/>
              </w:rPr>
              <w:t>地　址：</w:t>
            </w:r>
            <w:r>
              <w:rPr>
                <w:rFonts w:hint="eastAsia" w:ascii="宋体" w:hAnsi="宋体" w:cs="宋体"/>
                <w:szCs w:val="21"/>
                <w:lang w:val="zh-CN" w:eastAsia="zh-CN"/>
              </w:rPr>
              <w:t>郑州市红专路与经七路交叉口向北200米路东中亨大厦7楼712室</w:t>
            </w:r>
          </w:p>
          <w:p w14:paraId="36001CEA">
            <w:pPr>
              <w:adjustRightInd w:val="0"/>
              <w:spacing w:line="400" w:lineRule="exact"/>
              <w:ind w:firstLine="0" w:firstLineChars="0"/>
              <w:jc w:val="both"/>
              <w:textAlignment w:val="baseline"/>
              <w:rPr>
                <w:rFonts w:hint="eastAsia" w:ascii="宋体" w:hAnsi="宋体" w:cs="宋体"/>
                <w:szCs w:val="21"/>
                <w:lang w:val="en-US" w:eastAsia="zh-CN"/>
              </w:rPr>
            </w:pPr>
            <w:r>
              <w:rPr>
                <w:rFonts w:hint="eastAsia" w:ascii="宋体" w:hAnsi="宋体" w:cs="宋体"/>
                <w:szCs w:val="21"/>
                <w:lang w:val="en-US" w:eastAsia="zh-CN"/>
              </w:rPr>
              <w:t>联系人：许先生</w:t>
            </w:r>
          </w:p>
          <w:p w14:paraId="5EBE3F88">
            <w:pPr>
              <w:adjustRightInd w:val="0"/>
              <w:spacing w:line="400" w:lineRule="exact"/>
              <w:ind w:firstLine="0" w:firstLineChars="0"/>
              <w:jc w:val="both"/>
              <w:textAlignment w:val="baseline"/>
              <w:rPr>
                <w:rFonts w:ascii="宋体" w:hAnsi="宋体" w:eastAsia="宋体" w:cs="宋体"/>
                <w:szCs w:val="21"/>
              </w:rPr>
            </w:pPr>
            <w:r>
              <w:rPr>
                <w:rFonts w:hint="eastAsia" w:ascii="宋体" w:hAnsi="宋体" w:cs="宋体"/>
                <w:szCs w:val="21"/>
                <w:lang w:val="en-US" w:eastAsia="zh-CN"/>
              </w:rPr>
              <w:t>联系方式：15518597586</w:t>
            </w:r>
          </w:p>
        </w:tc>
      </w:tr>
      <w:tr w14:paraId="32CEF99D">
        <w:tblPrEx>
          <w:tblCellMar>
            <w:top w:w="0" w:type="dxa"/>
            <w:left w:w="108" w:type="dxa"/>
            <w:bottom w:w="0" w:type="dxa"/>
            <w:right w:w="108" w:type="dxa"/>
          </w:tblCellMar>
        </w:tblPrEx>
        <w:trPr>
          <w:trHeight w:val="904"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64096A3B">
            <w:pPr>
              <w:adjustRightInd w:val="0"/>
              <w:spacing w:line="400" w:lineRule="exact"/>
              <w:ind w:firstLine="0" w:firstLineChars="0"/>
              <w:jc w:val="center"/>
              <w:textAlignment w:val="baseline"/>
              <w:rPr>
                <w:rFonts w:hint="default" w:ascii="宋体" w:hAnsi="宋体" w:cs="宋体" w:eastAsiaTheme="minorEastAsia"/>
                <w:szCs w:val="21"/>
                <w:lang w:val="en-US" w:eastAsia="zh-CN"/>
              </w:rPr>
            </w:pPr>
            <w:r>
              <w:rPr>
                <w:rFonts w:hint="eastAsia" w:ascii="宋体" w:hAnsi="宋体" w:cs="宋体"/>
                <w:szCs w:val="21"/>
                <w:lang w:val="en-US" w:eastAsia="zh-CN"/>
              </w:rPr>
              <w:t>1.1.3</w:t>
            </w:r>
          </w:p>
        </w:tc>
        <w:tc>
          <w:tcPr>
            <w:tcW w:w="1933" w:type="dxa"/>
            <w:tcBorders>
              <w:top w:val="single" w:color="auto" w:sz="4" w:space="0"/>
              <w:left w:val="single" w:color="auto" w:sz="4" w:space="0"/>
              <w:bottom w:val="single" w:color="auto" w:sz="4" w:space="0"/>
              <w:right w:val="single" w:color="auto" w:sz="4" w:space="0"/>
            </w:tcBorders>
            <w:noWrap/>
            <w:vAlign w:val="center"/>
          </w:tcPr>
          <w:p w14:paraId="4B92F895">
            <w:pPr>
              <w:spacing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监督部门信息</w:t>
            </w:r>
          </w:p>
        </w:tc>
        <w:tc>
          <w:tcPr>
            <w:tcW w:w="5881" w:type="dxa"/>
            <w:tcBorders>
              <w:top w:val="single" w:color="auto" w:sz="4" w:space="0"/>
              <w:left w:val="single" w:color="auto" w:sz="4" w:space="0"/>
              <w:bottom w:val="single" w:color="auto" w:sz="4" w:space="0"/>
              <w:right w:val="single" w:color="auto" w:sz="4" w:space="0"/>
            </w:tcBorders>
            <w:noWrap/>
            <w:vAlign w:val="center"/>
          </w:tcPr>
          <w:p w14:paraId="25EEE676">
            <w:pPr>
              <w:adjustRightInd w:val="0"/>
              <w:spacing w:line="400" w:lineRule="exact"/>
              <w:ind w:firstLine="0" w:firstLineChars="0"/>
              <w:jc w:val="both"/>
              <w:textAlignment w:val="baseline"/>
              <w:rPr>
                <w:rFonts w:hint="eastAsia" w:ascii="宋体" w:hAnsi="宋体" w:cs="宋体"/>
                <w:szCs w:val="21"/>
                <w:lang w:val="zh-CN" w:eastAsia="zh-CN"/>
              </w:rPr>
            </w:pPr>
            <w:r>
              <w:rPr>
                <w:rFonts w:hint="eastAsia" w:ascii="宋体" w:hAnsi="宋体" w:cs="宋体"/>
                <w:szCs w:val="21"/>
                <w:lang w:val="zh-CN" w:eastAsia="zh-CN"/>
              </w:rPr>
              <w:t>监督单位：罗山县财政局政府采购股</w:t>
            </w:r>
          </w:p>
          <w:p w14:paraId="236EFDBB">
            <w:pPr>
              <w:adjustRightInd w:val="0"/>
              <w:spacing w:line="400" w:lineRule="exact"/>
              <w:ind w:firstLine="0" w:firstLineChars="0"/>
              <w:jc w:val="both"/>
              <w:textAlignment w:val="baseline"/>
              <w:rPr>
                <w:rFonts w:hint="eastAsia" w:ascii="宋体" w:hAnsi="宋体" w:cs="宋体"/>
                <w:szCs w:val="21"/>
                <w:lang w:val="zh-CN" w:eastAsia="zh-CN"/>
              </w:rPr>
            </w:pPr>
            <w:r>
              <w:rPr>
                <w:rFonts w:hint="eastAsia" w:ascii="宋体" w:hAnsi="宋体" w:cs="宋体"/>
                <w:szCs w:val="21"/>
                <w:lang w:val="zh-CN" w:eastAsia="zh-CN"/>
              </w:rPr>
              <w:t>监督电话：0376-2175979</w:t>
            </w:r>
          </w:p>
          <w:p w14:paraId="5DA8EA49">
            <w:pPr>
              <w:adjustRightInd w:val="0"/>
              <w:spacing w:line="400" w:lineRule="exact"/>
              <w:ind w:firstLine="0" w:firstLineChars="0"/>
              <w:jc w:val="both"/>
              <w:textAlignment w:val="baseline"/>
              <w:rPr>
                <w:rFonts w:hint="eastAsia" w:ascii="宋体" w:hAnsi="宋体" w:cs="宋体"/>
                <w:szCs w:val="21"/>
                <w:lang w:val="zh-CN" w:eastAsia="zh-CN"/>
              </w:rPr>
            </w:pPr>
            <w:r>
              <w:rPr>
                <w:rFonts w:hint="eastAsia" w:ascii="宋体" w:hAnsi="宋体" w:cs="宋体"/>
                <w:szCs w:val="21"/>
                <w:lang w:val="zh-CN" w:eastAsia="zh-CN"/>
              </w:rPr>
              <w:t>监督单位：罗山县纪委监察委第十四派驻纪检监察组</w:t>
            </w:r>
          </w:p>
          <w:p w14:paraId="7D9C6D1B">
            <w:pPr>
              <w:adjustRightInd w:val="0"/>
              <w:spacing w:line="400" w:lineRule="exact"/>
              <w:ind w:firstLine="0" w:firstLineChars="0"/>
              <w:jc w:val="both"/>
              <w:textAlignment w:val="baseline"/>
              <w:rPr>
                <w:rFonts w:hint="eastAsia" w:ascii="宋体" w:hAnsi="宋体" w:eastAsia="宋体" w:cs="宋体"/>
                <w:szCs w:val="21"/>
                <w:lang w:val="en-US" w:eastAsia="zh-CN"/>
              </w:rPr>
            </w:pPr>
            <w:r>
              <w:rPr>
                <w:rFonts w:hint="eastAsia" w:ascii="宋体" w:hAnsi="宋体" w:cs="宋体"/>
                <w:szCs w:val="21"/>
                <w:lang w:val="zh-CN" w:eastAsia="zh-CN"/>
              </w:rPr>
              <w:t>监督电话：0376-2200812</w:t>
            </w:r>
          </w:p>
        </w:tc>
      </w:tr>
      <w:tr w14:paraId="4898F2BE">
        <w:tblPrEx>
          <w:tblCellMar>
            <w:top w:w="0" w:type="dxa"/>
            <w:left w:w="108" w:type="dxa"/>
            <w:bottom w:w="0" w:type="dxa"/>
            <w:right w:w="108" w:type="dxa"/>
          </w:tblCellMar>
        </w:tblPrEx>
        <w:trPr>
          <w:trHeight w:val="512"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C0BE9D6">
            <w:pPr>
              <w:adjustRightInd w:val="0"/>
              <w:spacing w:line="400" w:lineRule="exact"/>
              <w:ind w:firstLine="0" w:firstLineChars="0"/>
              <w:jc w:val="center"/>
              <w:textAlignment w:val="baseline"/>
              <w:rPr>
                <w:rFonts w:hint="eastAsia" w:ascii="宋体" w:hAnsi="宋体" w:cs="宋体" w:eastAsiaTheme="minorEastAsia"/>
                <w:szCs w:val="21"/>
                <w:lang w:eastAsia="zh-CN"/>
              </w:rPr>
            </w:pPr>
            <w:r>
              <w:rPr>
                <w:rFonts w:hint="eastAsia" w:ascii="宋体" w:hAnsi="宋体" w:cs="宋体"/>
                <w:szCs w:val="21"/>
              </w:rPr>
              <w:t>1.2.</w:t>
            </w:r>
            <w:r>
              <w:rPr>
                <w:rFonts w:hint="eastAsia" w:ascii="宋体" w:hAnsi="宋体" w:cs="宋体"/>
                <w:szCs w:val="21"/>
                <w:lang w:val="en-US" w:eastAsia="zh-CN"/>
              </w:rPr>
              <w:t>1</w:t>
            </w:r>
          </w:p>
        </w:tc>
        <w:tc>
          <w:tcPr>
            <w:tcW w:w="1933" w:type="dxa"/>
            <w:tcBorders>
              <w:top w:val="single" w:color="auto" w:sz="4" w:space="0"/>
              <w:left w:val="single" w:color="auto" w:sz="4" w:space="0"/>
              <w:bottom w:val="single" w:color="auto" w:sz="4" w:space="0"/>
              <w:right w:val="single" w:color="auto" w:sz="4" w:space="0"/>
            </w:tcBorders>
            <w:noWrap/>
            <w:vAlign w:val="center"/>
          </w:tcPr>
          <w:p w14:paraId="1B56B9BF">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项目名称</w:t>
            </w:r>
          </w:p>
        </w:tc>
        <w:tc>
          <w:tcPr>
            <w:tcW w:w="5881" w:type="dxa"/>
            <w:tcBorders>
              <w:top w:val="single" w:color="auto" w:sz="4" w:space="0"/>
              <w:left w:val="single" w:color="auto" w:sz="4" w:space="0"/>
              <w:bottom w:val="single" w:color="auto" w:sz="4" w:space="0"/>
              <w:right w:val="single" w:color="auto" w:sz="4" w:space="0"/>
            </w:tcBorders>
            <w:noWrap/>
            <w:vAlign w:val="center"/>
          </w:tcPr>
          <w:p w14:paraId="44FA3096">
            <w:pPr>
              <w:spacing w:line="400" w:lineRule="exact"/>
              <w:ind w:firstLine="0" w:firstLineChars="0"/>
              <w:rPr>
                <w:rFonts w:hint="eastAsia" w:ascii="宋体" w:hAnsi="宋体" w:eastAsia="宋体" w:cs="宋体"/>
                <w:szCs w:val="21"/>
                <w:lang w:eastAsia="zh-CN"/>
              </w:rPr>
            </w:pPr>
            <w:r>
              <w:rPr>
                <w:rFonts w:hint="eastAsia" w:ascii="宋体" w:hAnsi="宋体" w:eastAsia="宋体" w:cs="宋体"/>
                <w:szCs w:val="21"/>
                <w:lang w:eastAsia="zh-CN"/>
              </w:rPr>
              <w:t>罗山县农业农村局2026年高素质农民培育项目</w:t>
            </w:r>
          </w:p>
        </w:tc>
      </w:tr>
      <w:tr w14:paraId="0AA462DE">
        <w:tblPrEx>
          <w:tblCellMar>
            <w:top w:w="0" w:type="dxa"/>
            <w:left w:w="108" w:type="dxa"/>
            <w:bottom w:w="0" w:type="dxa"/>
            <w:right w:w="108" w:type="dxa"/>
          </w:tblCellMar>
        </w:tblPrEx>
        <w:trPr>
          <w:trHeight w:val="525"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60C6B730">
            <w:pPr>
              <w:adjustRightInd w:val="0"/>
              <w:spacing w:line="400" w:lineRule="exact"/>
              <w:ind w:firstLine="0" w:firstLineChars="0"/>
              <w:jc w:val="center"/>
              <w:textAlignment w:val="baseline"/>
              <w:rPr>
                <w:rFonts w:hint="eastAsia" w:ascii="宋体" w:hAnsi="宋体" w:cs="宋体" w:eastAsiaTheme="minorEastAsia"/>
                <w:szCs w:val="21"/>
                <w:lang w:eastAsia="zh-CN"/>
              </w:rPr>
            </w:pPr>
            <w:r>
              <w:rPr>
                <w:rFonts w:hint="eastAsia" w:ascii="宋体" w:hAnsi="宋体" w:cs="宋体"/>
                <w:szCs w:val="21"/>
              </w:rPr>
              <w:t>1.2.</w:t>
            </w:r>
            <w:r>
              <w:rPr>
                <w:rFonts w:hint="eastAsia" w:ascii="宋体" w:hAnsi="宋体" w:cs="宋体"/>
                <w:szCs w:val="21"/>
                <w:lang w:val="en-US" w:eastAsia="zh-CN"/>
              </w:rPr>
              <w:t>2</w:t>
            </w:r>
          </w:p>
        </w:tc>
        <w:tc>
          <w:tcPr>
            <w:tcW w:w="1933" w:type="dxa"/>
            <w:tcBorders>
              <w:top w:val="single" w:color="auto" w:sz="4" w:space="0"/>
              <w:left w:val="single" w:color="auto" w:sz="4" w:space="0"/>
              <w:bottom w:val="single" w:color="auto" w:sz="4" w:space="0"/>
              <w:right w:val="single" w:color="auto" w:sz="4" w:space="0"/>
            </w:tcBorders>
            <w:noWrap/>
            <w:vAlign w:val="center"/>
          </w:tcPr>
          <w:p w14:paraId="47861C75">
            <w:pPr>
              <w:autoSpaceDE w:val="0"/>
              <w:autoSpaceDN w:val="0"/>
              <w:adjustRightInd w:val="0"/>
              <w:spacing w:line="400" w:lineRule="exact"/>
              <w:ind w:right="35" w:firstLine="0" w:firstLineChars="0"/>
              <w:jc w:val="center"/>
              <w:rPr>
                <w:rFonts w:ascii="宋体" w:hAnsi="宋体" w:eastAsia="宋体" w:cs="宋体"/>
                <w:spacing w:val="1"/>
                <w:kern w:val="0"/>
                <w:szCs w:val="21"/>
              </w:rPr>
            </w:pPr>
            <w:r>
              <w:rPr>
                <w:rFonts w:hint="eastAsia" w:ascii="宋体" w:hAnsi="宋体" w:eastAsia="宋体" w:cs="宋体"/>
                <w:spacing w:val="1"/>
                <w:kern w:val="0"/>
                <w:szCs w:val="21"/>
              </w:rPr>
              <w:t>采购方式</w:t>
            </w:r>
          </w:p>
        </w:tc>
        <w:tc>
          <w:tcPr>
            <w:tcW w:w="5881" w:type="dxa"/>
            <w:tcBorders>
              <w:top w:val="single" w:color="auto" w:sz="4" w:space="0"/>
              <w:left w:val="single" w:color="auto" w:sz="4" w:space="0"/>
              <w:bottom w:val="single" w:color="auto" w:sz="4" w:space="0"/>
              <w:right w:val="single" w:color="auto" w:sz="4" w:space="0"/>
            </w:tcBorders>
            <w:noWrap/>
            <w:vAlign w:val="center"/>
          </w:tcPr>
          <w:p w14:paraId="1C643BFA">
            <w:pPr>
              <w:autoSpaceDE w:val="0"/>
              <w:autoSpaceDN w:val="0"/>
              <w:adjustRightInd w:val="0"/>
              <w:spacing w:line="400" w:lineRule="exact"/>
              <w:ind w:firstLine="0" w:firstLineChars="0"/>
              <w:jc w:val="left"/>
              <w:rPr>
                <w:rFonts w:ascii="宋体" w:hAnsi="宋体" w:eastAsia="宋体" w:cs="宋体"/>
                <w:spacing w:val="1"/>
                <w:kern w:val="0"/>
                <w:szCs w:val="21"/>
              </w:rPr>
            </w:pPr>
            <w:r>
              <w:rPr>
                <w:rFonts w:hint="eastAsia" w:ascii="宋体" w:hAnsi="宋体" w:eastAsia="宋体" w:cs="宋体"/>
                <w:spacing w:val="1"/>
                <w:kern w:val="0"/>
                <w:szCs w:val="21"/>
              </w:rPr>
              <w:t>竞争性磋商</w:t>
            </w:r>
          </w:p>
        </w:tc>
      </w:tr>
      <w:tr w14:paraId="1A3370C2">
        <w:tblPrEx>
          <w:tblCellMar>
            <w:top w:w="0" w:type="dxa"/>
            <w:left w:w="108" w:type="dxa"/>
            <w:bottom w:w="0" w:type="dxa"/>
            <w:right w:w="108" w:type="dxa"/>
          </w:tblCellMar>
        </w:tblPrEx>
        <w:trPr>
          <w:trHeight w:val="824"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4A94AD6">
            <w:pPr>
              <w:adjustRightInd w:val="0"/>
              <w:spacing w:line="400" w:lineRule="exact"/>
              <w:ind w:firstLine="0" w:firstLineChars="0"/>
              <w:jc w:val="center"/>
              <w:textAlignment w:val="baseline"/>
              <w:rPr>
                <w:rFonts w:hint="eastAsia" w:ascii="宋体" w:hAnsi="宋体" w:cs="宋体" w:eastAsiaTheme="minorEastAsia"/>
                <w:szCs w:val="21"/>
                <w:lang w:eastAsia="zh-CN"/>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w:t>
            </w:r>
          </w:p>
        </w:tc>
        <w:tc>
          <w:tcPr>
            <w:tcW w:w="1933" w:type="dxa"/>
            <w:tcBorders>
              <w:top w:val="single" w:color="auto" w:sz="4" w:space="0"/>
              <w:left w:val="single" w:color="auto" w:sz="4" w:space="0"/>
              <w:bottom w:val="single" w:color="auto" w:sz="4" w:space="0"/>
              <w:right w:val="single" w:color="auto" w:sz="4" w:space="0"/>
            </w:tcBorders>
            <w:noWrap/>
            <w:vAlign w:val="center"/>
          </w:tcPr>
          <w:p w14:paraId="49368BF5">
            <w:pPr>
              <w:autoSpaceDE w:val="0"/>
              <w:autoSpaceDN w:val="0"/>
              <w:adjustRightInd w:val="0"/>
              <w:spacing w:line="40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预算价（</w:t>
            </w:r>
            <w:r>
              <w:rPr>
                <w:rFonts w:hint="eastAsia" w:ascii="宋体" w:hAnsi="宋体" w:eastAsia="宋体" w:cs="宋体"/>
                <w:szCs w:val="21"/>
              </w:rPr>
              <w:t>最高限价</w:t>
            </w:r>
            <w:r>
              <w:rPr>
                <w:rFonts w:hint="eastAsia" w:ascii="宋体" w:hAnsi="宋体" w:eastAsia="宋体" w:cs="宋体"/>
                <w:kern w:val="0"/>
                <w:szCs w:val="21"/>
              </w:rPr>
              <w:t>）</w:t>
            </w:r>
          </w:p>
        </w:tc>
        <w:tc>
          <w:tcPr>
            <w:tcW w:w="5881" w:type="dxa"/>
            <w:tcBorders>
              <w:top w:val="single" w:color="auto" w:sz="4" w:space="0"/>
              <w:left w:val="single" w:color="auto" w:sz="4" w:space="0"/>
              <w:bottom w:val="single" w:color="auto" w:sz="4" w:space="0"/>
              <w:right w:val="single" w:color="auto" w:sz="4" w:space="0"/>
            </w:tcBorders>
            <w:noWrap/>
            <w:vAlign w:val="center"/>
          </w:tcPr>
          <w:p w14:paraId="32F7F1B0">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预算总价（最高限价）：</w:t>
            </w:r>
          </w:p>
          <w:p w14:paraId="2F4E59BB">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1包258000.00元；</w:t>
            </w:r>
          </w:p>
          <w:p w14:paraId="535C594F">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2包258000.00元；</w:t>
            </w:r>
          </w:p>
          <w:p w14:paraId="1FF7291E">
            <w:pPr>
              <w:spacing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3包258000.00元；</w:t>
            </w:r>
          </w:p>
          <w:p w14:paraId="662961A9">
            <w:pPr>
              <w:spacing w:line="400" w:lineRule="exact"/>
              <w:ind w:firstLine="0" w:firstLineChars="0"/>
              <w:rPr>
                <w:rFonts w:ascii="宋体" w:hAnsi="宋体" w:eastAsia="宋体" w:cs="宋体"/>
                <w:kern w:val="0"/>
                <w:szCs w:val="21"/>
                <w:highlight w:val="yellow"/>
              </w:rPr>
            </w:pPr>
            <w:r>
              <w:rPr>
                <w:rFonts w:hint="eastAsia" w:ascii="宋体" w:hAnsi="宋体" w:eastAsia="宋体" w:cs="宋体"/>
                <w:szCs w:val="21"/>
                <w:lang w:val="en-US" w:eastAsia="zh-CN"/>
              </w:rPr>
              <w:t xml:space="preserve">投标报价超过最高投标限价的作无效投标处理。 </w:t>
            </w:r>
          </w:p>
        </w:tc>
      </w:tr>
      <w:tr w14:paraId="5674CE4D">
        <w:tblPrEx>
          <w:tblCellMar>
            <w:top w:w="0" w:type="dxa"/>
            <w:left w:w="108" w:type="dxa"/>
            <w:bottom w:w="0" w:type="dxa"/>
            <w:right w:w="108" w:type="dxa"/>
          </w:tblCellMar>
        </w:tblPrEx>
        <w:trPr>
          <w:trHeight w:val="47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F894099">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1.4.1</w:t>
            </w:r>
          </w:p>
        </w:tc>
        <w:tc>
          <w:tcPr>
            <w:tcW w:w="1933" w:type="dxa"/>
            <w:tcBorders>
              <w:top w:val="single" w:color="auto" w:sz="4" w:space="0"/>
              <w:left w:val="single" w:color="auto" w:sz="4" w:space="0"/>
              <w:bottom w:val="single" w:color="auto" w:sz="4" w:space="0"/>
              <w:right w:val="single" w:color="auto" w:sz="4" w:space="0"/>
            </w:tcBorders>
            <w:noWrap/>
            <w:vAlign w:val="center"/>
          </w:tcPr>
          <w:p w14:paraId="30CFEC1B">
            <w:pPr>
              <w:adjustRightInd w:val="0"/>
              <w:spacing w:line="400" w:lineRule="exact"/>
              <w:ind w:firstLine="0" w:firstLineChars="0"/>
              <w:jc w:val="center"/>
              <w:textAlignment w:val="baseline"/>
              <w:rPr>
                <w:rFonts w:ascii="宋体" w:hAnsi="宋体" w:eastAsia="宋体" w:cs="宋体"/>
                <w:szCs w:val="21"/>
                <w:highlight w:val="none"/>
              </w:rPr>
            </w:pPr>
            <w:r>
              <w:rPr>
                <w:rFonts w:hint="eastAsia" w:ascii="宋体" w:hAnsi="宋体" w:cs="宋体"/>
                <w:szCs w:val="21"/>
                <w:highlight w:val="none"/>
              </w:rPr>
              <w:t>磋商内容</w:t>
            </w:r>
          </w:p>
        </w:tc>
        <w:tc>
          <w:tcPr>
            <w:tcW w:w="5881" w:type="dxa"/>
            <w:tcBorders>
              <w:top w:val="single" w:color="auto" w:sz="4" w:space="0"/>
              <w:left w:val="single" w:color="auto" w:sz="4" w:space="0"/>
              <w:bottom w:val="single" w:color="auto" w:sz="4" w:space="0"/>
              <w:right w:val="single" w:color="auto" w:sz="4" w:space="0"/>
            </w:tcBorders>
            <w:noWrap/>
            <w:vAlign w:val="center"/>
          </w:tcPr>
          <w:p w14:paraId="5C09A917">
            <w:pPr>
              <w:spacing w:line="400" w:lineRule="exact"/>
              <w:ind w:firstLine="0" w:firstLineChars="0"/>
              <w:rPr>
                <w:rFonts w:hint="default" w:ascii="宋体" w:hAnsi="宋体" w:cs="宋体" w:eastAsiaTheme="minorEastAsia"/>
                <w:szCs w:val="21"/>
                <w:highlight w:val="yellow"/>
                <w:lang w:val="en-US" w:eastAsia="zh-CN"/>
              </w:rPr>
            </w:pPr>
            <w:r>
              <w:rPr>
                <w:rFonts w:hint="eastAsia" w:ascii="宋体" w:hAnsi="宋体" w:cs="宋体"/>
                <w:szCs w:val="21"/>
                <w:highlight w:val="none"/>
                <w:lang w:val="en-US" w:eastAsia="zh-CN"/>
              </w:rPr>
              <w:t>满足磋商文件“第五章采购内容与需求”全部内容</w:t>
            </w:r>
          </w:p>
        </w:tc>
      </w:tr>
      <w:tr w14:paraId="2AC956A0">
        <w:tblPrEx>
          <w:tblCellMar>
            <w:top w:w="0" w:type="dxa"/>
            <w:left w:w="108" w:type="dxa"/>
            <w:bottom w:w="0" w:type="dxa"/>
            <w:right w:w="108" w:type="dxa"/>
          </w:tblCellMar>
        </w:tblPrEx>
        <w:trPr>
          <w:trHeight w:val="501"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D1D6966">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1.4.2</w:t>
            </w:r>
          </w:p>
        </w:tc>
        <w:tc>
          <w:tcPr>
            <w:tcW w:w="1933" w:type="dxa"/>
            <w:tcBorders>
              <w:top w:val="single" w:color="auto" w:sz="4" w:space="0"/>
              <w:left w:val="single" w:color="auto" w:sz="4" w:space="0"/>
              <w:bottom w:val="single" w:color="auto" w:sz="4" w:space="0"/>
              <w:right w:val="single" w:color="auto" w:sz="4" w:space="0"/>
            </w:tcBorders>
            <w:noWrap/>
            <w:vAlign w:val="center"/>
          </w:tcPr>
          <w:p w14:paraId="6CFA6BAD">
            <w:pPr>
              <w:spacing w:line="400" w:lineRule="exact"/>
              <w:ind w:firstLine="0" w:firstLineChars="0"/>
              <w:jc w:val="center"/>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服务期限</w:t>
            </w:r>
          </w:p>
        </w:tc>
        <w:tc>
          <w:tcPr>
            <w:tcW w:w="5881" w:type="dxa"/>
            <w:tcBorders>
              <w:top w:val="single" w:color="auto" w:sz="4" w:space="0"/>
              <w:left w:val="single" w:color="auto" w:sz="4" w:space="0"/>
              <w:bottom w:val="single" w:color="auto" w:sz="4" w:space="0"/>
              <w:right w:val="single" w:color="auto" w:sz="4" w:space="0"/>
            </w:tcBorders>
            <w:noWrap/>
            <w:vAlign w:val="center"/>
          </w:tcPr>
          <w:p w14:paraId="10736FE2">
            <w:pPr>
              <w:spacing w:line="400" w:lineRule="exact"/>
              <w:ind w:firstLine="0" w:firstLineChars="0"/>
              <w:rPr>
                <w:rFonts w:ascii="宋体" w:hAnsi="宋体"/>
                <w:szCs w:val="21"/>
                <w:highlight w:val="none"/>
              </w:rPr>
            </w:pPr>
            <w:r>
              <w:rPr>
                <w:rFonts w:hint="eastAsia" w:ascii="宋体" w:hAnsi="宋体" w:eastAsia="宋体" w:cs="宋体"/>
                <w:szCs w:val="21"/>
                <w:lang w:val="en-US" w:eastAsia="zh-CN"/>
              </w:rPr>
              <w:t>180日历天</w:t>
            </w:r>
          </w:p>
        </w:tc>
      </w:tr>
      <w:tr w14:paraId="522F95BB">
        <w:tblPrEx>
          <w:tblCellMar>
            <w:top w:w="0" w:type="dxa"/>
            <w:left w:w="108" w:type="dxa"/>
            <w:bottom w:w="0" w:type="dxa"/>
            <w:right w:w="108" w:type="dxa"/>
          </w:tblCellMar>
        </w:tblPrEx>
        <w:trPr>
          <w:trHeight w:val="461"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25EFB813">
            <w:pPr>
              <w:adjustRightInd w:val="0"/>
              <w:spacing w:line="400" w:lineRule="exact"/>
              <w:ind w:firstLine="0" w:firstLineChars="0"/>
              <w:jc w:val="center"/>
              <w:textAlignment w:val="baseline"/>
              <w:rPr>
                <w:rFonts w:ascii="宋体" w:hAnsi="宋体" w:eastAsia="宋体" w:cs="宋体"/>
                <w:szCs w:val="21"/>
              </w:rPr>
            </w:pPr>
            <w:r>
              <w:rPr>
                <w:rFonts w:hint="eastAsia" w:ascii="宋体" w:hAnsi="宋体" w:cs="宋体"/>
                <w:szCs w:val="21"/>
              </w:rPr>
              <w:t>1.4.4</w:t>
            </w:r>
          </w:p>
        </w:tc>
        <w:tc>
          <w:tcPr>
            <w:tcW w:w="1933" w:type="dxa"/>
            <w:tcBorders>
              <w:top w:val="single" w:color="auto" w:sz="4" w:space="0"/>
              <w:left w:val="single" w:color="auto" w:sz="4" w:space="0"/>
              <w:bottom w:val="single" w:color="auto" w:sz="4" w:space="0"/>
              <w:right w:val="single" w:color="auto" w:sz="4" w:space="0"/>
            </w:tcBorders>
            <w:noWrap/>
            <w:vAlign w:val="center"/>
          </w:tcPr>
          <w:p w14:paraId="2DBBF330">
            <w:pPr>
              <w:spacing w:line="400" w:lineRule="exact"/>
              <w:ind w:firstLine="0" w:firstLineChars="0"/>
              <w:jc w:val="center"/>
              <w:rPr>
                <w:rFonts w:ascii="宋体" w:hAnsi="宋体"/>
                <w:szCs w:val="21"/>
                <w:highlight w:val="none"/>
              </w:rPr>
            </w:pPr>
            <w:r>
              <w:rPr>
                <w:rFonts w:hint="eastAsia" w:ascii="宋体" w:hAnsi="宋体"/>
                <w:szCs w:val="21"/>
                <w:highlight w:val="none"/>
              </w:rPr>
              <w:t>质量要求</w:t>
            </w:r>
          </w:p>
        </w:tc>
        <w:tc>
          <w:tcPr>
            <w:tcW w:w="5881" w:type="dxa"/>
            <w:tcBorders>
              <w:top w:val="single" w:color="auto" w:sz="4" w:space="0"/>
              <w:left w:val="single" w:color="auto" w:sz="4" w:space="0"/>
              <w:bottom w:val="single" w:color="auto" w:sz="4" w:space="0"/>
              <w:right w:val="single" w:color="auto" w:sz="4" w:space="0"/>
            </w:tcBorders>
            <w:noWrap/>
            <w:vAlign w:val="center"/>
          </w:tcPr>
          <w:p w14:paraId="3503DE81">
            <w:pPr>
              <w:spacing w:line="400" w:lineRule="exact"/>
              <w:ind w:firstLine="0" w:firstLineChars="0"/>
              <w:jc w:val="left"/>
              <w:rPr>
                <w:rFonts w:ascii="宋体" w:hAnsi="宋体"/>
                <w:szCs w:val="21"/>
                <w:highlight w:val="none"/>
              </w:rPr>
            </w:pPr>
            <w:r>
              <w:rPr>
                <w:rFonts w:hint="eastAsia" w:ascii="宋体" w:hAnsi="宋体" w:cs="宋体"/>
                <w:szCs w:val="21"/>
                <w:highlight w:val="none"/>
                <w:lang w:eastAsia="zh-CN"/>
              </w:rPr>
              <w:t>满足采购人需求</w:t>
            </w:r>
            <w:r>
              <w:rPr>
                <w:rFonts w:hint="eastAsia" w:ascii="宋体" w:hAnsi="宋体" w:cs="宋体"/>
                <w:szCs w:val="21"/>
                <w:highlight w:val="none"/>
              </w:rPr>
              <w:t>；</w:t>
            </w:r>
          </w:p>
        </w:tc>
      </w:tr>
      <w:tr w14:paraId="53F3E3CF">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523C1AA">
            <w:pPr>
              <w:adjustRightInd w:val="0"/>
              <w:spacing w:line="400" w:lineRule="exact"/>
              <w:ind w:firstLine="0" w:firstLineChars="0"/>
              <w:jc w:val="center"/>
              <w:textAlignment w:val="baseline"/>
              <w:rPr>
                <w:rFonts w:ascii="宋体" w:hAnsi="宋体" w:eastAsia="宋体" w:cs="宋体"/>
                <w:szCs w:val="21"/>
              </w:rPr>
            </w:pPr>
            <w:r>
              <w:rPr>
                <w:rFonts w:hint="eastAsia" w:ascii="宋体" w:hAnsi="宋体" w:cs="宋体"/>
                <w:szCs w:val="21"/>
              </w:rPr>
              <w:t>1.4.5</w:t>
            </w:r>
          </w:p>
        </w:tc>
        <w:tc>
          <w:tcPr>
            <w:tcW w:w="1933" w:type="dxa"/>
            <w:tcBorders>
              <w:top w:val="single" w:color="auto" w:sz="4" w:space="0"/>
              <w:left w:val="single" w:color="auto" w:sz="4" w:space="0"/>
              <w:bottom w:val="single" w:color="auto" w:sz="4" w:space="0"/>
              <w:right w:val="single" w:color="auto" w:sz="4" w:space="0"/>
            </w:tcBorders>
            <w:noWrap/>
            <w:vAlign w:val="center"/>
          </w:tcPr>
          <w:p w14:paraId="1C41CBE0">
            <w:pPr>
              <w:spacing w:line="400" w:lineRule="exact"/>
              <w:ind w:firstLine="0" w:firstLineChars="0"/>
              <w:jc w:val="center"/>
              <w:rPr>
                <w:rFonts w:ascii="宋体" w:hAnsi="宋体" w:eastAsia="宋体" w:cs="宋体"/>
                <w:szCs w:val="21"/>
              </w:rPr>
            </w:pPr>
            <w:r>
              <w:rPr>
                <w:rFonts w:hint="eastAsia" w:ascii="宋体" w:hAnsi="宋体" w:eastAsia="宋体" w:cs="宋体"/>
                <w:szCs w:val="21"/>
              </w:rPr>
              <w:t>付款方式</w:t>
            </w:r>
          </w:p>
        </w:tc>
        <w:tc>
          <w:tcPr>
            <w:tcW w:w="5881" w:type="dxa"/>
            <w:tcBorders>
              <w:top w:val="single" w:color="auto" w:sz="4" w:space="0"/>
              <w:left w:val="single" w:color="auto" w:sz="4" w:space="0"/>
              <w:bottom w:val="single" w:color="auto" w:sz="4" w:space="0"/>
              <w:right w:val="single" w:color="auto" w:sz="4" w:space="0"/>
            </w:tcBorders>
            <w:noWrap/>
            <w:vAlign w:val="center"/>
          </w:tcPr>
          <w:p w14:paraId="7A5D3F1C">
            <w:pPr>
              <w:numPr>
                <w:ilvl w:val="0"/>
                <w:numId w:val="0"/>
              </w:numPr>
              <w:spacing w:line="400" w:lineRule="exact"/>
              <w:rPr>
                <w:rFonts w:hint="default" w:eastAsiaTheme="minorEastAsia"/>
                <w:lang w:val="en-US" w:eastAsia="zh-CN"/>
              </w:rPr>
            </w:pPr>
            <w:r>
              <w:rPr>
                <w:rFonts w:hint="default" w:eastAsiaTheme="minorEastAsia"/>
                <w:lang w:val="en-US" w:eastAsia="zh-CN"/>
              </w:rPr>
              <w:t>严格按照采购人要求执行，最终以合同签订的付款方式为准。（不允许设置履约保证金、质量保证金）</w:t>
            </w:r>
          </w:p>
          <w:p w14:paraId="4E6F7A97">
            <w:pPr>
              <w:numPr>
                <w:ilvl w:val="0"/>
                <w:numId w:val="0"/>
              </w:numPr>
              <w:spacing w:line="400" w:lineRule="exact"/>
              <w:rPr>
                <w:rFonts w:hint="default" w:eastAsiaTheme="minorEastAsia"/>
                <w:lang w:val="en-US" w:eastAsia="zh-CN"/>
              </w:rPr>
            </w:pPr>
            <w:r>
              <w:rPr>
                <w:rFonts w:hint="eastAsia"/>
                <w:lang w:val="en-US" w:eastAsia="zh-CN"/>
              </w:rPr>
              <w:t>注：本项目无预付款</w:t>
            </w:r>
          </w:p>
        </w:tc>
      </w:tr>
      <w:tr w14:paraId="76A15C4E">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64130C5">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1.5.1</w:t>
            </w:r>
          </w:p>
        </w:tc>
        <w:tc>
          <w:tcPr>
            <w:tcW w:w="1933" w:type="dxa"/>
            <w:tcBorders>
              <w:top w:val="single" w:color="auto" w:sz="4" w:space="0"/>
              <w:left w:val="single" w:color="auto" w:sz="4" w:space="0"/>
              <w:bottom w:val="single" w:color="auto" w:sz="4" w:space="0"/>
              <w:right w:val="single" w:color="auto" w:sz="4" w:space="0"/>
            </w:tcBorders>
            <w:noWrap/>
            <w:vAlign w:val="center"/>
          </w:tcPr>
          <w:p w14:paraId="53C13BB8">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highlight w:val="none"/>
              </w:rPr>
              <w:t>供应商资质条件及能力要求</w:t>
            </w:r>
          </w:p>
        </w:tc>
        <w:tc>
          <w:tcPr>
            <w:tcW w:w="5881" w:type="dxa"/>
            <w:tcBorders>
              <w:top w:val="single" w:color="auto" w:sz="4" w:space="0"/>
              <w:left w:val="single" w:color="auto" w:sz="4" w:space="0"/>
              <w:bottom w:val="single" w:color="auto" w:sz="4" w:space="0"/>
              <w:right w:val="single" w:color="auto" w:sz="4" w:space="0"/>
            </w:tcBorders>
            <w:noWrap/>
            <w:vAlign w:val="center"/>
          </w:tcPr>
          <w:p w14:paraId="6152DBA7">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1、满足《中华人民共和国政府采购法》第二十二条规定。</w:t>
            </w:r>
          </w:p>
          <w:p w14:paraId="3BB34B0C">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2、落实政府采购政策满足的资格要求：</w:t>
            </w:r>
          </w:p>
          <w:p w14:paraId="2A0D4343">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2.1本项目专门面向中小企业采购，本项目落实促进中小型企业发展政策（监狱企业、残疾人福利性企业视同小微企业），供应商应按磋商文件要求提供《中小企业声明函》；</w:t>
            </w:r>
          </w:p>
          <w:p w14:paraId="6C802737">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2.2根据财政部《关于在政府采购活动中查询及使用信用记录有关问题的通知》(财库[2016] 125 号)和豫财购[2016]15 号的规定，对列入失信被执行人、重大税收违法失信主体、政府采购严重违法失信行为记录名单的供应商，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14:paraId="1984C821">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2.3 单位负责人为同一人或者存在直接控股、管理关系的不同单位，不得同时参加同一合同项下的政府采购活动（提供加盖供应商公章的“国家企业信用信息公示系统”中公示的公司基础信息包含股东及出资信息。查询截止时点为：从报名开始之日起至投标截止之日止。）</w:t>
            </w:r>
          </w:p>
          <w:p w14:paraId="66CECBA3">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2.4 本项目不允许联合体投标，实行资格后审；</w:t>
            </w:r>
          </w:p>
          <w:p w14:paraId="79220E45">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注：一个投标人只允许中标1个包段，如有投标人同时为多个包段的第一中标候选人，则确定此投标人为其中前一个包段的中标人，此投标人中标的其他包段则确定第二中标候选人为中标人。如果一个包段第一中标候选人已中标前面包段，那么确定第二中标候选人为本包段中标人，如果第二中标候选人也中标了前面包段，那么确定第三中标候选人为本包段中标人。以此类推顺延，直至最终确定本包段中标人。</w:t>
            </w:r>
          </w:p>
          <w:p w14:paraId="4E61FB5C">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3、其他说明：本项目适用信用承诺（详见下述要求）：</w:t>
            </w:r>
          </w:p>
          <w:p w14:paraId="5DDDDB1B">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一）在本项目政府采购活动中，供应商在投标（响应）时，可对照资格要求进行自主核对，确定符合资格要求的，可按照规定提供相关承诺函（详见响应文件“资格审查资料”附件），供应商在资格审查环节提供满足相应条件的书面承诺书，不需要提供以下证明材料：</w:t>
            </w:r>
          </w:p>
          <w:p w14:paraId="29ABA6E7">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①具有独立承担民事责任的能力（提供有效的企业营业执照或民办非企业单位登记证书）；</w:t>
            </w:r>
          </w:p>
          <w:p w14:paraId="676A4325">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②有良好的商业信誉和健全的财务会计制度（提供近2024或2025年度的财务审计报告，若企业成立年份不足1年，则需提供开户行出具的资信证明）；</w:t>
            </w:r>
          </w:p>
          <w:p w14:paraId="0D6F022D">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③具有履行合同所必需的设备和专业技术能力（提供有效的民办学校办学许可证）；</w:t>
            </w:r>
          </w:p>
          <w:p w14:paraId="1957B2BB">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④具有依法缴纳税收和社会保障资金的良好记录【提供2026年以来任意1个月的已依法缴纳税收和社会保障资金的凭据，依法免税或不需要缴纳社会保障资金的供应商，应提供相应证明文件，新成立公司按实际月份提供。（如依法免税的，则须提供相关部门出具的证明文件。如供应商在规定的时间段内没有发生业务的，则提供税务部门出具的纳税证明，或加盖税务部门公章的纳税申报表。）】；</w:t>
            </w:r>
          </w:p>
          <w:p w14:paraId="279D3F08">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⑤参加政府采购活动前三年内在经营活动中没有重大违法记录的证明材料（提供承诺书）；</w:t>
            </w:r>
          </w:p>
          <w:p w14:paraId="00985D79">
            <w:pPr>
              <w:spacing w:line="400" w:lineRule="exact"/>
              <w:ind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⑥法律、行政法规规定的其他条件；</w:t>
            </w:r>
          </w:p>
          <w:p w14:paraId="424340AC">
            <w:pPr>
              <w:spacing w:line="400" w:lineRule="exact"/>
              <w:ind w:firstLine="0" w:firstLineChars="0"/>
              <w:rPr>
                <w:lang w:val="en-US" w:eastAsia="zh-CN"/>
              </w:rPr>
            </w:pPr>
            <w:r>
              <w:rPr>
                <w:rFonts w:hint="eastAsia" w:ascii="宋体" w:hAnsi="宋体" w:cs="宋体"/>
                <w:szCs w:val="21"/>
                <w:highlight w:val="none"/>
                <w:lang w:val="en-US" w:eastAsia="zh-CN"/>
              </w:rPr>
              <w:t>（二）供应商在中标（成交）后，应将上述由信用承诺书替代的证明材料提交采购人（采购代理机构）核验，经核验无误后，由采购人发出中标（成交）通知书。</w:t>
            </w:r>
          </w:p>
        </w:tc>
      </w:tr>
      <w:tr w14:paraId="2DC86065">
        <w:tblPrEx>
          <w:tblCellMar>
            <w:top w:w="0" w:type="dxa"/>
            <w:left w:w="108" w:type="dxa"/>
            <w:bottom w:w="0" w:type="dxa"/>
            <w:right w:w="108" w:type="dxa"/>
          </w:tblCellMar>
        </w:tblPrEx>
        <w:trPr>
          <w:trHeight w:val="493"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F53EFEC">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1.5.2</w:t>
            </w:r>
          </w:p>
        </w:tc>
        <w:tc>
          <w:tcPr>
            <w:tcW w:w="1933" w:type="dxa"/>
            <w:tcBorders>
              <w:top w:val="single" w:color="auto" w:sz="4" w:space="0"/>
              <w:left w:val="single" w:color="auto" w:sz="4" w:space="0"/>
              <w:bottom w:val="single" w:color="auto" w:sz="4" w:space="0"/>
              <w:right w:val="single" w:color="auto" w:sz="4" w:space="0"/>
            </w:tcBorders>
            <w:noWrap/>
            <w:vAlign w:val="center"/>
          </w:tcPr>
          <w:p w14:paraId="66D1F65D">
            <w:pPr>
              <w:spacing w:line="400" w:lineRule="exact"/>
              <w:ind w:firstLine="0" w:firstLineChars="0"/>
              <w:jc w:val="center"/>
              <w:rPr>
                <w:rFonts w:ascii="宋体" w:hAnsi="宋体" w:cs="宋体"/>
                <w:szCs w:val="21"/>
              </w:rPr>
            </w:pPr>
            <w:r>
              <w:rPr>
                <w:rFonts w:hint="eastAsia" w:ascii="宋体" w:hAnsi="宋体" w:cs="宋体"/>
                <w:szCs w:val="21"/>
              </w:rPr>
              <w:t>是否接受联合体</w:t>
            </w:r>
          </w:p>
        </w:tc>
        <w:tc>
          <w:tcPr>
            <w:tcW w:w="5881" w:type="dxa"/>
            <w:tcBorders>
              <w:top w:val="single" w:color="auto" w:sz="4" w:space="0"/>
              <w:left w:val="single" w:color="auto" w:sz="4" w:space="0"/>
              <w:bottom w:val="single" w:color="auto" w:sz="4" w:space="0"/>
              <w:right w:val="single" w:color="auto" w:sz="4" w:space="0"/>
            </w:tcBorders>
            <w:noWrap/>
            <w:vAlign w:val="center"/>
          </w:tcPr>
          <w:p w14:paraId="776E54E0">
            <w:pPr>
              <w:pStyle w:val="18"/>
              <w:topLinePunct/>
              <w:adjustRightInd w:val="0"/>
              <w:spacing w:line="400" w:lineRule="exact"/>
              <w:ind w:firstLine="0" w:firstLineChars="0"/>
              <w:jc w:val="left"/>
              <w:textAlignment w:val="baseline"/>
              <w:rPr>
                <w:rFonts w:ascii="宋体" w:hAnsi="宋体" w:cs="宋体"/>
                <w:kern w:val="2"/>
                <w:sz w:val="21"/>
                <w:szCs w:val="21"/>
              </w:rPr>
            </w:pPr>
            <w:r>
              <w:rPr>
                <w:rFonts w:hint="eastAsia" w:ascii="宋体" w:hAnsi="宋体" w:cs="宋体"/>
                <w:kern w:val="2"/>
                <w:sz w:val="21"/>
                <w:szCs w:val="21"/>
              </w:rPr>
              <w:t>不接受</w:t>
            </w:r>
          </w:p>
        </w:tc>
      </w:tr>
      <w:tr w14:paraId="76F05896">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296ADD8C">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1.10</w:t>
            </w:r>
          </w:p>
        </w:tc>
        <w:tc>
          <w:tcPr>
            <w:tcW w:w="1933" w:type="dxa"/>
            <w:tcBorders>
              <w:top w:val="single" w:color="auto" w:sz="4" w:space="0"/>
              <w:left w:val="single" w:color="auto" w:sz="4" w:space="0"/>
              <w:bottom w:val="single" w:color="auto" w:sz="4" w:space="0"/>
              <w:right w:val="single" w:color="auto" w:sz="4" w:space="0"/>
            </w:tcBorders>
            <w:noWrap/>
            <w:vAlign w:val="center"/>
          </w:tcPr>
          <w:p w14:paraId="7C0A5651">
            <w:pPr>
              <w:adjustRightInd w:val="0"/>
              <w:spacing w:line="400" w:lineRule="exact"/>
              <w:ind w:firstLine="0" w:firstLineChars="0"/>
              <w:jc w:val="center"/>
              <w:textAlignment w:val="baseline"/>
              <w:rPr>
                <w:rFonts w:ascii="宋体" w:hAnsi="宋体" w:eastAsia="宋体" w:cs="宋体"/>
                <w:szCs w:val="21"/>
              </w:rPr>
            </w:pPr>
            <w:r>
              <w:rPr>
                <w:rFonts w:hint="eastAsia" w:ascii="宋体" w:hAnsi="宋体" w:cs="宋体"/>
                <w:szCs w:val="21"/>
              </w:rPr>
              <w:t>现场踏勘</w:t>
            </w:r>
          </w:p>
        </w:tc>
        <w:tc>
          <w:tcPr>
            <w:tcW w:w="5881" w:type="dxa"/>
            <w:tcBorders>
              <w:top w:val="single" w:color="auto" w:sz="4" w:space="0"/>
              <w:left w:val="single" w:color="auto" w:sz="4" w:space="0"/>
              <w:bottom w:val="single" w:color="auto" w:sz="4" w:space="0"/>
              <w:right w:val="single" w:color="auto" w:sz="4" w:space="0"/>
            </w:tcBorders>
            <w:noWrap/>
            <w:vAlign w:val="center"/>
          </w:tcPr>
          <w:p w14:paraId="49B887BB">
            <w:pPr>
              <w:pStyle w:val="18"/>
              <w:topLinePunct/>
              <w:adjustRightInd w:val="0"/>
              <w:spacing w:line="400" w:lineRule="exact"/>
              <w:ind w:firstLine="0" w:firstLineChars="0"/>
              <w:jc w:val="left"/>
              <w:textAlignment w:val="baseline"/>
              <w:rPr>
                <w:rFonts w:ascii="宋体" w:hAnsi="宋体" w:cs="宋体"/>
                <w:kern w:val="2"/>
                <w:sz w:val="21"/>
                <w:szCs w:val="21"/>
              </w:rPr>
            </w:pPr>
            <w:r>
              <w:rPr>
                <w:rFonts w:hint="eastAsia" w:ascii="宋体" w:hAnsi="宋体" w:cs="宋体"/>
                <w:kern w:val="2"/>
                <w:sz w:val="21"/>
                <w:szCs w:val="21"/>
              </w:rPr>
              <w:t>自行踏勘</w:t>
            </w:r>
          </w:p>
        </w:tc>
      </w:tr>
      <w:tr w14:paraId="6CDAA388">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3AF2671">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1.11</w:t>
            </w:r>
          </w:p>
        </w:tc>
        <w:tc>
          <w:tcPr>
            <w:tcW w:w="1933" w:type="dxa"/>
            <w:tcBorders>
              <w:top w:val="single" w:color="auto" w:sz="4" w:space="0"/>
              <w:left w:val="single" w:color="auto" w:sz="4" w:space="0"/>
              <w:bottom w:val="single" w:color="auto" w:sz="4" w:space="0"/>
              <w:right w:val="single" w:color="auto" w:sz="4" w:space="0"/>
            </w:tcBorders>
            <w:noWrap/>
            <w:vAlign w:val="center"/>
          </w:tcPr>
          <w:p w14:paraId="0376545C">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分包</w:t>
            </w:r>
          </w:p>
        </w:tc>
        <w:tc>
          <w:tcPr>
            <w:tcW w:w="5881" w:type="dxa"/>
            <w:tcBorders>
              <w:top w:val="single" w:color="auto" w:sz="4" w:space="0"/>
              <w:left w:val="single" w:color="auto" w:sz="4" w:space="0"/>
              <w:bottom w:val="single" w:color="auto" w:sz="4" w:space="0"/>
              <w:right w:val="single" w:color="auto" w:sz="4" w:space="0"/>
            </w:tcBorders>
            <w:noWrap/>
            <w:vAlign w:val="center"/>
          </w:tcPr>
          <w:p w14:paraId="697D8662">
            <w:pPr>
              <w:pStyle w:val="18"/>
              <w:topLinePunct/>
              <w:adjustRightInd w:val="0"/>
              <w:spacing w:line="400" w:lineRule="exact"/>
              <w:ind w:firstLine="0" w:firstLineChars="0"/>
              <w:jc w:val="left"/>
              <w:textAlignment w:val="baseline"/>
              <w:rPr>
                <w:rFonts w:ascii="宋体" w:hAnsi="宋体" w:cs="宋体"/>
                <w:kern w:val="2"/>
                <w:sz w:val="21"/>
                <w:szCs w:val="21"/>
              </w:rPr>
            </w:pPr>
            <w:r>
              <w:rPr>
                <w:rFonts w:hint="eastAsia" w:ascii="宋体" w:hAnsi="宋体" w:cs="宋体"/>
                <w:kern w:val="2"/>
                <w:sz w:val="21"/>
                <w:szCs w:val="21"/>
              </w:rPr>
              <w:t>不允许</w:t>
            </w:r>
          </w:p>
        </w:tc>
      </w:tr>
      <w:tr w14:paraId="1A48B898">
        <w:tblPrEx>
          <w:tblCellMar>
            <w:top w:w="0" w:type="dxa"/>
            <w:left w:w="108" w:type="dxa"/>
            <w:bottom w:w="0" w:type="dxa"/>
            <w:right w:w="108" w:type="dxa"/>
          </w:tblCellMar>
        </w:tblPrEx>
        <w:trPr>
          <w:trHeight w:val="88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A680737">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2.1</w:t>
            </w:r>
          </w:p>
        </w:tc>
        <w:tc>
          <w:tcPr>
            <w:tcW w:w="1933" w:type="dxa"/>
            <w:tcBorders>
              <w:top w:val="single" w:color="auto" w:sz="4" w:space="0"/>
              <w:left w:val="single" w:color="auto" w:sz="4" w:space="0"/>
              <w:bottom w:val="single" w:color="auto" w:sz="4" w:space="0"/>
              <w:right w:val="single" w:color="auto" w:sz="4" w:space="0"/>
            </w:tcBorders>
            <w:noWrap/>
            <w:vAlign w:val="center"/>
          </w:tcPr>
          <w:p w14:paraId="5EA50149">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构成磋商文件</w:t>
            </w:r>
          </w:p>
          <w:p w14:paraId="0DA592D2">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的其他材料</w:t>
            </w:r>
          </w:p>
        </w:tc>
        <w:tc>
          <w:tcPr>
            <w:tcW w:w="5881" w:type="dxa"/>
            <w:tcBorders>
              <w:top w:val="single" w:color="auto" w:sz="4" w:space="0"/>
              <w:left w:val="single" w:color="auto" w:sz="4" w:space="0"/>
              <w:bottom w:val="single" w:color="auto" w:sz="4" w:space="0"/>
              <w:right w:val="single" w:color="auto" w:sz="4" w:space="0"/>
            </w:tcBorders>
            <w:noWrap/>
            <w:vAlign w:val="center"/>
          </w:tcPr>
          <w:p w14:paraId="0597B9E5">
            <w:pPr>
              <w:adjustRightInd w:val="0"/>
              <w:spacing w:line="400" w:lineRule="exact"/>
              <w:ind w:firstLine="0" w:firstLineChars="0"/>
              <w:jc w:val="left"/>
              <w:textAlignment w:val="baseline"/>
              <w:rPr>
                <w:rFonts w:ascii="宋体" w:hAnsi="宋体" w:cs="宋体"/>
                <w:szCs w:val="21"/>
              </w:rPr>
            </w:pPr>
            <w:r>
              <w:rPr>
                <w:rFonts w:hint="eastAsia" w:ascii="宋体" w:hAnsi="宋体" w:cs="宋体"/>
                <w:szCs w:val="21"/>
              </w:rPr>
              <w:t>除磋商文件外，采购人在磋商期间发出的澄清、修改、补充、补遗和其它有效正式函件等内容均是磋商文件的组成部分</w:t>
            </w:r>
          </w:p>
        </w:tc>
      </w:tr>
      <w:tr w14:paraId="7D6EA44F">
        <w:tblPrEx>
          <w:tblCellMar>
            <w:top w:w="0" w:type="dxa"/>
            <w:left w:w="108" w:type="dxa"/>
            <w:bottom w:w="0" w:type="dxa"/>
            <w:right w:w="108" w:type="dxa"/>
          </w:tblCellMar>
        </w:tblPrEx>
        <w:trPr>
          <w:trHeight w:val="650"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799F909">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2.2.1</w:t>
            </w:r>
          </w:p>
        </w:tc>
        <w:tc>
          <w:tcPr>
            <w:tcW w:w="1933" w:type="dxa"/>
            <w:tcBorders>
              <w:top w:val="single" w:color="auto" w:sz="4" w:space="0"/>
              <w:left w:val="single" w:color="auto" w:sz="4" w:space="0"/>
              <w:bottom w:val="single" w:color="auto" w:sz="4" w:space="0"/>
              <w:right w:val="single" w:color="auto" w:sz="4" w:space="0"/>
            </w:tcBorders>
            <w:noWrap/>
            <w:vAlign w:val="center"/>
          </w:tcPr>
          <w:p w14:paraId="49BCF6CD">
            <w:pPr>
              <w:spacing w:line="400" w:lineRule="exact"/>
              <w:ind w:firstLine="0" w:firstLineChars="0"/>
              <w:jc w:val="center"/>
              <w:rPr>
                <w:rFonts w:ascii="宋体" w:hAnsi="宋体" w:cs="宋体"/>
                <w:szCs w:val="21"/>
              </w:rPr>
            </w:pPr>
            <w:r>
              <w:rPr>
                <w:rFonts w:hint="eastAsia" w:ascii="宋体" w:hAnsi="宋体" w:cs="宋体"/>
                <w:szCs w:val="21"/>
              </w:rPr>
              <w:t>供应商提出问题的截止时间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47C90329">
            <w:pPr>
              <w:adjustRightInd w:val="0"/>
              <w:spacing w:line="400" w:lineRule="exact"/>
              <w:ind w:firstLine="0" w:firstLineChars="0"/>
              <w:jc w:val="left"/>
              <w:textAlignment w:val="baseline"/>
              <w:rPr>
                <w:rFonts w:ascii="宋体" w:hAnsi="宋体" w:eastAsia="宋体" w:cs="宋体"/>
                <w:szCs w:val="21"/>
              </w:rPr>
            </w:pPr>
            <w:r>
              <w:rPr>
                <w:rFonts w:hint="eastAsia" w:ascii="宋体" w:hAnsi="宋体" w:cs="宋体"/>
                <w:szCs w:val="21"/>
              </w:rPr>
              <w:t>公告发布之日起</w:t>
            </w:r>
            <w:r>
              <w:rPr>
                <w:rFonts w:hint="eastAsia" w:ascii="宋体" w:hAnsi="宋体" w:cs="宋体"/>
                <w:szCs w:val="21"/>
                <w:lang w:val="en-US" w:eastAsia="zh-CN"/>
              </w:rPr>
              <w:t>5</w:t>
            </w:r>
            <w:r>
              <w:rPr>
                <w:rFonts w:hint="eastAsia" w:ascii="宋体" w:hAnsi="宋体" w:cs="宋体"/>
                <w:szCs w:val="21"/>
              </w:rPr>
              <w:t>个工作日内</w:t>
            </w:r>
          </w:p>
        </w:tc>
      </w:tr>
      <w:tr w14:paraId="6962B0FB">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176194F8">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2.2.2</w:t>
            </w:r>
          </w:p>
        </w:tc>
        <w:tc>
          <w:tcPr>
            <w:tcW w:w="1933" w:type="dxa"/>
            <w:tcBorders>
              <w:top w:val="single" w:color="auto" w:sz="4" w:space="0"/>
              <w:left w:val="single" w:color="auto" w:sz="4" w:space="0"/>
              <w:bottom w:val="single" w:color="auto" w:sz="4" w:space="0"/>
              <w:right w:val="single" w:color="auto" w:sz="4" w:space="0"/>
            </w:tcBorders>
            <w:noWrap/>
            <w:vAlign w:val="center"/>
          </w:tcPr>
          <w:p w14:paraId="6021F1D5">
            <w:pPr>
              <w:spacing w:line="400" w:lineRule="exact"/>
              <w:ind w:firstLine="0" w:firstLineChars="0"/>
              <w:jc w:val="center"/>
              <w:rPr>
                <w:rFonts w:ascii="宋体" w:hAnsi="宋体" w:cs="宋体"/>
                <w:szCs w:val="21"/>
              </w:rPr>
            </w:pPr>
            <w:r>
              <w:rPr>
                <w:rFonts w:hint="eastAsia" w:ascii="宋体" w:hAnsi="宋体" w:cs="宋体"/>
                <w:szCs w:val="21"/>
              </w:rPr>
              <w:t>采购人澄清磋商文件的截止时间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5BE1D16A">
            <w:pPr>
              <w:adjustRightInd w:val="0"/>
              <w:spacing w:line="400" w:lineRule="exact"/>
              <w:ind w:firstLine="0" w:firstLineChars="0"/>
              <w:jc w:val="left"/>
              <w:textAlignment w:val="baseline"/>
              <w:rPr>
                <w:rFonts w:ascii="宋体" w:hAnsi="宋体" w:cs="宋体"/>
                <w:szCs w:val="21"/>
              </w:rPr>
            </w:pPr>
            <w:r>
              <w:rPr>
                <w:rFonts w:hint="eastAsia" w:ascii="宋体" w:hAnsi="宋体" w:cs="宋体"/>
                <w:szCs w:val="21"/>
              </w:rPr>
              <w:t>递交响应文件截止之日</w:t>
            </w:r>
            <w:r>
              <w:rPr>
                <w:rFonts w:hint="eastAsia" w:ascii="宋体" w:hAnsi="宋体" w:cs="宋体"/>
                <w:szCs w:val="21"/>
                <w:u w:val="single"/>
              </w:rPr>
              <w:t>5</w:t>
            </w:r>
            <w:r>
              <w:rPr>
                <w:rFonts w:hint="eastAsia" w:ascii="宋体" w:hAnsi="宋体" w:cs="宋体"/>
                <w:szCs w:val="21"/>
              </w:rPr>
              <w:t>天前</w:t>
            </w:r>
          </w:p>
        </w:tc>
      </w:tr>
      <w:tr w14:paraId="0C3B2936">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62F1F56B">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2.2.3</w:t>
            </w:r>
          </w:p>
        </w:tc>
        <w:tc>
          <w:tcPr>
            <w:tcW w:w="1933" w:type="dxa"/>
            <w:tcBorders>
              <w:top w:val="single" w:color="auto" w:sz="4" w:space="0"/>
              <w:left w:val="single" w:color="auto" w:sz="4" w:space="0"/>
              <w:bottom w:val="single" w:color="auto" w:sz="4" w:space="0"/>
              <w:right w:val="single" w:color="auto" w:sz="4" w:space="0"/>
            </w:tcBorders>
            <w:noWrap/>
            <w:vAlign w:val="center"/>
          </w:tcPr>
          <w:p w14:paraId="38206C72">
            <w:pPr>
              <w:spacing w:line="400" w:lineRule="exact"/>
              <w:ind w:firstLine="0" w:firstLineChars="0"/>
              <w:jc w:val="center"/>
              <w:rPr>
                <w:rFonts w:ascii="宋体" w:hAnsi="宋体" w:cs="宋体"/>
                <w:szCs w:val="21"/>
              </w:rPr>
            </w:pPr>
            <w:r>
              <w:rPr>
                <w:rFonts w:hint="eastAsia" w:ascii="宋体" w:hAnsi="宋体" w:cs="宋体"/>
                <w:szCs w:val="21"/>
              </w:rPr>
              <w:t>供应商确认收到磋商文件澄清的时间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7DE286B2">
            <w:pPr>
              <w:adjustRightInd w:val="0"/>
              <w:spacing w:line="400" w:lineRule="exact"/>
              <w:ind w:firstLine="0" w:firstLineChars="0"/>
              <w:jc w:val="left"/>
              <w:textAlignment w:val="baseline"/>
              <w:rPr>
                <w:rFonts w:ascii="宋体" w:hAnsi="宋体" w:cs="宋体"/>
                <w:szCs w:val="21"/>
              </w:rPr>
            </w:pPr>
            <w:r>
              <w:rPr>
                <w:rFonts w:hint="eastAsia" w:ascii="宋体" w:hAnsi="宋体" w:cs="宋体"/>
                <w:szCs w:val="21"/>
              </w:rPr>
              <w:t>在收到相应澄清文件后</w:t>
            </w:r>
            <w:r>
              <w:rPr>
                <w:rFonts w:hint="eastAsia" w:ascii="宋体" w:hAnsi="宋体" w:cs="宋体"/>
                <w:szCs w:val="21"/>
                <w:u w:val="single"/>
              </w:rPr>
              <w:t xml:space="preserve"> 24 </w:t>
            </w:r>
            <w:r>
              <w:rPr>
                <w:rFonts w:hint="eastAsia" w:ascii="宋体" w:hAnsi="宋体" w:cs="宋体"/>
                <w:szCs w:val="21"/>
              </w:rPr>
              <w:t>小时内</w:t>
            </w:r>
          </w:p>
        </w:tc>
      </w:tr>
      <w:tr w14:paraId="66821E1C">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06871EE">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2.3.2</w:t>
            </w:r>
          </w:p>
        </w:tc>
        <w:tc>
          <w:tcPr>
            <w:tcW w:w="1933" w:type="dxa"/>
            <w:tcBorders>
              <w:top w:val="single" w:color="auto" w:sz="4" w:space="0"/>
              <w:left w:val="single" w:color="auto" w:sz="4" w:space="0"/>
              <w:bottom w:val="single" w:color="auto" w:sz="4" w:space="0"/>
              <w:right w:val="single" w:color="auto" w:sz="4" w:space="0"/>
            </w:tcBorders>
            <w:noWrap/>
            <w:vAlign w:val="center"/>
          </w:tcPr>
          <w:p w14:paraId="61D4DC1F">
            <w:pPr>
              <w:spacing w:line="400" w:lineRule="exact"/>
              <w:ind w:firstLine="0" w:firstLineChars="0"/>
              <w:jc w:val="center"/>
              <w:rPr>
                <w:rFonts w:ascii="宋体" w:hAnsi="宋体" w:cs="宋体"/>
                <w:szCs w:val="21"/>
              </w:rPr>
            </w:pPr>
            <w:r>
              <w:rPr>
                <w:rFonts w:hint="eastAsia" w:ascii="宋体" w:hAnsi="宋体" w:cs="宋体"/>
                <w:szCs w:val="21"/>
              </w:rPr>
              <w:t>供应商确认收到磋商文件修改的时间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40359C61">
            <w:pPr>
              <w:adjustRightInd w:val="0"/>
              <w:spacing w:line="400" w:lineRule="exact"/>
              <w:ind w:firstLine="0" w:firstLineChars="0"/>
              <w:jc w:val="left"/>
              <w:textAlignment w:val="baseline"/>
              <w:rPr>
                <w:rFonts w:ascii="宋体" w:hAnsi="宋体" w:cs="宋体"/>
                <w:szCs w:val="21"/>
              </w:rPr>
            </w:pPr>
            <w:r>
              <w:rPr>
                <w:rFonts w:hint="eastAsia" w:ascii="宋体" w:hAnsi="宋体" w:cs="宋体"/>
                <w:szCs w:val="21"/>
              </w:rPr>
              <w:t>在收到相应修改文件后</w:t>
            </w:r>
            <w:r>
              <w:rPr>
                <w:rFonts w:hint="eastAsia" w:ascii="宋体" w:hAnsi="宋体" w:cs="宋体"/>
                <w:szCs w:val="21"/>
                <w:u w:val="single"/>
              </w:rPr>
              <w:t xml:space="preserve"> 24 </w:t>
            </w:r>
            <w:r>
              <w:rPr>
                <w:rFonts w:hint="eastAsia" w:ascii="宋体" w:hAnsi="宋体" w:cs="宋体"/>
                <w:szCs w:val="21"/>
              </w:rPr>
              <w:t>小时内</w:t>
            </w:r>
          </w:p>
        </w:tc>
      </w:tr>
      <w:tr w14:paraId="0F1CF4B5">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C1965EF">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3.1</w:t>
            </w:r>
          </w:p>
        </w:tc>
        <w:tc>
          <w:tcPr>
            <w:tcW w:w="1933" w:type="dxa"/>
            <w:tcBorders>
              <w:top w:val="single" w:color="auto" w:sz="4" w:space="0"/>
              <w:left w:val="single" w:color="auto" w:sz="4" w:space="0"/>
              <w:bottom w:val="single" w:color="auto" w:sz="4" w:space="0"/>
              <w:right w:val="single" w:color="auto" w:sz="4" w:space="0"/>
            </w:tcBorders>
            <w:noWrap/>
            <w:vAlign w:val="center"/>
          </w:tcPr>
          <w:p w14:paraId="16019290">
            <w:pPr>
              <w:spacing w:line="400" w:lineRule="exact"/>
              <w:ind w:firstLine="0" w:firstLineChars="0"/>
              <w:jc w:val="center"/>
              <w:rPr>
                <w:rFonts w:ascii="宋体" w:hAnsi="宋体" w:cs="宋体"/>
                <w:szCs w:val="21"/>
              </w:rPr>
            </w:pPr>
            <w:r>
              <w:rPr>
                <w:rFonts w:hint="eastAsia" w:ascii="宋体" w:hAnsi="宋体" w:cs="宋体"/>
                <w:szCs w:val="21"/>
              </w:rPr>
              <w:t>构成响应文件</w:t>
            </w:r>
          </w:p>
          <w:p w14:paraId="702E85DC">
            <w:pPr>
              <w:spacing w:line="400" w:lineRule="exact"/>
              <w:ind w:firstLine="0" w:firstLineChars="0"/>
              <w:jc w:val="center"/>
              <w:rPr>
                <w:rFonts w:ascii="宋体" w:hAnsi="宋体" w:cs="宋体"/>
                <w:szCs w:val="21"/>
              </w:rPr>
            </w:pPr>
            <w:r>
              <w:rPr>
                <w:rFonts w:hint="eastAsia" w:ascii="宋体" w:hAnsi="宋体" w:cs="宋体"/>
                <w:szCs w:val="21"/>
              </w:rPr>
              <w:t>的其他材料</w:t>
            </w:r>
          </w:p>
        </w:tc>
        <w:tc>
          <w:tcPr>
            <w:tcW w:w="5881" w:type="dxa"/>
            <w:tcBorders>
              <w:top w:val="single" w:color="auto" w:sz="4" w:space="0"/>
              <w:left w:val="single" w:color="auto" w:sz="4" w:space="0"/>
              <w:bottom w:val="single" w:color="auto" w:sz="4" w:space="0"/>
              <w:right w:val="single" w:color="auto" w:sz="4" w:space="0"/>
            </w:tcBorders>
            <w:noWrap/>
            <w:vAlign w:val="center"/>
          </w:tcPr>
          <w:p w14:paraId="6B674074">
            <w:pPr>
              <w:adjustRightInd w:val="0"/>
              <w:spacing w:line="400" w:lineRule="exact"/>
              <w:ind w:firstLine="0" w:firstLineChars="0"/>
              <w:jc w:val="left"/>
              <w:textAlignment w:val="baseline"/>
              <w:rPr>
                <w:rFonts w:ascii="宋体" w:hAnsi="宋体" w:cs="宋体"/>
                <w:szCs w:val="21"/>
              </w:rPr>
            </w:pPr>
            <w:r>
              <w:rPr>
                <w:rFonts w:hint="eastAsia" w:ascii="宋体" w:hAnsi="宋体" w:cs="宋体"/>
                <w:szCs w:val="21"/>
              </w:rPr>
              <w:t>供应商认为需要提交的其他证明材料</w:t>
            </w:r>
          </w:p>
        </w:tc>
      </w:tr>
      <w:tr w14:paraId="75E29DBC">
        <w:tblPrEx>
          <w:tblCellMar>
            <w:top w:w="0" w:type="dxa"/>
            <w:left w:w="108" w:type="dxa"/>
            <w:bottom w:w="0" w:type="dxa"/>
            <w:right w:w="108" w:type="dxa"/>
          </w:tblCellMar>
        </w:tblPrEx>
        <w:trPr>
          <w:trHeight w:val="39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64E3A369">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3.3.1</w:t>
            </w:r>
          </w:p>
        </w:tc>
        <w:tc>
          <w:tcPr>
            <w:tcW w:w="1933" w:type="dxa"/>
            <w:tcBorders>
              <w:top w:val="single" w:color="auto" w:sz="4" w:space="0"/>
              <w:left w:val="single" w:color="auto" w:sz="4" w:space="0"/>
              <w:bottom w:val="single" w:color="auto" w:sz="4" w:space="0"/>
              <w:right w:val="single" w:color="auto" w:sz="4" w:space="0"/>
            </w:tcBorders>
            <w:noWrap/>
            <w:vAlign w:val="center"/>
          </w:tcPr>
          <w:p w14:paraId="53A8018A">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磋商有效期</w:t>
            </w:r>
          </w:p>
        </w:tc>
        <w:tc>
          <w:tcPr>
            <w:tcW w:w="5881" w:type="dxa"/>
            <w:tcBorders>
              <w:top w:val="single" w:color="auto" w:sz="4" w:space="0"/>
              <w:left w:val="single" w:color="auto" w:sz="4" w:space="0"/>
              <w:bottom w:val="single" w:color="auto" w:sz="4" w:space="0"/>
              <w:right w:val="single" w:color="auto" w:sz="4" w:space="0"/>
            </w:tcBorders>
            <w:noWrap/>
            <w:vAlign w:val="center"/>
          </w:tcPr>
          <w:p w14:paraId="61DA03DF">
            <w:pPr>
              <w:adjustRightInd w:val="0"/>
              <w:spacing w:line="400" w:lineRule="exact"/>
              <w:ind w:firstLine="0" w:firstLineChars="0"/>
              <w:jc w:val="left"/>
              <w:textAlignment w:val="baseline"/>
              <w:rPr>
                <w:rFonts w:ascii="宋体" w:hAnsi="宋体" w:cs="宋体"/>
                <w:szCs w:val="21"/>
              </w:rPr>
            </w:pPr>
            <w:r>
              <w:rPr>
                <w:rFonts w:hint="eastAsia" w:ascii="宋体" w:hAnsi="宋体" w:cs="宋体"/>
                <w:kern w:val="0"/>
                <w:szCs w:val="21"/>
              </w:rPr>
              <w:t>60日历天（响应文件截止之日起）</w:t>
            </w:r>
          </w:p>
        </w:tc>
      </w:tr>
      <w:tr w14:paraId="2DFE852A">
        <w:tblPrEx>
          <w:tblCellMar>
            <w:top w:w="0" w:type="dxa"/>
            <w:left w:w="108" w:type="dxa"/>
            <w:bottom w:w="0" w:type="dxa"/>
            <w:right w:w="108" w:type="dxa"/>
          </w:tblCellMar>
        </w:tblPrEx>
        <w:trPr>
          <w:trHeight w:val="359"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231AF03D">
            <w:pPr>
              <w:spacing w:line="400" w:lineRule="exact"/>
              <w:ind w:firstLine="0" w:firstLineChars="0"/>
              <w:jc w:val="center"/>
              <w:textAlignment w:val="center"/>
              <w:rPr>
                <w:rFonts w:ascii="宋体" w:hAnsi="宋体"/>
                <w:szCs w:val="21"/>
              </w:rPr>
            </w:pPr>
            <w:r>
              <w:rPr>
                <w:rFonts w:hint="eastAsia" w:ascii="宋体" w:hAnsi="宋体"/>
                <w:szCs w:val="21"/>
              </w:rPr>
              <w:t>3.2.3</w:t>
            </w:r>
          </w:p>
        </w:tc>
        <w:tc>
          <w:tcPr>
            <w:tcW w:w="1933" w:type="dxa"/>
            <w:tcBorders>
              <w:top w:val="single" w:color="auto" w:sz="4" w:space="0"/>
              <w:left w:val="single" w:color="auto" w:sz="4" w:space="0"/>
              <w:bottom w:val="single" w:color="auto" w:sz="4" w:space="0"/>
              <w:right w:val="single" w:color="auto" w:sz="4" w:space="0"/>
            </w:tcBorders>
            <w:noWrap/>
            <w:vAlign w:val="center"/>
          </w:tcPr>
          <w:p w14:paraId="692F56D3">
            <w:pPr>
              <w:spacing w:line="400" w:lineRule="exact"/>
              <w:ind w:firstLine="0" w:firstLineChars="0"/>
              <w:jc w:val="center"/>
              <w:textAlignment w:val="center"/>
              <w:rPr>
                <w:szCs w:val="24"/>
              </w:rPr>
            </w:pPr>
            <w:r>
              <w:t>报价方式</w:t>
            </w:r>
          </w:p>
        </w:tc>
        <w:tc>
          <w:tcPr>
            <w:tcW w:w="5881" w:type="dxa"/>
            <w:tcBorders>
              <w:top w:val="single" w:color="auto" w:sz="4" w:space="0"/>
              <w:left w:val="single" w:color="auto" w:sz="4" w:space="0"/>
              <w:bottom w:val="single" w:color="auto" w:sz="4" w:space="0"/>
              <w:right w:val="single" w:color="auto" w:sz="4" w:space="0"/>
            </w:tcBorders>
            <w:noWrap/>
            <w:vAlign w:val="center"/>
          </w:tcPr>
          <w:p w14:paraId="42F06563">
            <w:pPr>
              <w:spacing w:line="400" w:lineRule="exact"/>
              <w:ind w:firstLine="0" w:firstLineChars="0"/>
              <w:jc w:val="left"/>
              <w:textAlignment w:val="center"/>
              <w:rPr>
                <w:rFonts w:ascii="宋体" w:hAnsi="宋体"/>
                <w:szCs w:val="24"/>
              </w:rPr>
            </w:pPr>
            <w:r>
              <w:rPr>
                <w:rFonts w:hint="eastAsia" w:ascii="宋体" w:hAnsi="宋体"/>
              </w:rPr>
              <w:t>自主报价</w:t>
            </w:r>
          </w:p>
        </w:tc>
      </w:tr>
      <w:tr w14:paraId="5ED1F836">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27183D7">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3.6</w:t>
            </w:r>
          </w:p>
        </w:tc>
        <w:tc>
          <w:tcPr>
            <w:tcW w:w="1933" w:type="dxa"/>
            <w:tcBorders>
              <w:top w:val="single" w:color="auto" w:sz="4" w:space="0"/>
              <w:left w:val="single" w:color="auto" w:sz="4" w:space="0"/>
              <w:bottom w:val="single" w:color="auto" w:sz="4" w:space="0"/>
              <w:right w:val="single" w:color="auto" w:sz="4" w:space="0"/>
            </w:tcBorders>
            <w:noWrap/>
            <w:vAlign w:val="center"/>
          </w:tcPr>
          <w:p w14:paraId="0554C4A2">
            <w:pPr>
              <w:spacing w:line="400" w:lineRule="exact"/>
              <w:ind w:firstLine="0" w:firstLineChars="0"/>
              <w:jc w:val="center"/>
              <w:rPr>
                <w:rFonts w:ascii="宋体" w:hAnsi="宋体" w:cs="宋体"/>
                <w:szCs w:val="21"/>
              </w:rPr>
            </w:pPr>
            <w:r>
              <w:rPr>
                <w:rFonts w:hint="eastAsia" w:ascii="宋体" w:hAnsi="宋体" w:cs="宋体"/>
                <w:szCs w:val="21"/>
              </w:rPr>
              <w:t>是否允许递交</w:t>
            </w:r>
          </w:p>
          <w:p w14:paraId="6782BDD7">
            <w:pPr>
              <w:spacing w:line="400" w:lineRule="exact"/>
              <w:ind w:firstLine="0" w:firstLineChars="0"/>
              <w:jc w:val="center"/>
              <w:rPr>
                <w:rFonts w:ascii="宋体" w:hAnsi="宋体" w:cs="宋体"/>
                <w:szCs w:val="21"/>
              </w:rPr>
            </w:pPr>
            <w:r>
              <w:rPr>
                <w:rFonts w:hint="eastAsia" w:ascii="宋体" w:hAnsi="宋体" w:cs="宋体"/>
                <w:szCs w:val="21"/>
              </w:rPr>
              <w:t>备选磋商方案</w:t>
            </w:r>
          </w:p>
        </w:tc>
        <w:tc>
          <w:tcPr>
            <w:tcW w:w="5881" w:type="dxa"/>
            <w:tcBorders>
              <w:top w:val="single" w:color="auto" w:sz="4" w:space="0"/>
              <w:left w:val="single" w:color="auto" w:sz="4" w:space="0"/>
              <w:bottom w:val="single" w:color="auto" w:sz="4" w:space="0"/>
              <w:right w:val="single" w:color="auto" w:sz="4" w:space="0"/>
            </w:tcBorders>
            <w:noWrap/>
            <w:vAlign w:val="center"/>
          </w:tcPr>
          <w:p w14:paraId="26C938DA">
            <w:pPr>
              <w:pStyle w:val="18"/>
              <w:topLinePunct/>
              <w:adjustRightInd w:val="0"/>
              <w:spacing w:line="400" w:lineRule="exact"/>
              <w:ind w:firstLine="0" w:firstLineChars="0"/>
              <w:jc w:val="left"/>
              <w:textAlignment w:val="baseline"/>
              <w:rPr>
                <w:rFonts w:ascii="宋体" w:hAnsi="宋体" w:cs="宋体"/>
                <w:kern w:val="2"/>
                <w:sz w:val="21"/>
                <w:szCs w:val="21"/>
              </w:rPr>
            </w:pPr>
            <w:r>
              <w:rPr>
                <w:rFonts w:hint="eastAsia" w:ascii="宋体" w:hAnsi="宋体" w:cs="宋体"/>
                <w:kern w:val="2"/>
                <w:sz w:val="21"/>
                <w:szCs w:val="21"/>
              </w:rPr>
              <w:t>不允许</w:t>
            </w:r>
          </w:p>
        </w:tc>
      </w:tr>
      <w:tr w14:paraId="09F35455">
        <w:tblPrEx>
          <w:tblCellMar>
            <w:top w:w="0" w:type="dxa"/>
            <w:left w:w="108" w:type="dxa"/>
            <w:bottom w:w="0" w:type="dxa"/>
            <w:right w:w="108" w:type="dxa"/>
          </w:tblCellMar>
        </w:tblPrEx>
        <w:trPr>
          <w:trHeight w:val="48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CECC930">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3.7.3</w:t>
            </w:r>
          </w:p>
        </w:tc>
        <w:tc>
          <w:tcPr>
            <w:tcW w:w="1933" w:type="dxa"/>
            <w:tcBorders>
              <w:top w:val="single" w:color="auto" w:sz="4" w:space="0"/>
              <w:left w:val="single" w:color="auto" w:sz="4" w:space="0"/>
              <w:bottom w:val="single" w:color="auto" w:sz="4" w:space="0"/>
              <w:right w:val="single" w:color="auto" w:sz="4" w:space="0"/>
            </w:tcBorders>
            <w:noWrap/>
            <w:vAlign w:val="center"/>
          </w:tcPr>
          <w:p w14:paraId="16D05622">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电子响应文件</w:t>
            </w:r>
          </w:p>
          <w:p w14:paraId="6EE581A5">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签字盖章要求</w:t>
            </w:r>
          </w:p>
        </w:tc>
        <w:tc>
          <w:tcPr>
            <w:tcW w:w="5881" w:type="dxa"/>
            <w:tcBorders>
              <w:top w:val="single" w:color="auto" w:sz="4" w:space="0"/>
              <w:left w:val="single" w:color="auto" w:sz="4" w:space="0"/>
              <w:bottom w:val="single" w:color="auto" w:sz="4" w:space="0"/>
              <w:right w:val="single" w:color="auto" w:sz="4" w:space="0"/>
            </w:tcBorders>
            <w:noWrap/>
            <w:vAlign w:val="center"/>
          </w:tcPr>
          <w:p w14:paraId="3A95215B">
            <w:pPr>
              <w:adjustRightInd w:val="0"/>
              <w:snapToGrid w:val="0"/>
              <w:spacing w:line="400" w:lineRule="exact"/>
              <w:ind w:firstLine="0" w:firstLineChars="0"/>
              <w:jc w:val="left"/>
              <w:rPr>
                <w:rFonts w:ascii="宋体" w:hAnsi="宋体" w:cs="宋体"/>
                <w:szCs w:val="21"/>
              </w:rPr>
            </w:pPr>
            <w:r>
              <w:rPr>
                <w:rFonts w:hint="eastAsia" w:ascii="宋体" w:hAnsi="宋体" w:cs="宋体"/>
                <w:szCs w:val="21"/>
              </w:rPr>
              <w:t>（1）所有要求供应商加盖公章的地方都须加盖供应商的 CA 印章。</w:t>
            </w:r>
          </w:p>
          <w:p w14:paraId="7E27F41B">
            <w:pPr>
              <w:adjustRightInd w:val="0"/>
              <w:snapToGrid w:val="0"/>
              <w:spacing w:line="400" w:lineRule="exact"/>
              <w:ind w:firstLine="0" w:firstLineChars="0"/>
              <w:jc w:val="left"/>
              <w:rPr>
                <w:rFonts w:ascii="宋体" w:hAnsi="宋体" w:cs="宋体"/>
                <w:szCs w:val="21"/>
              </w:rPr>
            </w:pPr>
            <w:r>
              <w:rPr>
                <w:rFonts w:hint="eastAsia" w:ascii="宋体" w:hAnsi="宋体" w:cs="宋体"/>
                <w:szCs w:val="21"/>
              </w:rPr>
              <w:t>（2）所有要求法定代表人或其委托代理人签字的地方都须法定代表人或其委托代理人加盖CA印章或签字。</w:t>
            </w:r>
          </w:p>
        </w:tc>
      </w:tr>
      <w:tr w14:paraId="4E80D86B">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DDB1164">
            <w:pPr>
              <w:spacing w:line="400" w:lineRule="exact"/>
              <w:ind w:firstLine="0" w:firstLineChars="0"/>
              <w:jc w:val="center"/>
              <w:rPr>
                <w:rFonts w:ascii="宋体" w:hAnsi="宋体" w:cs="宋体"/>
                <w:bCs/>
                <w:szCs w:val="21"/>
              </w:rPr>
            </w:pPr>
            <w:r>
              <w:rPr>
                <w:rFonts w:hint="eastAsia" w:ascii="宋体" w:hAnsi="宋体" w:cs="宋体"/>
                <w:bCs/>
                <w:szCs w:val="21"/>
              </w:rPr>
              <w:t>3.7.4</w:t>
            </w:r>
          </w:p>
        </w:tc>
        <w:tc>
          <w:tcPr>
            <w:tcW w:w="1933" w:type="dxa"/>
            <w:tcBorders>
              <w:top w:val="single" w:color="auto" w:sz="4" w:space="0"/>
              <w:left w:val="single" w:color="auto" w:sz="4" w:space="0"/>
              <w:bottom w:val="single" w:color="auto" w:sz="4" w:space="0"/>
              <w:right w:val="single" w:color="auto" w:sz="4" w:space="0"/>
            </w:tcBorders>
            <w:noWrap/>
            <w:vAlign w:val="center"/>
          </w:tcPr>
          <w:p w14:paraId="4F886CE7">
            <w:pPr>
              <w:adjustRightInd w:val="0"/>
              <w:snapToGrid w:val="0"/>
              <w:spacing w:line="400" w:lineRule="exact"/>
              <w:ind w:firstLine="0" w:firstLineChars="0"/>
              <w:jc w:val="center"/>
              <w:rPr>
                <w:rFonts w:ascii="宋体" w:hAnsi="宋体" w:cs="宋体"/>
                <w:bCs/>
                <w:szCs w:val="21"/>
              </w:rPr>
            </w:pPr>
            <w:r>
              <w:rPr>
                <w:rFonts w:hint="eastAsia" w:ascii="宋体" w:hAnsi="宋体" w:cs="宋体"/>
                <w:bCs/>
                <w:szCs w:val="21"/>
              </w:rPr>
              <w:t>响应文件份数</w:t>
            </w:r>
          </w:p>
        </w:tc>
        <w:tc>
          <w:tcPr>
            <w:tcW w:w="5881" w:type="dxa"/>
            <w:tcBorders>
              <w:top w:val="single" w:color="auto" w:sz="4" w:space="0"/>
              <w:left w:val="single" w:color="auto" w:sz="4" w:space="0"/>
              <w:bottom w:val="single" w:color="auto" w:sz="4" w:space="0"/>
              <w:right w:val="single" w:color="auto" w:sz="4" w:space="0"/>
            </w:tcBorders>
            <w:noWrap/>
            <w:vAlign w:val="center"/>
          </w:tcPr>
          <w:p w14:paraId="7ED4D071">
            <w:pPr>
              <w:adjustRightInd w:val="0"/>
              <w:snapToGrid w:val="0"/>
              <w:spacing w:line="400" w:lineRule="exact"/>
              <w:ind w:firstLine="0" w:firstLineChars="0"/>
              <w:jc w:val="left"/>
              <w:rPr>
                <w:rFonts w:ascii="宋体" w:hAnsi="宋体" w:cs="宋体"/>
                <w:bCs/>
                <w:szCs w:val="21"/>
              </w:rPr>
            </w:pPr>
            <w:r>
              <w:rPr>
                <w:rFonts w:hint="eastAsia" w:ascii="宋体" w:hAnsi="宋体" w:cs="宋体"/>
                <w:bCs/>
                <w:szCs w:val="21"/>
              </w:rPr>
              <w:t>加密的电子响应文件壹份（*.XYTF 格式，在会员系统指定位置上传）</w:t>
            </w:r>
          </w:p>
        </w:tc>
      </w:tr>
      <w:tr w14:paraId="51D467CB">
        <w:tblPrEx>
          <w:tblCellMar>
            <w:top w:w="0" w:type="dxa"/>
            <w:left w:w="108" w:type="dxa"/>
            <w:bottom w:w="0" w:type="dxa"/>
            <w:right w:w="108" w:type="dxa"/>
          </w:tblCellMar>
        </w:tblPrEx>
        <w:trPr>
          <w:trHeight w:val="402"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4BCE4A78">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4.2</w:t>
            </w:r>
          </w:p>
        </w:tc>
        <w:tc>
          <w:tcPr>
            <w:tcW w:w="1933" w:type="dxa"/>
            <w:tcBorders>
              <w:top w:val="single" w:color="auto" w:sz="4" w:space="0"/>
              <w:left w:val="single" w:color="auto" w:sz="4" w:space="0"/>
              <w:bottom w:val="single" w:color="auto" w:sz="4" w:space="0"/>
              <w:right w:val="single" w:color="auto" w:sz="4" w:space="0"/>
            </w:tcBorders>
            <w:noWrap/>
            <w:vAlign w:val="center"/>
          </w:tcPr>
          <w:p w14:paraId="50334963">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响应文件的递交</w:t>
            </w:r>
          </w:p>
        </w:tc>
        <w:tc>
          <w:tcPr>
            <w:tcW w:w="5881" w:type="dxa"/>
            <w:tcBorders>
              <w:top w:val="single" w:color="auto" w:sz="4" w:space="0"/>
              <w:left w:val="single" w:color="auto" w:sz="4" w:space="0"/>
              <w:bottom w:val="single" w:color="auto" w:sz="4" w:space="0"/>
              <w:right w:val="single" w:color="auto" w:sz="4" w:space="0"/>
            </w:tcBorders>
            <w:noWrap/>
            <w:vAlign w:val="center"/>
          </w:tcPr>
          <w:p w14:paraId="79B7690A">
            <w:pPr>
              <w:adjustRightInd w:val="0"/>
              <w:snapToGrid w:val="0"/>
              <w:spacing w:line="400" w:lineRule="exact"/>
              <w:ind w:firstLine="0" w:firstLineChars="0"/>
              <w:jc w:val="left"/>
              <w:rPr>
                <w:rFonts w:ascii="宋体" w:hAnsi="宋体" w:cs="宋体"/>
                <w:szCs w:val="21"/>
              </w:rPr>
            </w:pPr>
            <w:r>
              <w:rPr>
                <w:rFonts w:hint="eastAsia" w:ascii="宋体" w:hAnsi="宋体" w:cs="宋体"/>
                <w:szCs w:val="21"/>
              </w:rPr>
              <w:t>1、电子响应文件的递交</w:t>
            </w:r>
          </w:p>
          <w:p w14:paraId="3DADB0DD">
            <w:pPr>
              <w:adjustRightInd w:val="0"/>
              <w:snapToGrid w:val="0"/>
              <w:spacing w:line="400" w:lineRule="exact"/>
              <w:ind w:firstLine="0" w:firstLineChars="0"/>
              <w:jc w:val="left"/>
              <w:rPr>
                <w:rFonts w:ascii="宋体" w:hAnsi="宋体" w:cs="宋体"/>
                <w:szCs w:val="21"/>
              </w:rPr>
            </w:pPr>
            <w:r>
              <w:rPr>
                <w:rFonts w:hint="eastAsia" w:ascii="宋体" w:hAnsi="宋体" w:cs="宋体"/>
                <w:szCs w:val="21"/>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4B35AA12">
            <w:pPr>
              <w:adjustRightInd w:val="0"/>
              <w:snapToGrid w:val="0"/>
              <w:spacing w:line="400" w:lineRule="exact"/>
              <w:ind w:firstLine="0" w:firstLineChars="0"/>
              <w:jc w:val="left"/>
              <w:rPr>
                <w:rFonts w:ascii="宋体" w:hAnsi="宋体" w:cs="宋体"/>
                <w:szCs w:val="21"/>
              </w:rPr>
            </w:pPr>
            <w:r>
              <w:rPr>
                <w:rFonts w:hint="eastAsia" w:ascii="宋体" w:hAnsi="宋体" w:cs="宋体"/>
                <w:szCs w:val="21"/>
              </w:rPr>
              <w:t xml:space="preserve">2、本项目采用“不见面开标”交易方式，不见面开标大厅网址为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ascii="宋体" w:hAnsi="宋体" w:eastAsia="宋体" w:cs="宋体"/>
                <w:spacing w:val="-4"/>
                <w:sz w:val="21"/>
                <w:szCs w:val="21"/>
              </w:rPr>
              <w:fldChar w:fldCharType="begin"/>
            </w:r>
            <w:r>
              <w:rPr>
                <w:rFonts w:ascii="宋体" w:hAnsi="宋体" w:eastAsia="宋体" w:cs="宋体"/>
                <w:spacing w:val="-4"/>
                <w:sz w:val="21"/>
                <w:szCs w:val="21"/>
              </w:rPr>
              <w:instrText xml:space="preserve"> HYPERLINK "https://ggzyjy.xinyang.gov.cn/BidOpening" </w:instrText>
            </w:r>
            <w:r>
              <w:rPr>
                <w:rFonts w:ascii="宋体" w:hAnsi="宋体" w:eastAsia="宋体" w:cs="宋体"/>
                <w:spacing w:val="-4"/>
                <w:sz w:val="21"/>
                <w:szCs w:val="21"/>
              </w:rPr>
              <w:fldChar w:fldCharType="separate"/>
            </w:r>
            <w:r>
              <w:rPr>
                <w:rFonts w:ascii="宋体" w:hAnsi="宋体" w:eastAsia="宋体" w:cs="宋体"/>
                <w:spacing w:val="-4"/>
                <w:sz w:val="21"/>
                <w:szCs w:val="21"/>
              </w:rPr>
              <w:t>https://ggzyjy.xinyang.gov.cn/BidOpening</w:t>
            </w:r>
            <w:r>
              <w:rPr>
                <w:rFonts w:ascii="宋体" w:hAnsi="宋体" w:eastAsia="宋体" w:cs="宋体"/>
                <w:spacing w:val="-4"/>
                <w:sz w:val="21"/>
                <w:szCs w:val="21"/>
              </w:rPr>
              <w:fldChar w:fldCharType="end"/>
            </w:r>
            <w:r>
              <w:rPr>
                <w:rFonts w:hint="eastAsia" w:ascii="宋体" w:hAnsi="宋体" w:cs="宋体"/>
                <w:szCs w:val="21"/>
              </w:rPr>
              <w:t>，供应商无需寄送和递交非加密的电子响应文件，无需到现场参加开标会议，无需到达现场提交原件资料。</w:t>
            </w:r>
            <w:r>
              <w:rPr>
                <w:rFonts w:hint="eastAsia" w:ascii="宋体" w:hAnsi="宋体" w:cs="宋体"/>
                <w:szCs w:val="21"/>
              </w:rPr>
              <w:fldChar w:fldCharType="end"/>
            </w:r>
          </w:p>
        </w:tc>
      </w:tr>
      <w:tr w14:paraId="0C770C59">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CB43CEE">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5.1</w:t>
            </w:r>
          </w:p>
        </w:tc>
        <w:tc>
          <w:tcPr>
            <w:tcW w:w="1933" w:type="dxa"/>
            <w:tcBorders>
              <w:top w:val="single" w:color="auto" w:sz="4" w:space="0"/>
              <w:left w:val="single" w:color="auto" w:sz="4" w:space="0"/>
              <w:bottom w:val="single" w:color="auto" w:sz="4" w:space="0"/>
              <w:right w:val="single" w:color="auto" w:sz="4" w:space="0"/>
            </w:tcBorders>
            <w:noWrap/>
            <w:vAlign w:val="center"/>
          </w:tcPr>
          <w:p w14:paraId="1762B0E4">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提交响应文件</w:t>
            </w:r>
          </w:p>
          <w:p w14:paraId="0C260FBE">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截止时间</w:t>
            </w:r>
          </w:p>
        </w:tc>
        <w:tc>
          <w:tcPr>
            <w:tcW w:w="5881" w:type="dxa"/>
            <w:tcBorders>
              <w:top w:val="single" w:color="auto" w:sz="4" w:space="0"/>
              <w:left w:val="single" w:color="auto" w:sz="4" w:space="0"/>
              <w:bottom w:val="single" w:color="auto" w:sz="4" w:space="0"/>
              <w:right w:val="single" w:color="auto" w:sz="4" w:space="0"/>
            </w:tcBorders>
            <w:noWrap/>
            <w:vAlign w:val="center"/>
          </w:tcPr>
          <w:p w14:paraId="39CD48B8">
            <w:pPr>
              <w:adjustRightInd w:val="0"/>
              <w:spacing w:line="400" w:lineRule="exact"/>
              <w:ind w:firstLine="0" w:firstLineChars="0"/>
              <w:jc w:val="left"/>
              <w:textAlignment w:val="baseline"/>
              <w:rPr>
                <w:rFonts w:ascii="宋体" w:hAnsi="宋体" w:cs="宋体"/>
                <w:szCs w:val="21"/>
                <w:highlight w:val="green"/>
              </w:rPr>
            </w:pPr>
            <w:r>
              <w:rPr>
                <w:rFonts w:hint="eastAsia" w:ascii="宋体" w:hAnsi="宋体" w:eastAsia="宋体" w:cs="宋体"/>
                <w:bCs/>
                <w:color w:val="auto"/>
                <w:szCs w:val="21"/>
                <w:highlight w:val="none"/>
              </w:rPr>
              <w:t>202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 xml:space="preserve"> 6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 xml:space="preserve"> 24 </w:t>
            </w:r>
            <w:r>
              <w:rPr>
                <w:rFonts w:hint="eastAsia" w:ascii="宋体" w:hAnsi="宋体" w:eastAsia="宋体" w:cs="宋体"/>
                <w:bCs/>
                <w:color w:val="auto"/>
                <w:szCs w:val="21"/>
                <w:highlight w:val="none"/>
              </w:rPr>
              <w:t>日</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时</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tc>
      </w:tr>
      <w:tr w14:paraId="2ABFD929">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1189ABBF">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5.1.1</w:t>
            </w:r>
          </w:p>
        </w:tc>
        <w:tc>
          <w:tcPr>
            <w:tcW w:w="1933" w:type="dxa"/>
            <w:tcBorders>
              <w:top w:val="single" w:color="auto" w:sz="4" w:space="0"/>
              <w:left w:val="single" w:color="auto" w:sz="4" w:space="0"/>
              <w:bottom w:val="single" w:color="auto" w:sz="4" w:space="0"/>
              <w:right w:val="single" w:color="auto" w:sz="4" w:space="0"/>
            </w:tcBorders>
            <w:noWrap/>
            <w:vAlign w:val="center"/>
          </w:tcPr>
          <w:p w14:paraId="2DA9B2A2">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磋商时间和地点</w:t>
            </w:r>
          </w:p>
        </w:tc>
        <w:tc>
          <w:tcPr>
            <w:tcW w:w="5881" w:type="dxa"/>
            <w:tcBorders>
              <w:top w:val="single" w:color="auto" w:sz="4" w:space="0"/>
              <w:left w:val="single" w:color="auto" w:sz="4" w:space="0"/>
              <w:bottom w:val="single" w:color="auto" w:sz="4" w:space="0"/>
              <w:right w:val="single" w:color="auto" w:sz="4" w:space="0"/>
            </w:tcBorders>
            <w:noWrap/>
            <w:vAlign w:val="center"/>
          </w:tcPr>
          <w:p w14:paraId="33053DA1">
            <w:pPr>
              <w:autoSpaceDE w:val="0"/>
              <w:autoSpaceDN w:val="0"/>
              <w:adjustRightInd w:val="0"/>
              <w:spacing w:line="400" w:lineRule="exact"/>
              <w:ind w:firstLine="0" w:firstLineChars="0"/>
              <w:jc w:val="left"/>
              <w:rPr>
                <w:rFonts w:ascii="宋体" w:hAnsi="宋体" w:cs="宋体"/>
                <w:kern w:val="0"/>
                <w:szCs w:val="21"/>
              </w:rPr>
            </w:pPr>
            <w:r>
              <w:rPr>
                <w:rFonts w:hint="eastAsia" w:ascii="宋体" w:hAnsi="宋体" w:cs="宋体"/>
                <w:szCs w:val="21"/>
              </w:rPr>
              <w:t>磋商</w:t>
            </w:r>
            <w:r>
              <w:rPr>
                <w:rFonts w:hint="eastAsia" w:ascii="宋体" w:hAnsi="宋体" w:cs="宋体"/>
                <w:kern w:val="0"/>
                <w:szCs w:val="21"/>
              </w:rPr>
              <w:t>时间：同</w:t>
            </w:r>
            <w:r>
              <w:rPr>
                <w:rFonts w:hint="eastAsia" w:ascii="宋体" w:hAnsi="宋体" w:cs="宋体"/>
                <w:szCs w:val="21"/>
              </w:rPr>
              <w:t>响应文件提交</w:t>
            </w:r>
            <w:r>
              <w:rPr>
                <w:rFonts w:hint="eastAsia" w:ascii="宋体" w:hAnsi="宋体" w:cs="宋体"/>
                <w:kern w:val="0"/>
                <w:szCs w:val="21"/>
              </w:rPr>
              <w:t>截止时间</w:t>
            </w:r>
          </w:p>
          <w:p w14:paraId="41F4F8C4">
            <w:pPr>
              <w:spacing w:line="400" w:lineRule="exact"/>
              <w:ind w:firstLine="0" w:firstLineChars="0"/>
              <w:jc w:val="left"/>
              <w:rPr>
                <w:rFonts w:ascii="宋体" w:hAnsi="宋体" w:eastAsia="宋体" w:cs="宋体"/>
                <w:szCs w:val="21"/>
              </w:rPr>
            </w:pPr>
            <w:r>
              <w:rPr>
                <w:rFonts w:hint="eastAsia" w:ascii="宋体" w:hAnsi="宋体" w:cs="宋体"/>
                <w:szCs w:val="21"/>
              </w:rPr>
              <w:t>磋商</w:t>
            </w:r>
            <w:r>
              <w:rPr>
                <w:rFonts w:hint="eastAsia" w:ascii="宋体" w:hAnsi="宋体" w:cs="宋体"/>
                <w:kern w:val="0"/>
                <w:szCs w:val="21"/>
              </w:rPr>
              <w:t>地点：</w:t>
            </w:r>
            <w:r>
              <w:rPr>
                <w:rFonts w:hint="eastAsia" w:ascii="宋体" w:hAnsi="宋体" w:cs="宋体"/>
                <w:kern w:val="0"/>
                <w:szCs w:val="21"/>
                <w:lang w:val="en-US" w:eastAsia="zh-CN"/>
              </w:rPr>
              <w:t>罗山县</w:t>
            </w:r>
            <w:r>
              <w:rPr>
                <w:rFonts w:hint="eastAsia" w:ascii="宋体" w:hAnsi="宋体" w:cs="宋体"/>
                <w:kern w:val="0"/>
                <w:szCs w:val="21"/>
              </w:rPr>
              <w:t>公共资源交易中心不见面开标大厅</w:t>
            </w:r>
          </w:p>
        </w:tc>
      </w:tr>
      <w:tr w14:paraId="30793630">
        <w:tblPrEx>
          <w:tblCellMar>
            <w:top w:w="0" w:type="dxa"/>
            <w:left w:w="108" w:type="dxa"/>
            <w:bottom w:w="0" w:type="dxa"/>
            <w:right w:w="108" w:type="dxa"/>
          </w:tblCellMar>
        </w:tblPrEx>
        <w:trPr>
          <w:trHeight w:val="105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AE5AD91">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6.1</w:t>
            </w:r>
          </w:p>
        </w:tc>
        <w:tc>
          <w:tcPr>
            <w:tcW w:w="1933" w:type="dxa"/>
            <w:tcBorders>
              <w:top w:val="single" w:color="auto" w:sz="4" w:space="0"/>
              <w:left w:val="single" w:color="auto" w:sz="4" w:space="0"/>
              <w:bottom w:val="single" w:color="auto" w:sz="4" w:space="0"/>
              <w:right w:val="single" w:color="auto" w:sz="4" w:space="0"/>
            </w:tcBorders>
            <w:noWrap/>
            <w:vAlign w:val="center"/>
          </w:tcPr>
          <w:p w14:paraId="1B83523E">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磋商小组的组建</w:t>
            </w:r>
          </w:p>
        </w:tc>
        <w:tc>
          <w:tcPr>
            <w:tcW w:w="5881" w:type="dxa"/>
            <w:tcBorders>
              <w:top w:val="single" w:color="auto" w:sz="4" w:space="0"/>
              <w:left w:val="single" w:color="auto" w:sz="4" w:space="0"/>
              <w:bottom w:val="single" w:color="auto" w:sz="4" w:space="0"/>
              <w:right w:val="single" w:color="auto" w:sz="4" w:space="0"/>
            </w:tcBorders>
            <w:noWrap/>
            <w:vAlign w:val="center"/>
          </w:tcPr>
          <w:p w14:paraId="50E986A4">
            <w:pPr>
              <w:autoSpaceDE w:val="0"/>
              <w:autoSpaceDN w:val="0"/>
              <w:adjustRightInd w:val="0"/>
              <w:spacing w:line="400" w:lineRule="exact"/>
              <w:ind w:firstLine="0" w:firstLineChars="0"/>
              <w:jc w:val="left"/>
              <w:rPr>
                <w:rFonts w:ascii="宋体" w:hAnsi="宋体" w:cs="宋体"/>
                <w:szCs w:val="21"/>
              </w:rPr>
            </w:pPr>
            <w:r>
              <w:rPr>
                <w:rFonts w:hint="eastAsia" w:ascii="宋体" w:hAnsi="宋体" w:cs="宋体"/>
                <w:szCs w:val="21"/>
              </w:rPr>
              <w:t>磋商小组构成：</w:t>
            </w:r>
            <w:r>
              <w:rPr>
                <w:rFonts w:hint="eastAsia" w:ascii="宋体" w:hAnsi="宋体" w:cs="宋体"/>
                <w:szCs w:val="21"/>
                <w:u w:val="single"/>
              </w:rPr>
              <w:t xml:space="preserve"> 3 </w:t>
            </w:r>
            <w:r>
              <w:rPr>
                <w:rFonts w:hint="eastAsia" w:ascii="宋体" w:hAnsi="宋体" w:cs="宋体"/>
                <w:szCs w:val="21"/>
              </w:rPr>
              <w:t>人，其中业主评委</w:t>
            </w:r>
            <w:r>
              <w:rPr>
                <w:rFonts w:hint="eastAsia" w:ascii="宋体" w:hAnsi="宋体" w:cs="宋体"/>
                <w:szCs w:val="21"/>
                <w:u w:val="single"/>
              </w:rPr>
              <w:t xml:space="preserve"> 1 </w:t>
            </w:r>
            <w:r>
              <w:rPr>
                <w:rFonts w:hint="eastAsia" w:ascii="宋体" w:hAnsi="宋体" w:cs="宋体"/>
                <w:szCs w:val="21"/>
              </w:rPr>
              <w:t>人，技术、经济类专家</w:t>
            </w:r>
            <w:r>
              <w:rPr>
                <w:rFonts w:hint="eastAsia" w:ascii="宋体" w:hAnsi="宋体" w:cs="宋体"/>
                <w:szCs w:val="21"/>
                <w:u w:val="single"/>
              </w:rPr>
              <w:t xml:space="preserve"> 2 </w:t>
            </w:r>
            <w:r>
              <w:rPr>
                <w:rFonts w:hint="eastAsia" w:ascii="宋体" w:hAnsi="宋体" w:cs="宋体"/>
                <w:szCs w:val="21"/>
              </w:rPr>
              <w:t>人；</w:t>
            </w:r>
          </w:p>
          <w:p w14:paraId="0269A17A">
            <w:pPr>
              <w:adjustRightInd w:val="0"/>
              <w:spacing w:line="400" w:lineRule="exact"/>
              <w:ind w:firstLine="0" w:firstLineChars="0"/>
              <w:jc w:val="left"/>
              <w:textAlignment w:val="baseline"/>
              <w:rPr>
                <w:rFonts w:ascii="宋体" w:hAnsi="宋体" w:cs="宋体"/>
                <w:szCs w:val="21"/>
              </w:rPr>
            </w:pPr>
            <w:r>
              <w:rPr>
                <w:rFonts w:hint="eastAsia" w:ascii="宋体" w:hAnsi="宋体" w:cs="宋体"/>
                <w:kern w:val="0"/>
                <w:szCs w:val="21"/>
              </w:rPr>
              <w:t>专家确定方式：磋商前从政府采购专家库中随机抽取。</w:t>
            </w:r>
          </w:p>
        </w:tc>
      </w:tr>
      <w:tr w14:paraId="38AB6B58">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52EE7F1A">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7.1</w:t>
            </w:r>
          </w:p>
        </w:tc>
        <w:tc>
          <w:tcPr>
            <w:tcW w:w="1933" w:type="dxa"/>
            <w:tcBorders>
              <w:top w:val="single" w:color="auto" w:sz="4" w:space="0"/>
              <w:left w:val="single" w:color="auto" w:sz="4" w:space="0"/>
              <w:bottom w:val="single" w:color="auto" w:sz="4" w:space="0"/>
              <w:right w:val="single" w:color="auto" w:sz="4" w:space="0"/>
            </w:tcBorders>
            <w:noWrap/>
            <w:vAlign w:val="center"/>
          </w:tcPr>
          <w:p w14:paraId="7C2391EF">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是否授权磋商小组</w:t>
            </w:r>
          </w:p>
          <w:p w14:paraId="762A6CA4">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确定成交人</w:t>
            </w:r>
          </w:p>
        </w:tc>
        <w:tc>
          <w:tcPr>
            <w:tcW w:w="5881" w:type="dxa"/>
            <w:tcBorders>
              <w:top w:val="single" w:color="auto" w:sz="4" w:space="0"/>
              <w:left w:val="single" w:color="auto" w:sz="4" w:space="0"/>
              <w:bottom w:val="single" w:color="auto" w:sz="4" w:space="0"/>
              <w:right w:val="single" w:color="auto" w:sz="4" w:space="0"/>
            </w:tcBorders>
            <w:noWrap/>
            <w:vAlign w:val="center"/>
          </w:tcPr>
          <w:p w14:paraId="73D9A94F">
            <w:pPr>
              <w:adjustRightInd w:val="0"/>
              <w:spacing w:line="400" w:lineRule="exact"/>
              <w:ind w:firstLine="0" w:firstLineChars="0"/>
              <w:jc w:val="left"/>
              <w:textAlignment w:val="baseline"/>
              <w:rPr>
                <w:rFonts w:ascii="宋体" w:hAnsi="宋体" w:cs="宋体"/>
                <w:szCs w:val="21"/>
              </w:rPr>
            </w:pPr>
            <w:r>
              <w:rPr>
                <w:rFonts w:hint="eastAsia" w:ascii="宋体" w:hAnsi="宋体" w:cs="宋体"/>
                <w:szCs w:val="21"/>
              </w:rPr>
              <w:t>否；推荐的成交候选人数：3名</w:t>
            </w:r>
          </w:p>
        </w:tc>
      </w:tr>
      <w:tr w14:paraId="62FE1FBC">
        <w:tblPrEx>
          <w:tblCellMar>
            <w:top w:w="0" w:type="dxa"/>
            <w:left w:w="108" w:type="dxa"/>
            <w:bottom w:w="0" w:type="dxa"/>
            <w:right w:w="108" w:type="dxa"/>
          </w:tblCellMar>
        </w:tblPrEx>
        <w:trPr>
          <w:trHeight w:val="412"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0B84EDC0">
            <w:pPr>
              <w:autoSpaceDE w:val="0"/>
              <w:autoSpaceDN w:val="0"/>
              <w:adjustRightInd w:val="0"/>
              <w:spacing w:line="40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7.3</w:t>
            </w:r>
          </w:p>
        </w:tc>
        <w:tc>
          <w:tcPr>
            <w:tcW w:w="1933" w:type="dxa"/>
            <w:tcBorders>
              <w:top w:val="single" w:color="auto" w:sz="4" w:space="0"/>
              <w:left w:val="single" w:color="auto" w:sz="4" w:space="0"/>
              <w:bottom w:val="single" w:color="auto" w:sz="4" w:space="0"/>
              <w:right w:val="single" w:color="auto" w:sz="4" w:space="0"/>
            </w:tcBorders>
            <w:noWrap/>
            <w:vAlign w:val="center"/>
          </w:tcPr>
          <w:p w14:paraId="165C406F">
            <w:pPr>
              <w:autoSpaceDE w:val="0"/>
              <w:autoSpaceDN w:val="0"/>
              <w:adjustRightInd w:val="0"/>
              <w:spacing w:line="400" w:lineRule="exact"/>
              <w:ind w:firstLine="0" w:firstLineChars="0"/>
              <w:jc w:val="center"/>
              <w:rPr>
                <w:rFonts w:ascii="宋体" w:hAnsi="宋体" w:eastAsia="宋体" w:cs="宋体"/>
                <w:kern w:val="0"/>
                <w:szCs w:val="21"/>
              </w:rPr>
            </w:pPr>
            <w:r>
              <w:rPr>
                <w:rFonts w:hint="eastAsia" w:ascii="宋体" w:hAnsi="宋体" w:eastAsia="宋体" w:cs="宋体"/>
                <w:kern w:val="0"/>
                <w:szCs w:val="21"/>
              </w:rPr>
              <w:t>履约保证金</w:t>
            </w:r>
          </w:p>
        </w:tc>
        <w:tc>
          <w:tcPr>
            <w:tcW w:w="5881" w:type="dxa"/>
            <w:tcBorders>
              <w:top w:val="single" w:color="auto" w:sz="4" w:space="0"/>
              <w:left w:val="single" w:color="auto" w:sz="4" w:space="0"/>
              <w:bottom w:val="single" w:color="auto" w:sz="4" w:space="0"/>
              <w:right w:val="single" w:color="auto" w:sz="4" w:space="0"/>
            </w:tcBorders>
            <w:noWrap/>
            <w:vAlign w:val="center"/>
          </w:tcPr>
          <w:p w14:paraId="21DFC370">
            <w:pPr>
              <w:autoSpaceDE w:val="0"/>
              <w:autoSpaceDN w:val="0"/>
              <w:adjustRightInd w:val="0"/>
              <w:spacing w:line="400" w:lineRule="exact"/>
              <w:ind w:firstLine="0" w:firstLineChars="0"/>
              <w:rPr>
                <w:rFonts w:ascii="宋体" w:hAnsi="宋体" w:eastAsia="宋体" w:cs="宋体"/>
                <w:szCs w:val="21"/>
              </w:rPr>
            </w:pPr>
            <w:r>
              <w:rPr>
                <w:rFonts w:hint="eastAsia" w:ascii="宋体" w:hAnsi="宋体" w:eastAsia="宋体" w:cs="宋体"/>
                <w:szCs w:val="21"/>
              </w:rPr>
              <w:t>无</w:t>
            </w:r>
          </w:p>
        </w:tc>
      </w:tr>
      <w:tr w14:paraId="24FD11F3">
        <w:tblPrEx>
          <w:tblCellMar>
            <w:top w:w="0" w:type="dxa"/>
            <w:left w:w="108" w:type="dxa"/>
            <w:bottom w:w="0" w:type="dxa"/>
            <w:right w:w="108" w:type="dxa"/>
          </w:tblCellMar>
        </w:tblPrEx>
        <w:trPr>
          <w:trHeight w:val="481"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14:paraId="4553DA1B">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需要补充的其他内容</w:t>
            </w:r>
          </w:p>
        </w:tc>
      </w:tr>
      <w:tr w14:paraId="782474D0">
        <w:tblPrEx>
          <w:tblCellMar>
            <w:top w:w="0" w:type="dxa"/>
            <w:left w:w="108" w:type="dxa"/>
            <w:bottom w:w="0" w:type="dxa"/>
            <w:right w:w="108" w:type="dxa"/>
          </w:tblCellMar>
        </w:tblPrEx>
        <w:trPr>
          <w:trHeight w:val="1757"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10207A2B">
            <w:pPr>
              <w:adjustRightInd w:val="0"/>
              <w:spacing w:line="400" w:lineRule="exact"/>
              <w:ind w:firstLine="0" w:firstLineChars="0"/>
              <w:jc w:val="center"/>
              <w:textAlignment w:val="baseline"/>
              <w:rPr>
                <w:rFonts w:ascii="宋体" w:hAnsi="宋体" w:cs="宋体"/>
                <w:szCs w:val="21"/>
              </w:rPr>
            </w:pPr>
            <w:r>
              <w:rPr>
                <w:rFonts w:hint="eastAsia" w:ascii="宋体" w:hAnsi="宋体" w:cs="宋体"/>
                <w:szCs w:val="21"/>
              </w:rPr>
              <w:t>解释权</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453F7EFF">
            <w:pPr>
              <w:adjustRightInd w:val="0"/>
              <w:spacing w:line="400" w:lineRule="exact"/>
              <w:ind w:firstLine="0" w:firstLineChars="0"/>
              <w:jc w:val="left"/>
              <w:textAlignment w:val="baseline"/>
              <w:rPr>
                <w:rFonts w:ascii="宋体" w:hAnsi="宋体" w:cs="宋体"/>
                <w:szCs w:val="21"/>
              </w:rPr>
            </w:pPr>
            <w:r>
              <w:rPr>
                <w:rFonts w:hint="eastAsia" w:ascii="宋体" w:hAnsi="宋体" w:cs="宋体"/>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99D2BF5">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7652C434">
            <w:pPr>
              <w:autoSpaceDE w:val="0"/>
              <w:autoSpaceDN w:val="0"/>
              <w:adjustRightInd w:val="0"/>
              <w:spacing w:line="400" w:lineRule="exact"/>
              <w:ind w:firstLine="0" w:firstLineChars="0"/>
              <w:jc w:val="center"/>
              <w:rPr>
                <w:rFonts w:ascii="宋体" w:hAnsi="宋体"/>
                <w:szCs w:val="21"/>
              </w:rPr>
            </w:pPr>
            <w:r>
              <w:rPr>
                <w:rFonts w:hint="eastAsia" w:ascii="宋体" w:hAnsi="宋体" w:eastAsia="宋体" w:cs="宋体"/>
                <w:kern w:val="0"/>
                <w:szCs w:val="21"/>
              </w:rPr>
              <w:t>标书雷同性分析</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67F5FFC7">
            <w:pPr>
              <w:autoSpaceDE w:val="0"/>
              <w:autoSpaceDN w:val="0"/>
              <w:adjustRightInd w:val="0"/>
              <w:spacing w:line="400" w:lineRule="exact"/>
              <w:ind w:firstLine="0" w:firstLineChars="0"/>
              <w:rPr>
                <w:rFonts w:ascii="宋体" w:hAnsi="宋体"/>
                <w:szCs w:val="21"/>
              </w:rPr>
            </w:pPr>
            <w:r>
              <w:rPr>
                <w:rFonts w:hint="eastAsia" w:ascii="宋体" w:hAnsi="宋体" w:eastAsia="宋体" w:cs="宋体"/>
                <w:kern w:val="0"/>
                <w:szCs w:val="21"/>
              </w:rPr>
              <w:t>文件制作机器码、文件创建标识码有相同的按废标处理。</w:t>
            </w:r>
          </w:p>
        </w:tc>
      </w:tr>
      <w:tr w14:paraId="7FD84105">
        <w:tblPrEx>
          <w:tblCellMar>
            <w:top w:w="0" w:type="dxa"/>
            <w:left w:w="108" w:type="dxa"/>
            <w:bottom w:w="0" w:type="dxa"/>
            <w:right w:w="108" w:type="dxa"/>
          </w:tblCellMar>
        </w:tblPrEx>
        <w:trPr>
          <w:trHeight w:val="708"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94CA981">
            <w:pPr>
              <w:spacing w:line="400" w:lineRule="exact"/>
              <w:ind w:firstLine="0" w:firstLineChars="0"/>
              <w:jc w:val="center"/>
              <w:rPr>
                <w:rFonts w:ascii="宋体" w:hAnsi="宋体" w:eastAsia="宋体"/>
                <w:szCs w:val="21"/>
              </w:rPr>
            </w:pPr>
            <w:r>
              <w:rPr>
                <w:rFonts w:ascii="宋体" w:hAnsi="宋体" w:eastAsia="宋体"/>
                <w:szCs w:val="21"/>
              </w:rPr>
              <w:t>采购代理服务费</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044FC8EE">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en-US" w:eastAsia="zh-CN"/>
              </w:rPr>
            </w:pPr>
            <w:r>
              <w:rPr>
                <w:rFonts w:hint="eastAsia"/>
                <w:lang w:val="en-US" w:eastAsia="zh-CN"/>
              </w:rPr>
              <w:t>1.代理费收费约定：</w:t>
            </w:r>
          </w:p>
          <w:p w14:paraId="05003E5D">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en-US" w:eastAsia="zh-CN"/>
              </w:rPr>
            </w:pPr>
            <w:r>
              <w:rPr>
                <w:rFonts w:hint="eastAsia"/>
                <w:lang w:val="en-US" w:eastAsia="zh-CN"/>
              </w:rPr>
              <w:t>本项目代理费由成交企业支付，供应商报价应当包含该项目代理服务费。</w:t>
            </w:r>
          </w:p>
          <w:p w14:paraId="4C13B29B">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en-US" w:eastAsia="zh-CN"/>
              </w:rPr>
            </w:pPr>
            <w:r>
              <w:rPr>
                <w:rFonts w:hint="eastAsia"/>
                <w:lang w:val="en-US" w:eastAsia="zh-CN"/>
              </w:rPr>
              <w:t xml:space="preserve">2.本项目代理服务费按照“豫招协〔2023〕002号”规定的收费标准收取，成交人领取成交通知时向采购代理机构一次性付清。代理服务费的收取按差额定率累进法计算。 </w:t>
            </w:r>
          </w:p>
          <w:p w14:paraId="3C518DDA">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en-US" w:eastAsia="zh-CN"/>
              </w:rPr>
            </w:pPr>
            <w:r>
              <w:rPr>
                <w:rFonts w:hint="eastAsia"/>
                <w:lang w:val="en-US" w:eastAsia="zh-CN"/>
              </w:rPr>
              <w:t>3.收费标准：</w:t>
            </w:r>
          </w:p>
          <w:p w14:paraId="669677C2">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en-US" w:eastAsia="zh-CN"/>
              </w:rPr>
            </w:pPr>
            <w:r>
              <w:rPr>
                <w:rFonts w:hint="eastAsia"/>
                <w:lang w:val="en-US" w:eastAsia="zh-CN"/>
              </w:rPr>
              <w:t xml:space="preserve">预算金额的100万（含）以下部分费率为1.7%； </w:t>
            </w:r>
          </w:p>
          <w:p w14:paraId="0CB3B888">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en-US" w:eastAsia="zh-CN"/>
              </w:rPr>
            </w:pPr>
            <w:r>
              <w:rPr>
                <w:rFonts w:hint="eastAsia"/>
                <w:lang w:val="en-US" w:eastAsia="zh-CN"/>
              </w:rPr>
              <w:t xml:space="preserve">预算金额的100万以上－500万（含）部分费率为1.2%； </w:t>
            </w:r>
          </w:p>
          <w:p w14:paraId="11E00776">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en-US" w:eastAsia="zh-CN"/>
              </w:rPr>
            </w:pPr>
            <w:r>
              <w:rPr>
                <w:rFonts w:hint="eastAsia"/>
                <w:lang w:val="en-US" w:eastAsia="zh-CN"/>
              </w:rPr>
              <w:t xml:space="preserve">预算金额的500万以上－1000万（含）部分费率为0.7%； </w:t>
            </w:r>
          </w:p>
          <w:p w14:paraId="7E575186">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lang w:val="en-US" w:eastAsia="zh-CN"/>
              </w:rPr>
            </w:pPr>
            <w:r>
              <w:rPr>
                <w:rFonts w:hint="eastAsia"/>
                <w:lang w:val="en-US" w:eastAsia="zh-CN"/>
              </w:rPr>
              <w:t>3.预算金额的1000万以上－5000万（含）部分费率为0.4%。</w:t>
            </w:r>
          </w:p>
        </w:tc>
      </w:tr>
      <w:tr w14:paraId="15C49AA6">
        <w:tblPrEx>
          <w:tblCellMar>
            <w:top w:w="0" w:type="dxa"/>
            <w:left w:w="108" w:type="dxa"/>
            <w:bottom w:w="0" w:type="dxa"/>
            <w:right w:w="108" w:type="dxa"/>
          </w:tblCellMar>
        </w:tblPrEx>
        <w:trPr>
          <w:trHeight w:val="591"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454F80D6">
            <w:pPr>
              <w:spacing w:line="400" w:lineRule="exact"/>
              <w:ind w:firstLine="0" w:firstLineChars="0"/>
              <w:jc w:val="center"/>
              <w:rPr>
                <w:rFonts w:ascii="宋体" w:hAnsi="宋体" w:eastAsia="宋体"/>
                <w:b/>
                <w:bCs/>
                <w:szCs w:val="21"/>
              </w:rPr>
            </w:pPr>
            <w:bookmarkStart w:id="76" w:name="_Toc455080108"/>
            <w:bookmarkStart w:id="77" w:name="_Toc152042305"/>
            <w:bookmarkStart w:id="78" w:name="_Toc144974497"/>
            <w:bookmarkStart w:id="79" w:name="_Toc152045529"/>
            <w:bookmarkStart w:id="80" w:name="_Toc466298091"/>
            <w:bookmarkStart w:id="81" w:name="_Toc10694"/>
            <w:r>
              <w:rPr>
                <w:rFonts w:ascii="宋体" w:hAnsi="宋体" w:eastAsia="宋体"/>
                <w:b/>
                <w:bCs/>
                <w:szCs w:val="21"/>
              </w:rPr>
              <w:t>河南省政府采购合同融资政策告知函</w:t>
            </w:r>
          </w:p>
          <w:p w14:paraId="3A7A7EFC">
            <w:pPr>
              <w:spacing w:line="400" w:lineRule="exact"/>
              <w:ind w:firstLine="0" w:firstLineChars="0"/>
              <w:jc w:val="center"/>
              <w:rPr>
                <w:rFonts w:ascii="宋体" w:hAnsi="宋体" w:eastAsia="宋体"/>
                <w:b/>
                <w:bCs/>
                <w:szCs w:val="21"/>
              </w:rPr>
            </w:pP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1C5C7226">
            <w:pPr>
              <w:spacing w:line="400" w:lineRule="exact"/>
              <w:ind w:firstLine="0" w:firstLineChars="0"/>
              <w:jc w:val="left"/>
              <w:rPr>
                <w:rFonts w:ascii="宋体" w:hAnsi="宋体" w:eastAsia="宋体" w:cs="宋体"/>
                <w:b/>
                <w:bCs/>
                <w:kern w:val="0"/>
                <w:szCs w:val="21"/>
              </w:rPr>
            </w:pPr>
            <w:r>
              <w:rPr>
                <w:rFonts w:hint="eastAsia" w:ascii="宋体" w:hAnsi="宋体" w:eastAsia="宋体" w:cs="宋体"/>
                <w:b/>
                <w:bCs/>
                <w:kern w:val="0"/>
                <w:szCs w:val="21"/>
              </w:rPr>
              <w:t>各供应商：</w:t>
            </w:r>
          </w:p>
          <w:p w14:paraId="7F281712">
            <w:pPr>
              <w:spacing w:line="400" w:lineRule="exact"/>
              <w:ind w:firstLine="0" w:firstLineChars="0"/>
              <w:jc w:val="left"/>
              <w:rPr>
                <w:rFonts w:ascii="宋体" w:hAnsi="宋体" w:eastAsia="宋体" w:cs="宋体"/>
                <w:b/>
                <w:bCs/>
                <w:kern w:val="0"/>
                <w:szCs w:val="21"/>
              </w:rPr>
            </w:pPr>
            <w:r>
              <w:rPr>
                <w:rFonts w:hint="eastAsia" w:ascii="宋体" w:hAnsi="宋体" w:eastAsia="宋体" w:cs="宋体"/>
                <w:b/>
                <w:bCs/>
                <w:kern w:val="0"/>
                <w:szCs w:val="21"/>
              </w:rPr>
              <w:t>欢迎贵公司参与河南省政府采购活动！</w:t>
            </w:r>
          </w:p>
          <w:p w14:paraId="6CB3FDFF">
            <w:pPr>
              <w:spacing w:line="400" w:lineRule="exact"/>
              <w:ind w:firstLine="0" w:firstLineChars="0"/>
              <w:jc w:val="left"/>
              <w:rPr>
                <w:rFonts w:ascii="宋体" w:hAnsi="宋体" w:eastAsia="宋体" w:cs="宋体"/>
                <w:b/>
                <w:bCs/>
                <w:kern w:val="0"/>
                <w:szCs w:val="21"/>
              </w:rPr>
            </w:pPr>
            <w:r>
              <w:rPr>
                <w:rFonts w:hint="eastAsia" w:ascii="宋体" w:hAnsi="宋体" w:eastAsia="宋体" w:cs="宋体"/>
                <w:b/>
                <w:bCs/>
                <w:kern w:val="0"/>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AAF4A78">
            <w:pPr>
              <w:spacing w:line="400" w:lineRule="exact"/>
              <w:ind w:firstLine="0" w:firstLineChars="0"/>
              <w:jc w:val="left"/>
              <w:rPr>
                <w:rFonts w:ascii="宋体" w:hAnsi="宋体" w:eastAsia="宋体" w:cs="宋体"/>
                <w:b/>
                <w:bCs/>
                <w:kern w:val="0"/>
                <w:szCs w:val="21"/>
              </w:rPr>
            </w:pPr>
            <w:r>
              <w:rPr>
                <w:rFonts w:hint="eastAsia" w:ascii="宋体" w:hAnsi="宋体" w:eastAsia="宋体" w:cs="宋体"/>
                <w:b/>
                <w:bCs/>
                <w:kern w:val="0"/>
                <w:szCs w:val="21"/>
              </w:rPr>
              <w:t>贷款渠道和提供贷款的金融机构，可在河南省政府采购网“河南省政府采购合同融资平台”查询联系。政策解读网址：http://www.hngp.gov.cn/henan/content?infoId=1601449567470800&amp;channelCode=H6016</w:t>
            </w:r>
          </w:p>
        </w:tc>
      </w:tr>
      <w:tr w14:paraId="02FDC5C7">
        <w:tblPrEx>
          <w:tblCellMar>
            <w:top w:w="0" w:type="dxa"/>
            <w:left w:w="108" w:type="dxa"/>
            <w:bottom w:w="0" w:type="dxa"/>
            <w:right w:w="108" w:type="dxa"/>
          </w:tblCellMar>
        </w:tblPrEx>
        <w:trPr>
          <w:trHeight w:val="493"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2A16A1CC">
            <w:pPr>
              <w:spacing w:line="360" w:lineRule="auto"/>
              <w:ind w:left="0" w:leftChars="0" w:firstLine="0" w:firstLineChars="0"/>
              <w:jc w:val="both"/>
              <w:rPr>
                <w:rFonts w:ascii="宋体" w:hAnsi="宋体" w:eastAsia="宋体"/>
                <w:b/>
                <w:bCs/>
                <w:szCs w:val="21"/>
              </w:rPr>
            </w:pPr>
            <w:bookmarkStart w:id="82" w:name="_Toc24740"/>
            <w:r>
              <w:rPr>
                <w:rFonts w:hint="eastAsia" w:ascii="宋体" w:hAnsi="宋体"/>
                <w:b/>
                <w:bCs/>
                <w:color w:val="auto"/>
                <w:szCs w:val="21"/>
                <w:lang w:val="en-US" w:eastAsia="zh-CN"/>
              </w:rPr>
              <w:t>落实政府采购相关政策</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1359E4C4">
            <w:pPr>
              <w:pStyle w:val="7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政府采购政策</w:t>
            </w:r>
          </w:p>
          <w:p w14:paraId="2B7E1C7F">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1.（非专门面向中小微企业适用）本次招标涉及中小型企业的，按照“财库[2020]46 号”和“工信部联企业〔2011〕300 号“有关政策执行，对小型和微型企业产品的价格给予20%的扣除，用扣除后的价格参与评审。联合体投标（若接受）的，联合协议中须约定，小型、微型企业的协议合同金额占到联合体协议合同总金额 30%以上的，或联合体各方均为小型、微型企业的，给予联合体5%的价格扣除。</w:t>
            </w:r>
          </w:p>
          <w:p w14:paraId="75F2FB79">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lang w:val="en-US" w:eastAsia="zh-CN"/>
              </w:rPr>
              <w:t>.监狱企业视同小型、微型企业，需提供省级及以上监狱管理局、戒毒管理局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号）文件的有关规定，残疾人福利性单位视同小型、微型企业。符合条件的残疾人福利性单位应当提供本通知规定的《残</w:t>
            </w:r>
            <w:r>
              <w:rPr>
                <w:rFonts w:hint="eastAsia" w:asciiTheme="minorEastAsia" w:hAnsiTheme="minorEastAsia" w:cstheme="minorEastAsia"/>
                <w:b/>
                <w:bCs/>
                <w:color w:val="auto"/>
                <w:sz w:val="21"/>
                <w:szCs w:val="21"/>
                <w:highlight w:val="none"/>
                <w:lang w:val="en-US" w:eastAsia="zh-CN"/>
              </w:rPr>
              <w:t>疾人福利性单位声明函》，并对声明的真实性负责。</w:t>
            </w:r>
          </w:p>
          <w:p w14:paraId="0C0F1366">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b/>
                <w:bCs/>
              </w:rPr>
            </w:pPr>
            <w:r>
              <w:rPr>
                <w:rFonts w:hint="eastAsia" w:asciiTheme="minorEastAsia" w:hAnsiTheme="minorEastAsia" w:cstheme="minorEastAsia"/>
                <w:b/>
                <w:bCs/>
                <w:color w:val="auto"/>
                <w:sz w:val="21"/>
                <w:szCs w:val="21"/>
                <w:highlight w:val="none"/>
                <w:lang w:val="en-US" w:eastAsia="zh-CN"/>
              </w:rPr>
              <w:t>3.严格执行信财购【2023】8 号文《信阳市政府采购文件歧视性和倾向性禁止条款清单》。</w:t>
            </w:r>
          </w:p>
        </w:tc>
      </w:tr>
      <w:tr w14:paraId="5F6B4684">
        <w:tblPrEx>
          <w:tblCellMar>
            <w:top w:w="0" w:type="dxa"/>
            <w:left w:w="108" w:type="dxa"/>
            <w:bottom w:w="0" w:type="dxa"/>
            <w:right w:w="108" w:type="dxa"/>
          </w:tblCellMar>
        </w:tblPrEx>
        <w:trPr>
          <w:trHeight w:val="1963" w:hRule="atLeast"/>
        </w:trPr>
        <w:tc>
          <w:tcPr>
            <w:tcW w:w="1085" w:type="dxa"/>
            <w:tcBorders>
              <w:top w:val="single" w:color="auto" w:sz="4" w:space="0"/>
              <w:left w:val="single" w:color="auto" w:sz="4" w:space="0"/>
              <w:bottom w:val="single" w:color="auto" w:sz="4" w:space="0"/>
              <w:right w:val="single" w:color="auto" w:sz="4" w:space="0"/>
            </w:tcBorders>
            <w:noWrap/>
            <w:vAlign w:val="center"/>
          </w:tcPr>
          <w:p w14:paraId="33683439">
            <w:pPr>
              <w:autoSpaceDE w:val="0"/>
              <w:autoSpaceDN w:val="0"/>
              <w:adjustRightInd w:val="0"/>
              <w:spacing w:line="400" w:lineRule="exact"/>
              <w:ind w:left="0" w:leftChars="0" w:firstLine="0" w:firstLineChars="0"/>
              <w:jc w:val="both"/>
              <w:rPr>
                <w:rFonts w:hint="eastAsia" w:ascii="宋体" w:hAnsi="宋体"/>
                <w:color w:val="auto"/>
                <w:szCs w:val="21"/>
                <w:lang w:val="en-US" w:eastAsia="zh-CN"/>
              </w:rPr>
            </w:pPr>
            <w:r>
              <w:rPr>
                <w:rFonts w:hint="eastAsia" w:ascii="宋体" w:hAnsi="宋体" w:cs="宋体"/>
                <w:b/>
                <w:bCs/>
                <w:kern w:val="0"/>
                <w:szCs w:val="21"/>
                <w:highlight w:val="none"/>
              </w:rPr>
              <w:t>本次采购标的对应中小企业划分标准 所属行业</w:t>
            </w:r>
          </w:p>
        </w:tc>
        <w:tc>
          <w:tcPr>
            <w:tcW w:w="7814" w:type="dxa"/>
            <w:gridSpan w:val="2"/>
            <w:tcBorders>
              <w:top w:val="single" w:color="auto" w:sz="4" w:space="0"/>
              <w:left w:val="single" w:color="auto" w:sz="4" w:space="0"/>
              <w:bottom w:val="single" w:color="auto" w:sz="4" w:space="0"/>
              <w:right w:val="single" w:color="auto" w:sz="4" w:space="0"/>
            </w:tcBorders>
            <w:noWrap/>
            <w:vAlign w:val="center"/>
          </w:tcPr>
          <w:p w14:paraId="295D521F">
            <w:pPr>
              <w:pStyle w:val="80"/>
              <w:spacing w:line="400" w:lineRule="exact"/>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szCs w:val="21"/>
                <w:lang w:val="en-US" w:eastAsia="zh-CN"/>
              </w:rPr>
              <w:t>其他未列明行业，企业规模划分详见中小企业划型标准规定（工信部联企业[2011]300号）</w:t>
            </w:r>
          </w:p>
        </w:tc>
      </w:tr>
      <w:tr w14:paraId="3142BE8B">
        <w:tblPrEx>
          <w:tblCellMar>
            <w:top w:w="0" w:type="dxa"/>
            <w:left w:w="108" w:type="dxa"/>
            <w:bottom w:w="0" w:type="dxa"/>
            <w:right w:w="108" w:type="dxa"/>
          </w:tblCellMar>
        </w:tblPrEx>
        <w:trPr>
          <w:trHeight w:val="473"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14:paraId="62E4D21C">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1、本项目实行资格后审，涉及营业执照、资质、业绩、获奖、财务、社保、纳税、各类证书等内容，须扫描编制在响应文件内。评委评审只需依法对响应文件进行评审，并以响应文件的响应为唯一评审依据，不再比对主体信用信息。评标委员会根据供应商的投标文件予以审验，该供应商不得事后对评审结果提出任何异议，由此造成应得分而未得分或资格审查不合格等情况的，由供应商自行承担责任。 </w:t>
            </w:r>
          </w:p>
          <w:p w14:paraId="4DC77F81">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2、开标时供应商需自行配置电脑上网环境，准备好企业 CA 进行签到解密。因供应商原因导致的未能在规定的时间内签到解密的，造成的损失由供应商自负。 </w:t>
            </w:r>
          </w:p>
          <w:p w14:paraId="29DBCFAD">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3、投标文件递交、解密完成后，供应商需登录会员系统，评审结束前保持在线状态，确保可以及时接收评标委员会提出的质询等要求。</w:t>
            </w:r>
          </w:p>
        </w:tc>
      </w:tr>
      <w:tr w14:paraId="7E5DFBA6">
        <w:tblPrEx>
          <w:tblCellMar>
            <w:top w:w="0" w:type="dxa"/>
            <w:left w:w="108" w:type="dxa"/>
            <w:bottom w:w="0" w:type="dxa"/>
            <w:right w:w="108" w:type="dxa"/>
          </w:tblCellMar>
        </w:tblPrEx>
        <w:trPr>
          <w:trHeight w:val="1283"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14:paraId="5574D275">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本文件解释权归采购人； </w:t>
            </w:r>
          </w:p>
          <w:p w14:paraId="25B97702">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其它未尽事宜，按国家有关法律、法规执行； </w:t>
            </w:r>
          </w:p>
          <w:p w14:paraId="33C9B363">
            <w:pPr>
              <w:pStyle w:val="79"/>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如招标文件前后出现不一致，以招标公告和</w:t>
            </w:r>
            <w:r>
              <w:rPr>
                <w:rFonts w:hint="eastAsia" w:asciiTheme="minorEastAsia" w:hAnsiTheme="minorEastAsia" w:cstheme="minorEastAsia"/>
                <w:b w:val="0"/>
                <w:bCs w:val="0"/>
                <w:color w:val="auto"/>
                <w:sz w:val="21"/>
                <w:szCs w:val="21"/>
                <w:highlight w:val="none"/>
                <w:lang w:val="en-US" w:eastAsia="zh-CN"/>
              </w:rPr>
              <w:t>供应商</w:t>
            </w:r>
            <w:r>
              <w:rPr>
                <w:rFonts w:hint="eastAsia" w:asciiTheme="minorEastAsia" w:hAnsiTheme="minorEastAsia" w:eastAsiaTheme="minorEastAsia" w:cstheme="minorEastAsia"/>
                <w:b w:val="0"/>
                <w:bCs w:val="0"/>
                <w:color w:val="auto"/>
                <w:sz w:val="21"/>
                <w:szCs w:val="21"/>
                <w:highlight w:val="none"/>
                <w:lang w:val="en-US" w:eastAsia="zh-CN"/>
              </w:rPr>
              <w:t>须知前附表为准。</w:t>
            </w:r>
          </w:p>
        </w:tc>
      </w:tr>
    </w:tbl>
    <w:p w14:paraId="65091DF3">
      <w:pPr>
        <w:pStyle w:val="73"/>
        <w:spacing w:line="360" w:lineRule="auto"/>
        <w:ind w:firstLine="0" w:firstLineChars="0"/>
        <w:rPr>
          <w:rFonts w:ascii="宋体" w:hAnsi="宋体" w:eastAsia="宋体"/>
          <w:sz w:val="21"/>
          <w:szCs w:val="21"/>
        </w:rPr>
      </w:pPr>
      <w:r>
        <w:rPr>
          <w:rFonts w:hint="eastAsia" w:ascii="宋体" w:hAnsi="宋体" w:eastAsia="宋体"/>
          <w:b/>
          <w:bCs/>
          <w:sz w:val="24"/>
          <w:szCs w:val="24"/>
        </w:rPr>
        <w:t>1</w:t>
      </w:r>
      <w:r>
        <w:rPr>
          <w:rFonts w:hint="eastAsia" w:ascii="宋体" w:hAnsi="宋体" w:eastAsia="宋体"/>
          <w:b/>
          <w:bCs/>
          <w:sz w:val="21"/>
          <w:szCs w:val="21"/>
        </w:rPr>
        <w:t>. 总则</w:t>
      </w:r>
      <w:bookmarkEnd w:id="76"/>
      <w:bookmarkEnd w:id="77"/>
      <w:bookmarkEnd w:id="78"/>
      <w:bookmarkEnd w:id="79"/>
      <w:bookmarkEnd w:id="80"/>
      <w:bookmarkEnd w:id="81"/>
      <w:bookmarkEnd w:id="82"/>
    </w:p>
    <w:p w14:paraId="0D3EC3C8">
      <w:pPr>
        <w:pStyle w:val="74"/>
        <w:spacing w:line="360" w:lineRule="auto"/>
        <w:ind w:firstLine="0" w:firstLineChars="0"/>
        <w:outlineLvl w:val="0"/>
        <w:rPr>
          <w:rFonts w:ascii="宋体" w:hAnsi="宋体" w:eastAsia="宋体"/>
          <w:b/>
          <w:bCs/>
          <w:sz w:val="21"/>
          <w:szCs w:val="21"/>
        </w:rPr>
      </w:pPr>
      <w:bookmarkStart w:id="83" w:name="_Toc20827"/>
      <w:bookmarkStart w:id="84" w:name="_Toc1209"/>
      <w:bookmarkStart w:id="85" w:name="_Toc10273"/>
      <w:bookmarkStart w:id="86" w:name="_Toc455867769"/>
      <w:bookmarkStart w:id="87" w:name="_Toc15391"/>
      <w:bookmarkStart w:id="88" w:name="_Toc274409866"/>
      <w:bookmarkStart w:id="89" w:name="_Toc318450675"/>
      <w:bookmarkStart w:id="90" w:name="_Toc1172"/>
      <w:bookmarkStart w:id="91" w:name="_Toc29023"/>
      <w:bookmarkStart w:id="92" w:name="_Toc31404"/>
      <w:bookmarkStart w:id="93" w:name="_Toc281380952"/>
      <w:bookmarkStart w:id="94" w:name="_Toc9953"/>
      <w:bookmarkStart w:id="95" w:name="_Toc6747"/>
      <w:bookmarkStart w:id="96" w:name="_Toc1669"/>
      <w:bookmarkStart w:id="97" w:name="_Toc21979"/>
      <w:bookmarkStart w:id="98" w:name="_Toc27339"/>
      <w:bookmarkStart w:id="99" w:name="_Toc658"/>
      <w:bookmarkStart w:id="100" w:name="_Toc21266"/>
      <w:bookmarkStart w:id="101" w:name="_Toc455080109"/>
      <w:bookmarkStart w:id="102" w:name="_Toc15709"/>
      <w:bookmarkStart w:id="103" w:name="_Toc466298092"/>
      <w:bookmarkStart w:id="104" w:name="_Toc490667828"/>
      <w:bookmarkStart w:id="105" w:name="_Toc21458"/>
      <w:bookmarkStart w:id="106" w:name="_Toc152042307"/>
      <w:bookmarkStart w:id="107" w:name="_Toc144974499"/>
      <w:bookmarkStart w:id="108" w:name="_Toc152045531"/>
      <w:r>
        <w:rPr>
          <w:rFonts w:hint="eastAsia" w:ascii="宋体" w:hAnsi="宋体" w:eastAsia="宋体"/>
          <w:b/>
          <w:bCs/>
          <w:sz w:val="21"/>
          <w:szCs w:val="21"/>
        </w:rPr>
        <w:t>1.1 适用范围</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3F92DB5">
      <w:pPr>
        <w:spacing w:line="360" w:lineRule="auto"/>
        <w:ind w:firstLine="0" w:firstLineChars="0"/>
        <w:rPr>
          <w:rFonts w:ascii="宋体" w:hAnsi="宋体" w:cs="宋体"/>
          <w:szCs w:val="21"/>
        </w:rPr>
      </w:pPr>
      <w:r>
        <w:rPr>
          <w:rFonts w:hint="eastAsia" w:ascii="宋体" w:hAnsi="宋体" w:cs="宋体"/>
          <w:szCs w:val="21"/>
        </w:rPr>
        <w:t>1.1.1根据《中华人民共和国政府采购法》等有关法律、法规和规章的规定，编制本项目磋商文件。</w:t>
      </w:r>
    </w:p>
    <w:p w14:paraId="2E010CEE">
      <w:pPr>
        <w:pStyle w:val="74"/>
        <w:tabs>
          <w:tab w:val="left" w:pos="7410"/>
        </w:tabs>
        <w:spacing w:line="360" w:lineRule="auto"/>
        <w:ind w:firstLine="0" w:firstLineChars="0"/>
        <w:outlineLvl w:val="0"/>
        <w:rPr>
          <w:rFonts w:ascii="宋体" w:hAnsi="宋体" w:eastAsia="宋体"/>
          <w:b/>
          <w:bCs/>
          <w:sz w:val="21"/>
          <w:szCs w:val="21"/>
        </w:rPr>
      </w:pPr>
      <w:bookmarkStart w:id="109" w:name="_Toc2291"/>
      <w:bookmarkStart w:id="110" w:name="_Toc24852"/>
      <w:bookmarkStart w:id="111" w:name="_Toc2929"/>
      <w:bookmarkStart w:id="112" w:name="_Toc274409867"/>
      <w:bookmarkStart w:id="113" w:name="_Toc490667829"/>
      <w:bookmarkStart w:id="114" w:name="_Toc10269"/>
      <w:bookmarkStart w:id="115" w:name="_Toc17549"/>
      <w:bookmarkStart w:id="116" w:name="_Toc7062"/>
      <w:bookmarkStart w:id="117" w:name="_Toc281405468"/>
      <w:bookmarkStart w:id="118" w:name="_Toc3336"/>
      <w:bookmarkStart w:id="119" w:name="_Toc14944"/>
      <w:bookmarkStart w:id="120" w:name="_Toc25773"/>
      <w:bookmarkStart w:id="121" w:name="_Toc10556"/>
      <w:bookmarkStart w:id="122" w:name="_Toc318450676"/>
      <w:bookmarkStart w:id="123" w:name="_Toc32619"/>
      <w:bookmarkStart w:id="124" w:name="_Toc710"/>
      <w:bookmarkStart w:id="125" w:name="_Toc7237"/>
      <w:bookmarkStart w:id="126" w:name="_Toc455080110"/>
      <w:bookmarkStart w:id="127" w:name="_Toc30891"/>
      <w:bookmarkStart w:id="128" w:name="_Toc25049"/>
      <w:bookmarkStart w:id="129" w:name="_Toc466298093"/>
      <w:bookmarkStart w:id="130" w:name="_Toc29506"/>
      <w:bookmarkStart w:id="131" w:name="_Toc455867770"/>
      <w:r>
        <w:rPr>
          <w:rFonts w:hint="eastAsia" w:ascii="宋体" w:hAnsi="宋体" w:eastAsia="宋体"/>
          <w:b/>
          <w:bCs/>
          <w:sz w:val="21"/>
          <w:szCs w:val="21"/>
        </w:rPr>
        <w:t>1.2 招标项目说明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1E80BCE">
      <w:pPr>
        <w:spacing w:line="360" w:lineRule="auto"/>
        <w:ind w:firstLine="0" w:firstLineChars="0"/>
        <w:rPr>
          <w:rFonts w:ascii="宋体" w:hAnsi="宋体" w:cs="宋体"/>
          <w:szCs w:val="21"/>
        </w:rPr>
      </w:pPr>
      <w:r>
        <w:rPr>
          <w:rFonts w:hint="eastAsia" w:ascii="宋体" w:hAnsi="宋体" w:cs="宋体"/>
          <w:szCs w:val="21"/>
        </w:rPr>
        <w:t>1.2.1 本项目</w:t>
      </w:r>
      <w:r>
        <w:rPr>
          <w:rFonts w:hint="eastAsia" w:ascii="宋体" w:hAnsi="宋体"/>
          <w:szCs w:val="21"/>
        </w:rPr>
        <w:t>采购人</w:t>
      </w:r>
      <w:r>
        <w:rPr>
          <w:rFonts w:hint="eastAsia" w:ascii="宋体" w:hAnsi="宋体" w:cs="宋体"/>
          <w:szCs w:val="21"/>
        </w:rPr>
        <w:t>：见供应商须知前附表。</w:t>
      </w:r>
    </w:p>
    <w:p w14:paraId="4E6D79B6">
      <w:pPr>
        <w:spacing w:line="360" w:lineRule="auto"/>
        <w:ind w:firstLine="0" w:firstLineChars="0"/>
        <w:rPr>
          <w:rFonts w:ascii="宋体" w:hAnsi="宋体" w:cs="宋体"/>
          <w:szCs w:val="21"/>
        </w:rPr>
      </w:pPr>
      <w:r>
        <w:rPr>
          <w:rFonts w:hint="eastAsia" w:ascii="宋体" w:hAnsi="宋体" w:cs="宋体"/>
          <w:szCs w:val="21"/>
        </w:rPr>
        <w:t>1.2.2 本项目采购代理机构：见供应商须知前附表。</w:t>
      </w:r>
    </w:p>
    <w:p w14:paraId="194C08AF">
      <w:pPr>
        <w:spacing w:line="360" w:lineRule="auto"/>
        <w:ind w:firstLine="0" w:firstLineChars="0"/>
        <w:rPr>
          <w:rFonts w:ascii="宋体" w:hAnsi="宋体" w:eastAsia="宋体" w:cs="宋体"/>
          <w:szCs w:val="21"/>
        </w:rPr>
      </w:pPr>
      <w:r>
        <w:rPr>
          <w:rFonts w:hint="eastAsia" w:ascii="宋体" w:hAnsi="宋体" w:eastAsia="宋体" w:cs="宋体"/>
          <w:szCs w:val="21"/>
        </w:rPr>
        <w:t>1.2.3 本项目名称：见供应商须知前附表。</w:t>
      </w:r>
    </w:p>
    <w:p w14:paraId="22595D5B">
      <w:pPr>
        <w:spacing w:line="360" w:lineRule="auto"/>
        <w:ind w:firstLine="0" w:firstLineChars="0"/>
        <w:rPr>
          <w:rFonts w:ascii="宋体" w:hAnsi="宋体" w:eastAsia="宋体" w:cs="宋体"/>
          <w:szCs w:val="21"/>
        </w:rPr>
      </w:pPr>
      <w:r>
        <w:rPr>
          <w:rFonts w:hint="eastAsia" w:ascii="宋体" w:hAnsi="宋体" w:eastAsia="宋体" w:cs="宋体"/>
          <w:szCs w:val="21"/>
        </w:rPr>
        <w:t>1.2.4本项目采购方式：见供应商须知前附表。</w:t>
      </w:r>
    </w:p>
    <w:p w14:paraId="78A48D88">
      <w:pPr>
        <w:spacing w:line="360" w:lineRule="auto"/>
        <w:ind w:firstLine="0" w:firstLineChars="0"/>
        <w:rPr>
          <w:rFonts w:ascii="宋体" w:hAnsi="宋体" w:eastAsia="宋体" w:cs="宋体"/>
          <w:szCs w:val="21"/>
        </w:rPr>
      </w:pPr>
      <w:r>
        <w:rPr>
          <w:rFonts w:hint="eastAsia" w:ascii="宋体" w:hAnsi="宋体" w:eastAsia="宋体" w:cs="宋体"/>
          <w:szCs w:val="21"/>
        </w:rPr>
        <w:t>1.2.5本项目预算价（最高限价）：见供应商须知前附表。</w:t>
      </w:r>
    </w:p>
    <w:p w14:paraId="62AF577E">
      <w:pPr>
        <w:pStyle w:val="74"/>
        <w:spacing w:line="360" w:lineRule="auto"/>
        <w:ind w:firstLine="0" w:firstLineChars="0"/>
        <w:outlineLvl w:val="0"/>
        <w:rPr>
          <w:rFonts w:ascii="宋体" w:hAnsi="宋体" w:eastAsia="宋体"/>
          <w:b/>
          <w:bCs/>
          <w:sz w:val="21"/>
          <w:szCs w:val="21"/>
        </w:rPr>
      </w:pPr>
      <w:bookmarkStart w:id="132" w:name="_Toc17016"/>
      <w:bookmarkStart w:id="133" w:name="_Toc281405469"/>
      <w:bookmarkStart w:id="134" w:name="_Toc466298094"/>
      <w:bookmarkStart w:id="135" w:name="_Toc274409868"/>
      <w:bookmarkStart w:id="136" w:name="_Toc455080111"/>
      <w:bookmarkStart w:id="137" w:name="_Toc3477"/>
      <w:bookmarkStart w:id="138" w:name="_Toc17146"/>
      <w:bookmarkStart w:id="139" w:name="_Toc12395"/>
      <w:bookmarkStart w:id="140" w:name="_Toc18583"/>
      <w:bookmarkStart w:id="141" w:name="_Toc4563"/>
      <w:bookmarkStart w:id="142" w:name="_Toc490667830"/>
      <w:bookmarkStart w:id="143" w:name="_Toc22979"/>
      <w:bookmarkStart w:id="144" w:name="_Toc318450677"/>
      <w:bookmarkStart w:id="145" w:name="_Toc4122"/>
      <w:bookmarkStart w:id="146" w:name="_Toc4952"/>
      <w:bookmarkStart w:id="147" w:name="_Toc455867771"/>
      <w:bookmarkStart w:id="148" w:name="_Toc16825"/>
      <w:bookmarkStart w:id="149" w:name="_Toc9593"/>
      <w:bookmarkStart w:id="150" w:name="_Toc12098"/>
      <w:bookmarkStart w:id="151" w:name="_Toc18960"/>
      <w:bookmarkStart w:id="152" w:name="_Toc4608"/>
      <w:bookmarkStart w:id="153" w:name="_Toc16931"/>
      <w:bookmarkStart w:id="154" w:name="_Toc1373"/>
      <w:r>
        <w:rPr>
          <w:rFonts w:hint="eastAsia" w:ascii="宋体" w:hAnsi="宋体" w:eastAsia="宋体"/>
          <w:b/>
          <w:bCs/>
          <w:sz w:val="21"/>
          <w:szCs w:val="21"/>
        </w:rPr>
        <w:t>1.3 定义及解释</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62A2604">
      <w:pPr>
        <w:spacing w:line="360" w:lineRule="auto"/>
        <w:ind w:firstLine="0" w:firstLineChars="0"/>
        <w:rPr>
          <w:rFonts w:ascii="宋体" w:hAnsi="宋体" w:cs="宋体"/>
          <w:szCs w:val="21"/>
        </w:rPr>
      </w:pPr>
      <w:r>
        <w:rPr>
          <w:rFonts w:hint="eastAsia" w:ascii="宋体" w:hAnsi="宋体" w:cs="宋体"/>
          <w:szCs w:val="21"/>
        </w:rPr>
        <w:t>1.3.1</w:t>
      </w:r>
      <w:r>
        <w:rPr>
          <w:rFonts w:hint="eastAsia" w:ascii="宋体" w:hAnsi="宋体"/>
          <w:szCs w:val="21"/>
        </w:rPr>
        <w:t>采购人</w:t>
      </w:r>
      <w:r>
        <w:rPr>
          <w:rFonts w:hint="eastAsia" w:ascii="宋体" w:hAnsi="宋体" w:cs="宋体"/>
          <w:szCs w:val="21"/>
        </w:rPr>
        <w:t>：依法进行政府采购的国家机关、事业单位、团体组织。</w:t>
      </w:r>
    </w:p>
    <w:p w14:paraId="0EFEFE88">
      <w:pPr>
        <w:spacing w:line="360" w:lineRule="auto"/>
        <w:ind w:firstLine="0" w:firstLineChars="0"/>
        <w:rPr>
          <w:rFonts w:ascii="宋体" w:hAnsi="宋体" w:cs="宋体"/>
          <w:szCs w:val="21"/>
        </w:rPr>
      </w:pPr>
      <w:r>
        <w:rPr>
          <w:rFonts w:hint="eastAsia" w:ascii="宋体" w:hAnsi="宋体" w:cs="宋体"/>
          <w:szCs w:val="21"/>
        </w:rPr>
        <w:t>1.3.2</w:t>
      </w:r>
      <w:r>
        <w:rPr>
          <w:rFonts w:hint="eastAsia" w:ascii="宋体" w:hAnsi="宋体"/>
          <w:szCs w:val="21"/>
        </w:rPr>
        <w:t>采购代理机构</w:t>
      </w:r>
      <w:r>
        <w:rPr>
          <w:rFonts w:hint="eastAsia" w:ascii="宋体" w:hAnsi="宋体" w:cs="宋体"/>
          <w:szCs w:val="21"/>
        </w:rPr>
        <w:t>：取得政府采购招标代理资质，受采购人委托组织招标活动的社会中介组织。</w:t>
      </w:r>
    </w:p>
    <w:p w14:paraId="3BA65647">
      <w:pPr>
        <w:spacing w:line="360" w:lineRule="auto"/>
        <w:ind w:firstLine="0" w:firstLineChars="0"/>
        <w:rPr>
          <w:rFonts w:ascii="宋体" w:hAnsi="宋体" w:cs="宋体"/>
          <w:szCs w:val="21"/>
        </w:rPr>
      </w:pPr>
      <w:r>
        <w:rPr>
          <w:rFonts w:hint="eastAsia" w:ascii="宋体" w:hAnsi="宋体" w:cs="宋体"/>
          <w:szCs w:val="21"/>
        </w:rPr>
        <w:t>1.3.3服务：系指根据本磋商文件规定供应商须承担的服务以及其他类似的义务等。</w:t>
      </w:r>
    </w:p>
    <w:p w14:paraId="34F5D1C0">
      <w:pPr>
        <w:spacing w:line="360" w:lineRule="auto"/>
        <w:ind w:firstLine="0" w:firstLineChars="0"/>
        <w:rPr>
          <w:rFonts w:ascii="宋体" w:hAnsi="宋体" w:cs="宋体"/>
          <w:szCs w:val="21"/>
        </w:rPr>
      </w:pPr>
      <w:r>
        <w:rPr>
          <w:rFonts w:hint="eastAsia" w:ascii="宋体" w:hAnsi="宋体" w:cs="宋体"/>
          <w:szCs w:val="21"/>
        </w:rPr>
        <w:t>1.3.4供应商：供应商是响应磋商文件、参加磋商竞争的中华人民共和国境内的法人、其它组织。</w:t>
      </w:r>
    </w:p>
    <w:p w14:paraId="716CF692">
      <w:pPr>
        <w:spacing w:line="360" w:lineRule="auto"/>
        <w:ind w:firstLine="0" w:firstLineChars="0"/>
        <w:rPr>
          <w:rFonts w:ascii="宋体" w:hAnsi="宋体" w:cs="宋体"/>
          <w:szCs w:val="21"/>
        </w:rPr>
      </w:pPr>
      <w:r>
        <w:rPr>
          <w:rFonts w:hint="eastAsia" w:ascii="宋体" w:hAnsi="宋体" w:cs="宋体"/>
          <w:szCs w:val="21"/>
        </w:rPr>
        <w:t>1.3.5响应文件：指供应商根据竞争性磋商文件提交的所有文件。</w:t>
      </w:r>
    </w:p>
    <w:p w14:paraId="2C69CC1C">
      <w:pPr>
        <w:spacing w:line="360" w:lineRule="auto"/>
        <w:ind w:firstLine="0" w:firstLineChars="0"/>
        <w:rPr>
          <w:rFonts w:ascii="宋体" w:hAnsi="宋体" w:cs="宋体"/>
          <w:szCs w:val="21"/>
        </w:rPr>
      </w:pPr>
      <w:r>
        <w:rPr>
          <w:rFonts w:hint="eastAsia" w:ascii="宋体" w:hAnsi="宋体" w:cs="宋体"/>
          <w:szCs w:val="21"/>
        </w:rPr>
        <w:t>1.3.6磋商小组：依据</w:t>
      </w:r>
      <w:r>
        <w:rPr>
          <w:rFonts w:hint="eastAsia" w:ascii="宋体" w:hAnsi="宋体" w:cs="宋体"/>
          <w:szCs w:val="21"/>
          <w:lang w:bidi="en-US"/>
        </w:rPr>
        <w:t>《中华人民共和国政府采购法》及有关法律、法规的规定依法组建的专门负责本次评标工作的临时机构</w:t>
      </w:r>
      <w:r>
        <w:rPr>
          <w:rFonts w:hint="eastAsia" w:ascii="宋体" w:hAnsi="宋体" w:cs="宋体"/>
          <w:szCs w:val="21"/>
        </w:rPr>
        <w:t>。</w:t>
      </w:r>
    </w:p>
    <w:p w14:paraId="0140FEA9">
      <w:pPr>
        <w:spacing w:line="360" w:lineRule="auto"/>
        <w:ind w:firstLine="0" w:firstLineChars="0"/>
        <w:rPr>
          <w:rFonts w:ascii="宋体" w:hAnsi="宋体" w:cs="宋体"/>
          <w:szCs w:val="21"/>
        </w:rPr>
      </w:pPr>
      <w:r>
        <w:rPr>
          <w:rFonts w:hint="eastAsia" w:ascii="宋体" w:hAnsi="宋体" w:cs="宋体"/>
          <w:szCs w:val="21"/>
        </w:rPr>
        <w:t>1.3.7偏离：响应文件的响应相对于竞争性磋商文件要求的偏差，该偏差优于竞争性磋商文件要求的为正偏离；劣于的，为负偏离。</w:t>
      </w:r>
    </w:p>
    <w:p w14:paraId="24FC1DCD">
      <w:pPr>
        <w:spacing w:line="360" w:lineRule="auto"/>
        <w:ind w:firstLine="0" w:firstLineChars="0"/>
        <w:rPr>
          <w:rFonts w:ascii="宋体" w:hAnsi="宋体" w:cs="宋体"/>
          <w:szCs w:val="21"/>
        </w:rPr>
      </w:pPr>
      <w:r>
        <w:rPr>
          <w:rFonts w:hint="eastAsia" w:ascii="宋体" w:hAnsi="宋体" w:cs="宋体"/>
          <w:szCs w:val="21"/>
        </w:rPr>
        <w:t>1.3.8“日期”或“天”：指日历天。</w:t>
      </w:r>
    </w:p>
    <w:p w14:paraId="2B59FFB2">
      <w:pPr>
        <w:spacing w:line="360" w:lineRule="auto"/>
        <w:ind w:firstLine="0" w:firstLineChars="0"/>
        <w:rPr>
          <w:rFonts w:ascii="宋体" w:hAnsi="宋体" w:cs="宋体"/>
          <w:szCs w:val="21"/>
        </w:rPr>
      </w:pPr>
      <w:r>
        <w:rPr>
          <w:rFonts w:hint="eastAsia" w:ascii="宋体" w:hAnsi="宋体" w:cs="宋体"/>
          <w:szCs w:val="21"/>
        </w:rPr>
        <w:t>1.3.9合同：指依据本次服务采购招标结果签订的协议或合约文件。</w:t>
      </w:r>
    </w:p>
    <w:p w14:paraId="45244C68">
      <w:pPr>
        <w:spacing w:line="360" w:lineRule="auto"/>
        <w:ind w:firstLine="0" w:firstLineChars="0"/>
        <w:rPr>
          <w:rFonts w:ascii="宋体" w:hAnsi="宋体" w:cs="宋体"/>
          <w:szCs w:val="21"/>
        </w:rPr>
      </w:pPr>
      <w:r>
        <w:rPr>
          <w:rFonts w:hint="eastAsia" w:ascii="宋体" w:hAnsi="宋体" w:cs="宋体"/>
          <w:szCs w:val="21"/>
        </w:rPr>
        <w:t>1.3.10竞争性磋商文件中的标题或题名仅起引导作用，而不应视为对竞争性磋商文件内容的理解和解释。</w:t>
      </w:r>
    </w:p>
    <w:bookmarkEnd w:id="106"/>
    <w:bookmarkEnd w:id="107"/>
    <w:bookmarkEnd w:id="108"/>
    <w:p w14:paraId="66C43C47">
      <w:pPr>
        <w:pStyle w:val="74"/>
        <w:spacing w:line="360" w:lineRule="auto"/>
        <w:ind w:firstLine="0" w:firstLineChars="0"/>
        <w:outlineLvl w:val="0"/>
        <w:rPr>
          <w:rFonts w:ascii="宋体" w:hAnsi="宋体" w:eastAsia="宋体"/>
          <w:b/>
          <w:bCs/>
          <w:sz w:val="21"/>
          <w:szCs w:val="21"/>
        </w:rPr>
      </w:pPr>
      <w:bookmarkStart w:id="155" w:name="_Toc25616"/>
      <w:bookmarkStart w:id="156" w:name="_Toc17808"/>
      <w:bookmarkStart w:id="157" w:name="_Toc21766"/>
      <w:bookmarkStart w:id="158" w:name="_Toc144974500"/>
      <w:bookmarkStart w:id="159" w:name="_Toc490667831"/>
      <w:bookmarkStart w:id="160" w:name="_Toc28499"/>
      <w:bookmarkStart w:id="161" w:name="_Toc16470"/>
      <w:bookmarkStart w:id="162" w:name="_Toc30975"/>
      <w:bookmarkStart w:id="163" w:name="_Toc18788"/>
      <w:bookmarkStart w:id="164" w:name="_Toc466298095"/>
      <w:bookmarkStart w:id="165" w:name="_Toc23228"/>
      <w:bookmarkStart w:id="166" w:name="_Toc318450678"/>
      <w:bookmarkStart w:id="167" w:name="_Toc10894"/>
      <w:bookmarkStart w:id="168" w:name="_Toc455867772"/>
      <w:bookmarkStart w:id="169" w:name="_Toc17908"/>
      <w:bookmarkStart w:id="170" w:name="_Toc32236"/>
      <w:bookmarkStart w:id="171" w:name="_Toc152045532"/>
      <w:bookmarkStart w:id="172" w:name="_Toc12752"/>
      <w:bookmarkStart w:id="173" w:name="_Toc455080112"/>
      <w:bookmarkStart w:id="174" w:name="_Toc14043"/>
      <w:bookmarkStart w:id="175" w:name="_Toc152042308"/>
      <w:bookmarkStart w:id="176" w:name="_Toc19363"/>
      <w:bookmarkStart w:id="177" w:name="_Toc24289"/>
      <w:bookmarkStart w:id="178" w:name="_Toc27407"/>
      <w:r>
        <w:rPr>
          <w:rFonts w:hint="eastAsia" w:ascii="宋体" w:hAnsi="宋体" w:eastAsia="宋体"/>
          <w:b/>
          <w:bCs/>
          <w:sz w:val="21"/>
          <w:szCs w:val="21"/>
        </w:rPr>
        <w:t>1.4 磋商内容、交货期、质保期和质量要求</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0B1FD05">
      <w:pPr>
        <w:spacing w:line="360" w:lineRule="auto"/>
        <w:ind w:firstLine="0" w:firstLineChars="0"/>
        <w:rPr>
          <w:rFonts w:ascii="宋体" w:hAnsi="宋体" w:cs="宋体"/>
          <w:szCs w:val="21"/>
        </w:rPr>
      </w:pPr>
      <w:r>
        <w:rPr>
          <w:rFonts w:hint="eastAsia" w:ascii="宋体" w:hAnsi="宋体" w:cs="宋体"/>
          <w:szCs w:val="21"/>
        </w:rPr>
        <w:t>1.4.1 本次磋商内容：见供应商须知前附表。</w:t>
      </w:r>
    </w:p>
    <w:p w14:paraId="40874325">
      <w:pPr>
        <w:spacing w:line="360" w:lineRule="auto"/>
        <w:ind w:firstLine="0" w:firstLineChars="0"/>
        <w:rPr>
          <w:rFonts w:ascii="宋体" w:hAnsi="宋体" w:cs="宋体"/>
          <w:szCs w:val="21"/>
        </w:rPr>
      </w:pPr>
      <w:r>
        <w:rPr>
          <w:rFonts w:hint="eastAsia" w:ascii="宋体" w:hAnsi="宋体" w:cs="宋体"/>
          <w:szCs w:val="21"/>
        </w:rPr>
        <w:t>1.4.2 本项目的交货期：见供应商须知前附表。</w:t>
      </w:r>
    </w:p>
    <w:p w14:paraId="36ACC8D9">
      <w:pPr>
        <w:spacing w:line="360" w:lineRule="auto"/>
        <w:ind w:firstLine="0" w:firstLineChars="0"/>
        <w:rPr>
          <w:rFonts w:ascii="宋体" w:hAnsi="宋体" w:cs="宋体"/>
          <w:szCs w:val="21"/>
        </w:rPr>
      </w:pPr>
      <w:r>
        <w:rPr>
          <w:rFonts w:hint="eastAsia" w:ascii="宋体" w:hAnsi="宋体" w:cs="宋体"/>
          <w:szCs w:val="21"/>
        </w:rPr>
        <w:t>1.4.3本项目的质保期：见供应商须知前附表。</w:t>
      </w:r>
    </w:p>
    <w:p w14:paraId="088976C2">
      <w:pPr>
        <w:spacing w:line="360" w:lineRule="auto"/>
        <w:ind w:firstLine="0" w:firstLineChars="0"/>
        <w:rPr>
          <w:rFonts w:ascii="宋体" w:hAnsi="宋体" w:cs="宋体"/>
          <w:szCs w:val="21"/>
        </w:rPr>
      </w:pPr>
      <w:r>
        <w:rPr>
          <w:rFonts w:hint="eastAsia" w:ascii="宋体" w:hAnsi="宋体" w:cs="宋体"/>
          <w:szCs w:val="21"/>
        </w:rPr>
        <w:t>1.4.4本项目的质量要求：见供应商须知前附表。</w:t>
      </w:r>
    </w:p>
    <w:p w14:paraId="6E422B49">
      <w:pPr>
        <w:spacing w:line="360" w:lineRule="auto"/>
        <w:ind w:firstLine="0" w:firstLineChars="0"/>
        <w:rPr>
          <w:rFonts w:ascii="宋体" w:hAnsi="宋体" w:cs="宋体"/>
          <w:szCs w:val="21"/>
        </w:rPr>
      </w:pPr>
      <w:r>
        <w:rPr>
          <w:rFonts w:hint="eastAsia" w:ascii="宋体" w:hAnsi="宋体" w:eastAsia="宋体" w:cs="宋体"/>
          <w:szCs w:val="21"/>
        </w:rPr>
        <w:t>1.4.5付款方式：见供应商须知前附表。</w:t>
      </w:r>
    </w:p>
    <w:p w14:paraId="57B34A99">
      <w:pPr>
        <w:pStyle w:val="74"/>
        <w:spacing w:line="360" w:lineRule="auto"/>
        <w:ind w:firstLine="0" w:firstLineChars="0"/>
        <w:outlineLvl w:val="0"/>
        <w:rPr>
          <w:rFonts w:ascii="宋体" w:hAnsi="宋体" w:eastAsia="宋体"/>
          <w:b/>
          <w:bCs/>
          <w:sz w:val="21"/>
          <w:szCs w:val="21"/>
        </w:rPr>
      </w:pPr>
      <w:bookmarkStart w:id="179" w:name="_Toc152042310"/>
      <w:bookmarkStart w:id="180" w:name="_Toc152045534"/>
      <w:bookmarkStart w:id="181" w:name="_Toc318450679"/>
      <w:bookmarkStart w:id="182" w:name="_Toc144974502"/>
      <w:bookmarkStart w:id="183" w:name="_Toc455080113"/>
      <w:bookmarkStart w:id="184" w:name="_Toc25754"/>
      <w:bookmarkStart w:id="185" w:name="_Toc18004"/>
      <w:bookmarkStart w:id="186" w:name="_Toc19901"/>
      <w:bookmarkStart w:id="187" w:name="_Toc18689"/>
      <w:bookmarkStart w:id="188" w:name="_Toc1602"/>
      <w:bookmarkStart w:id="189" w:name="_Toc4301"/>
      <w:bookmarkStart w:id="190" w:name="_Toc11063"/>
      <w:bookmarkStart w:id="191" w:name="_Toc32156"/>
      <w:bookmarkStart w:id="192" w:name="_Toc466298096"/>
      <w:bookmarkStart w:id="193" w:name="_Toc7209"/>
      <w:bookmarkStart w:id="194" w:name="_Toc490667832"/>
      <w:bookmarkStart w:id="195" w:name="_Toc13438"/>
      <w:bookmarkStart w:id="196" w:name="_Toc22643"/>
      <w:bookmarkStart w:id="197" w:name="_Toc31969"/>
      <w:bookmarkStart w:id="198" w:name="_Toc5019"/>
      <w:bookmarkStart w:id="199" w:name="_Toc4711"/>
      <w:bookmarkStart w:id="200" w:name="_Toc9716"/>
      <w:bookmarkStart w:id="201" w:name="_Toc4850"/>
      <w:bookmarkStart w:id="202" w:name="_Toc455867773"/>
      <w:r>
        <w:rPr>
          <w:rFonts w:hint="eastAsia" w:ascii="宋体" w:hAnsi="宋体" w:eastAsia="宋体"/>
          <w:b/>
          <w:bCs/>
          <w:sz w:val="21"/>
          <w:szCs w:val="21"/>
        </w:rPr>
        <w:t xml:space="preserve">1.5 </w:t>
      </w:r>
      <w:bookmarkEnd w:id="179"/>
      <w:bookmarkEnd w:id="180"/>
      <w:bookmarkEnd w:id="181"/>
      <w:bookmarkEnd w:id="182"/>
      <w:r>
        <w:rPr>
          <w:rFonts w:hint="eastAsia" w:ascii="宋体" w:hAnsi="宋体" w:eastAsia="宋体"/>
          <w:b/>
          <w:bCs/>
          <w:sz w:val="21"/>
          <w:szCs w:val="21"/>
        </w:rPr>
        <w:t>供应商资质条件和能力</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29887E6">
      <w:pPr>
        <w:spacing w:line="360" w:lineRule="auto"/>
        <w:ind w:firstLine="0" w:firstLineChars="0"/>
        <w:rPr>
          <w:rFonts w:ascii="宋体" w:hAnsi="宋体" w:eastAsia="宋体" w:cs="宋体"/>
          <w:szCs w:val="21"/>
        </w:rPr>
      </w:pPr>
      <w:r>
        <w:rPr>
          <w:rFonts w:hint="eastAsia" w:ascii="宋体" w:hAnsi="宋体" w:eastAsia="宋体" w:cs="宋体"/>
          <w:szCs w:val="21"/>
        </w:rPr>
        <w:t>1.5.1供应商资质及能力要求：见供应商须知前附表。</w:t>
      </w:r>
    </w:p>
    <w:p w14:paraId="332247AC">
      <w:pPr>
        <w:spacing w:line="360" w:lineRule="auto"/>
        <w:ind w:firstLine="0" w:firstLineChars="0"/>
        <w:rPr>
          <w:rFonts w:ascii="宋体" w:hAnsi="宋体" w:eastAsia="宋体" w:cs="宋体"/>
          <w:szCs w:val="21"/>
        </w:rPr>
      </w:pPr>
      <w:r>
        <w:rPr>
          <w:rFonts w:hint="eastAsia" w:ascii="宋体" w:hAnsi="宋体" w:eastAsia="宋体" w:cs="宋体"/>
          <w:szCs w:val="21"/>
        </w:rPr>
        <w:t>1.5.2是否接受联合体：见供应商须知前附表。</w:t>
      </w:r>
    </w:p>
    <w:p w14:paraId="1D8E189A">
      <w:pPr>
        <w:pStyle w:val="74"/>
        <w:spacing w:line="360" w:lineRule="auto"/>
        <w:ind w:firstLine="0" w:firstLineChars="0"/>
        <w:outlineLvl w:val="0"/>
        <w:rPr>
          <w:rFonts w:ascii="宋体" w:hAnsi="宋体" w:eastAsia="宋体"/>
          <w:b/>
          <w:bCs/>
          <w:sz w:val="21"/>
          <w:szCs w:val="21"/>
        </w:rPr>
      </w:pPr>
      <w:bookmarkStart w:id="203" w:name="_Toc16889"/>
      <w:bookmarkStart w:id="204" w:name="_Toc31854"/>
      <w:bookmarkStart w:id="205" w:name="_Toc14511"/>
      <w:bookmarkStart w:id="206" w:name="_Toc144974503"/>
      <w:bookmarkStart w:id="207" w:name="_Toc152042311"/>
      <w:bookmarkStart w:id="208" w:name="_Toc455867774"/>
      <w:bookmarkStart w:id="209" w:name="_Toc981"/>
      <w:bookmarkStart w:id="210" w:name="_Toc5162"/>
      <w:bookmarkStart w:id="211" w:name="_Toc6233"/>
      <w:bookmarkStart w:id="212" w:name="_Toc17411"/>
      <w:bookmarkStart w:id="213" w:name="_Toc651"/>
      <w:bookmarkStart w:id="214" w:name="_Toc152045535"/>
      <w:bookmarkStart w:id="215" w:name="_Toc25712"/>
      <w:bookmarkStart w:id="216" w:name="_Toc28135"/>
      <w:bookmarkStart w:id="217" w:name="_Toc16828"/>
      <w:bookmarkStart w:id="218" w:name="_Toc466298097"/>
      <w:bookmarkStart w:id="219" w:name="_Toc12403"/>
      <w:bookmarkStart w:id="220" w:name="_Toc9505"/>
      <w:bookmarkStart w:id="221" w:name="_Toc455080114"/>
      <w:bookmarkStart w:id="222" w:name="_Toc32446"/>
      <w:bookmarkStart w:id="223" w:name="_Toc318450680"/>
      <w:bookmarkStart w:id="224" w:name="_Toc490667833"/>
      <w:bookmarkStart w:id="225" w:name="_Toc529"/>
      <w:bookmarkStart w:id="226" w:name="_Toc11905"/>
      <w:r>
        <w:rPr>
          <w:rFonts w:hint="eastAsia" w:ascii="宋体" w:hAnsi="宋体" w:eastAsia="宋体"/>
          <w:b/>
          <w:bCs/>
          <w:sz w:val="21"/>
          <w:szCs w:val="21"/>
        </w:rPr>
        <w:t>1.6 费用承担</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B120560">
      <w:pPr>
        <w:spacing w:line="360" w:lineRule="auto"/>
        <w:ind w:firstLine="0" w:firstLineChars="0"/>
        <w:rPr>
          <w:rFonts w:ascii="宋体" w:hAnsi="宋体" w:cs="宋体"/>
          <w:szCs w:val="21"/>
        </w:rPr>
      </w:pPr>
      <w:r>
        <w:rPr>
          <w:rFonts w:hint="eastAsia" w:ascii="宋体" w:hAnsi="宋体" w:cs="宋体"/>
          <w:szCs w:val="21"/>
        </w:rPr>
        <w:t>供应商准备和参加磋商活动发生的费用自理，不论磋商的结果如何，采购人和采购代理机构在任何情况下均无义务和责任承担这些费用。</w:t>
      </w:r>
    </w:p>
    <w:p w14:paraId="75502158">
      <w:pPr>
        <w:pStyle w:val="74"/>
        <w:spacing w:line="360" w:lineRule="auto"/>
        <w:ind w:firstLine="0" w:firstLineChars="0"/>
        <w:outlineLvl w:val="0"/>
        <w:rPr>
          <w:rFonts w:ascii="宋体" w:hAnsi="宋体" w:eastAsia="宋体"/>
          <w:b/>
          <w:bCs/>
          <w:sz w:val="21"/>
          <w:szCs w:val="21"/>
        </w:rPr>
      </w:pPr>
      <w:bookmarkStart w:id="227" w:name="_Toc455867775"/>
      <w:bookmarkStart w:id="228" w:name="_Toc32053"/>
      <w:bookmarkStart w:id="229" w:name="_Toc8390"/>
      <w:bookmarkStart w:id="230" w:name="_Toc6014"/>
      <w:bookmarkStart w:id="231" w:name="_Toc16419"/>
      <w:bookmarkStart w:id="232" w:name="_Toc8055"/>
      <w:bookmarkStart w:id="233" w:name="_Toc152042312"/>
      <w:bookmarkStart w:id="234" w:name="_Toc22136"/>
      <w:bookmarkStart w:id="235" w:name="_Toc11954"/>
      <w:bookmarkStart w:id="236" w:name="_Toc455080115"/>
      <w:bookmarkStart w:id="237" w:name="_Toc22800"/>
      <w:bookmarkStart w:id="238" w:name="_Toc466298098"/>
      <w:bookmarkStart w:id="239" w:name="_Toc5402"/>
      <w:bookmarkStart w:id="240" w:name="_Toc10331"/>
      <w:bookmarkStart w:id="241" w:name="_Toc144974504"/>
      <w:bookmarkStart w:id="242" w:name="_Toc20145"/>
      <w:bookmarkStart w:id="243" w:name="_Toc1879"/>
      <w:bookmarkStart w:id="244" w:name="_Toc24601"/>
      <w:bookmarkStart w:id="245" w:name="_Toc24530"/>
      <w:bookmarkStart w:id="246" w:name="_Toc609"/>
      <w:bookmarkStart w:id="247" w:name="_Toc2622"/>
      <w:bookmarkStart w:id="248" w:name="_Toc318450681"/>
      <w:bookmarkStart w:id="249" w:name="_Toc490667834"/>
      <w:bookmarkStart w:id="250" w:name="_Toc152045536"/>
      <w:r>
        <w:rPr>
          <w:rFonts w:hint="eastAsia" w:ascii="宋体" w:hAnsi="宋体" w:eastAsia="宋体"/>
          <w:b/>
          <w:bCs/>
          <w:sz w:val="21"/>
          <w:szCs w:val="21"/>
        </w:rPr>
        <w:t>1.7 保密</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C9CD02C">
      <w:pPr>
        <w:spacing w:line="360" w:lineRule="auto"/>
        <w:ind w:firstLine="0" w:firstLineChars="0"/>
        <w:rPr>
          <w:rFonts w:ascii="宋体" w:hAnsi="宋体" w:cs="宋体"/>
          <w:szCs w:val="21"/>
        </w:rPr>
      </w:pPr>
      <w:r>
        <w:rPr>
          <w:rFonts w:hint="eastAsia" w:ascii="宋体" w:hAnsi="宋体" w:cs="宋体"/>
          <w:szCs w:val="21"/>
        </w:rPr>
        <w:t xml:space="preserve">参与磋商活动的各方应对竞争性磋商文件和响应文件中的商业和技术等秘密保密，违者应对由此造成的后果承担法律责任。 </w:t>
      </w:r>
    </w:p>
    <w:p w14:paraId="4F522FE5">
      <w:pPr>
        <w:pStyle w:val="74"/>
        <w:spacing w:line="360" w:lineRule="auto"/>
        <w:ind w:firstLine="0" w:firstLineChars="0"/>
        <w:outlineLvl w:val="0"/>
        <w:rPr>
          <w:rFonts w:ascii="宋体" w:hAnsi="宋体" w:eastAsia="宋体"/>
          <w:b/>
          <w:bCs/>
          <w:sz w:val="21"/>
          <w:szCs w:val="21"/>
        </w:rPr>
      </w:pPr>
      <w:bookmarkStart w:id="251" w:name="_Toc144974505"/>
      <w:bookmarkStart w:id="252" w:name="_Toc23942"/>
      <w:bookmarkStart w:id="253" w:name="_Toc21089"/>
      <w:bookmarkStart w:id="254" w:name="_Toc28512"/>
      <w:bookmarkStart w:id="255" w:name="_Toc30583"/>
      <w:bookmarkStart w:id="256" w:name="_Toc466298099"/>
      <w:bookmarkStart w:id="257" w:name="_Toc455867776"/>
      <w:bookmarkStart w:id="258" w:name="_Toc29323"/>
      <w:bookmarkStart w:id="259" w:name="_Toc152042313"/>
      <w:bookmarkStart w:id="260" w:name="_Toc14775"/>
      <w:bookmarkStart w:id="261" w:name="_Toc6615"/>
      <w:bookmarkStart w:id="262" w:name="_Toc6550"/>
      <w:bookmarkStart w:id="263" w:name="_Toc15673"/>
      <w:bookmarkStart w:id="264" w:name="_Toc23509"/>
      <w:bookmarkStart w:id="265" w:name="_Toc490667835"/>
      <w:bookmarkStart w:id="266" w:name="_Toc25517"/>
      <w:bookmarkStart w:id="267" w:name="_Toc13976"/>
      <w:bookmarkStart w:id="268" w:name="_Toc3628"/>
      <w:bookmarkStart w:id="269" w:name="_Toc318450682"/>
      <w:bookmarkStart w:id="270" w:name="_Toc30747"/>
      <w:bookmarkStart w:id="271" w:name="_Toc2658"/>
      <w:bookmarkStart w:id="272" w:name="_Toc455080116"/>
      <w:bookmarkStart w:id="273" w:name="_Toc7031"/>
      <w:bookmarkStart w:id="274" w:name="_Toc152045537"/>
      <w:r>
        <w:rPr>
          <w:rFonts w:hint="eastAsia" w:ascii="宋体" w:hAnsi="宋体" w:eastAsia="宋体"/>
          <w:b/>
          <w:bCs/>
          <w:sz w:val="21"/>
          <w:szCs w:val="21"/>
        </w:rPr>
        <w:t>1.8 语言</w:t>
      </w:r>
      <w:bookmarkEnd w:id="251"/>
      <w:r>
        <w:rPr>
          <w:rFonts w:hint="eastAsia" w:ascii="宋体" w:hAnsi="宋体" w:eastAsia="宋体"/>
          <w:b/>
          <w:bCs/>
          <w:sz w:val="21"/>
          <w:szCs w:val="21"/>
        </w:rPr>
        <w:t>文字</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44035E54">
      <w:pPr>
        <w:spacing w:line="360" w:lineRule="auto"/>
        <w:ind w:firstLine="0" w:firstLineChars="0"/>
        <w:rPr>
          <w:rFonts w:ascii="宋体" w:hAnsi="宋体" w:cs="宋体"/>
          <w:szCs w:val="21"/>
        </w:rPr>
      </w:pPr>
      <w:r>
        <w:rPr>
          <w:rFonts w:hint="eastAsia" w:ascii="宋体" w:hAnsi="宋体" w:cs="宋体"/>
          <w:szCs w:val="21"/>
        </w:rPr>
        <w:t>除专用术语外，与磋商有关的语言均使用中文。必要时专用术语应附有中文注释，</w:t>
      </w:r>
      <w:r>
        <w:rPr>
          <w:rFonts w:hint="eastAsia" w:ascii="宋体" w:hAnsi="宋体" w:cs="宋体"/>
          <w:szCs w:val="21"/>
          <w:lang w:bidi="en-US"/>
        </w:rPr>
        <w:t>对不同文字文本响应文件的解释发生异议的，以中文文本为准。</w:t>
      </w:r>
    </w:p>
    <w:p w14:paraId="7C91A66C">
      <w:pPr>
        <w:pStyle w:val="74"/>
        <w:spacing w:line="360" w:lineRule="auto"/>
        <w:ind w:firstLine="0" w:firstLineChars="0"/>
        <w:outlineLvl w:val="0"/>
        <w:rPr>
          <w:rFonts w:ascii="宋体" w:hAnsi="宋体" w:eastAsia="宋体"/>
          <w:b/>
          <w:bCs/>
          <w:sz w:val="21"/>
          <w:szCs w:val="21"/>
        </w:rPr>
      </w:pPr>
      <w:bookmarkStart w:id="275" w:name="_Toc29626"/>
      <w:bookmarkStart w:id="276" w:name="_Toc152042314"/>
      <w:bookmarkStart w:id="277" w:name="_Toc22378"/>
      <w:bookmarkStart w:id="278" w:name="_Toc14555"/>
      <w:bookmarkStart w:id="279" w:name="_Toc22415"/>
      <w:bookmarkStart w:id="280" w:name="_Toc455080117"/>
      <w:bookmarkStart w:id="281" w:name="_Toc4237"/>
      <w:bookmarkStart w:id="282" w:name="_Toc318450683"/>
      <w:bookmarkStart w:id="283" w:name="_Toc24337"/>
      <w:bookmarkStart w:id="284" w:name="_Toc2313"/>
      <w:bookmarkStart w:id="285" w:name="_Toc152045538"/>
      <w:bookmarkStart w:id="286" w:name="_Toc455867777"/>
      <w:bookmarkStart w:id="287" w:name="_Toc466298100"/>
      <w:bookmarkStart w:id="288" w:name="_Toc17559"/>
      <w:bookmarkStart w:id="289" w:name="_Toc32507"/>
      <w:bookmarkStart w:id="290" w:name="_Toc29060"/>
      <w:bookmarkStart w:id="291" w:name="_Toc2702"/>
      <w:bookmarkStart w:id="292" w:name="_Toc9446"/>
      <w:bookmarkStart w:id="293" w:name="_Toc4501"/>
      <w:bookmarkStart w:id="294" w:name="_Toc18357"/>
      <w:bookmarkStart w:id="295" w:name="_Toc490667836"/>
      <w:bookmarkStart w:id="296" w:name="_Toc14934"/>
      <w:bookmarkStart w:id="297" w:name="_Toc18425"/>
      <w:bookmarkStart w:id="298" w:name="_Toc144974506"/>
      <w:r>
        <w:rPr>
          <w:rFonts w:hint="eastAsia" w:ascii="宋体" w:hAnsi="宋体" w:eastAsia="宋体"/>
          <w:b/>
          <w:bCs/>
          <w:sz w:val="21"/>
          <w:szCs w:val="21"/>
        </w:rPr>
        <w:t>1.9 计量单位</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7B82C34">
      <w:pPr>
        <w:spacing w:line="360" w:lineRule="auto"/>
        <w:ind w:firstLine="0" w:firstLineChars="0"/>
        <w:rPr>
          <w:rFonts w:ascii="宋体" w:hAnsi="宋体" w:cs="宋体"/>
          <w:szCs w:val="21"/>
        </w:rPr>
      </w:pPr>
      <w:r>
        <w:rPr>
          <w:rFonts w:hint="eastAsia" w:ascii="宋体" w:hAnsi="宋体" w:cs="宋体"/>
          <w:szCs w:val="21"/>
        </w:rPr>
        <w:t>所有计量均采用中华人民共和国法定计量单位。</w:t>
      </w:r>
    </w:p>
    <w:p w14:paraId="607EA69B">
      <w:pPr>
        <w:pStyle w:val="74"/>
        <w:spacing w:line="360" w:lineRule="auto"/>
        <w:ind w:firstLine="0" w:firstLineChars="0"/>
        <w:outlineLvl w:val="0"/>
        <w:rPr>
          <w:rFonts w:ascii="宋体" w:hAnsi="宋体" w:eastAsia="宋体"/>
          <w:sz w:val="21"/>
          <w:szCs w:val="21"/>
        </w:rPr>
      </w:pPr>
      <w:bookmarkStart w:id="299" w:name="_Toc12027"/>
      <w:bookmarkStart w:id="300" w:name="_Toc29845"/>
      <w:bookmarkStart w:id="301" w:name="_Toc13675"/>
      <w:bookmarkStart w:id="302" w:name="_Toc338"/>
      <w:bookmarkStart w:id="303" w:name="_Toc284"/>
      <w:bookmarkStart w:id="304" w:name="_Toc2508"/>
      <w:bookmarkStart w:id="305" w:name="_Toc455867778"/>
      <w:bookmarkStart w:id="306" w:name="_Toc152042316"/>
      <w:bookmarkStart w:id="307" w:name="_Toc31195"/>
      <w:bookmarkStart w:id="308" w:name="_Toc27570"/>
      <w:bookmarkStart w:id="309" w:name="_Toc318450684"/>
      <w:bookmarkStart w:id="310" w:name="_Toc18589"/>
      <w:bookmarkStart w:id="311" w:name="_Toc19685"/>
      <w:bookmarkStart w:id="312" w:name="_Toc490667837"/>
      <w:bookmarkStart w:id="313" w:name="_Toc466298101"/>
      <w:bookmarkStart w:id="314" w:name="_Toc152045540"/>
      <w:bookmarkStart w:id="315" w:name="_Toc144974508"/>
      <w:bookmarkStart w:id="316" w:name="_Toc455080118"/>
      <w:bookmarkStart w:id="317" w:name="_Toc21643"/>
      <w:bookmarkStart w:id="318" w:name="_Toc8379"/>
      <w:bookmarkStart w:id="319" w:name="_Toc15047"/>
      <w:bookmarkStart w:id="320" w:name="_Toc30886"/>
      <w:bookmarkStart w:id="321" w:name="_Toc27512"/>
      <w:bookmarkStart w:id="322" w:name="_Toc21098"/>
      <w:r>
        <w:rPr>
          <w:rFonts w:hint="eastAsia" w:ascii="宋体" w:hAnsi="宋体" w:eastAsia="宋体"/>
          <w:b/>
          <w:bCs/>
          <w:sz w:val="21"/>
          <w:szCs w:val="21"/>
        </w:rPr>
        <w:t xml:space="preserve">1.10 </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b/>
          <w:bCs/>
          <w:sz w:val="21"/>
          <w:szCs w:val="21"/>
        </w:rPr>
        <w:t>现场踏勘：</w:t>
      </w:r>
      <w:r>
        <w:rPr>
          <w:rFonts w:hint="eastAsia" w:ascii="宋体" w:hAnsi="宋体" w:eastAsia="宋体"/>
          <w:sz w:val="21"/>
          <w:szCs w:val="21"/>
        </w:rPr>
        <w:t>自行踏勘，与之相关的费用，供应商自行承担。</w:t>
      </w:r>
      <w:bookmarkEnd w:id="317"/>
      <w:bookmarkEnd w:id="318"/>
      <w:bookmarkEnd w:id="319"/>
      <w:bookmarkEnd w:id="320"/>
      <w:bookmarkEnd w:id="321"/>
      <w:bookmarkEnd w:id="322"/>
    </w:p>
    <w:p w14:paraId="00213019">
      <w:pPr>
        <w:pStyle w:val="74"/>
        <w:spacing w:line="360" w:lineRule="auto"/>
        <w:ind w:firstLine="0" w:firstLineChars="0"/>
        <w:outlineLvl w:val="0"/>
        <w:rPr>
          <w:rFonts w:ascii="宋体" w:hAnsi="宋体" w:eastAsia="宋体"/>
          <w:b/>
          <w:bCs/>
          <w:sz w:val="21"/>
          <w:szCs w:val="21"/>
        </w:rPr>
      </w:pPr>
      <w:bookmarkStart w:id="323" w:name="_Toc25208"/>
      <w:bookmarkStart w:id="324" w:name="_Toc318450685"/>
      <w:bookmarkStart w:id="325" w:name="_Toc466298102"/>
      <w:bookmarkStart w:id="326" w:name="_Toc455080119"/>
      <w:bookmarkStart w:id="327" w:name="_Toc25167"/>
      <w:bookmarkStart w:id="328" w:name="_Toc24262"/>
      <w:bookmarkStart w:id="329" w:name="_Toc11744"/>
      <w:bookmarkStart w:id="330" w:name="_Toc152042317"/>
      <w:bookmarkStart w:id="331" w:name="_Toc9182"/>
      <w:bookmarkStart w:id="332" w:name="_Toc3853"/>
      <w:bookmarkStart w:id="333" w:name="_Toc152045541"/>
      <w:bookmarkStart w:id="334" w:name="_Toc4384"/>
      <w:bookmarkStart w:id="335" w:name="_Toc32757"/>
      <w:bookmarkStart w:id="336" w:name="_Toc21571"/>
      <w:bookmarkStart w:id="337" w:name="_Toc7035"/>
      <w:bookmarkStart w:id="338" w:name="_Toc31725"/>
      <w:bookmarkStart w:id="339" w:name="_Toc5365"/>
      <w:bookmarkStart w:id="340" w:name="_Toc23635"/>
      <w:bookmarkStart w:id="341" w:name="_Toc455867779"/>
      <w:bookmarkStart w:id="342" w:name="_Toc12562"/>
      <w:bookmarkStart w:id="343" w:name="_Toc144974509"/>
      <w:bookmarkStart w:id="344" w:name="_Toc23678"/>
      <w:bookmarkStart w:id="345" w:name="_Toc29433"/>
      <w:bookmarkStart w:id="346" w:name="_Toc490667838"/>
      <w:r>
        <w:rPr>
          <w:rFonts w:hint="eastAsia" w:ascii="宋体" w:hAnsi="宋体" w:eastAsia="宋体"/>
          <w:b/>
          <w:bCs/>
          <w:sz w:val="21"/>
          <w:szCs w:val="21"/>
        </w:rPr>
        <w:t>1.11分包</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313C417">
      <w:pPr>
        <w:spacing w:line="360" w:lineRule="auto"/>
        <w:ind w:firstLine="0" w:firstLineChars="0"/>
        <w:rPr>
          <w:rFonts w:ascii="宋体" w:hAnsi="宋体" w:cs="宋体"/>
          <w:szCs w:val="21"/>
        </w:rPr>
      </w:pPr>
      <w:r>
        <w:rPr>
          <w:rFonts w:hint="eastAsia" w:ascii="宋体" w:hAnsi="宋体" w:cs="宋体"/>
          <w:szCs w:val="21"/>
        </w:rPr>
        <w:t>是否允许分包：见供应商须知前附表。</w:t>
      </w:r>
      <w:bookmarkStart w:id="347" w:name="_Toc152042318"/>
      <w:bookmarkStart w:id="348" w:name="_Toc144974510"/>
      <w:bookmarkStart w:id="349" w:name="_Toc152045542"/>
      <w:bookmarkStart w:id="350" w:name="_Toc455080120"/>
    </w:p>
    <w:bookmarkEnd w:id="347"/>
    <w:bookmarkEnd w:id="348"/>
    <w:bookmarkEnd w:id="349"/>
    <w:p w14:paraId="3CEC5E98">
      <w:pPr>
        <w:spacing w:line="360" w:lineRule="auto"/>
        <w:ind w:firstLine="0" w:firstLineChars="0"/>
        <w:outlineLvl w:val="1"/>
        <w:rPr>
          <w:rFonts w:ascii="宋体" w:hAnsi="宋体" w:eastAsia="宋体"/>
          <w:b/>
          <w:bCs/>
          <w:szCs w:val="21"/>
        </w:rPr>
      </w:pPr>
      <w:bookmarkStart w:id="351" w:name="_Toc12453"/>
      <w:bookmarkStart w:id="352" w:name="_Toc15552"/>
      <w:r>
        <w:rPr>
          <w:rFonts w:hint="eastAsia" w:ascii="宋体" w:hAnsi="宋体"/>
          <w:b/>
          <w:bCs/>
          <w:szCs w:val="21"/>
        </w:rPr>
        <w:t>2.</w:t>
      </w:r>
      <w:bookmarkEnd w:id="350"/>
      <w:bookmarkEnd w:id="351"/>
      <w:r>
        <w:rPr>
          <w:rFonts w:hint="eastAsia" w:ascii="宋体" w:hAnsi="宋体"/>
          <w:b/>
          <w:bCs/>
          <w:szCs w:val="21"/>
        </w:rPr>
        <w:t>竞争性磋商文件</w:t>
      </w:r>
      <w:bookmarkEnd w:id="352"/>
    </w:p>
    <w:p w14:paraId="72168B35">
      <w:pPr>
        <w:pStyle w:val="74"/>
        <w:spacing w:line="360" w:lineRule="auto"/>
        <w:ind w:firstLine="0" w:firstLineChars="0"/>
        <w:outlineLvl w:val="0"/>
        <w:rPr>
          <w:rFonts w:ascii="宋体" w:hAnsi="宋体" w:eastAsia="宋体"/>
          <w:b/>
          <w:bCs/>
          <w:sz w:val="21"/>
          <w:szCs w:val="21"/>
        </w:rPr>
      </w:pPr>
      <w:bookmarkStart w:id="353" w:name="_Toc30664"/>
      <w:bookmarkStart w:id="354" w:name="_Toc466298104"/>
      <w:bookmarkStart w:id="355" w:name="_Toc30071"/>
      <w:bookmarkStart w:id="356" w:name="_Toc12004"/>
      <w:bookmarkStart w:id="357" w:name="_Toc490667840"/>
      <w:bookmarkStart w:id="358" w:name="_Toc152045543"/>
      <w:bookmarkStart w:id="359" w:name="_Toc455080121"/>
      <w:bookmarkStart w:id="360" w:name="_Toc32711"/>
      <w:bookmarkStart w:id="361" w:name="_Toc12640"/>
      <w:bookmarkStart w:id="362" w:name="_Toc7999"/>
      <w:bookmarkStart w:id="363" w:name="_Toc32497"/>
      <w:bookmarkStart w:id="364" w:name="_Toc152042319"/>
      <w:bookmarkStart w:id="365" w:name="_Toc455867781"/>
      <w:bookmarkStart w:id="366" w:name="_Toc9780"/>
      <w:bookmarkStart w:id="367" w:name="_Toc23649"/>
      <w:bookmarkStart w:id="368" w:name="_Toc11599"/>
      <w:bookmarkStart w:id="369" w:name="_Toc11567"/>
      <w:bookmarkStart w:id="370" w:name="_Toc6065"/>
      <w:bookmarkStart w:id="371" w:name="_Toc3982"/>
      <w:bookmarkStart w:id="372" w:name="_Toc318450687"/>
      <w:bookmarkStart w:id="373" w:name="_Toc1008"/>
      <w:bookmarkStart w:id="374" w:name="_Toc30730"/>
      <w:bookmarkStart w:id="375" w:name="_Toc144974511"/>
      <w:r>
        <w:rPr>
          <w:rFonts w:hint="eastAsia" w:ascii="宋体" w:hAnsi="宋体" w:eastAsia="宋体"/>
          <w:b/>
          <w:bCs/>
          <w:sz w:val="21"/>
          <w:szCs w:val="21"/>
        </w:rPr>
        <w:t>2.1竞争性磋商文件的组成</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0783DA95">
      <w:pPr>
        <w:spacing w:line="360" w:lineRule="auto"/>
        <w:ind w:firstLine="0" w:firstLineChars="0"/>
        <w:rPr>
          <w:rFonts w:ascii="宋体" w:hAnsi="宋体" w:cs="宋体"/>
          <w:szCs w:val="21"/>
          <w:highlight w:val="none"/>
        </w:rPr>
      </w:pPr>
      <w:r>
        <w:rPr>
          <w:rFonts w:hint="eastAsia" w:ascii="宋体" w:hAnsi="宋体" w:cs="宋体"/>
          <w:szCs w:val="21"/>
          <w:highlight w:val="none"/>
        </w:rPr>
        <w:t>本竞争性磋商文件包括：</w:t>
      </w:r>
    </w:p>
    <w:p w14:paraId="079126D5">
      <w:pPr>
        <w:spacing w:line="360" w:lineRule="auto"/>
        <w:ind w:firstLine="0" w:firstLineChars="0"/>
        <w:rPr>
          <w:rFonts w:ascii="宋体" w:hAnsi="宋体" w:cs="宋体"/>
          <w:szCs w:val="21"/>
          <w:highlight w:val="none"/>
        </w:rPr>
      </w:pPr>
      <w:r>
        <w:rPr>
          <w:rFonts w:hint="eastAsia" w:ascii="宋体" w:hAnsi="宋体" w:cs="宋体"/>
          <w:szCs w:val="21"/>
          <w:highlight w:val="none"/>
        </w:rPr>
        <w:t>（1）竞争性磋商公告；</w:t>
      </w:r>
    </w:p>
    <w:p w14:paraId="3F61D7D4">
      <w:pPr>
        <w:spacing w:line="360" w:lineRule="auto"/>
        <w:ind w:firstLine="0" w:firstLineChars="0"/>
        <w:rPr>
          <w:rFonts w:ascii="宋体" w:hAnsi="宋体" w:cs="宋体"/>
          <w:szCs w:val="21"/>
          <w:highlight w:val="none"/>
        </w:rPr>
      </w:pPr>
      <w:r>
        <w:rPr>
          <w:rFonts w:hint="eastAsia" w:ascii="宋体" w:hAnsi="宋体" w:cs="宋体"/>
          <w:szCs w:val="21"/>
          <w:highlight w:val="none"/>
        </w:rPr>
        <w:t>（2）供应商须知；</w:t>
      </w:r>
    </w:p>
    <w:p w14:paraId="1E2F744B">
      <w:pPr>
        <w:spacing w:line="360" w:lineRule="auto"/>
        <w:ind w:firstLine="0" w:firstLineChars="0"/>
        <w:rPr>
          <w:rFonts w:ascii="宋体" w:hAnsi="宋体" w:cs="宋体"/>
          <w:szCs w:val="21"/>
          <w:highlight w:val="none"/>
        </w:rPr>
      </w:pPr>
      <w:r>
        <w:rPr>
          <w:rFonts w:hint="eastAsia" w:ascii="宋体" w:hAnsi="宋体" w:cs="宋体"/>
          <w:szCs w:val="21"/>
          <w:highlight w:val="none"/>
        </w:rPr>
        <w:t>（3）评审办法；</w:t>
      </w:r>
    </w:p>
    <w:p w14:paraId="28245587">
      <w:pPr>
        <w:spacing w:line="360" w:lineRule="auto"/>
        <w:ind w:firstLine="0" w:firstLineChars="0"/>
        <w:rPr>
          <w:rFonts w:ascii="宋体" w:hAnsi="宋体" w:cs="宋体"/>
          <w:szCs w:val="21"/>
          <w:highlight w:val="none"/>
        </w:rPr>
      </w:pPr>
      <w:r>
        <w:rPr>
          <w:rFonts w:hint="eastAsia" w:ascii="宋体" w:hAnsi="宋体" w:cs="宋体"/>
          <w:szCs w:val="21"/>
          <w:highlight w:val="none"/>
        </w:rPr>
        <w:t>（4）采购合同；</w:t>
      </w:r>
    </w:p>
    <w:p w14:paraId="0B77F8BC">
      <w:pPr>
        <w:spacing w:line="360" w:lineRule="auto"/>
        <w:ind w:firstLine="0" w:firstLineChars="0"/>
        <w:rPr>
          <w:rFonts w:ascii="宋体" w:hAnsi="宋体" w:cs="宋体"/>
          <w:szCs w:val="21"/>
          <w:highlight w:val="none"/>
        </w:rPr>
      </w:pPr>
      <w:r>
        <w:rPr>
          <w:rFonts w:hint="eastAsia" w:ascii="宋体" w:hAnsi="宋体" w:cs="宋体"/>
          <w:szCs w:val="21"/>
          <w:highlight w:val="none"/>
        </w:rPr>
        <w:t>（5）采购</w:t>
      </w:r>
      <w:r>
        <w:rPr>
          <w:rFonts w:hint="eastAsia" w:ascii="宋体" w:hAnsi="宋体" w:cs="宋体"/>
          <w:szCs w:val="21"/>
          <w:highlight w:val="none"/>
          <w:lang w:val="en-US" w:eastAsia="zh-CN"/>
        </w:rPr>
        <w:t>内容</w:t>
      </w:r>
      <w:r>
        <w:rPr>
          <w:rFonts w:hint="eastAsia" w:ascii="宋体" w:hAnsi="宋体" w:cs="宋体"/>
          <w:szCs w:val="21"/>
          <w:highlight w:val="none"/>
        </w:rPr>
        <w:t>与要求；</w:t>
      </w:r>
    </w:p>
    <w:p w14:paraId="6783857E">
      <w:pPr>
        <w:spacing w:line="360" w:lineRule="auto"/>
        <w:ind w:firstLine="0" w:firstLineChars="0"/>
        <w:rPr>
          <w:rFonts w:ascii="宋体" w:hAnsi="宋体" w:eastAsia="宋体" w:cs="宋体"/>
          <w:szCs w:val="21"/>
          <w:highlight w:val="none"/>
        </w:rPr>
      </w:pPr>
      <w:r>
        <w:rPr>
          <w:rFonts w:hint="eastAsia" w:ascii="宋体" w:hAnsi="宋体" w:cs="宋体"/>
          <w:szCs w:val="21"/>
          <w:highlight w:val="none"/>
        </w:rPr>
        <w:t>（6）竞争性磋商响应文件格式；</w:t>
      </w:r>
    </w:p>
    <w:p w14:paraId="2720089D">
      <w:pPr>
        <w:spacing w:line="360" w:lineRule="auto"/>
        <w:ind w:firstLine="0" w:firstLineChars="0"/>
        <w:rPr>
          <w:rFonts w:ascii="宋体" w:hAnsi="宋体" w:cs="宋体"/>
          <w:szCs w:val="21"/>
          <w:highlight w:val="none"/>
        </w:rPr>
      </w:pPr>
      <w:r>
        <w:rPr>
          <w:rFonts w:hint="eastAsia" w:ascii="宋体" w:hAnsi="宋体" w:cs="宋体"/>
          <w:szCs w:val="21"/>
          <w:highlight w:val="none"/>
        </w:rPr>
        <w:t>（7）供应商须知前附表规定的其他材料。</w:t>
      </w:r>
    </w:p>
    <w:p w14:paraId="3622153F">
      <w:pPr>
        <w:spacing w:line="360" w:lineRule="auto"/>
        <w:ind w:firstLine="0" w:firstLineChars="0"/>
        <w:rPr>
          <w:rFonts w:ascii="宋体" w:hAnsi="宋体" w:cs="宋体"/>
          <w:szCs w:val="21"/>
        </w:rPr>
      </w:pPr>
      <w:r>
        <w:rPr>
          <w:rFonts w:hint="eastAsia" w:ascii="宋体" w:hAnsi="宋体" w:cs="宋体"/>
          <w:szCs w:val="21"/>
        </w:rPr>
        <w:t>根据本章第2.2款和第2.3款对竞争性磋商文件所作的澄清、修改，构成竞争性磋商文件的组成部分。</w:t>
      </w:r>
    </w:p>
    <w:p w14:paraId="28C45882">
      <w:pPr>
        <w:pStyle w:val="74"/>
        <w:spacing w:line="360" w:lineRule="auto"/>
        <w:ind w:firstLine="0" w:firstLineChars="0"/>
        <w:outlineLvl w:val="0"/>
        <w:rPr>
          <w:rFonts w:ascii="宋体" w:hAnsi="宋体" w:eastAsia="宋体"/>
          <w:b/>
          <w:bCs/>
          <w:sz w:val="21"/>
          <w:szCs w:val="21"/>
        </w:rPr>
      </w:pPr>
      <w:bookmarkStart w:id="376" w:name="_Toc14688"/>
      <w:bookmarkStart w:id="377" w:name="_Toc15658"/>
      <w:bookmarkStart w:id="378" w:name="_Toc2133"/>
      <w:bookmarkStart w:id="379" w:name="_Toc4054"/>
      <w:bookmarkStart w:id="380" w:name="_Toc391"/>
      <w:bookmarkStart w:id="381" w:name="_Toc29229"/>
      <w:bookmarkStart w:id="382" w:name="_Toc152042322"/>
      <w:bookmarkStart w:id="383" w:name="_Toc152045546"/>
      <w:bookmarkStart w:id="384" w:name="_Toc144974514"/>
      <w:bookmarkStart w:id="385" w:name="_Toc455080124"/>
      <w:r>
        <w:rPr>
          <w:rFonts w:hint="eastAsia" w:ascii="宋体" w:hAnsi="宋体" w:eastAsia="宋体"/>
          <w:b/>
          <w:bCs/>
          <w:sz w:val="21"/>
          <w:szCs w:val="21"/>
        </w:rPr>
        <w:t>2.2 竞争性磋商文件的澄清</w:t>
      </w:r>
      <w:bookmarkEnd w:id="376"/>
      <w:bookmarkEnd w:id="377"/>
      <w:bookmarkEnd w:id="378"/>
      <w:bookmarkEnd w:id="379"/>
      <w:bookmarkEnd w:id="380"/>
      <w:bookmarkEnd w:id="381"/>
    </w:p>
    <w:p w14:paraId="05D86600">
      <w:pPr>
        <w:spacing w:line="400" w:lineRule="exact"/>
        <w:ind w:firstLine="0" w:firstLineChars="0"/>
        <w:rPr>
          <w:rFonts w:ascii="宋体" w:hAnsi="宋体" w:cs="宋体"/>
        </w:rPr>
      </w:pPr>
      <w:r>
        <w:rPr>
          <w:rFonts w:hint="eastAsia" w:ascii="宋体" w:hAnsi="宋体" w:cs="宋体"/>
        </w:rPr>
        <w:t>2.2.1供应商应仔细阅读和检查竞争性磋商文件的全部内容。</w:t>
      </w:r>
      <w:r>
        <w:rPr>
          <w:rFonts w:hint="eastAsia" w:ascii="宋体" w:hAnsi="宋体" w:cs="宋体"/>
          <w:szCs w:val="21"/>
        </w:rPr>
        <w:t>如发现缺页或附件不全，应及时向采购人提出，以便补齐。</w:t>
      </w:r>
      <w:r>
        <w:rPr>
          <w:rFonts w:hint="eastAsia" w:ascii="宋体" w:hAnsi="宋体" w:cs="宋体"/>
        </w:rPr>
        <w:t>如有疑问，应在供应商须知前附表规定的时间前</w:t>
      </w:r>
      <w:r>
        <w:rPr>
          <w:rFonts w:hint="eastAsia" w:ascii="宋体" w:hAnsi="宋体"/>
          <w:szCs w:val="21"/>
        </w:rPr>
        <w:t>以书面形式（包括信函、电报、传真等可以有形表现所载内容的形式，下同），</w:t>
      </w:r>
      <w:r>
        <w:rPr>
          <w:rFonts w:hint="eastAsia" w:ascii="宋体" w:hAnsi="宋体" w:cs="宋体"/>
        </w:rPr>
        <w:t>要求采购人对竞争性磋商文件予以澄清。</w:t>
      </w:r>
    </w:p>
    <w:p w14:paraId="7C97CBFA">
      <w:pPr>
        <w:spacing w:line="400" w:lineRule="exact"/>
        <w:ind w:firstLine="0" w:firstLineChars="0"/>
        <w:rPr>
          <w:rFonts w:ascii="宋体" w:hAnsi="宋体" w:cs="宋体"/>
        </w:rPr>
      </w:pPr>
      <w:r>
        <w:rPr>
          <w:rFonts w:hint="eastAsia" w:ascii="宋体" w:hAnsi="宋体" w:cs="宋体"/>
        </w:rPr>
        <w:t>2.2.2 竞争性磋商文件的澄清将在供应商须知前附表规定的响应文件递交截止时间5天前在信阳市公共资源交易系统“变更公告”或“答疑文件”</w:t>
      </w:r>
      <w:r>
        <w:rPr>
          <w:rFonts w:hint="eastAsia" w:ascii="宋体" w:hAnsi="宋体"/>
          <w:szCs w:val="21"/>
        </w:rPr>
        <w:t>将澄清内容予以发布，</w:t>
      </w:r>
      <w:r>
        <w:rPr>
          <w:rFonts w:hint="eastAsia" w:ascii="宋体" w:hAnsi="宋体" w:cs="宋体"/>
        </w:rPr>
        <w:t>但不指明澄清问题的来源。如果澄清的内容可能影响响应文件编制且发出的时间距响应文件递交截止时间不足5天，相应延长投标截止时间。</w:t>
      </w:r>
    </w:p>
    <w:p w14:paraId="1FCEEBD3">
      <w:pPr>
        <w:spacing w:line="360" w:lineRule="auto"/>
        <w:ind w:firstLine="0" w:firstLineChars="0"/>
      </w:pPr>
      <w:r>
        <w:rPr>
          <w:rFonts w:hint="eastAsia" w:ascii="宋体" w:hAnsi="宋体"/>
          <w:szCs w:val="21"/>
        </w:rPr>
        <w:t>2.2.3供应商应在响应文件递交截止时间前及时查看澄清内容，因供应商未及时查看而造成的后果自负。</w:t>
      </w:r>
    </w:p>
    <w:p w14:paraId="5D5FCF73">
      <w:pPr>
        <w:pStyle w:val="74"/>
        <w:spacing w:line="360" w:lineRule="auto"/>
        <w:ind w:firstLine="0" w:firstLineChars="0"/>
        <w:outlineLvl w:val="0"/>
        <w:rPr>
          <w:rFonts w:ascii="宋体" w:hAnsi="宋体" w:eastAsia="宋体"/>
          <w:b/>
          <w:bCs/>
          <w:sz w:val="21"/>
          <w:szCs w:val="21"/>
        </w:rPr>
      </w:pPr>
      <w:bookmarkStart w:id="386" w:name="_Toc6489"/>
      <w:bookmarkStart w:id="387" w:name="_Toc10140"/>
      <w:bookmarkStart w:id="388" w:name="_Toc27360"/>
      <w:bookmarkStart w:id="389" w:name="_Toc5672"/>
      <w:bookmarkStart w:id="390" w:name="_Toc1637"/>
      <w:bookmarkStart w:id="391" w:name="_Toc8263"/>
      <w:r>
        <w:rPr>
          <w:rFonts w:hint="eastAsia" w:ascii="宋体" w:hAnsi="宋体" w:eastAsia="宋体"/>
          <w:b/>
          <w:bCs/>
          <w:sz w:val="21"/>
          <w:szCs w:val="21"/>
        </w:rPr>
        <w:t>2.3 竞争性磋商文件的修改</w:t>
      </w:r>
      <w:bookmarkEnd w:id="386"/>
      <w:bookmarkEnd w:id="387"/>
      <w:bookmarkEnd w:id="388"/>
      <w:bookmarkEnd w:id="389"/>
      <w:bookmarkEnd w:id="390"/>
      <w:bookmarkEnd w:id="391"/>
    </w:p>
    <w:p w14:paraId="1A4B7F1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cs="宋体"/>
        </w:rPr>
      </w:pPr>
      <w:r>
        <w:rPr>
          <w:rFonts w:hint="eastAsia" w:ascii="宋体" w:hAnsi="宋体" w:cs="宋体"/>
        </w:rPr>
        <w:t>2.3.1 在响应文件递交截止时间5天前，采购人可以修改竞争性磋商文件。如有修改，应在信阳市公共资源交易系统“变更公告”或“答疑文件”</w:t>
      </w:r>
      <w:r>
        <w:rPr>
          <w:rFonts w:hint="eastAsia" w:ascii="宋体" w:hAnsi="宋体"/>
          <w:szCs w:val="21"/>
        </w:rPr>
        <w:t>将修改内容予以发布</w:t>
      </w:r>
      <w:r>
        <w:rPr>
          <w:rFonts w:hint="eastAsia" w:ascii="宋体" w:hAnsi="宋体" w:cs="宋体"/>
        </w:rPr>
        <w:t>。如果修改的内容可能影响响应文件编制且发出的时间距响应文件递交截止时间不足5天，相应延长响应文件递交截止时间。</w:t>
      </w:r>
    </w:p>
    <w:p w14:paraId="25FB467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szCs w:val="21"/>
        </w:rPr>
      </w:pPr>
      <w:r>
        <w:rPr>
          <w:rFonts w:hint="eastAsia" w:ascii="宋体" w:hAnsi="宋体" w:cs="宋体"/>
        </w:rPr>
        <w:t>2.3.2当竞争性磋商文件的澄清、修改、补充等在同一内容的表述上不一致时，</w:t>
      </w:r>
      <w:r>
        <w:rPr>
          <w:rFonts w:hint="eastAsia" w:ascii="宋体" w:hAnsi="宋体"/>
          <w:szCs w:val="21"/>
        </w:rPr>
        <w:t>以最后在信阳市公共资源交易系统发出的文件为准。</w:t>
      </w:r>
    </w:p>
    <w:p w14:paraId="0EC9310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pPr>
      <w:r>
        <w:rPr>
          <w:rFonts w:hint="eastAsia" w:ascii="宋体" w:hAnsi="宋体" w:cs="宋体"/>
        </w:rPr>
        <w:t>2.3.3</w:t>
      </w:r>
      <w:r>
        <w:rPr>
          <w:rFonts w:hint="eastAsia" w:ascii="宋体" w:hAnsi="宋体"/>
          <w:szCs w:val="21"/>
        </w:rPr>
        <w:t>供应商应在响应文件递交截止时间前及时查看修改内容，因供应商未及时查看而造成的后果自负。</w:t>
      </w:r>
    </w:p>
    <w:p w14:paraId="43300746">
      <w:pPr>
        <w:pStyle w:val="73"/>
        <w:spacing w:line="360" w:lineRule="auto"/>
        <w:ind w:firstLine="0" w:firstLineChars="0"/>
        <w:rPr>
          <w:rFonts w:ascii="宋体" w:hAnsi="宋体" w:eastAsia="宋体"/>
          <w:b/>
          <w:bCs/>
          <w:sz w:val="21"/>
          <w:szCs w:val="21"/>
        </w:rPr>
      </w:pPr>
      <w:bookmarkStart w:id="392" w:name="_Toc22547"/>
      <w:bookmarkStart w:id="393" w:name="_Toc4666"/>
      <w:r>
        <w:rPr>
          <w:rFonts w:hint="eastAsia" w:ascii="宋体" w:hAnsi="宋体" w:eastAsia="宋体"/>
          <w:b/>
          <w:bCs/>
          <w:sz w:val="21"/>
          <w:szCs w:val="21"/>
        </w:rPr>
        <w:t xml:space="preserve">3. </w:t>
      </w:r>
      <w:bookmarkEnd w:id="382"/>
      <w:bookmarkEnd w:id="383"/>
      <w:bookmarkEnd w:id="384"/>
      <w:r>
        <w:rPr>
          <w:rFonts w:hint="eastAsia" w:ascii="宋体" w:hAnsi="宋体" w:eastAsia="宋体"/>
          <w:b/>
          <w:bCs/>
          <w:sz w:val="21"/>
          <w:szCs w:val="21"/>
        </w:rPr>
        <w:t>响应文件</w:t>
      </w:r>
      <w:bookmarkEnd w:id="385"/>
      <w:bookmarkEnd w:id="392"/>
      <w:bookmarkEnd w:id="393"/>
    </w:p>
    <w:p w14:paraId="1330AAF8">
      <w:pPr>
        <w:spacing w:line="360" w:lineRule="auto"/>
        <w:ind w:firstLine="0" w:firstLineChars="0"/>
        <w:outlineLvl w:val="1"/>
        <w:rPr>
          <w:rFonts w:hint="eastAsia" w:ascii="宋体" w:hAnsi="宋体"/>
          <w:b/>
          <w:bCs/>
          <w:szCs w:val="21"/>
        </w:rPr>
      </w:pPr>
      <w:bookmarkStart w:id="394" w:name="_Toc152042323"/>
      <w:bookmarkStart w:id="395" w:name="_Toc15810"/>
      <w:bookmarkStart w:id="396" w:name="_Toc13674"/>
      <w:bookmarkStart w:id="397" w:name="_Toc24440"/>
      <w:bookmarkStart w:id="398" w:name="_Toc9273"/>
      <w:bookmarkStart w:id="399" w:name="_Toc152045547"/>
      <w:bookmarkStart w:id="400" w:name="_Toc144974515"/>
      <w:bookmarkStart w:id="401" w:name="_Toc32410"/>
      <w:bookmarkStart w:id="402" w:name="_Toc27373"/>
      <w:bookmarkStart w:id="403" w:name="_Toc490667844"/>
      <w:bookmarkStart w:id="404" w:name="_Toc15800"/>
      <w:bookmarkStart w:id="405" w:name="_Toc10096"/>
      <w:bookmarkStart w:id="406" w:name="_Toc28231"/>
      <w:bookmarkStart w:id="407" w:name="_Toc16198"/>
      <w:bookmarkStart w:id="408" w:name="_Toc13956"/>
      <w:bookmarkStart w:id="409" w:name="_Toc318450691"/>
      <w:r>
        <w:rPr>
          <w:rFonts w:hint="eastAsia" w:ascii="宋体" w:hAnsi="宋体"/>
          <w:b/>
          <w:bCs/>
          <w:szCs w:val="21"/>
        </w:rPr>
        <w:t>3.1 响应文件的组成</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AB0B7BD">
      <w:pPr>
        <w:pStyle w:val="32"/>
        <w:spacing w:line="400" w:lineRule="exact"/>
        <w:ind w:firstLine="0" w:firstLineChars="0"/>
        <w:rPr>
          <w:rFonts w:hint="eastAsia" w:ascii="宋体" w:hAnsi="宋体" w:eastAsia="宋体" w:cs="宋体"/>
          <w:bCs/>
          <w:szCs w:val="21"/>
          <w:highlight w:val="none"/>
        </w:rPr>
      </w:pPr>
      <w:bookmarkStart w:id="410" w:name="_Toc152045548"/>
      <w:bookmarkStart w:id="411" w:name="_Toc318450692"/>
      <w:bookmarkStart w:id="412" w:name="_Toc899"/>
      <w:bookmarkStart w:id="413" w:name="_Toc279156232"/>
      <w:bookmarkStart w:id="414" w:name="_Toc152042324"/>
      <w:bookmarkStart w:id="415" w:name="_Toc26291"/>
      <w:bookmarkStart w:id="416" w:name="_Toc144974516"/>
      <w:r>
        <w:rPr>
          <w:rFonts w:hint="eastAsia" w:ascii="宋体" w:hAnsi="宋体" w:eastAsia="宋体" w:cs="宋体"/>
          <w:bCs/>
          <w:szCs w:val="21"/>
          <w:highlight w:val="none"/>
        </w:rPr>
        <w:t>响应文件应包括下列内容：</w:t>
      </w:r>
    </w:p>
    <w:p w14:paraId="2645B5D5">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1.</w:t>
      </w:r>
      <w:r>
        <w:rPr>
          <w:rFonts w:hint="eastAsia" w:ascii="宋体" w:hAnsi="宋体" w:cs="宋体" w:eastAsiaTheme="minorEastAsia"/>
          <w:kern w:val="2"/>
          <w:sz w:val="21"/>
          <w:szCs w:val="22"/>
          <w:lang w:val="en-US" w:eastAsia="zh-CN" w:bidi="ar-SA"/>
        </w:rPr>
        <w:t>磋商函及磋商函附录</w:t>
      </w:r>
    </w:p>
    <w:p w14:paraId="03319C40">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2.</w:t>
      </w:r>
      <w:r>
        <w:rPr>
          <w:rFonts w:hint="eastAsia" w:ascii="宋体" w:hAnsi="宋体" w:cs="宋体" w:eastAsiaTheme="minorEastAsia"/>
          <w:kern w:val="2"/>
          <w:sz w:val="21"/>
          <w:szCs w:val="22"/>
          <w:lang w:val="en-US" w:eastAsia="zh-CN" w:bidi="ar-SA"/>
        </w:rPr>
        <w:t>法定代表身份证明</w:t>
      </w:r>
    </w:p>
    <w:p w14:paraId="5EAB367F">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3.</w:t>
      </w:r>
      <w:r>
        <w:rPr>
          <w:rFonts w:hint="eastAsia" w:ascii="宋体" w:hAnsi="宋体" w:cs="宋体" w:eastAsiaTheme="minorEastAsia"/>
          <w:kern w:val="2"/>
          <w:sz w:val="21"/>
          <w:szCs w:val="22"/>
          <w:lang w:val="en-US" w:eastAsia="zh-CN" w:bidi="ar-SA"/>
        </w:rPr>
        <w:t>授权委托书</w:t>
      </w:r>
    </w:p>
    <w:p w14:paraId="2CEFB462">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4.</w:t>
      </w:r>
      <w:r>
        <w:rPr>
          <w:rFonts w:hint="eastAsia" w:ascii="宋体" w:hAnsi="宋体" w:cs="宋体" w:eastAsiaTheme="minorEastAsia"/>
          <w:kern w:val="2"/>
          <w:sz w:val="21"/>
          <w:szCs w:val="22"/>
          <w:lang w:val="en-US" w:eastAsia="zh-CN" w:bidi="ar-SA"/>
        </w:rPr>
        <w:t>资格证明文件</w:t>
      </w:r>
    </w:p>
    <w:p w14:paraId="7840BCB1">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5.</w:t>
      </w:r>
      <w:r>
        <w:rPr>
          <w:rFonts w:hint="eastAsia" w:ascii="宋体" w:hAnsi="宋体" w:cs="宋体" w:eastAsiaTheme="minorEastAsia"/>
          <w:kern w:val="2"/>
          <w:sz w:val="21"/>
          <w:szCs w:val="22"/>
          <w:lang w:val="en-US" w:eastAsia="zh-CN" w:bidi="ar-SA"/>
        </w:rPr>
        <w:t>拟投入本项目人员</w:t>
      </w:r>
    </w:p>
    <w:p w14:paraId="6190D3D6">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cs="宋体" w:eastAsiaTheme="minorEastAsia"/>
          <w:kern w:val="2"/>
          <w:sz w:val="21"/>
          <w:szCs w:val="22"/>
          <w:lang w:val="en-US" w:eastAsia="zh-CN" w:bidi="ar-SA"/>
        </w:rPr>
        <w:t>技术方案</w:t>
      </w:r>
    </w:p>
    <w:p w14:paraId="7B9F683B">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7.</w:t>
      </w:r>
      <w:r>
        <w:rPr>
          <w:rFonts w:hint="eastAsia" w:ascii="宋体" w:hAnsi="宋体" w:cs="宋体" w:eastAsiaTheme="minorEastAsia"/>
          <w:kern w:val="2"/>
          <w:sz w:val="21"/>
          <w:szCs w:val="22"/>
          <w:lang w:val="en-US" w:eastAsia="zh-CN" w:bidi="ar-SA"/>
        </w:rPr>
        <w:t>类似项目业绩</w:t>
      </w:r>
    </w:p>
    <w:p w14:paraId="5D3944F6">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8.</w:t>
      </w:r>
      <w:r>
        <w:rPr>
          <w:rFonts w:hint="eastAsia" w:ascii="宋体" w:hAnsi="宋体" w:cs="宋体" w:eastAsiaTheme="minorEastAsia"/>
          <w:kern w:val="2"/>
          <w:sz w:val="21"/>
          <w:szCs w:val="22"/>
          <w:lang w:val="en-US" w:eastAsia="zh-CN" w:bidi="ar-SA"/>
        </w:rPr>
        <w:t>中小企业声明函</w:t>
      </w:r>
    </w:p>
    <w:p w14:paraId="367692F8">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9.</w:t>
      </w:r>
      <w:r>
        <w:rPr>
          <w:rFonts w:hint="eastAsia" w:ascii="宋体" w:hAnsi="宋体" w:cs="宋体" w:eastAsiaTheme="minorEastAsia"/>
          <w:kern w:val="2"/>
          <w:sz w:val="21"/>
          <w:szCs w:val="22"/>
          <w:lang w:val="en-US" w:eastAsia="zh-CN" w:bidi="ar-SA"/>
        </w:rPr>
        <w:fldChar w:fldCharType="begin"/>
      </w:r>
      <w:r>
        <w:rPr>
          <w:rFonts w:hint="eastAsia" w:ascii="宋体" w:hAnsi="宋体" w:cs="宋体" w:eastAsiaTheme="minorEastAsia"/>
          <w:kern w:val="2"/>
          <w:sz w:val="21"/>
          <w:szCs w:val="22"/>
          <w:lang w:val="en-US" w:eastAsia="zh-CN" w:bidi="ar-SA"/>
        </w:rPr>
        <w:instrText xml:space="preserve"> HYPERLINK \l _Toc7101 </w:instrText>
      </w:r>
      <w:r>
        <w:rPr>
          <w:rFonts w:hint="eastAsia" w:ascii="宋体" w:hAnsi="宋体" w:cs="宋体" w:eastAsiaTheme="minorEastAsia"/>
          <w:kern w:val="2"/>
          <w:sz w:val="21"/>
          <w:szCs w:val="22"/>
          <w:lang w:val="en-US" w:eastAsia="zh-CN" w:bidi="ar-SA"/>
        </w:rPr>
        <w:fldChar w:fldCharType="separate"/>
      </w:r>
      <w:r>
        <w:rPr>
          <w:rFonts w:hint="eastAsia" w:ascii="宋体" w:hAnsi="宋体" w:cs="宋体" w:eastAsiaTheme="minorEastAsia"/>
          <w:kern w:val="2"/>
          <w:sz w:val="21"/>
          <w:szCs w:val="22"/>
          <w:lang w:val="en-US" w:eastAsia="zh-CN" w:bidi="ar-SA"/>
        </w:rPr>
        <w:t>残疾人福利性单位声明</w:t>
      </w:r>
      <w:r>
        <w:rPr>
          <w:rFonts w:hint="eastAsia" w:ascii="宋体" w:hAnsi="宋体" w:cs="宋体" w:eastAsiaTheme="minorEastAsia"/>
          <w:kern w:val="2"/>
          <w:sz w:val="21"/>
          <w:szCs w:val="22"/>
          <w:lang w:val="en-US" w:eastAsia="zh-CN" w:bidi="ar-SA"/>
        </w:rPr>
        <w:fldChar w:fldCharType="end"/>
      </w:r>
    </w:p>
    <w:p w14:paraId="67377FC6">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10.</w:t>
      </w:r>
      <w:r>
        <w:rPr>
          <w:rFonts w:hint="eastAsia" w:ascii="宋体" w:hAnsi="宋体" w:cs="宋体" w:eastAsiaTheme="minorEastAsia"/>
          <w:kern w:val="2"/>
          <w:sz w:val="21"/>
          <w:szCs w:val="22"/>
          <w:lang w:val="en-US" w:eastAsia="zh-CN" w:bidi="ar-SA"/>
        </w:rPr>
        <w:fldChar w:fldCharType="begin"/>
      </w:r>
      <w:r>
        <w:rPr>
          <w:rFonts w:hint="eastAsia" w:ascii="宋体" w:hAnsi="宋体" w:cs="宋体" w:eastAsiaTheme="minorEastAsia"/>
          <w:kern w:val="2"/>
          <w:sz w:val="21"/>
          <w:szCs w:val="22"/>
          <w:lang w:val="en-US" w:eastAsia="zh-CN" w:bidi="ar-SA"/>
        </w:rPr>
        <w:instrText xml:space="preserve"> HYPERLINK \l _Toc19926 </w:instrText>
      </w:r>
      <w:r>
        <w:rPr>
          <w:rFonts w:hint="eastAsia" w:ascii="宋体" w:hAnsi="宋体" w:cs="宋体" w:eastAsiaTheme="minorEastAsia"/>
          <w:kern w:val="2"/>
          <w:sz w:val="21"/>
          <w:szCs w:val="22"/>
          <w:lang w:val="en-US" w:eastAsia="zh-CN" w:bidi="ar-SA"/>
        </w:rPr>
        <w:fldChar w:fldCharType="separate"/>
      </w:r>
      <w:r>
        <w:rPr>
          <w:rFonts w:hint="eastAsia" w:ascii="宋体" w:hAnsi="宋体" w:cs="宋体" w:eastAsiaTheme="minorEastAsia"/>
          <w:kern w:val="2"/>
          <w:sz w:val="21"/>
          <w:szCs w:val="22"/>
          <w:lang w:val="en-US" w:eastAsia="zh-CN" w:bidi="ar-SA"/>
        </w:rPr>
        <w:t>监狱企业证明文件（如有）</w:t>
      </w:r>
      <w:r>
        <w:rPr>
          <w:rFonts w:hint="eastAsia" w:ascii="宋体" w:hAnsi="宋体" w:cs="宋体" w:eastAsiaTheme="minorEastAsia"/>
          <w:kern w:val="2"/>
          <w:sz w:val="21"/>
          <w:szCs w:val="22"/>
          <w:lang w:val="en-US" w:eastAsia="zh-CN" w:bidi="ar-SA"/>
        </w:rPr>
        <w:fldChar w:fldCharType="end"/>
      </w:r>
    </w:p>
    <w:p w14:paraId="4B1E0CD5">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11.</w:t>
      </w:r>
      <w:r>
        <w:rPr>
          <w:rFonts w:hint="eastAsia" w:ascii="宋体" w:hAnsi="宋体" w:cs="宋体" w:eastAsiaTheme="minorEastAsia"/>
          <w:kern w:val="2"/>
          <w:sz w:val="21"/>
          <w:szCs w:val="22"/>
          <w:lang w:val="en-US" w:eastAsia="zh-CN" w:bidi="ar-SA"/>
        </w:rPr>
        <w:t>企业实力证明文件</w:t>
      </w:r>
    </w:p>
    <w:p w14:paraId="1EA8A8C2">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12.</w:t>
      </w:r>
      <w:r>
        <w:rPr>
          <w:rFonts w:hint="eastAsia" w:ascii="宋体" w:hAnsi="宋体" w:cs="宋体" w:eastAsiaTheme="minorEastAsia"/>
          <w:kern w:val="2"/>
          <w:sz w:val="21"/>
          <w:szCs w:val="22"/>
          <w:lang w:val="en-US" w:eastAsia="zh-CN" w:bidi="ar-SA"/>
        </w:rPr>
        <w:t>采购需求及技术要求响应承诺</w:t>
      </w:r>
    </w:p>
    <w:p w14:paraId="0979F62B">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textAlignment w:val="auto"/>
        <w:rPr>
          <w:rFonts w:hint="eastAsia" w:ascii="宋体" w:hAnsi="宋体" w:cs="宋体" w:eastAsiaTheme="minorEastAsia"/>
          <w:kern w:val="2"/>
          <w:sz w:val="21"/>
          <w:szCs w:val="22"/>
          <w:lang w:val="en-US" w:eastAsia="zh-CN" w:bidi="ar-SA"/>
        </w:rPr>
      </w:pPr>
      <w:r>
        <w:rPr>
          <w:rFonts w:hint="eastAsia" w:ascii="宋体" w:hAnsi="宋体" w:cs="宋体"/>
          <w:kern w:val="2"/>
          <w:sz w:val="21"/>
          <w:szCs w:val="22"/>
          <w:lang w:val="en-US" w:eastAsia="zh-CN" w:bidi="ar-SA"/>
        </w:rPr>
        <w:t>13.</w:t>
      </w:r>
      <w:r>
        <w:rPr>
          <w:rFonts w:hint="eastAsia" w:ascii="宋体" w:hAnsi="宋体" w:cs="宋体" w:eastAsiaTheme="minorEastAsia"/>
          <w:kern w:val="2"/>
          <w:sz w:val="21"/>
          <w:szCs w:val="22"/>
          <w:lang w:val="en-US" w:eastAsia="zh-CN" w:bidi="ar-SA"/>
        </w:rPr>
        <w:fldChar w:fldCharType="begin"/>
      </w:r>
      <w:r>
        <w:rPr>
          <w:rFonts w:hint="eastAsia" w:ascii="宋体" w:hAnsi="宋体" w:cs="宋体" w:eastAsiaTheme="minorEastAsia"/>
          <w:kern w:val="2"/>
          <w:sz w:val="21"/>
          <w:szCs w:val="22"/>
          <w:lang w:val="en-US" w:eastAsia="zh-CN" w:bidi="ar-SA"/>
        </w:rPr>
        <w:instrText xml:space="preserve"> HYPERLINK \l _Toc30624 </w:instrText>
      </w:r>
      <w:r>
        <w:rPr>
          <w:rFonts w:hint="eastAsia" w:ascii="宋体" w:hAnsi="宋体" w:cs="宋体" w:eastAsiaTheme="minorEastAsia"/>
          <w:kern w:val="2"/>
          <w:sz w:val="21"/>
          <w:szCs w:val="22"/>
          <w:lang w:val="en-US" w:eastAsia="zh-CN" w:bidi="ar-SA"/>
        </w:rPr>
        <w:fldChar w:fldCharType="separate"/>
      </w:r>
      <w:r>
        <w:rPr>
          <w:rFonts w:hint="eastAsia" w:ascii="宋体" w:hAnsi="宋体" w:cs="宋体" w:eastAsiaTheme="minorEastAsia"/>
          <w:kern w:val="2"/>
          <w:sz w:val="21"/>
          <w:szCs w:val="22"/>
          <w:lang w:val="en-US" w:eastAsia="zh-CN" w:bidi="ar-SA"/>
        </w:rPr>
        <w:t>其他材料</w:t>
      </w:r>
      <w:r>
        <w:rPr>
          <w:rFonts w:hint="eastAsia" w:ascii="宋体" w:hAnsi="宋体" w:cs="宋体" w:eastAsiaTheme="minorEastAsia"/>
          <w:kern w:val="2"/>
          <w:sz w:val="21"/>
          <w:szCs w:val="22"/>
          <w:lang w:val="en-US" w:eastAsia="zh-CN" w:bidi="ar-SA"/>
        </w:rPr>
        <w:fldChar w:fldCharType="end"/>
      </w:r>
    </w:p>
    <w:p w14:paraId="14AF3658">
      <w:pPr>
        <w:spacing w:line="360" w:lineRule="auto"/>
        <w:ind w:firstLine="0" w:firstLineChars="0"/>
        <w:outlineLvl w:val="1"/>
        <w:rPr>
          <w:rFonts w:hint="eastAsia" w:ascii="宋体" w:hAnsi="宋体"/>
          <w:b/>
          <w:bCs/>
          <w:szCs w:val="21"/>
        </w:rPr>
      </w:pPr>
      <w:r>
        <w:rPr>
          <w:rFonts w:hint="eastAsia" w:ascii="宋体" w:hAnsi="宋体"/>
          <w:b/>
          <w:bCs/>
          <w:szCs w:val="21"/>
        </w:rPr>
        <w:t>3.2 磋商报价</w:t>
      </w:r>
      <w:bookmarkEnd w:id="410"/>
      <w:bookmarkEnd w:id="411"/>
      <w:bookmarkEnd w:id="412"/>
      <w:bookmarkEnd w:id="413"/>
      <w:bookmarkEnd w:id="414"/>
      <w:bookmarkEnd w:id="415"/>
      <w:bookmarkEnd w:id="416"/>
    </w:p>
    <w:p w14:paraId="042B20E4">
      <w:pPr>
        <w:spacing w:line="360" w:lineRule="auto"/>
        <w:ind w:firstLine="0" w:firstLineChars="0"/>
        <w:rPr>
          <w:rFonts w:hint="eastAsia" w:ascii="宋体" w:hAnsi="宋体" w:cs="宋体"/>
          <w:szCs w:val="21"/>
          <w:lang w:val="zh-CN" w:eastAsia="zh-CN"/>
        </w:rPr>
      </w:pPr>
      <w:bookmarkStart w:id="417" w:name="_Toc12402"/>
      <w:bookmarkStart w:id="418" w:name="_Toc21680"/>
      <w:bookmarkStart w:id="419" w:name="_Toc2425"/>
      <w:bookmarkStart w:id="420" w:name="_Toc21600"/>
      <w:bookmarkStart w:id="421" w:name="_Toc7105"/>
      <w:bookmarkStart w:id="422" w:name="_Toc466298109"/>
      <w:bookmarkStart w:id="423" w:name="_Toc318450693"/>
      <w:bookmarkStart w:id="424" w:name="_Toc25387"/>
      <w:bookmarkStart w:id="425" w:name="_Toc455867786"/>
      <w:bookmarkStart w:id="426" w:name="_Toc152045549"/>
      <w:bookmarkStart w:id="427" w:name="_Toc29133"/>
      <w:bookmarkStart w:id="428" w:name="_Toc152042325"/>
      <w:bookmarkStart w:id="429" w:name="_Toc490667846"/>
      <w:bookmarkStart w:id="430" w:name="_Toc6105"/>
      <w:bookmarkStart w:id="431" w:name="_Toc144974517"/>
      <w:bookmarkStart w:id="432" w:name="_Toc455080126"/>
      <w:bookmarkStart w:id="433" w:name="_Toc3624"/>
      <w:bookmarkStart w:id="434" w:name="_Toc7910"/>
      <w:bookmarkStart w:id="435" w:name="_Toc11968"/>
      <w:r>
        <w:rPr>
          <w:rFonts w:hint="eastAsia" w:ascii="宋体" w:hAnsi="宋体" w:cs="宋体"/>
          <w:szCs w:val="21"/>
          <w:lang w:val="zh-CN" w:eastAsia="zh-CN"/>
        </w:rPr>
        <w:t>3.2.1投标报价应包括国家规定的增值税税金，除供应商须知前附表另有规定外，增值税税金按一般计税方法计算。本项目的磋商报价应按照竞争性磋商文件、补充通知、答疑纪要、现场情况、承包范围，并充分考虑市场风险和国家政策性调整等风险系数，投标报价应根据项目具体特点和技术要求、结合企业自身综合实力、市场行情，自主报价，差旅费、税费等</w:t>
      </w:r>
      <w:r>
        <w:rPr>
          <w:rFonts w:hint="eastAsia" w:ascii="宋体" w:hAnsi="宋体" w:cs="宋体"/>
          <w:szCs w:val="21"/>
          <w:lang w:val="en-US" w:eastAsia="zh-CN"/>
        </w:rPr>
        <w:t>项目</w:t>
      </w:r>
      <w:r>
        <w:rPr>
          <w:rFonts w:hint="eastAsia" w:ascii="宋体" w:hAnsi="宋体" w:cs="宋体"/>
          <w:szCs w:val="21"/>
          <w:lang w:val="zh-CN" w:eastAsia="zh-CN"/>
        </w:rPr>
        <w:t>期间所发生的所有费用，但不得低于企业成本。二次报价：第一次报价必须按照竞争性磋商文件的报价格式填报，第二次报价在磋商中填报，第二次报价（不得高于第一次报价）即为最终报价</w:t>
      </w:r>
      <w:bookmarkEnd w:id="417"/>
      <w:r>
        <w:rPr>
          <w:rFonts w:hint="eastAsia" w:ascii="宋体" w:hAnsi="宋体" w:cs="宋体"/>
          <w:szCs w:val="21"/>
          <w:lang w:val="zh-CN" w:eastAsia="zh-CN"/>
        </w:rPr>
        <w:t>。</w:t>
      </w:r>
    </w:p>
    <w:p w14:paraId="61FDFE34">
      <w:pPr>
        <w:spacing w:line="360" w:lineRule="auto"/>
        <w:ind w:firstLine="0" w:firstLineChars="0"/>
        <w:rPr>
          <w:rFonts w:hint="eastAsia" w:ascii="宋体" w:hAnsi="宋体" w:cs="宋体"/>
          <w:szCs w:val="21"/>
          <w:lang w:val="zh-CN" w:eastAsia="zh-CN"/>
        </w:rPr>
      </w:pPr>
      <w:r>
        <w:rPr>
          <w:rFonts w:hint="eastAsia" w:ascii="宋体" w:hAnsi="宋体" w:cs="宋体"/>
          <w:szCs w:val="21"/>
          <w:lang w:val="zh-CN" w:eastAsia="zh-CN"/>
        </w:rPr>
        <w:t>3.2.2响应报价表中的大写金额和小写金额不一致的，以大写金额为准。</w:t>
      </w:r>
    </w:p>
    <w:p w14:paraId="093DA2F4">
      <w:pPr>
        <w:spacing w:line="360" w:lineRule="auto"/>
        <w:ind w:firstLine="0" w:firstLineChars="0"/>
        <w:rPr>
          <w:rFonts w:hint="eastAsia" w:ascii="宋体" w:hAnsi="宋体" w:cs="宋体"/>
          <w:szCs w:val="21"/>
          <w:lang w:val="zh-CN" w:eastAsia="zh-CN"/>
        </w:rPr>
      </w:pPr>
      <w:r>
        <w:rPr>
          <w:rFonts w:hint="eastAsia" w:ascii="宋体" w:hAnsi="宋体" w:cs="宋体"/>
          <w:szCs w:val="21"/>
          <w:lang w:val="zh-CN" w:eastAsia="zh-CN"/>
        </w:rPr>
        <w:t>3.2.</w:t>
      </w:r>
      <w:r>
        <w:rPr>
          <w:rFonts w:hint="eastAsia" w:ascii="宋体" w:hAnsi="宋体" w:cs="宋体"/>
          <w:szCs w:val="21"/>
          <w:lang w:val="en-US" w:eastAsia="zh-CN"/>
        </w:rPr>
        <w:t>3</w:t>
      </w:r>
      <w:r>
        <w:rPr>
          <w:rFonts w:hint="eastAsia" w:ascii="宋体" w:hAnsi="宋体" w:cs="宋体"/>
          <w:szCs w:val="21"/>
          <w:lang w:val="zh-CN" w:eastAsia="zh-CN"/>
        </w:rPr>
        <w:t xml:space="preserve">供应商的报价明显低于其他通过符合性审查供应商的报价，有可能影响产品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p>
    <w:p w14:paraId="6DBC55E3">
      <w:pPr>
        <w:spacing w:line="400" w:lineRule="exact"/>
        <w:ind w:firstLine="422"/>
        <w:outlineLvl w:val="2"/>
        <w:rPr>
          <w:rFonts w:hAnsi="宋体"/>
          <w:color w:val="auto"/>
          <w:lang w:val="zh-CN"/>
        </w:rPr>
      </w:pPr>
      <w:bookmarkStart w:id="436" w:name="_Toc6707"/>
      <w:bookmarkStart w:id="437" w:name="_Toc22762"/>
      <w:bookmarkStart w:id="438" w:name="_Toc358"/>
      <w:bookmarkStart w:id="439" w:name="_Toc8041"/>
      <w:bookmarkStart w:id="440" w:name="_Toc19445"/>
      <w:bookmarkStart w:id="441" w:name="_Toc6786"/>
      <w:bookmarkStart w:id="442" w:name="_Toc20443"/>
      <w:bookmarkStart w:id="443" w:name="_Toc3822"/>
      <w:bookmarkStart w:id="444" w:name="_Toc11851"/>
      <w:bookmarkStart w:id="445" w:name="_Toc22930"/>
      <w:bookmarkStart w:id="446" w:name="_Toc31811"/>
      <w:bookmarkStart w:id="447" w:name="_Toc21628"/>
      <w:r>
        <w:rPr>
          <w:rFonts w:hint="eastAsia" w:ascii="宋体" w:hAnsi="宋体" w:cs="宋体"/>
          <w:b/>
          <w:bCs/>
          <w:szCs w:val="21"/>
        </w:rPr>
        <w:t xml:space="preserve">3.3 </w:t>
      </w:r>
      <w:r>
        <w:rPr>
          <w:rFonts w:hint="eastAsia" w:ascii="宋体" w:hAnsi="宋体" w:cs="宋体"/>
          <w:b/>
          <w:bCs/>
          <w:szCs w:val="21"/>
          <w:lang w:val="zh-CN"/>
        </w:rPr>
        <w:t>小型微型企业认定及评标价格评审（非专门面向中小企业适用）</w:t>
      </w:r>
      <w:bookmarkEnd w:id="436"/>
      <w:bookmarkEnd w:id="437"/>
      <w:bookmarkEnd w:id="438"/>
      <w:bookmarkEnd w:id="439"/>
      <w:bookmarkEnd w:id="440"/>
      <w:bookmarkEnd w:id="441"/>
      <w:bookmarkEnd w:id="442"/>
      <w:bookmarkEnd w:id="443"/>
    </w:p>
    <w:tbl>
      <w:tblPr>
        <w:tblStyle w:val="34"/>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04CB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91" w:type="dxa"/>
            <w:vAlign w:val="center"/>
          </w:tcPr>
          <w:p w14:paraId="46F3BF99">
            <w:pPr>
              <w:pStyle w:val="15"/>
              <w:ind w:firstLine="0" w:firstLineChars="0"/>
              <w:jc w:val="center"/>
              <w:rPr>
                <w:rFonts w:ascii="宋体" w:hAnsi="宋体" w:eastAsia="宋体" w:cs="宋体"/>
                <w:lang w:val="zh-CN"/>
              </w:rPr>
            </w:pPr>
            <w:r>
              <w:rPr>
                <w:rFonts w:hint="eastAsia" w:ascii="宋体" w:hAnsi="宋体" w:eastAsia="宋体" w:cs="宋体"/>
                <w:lang w:val="zh-CN"/>
              </w:rPr>
              <w:t>内容</w:t>
            </w:r>
          </w:p>
        </w:tc>
        <w:tc>
          <w:tcPr>
            <w:tcW w:w="1561" w:type="dxa"/>
            <w:vAlign w:val="center"/>
          </w:tcPr>
          <w:p w14:paraId="5AAB4EC0">
            <w:pPr>
              <w:pStyle w:val="15"/>
              <w:ind w:firstLine="0" w:firstLineChars="0"/>
              <w:jc w:val="center"/>
              <w:rPr>
                <w:rFonts w:ascii="宋体" w:hAnsi="宋体" w:eastAsia="宋体" w:cs="宋体"/>
                <w:lang w:val="zh-CN"/>
              </w:rPr>
            </w:pPr>
            <w:r>
              <w:rPr>
                <w:rFonts w:hint="eastAsia" w:ascii="宋体" w:hAnsi="宋体" w:eastAsia="宋体" w:cs="宋体"/>
                <w:lang w:val="zh-CN"/>
              </w:rPr>
              <w:t>大型企业</w:t>
            </w:r>
          </w:p>
        </w:tc>
        <w:tc>
          <w:tcPr>
            <w:tcW w:w="1492" w:type="dxa"/>
            <w:vAlign w:val="center"/>
          </w:tcPr>
          <w:p w14:paraId="28199647">
            <w:pPr>
              <w:pStyle w:val="15"/>
              <w:ind w:firstLine="0" w:firstLineChars="0"/>
              <w:jc w:val="center"/>
              <w:rPr>
                <w:rFonts w:ascii="宋体" w:hAnsi="宋体" w:eastAsia="宋体" w:cs="宋体"/>
                <w:lang w:val="zh-CN"/>
              </w:rPr>
            </w:pPr>
            <w:r>
              <w:rPr>
                <w:rFonts w:hint="eastAsia" w:ascii="宋体" w:hAnsi="宋体" w:eastAsia="宋体" w:cs="宋体"/>
                <w:lang w:val="zh-CN"/>
              </w:rPr>
              <w:t>中型企业</w:t>
            </w:r>
          </w:p>
        </w:tc>
        <w:tc>
          <w:tcPr>
            <w:tcW w:w="2273" w:type="dxa"/>
            <w:vAlign w:val="center"/>
          </w:tcPr>
          <w:p w14:paraId="3AFEE304">
            <w:pPr>
              <w:pStyle w:val="15"/>
              <w:ind w:firstLine="0" w:firstLineChars="0"/>
              <w:jc w:val="center"/>
              <w:rPr>
                <w:rFonts w:ascii="宋体" w:hAnsi="宋体" w:eastAsia="宋体" w:cs="宋体"/>
                <w:lang w:val="zh-CN"/>
              </w:rPr>
            </w:pPr>
            <w:r>
              <w:rPr>
                <w:rFonts w:hint="eastAsia" w:ascii="宋体" w:hAnsi="宋体" w:eastAsia="宋体" w:cs="宋体"/>
                <w:lang w:val="zh-CN"/>
              </w:rPr>
              <w:t>小型企业</w:t>
            </w:r>
          </w:p>
        </w:tc>
        <w:tc>
          <w:tcPr>
            <w:tcW w:w="2094" w:type="dxa"/>
            <w:vAlign w:val="center"/>
          </w:tcPr>
          <w:p w14:paraId="03042961">
            <w:pPr>
              <w:pStyle w:val="15"/>
              <w:ind w:firstLine="0" w:firstLineChars="0"/>
              <w:jc w:val="center"/>
              <w:rPr>
                <w:rFonts w:ascii="宋体" w:hAnsi="宋体" w:eastAsia="宋体" w:cs="宋体"/>
                <w:lang w:val="zh-CN"/>
              </w:rPr>
            </w:pPr>
            <w:r>
              <w:rPr>
                <w:rFonts w:hint="eastAsia" w:ascii="宋体" w:hAnsi="宋体" w:eastAsia="宋体" w:cs="宋体"/>
                <w:lang w:val="zh-CN"/>
              </w:rPr>
              <w:t>微型企业</w:t>
            </w:r>
          </w:p>
        </w:tc>
      </w:tr>
      <w:tr w14:paraId="614C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14:paraId="0FA3C6CB">
            <w:pPr>
              <w:pStyle w:val="15"/>
              <w:ind w:firstLine="0" w:firstLineChars="0"/>
              <w:jc w:val="center"/>
              <w:rPr>
                <w:rFonts w:ascii="宋体" w:hAnsi="宋体" w:eastAsia="宋体" w:cs="宋体"/>
                <w:lang w:val="zh-CN"/>
              </w:rPr>
            </w:pPr>
            <w:r>
              <w:rPr>
                <w:rFonts w:hint="eastAsia" w:ascii="宋体" w:hAnsi="宋体" w:eastAsia="宋体" w:cs="宋体"/>
                <w:lang w:val="zh-CN"/>
              </w:rPr>
              <w:t>价格=</w:t>
            </w:r>
          </w:p>
        </w:tc>
        <w:tc>
          <w:tcPr>
            <w:tcW w:w="1561" w:type="dxa"/>
            <w:vAlign w:val="center"/>
          </w:tcPr>
          <w:p w14:paraId="5B2867B3">
            <w:pPr>
              <w:pStyle w:val="15"/>
              <w:ind w:firstLine="0" w:firstLineChars="0"/>
              <w:jc w:val="center"/>
              <w:rPr>
                <w:rFonts w:ascii="宋体" w:hAnsi="宋体" w:eastAsia="宋体" w:cs="宋体"/>
                <w:lang w:val="zh-CN"/>
              </w:rPr>
            </w:pPr>
            <w:r>
              <w:rPr>
                <w:rFonts w:hint="eastAsia" w:ascii="宋体" w:hAnsi="宋体" w:eastAsia="宋体" w:cs="宋体"/>
                <w:lang w:val="zh-CN"/>
              </w:rPr>
              <w:t>报价</w:t>
            </w:r>
          </w:p>
        </w:tc>
        <w:tc>
          <w:tcPr>
            <w:tcW w:w="1492" w:type="dxa"/>
            <w:vAlign w:val="center"/>
          </w:tcPr>
          <w:p w14:paraId="25F709DE">
            <w:pPr>
              <w:pStyle w:val="15"/>
              <w:ind w:firstLine="0" w:firstLineChars="0"/>
              <w:jc w:val="center"/>
              <w:rPr>
                <w:rFonts w:ascii="宋体" w:hAnsi="宋体" w:eastAsia="宋体" w:cs="宋体"/>
                <w:lang w:val="zh-CN"/>
              </w:rPr>
            </w:pPr>
            <w:r>
              <w:rPr>
                <w:rFonts w:hint="eastAsia" w:ascii="宋体" w:hAnsi="宋体" w:eastAsia="宋体" w:cs="宋体"/>
                <w:lang w:val="zh-CN"/>
              </w:rPr>
              <w:t>报价</w:t>
            </w:r>
          </w:p>
        </w:tc>
        <w:tc>
          <w:tcPr>
            <w:tcW w:w="2273" w:type="dxa"/>
            <w:vAlign w:val="center"/>
          </w:tcPr>
          <w:p w14:paraId="413CD074">
            <w:pPr>
              <w:pStyle w:val="15"/>
              <w:ind w:firstLine="0" w:firstLineChars="0"/>
              <w:jc w:val="center"/>
              <w:rPr>
                <w:rFonts w:ascii="宋体" w:hAnsi="宋体" w:eastAsia="宋体" w:cs="宋体"/>
                <w:lang w:val="zh-CN"/>
              </w:rPr>
            </w:pPr>
            <w:r>
              <w:rPr>
                <w:rFonts w:hint="eastAsia" w:ascii="宋体" w:hAnsi="宋体" w:eastAsia="宋体" w:cs="宋体"/>
                <w:lang w:val="zh-CN"/>
              </w:rPr>
              <w:t>报价×（1</w:t>
            </w:r>
            <w:r>
              <w:rPr>
                <w:rFonts w:hint="eastAsia" w:ascii="宋体" w:hAnsi="宋体" w:eastAsia="宋体" w:cs="宋体"/>
                <w:lang w:val="en-US" w:eastAsia="zh-CN"/>
              </w:rPr>
              <w:t>0</w:t>
            </w:r>
            <w:r>
              <w:rPr>
                <w:rFonts w:hint="eastAsia" w:ascii="宋体" w:hAnsi="宋体" w:eastAsia="宋体" w:cs="宋体"/>
                <w:lang w:val="zh-CN"/>
              </w:rPr>
              <w:t>-</w:t>
            </w:r>
            <w:r>
              <w:rPr>
                <w:rFonts w:hint="eastAsia" w:ascii="宋体" w:hAnsi="宋体" w:eastAsia="宋体" w:cs="宋体"/>
              </w:rPr>
              <w:t>20</w:t>
            </w:r>
            <w:r>
              <w:rPr>
                <w:rFonts w:hint="eastAsia" w:ascii="宋体" w:hAnsi="宋体" w:eastAsia="宋体" w:cs="宋体"/>
                <w:lang w:val="zh-CN"/>
              </w:rPr>
              <w:t>%）</w:t>
            </w:r>
          </w:p>
        </w:tc>
        <w:tc>
          <w:tcPr>
            <w:tcW w:w="2094" w:type="dxa"/>
            <w:vAlign w:val="center"/>
          </w:tcPr>
          <w:p w14:paraId="6451603C">
            <w:pPr>
              <w:pStyle w:val="15"/>
              <w:ind w:firstLine="0" w:firstLineChars="0"/>
              <w:jc w:val="center"/>
              <w:rPr>
                <w:rFonts w:ascii="宋体" w:hAnsi="宋体" w:eastAsia="宋体" w:cs="宋体"/>
                <w:lang w:val="zh-CN"/>
              </w:rPr>
            </w:pPr>
            <w:r>
              <w:rPr>
                <w:rFonts w:hint="eastAsia" w:ascii="宋体" w:hAnsi="宋体" w:eastAsia="宋体" w:cs="宋体"/>
                <w:lang w:val="zh-CN"/>
              </w:rPr>
              <w:t>报价×（1</w:t>
            </w:r>
            <w:r>
              <w:rPr>
                <w:rFonts w:hint="eastAsia" w:ascii="宋体" w:hAnsi="宋体" w:eastAsia="宋体" w:cs="宋体"/>
                <w:lang w:val="en-US" w:eastAsia="zh-CN"/>
              </w:rPr>
              <w:t>0</w:t>
            </w:r>
            <w:r>
              <w:rPr>
                <w:rFonts w:hint="eastAsia" w:ascii="宋体" w:hAnsi="宋体" w:eastAsia="宋体" w:cs="宋体"/>
                <w:lang w:val="zh-CN"/>
              </w:rPr>
              <w:t>-</w:t>
            </w:r>
            <w:r>
              <w:rPr>
                <w:rFonts w:hint="eastAsia" w:ascii="宋体" w:hAnsi="宋体" w:eastAsia="宋体" w:cs="宋体"/>
              </w:rPr>
              <w:t>20</w:t>
            </w:r>
            <w:r>
              <w:rPr>
                <w:rFonts w:hint="eastAsia" w:ascii="宋体" w:hAnsi="宋体" w:eastAsia="宋体" w:cs="宋体"/>
                <w:lang w:val="zh-CN"/>
              </w:rPr>
              <w:t>%）</w:t>
            </w:r>
          </w:p>
        </w:tc>
      </w:tr>
    </w:tbl>
    <w:p w14:paraId="107DBA2F">
      <w:pPr>
        <w:spacing w:line="360" w:lineRule="auto"/>
        <w:ind w:firstLine="0" w:firstLineChars="0"/>
        <w:rPr>
          <w:rFonts w:hint="default" w:ascii="宋体" w:hAnsi="宋体" w:cs="宋体"/>
          <w:szCs w:val="21"/>
          <w:lang w:val="en-US" w:eastAsia="zh-CN"/>
        </w:rPr>
      </w:pPr>
      <w:r>
        <w:rPr>
          <w:rFonts w:hint="eastAsia" w:ascii="宋体" w:hAnsi="宋体" w:cs="宋体"/>
          <w:szCs w:val="21"/>
          <w:lang w:val="zh-CN" w:eastAsia="zh-CN"/>
        </w:rPr>
        <w:t>3.3.1根据《政府采购促进中小企业发展管理办法》（财库[2020]46号）的规定、《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河南省工业和信息化厅《关于政府采购促进小型微型企业发展的实施意见》（豫财购[2013]14号）文件规定，对小型和微型企业产品的价格给予</w:t>
      </w:r>
      <w:r>
        <w:rPr>
          <w:rFonts w:hint="eastAsia" w:ascii="宋体" w:hAnsi="宋体" w:cs="宋体"/>
          <w:szCs w:val="21"/>
          <w:lang w:val="en-US" w:eastAsia="zh-CN"/>
        </w:rPr>
        <w:t>2</w:t>
      </w:r>
      <w:r>
        <w:rPr>
          <w:rFonts w:hint="eastAsia" w:ascii="宋体" w:hAnsi="宋体" w:cs="宋体"/>
          <w:szCs w:val="21"/>
          <w:lang w:val="zh-CN" w:eastAsia="zh-CN"/>
        </w:rPr>
        <w:t>0%的扣除，用扣除后的价格参与评审。</w:t>
      </w:r>
      <w:r>
        <w:rPr>
          <w:rFonts w:hint="eastAsia" w:asciiTheme="minorEastAsia" w:hAnsiTheme="minorEastAsia" w:eastAsiaTheme="minorEastAsia" w:cstheme="minorEastAsia"/>
          <w:b/>
          <w:bCs/>
          <w:color w:val="auto"/>
          <w:sz w:val="21"/>
          <w:szCs w:val="21"/>
          <w:highlight w:val="none"/>
          <w:lang w:val="en-US" w:eastAsia="zh-CN"/>
        </w:rPr>
        <w:t>（非专门面向中小微企业适用）</w:t>
      </w:r>
      <w:r>
        <w:rPr>
          <w:rFonts w:hint="eastAsia" w:asciiTheme="minorEastAsia" w:hAnsiTheme="minorEastAsia" w:cstheme="minorEastAsia"/>
          <w:b/>
          <w:bCs/>
          <w:color w:val="auto"/>
          <w:sz w:val="21"/>
          <w:szCs w:val="21"/>
          <w:highlight w:val="none"/>
          <w:lang w:val="en-US" w:eastAsia="zh-CN"/>
        </w:rPr>
        <w:t xml:space="preserve"> </w:t>
      </w:r>
    </w:p>
    <w:p w14:paraId="58B7B4F5">
      <w:pPr>
        <w:spacing w:line="360" w:lineRule="auto"/>
        <w:ind w:firstLine="0" w:firstLineChars="0"/>
        <w:rPr>
          <w:rFonts w:hint="eastAsia" w:ascii="宋体" w:hAnsi="宋体" w:cs="宋体"/>
          <w:szCs w:val="21"/>
          <w:lang w:val="zh-CN" w:eastAsia="zh-CN"/>
        </w:rPr>
      </w:pPr>
      <w:r>
        <w:rPr>
          <w:rFonts w:hint="eastAsia" w:ascii="宋体" w:hAnsi="宋体" w:cs="宋体"/>
          <w:szCs w:val="21"/>
          <w:lang w:val="zh-CN" w:eastAsia="zh-CN"/>
        </w:rPr>
        <w:t>3.3.2根据财政部、司法部联合印发《关于政府采购支持监狱企业发展有关问题的通知》（财库【2014】68号）文件规定，凡监狱企业参加政府采购活动视同小型、微型企业，但必须提供由省级以上监狱管理局、戒毒管理局（含新疆生产建设兵团）出具的属于监狱企业的证明文件，否则评审时不予价格扣除优惠。</w:t>
      </w:r>
    </w:p>
    <w:p w14:paraId="0D2DBF9F">
      <w:pPr>
        <w:spacing w:line="360" w:lineRule="auto"/>
        <w:ind w:firstLine="0" w:firstLineChars="0"/>
        <w:rPr>
          <w:rFonts w:hint="eastAsia" w:ascii="宋体" w:hAnsi="宋体" w:cs="宋体"/>
          <w:szCs w:val="21"/>
          <w:lang w:val="zh-CN" w:eastAsia="zh-CN"/>
        </w:rPr>
      </w:pPr>
      <w:r>
        <w:rPr>
          <w:rFonts w:hint="eastAsia" w:ascii="宋体" w:hAnsi="宋体" w:cs="宋体"/>
          <w:szCs w:val="21"/>
          <w:lang w:val="zh-CN" w:eastAsia="zh-CN"/>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758B526F">
      <w:pPr>
        <w:pStyle w:val="15"/>
        <w:ind w:left="0" w:leftChars="0" w:firstLine="0" w:firstLineChars="0"/>
        <w:rPr>
          <w:rFonts w:ascii="宋体" w:hAnsi="宋体" w:cs="宋体"/>
          <w:b/>
          <w:bCs/>
        </w:rPr>
      </w:pPr>
      <w:r>
        <w:rPr>
          <w:rFonts w:hint="eastAsia" w:ascii="宋体" w:hAnsi="宋体" w:cs="宋体"/>
          <w:b/>
          <w:bCs/>
        </w:rPr>
        <w:t>注：投标价格为含税价。</w:t>
      </w:r>
    </w:p>
    <w:p w14:paraId="2A3D3E29">
      <w:pPr>
        <w:pStyle w:val="74"/>
        <w:spacing w:line="360" w:lineRule="auto"/>
        <w:ind w:firstLine="0" w:firstLineChars="0"/>
        <w:outlineLvl w:val="0"/>
        <w:rPr>
          <w:rFonts w:ascii="宋体" w:hAnsi="宋体" w:eastAsia="宋体"/>
          <w:b/>
          <w:bCs/>
          <w:sz w:val="21"/>
          <w:szCs w:val="21"/>
        </w:rPr>
      </w:pPr>
      <w:bookmarkStart w:id="448" w:name="_Toc13240"/>
      <w:r>
        <w:rPr>
          <w:rFonts w:hint="eastAsia" w:ascii="宋体" w:hAnsi="宋体" w:eastAsia="宋体"/>
          <w:b/>
          <w:bCs/>
          <w:sz w:val="21"/>
          <w:szCs w:val="21"/>
        </w:rPr>
        <w:t>3.</w:t>
      </w:r>
      <w:r>
        <w:rPr>
          <w:rFonts w:hint="eastAsia" w:ascii="宋体" w:hAnsi="宋体" w:eastAsia="宋体"/>
          <w:b/>
          <w:bCs/>
          <w:sz w:val="21"/>
          <w:szCs w:val="21"/>
          <w:lang w:val="en-US" w:eastAsia="zh-CN"/>
        </w:rPr>
        <w:t>4</w:t>
      </w:r>
      <w:r>
        <w:rPr>
          <w:rFonts w:hint="eastAsia" w:ascii="宋体" w:hAnsi="宋体" w:eastAsia="宋体"/>
          <w:b/>
          <w:bCs/>
          <w:sz w:val="21"/>
          <w:szCs w:val="21"/>
        </w:rPr>
        <w:t xml:space="preserve"> 磋商有效期</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44"/>
      <w:bookmarkEnd w:id="445"/>
      <w:bookmarkEnd w:id="446"/>
      <w:bookmarkEnd w:id="447"/>
      <w:bookmarkEnd w:id="448"/>
    </w:p>
    <w:p w14:paraId="1289011B">
      <w:pPr>
        <w:spacing w:line="360" w:lineRule="auto"/>
        <w:ind w:firstLine="0" w:firstLineChars="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.1 在供应商须知前附表规定的磋商有效期内，供应商不得要求撤销或修改其响应文件。</w:t>
      </w:r>
    </w:p>
    <w:p w14:paraId="0D75CD3A">
      <w:pPr>
        <w:spacing w:line="360" w:lineRule="auto"/>
        <w:ind w:firstLine="0" w:firstLineChars="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 xml:space="preserve">.2出现特殊情况需要延长磋商有效期的，采购人以书面形式通知所有供应商延长磋商有效期。供应商同意延长的，但不得要求或被允许修改或撤销其响应文件；供应商拒绝延长的，其响应文件失效。 </w:t>
      </w:r>
      <w:bookmarkStart w:id="449" w:name="_Toc455080127"/>
      <w:bookmarkStart w:id="450" w:name="_Toc30697"/>
      <w:bookmarkStart w:id="451" w:name="_Toc7618"/>
      <w:bookmarkStart w:id="452" w:name="_Toc318450694"/>
      <w:bookmarkStart w:id="453" w:name="_Toc7057"/>
      <w:bookmarkStart w:id="454" w:name="_Toc455867787"/>
      <w:bookmarkStart w:id="455" w:name="_Toc466298110"/>
      <w:bookmarkStart w:id="456" w:name="_Toc10370"/>
      <w:bookmarkStart w:id="457" w:name="_Toc144974518"/>
      <w:bookmarkStart w:id="458" w:name="_Toc2505"/>
      <w:bookmarkStart w:id="459" w:name="_Toc152045550"/>
      <w:bookmarkStart w:id="460" w:name="_Toc7973"/>
      <w:bookmarkStart w:id="461" w:name="_Toc4165"/>
      <w:bookmarkStart w:id="462" w:name="_Toc8406"/>
      <w:bookmarkStart w:id="463" w:name="_Toc152042326"/>
      <w:bookmarkStart w:id="464" w:name="_Toc490667847"/>
      <w:bookmarkStart w:id="465" w:name="_Toc22634"/>
      <w:bookmarkStart w:id="466" w:name="_Toc13403"/>
      <w:bookmarkStart w:id="467" w:name="_Toc24456"/>
      <w:bookmarkStart w:id="468" w:name="_Toc24281"/>
      <w:bookmarkStart w:id="469" w:name="_Toc11372"/>
      <w:bookmarkStart w:id="470" w:name="_Toc13921"/>
      <w:bookmarkStart w:id="471" w:name="_Toc7436"/>
    </w:p>
    <w:p w14:paraId="6B502E68">
      <w:pPr>
        <w:spacing w:line="360" w:lineRule="auto"/>
        <w:ind w:firstLine="0" w:firstLineChars="0"/>
        <w:rPr>
          <w:rFonts w:hint="eastAsia" w:ascii="宋体" w:hAnsi="宋体" w:eastAsia="宋体"/>
          <w:b/>
          <w:bCs/>
          <w:sz w:val="21"/>
          <w:szCs w:val="21"/>
        </w:rPr>
      </w:pPr>
      <w:r>
        <w:rPr>
          <w:rFonts w:hint="eastAsia" w:ascii="宋体" w:hAnsi="宋体" w:eastAsia="宋体"/>
          <w:b/>
          <w:bCs/>
          <w:sz w:val="21"/>
          <w:szCs w:val="21"/>
        </w:rPr>
        <w:t>3.</w:t>
      </w:r>
      <w:r>
        <w:rPr>
          <w:rFonts w:hint="eastAsia" w:ascii="宋体" w:hAnsi="宋体" w:eastAsia="宋体"/>
          <w:b/>
          <w:bCs/>
          <w:sz w:val="21"/>
          <w:szCs w:val="21"/>
          <w:lang w:val="en-US" w:eastAsia="zh-CN"/>
        </w:rPr>
        <w:t>5</w:t>
      </w:r>
      <w:r>
        <w:rPr>
          <w:rFonts w:hint="eastAsia" w:ascii="宋体" w:hAnsi="宋体" w:eastAsia="宋体"/>
          <w:b/>
          <w:bCs/>
          <w:sz w:val="21"/>
          <w:szCs w:val="21"/>
        </w:rPr>
        <w:t xml:space="preserve"> 磋商保证金</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Start w:id="472" w:name="_Toc152042328"/>
      <w:bookmarkStart w:id="473" w:name="_Toc144974520"/>
      <w:bookmarkStart w:id="474" w:name="_Toc152045552"/>
      <w:bookmarkStart w:id="475" w:name="_Toc318450695"/>
      <w:r>
        <w:rPr>
          <w:rFonts w:hint="eastAsia" w:ascii="宋体" w:hAnsi="宋体" w:eastAsia="宋体"/>
          <w:b/>
          <w:bCs/>
          <w:sz w:val="21"/>
          <w:szCs w:val="21"/>
        </w:rPr>
        <w:t>：无。</w:t>
      </w:r>
      <w:bookmarkEnd w:id="466"/>
      <w:bookmarkEnd w:id="467"/>
      <w:bookmarkEnd w:id="468"/>
      <w:bookmarkEnd w:id="469"/>
      <w:bookmarkEnd w:id="470"/>
      <w:bookmarkEnd w:id="471"/>
      <w:bookmarkStart w:id="476" w:name="_Toc29082"/>
      <w:bookmarkStart w:id="477" w:name="_Toc17153"/>
      <w:bookmarkStart w:id="478" w:name="_Toc455080128"/>
      <w:bookmarkStart w:id="479" w:name="_Toc2794"/>
      <w:bookmarkStart w:id="480" w:name="_Toc22384"/>
      <w:bookmarkStart w:id="481" w:name="_Toc466298111"/>
      <w:bookmarkStart w:id="482" w:name="_Toc31935"/>
      <w:bookmarkStart w:id="483" w:name="_Toc23136"/>
      <w:bookmarkStart w:id="484" w:name="_Toc17148"/>
      <w:bookmarkStart w:id="485" w:name="_Toc15547"/>
      <w:bookmarkStart w:id="486" w:name="_Toc16747"/>
      <w:bookmarkStart w:id="487" w:name="_Toc27579"/>
      <w:bookmarkStart w:id="488" w:name="_Toc455867788"/>
      <w:bookmarkStart w:id="489" w:name="_Toc30696"/>
      <w:bookmarkStart w:id="490" w:name="_Toc11077"/>
      <w:bookmarkStart w:id="491" w:name="_Toc490667848"/>
      <w:bookmarkStart w:id="492" w:name="_Toc13680"/>
      <w:bookmarkStart w:id="493" w:name="_Toc22527"/>
      <w:bookmarkStart w:id="494" w:name="_Toc20328"/>
    </w:p>
    <w:p w14:paraId="5894E23C">
      <w:pPr>
        <w:spacing w:line="360" w:lineRule="auto"/>
        <w:ind w:firstLine="0" w:firstLineChars="0"/>
        <w:rPr>
          <w:rFonts w:ascii="宋体" w:hAnsi="宋体" w:eastAsia="宋体"/>
          <w:b/>
          <w:bCs/>
          <w:sz w:val="21"/>
          <w:szCs w:val="21"/>
        </w:rPr>
      </w:pPr>
      <w:r>
        <w:rPr>
          <w:rFonts w:hint="eastAsia" w:ascii="宋体" w:hAnsi="宋体" w:eastAsia="宋体"/>
          <w:b/>
          <w:bCs/>
          <w:sz w:val="21"/>
          <w:szCs w:val="21"/>
        </w:rPr>
        <w:t>3.</w:t>
      </w:r>
      <w:r>
        <w:rPr>
          <w:rFonts w:hint="eastAsia" w:ascii="宋体" w:hAnsi="宋体" w:eastAsia="宋体"/>
          <w:b/>
          <w:bCs/>
          <w:sz w:val="21"/>
          <w:szCs w:val="21"/>
          <w:lang w:val="en-US" w:eastAsia="zh-CN"/>
        </w:rPr>
        <w:t>6</w:t>
      </w:r>
      <w:r>
        <w:rPr>
          <w:rFonts w:hint="eastAsia" w:ascii="宋体" w:hAnsi="宋体" w:eastAsia="宋体"/>
          <w:b/>
          <w:bCs/>
          <w:sz w:val="21"/>
          <w:szCs w:val="21"/>
        </w:rPr>
        <w:t>资格审查资料</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92D955D">
      <w:pPr>
        <w:pStyle w:val="74"/>
        <w:spacing w:line="360" w:lineRule="auto"/>
        <w:ind w:firstLine="0" w:firstLineChars="0"/>
        <w:outlineLvl w:val="0"/>
        <w:rPr>
          <w:rFonts w:ascii="宋体" w:hAnsi="宋体" w:eastAsia="宋体"/>
          <w:sz w:val="21"/>
          <w:szCs w:val="21"/>
        </w:rPr>
      </w:pPr>
      <w:bookmarkStart w:id="495" w:name="_Toc933"/>
      <w:bookmarkStart w:id="496" w:name="_Toc4586"/>
      <w:bookmarkStart w:id="497" w:name="_Toc1848"/>
      <w:bookmarkStart w:id="498" w:name="_Toc13787"/>
      <w:bookmarkStart w:id="499" w:name="_Toc20557"/>
      <w:bookmarkStart w:id="500" w:name="_Toc10160"/>
      <w:bookmarkStart w:id="501" w:name="_Toc455867789"/>
      <w:bookmarkStart w:id="502" w:name="_Toc455080129"/>
      <w:bookmarkStart w:id="503" w:name="_Toc18915"/>
      <w:bookmarkStart w:id="504" w:name="_Toc26258"/>
      <w:bookmarkStart w:id="505" w:name="_Toc490667849"/>
      <w:bookmarkStart w:id="506" w:name="_Toc466298112"/>
      <w:bookmarkStart w:id="507" w:name="_Toc5132"/>
      <w:bookmarkStart w:id="508" w:name="_Toc30442"/>
      <w:bookmarkStart w:id="509" w:name="_Toc11694"/>
      <w:bookmarkStart w:id="510" w:name="_Toc3286"/>
      <w:bookmarkStart w:id="511" w:name="_Toc144974521"/>
      <w:bookmarkStart w:id="512" w:name="_Toc9015"/>
      <w:bookmarkStart w:id="513" w:name="_Toc1228"/>
      <w:bookmarkStart w:id="514" w:name="_Toc152045553"/>
      <w:bookmarkStart w:id="515" w:name="_Toc19724"/>
      <w:bookmarkStart w:id="516" w:name="_Toc152042329"/>
      <w:bookmarkStart w:id="517" w:name="_Toc318450696"/>
      <w:r>
        <w:rPr>
          <w:rFonts w:hint="eastAsia" w:ascii="宋体" w:hAnsi="宋体" w:eastAsia="宋体"/>
          <w:sz w:val="21"/>
          <w:szCs w:val="21"/>
        </w:rPr>
        <w:t>按照第二章供应商须知表“供应商须知前附表”1.5.1要求，提供其他相关材料。</w:t>
      </w:r>
      <w:bookmarkEnd w:id="495"/>
      <w:bookmarkEnd w:id="496"/>
      <w:bookmarkEnd w:id="497"/>
      <w:bookmarkEnd w:id="498"/>
      <w:bookmarkEnd w:id="499"/>
      <w:bookmarkEnd w:id="500"/>
    </w:p>
    <w:p w14:paraId="2686FD11">
      <w:pPr>
        <w:pStyle w:val="74"/>
        <w:spacing w:line="360" w:lineRule="auto"/>
        <w:ind w:firstLine="0" w:firstLineChars="0"/>
        <w:outlineLvl w:val="0"/>
        <w:rPr>
          <w:rFonts w:ascii="宋体" w:hAnsi="宋体" w:eastAsia="宋体"/>
          <w:b/>
          <w:bCs/>
          <w:sz w:val="21"/>
          <w:szCs w:val="21"/>
        </w:rPr>
      </w:pPr>
      <w:bookmarkStart w:id="518" w:name="_Toc27283"/>
      <w:bookmarkStart w:id="519" w:name="_Toc24976"/>
      <w:bookmarkStart w:id="520" w:name="_Toc3034"/>
      <w:bookmarkStart w:id="521" w:name="_Toc2472"/>
      <w:bookmarkStart w:id="522" w:name="_Toc9338"/>
      <w:bookmarkStart w:id="523" w:name="_Toc24859"/>
      <w:r>
        <w:rPr>
          <w:rFonts w:hint="eastAsia" w:ascii="宋体" w:hAnsi="宋体" w:eastAsia="宋体"/>
          <w:b/>
          <w:bCs/>
          <w:sz w:val="21"/>
          <w:szCs w:val="21"/>
        </w:rPr>
        <w:t>3.</w:t>
      </w:r>
      <w:r>
        <w:rPr>
          <w:rFonts w:hint="eastAsia" w:ascii="宋体" w:hAnsi="宋体" w:eastAsia="宋体"/>
          <w:b/>
          <w:bCs/>
          <w:sz w:val="21"/>
          <w:szCs w:val="21"/>
          <w:lang w:val="en-US" w:eastAsia="zh-CN"/>
        </w:rPr>
        <w:t>7</w:t>
      </w:r>
      <w:r>
        <w:rPr>
          <w:rFonts w:hint="eastAsia" w:ascii="宋体" w:hAnsi="宋体" w:eastAsia="宋体"/>
          <w:b/>
          <w:bCs/>
          <w:sz w:val="21"/>
          <w:szCs w:val="21"/>
        </w:rPr>
        <w:t xml:space="preserve"> 备选方案</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50847844">
      <w:pPr>
        <w:spacing w:line="360" w:lineRule="auto"/>
        <w:ind w:firstLine="0" w:firstLineChars="0"/>
        <w:rPr>
          <w:rFonts w:ascii="宋体" w:hAnsi="宋体" w:cs="宋体"/>
          <w:szCs w:val="21"/>
        </w:rPr>
      </w:pPr>
      <w:r>
        <w:rPr>
          <w:rFonts w:hint="eastAsia" w:ascii="宋体" w:hAnsi="宋体" w:cs="宋体"/>
          <w:szCs w:val="21"/>
        </w:rPr>
        <w:t>除供应商须知前附表另有规定外，供应商不得递交备选磋商方案。</w:t>
      </w:r>
    </w:p>
    <w:p w14:paraId="0737BD3D">
      <w:pPr>
        <w:pStyle w:val="74"/>
        <w:spacing w:line="360" w:lineRule="auto"/>
        <w:ind w:firstLine="0" w:firstLineChars="0"/>
        <w:outlineLvl w:val="0"/>
        <w:rPr>
          <w:rFonts w:ascii="宋体" w:hAnsi="宋体" w:eastAsia="宋体"/>
          <w:b/>
          <w:bCs/>
          <w:sz w:val="21"/>
          <w:szCs w:val="21"/>
        </w:rPr>
      </w:pPr>
      <w:bookmarkStart w:id="524" w:name="_Toc8143"/>
      <w:bookmarkStart w:id="525" w:name="_Toc1358"/>
      <w:bookmarkStart w:id="526" w:name="_Toc22454"/>
      <w:bookmarkStart w:id="527" w:name="_Toc490667850"/>
      <w:bookmarkStart w:id="528" w:name="_Toc466298113"/>
      <w:bookmarkStart w:id="529" w:name="_Toc7626"/>
      <w:bookmarkStart w:id="530" w:name="_Toc5516"/>
      <w:bookmarkStart w:id="531" w:name="_Toc28656"/>
      <w:bookmarkStart w:id="532" w:name="_Toc455080130"/>
      <w:bookmarkStart w:id="533" w:name="_Toc7966"/>
      <w:bookmarkStart w:id="534" w:name="_Toc18912"/>
      <w:bookmarkStart w:id="535" w:name="_Toc455867790"/>
      <w:bookmarkStart w:id="536" w:name="_Toc25620"/>
      <w:bookmarkStart w:id="537" w:name="_Toc12275"/>
      <w:bookmarkStart w:id="538" w:name="_Toc10246"/>
      <w:bookmarkStart w:id="539" w:name="_Toc18141"/>
      <w:bookmarkStart w:id="540" w:name="_Toc318450697"/>
      <w:bookmarkStart w:id="541" w:name="_Toc12541"/>
      <w:bookmarkStart w:id="542" w:name="_Toc152045554"/>
      <w:bookmarkStart w:id="543" w:name="_Toc6323"/>
      <w:bookmarkStart w:id="544" w:name="_Toc152042330"/>
      <w:bookmarkStart w:id="545" w:name="_Toc144974522"/>
      <w:bookmarkStart w:id="546" w:name="_Toc17697"/>
      <w:r>
        <w:rPr>
          <w:rFonts w:hint="eastAsia" w:ascii="宋体" w:hAnsi="宋体" w:eastAsia="宋体"/>
          <w:b/>
          <w:bCs/>
          <w:sz w:val="21"/>
          <w:szCs w:val="21"/>
        </w:rPr>
        <w:t>3.</w:t>
      </w:r>
      <w:r>
        <w:rPr>
          <w:rFonts w:hint="eastAsia" w:ascii="宋体" w:hAnsi="宋体" w:eastAsia="宋体"/>
          <w:b/>
          <w:bCs/>
          <w:sz w:val="21"/>
          <w:szCs w:val="21"/>
          <w:lang w:val="en-US" w:eastAsia="zh-CN"/>
        </w:rPr>
        <w:t>8</w:t>
      </w:r>
      <w:r>
        <w:rPr>
          <w:rFonts w:hint="eastAsia" w:ascii="宋体" w:hAnsi="宋体" w:eastAsia="宋体"/>
          <w:b/>
          <w:bCs/>
          <w:sz w:val="21"/>
          <w:szCs w:val="21"/>
        </w:rPr>
        <w:t xml:space="preserve"> 响应文件的编制</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A9EF471">
      <w:pPr>
        <w:spacing w:line="360" w:lineRule="auto"/>
        <w:ind w:firstLine="0" w:firstLineChars="0"/>
        <w:rPr>
          <w:rFonts w:ascii="宋体" w:hAnsi="宋体" w:cs="宋体"/>
          <w:szCs w:val="21"/>
        </w:rPr>
      </w:pPr>
      <w:bookmarkStart w:id="547" w:name="_Toc144974523"/>
      <w:bookmarkStart w:id="548" w:name="_Toc152045555"/>
      <w:bookmarkStart w:id="549" w:name="_Toc455080131"/>
      <w:bookmarkStart w:id="550" w:name="_Toc152042331"/>
      <w:r>
        <w:rPr>
          <w:rFonts w:hint="eastAsia" w:ascii="宋体" w:hAnsi="宋体" w:cs="宋体"/>
          <w:szCs w:val="21"/>
        </w:rPr>
        <w:t>3.</w:t>
      </w:r>
      <w:r>
        <w:rPr>
          <w:rFonts w:hint="eastAsia" w:ascii="宋体" w:hAnsi="宋体" w:cs="宋体"/>
          <w:szCs w:val="21"/>
          <w:lang w:val="en-US" w:eastAsia="zh-CN"/>
        </w:rPr>
        <w:t>8</w:t>
      </w:r>
      <w:r>
        <w:rPr>
          <w:rFonts w:hint="eastAsia" w:ascii="宋体" w:hAnsi="宋体" w:cs="宋体"/>
          <w:szCs w:val="21"/>
        </w:rPr>
        <w:t>.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17E4FB39">
      <w:pPr>
        <w:spacing w:line="360" w:lineRule="auto"/>
        <w:ind w:firstLine="0" w:firstLineChars="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8</w:t>
      </w:r>
      <w:r>
        <w:rPr>
          <w:rFonts w:hint="eastAsia" w:ascii="宋体" w:hAnsi="宋体" w:cs="宋体"/>
          <w:szCs w:val="21"/>
        </w:rPr>
        <w:t>.2 响应文件应当对竞争性磋商文件有关交货期、磋商有效期、质量要求、磋商内容作出响应。</w:t>
      </w:r>
    </w:p>
    <w:p w14:paraId="55630000">
      <w:pPr>
        <w:spacing w:line="360" w:lineRule="auto"/>
        <w:ind w:firstLine="0" w:firstLineChars="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8</w:t>
      </w:r>
      <w:r>
        <w:rPr>
          <w:rFonts w:hint="eastAsia" w:ascii="宋体" w:hAnsi="宋体" w:cs="宋体"/>
          <w:szCs w:val="21"/>
        </w:rPr>
        <w:t>.3</w:t>
      </w:r>
      <w:r>
        <w:rPr>
          <w:rFonts w:hint="eastAsia" w:ascii="宋体" w:hAnsi="宋体" w:cs="宋体"/>
          <w:szCs w:val="21"/>
          <w:highlight w:val="white"/>
        </w:rPr>
        <w:t>响应文件应使用信阳市公共资源交易系统投标文件制作专用工具软件编制，竞争性磋商响应文件格式为“*.XYTF”。电子响应文件</w:t>
      </w:r>
      <w:r>
        <w:rPr>
          <w:rFonts w:hint="eastAsia" w:ascii="宋体" w:hAnsi="宋体" w:cs="宋体"/>
          <w:szCs w:val="21"/>
        </w:rPr>
        <w:t>签字或盖章的具体要求见供应商须知前附表。）供应商须在响应文件递交截止时间前制作并提交。</w:t>
      </w:r>
    </w:p>
    <w:p w14:paraId="54FC2836">
      <w:pPr>
        <w:spacing w:line="360" w:lineRule="auto"/>
        <w:ind w:firstLine="0" w:firstLineChars="0"/>
        <w:rPr>
          <w:rFonts w:ascii="宋体" w:hAnsi="宋体" w:cs="宋体"/>
          <w:highlight w:val="white"/>
        </w:rPr>
      </w:pPr>
      <w:r>
        <w:rPr>
          <w:rFonts w:hint="eastAsia" w:ascii="宋体" w:hAnsi="宋体" w:cs="宋体"/>
          <w:szCs w:val="21"/>
        </w:rPr>
        <w:t>3.</w:t>
      </w:r>
      <w:r>
        <w:rPr>
          <w:rFonts w:hint="eastAsia" w:ascii="宋体" w:hAnsi="宋体" w:cs="宋体"/>
          <w:szCs w:val="21"/>
          <w:lang w:val="en-US" w:eastAsia="zh-CN"/>
        </w:rPr>
        <w:t>8</w:t>
      </w:r>
      <w:r>
        <w:rPr>
          <w:rFonts w:hint="eastAsia" w:ascii="宋体" w:hAnsi="宋体" w:cs="宋体"/>
          <w:szCs w:val="21"/>
        </w:rPr>
        <w:t>.4 响应文件份数见供应商须知前附表。</w:t>
      </w:r>
    </w:p>
    <w:p w14:paraId="5B777F52">
      <w:pPr>
        <w:pStyle w:val="73"/>
        <w:spacing w:line="360" w:lineRule="auto"/>
        <w:ind w:firstLine="0" w:firstLineChars="0"/>
        <w:rPr>
          <w:rFonts w:ascii="宋体" w:hAnsi="宋体" w:eastAsia="宋体"/>
          <w:b/>
          <w:bCs/>
          <w:sz w:val="21"/>
          <w:szCs w:val="21"/>
        </w:rPr>
      </w:pPr>
      <w:bookmarkStart w:id="551" w:name="_Toc18951"/>
      <w:bookmarkStart w:id="552" w:name="_Toc19433"/>
      <w:r>
        <w:rPr>
          <w:rFonts w:hint="eastAsia" w:ascii="宋体" w:hAnsi="宋体" w:eastAsia="宋体"/>
          <w:b/>
          <w:bCs/>
          <w:sz w:val="21"/>
          <w:szCs w:val="21"/>
        </w:rPr>
        <w:t xml:space="preserve">4. </w:t>
      </w:r>
      <w:bookmarkEnd w:id="547"/>
      <w:bookmarkEnd w:id="548"/>
      <w:bookmarkEnd w:id="549"/>
      <w:bookmarkEnd w:id="550"/>
      <w:r>
        <w:rPr>
          <w:rFonts w:hint="eastAsia" w:ascii="宋体" w:hAnsi="宋体" w:eastAsia="宋体"/>
          <w:b/>
          <w:bCs/>
          <w:sz w:val="21"/>
          <w:szCs w:val="21"/>
        </w:rPr>
        <w:t>磋商</w:t>
      </w:r>
      <w:bookmarkEnd w:id="551"/>
      <w:bookmarkEnd w:id="552"/>
    </w:p>
    <w:p w14:paraId="7E260272">
      <w:pPr>
        <w:pStyle w:val="74"/>
        <w:spacing w:line="360" w:lineRule="auto"/>
        <w:ind w:firstLine="0" w:firstLineChars="0"/>
        <w:outlineLvl w:val="0"/>
        <w:rPr>
          <w:rFonts w:ascii="宋体" w:hAnsi="宋体" w:eastAsia="宋体"/>
          <w:b/>
          <w:bCs/>
          <w:sz w:val="21"/>
          <w:szCs w:val="21"/>
        </w:rPr>
      </w:pPr>
      <w:bookmarkStart w:id="553" w:name="_Toc466298115"/>
      <w:bookmarkStart w:id="554" w:name="_Toc22961"/>
      <w:bookmarkStart w:id="555" w:name="_Toc152042332"/>
      <w:bookmarkStart w:id="556" w:name="_Toc144974524"/>
      <w:bookmarkStart w:id="557" w:name="_Toc455867792"/>
      <w:bookmarkStart w:id="558" w:name="_Toc455080132"/>
      <w:bookmarkStart w:id="559" w:name="_Toc26583"/>
      <w:bookmarkStart w:id="560" w:name="_Toc152045556"/>
      <w:bookmarkStart w:id="561" w:name="_Toc31492"/>
      <w:bookmarkStart w:id="562" w:name="_Toc318450699"/>
      <w:bookmarkStart w:id="563" w:name="_Toc16783"/>
      <w:bookmarkStart w:id="564" w:name="_Toc490667852"/>
      <w:bookmarkStart w:id="565" w:name="_Toc16344"/>
      <w:bookmarkStart w:id="566" w:name="_Toc18820"/>
      <w:bookmarkStart w:id="567" w:name="_Toc26550"/>
      <w:bookmarkStart w:id="568" w:name="_Toc11243"/>
      <w:bookmarkStart w:id="569" w:name="_Toc16962"/>
      <w:bookmarkStart w:id="570" w:name="_Toc21145"/>
      <w:bookmarkStart w:id="571" w:name="_Toc29366"/>
      <w:bookmarkStart w:id="572" w:name="_Toc24560"/>
      <w:bookmarkStart w:id="573" w:name="_Toc9644"/>
      <w:bookmarkStart w:id="574" w:name="_Toc25812"/>
      <w:bookmarkStart w:id="575" w:name="_Toc7666"/>
      <w:r>
        <w:rPr>
          <w:rFonts w:hint="eastAsia" w:ascii="宋体" w:hAnsi="宋体" w:eastAsia="宋体"/>
          <w:b/>
          <w:bCs/>
          <w:sz w:val="21"/>
          <w:szCs w:val="21"/>
        </w:rPr>
        <w:t>4.1 响应文件的</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rFonts w:hint="eastAsia" w:ascii="宋体" w:hAnsi="宋体" w:eastAsia="宋体"/>
          <w:b/>
          <w:bCs/>
          <w:sz w:val="21"/>
          <w:szCs w:val="21"/>
        </w:rPr>
        <w:t>上传</w:t>
      </w:r>
      <w:bookmarkEnd w:id="570"/>
      <w:bookmarkEnd w:id="571"/>
      <w:bookmarkEnd w:id="572"/>
      <w:bookmarkEnd w:id="573"/>
      <w:bookmarkEnd w:id="574"/>
      <w:bookmarkEnd w:id="575"/>
    </w:p>
    <w:p w14:paraId="0A62F39A">
      <w:pPr>
        <w:spacing w:line="360" w:lineRule="auto"/>
        <w:ind w:firstLine="0" w:firstLineChars="0"/>
        <w:rPr>
          <w:rFonts w:ascii="宋体" w:hAnsi="宋体"/>
          <w:szCs w:val="21"/>
        </w:rPr>
      </w:pPr>
      <w:r>
        <w:rPr>
          <w:rFonts w:hint="eastAsia" w:ascii="宋体" w:hAnsi="宋体" w:cs="宋体"/>
          <w:szCs w:val="21"/>
        </w:rPr>
        <w:t>4.1.1网上上传的电子响应文件应使用供应商数字证书认证并加密</w:t>
      </w:r>
      <w:r>
        <w:rPr>
          <w:rFonts w:hint="eastAsia" w:ascii="宋体" w:hAnsi="宋体"/>
          <w:szCs w:val="21"/>
        </w:rPr>
        <w:t>。</w:t>
      </w:r>
    </w:p>
    <w:p w14:paraId="59F16929">
      <w:pPr>
        <w:pStyle w:val="74"/>
        <w:spacing w:line="360" w:lineRule="auto"/>
        <w:ind w:firstLine="0" w:firstLineChars="0"/>
        <w:outlineLvl w:val="0"/>
        <w:rPr>
          <w:rFonts w:ascii="宋体" w:hAnsi="宋体" w:eastAsia="宋体"/>
          <w:b/>
          <w:bCs/>
          <w:sz w:val="21"/>
          <w:szCs w:val="21"/>
        </w:rPr>
      </w:pPr>
      <w:bookmarkStart w:id="576" w:name="_Toc490667853"/>
      <w:bookmarkStart w:id="577" w:name="_Toc152045557"/>
      <w:bookmarkStart w:id="578" w:name="_Toc7663"/>
      <w:bookmarkStart w:id="579" w:name="_Toc20259"/>
      <w:bookmarkStart w:id="580" w:name="_Toc144974525"/>
      <w:bookmarkStart w:id="581" w:name="_Toc28272"/>
      <w:bookmarkStart w:id="582" w:name="_Toc455867793"/>
      <w:bookmarkStart w:id="583" w:name="_Toc21072"/>
      <w:bookmarkStart w:id="584" w:name="_Toc8754"/>
      <w:bookmarkStart w:id="585" w:name="_Toc466298116"/>
      <w:bookmarkStart w:id="586" w:name="_Toc318450700"/>
      <w:bookmarkStart w:id="587" w:name="_Toc15488"/>
      <w:bookmarkStart w:id="588" w:name="_Toc152042333"/>
      <w:bookmarkStart w:id="589" w:name="_Toc455080133"/>
      <w:bookmarkStart w:id="590" w:name="_Toc16976"/>
      <w:bookmarkStart w:id="591" w:name="_Toc462"/>
      <w:bookmarkStart w:id="592" w:name="_Toc28929"/>
      <w:bookmarkStart w:id="593" w:name="_Toc4767"/>
      <w:bookmarkStart w:id="594" w:name="_Toc16394"/>
      <w:bookmarkStart w:id="595" w:name="_Toc27132"/>
      <w:bookmarkStart w:id="596" w:name="_Toc22202"/>
      <w:bookmarkStart w:id="597" w:name="_Toc16832"/>
      <w:bookmarkStart w:id="598" w:name="_Toc21897"/>
      <w:r>
        <w:rPr>
          <w:rFonts w:hint="eastAsia" w:ascii="宋体" w:hAnsi="宋体" w:eastAsia="宋体"/>
          <w:b/>
          <w:bCs/>
          <w:sz w:val="21"/>
          <w:szCs w:val="21"/>
        </w:rPr>
        <w:t>4.2 响应文件的递交</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307E653B">
      <w:pPr>
        <w:spacing w:line="360" w:lineRule="auto"/>
        <w:ind w:firstLine="0" w:firstLineChars="0"/>
        <w:rPr>
          <w:rFonts w:hint="eastAsia" w:ascii="宋体" w:hAnsi="宋体" w:cs="宋体"/>
          <w:szCs w:val="21"/>
        </w:rPr>
      </w:pPr>
      <w:bookmarkStart w:id="599" w:name="_Toc17161"/>
      <w:bookmarkStart w:id="600" w:name="_Toc318450701"/>
      <w:bookmarkStart w:id="601" w:name="_Toc455080134"/>
      <w:bookmarkStart w:id="602" w:name="_Toc152045558"/>
      <w:bookmarkStart w:id="603" w:name="_Toc455867794"/>
      <w:bookmarkStart w:id="604" w:name="_Toc490667854"/>
      <w:bookmarkStart w:id="605" w:name="_Toc152042334"/>
      <w:bookmarkStart w:id="606" w:name="_Toc30860"/>
      <w:bookmarkStart w:id="607" w:name="_Toc11817"/>
      <w:bookmarkStart w:id="608" w:name="_Toc5102"/>
      <w:bookmarkStart w:id="609" w:name="_Toc466298117"/>
      <w:bookmarkStart w:id="610" w:name="_Toc20281"/>
      <w:bookmarkStart w:id="611" w:name="_Toc144974526"/>
      <w:bookmarkStart w:id="612" w:name="_Toc26684"/>
      <w:bookmarkStart w:id="613" w:name="_Toc2952"/>
      <w:bookmarkStart w:id="614" w:name="_Toc19951"/>
      <w:bookmarkStart w:id="615" w:name="_Toc21890"/>
      <w:r>
        <w:rPr>
          <w:rFonts w:hint="eastAsia" w:ascii="宋体" w:hAnsi="宋体" w:cs="宋体"/>
          <w:szCs w:val="21"/>
        </w:rPr>
        <w:t>4.2.1电子响应文件的递交</w:t>
      </w:r>
    </w:p>
    <w:p w14:paraId="665F7D61">
      <w:pPr>
        <w:spacing w:line="360" w:lineRule="auto"/>
        <w:ind w:firstLine="0" w:firstLineChars="0"/>
        <w:rPr>
          <w:rFonts w:hint="eastAsia" w:ascii="宋体" w:hAnsi="宋体" w:cs="宋体"/>
          <w:szCs w:val="21"/>
        </w:rPr>
      </w:pPr>
      <w:r>
        <w:rPr>
          <w:rFonts w:hint="eastAsia" w:ascii="宋体" w:hAnsi="宋体" w:cs="宋体"/>
          <w:szCs w:val="21"/>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1C5910D5">
      <w:pPr>
        <w:pStyle w:val="74"/>
        <w:spacing w:line="360" w:lineRule="auto"/>
        <w:ind w:firstLine="0" w:firstLineChars="0"/>
        <w:outlineLvl w:val="0"/>
        <w:rPr>
          <w:rFonts w:ascii="宋体" w:hAnsi="宋体" w:eastAsia="宋体"/>
          <w:b/>
          <w:bCs/>
          <w:sz w:val="21"/>
          <w:szCs w:val="21"/>
        </w:rPr>
      </w:pPr>
      <w:bookmarkStart w:id="616" w:name="_Toc15897"/>
      <w:bookmarkStart w:id="617" w:name="_Toc11973"/>
      <w:bookmarkStart w:id="618" w:name="_Toc1790"/>
      <w:bookmarkStart w:id="619" w:name="_Toc21902"/>
      <w:bookmarkStart w:id="620" w:name="_Toc12093"/>
      <w:bookmarkStart w:id="621" w:name="_Toc19985"/>
      <w:r>
        <w:rPr>
          <w:rFonts w:hint="eastAsia" w:ascii="宋体" w:hAnsi="宋体" w:eastAsia="宋体"/>
          <w:b/>
          <w:bCs/>
          <w:sz w:val="21"/>
          <w:szCs w:val="21"/>
        </w:rPr>
        <w:t>4.3 响应文件的修改与撤回</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2599F933">
      <w:pPr>
        <w:spacing w:line="360" w:lineRule="auto"/>
        <w:ind w:firstLine="0" w:firstLineChars="0"/>
        <w:rPr>
          <w:rFonts w:hint="eastAsia" w:ascii="宋体" w:hAnsi="宋体" w:cs="宋体"/>
          <w:szCs w:val="21"/>
        </w:rPr>
      </w:pPr>
      <w:bookmarkStart w:id="622" w:name="_Toc144974527"/>
      <w:bookmarkStart w:id="623" w:name="_Toc152045559"/>
      <w:bookmarkStart w:id="624" w:name="_Toc152042335"/>
      <w:bookmarkStart w:id="625" w:name="_Toc455080135"/>
      <w:r>
        <w:rPr>
          <w:rFonts w:hint="eastAsia" w:ascii="宋体" w:hAnsi="宋体" w:cs="宋体"/>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11EE7148">
      <w:pPr>
        <w:spacing w:line="360" w:lineRule="auto"/>
        <w:ind w:firstLine="0" w:firstLineChars="0"/>
        <w:rPr>
          <w:rFonts w:hint="eastAsia" w:ascii="宋体" w:hAnsi="宋体" w:cs="宋体"/>
          <w:szCs w:val="21"/>
        </w:rPr>
      </w:pPr>
      <w:r>
        <w:rPr>
          <w:rFonts w:hint="eastAsia" w:ascii="宋体" w:hAnsi="宋体" w:cs="宋体"/>
          <w:szCs w:val="21"/>
        </w:rPr>
        <w:t>4.3.2修改的响应文件应按照本章第3.7条、第4.2条规定进行编制和递交。</w:t>
      </w:r>
    </w:p>
    <w:bookmarkEnd w:id="622"/>
    <w:bookmarkEnd w:id="623"/>
    <w:bookmarkEnd w:id="624"/>
    <w:p w14:paraId="4A21AA95">
      <w:pPr>
        <w:spacing w:line="400" w:lineRule="exact"/>
        <w:ind w:firstLine="0" w:firstLineChars="0"/>
        <w:outlineLvl w:val="1"/>
        <w:rPr>
          <w:rFonts w:ascii="宋体" w:hAnsi="宋体"/>
          <w:b/>
          <w:bCs/>
          <w:szCs w:val="21"/>
        </w:rPr>
      </w:pPr>
      <w:bookmarkStart w:id="626" w:name="_Toc14969"/>
      <w:bookmarkStart w:id="627" w:name="_Toc7480"/>
      <w:r>
        <w:rPr>
          <w:rFonts w:hint="eastAsia" w:ascii="宋体" w:hAnsi="宋体"/>
          <w:b/>
          <w:bCs/>
          <w:szCs w:val="21"/>
        </w:rPr>
        <w:t>5.磋商开始</w:t>
      </w:r>
      <w:bookmarkEnd w:id="625"/>
      <w:bookmarkEnd w:id="626"/>
      <w:bookmarkEnd w:id="627"/>
      <w:bookmarkStart w:id="628" w:name="_Toc6763"/>
      <w:bookmarkStart w:id="629" w:name="_Toc26426"/>
      <w:bookmarkStart w:id="630" w:name="_Toc20660"/>
      <w:bookmarkStart w:id="631" w:name="_Toc20333"/>
      <w:bookmarkStart w:id="632" w:name="_Toc455080136"/>
      <w:bookmarkStart w:id="633" w:name="_Toc25533"/>
      <w:bookmarkStart w:id="634" w:name="_Toc466298119"/>
      <w:bookmarkStart w:id="635" w:name="_Toc9969"/>
      <w:bookmarkStart w:id="636" w:name="_Toc455867796"/>
      <w:bookmarkStart w:id="637" w:name="_Toc144974528"/>
      <w:bookmarkStart w:id="638" w:name="_Toc16040"/>
      <w:bookmarkStart w:id="639" w:name="_Toc14"/>
      <w:bookmarkStart w:id="640" w:name="_Toc25809"/>
      <w:bookmarkStart w:id="641" w:name="_Toc318450703"/>
      <w:bookmarkStart w:id="642" w:name="_Toc152042336"/>
      <w:bookmarkStart w:id="643" w:name="_Toc490667856"/>
      <w:bookmarkStart w:id="644" w:name="_Toc152045560"/>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0B7F652D">
      <w:pPr>
        <w:spacing w:line="440" w:lineRule="exact"/>
        <w:ind w:firstLine="0" w:firstLineChars="0"/>
        <w:rPr>
          <w:rFonts w:ascii="宋体" w:hAnsi="宋体"/>
          <w:b/>
          <w:bCs/>
          <w:szCs w:val="21"/>
        </w:rPr>
      </w:pPr>
      <w:bookmarkStart w:id="645" w:name="_Toc455080137"/>
      <w:bookmarkStart w:id="646" w:name="_Toc144974529"/>
      <w:bookmarkStart w:id="647" w:name="_Toc3865"/>
      <w:bookmarkStart w:id="648" w:name="_Toc466298120"/>
      <w:bookmarkStart w:id="649" w:name="_Toc152045561"/>
      <w:bookmarkStart w:id="650" w:name="_Toc30792"/>
      <w:bookmarkStart w:id="651" w:name="_Toc30074"/>
      <w:bookmarkStart w:id="652" w:name="_Toc30965"/>
      <w:bookmarkStart w:id="653" w:name="_Toc490667857"/>
      <w:bookmarkStart w:id="654" w:name="_Toc747"/>
      <w:bookmarkStart w:id="655" w:name="_Toc455867797"/>
      <w:bookmarkStart w:id="656" w:name="_Toc11148"/>
      <w:bookmarkStart w:id="657" w:name="_Toc25911"/>
      <w:bookmarkStart w:id="658" w:name="_Toc318450704"/>
      <w:bookmarkStart w:id="659" w:name="_Toc17491"/>
      <w:bookmarkStart w:id="660" w:name="_Toc18582"/>
      <w:bookmarkStart w:id="661" w:name="_Toc9328"/>
      <w:bookmarkStart w:id="662" w:name="_Toc152042337"/>
      <w:r>
        <w:rPr>
          <w:rFonts w:hint="eastAsia" w:ascii="宋体" w:hAnsi="宋体"/>
          <w:b/>
          <w:bCs/>
          <w:szCs w:val="21"/>
        </w:rPr>
        <w:t>5.1 磋商时间和地点</w:t>
      </w:r>
    </w:p>
    <w:p w14:paraId="14684FCF">
      <w:pPr>
        <w:spacing w:line="360" w:lineRule="auto"/>
        <w:ind w:firstLine="0" w:firstLineChars="0"/>
        <w:rPr>
          <w:rFonts w:hint="eastAsia" w:ascii="宋体" w:hAnsi="宋体" w:cs="宋体"/>
          <w:szCs w:val="21"/>
        </w:rPr>
      </w:pPr>
      <w:r>
        <w:rPr>
          <w:rFonts w:hint="eastAsia" w:ascii="宋体" w:hAnsi="宋体" w:cs="宋体"/>
          <w:szCs w:val="21"/>
        </w:rPr>
        <w:t>5.1.1 采购人在本章规定的投标截止时间（开标时间）和供应商须知前附表规定的地点开标。</w:t>
      </w:r>
    </w:p>
    <w:p w14:paraId="09CB511B">
      <w:pPr>
        <w:spacing w:line="360" w:lineRule="auto"/>
        <w:ind w:firstLine="0" w:firstLineChars="0"/>
        <w:rPr>
          <w:rFonts w:hint="eastAsia" w:ascii="宋体" w:hAnsi="宋体" w:cs="宋体"/>
          <w:b/>
          <w:bCs/>
          <w:szCs w:val="21"/>
        </w:rPr>
      </w:pPr>
      <w:r>
        <w:rPr>
          <w:rFonts w:hint="eastAsia" w:ascii="宋体" w:hAnsi="宋体" w:cs="宋体"/>
          <w:b/>
          <w:bCs/>
          <w:szCs w:val="21"/>
        </w:rPr>
        <w:t xml:space="preserve">5.1.2 本项目采用“不见面开标”交易方式，不见面开标大厅网址为 </w:t>
      </w:r>
      <w:r>
        <w:rPr>
          <w:rFonts w:hint="eastAsia" w:ascii="宋体" w:hAnsi="宋体" w:cs="宋体"/>
          <w:b/>
          <w:bCs/>
          <w:szCs w:val="21"/>
        </w:rPr>
        <w:fldChar w:fldCharType="begin"/>
      </w:r>
      <w:r>
        <w:rPr>
          <w:rFonts w:hint="eastAsia" w:ascii="宋体" w:hAnsi="宋体" w:cs="宋体"/>
          <w:b/>
          <w:bCs/>
          <w:szCs w:val="21"/>
        </w:rPr>
        <w:instrText xml:space="preserve"> HYPERLINK "http://117.158.91.68:8095/xxhy，投标人无需寄送和递交非加密的电子投标文件，无需到现场参加开标会议，无需到达现场提交原件资料。" </w:instrText>
      </w:r>
      <w:r>
        <w:rPr>
          <w:rFonts w:hint="eastAsia" w:ascii="宋体" w:hAnsi="宋体" w:cs="宋体"/>
          <w:b/>
          <w:bCs/>
          <w:szCs w:val="21"/>
        </w:rPr>
        <w:fldChar w:fldCharType="separate"/>
      </w:r>
      <w:r>
        <w:rPr>
          <w:rFonts w:hint="eastAsia" w:ascii="宋体" w:hAnsi="宋体" w:cs="宋体"/>
          <w:b/>
          <w:bCs/>
          <w:szCs w:val="21"/>
        </w:rPr>
        <w:fldChar w:fldCharType="begin"/>
      </w:r>
      <w:r>
        <w:rPr>
          <w:rFonts w:hint="eastAsia" w:ascii="宋体" w:hAnsi="宋体" w:cs="宋体"/>
          <w:b/>
          <w:bCs/>
          <w:szCs w:val="21"/>
        </w:rPr>
        <w:instrText xml:space="preserve"> HYPERLINK "https://ggzyjy.xinyang.gov.cn/BidOpening" </w:instrText>
      </w:r>
      <w:r>
        <w:rPr>
          <w:rFonts w:hint="eastAsia" w:ascii="宋体" w:hAnsi="宋体" w:cs="宋体"/>
          <w:b/>
          <w:bCs/>
          <w:szCs w:val="21"/>
        </w:rPr>
        <w:fldChar w:fldCharType="separate"/>
      </w:r>
      <w:r>
        <w:rPr>
          <w:rFonts w:hint="eastAsia" w:ascii="宋体" w:hAnsi="宋体" w:cs="宋体"/>
          <w:b/>
          <w:bCs/>
          <w:szCs w:val="21"/>
        </w:rPr>
        <w:t>https://ggzyjy.xinyang.gov.cn/BidOpening</w:t>
      </w:r>
      <w:r>
        <w:rPr>
          <w:rFonts w:hint="eastAsia" w:ascii="宋体" w:hAnsi="宋体" w:cs="宋体"/>
          <w:b/>
          <w:bCs/>
          <w:szCs w:val="21"/>
        </w:rPr>
        <w:fldChar w:fldCharType="end"/>
      </w:r>
      <w:r>
        <w:rPr>
          <w:rFonts w:hint="eastAsia" w:ascii="宋体" w:hAnsi="宋体" w:cs="宋体"/>
          <w:b/>
          <w:bCs/>
          <w:szCs w:val="21"/>
        </w:rPr>
        <w:t>，供应商无需寄送和递交非加密的电子响应文件，无需到现场参加开标会议，无需到达现场提交原件资料。</w:t>
      </w:r>
      <w:r>
        <w:rPr>
          <w:rFonts w:hint="eastAsia" w:ascii="宋体" w:hAnsi="宋体" w:cs="宋体"/>
          <w:b/>
          <w:bCs/>
          <w:szCs w:val="21"/>
        </w:rPr>
        <w:fldChar w:fldCharType="end"/>
      </w:r>
    </w:p>
    <w:p w14:paraId="68097145">
      <w:pPr>
        <w:spacing w:line="360" w:lineRule="auto"/>
        <w:ind w:firstLine="0" w:firstLineChars="0"/>
        <w:rPr>
          <w:rFonts w:hint="eastAsia" w:ascii="宋体" w:hAnsi="宋体" w:cs="宋体"/>
          <w:b/>
          <w:bCs/>
          <w:szCs w:val="21"/>
        </w:rPr>
      </w:pPr>
      <w:r>
        <w:rPr>
          <w:rFonts w:hint="eastAsia" w:ascii="宋体" w:hAnsi="宋体" w:cs="宋体"/>
          <w:b/>
          <w:bCs/>
          <w:szCs w:val="21"/>
        </w:rPr>
        <w:t>供应商应当在响应文件提交截止时间前，使用供应商CA数字证书登录不见面开标大厅，在线签到并准时参加开标活动，并在规定时间内完成响应文件解密、答疑澄清等。</w:t>
      </w:r>
    </w:p>
    <w:p w14:paraId="7E6B7DD7">
      <w:pPr>
        <w:spacing w:line="360" w:lineRule="auto"/>
        <w:ind w:firstLine="0" w:firstLineChars="0"/>
        <w:rPr>
          <w:rFonts w:hint="eastAsia" w:ascii="宋体" w:hAnsi="宋体" w:cs="宋体"/>
          <w:b/>
          <w:bCs/>
          <w:szCs w:val="21"/>
        </w:rPr>
      </w:pPr>
      <w:r>
        <w:rPr>
          <w:rFonts w:hint="eastAsia" w:ascii="宋体" w:hAnsi="宋体" w:cs="宋体"/>
          <w:b/>
          <w:bCs/>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571C144D">
      <w:pPr>
        <w:spacing w:line="360" w:lineRule="auto"/>
        <w:ind w:firstLine="0" w:firstLineChars="0"/>
        <w:rPr>
          <w:rFonts w:hint="eastAsia" w:ascii="宋体" w:hAnsi="宋体" w:cs="宋体"/>
          <w:b/>
          <w:bCs/>
          <w:szCs w:val="21"/>
        </w:rPr>
      </w:pPr>
      <w:r>
        <w:rPr>
          <w:rFonts w:hint="eastAsia" w:ascii="宋体" w:hAnsi="宋体" w:cs="宋体"/>
          <w:b/>
          <w:bCs/>
          <w:szCs w:val="21"/>
        </w:rPr>
        <w:t>不见面开标服务的具体事宜，请查阅信阳市公共资源交易中心网站首页—下载中心—信阳市不见面开标大厅系统操作手册 。</w:t>
      </w:r>
    </w:p>
    <w:p w14:paraId="37733C3C">
      <w:pPr>
        <w:spacing w:line="360" w:lineRule="auto"/>
        <w:ind w:firstLine="0" w:firstLineChars="0"/>
        <w:rPr>
          <w:rFonts w:hint="eastAsia" w:ascii="宋体" w:hAnsi="宋体" w:cs="宋体"/>
          <w:b/>
          <w:bCs/>
          <w:szCs w:val="21"/>
        </w:rPr>
      </w:pPr>
      <w:r>
        <w:rPr>
          <w:rFonts w:hint="eastAsia" w:ascii="宋体" w:hAnsi="宋体" w:cs="宋体"/>
          <w:b/>
          <w:bCs/>
          <w:szCs w:val="21"/>
        </w:rPr>
        <w:t xml:space="preserve">开标过程中，供应商如有异议，须在开标结束前通过系统提出，否则视同认可开标记录。开标结束后，对开标记录的任何异议不再接受。 </w:t>
      </w:r>
    </w:p>
    <w:p w14:paraId="7C0B67F3">
      <w:pPr>
        <w:pStyle w:val="74"/>
        <w:spacing w:line="360" w:lineRule="auto"/>
        <w:ind w:firstLine="0" w:firstLineChars="0"/>
        <w:outlineLvl w:val="0"/>
        <w:rPr>
          <w:rFonts w:ascii="宋体" w:hAnsi="宋体" w:eastAsia="宋体"/>
          <w:b/>
          <w:bCs/>
          <w:sz w:val="21"/>
          <w:szCs w:val="21"/>
        </w:rPr>
      </w:pPr>
      <w:bookmarkStart w:id="663" w:name="_Toc21144"/>
      <w:bookmarkStart w:id="664" w:name="_Toc28600"/>
      <w:bookmarkStart w:id="665" w:name="_Toc24353"/>
      <w:bookmarkStart w:id="666" w:name="_Toc26637"/>
      <w:bookmarkStart w:id="667" w:name="_Toc4518"/>
      <w:r>
        <w:rPr>
          <w:rFonts w:hint="eastAsia" w:ascii="宋体" w:hAnsi="宋体" w:eastAsia="宋体"/>
          <w:b/>
          <w:bCs/>
          <w:sz w:val="21"/>
          <w:szCs w:val="21"/>
        </w:rPr>
        <w:t>5.2 磋商程序</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0581319">
      <w:pPr>
        <w:pStyle w:val="74"/>
        <w:spacing w:line="360" w:lineRule="auto"/>
        <w:ind w:firstLine="0" w:firstLineChars="0"/>
        <w:outlineLvl w:val="0"/>
        <w:rPr>
          <w:rFonts w:ascii="宋体" w:hAnsi="宋体" w:eastAsia="宋体"/>
          <w:b/>
          <w:bCs/>
          <w:sz w:val="21"/>
          <w:szCs w:val="21"/>
        </w:rPr>
      </w:pPr>
      <w:bookmarkStart w:id="668" w:name="_Toc27540"/>
      <w:bookmarkStart w:id="669" w:name="_Toc1467"/>
      <w:bookmarkStart w:id="670" w:name="_Toc26086"/>
      <w:bookmarkStart w:id="671" w:name="_Toc11770"/>
      <w:bookmarkStart w:id="672" w:name="_Toc8008"/>
      <w:bookmarkStart w:id="673" w:name="_Toc30403"/>
      <w:r>
        <w:rPr>
          <w:rFonts w:hint="eastAsia" w:ascii="宋体" w:hAnsi="宋体" w:eastAsia="宋体"/>
          <w:sz w:val="21"/>
          <w:szCs w:val="21"/>
        </w:rPr>
        <w:t>5.2.1磋商小组对竞争性磋商文件进行熟悉确认。</w:t>
      </w:r>
      <w:bookmarkEnd w:id="668"/>
      <w:bookmarkEnd w:id="669"/>
      <w:bookmarkEnd w:id="670"/>
      <w:bookmarkEnd w:id="671"/>
      <w:bookmarkEnd w:id="672"/>
      <w:bookmarkEnd w:id="673"/>
    </w:p>
    <w:p w14:paraId="23905FAB">
      <w:pPr>
        <w:spacing w:line="360" w:lineRule="auto"/>
        <w:ind w:firstLine="0" w:firstLineChars="0"/>
        <w:rPr>
          <w:rFonts w:ascii="宋体" w:hAnsi="宋体" w:cs="宋体"/>
          <w:szCs w:val="21"/>
        </w:rPr>
      </w:pPr>
      <w:bookmarkStart w:id="674" w:name="_Toc152045562"/>
      <w:bookmarkStart w:id="675" w:name="_Toc144974530"/>
      <w:bookmarkStart w:id="676" w:name="_Toc152042338"/>
      <w:r>
        <w:rPr>
          <w:rFonts w:hint="eastAsia" w:ascii="宋体" w:hAnsi="宋体" w:cs="宋体"/>
          <w:szCs w:val="21"/>
        </w:rPr>
        <w:t>5.2.2磋商小组推选组长，讨论、通过磋商工作流程和磋商要点。</w:t>
      </w:r>
    </w:p>
    <w:p w14:paraId="15CF0B64">
      <w:pPr>
        <w:spacing w:line="360" w:lineRule="auto"/>
        <w:ind w:firstLine="0" w:firstLineChars="0"/>
        <w:rPr>
          <w:rFonts w:ascii="宋体" w:hAnsi="宋体" w:cs="宋体"/>
          <w:szCs w:val="21"/>
        </w:rPr>
      </w:pPr>
      <w:r>
        <w:rPr>
          <w:rFonts w:hint="eastAsia" w:ascii="宋体" w:hAnsi="宋体" w:cs="宋体"/>
          <w:szCs w:val="21"/>
        </w:rPr>
        <w:t>5.2.3资格评审审查：采购人依据竞争性磋商文件规定，对供应商进行审查，以确定磋商供应商是否具备参与磋商的资格。</w:t>
      </w:r>
    </w:p>
    <w:p w14:paraId="3E84CA20">
      <w:pPr>
        <w:spacing w:line="360" w:lineRule="auto"/>
        <w:ind w:firstLine="0" w:firstLineChars="0"/>
        <w:rPr>
          <w:rFonts w:ascii="宋体" w:hAnsi="宋体" w:cs="宋体"/>
          <w:szCs w:val="21"/>
        </w:rPr>
      </w:pPr>
      <w:r>
        <w:rPr>
          <w:rFonts w:hint="eastAsia" w:ascii="宋体" w:hAnsi="宋体" w:cs="宋体"/>
          <w:szCs w:val="21"/>
        </w:rPr>
        <w:t>5.2.4符合性评审审查：磋商开始后，磋商小组依据竞争性磋商文件规定，对通过资格评审的供应商进行审查，以确定磋商供应商是否具备参与磋商的资格。</w:t>
      </w:r>
    </w:p>
    <w:p w14:paraId="4D4C73D7">
      <w:pPr>
        <w:spacing w:line="360" w:lineRule="auto"/>
        <w:ind w:firstLine="0" w:firstLineChars="0"/>
        <w:rPr>
          <w:rFonts w:ascii="宋体" w:hAnsi="宋体" w:cs="宋体"/>
          <w:szCs w:val="21"/>
        </w:rPr>
      </w:pPr>
      <w:r>
        <w:rPr>
          <w:rFonts w:hint="eastAsia" w:ascii="宋体" w:hAnsi="宋体" w:cs="宋体"/>
          <w:szCs w:val="21"/>
        </w:rPr>
        <w:t>5.2.5磋商小组对通过资格性和符合性审查的响应文件进行评估，确定与各竞标人磋商的具体内容。</w:t>
      </w:r>
    </w:p>
    <w:p w14:paraId="127DB86A">
      <w:pPr>
        <w:spacing w:line="360" w:lineRule="auto"/>
        <w:ind w:firstLine="0" w:firstLineChars="0"/>
        <w:rPr>
          <w:rFonts w:ascii="宋体" w:hAnsi="宋体" w:cs="宋体"/>
          <w:szCs w:val="21"/>
        </w:rPr>
      </w:pPr>
      <w:r>
        <w:rPr>
          <w:rFonts w:hint="eastAsia" w:ascii="宋体" w:hAnsi="宋体" w:cs="宋体"/>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69B953E3">
      <w:pPr>
        <w:spacing w:line="360" w:lineRule="auto"/>
        <w:ind w:firstLine="0" w:firstLineChars="0"/>
        <w:jc w:val="left"/>
        <w:rPr>
          <w:rFonts w:hint="eastAsia" w:ascii="宋体" w:hAnsi="宋体" w:cs="宋体"/>
          <w:szCs w:val="21"/>
        </w:rPr>
      </w:pPr>
      <w:r>
        <w:rPr>
          <w:rFonts w:hint="eastAsia" w:ascii="宋体" w:hAnsi="宋体" w:cs="宋体"/>
          <w:szCs w:val="21"/>
        </w:rPr>
        <w:t>5.2.7磋商小组对符合招标需求的供应商进入下一轮报价；供应商只有通过资格评审及符合性评审后方可进入下一轮报价，在规定的时间内同时提交报价，二次报价不得高于首次报价（除磋商文件有实质性变动外），否则将被视为未实质性响应磋商文件。（二次报价程序详见扉页“</w:t>
      </w:r>
      <w:r>
        <w:rPr>
          <w:rFonts w:hint="eastAsia" w:ascii="宋体" w:hAnsi="宋体" w:cs="宋体"/>
          <w:szCs w:val="21"/>
          <w:lang w:val="en-US" w:eastAsia="zh-CN"/>
        </w:rPr>
        <w:t>特</w:t>
      </w:r>
      <w:r>
        <w:rPr>
          <w:rFonts w:hint="eastAsia" w:ascii="宋体" w:hAnsi="宋体" w:cs="宋体"/>
          <w:szCs w:val="21"/>
        </w:rPr>
        <w:t xml:space="preserve">别  提  醒  ”  及  </w:t>
      </w:r>
      <w:r>
        <w:rPr>
          <w:rFonts w:hint="eastAsia" w:ascii="宋体" w:hAnsi="宋体" w:cs="宋体"/>
          <w:szCs w:val="21"/>
          <w:lang w:eastAsia="zh-CN"/>
        </w:rPr>
        <w:t>“</w:t>
      </w:r>
      <w:r>
        <w:rPr>
          <w:rFonts w:hint="eastAsia" w:ascii="宋体" w:hAnsi="宋体" w:cs="宋体"/>
          <w:szCs w:val="21"/>
        </w:rPr>
        <w:t xml:space="preserve"> 不  见  面  开  标  线  上  二  次  报  价  操  作  手 册</w:t>
      </w:r>
      <w:r>
        <w:rPr>
          <w:rFonts w:hint="eastAsia" w:ascii="宋体" w:hAnsi="宋体" w:cs="宋体"/>
          <w:szCs w:val="21"/>
          <w:lang w:eastAsia="zh-CN"/>
        </w:rPr>
        <w:t>”</w:t>
      </w:r>
      <w:r>
        <w:rPr>
          <w:rFonts w:hint="eastAsia" w:ascii="宋体" w:hAnsi="宋体" w:cs="宋体"/>
          <w:szCs w:val="21"/>
        </w:rPr>
        <w:fldChar w:fldCharType="begin"/>
      </w:r>
      <w:r>
        <w:rPr>
          <w:rFonts w:hint="eastAsia" w:ascii="宋体" w:hAnsi="宋体" w:cs="宋体"/>
          <w:szCs w:val="21"/>
        </w:rPr>
        <w:instrText xml:space="preserve"> HYPERLINK "http://www.xyggzyjy.cn/jyzn/003003/20200727/08340a93-5f32-4377-a758-267707b3c1f1.html）" </w:instrText>
      </w:r>
      <w:r>
        <w:rPr>
          <w:rFonts w:hint="eastAsia" w:ascii="宋体" w:hAnsi="宋体" w:cs="宋体"/>
          <w:szCs w:val="21"/>
        </w:rPr>
        <w:fldChar w:fldCharType="separate"/>
      </w:r>
      <w:r>
        <w:rPr>
          <w:rFonts w:hint="eastAsia" w:ascii="宋体" w:hAnsi="宋体" w:cs="宋体"/>
          <w:szCs w:val="21"/>
        </w:rPr>
        <w:t>http://www.xyggzyjy.cn/jyzn/003003/20200727/08340a93-5f32-4377-a758-267707b3c1f1.htm</w:t>
      </w:r>
      <w:r>
        <w:rPr>
          <w:rFonts w:hint="eastAsia" w:ascii="宋体" w:hAnsi="宋体" w:cs="宋体"/>
          <w:szCs w:val="21"/>
        </w:rPr>
        <w:fldChar w:fldCharType="end"/>
      </w:r>
      <w:r>
        <w:rPr>
          <w:rFonts w:hint="eastAsia" w:ascii="宋体" w:hAnsi="宋体" w:cs="宋体"/>
          <w:szCs w:val="21"/>
        </w:rPr>
        <w:fldChar w:fldCharType="begin"/>
      </w:r>
      <w:r>
        <w:rPr>
          <w:rFonts w:hint="eastAsia" w:ascii="宋体" w:hAnsi="宋体" w:cs="宋体"/>
          <w:szCs w:val="21"/>
        </w:rPr>
        <w:instrText xml:space="preserve"> HYPERLINK "http://www.xyggzyjy.cn/jyzn/003003/20200727/08340a93-5f32-4377-a758-267707b3c1f1.html）" </w:instrText>
      </w:r>
      <w:r>
        <w:rPr>
          <w:rFonts w:hint="eastAsia" w:ascii="宋体" w:hAnsi="宋体" w:cs="宋体"/>
          <w:szCs w:val="21"/>
        </w:rPr>
        <w:fldChar w:fldCharType="separate"/>
      </w:r>
      <w:r>
        <w:rPr>
          <w:rFonts w:hint="eastAsia" w:ascii="宋体" w:hAnsi="宋体" w:cs="宋体"/>
          <w:szCs w:val="21"/>
        </w:rPr>
        <w:t>l）</w:t>
      </w:r>
      <w:r>
        <w:rPr>
          <w:rFonts w:hint="eastAsia" w:ascii="宋体" w:hAnsi="宋体" w:cs="宋体"/>
          <w:szCs w:val="21"/>
        </w:rPr>
        <w:fldChar w:fldCharType="end"/>
      </w:r>
      <w:r>
        <w:rPr>
          <w:rFonts w:hint="eastAsia" w:ascii="宋体" w:hAnsi="宋体" w:cs="宋体"/>
          <w:szCs w:val="21"/>
        </w:rPr>
        <w:t>本项目在开标后只进行一轮</w:t>
      </w:r>
      <w:r>
        <w:rPr>
          <w:rFonts w:hint="eastAsia" w:ascii="宋体" w:hAnsi="宋体" w:cs="宋体"/>
          <w:color w:val="auto"/>
          <w:szCs w:val="21"/>
        </w:rPr>
        <w:t xml:space="preserve">报价，即最后报价。磋商小组发起最后报价后，如供应商未在指定时限内提交最后报价，视为该供应商放弃最后报价机会。 </w:t>
      </w:r>
    </w:p>
    <w:p w14:paraId="3981FB12">
      <w:pPr>
        <w:spacing w:line="360" w:lineRule="auto"/>
        <w:ind w:firstLine="0" w:firstLineChars="0"/>
        <w:rPr>
          <w:rFonts w:hint="eastAsia" w:ascii="宋体" w:hAnsi="宋体" w:cs="宋体"/>
          <w:szCs w:val="21"/>
        </w:rPr>
      </w:pPr>
      <w:r>
        <w:rPr>
          <w:rFonts w:hint="eastAsia" w:ascii="宋体" w:hAnsi="宋体" w:cs="宋体"/>
          <w:szCs w:val="21"/>
        </w:rPr>
        <w:t>5.2.</w:t>
      </w:r>
      <w:r>
        <w:rPr>
          <w:rFonts w:hint="eastAsia" w:ascii="宋体" w:hAnsi="宋体" w:cs="宋体"/>
          <w:szCs w:val="21"/>
          <w:lang w:val="en-US" w:eastAsia="zh-CN"/>
        </w:rPr>
        <w:t>8</w:t>
      </w:r>
      <w:r>
        <w:rPr>
          <w:rFonts w:hint="eastAsia" w:ascii="宋体" w:hAnsi="宋体" w:cs="宋体"/>
          <w:szCs w:val="21"/>
        </w:rPr>
        <w:t xml:space="preserve"> 经磋商确定最终招标需求，由磋商小组采用综合评分法对通过初步评审的供应商的响应文件进行综合评分。</w:t>
      </w:r>
    </w:p>
    <w:p w14:paraId="37F48168">
      <w:pPr>
        <w:pStyle w:val="73"/>
        <w:spacing w:line="360" w:lineRule="auto"/>
        <w:ind w:firstLine="0" w:firstLineChars="0"/>
        <w:rPr>
          <w:rFonts w:ascii="宋体" w:hAnsi="宋体" w:eastAsia="宋体"/>
          <w:b/>
          <w:bCs/>
          <w:sz w:val="21"/>
          <w:szCs w:val="21"/>
        </w:rPr>
      </w:pPr>
      <w:bookmarkStart w:id="677" w:name="_Toc455080138"/>
      <w:bookmarkStart w:id="678" w:name="_Toc14039"/>
      <w:bookmarkStart w:id="679" w:name="_Toc24508"/>
      <w:r>
        <w:rPr>
          <w:rFonts w:hint="eastAsia" w:ascii="宋体" w:hAnsi="宋体" w:eastAsia="宋体"/>
          <w:b/>
          <w:bCs/>
          <w:sz w:val="21"/>
          <w:szCs w:val="21"/>
        </w:rPr>
        <w:t xml:space="preserve">6. </w:t>
      </w:r>
      <w:bookmarkEnd w:id="674"/>
      <w:bookmarkEnd w:id="675"/>
      <w:bookmarkEnd w:id="676"/>
      <w:r>
        <w:rPr>
          <w:rFonts w:hint="eastAsia" w:ascii="宋体" w:hAnsi="宋体" w:eastAsia="宋体"/>
          <w:b/>
          <w:bCs/>
          <w:sz w:val="21"/>
          <w:szCs w:val="21"/>
        </w:rPr>
        <w:t>磋商</w:t>
      </w:r>
      <w:bookmarkEnd w:id="677"/>
      <w:r>
        <w:rPr>
          <w:rFonts w:hint="eastAsia" w:ascii="宋体" w:hAnsi="宋体" w:eastAsia="宋体"/>
          <w:b/>
          <w:bCs/>
          <w:sz w:val="21"/>
          <w:szCs w:val="21"/>
        </w:rPr>
        <w:t>小组</w:t>
      </w:r>
      <w:bookmarkEnd w:id="678"/>
      <w:bookmarkEnd w:id="679"/>
    </w:p>
    <w:p w14:paraId="0E0A977F">
      <w:pPr>
        <w:pStyle w:val="74"/>
        <w:spacing w:line="360" w:lineRule="auto"/>
        <w:ind w:firstLine="0" w:firstLineChars="0"/>
        <w:outlineLvl w:val="0"/>
        <w:rPr>
          <w:rFonts w:ascii="宋体" w:hAnsi="宋体" w:eastAsia="宋体"/>
          <w:b/>
          <w:bCs/>
          <w:sz w:val="21"/>
          <w:szCs w:val="21"/>
        </w:rPr>
      </w:pPr>
      <w:bookmarkStart w:id="680" w:name="_Toc152045563"/>
      <w:bookmarkStart w:id="681" w:name="_Toc22250"/>
      <w:bookmarkStart w:id="682" w:name="_Toc144974531"/>
      <w:bookmarkStart w:id="683" w:name="_Toc152042339"/>
      <w:bookmarkStart w:id="684" w:name="_Toc26098"/>
      <w:bookmarkStart w:id="685" w:name="_Toc318450706"/>
      <w:bookmarkStart w:id="686" w:name="_Toc9808"/>
      <w:bookmarkStart w:id="687" w:name="_Toc466298122"/>
      <w:bookmarkStart w:id="688" w:name="_Toc18985"/>
      <w:bookmarkStart w:id="689" w:name="_Toc8157"/>
      <w:bookmarkStart w:id="690" w:name="_Toc109"/>
      <w:bookmarkStart w:id="691" w:name="_Toc1574"/>
      <w:bookmarkStart w:id="692" w:name="_Toc455867799"/>
      <w:bookmarkStart w:id="693" w:name="_Toc21542"/>
      <w:bookmarkStart w:id="694" w:name="_Toc23775"/>
      <w:bookmarkStart w:id="695" w:name="_Toc490667859"/>
      <w:bookmarkStart w:id="696" w:name="_Toc8725"/>
      <w:bookmarkStart w:id="697" w:name="_Toc455080139"/>
      <w:bookmarkStart w:id="698" w:name="_Toc23866"/>
      <w:bookmarkStart w:id="699" w:name="_Toc1546"/>
      <w:bookmarkStart w:id="700" w:name="_Toc11499"/>
      <w:bookmarkStart w:id="701" w:name="_Toc13978"/>
      <w:bookmarkStart w:id="702" w:name="_Toc23138"/>
      <w:r>
        <w:rPr>
          <w:rFonts w:hint="eastAsia" w:ascii="宋体" w:hAnsi="宋体" w:eastAsia="宋体"/>
          <w:b/>
          <w:bCs/>
          <w:sz w:val="21"/>
          <w:szCs w:val="21"/>
        </w:rPr>
        <w:t>6.1</w:t>
      </w:r>
      <w:bookmarkEnd w:id="680"/>
      <w:bookmarkEnd w:id="681"/>
      <w:bookmarkEnd w:id="682"/>
      <w:bookmarkEnd w:id="683"/>
      <w:bookmarkEnd w:id="684"/>
      <w:bookmarkEnd w:id="685"/>
      <w:bookmarkEnd w:id="686"/>
      <w:r>
        <w:rPr>
          <w:rFonts w:hint="eastAsia" w:ascii="宋体" w:hAnsi="宋体" w:eastAsia="宋体"/>
          <w:b/>
          <w:bCs/>
          <w:sz w:val="21"/>
          <w:szCs w:val="21"/>
        </w:rPr>
        <w:t>磋商小组</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F802286">
      <w:pPr>
        <w:spacing w:line="360" w:lineRule="auto"/>
        <w:ind w:firstLine="0" w:firstLineChars="0"/>
        <w:rPr>
          <w:rFonts w:ascii="宋体" w:hAnsi="宋体" w:cs="宋体"/>
          <w:szCs w:val="21"/>
        </w:rPr>
      </w:pPr>
      <w:r>
        <w:rPr>
          <w:rFonts w:hint="eastAsia" w:ascii="宋体" w:hAnsi="宋体" w:cs="宋体"/>
          <w:szCs w:val="21"/>
        </w:rPr>
        <w:t>磋商由采购人依法组建的磋商小组负责。磋商小组由采购人代表以及有关技术、经济等方面的专家组成。磋商小组成员人数以及技术、经济等方面专家的确定方式见供应商须知前附表。</w:t>
      </w:r>
    </w:p>
    <w:p w14:paraId="20FBA773">
      <w:pPr>
        <w:pStyle w:val="74"/>
        <w:tabs>
          <w:tab w:val="left" w:pos="2620"/>
        </w:tabs>
        <w:spacing w:line="360" w:lineRule="auto"/>
        <w:ind w:firstLine="0" w:firstLineChars="0"/>
        <w:outlineLvl w:val="0"/>
        <w:rPr>
          <w:rFonts w:ascii="宋体" w:hAnsi="宋体" w:eastAsia="宋体"/>
          <w:b/>
          <w:bCs/>
          <w:sz w:val="21"/>
          <w:szCs w:val="21"/>
        </w:rPr>
      </w:pPr>
      <w:bookmarkStart w:id="703" w:name="_Toc22143"/>
      <w:bookmarkStart w:id="704" w:name="_Toc455080140"/>
      <w:bookmarkStart w:id="705" w:name="_Toc8240"/>
      <w:bookmarkStart w:id="706" w:name="_Toc32608"/>
      <w:bookmarkStart w:id="707" w:name="_Toc318450707"/>
      <w:bookmarkStart w:id="708" w:name="_Toc152042340"/>
      <w:bookmarkStart w:id="709" w:name="_Toc25721"/>
      <w:bookmarkStart w:id="710" w:name="_Toc13368"/>
      <w:bookmarkStart w:id="711" w:name="_Toc490667860"/>
      <w:bookmarkStart w:id="712" w:name="_Toc31227"/>
      <w:bookmarkStart w:id="713" w:name="_Toc144974532"/>
      <w:bookmarkStart w:id="714" w:name="_Toc7286"/>
      <w:bookmarkStart w:id="715" w:name="_Toc27035"/>
      <w:bookmarkStart w:id="716" w:name="_Toc455867800"/>
      <w:bookmarkStart w:id="717" w:name="_Toc5376"/>
      <w:bookmarkStart w:id="718" w:name="_Toc8248"/>
      <w:bookmarkStart w:id="719" w:name="_Toc466298123"/>
      <w:bookmarkStart w:id="720" w:name="_Toc152045564"/>
      <w:bookmarkStart w:id="721" w:name="_Toc9532"/>
      <w:bookmarkStart w:id="722" w:name="_Toc31961"/>
      <w:bookmarkStart w:id="723" w:name="_Toc6050"/>
      <w:bookmarkStart w:id="724" w:name="_Toc21102"/>
      <w:bookmarkStart w:id="725" w:name="_Toc4435"/>
      <w:r>
        <w:rPr>
          <w:rFonts w:hint="eastAsia" w:ascii="宋体" w:hAnsi="宋体" w:eastAsia="宋体"/>
          <w:b/>
          <w:bCs/>
          <w:sz w:val="21"/>
          <w:szCs w:val="21"/>
        </w:rPr>
        <w:t>6.2 磋商原则</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16D93BD0">
      <w:pPr>
        <w:spacing w:line="360" w:lineRule="auto"/>
        <w:ind w:firstLine="0" w:firstLineChars="0"/>
        <w:rPr>
          <w:rFonts w:ascii="宋体" w:hAnsi="宋体" w:cs="宋体"/>
          <w:szCs w:val="21"/>
        </w:rPr>
      </w:pPr>
      <w:r>
        <w:rPr>
          <w:rFonts w:hint="eastAsia" w:ascii="宋体" w:hAnsi="宋体" w:cs="宋体"/>
          <w:szCs w:val="21"/>
        </w:rPr>
        <w:t>磋商活动遵循公平、公正、科学和择优的原则。</w:t>
      </w:r>
    </w:p>
    <w:p w14:paraId="58154394">
      <w:pPr>
        <w:pStyle w:val="74"/>
        <w:spacing w:line="360" w:lineRule="auto"/>
        <w:ind w:firstLine="0" w:firstLineChars="0"/>
        <w:outlineLvl w:val="0"/>
        <w:rPr>
          <w:rFonts w:ascii="宋体" w:hAnsi="宋体" w:eastAsia="宋体"/>
          <w:sz w:val="21"/>
          <w:szCs w:val="21"/>
        </w:rPr>
      </w:pPr>
      <w:bookmarkStart w:id="726" w:name="_Toc144974533"/>
      <w:bookmarkStart w:id="727" w:name="_Toc152042341"/>
      <w:bookmarkStart w:id="728" w:name="_Toc318450708"/>
      <w:bookmarkStart w:id="729" w:name="_Toc8705"/>
      <w:bookmarkStart w:id="730" w:name="_Toc15595"/>
      <w:bookmarkStart w:id="731" w:name="_Toc152045565"/>
      <w:bookmarkStart w:id="732" w:name="_Toc16725"/>
      <w:bookmarkStart w:id="733" w:name="_Toc915"/>
      <w:bookmarkStart w:id="734" w:name="_Toc466298124"/>
      <w:bookmarkStart w:id="735" w:name="_Toc490667861"/>
      <w:bookmarkStart w:id="736" w:name="_Toc3606"/>
      <w:bookmarkStart w:id="737" w:name="_Toc1768"/>
      <w:bookmarkStart w:id="738" w:name="_Toc7890"/>
      <w:bookmarkStart w:id="739" w:name="_Toc28734"/>
      <w:bookmarkStart w:id="740" w:name="_Toc18756"/>
      <w:bookmarkStart w:id="741" w:name="_Toc455867801"/>
      <w:bookmarkStart w:id="742" w:name="_Toc24358"/>
      <w:bookmarkStart w:id="743" w:name="_Toc27036"/>
      <w:bookmarkStart w:id="744" w:name="_Toc20062"/>
      <w:bookmarkStart w:id="745" w:name="_Toc11010"/>
      <w:bookmarkStart w:id="746" w:name="_Toc28882"/>
      <w:bookmarkStart w:id="747" w:name="_Toc455080141"/>
      <w:bookmarkStart w:id="748" w:name="_Toc11018"/>
      <w:r>
        <w:rPr>
          <w:rFonts w:hint="eastAsia" w:ascii="宋体" w:hAnsi="宋体" w:eastAsia="宋体"/>
          <w:b/>
          <w:bCs/>
          <w:sz w:val="21"/>
          <w:szCs w:val="21"/>
        </w:rPr>
        <w:t xml:space="preserve">6.3 </w:t>
      </w:r>
      <w:bookmarkEnd w:id="726"/>
      <w:bookmarkEnd w:id="727"/>
      <w:bookmarkEnd w:id="728"/>
      <w:bookmarkEnd w:id="729"/>
      <w:bookmarkEnd w:id="730"/>
      <w:bookmarkEnd w:id="731"/>
      <w:bookmarkEnd w:id="732"/>
      <w:r>
        <w:rPr>
          <w:rFonts w:hint="eastAsia" w:ascii="宋体" w:hAnsi="宋体" w:eastAsia="宋体"/>
          <w:b/>
          <w:bCs/>
          <w:sz w:val="21"/>
          <w:szCs w:val="21"/>
        </w:rPr>
        <w:t>磋商</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2BB721C2">
      <w:pPr>
        <w:spacing w:line="360" w:lineRule="auto"/>
        <w:ind w:firstLine="0" w:firstLineChars="0"/>
        <w:rPr>
          <w:rFonts w:ascii="宋体" w:hAnsi="宋体" w:cs="宋体"/>
          <w:szCs w:val="21"/>
        </w:rPr>
      </w:pPr>
      <w:r>
        <w:rPr>
          <w:rFonts w:hint="eastAsia" w:ascii="宋体" w:hAnsi="宋体" w:cs="宋体"/>
          <w:szCs w:val="21"/>
        </w:rPr>
        <w:t>磋商小组按照第三章“评审办法”规定的方法、评审因素、标准和程序对响应文件进行评审。第三章“评审办法”没有规定的方法、评审因素和标准，不作为评标依据。</w:t>
      </w:r>
    </w:p>
    <w:p w14:paraId="62F53CBB">
      <w:pPr>
        <w:pStyle w:val="73"/>
        <w:spacing w:line="360" w:lineRule="auto"/>
        <w:ind w:firstLine="0" w:firstLineChars="0"/>
        <w:rPr>
          <w:rFonts w:ascii="宋体" w:hAnsi="宋体" w:eastAsia="宋体"/>
          <w:b/>
          <w:bCs/>
          <w:sz w:val="21"/>
          <w:szCs w:val="21"/>
        </w:rPr>
      </w:pPr>
      <w:bookmarkStart w:id="749" w:name="_Toc152042342"/>
      <w:bookmarkStart w:id="750" w:name="_Toc152045566"/>
      <w:bookmarkStart w:id="751" w:name="_Toc455080142"/>
      <w:bookmarkStart w:id="752" w:name="_Toc144974534"/>
      <w:bookmarkStart w:id="753" w:name="_Toc3578"/>
      <w:bookmarkStart w:id="754" w:name="_Toc9522"/>
      <w:r>
        <w:rPr>
          <w:rFonts w:hint="eastAsia" w:ascii="宋体" w:hAnsi="宋体" w:eastAsia="宋体"/>
          <w:b/>
          <w:bCs/>
          <w:sz w:val="21"/>
          <w:szCs w:val="21"/>
        </w:rPr>
        <w:t>7. 合同授予</w:t>
      </w:r>
      <w:bookmarkEnd w:id="749"/>
      <w:bookmarkEnd w:id="750"/>
      <w:bookmarkEnd w:id="751"/>
      <w:bookmarkEnd w:id="752"/>
      <w:bookmarkEnd w:id="753"/>
      <w:bookmarkEnd w:id="754"/>
    </w:p>
    <w:p w14:paraId="3460BE78">
      <w:pPr>
        <w:pStyle w:val="74"/>
        <w:spacing w:line="360" w:lineRule="auto"/>
        <w:ind w:firstLine="0" w:firstLineChars="0"/>
        <w:outlineLvl w:val="0"/>
        <w:rPr>
          <w:rFonts w:ascii="宋体" w:hAnsi="宋体" w:eastAsia="宋体"/>
          <w:b/>
          <w:bCs/>
          <w:sz w:val="21"/>
          <w:szCs w:val="21"/>
        </w:rPr>
      </w:pPr>
      <w:bookmarkStart w:id="755" w:name="_Toc455867803"/>
      <w:bookmarkStart w:id="756" w:name="_Toc144974535"/>
      <w:bookmarkStart w:id="757" w:name="_Toc29664"/>
      <w:bookmarkStart w:id="758" w:name="_Toc28919"/>
      <w:bookmarkStart w:id="759" w:name="_Toc17667"/>
      <w:bookmarkStart w:id="760" w:name="_Toc20777"/>
      <w:bookmarkStart w:id="761" w:name="_Toc490667863"/>
      <w:bookmarkStart w:id="762" w:name="_Toc152045567"/>
      <w:bookmarkStart w:id="763" w:name="_Toc318450710"/>
      <w:bookmarkStart w:id="764" w:name="_Toc11409"/>
      <w:bookmarkStart w:id="765" w:name="_Toc17660"/>
      <w:bookmarkStart w:id="766" w:name="_Toc11008"/>
      <w:bookmarkStart w:id="767" w:name="_Toc152042343"/>
      <w:bookmarkStart w:id="768" w:name="_Toc29686"/>
      <w:bookmarkStart w:id="769" w:name="_Toc455080143"/>
      <w:bookmarkStart w:id="770" w:name="_Toc466298126"/>
      <w:bookmarkStart w:id="771" w:name="_Toc22461"/>
      <w:bookmarkStart w:id="772" w:name="_Toc4262"/>
      <w:bookmarkStart w:id="773" w:name="_Toc25316"/>
      <w:bookmarkStart w:id="774" w:name="_Toc552"/>
      <w:bookmarkStart w:id="775" w:name="_Toc7358"/>
      <w:bookmarkStart w:id="776" w:name="_Toc24041"/>
      <w:bookmarkStart w:id="777" w:name="_Toc14528"/>
      <w:r>
        <w:rPr>
          <w:rFonts w:hint="eastAsia" w:ascii="宋体" w:hAnsi="宋体" w:eastAsia="宋体"/>
          <w:b/>
          <w:bCs/>
          <w:sz w:val="21"/>
          <w:szCs w:val="21"/>
        </w:rPr>
        <w:t>7.1 定标方式</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37ADFC32">
      <w:pPr>
        <w:spacing w:line="360" w:lineRule="auto"/>
        <w:ind w:firstLine="0" w:firstLineChars="0"/>
        <w:rPr>
          <w:rFonts w:hint="eastAsia" w:ascii="宋体" w:hAnsi="宋体" w:cs="宋体"/>
          <w:szCs w:val="21"/>
        </w:rPr>
      </w:pPr>
      <w:bookmarkStart w:id="778" w:name="_Toc152042344"/>
      <w:bookmarkStart w:id="779" w:name="_Toc10868"/>
      <w:bookmarkStart w:id="780" w:name="_Toc144974536"/>
      <w:bookmarkStart w:id="781" w:name="_Toc7066"/>
      <w:bookmarkStart w:id="782" w:name="_Toc28254"/>
      <w:bookmarkStart w:id="783" w:name="_Toc152045568"/>
      <w:bookmarkStart w:id="784" w:name="_Toc318450711"/>
      <w:r>
        <w:rPr>
          <w:rFonts w:hint="eastAsia" w:ascii="宋体" w:hAnsi="宋体" w:cs="宋体"/>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bookmarkStart w:id="785" w:name="_Toc8133"/>
      <w:bookmarkStart w:id="786" w:name="_Toc9897"/>
      <w:bookmarkStart w:id="787" w:name="_Toc25515"/>
      <w:bookmarkStart w:id="788" w:name="_Toc5668"/>
      <w:bookmarkStart w:id="789" w:name="_Toc16163"/>
      <w:bookmarkStart w:id="790" w:name="_Toc14331"/>
      <w:bookmarkStart w:id="791" w:name="_Toc490667864"/>
      <w:bookmarkStart w:id="792" w:name="_Toc28177"/>
      <w:bookmarkStart w:id="793" w:name="_Toc9775"/>
      <w:bookmarkStart w:id="794" w:name="_Toc455080144"/>
      <w:bookmarkStart w:id="795" w:name="_Toc455867804"/>
      <w:bookmarkStart w:id="796" w:name="_Toc21229"/>
      <w:bookmarkStart w:id="797" w:name="_Toc15825"/>
      <w:bookmarkStart w:id="798" w:name="_Toc7337"/>
      <w:bookmarkStart w:id="799" w:name="_Toc466298127"/>
      <w:bookmarkStart w:id="800" w:name="_Toc5428"/>
    </w:p>
    <w:p w14:paraId="3A84DB86">
      <w:pPr>
        <w:spacing w:line="360" w:lineRule="auto"/>
        <w:ind w:firstLine="0" w:firstLineChars="0"/>
        <w:rPr>
          <w:rFonts w:ascii="宋体" w:hAnsi="宋体" w:eastAsia="宋体"/>
          <w:b/>
          <w:bCs/>
          <w:sz w:val="21"/>
          <w:szCs w:val="21"/>
        </w:rPr>
      </w:pPr>
      <w:r>
        <w:rPr>
          <w:rFonts w:hint="eastAsia" w:ascii="宋体" w:hAnsi="宋体" w:eastAsia="宋体"/>
          <w:b/>
          <w:bCs/>
          <w:sz w:val="21"/>
          <w:szCs w:val="21"/>
        </w:rPr>
        <w:t>7.2 成交通知</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0F3952EA">
      <w:pPr>
        <w:spacing w:line="360" w:lineRule="auto"/>
        <w:ind w:firstLine="0" w:firstLineChars="0"/>
        <w:rPr>
          <w:rFonts w:ascii="宋体" w:hAnsi="宋体" w:cs="宋体"/>
          <w:szCs w:val="21"/>
        </w:rPr>
      </w:pPr>
      <w:r>
        <w:rPr>
          <w:rFonts w:hint="eastAsia" w:ascii="宋体" w:hAnsi="宋体" w:cs="宋体"/>
          <w:szCs w:val="21"/>
        </w:rPr>
        <w:t>在本章第3.3.1款规定的磋商有效期内，采购人以书面形式向成交人发出成交通知书，同时将成交结果通知未成交的供应商。</w:t>
      </w:r>
    </w:p>
    <w:p w14:paraId="3E22084E">
      <w:pPr>
        <w:spacing w:line="400" w:lineRule="exact"/>
        <w:ind w:firstLine="0" w:firstLineChars="0"/>
        <w:rPr>
          <w:rFonts w:ascii="宋体" w:hAnsi="宋体" w:eastAsia="宋体" w:cs="宋体"/>
          <w:b/>
          <w:bCs/>
          <w:szCs w:val="21"/>
        </w:rPr>
      </w:pPr>
      <w:r>
        <w:rPr>
          <w:rFonts w:hint="eastAsia" w:ascii="宋体" w:hAnsi="宋体" w:eastAsia="宋体" w:cs="宋体"/>
          <w:b/>
          <w:bCs/>
          <w:szCs w:val="21"/>
        </w:rPr>
        <w:t>7.3 履约保证金</w:t>
      </w:r>
    </w:p>
    <w:p w14:paraId="27C6BF1C">
      <w:pPr>
        <w:pStyle w:val="74"/>
        <w:spacing w:line="360" w:lineRule="auto"/>
        <w:ind w:firstLine="0" w:firstLineChars="0"/>
        <w:outlineLvl w:val="0"/>
        <w:rPr>
          <w:rFonts w:ascii="宋体" w:hAnsi="宋体" w:eastAsia="宋体"/>
          <w:b/>
          <w:bCs/>
          <w:sz w:val="21"/>
          <w:szCs w:val="21"/>
        </w:rPr>
      </w:pPr>
      <w:bookmarkStart w:id="801" w:name="_Toc24659"/>
      <w:bookmarkStart w:id="802" w:name="_Toc10489"/>
      <w:bookmarkStart w:id="803" w:name="_Toc9509"/>
      <w:bookmarkStart w:id="804" w:name="_Toc5993"/>
      <w:bookmarkStart w:id="805" w:name="_Toc27005"/>
      <w:bookmarkStart w:id="806" w:name="_Toc15458"/>
      <w:bookmarkStart w:id="807" w:name="_Toc466298128"/>
      <w:bookmarkStart w:id="808" w:name="_Toc26655"/>
      <w:bookmarkStart w:id="809" w:name="_Toc10082"/>
      <w:bookmarkStart w:id="810" w:name="_Toc13147"/>
      <w:bookmarkStart w:id="811" w:name="_Toc26915"/>
      <w:bookmarkStart w:id="812" w:name="_Toc152042346"/>
      <w:bookmarkStart w:id="813" w:name="_Toc152045570"/>
      <w:bookmarkStart w:id="814" w:name="_Toc21271"/>
      <w:bookmarkStart w:id="815" w:name="_Toc12663"/>
      <w:bookmarkStart w:id="816" w:name="_Toc455080145"/>
      <w:bookmarkStart w:id="817" w:name="_Toc318450712"/>
      <w:bookmarkStart w:id="818" w:name="_Toc26760"/>
      <w:bookmarkStart w:id="819" w:name="_Toc24026"/>
      <w:bookmarkStart w:id="820" w:name="_Toc490667865"/>
      <w:bookmarkStart w:id="821" w:name="_Toc455867805"/>
      <w:bookmarkStart w:id="822" w:name="_Toc8886"/>
      <w:bookmarkStart w:id="823" w:name="_Toc144974538"/>
      <w:r>
        <w:rPr>
          <w:rFonts w:hint="eastAsia" w:ascii="宋体" w:hAnsi="宋体" w:eastAsia="宋体"/>
          <w:b/>
          <w:bCs/>
          <w:sz w:val="21"/>
          <w:szCs w:val="21"/>
        </w:rPr>
        <w:t>免收履约保证金</w:t>
      </w:r>
      <w:bookmarkEnd w:id="801"/>
      <w:bookmarkEnd w:id="802"/>
      <w:bookmarkEnd w:id="803"/>
      <w:bookmarkEnd w:id="804"/>
      <w:bookmarkEnd w:id="805"/>
    </w:p>
    <w:p w14:paraId="719144B4">
      <w:pPr>
        <w:pStyle w:val="74"/>
        <w:spacing w:line="360" w:lineRule="auto"/>
        <w:ind w:firstLine="0" w:firstLineChars="0"/>
        <w:outlineLvl w:val="0"/>
        <w:rPr>
          <w:rFonts w:ascii="宋体" w:hAnsi="宋体" w:eastAsia="宋体"/>
          <w:b/>
          <w:bCs/>
          <w:sz w:val="21"/>
          <w:szCs w:val="21"/>
        </w:rPr>
      </w:pPr>
      <w:bookmarkStart w:id="824" w:name="_Toc21220"/>
      <w:bookmarkStart w:id="825" w:name="_Toc27441"/>
      <w:bookmarkStart w:id="826" w:name="_Toc27033"/>
      <w:bookmarkStart w:id="827" w:name="_Toc27919"/>
      <w:bookmarkStart w:id="828" w:name="_Toc1041"/>
      <w:r>
        <w:rPr>
          <w:rFonts w:hint="eastAsia" w:ascii="宋体" w:hAnsi="宋体" w:eastAsia="宋体"/>
          <w:b/>
          <w:bCs/>
          <w:sz w:val="21"/>
          <w:szCs w:val="21"/>
        </w:rPr>
        <w:t>7.4 签订合同</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7A1C8022">
      <w:pPr>
        <w:spacing w:line="360" w:lineRule="auto"/>
        <w:ind w:firstLine="0" w:firstLineChars="0"/>
        <w:rPr>
          <w:rFonts w:ascii="宋体" w:hAnsi="宋体" w:cs="宋体"/>
          <w:szCs w:val="21"/>
        </w:rPr>
      </w:pPr>
      <w:r>
        <w:rPr>
          <w:rFonts w:hint="eastAsia" w:ascii="宋体" w:hAnsi="宋体" w:cs="宋体"/>
          <w:szCs w:val="21"/>
        </w:rPr>
        <w:t>7.4.1采购人和成交人应当自成交通知书发出之日起2-7天内，根据竞争性磋商文件和成交人的响应文件订立书面合同。成交人无正当理由拒签合同的，采购人取消其成交资格，</w:t>
      </w:r>
      <w:r>
        <w:rPr>
          <w:rFonts w:hint="eastAsia" w:ascii="宋体" w:hAnsi="宋体" w:cs="宋体"/>
          <w:szCs w:val="21"/>
          <w:lang w:val="en-US" w:eastAsia="zh-CN"/>
        </w:rPr>
        <w:t>并按照国家相关法律法律规定执行处罚</w:t>
      </w:r>
      <w:r>
        <w:rPr>
          <w:rFonts w:hint="eastAsia" w:ascii="宋体" w:hAnsi="宋体" w:cs="宋体"/>
          <w:szCs w:val="21"/>
        </w:rPr>
        <w:t xml:space="preserve">。  </w:t>
      </w:r>
      <w:bookmarkStart w:id="829" w:name="_Toc152042350"/>
      <w:bookmarkStart w:id="830" w:name="_Toc152045574"/>
      <w:bookmarkStart w:id="831" w:name="_Toc144974542"/>
    </w:p>
    <w:p w14:paraId="0F4FE6F4">
      <w:pPr>
        <w:pStyle w:val="73"/>
        <w:spacing w:line="360" w:lineRule="auto"/>
        <w:ind w:firstLine="0" w:firstLineChars="0"/>
        <w:rPr>
          <w:rFonts w:ascii="宋体" w:hAnsi="宋体" w:eastAsia="宋体"/>
          <w:b/>
          <w:bCs/>
          <w:sz w:val="21"/>
          <w:szCs w:val="21"/>
        </w:rPr>
      </w:pPr>
      <w:bookmarkStart w:id="832" w:name="_Toc455080146"/>
      <w:bookmarkStart w:id="833" w:name="_Toc16866"/>
      <w:bookmarkStart w:id="834" w:name="_Toc18918"/>
      <w:r>
        <w:rPr>
          <w:rFonts w:hint="eastAsia" w:ascii="宋体" w:hAnsi="宋体" w:eastAsia="宋体"/>
          <w:b/>
          <w:bCs/>
          <w:sz w:val="21"/>
          <w:szCs w:val="21"/>
        </w:rPr>
        <w:t>8.重新招标</w:t>
      </w:r>
      <w:bookmarkEnd w:id="832"/>
      <w:bookmarkEnd w:id="833"/>
      <w:bookmarkEnd w:id="834"/>
    </w:p>
    <w:p w14:paraId="10A31A0A">
      <w:pPr>
        <w:spacing w:line="360" w:lineRule="auto"/>
        <w:ind w:firstLine="0" w:firstLineChars="0"/>
        <w:rPr>
          <w:rFonts w:ascii="宋体" w:hAnsi="宋体"/>
          <w:szCs w:val="21"/>
        </w:rPr>
      </w:pPr>
      <w:bookmarkStart w:id="835" w:name="_Toc16556"/>
      <w:r>
        <w:rPr>
          <w:rFonts w:hint="eastAsia" w:ascii="宋体" w:hAnsi="宋体"/>
          <w:b/>
          <w:bCs/>
          <w:szCs w:val="21"/>
        </w:rPr>
        <w:t>8.1 重新招标</w:t>
      </w:r>
      <w:bookmarkEnd w:id="835"/>
    </w:p>
    <w:p w14:paraId="243BD6C7">
      <w:pPr>
        <w:spacing w:line="360" w:lineRule="auto"/>
        <w:ind w:firstLine="0" w:firstLineChars="0"/>
        <w:rPr>
          <w:rFonts w:ascii="宋体" w:hAnsi="宋体"/>
          <w:szCs w:val="21"/>
        </w:rPr>
      </w:pPr>
      <w:bookmarkStart w:id="836" w:name="_Toc9985"/>
      <w:r>
        <w:rPr>
          <w:rFonts w:hint="eastAsia" w:ascii="宋体" w:hAnsi="宋体"/>
          <w:szCs w:val="21"/>
        </w:rPr>
        <w:t>有下列情形之一的，采购人将重新招标：</w:t>
      </w:r>
      <w:bookmarkEnd w:id="836"/>
    </w:p>
    <w:p w14:paraId="5A9FA5DA">
      <w:pPr>
        <w:spacing w:line="360" w:lineRule="auto"/>
        <w:ind w:firstLine="0" w:firstLineChars="0"/>
        <w:rPr>
          <w:rFonts w:ascii="宋体" w:hAnsi="宋体"/>
          <w:szCs w:val="21"/>
        </w:rPr>
      </w:pPr>
      <w:bookmarkStart w:id="837" w:name="_Toc25063"/>
      <w:r>
        <w:rPr>
          <w:rFonts w:hint="eastAsia" w:ascii="宋体" w:hAnsi="宋体"/>
          <w:szCs w:val="21"/>
        </w:rPr>
        <w:t>（1）提交响应文件截止时间止，供应商少于3个的；</w:t>
      </w:r>
      <w:bookmarkEnd w:id="837"/>
    </w:p>
    <w:p w14:paraId="009DDC82">
      <w:pPr>
        <w:spacing w:line="360" w:lineRule="auto"/>
        <w:ind w:firstLine="0" w:firstLineChars="0"/>
        <w:rPr>
          <w:rFonts w:ascii="宋体" w:hAnsi="宋体"/>
          <w:szCs w:val="21"/>
        </w:rPr>
      </w:pPr>
      <w:bookmarkStart w:id="838" w:name="_Toc17911"/>
      <w:r>
        <w:rPr>
          <w:rFonts w:hint="eastAsia" w:ascii="宋体" w:hAnsi="宋体"/>
          <w:szCs w:val="21"/>
        </w:rPr>
        <w:t>（2）经磋商小组评审后否决所有响应文件的。</w:t>
      </w:r>
      <w:bookmarkEnd w:id="838"/>
    </w:p>
    <w:p w14:paraId="54E24921">
      <w:pPr>
        <w:pStyle w:val="73"/>
        <w:spacing w:line="360" w:lineRule="auto"/>
        <w:ind w:firstLine="0" w:firstLineChars="0"/>
        <w:rPr>
          <w:rFonts w:ascii="宋体" w:hAnsi="宋体" w:eastAsia="宋体"/>
          <w:b/>
          <w:bCs/>
          <w:sz w:val="21"/>
          <w:szCs w:val="21"/>
        </w:rPr>
      </w:pPr>
      <w:bookmarkStart w:id="839" w:name="_Toc455080147"/>
      <w:bookmarkStart w:id="840" w:name="_Toc2509"/>
      <w:bookmarkStart w:id="841" w:name="_Toc9996"/>
      <w:r>
        <w:rPr>
          <w:rFonts w:hint="eastAsia" w:ascii="宋体" w:hAnsi="宋体" w:eastAsia="宋体"/>
          <w:b/>
          <w:bCs/>
          <w:sz w:val="21"/>
          <w:szCs w:val="21"/>
        </w:rPr>
        <w:t>9.纪律和监督</w:t>
      </w:r>
      <w:bookmarkEnd w:id="829"/>
      <w:bookmarkEnd w:id="830"/>
      <w:bookmarkEnd w:id="831"/>
      <w:bookmarkEnd w:id="839"/>
      <w:bookmarkEnd w:id="840"/>
      <w:bookmarkEnd w:id="841"/>
    </w:p>
    <w:p w14:paraId="799AC7CC">
      <w:pPr>
        <w:pStyle w:val="74"/>
        <w:spacing w:line="360" w:lineRule="auto"/>
        <w:ind w:firstLine="0" w:firstLineChars="0"/>
        <w:outlineLvl w:val="0"/>
        <w:rPr>
          <w:rFonts w:ascii="宋体" w:hAnsi="宋体" w:eastAsia="宋体"/>
          <w:b/>
          <w:bCs/>
          <w:sz w:val="21"/>
          <w:szCs w:val="21"/>
        </w:rPr>
      </w:pPr>
      <w:bookmarkStart w:id="842" w:name="_Toc14620"/>
      <w:bookmarkStart w:id="843" w:name="_Toc269"/>
      <w:bookmarkStart w:id="844" w:name="_Toc144974543"/>
      <w:bookmarkStart w:id="845" w:name="_Toc14614"/>
      <w:bookmarkStart w:id="846" w:name="_Toc20009"/>
      <w:bookmarkStart w:id="847" w:name="_Toc152045575"/>
      <w:bookmarkStart w:id="848" w:name="_Toc455867808"/>
      <w:bookmarkStart w:id="849" w:name="_Toc19159"/>
      <w:bookmarkStart w:id="850" w:name="_Toc455080148"/>
      <w:bookmarkStart w:id="851" w:name="_Toc697"/>
      <w:bookmarkStart w:id="852" w:name="_Toc466298131"/>
      <w:bookmarkStart w:id="853" w:name="_Toc12992"/>
      <w:bookmarkStart w:id="854" w:name="_Toc15592"/>
      <w:bookmarkStart w:id="855" w:name="_Toc24482"/>
      <w:bookmarkStart w:id="856" w:name="_Toc8381"/>
      <w:bookmarkStart w:id="857" w:name="_Toc13970"/>
      <w:bookmarkStart w:id="858" w:name="_Toc490667868"/>
      <w:bookmarkStart w:id="859" w:name="_Toc1282"/>
      <w:bookmarkStart w:id="860" w:name="_Toc318450714"/>
      <w:bookmarkStart w:id="861" w:name="_Toc15769"/>
      <w:bookmarkStart w:id="862" w:name="_Toc152042351"/>
      <w:bookmarkStart w:id="863" w:name="_Toc27836"/>
      <w:bookmarkStart w:id="864" w:name="_Toc31857"/>
      <w:r>
        <w:rPr>
          <w:rFonts w:hint="eastAsia" w:ascii="宋体" w:hAnsi="宋体" w:eastAsia="宋体"/>
          <w:b/>
          <w:bCs/>
          <w:sz w:val="21"/>
          <w:szCs w:val="21"/>
        </w:rPr>
        <w:t>9.1 对采购人的纪律要求</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4D03ABFD">
      <w:pPr>
        <w:spacing w:line="360" w:lineRule="auto"/>
        <w:ind w:firstLine="0" w:firstLineChars="0"/>
        <w:rPr>
          <w:rFonts w:ascii="宋体" w:hAnsi="宋体" w:cs="宋体"/>
          <w:szCs w:val="21"/>
        </w:rPr>
      </w:pPr>
      <w:r>
        <w:rPr>
          <w:rFonts w:hint="eastAsia" w:ascii="宋体" w:hAnsi="宋体" w:cs="宋体"/>
          <w:szCs w:val="21"/>
        </w:rPr>
        <w:t>采购人不得泄漏磋商活动中应当保密的情况和资料，不得与供应商串通损害国家利益、社会公共利益或者他人合法权益。</w:t>
      </w:r>
    </w:p>
    <w:p w14:paraId="6A447BB0">
      <w:pPr>
        <w:pStyle w:val="74"/>
        <w:spacing w:line="360" w:lineRule="auto"/>
        <w:ind w:firstLine="0" w:firstLineChars="0"/>
        <w:outlineLvl w:val="0"/>
        <w:rPr>
          <w:rFonts w:ascii="宋体" w:hAnsi="宋体" w:eastAsia="宋体"/>
          <w:sz w:val="21"/>
          <w:szCs w:val="21"/>
        </w:rPr>
      </w:pPr>
      <w:bookmarkStart w:id="865" w:name="_Toc152045576"/>
      <w:bookmarkStart w:id="866" w:name="_Toc144974544"/>
      <w:bookmarkStart w:id="867" w:name="_Toc490667869"/>
      <w:bookmarkStart w:id="868" w:name="_Toc21646"/>
      <w:bookmarkStart w:id="869" w:name="_Toc466298132"/>
      <w:bookmarkStart w:id="870" w:name="_Toc19167"/>
      <w:bookmarkStart w:id="871" w:name="_Toc13753"/>
      <w:bookmarkStart w:id="872" w:name="_Toc9058"/>
      <w:bookmarkStart w:id="873" w:name="_Toc3089"/>
      <w:bookmarkStart w:id="874" w:name="_Toc152042352"/>
      <w:bookmarkStart w:id="875" w:name="_Toc3220"/>
      <w:bookmarkStart w:id="876" w:name="_Toc318450715"/>
      <w:bookmarkStart w:id="877" w:name="_Toc455867809"/>
      <w:bookmarkStart w:id="878" w:name="_Toc18604"/>
      <w:bookmarkStart w:id="879" w:name="_Toc20261"/>
      <w:bookmarkStart w:id="880" w:name="_Toc18204"/>
      <w:bookmarkStart w:id="881" w:name="_Toc17040"/>
      <w:bookmarkStart w:id="882" w:name="_Toc23415"/>
      <w:bookmarkStart w:id="883" w:name="_Toc3375"/>
      <w:bookmarkStart w:id="884" w:name="_Toc27698"/>
      <w:bookmarkStart w:id="885" w:name="_Toc455080149"/>
      <w:bookmarkStart w:id="886" w:name="_Toc7572"/>
      <w:bookmarkStart w:id="887" w:name="_Toc1743"/>
      <w:r>
        <w:rPr>
          <w:rFonts w:hint="eastAsia" w:ascii="宋体" w:hAnsi="宋体" w:eastAsia="宋体"/>
          <w:b/>
          <w:bCs/>
          <w:sz w:val="21"/>
          <w:szCs w:val="21"/>
        </w:rPr>
        <w:t>9.2 对供应商的纪律要求</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717E7CA1">
      <w:pPr>
        <w:spacing w:line="360" w:lineRule="auto"/>
        <w:ind w:firstLine="0" w:firstLineChars="0"/>
        <w:rPr>
          <w:rFonts w:ascii="宋体" w:hAnsi="宋体" w:cs="宋体"/>
          <w:szCs w:val="21"/>
        </w:rPr>
      </w:pPr>
      <w:r>
        <w:rPr>
          <w:rFonts w:hint="eastAsia" w:ascii="宋体" w:hAnsi="宋体" w:cs="宋体"/>
          <w:szCs w:val="21"/>
        </w:rPr>
        <w:t>供应商不得相互串通或者与采购人串通，不得向采购人或者谈判小组行贿谋取成交，不得以他人名义或者以其他方式弄虚作假骗取成交；供应商不得以任何方式干扰、影响评审工作。</w:t>
      </w:r>
    </w:p>
    <w:p w14:paraId="6BD6CAF0">
      <w:pPr>
        <w:pStyle w:val="74"/>
        <w:spacing w:line="360" w:lineRule="auto"/>
        <w:ind w:firstLine="0" w:firstLineChars="0"/>
        <w:outlineLvl w:val="0"/>
        <w:rPr>
          <w:rFonts w:ascii="宋体" w:hAnsi="宋体" w:eastAsia="宋体"/>
          <w:b/>
          <w:bCs/>
          <w:sz w:val="21"/>
          <w:szCs w:val="21"/>
        </w:rPr>
      </w:pPr>
      <w:bookmarkStart w:id="888" w:name="_Toc144974545"/>
      <w:bookmarkStart w:id="889" w:name="_Toc466298133"/>
      <w:bookmarkStart w:id="890" w:name="_Toc19965"/>
      <w:bookmarkStart w:id="891" w:name="_Toc318450716"/>
      <w:bookmarkStart w:id="892" w:name="_Toc9247"/>
      <w:bookmarkStart w:id="893" w:name="_Toc152045577"/>
      <w:bookmarkStart w:id="894" w:name="_Toc7107"/>
      <w:bookmarkStart w:id="895" w:name="_Toc490667870"/>
      <w:bookmarkStart w:id="896" w:name="_Toc12177"/>
      <w:bookmarkStart w:id="897" w:name="_Toc30153"/>
      <w:bookmarkStart w:id="898" w:name="_Toc152042353"/>
      <w:bookmarkStart w:id="899" w:name="_Toc28813"/>
      <w:bookmarkStart w:id="900" w:name="_Toc2542"/>
      <w:bookmarkStart w:id="901" w:name="_Toc455080150"/>
      <w:bookmarkStart w:id="902" w:name="_Toc31001"/>
      <w:bookmarkStart w:id="903" w:name="_Toc7439"/>
      <w:bookmarkStart w:id="904" w:name="_Toc25241"/>
      <w:bookmarkStart w:id="905" w:name="_Toc1928"/>
      <w:bookmarkStart w:id="906" w:name="_Toc455867810"/>
      <w:bookmarkStart w:id="907" w:name="_Toc2199"/>
      <w:bookmarkStart w:id="908" w:name="_Toc19086"/>
      <w:bookmarkStart w:id="909" w:name="_Toc25211"/>
      <w:bookmarkStart w:id="910" w:name="_Toc32320"/>
      <w:r>
        <w:rPr>
          <w:rFonts w:hint="eastAsia" w:ascii="宋体" w:hAnsi="宋体" w:eastAsia="宋体"/>
          <w:b/>
          <w:bCs/>
          <w:sz w:val="21"/>
          <w:szCs w:val="21"/>
        </w:rPr>
        <w:t>9.3 对磋商小组成员的纪律要求</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72715328">
      <w:pPr>
        <w:spacing w:line="360" w:lineRule="auto"/>
        <w:ind w:firstLine="0" w:firstLineChars="0"/>
        <w:rPr>
          <w:rFonts w:ascii="宋体" w:hAnsi="宋体" w:cs="宋体"/>
          <w:szCs w:val="21"/>
        </w:rPr>
      </w:pPr>
      <w:r>
        <w:rPr>
          <w:rFonts w:hint="eastAsia" w:ascii="宋体" w:hAnsi="宋体" w:cs="宋体"/>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F3AACD7">
      <w:pPr>
        <w:pStyle w:val="74"/>
        <w:spacing w:line="360" w:lineRule="auto"/>
        <w:ind w:firstLine="0" w:firstLineChars="0"/>
        <w:outlineLvl w:val="0"/>
        <w:rPr>
          <w:rFonts w:ascii="宋体" w:hAnsi="宋体" w:eastAsia="宋体"/>
          <w:sz w:val="21"/>
          <w:szCs w:val="21"/>
        </w:rPr>
      </w:pPr>
      <w:bookmarkStart w:id="911" w:name="_Toc235"/>
      <w:bookmarkStart w:id="912" w:name="_Toc24733"/>
      <w:bookmarkStart w:id="913" w:name="_Toc8677"/>
      <w:bookmarkStart w:id="914" w:name="_Toc15116"/>
      <w:bookmarkStart w:id="915" w:name="_Toc24"/>
      <w:bookmarkStart w:id="916" w:name="_Toc9063"/>
      <w:bookmarkStart w:id="917" w:name="_Toc27559"/>
      <w:bookmarkStart w:id="918" w:name="_Toc466298134"/>
      <w:bookmarkStart w:id="919" w:name="_Toc19485"/>
      <w:bookmarkStart w:id="920" w:name="_Toc490667871"/>
      <w:bookmarkStart w:id="921" w:name="_Toc7368"/>
      <w:bookmarkStart w:id="922" w:name="_Toc455867811"/>
      <w:bookmarkStart w:id="923" w:name="_Toc26462"/>
      <w:bookmarkStart w:id="924" w:name="_Toc318450717"/>
      <w:bookmarkStart w:id="925" w:name="_Toc32632"/>
      <w:bookmarkStart w:id="926" w:name="_Toc20546"/>
      <w:bookmarkStart w:id="927" w:name="_Toc152042354"/>
      <w:bookmarkStart w:id="928" w:name="_Toc1295"/>
      <w:bookmarkStart w:id="929" w:name="_Toc152045578"/>
      <w:bookmarkStart w:id="930" w:name="_Toc23717"/>
      <w:bookmarkStart w:id="931" w:name="_Toc455080151"/>
      <w:bookmarkStart w:id="932" w:name="_Toc8952"/>
      <w:bookmarkStart w:id="933" w:name="_Toc144974546"/>
      <w:r>
        <w:rPr>
          <w:rFonts w:hint="eastAsia" w:ascii="宋体" w:hAnsi="宋体" w:eastAsia="宋体"/>
          <w:b/>
          <w:bCs/>
          <w:sz w:val="21"/>
          <w:szCs w:val="21"/>
        </w:rPr>
        <w:t>9.4 对与评标活动有关的工作人员的纪律要求</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14:paraId="1EE13A79">
      <w:pPr>
        <w:spacing w:line="360" w:lineRule="auto"/>
        <w:ind w:firstLine="0" w:firstLineChars="0"/>
        <w:rPr>
          <w:rFonts w:ascii="宋体" w:hAnsi="宋体" w:cs="宋体"/>
          <w:szCs w:val="21"/>
        </w:rPr>
      </w:pPr>
      <w:bookmarkStart w:id="934" w:name="_Toc152042355"/>
      <w:r>
        <w:rPr>
          <w:rFonts w:hint="eastAsia" w:ascii="宋体" w:hAnsi="宋体" w:cs="宋体"/>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934"/>
    </w:p>
    <w:p w14:paraId="430300E5">
      <w:pPr>
        <w:pStyle w:val="74"/>
        <w:spacing w:line="360" w:lineRule="auto"/>
        <w:ind w:firstLine="0" w:firstLineChars="0"/>
        <w:outlineLvl w:val="0"/>
        <w:rPr>
          <w:rFonts w:ascii="宋体" w:hAnsi="宋体" w:eastAsia="宋体"/>
          <w:b/>
          <w:bCs/>
          <w:sz w:val="21"/>
          <w:szCs w:val="21"/>
        </w:rPr>
      </w:pPr>
      <w:bookmarkStart w:id="935" w:name="_Toc455867812"/>
      <w:bookmarkStart w:id="936" w:name="_Toc3617"/>
      <w:bookmarkStart w:id="937" w:name="_Toc490667872"/>
      <w:bookmarkStart w:id="938" w:name="_Toc1820"/>
      <w:bookmarkStart w:id="939" w:name="_Toc152042356"/>
      <w:bookmarkStart w:id="940" w:name="_Toc152045579"/>
      <w:bookmarkStart w:id="941" w:name="_Toc8074"/>
      <w:bookmarkStart w:id="942" w:name="_Toc18178"/>
      <w:bookmarkStart w:id="943" w:name="_Toc32675"/>
      <w:bookmarkStart w:id="944" w:name="_Toc466298135"/>
      <w:bookmarkStart w:id="945" w:name="_Toc31010"/>
      <w:bookmarkStart w:id="946" w:name="_Toc6199"/>
      <w:bookmarkStart w:id="947" w:name="_Toc32064"/>
      <w:bookmarkStart w:id="948" w:name="_Toc25751"/>
      <w:bookmarkStart w:id="949" w:name="_Toc31609"/>
      <w:bookmarkStart w:id="950" w:name="_Toc5504"/>
      <w:bookmarkStart w:id="951" w:name="_Toc318450718"/>
      <w:bookmarkStart w:id="952" w:name="_Toc11924"/>
      <w:bookmarkStart w:id="953" w:name="_Toc3303"/>
      <w:bookmarkStart w:id="954" w:name="_Toc17735"/>
      <w:bookmarkStart w:id="955" w:name="_Toc455080152"/>
      <w:bookmarkStart w:id="956" w:name="_Toc7556"/>
      <w:r>
        <w:rPr>
          <w:rFonts w:hint="eastAsia" w:ascii="宋体" w:hAnsi="宋体" w:eastAsia="宋体"/>
          <w:b/>
          <w:bCs/>
          <w:sz w:val="21"/>
          <w:szCs w:val="21"/>
        </w:rPr>
        <w:t>9.5 投诉</w:t>
      </w:r>
      <w:bookmarkEnd w:id="933"/>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5A78B6CA">
      <w:pPr>
        <w:spacing w:line="360" w:lineRule="auto"/>
        <w:ind w:firstLine="0" w:firstLineChars="0"/>
        <w:rPr>
          <w:rFonts w:ascii="宋体" w:hAnsi="宋体" w:cs="宋体"/>
          <w:szCs w:val="21"/>
        </w:rPr>
      </w:pPr>
      <w:r>
        <w:rPr>
          <w:rFonts w:hint="eastAsia" w:ascii="宋体" w:hAnsi="宋体" w:cs="宋体"/>
          <w:szCs w:val="21"/>
        </w:rPr>
        <w:t>供应商和其他利害关系人认为本次磋商活动违反法律、法规和规章规定的，有权向有关行政监督部门投诉。</w:t>
      </w:r>
    </w:p>
    <w:p w14:paraId="2F12FFA7">
      <w:pPr>
        <w:pStyle w:val="73"/>
        <w:spacing w:line="360" w:lineRule="auto"/>
        <w:ind w:firstLine="0" w:firstLineChars="0"/>
        <w:rPr>
          <w:rFonts w:ascii="宋体" w:hAnsi="宋体" w:eastAsia="宋体"/>
          <w:b/>
          <w:bCs/>
          <w:sz w:val="21"/>
          <w:szCs w:val="21"/>
        </w:rPr>
      </w:pPr>
      <w:bookmarkStart w:id="957" w:name="_Toc455080153"/>
      <w:bookmarkStart w:id="958" w:name="_Toc14221"/>
      <w:bookmarkStart w:id="959" w:name="_Toc152045580"/>
      <w:bookmarkStart w:id="960" w:name="_Toc152042357"/>
      <w:bookmarkStart w:id="961" w:name="_Toc144974547"/>
      <w:bookmarkStart w:id="962" w:name="_Toc26468"/>
      <w:r>
        <w:rPr>
          <w:rFonts w:hint="eastAsia" w:ascii="宋体" w:hAnsi="宋体" w:eastAsia="宋体"/>
          <w:b/>
          <w:bCs/>
          <w:sz w:val="21"/>
          <w:szCs w:val="21"/>
        </w:rPr>
        <w:t>10. 需要补充的其他内容</w:t>
      </w:r>
      <w:bookmarkEnd w:id="957"/>
      <w:bookmarkEnd w:id="958"/>
      <w:bookmarkEnd w:id="959"/>
      <w:bookmarkEnd w:id="960"/>
      <w:bookmarkEnd w:id="961"/>
      <w:bookmarkEnd w:id="962"/>
    </w:p>
    <w:p w14:paraId="0A3AD717">
      <w:pPr>
        <w:ind w:firstLine="0" w:firstLineChars="0"/>
        <w:outlineLvl w:val="0"/>
        <w:rPr>
          <w:rFonts w:ascii="宋体" w:hAnsi="宋体" w:cs="宋体"/>
          <w:b/>
          <w:kern w:val="44"/>
          <w:sz w:val="28"/>
          <w:szCs w:val="28"/>
        </w:rPr>
      </w:pPr>
      <w:bookmarkStart w:id="963" w:name="_Toc455080154"/>
      <w:bookmarkStart w:id="964" w:name="_Toc455867814"/>
      <w:bookmarkStart w:id="965" w:name="_Toc466298137"/>
      <w:bookmarkStart w:id="966" w:name="_Toc152045598"/>
      <w:bookmarkStart w:id="967" w:name="_Toc152042375"/>
      <w:bookmarkStart w:id="968" w:name="_Toc144974565"/>
    </w:p>
    <w:p w14:paraId="43E1B8AA">
      <w:pPr>
        <w:ind w:firstLine="0" w:firstLineChars="0"/>
        <w:outlineLvl w:val="0"/>
        <w:rPr>
          <w:rFonts w:ascii="宋体" w:hAnsi="宋体" w:cs="宋体"/>
          <w:b/>
          <w:kern w:val="44"/>
          <w:sz w:val="32"/>
          <w:szCs w:val="32"/>
        </w:rPr>
      </w:pPr>
      <w:bookmarkStart w:id="969" w:name="_Toc6192"/>
    </w:p>
    <w:p w14:paraId="40E8FE7D">
      <w:pPr>
        <w:ind w:left="0" w:leftChars="0" w:firstLine="0" w:firstLineChars="0"/>
        <w:rPr>
          <w:rFonts w:ascii="宋体" w:hAnsi="宋体" w:cs="宋体"/>
          <w:b/>
          <w:kern w:val="44"/>
          <w:sz w:val="32"/>
          <w:szCs w:val="32"/>
        </w:rPr>
      </w:pPr>
      <w:bookmarkStart w:id="970" w:name="_Toc22014"/>
    </w:p>
    <w:p w14:paraId="64B98D85">
      <w:pPr>
        <w:rPr>
          <w:rFonts w:hint="eastAsia" w:ascii="宋体" w:hAnsi="宋体" w:cs="宋体"/>
          <w:b/>
          <w:kern w:val="44"/>
          <w:sz w:val="32"/>
          <w:szCs w:val="32"/>
        </w:rPr>
      </w:pPr>
      <w:r>
        <w:rPr>
          <w:rFonts w:hint="eastAsia" w:ascii="宋体" w:hAnsi="宋体" w:cs="宋体"/>
          <w:b/>
          <w:kern w:val="44"/>
          <w:sz w:val="32"/>
          <w:szCs w:val="32"/>
        </w:rPr>
        <w:br w:type="page"/>
      </w:r>
    </w:p>
    <w:p w14:paraId="3F10F066">
      <w:pPr>
        <w:ind w:firstLine="0" w:firstLineChars="0"/>
        <w:jc w:val="center"/>
        <w:outlineLvl w:val="0"/>
        <w:rPr>
          <w:rFonts w:ascii="宋体" w:hAnsi="宋体" w:cs="宋体"/>
          <w:bCs/>
          <w:sz w:val="32"/>
          <w:szCs w:val="32"/>
        </w:rPr>
      </w:pPr>
      <w:r>
        <w:rPr>
          <w:rFonts w:hint="eastAsia" w:ascii="宋体" w:hAnsi="宋体" w:cs="宋体"/>
          <w:b/>
          <w:kern w:val="44"/>
          <w:sz w:val="32"/>
          <w:szCs w:val="32"/>
        </w:rPr>
        <w:t>第三章  评审办法（综合评分法）</w:t>
      </w:r>
      <w:bookmarkEnd w:id="963"/>
      <w:bookmarkEnd w:id="964"/>
      <w:bookmarkEnd w:id="965"/>
      <w:bookmarkEnd w:id="969"/>
      <w:bookmarkEnd w:id="970"/>
    </w:p>
    <w:bookmarkEnd w:id="966"/>
    <w:bookmarkEnd w:id="967"/>
    <w:bookmarkEnd w:id="968"/>
    <w:p w14:paraId="5638BD0C">
      <w:pPr>
        <w:ind w:firstLine="0" w:firstLineChars="0"/>
        <w:jc w:val="center"/>
        <w:outlineLvl w:val="1"/>
        <w:rPr>
          <w:rFonts w:ascii="宋体" w:hAnsi="宋体"/>
          <w:sz w:val="24"/>
        </w:rPr>
      </w:pPr>
      <w:bookmarkStart w:id="971" w:name="_Toc466298139"/>
      <w:bookmarkStart w:id="972" w:name="_Toc455080156"/>
      <w:bookmarkStart w:id="973" w:name="_Toc455867816"/>
      <w:bookmarkStart w:id="974" w:name="_Toc25472"/>
      <w:bookmarkStart w:id="975" w:name="_Toc318450721"/>
      <w:bookmarkStart w:id="976" w:name="_Toc31647"/>
      <w:bookmarkStart w:id="977" w:name="_Toc152045599"/>
      <w:bookmarkStart w:id="978" w:name="_Toc152042376"/>
      <w:bookmarkStart w:id="979" w:name="_Toc11491"/>
      <w:bookmarkStart w:id="980" w:name="_Toc144974566"/>
      <w:bookmarkStart w:id="981" w:name="_Toc28069"/>
      <w:bookmarkStart w:id="982" w:name="_Toc27806"/>
      <w:bookmarkStart w:id="983" w:name="_Toc281405527"/>
      <w:r>
        <w:rPr>
          <w:rFonts w:hint="eastAsia" w:ascii="宋体" w:hAnsi="宋体"/>
          <w:sz w:val="24"/>
        </w:rPr>
        <w:t>评审办法前附表</w:t>
      </w:r>
      <w:bookmarkEnd w:id="971"/>
      <w:bookmarkEnd w:id="972"/>
      <w:bookmarkEnd w:id="973"/>
      <w:bookmarkEnd w:id="974"/>
      <w:bookmarkEnd w:id="975"/>
      <w:bookmarkEnd w:id="976"/>
      <w:bookmarkEnd w:id="977"/>
      <w:bookmarkEnd w:id="978"/>
      <w:bookmarkEnd w:id="979"/>
      <w:bookmarkEnd w:id="980"/>
      <w:bookmarkEnd w:id="981"/>
      <w:bookmarkEnd w:id="982"/>
      <w:bookmarkEnd w:id="983"/>
    </w:p>
    <w:tbl>
      <w:tblPr>
        <w:tblStyle w:val="34"/>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91"/>
        <w:gridCol w:w="2038"/>
        <w:gridCol w:w="6178"/>
      </w:tblGrid>
      <w:tr w14:paraId="790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8" w:type="dxa"/>
            <w:gridSpan w:val="2"/>
            <w:noWrap/>
            <w:vAlign w:val="center"/>
          </w:tcPr>
          <w:p w14:paraId="2FA46E0C">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条款号</w:t>
            </w:r>
          </w:p>
        </w:tc>
        <w:tc>
          <w:tcPr>
            <w:tcW w:w="2038" w:type="dxa"/>
            <w:noWrap/>
            <w:vAlign w:val="center"/>
          </w:tcPr>
          <w:p w14:paraId="1087E03C">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评审因素</w:t>
            </w:r>
          </w:p>
        </w:tc>
        <w:tc>
          <w:tcPr>
            <w:tcW w:w="6178" w:type="dxa"/>
            <w:noWrap/>
            <w:vAlign w:val="center"/>
          </w:tcPr>
          <w:p w14:paraId="2EEA8441">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评审标准</w:t>
            </w:r>
          </w:p>
        </w:tc>
      </w:tr>
      <w:tr w14:paraId="2249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97" w:type="dxa"/>
            <w:vMerge w:val="restart"/>
            <w:noWrap/>
            <w:vAlign w:val="center"/>
          </w:tcPr>
          <w:p w14:paraId="4C520D04">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szCs w:val="21"/>
              </w:rPr>
              <w:t>2.1.1</w:t>
            </w:r>
          </w:p>
        </w:tc>
        <w:tc>
          <w:tcPr>
            <w:tcW w:w="791" w:type="dxa"/>
            <w:vMerge w:val="restart"/>
            <w:noWrap/>
            <w:vAlign w:val="center"/>
          </w:tcPr>
          <w:p w14:paraId="097A1618">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资格评审标准</w:t>
            </w:r>
          </w:p>
        </w:tc>
        <w:tc>
          <w:tcPr>
            <w:tcW w:w="2038" w:type="dxa"/>
            <w:noWrap/>
            <w:vAlign w:val="center"/>
          </w:tcPr>
          <w:p w14:paraId="4D93D849">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符合《中华人民共和国政府采购法》第22条规定</w:t>
            </w:r>
          </w:p>
        </w:tc>
        <w:tc>
          <w:tcPr>
            <w:tcW w:w="6178" w:type="dxa"/>
            <w:noWrap/>
            <w:vAlign w:val="center"/>
          </w:tcPr>
          <w:p w14:paraId="1B26CB78">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符合第二章“供应商须知”第1.5.1项规定</w:t>
            </w:r>
          </w:p>
        </w:tc>
      </w:tr>
      <w:tr w14:paraId="65C7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7" w:type="dxa"/>
            <w:vMerge w:val="continue"/>
            <w:noWrap/>
            <w:vAlign w:val="center"/>
          </w:tcPr>
          <w:p w14:paraId="37D1EE56">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p>
        </w:tc>
        <w:tc>
          <w:tcPr>
            <w:tcW w:w="791" w:type="dxa"/>
            <w:vMerge w:val="continue"/>
            <w:noWrap/>
            <w:vAlign w:val="center"/>
          </w:tcPr>
          <w:p w14:paraId="3C0722F5">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2038" w:type="dxa"/>
            <w:noWrap/>
            <w:vAlign w:val="center"/>
          </w:tcPr>
          <w:p w14:paraId="76D826A3">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落实政府采购政策</w:t>
            </w:r>
          </w:p>
        </w:tc>
        <w:tc>
          <w:tcPr>
            <w:tcW w:w="6178" w:type="dxa"/>
            <w:noWrap/>
            <w:vAlign w:val="center"/>
          </w:tcPr>
          <w:p w14:paraId="3A53518F">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符合第二章“供应商须知”第1.5.1项规定</w:t>
            </w:r>
          </w:p>
        </w:tc>
      </w:tr>
      <w:tr w14:paraId="7B68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7" w:type="dxa"/>
            <w:vMerge w:val="continue"/>
            <w:noWrap/>
            <w:vAlign w:val="center"/>
          </w:tcPr>
          <w:p w14:paraId="2F2EF8CB">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p>
        </w:tc>
        <w:tc>
          <w:tcPr>
            <w:tcW w:w="791" w:type="dxa"/>
            <w:vMerge w:val="continue"/>
            <w:noWrap/>
            <w:vAlign w:val="center"/>
          </w:tcPr>
          <w:p w14:paraId="1B7A9720">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2038" w:type="dxa"/>
            <w:noWrap/>
            <w:vAlign w:val="center"/>
          </w:tcPr>
          <w:p w14:paraId="0BA8A487">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lang w:eastAsia="zh-CN"/>
              </w:rPr>
            </w:pPr>
            <w:r>
              <w:rPr>
                <w:rFonts w:hint="eastAsia" w:ascii="宋体" w:hAnsi="宋体" w:eastAsia="宋体" w:cs="宋体"/>
                <w:szCs w:val="21"/>
                <w:lang w:eastAsia="zh-CN"/>
              </w:rPr>
              <w:t>网页查询</w:t>
            </w:r>
          </w:p>
        </w:tc>
        <w:tc>
          <w:tcPr>
            <w:tcW w:w="6178" w:type="dxa"/>
            <w:noWrap/>
            <w:vAlign w:val="center"/>
          </w:tcPr>
          <w:p w14:paraId="0A38F37B">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符合第二章“供应商须知”第1.5.1项规定</w:t>
            </w:r>
          </w:p>
        </w:tc>
      </w:tr>
      <w:tr w14:paraId="5E19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7" w:type="dxa"/>
            <w:vMerge w:val="continue"/>
            <w:noWrap/>
            <w:vAlign w:val="center"/>
          </w:tcPr>
          <w:p w14:paraId="627A462F">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791" w:type="dxa"/>
            <w:vMerge w:val="continue"/>
            <w:noWrap/>
            <w:vAlign w:val="center"/>
          </w:tcPr>
          <w:p w14:paraId="323F96FA">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2038" w:type="dxa"/>
            <w:noWrap/>
            <w:vAlign w:val="center"/>
          </w:tcPr>
          <w:p w14:paraId="0BCC1942">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其他要求</w:t>
            </w:r>
          </w:p>
        </w:tc>
        <w:tc>
          <w:tcPr>
            <w:tcW w:w="6178" w:type="dxa"/>
            <w:noWrap/>
            <w:vAlign w:val="center"/>
          </w:tcPr>
          <w:p w14:paraId="626A7EAE">
            <w:pPr>
              <w:keepNext w:val="0"/>
              <w:keepLines w:val="0"/>
              <w:pageBreakBefore w:val="0"/>
              <w:kinsoku/>
              <w:wordWrap w:val="0"/>
              <w:overflowPunct/>
              <w:topLinePunct/>
              <w:bidi w:val="0"/>
              <w:adjustRightInd/>
              <w:snapToGrid/>
              <w:spacing w:line="400" w:lineRule="exact"/>
              <w:ind w:left="105" w:leftChars="50" w:firstLine="0" w:firstLineChars="0"/>
              <w:textAlignment w:val="auto"/>
              <w:rPr>
                <w:rFonts w:hint="eastAsia" w:ascii="宋体" w:hAnsi="宋体" w:eastAsia="宋体" w:cs="宋体"/>
                <w:szCs w:val="21"/>
              </w:rPr>
            </w:pPr>
            <w:r>
              <w:rPr>
                <w:rFonts w:hint="eastAsia" w:ascii="宋体" w:hAnsi="宋体" w:eastAsia="宋体" w:cs="宋体"/>
                <w:szCs w:val="21"/>
              </w:rPr>
              <w:t>符合第二章“供应商须知”第1.5.1项规定</w:t>
            </w:r>
          </w:p>
        </w:tc>
      </w:tr>
      <w:tr w14:paraId="782D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97" w:type="dxa"/>
            <w:vMerge w:val="restart"/>
            <w:noWrap/>
            <w:vAlign w:val="center"/>
          </w:tcPr>
          <w:p w14:paraId="34DA7DE5">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szCs w:val="21"/>
              </w:rPr>
              <w:t>2.1.2</w:t>
            </w:r>
          </w:p>
        </w:tc>
        <w:tc>
          <w:tcPr>
            <w:tcW w:w="791" w:type="dxa"/>
            <w:vMerge w:val="restart"/>
            <w:noWrap/>
            <w:vAlign w:val="center"/>
          </w:tcPr>
          <w:p w14:paraId="5022B867">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符合性评审标准</w:t>
            </w:r>
          </w:p>
        </w:tc>
        <w:tc>
          <w:tcPr>
            <w:tcW w:w="2038" w:type="dxa"/>
            <w:noWrap/>
            <w:vAlign w:val="center"/>
          </w:tcPr>
          <w:p w14:paraId="126C6732">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供应商名称</w:t>
            </w:r>
          </w:p>
        </w:tc>
        <w:tc>
          <w:tcPr>
            <w:tcW w:w="6178" w:type="dxa"/>
            <w:noWrap/>
            <w:vAlign w:val="center"/>
          </w:tcPr>
          <w:p w14:paraId="05B4FB04">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szCs w:val="21"/>
              </w:rPr>
              <w:t>与营业执照</w:t>
            </w:r>
            <w:r>
              <w:rPr>
                <w:rFonts w:hint="eastAsia" w:ascii="宋体" w:hAnsi="宋体" w:eastAsia="宋体" w:cs="宋体"/>
                <w:kern w:val="0"/>
                <w:szCs w:val="21"/>
              </w:rPr>
              <w:t>或事业单位法人证书</w:t>
            </w:r>
            <w:r>
              <w:rPr>
                <w:rFonts w:hint="eastAsia" w:ascii="宋体" w:hAnsi="宋体" w:eastAsia="宋体" w:cs="宋体"/>
                <w:szCs w:val="21"/>
              </w:rPr>
              <w:t>一致</w:t>
            </w:r>
          </w:p>
        </w:tc>
      </w:tr>
      <w:tr w14:paraId="6E88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97" w:type="dxa"/>
            <w:vMerge w:val="continue"/>
            <w:noWrap/>
            <w:vAlign w:val="center"/>
          </w:tcPr>
          <w:p w14:paraId="500963EE">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791" w:type="dxa"/>
            <w:vMerge w:val="continue"/>
            <w:noWrap/>
            <w:vAlign w:val="center"/>
          </w:tcPr>
          <w:p w14:paraId="63C5671B">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2038" w:type="dxa"/>
            <w:noWrap/>
            <w:vAlign w:val="center"/>
          </w:tcPr>
          <w:p w14:paraId="31FFF128">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响应函签字盖章</w:t>
            </w:r>
          </w:p>
        </w:tc>
        <w:tc>
          <w:tcPr>
            <w:tcW w:w="6178" w:type="dxa"/>
            <w:noWrap/>
            <w:vAlign w:val="center"/>
          </w:tcPr>
          <w:p w14:paraId="75974C79">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spacing w:val="-6"/>
                <w:szCs w:val="21"/>
              </w:rPr>
              <w:t>符合第六章“竞争性磋商响应文件格式”响应函签字盖章的要求</w:t>
            </w:r>
          </w:p>
        </w:tc>
      </w:tr>
      <w:tr w14:paraId="5E4F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97" w:type="dxa"/>
            <w:vMerge w:val="continue"/>
            <w:noWrap/>
            <w:vAlign w:val="center"/>
          </w:tcPr>
          <w:p w14:paraId="7F2E3E22">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791" w:type="dxa"/>
            <w:vMerge w:val="continue"/>
            <w:noWrap/>
            <w:vAlign w:val="center"/>
          </w:tcPr>
          <w:p w14:paraId="5FE0C98F">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2038" w:type="dxa"/>
            <w:noWrap/>
            <w:vAlign w:val="center"/>
          </w:tcPr>
          <w:p w14:paraId="501DA0FE">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投标内容</w:t>
            </w:r>
          </w:p>
        </w:tc>
        <w:tc>
          <w:tcPr>
            <w:tcW w:w="6178" w:type="dxa"/>
            <w:noWrap/>
            <w:vAlign w:val="center"/>
          </w:tcPr>
          <w:p w14:paraId="395D8757">
            <w:pPr>
              <w:keepNext w:val="0"/>
              <w:keepLines w:val="0"/>
              <w:pageBreakBefore w:val="0"/>
              <w:kinsoku/>
              <w:overflowPunct/>
              <w:bidi w:val="0"/>
              <w:adjustRightInd/>
              <w:snapToGrid/>
              <w:spacing w:line="400" w:lineRule="exact"/>
              <w:ind w:firstLine="0" w:firstLineChars="0"/>
              <w:textAlignment w:val="auto"/>
              <w:rPr>
                <w:rFonts w:hint="default" w:ascii="宋体" w:hAnsi="宋体" w:eastAsia="宋体" w:cs="宋体"/>
                <w:spacing w:val="-6"/>
                <w:szCs w:val="21"/>
                <w:lang w:val="en-US" w:eastAsia="zh-CN"/>
              </w:rPr>
            </w:pPr>
            <w:r>
              <w:rPr>
                <w:rFonts w:hint="eastAsia" w:ascii="宋体" w:hAnsi="宋体" w:eastAsia="宋体" w:cs="宋体"/>
                <w:spacing w:val="-6"/>
                <w:szCs w:val="21"/>
              </w:rPr>
              <w:t>符合第</w:t>
            </w:r>
            <w:r>
              <w:rPr>
                <w:rFonts w:hint="eastAsia" w:ascii="宋体" w:hAnsi="宋体" w:eastAsia="宋体" w:cs="宋体"/>
                <w:spacing w:val="-6"/>
                <w:szCs w:val="21"/>
                <w:lang w:val="en-US" w:eastAsia="zh-CN"/>
              </w:rPr>
              <w:t>五</w:t>
            </w:r>
            <w:r>
              <w:rPr>
                <w:rFonts w:hint="eastAsia" w:ascii="宋体" w:hAnsi="宋体" w:eastAsia="宋体" w:cs="宋体"/>
                <w:spacing w:val="-6"/>
                <w:szCs w:val="21"/>
              </w:rPr>
              <w:t>章</w:t>
            </w:r>
            <w:r>
              <w:rPr>
                <w:rFonts w:hint="eastAsia" w:ascii="宋体" w:hAnsi="宋体" w:eastAsia="宋体" w:cs="宋体"/>
                <w:spacing w:val="-6"/>
                <w:szCs w:val="21"/>
                <w:lang w:eastAsia="zh-CN"/>
              </w:rPr>
              <w:t>“</w:t>
            </w:r>
            <w:r>
              <w:rPr>
                <w:rFonts w:hint="eastAsia" w:ascii="宋体" w:hAnsi="宋体" w:eastAsia="宋体" w:cs="宋体"/>
                <w:spacing w:val="-6"/>
                <w:szCs w:val="21"/>
              </w:rPr>
              <w:t>采购</w:t>
            </w:r>
            <w:r>
              <w:rPr>
                <w:rFonts w:hint="eastAsia" w:ascii="宋体" w:hAnsi="宋体" w:eastAsia="宋体" w:cs="宋体"/>
                <w:spacing w:val="-6"/>
                <w:szCs w:val="21"/>
                <w:lang w:val="en-US" w:eastAsia="zh-CN"/>
              </w:rPr>
              <w:t>内容与</w:t>
            </w:r>
            <w:r>
              <w:rPr>
                <w:rFonts w:hint="eastAsia" w:ascii="宋体" w:hAnsi="宋体" w:eastAsia="宋体" w:cs="宋体"/>
                <w:spacing w:val="-6"/>
                <w:szCs w:val="21"/>
              </w:rPr>
              <w:t>要求</w:t>
            </w:r>
            <w:r>
              <w:rPr>
                <w:rFonts w:hint="eastAsia" w:ascii="宋体" w:hAnsi="宋体" w:eastAsia="宋体" w:cs="宋体"/>
                <w:spacing w:val="-6"/>
                <w:szCs w:val="21"/>
                <w:lang w:eastAsia="zh-CN"/>
              </w:rPr>
              <w:t>”</w:t>
            </w:r>
            <w:r>
              <w:rPr>
                <w:rFonts w:hint="eastAsia" w:ascii="宋体" w:hAnsi="宋体" w:eastAsia="宋体" w:cs="宋体"/>
                <w:spacing w:val="-6"/>
                <w:szCs w:val="21"/>
                <w:lang w:val="en-US" w:eastAsia="zh-CN"/>
              </w:rPr>
              <w:t>全部内容</w:t>
            </w:r>
          </w:p>
        </w:tc>
      </w:tr>
      <w:tr w14:paraId="680F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7" w:type="dxa"/>
            <w:vMerge w:val="continue"/>
            <w:noWrap/>
            <w:vAlign w:val="center"/>
          </w:tcPr>
          <w:p w14:paraId="3DFED997">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791" w:type="dxa"/>
            <w:vMerge w:val="continue"/>
            <w:noWrap/>
            <w:vAlign w:val="center"/>
          </w:tcPr>
          <w:p w14:paraId="5C960B0D">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2038" w:type="dxa"/>
            <w:noWrap/>
            <w:vAlign w:val="center"/>
          </w:tcPr>
          <w:p w14:paraId="33DF5BE7">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响应文件格式</w:t>
            </w:r>
          </w:p>
        </w:tc>
        <w:tc>
          <w:tcPr>
            <w:tcW w:w="6178" w:type="dxa"/>
            <w:noWrap/>
            <w:vAlign w:val="center"/>
          </w:tcPr>
          <w:p w14:paraId="5F402853">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szCs w:val="21"/>
              </w:rPr>
              <w:t>符合第六章“竞争性磋商响应文件格式”的要求</w:t>
            </w:r>
          </w:p>
        </w:tc>
      </w:tr>
      <w:tr w14:paraId="0B0D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97" w:type="dxa"/>
            <w:vMerge w:val="continue"/>
            <w:noWrap/>
            <w:vAlign w:val="center"/>
          </w:tcPr>
          <w:p w14:paraId="212749C4">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791" w:type="dxa"/>
            <w:vMerge w:val="continue"/>
            <w:noWrap/>
            <w:vAlign w:val="center"/>
          </w:tcPr>
          <w:p w14:paraId="106FBD44">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2038" w:type="dxa"/>
            <w:noWrap/>
            <w:vAlign w:val="center"/>
          </w:tcPr>
          <w:p w14:paraId="06051F7B">
            <w:pPr>
              <w:keepNext w:val="0"/>
              <w:keepLines w:val="0"/>
              <w:pageBreakBefore w:val="0"/>
              <w:kinsoku/>
              <w:overflowPunct/>
              <w:bidi w:val="0"/>
              <w:adjustRightInd/>
              <w:snapToGrid/>
              <w:spacing w:line="400" w:lineRule="exact"/>
              <w:ind w:firstLine="0" w:firstLineChars="0"/>
              <w:jc w:val="center"/>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服务期限</w:t>
            </w:r>
          </w:p>
        </w:tc>
        <w:tc>
          <w:tcPr>
            <w:tcW w:w="6178" w:type="dxa"/>
            <w:noWrap/>
            <w:vAlign w:val="center"/>
          </w:tcPr>
          <w:p w14:paraId="6F8AF99E">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highlight w:val="none"/>
              </w:rPr>
            </w:pPr>
            <w:r>
              <w:rPr>
                <w:rFonts w:hint="eastAsia" w:ascii="宋体" w:hAnsi="宋体" w:eastAsia="宋体" w:cs="宋体"/>
                <w:szCs w:val="21"/>
                <w:highlight w:val="none"/>
              </w:rPr>
              <w:t>符合第二章“供应商须知”第1.4.2项规定</w:t>
            </w:r>
          </w:p>
        </w:tc>
      </w:tr>
      <w:tr w14:paraId="100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7" w:type="dxa"/>
            <w:vMerge w:val="continue"/>
            <w:noWrap/>
            <w:vAlign w:val="center"/>
          </w:tcPr>
          <w:p w14:paraId="57C11343">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791" w:type="dxa"/>
            <w:vMerge w:val="continue"/>
            <w:noWrap/>
            <w:vAlign w:val="center"/>
          </w:tcPr>
          <w:p w14:paraId="03EC8F44">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2038" w:type="dxa"/>
            <w:noWrap/>
            <w:vAlign w:val="center"/>
          </w:tcPr>
          <w:p w14:paraId="192F7106">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质量要求</w:t>
            </w:r>
          </w:p>
        </w:tc>
        <w:tc>
          <w:tcPr>
            <w:tcW w:w="6178" w:type="dxa"/>
            <w:noWrap/>
            <w:vAlign w:val="center"/>
          </w:tcPr>
          <w:p w14:paraId="252E1D80">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szCs w:val="21"/>
              </w:rPr>
              <w:t>符合第二章“供应商须知”第1.4.4项规定</w:t>
            </w:r>
          </w:p>
        </w:tc>
      </w:tr>
      <w:tr w14:paraId="1F82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Merge w:val="continue"/>
            <w:noWrap/>
            <w:vAlign w:val="center"/>
          </w:tcPr>
          <w:p w14:paraId="5081DBF4">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791" w:type="dxa"/>
            <w:vMerge w:val="continue"/>
            <w:noWrap/>
            <w:vAlign w:val="center"/>
          </w:tcPr>
          <w:p w14:paraId="5C6E1753">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2038" w:type="dxa"/>
            <w:noWrap/>
            <w:vAlign w:val="center"/>
          </w:tcPr>
          <w:p w14:paraId="08ECAFA5">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磋商有效期</w:t>
            </w:r>
          </w:p>
        </w:tc>
        <w:tc>
          <w:tcPr>
            <w:tcW w:w="6178" w:type="dxa"/>
            <w:noWrap/>
            <w:vAlign w:val="center"/>
          </w:tcPr>
          <w:p w14:paraId="15B90484">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szCs w:val="21"/>
              </w:rPr>
              <w:t>符合第二章“供应商须知”第3.3.1项规定</w:t>
            </w:r>
          </w:p>
        </w:tc>
      </w:tr>
      <w:tr w14:paraId="330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7" w:type="dxa"/>
            <w:vMerge w:val="continue"/>
            <w:noWrap/>
            <w:vAlign w:val="center"/>
          </w:tcPr>
          <w:p w14:paraId="4DAD2E66">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791" w:type="dxa"/>
            <w:vMerge w:val="continue"/>
            <w:noWrap/>
            <w:vAlign w:val="center"/>
          </w:tcPr>
          <w:p w14:paraId="70693EB1">
            <w:pPr>
              <w:keepNext w:val="0"/>
              <w:keepLines w:val="0"/>
              <w:pageBreakBefore w:val="0"/>
              <w:widowControl/>
              <w:kinsoku/>
              <w:overflowPunct/>
              <w:bidi w:val="0"/>
              <w:adjustRightInd/>
              <w:snapToGrid/>
              <w:spacing w:line="400" w:lineRule="exact"/>
              <w:ind w:firstLine="0" w:firstLineChars="0"/>
              <w:jc w:val="left"/>
              <w:textAlignment w:val="auto"/>
              <w:rPr>
                <w:rFonts w:ascii="宋体" w:hAnsi="宋体" w:eastAsia="宋体" w:cs="宋体"/>
                <w:szCs w:val="21"/>
              </w:rPr>
            </w:pPr>
          </w:p>
        </w:tc>
        <w:tc>
          <w:tcPr>
            <w:tcW w:w="2038" w:type="dxa"/>
            <w:noWrap/>
            <w:vAlign w:val="center"/>
          </w:tcPr>
          <w:p w14:paraId="3FB44BA5">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磋商报价</w:t>
            </w:r>
          </w:p>
        </w:tc>
        <w:tc>
          <w:tcPr>
            <w:tcW w:w="6178" w:type="dxa"/>
            <w:noWrap/>
            <w:vAlign w:val="center"/>
          </w:tcPr>
          <w:p w14:paraId="62B633BC">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szCs w:val="21"/>
              </w:rPr>
              <w:t>报价不超过预算价（最高限价）</w:t>
            </w:r>
          </w:p>
        </w:tc>
      </w:tr>
      <w:tr w14:paraId="0A75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588" w:type="dxa"/>
            <w:gridSpan w:val="2"/>
            <w:noWrap/>
            <w:vAlign w:val="center"/>
          </w:tcPr>
          <w:p w14:paraId="11E27A40">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bookmarkStart w:id="984" w:name="_Toc31578"/>
            <w:bookmarkStart w:id="985" w:name="_Toc281405528"/>
            <w:bookmarkStart w:id="986" w:name="_Toc152042377"/>
            <w:bookmarkStart w:id="987" w:name="_Toc152045600"/>
            <w:bookmarkStart w:id="988" w:name="_Toc318450722"/>
            <w:bookmarkStart w:id="989" w:name="_Toc144974567"/>
            <w:r>
              <w:rPr>
                <w:rFonts w:hint="eastAsia" w:ascii="宋体" w:hAnsi="宋体" w:eastAsia="宋体" w:cs="宋体"/>
                <w:szCs w:val="21"/>
              </w:rPr>
              <w:t>2.2</w:t>
            </w:r>
          </w:p>
        </w:tc>
        <w:tc>
          <w:tcPr>
            <w:tcW w:w="2038" w:type="dxa"/>
            <w:noWrap/>
            <w:vAlign w:val="center"/>
          </w:tcPr>
          <w:p w14:paraId="7D30FC65">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rPr>
            </w:pPr>
            <w:r>
              <w:rPr>
                <w:rFonts w:hint="eastAsia" w:ascii="宋体" w:hAnsi="宋体" w:eastAsia="宋体" w:cs="宋体"/>
                <w:szCs w:val="21"/>
              </w:rPr>
              <w:t>分值构成</w:t>
            </w:r>
          </w:p>
          <w:p w14:paraId="7751627F">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（100分）</w:t>
            </w:r>
          </w:p>
        </w:tc>
        <w:tc>
          <w:tcPr>
            <w:tcW w:w="6178" w:type="dxa"/>
            <w:noWrap/>
            <w:vAlign w:val="center"/>
          </w:tcPr>
          <w:p w14:paraId="05E33581">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color w:val="auto"/>
                <w:szCs w:val="21"/>
                <w:highlight w:val="none"/>
              </w:rPr>
            </w:pPr>
            <w:r>
              <w:rPr>
                <w:rFonts w:hint="eastAsia" w:ascii="宋体" w:hAnsi="宋体" w:eastAsia="宋体" w:cs="宋体"/>
                <w:szCs w:val="21"/>
                <w:highlight w:val="none"/>
              </w:rPr>
              <w:t>商务部</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分 </w:t>
            </w:r>
          </w:p>
          <w:p w14:paraId="494B7896">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 xml:space="preserve">分 </w:t>
            </w:r>
          </w:p>
          <w:p w14:paraId="56502DDF">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rPr>
            </w:pPr>
            <w:r>
              <w:rPr>
                <w:rFonts w:hint="eastAsia" w:ascii="宋体" w:hAnsi="宋体" w:eastAsia="宋体" w:cs="宋体"/>
                <w:color w:val="auto"/>
                <w:szCs w:val="21"/>
                <w:highlight w:val="none"/>
              </w:rPr>
              <w:t>综合部分：</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分</w:t>
            </w:r>
          </w:p>
        </w:tc>
      </w:tr>
      <w:tr w14:paraId="1C1B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4" w:type="dxa"/>
            <w:gridSpan w:val="4"/>
            <w:noWrap/>
            <w:vAlign w:val="center"/>
          </w:tcPr>
          <w:p w14:paraId="49EF5593">
            <w:pPr>
              <w:keepNext/>
              <w:keepLines/>
              <w:widowControl w:val="0"/>
              <w:bidi w:val="0"/>
              <w:spacing w:line="460" w:lineRule="exact"/>
              <w:jc w:val="center"/>
              <w:outlineLvl w:val="1"/>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ab/>
            </w:r>
            <w:bookmarkStart w:id="990" w:name="_Toc16926"/>
            <w:bookmarkStart w:id="991" w:name="_Toc17240"/>
            <w:bookmarkStart w:id="992" w:name="_Toc363053527"/>
            <w:bookmarkStart w:id="993" w:name="_Toc11015"/>
            <w:bookmarkStart w:id="994" w:name="_Toc381018332"/>
            <w:bookmarkStart w:id="995" w:name="_Toc374358911"/>
            <w:r>
              <w:rPr>
                <w:rFonts w:hint="eastAsia" w:ascii="仿宋" w:hAnsi="仿宋" w:eastAsia="仿宋" w:cs="仿宋"/>
                <w:b/>
                <w:kern w:val="2"/>
                <w:sz w:val="30"/>
                <w:szCs w:val="30"/>
                <w:lang w:val="en-US" w:eastAsia="zh-CN" w:bidi="ar-SA"/>
              </w:rPr>
              <w:t>详细评审</w:t>
            </w:r>
            <w:bookmarkEnd w:id="990"/>
            <w:r>
              <w:rPr>
                <w:rFonts w:hint="eastAsia" w:ascii="仿宋" w:hAnsi="仿宋" w:eastAsia="仿宋" w:cs="仿宋"/>
                <w:b/>
                <w:kern w:val="2"/>
                <w:sz w:val="30"/>
                <w:szCs w:val="30"/>
                <w:lang w:val="en-US" w:eastAsia="zh-CN" w:bidi="ar-SA"/>
              </w:rPr>
              <w:t>标准</w:t>
            </w:r>
            <w:bookmarkEnd w:id="991"/>
            <w:bookmarkEnd w:id="992"/>
            <w:bookmarkEnd w:id="993"/>
            <w:bookmarkEnd w:id="994"/>
            <w:bookmarkEnd w:id="995"/>
          </w:p>
        </w:tc>
      </w:tr>
      <w:tr w14:paraId="530E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588" w:type="dxa"/>
            <w:gridSpan w:val="2"/>
            <w:noWrap/>
            <w:vAlign w:val="center"/>
          </w:tcPr>
          <w:p w14:paraId="6201997B">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条款号</w:t>
            </w:r>
          </w:p>
        </w:tc>
        <w:tc>
          <w:tcPr>
            <w:tcW w:w="2038" w:type="dxa"/>
            <w:noWrap/>
            <w:vAlign w:val="center"/>
          </w:tcPr>
          <w:p w14:paraId="193C4E56">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评分因素</w:t>
            </w:r>
          </w:p>
        </w:tc>
        <w:tc>
          <w:tcPr>
            <w:tcW w:w="6178" w:type="dxa"/>
            <w:noWrap/>
            <w:vAlign w:val="center"/>
          </w:tcPr>
          <w:p w14:paraId="20A93ED7">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评分标准</w:t>
            </w:r>
          </w:p>
        </w:tc>
      </w:tr>
      <w:tr w14:paraId="34E3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7" w:type="dxa"/>
            <w:noWrap/>
            <w:vAlign w:val="center"/>
          </w:tcPr>
          <w:p w14:paraId="0A9AB05E">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highlight w:val="none"/>
              </w:rPr>
            </w:pPr>
            <w:r>
              <w:rPr>
                <w:rFonts w:hint="eastAsia" w:ascii="宋体" w:hAnsi="宋体" w:eastAsia="宋体" w:cs="宋体"/>
                <w:szCs w:val="21"/>
                <w:highlight w:val="none"/>
              </w:rPr>
              <w:t>2.2（1）</w:t>
            </w:r>
          </w:p>
        </w:tc>
        <w:tc>
          <w:tcPr>
            <w:tcW w:w="791" w:type="dxa"/>
            <w:noWrap/>
            <w:vAlign w:val="center"/>
          </w:tcPr>
          <w:p w14:paraId="568D5F36">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highlight w:val="none"/>
              </w:rPr>
            </w:pPr>
            <w:r>
              <w:rPr>
                <w:rFonts w:hint="eastAsia" w:ascii="宋体" w:hAnsi="宋体" w:eastAsia="宋体" w:cs="宋体"/>
                <w:szCs w:val="21"/>
                <w:highlight w:val="none"/>
              </w:rPr>
              <w:t>商务标</w:t>
            </w:r>
          </w:p>
          <w:p w14:paraId="1738937D">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tc>
        <w:tc>
          <w:tcPr>
            <w:tcW w:w="2038" w:type="dxa"/>
            <w:noWrap/>
            <w:vAlign w:val="center"/>
          </w:tcPr>
          <w:p w14:paraId="3BEA7DD6">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highlight w:val="none"/>
              </w:rPr>
            </w:pPr>
          </w:p>
          <w:p w14:paraId="2E14C16E">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highlight w:val="none"/>
              </w:rPr>
            </w:pPr>
            <w:r>
              <w:rPr>
                <w:rFonts w:hint="eastAsia" w:ascii="宋体" w:hAnsi="宋体" w:eastAsia="宋体" w:cs="宋体"/>
                <w:szCs w:val="21"/>
                <w:highlight w:val="none"/>
              </w:rPr>
              <w:t>磋商最终报价得分</w:t>
            </w:r>
          </w:p>
          <w:p w14:paraId="508C7760">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p w14:paraId="5220D066">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highlight w:val="none"/>
              </w:rPr>
            </w:pPr>
          </w:p>
        </w:tc>
        <w:tc>
          <w:tcPr>
            <w:tcW w:w="6178" w:type="dxa"/>
            <w:noWrap/>
            <w:vAlign w:val="center"/>
          </w:tcPr>
          <w:p w14:paraId="7529729F">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价格分统一采用低价优先法计算，即满足招标文件要求且投标价格最低的投标报价为评标基准价，其价格分满分30分。其他供应商的价格分统一按照下列公式计算：</w:t>
            </w:r>
          </w:p>
          <w:p w14:paraId="51DC8CE0">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投标报价得分=（评标基准价/投标报价）×30</w:t>
            </w:r>
          </w:p>
          <w:p w14:paraId="22A12963">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注：1.价格分计算保留小数点后二位；</w:t>
            </w:r>
          </w:p>
          <w:p w14:paraId="27C2D8CF">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2.根据《关于推动解决政府采购异常低价问题的通知》，采购评审中出现下列情形之一的，评审委员会应当启动异常低价投标（响应）审查程序：</w:t>
            </w:r>
          </w:p>
          <w:p w14:paraId="0B436A22">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（1）投标（响应）报价低于全部通过符合性审查供应商投标（响应）报价平均值65%的，即投标（响应）报价&lt;全部通过符合性审查供应商投标（响应）报价平均值×65%；</w:t>
            </w:r>
          </w:p>
          <w:p w14:paraId="706D655B">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（2）投标（响应）报价低于通过符合性审查的次低报价供应商投标（响应）报价65%的，即投标（响应）报价&lt;通过符合性审查的次低报价供应商投标（响应）报价×65%；</w:t>
            </w:r>
          </w:p>
          <w:p w14:paraId="275F8BBF">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（3）投标（响应）报价低于采购项目最高限价65%的，即投标（响应）报价&lt;采购项目最高限价×65%；</w:t>
            </w:r>
          </w:p>
          <w:p w14:paraId="11652BAB">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（4）评审委员会基于专业判断，认为供应商报价过低，有可能影响产品质量或者不能诚信履约的其他情形。</w:t>
            </w:r>
          </w:p>
          <w:p w14:paraId="7632DACC">
            <w:pPr>
              <w:pStyle w:val="32"/>
              <w:keepNext w:val="0"/>
              <w:keepLines w:val="0"/>
              <w:pageBreakBefore w:val="0"/>
              <w:kinsoku/>
              <w:overflowPunct/>
              <w:bidi w:val="0"/>
              <w:adjustRightInd/>
              <w:snapToGrid/>
              <w:spacing w:line="400" w:lineRule="exact"/>
              <w:ind w:left="0" w:leftChars="0" w:firstLine="0" w:firstLineChars="0"/>
              <w:textAlignment w:val="auto"/>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E1DFBE">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default" w:ascii="宋体" w:hAnsi="宋体" w:eastAsia="宋体" w:cs="宋体"/>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szCs w:val="21"/>
                <w:highlight w:val="none"/>
                <w:lang w:val="en-US" w:eastAsia="zh-CN"/>
              </w:rPr>
              <w:t>。</w:t>
            </w:r>
          </w:p>
          <w:p w14:paraId="72EBA304">
            <w:pPr>
              <w:pStyle w:val="32"/>
              <w:keepNext w:val="0"/>
              <w:keepLines w:val="0"/>
              <w:pageBreakBefore w:val="0"/>
              <w:kinsoku/>
              <w:overflowPunct/>
              <w:bidi w:val="0"/>
              <w:adjustRightInd/>
              <w:snapToGrid/>
              <w:spacing w:line="400" w:lineRule="exact"/>
              <w:ind w:left="0" w:leftChars="0" w:firstLine="0" w:firstLineChars="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3.本项目专门面向中小微企业采购。</w:t>
            </w:r>
          </w:p>
          <w:p w14:paraId="0A56496D">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（1）中小企业的认定标准按《中小企业划型标准规定》工信部联企业〔2011〕300号文件执行，供应商应提供《中小企业声明函》。</w:t>
            </w:r>
          </w:p>
          <w:p w14:paraId="5D1550FE">
            <w:pPr>
              <w:pStyle w:val="32"/>
              <w:keepNext w:val="0"/>
              <w:keepLines w:val="0"/>
              <w:pageBreakBefore w:val="0"/>
              <w:kinsoku/>
              <w:overflowPunct/>
              <w:bidi w:val="0"/>
              <w:adjustRightInd/>
              <w:snapToGrid/>
              <w:spacing w:line="40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（2）根据《关于促进残疾人就业政府采购政策的通知》（财库〔2017〕141 号）文件的有关规定，残疾人福利性单位视同小型、微型企业。符合条件的残疾人福利性单位应当提供本通知规定的《残疾人福利性单位声明函》，并对声明的真实性负责。</w:t>
            </w:r>
          </w:p>
          <w:p w14:paraId="6A2B2669">
            <w:pPr>
              <w:pStyle w:val="32"/>
              <w:keepNext w:val="0"/>
              <w:keepLines w:val="0"/>
              <w:pageBreakBefore w:val="0"/>
              <w:kinsoku/>
              <w:overflowPunct/>
              <w:bidi w:val="0"/>
              <w:adjustRightInd/>
              <w:snapToGrid/>
              <w:spacing w:line="400" w:lineRule="exact"/>
              <w:ind w:left="0" w:leftChars="0" w:firstLine="0" w:firstLineChars="0"/>
              <w:textAlignment w:val="auto"/>
            </w:pPr>
            <w:r>
              <w:rPr>
                <w:rFonts w:hint="eastAsia" w:ascii="宋体" w:hAnsi="宋体" w:eastAsia="宋体" w:cs="宋体"/>
                <w:szCs w:val="21"/>
                <w:highlight w:val="none"/>
                <w:lang w:val="en-US" w:eastAsia="zh-CN"/>
              </w:rPr>
              <w:t>（3）监狱企业视同小型、微型企业，需提供省级及以上监狱管理局、戒毒管理局（含新疆生产建设兵团）出具的属于监狱企业的证明文件，否则不予认可。</w:t>
            </w:r>
          </w:p>
        </w:tc>
      </w:tr>
      <w:tr w14:paraId="6BD0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7" w:type="dxa"/>
            <w:vMerge w:val="restart"/>
            <w:noWrap/>
            <w:vAlign w:val="center"/>
          </w:tcPr>
          <w:p w14:paraId="407F2CC3">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r>
              <w:rPr>
                <w:rFonts w:hint="eastAsia" w:ascii="宋体" w:hAnsi="宋体" w:eastAsia="宋体" w:cs="宋体"/>
                <w:szCs w:val="21"/>
              </w:rPr>
              <w:t>2.2（2）</w:t>
            </w:r>
          </w:p>
        </w:tc>
        <w:tc>
          <w:tcPr>
            <w:tcW w:w="791" w:type="dxa"/>
            <w:vMerge w:val="restart"/>
            <w:noWrap/>
            <w:vAlign w:val="center"/>
          </w:tcPr>
          <w:p w14:paraId="0C078036">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技术标</w:t>
            </w:r>
          </w:p>
          <w:p w14:paraId="7DDC1D77">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color w:val="auto"/>
                <w:szCs w:val="21"/>
                <w:highlight w:val="yellow"/>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45</w:t>
            </w:r>
            <w:r>
              <w:rPr>
                <w:rFonts w:hint="eastAsia" w:ascii="宋体" w:hAnsi="宋体" w:eastAsia="宋体" w:cs="宋体"/>
                <w:bCs/>
                <w:color w:val="auto"/>
                <w:szCs w:val="21"/>
                <w:highlight w:val="none"/>
              </w:rPr>
              <w:t>分）</w:t>
            </w:r>
          </w:p>
        </w:tc>
        <w:tc>
          <w:tcPr>
            <w:tcW w:w="2038" w:type="dxa"/>
            <w:noWrap/>
            <w:vAlign w:val="center"/>
          </w:tcPr>
          <w:p w14:paraId="6EC3A591">
            <w:pPr>
              <w:keepNext w:val="0"/>
              <w:keepLines w:val="0"/>
              <w:pageBreakBefore w:val="0"/>
              <w:kinsoku/>
              <w:overflowPunct/>
              <w:bidi w:val="0"/>
              <w:adjustRightInd/>
              <w:snapToGrid/>
              <w:spacing w:line="400" w:lineRule="exact"/>
              <w:ind w:firstLine="0" w:firstLineChars="0"/>
              <w:jc w:val="center"/>
              <w:textAlignment w:val="auto"/>
              <w:rPr>
                <w:rFonts w:hint="eastAsia"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项目实施方案</w:t>
            </w:r>
          </w:p>
          <w:p w14:paraId="2BC5F9D8">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lang w:val="en-US" w:eastAsia="zh-CN"/>
              </w:rPr>
            </w:pPr>
            <w:r>
              <w:rPr>
                <w:rFonts w:hint="eastAsia"/>
                <w:color w:val="auto"/>
                <w:highlight w:val="none"/>
              </w:rPr>
              <w:t>（</w:t>
            </w:r>
            <w:r>
              <w:rPr>
                <w:rFonts w:hint="eastAsia"/>
                <w:color w:val="auto"/>
                <w:highlight w:val="none"/>
                <w:lang w:val="en-US" w:eastAsia="zh-CN"/>
              </w:rPr>
              <w:t>10</w:t>
            </w:r>
            <w:r>
              <w:rPr>
                <w:rFonts w:hint="eastAsia"/>
                <w:color w:val="auto"/>
                <w:highlight w:val="none"/>
              </w:rPr>
              <w:t>分）</w:t>
            </w:r>
          </w:p>
        </w:tc>
        <w:tc>
          <w:tcPr>
            <w:tcW w:w="6178" w:type="dxa"/>
            <w:noWrap/>
            <w:vAlign w:val="center"/>
          </w:tcPr>
          <w:p w14:paraId="49E43D0F">
            <w:pPr>
              <w:keepNext w:val="0"/>
              <w:keepLines w:val="0"/>
              <w:pageBreakBefore w:val="0"/>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根据磋商文件中采购人需求的服务内容及要求，制定服务开展的具体方案，对本项目理解和把握，结合自身的条件和潜力，有利于提高服务质量等方面，根据方案情况进行综合比较。主要包括：</w:t>
            </w:r>
          </w:p>
          <w:p w14:paraId="547BC104">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asciiTheme="minorHAnsi" w:hAnsiTheme="minorHAnsi" w:eastAsiaTheme="minorEastAsia" w:cstheme="minorBidi"/>
                <w:color w:val="auto"/>
                <w:kern w:val="2"/>
                <w:sz w:val="21"/>
                <w:szCs w:val="22"/>
                <w:lang w:val="en-US" w:eastAsia="zh-CN" w:bidi="ar-SA"/>
              </w:rPr>
              <w:t>（1）</w:t>
            </w:r>
            <w:r>
              <w:rPr>
                <w:rFonts w:hint="eastAsia"/>
                <w:color w:val="auto"/>
                <w:highlight w:val="none"/>
                <w:lang w:val="en-US" w:eastAsia="zh-CN"/>
              </w:rPr>
              <w:t>内容全面、工作依据充分、操作性好得2分；</w:t>
            </w:r>
          </w:p>
          <w:p w14:paraId="31229559">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内容较全面、工作依据较充分、操作性良好得1分；</w:t>
            </w:r>
          </w:p>
          <w:p w14:paraId="55A358FD">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内容不够全面、工作依据不够充分、操作性一般：0.5分；</w:t>
            </w:r>
          </w:p>
          <w:p w14:paraId="544EDC00">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asciiTheme="minorHAnsi" w:hAnsiTheme="minorHAnsi" w:eastAsiaTheme="minorEastAsia" w:cstheme="minorBidi"/>
                <w:color w:val="auto"/>
                <w:kern w:val="2"/>
                <w:sz w:val="21"/>
                <w:szCs w:val="22"/>
                <w:lang w:val="en-US" w:eastAsia="zh-CN" w:bidi="ar-SA"/>
              </w:rPr>
              <w:t>（2）</w:t>
            </w:r>
            <w:r>
              <w:rPr>
                <w:rFonts w:hint="eastAsia"/>
                <w:color w:val="auto"/>
                <w:highlight w:val="none"/>
                <w:lang w:val="en-US" w:eastAsia="zh-CN"/>
              </w:rPr>
              <w:t>针对本项目具体服务内容服务事项分析全面2分；</w:t>
            </w:r>
          </w:p>
          <w:p w14:paraId="6030DB6E">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针对本项目具体服务内容服务事项分析较全面1分；</w:t>
            </w:r>
          </w:p>
          <w:p w14:paraId="41211A51">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lang w:val="en-US" w:eastAsia="zh-CN"/>
              </w:rPr>
            </w:pPr>
            <w:r>
              <w:rPr>
                <w:rFonts w:hint="eastAsia"/>
                <w:color w:val="auto"/>
                <w:highlight w:val="none"/>
                <w:lang w:val="en-US" w:eastAsia="zh-CN"/>
              </w:rPr>
              <w:t>针对本项目具体服务内容服务事项分析不够全面0.5分；</w:t>
            </w:r>
          </w:p>
          <w:p w14:paraId="72F0EF92">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asciiTheme="minorHAnsi" w:hAnsiTheme="minorHAnsi" w:eastAsiaTheme="minorEastAsia" w:cstheme="minorBidi"/>
                <w:color w:val="auto"/>
                <w:kern w:val="2"/>
                <w:sz w:val="21"/>
                <w:szCs w:val="22"/>
                <w:lang w:val="en-US" w:eastAsia="zh-CN" w:bidi="ar-SA"/>
              </w:rPr>
              <w:t>（3）</w:t>
            </w:r>
            <w:r>
              <w:rPr>
                <w:rFonts w:hint="eastAsia"/>
                <w:color w:val="auto"/>
                <w:highlight w:val="none"/>
                <w:lang w:val="en-US" w:eastAsia="zh-CN"/>
              </w:rPr>
              <w:t>每个阶段工作内容详细、全面、措施齐全得2分；</w:t>
            </w:r>
          </w:p>
          <w:p w14:paraId="0C4AAF9F">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每个阶段工作内容较详细、较全面、措施较齐全得1分；</w:t>
            </w:r>
          </w:p>
          <w:p w14:paraId="27C26BC4">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每个阶段工作内容层一般、不够全面、措施一般得0.5分；</w:t>
            </w:r>
          </w:p>
          <w:p w14:paraId="355A2EE7">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asciiTheme="minorHAnsi" w:hAnsiTheme="minorHAnsi" w:eastAsiaTheme="minorEastAsia" w:cstheme="minorBidi"/>
                <w:color w:val="auto"/>
                <w:kern w:val="2"/>
                <w:sz w:val="21"/>
                <w:szCs w:val="22"/>
                <w:lang w:val="en-US" w:eastAsia="zh-CN" w:bidi="ar-SA"/>
              </w:rPr>
              <w:t>（4）</w:t>
            </w:r>
            <w:r>
              <w:rPr>
                <w:rFonts w:hint="eastAsia"/>
                <w:color w:val="auto"/>
                <w:highlight w:val="none"/>
                <w:lang w:val="en-US" w:eastAsia="zh-CN"/>
              </w:rPr>
              <w:t>数据收集、汇总、分析措施合理可行得2分；</w:t>
            </w:r>
          </w:p>
          <w:p w14:paraId="32054C74">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数据收集、汇总、分析措施较合理可行得1分；</w:t>
            </w:r>
          </w:p>
          <w:p w14:paraId="3072250A">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数据收集、汇总、分析措施可行性一般0.5分；</w:t>
            </w:r>
          </w:p>
          <w:p w14:paraId="1D03E407">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asciiTheme="minorHAnsi" w:hAnsiTheme="minorHAnsi" w:eastAsiaTheme="minorEastAsia" w:cstheme="minorBidi"/>
                <w:color w:val="auto"/>
                <w:kern w:val="2"/>
                <w:sz w:val="21"/>
                <w:szCs w:val="22"/>
                <w:lang w:val="en-US" w:eastAsia="zh-CN" w:bidi="ar-SA"/>
              </w:rPr>
              <w:t>（5）</w:t>
            </w:r>
            <w:r>
              <w:rPr>
                <w:rFonts w:hint="eastAsia"/>
                <w:color w:val="auto"/>
                <w:highlight w:val="none"/>
                <w:lang w:val="en-US" w:eastAsia="zh-CN"/>
              </w:rPr>
              <w:t>实施方案条理清晰、结构合理得2分；</w:t>
            </w:r>
          </w:p>
          <w:p w14:paraId="4AF5DBB1">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eastAsia"/>
                <w:color w:val="auto"/>
                <w:highlight w:val="none"/>
                <w:lang w:val="en-US" w:eastAsia="zh-CN"/>
              </w:rPr>
            </w:pPr>
            <w:r>
              <w:rPr>
                <w:rFonts w:hint="eastAsia"/>
                <w:color w:val="auto"/>
                <w:highlight w:val="none"/>
                <w:lang w:val="en-US" w:eastAsia="zh-CN"/>
              </w:rPr>
              <w:t>实施方案条理较清晰、结构较合理得1分；</w:t>
            </w:r>
          </w:p>
          <w:p w14:paraId="7C9D73A5">
            <w:pPr>
              <w:keepNext w:val="0"/>
              <w:keepLines w:val="0"/>
              <w:pageBreakBefore w:val="0"/>
              <w:numPr>
                <w:ilvl w:val="0"/>
                <w:numId w:val="0"/>
              </w:numPr>
              <w:kinsoku/>
              <w:overflowPunct/>
              <w:bidi w:val="0"/>
              <w:adjustRightInd/>
              <w:snapToGrid/>
              <w:spacing w:line="400" w:lineRule="exact"/>
              <w:ind w:firstLine="0" w:firstLineChars="0"/>
              <w:jc w:val="left"/>
              <w:textAlignment w:val="auto"/>
              <w:rPr>
                <w:rFonts w:hint="default"/>
                <w:lang w:val="en-US" w:eastAsia="zh-CN"/>
              </w:rPr>
            </w:pPr>
            <w:r>
              <w:rPr>
                <w:rFonts w:hint="eastAsia"/>
                <w:color w:val="auto"/>
                <w:highlight w:val="none"/>
                <w:lang w:val="en-US" w:eastAsia="zh-CN"/>
              </w:rPr>
              <w:t>实施方案条理一般、结构不够合理0.5分；</w:t>
            </w:r>
          </w:p>
          <w:p w14:paraId="28BD35BA">
            <w:pPr>
              <w:keepNext w:val="0"/>
              <w:keepLines w:val="0"/>
              <w:pageBreakBefore w:val="0"/>
              <w:kinsoku/>
              <w:overflowPunct/>
              <w:bidi w:val="0"/>
              <w:adjustRightInd/>
              <w:snapToGrid/>
              <w:spacing w:line="400" w:lineRule="exact"/>
              <w:ind w:firstLine="0" w:firstLineChars="0"/>
              <w:jc w:val="left"/>
              <w:textAlignment w:val="auto"/>
              <w:rPr>
                <w:rFonts w:hint="default" w:ascii="宋体" w:hAnsi="宋体" w:eastAsia="宋体" w:cs="宋体"/>
                <w:szCs w:val="21"/>
                <w:highlight w:val="none"/>
                <w:lang w:val="en-US" w:eastAsia="zh-CN"/>
              </w:rPr>
            </w:pPr>
            <w:r>
              <w:rPr>
                <w:rFonts w:hint="eastAsia"/>
                <w:color w:val="auto"/>
                <w:highlight w:val="none"/>
                <w:lang w:val="en-US" w:eastAsia="zh-CN"/>
              </w:rPr>
              <w:t>缺项或未提供的不得分。</w:t>
            </w:r>
          </w:p>
        </w:tc>
      </w:tr>
      <w:tr w14:paraId="180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97" w:type="dxa"/>
            <w:vMerge w:val="continue"/>
            <w:noWrap/>
            <w:vAlign w:val="center"/>
          </w:tcPr>
          <w:p w14:paraId="6C4AB391">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791" w:type="dxa"/>
            <w:vMerge w:val="continue"/>
            <w:noWrap/>
            <w:vAlign w:val="center"/>
          </w:tcPr>
          <w:p w14:paraId="5C4D332B">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color w:val="auto"/>
                <w:szCs w:val="21"/>
                <w:highlight w:val="yellow"/>
              </w:rPr>
            </w:pPr>
          </w:p>
        </w:tc>
        <w:tc>
          <w:tcPr>
            <w:tcW w:w="2038" w:type="dxa"/>
            <w:noWrap/>
            <w:vAlign w:val="center"/>
          </w:tcPr>
          <w:p w14:paraId="612FC684">
            <w:pPr>
              <w:spacing w:line="240" w:lineRule="auto"/>
              <w:ind w:firstLine="420" w:firstLineChars="200"/>
              <w:jc w:val="center"/>
              <w:rPr>
                <w:rFonts w:hint="eastAsia" w:ascii="宋体" w:hAnsi="宋体" w:eastAsia="宋体" w:cs="宋体"/>
                <w:szCs w:val="21"/>
                <w:highlight w:val="none"/>
                <w:lang w:val="en-US" w:eastAsia="zh-CN"/>
              </w:rPr>
            </w:pPr>
            <w:r>
              <w:rPr>
                <w:rFonts w:hint="eastAsia" w:ascii="Times New Roman" w:hAnsi="Times New Roman" w:eastAsia="宋体" w:cs="Times New Roman"/>
                <w:b w:val="0"/>
                <w:bCs w:val="0"/>
                <w:color w:val="auto"/>
                <w:highlight w:val="none"/>
                <w:lang w:val="en-US" w:eastAsia="zh-CN"/>
              </w:rPr>
              <w:t>制定相应培训课程目录及大纲（</w:t>
            </w:r>
            <w:r>
              <w:rPr>
                <w:rFonts w:hint="eastAsia" w:ascii="Times New Roman" w:hAnsi="Times New Roman" w:cs="Times New Roman"/>
                <w:b w:val="0"/>
                <w:bCs w:val="0"/>
                <w:color w:val="auto"/>
                <w:highlight w:val="none"/>
                <w:lang w:val="en-US" w:eastAsia="zh-CN"/>
              </w:rPr>
              <w:t>5</w:t>
            </w:r>
            <w:r>
              <w:rPr>
                <w:rFonts w:hint="eastAsia" w:ascii="Times New Roman" w:hAnsi="Times New Roman" w:eastAsia="宋体" w:cs="Times New Roman"/>
                <w:b w:val="0"/>
                <w:bCs w:val="0"/>
                <w:color w:val="auto"/>
                <w:highlight w:val="none"/>
                <w:lang w:val="en-US" w:eastAsia="zh-CN"/>
              </w:rPr>
              <w:t>分）</w:t>
            </w:r>
          </w:p>
        </w:tc>
        <w:tc>
          <w:tcPr>
            <w:tcW w:w="6178" w:type="dxa"/>
            <w:noWrap/>
            <w:vAlign w:val="center"/>
          </w:tcPr>
          <w:p w14:paraId="7A7B7B3C">
            <w:pPr>
              <w:spacing w:line="240" w:lineRule="auto"/>
              <w:jc w:val="left"/>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根据供应商编制的培训课程目录、大纲、课程设计，包含但不限于（供应商的课程种类能够完全覆盖本项目需求或者课程目录中有一般培训单位不具备的突出亮点、课程大纲、课程设计内容能够贴合实际、切实能够起到提高人员技能和素质目的）：</w:t>
            </w:r>
          </w:p>
          <w:p w14:paraId="465E6E34">
            <w:pPr>
              <w:spacing w:line="240" w:lineRule="auto"/>
              <w:jc w:val="left"/>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培训课程目录、大纲、课程设计中课程模块与内容符合培训指南，切合实际需求，课程模块与内容完全满足项目需求，针对性强的得</w:t>
            </w:r>
            <w:r>
              <w:rPr>
                <w:rFonts w:hint="eastAsia" w:ascii="Times New Roman" w:hAnsi="Times New Roman" w:cs="Times New Roman"/>
                <w:b w:val="0"/>
                <w:bCs w:val="0"/>
                <w:color w:val="auto"/>
                <w:highlight w:val="none"/>
                <w:lang w:val="en-US" w:eastAsia="zh-CN"/>
              </w:rPr>
              <w:t>5</w:t>
            </w:r>
            <w:r>
              <w:rPr>
                <w:rFonts w:hint="eastAsia" w:ascii="Times New Roman" w:hAnsi="Times New Roman" w:eastAsia="宋体" w:cs="Times New Roman"/>
                <w:b w:val="0"/>
                <w:bCs w:val="0"/>
                <w:color w:val="auto"/>
                <w:highlight w:val="none"/>
                <w:lang w:val="en-US" w:eastAsia="zh-CN"/>
              </w:rPr>
              <w:t>分；</w:t>
            </w:r>
          </w:p>
          <w:p w14:paraId="01CD94AB">
            <w:pPr>
              <w:spacing w:line="240" w:lineRule="auto"/>
              <w:ind w:firstLine="420" w:firstLineChars="200"/>
              <w:jc w:val="left"/>
              <w:rPr>
                <w:rFonts w:hint="eastAsia" w:ascii="宋体" w:hAnsi="宋体" w:eastAsia="宋体" w:cs="宋体"/>
                <w:szCs w:val="21"/>
                <w:highlight w:val="none"/>
              </w:rPr>
            </w:pPr>
            <w:r>
              <w:rPr>
                <w:rFonts w:hint="eastAsia" w:ascii="Times New Roman" w:hAnsi="Times New Roman" w:eastAsia="宋体" w:cs="Times New Roman"/>
                <w:b w:val="0"/>
                <w:bCs w:val="0"/>
                <w:color w:val="auto"/>
                <w:highlight w:val="none"/>
                <w:lang w:val="en-US" w:eastAsia="zh-CN"/>
              </w:rPr>
              <w:t>缺项或未提供的不得分。</w:t>
            </w:r>
          </w:p>
        </w:tc>
      </w:tr>
      <w:tr w14:paraId="1957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97" w:type="dxa"/>
            <w:vMerge w:val="continue"/>
            <w:noWrap/>
            <w:vAlign w:val="center"/>
          </w:tcPr>
          <w:p w14:paraId="0815A273">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791" w:type="dxa"/>
            <w:vMerge w:val="continue"/>
            <w:noWrap/>
            <w:vAlign w:val="center"/>
          </w:tcPr>
          <w:p w14:paraId="793D09E1">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color w:val="auto"/>
                <w:szCs w:val="21"/>
                <w:highlight w:val="yellow"/>
              </w:rPr>
            </w:pPr>
          </w:p>
        </w:tc>
        <w:tc>
          <w:tcPr>
            <w:tcW w:w="2038" w:type="dxa"/>
            <w:noWrap/>
            <w:vAlign w:val="center"/>
          </w:tcPr>
          <w:p w14:paraId="5566CE7A">
            <w:pPr>
              <w:spacing w:line="240" w:lineRule="auto"/>
              <w:ind w:firstLine="420" w:firstLineChars="200"/>
              <w:jc w:val="center"/>
              <w:rPr>
                <w:rFonts w:hint="eastAsia" w:ascii="宋体" w:hAnsi="宋体" w:eastAsia="宋体" w:cs="宋体"/>
                <w:szCs w:val="21"/>
                <w:highlight w:val="none"/>
                <w:lang w:val="en-US" w:eastAsia="zh-CN"/>
              </w:rPr>
            </w:pPr>
            <w:r>
              <w:rPr>
                <w:rFonts w:hint="eastAsia" w:ascii="Times New Roman" w:hAnsi="Times New Roman" w:eastAsia="宋体" w:cs="Times New Roman"/>
                <w:b w:val="0"/>
                <w:bCs w:val="0"/>
                <w:color w:val="auto"/>
                <w:highlight w:val="none"/>
                <w:lang w:val="en-US" w:eastAsia="zh-CN"/>
              </w:rPr>
              <w:t>工作重点、难点、创新点和主要内容分析（</w:t>
            </w:r>
            <w:r>
              <w:rPr>
                <w:rFonts w:hint="eastAsia" w:ascii="Times New Roman" w:hAnsi="Times New Roman" w:cs="Times New Roman"/>
                <w:b w:val="0"/>
                <w:bCs w:val="0"/>
                <w:color w:val="auto"/>
                <w:highlight w:val="none"/>
                <w:lang w:val="en-US" w:eastAsia="zh-CN"/>
              </w:rPr>
              <w:t>5</w:t>
            </w:r>
            <w:r>
              <w:rPr>
                <w:rFonts w:hint="eastAsia" w:ascii="Times New Roman" w:hAnsi="Times New Roman" w:eastAsia="宋体" w:cs="Times New Roman"/>
                <w:b w:val="0"/>
                <w:bCs w:val="0"/>
                <w:color w:val="auto"/>
                <w:highlight w:val="none"/>
                <w:lang w:val="en-US" w:eastAsia="zh-CN"/>
              </w:rPr>
              <w:t>分）</w:t>
            </w:r>
          </w:p>
        </w:tc>
        <w:tc>
          <w:tcPr>
            <w:tcW w:w="6178" w:type="dxa"/>
            <w:noWrap/>
            <w:vAlign w:val="center"/>
          </w:tcPr>
          <w:p w14:paraId="285F85A2">
            <w:pPr>
              <w:spacing w:line="240" w:lineRule="auto"/>
              <w:ind w:firstLine="420" w:firstLineChars="200"/>
              <w:jc w:val="left"/>
              <w:rPr>
                <w:rFonts w:hint="eastAsia" w:ascii="宋体" w:hAnsi="宋体" w:eastAsia="宋体" w:cs="宋体"/>
                <w:szCs w:val="21"/>
                <w:highlight w:val="none"/>
                <w:lang w:val="en-US" w:eastAsia="zh-CN"/>
              </w:rPr>
            </w:pPr>
            <w:r>
              <w:rPr>
                <w:rFonts w:hint="eastAsia" w:ascii="Times New Roman" w:hAnsi="Times New Roman" w:eastAsia="宋体" w:cs="Times New Roman"/>
                <w:b w:val="0"/>
                <w:bCs w:val="0"/>
                <w:color w:val="auto"/>
                <w:highlight w:val="none"/>
                <w:lang w:val="en-US" w:eastAsia="zh-CN"/>
              </w:rPr>
              <w:t>供应商从多角度系统分析，对本项目的工作重点、难点、创新点和主要内容分析准确、清晰、全面的得</w:t>
            </w:r>
            <w:r>
              <w:rPr>
                <w:rFonts w:hint="eastAsia" w:ascii="Times New Roman" w:hAnsi="Times New Roman" w:cs="Times New Roman"/>
                <w:b w:val="0"/>
                <w:bCs w:val="0"/>
                <w:color w:val="auto"/>
                <w:highlight w:val="none"/>
                <w:lang w:val="en-US" w:eastAsia="zh-CN"/>
              </w:rPr>
              <w:t>5</w:t>
            </w:r>
            <w:r>
              <w:rPr>
                <w:rFonts w:hint="eastAsia" w:ascii="Times New Roman" w:hAnsi="Times New Roman" w:eastAsia="宋体" w:cs="Times New Roman"/>
                <w:b w:val="0"/>
                <w:bCs w:val="0"/>
                <w:color w:val="auto"/>
                <w:highlight w:val="none"/>
                <w:lang w:val="en-US" w:eastAsia="zh-CN"/>
              </w:rPr>
              <w:t>分；缺项或未提供的不得分。</w:t>
            </w:r>
          </w:p>
        </w:tc>
      </w:tr>
      <w:tr w14:paraId="5185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97" w:type="dxa"/>
            <w:vMerge w:val="continue"/>
            <w:noWrap/>
            <w:vAlign w:val="center"/>
          </w:tcPr>
          <w:p w14:paraId="17972656">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791" w:type="dxa"/>
            <w:vMerge w:val="continue"/>
            <w:noWrap/>
            <w:vAlign w:val="center"/>
          </w:tcPr>
          <w:p w14:paraId="447C997A">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color w:val="auto"/>
                <w:szCs w:val="21"/>
                <w:highlight w:val="yellow"/>
              </w:rPr>
            </w:pPr>
          </w:p>
        </w:tc>
        <w:tc>
          <w:tcPr>
            <w:tcW w:w="2038" w:type="dxa"/>
            <w:noWrap/>
            <w:vAlign w:val="center"/>
          </w:tcPr>
          <w:p w14:paraId="7C718FD6">
            <w:pPr>
              <w:spacing w:line="240" w:lineRule="auto"/>
              <w:ind w:firstLine="420" w:firstLineChars="200"/>
              <w:jc w:val="center"/>
              <w:rPr>
                <w:rFonts w:hint="eastAsia" w:ascii="宋体" w:hAnsi="宋体" w:eastAsia="宋体" w:cs="宋体"/>
                <w:szCs w:val="21"/>
                <w:highlight w:val="none"/>
                <w:lang w:val="en-US" w:eastAsia="zh-CN"/>
              </w:rPr>
            </w:pPr>
            <w:r>
              <w:rPr>
                <w:rFonts w:hint="eastAsia" w:ascii="Times New Roman" w:hAnsi="Times New Roman" w:eastAsia="宋体" w:cs="Times New Roman"/>
                <w:b w:val="0"/>
                <w:bCs w:val="0"/>
                <w:color w:val="auto"/>
                <w:highlight w:val="none"/>
                <w:lang w:val="en-US" w:eastAsia="zh-CN"/>
              </w:rPr>
              <w:t>服务保障方案（</w:t>
            </w:r>
            <w:r>
              <w:rPr>
                <w:rFonts w:hint="eastAsia" w:ascii="Times New Roman" w:hAnsi="Times New Roman" w:cs="Times New Roman"/>
                <w:b w:val="0"/>
                <w:bCs w:val="0"/>
                <w:color w:val="auto"/>
                <w:highlight w:val="none"/>
                <w:lang w:val="en-US" w:eastAsia="zh-CN"/>
              </w:rPr>
              <w:t>5</w:t>
            </w:r>
            <w:r>
              <w:rPr>
                <w:rFonts w:hint="eastAsia" w:ascii="Times New Roman" w:hAnsi="Times New Roman" w:eastAsia="宋体" w:cs="Times New Roman"/>
                <w:b w:val="0"/>
                <w:bCs w:val="0"/>
                <w:color w:val="auto"/>
                <w:highlight w:val="none"/>
                <w:lang w:val="en-US" w:eastAsia="zh-CN"/>
              </w:rPr>
              <w:t>分）</w:t>
            </w:r>
          </w:p>
        </w:tc>
        <w:tc>
          <w:tcPr>
            <w:tcW w:w="6178" w:type="dxa"/>
            <w:noWrap/>
            <w:vAlign w:val="center"/>
          </w:tcPr>
          <w:p w14:paraId="52AB6E92">
            <w:pPr>
              <w:spacing w:line="240" w:lineRule="auto"/>
              <w:jc w:val="left"/>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供应商针对培训教学场所、设施设备、食宿环境安全、培训质量保证等内容，提供售后服务方案和质量保证措施：</w:t>
            </w:r>
          </w:p>
          <w:p w14:paraId="1470553C">
            <w:pPr>
              <w:spacing w:line="240" w:lineRule="auto"/>
              <w:ind w:firstLine="420" w:firstLineChars="200"/>
              <w:jc w:val="left"/>
              <w:rPr>
                <w:rFonts w:hint="eastAsia" w:ascii="宋体" w:hAnsi="宋体" w:eastAsia="宋体" w:cs="宋体"/>
                <w:szCs w:val="21"/>
                <w:highlight w:val="none"/>
                <w:lang w:val="en-US" w:eastAsia="zh-CN"/>
              </w:rPr>
            </w:pPr>
            <w:r>
              <w:rPr>
                <w:rFonts w:hint="eastAsia" w:ascii="Times New Roman" w:hAnsi="Times New Roman" w:eastAsia="宋体" w:cs="Times New Roman"/>
                <w:b w:val="0"/>
                <w:bCs w:val="0"/>
                <w:color w:val="auto"/>
                <w:highlight w:val="none"/>
                <w:lang w:val="en-US" w:eastAsia="zh-CN"/>
              </w:rPr>
              <w:t>有相关售后服务方案和质量保证措施，内容齐全、针对性强、方案合理、可行性强的得</w:t>
            </w:r>
            <w:r>
              <w:rPr>
                <w:rFonts w:hint="eastAsia" w:ascii="Times New Roman" w:hAnsi="Times New Roman" w:cs="Times New Roman"/>
                <w:b w:val="0"/>
                <w:bCs w:val="0"/>
                <w:color w:val="auto"/>
                <w:highlight w:val="none"/>
                <w:lang w:val="en-US" w:eastAsia="zh-CN"/>
              </w:rPr>
              <w:t>5</w:t>
            </w:r>
            <w:r>
              <w:rPr>
                <w:rFonts w:hint="eastAsia" w:ascii="Times New Roman" w:hAnsi="Times New Roman" w:eastAsia="宋体" w:cs="Times New Roman"/>
                <w:b w:val="0"/>
                <w:bCs w:val="0"/>
                <w:color w:val="auto"/>
                <w:highlight w:val="none"/>
                <w:lang w:val="en-US" w:eastAsia="zh-CN"/>
              </w:rPr>
              <w:t>分；缺项或未提供的不得分。</w:t>
            </w:r>
          </w:p>
        </w:tc>
      </w:tr>
      <w:tr w14:paraId="7FD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7" w:type="dxa"/>
            <w:vMerge w:val="continue"/>
            <w:noWrap/>
            <w:vAlign w:val="center"/>
          </w:tcPr>
          <w:p w14:paraId="4670F6D5">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791" w:type="dxa"/>
            <w:vMerge w:val="continue"/>
            <w:noWrap/>
            <w:vAlign w:val="center"/>
          </w:tcPr>
          <w:p w14:paraId="522D4E50">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color w:val="auto"/>
                <w:szCs w:val="21"/>
                <w:highlight w:val="yellow"/>
              </w:rPr>
            </w:pPr>
          </w:p>
        </w:tc>
        <w:tc>
          <w:tcPr>
            <w:tcW w:w="2038" w:type="dxa"/>
            <w:noWrap/>
            <w:vAlign w:val="center"/>
          </w:tcPr>
          <w:p w14:paraId="3B91E256">
            <w:pPr>
              <w:spacing w:line="240" w:lineRule="auto"/>
              <w:ind w:firstLine="420" w:firstLineChars="200"/>
              <w:jc w:val="center"/>
              <w:rPr>
                <w:rFonts w:hint="eastAsia" w:ascii="宋体" w:hAnsi="宋体" w:eastAsia="宋体" w:cs="宋体"/>
                <w:szCs w:val="21"/>
                <w:highlight w:val="none"/>
                <w:lang w:val="en-US" w:eastAsia="zh-CN"/>
              </w:rPr>
            </w:pPr>
            <w:r>
              <w:rPr>
                <w:rFonts w:hint="eastAsia" w:ascii="Times New Roman" w:hAnsi="Times New Roman" w:eastAsia="宋体" w:cs="Times New Roman"/>
                <w:b w:val="0"/>
                <w:bCs w:val="0"/>
                <w:color w:val="auto"/>
                <w:highlight w:val="none"/>
                <w:lang w:val="en-US" w:eastAsia="zh-CN"/>
              </w:rPr>
              <w:t>工作进度安排（5分）</w:t>
            </w:r>
          </w:p>
        </w:tc>
        <w:tc>
          <w:tcPr>
            <w:tcW w:w="6178" w:type="dxa"/>
            <w:noWrap/>
            <w:vAlign w:val="top"/>
          </w:tcPr>
          <w:p w14:paraId="6E10751E">
            <w:pPr>
              <w:spacing w:line="240" w:lineRule="auto"/>
              <w:jc w:val="left"/>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针对本项目实际提出科学、可行、具体的工作进度安排，根据工作进度安排方案情况进行综合比较，主要包括：</w:t>
            </w:r>
          </w:p>
          <w:p w14:paraId="518D0AD1">
            <w:pPr>
              <w:spacing w:line="240" w:lineRule="auto"/>
              <w:ind w:firstLine="420" w:firstLineChars="200"/>
              <w:jc w:val="left"/>
              <w:rPr>
                <w:rFonts w:hint="eastAsia" w:ascii="宋体" w:hAnsi="宋体" w:eastAsia="宋体" w:cs="宋体"/>
                <w:szCs w:val="21"/>
                <w:highlight w:val="none"/>
                <w:lang w:val="en-US" w:eastAsia="zh-CN"/>
              </w:rPr>
            </w:pPr>
            <w:r>
              <w:rPr>
                <w:rFonts w:hint="eastAsia" w:ascii="Times New Roman" w:hAnsi="Times New Roman" w:eastAsia="宋体" w:cs="Times New Roman"/>
                <w:b w:val="0"/>
                <w:bCs w:val="0"/>
                <w:color w:val="auto"/>
                <w:highlight w:val="none"/>
                <w:lang w:val="en-US" w:eastAsia="zh-CN"/>
              </w:rPr>
              <w:t>培训推进计划安排具体、合理、可行；各阶段人员、设备保障明确、充足；工作机制灵活、可行性强，及时响应培训工作新要求，满足项目需求的得5分；缺项或未提供的不得分。</w:t>
            </w:r>
          </w:p>
        </w:tc>
      </w:tr>
      <w:tr w14:paraId="1405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7" w:type="dxa"/>
            <w:vMerge w:val="continue"/>
            <w:noWrap/>
            <w:vAlign w:val="center"/>
          </w:tcPr>
          <w:p w14:paraId="295FE4D2">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791" w:type="dxa"/>
            <w:vMerge w:val="continue"/>
            <w:noWrap/>
            <w:vAlign w:val="center"/>
          </w:tcPr>
          <w:p w14:paraId="611856A9">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color w:val="auto"/>
                <w:szCs w:val="21"/>
                <w:highlight w:val="yellow"/>
              </w:rPr>
            </w:pPr>
          </w:p>
        </w:tc>
        <w:tc>
          <w:tcPr>
            <w:tcW w:w="2038" w:type="dxa"/>
            <w:noWrap/>
            <w:vAlign w:val="center"/>
          </w:tcPr>
          <w:p w14:paraId="3AC1909A">
            <w:pPr>
              <w:spacing w:line="240" w:lineRule="auto"/>
              <w:ind w:firstLine="420" w:firstLineChars="200"/>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评估成果</w:t>
            </w:r>
          </w:p>
          <w:p w14:paraId="096E0619">
            <w:pPr>
              <w:spacing w:line="240" w:lineRule="auto"/>
              <w:ind w:firstLine="420" w:firstLineChars="200"/>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（5分）</w:t>
            </w:r>
          </w:p>
        </w:tc>
        <w:tc>
          <w:tcPr>
            <w:tcW w:w="6178" w:type="dxa"/>
            <w:noWrap/>
            <w:vAlign w:val="center"/>
          </w:tcPr>
          <w:p w14:paraId="14132649">
            <w:pPr>
              <w:spacing w:line="240" w:lineRule="auto"/>
              <w:ind w:firstLine="420" w:firstLineChars="200"/>
              <w:jc w:val="left"/>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评估机制完备、有效；评估成果质量控制计划具体、可行性强；评估成果提交后对编制内容修改的响应承诺（应提供时间、人员、修改质量等方案措施）具体、全面的得5分；缺项或未提供的不得分。</w:t>
            </w:r>
          </w:p>
        </w:tc>
      </w:tr>
      <w:tr w14:paraId="536F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7" w:type="dxa"/>
            <w:vMerge w:val="continue"/>
            <w:noWrap/>
            <w:vAlign w:val="center"/>
          </w:tcPr>
          <w:p w14:paraId="585ED345">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791" w:type="dxa"/>
            <w:vMerge w:val="continue"/>
            <w:noWrap/>
            <w:vAlign w:val="center"/>
          </w:tcPr>
          <w:p w14:paraId="0D59AB13">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color w:val="auto"/>
                <w:szCs w:val="21"/>
                <w:highlight w:val="yellow"/>
              </w:rPr>
            </w:pPr>
          </w:p>
        </w:tc>
        <w:tc>
          <w:tcPr>
            <w:tcW w:w="2038" w:type="dxa"/>
            <w:noWrap/>
            <w:vAlign w:val="center"/>
          </w:tcPr>
          <w:p w14:paraId="58DAD901">
            <w:pPr>
              <w:spacing w:line="240" w:lineRule="auto"/>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应急预案</w:t>
            </w:r>
          </w:p>
          <w:p w14:paraId="79696E6B">
            <w:pPr>
              <w:spacing w:line="240" w:lineRule="auto"/>
              <w:ind w:firstLine="420" w:firstLineChars="200"/>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（5分）</w:t>
            </w:r>
          </w:p>
        </w:tc>
        <w:tc>
          <w:tcPr>
            <w:tcW w:w="6178" w:type="dxa"/>
            <w:noWrap/>
            <w:vAlign w:val="center"/>
          </w:tcPr>
          <w:p w14:paraId="6A09028E">
            <w:pPr>
              <w:spacing w:line="240" w:lineRule="auto"/>
              <w:ind w:firstLine="420" w:firstLineChars="200"/>
              <w:jc w:val="left"/>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评委根据供应商提供针对教育培训方面有齐全的应急预案、能处理突发情况、紧急情况的处理时间、措施方案，根据方案描述的完善性、可行性、合理性进行：处理时间及时，措施完善、合理，方案全面、内容明确的得5分；缺项或未提供的不得分。</w:t>
            </w:r>
          </w:p>
        </w:tc>
      </w:tr>
      <w:tr w14:paraId="54A3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7" w:type="dxa"/>
            <w:vMerge w:val="continue"/>
            <w:noWrap/>
            <w:vAlign w:val="center"/>
          </w:tcPr>
          <w:p w14:paraId="304EC4F2">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rPr>
            </w:pPr>
          </w:p>
        </w:tc>
        <w:tc>
          <w:tcPr>
            <w:tcW w:w="791" w:type="dxa"/>
            <w:vMerge w:val="continue"/>
            <w:noWrap/>
            <w:vAlign w:val="center"/>
          </w:tcPr>
          <w:p w14:paraId="5418BAE7">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color w:val="auto"/>
                <w:szCs w:val="21"/>
                <w:highlight w:val="yellow"/>
              </w:rPr>
            </w:pPr>
          </w:p>
        </w:tc>
        <w:tc>
          <w:tcPr>
            <w:tcW w:w="2038" w:type="dxa"/>
            <w:noWrap/>
            <w:vAlign w:val="center"/>
          </w:tcPr>
          <w:p w14:paraId="5B30C0E2">
            <w:pPr>
              <w:spacing w:line="240" w:lineRule="auto"/>
              <w:ind w:firstLine="420" w:firstLineChars="200"/>
              <w:jc w:val="center"/>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监督管理方案（5分）</w:t>
            </w:r>
          </w:p>
        </w:tc>
        <w:tc>
          <w:tcPr>
            <w:tcW w:w="6178" w:type="dxa"/>
            <w:noWrap/>
            <w:vAlign w:val="top"/>
          </w:tcPr>
          <w:p w14:paraId="1A33A826">
            <w:pPr>
              <w:spacing w:line="240" w:lineRule="auto"/>
              <w:ind w:firstLine="420" w:firstLineChars="200"/>
              <w:jc w:val="left"/>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供应商监督管理规章制度完善，具有一套严谨的管理体系，管理有章可循，能对所开展培训工作等进行有效监管和绩效考核</w:t>
            </w:r>
            <w:r>
              <w:rPr>
                <w:rFonts w:hint="eastAsia" w:ascii="Times New Roman" w:hAnsi="Times New Roman" w:cs="Times New Roman"/>
                <w:b w:val="0"/>
                <w:bCs w:val="0"/>
                <w:color w:val="auto"/>
                <w:highlight w:val="none"/>
                <w:lang w:val="en-US" w:eastAsia="zh-CN"/>
              </w:rPr>
              <w:t>的</w:t>
            </w:r>
            <w:r>
              <w:rPr>
                <w:rFonts w:hint="eastAsia" w:ascii="Times New Roman" w:hAnsi="Times New Roman" w:eastAsia="宋体" w:cs="Times New Roman"/>
                <w:b w:val="0"/>
                <w:bCs w:val="0"/>
                <w:color w:val="auto"/>
                <w:highlight w:val="none"/>
                <w:lang w:val="en-US" w:eastAsia="zh-CN"/>
              </w:rPr>
              <w:t>得5分；缺项或未提供的不得分。</w:t>
            </w:r>
          </w:p>
        </w:tc>
      </w:tr>
      <w:tr w14:paraId="020A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97" w:type="dxa"/>
            <w:vMerge w:val="restart"/>
            <w:noWrap/>
            <w:vAlign w:val="center"/>
          </w:tcPr>
          <w:p w14:paraId="21A92DB9">
            <w:pPr>
              <w:keepNext w:val="0"/>
              <w:keepLines w:val="0"/>
              <w:pageBreakBefore w:val="0"/>
              <w:kinsoku/>
              <w:overflowPunct/>
              <w:bidi w:val="0"/>
              <w:adjustRightInd/>
              <w:snapToGrid/>
              <w:spacing w:line="400" w:lineRule="exact"/>
              <w:ind w:firstLine="0" w:firstLineChars="0"/>
              <w:jc w:val="center"/>
              <w:textAlignment w:val="auto"/>
              <w:rPr>
                <w:rFonts w:ascii="宋体" w:hAnsi="宋体" w:eastAsia="宋体" w:cs="宋体"/>
                <w:szCs w:val="21"/>
                <w:highlight w:val="none"/>
              </w:rPr>
            </w:pPr>
            <w:r>
              <w:rPr>
                <w:rFonts w:hint="eastAsia" w:ascii="宋体" w:hAnsi="宋体" w:eastAsia="宋体" w:cs="宋体"/>
                <w:szCs w:val="21"/>
                <w:highlight w:val="none"/>
              </w:rPr>
              <w:t>2.2（3）</w:t>
            </w:r>
          </w:p>
        </w:tc>
        <w:tc>
          <w:tcPr>
            <w:tcW w:w="791" w:type="dxa"/>
            <w:vMerge w:val="restart"/>
            <w:noWrap/>
            <w:vAlign w:val="center"/>
          </w:tcPr>
          <w:p w14:paraId="324B5080">
            <w:pPr>
              <w:keepNext w:val="0"/>
              <w:keepLines w:val="0"/>
              <w:pageBreakBefore w:val="0"/>
              <w:kinsoku/>
              <w:overflowPunct/>
              <w:bidi w:val="0"/>
              <w:adjustRightInd/>
              <w:snapToGrid/>
              <w:spacing w:line="400" w:lineRule="exact"/>
              <w:ind w:firstLine="0" w:firstLineChars="0"/>
              <w:textAlignment w:val="auto"/>
              <w:rPr>
                <w:rFonts w:ascii="宋体" w:hAnsi="宋体" w:eastAsia="宋体" w:cs="宋体"/>
                <w:szCs w:val="21"/>
                <w:highlight w:val="none"/>
              </w:rPr>
            </w:pPr>
            <w:r>
              <w:rPr>
                <w:rFonts w:hint="eastAsia" w:ascii="宋体" w:hAnsi="宋体" w:eastAsia="宋体" w:cs="宋体"/>
                <w:szCs w:val="21"/>
                <w:highlight w:val="none"/>
              </w:rPr>
              <w:t xml:space="preserve">综合标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25</w:t>
            </w:r>
            <w:r>
              <w:rPr>
                <w:rFonts w:hint="eastAsia" w:ascii="宋体" w:hAnsi="宋体" w:eastAsia="宋体" w:cs="宋体"/>
                <w:szCs w:val="21"/>
                <w:highlight w:val="none"/>
              </w:rPr>
              <w:t>分）</w:t>
            </w:r>
          </w:p>
        </w:tc>
        <w:tc>
          <w:tcPr>
            <w:tcW w:w="2038" w:type="dxa"/>
            <w:noWrap/>
            <w:vAlign w:val="center"/>
          </w:tcPr>
          <w:p w14:paraId="4F4D37F5">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企业业绩</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（5分）</w:t>
            </w:r>
          </w:p>
        </w:tc>
        <w:tc>
          <w:tcPr>
            <w:tcW w:w="6178" w:type="dxa"/>
            <w:noWrap/>
            <w:vAlign w:val="center"/>
          </w:tcPr>
          <w:p w14:paraId="68D2D9DA">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提供 2023 年 1 月 1 日以来类似项目（人员培训）业绩，提供 1 项得5分， 最高得5分。 </w:t>
            </w:r>
          </w:p>
          <w:p w14:paraId="3D6D85E0">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注：1、须提供中标通知书或合同（协议书），不提供或未按要求提供的不得分；</w:t>
            </w:r>
          </w:p>
          <w:p w14:paraId="7909C5EC">
            <w:pPr>
              <w:keepNext w:val="0"/>
              <w:keepLines w:val="0"/>
              <w:pageBreakBefore w:val="0"/>
              <w:kinsoku/>
              <w:overflowPunct/>
              <w:bidi w:val="0"/>
              <w:adjustRightInd/>
              <w:snapToGrid/>
              <w:spacing w:line="400" w:lineRule="exact"/>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2、提供中标通知书的业绩时间以中标通知书落款时间为准；提供合同（或协议书）的业绩时间以签订时间为准</w:t>
            </w:r>
          </w:p>
        </w:tc>
      </w:tr>
      <w:tr w14:paraId="3370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797" w:type="dxa"/>
            <w:vMerge w:val="continue"/>
            <w:noWrap/>
            <w:vAlign w:val="center"/>
          </w:tcPr>
          <w:p w14:paraId="4D1F1399">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p>
        </w:tc>
        <w:tc>
          <w:tcPr>
            <w:tcW w:w="791" w:type="dxa"/>
            <w:vMerge w:val="continue"/>
            <w:noWrap/>
            <w:vAlign w:val="center"/>
          </w:tcPr>
          <w:p w14:paraId="04AE3546">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highlight w:val="none"/>
              </w:rPr>
            </w:pPr>
          </w:p>
        </w:tc>
        <w:tc>
          <w:tcPr>
            <w:tcW w:w="2038" w:type="dxa"/>
            <w:noWrap/>
            <w:vAlign w:val="center"/>
          </w:tcPr>
          <w:p w14:paraId="57FAA7F0">
            <w:pPr>
              <w:keepNext w:val="0"/>
              <w:keepLines w:val="0"/>
              <w:pageBreakBefore w:val="0"/>
              <w:widowControl/>
              <w:suppressLineNumbers w:val="0"/>
              <w:kinsoku/>
              <w:overflowPunct/>
              <w:bidi w:val="0"/>
              <w:adjustRightInd/>
              <w:snapToGri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师资力量</w:t>
            </w:r>
          </w:p>
          <w:p w14:paraId="0399087E">
            <w:pPr>
              <w:keepNext w:val="0"/>
              <w:keepLines w:val="0"/>
              <w:pageBreakBefore w:val="0"/>
              <w:widowControl/>
              <w:suppressLineNumbers w:val="0"/>
              <w:kinsoku/>
              <w:overflowPunct/>
              <w:bidi w:val="0"/>
              <w:adjustRightInd/>
              <w:snapToGrid/>
              <w:spacing w:line="4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（15分）</w:t>
            </w:r>
          </w:p>
        </w:tc>
        <w:tc>
          <w:tcPr>
            <w:tcW w:w="6178" w:type="dxa"/>
            <w:noWrap/>
            <w:vAlign w:val="center"/>
          </w:tcPr>
          <w:p w14:paraId="0AA1A3EF">
            <w:pPr>
              <w:keepNext w:val="0"/>
              <w:keepLines w:val="0"/>
              <w:pageBreakBefore w:val="0"/>
              <w:widowControl/>
              <w:suppressLineNumbers w:val="0"/>
              <w:kinsoku/>
              <w:overflowPunct/>
              <w:bidi w:val="0"/>
              <w:adjustRightInd/>
              <w:snapToGrid/>
              <w:spacing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要求具有技术过硬的教师团队，提供教师团队具有涉农类中级及以上专业技术职称证书（专职人员需提供劳动合同，兼职人员需提供聘书）每提供一个中级得3分、高级得5分，此项最高累计得15分。人员不重复。</w:t>
            </w:r>
          </w:p>
          <w:p w14:paraId="2E46D933">
            <w:pPr>
              <w:pStyle w:val="2"/>
              <w:spacing w:line="240" w:lineRule="auto"/>
              <w:ind w:left="0" w:leftChars="0" w:firstLine="0" w:firstLineChars="0"/>
              <w:rPr>
                <w:rFonts w:hint="default"/>
                <w:lang w:val="en-US" w:eastAsia="zh-CN"/>
              </w:rPr>
            </w:pPr>
            <w:r>
              <w:rPr>
                <w:rFonts w:hint="eastAsia" w:ascii="宋体" w:hAnsi="宋体" w:eastAsia="宋体" w:cs="宋体"/>
                <w:color w:val="auto"/>
                <w:kern w:val="2"/>
                <w:sz w:val="21"/>
                <w:szCs w:val="21"/>
                <w:highlight w:val="none"/>
                <w:lang w:val="en-US" w:eastAsia="zh-CN" w:bidi="ar-SA"/>
              </w:rPr>
              <w:t>注：磋商文件中所提供的教师团队必须是后期开展培训中真实有效的人员，如存在弄虚作假行为骗取中标，采购人有权利追究供应商相应的法律责任和对采购人进行相应的赔偿。</w:t>
            </w:r>
          </w:p>
        </w:tc>
      </w:tr>
      <w:tr w14:paraId="33F5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797" w:type="dxa"/>
            <w:vMerge w:val="continue"/>
            <w:noWrap/>
            <w:vAlign w:val="center"/>
          </w:tcPr>
          <w:p w14:paraId="19333658">
            <w:pPr>
              <w:keepNext w:val="0"/>
              <w:keepLines w:val="0"/>
              <w:pageBreakBefore w:val="0"/>
              <w:kinsoku/>
              <w:overflowPunct/>
              <w:bidi w:val="0"/>
              <w:adjustRightInd/>
              <w:snapToGrid/>
              <w:spacing w:line="400" w:lineRule="exact"/>
              <w:ind w:firstLine="0" w:firstLineChars="0"/>
              <w:jc w:val="center"/>
              <w:textAlignment w:val="auto"/>
              <w:rPr>
                <w:rFonts w:hint="eastAsia" w:ascii="宋体" w:hAnsi="宋体" w:eastAsia="宋体" w:cs="宋体"/>
                <w:szCs w:val="21"/>
                <w:highlight w:val="none"/>
              </w:rPr>
            </w:pPr>
            <w:bookmarkStart w:id="996" w:name="_Toc21598"/>
            <w:bookmarkStart w:id="997" w:name="_Toc9743"/>
            <w:bookmarkStart w:id="998" w:name="_Toc27706"/>
          </w:p>
        </w:tc>
        <w:tc>
          <w:tcPr>
            <w:tcW w:w="791" w:type="dxa"/>
            <w:vMerge w:val="continue"/>
            <w:noWrap/>
            <w:vAlign w:val="center"/>
          </w:tcPr>
          <w:p w14:paraId="47A019C7">
            <w:pPr>
              <w:keepNext w:val="0"/>
              <w:keepLines w:val="0"/>
              <w:pageBreakBefore w:val="0"/>
              <w:kinsoku/>
              <w:overflowPunct/>
              <w:bidi w:val="0"/>
              <w:adjustRightInd/>
              <w:snapToGrid/>
              <w:spacing w:line="400" w:lineRule="exact"/>
              <w:ind w:firstLine="0" w:firstLineChars="0"/>
              <w:textAlignment w:val="auto"/>
              <w:rPr>
                <w:rFonts w:hint="eastAsia" w:ascii="宋体" w:hAnsi="宋体" w:eastAsia="宋体" w:cs="宋体"/>
                <w:szCs w:val="21"/>
                <w:highlight w:val="none"/>
              </w:rPr>
            </w:pPr>
          </w:p>
        </w:tc>
        <w:tc>
          <w:tcPr>
            <w:tcW w:w="2038" w:type="dxa"/>
            <w:noWrap/>
            <w:vAlign w:val="center"/>
          </w:tcPr>
          <w:p w14:paraId="154B4C85">
            <w:pPr>
              <w:pStyle w:val="65"/>
              <w:tabs>
                <w:tab w:val="left" w:pos="635"/>
              </w:tabs>
              <w:spacing w:line="240" w:lineRule="auto"/>
              <w:ind w:firstLine="420" w:firstLineChars="200"/>
              <w:jc w:val="cente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
              </w:rPr>
              <w:t>培训讲师数量及能力（5分</w:t>
            </w:r>
            <w:r>
              <w:rPr>
                <w:rFonts w:hint="eastAsia" w:ascii="宋体" w:hAnsi="宋体" w:cs="宋体"/>
                <w:color w:val="auto"/>
                <w:sz w:val="24"/>
                <w:szCs w:val="24"/>
                <w:highlight w:val="none"/>
              </w:rPr>
              <w:t>）</w:t>
            </w:r>
          </w:p>
        </w:tc>
        <w:tc>
          <w:tcPr>
            <w:tcW w:w="6178" w:type="dxa"/>
            <w:noWrap/>
            <w:vAlign w:val="top"/>
          </w:tcPr>
          <w:p w14:paraId="0D859E02">
            <w:pPr>
              <w:keepNext w:val="0"/>
              <w:keepLines w:val="0"/>
              <w:pageBreakBefore w:val="0"/>
              <w:widowControl/>
              <w:suppressLineNumbers w:val="0"/>
              <w:kinsoku/>
              <w:overflowPunct/>
              <w:bidi w:val="0"/>
              <w:adjustRightInd/>
              <w:snapToGrid/>
              <w:spacing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供应商提供拟聘请的培训讲师的身份证、学历、证书及以往聘书或现任聘书，评标委员会根据拟聘请的培训讲师的数量、学识、经历、技能、资质等内容进行综合比较：</w:t>
            </w:r>
          </w:p>
          <w:p w14:paraId="06BC6112">
            <w:pPr>
              <w:keepNext w:val="0"/>
              <w:keepLines w:val="0"/>
              <w:pageBreakBefore w:val="0"/>
              <w:widowControl/>
              <w:suppressLineNumbers w:val="0"/>
              <w:kinsoku/>
              <w:overflowPunct/>
              <w:bidi w:val="0"/>
              <w:adjustRightInd/>
              <w:snapToGrid/>
              <w:spacing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（1）培训讲师数量充足，能完全覆盖本次采购服务内容，学识、经历、技能和资质丰富全面，完全满足培训需求的，得5分；</w:t>
            </w:r>
          </w:p>
          <w:p w14:paraId="4E2313DB">
            <w:pPr>
              <w:keepNext w:val="0"/>
              <w:keepLines w:val="0"/>
              <w:pageBreakBefore w:val="0"/>
              <w:widowControl/>
              <w:suppressLineNumbers w:val="0"/>
              <w:kinsoku/>
              <w:overflowPunct/>
              <w:bidi w:val="0"/>
              <w:adjustRightInd/>
              <w:snapToGrid/>
              <w:spacing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（2）培训讲师数量较充足，基本覆盖本次采购服务内容，学识、经历、技能和资质较全面，能够满足培训需求的，得3分；</w:t>
            </w:r>
          </w:p>
          <w:p w14:paraId="6D701223">
            <w:pPr>
              <w:keepNext w:val="0"/>
              <w:keepLines w:val="0"/>
              <w:pageBreakBefore w:val="0"/>
              <w:widowControl/>
              <w:suppressLineNumbers w:val="0"/>
              <w:kinsoku/>
              <w:overflowPunct/>
              <w:bidi w:val="0"/>
              <w:adjustRightInd/>
              <w:snapToGrid/>
              <w:spacing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（3）培训讲师数量一般，基本覆盖本次采购服务内容，学识、经历、技能和资质较差，基本满足培训需求的，得1分；</w:t>
            </w:r>
          </w:p>
          <w:p w14:paraId="5277564E">
            <w:pPr>
              <w:keepNext w:val="0"/>
              <w:keepLines w:val="0"/>
              <w:pageBreakBefore w:val="0"/>
              <w:widowControl/>
              <w:suppressLineNumbers w:val="0"/>
              <w:kinsoku/>
              <w:overflowPunct/>
              <w:bidi w:val="0"/>
              <w:adjustRightInd/>
              <w:snapToGrid/>
              <w:spacing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（4）培训讲师数量不足，不能覆盖本次采购服务内容，学识、经历、技能和资质不全面，不能满足培训需求的，得0.5分；</w:t>
            </w:r>
          </w:p>
          <w:p w14:paraId="11C4F235">
            <w:pPr>
              <w:keepNext w:val="0"/>
              <w:keepLines w:val="0"/>
              <w:pageBreakBefore w:val="0"/>
              <w:widowControl/>
              <w:suppressLineNumbers w:val="0"/>
              <w:kinsoku/>
              <w:overflowPunct/>
              <w:bidi w:val="0"/>
              <w:adjustRightInd/>
              <w:snapToGrid/>
              <w:spacing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p w14:paraId="650DD73C">
            <w:pPr>
              <w:spacing w:beforeLines="0" w:afterLines="0" w:line="240" w:lineRule="auto"/>
              <w:ind w:firstLine="422" w:firstLineChars="200"/>
              <w:rPr>
                <w:rFonts w:hint="eastAsia" w:ascii="宋体" w:hAnsi="宋体" w:eastAsia="宋体" w:cs="宋体"/>
                <w:color w:val="FF0000"/>
                <w:kern w:val="2"/>
                <w:sz w:val="21"/>
                <w:szCs w:val="21"/>
                <w:highlight w:val="none"/>
                <w:lang w:val="en-US" w:eastAsia="zh-CN" w:bidi="ar-SA"/>
              </w:rPr>
            </w:pPr>
            <w:r>
              <w:rPr>
                <w:rFonts w:hint="eastAsia" w:ascii="宋体" w:hAnsi="宋体" w:cs="宋体"/>
                <w:b/>
                <w:color w:val="auto"/>
                <w:sz w:val="21"/>
                <w:szCs w:val="21"/>
                <w:highlight w:val="none"/>
              </w:rPr>
              <w:t>注：供应商须在投标文件中提供相关资料，提供的资料要求真实、准确，未提供不得分。</w:t>
            </w:r>
          </w:p>
        </w:tc>
      </w:tr>
    </w:tbl>
    <w:p w14:paraId="6BE6AAD7">
      <w:pPr>
        <w:numPr>
          <w:ilvl w:val="0"/>
          <w:numId w:val="3"/>
        </w:numPr>
        <w:spacing w:line="400" w:lineRule="exact"/>
        <w:ind w:firstLine="0" w:firstLineChars="0"/>
        <w:outlineLvl w:val="1"/>
        <w:rPr>
          <w:rFonts w:ascii="宋体" w:hAnsi="宋体" w:eastAsia="宋体" w:cs="宋体"/>
          <w:b/>
          <w:bCs/>
          <w:szCs w:val="21"/>
        </w:rPr>
      </w:pPr>
      <w:r>
        <w:rPr>
          <w:rFonts w:hint="eastAsia" w:ascii="宋体" w:hAnsi="宋体" w:eastAsia="宋体" w:cs="宋体"/>
          <w:b/>
          <w:bCs/>
          <w:szCs w:val="21"/>
        </w:rPr>
        <w:t>评审方法</w:t>
      </w:r>
      <w:bookmarkEnd w:id="984"/>
      <w:bookmarkEnd w:id="985"/>
      <w:bookmarkEnd w:id="986"/>
      <w:bookmarkEnd w:id="987"/>
      <w:bookmarkEnd w:id="988"/>
      <w:bookmarkEnd w:id="989"/>
      <w:bookmarkEnd w:id="996"/>
      <w:bookmarkEnd w:id="997"/>
      <w:bookmarkEnd w:id="998"/>
    </w:p>
    <w:p w14:paraId="10532E0F">
      <w:pPr>
        <w:spacing w:line="400" w:lineRule="exact"/>
        <w:ind w:firstLine="420"/>
        <w:rPr>
          <w:rFonts w:hint="eastAsia" w:ascii="宋体" w:hAnsi="宋体" w:eastAsia="宋体" w:cs="宋体"/>
          <w:szCs w:val="21"/>
          <w:lang w:bidi="en-US"/>
        </w:rPr>
      </w:pPr>
      <w:r>
        <w:rPr>
          <w:rFonts w:hint="eastAsia" w:ascii="宋体" w:hAnsi="宋体" w:eastAsia="宋体" w:cs="宋体"/>
          <w:szCs w:val="21"/>
          <w:lang w:bidi="en-US"/>
        </w:rPr>
        <w:t>1.1严格执行信财购【2023】8 号文《信阳市政府采购文件歧视性和倾向性禁止条款清单》；</w:t>
      </w:r>
    </w:p>
    <w:p w14:paraId="40778019">
      <w:pPr>
        <w:spacing w:line="400" w:lineRule="exact"/>
        <w:ind w:firstLine="420"/>
        <w:rPr>
          <w:rFonts w:hint="eastAsia" w:ascii="宋体" w:hAnsi="宋体" w:eastAsia="宋体" w:cs="宋体"/>
          <w:szCs w:val="21"/>
          <w:lang w:bidi="en-US"/>
        </w:rPr>
      </w:pPr>
      <w:r>
        <w:rPr>
          <w:rFonts w:hint="eastAsia" w:ascii="宋体" w:hAnsi="宋体" w:eastAsia="宋体" w:cs="宋体"/>
          <w:szCs w:val="21"/>
          <w:lang w:bidi="en-US"/>
        </w:rPr>
        <w:t>1.2本次评审采用综合评分法。磋商小组对满足竞争性磋商文件实质性要求的响应文件，按照本章规定的评分标准进行打分，并按得分由高到低顺序推荐成交候选人，综合评分相等时，以报价得分高的优先；报价得分也相等的，由采购人自行确定。</w:t>
      </w:r>
      <w:bookmarkStart w:id="999" w:name="_Toc6612"/>
      <w:bookmarkStart w:id="1000" w:name="_Toc281405529"/>
      <w:bookmarkStart w:id="1001" w:name="_Toc29362"/>
      <w:bookmarkStart w:id="1002" w:name="_Toc455080157"/>
      <w:bookmarkStart w:id="1003" w:name="_Toc24936"/>
      <w:bookmarkStart w:id="1004" w:name="_Toc152042378"/>
      <w:bookmarkStart w:id="1005" w:name="_Toc466298140"/>
      <w:bookmarkStart w:id="1006" w:name="_Toc152045601"/>
      <w:bookmarkStart w:id="1007" w:name="_Toc144974568"/>
      <w:bookmarkStart w:id="1008" w:name="_Toc455867817"/>
      <w:bookmarkStart w:id="1009" w:name="_Toc20837"/>
      <w:bookmarkStart w:id="1010" w:name="_Toc490667876"/>
      <w:bookmarkStart w:id="1011" w:name="_Toc26131"/>
      <w:bookmarkStart w:id="1012" w:name="_Toc318450723"/>
    </w:p>
    <w:p w14:paraId="2F6C0177">
      <w:pPr>
        <w:spacing w:line="400" w:lineRule="exact"/>
        <w:ind w:firstLine="420"/>
        <w:rPr>
          <w:rFonts w:hint="eastAsia" w:ascii="宋体" w:hAnsi="宋体" w:eastAsia="宋体" w:cs="宋体"/>
          <w:b/>
          <w:bCs/>
          <w:szCs w:val="21"/>
          <w:lang w:bidi="en-US"/>
        </w:rPr>
      </w:pPr>
      <w:r>
        <w:rPr>
          <w:rFonts w:hint="eastAsia" w:ascii="宋体" w:hAnsi="宋体" w:eastAsia="宋体" w:cs="宋体"/>
          <w:b/>
          <w:bCs/>
          <w:szCs w:val="21"/>
          <w:lang w:bidi="en-US"/>
        </w:rPr>
        <w:t>1.3根据《财政部关于政府采购竞争性磋商采购方式管理暂行办法有关问题的补充通知》的规定，在采购过程中符合要求的供应商只有2家的，竞争性磋商采购活动可以继续进行，提交最后报价的供应商可以为2家。</w:t>
      </w:r>
    </w:p>
    <w:p w14:paraId="606EBBDF">
      <w:pPr>
        <w:numPr>
          <w:ilvl w:val="0"/>
          <w:numId w:val="3"/>
        </w:numPr>
        <w:spacing w:line="400" w:lineRule="exact"/>
        <w:ind w:firstLine="0" w:firstLineChars="0"/>
        <w:outlineLvl w:val="1"/>
        <w:rPr>
          <w:rFonts w:ascii="宋体" w:hAnsi="宋体" w:eastAsia="宋体" w:cs="宋体"/>
          <w:b/>
          <w:bCs/>
          <w:szCs w:val="21"/>
        </w:rPr>
      </w:pPr>
      <w:bookmarkStart w:id="1013" w:name="_Toc10406"/>
      <w:bookmarkStart w:id="1014" w:name="_Toc19388"/>
      <w:bookmarkStart w:id="1015" w:name="_Toc21350"/>
      <w:r>
        <w:rPr>
          <w:rFonts w:hint="eastAsia" w:ascii="宋体" w:hAnsi="宋体" w:eastAsia="宋体" w:cs="宋体"/>
          <w:b/>
          <w:bCs/>
          <w:szCs w:val="21"/>
        </w:rPr>
        <w:t>评审标准</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Start w:id="1016" w:name="_Toc21120"/>
      <w:bookmarkStart w:id="1017" w:name="_Toc144974569"/>
      <w:bookmarkStart w:id="1018" w:name="_Toc152045602"/>
      <w:bookmarkStart w:id="1019" w:name="_Toc31037"/>
      <w:bookmarkStart w:id="1020" w:name="_Toc466298141"/>
      <w:bookmarkStart w:id="1021" w:name="_Toc152042379"/>
      <w:bookmarkStart w:id="1022" w:name="_Toc15813"/>
      <w:bookmarkStart w:id="1023" w:name="_Toc25637"/>
      <w:bookmarkStart w:id="1024" w:name="_Toc281405530"/>
      <w:bookmarkStart w:id="1025" w:name="_Toc24558"/>
      <w:bookmarkStart w:id="1026" w:name="_Toc6711"/>
      <w:bookmarkStart w:id="1027" w:name="_Toc2867"/>
      <w:bookmarkStart w:id="1028" w:name="_Toc455867818"/>
      <w:bookmarkStart w:id="1029" w:name="_Toc11223"/>
      <w:bookmarkStart w:id="1030" w:name="_Toc490667877"/>
      <w:bookmarkStart w:id="1031" w:name="_Toc318450724"/>
      <w:bookmarkStart w:id="1032" w:name="_Toc455080158"/>
      <w:bookmarkStart w:id="1033" w:name="_Toc19934"/>
    </w:p>
    <w:p w14:paraId="68BC09E2">
      <w:pPr>
        <w:spacing w:line="400" w:lineRule="exact"/>
        <w:ind w:firstLine="0" w:firstLineChars="0"/>
        <w:rPr>
          <w:rFonts w:ascii="宋体" w:hAnsi="宋体" w:eastAsia="宋体" w:cs="宋体"/>
          <w:b/>
          <w:bCs/>
          <w:szCs w:val="21"/>
        </w:rPr>
      </w:pPr>
      <w:r>
        <w:rPr>
          <w:rFonts w:hint="eastAsia" w:ascii="宋体" w:hAnsi="宋体" w:eastAsia="宋体" w:cs="宋体"/>
          <w:b/>
          <w:bCs/>
          <w:szCs w:val="21"/>
        </w:rPr>
        <w:t>2.1 初步评审标准</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4571EFA3">
      <w:pPr>
        <w:spacing w:line="400" w:lineRule="exact"/>
        <w:ind w:firstLine="0" w:firstLineChars="0"/>
        <w:rPr>
          <w:rFonts w:ascii="宋体" w:hAnsi="宋体" w:eastAsia="宋体" w:cs="宋体"/>
          <w:szCs w:val="21"/>
        </w:rPr>
      </w:pPr>
      <w:r>
        <w:rPr>
          <w:rFonts w:hint="eastAsia" w:ascii="宋体" w:hAnsi="宋体" w:eastAsia="宋体" w:cs="宋体"/>
          <w:szCs w:val="21"/>
        </w:rPr>
        <w:t>2.1.1 资格检查评审标准：见评审办法前附表。</w:t>
      </w:r>
    </w:p>
    <w:p w14:paraId="2D6ED1D7">
      <w:pPr>
        <w:spacing w:line="400" w:lineRule="exact"/>
        <w:ind w:firstLine="0" w:firstLineChars="0"/>
        <w:rPr>
          <w:rFonts w:ascii="宋体" w:hAnsi="宋体" w:eastAsia="宋体" w:cs="宋体"/>
          <w:szCs w:val="21"/>
        </w:rPr>
      </w:pPr>
      <w:r>
        <w:rPr>
          <w:rFonts w:hint="eastAsia" w:ascii="宋体" w:hAnsi="宋体" w:eastAsia="宋体" w:cs="宋体"/>
          <w:szCs w:val="21"/>
        </w:rPr>
        <w:t>2.1.2符合性检查评审标准：见评审办法前附表。</w:t>
      </w:r>
    </w:p>
    <w:p w14:paraId="713BB48B">
      <w:pPr>
        <w:pStyle w:val="74"/>
        <w:ind w:firstLine="0" w:firstLineChars="0"/>
        <w:outlineLvl w:val="0"/>
        <w:rPr>
          <w:rFonts w:ascii="宋体" w:hAnsi="宋体" w:eastAsia="宋体"/>
          <w:b/>
          <w:bCs/>
          <w:sz w:val="21"/>
          <w:szCs w:val="21"/>
        </w:rPr>
      </w:pPr>
      <w:bookmarkStart w:id="1034" w:name="_Toc144974570"/>
      <w:bookmarkStart w:id="1035" w:name="_Toc466298142"/>
      <w:bookmarkStart w:id="1036" w:name="_Toc318450725"/>
      <w:bookmarkStart w:id="1037" w:name="_Toc152045603"/>
      <w:bookmarkStart w:id="1038" w:name="_Toc455080159"/>
      <w:bookmarkStart w:id="1039" w:name="_Toc12013"/>
      <w:bookmarkStart w:id="1040" w:name="_Toc281405531"/>
      <w:bookmarkStart w:id="1041" w:name="_Toc490667878"/>
      <w:bookmarkStart w:id="1042" w:name="_Toc24825"/>
      <w:bookmarkStart w:id="1043" w:name="_Toc11061"/>
      <w:bookmarkStart w:id="1044" w:name="_Toc22439"/>
      <w:bookmarkStart w:id="1045" w:name="_Toc18417"/>
      <w:bookmarkStart w:id="1046" w:name="_Toc31385"/>
      <w:bookmarkStart w:id="1047" w:name="_Toc7284"/>
      <w:bookmarkStart w:id="1048" w:name="_Toc26179"/>
      <w:bookmarkStart w:id="1049" w:name="_Toc152042380"/>
      <w:bookmarkStart w:id="1050" w:name="_Toc4734"/>
      <w:bookmarkStart w:id="1051" w:name="_Toc30189"/>
      <w:bookmarkStart w:id="1052" w:name="_Toc455867819"/>
      <w:bookmarkStart w:id="1053" w:name="_Toc25492"/>
      <w:bookmarkStart w:id="1054" w:name="_Toc21970"/>
      <w:r>
        <w:rPr>
          <w:rFonts w:hint="eastAsia" w:ascii="宋体" w:hAnsi="宋体" w:eastAsia="宋体"/>
          <w:b/>
          <w:bCs/>
          <w:sz w:val="21"/>
          <w:szCs w:val="21"/>
        </w:rPr>
        <w:t>2.2 分值构成与评分标准</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5E8EFE29">
      <w:pPr>
        <w:spacing w:line="400" w:lineRule="exact"/>
        <w:ind w:firstLine="0" w:firstLineChars="0"/>
        <w:rPr>
          <w:rFonts w:ascii="宋体" w:hAnsi="宋体" w:eastAsia="宋体" w:cs="宋体"/>
          <w:szCs w:val="21"/>
        </w:rPr>
      </w:pPr>
      <w:r>
        <w:rPr>
          <w:rFonts w:hint="eastAsia" w:ascii="宋体" w:hAnsi="宋体" w:eastAsia="宋体" w:cs="宋体"/>
          <w:szCs w:val="21"/>
        </w:rPr>
        <w:t>（1）商务标：见评审办法前附表；</w:t>
      </w:r>
    </w:p>
    <w:p w14:paraId="5834219D">
      <w:pPr>
        <w:spacing w:line="400" w:lineRule="exact"/>
        <w:ind w:firstLine="0" w:firstLineChars="0"/>
        <w:rPr>
          <w:rFonts w:ascii="宋体" w:hAnsi="宋体" w:eastAsia="宋体" w:cs="宋体"/>
          <w:szCs w:val="21"/>
        </w:rPr>
      </w:pPr>
      <w:r>
        <w:rPr>
          <w:rFonts w:hint="eastAsia" w:ascii="宋体" w:hAnsi="宋体" w:eastAsia="宋体" w:cs="宋体"/>
          <w:szCs w:val="21"/>
        </w:rPr>
        <w:t>（2）技术标：见评审办法前附表；</w:t>
      </w:r>
    </w:p>
    <w:p w14:paraId="32FA2AFC">
      <w:pPr>
        <w:spacing w:line="400" w:lineRule="exact"/>
        <w:ind w:firstLine="0" w:firstLineChars="0"/>
        <w:rPr>
          <w:rFonts w:ascii="宋体" w:hAnsi="宋体" w:eastAsia="宋体" w:cs="宋体"/>
          <w:szCs w:val="21"/>
        </w:rPr>
      </w:pPr>
      <w:r>
        <w:rPr>
          <w:rFonts w:hint="eastAsia" w:ascii="宋体" w:hAnsi="宋体" w:eastAsia="宋体" w:cs="宋体"/>
          <w:szCs w:val="21"/>
        </w:rPr>
        <w:t>（3）综合标：见评审办法前附表。</w:t>
      </w:r>
    </w:p>
    <w:p w14:paraId="44CB4524">
      <w:pPr>
        <w:pStyle w:val="73"/>
        <w:ind w:firstLine="0" w:firstLineChars="0"/>
        <w:rPr>
          <w:rFonts w:ascii="宋体" w:hAnsi="宋体" w:eastAsia="宋体"/>
          <w:b/>
          <w:bCs/>
          <w:sz w:val="21"/>
          <w:szCs w:val="21"/>
        </w:rPr>
      </w:pPr>
      <w:bookmarkStart w:id="1055" w:name="_Toc455867820"/>
      <w:bookmarkStart w:id="1056" w:name="_Toc32314"/>
      <w:bookmarkStart w:id="1057" w:name="_Toc11546"/>
      <w:bookmarkStart w:id="1058" w:name="_Toc318450726"/>
      <w:bookmarkStart w:id="1059" w:name="_Toc281405532"/>
      <w:bookmarkStart w:id="1060" w:name="_Toc5766"/>
      <w:bookmarkStart w:id="1061" w:name="_Toc18127"/>
      <w:bookmarkStart w:id="1062" w:name="_Toc17308"/>
      <w:bookmarkStart w:id="1063" w:name="_Toc16479"/>
      <w:bookmarkStart w:id="1064" w:name="_Toc3149"/>
      <w:bookmarkStart w:id="1065" w:name="_Toc466298143"/>
      <w:bookmarkStart w:id="1066" w:name="_Toc490667879"/>
      <w:bookmarkStart w:id="1067" w:name="_Toc455080160"/>
      <w:bookmarkStart w:id="1068" w:name="_Toc29297"/>
      <w:r>
        <w:rPr>
          <w:rFonts w:hint="eastAsia" w:ascii="宋体" w:hAnsi="宋体" w:eastAsia="宋体"/>
          <w:b/>
          <w:bCs/>
          <w:sz w:val="21"/>
          <w:szCs w:val="21"/>
        </w:rPr>
        <w:t>3. 评审程序</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369C2E25">
      <w:pPr>
        <w:pStyle w:val="74"/>
        <w:ind w:firstLine="0" w:firstLineChars="0"/>
        <w:outlineLvl w:val="0"/>
        <w:rPr>
          <w:rFonts w:ascii="宋体" w:hAnsi="宋体" w:eastAsia="宋体"/>
          <w:b/>
          <w:bCs/>
          <w:sz w:val="21"/>
          <w:szCs w:val="21"/>
        </w:rPr>
      </w:pPr>
      <w:bookmarkStart w:id="1069" w:name="_Toc7272"/>
      <w:bookmarkStart w:id="1070" w:name="_Toc455080161"/>
      <w:bookmarkStart w:id="1071" w:name="_Toc29092"/>
      <w:bookmarkStart w:id="1072" w:name="_Toc30986"/>
      <w:bookmarkStart w:id="1073" w:name="_Toc28837"/>
      <w:bookmarkStart w:id="1074" w:name="_Toc2410"/>
      <w:bookmarkStart w:id="1075" w:name="_Toc455867821"/>
      <w:bookmarkStart w:id="1076" w:name="_Toc466298144"/>
      <w:bookmarkStart w:id="1077" w:name="_Toc281405533"/>
      <w:bookmarkStart w:id="1078" w:name="_Toc11826"/>
      <w:bookmarkStart w:id="1079" w:name="_Toc16892"/>
      <w:bookmarkStart w:id="1080" w:name="_Toc31432"/>
      <w:bookmarkStart w:id="1081" w:name="_Toc14633"/>
      <w:bookmarkStart w:id="1082" w:name="_Toc18886"/>
      <w:bookmarkStart w:id="1083" w:name="_Toc29614"/>
      <w:bookmarkStart w:id="1084" w:name="_Toc490667880"/>
      <w:bookmarkStart w:id="1085" w:name="_Toc5427"/>
      <w:bookmarkStart w:id="1086" w:name="_Toc318450727"/>
      <w:bookmarkStart w:id="1087" w:name="_Toc9433"/>
      <w:r>
        <w:rPr>
          <w:rFonts w:hint="eastAsia" w:ascii="宋体" w:hAnsi="宋体" w:eastAsia="宋体"/>
          <w:b/>
          <w:bCs/>
          <w:sz w:val="21"/>
          <w:szCs w:val="21"/>
        </w:rPr>
        <w:t>3.1 初步评审</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6DF835D5">
      <w:pPr>
        <w:spacing w:line="400" w:lineRule="exact"/>
        <w:ind w:firstLine="0" w:firstLineChars="0"/>
        <w:rPr>
          <w:rFonts w:ascii="宋体" w:hAnsi="宋体" w:eastAsia="宋体" w:cs="宋体"/>
          <w:b/>
          <w:bCs/>
          <w:szCs w:val="21"/>
        </w:rPr>
      </w:pPr>
      <w:bookmarkStart w:id="1088" w:name="_Toc21032"/>
      <w:bookmarkStart w:id="1089" w:name="_Toc13386"/>
      <w:bookmarkStart w:id="1090" w:name="_Toc26049"/>
      <w:bookmarkStart w:id="1091" w:name="_Toc10692"/>
      <w:bookmarkStart w:id="1092" w:name="_Toc7121"/>
      <w:bookmarkStart w:id="1093" w:name="_Toc490667881"/>
      <w:bookmarkStart w:id="1094" w:name="_Toc21570"/>
      <w:bookmarkStart w:id="1095" w:name="_Toc455080162"/>
      <w:bookmarkStart w:id="1096" w:name="_Toc466298145"/>
      <w:bookmarkStart w:id="1097" w:name="_Toc281405534"/>
      <w:bookmarkStart w:id="1098" w:name="_Toc22101"/>
      <w:bookmarkStart w:id="1099" w:name="_Toc318450728"/>
      <w:bookmarkStart w:id="1100" w:name="_Toc16964"/>
      <w:bookmarkStart w:id="1101" w:name="_Toc26280"/>
      <w:bookmarkStart w:id="1102" w:name="_Toc455867822"/>
      <w:bookmarkStart w:id="1103" w:name="_Toc12406"/>
      <w:r>
        <w:rPr>
          <w:rFonts w:hint="eastAsia" w:ascii="宋体" w:hAnsi="宋体" w:eastAsia="宋体" w:cs="宋体"/>
          <w:szCs w:val="21"/>
        </w:rPr>
        <w:t>3.1.1只有通过资格审查的供应商才能进入符合性评审。评标委员会依据2.1.2规定的内容和标准对响应文件进行符合性审查。</w:t>
      </w:r>
      <w:r>
        <w:rPr>
          <w:rFonts w:hint="eastAsia" w:ascii="宋体" w:hAnsi="宋体" w:eastAsia="宋体" w:cs="宋体"/>
          <w:b/>
          <w:bCs/>
          <w:szCs w:val="21"/>
        </w:rPr>
        <w:t>有一项不符合评审标准的，其投标做无效投标处理，不得进入详细评审。</w:t>
      </w:r>
    </w:p>
    <w:p w14:paraId="76F55072">
      <w:pPr>
        <w:spacing w:line="400" w:lineRule="exact"/>
        <w:ind w:firstLine="0" w:firstLineChars="0"/>
        <w:rPr>
          <w:rFonts w:ascii="宋体" w:hAnsi="宋体" w:eastAsia="宋体" w:cs="宋体"/>
          <w:szCs w:val="21"/>
        </w:rPr>
      </w:pPr>
      <w:r>
        <w:rPr>
          <w:rFonts w:hint="eastAsia" w:ascii="宋体" w:hAnsi="宋体" w:eastAsia="宋体" w:cs="宋体"/>
          <w:szCs w:val="21"/>
        </w:rPr>
        <w:t>3.1.2 供应商有以下情形之一的，其响应文件作无效处理：</w:t>
      </w:r>
    </w:p>
    <w:p w14:paraId="4DC14EB8">
      <w:pPr>
        <w:spacing w:line="400" w:lineRule="exact"/>
        <w:ind w:firstLine="0" w:firstLineChars="0"/>
        <w:rPr>
          <w:rFonts w:ascii="宋体" w:hAnsi="宋体" w:eastAsia="宋体" w:cs="宋体"/>
          <w:szCs w:val="21"/>
        </w:rPr>
      </w:pPr>
      <w:r>
        <w:rPr>
          <w:rFonts w:hint="eastAsia" w:ascii="宋体" w:hAnsi="宋体" w:eastAsia="宋体" w:cs="宋体"/>
          <w:szCs w:val="21"/>
        </w:rPr>
        <w:t>（1）串通或弄虚作假或有其他违法行为的；</w:t>
      </w:r>
    </w:p>
    <w:p w14:paraId="5D22AEC2">
      <w:pPr>
        <w:spacing w:line="400" w:lineRule="exact"/>
        <w:ind w:firstLine="0" w:firstLineChars="0"/>
        <w:rPr>
          <w:rFonts w:ascii="宋体" w:hAnsi="宋体" w:eastAsia="宋体" w:cs="宋体"/>
          <w:szCs w:val="21"/>
        </w:rPr>
      </w:pPr>
      <w:r>
        <w:rPr>
          <w:rFonts w:hint="eastAsia" w:ascii="宋体" w:hAnsi="宋体" w:eastAsia="宋体" w:cs="宋体"/>
          <w:szCs w:val="21"/>
        </w:rPr>
        <w:t>（2）不按磋商小组要求澄清、说明或补正的；</w:t>
      </w:r>
    </w:p>
    <w:p w14:paraId="191F3FB9">
      <w:pPr>
        <w:spacing w:line="400" w:lineRule="exact"/>
        <w:ind w:firstLine="0" w:firstLineChars="0"/>
        <w:rPr>
          <w:rFonts w:ascii="宋体" w:hAnsi="宋体" w:eastAsia="宋体" w:cs="宋体"/>
          <w:szCs w:val="21"/>
        </w:rPr>
      </w:pPr>
      <w:r>
        <w:rPr>
          <w:rFonts w:hint="eastAsia" w:ascii="宋体" w:hAnsi="宋体" w:eastAsia="宋体" w:cs="宋体"/>
          <w:szCs w:val="21"/>
        </w:rPr>
        <w:t>（3）未按规定格式填写、内容不全或关键字迹模糊、无法辨认的；</w:t>
      </w:r>
    </w:p>
    <w:p w14:paraId="047719CB">
      <w:pPr>
        <w:spacing w:line="400" w:lineRule="exact"/>
        <w:ind w:firstLine="0" w:firstLineChars="0"/>
        <w:rPr>
          <w:rFonts w:ascii="宋体" w:hAnsi="宋体" w:eastAsia="宋体" w:cs="宋体"/>
          <w:szCs w:val="21"/>
        </w:rPr>
      </w:pPr>
      <w:r>
        <w:rPr>
          <w:rFonts w:hint="eastAsia" w:ascii="宋体" w:hAnsi="宋体" w:eastAsia="宋体" w:cs="宋体"/>
          <w:szCs w:val="21"/>
        </w:rPr>
        <w:t>（4）响应文件附有采购人不能接受的条件；</w:t>
      </w:r>
    </w:p>
    <w:p w14:paraId="750568A7">
      <w:pPr>
        <w:spacing w:line="400" w:lineRule="exact"/>
        <w:ind w:firstLine="0" w:firstLineChars="0"/>
        <w:rPr>
          <w:rFonts w:ascii="宋体" w:hAnsi="宋体" w:eastAsia="宋体" w:cs="宋体"/>
          <w:szCs w:val="21"/>
        </w:rPr>
      </w:pPr>
      <w:r>
        <w:rPr>
          <w:rFonts w:hint="eastAsia" w:ascii="宋体" w:hAnsi="宋体" w:eastAsia="宋体" w:cs="宋体"/>
          <w:szCs w:val="21"/>
        </w:rPr>
        <w:t>（5）不符合竞争性磋商文件规定的其他实质性要求。</w:t>
      </w:r>
    </w:p>
    <w:p w14:paraId="3BE724DC">
      <w:pPr>
        <w:pStyle w:val="74"/>
        <w:ind w:firstLine="0" w:firstLineChars="0"/>
        <w:outlineLvl w:val="0"/>
        <w:rPr>
          <w:rFonts w:ascii="宋体" w:hAnsi="宋体" w:eastAsia="宋体"/>
          <w:b/>
          <w:bCs/>
          <w:sz w:val="21"/>
          <w:szCs w:val="21"/>
        </w:rPr>
      </w:pPr>
      <w:bookmarkStart w:id="1104" w:name="_Toc8771"/>
      <w:bookmarkStart w:id="1105" w:name="_Toc28255"/>
      <w:bookmarkStart w:id="1106" w:name="_Toc21966"/>
      <w:r>
        <w:rPr>
          <w:rFonts w:hint="eastAsia" w:ascii="宋体" w:hAnsi="宋体" w:eastAsia="宋体"/>
          <w:b/>
          <w:bCs/>
          <w:sz w:val="21"/>
          <w:szCs w:val="21"/>
        </w:rPr>
        <w:t>3.2 详细评审</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7B30979E">
      <w:pPr>
        <w:spacing w:line="400" w:lineRule="exact"/>
        <w:ind w:firstLine="0" w:firstLineChars="0"/>
        <w:rPr>
          <w:rFonts w:ascii="宋体" w:hAnsi="宋体" w:eastAsia="宋体" w:cs="宋体"/>
          <w:szCs w:val="21"/>
        </w:rPr>
      </w:pPr>
      <w:r>
        <w:rPr>
          <w:rFonts w:hint="eastAsia" w:ascii="宋体" w:hAnsi="宋体" w:eastAsia="宋体" w:cs="宋体"/>
          <w:szCs w:val="21"/>
        </w:rPr>
        <w:t>3.2.1 磋商小组按本章第2.2款规定的量化因素和分值进行打分，并计算出综合评分得分。</w:t>
      </w:r>
    </w:p>
    <w:p w14:paraId="21FF234B">
      <w:pPr>
        <w:spacing w:line="400" w:lineRule="exact"/>
        <w:ind w:firstLine="0" w:firstLineChars="0"/>
        <w:rPr>
          <w:rFonts w:ascii="宋体" w:hAnsi="宋体" w:eastAsia="宋体" w:cs="宋体"/>
          <w:szCs w:val="21"/>
        </w:rPr>
      </w:pPr>
      <w:r>
        <w:rPr>
          <w:rFonts w:hint="eastAsia" w:ascii="宋体" w:hAnsi="宋体" w:eastAsia="宋体" w:cs="宋体"/>
          <w:szCs w:val="21"/>
        </w:rPr>
        <w:t>3.2.2 评分分值计算保留小数点后两位，小数点后第三位“四舍五入”。</w:t>
      </w:r>
    </w:p>
    <w:p w14:paraId="421F4CC7">
      <w:pPr>
        <w:spacing w:line="400" w:lineRule="exact"/>
        <w:ind w:firstLine="0" w:firstLineChars="0"/>
        <w:rPr>
          <w:rFonts w:ascii="宋体" w:hAnsi="宋体" w:eastAsia="宋体" w:cs="宋体"/>
          <w:szCs w:val="21"/>
        </w:rPr>
      </w:pPr>
      <w:r>
        <w:rPr>
          <w:rFonts w:hint="eastAsia" w:ascii="宋体" w:hAnsi="宋体" w:eastAsia="宋体" w:cs="宋体"/>
          <w:szCs w:val="21"/>
        </w:rPr>
        <w:t>3.2.3供应商的最终得分以全部小组成员打分的算术平均值为准，作为该供应商的最终得分。</w:t>
      </w:r>
    </w:p>
    <w:p w14:paraId="2302FA4D">
      <w:pPr>
        <w:spacing w:line="400" w:lineRule="exact"/>
        <w:ind w:firstLine="0" w:firstLineChars="0"/>
        <w:rPr>
          <w:rFonts w:ascii="宋体" w:hAnsi="宋体" w:eastAsia="宋体" w:cs="宋体"/>
          <w:szCs w:val="21"/>
        </w:rPr>
      </w:pPr>
      <w:r>
        <w:rPr>
          <w:rFonts w:hint="eastAsia" w:ascii="宋体" w:hAnsi="宋体" w:eastAsia="宋体" w:cs="宋体"/>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0095F3F3">
      <w:pPr>
        <w:pStyle w:val="74"/>
        <w:ind w:firstLine="0" w:firstLineChars="0"/>
        <w:outlineLvl w:val="0"/>
        <w:rPr>
          <w:rFonts w:ascii="宋体" w:hAnsi="宋体" w:eastAsia="宋体"/>
          <w:b/>
          <w:bCs/>
          <w:sz w:val="21"/>
          <w:szCs w:val="21"/>
        </w:rPr>
      </w:pPr>
      <w:bookmarkStart w:id="1107" w:name="_Toc455867823"/>
      <w:bookmarkStart w:id="1108" w:name="_Toc11958"/>
      <w:bookmarkStart w:id="1109" w:name="_Toc10153"/>
      <w:bookmarkStart w:id="1110" w:name="_Toc12390"/>
      <w:bookmarkStart w:id="1111" w:name="_Toc331"/>
      <w:bookmarkStart w:id="1112" w:name="_Toc28633"/>
      <w:bookmarkStart w:id="1113" w:name="_Toc12374"/>
      <w:bookmarkStart w:id="1114" w:name="_Toc281405535"/>
      <w:bookmarkStart w:id="1115" w:name="_Toc2657"/>
      <w:bookmarkStart w:id="1116" w:name="_Toc8813"/>
      <w:bookmarkStart w:id="1117" w:name="_Toc22084"/>
      <w:bookmarkStart w:id="1118" w:name="_Toc455080163"/>
      <w:bookmarkStart w:id="1119" w:name="_Toc318450729"/>
      <w:bookmarkStart w:id="1120" w:name="_Toc24862"/>
      <w:bookmarkStart w:id="1121" w:name="_Toc8342"/>
      <w:bookmarkStart w:id="1122" w:name="_Toc490667882"/>
      <w:bookmarkStart w:id="1123" w:name="_Toc9193"/>
      <w:bookmarkStart w:id="1124" w:name="_Toc466298146"/>
      <w:bookmarkStart w:id="1125" w:name="_Toc25291"/>
      <w:r>
        <w:rPr>
          <w:rFonts w:hint="eastAsia" w:ascii="宋体" w:hAnsi="宋体" w:eastAsia="宋体"/>
          <w:b/>
          <w:bCs/>
          <w:sz w:val="21"/>
          <w:szCs w:val="21"/>
        </w:rPr>
        <w:t>3.3 响应文件的澄清和补正</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51EFDEC8">
      <w:pPr>
        <w:spacing w:line="400" w:lineRule="exact"/>
        <w:ind w:firstLine="0" w:firstLineChars="0"/>
        <w:rPr>
          <w:rFonts w:ascii="宋体" w:hAnsi="宋体" w:eastAsia="宋体" w:cs="宋体"/>
          <w:szCs w:val="21"/>
        </w:rPr>
      </w:pPr>
      <w:r>
        <w:rPr>
          <w:rFonts w:hint="eastAsia" w:ascii="宋体" w:hAnsi="宋体" w:eastAsia="宋体" w:cs="宋体"/>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3F578418">
      <w:pPr>
        <w:spacing w:line="400" w:lineRule="exact"/>
        <w:ind w:firstLine="0" w:firstLineChars="0"/>
        <w:rPr>
          <w:rFonts w:ascii="宋体" w:hAnsi="宋体" w:eastAsia="宋体" w:cs="宋体"/>
          <w:szCs w:val="21"/>
        </w:rPr>
      </w:pPr>
      <w:r>
        <w:rPr>
          <w:rFonts w:hint="eastAsia" w:ascii="宋体" w:hAnsi="宋体" w:eastAsia="宋体" w:cs="宋体"/>
          <w:szCs w:val="21"/>
        </w:rPr>
        <w:t>3.3.2 澄清、说明和补正不得超出响应文件的范围或者改变响应文件的实质性内容（算术性错误修正的除外）。供应商的书面澄清、说明和补正属于响应文件的组成部分。</w:t>
      </w:r>
    </w:p>
    <w:p w14:paraId="0A010793">
      <w:pPr>
        <w:spacing w:line="400" w:lineRule="exact"/>
        <w:ind w:firstLine="0" w:firstLineChars="0"/>
        <w:rPr>
          <w:rFonts w:ascii="宋体" w:hAnsi="宋体" w:eastAsia="宋体" w:cs="宋体"/>
          <w:szCs w:val="21"/>
        </w:rPr>
      </w:pPr>
      <w:r>
        <w:rPr>
          <w:rFonts w:hint="eastAsia" w:ascii="宋体" w:hAnsi="宋体" w:eastAsia="宋体" w:cs="宋体"/>
          <w:szCs w:val="21"/>
        </w:rPr>
        <w:t>3.3.3 磋商小组对供应商提交的澄清、说明或补正有疑问的，可以要求供应商进一步澄清、说明或补正，直至满足磋商小组的要求。</w:t>
      </w:r>
    </w:p>
    <w:p w14:paraId="59E1D171">
      <w:pPr>
        <w:pStyle w:val="74"/>
        <w:ind w:firstLine="0" w:firstLineChars="0"/>
        <w:outlineLvl w:val="0"/>
        <w:rPr>
          <w:rFonts w:ascii="宋体" w:hAnsi="宋体" w:eastAsia="宋体"/>
          <w:sz w:val="21"/>
          <w:szCs w:val="21"/>
        </w:rPr>
      </w:pPr>
      <w:bookmarkStart w:id="1126" w:name="_Toc318450730"/>
      <w:bookmarkStart w:id="1127" w:name="_Toc455080164"/>
      <w:bookmarkStart w:id="1128" w:name="_Toc22682"/>
      <w:bookmarkStart w:id="1129" w:name="_Toc19938"/>
      <w:bookmarkStart w:id="1130" w:name="_Toc26894"/>
      <w:bookmarkStart w:id="1131" w:name="_Toc22049"/>
      <w:bookmarkStart w:id="1132" w:name="_Toc6270"/>
      <w:bookmarkStart w:id="1133" w:name="_Toc281405536"/>
      <w:bookmarkStart w:id="1134" w:name="_Toc30053"/>
      <w:bookmarkStart w:id="1135" w:name="_Toc466298147"/>
      <w:bookmarkStart w:id="1136" w:name="_Toc27990"/>
      <w:bookmarkStart w:id="1137" w:name="_Toc1857"/>
      <w:bookmarkStart w:id="1138" w:name="_Toc19453"/>
      <w:bookmarkStart w:id="1139" w:name="_Toc455867824"/>
      <w:bookmarkStart w:id="1140" w:name="_Toc490667883"/>
      <w:bookmarkStart w:id="1141" w:name="_Toc32183"/>
      <w:bookmarkStart w:id="1142" w:name="_Toc8139"/>
      <w:bookmarkStart w:id="1143" w:name="_Toc5903"/>
      <w:bookmarkStart w:id="1144" w:name="_Toc22986"/>
      <w:r>
        <w:rPr>
          <w:rFonts w:hint="eastAsia" w:ascii="宋体" w:hAnsi="宋体" w:eastAsia="宋体"/>
          <w:sz w:val="21"/>
          <w:szCs w:val="21"/>
        </w:rPr>
        <w:t>3.4 评审结果</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28CDA767">
      <w:pPr>
        <w:spacing w:line="400" w:lineRule="exact"/>
        <w:ind w:firstLine="0" w:firstLineChars="0"/>
        <w:rPr>
          <w:rFonts w:ascii="宋体" w:hAnsi="宋体" w:eastAsia="宋体" w:cs="宋体"/>
          <w:szCs w:val="21"/>
        </w:rPr>
      </w:pPr>
      <w:r>
        <w:rPr>
          <w:rFonts w:hint="eastAsia" w:ascii="宋体" w:hAnsi="宋体" w:eastAsia="宋体" w:cs="宋体"/>
          <w:szCs w:val="21"/>
        </w:rPr>
        <w:t>3.4.1除第二章“供应商须知”前附表授权直接确定成交人外，磋商小组按照得分由高到低的顺序推荐成交候选人。</w:t>
      </w:r>
    </w:p>
    <w:p w14:paraId="0FB247AD">
      <w:pPr>
        <w:spacing w:line="400" w:lineRule="exact"/>
        <w:ind w:firstLine="0" w:firstLineChars="0"/>
        <w:rPr>
          <w:rFonts w:ascii="宋体" w:hAnsi="宋体" w:eastAsia="宋体" w:cs="宋体"/>
          <w:szCs w:val="21"/>
        </w:rPr>
      </w:pPr>
      <w:r>
        <w:rPr>
          <w:rFonts w:hint="eastAsia" w:ascii="宋体" w:hAnsi="宋体" w:eastAsia="宋体" w:cs="宋体"/>
          <w:szCs w:val="21"/>
        </w:rPr>
        <w:t>3.4.2 磋商小组完成评审后，应当向采购人提交书面评审报告。</w:t>
      </w:r>
    </w:p>
    <w:p w14:paraId="7F14A99F">
      <w:pPr>
        <w:spacing w:line="400" w:lineRule="exact"/>
        <w:ind w:firstLine="0" w:firstLineChars="0"/>
        <w:rPr>
          <w:rFonts w:ascii="宋体" w:hAnsi="宋体" w:cs="宋体"/>
          <w:bCs/>
          <w:sz w:val="28"/>
          <w:szCs w:val="28"/>
        </w:rPr>
      </w:pPr>
      <w:bookmarkStart w:id="1145" w:name="_Toc144974577"/>
      <w:bookmarkStart w:id="1146" w:name="_Toc14024"/>
      <w:bookmarkStart w:id="1147" w:name="_Toc152045609"/>
      <w:bookmarkStart w:id="1148" w:name="_Toc152042387"/>
      <w:r>
        <w:rPr>
          <w:rFonts w:hint="eastAsia" w:ascii="宋体" w:hAnsi="宋体" w:eastAsia="宋体" w:cs="宋体"/>
          <w:szCs w:val="21"/>
        </w:rPr>
        <w:t>3.4.3评标结果同时在《河南省政府采购网》、《全国公共资源交易平台（河南省·</w:t>
      </w:r>
      <w:r>
        <w:rPr>
          <w:rFonts w:hint="eastAsia" w:ascii="宋体" w:hAnsi="宋体" w:eastAsia="宋体" w:cs="宋体"/>
          <w:szCs w:val="21"/>
          <w:lang w:val="en-US" w:eastAsia="zh-CN"/>
        </w:rPr>
        <w:t>罗山县</w:t>
      </w:r>
      <w:r>
        <w:rPr>
          <w:rFonts w:hint="eastAsia" w:ascii="宋体" w:hAnsi="宋体" w:eastAsia="宋体" w:cs="宋体"/>
          <w:szCs w:val="21"/>
        </w:rPr>
        <w:t>）》公示。</w:t>
      </w:r>
    </w:p>
    <w:p w14:paraId="72C44C30">
      <w:pPr>
        <w:rPr>
          <w:rFonts w:hint="eastAsia" w:ascii="宋体" w:hAnsi="宋体" w:eastAsia="宋体" w:cs="宋体"/>
          <w:sz w:val="21"/>
          <w:szCs w:val="21"/>
        </w:rPr>
      </w:pPr>
      <w:bookmarkStart w:id="1149" w:name="_Toc27942"/>
      <w:bookmarkStart w:id="1150" w:name="_Toc22046"/>
      <w:bookmarkStart w:id="1151" w:name="_Toc6806"/>
      <w:r>
        <w:rPr>
          <w:rFonts w:hint="eastAsia" w:ascii="宋体" w:hAnsi="宋体" w:eastAsia="宋体" w:cs="宋体"/>
          <w:sz w:val="21"/>
          <w:szCs w:val="21"/>
        </w:rPr>
        <w:br w:type="page"/>
      </w:r>
    </w:p>
    <w:p w14:paraId="40F01D32">
      <w:pPr>
        <w:pStyle w:val="8"/>
        <w:spacing w:line="400" w:lineRule="exact"/>
        <w:ind w:left="0" w:leftChars="0" w:firstLine="0" w:firstLineChars="0"/>
        <w:rPr>
          <w:rFonts w:ascii="宋体" w:hAnsi="宋体" w:eastAsia="宋体" w:cs="宋体"/>
          <w:sz w:val="21"/>
          <w:szCs w:val="21"/>
        </w:rPr>
      </w:pPr>
      <w:r>
        <w:rPr>
          <w:rFonts w:hint="eastAsia" w:ascii="宋体" w:hAnsi="宋体" w:eastAsia="宋体" w:cs="宋体"/>
          <w:sz w:val="21"/>
          <w:szCs w:val="21"/>
        </w:rPr>
        <w:t>附件：废标条件</w:t>
      </w:r>
      <w:bookmarkEnd w:id="1149"/>
      <w:bookmarkEnd w:id="1150"/>
      <w:bookmarkEnd w:id="1151"/>
    </w:p>
    <w:p w14:paraId="235F37F9">
      <w:pPr>
        <w:spacing w:line="400" w:lineRule="exact"/>
        <w:ind w:firstLine="0" w:firstLineChars="0"/>
        <w:jc w:val="center"/>
        <w:rPr>
          <w:rFonts w:ascii="宋体" w:hAnsi="宋体" w:eastAsia="宋体" w:cs="宋体"/>
          <w:b/>
          <w:szCs w:val="21"/>
        </w:rPr>
      </w:pPr>
      <w:r>
        <w:rPr>
          <w:rFonts w:hint="eastAsia" w:ascii="宋体" w:hAnsi="宋体" w:eastAsia="宋体" w:cs="宋体"/>
          <w:b/>
          <w:szCs w:val="21"/>
        </w:rPr>
        <w:t>废标条件</w:t>
      </w:r>
    </w:p>
    <w:p w14:paraId="3F1F02C8">
      <w:pPr>
        <w:spacing w:line="400" w:lineRule="exact"/>
        <w:ind w:firstLine="0" w:firstLineChars="0"/>
        <w:rPr>
          <w:rFonts w:ascii="宋体" w:hAnsi="宋体" w:eastAsia="宋体" w:cs="宋体"/>
          <w:b/>
          <w:szCs w:val="21"/>
        </w:rPr>
      </w:pPr>
      <w:r>
        <w:rPr>
          <w:rFonts w:hint="eastAsia" w:ascii="宋体" w:hAnsi="宋体" w:eastAsia="宋体" w:cs="宋体"/>
          <w:b/>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58D8F32E">
      <w:pPr>
        <w:spacing w:line="400" w:lineRule="exact"/>
        <w:ind w:firstLine="0" w:firstLineChars="0"/>
        <w:rPr>
          <w:rFonts w:ascii="宋体" w:hAnsi="宋体" w:eastAsia="宋体" w:cs="宋体"/>
          <w:b/>
          <w:szCs w:val="21"/>
        </w:rPr>
      </w:pPr>
      <w:r>
        <w:rPr>
          <w:rFonts w:hint="eastAsia" w:ascii="宋体" w:hAnsi="宋体" w:eastAsia="宋体" w:cs="宋体"/>
          <w:b/>
          <w:szCs w:val="21"/>
        </w:rPr>
        <w:t xml:space="preserve">1.未通过第三章评标办法资格评审、符合性评审的； </w:t>
      </w:r>
    </w:p>
    <w:p w14:paraId="3B7788B7">
      <w:pPr>
        <w:spacing w:line="400" w:lineRule="exact"/>
        <w:ind w:firstLine="0" w:firstLineChars="0"/>
        <w:rPr>
          <w:rFonts w:ascii="宋体" w:hAnsi="宋体" w:eastAsia="宋体" w:cs="宋体"/>
          <w:b/>
          <w:szCs w:val="21"/>
        </w:rPr>
      </w:pPr>
      <w:r>
        <w:rPr>
          <w:rFonts w:hint="eastAsia" w:ascii="宋体" w:hAnsi="宋体" w:eastAsia="宋体" w:cs="宋体"/>
          <w:b/>
          <w:szCs w:val="21"/>
        </w:rPr>
        <w:t>2.不按磋商小组要求澄清、说明或补正的；</w:t>
      </w:r>
    </w:p>
    <w:p w14:paraId="7A3BB12A">
      <w:pPr>
        <w:spacing w:line="400" w:lineRule="exact"/>
        <w:ind w:firstLine="0" w:firstLineChars="0"/>
        <w:rPr>
          <w:rFonts w:ascii="宋体" w:hAnsi="宋体" w:eastAsia="宋体" w:cs="宋体"/>
          <w:b/>
          <w:szCs w:val="21"/>
        </w:rPr>
      </w:pPr>
      <w:r>
        <w:rPr>
          <w:rFonts w:hint="eastAsia" w:ascii="宋体" w:hAnsi="宋体" w:eastAsia="宋体" w:cs="宋体"/>
          <w:b/>
          <w:szCs w:val="21"/>
        </w:rPr>
        <w:t>3.磋商报价有算术性错误，</w:t>
      </w:r>
      <w:r>
        <w:rPr>
          <w:rFonts w:hint="eastAsia" w:ascii="宋体" w:hAnsi="宋体" w:eastAsia="宋体" w:cs="宋体"/>
          <w:b/>
          <w:szCs w:val="21"/>
          <w:lang w:eastAsia="zh-CN"/>
        </w:rPr>
        <w:t>供应商</w:t>
      </w:r>
      <w:r>
        <w:rPr>
          <w:rFonts w:hint="eastAsia" w:ascii="宋体" w:hAnsi="宋体" w:eastAsia="宋体" w:cs="宋体"/>
          <w:b/>
          <w:szCs w:val="21"/>
        </w:rPr>
        <w:t>不接受修正价格的；</w:t>
      </w:r>
    </w:p>
    <w:p w14:paraId="2CEA6D36">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4.以他人的名义投标、以行贿手段谋取中标或者以其他弄虚作假方式投标的；</w:t>
      </w:r>
    </w:p>
    <w:p w14:paraId="6A03337C">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5.属于串（围）标行为的；</w:t>
      </w:r>
    </w:p>
    <w:p w14:paraId="0D84397D">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6.评标委员会认定</w:t>
      </w:r>
      <w:r>
        <w:rPr>
          <w:rFonts w:hint="eastAsia" w:ascii="宋体" w:hAnsi="宋体" w:eastAsia="宋体" w:cs="宋体"/>
          <w:b/>
          <w:szCs w:val="21"/>
          <w:lang w:eastAsia="zh-CN"/>
        </w:rPr>
        <w:t>供应商</w:t>
      </w:r>
      <w:r>
        <w:rPr>
          <w:rFonts w:hint="eastAsia" w:ascii="宋体" w:hAnsi="宋体" w:eastAsia="宋体" w:cs="宋体"/>
          <w:b/>
          <w:szCs w:val="21"/>
        </w:rPr>
        <w:t>以低于成本报价竞标的；</w:t>
      </w:r>
    </w:p>
    <w:p w14:paraId="28D2F125">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7．明显不符合技术规格、技术标准的要求；</w:t>
      </w:r>
    </w:p>
    <w:p w14:paraId="4E8B2589">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8.文件制作机器码、文件创建标识码有相同的；</w:t>
      </w:r>
    </w:p>
    <w:p w14:paraId="511904A3">
      <w:pPr>
        <w:spacing w:line="400" w:lineRule="exact"/>
        <w:ind w:firstLine="0" w:firstLineChars="0"/>
        <w:rPr>
          <w:rFonts w:hint="eastAsia" w:ascii="宋体" w:hAnsi="宋体" w:eastAsia="宋体" w:cs="宋体"/>
          <w:b/>
          <w:szCs w:val="21"/>
        </w:rPr>
      </w:pPr>
      <w:r>
        <w:rPr>
          <w:rFonts w:hint="eastAsia" w:ascii="宋体" w:hAnsi="宋体" w:eastAsia="宋体" w:cs="宋体"/>
          <w:b/>
          <w:szCs w:val="21"/>
        </w:rPr>
        <w:t>9．不符合竞争性磋商文件规定的其他实质性要求及相关法律、法规或规章规定可以废标的其他情形。</w:t>
      </w:r>
    </w:p>
    <w:p w14:paraId="204C83B0">
      <w:pPr>
        <w:pStyle w:val="32"/>
        <w:ind w:firstLine="0" w:firstLineChars="0"/>
        <w:rPr>
          <w:rFonts w:ascii="宋体" w:hAnsi="宋体" w:cs="宋体"/>
          <w:bCs/>
          <w:sz w:val="28"/>
          <w:szCs w:val="28"/>
        </w:rPr>
      </w:pPr>
    </w:p>
    <w:p w14:paraId="034E06F0">
      <w:pPr>
        <w:pStyle w:val="33"/>
        <w:tabs>
          <w:tab w:val="left" w:pos="945"/>
          <w:tab w:val="left" w:pos="1155"/>
        </w:tabs>
        <w:ind w:firstLine="0" w:firstLineChars="0"/>
        <w:rPr>
          <w:rFonts w:ascii="宋体" w:hAnsi="宋体" w:cs="宋体"/>
          <w:bCs/>
          <w:sz w:val="28"/>
          <w:szCs w:val="28"/>
        </w:rPr>
      </w:pPr>
    </w:p>
    <w:p w14:paraId="74165E62">
      <w:pPr>
        <w:pStyle w:val="48"/>
      </w:pPr>
    </w:p>
    <w:bookmarkEnd w:id="1145"/>
    <w:bookmarkEnd w:id="1146"/>
    <w:bookmarkEnd w:id="1147"/>
    <w:bookmarkEnd w:id="1148"/>
    <w:p w14:paraId="2F59D92C">
      <w:pPr>
        <w:ind w:firstLine="643"/>
        <w:rPr>
          <w:rFonts w:ascii="宋体" w:hAnsi="宋体" w:cs="宋体"/>
          <w:b/>
          <w:kern w:val="44"/>
          <w:sz w:val="32"/>
          <w:szCs w:val="32"/>
        </w:rPr>
      </w:pPr>
      <w:bookmarkStart w:id="1152" w:name="_Toc21270"/>
      <w:bookmarkStart w:id="1153" w:name="_Toc14158"/>
      <w:bookmarkStart w:id="1154" w:name="_Toc152045786"/>
      <w:bookmarkStart w:id="1155" w:name="_Toc152042575"/>
      <w:bookmarkStart w:id="1156" w:name="_Toc144974855"/>
      <w:r>
        <w:rPr>
          <w:rFonts w:hint="eastAsia" w:ascii="宋体" w:hAnsi="宋体" w:cs="宋体"/>
          <w:b/>
          <w:kern w:val="44"/>
          <w:sz w:val="32"/>
          <w:szCs w:val="32"/>
        </w:rPr>
        <w:br w:type="page"/>
      </w:r>
    </w:p>
    <w:p w14:paraId="09D22462">
      <w:pPr>
        <w:ind w:firstLine="0" w:firstLineChars="0"/>
        <w:jc w:val="center"/>
        <w:outlineLvl w:val="0"/>
        <w:rPr>
          <w:rFonts w:ascii="宋体" w:hAnsi="宋体" w:cs="宋体"/>
          <w:b/>
          <w:kern w:val="44"/>
          <w:sz w:val="32"/>
          <w:szCs w:val="32"/>
        </w:rPr>
      </w:pPr>
      <w:r>
        <w:rPr>
          <w:rFonts w:hint="eastAsia" w:ascii="宋体" w:hAnsi="宋体" w:cs="宋体"/>
          <w:b/>
          <w:kern w:val="44"/>
          <w:sz w:val="32"/>
          <w:szCs w:val="32"/>
        </w:rPr>
        <w:t>第四章  采购合同</w:t>
      </w:r>
      <w:bookmarkEnd w:id="1152"/>
    </w:p>
    <w:p w14:paraId="4C561A31">
      <w:pPr>
        <w:spacing w:line="400" w:lineRule="exact"/>
        <w:ind w:left="0" w:leftChars="0" w:firstLine="0" w:firstLineChars="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河南省政府采购合同</w:t>
      </w:r>
    </w:p>
    <w:p w14:paraId="4C020BDC">
      <w:pPr>
        <w:spacing w:line="400" w:lineRule="exact"/>
        <w:ind w:left="0" w:leftChars="0" w:firstLine="0" w:firstLineChars="0"/>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参考文本，</w:t>
      </w:r>
      <w:r>
        <w:rPr>
          <w:rFonts w:hint="eastAsia" w:ascii="宋体" w:hAnsi="宋体" w:eastAsia="宋体" w:cs="宋体"/>
          <w:b/>
          <w:color w:val="auto"/>
          <w:sz w:val="32"/>
          <w:szCs w:val="32"/>
          <w:highlight w:val="none"/>
          <w:lang w:val="en-US" w:eastAsia="zh-CN"/>
        </w:rPr>
        <w:t>以实际签订合同为准</w:t>
      </w:r>
      <w:r>
        <w:rPr>
          <w:rFonts w:hint="eastAsia" w:ascii="宋体" w:hAnsi="宋体" w:eastAsia="宋体" w:cs="宋体"/>
          <w:b/>
          <w:color w:val="auto"/>
          <w:sz w:val="32"/>
          <w:szCs w:val="32"/>
          <w:highlight w:val="none"/>
        </w:rPr>
        <w:t>）</w:t>
      </w:r>
    </w:p>
    <w:p w14:paraId="68EFDB93">
      <w:pPr>
        <w:spacing w:line="400" w:lineRule="exact"/>
        <w:ind w:firstLine="450" w:firstLineChars="150"/>
        <w:rPr>
          <w:rFonts w:hint="eastAsia" w:ascii="宋体" w:hAnsi="宋体" w:eastAsia="宋体" w:cs="宋体"/>
          <w:color w:val="auto"/>
          <w:sz w:val="30"/>
          <w:szCs w:val="30"/>
          <w:highlight w:val="none"/>
        </w:rPr>
      </w:pPr>
    </w:p>
    <w:p w14:paraId="22DDC416">
      <w:pPr>
        <w:spacing w:line="400" w:lineRule="exact"/>
        <w:ind w:firstLine="450" w:firstLineChars="150"/>
        <w:rPr>
          <w:rFonts w:hint="eastAsia" w:ascii="宋体" w:hAnsi="宋体" w:eastAsia="宋体" w:cs="宋体"/>
          <w:color w:val="auto"/>
          <w:sz w:val="30"/>
          <w:szCs w:val="30"/>
          <w:highlight w:val="none"/>
        </w:rPr>
      </w:pPr>
    </w:p>
    <w:p w14:paraId="3E4F6FF2">
      <w:pPr>
        <w:spacing w:line="400" w:lineRule="exact"/>
        <w:ind w:firstLine="450" w:firstLineChars="150"/>
        <w:rPr>
          <w:rFonts w:hint="eastAsia" w:ascii="宋体" w:hAnsi="宋体" w:eastAsia="宋体" w:cs="宋体"/>
          <w:color w:val="auto"/>
          <w:sz w:val="30"/>
          <w:szCs w:val="30"/>
          <w:highlight w:val="none"/>
        </w:rPr>
      </w:pPr>
    </w:p>
    <w:p w14:paraId="30319328">
      <w:pPr>
        <w:spacing w:line="400" w:lineRule="exact"/>
        <w:ind w:firstLine="450" w:firstLineChars="150"/>
        <w:rPr>
          <w:rFonts w:hint="eastAsia" w:ascii="宋体" w:hAnsi="宋体" w:eastAsia="宋体" w:cs="宋体"/>
          <w:color w:val="auto"/>
          <w:sz w:val="30"/>
          <w:szCs w:val="30"/>
          <w:highlight w:val="none"/>
        </w:rPr>
      </w:pPr>
    </w:p>
    <w:p w14:paraId="67081E39">
      <w:pPr>
        <w:spacing w:line="400" w:lineRule="exact"/>
        <w:ind w:firstLine="450" w:firstLineChars="150"/>
        <w:rPr>
          <w:rFonts w:hint="eastAsia" w:ascii="宋体" w:hAnsi="宋体" w:eastAsia="宋体" w:cs="宋体"/>
          <w:color w:val="auto"/>
          <w:sz w:val="30"/>
          <w:szCs w:val="30"/>
          <w:highlight w:val="none"/>
        </w:rPr>
      </w:pPr>
    </w:p>
    <w:p w14:paraId="361B81DC">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 xml:space="preserve">合同编号： </w:t>
      </w:r>
    </w:p>
    <w:p w14:paraId="38A95930">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7273E5B8">
      <w:pPr>
        <w:keepNext w:val="0"/>
        <w:keepLines w:val="0"/>
        <w:widowControl/>
        <w:suppressLineNumbers w:val="0"/>
        <w:spacing w:line="240" w:lineRule="auto"/>
        <w:ind w:firstLine="0" w:firstLineChars="0"/>
        <w:jc w:val="center"/>
        <w:rPr>
          <w:rFonts w:hint="eastAsia" w:ascii="宋体" w:hAnsi="宋体" w:eastAsia="宋体" w:cs="宋体"/>
          <w:szCs w:val="24"/>
          <w:highlight w:val="none"/>
          <w:lang w:val="en-US"/>
        </w:rPr>
      </w:pPr>
      <w:r>
        <w:rPr>
          <w:rFonts w:hint="eastAsia" w:ascii="宋体" w:hAnsi="宋体" w:eastAsia="宋体" w:cs="宋体"/>
          <w:color w:val="000000"/>
          <w:kern w:val="0"/>
          <w:sz w:val="52"/>
          <w:szCs w:val="52"/>
          <w:highlight w:val="none"/>
          <w:lang w:val="en-US" w:eastAsia="zh-CN" w:bidi="ar"/>
        </w:rPr>
        <w:t>合同名称</w:t>
      </w:r>
    </w:p>
    <w:p w14:paraId="35D404DE">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p>
    <w:p w14:paraId="404336AA">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r>
        <w:rPr>
          <w:rFonts w:hint="eastAsia" w:ascii="宋体" w:hAnsi="宋体" w:eastAsia="宋体" w:cs="宋体"/>
          <w:b/>
          <w:bCs/>
          <w:color w:val="000000"/>
          <w:kern w:val="0"/>
          <w:sz w:val="31"/>
          <w:szCs w:val="31"/>
          <w:highlight w:val="none"/>
          <w:lang w:val="en-US" w:eastAsia="zh-CN" w:bidi="ar"/>
        </w:rPr>
        <w:t>项目名称：</w:t>
      </w:r>
    </w:p>
    <w:p w14:paraId="495DA5CA">
      <w:pPr>
        <w:keepNext w:val="0"/>
        <w:keepLines w:val="0"/>
        <w:widowControl/>
        <w:suppressLineNumbers w:val="0"/>
        <w:spacing w:line="240" w:lineRule="auto"/>
        <w:ind w:firstLine="0" w:firstLineChars="0"/>
        <w:jc w:val="left"/>
        <w:rPr>
          <w:rFonts w:hint="eastAsia" w:ascii="宋体" w:hAnsi="宋体" w:eastAsia="宋体" w:cs="宋体"/>
          <w:szCs w:val="24"/>
          <w:highlight w:val="none"/>
        </w:rPr>
      </w:pPr>
      <w:r>
        <w:rPr>
          <w:rFonts w:hint="eastAsia" w:ascii="宋体" w:hAnsi="宋体" w:eastAsia="宋体" w:cs="宋体"/>
          <w:b/>
          <w:bCs/>
          <w:color w:val="000000"/>
          <w:kern w:val="0"/>
          <w:sz w:val="31"/>
          <w:szCs w:val="31"/>
          <w:highlight w:val="none"/>
          <w:lang w:val="en-US" w:eastAsia="zh-CN" w:bidi="ar"/>
        </w:rPr>
        <w:t xml:space="preserve"> </w:t>
      </w:r>
    </w:p>
    <w:p w14:paraId="4127D3B4">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r>
        <w:rPr>
          <w:rFonts w:hint="eastAsia" w:ascii="宋体" w:hAnsi="宋体" w:eastAsia="宋体" w:cs="宋体"/>
          <w:b/>
          <w:bCs/>
          <w:color w:val="000000"/>
          <w:kern w:val="0"/>
          <w:sz w:val="31"/>
          <w:szCs w:val="31"/>
          <w:highlight w:val="none"/>
          <w:lang w:val="en-US" w:eastAsia="zh-CN" w:bidi="ar"/>
        </w:rPr>
        <w:t>需方（甲方）：</w:t>
      </w:r>
    </w:p>
    <w:p w14:paraId="4858A67B">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p>
    <w:p w14:paraId="4BE6C3CE">
      <w:pPr>
        <w:keepNext w:val="0"/>
        <w:keepLines w:val="0"/>
        <w:widowControl/>
        <w:suppressLineNumbers w:val="0"/>
        <w:spacing w:line="240" w:lineRule="auto"/>
        <w:ind w:firstLine="0" w:firstLineChars="0"/>
        <w:jc w:val="left"/>
        <w:rPr>
          <w:rFonts w:hint="eastAsia" w:ascii="宋体" w:hAnsi="宋体" w:eastAsia="宋体" w:cs="宋体"/>
          <w:szCs w:val="24"/>
          <w:highlight w:val="none"/>
        </w:rPr>
      </w:pPr>
      <w:r>
        <w:rPr>
          <w:rFonts w:hint="eastAsia" w:ascii="宋体" w:hAnsi="宋体" w:eastAsia="宋体" w:cs="宋体"/>
          <w:b/>
          <w:bCs/>
          <w:color w:val="000000"/>
          <w:kern w:val="0"/>
          <w:sz w:val="31"/>
          <w:szCs w:val="31"/>
          <w:highlight w:val="none"/>
          <w:lang w:val="en-US" w:eastAsia="zh-CN" w:bidi="ar"/>
        </w:rPr>
        <w:t xml:space="preserve"> </w:t>
      </w:r>
    </w:p>
    <w:p w14:paraId="7CB4A2CD">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r>
        <w:rPr>
          <w:rFonts w:hint="eastAsia" w:ascii="宋体" w:hAnsi="宋体" w:eastAsia="宋体" w:cs="宋体"/>
          <w:b/>
          <w:bCs/>
          <w:color w:val="000000"/>
          <w:kern w:val="0"/>
          <w:sz w:val="31"/>
          <w:szCs w:val="31"/>
          <w:highlight w:val="none"/>
          <w:lang w:val="en-US" w:eastAsia="zh-CN" w:bidi="ar"/>
        </w:rPr>
        <w:t xml:space="preserve">供方（乙方）： </w:t>
      </w:r>
    </w:p>
    <w:p w14:paraId="41974DB8">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p>
    <w:p w14:paraId="579C9B0F">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31"/>
          <w:szCs w:val="31"/>
          <w:highlight w:val="none"/>
          <w:lang w:val="en-US" w:eastAsia="zh-CN" w:bidi="ar"/>
        </w:rPr>
      </w:pPr>
    </w:p>
    <w:p w14:paraId="162A0E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4"/>
          <w:highlight w:val="none"/>
        </w:rPr>
      </w:pPr>
      <w:r>
        <w:rPr>
          <w:rFonts w:hint="eastAsia" w:ascii="宋体" w:hAnsi="宋体" w:eastAsia="宋体" w:cs="宋体"/>
          <w:b/>
          <w:bCs/>
          <w:color w:val="000000"/>
          <w:kern w:val="0"/>
          <w:sz w:val="31"/>
          <w:szCs w:val="31"/>
          <w:highlight w:val="none"/>
          <w:lang w:val="en-US" w:eastAsia="zh-CN" w:bidi="ar"/>
        </w:rPr>
        <w:t xml:space="preserve">签订时间： </w:t>
      </w:r>
    </w:p>
    <w:p w14:paraId="2D6031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4"/>
          <w:highlight w:val="none"/>
        </w:rPr>
      </w:pPr>
      <w:r>
        <w:rPr>
          <w:rFonts w:hint="eastAsia" w:ascii="宋体" w:hAnsi="宋体" w:eastAsia="宋体" w:cs="宋体"/>
          <w:b/>
          <w:bCs/>
          <w:color w:val="000000"/>
          <w:kern w:val="0"/>
          <w:sz w:val="31"/>
          <w:szCs w:val="31"/>
          <w:highlight w:val="none"/>
          <w:lang w:val="en-US" w:eastAsia="zh-CN" w:bidi="ar"/>
        </w:rPr>
        <w:t xml:space="preserve">签订地点：  </w:t>
      </w:r>
    </w:p>
    <w:p w14:paraId="0E42446E">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3CE04799">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DA5359B">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36FD79B">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2B98D0D">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5FCF8BF8">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01B7A335">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0D484F18">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1081E28">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708F6C0D">
      <w:pPr>
        <w:keepNext w:val="0"/>
        <w:keepLines w:val="0"/>
        <w:widowControl/>
        <w:suppressLineNumbers w:val="0"/>
        <w:spacing w:line="240" w:lineRule="auto"/>
        <w:ind w:firstLine="0" w:firstLineChars="0"/>
        <w:jc w:val="left"/>
        <w:rPr>
          <w:rFonts w:hint="eastAsia" w:ascii="宋体" w:hAnsi="宋体" w:eastAsia="宋体" w:cs="宋体"/>
          <w:color w:val="000000"/>
          <w:kern w:val="0"/>
          <w:sz w:val="28"/>
          <w:szCs w:val="28"/>
          <w:highlight w:val="none"/>
          <w:lang w:val="en-US" w:eastAsia="zh-CN" w:bidi="ar"/>
        </w:rPr>
      </w:pPr>
    </w:p>
    <w:p w14:paraId="1678D193">
      <w:pPr>
        <w:keepNext/>
        <w:keepLines/>
        <w:pageBreakBefore w:val="0"/>
        <w:widowControl w:val="0"/>
        <w:numPr>
          <w:ilvl w:val="0"/>
          <w:numId w:val="4"/>
        </w:numPr>
        <w:kinsoku/>
        <w:wordWrap/>
        <w:overflowPunct/>
        <w:topLinePunct w:val="0"/>
        <w:autoSpaceDE/>
        <w:autoSpaceDN/>
        <w:bidi w:val="0"/>
        <w:adjustRightInd w:val="0"/>
        <w:snapToGrid w:val="0"/>
        <w:spacing w:beforeLines="0" w:line="360" w:lineRule="auto"/>
        <w:ind w:left="0" w:leftChars="0"/>
        <w:jc w:val="center"/>
        <w:textAlignment w:val="auto"/>
        <w:outlineLvl w:val="9"/>
        <w:rPr>
          <w:rFonts w:hint="eastAsia" w:ascii="宋体" w:hAnsi="宋体" w:eastAsia="宋体" w:cs="宋体"/>
          <w:b/>
          <w:bCs/>
          <w:color w:val="auto"/>
          <w:sz w:val="36"/>
          <w:szCs w:val="36"/>
        </w:rPr>
      </w:pPr>
      <w:r>
        <w:rPr>
          <w:rFonts w:hint="eastAsia" w:ascii="宋体" w:hAnsi="宋体" w:eastAsia="宋体" w:cs="宋体"/>
          <w:b/>
          <w:bCs/>
          <w:color w:val="auto"/>
          <w:sz w:val="36"/>
          <w:szCs w:val="36"/>
        </w:rPr>
        <w:t>政府采购合同协议书</w:t>
      </w:r>
    </w:p>
    <w:p w14:paraId="46F0A9E7">
      <w:pPr>
        <w:keepNext/>
        <w:keepLines/>
        <w:pageBreakBefore w:val="0"/>
        <w:widowControl w:val="0"/>
        <w:numPr>
          <w:ilvl w:val="0"/>
          <w:numId w:val="0"/>
        </w:numPr>
        <w:kinsoku/>
        <w:wordWrap/>
        <w:overflowPunct/>
        <w:topLinePunct w:val="0"/>
        <w:autoSpaceDE/>
        <w:autoSpaceDN/>
        <w:bidi w:val="0"/>
        <w:adjustRightInd w:val="0"/>
        <w:snapToGrid w:val="0"/>
        <w:spacing w:beforeLines="0" w:line="360" w:lineRule="auto"/>
        <w:ind w:leftChars="200"/>
        <w:jc w:val="center"/>
        <w:textAlignment w:val="auto"/>
        <w:outlineLvl w:val="9"/>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合同模板仅供参考，最终已实际签订合同为准</w:t>
      </w:r>
      <w:r>
        <w:rPr>
          <w:rFonts w:hint="eastAsia" w:ascii="宋体" w:hAnsi="宋体" w:eastAsia="宋体" w:cs="宋体"/>
          <w:b/>
          <w:bCs/>
          <w:color w:val="auto"/>
          <w:sz w:val="21"/>
          <w:szCs w:val="21"/>
          <w:lang w:eastAsia="zh-CN"/>
        </w:rPr>
        <w:t>）</w:t>
      </w:r>
    </w:p>
    <w:p w14:paraId="6B606567">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甲方（全称）：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rPr>
        <w:t>（采购人）</w:t>
      </w:r>
    </w:p>
    <w:p w14:paraId="70A96A72">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乙方（全称）：</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（供应商）</w:t>
      </w:r>
    </w:p>
    <w:p w14:paraId="5F428AF2">
      <w:pPr>
        <w:pStyle w:val="20"/>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依据《中华人民共和国民法典》</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《中华人民共和国政府采购法》等有关的法律法规，以及</w:t>
      </w:r>
      <w:r>
        <w:rPr>
          <w:rFonts w:hint="eastAsia" w:ascii="新宋体" w:hAnsi="新宋体" w:eastAsia="新宋体" w:cs="新宋体"/>
          <w:i w:val="0"/>
          <w:iCs w:val="0"/>
          <w:color w:val="auto"/>
          <w:sz w:val="21"/>
          <w:szCs w:val="21"/>
          <w:u w:val="none"/>
          <w:lang w:eastAsia="zh-CN"/>
        </w:rPr>
        <w:t>本采购项目</w:t>
      </w:r>
      <w:r>
        <w:rPr>
          <w:rFonts w:hint="eastAsia" w:ascii="新宋体" w:hAnsi="新宋体" w:eastAsia="新宋体" w:cs="新宋体"/>
          <w:color w:val="auto"/>
          <w:sz w:val="21"/>
          <w:szCs w:val="21"/>
        </w:rPr>
        <w:t>的采购文件</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 xml:space="preserve">乙方的《投标文件》及《中标通知书》，甲乙双方同意签订本合同。具体情况及要求如下：     </w:t>
      </w:r>
    </w:p>
    <w:p w14:paraId="6BB6520C">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color w:val="auto"/>
          <w:sz w:val="21"/>
          <w:szCs w:val="21"/>
        </w:rPr>
      </w:pPr>
      <w:r>
        <w:rPr>
          <w:rFonts w:hint="eastAsia" w:ascii="新宋体" w:hAnsi="新宋体" w:eastAsia="新宋体" w:cs="新宋体"/>
          <w:b/>
          <w:snapToGrid w:val="0"/>
          <w:color w:val="auto"/>
          <w:kern w:val="0"/>
          <w:sz w:val="21"/>
          <w:szCs w:val="21"/>
          <w:lang w:val="en-US" w:eastAsia="en-US" w:bidi="ar-SA"/>
        </w:rPr>
        <w:t>1.</w:t>
      </w:r>
      <w:r>
        <w:rPr>
          <w:rFonts w:hint="eastAsia" w:ascii="新宋体" w:hAnsi="新宋体" w:eastAsia="新宋体" w:cs="新宋体"/>
          <w:b/>
          <w:color w:val="auto"/>
          <w:sz w:val="21"/>
          <w:szCs w:val="21"/>
        </w:rPr>
        <w:t>项目信息</w:t>
      </w:r>
    </w:p>
    <w:p w14:paraId="2BDCB213">
      <w:pPr>
        <w:pStyle w:val="20"/>
        <w:keepNext w:val="0"/>
        <w:keepLines w:val="0"/>
        <w:pageBreakBefore w:val="0"/>
        <w:numPr>
          <w:ilvl w:val="0"/>
          <w:numId w:val="5"/>
        </w:numPr>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color w:val="auto"/>
          <w:sz w:val="21"/>
          <w:szCs w:val="21"/>
        </w:rPr>
        <w:t>采购项目名称：</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1E9697FA">
      <w:pPr>
        <w:pStyle w:val="20"/>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（2）采购计划编号：</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7B05E239">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（3）项目内容：</w:t>
      </w:r>
    </w:p>
    <w:p w14:paraId="225C1788">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采购标的及数量</w:t>
      </w:r>
      <w:r>
        <w:rPr>
          <w:rFonts w:hint="eastAsia" w:ascii="新宋体" w:hAnsi="新宋体" w:eastAsia="新宋体" w:cs="新宋体"/>
          <w:color w:val="auto"/>
          <w:sz w:val="21"/>
          <w:szCs w:val="21"/>
          <w:lang w:val="en-US" w:eastAsia="zh-CN"/>
        </w:rPr>
        <w:t>（台/套</w:t>
      </w:r>
      <w:r>
        <w:rPr>
          <w:rFonts w:hint="eastAsia" w:ascii="新宋体" w:hAnsi="新宋体" w:eastAsia="新宋体" w:cs="新宋体"/>
          <w:color w:val="auto"/>
          <w:sz w:val="21"/>
          <w:szCs w:val="21"/>
          <w:lang w:val="en" w:eastAsia="zh-CN"/>
        </w:rPr>
        <w:t>/个/架/组等</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w:t>
      </w:r>
    </w:p>
    <w:p w14:paraId="4CC8996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 w:eastAsia="zh-CN"/>
        </w:rPr>
      </w:pPr>
      <w:r>
        <w:rPr>
          <w:rFonts w:hint="eastAsia" w:ascii="新宋体" w:hAnsi="新宋体" w:eastAsia="新宋体" w:cs="新宋体"/>
          <w:color w:val="auto"/>
          <w:sz w:val="21"/>
          <w:szCs w:val="21"/>
          <w:highlight w:val="none"/>
          <w:u w:val="none"/>
          <w:lang w:val="en-US" w:eastAsia="zh-CN"/>
        </w:rPr>
        <w:t xml:space="preserve">     </w:t>
      </w:r>
      <w:r>
        <w:rPr>
          <w:rFonts w:hint="eastAsia" w:ascii="新宋体" w:hAnsi="新宋体" w:eastAsia="新宋体" w:cs="新宋体"/>
          <w:color w:val="auto"/>
          <w:sz w:val="21"/>
          <w:szCs w:val="21"/>
          <w:lang w:val="en-US" w:eastAsia="zh-CN"/>
        </w:rPr>
        <w:t>品牌：</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none"/>
          <w:lang w:val="en" w:eastAsia="zh-CN"/>
        </w:rPr>
        <w:t xml:space="preserve">     </w:t>
      </w:r>
      <w:r>
        <w:rPr>
          <w:rFonts w:hint="eastAsia" w:ascii="新宋体" w:hAnsi="新宋体" w:eastAsia="新宋体" w:cs="新宋体"/>
          <w:color w:val="auto"/>
          <w:sz w:val="21"/>
          <w:szCs w:val="21"/>
          <w:lang w:val="en-US" w:eastAsia="zh-CN"/>
        </w:rPr>
        <w:t>规格型号：</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p>
    <w:p w14:paraId="34791066">
      <w:pPr>
        <w:keepNext w:val="0"/>
        <w:keepLines w:val="0"/>
        <w:pageBreakBefore w:val="0"/>
        <w:kinsoku/>
        <w:wordWrap/>
        <w:overflowPunct/>
        <w:topLinePunct w:val="0"/>
        <w:bidi w:val="0"/>
        <w:adjustRightInd w:val="0"/>
        <w:snapToGrid w:val="0"/>
        <w:spacing w:before="0" w:beforeLines="0" w:line="400" w:lineRule="exact"/>
        <w:ind w:left="0" w:leftChars="0" w:firstLine="945" w:firstLineChars="450"/>
        <w:textAlignment w:val="auto"/>
        <w:outlineLvl w:val="9"/>
        <w:rPr>
          <w:rFonts w:hint="eastAsia" w:ascii="新宋体" w:hAnsi="新宋体" w:eastAsia="新宋体" w:cs="新宋体"/>
          <w:color w:val="auto"/>
          <w:sz w:val="21"/>
          <w:szCs w:val="21"/>
          <w:highlight w:val="none"/>
          <w:u w:val="single"/>
        </w:rPr>
      </w:pPr>
      <w:r>
        <w:rPr>
          <w:rFonts w:hint="eastAsia" w:ascii="新宋体" w:hAnsi="新宋体" w:eastAsia="新宋体" w:cs="新宋体"/>
          <w:color w:val="auto"/>
          <w:sz w:val="21"/>
          <w:szCs w:val="21"/>
          <w:highlight w:val="none"/>
          <w:u w:val="none"/>
          <w:lang w:val="en-US" w:eastAsia="zh-CN"/>
        </w:rPr>
        <w:t>配置清单详见附件。</w:t>
      </w:r>
    </w:p>
    <w:p w14:paraId="11FDE37C">
      <w:pPr>
        <w:pStyle w:val="85"/>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iCs w:val="0"/>
          <w:color w:val="auto"/>
          <w:sz w:val="21"/>
          <w:szCs w:val="21"/>
          <w:lang w:val="en-US" w:eastAsia="zh-CN"/>
        </w:rPr>
      </w:pPr>
      <w:r>
        <w:rPr>
          <w:rFonts w:hint="eastAsia" w:ascii="新宋体" w:hAnsi="新宋体" w:eastAsia="新宋体" w:cs="新宋体"/>
          <w:iCs w:val="0"/>
          <w:color w:val="auto"/>
          <w:sz w:val="21"/>
          <w:szCs w:val="21"/>
          <w:lang w:val="en-US" w:eastAsia="zh-CN"/>
        </w:rPr>
        <w:t>（</w:t>
      </w:r>
      <w:r>
        <w:rPr>
          <w:rFonts w:hint="eastAsia" w:ascii="新宋体" w:hAnsi="新宋体" w:eastAsia="新宋体" w:cs="新宋体"/>
          <w:iCs w:val="0"/>
          <w:color w:val="auto"/>
          <w:sz w:val="21"/>
          <w:szCs w:val="21"/>
          <w:lang w:val="en" w:eastAsia="zh-CN"/>
        </w:rPr>
        <w:t>4</w:t>
      </w:r>
      <w:r>
        <w:rPr>
          <w:rFonts w:hint="eastAsia" w:ascii="新宋体" w:hAnsi="新宋体" w:eastAsia="新宋体" w:cs="新宋体"/>
          <w:iCs w:val="0"/>
          <w:color w:val="auto"/>
          <w:sz w:val="21"/>
          <w:szCs w:val="21"/>
          <w:lang w:val="en-US" w:eastAsia="zh-CN"/>
        </w:rPr>
        <w:t>）政府采购组织形式：</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政府集中采购</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val="en-US" w:eastAsia="zh-CN"/>
        </w:rPr>
        <w:t xml:space="preserve">部门集中采购  </w:t>
      </w: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lang w:val="en-US" w:eastAsia="zh-CN"/>
        </w:rPr>
        <w:t>分散采购</w:t>
      </w:r>
    </w:p>
    <w:p w14:paraId="2130228C">
      <w:pPr>
        <w:pStyle w:val="85"/>
        <w:keepNext w:val="0"/>
        <w:keepLines w:val="0"/>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iCs w:val="0"/>
          <w:color w:val="auto"/>
          <w:sz w:val="21"/>
          <w:szCs w:val="21"/>
          <w:lang w:eastAsia="zh-CN"/>
        </w:rPr>
      </w:pPr>
      <w:r>
        <w:rPr>
          <w:rFonts w:hint="eastAsia" w:ascii="新宋体" w:hAnsi="新宋体" w:eastAsia="新宋体" w:cs="新宋体"/>
          <w:iCs w:val="0"/>
          <w:color w:val="auto"/>
          <w:sz w:val="21"/>
          <w:szCs w:val="21"/>
          <w:lang w:val="en-US" w:eastAsia="zh-CN"/>
        </w:rPr>
        <w:t>（</w:t>
      </w:r>
      <w:r>
        <w:rPr>
          <w:rFonts w:hint="eastAsia" w:ascii="新宋体" w:hAnsi="新宋体" w:eastAsia="新宋体" w:cs="新宋体"/>
          <w:iCs w:val="0"/>
          <w:color w:val="auto"/>
          <w:sz w:val="21"/>
          <w:szCs w:val="21"/>
          <w:lang w:val="en" w:eastAsia="zh-CN"/>
        </w:rPr>
        <w:t>5</w:t>
      </w:r>
      <w:r>
        <w:rPr>
          <w:rFonts w:hint="eastAsia" w:ascii="新宋体" w:hAnsi="新宋体" w:eastAsia="新宋体" w:cs="新宋体"/>
          <w:iCs w:val="0"/>
          <w:color w:val="auto"/>
          <w:sz w:val="21"/>
          <w:szCs w:val="21"/>
          <w:lang w:val="en-US" w:eastAsia="zh-CN"/>
        </w:rPr>
        <w:t>）政府采购方式：</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公开招标</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邀请招标</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竞争性谈判</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lang w:eastAsia="zh-CN"/>
        </w:rPr>
        <w:t>竞争性磋商</w:t>
      </w:r>
    </w:p>
    <w:p w14:paraId="6B2407A8">
      <w:pPr>
        <w:pStyle w:val="85"/>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0"/>
        <w:textAlignment w:val="auto"/>
        <w:outlineLvl w:val="9"/>
        <w:rPr>
          <w:rFonts w:hint="eastAsia" w:ascii="新宋体" w:hAnsi="新宋体" w:eastAsia="新宋体" w:cs="新宋体"/>
          <w:iCs w:val="0"/>
          <w:color w:val="auto"/>
          <w:sz w:val="21"/>
          <w:szCs w:val="21"/>
          <w:u w:val="single"/>
          <w:lang w:val="en-US" w:eastAsia="zh-CN"/>
        </w:rPr>
      </w:pPr>
      <w:r>
        <w:rPr>
          <w:rFonts w:hint="eastAsia" w:ascii="新宋体" w:hAnsi="新宋体" w:eastAsia="新宋体" w:cs="新宋体"/>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询价</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单一来源</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框架协议</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其他：</w:t>
      </w:r>
      <w:r>
        <w:rPr>
          <w:rFonts w:hint="eastAsia" w:ascii="新宋体" w:hAnsi="新宋体" w:eastAsia="新宋体" w:cs="新宋体"/>
          <w:iCs w:val="0"/>
          <w:color w:val="auto"/>
          <w:sz w:val="21"/>
          <w:szCs w:val="21"/>
          <w:u w:val="single"/>
          <w:lang w:val="en-US" w:eastAsia="zh-CN"/>
        </w:rPr>
        <w:t xml:space="preserve">          </w:t>
      </w:r>
    </w:p>
    <w:p w14:paraId="3F6016E0">
      <w:pPr>
        <w:pStyle w:val="85"/>
        <w:keepNext w:val="0"/>
        <w:keepLines w:val="0"/>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w w:val="100"/>
          <w:kern w:val="2"/>
          <w:sz w:val="21"/>
          <w:szCs w:val="21"/>
          <w:lang w:val="en-US" w:eastAsia="zh-CN" w:bidi="ar-SA"/>
        </w:rPr>
      </w:pP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lang w:val="en" w:eastAsia="zh-CN"/>
        </w:rPr>
        <w:t>6</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w w:val="100"/>
          <w:kern w:val="2"/>
          <w:sz w:val="21"/>
          <w:szCs w:val="21"/>
          <w:lang w:val="en-US" w:eastAsia="zh-CN" w:bidi="ar-SA"/>
        </w:rPr>
        <w:t>中标（成交）采购标的制造商是否为中小企业：</w:t>
      </w:r>
      <w:r>
        <w:rPr>
          <w:rFonts w:hint="eastAsia" w:ascii="新宋体" w:hAnsi="新宋体" w:eastAsia="新宋体" w:cs="新宋体"/>
          <w:color w:val="auto"/>
          <w:w w:val="100"/>
          <w:kern w:val="2"/>
          <w:sz w:val="21"/>
          <w:szCs w:val="21"/>
          <w:lang w:val="en-US" w:eastAsia="zh-CN" w:bidi="ar-SA"/>
        </w:rPr>
        <w:sym w:font="Wingdings" w:char="00A8"/>
      </w:r>
      <w:r>
        <w:rPr>
          <w:rFonts w:hint="eastAsia" w:ascii="新宋体" w:hAnsi="新宋体" w:eastAsia="新宋体" w:cs="新宋体"/>
          <w:color w:val="auto"/>
          <w:w w:val="100"/>
          <w:kern w:val="2"/>
          <w:sz w:val="21"/>
          <w:szCs w:val="21"/>
          <w:lang w:val="en-US" w:eastAsia="zh-CN" w:bidi="ar-SA"/>
        </w:rPr>
        <w:t xml:space="preserve">是      </w:t>
      </w:r>
      <w:r>
        <w:rPr>
          <w:rFonts w:hint="eastAsia" w:ascii="新宋体" w:hAnsi="新宋体" w:eastAsia="新宋体" w:cs="新宋体"/>
          <w:color w:val="auto"/>
          <w:w w:val="100"/>
          <w:kern w:val="2"/>
          <w:sz w:val="21"/>
          <w:szCs w:val="21"/>
          <w:lang w:val="en-US" w:eastAsia="zh-CN" w:bidi="ar-SA"/>
        </w:rPr>
        <w:sym w:font="Wingdings" w:char="00A8"/>
      </w:r>
      <w:r>
        <w:rPr>
          <w:rFonts w:hint="eastAsia" w:ascii="新宋体" w:hAnsi="新宋体" w:eastAsia="新宋体" w:cs="新宋体"/>
          <w:color w:val="auto"/>
          <w:w w:val="100"/>
          <w:kern w:val="2"/>
          <w:sz w:val="21"/>
          <w:szCs w:val="21"/>
          <w:lang w:val="en-US" w:eastAsia="zh-CN" w:bidi="ar-SA"/>
        </w:rPr>
        <w:t>否</w:t>
      </w:r>
    </w:p>
    <w:p w14:paraId="60D5D66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w w:val="100"/>
          <w:sz w:val="21"/>
          <w:szCs w:val="21"/>
          <w:lang w:val="en-US" w:eastAsia="zh-CN"/>
        </w:rPr>
        <w:t xml:space="preserve">    本合同</w:t>
      </w:r>
      <w:r>
        <w:rPr>
          <w:rFonts w:hint="eastAsia" w:ascii="新宋体" w:hAnsi="新宋体" w:eastAsia="新宋体" w:cs="新宋体"/>
          <w:color w:val="auto"/>
          <w:w w:val="100"/>
          <w:sz w:val="21"/>
          <w:szCs w:val="21"/>
        </w:rPr>
        <w:t>是否</w:t>
      </w:r>
      <w:r>
        <w:rPr>
          <w:rFonts w:hint="eastAsia" w:ascii="新宋体" w:hAnsi="新宋体" w:eastAsia="新宋体" w:cs="新宋体"/>
          <w:color w:val="auto"/>
          <w:w w:val="100"/>
          <w:sz w:val="21"/>
          <w:szCs w:val="21"/>
          <w:lang w:eastAsia="zh-CN"/>
        </w:rPr>
        <w:t>为专门面向</w:t>
      </w:r>
      <w:r>
        <w:rPr>
          <w:rFonts w:hint="eastAsia" w:ascii="新宋体" w:hAnsi="新宋体" w:eastAsia="新宋体" w:cs="新宋体"/>
          <w:color w:val="auto"/>
          <w:w w:val="100"/>
          <w:sz w:val="21"/>
          <w:szCs w:val="21"/>
        </w:rPr>
        <w:t>中小企业</w:t>
      </w:r>
      <w:r>
        <w:rPr>
          <w:rFonts w:hint="eastAsia" w:ascii="新宋体" w:hAnsi="新宋体" w:eastAsia="新宋体" w:cs="新宋体"/>
          <w:color w:val="auto"/>
          <w:w w:val="100"/>
          <w:sz w:val="21"/>
          <w:szCs w:val="21"/>
          <w:lang w:eastAsia="zh-CN"/>
        </w:rPr>
        <w:t>的采</w:t>
      </w:r>
      <w:r>
        <w:rPr>
          <w:rFonts w:hint="eastAsia" w:ascii="新宋体" w:hAnsi="新宋体" w:eastAsia="新宋体" w:cs="新宋体"/>
          <w:color w:val="auto"/>
          <w:w w:val="100"/>
          <w:sz w:val="21"/>
          <w:szCs w:val="21"/>
          <w:shd w:val="clear" w:color="auto" w:fill="auto"/>
          <w:lang w:eastAsia="zh-CN"/>
        </w:rPr>
        <w:t>购</w:t>
      </w:r>
      <w:r>
        <w:rPr>
          <w:rFonts w:hint="eastAsia" w:ascii="新宋体" w:hAnsi="新宋体" w:eastAsia="新宋体" w:cs="新宋体"/>
          <w:color w:val="auto"/>
          <w:w w:val="100"/>
          <w:sz w:val="21"/>
          <w:szCs w:val="21"/>
          <w:shd w:val="clear" w:color="auto" w:fill="auto"/>
        </w:rPr>
        <w:t>合同</w:t>
      </w:r>
      <w:r>
        <w:rPr>
          <w:rFonts w:hint="eastAsia" w:ascii="新宋体" w:hAnsi="新宋体" w:eastAsia="新宋体" w:cs="新宋体"/>
          <w:color w:val="auto"/>
          <w:w w:val="100"/>
          <w:sz w:val="21"/>
          <w:szCs w:val="21"/>
          <w:shd w:val="clear" w:color="auto" w:fill="auto"/>
          <w:lang w:eastAsia="zh-CN"/>
        </w:rPr>
        <w:t>（中小企业预留合同）</w:t>
      </w:r>
      <w:r>
        <w:rPr>
          <w:rFonts w:hint="eastAsia" w:ascii="新宋体" w:hAnsi="新宋体" w:eastAsia="新宋体" w:cs="新宋体"/>
          <w:color w:val="auto"/>
          <w:sz w:val="21"/>
          <w:szCs w:val="21"/>
          <w:shd w:val="clear" w:color="auto" w:fill="auto"/>
        </w:rPr>
        <w:t>：</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69E8D697">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sz w:val="21"/>
          <w:szCs w:val="21"/>
          <w:lang w:val="en-US" w:eastAsia="zh-CN"/>
        </w:rPr>
        <w:t xml:space="preserve">    若本项目不专门面向中小企业采购，是否给予小微企业评审优惠：</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6DBB7FFE">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sz w:val="21"/>
          <w:szCs w:val="21"/>
          <w:lang w:val="en-US" w:eastAsia="zh-CN"/>
        </w:rPr>
        <w:t xml:space="preserve">    中标（成交）采购标的制造商是否为残疾人福利性单位：</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47D7FA00">
      <w:pPr>
        <w:keepNext w:val="0"/>
        <w:keepLines w:val="0"/>
        <w:pageBreakBefore w:val="0"/>
        <w:numPr>
          <w:ilvl w:val="0"/>
          <w:numId w:val="0"/>
        </w:numPr>
        <w:kinsoku/>
        <w:wordWrap/>
        <w:overflowPunct/>
        <w:topLinePunct w:val="0"/>
        <w:bidi w:val="0"/>
        <w:adjustRightInd w:val="0"/>
        <w:snapToGrid w:val="0"/>
        <w:spacing w:beforeLines="0" w:line="400" w:lineRule="exact"/>
        <w:ind w:left="0" w:leftChars="0" w:firstLine="0" w:firstLineChars="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 xml:space="preserve">    中标（成交）采购标的制造商是否为监狱企业：</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1AD51885">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color w:val="auto"/>
          <w:sz w:val="21"/>
          <w:szCs w:val="21"/>
        </w:rPr>
        <w:t>（</w:t>
      </w:r>
      <w:r>
        <w:rPr>
          <w:rFonts w:hint="eastAsia" w:ascii="新宋体" w:hAnsi="新宋体" w:eastAsia="新宋体" w:cs="新宋体"/>
          <w:color w:val="auto"/>
          <w:sz w:val="21"/>
          <w:szCs w:val="21"/>
          <w:lang w:val="en" w:eastAsia="zh-CN"/>
        </w:rPr>
        <w:t>7</w:t>
      </w:r>
      <w:r>
        <w:rPr>
          <w:rFonts w:hint="eastAsia" w:ascii="新宋体" w:hAnsi="新宋体" w:eastAsia="新宋体" w:cs="新宋体"/>
          <w:color w:val="auto"/>
          <w:sz w:val="21"/>
          <w:szCs w:val="21"/>
        </w:rPr>
        <w:t>）合同是否分包：</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FE"/>
      </w:r>
      <w:r>
        <w:rPr>
          <w:rFonts w:hint="eastAsia" w:ascii="新宋体" w:hAnsi="新宋体" w:eastAsia="新宋体" w:cs="新宋体"/>
          <w:iCs/>
          <w:color w:val="auto"/>
          <w:sz w:val="21"/>
          <w:szCs w:val="21"/>
        </w:rPr>
        <w:t>否</w:t>
      </w:r>
    </w:p>
    <w:p w14:paraId="02033B1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highlight w:val="none"/>
        </w:rPr>
      </w:pPr>
      <w:r>
        <w:rPr>
          <w:rFonts w:hint="eastAsia" w:ascii="新宋体" w:hAnsi="新宋体" w:eastAsia="新宋体" w:cs="新宋体"/>
          <w:color w:val="auto"/>
          <w:sz w:val="21"/>
          <w:szCs w:val="21"/>
          <w:highlight w:val="none"/>
          <w:u w:val="none"/>
          <w:lang w:val="en-US" w:eastAsia="zh-CN"/>
        </w:rPr>
        <w:t xml:space="preserve">    （</w:t>
      </w:r>
      <w:r>
        <w:rPr>
          <w:rFonts w:hint="eastAsia" w:ascii="新宋体" w:hAnsi="新宋体" w:eastAsia="新宋体" w:cs="新宋体"/>
          <w:color w:val="auto"/>
          <w:sz w:val="21"/>
          <w:szCs w:val="21"/>
          <w:highlight w:val="none"/>
          <w:u w:val="none"/>
          <w:lang w:val="en" w:eastAsia="zh-CN"/>
        </w:rPr>
        <w:t>8</w:t>
      </w:r>
      <w:r>
        <w:rPr>
          <w:rFonts w:hint="eastAsia" w:ascii="新宋体" w:hAnsi="新宋体" w:eastAsia="新宋体" w:cs="新宋体"/>
          <w:color w:val="auto"/>
          <w:sz w:val="21"/>
          <w:szCs w:val="21"/>
          <w:highlight w:val="none"/>
          <w:u w:val="none"/>
          <w:lang w:val="en-US" w:eastAsia="zh-CN"/>
        </w:rPr>
        <w:t>）中标（成交）供应商是否为外商投资企业：</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rPr>
        <w:t xml:space="preserve">是       </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rPr>
        <w:t>否</w:t>
      </w:r>
    </w:p>
    <w:p w14:paraId="0D6E1988">
      <w:pPr>
        <w:pStyle w:val="85"/>
        <w:keepNext w:val="0"/>
        <w:keepLines w:val="0"/>
        <w:pageBreakBefore w:val="0"/>
        <w:tabs>
          <w:tab w:val="left" w:pos="1340"/>
        </w:tabs>
        <w:kinsoku/>
        <w:wordWrap/>
        <w:overflowPunct/>
        <w:topLinePunct w:val="0"/>
        <w:bidi w:val="0"/>
        <w:adjustRightInd w:val="0"/>
        <w:spacing w:beforeLines="0" w:line="400" w:lineRule="exact"/>
        <w:ind w:left="0" w:leftChars="0"/>
        <w:textAlignment w:val="auto"/>
        <w:outlineLvl w:val="9"/>
        <w:rPr>
          <w:rFonts w:hint="eastAsia" w:ascii="新宋体" w:hAnsi="新宋体" w:eastAsia="新宋体" w:cs="新宋体"/>
          <w:color w:val="auto"/>
          <w:sz w:val="21"/>
          <w:szCs w:val="21"/>
          <w:highlight w:val="none"/>
          <w:u w:val="single"/>
        </w:rPr>
      </w:pPr>
      <w:r>
        <w:rPr>
          <w:rFonts w:hint="eastAsia" w:ascii="新宋体" w:hAnsi="新宋体" w:eastAsia="新宋体" w:cs="新宋体"/>
          <w:color w:val="auto"/>
          <w:sz w:val="21"/>
          <w:szCs w:val="21"/>
          <w:highlight w:val="none"/>
          <w:u w:val="none"/>
          <w:lang w:val="en-US" w:eastAsia="zh-CN"/>
        </w:rPr>
        <w:t xml:space="preserve">     外商投资企业类型：</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color w:val="auto"/>
          <w:sz w:val="21"/>
          <w:szCs w:val="21"/>
          <w:highlight w:val="none"/>
          <w:u w:val="none"/>
          <w:lang w:val="en-US" w:eastAsia="zh-CN"/>
        </w:rPr>
        <w:t xml:space="preserve">全部由外国投资者投资  </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lang w:val="en-US" w:eastAsia="zh-CN"/>
        </w:rPr>
        <w:t>部分由外国投资者投资</w:t>
      </w:r>
    </w:p>
    <w:p w14:paraId="16497095">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w:t>
      </w:r>
      <w:r>
        <w:rPr>
          <w:rFonts w:hint="eastAsia" w:ascii="新宋体" w:hAnsi="新宋体" w:eastAsia="新宋体" w:cs="新宋体"/>
          <w:b w:val="0"/>
          <w:bCs w:val="0"/>
          <w:color w:val="auto"/>
          <w:sz w:val="21"/>
          <w:szCs w:val="21"/>
          <w:u w:val="none"/>
          <w:lang w:val="en" w:eastAsia="zh-CN"/>
        </w:rPr>
        <w:t>9</w:t>
      </w:r>
      <w:r>
        <w:rPr>
          <w:rFonts w:hint="eastAsia" w:ascii="新宋体" w:hAnsi="新宋体" w:eastAsia="新宋体" w:cs="新宋体"/>
          <w:b w:val="0"/>
          <w:bCs w:val="0"/>
          <w:color w:val="auto"/>
          <w:sz w:val="21"/>
          <w:szCs w:val="21"/>
          <w:u w:val="none"/>
          <w:lang w:val="en-US" w:eastAsia="zh-CN"/>
        </w:rPr>
        <w:t>）是否涉及进口产品：</w:t>
      </w:r>
    </w:p>
    <w:p w14:paraId="0545B38D">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，《政府采购品目分类目录》底级品目名称</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金额：</w:t>
      </w:r>
      <w:r>
        <w:rPr>
          <w:rFonts w:hint="eastAsia" w:ascii="新宋体" w:hAnsi="新宋体" w:eastAsia="新宋体" w:cs="新宋体"/>
          <w:color w:val="auto"/>
          <w:sz w:val="21"/>
          <w:szCs w:val="21"/>
          <w:u w:val="single"/>
          <w:lang w:val="en-US" w:eastAsia="zh-CN"/>
        </w:rPr>
        <w:t xml:space="preserve">        </w:t>
      </w:r>
    </w:p>
    <w:p w14:paraId="60354542">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840" w:firstLineChars="400"/>
        <w:textAlignment w:val="auto"/>
        <w:outlineLvl w:val="9"/>
        <w:rPr>
          <w:rFonts w:hint="eastAsia" w:ascii="新宋体" w:hAnsi="新宋体" w:eastAsia="新宋体" w:cs="新宋体"/>
          <w:iCs w:val="0"/>
          <w:color w:val="auto"/>
          <w:sz w:val="21"/>
          <w:szCs w:val="21"/>
        </w:rPr>
      </w:pPr>
      <w:r>
        <w:rPr>
          <w:rFonts w:hint="eastAsia" w:ascii="新宋体" w:hAnsi="新宋体" w:eastAsia="新宋体" w:cs="新宋体"/>
          <w:color w:val="auto"/>
          <w:sz w:val="21"/>
          <w:szCs w:val="21"/>
          <w:lang w:val="en-US" w:eastAsia="zh-CN"/>
        </w:rPr>
        <w:t xml:space="preserve">   国别：</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品牌：</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none"/>
          <w:lang w:val="en-US" w:eastAsia="zh-CN"/>
        </w:rPr>
        <w:t xml:space="preserve"> 规格型号：</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val="0"/>
          <w:color w:val="auto"/>
          <w:sz w:val="21"/>
          <w:szCs w:val="21"/>
        </w:rPr>
        <w:t xml:space="preserve">      </w:t>
      </w:r>
    </w:p>
    <w:p w14:paraId="1474B36E">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否</w:t>
      </w:r>
    </w:p>
    <w:p w14:paraId="150F3A24">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（1</w:t>
      </w:r>
      <w:r>
        <w:rPr>
          <w:rFonts w:hint="eastAsia" w:ascii="新宋体" w:hAnsi="新宋体" w:eastAsia="新宋体" w:cs="新宋体"/>
          <w:b w:val="0"/>
          <w:bCs w:val="0"/>
          <w:color w:val="auto"/>
          <w:sz w:val="21"/>
          <w:szCs w:val="21"/>
          <w:u w:val="none"/>
          <w:lang w:val="en" w:eastAsia="zh-CN"/>
        </w:rPr>
        <w:t>0</w:t>
      </w:r>
      <w:r>
        <w:rPr>
          <w:rFonts w:hint="eastAsia" w:ascii="新宋体" w:hAnsi="新宋体" w:eastAsia="新宋体" w:cs="新宋体"/>
          <w:b w:val="0"/>
          <w:bCs w:val="0"/>
          <w:color w:val="auto"/>
          <w:sz w:val="21"/>
          <w:szCs w:val="21"/>
          <w:u w:val="none"/>
          <w:lang w:val="en-US" w:eastAsia="zh-CN"/>
        </w:rPr>
        <w:t>）是否涉及节能产品：</w:t>
      </w:r>
    </w:p>
    <w:p w14:paraId="128463B2">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，《节能产品政府采购品目清单》的底级品目名称：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color w:val="auto"/>
          <w:sz w:val="21"/>
          <w:szCs w:val="21"/>
          <w:lang w:val="en-US" w:eastAsia="zh-CN"/>
        </w:rPr>
        <w:t xml:space="preserve">     </w:t>
      </w:r>
    </w:p>
    <w:p w14:paraId="66A5549C">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2646EE91">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sz w:val="21"/>
          <w:szCs w:val="21"/>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p>
    <w:p w14:paraId="5B070C6B">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是否涉及环境标志产品：</w:t>
      </w:r>
    </w:p>
    <w:p w14:paraId="4F642D9F">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sz w:val="21"/>
          <w:szCs w:val="21"/>
          <w:lang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，《环境标志产品政府采购品目清单》的底级品目名称：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color w:val="auto"/>
          <w:sz w:val="21"/>
          <w:szCs w:val="21"/>
          <w:lang w:val="en-US" w:eastAsia="zh-CN"/>
        </w:rPr>
        <w:t xml:space="preserve"> </w:t>
      </w:r>
    </w:p>
    <w:p w14:paraId="1AD3C3F2">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60D16CC3">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p>
    <w:p w14:paraId="7915431E">
      <w:pPr>
        <w:pStyle w:val="85"/>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kern w:val="2"/>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b w:val="0"/>
          <w:bCs w:val="0"/>
          <w:color w:val="auto"/>
          <w:kern w:val="2"/>
          <w:sz w:val="21"/>
          <w:szCs w:val="21"/>
          <w:u w:val="none"/>
          <w:lang w:val="en-US" w:eastAsia="zh-CN"/>
        </w:rPr>
        <w:t>是否涉及绿色产品：</w:t>
      </w:r>
      <w:r>
        <w:rPr>
          <w:rFonts w:hint="eastAsia" w:ascii="新宋体" w:hAnsi="新宋体" w:eastAsia="新宋体" w:cs="新宋体"/>
          <w:iCs w:val="0"/>
          <w:color w:val="auto"/>
          <w:kern w:val="2"/>
          <w:sz w:val="21"/>
          <w:szCs w:val="21"/>
          <w:u w:val="none"/>
          <w:lang w:val="en-US" w:eastAsia="zh-CN"/>
        </w:rPr>
        <w:t xml:space="preserve"> </w:t>
      </w:r>
    </w:p>
    <w:p w14:paraId="0C439D15">
      <w:pPr>
        <w:pStyle w:val="85"/>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iCs w:val="0"/>
          <w:color w:val="auto"/>
          <w:kern w:val="2"/>
          <w:sz w:val="21"/>
          <w:szCs w:val="21"/>
          <w:u w:val="none"/>
        </w:rPr>
        <w:sym w:font="Wingdings" w:char="00A8"/>
      </w:r>
      <w:r>
        <w:rPr>
          <w:rFonts w:hint="eastAsia" w:ascii="新宋体" w:hAnsi="新宋体" w:eastAsia="新宋体" w:cs="新宋体"/>
          <w:iCs w:val="0"/>
          <w:color w:val="auto"/>
          <w:kern w:val="2"/>
          <w:sz w:val="21"/>
          <w:szCs w:val="21"/>
          <w:u w:val="none"/>
        </w:rPr>
        <w:t>是</w:t>
      </w:r>
      <w:r>
        <w:rPr>
          <w:rFonts w:hint="eastAsia" w:ascii="新宋体" w:hAnsi="新宋体" w:eastAsia="新宋体" w:cs="新宋体"/>
          <w:iCs w:val="0"/>
          <w:color w:val="auto"/>
          <w:kern w:val="2"/>
          <w:sz w:val="21"/>
          <w:szCs w:val="21"/>
          <w:u w:val="none"/>
          <w:lang w:eastAsia="zh-CN"/>
        </w:rPr>
        <w:t>，绿色产品政府采购相关政策确定的底级品目名称：</w:t>
      </w:r>
      <w:r>
        <w:rPr>
          <w:rFonts w:hint="eastAsia" w:ascii="新宋体" w:hAnsi="新宋体" w:eastAsia="新宋体" w:cs="新宋体"/>
          <w:color w:val="auto"/>
          <w:sz w:val="21"/>
          <w:szCs w:val="21"/>
          <w:u w:val="single"/>
          <w:lang w:val="en-US" w:eastAsia="zh-CN"/>
        </w:rPr>
        <w:t xml:space="preserve">         </w:t>
      </w:r>
    </w:p>
    <w:p w14:paraId="71D1DC56">
      <w:pPr>
        <w:keepNext w:val="0"/>
        <w:keepLines w:val="0"/>
        <w:pageBreakBefore w:val="0"/>
        <w:numPr>
          <w:ilvl w:val="0"/>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2A5E6E4C">
      <w:pPr>
        <w:pStyle w:val="85"/>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iCs w:val="0"/>
          <w:color w:val="auto"/>
          <w:kern w:val="2"/>
          <w:sz w:val="21"/>
          <w:szCs w:val="21"/>
          <w:u w:val="none"/>
        </w:rPr>
        <w:sym w:font="Wingdings" w:char="00A8"/>
      </w:r>
      <w:r>
        <w:rPr>
          <w:rFonts w:hint="eastAsia" w:ascii="新宋体" w:hAnsi="新宋体" w:eastAsia="新宋体" w:cs="新宋体"/>
          <w:iCs w:val="0"/>
          <w:color w:val="auto"/>
          <w:kern w:val="2"/>
          <w:sz w:val="21"/>
          <w:szCs w:val="21"/>
          <w:u w:val="none"/>
        </w:rPr>
        <w:t>否</w:t>
      </w:r>
    </w:p>
    <w:p w14:paraId="22E6143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lang w:val="en" w:eastAsia="zh-CN"/>
        </w:rPr>
        <w:t>1</w:t>
      </w:r>
      <w:r>
        <w:rPr>
          <w:rFonts w:hint="eastAsia" w:ascii="新宋体" w:hAnsi="新宋体" w:eastAsia="新宋体" w:cs="新宋体"/>
          <w:color w:val="auto"/>
          <w:sz w:val="21"/>
          <w:szCs w:val="21"/>
          <w:lang w:val="en-US" w:eastAsia="zh-CN"/>
        </w:rPr>
        <w:t>）涉及商品包装和快递包装的，是否参考</w:t>
      </w:r>
      <w:r>
        <w:rPr>
          <w:rFonts w:hint="eastAsia" w:ascii="新宋体" w:hAnsi="新宋体" w:eastAsia="新宋体" w:cs="新宋体"/>
          <w:color w:val="auto"/>
          <w:sz w:val="21"/>
          <w:szCs w:val="21"/>
        </w:rPr>
        <w:t>《商品包装政府采购需求标准（试行）》、《快递包装政府采购需求标准（试行）》</w:t>
      </w:r>
      <w:r>
        <w:rPr>
          <w:rFonts w:hint="eastAsia" w:ascii="新宋体" w:hAnsi="新宋体" w:eastAsia="新宋体" w:cs="新宋体"/>
          <w:color w:val="auto"/>
          <w:sz w:val="21"/>
          <w:szCs w:val="21"/>
          <w:lang w:eastAsia="zh-CN"/>
        </w:rPr>
        <w:t>明确产品及相关快递服务的具体包装要求：</w:t>
      </w:r>
    </w:p>
    <w:p w14:paraId="0626494F">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iCs w:val="0"/>
          <w:color w:val="auto"/>
          <w:sz w:val="21"/>
          <w:szCs w:val="21"/>
          <w:lang w:val="en-US" w:eastAsia="zh-CN"/>
        </w:rPr>
      </w:pP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rPr>
        <w:t xml:space="preserve">是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不涉及</w:t>
      </w:r>
    </w:p>
    <w:p w14:paraId="5B7152EA">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新宋体" w:hAnsi="新宋体" w:eastAsia="新宋体" w:cs="新宋体"/>
          <w:b/>
          <w:color w:val="auto"/>
          <w:sz w:val="21"/>
          <w:szCs w:val="21"/>
          <w:highlight w:val="none"/>
        </w:rPr>
      </w:pPr>
      <w:r>
        <w:rPr>
          <w:rFonts w:hint="eastAsia" w:ascii="新宋体" w:hAnsi="新宋体" w:eastAsia="新宋体" w:cs="新宋体"/>
          <w:b/>
          <w:snapToGrid w:val="0"/>
          <w:color w:val="auto"/>
          <w:kern w:val="0"/>
          <w:sz w:val="21"/>
          <w:szCs w:val="21"/>
          <w:lang w:val="en-US" w:eastAsia="en-US" w:bidi="ar-SA"/>
        </w:rPr>
        <w:t>2.</w:t>
      </w:r>
      <w:r>
        <w:rPr>
          <w:rFonts w:hint="eastAsia" w:ascii="新宋体" w:hAnsi="新宋体" w:eastAsia="新宋体" w:cs="新宋体"/>
          <w:b/>
          <w:color w:val="auto"/>
          <w:sz w:val="21"/>
          <w:szCs w:val="21"/>
          <w:highlight w:val="none"/>
        </w:rPr>
        <w:t>合同金额</w:t>
      </w:r>
    </w:p>
    <w:p w14:paraId="4BD3A0AC">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（1）合同金额小写：</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2EE330DF">
      <w:pPr>
        <w:keepNext w:val="0"/>
        <w:keepLines w:val="0"/>
        <w:pageBreakBefore w:val="0"/>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rPr>
        <w:t>大写：</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1746085E">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u w:val="single"/>
        </w:rPr>
        <w:t>合同总价款包含：设备款、包装费、运输费、安装调试费、培训费、保修服务费、税金等所有费用。</w:t>
      </w:r>
    </w:p>
    <w:p w14:paraId="09166F3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合同定价方式</w:t>
      </w:r>
      <w:r>
        <w:rPr>
          <w:rFonts w:hint="eastAsia" w:ascii="新宋体" w:hAnsi="新宋体" w:eastAsia="新宋体" w:cs="新宋体"/>
          <w:color w:val="auto"/>
          <w:sz w:val="21"/>
          <w:szCs w:val="21"/>
          <w:lang w:eastAsia="zh-CN"/>
        </w:rPr>
        <w:t>（采用组合定价方式的，可以勾选多项）</w:t>
      </w:r>
      <w:r>
        <w:rPr>
          <w:rFonts w:hint="eastAsia" w:ascii="新宋体" w:hAnsi="新宋体" w:eastAsia="新宋体" w:cs="新宋体"/>
          <w:color w:val="auto"/>
          <w:sz w:val="21"/>
          <w:szCs w:val="21"/>
        </w:rPr>
        <w:t>：</w:t>
      </w:r>
    </w:p>
    <w:p w14:paraId="5B0AA506">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固定总价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固定单价</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固定费率</w:t>
      </w:r>
      <w:r>
        <w:rPr>
          <w:rFonts w:hint="eastAsia" w:ascii="新宋体" w:hAnsi="新宋体" w:eastAsia="新宋体" w:cs="新宋体"/>
          <w:iCs/>
          <w:color w:val="auto"/>
          <w:sz w:val="21"/>
          <w:szCs w:val="21"/>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成本补偿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绩效激励</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其他</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w:t>
      </w:r>
      <w:r>
        <w:rPr>
          <w:rFonts w:hint="eastAsia" w:ascii="新宋体" w:hAnsi="新宋体" w:eastAsia="新宋体" w:cs="新宋体"/>
          <w:color w:val="auto"/>
          <w:sz w:val="21"/>
          <w:szCs w:val="21"/>
          <w:u w:val="single"/>
        </w:rPr>
        <w:t xml:space="preserve">   </w:t>
      </w:r>
    </w:p>
    <w:p w14:paraId="6FD0F8FA">
      <w:pPr>
        <w:pStyle w:val="86"/>
        <w:keepNext w:val="0"/>
        <w:keepLines w:val="0"/>
        <w:pageBreakBefore w:val="0"/>
        <w:kinsoku/>
        <w:wordWrap/>
        <w:overflowPunct/>
        <w:topLinePunct w:val="0"/>
        <w:bidi w:val="0"/>
        <w:adjustRightInd w:val="0"/>
        <w:spacing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rPr>
        <w:t>）付款方式：</w:t>
      </w:r>
    </w:p>
    <w:p w14:paraId="4366BFCA">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color w:val="auto"/>
          <w:sz w:val="21"/>
          <w:szCs w:val="21"/>
          <w:u w:val="none"/>
        </w:rPr>
        <w:sym w:font="Wingdings" w:char="00A8"/>
      </w:r>
      <w:r>
        <w:rPr>
          <w:rFonts w:hint="eastAsia" w:ascii="新宋体" w:hAnsi="新宋体" w:eastAsia="新宋体" w:cs="新宋体"/>
          <w:color w:val="auto"/>
          <w:sz w:val="21"/>
          <w:szCs w:val="21"/>
          <w:u w:val="none"/>
        </w:rPr>
        <w:t>全额付款：</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（应明确一次性支付合同款项的条件）</w:t>
      </w:r>
      <w:r>
        <w:rPr>
          <w:rFonts w:hint="eastAsia" w:ascii="新宋体" w:hAnsi="新宋体" w:eastAsia="新宋体" w:cs="新宋体"/>
          <w:color w:val="auto"/>
          <w:sz w:val="21"/>
          <w:szCs w:val="21"/>
          <w:u w:val="none"/>
        </w:rPr>
        <w:t xml:space="preserve">  </w:t>
      </w:r>
    </w:p>
    <w:p w14:paraId="450A9DFE">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color w:val="auto"/>
          <w:sz w:val="21"/>
          <w:szCs w:val="21"/>
          <w:u w:val="none"/>
        </w:rPr>
        <w:t>分期付款：</w:t>
      </w:r>
      <w:r>
        <w:rPr>
          <w:rFonts w:hint="eastAsia" w:ascii="新宋体" w:hAnsi="新宋体" w:eastAsia="新宋体" w:cs="新宋体"/>
          <w:color w:val="auto"/>
          <w:sz w:val="21"/>
          <w:szCs w:val="21"/>
          <w:u w:val="single"/>
        </w:rPr>
        <w:t xml:space="preserve">  （应明确分期支付合同款项的各期比例和支付条件，各期支付条件应与分 期履约验收情况挂钩）  ，</w:t>
      </w:r>
      <w:r>
        <w:rPr>
          <w:rFonts w:hint="eastAsia" w:ascii="新宋体" w:hAnsi="新宋体" w:eastAsia="新宋体" w:cs="新宋体"/>
          <w:color w:val="auto"/>
          <w:sz w:val="21"/>
          <w:szCs w:val="21"/>
          <w:u w:val="none"/>
        </w:rPr>
        <w:t xml:space="preserve">其中涉及预付款的： </w:t>
      </w:r>
      <w:r>
        <w:rPr>
          <w:rFonts w:hint="eastAsia" w:ascii="新宋体" w:hAnsi="新宋体" w:eastAsia="新宋体" w:cs="新宋体"/>
          <w:color w:val="auto"/>
          <w:sz w:val="21"/>
          <w:szCs w:val="21"/>
          <w:u w:val="single"/>
        </w:rPr>
        <w:t>（应明确预付款的支付比例和支付条件）</w:t>
      </w:r>
      <w:r>
        <w:rPr>
          <w:rFonts w:hint="eastAsia" w:ascii="新宋体" w:hAnsi="新宋体" w:eastAsia="新宋体" w:cs="新宋体"/>
          <w:color w:val="auto"/>
          <w:sz w:val="21"/>
          <w:szCs w:val="21"/>
          <w:u w:val="none"/>
        </w:rPr>
        <w:t xml:space="preserve">  </w:t>
      </w:r>
    </w:p>
    <w:p w14:paraId="540A44FE">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color w:val="auto"/>
          <w:sz w:val="21"/>
          <w:szCs w:val="21"/>
          <w:u w:val="none"/>
        </w:rPr>
        <w:t>成本补偿：</w:t>
      </w:r>
      <w:r>
        <w:rPr>
          <w:rFonts w:hint="eastAsia" w:ascii="新宋体" w:hAnsi="新宋体" w:eastAsia="新宋体" w:cs="新宋体"/>
          <w:color w:val="auto"/>
          <w:sz w:val="21"/>
          <w:szCs w:val="21"/>
          <w:u w:val="single"/>
        </w:rPr>
        <w:t xml:space="preserve">      （应明确按照成本补偿方式的支付方式和支付条件）</w:t>
      </w:r>
      <w:r>
        <w:rPr>
          <w:rFonts w:hint="eastAsia" w:ascii="新宋体" w:hAnsi="新宋体" w:eastAsia="新宋体" w:cs="新宋体"/>
          <w:color w:val="auto"/>
          <w:sz w:val="21"/>
          <w:szCs w:val="21"/>
          <w:u w:val="none"/>
        </w:rPr>
        <w:t xml:space="preserve">    </w:t>
      </w:r>
    </w:p>
    <w:p w14:paraId="2F580039">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color w:val="auto"/>
          <w:sz w:val="21"/>
          <w:szCs w:val="21"/>
          <w:u w:val="none"/>
        </w:rPr>
        <w:t>绩效激励：</w:t>
      </w:r>
      <w:r>
        <w:rPr>
          <w:rFonts w:hint="eastAsia" w:ascii="新宋体" w:hAnsi="新宋体" w:eastAsia="新宋体" w:cs="新宋体"/>
          <w:color w:val="auto"/>
          <w:sz w:val="21"/>
          <w:szCs w:val="21"/>
          <w:u w:val="single"/>
        </w:rPr>
        <w:t xml:space="preserve">      （应明确按照绩效激励方式的支付方式和支付条件）</w:t>
      </w:r>
    </w:p>
    <w:p w14:paraId="174027A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color w:val="auto"/>
          <w:sz w:val="21"/>
          <w:szCs w:val="21"/>
          <w:u w:val="single"/>
        </w:rPr>
      </w:pPr>
      <w:r>
        <w:rPr>
          <w:rFonts w:hint="eastAsia" w:ascii="新宋体" w:hAnsi="新宋体" w:eastAsia="新宋体" w:cs="新宋体"/>
          <w:b/>
          <w:bCs w:val="0"/>
          <w:snapToGrid w:val="0"/>
          <w:color w:val="auto"/>
          <w:kern w:val="0"/>
          <w:sz w:val="21"/>
          <w:szCs w:val="21"/>
          <w:lang w:val="en-US" w:eastAsia="en-US" w:bidi="ar-SA"/>
        </w:rPr>
        <w:t>3.</w:t>
      </w:r>
      <w:r>
        <w:rPr>
          <w:rFonts w:hint="eastAsia" w:ascii="新宋体" w:hAnsi="新宋体" w:eastAsia="新宋体" w:cs="新宋体"/>
          <w:b/>
          <w:bCs w:val="0"/>
          <w:color w:val="auto"/>
          <w:sz w:val="21"/>
          <w:szCs w:val="21"/>
        </w:rPr>
        <w:t>合同履行</w:t>
      </w:r>
    </w:p>
    <w:p w14:paraId="78FD56EF">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（1）起始日期：</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年</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月</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日，完成日期：</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年</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月</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日。</w:t>
      </w:r>
    </w:p>
    <w:p w14:paraId="5A36958A">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color w:val="auto"/>
          <w:sz w:val="21"/>
          <w:szCs w:val="21"/>
        </w:rPr>
        <w:t>（2）</w:t>
      </w:r>
      <w:r>
        <w:rPr>
          <w:rFonts w:hint="eastAsia" w:ascii="新宋体" w:hAnsi="新宋体" w:eastAsia="新宋体" w:cs="新宋体"/>
          <w:color w:val="auto"/>
          <w:sz w:val="21"/>
          <w:szCs w:val="21"/>
          <w:lang w:eastAsia="zh-CN"/>
        </w:rPr>
        <w:t>履约</w:t>
      </w:r>
      <w:r>
        <w:rPr>
          <w:rFonts w:hint="eastAsia" w:ascii="新宋体" w:hAnsi="新宋体" w:eastAsia="新宋体" w:cs="新宋体"/>
          <w:color w:val="auto"/>
          <w:sz w:val="21"/>
          <w:szCs w:val="21"/>
        </w:rPr>
        <w:t>地点</w:t>
      </w:r>
      <w:r>
        <w:rPr>
          <w:rFonts w:hint="eastAsia" w:ascii="新宋体" w:hAnsi="新宋体" w:eastAsia="新宋体" w:cs="新宋体"/>
          <w:b w:val="0"/>
          <w:bCs/>
          <w:color w:val="auto"/>
          <w:sz w:val="21"/>
          <w:szCs w:val="21"/>
        </w:rPr>
        <w:t>：</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p>
    <w:p w14:paraId="2A7269BD">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bCs/>
          <w:color w:val="auto"/>
          <w:sz w:val="21"/>
          <w:szCs w:val="21"/>
        </w:rPr>
        <w:t>（3）</w:t>
      </w:r>
      <w:r>
        <w:rPr>
          <w:rFonts w:hint="eastAsia" w:ascii="新宋体" w:hAnsi="新宋体" w:eastAsia="新宋体" w:cs="新宋体"/>
          <w:color w:val="auto"/>
          <w:sz w:val="21"/>
          <w:szCs w:val="21"/>
          <w:lang w:val="en-US" w:eastAsia="zh-CN"/>
        </w:rPr>
        <w:t>是否收取履约保证金：</w:t>
      </w:r>
      <w:r>
        <w:rPr>
          <w:rFonts w:hint="eastAsia" w:ascii="新宋体" w:hAnsi="新宋体" w:eastAsia="新宋体" w:cs="新宋体"/>
          <w:color w:val="auto"/>
          <w:sz w:val="21"/>
          <w:szCs w:val="21"/>
        </w:rPr>
        <w:sym w:font="Wingdings" w:char="00A8"/>
      </w:r>
      <w:r>
        <w:rPr>
          <w:rFonts w:hint="eastAsia" w:ascii="新宋体" w:hAnsi="新宋体" w:eastAsia="新宋体" w:cs="新宋体"/>
          <w:color w:val="auto"/>
          <w:sz w:val="21"/>
          <w:szCs w:val="21"/>
          <w:lang w:eastAsia="zh-CN"/>
        </w:rPr>
        <w:t>是</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rPr>
        <w:sym w:font="Wingdings" w:char="00FE"/>
      </w:r>
      <w:r>
        <w:rPr>
          <w:rFonts w:hint="eastAsia" w:ascii="新宋体" w:hAnsi="新宋体" w:eastAsia="新宋体" w:cs="新宋体"/>
          <w:color w:val="auto"/>
          <w:sz w:val="21"/>
          <w:szCs w:val="21"/>
          <w:lang w:eastAsia="zh-CN"/>
        </w:rPr>
        <w:t>否</w:t>
      </w:r>
    </w:p>
    <w:p w14:paraId="42AABA9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Cs/>
          <w:color w:val="auto"/>
          <w:sz w:val="21"/>
          <w:szCs w:val="21"/>
          <w:u w:val="single"/>
        </w:rPr>
      </w:pPr>
      <w:r>
        <w:rPr>
          <w:rFonts w:hint="eastAsia" w:ascii="新宋体" w:hAnsi="新宋体" w:eastAsia="新宋体" w:cs="新宋体"/>
          <w:bCs/>
          <w:color w:val="auto"/>
          <w:sz w:val="21"/>
          <w:szCs w:val="21"/>
        </w:rPr>
        <w:t>（4）分期履行要求：</w:t>
      </w:r>
      <w:r>
        <w:rPr>
          <w:rFonts w:hint="eastAsia" w:ascii="新宋体" w:hAnsi="新宋体" w:eastAsia="新宋体" w:cs="新宋体"/>
          <w:bCs/>
          <w:color w:val="auto"/>
          <w:sz w:val="21"/>
          <w:szCs w:val="21"/>
          <w:u w:val="single"/>
        </w:rPr>
        <w:t xml:space="preserve">    </w:t>
      </w:r>
      <w:r>
        <w:rPr>
          <w:rFonts w:hint="eastAsia" w:ascii="新宋体" w:hAnsi="新宋体" w:eastAsia="新宋体" w:cs="新宋体"/>
          <w:bCs/>
          <w:color w:val="auto"/>
          <w:sz w:val="21"/>
          <w:szCs w:val="21"/>
          <w:u w:val="single"/>
          <w:lang w:val="en-US" w:eastAsia="zh-CN"/>
        </w:rPr>
        <w:t xml:space="preserve">                    </w:t>
      </w:r>
      <w:r>
        <w:rPr>
          <w:rFonts w:hint="eastAsia" w:ascii="新宋体" w:hAnsi="新宋体" w:eastAsia="新宋体" w:cs="新宋体"/>
          <w:bCs/>
          <w:color w:val="auto"/>
          <w:sz w:val="21"/>
          <w:szCs w:val="21"/>
          <w:u w:val="single"/>
        </w:rPr>
        <w:t xml:space="preserve">  。</w:t>
      </w:r>
    </w:p>
    <w:p w14:paraId="4034A12C">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bCs/>
          <w:color w:val="auto"/>
          <w:sz w:val="21"/>
          <w:szCs w:val="21"/>
        </w:rPr>
        <w:t>（5）</w:t>
      </w:r>
      <w:r>
        <w:rPr>
          <w:rFonts w:hint="eastAsia" w:ascii="新宋体" w:hAnsi="新宋体" w:eastAsia="新宋体" w:cs="新宋体"/>
          <w:bCs/>
          <w:color w:val="auto"/>
          <w:sz w:val="21"/>
          <w:szCs w:val="21"/>
          <w:lang w:eastAsia="zh-CN"/>
        </w:rPr>
        <w:t>风险处置措施和替代方案</w:t>
      </w:r>
      <w:r>
        <w:rPr>
          <w:rFonts w:hint="eastAsia" w:ascii="新宋体" w:hAnsi="新宋体" w:eastAsia="新宋体" w:cs="新宋体"/>
          <w:bCs/>
          <w:color w:val="auto"/>
          <w:sz w:val="21"/>
          <w:szCs w:val="21"/>
        </w:rPr>
        <w:t>：</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w:t>
      </w:r>
    </w:p>
    <w:p w14:paraId="08BC7AB3">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4.</w:t>
      </w:r>
      <w:r>
        <w:rPr>
          <w:rFonts w:hint="eastAsia" w:ascii="新宋体" w:hAnsi="新宋体" w:eastAsia="新宋体" w:cs="新宋体"/>
          <w:b/>
          <w:bCs w:val="0"/>
          <w:snapToGrid w:val="0"/>
          <w:color w:val="auto"/>
          <w:kern w:val="0"/>
          <w:sz w:val="21"/>
          <w:szCs w:val="21"/>
          <w:lang w:val="en-US" w:eastAsia="en-US" w:bidi="ar-SA"/>
        </w:rPr>
        <w:t>合同验收</w:t>
      </w:r>
    </w:p>
    <w:p w14:paraId="434B3512">
      <w:pPr>
        <w:numPr>
          <w:ilvl w:val="0"/>
          <w:numId w:val="6"/>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578095E7">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D15CCDB">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C26ECE5">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DBB6979">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29E157A">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C8AA2D7">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2BB2229E">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292658C">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4D64E83E">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4B572B12">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4B326527">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72A313BD">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19332668">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E784254">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354EF87A">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712A382">
      <w:pPr>
        <w:pStyle w:val="85"/>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6121893">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B2FF5D4">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5.</w:t>
      </w:r>
      <w:r>
        <w:rPr>
          <w:rFonts w:hint="eastAsia" w:ascii="新宋体" w:hAnsi="新宋体" w:eastAsia="新宋体" w:cs="新宋体"/>
          <w:b/>
          <w:bCs w:val="0"/>
          <w:snapToGrid w:val="0"/>
          <w:color w:val="auto"/>
          <w:kern w:val="0"/>
          <w:sz w:val="21"/>
          <w:szCs w:val="21"/>
          <w:lang w:val="en-US" w:eastAsia="en-US" w:bidi="ar-SA"/>
        </w:rPr>
        <w:t>组成合同的文件</w:t>
      </w:r>
    </w:p>
    <w:p w14:paraId="4E6A783B">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E8994A6">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0481B62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D5423D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704795F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BA138FE">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10EAC64B">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56670FA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70D9B0FD">
      <w:pPr>
        <w:pStyle w:val="85"/>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63A1233D">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6.</w:t>
      </w:r>
      <w:r>
        <w:rPr>
          <w:rFonts w:hint="eastAsia" w:ascii="新宋体" w:hAnsi="新宋体" w:eastAsia="新宋体" w:cs="新宋体"/>
          <w:b/>
          <w:bCs w:val="0"/>
          <w:snapToGrid w:val="0"/>
          <w:color w:val="auto"/>
          <w:kern w:val="0"/>
          <w:sz w:val="21"/>
          <w:szCs w:val="21"/>
          <w:lang w:val="en-US" w:eastAsia="en-US" w:bidi="ar-SA"/>
        </w:rPr>
        <w:t>合同生效</w:t>
      </w:r>
    </w:p>
    <w:p w14:paraId="1FFD26EC">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3C6721F5">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zh-CN" w:bidi="ar-SA"/>
        </w:rPr>
      </w:pPr>
      <w:r>
        <w:rPr>
          <w:rFonts w:hint="eastAsia" w:ascii="新宋体" w:hAnsi="新宋体" w:eastAsia="新宋体" w:cs="新宋体"/>
          <w:b/>
          <w:bCs w:val="0"/>
          <w:snapToGrid w:val="0"/>
          <w:color w:val="auto"/>
          <w:kern w:val="0"/>
          <w:sz w:val="21"/>
          <w:szCs w:val="21"/>
          <w:lang w:val="en-US" w:eastAsia="zh-CN" w:bidi="ar-SA"/>
        </w:rPr>
        <w:t>7.合同份数</w:t>
      </w:r>
    </w:p>
    <w:p w14:paraId="277029E8">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03464744">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39E3A9A">
      <w:pPr>
        <w:adjustRightInd w:val="0"/>
        <w:snapToGrid w:val="0"/>
        <w:spacing w:before="0" w:beforeLines="0" w:line="400" w:lineRule="exact"/>
        <w:ind w:firstLine="420" w:firstLineChars="200"/>
        <w:rPr>
          <w:rFonts w:hint="eastAsia" w:ascii="宋体" w:hAnsi="宋体"/>
          <w:szCs w:val="21"/>
          <w:u w:val="single"/>
        </w:rPr>
      </w:pPr>
      <w:r>
        <w:rPr>
          <w:rFonts w:hint="eastAsia" w:ascii="宋体" w:hAnsi="宋体"/>
          <w:szCs w:val="21"/>
        </w:rPr>
        <w:t>合同订立地点：</w:t>
      </w:r>
      <w:r>
        <w:rPr>
          <w:rFonts w:hint="eastAsia" w:ascii="宋体" w:hAnsi="宋体"/>
          <w:szCs w:val="21"/>
          <w:u w:val="single"/>
        </w:rPr>
        <w:t xml:space="preserve">                           </w:t>
      </w:r>
    </w:p>
    <w:p w14:paraId="1C215B9C">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default" w:ascii="新宋体" w:hAnsi="新宋体" w:eastAsia="新宋体" w:cs="新宋体"/>
          <w:color w:val="auto"/>
          <w:sz w:val="21"/>
          <w:szCs w:val="21"/>
          <w:u w:val="single"/>
          <w:lang w:val="en-US" w:eastAsia="zh-CN"/>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tbl>
      <w:tblPr>
        <w:tblStyle w:val="34"/>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61"/>
        <w:gridCol w:w="2568"/>
        <w:gridCol w:w="2221"/>
        <w:gridCol w:w="2377"/>
      </w:tblGrid>
      <w:tr w14:paraId="462D69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noWrap w:val="0"/>
            <w:vAlign w:val="center"/>
          </w:tcPr>
          <w:p w14:paraId="4C3A2875">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甲方（采购人）</w:t>
            </w:r>
          </w:p>
        </w:tc>
        <w:tc>
          <w:tcPr>
            <w:tcW w:w="2438" w:type="pct"/>
            <w:gridSpan w:val="2"/>
            <w:tcBorders>
              <w:left w:val="single" w:color="auto" w:sz="2" w:space="0"/>
              <w:bottom w:val="single" w:color="auto" w:sz="2" w:space="0"/>
            </w:tcBorders>
            <w:noWrap w:val="0"/>
            <w:vAlign w:val="center"/>
          </w:tcPr>
          <w:p w14:paraId="5EF0BE2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乙方（供应商）</w:t>
            </w:r>
          </w:p>
        </w:tc>
      </w:tr>
      <w:tr w14:paraId="6D824C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1199" w:type="pct"/>
            <w:tcBorders>
              <w:top w:val="single" w:color="auto" w:sz="2" w:space="0"/>
              <w:bottom w:val="single" w:color="auto" w:sz="2" w:space="0"/>
              <w:right w:val="single" w:color="auto" w:sz="2" w:space="0"/>
            </w:tcBorders>
            <w:noWrap w:val="0"/>
            <w:vAlign w:val="center"/>
          </w:tcPr>
          <w:p w14:paraId="08B8A71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单位名称</w:t>
            </w:r>
          </w:p>
          <w:p w14:paraId="528787B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（公章</w:t>
            </w:r>
            <w:r>
              <w:rPr>
                <w:rFonts w:hint="eastAsia" w:ascii="新宋体" w:hAnsi="新宋体" w:eastAsia="新宋体" w:cs="新宋体"/>
                <w:color w:val="auto"/>
                <w:sz w:val="21"/>
                <w:szCs w:val="21"/>
                <w:lang w:eastAsia="zh-CN"/>
              </w:rPr>
              <w:t>或合同章</w:t>
            </w:r>
            <w:r>
              <w:rPr>
                <w:rFonts w:hint="eastAsia" w:ascii="新宋体" w:hAnsi="新宋体" w:eastAsia="新宋体" w:cs="新宋体"/>
                <w:color w:val="auto"/>
                <w:sz w:val="21"/>
                <w:szCs w:val="21"/>
              </w:rPr>
              <w:t>）</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626FC48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0FD1C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单位名称</w:t>
            </w:r>
          </w:p>
          <w:p w14:paraId="4B03A11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（公章</w:t>
            </w:r>
            <w:r>
              <w:rPr>
                <w:rFonts w:hint="eastAsia" w:ascii="新宋体" w:hAnsi="新宋体" w:eastAsia="新宋体" w:cs="新宋体"/>
                <w:color w:val="auto"/>
                <w:sz w:val="21"/>
                <w:szCs w:val="21"/>
                <w:lang w:eastAsia="zh-CN"/>
              </w:rPr>
              <w:t>或合同章</w:t>
            </w:r>
            <w:r>
              <w:rPr>
                <w:rFonts w:hint="eastAsia" w:ascii="新宋体" w:hAnsi="新宋体" w:eastAsia="新宋体" w:cs="新宋体"/>
                <w:color w:val="auto"/>
                <w:sz w:val="21"/>
                <w:szCs w:val="21"/>
              </w:rPr>
              <w:t>）</w:t>
            </w:r>
          </w:p>
        </w:tc>
        <w:tc>
          <w:tcPr>
            <w:tcW w:w="1260" w:type="pct"/>
            <w:tcBorders>
              <w:top w:val="single" w:color="auto" w:sz="2" w:space="0"/>
              <w:left w:val="single" w:color="auto" w:sz="2" w:space="0"/>
              <w:bottom w:val="single" w:color="auto" w:sz="2" w:space="0"/>
            </w:tcBorders>
            <w:noWrap w:val="0"/>
            <w:vAlign w:val="center"/>
          </w:tcPr>
          <w:p w14:paraId="733BD812">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E931F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42" w:hRule="atLeast"/>
        </w:trPr>
        <w:tc>
          <w:tcPr>
            <w:tcW w:w="1199" w:type="pct"/>
            <w:vMerge w:val="restart"/>
            <w:tcBorders>
              <w:top w:val="single" w:color="auto" w:sz="2" w:space="0"/>
              <w:right w:val="single" w:color="auto" w:sz="2" w:space="0"/>
            </w:tcBorders>
            <w:noWrap w:val="0"/>
            <w:vAlign w:val="center"/>
          </w:tcPr>
          <w:p w14:paraId="78D9370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法定代表人</w:t>
            </w:r>
          </w:p>
          <w:p w14:paraId="5CB7A1A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或其委托代理人</w:t>
            </w:r>
          </w:p>
          <w:p w14:paraId="082629D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（签章）</w:t>
            </w:r>
          </w:p>
        </w:tc>
        <w:tc>
          <w:tcPr>
            <w:tcW w:w="1361" w:type="pct"/>
            <w:vMerge w:val="restart"/>
            <w:tcBorders>
              <w:top w:val="single" w:color="auto" w:sz="2" w:space="0"/>
              <w:left w:val="single" w:color="auto" w:sz="2" w:space="0"/>
              <w:right w:val="single" w:color="auto" w:sz="2" w:space="0"/>
            </w:tcBorders>
            <w:noWrap w:val="0"/>
            <w:vAlign w:val="center"/>
          </w:tcPr>
          <w:p w14:paraId="26EF88B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right w:val="single" w:color="auto" w:sz="2" w:space="0"/>
            </w:tcBorders>
            <w:noWrap w:val="0"/>
            <w:vAlign w:val="center"/>
          </w:tcPr>
          <w:p w14:paraId="6E6DDE5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法定代表人</w:t>
            </w:r>
          </w:p>
          <w:p w14:paraId="4262701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或其委托代理人</w:t>
            </w:r>
          </w:p>
          <w:p w14:paraId="7083B43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（签章）</w:t>
            </w:r>
          </w:p>
        </w:tc>
        <w:tc>
          <w:tcPr>
            <w:tcW w:w="1260" w:type="pct"/>
            <w:tcBorders>
              <w:top w:val="single" w:color="auto" w:sz="2" w:space="0"/>
              <w:left w:val="single" w:color="auto" w:sz="2" w:space="0"/>
              <w:bottom w:val="single" w:color="auto" w:sz="2" w:space="0"/>
            </w:tcBorders>
            <w:noWrap w:val="0"/>
            <w:vAlign w:val="center"/>
          </w:tcPr>
          <w:p w14:paraId="125D26E8">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p>
        </w:tc>
      </w:tr>
      <w:tr w14:paraId="08141F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vMerge w:val="continue"/>
            <w:tcBorders>
              <w:bottom w:val="single" w:color="auto" w:sz="2" w:space="0"/>
              <w:right w:val="single" w:color="auto" w:sz="2" w:space="0"/>
            </w:tcBorders>
            <w:noWrap w:val="0"/>
            <w:vAlign w:val="center"/>
          </w:tcPr>
          <w:p w14:paraId="23D3548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vMerge w:val="continue"/>
            <w:tcBorders>
              <w:left w:val="single" w:color="auto" w:sz="2" w:space="0"/>
              <w:bottom w:val="single" w:color="auto" w:sz="2" w:space="0"/>
              <w:right w:val="single" w:color="auto" w:sz="2" w:space="0"/>
            </w:tcBorders>
            <w:noWrap w:val="0"/>
            <w:vAlign w:val="center"/>
          </w:tcPr>
          <w:p w14:paraId="7116048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343CD7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拥有者性别</w:t>
            </w:r>
          </w:p>
        </w:tc>
        <w:tc>
          <w:tcPr>
            <w:tcW w:w="1260" w:type="pct"/>
            <w:tcBorders>
              <w:top w:val="single" w:color="auto" w:sz="2" w:space="0"/>
              <w:left w:val="single" w:color="auto" w:sz="2" w:space="0"/>
              <w:bottom w:val="single" w:color="auto" w:sz="2" w:space="0"/>
            </w:tcBorders>
            <w:noWrap w:val="0"/>
            <w:vAlign w:val="center"/>
          </w:tcPr>
          <w:p w14:paraId="231CD281">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7F0E5E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4DDC827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住</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所</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54A3AE9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D5B05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住</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所</w:t>
            </w:r>
          </w:p>
        </w:tc>
        <w:tc>
          <w:tcPr>
            <w:tcW w:w="1260" w:type="pct"/>
            <w:tcBorders>
              <w:top w:val="single" w:color="auto" w:sz="2" w:space="0"/>
              <w:left w:val="single" w:color="auto" w:sz="2" w:space="0"/>
              <w:bottom w:val="single" w:color="auto" w:sz="2" w:space="0"/>
            </w:tcBorders>
            <w:noWrap w:val="0"/>
            <w:vAlign w:val="center"/>
          </w:tcPr>
          <w:p w14:paraId="2C01EB35">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0CB4C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04280F3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 系 人</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6425B9C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C0E8D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 系 人</w:t>
            </w:r>
          </w:p>
        </w:tc>
        <w:tc>
          <w:tcPr>
            <w:tcW w:w="1260" w:type="pct"/>
            <w:tcBorders>
              <w:top w:val="single" w:color="auto" w:sz="2" w:space="0"/>
              <w:left w:val="single" w:color="auto" w:sz="2" w:space="0"/>
              <w:bottom w:val="single" w:color="auto" w:sz="2" w:space="0"/>
            </w:tcBorders>
            <w:noWrap w:val="0"/>
            <w:vAlign w:val="center"/>
          </w:tcPr>
          <w:p w14:paraId="749C60EB">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6E7E9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2DC43E8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联系电话</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6A61734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3B83EA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联系电话</w:t>
            </w:r>
          </w:p>
        </w:tc>
        <w:tc>
          <w:tcPr>
            <w:tcW w:w="1260" w:type="pct"/>
            <w:tcBorders>
              <w:top w:val="single" w:color="auto" w:sz="2" w:space="0"/>
              <w:left w:val="single" w:color="auto" w:sz="2" w:space="0"/>
              <w:bottom w:val="single" w:color="auto" w:sz="2" w:space="0"/>
            </w:tcBorders>
            <w:noWrap w:val="0"/>
            <w:vAlign w:val="center"/>
          </w:tcPr>
          <w:p w14:paraId="4AE18A40">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12DB97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090C129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通信地址</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25221A4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147FE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通信地址</w:t>
            </w:r>
          </w:p>
        </w:tc>
        <w:tc>
          <w:tcPr>
            <w:tcW w:w="1260" w:type="pct"/>
            <w:tcBorders>
              <w:top w:val="single" w:color="auto" w:sz="2" w:space="0"/>
              <w:left w:val="single" w:color="auto" w:sz="2" w:space="0"/>
              <w:bottom w:val="single" w:color="auto" w:sz="2" w:space="0"/>
            </w:tcBorders>
            <w:noWrap w:val="0"/>
            <w:vAlign w:val="center"/>
          </w:tcPr>
          <w:p w14:paraId="0110133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502996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5B6F4E8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邮政编码</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74F5B0F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656D8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邮政编码</w:t>
            </w:r>
          </w:p>
        </w:tc>
        <w:tc>
          <w:tcPr>
            <w:tcW w:w="1260" w:type="pct"/>
            <w:tcBorders>
              <w:top w:val="single" w:color="auto" w:sz="2" w:space="0"/>
              <w:left w:val="single" w:color="auto" w:sz="2" w:space="0"/>
              <w:bottom w:val="single" w:color="auto" w:sz="2" w:space="0"/>
            </w:tcBorders>
            <w:noWrap w:val="0"/>
            <w:vAlign w:val="center"/>
          </w:tcPr>
          <w:p w14:paraId="2E3F3260">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5295AA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3693C7E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电子邮箱</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5C6BC29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AD98A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电子邮箱</w:t>
            </w:r>
          </w:p>
        </w:tc>
        <w:tc>
          <w:tcPr>
            <w:tcW w:w="1260" w:type="pct"/>
            <w:tcBorders>
              <w:top w:val="single" w:color="auto" w:sz="2" w:space="0"/>
              <w:left w:val="single" w:color="auto" w:sz="2" w:space="0"/>
              <w:bottom w:val="single" w:color="auto" w:sz="2" w:space="0"/>
            </w:tcBorders>
            <w:noWrap w:val="0"/>
            <w:vAlign w:val="center"/>
          </w:tcPr>
          <w:p w14:paraId="63640B4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1A120E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2B3C0F4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统一社会信用代码</w:t>
            </w:r>
          </w:p>
        </w:tc>
        <w:tc>
          <w:tcPr>
            <w:tcW w:w="1361" w:type="pct"/>
            <w:tcBorders>
              <w:top w:val="single" w:color="auto" w:sz="2" w:space="0"/>
              <w:left w:val="single" w:color="auto" w:sz="2" w:space="0"/>
              <w:bottom w:val="single" w:color="auto" w:sz="2" w:space="0"/>
              <w:right w:val="single" w:color="auto" w:sz="2" w:space="0"/>
            </w:tcBorders>
            <w:noWrap w:val="0"/>
            <w:vAlign w:val="center"/>
          </w:tcPr>
          <w:p w14:paraId="6D1662F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B331E4B">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统一社会信用代码</w:t>
            </w:r>
          </w:p>
        </w:tc>
        <w:tc>
          <w:tcPr>
            <w:tcW w:w="1260" w:type="pct"/>
            <w:tcBorders>
              <w:top w:val="single" w:color="auto" w:sz="2" w:space="0"/>
              <w:left w:val="single" w:color="auto" w:sz="2" w:space="0"/>
              <w:bottom w:val="single" w:color="auto" w:sz="2" w:space="0"/>
            </w:tcBorders>
            <w:noWrap w:val="0"/>
            <w:vAlign w:val="center"/>
          </w:tcPr>
          <w:p w14:paraId="403BFB30">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0221FE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35306B2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noWrap w:val="0"/>
            <w:vAlign w:val="center"/>
          </w:tcPr>
          <w:p w14:paraId="7AE953F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9F2BC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开户名称</w:t>
            </w:r>
          </w:p>
        </w:tc>
        <w:tc>
          <w:tcPr>
            <w:tcW w:w="1260" w:type="pct"/>
            <w:tcBorders>
              <w:top w:val="single" w:color="auto" w:sz="2" w:space="0"/>
              <w:left w:val="single" w:color="auto" w:sz="2" w:space="0"/>
              <w:bottom w:val="single" w:color="auto" w:sz="2" w:space="0"/>
            </w:tcBorders>
            <w:noWrap w:val="0"/>
            <w:vAlign w:val="center"/>
          </w:tcPr>
          <w:p w14:paraId="5F8BEE65">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7CFD89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185C095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noWrap w:val="0"/>
            <w:vAlign w:val="center"/>
          </w:tcPr>
          <w:p w14:paraId="45B144D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CDB2F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开户银行</w:t>
            </w:r>
          </w:p>
        </w:tc>
        <w:tc>
          <w:tcPr>
            <w:tcW w:w="1260" w:type="pct"/>
            <w:tcBorders>
              <w:top w:val="single" w:color="auto" w:sz="2" w:space="0"/>
              <w:left w:val="single" w:color="auto" w:sz="2" w:space="0"/>
              <w:bottom w:val="single" w:color="auto" w:sz="2" w:space="0"/>
            </w:tcBorders>
            <w:noWrap w:val="0"/>
            <w:vAlign w:val="center"/>
          </w:tcPr>
          <w:p w14:paraId="4E404130">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6B1584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noWrap w:val="0"/>
            <w:vAlign w:val="center"/>
          </w:tcPr>
          <w:p w14:paraId="1D54227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noWrap w:val="0"/>
            <w:vAlign w:val="center"/>
          </w:tcPr>
          <w:p w14:paraId="14C5E38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215ED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银行账号</w:t>
            </w:r>
          </w:p>
        </w:tc>
        <w:tc>
          <w:tcPr>
            <w:tcW w:w="1260" w:type="pct"/>
            <w:tcBorders>
              <w:top w:val="single" w:color="auto" w:sz="2" w:space="0"/>
              <w:left w:val="single" w:color="auto" w:sz="2" w:space="0"/>
              <w:bottom w:val="single" w:color="auto" w:sz="2" w:space="0"/>
            </w:tcBorders>
            <w:noWrap w:val="0"/>
            <w:vAlign w:val="center"/>
          </w:tcPr>
          <w:p w14:paraId="1D2134C1">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p>
        </w:tc>
      </w:tr>
    </w:tbl>
    <w:p w14:paraId="4D2EB8B8">
      <w:pPr>
        <w:pStyle w:val="33"/>
        <w:spacing w:line="360" w:lineRule="auto"/>
        <w:ind w:left="0" w:leftChars="0"/>
        <w:jc w:val="left"/>
        <w:rPr>
          <w:rFonts w:ascii="宋体" w:hAnsi="宋体" w:eastAsia="宋体" w:cs="宋体"/>
          <w:b/>
          <w:bCs/>
          <w:color w:val="000000"/>
          <w:szCs w:val="21"/>
        </w:rPr>
      </w:pPr>
      <w:r>
        <w:rPr>
          <w:rFonts w:hint="eastAsia" w:ascii="宋体" w:hAnsi="宋体" w:eastAsia="宋体" w:cs="宋体"/>
          <w:b/>
          <w:bCs/>
          <w:sz w:val="21"/>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14:paraId="34F8089F">
      <w:pPr>
        <w:pStyle w:val="33"/>
        <w:numPr>
          <w:ilvl w:val="0"/>
          <w:numId w:val="0"/>
        </w:numPr>
        <w:ind w:firstLine="632" w:firstLineChars="300"/>
        <w:jc w:val="left"/>
        <w:rPr>
          <w:rFonts w:hint="eastAsia" w:ascii="宋体" w:hAnsi="宋体" w:eastAsia="宋体" w:cs="宋体"/>
          <w:b/>
          <w:bCs/>
          <w:color w:val="auto"/>
          <w:sz w:val="21"/>
          <w:szCs w:val="21"/>
          <w:highlight w:val="none"/>
        </w:rPr>
        <w:sectPr>
          <w:footerReference r:id="rId7" w:type="default"/>
          <w:pgSz w:w="11905" w:h="16838"/>
          <w:pgMar w:top="1440" w:right="1282" w:bottom="1440" w:left="1270"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p>
    <w:bookmarkEnd w:id="1153"/>
    <w:p w14:paraId="5E90543B">
      <w:pPr>
        <w:pStyle w:val="6"/>
        <w:numPr>
          <w:ilvl w:val="0"/>
          <w:numId w:val="7"/>
        </w:numPr>
        <w:spacing w:line="240" w:lineRule="auto"/>
        <w:ind w:firstLine="0" w:firstLineChars="0"/>
        <w:rPr>
          <w:rFonts w:ascii="宋体" w:hAnsi="宋体" w:eastAsia="宋体" w:cs="宋体"/>
          <w:color w:val="auto"/>
          <w:sz w:val="28"/>
          <w:szCs w:val="28"/>
        </w:rPr>
      </w:pPr>
      <w:bookmarkStart w:id="1157" w:name="_Toc4703"/>
      <w:r>
        <w:rPr>
          <w:rFonts w:hint="eastAsia" w:ascii="宋体" w:hAnsi="宋体" w:cs="宋体"/>
          <w:color w:val="auto"/>
          <w:sz w:val="28"/>
          <w:szCs w:val="28"/>
        </w:rPr>
        <w:t>采购</w:t>
      </w:r>
      <w:r>
        <w:rPr>
          <w:rFonts w:hint="eastAsia" w:ascii="宋体" w:hAnsi="宋体" w:cs="宋体"/>
          <w:color w:val="auto"/>
          <w:sz w:val="28"/>
          <w:szCs w:val="28"/>
          <w:lang w:val="en-US" w:eastAsia="zh-CN"/>
        </w:rPr>
        <w:t>内容与</w:t>
      </w:r>
      <w:r>
        <w:rPr>
          <w:rFonts w:hint="eastAsia" w:ascii="宋体" w:hAnsi="宋体" w:cs="宋体"/>
          <w:color w:val="auto"/>
          <w:sz w:val="28"/>
          <w:szCs w:val="28"/>
        </w:rPr>
        <w:t>要求</w:t>
      </w:r>
      <w:bookmarkEnd w:id="1157"/>
    </w:p>
    <w:p w14:paraId="65AD0763">
      <w:r>
        <w:rPr>
          <w:rFonts w:hint="eastAsia"/>
          <w:lang w:val="en-US" w:eastAsia="zh-CN"/>
        </w:rPr>
        <w:t>采购内容：高素质农民培育培训任务（粮油和重要农产品生产经营主体、新产业新业态带头人、文明乡风建设素质素养提升）</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906"/>
        <w:gridCol w:w="2284"/>
        <w:gridCol w:w="879"/>
        <w:gridCol w:w="1774"/>
        <w:gridCol w:w="2535"/>
      </w:tblGrid>
      <w:tr w14:paraId="5A5D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06" w:type="dxa"/>
            <w:noWrap w:val="0"/>
            <w:vAlign w:val="top"/>
          </w:tcPr>
          <w:p w14:paraId="48BBB96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包段</w:t>
            </w:r>
          </w:p>
        </w:tc>
        <w:tc>
          <w:tcPr>
            <w:tcW w:w="906" w:type="dxa"/>
            <w:noWrap w:val="0"/>
            <w:vAlign w:val="top"/>
          </w:tcPr>
          <w:p w14:paraId="211360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序号</w:t>
            </w:r>
          </w:p>
        </w:tc>
        <w:tc>
          <w:tcPr>
            <w:tcW w:w="2284" w:type="dxa"/>
            <w:noWrap w:val="0"/>
            <w:vAlign w:val="top"/>
          </w:tcPr>
          <w:p w14:paraId="4CA9BA4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培训班名称</w:t>
            </w:r>
          </w:p>
        </w:tc>
        <w:tc>
          <w:tcPr>
            <w:tcW w:w="879" w:type="dxa"/>
            <w:noWrap w:val="0"/>
            <w:vAlign w:val="center"/>
          </w:tcPr>
          <w:p w14:paraId="6DF60BF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人数</w:t>
            </w:r>
          </w:p>
        </w:tc>
        <w:tc>
          <w:tcPr>
            <w:tcW w:w="1774" w:type="dxa"/>
            <w:noWrap w:val="0"/>
            <w:vAlign w:val="center"/>
          </w:tcPr>
          <w:p w14:paraId="1D524C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拟培训时间</w:t>
            </w:r>
          </w:p>
        </w:tc>
        <w:tc>
          <w:tcPr>
            <w:tcW w:w="2535" w:type="dxa"/>
            <w:noWrap w:val="0"/>
            <w:vAlign w:val="center"/>
          </w:tcPr>
          <w:p w14:paraId="27EEFAA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高素质农民常规培训任务</w:t>
            </w:r>
          </w:p>
        </w:tc>
      </w:tr>
      <w:tr w14:paraId="37C6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06" w:type="dxa"/>
            <w:vMerge w:val="restart"/>
            <w:noWrap w:val="0"/>
            <w:vAlign w:val="center"/>
          </w:tcPr>
          <w:p w14:paraId="2A8571FB">
            <w:pPr>
              <w:ind w:left="0" w:leftChars="0" w:firstLine="0" w:firstLineChars="0"/>
              <w:rPr>
                <w:rFonts w:hint="default"/>
                <w:lang w:val="en-US" w:eastAsia="zh-CN"/>
              </w:rPr>
            </w:pPr>
            <w:r>
              <w:rPr>
                <w:rFonts w:hint="eastAsia"/>
                <w:lang w:val="en-US" w:eastAsia="zh-CN"/>
              </w:rPr>
              <w:t>包1</w:t>
            </w:r>
          </w:p>
        </w:tc>
        <w:tc>
          <w:tcPr>
            <w:tcW w:w="906" w:type="dxa"/>
            <w:noWrap w:val="0"/>
            <w:vAlign w:val="center"/>
          </w:tcPr>
          <w:p w14:paraId="1F844F1D">
            <w:pPr>
              <w:rPr>
                <w:rFonts w:hint="default"/>
                <w:lang w:val="en-US" w:eastAsia="zh-CN"/>
              </w:rPr>
            </w:pPr>
            <w:r>
              <w:rPr>
                <w:rFonts w:hint="eastAsia"/>
                <w:lang w:val="en-US" w:eastAsia="zh-CN"/>
              </w:rPr>
              <w:t>1</w:t>
            </w:r>
          </w:p>
        </w:tc>
        <w:tc>
          <w:tcPr>
            <w:tcW w:w="2284" w:type="dxa"/>
            <w:noWrap w:val="0"/>
            <w:vAlign w:val="center"/>
          </w:tcPr>
          <w:p w14:paraId="7002F247">
            <w:pPr>
              <w:rPr>
                <w:rFonts w:hint="eastAsia"/>
                <w:lang w:val="en-US" w:eastAsia="zh-CN"/>
              </w:rPr>
            </w:pPr>
            <w:r>
              <w:rPr>
                <w:rFonts w:hint="eastAsia"/>
                <w:lang w:val="en-US" w:eastAsia="zh-CN"/>
              </w:rPr>
              <w:t>2026年河南省信阳市罗山县粮油产业（水稻一班）高素质农民培训班</w:t>
            </w:r>
          </w:p>
        </w:tc>
        <w:tc>
          <w:tcPr>
            <w:tcW w:w="879" w:type="dxa"/>
            <w:noWrap w:val="0"/>
            <w:vAlign w:val="center"/>
          </w:tcPr>
          <w:p w14:paraId="4B7841AC">
            <w:pPr>
              <w:rPr>
                <w:rFonts w:hint="default"/>
                <w:lang w:val="en-US" w:eastAsia="zh-CN"/>
              </w:rPr>
            </w:pPr>
            <w:r>
              <w:rPr>
                <w:rFonts w:hint="eastAsia"/>
                <w:lang w:val="en-US" w:eastAsia="zh-CN"/>
              </w:rPr>
              <w:t>43</w:t>
            </w:r>
          </w:p>
        </w:tc>
        <w:tc>
          <w:tcPr>
            <w:tcW w:w="1774" w:type="dxa"/>
            <w:noWrap w:val="0"/>
            <w:vAlign w:val="center"/>
          </w:tcPr>
          <w:p w14:paraId="39CA9D7C">
            <w:pPr>
              <w:rPr>
                <w:rFonts w:hint="default"/>
                <w:lang w:val="en-US" w:eastAsia="zh-CN"/>
              </w:rPr>
            </w:pPr>
            <w:r>
              <w:rPr>
                <w:rFonts w:hint="eastAsia"/>
                <w:lang w:val="en-US" w:eastAsia="zh-CN"/>
              </w:rPr>
              <w:t>2026年5月</w:t>
            </w:r>
          </w:p>
        </w:tc>
        <w:tc>
          <w:tcPr>
            <w:tcW w:w="2535" w:type="dxa"/>
            <w:vMerge w:val="restart"/>
            <w:noWrap w:val="0"/>
            <w:vAlign w:val="center"/>
          </w:tcPr>
          <w:p w14:paraId="3FEC4017">
            <w:pPr>
              <w:rPr>
                <w:rFonts w:hint="eastAsia" w:ascii="宋体" w:hAnsi="宋体" w:eastAsia="宋体" w:cs="宋体"/>
                <w:i w:val="0"/>
                <w:iCs w:val="0"/>
                <w:color w:val="000000"/>
                <w:sz w:val="18"/>
                <w:szCs w:val="18"/>
                <w:u w:val="none"/>
                <w:lang w:val="en-US" w:eastAsia="zh-CN"/>
              </w:rPr>
            </w:pPr>
            <w:r>
              <w:rPr>
                <w:rFonts w:hint="eastAsia"/>
                <w:lang w:val="en-US" w:eastAsia="zh-CN"/>
              </w:rPr>
              <w:t>粮油和重要农产品生产经营主体、新产业新业态带头人、文明乡风建设素质素养提升（人）</w:t>
            </w:r>
          </w:p>
        </w:tc>
      </w:tr>
      <w:tr w14:paraId="0A8F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06" w:type="dxa"/>
            <w:vMerge w:val="continue"/>
            <w:noWrap w:val="0"/>
            <w:vAlign w:val="center"/>
          </w:tcPr>
          <w:p w14:paraId="09D51D52">
            <w:pPr>
              <w:rPr>
                <w:rFonts w:hint="eastAsia"/>
                <w:lang w:val="en-US" w:eastAsia="zh-CN"/>
              </w:rPr>
            </w:pPr>
          </w:p>
        </w:tc>
        <w:tc>
          <w:tcPr>
            <w:tcW w:w="906" w:type="dxa"/>
            <w:noWrap w:val="0"/>
            <w:vAlign w:val="center"/>
          </w:tcPr>
          <w:p w14:paraId="071A9DD8">
            <w:pPr>
              <w:rPr>
                <w:rFonts w:hint="default"/>
                <w:lang w:val="en-US" w:eastAsia="zh-CN"/>
              </w:rPr>
            </w:pPr>
            <w:r>
              <w:rPr>
                <w:rFonts w:hint="eastAsia"/>
                <w:lang w:val="en-US" w:eastAsia="zh-CN"/>
              </w:rPr>
              <w:t>2</w:t>
            </w:r>
          </w:p>
        </w:tc>
        <w:tc>
          <w:tcPr>
            <w:tcW w:w="2284" w:type="dxa"/>
            <w:noWrap w:val="0"/>
            <w:vAlign w:val="center"/>
          </w:tcPr>
          <w:p w14:paraId="79336C80">
            <w:pPr>
              <w:rPr>
                <w:rFonts w:hint="eastAsia"/>
                <w:lang w:val="en-US" w:eastAsia="zh-CN"/>
              </w:rPr>
            </w:pPr>
            <w:r>
              <w:rPr>
                <w:rFonts w:hint="eastAsia"/>
                <w:lang w:val="en-US" w:eastAsia="zh-CN"/>
              </w:rPr>
              <w:t>2026年河南省信阳市罗山县粮油产业（水稻二班）高素质农民培训班</w:t>
            </w:r>
          </w:p>
        </w:tc>
        <w:tc>
          <w:tcPr>
            <w:tcW w:w="879" w:type="dxa"/>
            <w:noWrap w:val="0"/>
            <w:vAlign w:val="center"/>
          </w:tcPr>
          <w:p w14:paraId="445066EB">
            <w:pPr>
              <w:rPr>
                <w:rFonts w:hint="default"/>
                <w:lang w:val="en-US" w:eastAsia="zh-CN"/>
              </w:rPr>
            </w:pPr>
            <w:r>
              <w:rPr>
                <w:rFonts w:hint="eastAsia"/>
                <w:lang w:val="en-US" w:eastAsia="zh-CN"/>
              </w:rPr>
              <w:t>43</w:t>
            </w:r>
          </w:p>
        </w:tc>
        <w:tc>
          <w:tcPr>
            <w:tcW w:w="1774" w:type="dxa"/>
            <w:noWrap w:val="0"/>
            <w:vAlign w:val="center"/>
          </w:tcPr>
          <w:p w14:paraId="0D60CEE4">
            <w:pPr>
              <w:rPr>
                <w:rFonts w:hint="eastAsia"/>
                <w:lang w:val="en-US" w:eastAsia="zh-CN"/>
              </w:rPr>
            </w:pPr>
            <w:r>
              <w:rPr>
                <w:rFonts w:hint="eastAsia"/>
                <w:lang w:val="en-US" w:eastAsia="zh-CN"/>
              </w:rPr>
              <w:t>2026年6月</w:t>
            </w:r>
          </w:p>
        </w:tc>
        <w:tc>
          <w:tcPr>
            <w:tcW w:w="2535" w:type="dxa"/>
            <w:vMerge w:val="continue"/>
            <w:noWrap w:val="0"/>
            <w:vAlign w:val="center"/>
          </w:tcPr>
          <w:p w14:paraId="53FBD3D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lang w:val="en-US" w:eastAsia="zh-CN"/>
              </w:rPr>
            </w:pPr>
          </w:p>
        </w:tc>
      </w:tr>
      <w:tr w14:paraId="37D8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06" w:type="dxa"/>
            <w:vMerge w:val="restart"/>
            <w:noWrap w:val="0"/>
            <w:vAlign w:val="center"/>
          </w:tcPr>
          <w:p w14:paraId="54857F89">
            <w:pPr>
              <w:ind w:left="0" w:leftChars="0" w:firstLine="0" w:firstLineChars="0"/>
              <w:rPr>
                <w:rFonts w:hint="default"/>
                <w:lang w:val="en-US" w:eastAsia="zh-CN"/>
              </w:rPr>
            </w:pPr>
            <w:r>
              <w:rPr>
                <w:rFonts w:hint="eastAsia"/>
                <w:lang w:val="en-US" w:eastAsia="zh-CN"/>
              </w:rPr>
              <w:t>包2</w:t>
            </w:r>
          </w:p>
        </w:tc>
        <w:tc>
          <w:tcPr>
            <w:tcW w:w="906" w:type="dxa"/>
            <w:noWrap w:val="0"/>
            <w:vAlign w:val="center"/>
          </w:tcPr>
          <w:p w14:paraId="1394A5BC">
            <w:pPr>
              <w:rPr>
                <w:rFonts w:hint="default"/>
                <w:lang w:val="en-US" w:eastAsia="zh-CN"/>
              </w:rPr>
            </w:pPr>
            <w:r>
              <w:rPr>
                <w:rFonts w:hint="eastAsia"/>
                <w:lang w:val="en-US" w:eastAsia="zh-CN"/>
              </w:rPr>
              <w:t>3</w:t>
            </w:r>
          </w:p>
        </w:tc>
        <w:tc>
          <w:tcPr>
            <w:tcW w:w="2284" w:type="dxa"/>
            <w:noWrap w:val="0"/>
            <w:vAlign w:val="center"/>
          </w:tcPr>
          <w:p w14:paraId="4AF737B2">
            <w:pPr>
              <w:rPr>
                <w:rFonts w:hint="eastAsia"/>
                <w:lang w:val="en-US" w:eastAsia="zh-CN"/>
              </w:rPr>
            </w:pPr>
            <w:r>
              <w:rPr>
                <w:rFonts w:hint="eastAsia"/>
                <w:lang w:val="en-US" w:eastAsia="zh-CN"/>
              </w:rPr>
              <w:t>2026年河南省信阳市罗山县粮油产业（小麦）高素质农民培训班</w:t>
            </w:r>
          </w:p>
        </w:tc>
        <w:tc>
          <w:tcPr>
            <w:tcW w:w="879" w:type="dxa"/>
            <w:noWrap w:val="0"/>
            <w:vAlign w:val="center"/>
          </w:tcPr>
          <w:p w14:paraId="58269858">
            <w:pPr>
              <w:rPr>
                <w:rFonts w:hint="eastAsia"/>
                <w:lang w:val="en-US" w:eastAsia="zh-CN"/>
              </w:rPr>
            </w:pPr>
            <w:r>
              <w:rPr>
                <w:rFonts w:hint="eastAsia"/>
                <w:lang w:val="en-US" w:eastAsia="zh-CN"/>
              </w:rPr>
              <w:t>43</w:t>
            </w:r>
          </w:p>
        </w:tc>
        <w:tc>
          <w:tcPr>
            <w:tcW w:w="1774" w:type="dxa"/>
            <w:noWrap w:val="0"/>
            <w:vAlign w:val="center"/>
          </w:tcPr>
          <w:p w14:paraId="22880026">
            <w:pPr>
              <w:rPr>
                <w:rFonts w:hint="eastAsia"/>
                <w:lang w:val="en-US" w:eastAsia="zh-CN"/>
              </w:rPr>
            </w:pPr>
            <w:r>
              <w:rPr>
                <w:rFonts w:hint="eastAsia"/>
                <w:lang w:val="en-US" w:eastAsia="zh-CN"/>
              </w:rPr>
              <w:t>2026年6月</w:t>
            </w:r>
          </w:p>
        </w:tc>
        <w:tc>
          <w:tcPr>
            <w:tcW w:w="2535" w:type="dxa"/>
            <w:vMerge w:val="continue"/>
            <w:noWrap w:val="0"/>
            <w:vAlign w:val="center"/>
          </w:tcPr>
          <w:p w14:paraId="40F821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lang w:val="en-US" w:eastAsia="zh-CN"/>
              </w:rPr>
            </w:pPr>
          </w:p>
        </w:tc>
      </w:tr>
      <w:tr w14:paraId="2BA3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06" w:type="dxa"/>
            <w:vMerge w:val="continue"/>
            <w:noWrap w:val="0"/>
            <w:vAlign w:val="center"/>
          </w:tcPr>
          <w:p w14:paraId="3E918B9F">
            <w:pPr>
              <w:rPr>
                <w:rFonts w:hint="eastAsia"/>
                <w:lang w:val="en-US" w:eastAsia="zh-CN"/>
              </w:rPr>
            </w:pPr>
          </w:p>
        </w:tc>
        <w:tc>
          <w:tcPr>
            <w:tcW w:w="906" w:type="dxa"/>
            <w:noWrap w:val="0"/>
            <w:vAlign w:val="center"/>
          </w:tcPr>
          <w:p w14:paraId="31C8B42B">
            <w:pPr>
              <w:rPr>
                <w:rFonts w:hint="default"/>
                <w:lang w:val="en-US" w:eastAsia="zh-CN"/>
              </w:rPr>
            </w:pPr>
            <w:r>
              <w:rPr>
                <w:rFonts w:hint="eastAsia"/>
                <w:lang w:val="en-US" w:eastAsia="zh-CN"/>
              </w:rPr>
              <w:t>4</w:t>
            </w:r>
          </w:p>
        </w:tc>
        <w:tc>
          <w:tcPr>
            <w:tcW w:w="2284" w:type="dxa"/>
            <w:noWrap w:val="0"/>
            <w:vAlign w:val="center"/>
          </w:tcPr>
          <w:p w14:paraId="67A3971C">
            <w:pPr>
              <w:rPr>
                <w:rFonts w:hint="eastAsia"/>
                <w:lang w:val="en-US" w:eastAsia="zh-CN"/>
              </w:rPr>
            </w:pPr>
            <w:r>
              <w:rPr>
                <w:rFonts w:hint="eastAsia"/>
                <w:lang w:val="en-US" w:eastAsia="zh-CN"/>
              </w:rPr>
              <w:t>2026年河南省信阳市罗山县粮油产业（油菜）高素质农民培训班</w:t>
            </w:r>
          </w:p>
        </w:tc>
        <w:tc>
          <w:tcPr>
            <w:tcW w:w="879" w:type="dxa"/>
            <w:noWrap w:val="0"/>
            <w:vAlign w:val="center"/>
          </w:tcPr>
          <w:p w14:paraId="15E8D363">
            <w:pPr>
              <w:rPr>
                <w:rFonts w:hint="eastAsia"/>
                <w:lang w:val="en-US" w:eastAsia="zh-CN"/>
              </w:rPr>
            </w:pPr>
            <w:r>
              <w:rPr>
                <w:rFonts w:hint="eastAsia"/>
                <w:lang w:val="en-US" w:eastAsia="zh-CN"/>
              </w:rPr>
              <w:t>43</w:t>
            </w:r>
          </w:p>
        </w:tc>
        <w:tc>
          <w:tcPr>
            <w:tcW w:w="1774" w:type="dxa"/>
            <w:noWrap w:val="0"/>
            <w:vAlign w:val="center"/>
          </w:tcPr>
          <w:p w14:paraId="54F31772">
            <w:pPr>
              <w:rPr>
                <w:rFonts w:hint="eastAsia"/>
                <w:lang w:val="en-US" w:eastAsia="zh-CN"/>
              </w:rPr>
            </w:pPr>
            <w:r>
              <w:rPr>
                <w:rFonts w:hint="eastAsia"/>
                <w:lang w:val="en-US" w:eastAsia="zh-CN"/>
              </w:rPr>
              <w:t>2026年7月</w:t>
            </w:r>
          </w:p>
        </w:tc>
        <w:tc>
          <w:tcPr>
            <w:tcW w:w="2535" w:type="dxa"/>
            <w:vMerge w:val="continue"/>
            <w:noWrap w:val="0"/>
            <w:vAlign w:val="center"/>
          </w:tcPr>
          <w:p w14:paraId="0D2694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lang w:val="en-US" w:eastAsia="zh-CN"/>
              </w:rPr>
            </w:pPr>
          </w:p>
        </w:tc>
      </w:tr>
      <w:tr w14:paraId="29B3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06" w:type="dxa"/>
            <w:vMerge w:val="restart"/>
            <w:noWrap w:val="0"/>
            <w:vAlign w:val="center"/>
          </w:tcPr>
          <w:p w14:paraId="56028086">
            <w:pPr>
              <w:ind w:left="0" w:leftChars="0" w:firstLine="0" w:firstLineChars="0"/>
              <w:rPr>
                <w:rFonts w:hint="default"/>
                <w:lang w:val="en-US" w:eastAsia="zh-CN"/>
              </w:rPr>
            </w:pPr>
            <w:r>
              <w:rPr>
                <w:rFonts w:hint="eastAsia"/>
                <w:lang w:val="en-US" w:eastAsia="zh-CN"/>
              </w:rPr>
              <w:t>包3</w:t>
            </w:r>
          </w:p>
        </w:tc>
        <w:tc>
          <w:tcPr>
            <w:tcW w:w="906" w:type="dxa"/>
            <w:noWrap w:val="0"/>
            <w:vAlign w:val="center"/>
          </w:tcPr>
          <w:p w14:paraId="2D2448A6">
            <w:pPr>
              <w:rPr>
                <w:rFonts w:hint="default"/>
                <w:lang w:val="en-US" w:eastAsia="zh-CN"/>
              </w:rPr>
            </w:pPr>
            <w:r>
              <w:rPr>
                <w:rFonts w:hint="eastAsia"/>
                <w:lang w:val="en-US" w:eastAsia="zh-CN"/>
              </w:rPr>
              <w:t>5</w:t>
            </w:r>
          </w:p>
        </w:tc>
        <w:tc>
          <w:tcPr>
            <w:tcW w:w="2284" w:type="dxa"/>
            <w:noWrap w:val="0"/>
            <w:vAlign w:val="center"/>
          </w:tcPr>
          <w:p w14:paraId="385EB398">
            <w:pPr>
              <w:rPr>
                <w:rFonts w:hint="eastAsia"/>
                <w:lang w:val="en-US" w:eastAsia="zh-CN"/>
              </w:rPr>
            </w:pPr>
            <w:r>
              <w:rPr>
                <w:rFonts w:hint="eastAsia"/>
                <w:lang w:val="en-US" w:eastAsia="zh-CN"/>
              </w:rPr>
              <w:t>2026年河南省信阳市罗山县县重要农产品生产经营（畜牧）高素质农民培训班</w:t>
            </w:r>
          </w:p>
        </w:tc>
        <w:tc>
          <w:tcPr>
            <w:tcW w:w="879" w:type="dxa"/>
            <w:noWrap w:val="0"/>
            <w:vAlign w:val="center"/>
          </w:tcPr>
          <w:p w14:paraId="1BE9BFE7">
            <w:pPr>
              <w:rPr>
                <w:rFonts w:hint="eastAsia"/>
                <w:lang w:val="en-US" w:eastAsia="zh-CN"/>
              </w:rPr>
            </w:pPr>
            <w:r>
              <w:rPr>
                <w:rFonts w:hint="eastAsia"/>
                <w:lang w:val="en-US" w:eastAsia="zh-CN"/>
              </w:rPr>
              <w:t>43</w:t>
            </w:r>
          </w:p>
        </w:tc>
        <w:tc>
          <w:tcPr>
            <w:tcW w:w="1774" w:type="dxa"/>
            <w:noWrap w:val="0"/>
            <w:vAlign w:val="center"/>
          </w:tcPr>
          <w:p w14:paraId="69BF58CA">
            <w:pPr>
              <w:rPr>
                <w:rFonts w:hint="eastAsia"/>
                <w:lang w:val="en-US" w:eastAsia="zh-CN"/>
              </w:rPr>
            </w:pPr>
            <w:r>
              <w:rPr>
                <w:rFonts w:hint="eastAsia"/>
                <w:lang w:val="en-US" w:eastAsia="zh-CN"/>
              </w:rPr>
              <w:t>2026年7月</w:t>
            </w:r>
          </w:p>
        </w:tc>
        <w:tc>
          <w:tcPr>
            <w:tcW w:w="2535" w:type="dxa"/>
            <w:vMerge w:val="continue"/>
            <w:noWrap w:val="0"/>
            <w:vAlign w:val="center"/>
          </w:tcPr>
          <w:p w14:paraId="4F0AB56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lang w:val="en-US" w:eastAsia="zh-CN"/>
              </w:rPr>
            </w:pPr>
          </w:p>
        </w:tc>
      </w:tr>
      <w:tr w14:paraId="0C61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6" w:type="dxa"/>
            <w:vMerge w:val="continue"/>
            <w:noWrap w:val="0"/>
            <w:vAlign w:val="center"/>
          </w:tcPr>
          <w:p w14:paraId="1822C7FE">
            <w:pPr>
              <w:rPr>
                <w:rFonts w:hint="eastAsia"/>
                <w:lang w:val="en-US" w:eastAsia="zh-CN"/>
              </w:rPr>
            </w:pPr>
          </w:p>
        </w:tc>
        <w:tc>
          <w:tcPr>
            <w:tcW w:w="906" w:type="dxa"/>
            <w:noWrap w:val="0"/>
            <w:vAlign w:val="center"/>
          </w:tcPr>
          <w:p w14:paraId="1070AE80">
            <w:pPr>
              <w:rPr>
                <w:rFonts w:hint="default"/>
                <w:lang w:val="en-US" w:eastAsia="zh-CN"/>
              </w:rPr>
            </w:pPr>
            <w:r>
              <w:rPr>
                <w:rFonts w:hint="eastAsia"/>
                <w:lang w:val="en-US" w:eastAsia="zh-CN"/>
              </w:rPr>
              <w:t>6</w:t>
            </w:r>
          </w:p>
        </w:tc>
        <w:tc>
          <w:tcPr>
            <w:tcW w:w="2284" w:type="dxa"/>
            <w:noWrap w:val="0"/>
            <w:vAlign w:val="center"/>
          </w:tcPr>
          <w:p w14:paraId="6DA47FC2">
            <w:pPr>
              <w:rPr>
                <w:rFonts w:hint="eastAsia"/>
                <w:lang w:val="en-US" w:eastAsia="zh-CN"/>
              </w:rPr>
            </w:pPr>
            <w:r>
              <w:rPr>
                <w:rFonts w:hint="eastAsia"/>
                <w:lang w:val="en-US" w:eastAsia="zh-CN"/>
              </w:rPr>
              <w:t>2026年河南省信阳市罗山县重要农产品生产经营园艺作物（蔬菜）高素质农民培训班</w:t>
            </w:r>
          </w:p>
        </w:tc>
        <w:tc>
          <w:tcPr>
            <w:tcW w:w="879" w:type="dxa"/>
            <w:noWrap w:val="0"/>
            <w:vAlign w:val="center"/>
          </w:tcPr>
          <w:p w14:paraId="5ED0E16D">
            <w:pPr>
              <w:rPr>
                <w:rFonts w:hint="eastAsia"/>
                <w:lang w:val="en-US" w:eastAsia="zh-CN"/>
              </w:rPr>
            </w:pPr>
            <w:r>
              <w:rPr>
                <w:rFonts w:hint="eastAsia"/>
                <w:lang w:val="en-US" w:eastAsia="zh-CN"/>
              </w:rPr>
              <w:t>43</w:t>
            </w:r>
          </w:p>
        </w:tc>
        <w:tc>
          <w:tcPr>
            <w:tcW w:w="1774" w:type="dxa"/>
            <w:noWrap w:val="0"/>
            <w:vAlign w:val="center"/>
          </w:tcPr>
          <w:p w14:paraId="072E8713">
            <w:pPr>
              <w:rPr>
                <w:rFonts w:hint="eastAsia"/>
                <w:lang w:val="en-US" w:eastAsia="zh-CN"/>
              </w:rPr>
            </w:pPr>
            <w:r>
              <w:rPr>
                <w:rFonts w:hint="eastAsia"/>
                <w:lang w:val="en-US" w:eastAsia="zh-CN"/>
              </w:rPr>
              <w:t>2026年8月</w:t>
            </w:r>
          </w:p>
        </w:tc>
        <w:tc>
          <w:tcPr>
            <w:tcW w:w="2535" w:type="dxa"/>
            <w:vMerge w:val="continue"/>
            <w:noWrap w:val="0"/>
            <w:vAlign w:val="center"/>
          </w:tcPr>
          <w:p w14:paraId="193C37C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lang w:val="en-US" w:eastAsia="zh-CN"/>
              </w:rPr>
            </w:pPr>
          </w:p>
        </w:tc>
      </w:tr>
    </w:tbl>
    <w:p w14:paraId="198D6AB0">
      <w:pPr>
        <w:rPr>
          <w:rFonts w:hint="eastAsia"/>
          <w:lang w:val="en-US" w:eastAsia="zh-CN"/>
        </w:rPr>
      </w:pPr>
      <w:r>
        <w:rPr>
          <w:rFonts w:hint="eastAsia"/>
          <w:lang w:val="en-US" w:eastAsia="zh-CN"/>
        </w:rPr>
        <w:t>注：共计258人</w:t>
      </w:r>
    </w:p>
    <w:bookmarkEnd w:id="1154"/>
    <w:bookmarkEnd w:id="1155"/>
    <w:bookmarkEnd w:id="1156"/>
    <w:p w14:paraId="42D2F680">
      <w:pPr>
        <w:pStyle w:val="25"/>
        <w:rPr>
          <w:rFonts w:hint="eastAsia" w:ascii="宋体" w:hAnsi="宋体" w:eastAsia="宋体" w:cs="宋体"/>
          <w:color w:val="000000"/>
          <w:kern w:val="0"/>
          <w:sz w:val="20"/>
          <w:szCs w:val="20"/>
          <w:lang w:eastAsia="zh-CN" w:bidi="ar"/>
        </w:rPr>
      </w:pPr>
      <w:bookmarkStart w:id="1158" w:name="_Toc12248"/>
    </w:p>
    <w:p w14:paraId="40D0348B">
      <w:pPr>
        <w:pStyle w:val="25"/>
        <w:rPr>
          <w:rFonts w:hint="eastAsia" w:ascii="宋体" w:hAnsi="宋体" w:eastAsia="宋体" w:cs="宋体"/>
          <w:color w:val="000000"/>
          <w:kern w:val="0"/>
          <w:sz w:val="20"/>
          <w:szCs w:val="20"/>
          <w:lang w:eastAsia="zh-CN" w:bidi="ar"/>
        </w:rPr>
      </w:pPr>
    </w:p>
    <w:p w14:paraId="148CBA51">
      <w:pPr>
        <w:pStyle w:val="25"/>
        <w:rPr>
          <w:rFonts w:hint="eastAsia" w:ascii="宋体" w:hAnsi="宋体" w:eastAsia="宋体" w:cs="宋体"/>
          <w:color w:val="000000"/>
          <w:kern w:val="0"/>
          <w:sz w:val="20"/>
          <w:szCs w:val="20"/>
          <w:lang w:eastAsia="zh-CN" w:bidi="ar"/>
        </w:rPr>
      </w:pPr>
    </w:p>
    <w:p w14:paraId="30117213">
      <w:pPr>
        <w:pStyle w:val="25"/>
        <w:rPr>
          <w:rFonts w:hint="eastAsia" w:ascii="宋体" w:hAnsi="宋体" w:eastAsia="宋体" w:cs="宋体"/>
          <w:color w:val="000000"/>
          <w:kern w:val="0"/>
          <w:sz w:val="20"/>
          <w:szCs w:val="20"/>
          <w:lang w:eastAsia="zh-CN" w:bidi="ar"/>
        </w:rPr>
      </w:pPr>
    </w:p>
    <w:p w14:paraId="4174EC35">
      <w:pPr>
        <w:pStyle w:val="25"/>
        <w:rPr>
          <w:rFonts w:hint="eastAsia" w:ascii="宋体" w:hAnsi="宋体" w:eastAsia="宋体" w:cs="宋体"/>
          <w:color w:val="000000"/>
          <w:kern w:val="0"/>
          <w:sz w:val="20"/>
          <w:szCs w:val="20"/>
          <w:lang w:eastAsia="zh-CN" w:bidi="ar"/>
        </w:rPr>
      </w:pPr>
    </w:p>
    <w:p w14:paraId="1385E7CD">
      <w:pPr>
        <w:pStyle w:val="25"/>
        <w:rPr>
          <w:rFonts w:hint="eastAsia" w:ascii="宋体" w:hAnsi="宋体" w:eastAsia="宋体" w:cs="宋体"/>
          <w:color w:val="000000"/>
          <w:kern w:val="0"/>
          <w:sz w:val="20"/>
          <w:szCs w:val="20"/>
          <w:lang w:eastAsia="zh-CN" w:bidi="ar"/>
        </w:rPr>
      </w:pPr>
    </w:p>
    <w:p w14:paraId="6C5E4559">
      <w:pPr>
        <w:pStyle w:val="25"/>
        <w:rPr>
          <w:rFonts w:hint="eastAsia" w:ascii="宋体" w:hAnsi="宋体" w:eastAsia="宋体" w:cs="宋体"/>
          <w:color w:val="000000"/>
          <w:kern w:val="0"/>
          <w:sz w:val="20"/>
          <w:szCs w:val="20"/>
          <w:lang w:eastAsia="zh-CN" w:bidi="ar"/>
        </w:rPr>
      </w:pPr>
    </w:p>
    <w:p w14:paraId="066C10BE">
      <w:pPr>
        <w:pStyle w:val="25"/>
        <w:rPr>
          <w:rFonts w:hint="eastAsia" w:ascii="宋体" w:hAnsi="宋体" w:eastAsia="宋体" w:cs="宋体"/>
          <w:color w:val="000000"/>
          <w:kern w:val="0"/>
          <w:sz w:val="20"/>
          <w:szCs w:val="20"/>
          <w:lang w:eastAsia="zh-CN" w:bidi="ar"/>
        </w:rPr>
      </w:pPr>
    </w:p>
    <w:p w14:paraId="3F452069">
      <w:pPr>
        <w:pStyle w:val="25"/>
        <w:rPr>
          <w:rFonts w:hint="eastAsia" w:ascii="宋体" w:hAnsi="宋体" w:eastAsia="宋体" w:cs="宋体"/>
          <w:color w:val="000000"/>
          <w:kern w:val="0"/>
          <w:sz w:val="20"/>
          <w:szCs w:val="20"/>
          <w:lang w:eastAsia="zh-CN" w:bidi="ar"/>
        </w:rPr>
      </w:pPr>
    </w:p>
    <w:p w14:paraId="4A3B3BD7">
      <w:pPr>
        <w:pStyle w:val="25"/>
        <w:rPr>
          <w:rFonts w:hint="eastAsia" w:ascii="宋体" w:hAnsi="宋体" w:eastAsia="宋体" w:cs="宋体"/>
          <w:color w:val="000000"/>
          <w:kern w:val="0"/>
          <w:sz w:val="20"/>
          <w:szCs w:val="20"/>
          <w:lang w:eastAsia="zh-CN" w:bidi="ar"/>
        </w:rPr>
      </w:pPr>
    </w:p>
    <w:p w14:paraId="79BE5BC6">
      <w:pPr>
        <w:pStyle w:val="25"/>
        <w:rPr>
          <w:rFonts w:hint="eastAsia" w:ascii="宋体" w:hAnsi="宋体" w:eastAsia="宋体" w:cs="宋体"/>
          <w:color w:val="000000"/>
          <w:kern w:val="0"/>
          <w:sz w:val="20"/>
          <w:szCs w:val="20"/>
          <w:lang w:eastAsia="zh-CN" w:bidi="ar"/>
        </w:rPr>
      </w:pPr>
    </w:p>
    <w:p w14:paraId="38805BC6">
      <w:pPr>
        <w:pStyle w:val="25"/>
        <w:rPr>
          <w:rFonts w:hint="eastAsia" w:ascii="宋体" w:hAnsi="宋体" w:eastAsia="宋体" w:cs="宋体"/>
          <w:color w:val="000000"/>
          <w:kern w:val="0"/>
          <w:sz w:val="20"/>
          <w:szCs w:val="20"/>
          <w:lang w:eastAsia="zh-CN" w:bidi="ar"/>
        </w:rPr>
      </w:pPr>
    </w:p>
    <w:p w14:paraId="1A02393C">
      <w:pPr>
        <w:pStyle w:val="25"/>
        <w:rPr>
          <w:rFonts w:hint="eastAsia" w:ascii="宋体" w:hAnsi="宋体" w:eastAsia="宋体" w:cs="宋体"/>
          <w:color w:val="000000"/>
          <w:kern w:val="0"/>
          <w:sz w:val="20"/>
          <w:szCs w:val="20"/>
          <w:lang w:eastAsia="zh-CN" w:bidi="ar"/>
        </w:rPr>
      </w:pPr>
    </w:p>
    <w:p w14:paraId="5898153A">
      <w:pPr>
        <w:pStyle w:val="25"/>
        <w:rPr>
          <w:rFonts w:hint="eastAsia" w:ascii="宋体" w:hAnsi="宋体" w:eastAsia="宋体" w:cs="宋体"/>
          <w:color w:val="000000"/>
          <w:kern w:val="0"/>
          <w:sz w:val="20"/>
          <w:szCs w:val="20"/>
          <w:lang w:eastAsia="zh-CN" w:bidi="ar"/>
        </w:rPr>
      </w:pPr>
    </w:p>
    <w:p w14:paraId="318119D9">
      <w:pPr>
        <w:pStyle w:val="25"/>
        <w:rPr>
          <w:rFonts w:hint="eastAsia" w:ascii="宋体" w:hAnsi="宋体" w:eastAsia="宋体" w:cs="宋体"/>
          <w:color w:val="000000"/>
          <w:kern w:val="0"/>
          <w:sz w:val="20"/>
          <w:szCs w:val="20"/>
          <w:lang w:eastAsia="zh-CN" w:bidi="ar"/>
        </w:rPr>
      </w:pPr>
    </w:p>
    <w:p w14:paraId="1C5A7147">
      <w:pPr>
        <w:pStyle w:val="25"/>
        <w:rPr>
          <w:rFonts w:hint="eastAsia" w:ascii="宋体" w:hAnsi="宋体" w:eastAsia="宋体" w:cs="宋体"/>
          <w:color w:val="000000"/>
          <w:kern w:val="0"/>
          <w:sz w:val="20"/>
          <w:szCs w:val="20"/>
          <w:lang w:eastAsia="zh-CN" w:bidi="ar"/>
        </w:rPr>
      </w:pPr>
    </w:p>
    <w:p w14:paraId="078E748B">
      <w:pPr>
        <w:pStyle w:val="25"/>
        <w:rPr>
          <w:rFonts w:hint="eastAsia" w:ascii="宋体" w:hAnsi="宋体" w:eastAsia="宋体" w:cs="宋体"/>
          <w:color w:val="000000"/>
          <w:kern w:val="0"/>
          <w:sz w:val="20"/>
          <w:szCs w:val="20"/>
          <w:lang w:eastAsia="zh-CN" w:bidi="ar"/>
        </w:rPr>
      </w:pPr>
    </w:p>
    <w:p w14:paraId="32C3DD75">
      <w:pPr>
        <w:pStyle w:val="25"/>
        <w:rPr>
          <w:rFonts w:hint="eastAsia" w:ascii="宋体" w:hAnsi="宋体" w:eastAsia="宋体" w:cs="宋体"/>
          <w:color w:val="000000"/>
          <w:kern w:val="0"/>
          <w:sz w:val="20"/>
          <w:szCs w:val="20"/>
          <w:lang w:eastAsia="zh-CN" w:bidi="ar"/>
        </w:rPr>
      </w:pPr>
    </w:p>
    <w:p w14:paraId="389869A7">
      <w:pPr>
        <w:pStyle w:val="25"/>
        <w:rPr>
          <w:rFonts w:hint="eastAsia" w:ascii="宋体" w:hAnsi="宋体" w:eastAsia="宋体" w:cs="宋体"/>
          <w:color w:val="000000"/>
          <w:kern w:val="0"/>
          <w:sz w:val="20"/>
          <w:szCs w:val="20"/>
          <w:lang w:eastAsia="zh-CN" w:bidi="ar"/>
        </w:rPr>
      </w:pPr>
    </w:p>
    <w:p w14:paraId="58B6B9FC">
      <w:pPr>
        <w:pStyle w:val="25"/>
        <w:rPr>
          <w:rFonts w:hint="eastAsia" w:ascii="宋体" w:hAnsi="宋体" w:eastAsia="宋体" w:cs="宋体"/>
          <w:color w:val="000000"/>
          <w:kern w:val="0"/>
          <w:sz w:val="20"/>
          <w:szCs w:val="20"/>
          <w:lang w:eastAsia="zh-CN" w:bidi="ar"/>
        </w:rPr>
      </w:pPr>
    </w:p>
    <w:p w14:paraId="1E040D33">
      <w:pPr>
        <w:pStyle w:val="25"/>
        <w:rPr>
          <w:rFonts w:hint="eastAsia" w:ascii="宋体" w:hAnsi="宋体" w:eastAsia="宋体" w:cs="宋体"/>
          <w:color w:val="000000"/>
          <w:kern w:val="0"/>
          <w:sz w:val="20"/>
          <w:szCs w:val="20"/>
          <w:lang w:eastAsia="zh-CN" w:bidi="ar"/>
        </w:rPr>
      </w:pPr>
    </w:p>
    <w:p w14:paraId="47A360D2">
      <w:pPr>
        <w:pStyle w:val="25"/>
        <w:rPr>
          <w:rFonts w:hint="eastAsia" w:ascii="宋体" w:hAnsi="宋体" w:eastAsia="宋体" w:cs="宋体"/>
          <w:color w:val="000000"/>
          <w:kern w:val="0"/>
          <w:sz w:val="20"/>
          <w:szCs w:val="20"/>
          <w:lang w:eastAsia="zh-CN" w:bidi="ar"/>
        </w:rPr>
      </w:pPr>
    </w:p>
    <w:p w14:paraId="1B46A753">
      <w:pPr>
        <w:pStyle w:val="25"/>
        <w:rPr>
          <w:rFonts w:hint="eastAsia" w:ascii="宋体" w:hAnsi="宋体" w:eastAsia="宋体" w:cs="宋体"/>
          <w:color w:val="000000"/>
          <w:kern w:val="0"/>
          <w:sz w:val="20"/>
          <w:szCs w:val="20"/>
          <w:lang w:eastAsia="zh-CN" w:bidi="ar"/>
        </w:rPr>
      </w:pPr>
    </w:p>
    <w:p w14:paraId="4564C626">
      <w:pPr>
        <w:pStyle w:val="6"/>
        <w:spacing w:line="400" w:lineRule="exact"/>
        <w:ind w:firstLine="0" w:firstLineChars="0"/>
        <w:rPr>
          <w:rFonts w:ascii="宋体" w:hAnsi="宋体" w:eastAsia="宋体" w:cs="宋体"/>
          <w:bCs w:val="0"/>
          <w:color w:val="auto"/>
          <w:sz w:val="28"/>
          <w:szCs w:val="28"/>
        </w:rPr>
      </w:pPr>
      <w:r>
        <w:rPr>
          <w:rFonts w:hint="eastAsia" w:ascii="宋体" w:hAnsi="宋体" w:cs="宋体"/>
          <w:bCs w:val="0"/>
          <w:color w:val="auto"/>
          <w:sz w:val="28"/>
          <w:szCs w:val="28"/>
        </w:rPr>
        <w:t>第六章  竞争性磋商响应文件格式</w:t>
      </w:r>
      <w:bookmarkEnd w:id="1158"/>
    </w:p>
    <w:p w14:paraId="7B09E0F7">
      <w:pPr>
        <w:spacing w:line="400" w:lineRule="exact"/>
        <w:ind w:firstLine="0" w:firstLineChars="0"/>
        <w:rPr>
          <w:rFonts w:ascii="宋体" w:hAnsi="宋体" w:cs="宋体"/>
        </w:rPr>
      </w:pPr>
    </w:p>
    <w:p w14:paraId="50D63213">
      <w:pPr>
        <w:spacing w:line="440" w:lineRule="exact"/>
        <w:ind w:firstLine="0" w:firstLineChars="0"/>
        <w:jc w:val="right"/>
        <w:rPr>
          <w:rFonts w:ascii="宋体" w:hAnsi="宋体" w:cs="宋体"/>
          <w:sz w:val="24"/>
          <w:bdr w:val="single" w:color="auto" w:sz="4" w:space="0"/>
        </w:rPr>
      </w:pPr>
    </w:p>
    <w:p w14:paraId="3EA1A105">
      <w:pPr>
        <w:spacing w:line="440" w:lineRule="exact"/>
        <w:ind w:firstLine="0" w:firstLineChars="0"/>
        <w:rPr>
          <w:rFonts w:ascii="宋体" w:hAnsi="宋体" w:cs="宋体"/>
          <w:sz w:val="24"/>
        </w:rPr>
      </w:pPr>
    </w:p>
    <w:p w14:paraId="16C23308">
      <w:pPr>
        <w:ind w:firstLine="0" w:firstLineChars="0"/>
        <w:jc w:val="center"/>
        <w:rPr>
          <w:rFonts w:ascii="宋体" w:hAnsi="宋体" w:eastAsia="宋体" w:cs="宋体"/>
          <w:b/>
          <w:bCs/>
          <w:sz w:val="30"/>
          <w:szCs w:val="30"/>
        </w:rPr>
      </w:pPr>
      <w:r>
        <w:rPr>
          <w:rFonts w:hint="eastAsia" w:ascii="宋体" w:hAnsi="宋体" w:cs="宋体"/>
          <w:b/>
          <w:bCs/>
          <w:sz w:val="30"/>
          <w:szCs w:val="30"/>
          <w:u w:val="single"/>
        </w:rPr>
        <w:t>（项目名称）</w:t>
      </w:r>
      <w:r>
        <w:rPr>
          <w:rFonts w:hint="eastAsia" w:ascii="宋体" w:hAnsi="宋体" w:cs="宋体"/>
          <w:b/>
          <w:bCs/>
          <w:sz w:val="30"/>
          <w:szCs w:val="30"/>
        </w:rPr>
        <w:t>竞争性磋商</w:t>
      </w:r>
    </w:p>
    <w:p w14:paraId="5CF21E18">
      <w:pPr>
        <w:ind w:firstLine="0" w:firstLineChars="0"/>
        <w:jc w:val="center"/>
        <w:rPr>
          <w:rFonts w:ascii="宋体" w:hAnsi="宋体" w:cs="宋体"/>
          <w:sz w:val="28"/>
          <w:szCs w:val="28"/>
        </w:rPr>
      </w:pPr>
    </w:p>
    <w:p w14:paraId="4F57DF41">
      <w:pPr>
        <w:spacing w:line="1000" w:lineRule="exact"/>
        <w:ind w:firstLine="0" w:firstLineChars="0"/>
        <w:jc w:val="center"/>
        <w:rPr>
          <w:rFonts w:ascii="宋体" w:hAnsi="宋体" w:cs="宋体"/>
          <w:sz w:val="28"/>
          <w:szCs w:val="28"/>
        </w:rPr>
      </w:pPr>
    </w:p>
    <w:p w14:paraId="10FF25C7">
      <w:pPr>
        <w:spacing w:line="1000" w:lineRule="exact"/>
        <w:ind w:firstLine="0" w:firstLineChars="0"/>
        <w:jc w:val="center"/>
        <w:rPr>
          <w:rFonts w:ascii="宋体" w:hAnsi="宋体" w:cs="宋体"/>
          <w:sz w:val="72"/>
          <w:szCs w:val="84"/>
        </w:rPr>
      </w:pPr>
      <w:r>
        <w:rPr>
          <w:rFonts w:hint="eastAsia" w:ascii="宋体" w:hAnsi="宋体" w:cs="宋体"/>
          <w:b/>
          <w:bCs/>
          <w:sz w:val="72"/>
          <w:szCs w:val="84"/>
        </w:rPr>
        <w:t>响 应 文 件</w:t>
      </w:r>
    </w:p>
    <w:p w14:paraId="17E98C04">
      <w:pPr>
        <w:spacing w:line="1000" w:lineRule="exact"/>
        <w:ind w:firstLine="0" w:firstLineChars="0"/>
        <w:rPr>
          <w:rFonts w:ascii="宋体" w:hAnsi="宋体" w:cs="宋体"/>
          <w:sz w:val="28"/>
          <w:szCs w:val="28"/>
        </w:rPr>
      </w:pPr>
    </w:p>
    <w:p w14:paraId="31CBEA5D">
      <w:pPr>
        <w:spacing w:line="400" w:lineRule="exact"/>
        <w:ind w:firstLine="0" w:firstLineChars="0"/>
        <w:rPr>
          <w:rFonts w:ascii="宋体" w:hAnsi="宋体" w:cs="宋体"/>
          <w:sz w:val="28"/>
          <w:szCs w:val="28"/>
        </w:rPr>
      </w:pPr>
    </w:p>
    <w:p w14:paraId="5788DD64">
      <w:pPr>
        <w:spacing w:line="400" w:lineRule="exact"/>
        <w:ind w:firstLine="0" w:firstLineChars="0"/>
        <w:rPr>
          <w:rFonts w:ascii="宋体" w:hAnsi="宋体" w:cs="宋体"/>
          <w:sz w:val="28"/>
          <w:szCs w:val="28"/>
        </w:rPr>
      </w:pPr>
    </w:p>
    <w:p w14:paraId="5989C279">
      <w:pPr>
        <w:spacing w:line="400" w:lineRule="exact"/>
        <w:ind w:firstLine="0" w:firstLineChars="0"/>
        <w:rPr>
          <w:rFonts w:ascii="宋体" w:hAnsi="宋体" w:cs="宋体"/>
          <w:sz w:val="28"/>
          <w:szCs w:val="28"/>
        </w:rPr>
      </w:pPr>
    </w:p>
    <w:p w14:paraId="46599B67">
      <w:pPr>
        <w:spacing w:line="400" w:lineRule="exact"/>
        <w:ind w:firstLine="0" w:firstLineChars="0"/>
        <w:rPr>
          <w:rFonts w:ascii="宋体" w:hAnsi="宋体" w:cs="宋体"/>
          <w:sz w:val="28"/>
          <w:szCs w:val="28"/>
        </w:rPr>
      </w:pPr>
    </w:p>
    <w:p w14:paraId="18D266D3">
      <w:pPr>
        <w:spacing w:line="400" w:lineRule="exact"/>
        <w:ind w:firstLine="0" w:firstLineChars="0"/>
        <w:rPr>
          <w:rFonts w:ascii="宋体" w:hAnsi="宋体" w:cs="宋体"/>
          <w:sz w:val="28"/>
          <w:szCs w:val="28"/>
        </w:rPr>
      </w:pPr>
    </w:p>
    <w:p w14:paraId="7D3BBE26">
      <w:pPr>
        <w:spacing w:line="400" w:lineRule="exact"/>
        <w:ind w:firstLine="0" w:firstLineChars="0"/>
        <w:rPr>
          <w:rFonts w:ascii="宋体" w:hAnsi="宋体" w:cs="宋体"/>
          <w:sz w:val="28"/>
          <w:szCs w:val="28"/>
        </w:rPr>
      </w:pPr>
    </w:p>
    <w:p w14:paraId="1AB63E79">
      <w:pPr>
        <w:spacing w:line="400" w:lineRule="exact"/>
        <w:ind w:firstLine="0" w:firstLineChars="0"/>
        <w:rPr>
          <w:rFonts w:ascii="宋体" w:hAnsi="宋体" w:cs="宋体"/>
          <w:sz w:val="28"/>
          <w:szCs w:val="28"/>
        </w:rPr>
      </w:pPr>
    </w:p>
    <w:p w14:paraId="369DD34D">
      <w:pPr>
        <w:pStyle w:val="19"/>
        <w:ind w:firstLine="0" w:firstLineChars="0"/>
        <w:rPr>
          <w:rFonts w:ascii="宋体" w:hAnsi="宋体" w:cs="宋体"/>
          <w:sz w:val="28"/>
          <w:szCs w:val="28"/>
        </w:rPr>
      </w:pPr>
    </w:p>
    <w:p w14:paraId="5E0DC9F5">
      <w:pPr>
        <w:spacing w:line="400" w:lineRule="exact"/>
        <w:ind w:firstLine="0" w:firstLineChars="0"/>
        <w:rPr>
          <w:rFonts w:ascii="宋体" w:hAnsi="宋体" w:cs="宋体"/>
          <w:sz w:val="28"/>
          <w:szCs w:val="28"/>
        </w:rPr>
      </w:pPr>
    </w:p>
    <w:p w14:paraId="01CAC05C">
      <w:pPr>
        <w:spacing w:line="400" w:lineRule="exact"/>
        <w:ind w:firstLine="0" w:firstLineChars="0"/>
        <w:rPr>
          <w:rFonts w:ascii="宋体" w:hAnsi="宋体" w:cs="宋体"/>
          <w:sz w:val="28"/>
          <w:szCs w:val="28"/>
        </w:rPr>
      </w:pPr>
    </w:p>
    <w:p w14:paraId="73E481DF">
      <w:pPr>
        <w:spacing w:line="480" w:lineRule="auto"/>
        <w:ind w:firstLine="0" w:firstLineChars="0"/>
        <w:jc w:val="center"/>
        <w:rPr>
          <w:rFonts w:ascii="宋体" w:hAnsi="宋体" w:cs="宋体"/>
          <w:sz w:val="24"/>
        </w:rPr>
      </w:pPr>
      <w:r>
        <w:rPr>
          <w:rFonts w:hint="eastAsia" w:ascii="宋体" w:hAnsi="宋体" w:cs="宋体"/>
          <w:sz w:val="24"/>
        </w:rPr>
        <w:t>供应商： （单位电子签章）</w:t>
      </w:r>
    </w:p>
    <w:p w14:paraId="1FFF990F">
      <w:pPr>
        <w:spacing w:line="480" w:lineRule="auto"/>
        <w:ind w:firstLine="0" w:firstLineChars="0"/>
        <w:jc w:val="center"/>
        <w:rPr>
          <w:rFonts w:ascii="宋体" w:hAnsi="宋体" w:cs="宋体"/>
          <w:sz w:val="24"/>
        </w:rPr>
      </w:pPr>
      <w:r>
        <w:rPr>
          <w:rFonts w:hint="eastAsia" w:ascii="宋体" w:hAnsi="宋体" w:cs="宋体"/>
          <w:sz w:val="24"/>
        </w:rPr>
        <w:t>法定代表人或其委托代理人：（电子签名或盖章）</w:t>
      </w:r>
    </w:p>
    <w:p w14:paraId="74514807">
      <w:pPr>
        <w:spacing w:line="480" w:lineRule="auto"/>
        <w:ind w:firstLine="0" w:firstLineChars="0"/>
        <w:jc w:val="center"/>
        <w:rPr>
          <w:rFonts w:ascii="宋体" w:hAnsi="宋体" w:cs="宋体"/>
          <w:sz w:val="24"/>
        </w:rPr>
      </w:pPr>
      <w:r>
        <w:rPr>
          <w:rFonts w:hint="eastAsia" w:ascii="宋体" w:hAnsi="宋体" w:cs="宋体"/>
          <w:sz w:val="24"/>
        </w:rPr>
        <w:t>年  月  日</w:t>
      </w:r>
      <w:bookmarkStart w:id="1159" w:name="_Toc144974856"/>
      <w:bookmarkStart w:id="1160" w:name="_Toc13651"/>
      <w:bookmarkStart w:id="1161" w:name="_Toc20198"/>
      <w:bookmarkStart w:id="1162" w:name="_Toc152042576"/>
      <w:bookmarkStart w:id="1163" w:name="_Toc8978"/>
      <w:bookmarkStart w:id="1164" w:name="_Toc466298157"/>
      <w:bookmarkStart w:id="1165" w:name="_Toc152045787"/>
    </w:p>
    <w:p w14:paraId="25323DD8">
      <w:pPr>
        <w:pStyle w:val="32"/>
        <w:ind w:firstLine="0" w:firstLineChars="0"/>
      </w:pPr>
    </w:p>
    <w:p w14:paraId="786C3ABD">
      <w:pPr>
        <w:pStyle w:val="73"/>
        <w:ind w:firstLine="0" w:firstLineChars="0"/>
        <w:jc w:val="center"/>
        <w:rPr>
          <w:rFonts w:ascii="宋体" w:hAnsi="宋体" w:eastAsia="宋体"/>
          <w:sz w:val="32"/>
          <w:szCs w:val="32"/>
        </w:rPr>
      </w:pPr>
      <w:bookmarkStart w:id="1166" w:name="_Toc17506"/>
      <w:bookmarkStart w:id="1167" w:name="_Toc5177"/>
      <w:r>
        <w:rPr>
          <w:rFonts w:hint="eastAsia" w:ascii="宋体" w:hAnsi="宋体" w:eastAsia="宋体"/>
          <w:sz w:val="32"/>
          <w:szCs w:val="32"/>
        </w:rPr>
        <w:t>目    录</w:t>
      </w:r>
      <w:bookmarkEnd w:id="1159"/>
      <w:bookmarkEnd w:id="1160"/>
      <w:bookmarkEnd w:id="1161"/>
      <w:bookmarkEnd w:id="1162"/>
      <w:bookmarkEnd w:id="1163"/>
      <w:bookmarkEnd w:id="1164"/>
      <w:bookmarkEnd w:id="1165"/>
      <w:bookmarkEnd w:id="1166"/>
      <w:bookmarkEnd w:id="1167"/>
    </w:p>
    <w:p w14:paraId="304A69AD">
      <w:pPr>
        <w:spacing w:line="540" w:lineRule="exact"/>
        <w:ind w:firstLine="0" w:firstLineChars="0"/>
        <w:rPr>
          <w:rFonts w:ascii="宋体" w:hAnsi="宋体" w:cs="宋体"/>
          <w:sz w:val="24"/>
          <w:szCs w:val="32"/>
        </w:rPr>
      </w:pPr>
    </w:p>
    <w:p w14:paraId="6BB42478">
      <w:pPr>
        <w:pStyle w:val="12"/>
        <w:numPr>
          <w:ilvl w:val="0"/>
          <w:numId w:val="8"/>
        </w:numPr>
        <w:spacing w:before="156" w:after="156" w:line="360" w:lineRule="exact"/>
        <w:ind w:firstLine="560"/>
        <w:rPr>
          <w:rFonts w:ascii="宋体" w:hAnsi="宋体" w:cs="宋体"/>
        </w:rPr>
      </w:pPr>
      <w:bookmarkStart w:id="1168" w:name="_Toc15926"/>
      <w:bookmarkStart w:id="1169" w:name="_Toc4900"/>
      <w:bookmarkStart w:id="1170" w:name="_Toc23260"/>
      <w:bookmarkStart w:id="1171" w:name="_Toc1039"/>
      <w:bookmarkStart w:id="1172" w:name="_Toc230598436"/>
      <w:bookmarkStart w:id="1173" w:name="_Toc21443"/>
      <w:r>
        <w:rPr>
          <w:rFonts w:hint="eastAsia" w:ascii="宋体" w:hAnsi="宋体" w:cs="宋体"/>
        </w:rPr>
        <w:t>磋商函及磋商函附录</w:t>
      </w:r>
      <w:bookmarkEnd w:id="1168"/>
      <w:bookmarkEnd w:id="1169"/>
      <w:bookmarkEnd w:id="1170"/>
      <w:bookmarkEnd w:id="1171"/>
    </w:p>
    <w:p w14:paraId="6EB1BB1D">
      <w:pPr>
        <w:pStyle w:val="12"/>
        <w:numPr>
          <w:ilvl w:val="0"/>
          <w:numId w:val="8"/>
        </w:numPr>
        <w:spacing w:before="156" w:after="156" w:line="360" w:lineRule="exact"/>
        <w:ind w:firstLine="560"/>
        <w:rPr>
          <w:rFonts w:ascii="宋体" w:hAnsi="宋体" w:cs="宋体"/>
        </w:rPr>
      </w:pPr>
      <w:bookmarkStart w:id="1174" w:name="_Toc5360"/>
      <w:bookmarkStart w:id="1175" w:name="_Toc8475"/>
      <w:bookmarkStart w:id="1176" w:name="_Toc2990"/>
      <w:bookmarkStart w:id="1177" w:name="_Toc2562"/>
      <w:r>
        <w:rPr>
          <w:rFonts w:hint="eastAsia" w:ascii="宋体" w:hAnsi="宋体" w:cs="宋体"/>
        </w:rPr>
        <w:t>法定代表身份证明</w:t>
      </w:r>
      <w:bookmarkEnd w:id="1174"/>
      <w:bookmarkEnd w:id="1175"/>
      <w:bookmarkEnd w:id="1176"/>
      <w:bookmarkEnd w:id="1177"/>
    </w:p>
    <w:p w14:paraId="73F8611D">
      <w:pPr>
        <w:pStyle w:val="12"/>
        <w:numPr>
          <w:ilvl w:val="0"/>
          <w:numId w:val="8"/>
        </w:numPr>
        <w:spacing w:before="156" w:after="156" w:line="360" w:lineRule="exact"/>
        <w:ind w:firstLine="560"/>
        <w:rPr>
          <w:rFonts w:ascii="宋体" w:hAnsi="宋体" w:cs="宋体"/>
        </w:rPr>
      </w:pPr>
      <w:bookmarkStart w:id="1178" w:name="_Toc13448"/>
      <w:bookmarkStart w:id="1179" w:name="_Toc20914"/>
      <w:bookmarkStart w:id="1180" w:name="_Toc25391"/>
      <w:r>
        <w:rPr>
          <w:rFonts w:hint="eastAsia" w:ascii="宋体" w:hAnsi="宋体" w:cs="宋体"/>
        </w:rPr>
        <w:t>授权委托书</w:t>
      </w:r>
      <w:bookmarkEnd w:id="1178"/>
      <w:bookmarkEnd w:id="1179"/>
      <w:bookmarkEnd w:id="1180"/>
      <w:bookmarkStart w:id="1181" w:name="_Toc16154"/>
      <w:bookmarkStart w:id="1182" w:name="_Toc29046"/>
      <w:bookmarkStart w:id="1183" w:name="_Toc25126"/>
      <w:bookmarkStart w:id="1184" w:name="_Toc14020"/>
    </w:p>
    <w:bookmarkEnd w:id="1181"/>
    <w:bookmarkEnd w:id="1182"/>
    <w:bookmarkEnd w:id="1183"/>
    <w:bookmarkEnd w:id="1184"/>
    <w:p w14:paraId="6D859993">
      <w:pPr>
        <w:pStyle w:val="12"/>
        <w:numPr>
          <w:ilvl w:val="0"/>
          <w:numId w:val="8"/>
        </w:numPr>
        <w:spacing w:before="156" w:after="156" w:line="360" w:lineRule="exact"/>
        <w:ind w:firstLine="560"/>
        <w:rPr>
          <w:rFonts w:ascii="宋体" w:hAnsi="宋体" w:cs="宋体"/>
        </w:rPr>
      </w:pPr>
      <w:r>
        <w:rPr>
          <w:rFonts w:hint="eastAsia" w:ascii="宋体" w:hAnsi="宋体" w:cs="宋体"/>
          <w:lang w:val="en-US" w:eastAsia="zh-CN"/>
        </w:rPr>
        <w:t>资格证明文件</w:t>
      </w:r>
    </w:p>
    <w:p w14:paraId="07AA59B9">
      <w:pPr>
        <w:pStyle w:val="12"/>
        <w:numPr>
          <w:ilvl w:val="0"/>
          <w:numId w:val="8"/>
        </w:numPr>
        <w:spacing w:before="156" w:after="156" w:line="360" w:lineRule="exact"/>
        <w:ind w:firstLine="560"/>
        <w:rPr>
          <w:rFonts w:ascii="宋体" w:hAnsi="宋体" w:cs="宋体"/>
        </w:rPr>
      </w:pPr>
      <w:r>
        <w:rPr>
          <w:rFonts w:hint="eastAsia" w:ascii="宋体" w:hAnsi="宋体" w:cs="宋体"/>
          <w:lang w:val="en-US" w:eastAsia="zh-CN"/>
        </w:rPr>
        <w:t>拟投入本项目人员</w:t>
      </w:r>
    </w:p>
    <w:p w14:paraId="707A279A">
      <w:pPr>
        <w:pStyle w:val="12"/>
        <w:numPr>
          <w:ilvl w:val="0"/>
          <w:numId w:val="8"/>
        </w:numPr>
        <w:spacing w:before="156" w:after="156" w:line="360" w:lineRule="exact"/>
        <w:ind w:firstLine="560"/>
        <w:rPr>
          <w:rFonts w:ascii="宋体" w:hAnsi="宋体" w:cs="宋体"/>
        </w:rPr>
      </w:pPr>
      <w:r>
        <w:rPr>
          <w:rFonts w:hint="eastAsia" w:ascii="宋体" w:hAnsi="宋体" w:cs="宋体"/>
          <w:lang w:val="en-US" w:eastAsia="zh-CN"/>
        </w:rPr>
        <w:t>技术方案</w:t>
      </w:r>
    </w:p>
    <w:p w14:paraId="152ED73F">
      <w:pPr>
        <w:pStyle w:val="12"/>
        <w:numPr>
          <w:ilvl w:val="0"/>
          <w:numId w:val="8"/>
        </w:numPr>
        <w:spacing w:before="156" w:after="156" w:line="360" w:lineRule="exact"/>
        <w:ind w:firstLine="560"/>
        <w:rPr>
          <w:rFonts w:ascii="宋体" w:hAnsi="宋体" w:cs="宋体"/>
        </w:rPr>
      </w:pPr>
      <w:r>
        <w:rPr>
          <w:rFonts w:hint="eastAsia" w:ascii="宋体" w:hAnsi="宋体" w:cs="宋体"/>
          <w:lang w:val="en-US" w:eastAsia="zh-CN"/>
        </w:rPr>
        <w:t>类似项目业绩</w:t>
      </w:r>
    </w:p>
    <w:p w14:paraId="32BD19AA">
      <w:pPr>
        <w:pStyle w:val="12"/>
        <w:numPr>
          <w:ilvl w:val="0"/>
          <w:numId w:val="8"/>
        </w:numPr>
        <w:spacing w:before="156" w:after="156" w:line="360" w:lineRule="exact"/>
        <w:ind w:firstLine="560"/>
        <w:rPr>
          <w:rFonts w:ascii="宋体" w:hAnsi="宋体" w:cs="宋体"/>
        </w:rPr>
      </w:pPr>
      <w:r>
        <w:rPr>
          <w:rFonts w:hint="eastAsia" w:ascii="宋体" w:hAnsi="宋体" w:cs="宋体"/>
        </w:rPr>
        <w:t>中小企业声明函</w:t>
      </w:r>
    </w:p>
    <w:p w14:paraId="2A172118">
      <w:pPr>
        <w:pStyle w:val="12"/>
        <w:numPr>
          <w:ilvl w:val="0"/>
          <w:numId w:val="8"/>
        </w:numPr>
        <w:spacing w:before="156" w:after="156" w:line="360" w:lineRule="exact"/>
        <w:ind w:firstLine="560"/>
        <w:rPr>
          <w:rFonts w:ascii="宋体" w:hAnsi="宋体" w:cs="宋体"/>
        </w:rPr>
      </w:pPr>
      <w:bookmarkStart w:id="1185" w:name="_Toc11809"/>
      <w:bookmarkStart w:id="1186" w:name="_Toc23454"/>
      <w:bookmarkStart w:id="1187" w:name="_Toc13633"/>
      <w:bookmarkStart w:id="1188" w:name="_Toc26109"/>
      <w:bookmarkStart w:id="1189" w:name="_Toc9497"/>
      <w:r>
        <w:rPr>
          <w:rFonts w:hint="eastAsia" w:ascii="宋体" w:hAnsi="宋体" w:cs="宋体"/>
        </w:rPr>
        <w:fldChar w:fldCharType="begin"/>
      </w:r>
      <w:r>
        <w:rPr>
          <w:rFonts w:hint="eastAsia" w:ascii="宋体" w:hAnsi="宋体" w:cs="宋体"/>
        </w:rPr>
        <w:instrText xml:space="preserve"> HYPERLINK \l _Toc7101 </w:instrText>
      </w:r>
      <w:r>
        <w:rPr>
          <w:rFonts w:hint="eastAsia" w:ascii="宋体" w:hAnsi="宋体" w:cs="宋体"/>
        </w:rPr>
        <w:fldChar w:fldCharType="separate"/>
      </w:r>
      <w:r>
        <w:rPr>
          <w:rFonts w:hint="eastAsia" w:ascii="宋体" w:hAnsi="宋体" w:cs="宋体"/>
        </w:rPr>
        <w:t>残疾人福利性单位声明</w:t>
      </w:r>
      <w:r>
        <w:rPr>
          <w:rFonts w:hint="eastAsia" w:ascii="宋体" w:hAnsi="宋体" w:cs="宋体"/>
        </w:rPr>
        <w:fldChar w:fldCharType="end"/>
      </w:r>
      <w:bookmarkEnd w:id="1185"/>
      <w:bookmarkEnd w:id="1186"/>
      <w:bookmarkEnd w:id="1187"/>
      <w:bookmarkEnd w:id="1188"/>
      <w:bookmarkEnd w:id="1189"/>
    </w:p>
    <w:p w14:paraId="2C5561C2">
      <w:pPr>
        <w:pStyle w:val="12"/>
        <w:numPr>
          <w:ilvl w:val="0"/>
          <w:numId w:val="8"/>
        </w:numPr>
        <w:spacing w:before="156" w:after="156" w:line="360" w:lineRule="exact"/>
        <w:ind w:firstLine="560"/>
        <w:rPr>
          <w:rFonts w:ascii="宋体" w:hAnsi="宋体" w:cs="宋体"/>
        </w:rPr>
      </w:pPr>
      <w:bookmarkStart w:id="1190" w:name="_Toc7503"/>
      <w:bookmarkStart w:id="1191" w:name="_Toc25731"/>
      <w:bookmarkStart w:id="1192" w:name="_Toc22258"/>
      <w:bookmarkStart w:id="1193" w:name="_Toc10469"/>
      <w:bookmarkStart w:id="1194" w:name="_Toc2222"/>
      <w:r>
        <w:rPr>
          <w:rFonts w:hint="eastAsia" w:ascii="宋体" w:hAnsi="宋体" w:cs="宋体"/>
        </w:rPr>
        <w:fldChar w:fldCharType="begin"/>
      </w:r>
      <w:r>
        <w:rPr>
          <w:rFonts w:hint="eastAsia" w:ascii="宋体" w:hAnsi="宋体" w:cs="宋体"/>
        </w:rPr>
        <w:instrText xml:space="preserve"> HYPERLINK \l _Toc19926 </w:instrText>
      </w:r>
      <w:r>
        <w:rPr>
          <w:rFonts w:hint="eastAsia" w:ascii="宋体" w:hAnsi="宋体" w:cs="宋体"/>
        </w:rPr>
        <w:fldChar w:fldCharType="separate"/>
      </w:r>
      <w:r>
        <w:rPr>
          <w:rFonts w:hint="eastAsia" w:ascii="宋体" w:hAnsi="宋体" w:cs="宋体"/>
        </w:rPr>
        <w:t>监狱企业证明文件（如有）</w:t>
      </w:r>
      <w:r>
        <w:rPr>
          <w:rFonts w:hint="eastAsia" w:ascii="宋体" w:hAnsi="宋体" w:cs="宋体"/>
        </w:rPr>
        <w:fldChar w:fldCharType="end"/>
      </w:r>
      <w:bookmarkEnd w:id="1190"/>
      <w:bookmarkEnd w:id="1191"/>
      <w:bookmarkEnd w:id="1192"/>
      <w:bookmarkEnd w:id="1193"/>
      <w:bookmarkEnd w:id="1194"/>
    </w:p>
    <w:p w14:paraId="77734741">
      <w:pPr>
        <w:pStyle w:val="12"/>
        <w:numPr>
          <w:ilvl w:val="0"/>
          <w:numId w:val="8"/>
        </w:numPr>
        <w:spacing w:before="156" w:after="156" w:line="360" w:lineRule="exact"/>
        <w:ind w:firstLine="560"/>
        <w:rPr>
          <w:rFonts w:ascii="宋体" w:hAnsi="宋体" w:cs="宋体"/>
        </w:rPr>
      </w:pPr>
      <w:bookmarkStart w:id="1195" w:name="_Toc18126"/>
      <w:bookmarkStart w:id="1196" w:name="_Toc19491"/>
      <w:bookmarkStart w:id="1197" w:name="_Toc26263"/>
      <w:bookmarkStart w:id="1198" w:name="_Toc861"/>
      <w:bookmarkStart w:id="1199" w:name="_Toc27336"/>
      <w:r>
        <w:rPr>
          <w:rFonts w:hint="eastAsia" w:ascii="宋体" w:hAnsi="宋体" w:cs="宋体"/>
          <w:lang w:val="en-US" w:eastAsia="zh-CN"/>
        </w:rPr>
        <w:t>企业实力证明文件</w:t>
      </w:r>
    </w:p>
    <w:p w14:paraId="0C32B5AE">
      <w:pPr>
        <w:pStyle w:val="12"/>
        <w:numPr>
          <w:ilvl w:val="0"/>
          <w:numId w:val="8"/>
        </w:numPr>
        <w:spacing w:before="156" w:after="156" w:line="360" w:lineRule="exact"/>
        <w:ind w:firstLine="560"/>
        <w:rPr>
          <w:rFonts w:ascii="宋体" w:hAnsi="宋体" w:cs="宋体"/>
        </w:rPr>
      </w:pPr>
      <w:r>
        <w:rPr>
          <w:rFonts w:hint="eastAsia" w:ascii="宋体" w:hAnsi="宋体" w:eastAsia="宋体" w:cs="宋体"/>
        </w:rPr>
        <w:t>采购需求及技术要求</w:t>
      </w:r>
      <w:r>
        <w:rPr>
          <w:rFonts w:hint="eastAsia" w:ascii="宋体" w:hAnsi="宋体" w:eastAsia="宋体" w:cs="宋体"/>
          <w:lang w:val="en-US" w:eastAsia="zh-CN"/>
        </w:rPr>
        <w:t>响应承诺</w:t>
      </w:r>
    </w:p>
    <w:p w14:paraId="2778075B">
      <w:pPr>
        <w:pStyle w:val="12"/>
        <w:numPr>
          <w:ilvl w:val="0"/>
          <w:numId w:val="8"/>
        </w:numPr>
        <w:spacing w:before="156" w:after="156" w:line="360" w:lineRule="exact"/>
        <w:ind w:firstLine="560"/>
        <w:rPr>
          <w:rFonts w:ascii="宋体" w:hAnsi="宋体" w:cs="宋体"/>
        </w:rPr>
      </w:pPr>
      <w:r>
        <w:rPr>
          <w:rFonts w:hint="eastAsia" w:ascii="宋体" w:hAnsi="宋体" w:cs="宋体"/>
        </w:rPr>
        <w:fldChar w:fldCharType="begin"/>
      </w:r>
      <w:r>
        <w:rPr>
          <w:rFonts w:hint="eastAsia" w:ascii="宋体" w:hAnsi="宋体" w:cs="宋体"/>
        </w:rPr>
        <w:instrText xml:space="preserve"> HYPERLINK \l _Toc30624 </w:instrText>
      </w:r>
      <w:r>
        <w:rPr>
          <w:rFonts w:hint="eastAsia" w:ascii="宋体" w:hAnsi="宋体" w:cs="宋体"/>
        </w:rPr>
        <w:fldChar w:fldCharType="separate"/>
      </w:r>
      <w:r>
        <w:rPr>
          <w:rFonts w:hint="eastAsia" w:ascii="宋体" w:hAnsi="宋体" w:cs="宋体"/>
        </w:rPr>
        <w:t>其他材料</w:t>
      </w:r>
      <w:r>
        <w:rPr>
          <w:rFonts w:hint="eastAsia" w:ascii="宋体" w:hAnsi="宋体" w:cs="宋体"/>
        </w:rPr>
        <w:fldChar w:fldCharType="end"/>
      </w:r>
      <w:bookmarkEnd w:id="1195"/>
      <w:bookmarkEnd w:id="1196"/>
      <w:bookmarkEnd w:id="1197"/>
      <w:bookmarkEnd w:id="1198"/>
      <w:bookmarkEnd w:id="1199"/>
    </w:p>
    <w:p w14:paraId="470D6244">
      <w:pPr>
        <w:ind w:firstLine="420"/>
        <w:rPr>
          <w:rFonts w:ascii="宋体" w:hAnsi="宋体" w:cs="宋体"/>
        </w:rPr>
      </w:pPr>
    </w:p>
    <w:p w14:paraId="0E6B3A26">
      <w:pPr>
        <w:ind w:firstLine="420"/>
        <w:rPr>
          <w:rFonts w:ascii="宋体" w:hAnsi="宋体" w:cs="宋体"/>
        </w:rPr>
      </w:pPr>
    </w:p>
    <w:p w14:paraId="29F4EBBC">
      <w:pPr>
        <w:ind w:firstLine="420"/>
        <w:rPr>
          <w:rFonts w:ascii="宋体" w:hAnsi="宋体" w:cs="宋体"/>
        </w:rPr>
      </w:pPr>
    </w:p>
    <w:p w14:paraId="74E33E05">
      <w:pPr>
        <w:pStyle w:val="33"/>
        <w:rPr>
          <w:rFonts w:ascii="宋体" w:hAnsi="宋体" w:cs="宋体"/>
        </w:rPr>
      </w:pPr>
    </w:p>
    <w:p w14:paraId="65D9E92B">
      <w:pPr>
        <w:pStyle w:val="32"/>
        <w:spacing w:before="156" w:after="156"/>
        <w:ind w:firstLine="210"/>
        <w:rPr>
          <w:rFonts w:ascii="宋体" w:hAnsi="宋体" w:cs="宋体"/>
        </w:rPr>
      </w:pPr>
    </w:p>
    <w:p w14:paraId="2FAF5F96">
      <w:pPr>
        <w:ind w:firstLine="420"/>
        <w:rPr>
          <w:rFonts w:ascii="宋体" w:hAnsi="宋体" w:cs="宋体"/>
        </w:rPr>
      </w:pPr>
    </w:p>
    <w:p w14:paraId="3F680385">
      <w:pPr>
        <w:pStyle w:val="33"/>
        <w:rPr>
          <w:rFonts w:ascii="宋体" w:hAnsi="宋体" w:cs="宋体"/>
        </w:rPr>
      </w:pPr>
    </w:p>
    <w:p w14:paraId="7FB0D750">
      <w:pPr>
        <w:ind w:firstLine="420"/>
        <w:rPr>
          <w:rFonts w:ascii="宋体" w:hAnsi="宋体" w:cs="宋体"/>
        </w:rPr>
      </w:pPr>
    </w:p>
    <w:p w14:paraId="1A848FDA">
      <w:pPr>
        <w:ind w:firstLine="420"/>
        <w:rPr>
          <w:rFonts w:ascii="宋体" w:hAnsi="宋体" w:cs="宋体"/>
        </w:rPr>
      </w:pPr>
    </w:p>
    <w:p w14:paraId="388BC85E">
      <w:pPr>
        <w:pStyle w:val="8"/>
        <w:ind w:left="0" w:leftChars="0" w:firstLine="0" w:firstLineChars="0"/>
        <w:jc w:val="center"/>
        <w:rPr>
          <w:rFonts w:ascii="宋体" w:hAnsi="宋体" w:eastAsia="宋体" w:cs="宋体"/>
        </w:rPr>
      </w:pPr>
      <w:bookmarkStart w:id="1200" w:name="_Toc30083"/>
      <w:bookmarkStart w:id="1201" w:name="_Toc5110"/>
      <w:bookmarkStart w:id="1202" w:name="_Toc466298158"/>
      <w:bookmarkStart w:id="1203" w:name="_Toc7434"/>
      <w:bookmarkStart w:id="1204" w:name="_Toc144974857"/>
      <w:bookmarkStart w:id="1205" w:name="_Toc31024"/>
      <w:bookmarkStart w:id="1206" w:name="_Toc152045788"/>
      <w:bookmarkStart w:id="1207" w:name="_Toc152042577"/>
      <w:r>
        <w:rPr>
          <w:rFonts w:hint="eastAsia" w:ascii="宋体" w:hAnsi="宋体" w:eastAsia="宋体" w:cs="宋体"/>
        </w:rPr>
        <w:br w:type="page"/>
      </w:r>
      <w:bookmarkEnd w:id="1200"/>
      <w:bookmarkEnd w:id="1201"/>
      <w:bookmarkEnd w:id="1202"/>
      <w:bookmarkEnd w:id="1203"/>
      <w:bookmarkEnd w:id="1204"/>
      <w:bookmarkEnd w:id="1205"/>
      <w:bookmarkEnd w:id="1206"/>
      <w:bookmarkEnd w:id="1207"/>
      <w:bookmarkStart w:id="1208" w:name="_Toc784"/>
      <w:bookmarkStart w:id="1209" w:name="_Toc32161"/>
      <w:r>
        <w:rPr>
          <w:rFonts w:hint="eastAsia" w:ascii="宋体" w:hAnsi="宋体" w:eastAsia="宋体" w:cs="宋体"/>
        </w:rPr>
        <w:t>一、磋商函及磋商函附录</w:t>
      </w:r>
      <w:bookmarkEnd w:id="1208"/>
      <w:bookmarkEnd w:id="1209"/>
    </w:p>
    <w:p w14:paraId="7839AC9A">
      <w:pPr>
        <w:pStyle w:val="9"/>
        <w:ind w:firstLine="422"/>
        <w:jc w:val="center"/>
        <w:rPr>
          <w:rFonts w:ascii="宋体" w:hAnsi="宋体" w:cs="宋体"/>
        </w:rPr>
      </w:pPr>
      <w:bookmarkStart w:id="1210" w:name="_Toc393"/>
      <w:bookmarkStart w:id="1211" w:name="_Toc152042578"/>
      <w:bookmarkStart w:id="1212" w:name="_Toc3959"/>
      <w:bookmarkStart w:id="1213" w:name="_Toc466298159"/>
      <w:bookmarkStart w:id="1214" w:name="_Toc29571"/>
      <w:bookmarkStart w:id="1215" w:name="_Toc455080170"/>
      <w:bookmarkStart w:id="1216" w:name="_Toc6005"/>
      <w:bookmarkStart w:id="1217" w:name="_Toc25364"/>
      <w:bookmarkStart w:id="1218" w:name="_Toc318450744"/>
      <w:bookmarkStart w:id="1219" w:name="_Toc30581"/>
      <w:bookmarkStart w:id="1220" w:name="_Toc11855"/>
      <w:bookmarkStart w:id="1221" w:name="_Toc23888"/>
      <w:bookmarkStart w:id="1222" w:name="_Toc18705"/>
      <w:bookmarkStart w:id="1223" w:name="_Toc144974858"/>
      <w:bookmarkStart w:id="1224" w:name="_Toc490667892"/>
      <w:bookmarkStart w:id="1225" w:name="_Toc455867830"/>
      <w:bookmarkStart w:id="1226" w:name="_Toc152045789"/>
      <w:bookmarkStart w:id="1227" w:name="_Toc26262"/>
      <w:bookmarkStart w:id="1228" w:name="_Toc8915"/>
      <w:r>
        <w:rPr>
          <w:rFonts w:hint="eastAsia" w:ascii="宋体" w:hAnsi="宋体" w:cs="宋体"/>
        </w:rPr>
        <w:t>（一）磋商函</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437B277F">
      <w:pPr>
        <w:pStyle w:val="22"/>
        <w:spacing w:line="420" w:lineRule="exact"/>
        <w:ind w:left="98" w:leftChars="0" w:hanging="98" w:hangingChars="47"/>
        <w:rPr>
          <w:rFonts w:ascii="宋体" w:hAnsi="宋体"/>
          <w:color w:val="auto"/>
          <w:szCs w:val="21"/>
          <w:highlight w:val="none"/>
        </w:rPr>
      </w:pPr>
      <w:bookmarkStart w:id="1229" w:name="_Toc2165"/>
      <w:bookmarkStart w:id="1230" w:name="_Toc32389"/>
      <w:bookmarkStart w:id="1231" w:name="_Toc912"/>
      <w:bookmarkStart w:id="1232" w:name="_Toc32257"/>
      <w:bookmarkStart w:id="1233" w:name="_Toc11398"/>
      <w:bookmarkStart w:id="1234" w:name="_Toc3933"/>
      <w:bookmarkStart w:id="1235" w:name="_Toc144974860"/>
      <w:bookmarkStart w:id="1236" w:name="_Toc152042580"/>
      <w:bookmarkStart w:id="1237" w:name="_Toc287367268"/>
      <w:bookmarkStart w:id="1238" w:name="_Toc152045791"/>
      <w:r>
        <w:rPr>
          <w:rFonts w:hint="eastAsia" w:ascii="宋体" w:hAnsi="宋体"/>
          <w:color w:val="auto"/>
          <w:szCs w:val="21"/>
          <w:highlight w:val="none"/>
        </w:rPr>
        <w:t>致：</w:t>
      </w:r>
      <w:r>
        <w:rPr>
          <w:rFonts w:hint="eastAsia" w:ascii="宋体" w:hAnsi="宋体"/>
          <w:color w:val="auto"/>
          <w:szCs w:val="21"/>
          <w:highlight w:val="none"/>
          <w:u w:val="single"/>
        </w:rPr>
        <w:t xml:space="preserve">              </w:t>
      </w:r>
    </w:p>
    <w:p w14:paraId="17376F33">
      <w:pPr>
        <w:pStyle w:val="2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．根据已收到的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的竞争性磋商文件，遵照《中华人民共和国政府采购法》等有关规定，经考察和认真研究本项目竞争性磋商文件及其它有关文件后，愿以人民币（大写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）的响应总报价作为第一次磋商报价，按合同约定实施和完成本项目，并承担其任何质量缺陷等问题所造成的任何损失。</w:t>
      </w:r>
    </w:p>
    <w:p w14:paraId="631B1940">
      <w:pPr>
        <w:pStyle w:val="2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327FA0B6">
      <w:pPr>
        <w:pStyle w:val="22"/>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．我方在此承诺，我方若能成交，保证在服务期限内，全面履行竞争性磋商文件中规定的职责和义务。</w:t>
      </w:r>
    </w:p>
    <w:p w14:paraId="53F9F076">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4．如果我方成交，我方保证按合同条款中规定的内容执行；我方保证质量达到国家及行业现行标准规范规定的合格要求，并按竞争性磋商文件和有关规定提交一切资料。</w:t>
      </w:r>
    </w:p>
    <w:p w14:paraId="7F6AAD95">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．我方同意从响应文件递交截止日期起</w:t>
      </w:r>
      <w:r>
        <w:rPr>
          <w:rFonts w:hint="eastAsia" w:ascii="宋体" w:hAnsi="宋体"/>
          <w:color w:val="auto"/>
          <w:szCs w:val="21"/>
          <w:highlight w:val="none"/>
          <w:u w:val="single"/>
        </w:rPr>
        <w:t xml:space="preserve"> 60</w:t>
      </w:r>
      <w:r>
        <w:rPr>
          <w:rFonts w:hint="eastAsia" w:ascii="宋体" w:hAnsi="宋体"/>
          <w:color w:val="auto"/>
          <w:szCs w:val="21"/>
          <w:highlight w:val="none"/>
        </w:rPr>
        <w:t>日历天内保持磋商响应文件有效，在此有效期内，我方将严格遵守磋商响应文件的承诺，本磋商响应文件对我方具有约束力，并可随时被接受成交。</w:t>
      </w:r>
    </w:p>
    <w:p w14:paraId="2885DCA4">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．除磋商响应文件所提交的资料外，我方同意随时接受贵方的检查、询问，并根据磋商需要补充贵方要求提交的资料。</w:t>
      </w:r>
    </w:p>
    <w:p w14:paraId="517175CE">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．如果我方成交后，我方没有任何正当理由而拒签合同，同时我方愿意补偿该项工作因我方延误所造成的经济损失。</w:t>
      </w:r>
    </w:p>
    <w:p w14:paraId="5FFFA342">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．我方愿接受合同条款中规定的合同价款计算和调整方式。</w:t>
      </w:r>
    </w:p>
    <w:p w14:paraId="1767F2B7">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．除非另外达成协议并生效，贵方的成交通知书和本磋商响应文件将成为约束我方的合同文件组成部分。</w:t>
      </w:r>
    </w:p>
    <w:p w14:paraId="36A9CAD0">
      <w:pPr>
        <w:pStyle w:val="22"/>
        <w:spacing w:line="420" w:lineRule="exact"/>
        <w:ind w:left="1" w:leftChars="0" w:firstLine="420" w:firstLineChars="200"/>
        <w:rPr>
          <w:rFonts w:hint="eastAsia" w:ascii="宋体" w:hAnsi="宋体"/>
          <w:color w:val="auto"/>
          <w:szCs w:val="21"/>
          <w:highlight w:val="none"/>
        </w:rPr>
      </w:pPr>
    </w:p>
    <w:p w14:paraId="0764D3D8">
      <w:pPr>
        <w:pStyle w:val="22"/>
        <w:spacing w:line="420" w:lineRule="exact"/>
        <w:ind w:left="1" w:leftChars="0" w:firstLine="420" w:firstLineChars="200"/>
        <w:rPr>
          <w:rFonts w:hint="eastAsia" w:ascii="宋体" w:hAnsi="宋体"/>
          <w:color w:val="auto"/>
          <w:szCs w:val="21"/>
          <w:highlight w:val="none"/>
        </w:rPr>
      </w:pPr>
    </w:p>
    <w:p w14:paraId="46FF9239">
      <w:pPr>
        <w:pStyle w:val="22"/>
        <w:spacing w:line="420" w:lineRule="exact"/>
        <w:ind w:left="1" w:leftChars="0" w:firstLine="420" w:firstLineChars="200"/>
        <w:rPr>
          <w:rFonts w:hint="eastAsia" w:ascii="宋体" w:hAnsi="宋体"/>
          <w:color w:val="auto"/>
          <w:szCs w:val="21"/>
          <w:highlight w:val="none"/>
        </w:rPr>
      </w:pPr>
    </w:p>
    <w:p w14:paraId="216F64EC">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szCs w:val="21"/>
          <w:highlight w:val="none"/>
        </w:rPr>
        <w:t>单位电子签章</w:t>
      </w:r>
      <w:r>
        <w:rPr>
          <w:rFonts w:hint="eastAsia" w:ascii="宋体" w:hAnsi="宋体"/>
          <w:color w:val="auto"/>
          <w:szCs w:val="21"/>
          <w:highlight w:val="none"/>
        </w:rPr>
        <w:t>）</w:t>
      </w:r>
    </w:p>
    <w:p w14:paraId="58D4984A">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（电子签名或盖章）</w:t>
      </w:r>
    </w:p>
    <w:p w14:paraId="79344C28">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（电子签名或盖章）</w:t>
      </w:r>
    </w:p>
    <w:p w14:paraId="513AAFEF">
      <w:pPr>
        <w:pStyle w:val="22"/>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日期：     年    月    日</w:t>
      </w:r>
    </w:p>
    <w:p w14:paraId="3D34358A">
      <w:pPr>
        <w:pStyle w:val="9"/>
        <w:ind w:firstLine="422"/>
        <w:jc w:val="center"/>
        <w:rPr>
          <w:rFonts w:ascii="宋体" w:hAnsi="宋体" w:cs="宋体"/>
        </w:rPr>
      </w:pPr>
      <w:r>
        <w:rPr>
          <w:rFonts w:hint="eastAsia" w:ascii="宋体" w:hAnsi="宋体" w:cs="宋体"/>
        </w:rPr>
        <w:t>（二）响应函附录</w:t>
      </w:r>
      <w:bookmarkEnd w:id="1229"/>
      <w:bookmarkEnd w:id="1230"/>
      <w:bookmarkEnd w:id="1231"/>
      <w:bookmarkEnd w:id="1232"/>
      <w:bookmarkEnd w:id="1233"/>
      <w:bookmarkEnd w:id="1234"/>
    </w:p>
    <w:tbl>
      <w:tblPr>
        <w:tblStyle w:val="34"/>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196"/>
        <w:gridCol w:w="2769"/>
        <w:gridCol w:w="3106"/>
      </w:tblGrid>
      <w:tr w14:paraId="7C7FF2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3196" w:type="dxa"/>
            <w:vAlign w:val="center"/>
          </w:tcPr>
          <w:p w14:paraId="28861E70">
            <w:pPr>
              <w:ind w:firstLine="422"/>
              <w:jc w:val="center"/>
              <w:rPr>
                <w:rFonts w:hint="eastAsia" w:ascii="宋体" w:hAnsi="宋体" w:cs="宋体" w:eastAsiaTheme="minorEastAsia"/>
                <w:b/>
                <w:bCs/>
                <w:szCs w:val="21"/>
                <w:lang w:eastAsia="zh-CN"/>
              </w:rPr>
            </w:pPr>
            <w:r>
              <w:rPr>
                <w:rFonts w:hint="eastAsia" w:ascii="宋体" w:hAnsi="宋体" w:cs="宋体"/>
                <w:b/>
                <w:bCs/>
                <w:szCs w:val="21"/>
              </w:rPr>
              <w:t>项目名称</w:t>
            </w:r>
            <w:r>
              <w:rPr>
                <w:rFonts w:hint="eastAsia" w:ascii="宋体" w:hAnsi="宋体" w:cs="宋体"/>
                <w:b/>
                <w:bCs/>
                <w:szCs w:val="21"/>
                <w:lang w:eastAsia="zh-CN"/>
              </w:rPr>
              <w:t>（</w:t>
            </w:r>
            <w:r>
              <w:rPr>
                <w:rFonts w:hint="eastAsia" w:ascii="宋体" w:hAnsi="宋体" w:cs="宋体"/>
                <w:b/>
                <w:bCs/>
                <w:szCs w:val="21"/>
                <w:lang w:val="en-US" w:eastAsia="zh-CN"/>
              </w:rPr>
              <w:t>包号</w:t>
            </w:r>
            <w:r>
              <w:rPr>
                <w:rFonts w:hint="eastAsia" w:ascii="宋体" w:hAnsi="宋体" w:cs="宋体"/>
                <w:b/>
                <w:bCs/>
                <w:szCs w:val="21"/>
                <w:lang w:eastAsia="zh-CN"/>
              </w:rPr>
              <w:t>）</w:t>
            </w:r>
          </w:p>
        </w:tc>
        <w:tc>
          <w:tcPr>
            <w:tcW w:w="5875" w:type="dxa"/>
            <w:gridSpan w:val="2"/>
            <w:vAlign w:val="center"/>
          </w:tcPr>
          <w:p w14:paraId="47C0B56C">
            <w:pPr>
              <w:ind w:firstLine="420"/>
              <w:rPr>
                <w:rFonts w:ascii="宋体" w:hAnsi="宋体" w:cs="宋体"/>
                <w:szCs w:val="21"/>
              </w:rPr>
            </w:pPr>
          </w:p>
        </w:tc>
      </w:tr>
      <w:tr w14:paraId="3396B8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5" w:hRule="atLeast"/>
          <w:jc w:val="center"/>
        </w:trPr>
        <w:tc>
          <w:tcPr>
            <w:tcW w:w="3196" w:type="dxa"/>
            <w:vAlign w:val="center"/>
          </w:tcPr>
          <w:p w14:paraId="7B7ABD90">
            <w:pPr>
              <w:ind w:firstLine="422"/>
              <w:jc w:val="center"/>
              <w:rPr>
                <w:rFonts w:ascii="宋体" w:hAnsi="宋体" w:cs="宋体"/>
                <w:b/>
                <w:bCs/>
                <w:szCs w:val="21"/>
              </w:rPr>
            </w:pPr>
            <w:r>
              <w:rPr>
                <w:rFonts w:hint="eastAsia" w:ascii="宋体" w:hAnsi="宋体" w:cs="宋体"/>
                <w:b/>
                <w:bCs/>
                <w:szCs w:val="21"/>
              </w:rPr>
              <w:t>供应商</w:t>
            </w:r>
          </w:p>
        </w:tc>
        <w:tc>
          <w:tcPr>
            <w:tcW w:w="5875" w:type="dxa"/>
            <w:gridSpan w:val="2"/>
            <w:vAlign w:val="center"/>
          </w:tcPr>
          <w:p w14:paraId="71E74779">
            <w:pPr>
              <w:ind w:firstLine="420"/>
              <w:rPr>
                <w:rFonts w:ascii="宋体" w:hAnsi="宋体" w:cs="宋体"/>
                <w:szCs w:val="21"/>
              </w:rPr>
            </w:pPr>
          </w:p>
        </w:tc>
      </w:tr>
      <w:tr w14:paraId="0CF64F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50" w:hRule="atLeast"/>
          <w:jc w:val="center"/>
        </w:trPr>
        <w:tc>
          <w:tcPr>
            <w:tcW w:w="3196" w:type="dxa"/>
            <w:vMerge w:val="restart"/>
            <w:vAlign w:val="center"/>
          </w:tcPr>
          <w:p w14:paraId="60892BB9">
            <w:pPr>
              <w:ind w:firstLine="422"/>
              <w:jc w:val="center"/>
              <w:rPr>
                <w:rFonts w:ascii="宋体" w:hAnsi="宋体" w:cs="宋体"/>
                <w:b/>
                <w:bCs/>
                <w:szCs w:val="21"/>
              </w:rPr>
            </w:pPr>
            <w:r>
              <w:rPr>
                <w:rFonts w:hint="eastAsia" w:ascii="宋体" w:hAnsi="宋体" w:cs="宋体"/>
                <w:b/>
                <w:bCs/>
                <w:szCs w:val="21"/>
                <w:lang w:eastAsia="zh-CN"/>
              </w:rPr>
              <w:t>响应</w:t>
            </w:r>
            <w:r>
              <w:rPr>
                <w:rFonts w:hint="eastAsia" w:ascii="宋体" w:hAnsi="宋体" w:cs="宋体"/>
                <w:b/>
                <w:bCs/>
                <w:szCs w:val="21"/>
              </w:rPr>
              <w:t>报价</w:t>
            </w:r>
          </w:p>
        </w:tc>
        <w:tc>
          <w:tcPr>
            <w:tcW w:w="2769" w:type="dxa"/>
            <w:vAlign w:val="center"/>
          </w:tcPr>
          <w:p w14:paraId="741BD78B">
            <w:pPr>
              <w:ind w:firstLine="420"/>
              <w:rPr>
                <w:rFonts w:ascii="宋体" w:hAnsi="宋体" w:cs="宋体"/>
                <w:szCs w:val="21"/>
              </w:rPr>
            </w:pPr>
            <w:r>
              <w:rPr>
                <w:rFonts w:hint="eastAsia" w:ascii="宋体" w:hAnsi="宋体" w:cs="宋体"/>
                <w:szCs w:val="21"/>
              </w:rPr>
              <w:t>（大写）</w:t>
            </w:r>
          </w:p>
        </w:tc>
        <w:tc>
          <w:tcPr>
            <w:tcW w:w="3106" w:type="dxa"/>
            <w:vAlign w:val="center"/>
          </w:tcPr>
          <w:p w14:paraId="224DE32F">
            <w:pPr>
              <w:ind w:firstLine="420"/>
              <w:rPr>
                <w:rFonts w:ascii="宋体" w:hAnsi="宋体" w:cs="宋体"/>
                <w:szCs w:val="21"/>
              </w:rPr>
            </w:pPr>
            <w:r>
              <w:rPr>
                <w:rFonts w:hint="eastAsia" w:ascii="宋体" w:hAnsi="宋体" w:cs="宋体"/>
                <w:szCs w:val="21"/>
              </w:rPr>
              <w:t>（小写）</w:t>
            </w:r>
          </w:p>
        </w:tc>
      </w:tr>
      <w:tr w14:paraId="082FCD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20" w:hRule="atLeast"/>
          <w:jc w:val="center"/>
        </w:trPr>
        <w:tc>
          <w:tcPr>
            <w:tcW w:w="3196" w:type="dxa"/>
            <w:vMerge w:val="continue"/>
            <w:vAlign w:val="center"/>
          </w:tcPr>
          <w:p w14:paraId="31BE3898">
            <w:pPr>
              <w:spacing w:line="360" w:lineRule="exact"/>
              <w:ind w:firstLine="422"/>
              <w:jc w:val="center"/>
              <w:rPr>
                <w:rFonts w:ascii="宋体" w:hAnsi="宋体" w:cs="宋体"/>
                <w:b/>
                <w:bCs/>
                <w:szCs w:val="21"/>
              </w:rPr>
            </w:pPr>
          </w:p>
        </w:tc>
        <w:tc>
          <w:tcPr>
            <w:tcW w:w="5875" w:type="dxa"/>
            <w:gridSpan w:val="2"/>
            <w:vAlign w:val="center"/>
          </w:tcPr>
          <w:p w14:paraId="2025A634">
            <w:pPr>
              <w:ind w:firstLine="422"/>
              <w:rPr>
                <w:rFonts w:ascii="宋体" w:hAnsi="宋体" w:cs="宋体"/>
                <w:szCs w:val="21"/>
              </w:rPr>
            </w:pPr>
            <w:r>
              <w:rPr>
                <w:rFonts w:hint="eastAsia" w:ascii="宋体" w:hAnsi="宋体" w:cs="宋体"/>
                <w:b/>
                <w:bCs/>
                <w:szCs w:val="21"/>
              </w:rPr>
              <w:t>（供应商应在此填列第一次报价，但以供应商最后一次的磋商报价为成交价）</w:t>
            </w:r>
          </w:p>
        </w:tc>
      </w:tr>
      <w:tr w14:paraId="541F23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3196" w:type="dxa"/>
            <w:vAlign w:val="center"/>
          </w:tcPr>
          <w:p w14:paraId="1BA90FE2">
            <w:pPr>
              <w:ind w:firstLine="422"/>
              <w:jc w:val="center"/>
              <w:rPr>
                <w:rFonts w:ascii="宋体" w:hAnsi="宋体" w:cs="宋体"/>
                <w:b/>
                <w:bCs/>
                <w:szCs w:val="21"/>
              </w:rPr>
            </w:pPr>
            <w:r>
              <w:rPr>
                <w:rFonts w:hint="eastAsia" w:ascii="宋体" w:hAnsi="宋体" w:cs="宋体"/>
                <w:b/>
                <w:bCs/>
                <w:szCs w:val="21"/>
              </w:rPr>
              <w:t>质量要求</w:t>
            </w:r>
          </w:p>
        </w:tc>
        <w:tc>
          <w:tcPr>
            <w:tcW w:w="5875" w:type="dxa"/>
            <w:gridSpan w:val="2"/>
            <w:vAlign w:val="center"/>
          </w:tcPr>
          <w:p w14:paraId="0C7CC7AD">
            <w:pPr>
              <w:ind w:firstLine="420"/>
              <w:jc w:val="center"/>
              <w:rPr>
                <w:rFonts w:ascii="宋体" w:hAnsi="宋体" w:cs="宋体"/>
                <w:szCs w:val="21"/>
              </w:rPr>
            </w:pPr>
          </w:p>
        </w:tc>
      </w:tr>
      <w:tr w14:paraId="5AC92D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3196" w:type="dxa"/>
            <w:vAlign w:val="center"/>
          </w:tcPr>
          <w:p w14:paraId="7E9D047F">
            <w:pPr>
              <w:ind w:firstLine="422"/>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响应内容</w:t>
            </w:r>
          </w:p>
        </w:tc>
        <w:tc>
          <w:tcPr>
            <w:tcW w:w="5875" w:type="dxa"/>
            <w:gridSpan w:val="2"/>
            <w:vAlign w:val="center"/>
          </w:tcPr>
          <w:p w14:paraId="1B484F1E">
            <w:pPr>
              <w:ind w:firstLine="420"/>
              <w:jc w:val="center"/>
              <w:rPr>
                <w:rFonts w:ascii="宋体" w:hAnsi="宋体" w:cs="宋体"/>
                <w:szCs w:val="21"/>
              </w:rPr>
            </w:pPr>
          </w:p>
        </w:tc>
      </w:tr>
      <w:tr w14:paraId="5EBBFF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0" w:hRule="atLeast"/>
          <w:jc w:val="center"/>
        </w:trPr>
        <w:tc>
          <w:tcPr>
            <w:tcW w:w="3196" w:type="dxa"/>
            <w:vAlign w:val="center"/>
          </w:tcPr>
          <w:p w14:paraId="537824F0">
            <w:pPr>
              <w:ind w:firstLine="422"/>
              <w:jc w:val="center"/>
              <w:rPr>
                <w:rFonts w:ascii="宋体" w:hAnsi="宋体" w:cs="宋体"/>
                <w:b/>
                <w:bCs/>
                <w:szCs w:val="21"/>
              </w:rPr>
            </w:pPr>
            <w:r>
              <w:rPr>
                <w:rFonts w:hint="eastAsia" w:ascii="宋体" w:hAnsi="宋体" w:cs="宋体"/>
                <w:b/>
                <w:bCs/>
                <w:szCs w:val="21"/>
                <w:lang w:val="en-US" w:eastAsia="zh-CN"/>
              </w:rPr>
              <w:t>服务期限</w:t>
            </w:r>
          </w:p>
        </w:tc>
        <w:tc>
          <w:tcPr>
            <w:tcW w:w="5875" w:type="dxa"/>
            <w:gridSpan w:val="2"/>
            <w:vAlign w:val="center"/>
          </w:tcPr>
          <w:p w14:paraId="54B5E485">
            <w:pPr>
              <w:ind w:firstLine="420"/>
              <w:jc w:val="center"/>
              <w:rPr>
                <w:rFonts w:ascii="宋体" w:hAnsi="宋体" w:cs="宋体"/>
                <w:szCs w:val="21"/>
              </w:rPr>
            </w:pPr>
          </w:p>
        </w:tc>
      </w:tr>
      <w:tr w14:paraId="3B7FA1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vAlign w:val="center"/>
          </w:tcPr>
          <w:p w14:paraId="046D0B6D">
            <w:pPr>
              <w:ind w:firstLine="422"/>
              <w:jc w:val="center"/>
              <w:rPr>
                <w:rFonts w:ascii="宋体" w:hAnsi="宋体" w:cs="宋体"/>
                <w:b/>
                <w:bCs/>
                <w:szCs w:val="21"/>
              </w:rPr>
            </w:pPr>
            <w:r>
              <w:rPr>
                <w:rFonts w:hint="eastAsia" w:ascii="宋体" w:hAnsi="宋体" w:cs="宋体"/>
                <w:b/>
                <w:bCs/>
                <w:szCs w:val="21"/>
              </w:rPr>
              <w:t>磋商有效期</w:t>
            </w:r>
          </w:p>
        </w:tc>
        <w:tc>
          <w:tcPr>
            <w:tcW w:w="5875" w:type="dxa"/>
            <w:gridSpan w:val="2"/>
            <w:vAlign w:val="center"/>
          </w:tcPr>
          <w:p w14:paraId="5C4FE913">
            <w:pPr>
              <w:ind w:firstLine="420"/>
              <w:jc w:val="center"/>
              <w:rPr>
                <w:rFonts w:ascii="宋体" w:hAnsi="宋体" w:cs="宋体"/>
                <w:szCs w:val="21"/>
              </w:rPr>
            </w:pPr>
          </w:p>
        </w:tc>
      </w:tr>
    </w:tbl>
    <w:p w14:paraId="6E98AB3F">
      <w:pPr>
        <w:ind w:firstLine="420"/>
        <w:rPr>
          <w:rFonts w:ascii="宋体" w:hAnsi="宋体" w:cs="宋体"/>
          <w:szCs w:val="21"/>
        </w:rPr>
      </w:pPr>
    </w:p>
    <w:p w14:paraId="2E26491D">
      <w:pPr>
        <w:ind w:left="0" w:leftChars="0" w:firstLine="0" w:firstLineChars="0"/>
        <w:rPr>
          <w:rFonts w:ascii="宋体" w:hAnsi="宋体" w:cs="宋体"/>
          <w:szCs w:val="21"/>
        </w:rPr>
      </w:pPr>
    </w:p>
    <w:p w14:paraId="3E435C37">
      <w:pPr>
        <w:spacing w:line="360" w:lineRule="auto"/>
        <w:ind w:firstLine="420"/>
        <w:rPr>
          <w:rFonts w:ascii="宋体" w:hAnsi="宋体" w:cs="宋体"/>
          <w:szCs w:val="21"/>
        </w:rPr>
      </w:pPr>
      <w:r>
        <w:rPr>
          <w:rFonts w:hint="eastAsia" w:ascii="宋体" w:hAnsi="宋体" w:cs="宋体"/>
          <w:szCs w:val="21"/>
        </w:rPr>
        <w:t>供应商法定代表人或其授权委托人(签字或盖章)</w:t>
      </w:r>
      <w:r>
        <w:rPr>
          <w:rFonts w:hint="eastAsia" w:ascii="宋体" w:hAnsi="宋体" w:cs="宋体"/>
          <w:szCs w:val="21"/>
          <w:u w:val="single"/>
        </w:rPr>
        <w:t>___________________</w:t>
      </w:r>
    </w:p>
    <w:p w14:paraId="05A68602">
      <w:pPr>
        <w:spacing w:line="360" w:lineRule="auto"/>
        <w:ind w:firstLine="420"/>
        <w:rPr>
          <w:rFonts w:ascii="宋体" w:hAnsi="宋体" w:cs="宋体"/>
          <w:szCs w:val="21"/>
        </w:rPr>
      </w:pPr>
      <w:r>
        <w:rPr>
          <w:rFonts w:hint="eastAsia" w:ascii="宋体" w:hAnsi="宋体" w:cs="宋体"/>
          <w:szCs w:val="21"/>
        </w:rPr>
        <w:t>供应商(单位电子签章):</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tab/>
      </w:r>
    </w:p>
    <w:p w14:paraId="47E00D05">
      <w:pPr>
        <w:spacing w:line="360" w:lineRule="auto"/>
        <w:ind w:firstLine="2940" w:firstLineChars="1400"/>
        <w:rPr>
          <w:rFonts w:hint="eastAsia" w:ascii="宋体" w:hAnsi="宋体" w:cs="宋体"/>
          <w:szCs w:val="21"/>
        </w:rPr>
      </w:pPr>
      <w:r>
        <w:rPr>
          <w:rFonts w:hint="eastAsia" w:ascii="宋体" w:hAnsi="宋体" w:cs="宋体"/>
          <w:szCs w:val="21"/>
        </w:rPr>
        <w:t>年   月   日</w:t>
      </w:r>
      <w:bookmarkStart w:id="1239" w:name="_Toc23978"/>
      <w:bookmarkStart w:id="1240" w:name="_Toc18287"/>
      <w:bookmarkStart w:id="1241" w:name="_Toc555"/>
      <w:bookmarkStart w:id="1242" w:name="_Toc24653"/>
      <w:bookmarkStart w:id="1243" w:name="_Toc466298161"/>
      <w:bookmarkStart w:id="1244" w:name="_Toc25403"/>
    </w:p>
    <w:p w14:paraId="4EBB936E">
      <w:pPr>
        <w:spacing w:line="360" w:lineRule="auto"/>
        <w:ind w:firstLine="2940" w:firstLineChars="1400"/>
        <w:rPr>
          <w:rFonts w:hint="eastAsia" w:ascii="宋体" w:hAnsi="宋体" w:cs="宋体"/>
          <w:szCs w:val="21"/>
        </w:rPr>
      </w:pPr>
    </w:p>
    <w:p w14:paraId="42E799F1">
      <w:pPr>
        <w:pStyle w:val="2"/>
        <w:rPr>
          <w:rFonts w:hint="eastAsia" w:ascii="宋体" w:hAnsi="宋体" w:cs="宋体"/>
          <w:szCs w:val="21"/>
        </w:rPr>
      </w:pPr>
    </w:p>
    <w:p w14:paraId="56C808B3">
      <w:pPr>
        <w:pStyle w:val="3"/>
        <w:rPr>
          <w:rFonts w:hint="eastAsia" w:ascii="宋体" w:hAnsi="宋体" w:cs="宋体"/>
          <w:szCs w:val="21"/>
        </w:rPr>
      </w:pPr>
    </w:p>
    <w:p w14:paraId="21DF6A6F">
      <w:pPr>
        <w:pStyle w:val="5"/>
        <w:rPr>
          <w:rFonts w:hint="eastAsia"/>
        </w:rPr>
      </w:pPr>
      <w:bookmarkStart w:id="1381" w:name="_GoBack"/>
      <w:bookmarkEnd w:id="1381"/>
    </w:p>
    <w:p w14:paraId="2A99D707">
      <w:pPr>
        <w:spacing w:line="360" w:lineRule="auto"/>
        <w:ind w:firstLine="2940" w:firstLineChars="1400"/>
        <w:rPr>
          <w:rFonts w:hint="eastAsia" w:ascii="宋体" w:hAnsi="宋体" w:cs="宋体"/>
          <w:szCs w:val="21"/>
        </w:rPr>
      </w:pPr>
    </w:p>
    <w:p w14:paraId="42A1944D">
      <w:pPr>
        <w:pStyle w:val="8"/>
        <w:ind w:firstLine="482"/>
        <w:jc w:val="center"/>
        <w:rPr>
          <w:rFonts w:ascii="宋体" w:hAnsi="宋体" w:eastAsia="宋体" w:cs="宋体"/>
        </w:rPr>
      </w:pPr>
      <w:bookmarkStart w:id="1245" w:name="_Toc18581"/>
      <w:r>
        <w:rPr>
          <w:rFonts w:hint="eastAsia" w:ascii="宋体" w:hAnsi="宋体" w:eastAsia="宋体" w:cs="宋体"/>
        </w:rPr>
        <w:t>二、</w:t>
      </w:r>
      <w:bookmarkEnd w:id="1235"/>
      <w:bookmarkEnd w:id="1236"/>
      <w:bookmarkEnd w:id="1237"/>
      <w:bookmarkEnd w:id="1238"/>
      <w:r>
        <w:rPr>
          <w:rFonts w:hint="eastAsia" w:ascii="宋体" w:hAnsi="宋体" w:eastAsia="宋体" w:cs="宋体"/>
        </w:rPr>
        <w:t>法定代表身份证明</w:t>
      </w:r>
      <w:bookmarkEnd w:id="1239"/>
      <w:bookmarkEnd w:id="1240"/>
      <w:bookmarkEnd w:id="1241"/>
      <w:bookmarkEnd w:id="1242"/>
      <w:bookmarkEnd w:id="1243"/>
      <w:bookmarkEnd w:id="1244"/>
      <w:bookmarkEnd w:id="1245"/>
    </w:p>
    <w:p w14:paraId="2C343331">
      <w:pPr>
        <w:spacing w:line="440" w:lineRule="exact"/>
        <w:ind w:firstLine="400"/>
        <w:jc w:val="center"/>
        <w:rPr>
          <w:rFonts w:ascii="宋体" w:hAnsi="宋体" w:cs="宋体"/>
          <w:sz w:val="20"/>
          <w:szCs w:val="20"/>
        </w:rPr>
      </w:pPr>
    </w:p>
    <w:p w14:paraId="737444BD">
      <w:pPr>
        <w:spacing w:line="440" w:lineRule="exact"/>
        <w:ind w:firstLine="440"/>
        <w:rPr>
          <w:rFonts w:ascii="宋体" w:hAnsi="宋体" w:cs="宋体"/>
          <w:sz w:val="22"/>
          <w:szCs w:val="20"/>
        </w:rPr>
      </w:pPr>
      <w:r>
        <w:rPr>
          <w:rFonts w:hint="eastAsia" w:ascii="宋体" w:hAnsi="宋体" w:cs="宋体"/>
          <w:sz w:val="22"/>
          <w:szCs w:val="20"/>
        </w:rPr>
        <w:t>供应商名称：</w:t>
      </w:r>
      <w:r>
        <w:rPr>
          <w:rFonts w:hint="eastAsia" w:ascii="宋体" w:hAnsi="宋体" w:cs="宋体"/>
          <w:sz w:val="22"/>
          <w:szCs w:val="20"/>
          <w:u w:val="single"/>
        </w:rPr>
        <w:t xml:space="preserve">                            </w:t>
      </w:r>
      <w:r>
        <w:rPr>
          <w:rFonts w:hint="eastAsia" w:ascii="宋体" w:hAnsi="宋体" w:cs="宋体"/>
          <w:sz w:val="22"/>
          <w:szCs w:val="20"/>
        </w:rPr>
        <w:t xml:space="preserve"> </w:t>
      </w:r>
    </w:p>
    <w:p w14:paraId="68CDBCDA">
      <w:pPr>
        <w:spacing w:line="440" w:lineRule="exact"/>
        <w:ind w:firstLine="440"/>
        <w:rPr>
          <w:rFonts w:ascii="宋体" w:hAnsi="宋体" w:cs="宋体"/>
          <w:sz w:val="22"/>
          <w:szCs w:val="20"/>
        </w:rPr>
      </w:pPr>
      <w:r>
        <w:rPr>
          <w:rFonts w:hint="eastAsia" w:ascii="宋体" w:hAnsi="宋体" w:cs="宋体"/>
          <w:sz w:val="22"/>
          <w:szCs w:val="20"/>
        </w:rPr>
        <w:t>单位性质：</w:t>
      </w:r>
      <w:r>
        <w:rPr>
          <w:rFonts w:hint="eastAsia" w:ascii="宋体" w:hAnsi="宋体" w:cs="宋体"/>
          <w:sz w:val="22"/>
          <w:szCs w:val="20"/>
          <w:u w:val="single"/>
        </w:rPr>
        <w:t xml:space="preserve">                               </w:t>
      </w:r>
      <w:r>
        <w:rPr>
          <w:rFonts w:hint="eastAsia" w:ascii="宋体" w:hAnsi="宋体" w:cs="宋体"/>
          <w:sz w:val="22"/>
          <w:szCs w:val="20"/>
        </w:rPr>
        <w:t xml:space="preserve"> </w:t>
      </w:r>
    </w:p>
    <w:p w14:paraId="07B49EE8">
      <w:pPr>
        <w:spacing w:line="440" w:lineRule="exact"/>
        <w:ind w:firstLine="440"/>
        <w:rPr>
          <w:rFonts w:ascii="宋体" w:hAnsi="宋体" w:cs="宋体"/>
          <w:sz w:val="22"/>
          <w:szCs w:val="20"/>
        </w:rPr>
      </w:pPr>
      <w:r>
        <w:rPr>
          <w:rFonts w:hint="eastAsia" w:ascii="宋体" w:hAnsi="宋体" w:cs="宋体"/>
          <w:sz w:val="22"/>
          <w:szCs w:val="20"/>
        </w:rPr>
        <w:t>地址：</w:t>
      </w:r>
      <w:r>
        <w:rPr>
          <w:rFonts w:hint="eastAsia" w:ascii="宋体" w:hAnsi="宋体" w:cs="宋体"/>
          <w:sz w:val="22"/>
          <w:szCs w:val="20"/>
          <w:u w:val="single"/>
        </w:rPr>
        <w:t xml:space="preserve">                                   </w:t>
      </w:r>
    </w:p>
    <w:p w14:paraId="7B4BECEC">
      <w:pPr>
        <w:spacing w:line="440" w:lineRule="exact"/>
        <w:ind w:firstLine="440"/>
        <w:rPr>
          <w:rFonts w:ascii="宋体" w:hAnsi="宋体" w:cs="宋体"/>
          <w:sz w:val="22"/>
          <w:szCs w:val="20"/>
        </w:rPr>
      </w:pPr>
      <w:r>
        <w:rPr>
          <w:rFonts w:hint="eastAsia" w:ascii="宋体" w:hAnsi="宋体" w:cs="宋体"/>
          <w:sz w:val="22"/>
          <w:szCs w:val="20"/>
        </w:rPr>
        <w:t>成立时间：</w:t>
      </w:r>
      <w:r>
        <w:rPr>
          <w:rFonts w:hint="eastAsia" w:ascii="宋体" w:hAnsi="宋体" w:cs="宋体"/>
          <w:sz w:val="22"/>
          <w:szCs w:val="20"/>
          <w:u w:val="single"/>
        </w:rPr>
        <w:t xml:space="preserve">         </w:t>
      </w:r>
      <w:r>
        <w:rPr>
          <w:rFonts w:hint="eastAsia" w:ascii="宋体" w:hAnsi="宋体" w:cs="宋体"/>
          <w:sz w:val="22"/>
          <w:szCs w:val="20"/>
        </w:rPr>
        <w:t xml:space="preserve"> 年</w:t>
      </w:r>
      <w:r>
        <w:rPr>
          <w:rFonts w:hint="eastAsia" w:ascii="宋体" w:hAnsi="宋体" w:cs="宋体"/>
          <w:sz w:val="22"/>
          <w:szCs w:val="20"/>
          <w:u w:val="single"/>
        </w:rPr>
        <w:t xml:space="preserve">       </w:t>
      </w:r>
      <w:r>
        <w:rPr>
          <w:rFonts w:hint="eastAsia" w:ascii="宋体" w:hAnsi="宋体" w:cs="宋体"/>
          <w:sz w:val="22"/>
          <w:szCs w:val="20"/>
        </w:rPr>
        <w:t xml:space="preserve"> 月</w:t>
      </w:r>
      <w:r>
        <w:rPr>
          <w:rFonts w:hint="eastAsia" w:ascii="宋体" w:hAnsi="宋体" w:cs="宋体"/>
          <w:sz w:val="22"/>
          <w:szCs w:val="20"/>
          <w:u w:val="single"/>
        </w:rPr>
        <w:t xml:space="preserve">       </w:t>
      </w:r>
      <w:r>
        <w:rPr>
          <w:rFonts w:hint="eastAsia" w:ascii="宋体" w:hAnsi="宋体" w:cs="宋体"/>
          <w:sz w:val="22"/>
          <w:szCs w:val="20"/>
        </w:rPr>
        <w:t xml:space="preserve"> 日</w:t>
      </w:r>
    </w:p>
    <w:p w14:paraId="476ABA19">
      <w:pPr>
        <w:spacing w:line="440" w:lineRule="exact"/>
        <w:ind w:firstLine="440"/>
        <w:rPr>
          <w:rFonts w:ascii="宋体" w:hAnsi="宋体" w:cs="宋体"/>
          <w:sz w:val="22"/>
          <w:szCs w:val="20"/>
        </w:rPr>
      </w:pPr>
      <w:r>
        <w:rPr>
          <w:rFonts w:hint="eastAsia" w:ascii="宋体" w:hAnsi="宋体" w:cs="宋体"/>
          <w:sz w:val="22"/>
          <w:szCs w:val="20"/>
        </w:rPr>
        <w:t>经营期限：</w:t>
      </w:r>
      <w:r>
        <w:rPr>
          <w:rFonts w:hint="eastAsia" w:ascii="宋体" w:hAnsi="宋体" w:cs="宋体"/>
          <w:sz w:val="22"/>
          <w:szCs w:val="20"/>
          <w:u w:val="single"/>
        </w:rPr>
        <w:t xml:space="preserve">                               </w:t>
      </w:r>
    </w:p>
    <w:p w14:paraId="6DCC1ADE">
      <w:pPr>
        <w:spacing w:line="440" w:lineRule="exact"/>
        <w:ind w:firstLine="440"/>
        <w:rPr>
          <w:rFonts w:ascii="宋体" w:hAnsi="宋体" w:cs="宋体"/>
          <w:sz w:val="22"/>
          <w:szCs w:val="20"/>
        </w:rPr>
      </w:pPr>
      <w:r>
        <w:rPr>
          <w:rFonts w:hint="eastAsia" w:ascii="宋体" w:hAnsi="宋体" w:cs="宋体"/>
          <w:sz w:val="22"/>
          <w:szCs w:val="20"/>
        </w:rPr>
        <w:t>姓名：</w:t>
      </w:r>
      <w:r>
        <w:rPr>
          <w:rFonts w:hint="eastAsia" w:ascii="宋体" w:hAnsi="宋体" w:cs="宋体"/>
          <w:sz w:val="22"/>
          <w:szCs w:val="20"/>
          <w:u w:val="single"/>
        </w:rPr>
        <w:t xml:space="preserve">        </w:t>
      </w:r>
      <w:r>
        <w:rPr>
          <w:rFonts w:hint="eastAsia" w:ascii="宋体" w:hAnsi="宋体" w:cs="宋体"/>
          <w:sz w:val="22"/>
          <w:szCs w:val="20"/>
        </w:rPr>
        <w:t xml:space="preserve"> 性别：</w:t>
      </w:r>
      <w:r>
        <w:rPr>
          <w:rFonts w:hint="eastAsia" w:ascii="宋体" w:hAnsi="宋体" w:cs="宋体"/>
          <w:sz w:val="22"/>
          <w:szCs w:val="20"/>
          <w:u w:val="single"/>
        </w:rPr>
        <w:t xml:space="preserve">         </w:t>
      </w:r>
      <w:r>
        <w:rPr>
          <w:rFonts w:hint="eastAsia" w:ascii="宋体" w:hAnsi="宋体" w:cs="宋体"/>
          <w:sz w:val="22"/>
          <w:szCs w:val="20"/>
        </w:rPr>
        <w:t xml:space="preserve"> 年龄：</w:t>
      </w:r>
      <w:r>
        <w:rPr>
          <w:rFonts w:hint="eastAsia" w:ascii="宋体" w:hAnsi="宋体" w:cs="宋体"/>
          <w:sz w:val="22"/>
          <w:szCs w:val="20"/>
          <w:u w:val="single"/>
        </w:rPr>
        <w:t xml:space="preserve">        </w:t>
      </w:r>
      <w:r>
        <w:rPr>
          <w:rFonts w:hint="eastAsia" w:ascii="宋体" w:hAnsi="宋体" w:cs="宋体"/>
          <w:sz w:val="22"/>
          <w:szCs w:val="20"/>
        </w:rPr>
        <w:t>职务：</w:t>
      </w:r>
      <w:r>
        <w:rPr>
          <w:rFonts w:hint="eastAsia" w:ascii="宋体" w:hAnsi="宋体" w:cs="宋体"/>
          <w:sz w:val="22"/>
          <w:szCs w:val="20"/>
          <w:u w:val="single"/>
        </w:rPr>
        <w:t xml:space="preserve">        </w:t>
      </w:r>
    </w:p>
    <w:p w14:paraId="2771A244">
      <w:pPr>
        <w:spacing w:line="440" w:lineRule="exact"/>
        <w:ind w:firstLine="440"/>
        <w:rPr>
          <w:rFonts w:ascii="宋体" w:hAnsi="宋体" w:cs="宋体"/>
          <w:sz w:val="22"/>
          <w:szCs w:val="20"/>
        </w:rPr>
      </w:pPr>
      <w:r>
        <w:rPr>
          <w:rFonts w:hint="eastAsia" w:ascii="宋体" w:hAnsi="宋体" w:cs="宋体"/>
          <w:sz w:val="22"/>
          <w:szCs w:val="20"/>
        </w:rPr>
        <w:t>系</w:t>
      </w:r>
      <w:r>
        <w:rPr>
          <w:rFonts w:hint="eastAsia" w:ascii="宋体" w:hAnsi="宋体" w:cs="宋体"/>
          <w:sz w:val="22"/>
          <w:szCs w:val="20"/>
          <w:u w:val="single"/>
        </w:rPr>
        <w:t xml:space="preserve">                             </w:t>
      </w:r>
      <w:r>
        <w:rPr>
          <w:rFonts w:hint="eastAsia" w:ascii="宋体" w:hAnsi="宋体" w:cs="宋体"/>
          <w:sz w:val="22"/>
          <w:szCs w:val="20"/>
        </w:rPr>
        <w:t xml:space="preserve"> （供应商名称）的法定代表人。</w:t>
      </w:r>
    </w:p>
    <w:p w14:paraId="5956664F">
      <w:pPr>
        <w:spacing w:line="440" w:lineRule="exact"/>
        <w:ind w:firstLine="440"/>
        <w:rPr>
          <w:rFonts w:ascii="宋体" w:hAnsi="宋体" w:cs="宋体"/>
          <w:sz w:val="22"/>
          <w:szCs w:val="20"/>
        </w:rPr>
      </w:pPr>
      <w:r>
        <w:rPr>
          <w:rFonts w:hint="eastAsia" w:ascii="宋体" w:hAnsi="宋体" w:cs="宋体"/>
          <w:sz w:val="22"/>
          <w:szCs w:val="20"/>
        </w:rPr>
        <w:t>特此证明。</w:t>
      </w:r>
    </w:p>
    <w:p w14:paraId="63BE6B97">
      <w:pPr>
        <w:spacing w:line="440" w:lineRule="exact"/>
        <w:ind w:firstLine="440"/>
        <w:rPr>
          <w:rFonts w:ascii="宋体" w:hAnsi="宋体" w:cs="宋体"/>
          <w:sz w:val="22"/>
          <w:szCs w:val="20"/>
        </w:rPr>
      </w:pPr>
    </w:p>
    <w:p w14:paraId="0FDC7FB6">
      <w:pPr>
        <w:spacing w:line="440" w:lineRule="exact"/>
        <w:ind w:firstLine="440"/>
        <w:rPr>
          <w:rFonts w:ascii="宋体" w:hAnsi="宋体" w:cs="宋体"/>
          <w:sz w:val="22"/>
          <w:szCs w:val="20"/>
        </w:rPr>
      </w:pPr>
    </w:p>
    <w:p w14:paraId="2368828D">
      <w:pPr>
        <w:spacing w:line="440" w:lineRule="exact"/>
        <w:ind w:firstLine="440"/>
        <w:jc w:val="right"/>
        <w:rPr>
          <w:rFonts w:ascii="宋体" w:hAnsi="宋体" w:cs="宋体"/>
          <w:sz w:val="22"/>
          <w:szCs w:val="20"/>
        </w:rPr>
      </w:pPr>
      <w:r>
        <w:rPr>
          <w:rFonts w:hint="eastAsia" w:ascii="宋体" w:hAnsi="宋体" w:cs="宋体"/>
          <w:sz w:val="22"/>
          <w:szCs w:val="20"/>
        </w:rPr>
        <w:t xml:space="preserve">                          供应商：</w:t>
      </w:r>
      <w:r>
        <w:rPr>
          <w:rFonts w:hint="eastAsia" w:ascii="宋体" w:hAnsi="宋体" w:cs="宋体"/>
          <w:sz w:val="22"/>
          <w:szCs w:val="20"/>
          <w:u w:val="single"/>
        </w:rPr>
        <w:t xml:space="preserve">                 </w:t>
      </w:r>
      <w:r>
        <w:rPr>
          <w:rFonts w:hint="eastAsia" w:ascii="宋体" w:hAnsi="宋体" w:cs="宋体"/>
          <w:sz w:val="22"/>
          <w:szCs w:val="20"/>
        </w:rPr>
        <w:t>（盖单位公章）</w:t>
      </w:r>
    </w:p>
    <w:p w14:paraId="7D428A07">
      <w:pPr>
        <w:spacing w:line="440" w:lineRule="exact"/>
        <w:ind w:firstLine="440"/>
        <w:jc w:val="right"/>
        <w:rPr>
          <w:rFonts w:ascii="宋体" w:hAnsi="宋体" w:cs="宋体"/>
          <w:sz w:val="22"/>
          <w:szCs w:val="20"/>
        </w:rPr>
      </w:pPr>
      <w:r>
        <w:rPr>
          <w:rFonts w:hint="eastAsia" w:ascii="宋体" w:hAnsi="宋体" w:cs="宋体"/>
          <w:sz w:val="22"/>
          <w:szCs w:val="20"/>
        </w:rPr>
        <w:t xml:space="preserve">                                   </w:t>
      </w:r>
      <w:r>
        <w:rPr>
          <w:rFonts w:hint="eastAsia" w:ascii="宋体" w:hAnsi="宋体" w:cs="宋体"/>
          <w:sz w:val="22"/>
          <w:szCs w:val="20"/>
          <w:u w:val="single"/>
        </w:rPr>
        <w:t xml:space="preserve">       </w:t>
      </w:r>
      <w:r>
        <w:rPr>
          <w:rFonts w:hint="eastAsia" w:ascii="宋体" w:hAnsi="宋体" w:cs="宋体"/>
          <w:sz w:val="22"/>
          <w:szCs w:val="20"/>
        </w:rPr>
        <w:t>年</w:t>
      </w:r>
      <w:r>
        <w:rPr>
          <w:rFonts w:hint="eastAsia" w:ascii="宋体" w:hAnsi="宋体" w:cs="宋体"/>
          <w:sz w:val="22"/>
          <w:szCs w:val="20"/>
          <w:u w:val="single"/>
        </w:rPr>
        <w:t xml:space="preserve">       </w:t>
      </w:r>
      <w:r>
        <w:rPr>
          <w:rFonts w:hint="eastAsia" w:ascii="宋体" w:hAnsi="宋体" w:cs="宋体"/>
          <w:sz w:val="22"/>
          <w:szCs w:val="20"/>
        </w:rPr>
        <w:t>月</w:t>
      </w:r>
      <w:r>
        <w:rPr>
          <w:rFonts w:hint="eastAsia" w:ascii="宋体" w:hAnsi="宋体" w:cs="宋体"/>
          <w:sz w:val="22"/>
          <w:szCs w:val="20"/>
          <w:u w:val="single"/>
        </w:rPr>
        <w:t xml:space="preserve">       </w:t>
      </w:r>
      <w:r>
        <w:rPr>
          <w:rFonts w:hint="eastAsia" w:ascii="宋体" w:hAnsi="宋体" w:cs="宋体"/>
          <w:sz w:val="22"/>
          <w:szCs w:val="20"/>
        </w:rPr>
        <w:t xml:space="preserve">日 </w:t>
      </w:r>
    </w:p>
    <w:p w14:paraId="05B7F72E">
      <w:pPr>
        <w:spacing w:line="440" w:lineRule="exact"/>
        <w:ind w:firstLine="400"/>
        <w:rPr>
          <w:rFonts w:ascii="宋体" w:hAnsi="宋体" w:cs="宋体"/>
          <w:sz w:val="20"/>
          <w:szCs w:val="20"/>
        </w:rPr>
      </w:pPr>
    </w:p>
    <w:tbl>
      <w:tblPr>
        <w:tblStyle w:val="34"/>
        <w:tblpPr w:leftFromText="180" w:rightFromText="180" w:vertAnchor="text" w:horzAnchor="page" w:tblpX="1892" w:tblpY="8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3BA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9" w:hRule="atLeast"/>
        </w:trPr>
        <w:tc>
          <w:tcPr>
            <w:tcW w:w="8528" w:type="dxa"/>
            <w:vAlign w:val="center"/>
          </w:tcPr>
          <w:p w14:paraId="5D9725D6">
            <w:pPr>
              <w:spacing w:line="440" w:lineRule="exact"/>
              <w:ind w:firstLine="440"/>
              <w:jc w:val="center"/>
              <w:rPr>
                <w:rFonts w:ascii="宋体" w:hAnsi="宋体" w:cs="宋体"/>
                <w:sz w:val="22"/>
              </w:rPr>
            </w:pPr>
            <w:r>
              <w:rPr>
                <w:rFonts w:hint="eastAsia" w:ascii="宋体" w:hAnsi="宋体" w:cs="宋体"/>
                <w:sz w:val="22"/>
              </w:rPr>
              <w:t>法定代表人身份证扫描件</w:t>
            </w:r>
          </w:p>
          <w:p w14:paraId="495066D4">
            <w:pPr>
              <w:spacing w:line="440" w:lineRule="exact"/>
              <w:ind w:firstLine="400"/>
              <w:jc w:val="center"/>
              <w:rPr>
                <w:rFonts w:ascii="宋体" w:hAnsi="宋体" w:cs="宋体"/>
                <w:sz w:val="20"/>
                <w:szCs w:val="20"/>
              </w:rPr>
            </w:pPr>
          </w:p>
        </w:tc>
      </w:tr>
    </w:tbl>
    <w:p w14:paraId="4869DBCF">
      <w:pPr>
        <w:spacing w:line="440" w:lineRule="exact"/>
        <w:ind w:firstLine="400"/>
        <w:rPr>
          <w:rFonts w:ascii="宋体" w:hAnsi="宋体" w:cs="宋体"/>
          <w:sz w:val="20"/>
          <w:szCs w:val="20"/>
        </w:rPr>
      </w:pPr>
    </w:p>
    <w:p w14:paraId="0A17BBF1">
      <w:pPr>
        <w:spacing w:line="440" w:lineRule="exact"/>
        <w:ind w:firstLine="400"/>
        <w:rPr>
          <w:rFonts w:ascii="宋体" w:hAnsi="宋体" w:cs="宋体"/>
          <w:sz w:val="20"/>
          <w:szCs w:val="20"/>
        </w:rPr>
      </w:pPr>
    </w:p>
    <w:p w14:paraId="5365AF7E">
      <w:pPr>
        <w:spacing w:line="440" w:lineRule="exact"/>
        <w:ind w:firstLine="400"/>
        <w:rPr>
          <w:rFonts w:ascii="宋体" w:hAnsi="宋体" w:cs="宋体"/>
          <w:sz w:val="20"/>
          <w:szCs w:val="20"/>
        </w:rPr>
      </w:pPr>
    </w:p>
    <w:p w14:paraId="394494E3">
      <w:pPr>
        <w:spacing w:line="440" w:lineRule="exact"/>
        <w:ind w:firstLine="360"/>
        <w:rPr>
          <w:rFonts w:ascii="宋体" w:hAnsi="宋体" w:cs="宋体"/>
          <w:sz w:val="18"/>
          <w:szCs w:val="18"/>
        </w:rPr>
      </w:pPr>
    </w:p>
    <w:p w14:paraId="4E29B344">
      <w:pPr>
        <w:spacing w:line="440" w:lineRule="exact"/>
        <w:ind w:firstLine="360"/>
        <w:rPr>
          <w:rFonts w:ascii="宋体" w:hAnsi="宋体" w:cs="宋体"/>
          <w:sz w:val="18"/>
          <w:szCs w:val="18"/>
        </w:rPr>
      </w:pPr>
    </w:p>
    <w:p w14:paraId="153621C6">
      <w:pPr>
        <w:pStyle w:val="8"/>
        <w:ind w:firstLine="482"/>
        <w:jc w:val="center"/>
        <w:rPr>
          <w:rFonts w:ascii="宋体" w:hAnsi="宋体" w:eastAsia="宋体" w:cs="宋体"/>
        </w:rPr>
      </w:pPr>
      <w:bookmarkStart w:id="1246" w:name="_Toc466298162"/>
      <w:bookmarkStart w:id="1247" w:name="_Toc18014"/>
      <w:bookmarkStart w:id="1248" w:name="_Toc20490"/>
      <w:bookmarkStart w:id="1249" w:name="_Toc21616"/>
      <w:bookmarkStart w:id="1250" w:name="_Toc318989765"/>
      <w:bookmarkStart w:id="1251" w:name="_Toc202941490"/>
      <w:bookmarkStart w:id="1252" w:name="_Toc4444"/>
      <w:bookmarkStart w:id="1253" w:name="_Toc21874"/>
      <w:bookmarkStart w:id="1254" w:name="_Toc23371"/>
      <w:bookmarkStart w:id="1255" w:name="_Toc441791190"/>
      <w:r>
        <w:rPr>
          <w:rFonts w:hint="eastAsia" w:ascii="宋体" w:hAnsi="宋体" w:eastAsia="宋体" w:cs="宋体"/>
          <w:lang w:val="en-US" w:eastAsia="zh-CN"/>
        </w:rPr>
        <w:t>三、</w:t>
      </w:r>
      <w:r>
        <w:rPr>
          <w:rFonts w:hint="eastAsia" w:ascii="宋体" w:hAnsi="宋体" w:eastAsia="宋体" w:cs="宋体"/>
        </w:rPr>
        <w:t>授权委托书</w:t>
      </w:r>
      <w:bookmarkEnd w:id="1246"/>
      <w:bookmarkEnd w:id="1247"/>
      <w:bookmarkEnd w:id="1248"/>
      <w:bookmarkEnd w:id="1249"/>
      <w:bookmarkEnd w:id="1250"/>
      <w:bookmarkEnd w:id="1251"/>
      <w:bookmarkEnd w:id="1252"/>
      <w:bookmarkEnd w:id="1253"/>
      <w:bookmarkEnd w:id="1254"/>
      <w:bookmarkEnd w:id="1255"/>
    </w:p>
    <w:p w14:paraId="67CCEE6F">
      <w:pPr>
        <w:topLinePunct/>
        <w:spacing w:line="440" w:lineRule="exact"/>
        <w:ind w:firstLine="440"/>
        <w:rPr>
          <w:rFonts w:ascii="宋体" w:hAnsi="宋体" w:cs="宋体"/>
          <w:sz w:val="22"/>
          <w:szCs w:val="20"/>
        </w:rPr>
      </w:pPr>
      <w:r>
        <w:rPr>
          <w:rFonts w:hint="eastAsia" w:ascii="宋体" w:hAnsi="宋体" w:cs="宋体"/>
          <w:sz w:val="22"/>
          <w:szCs w:val="20"/>
        </w:rPr>
        <w:t>本人</w:t>
      </w:r>
      <w:r>
        <w:rPr>
          <w:rFonts w:hint="eastAsia" w:ascii="宋体" w:hAnsi="宋体" w:cs="宋体"/>
          <w:sz w:val="22"/>
          <w:szCs w:val="20"/>
          <w:u w:val="single"/>
        </w:rPr>
        <w:t xml:space="preserve">       </w:t>
      </w:r>
      <w:r>
        <w:rPr>
          <w:rFonts w:hint="eastAsia" w:ascii="宋体" w:hAnsi="宋体" w:cs="宋体"/>
          <w:sz w:val="22"/>
          <w:szCs w:val="20"/>
        </w:rPr>
        <w:t>（姓名）系</w:t>
      </w:r>
      <w:r>
        <w:rPr>
          <w:rFonts w:hint="eastAsia" w:ascii="宋体" w:hAnsi="宋体" w:cs="宋体"/>
          <w:sz w:val="22"/>
          <w:szCs w:val="20"/>
          <w:u w:val="single"/>
        </w:rPr>
        <w:t xml:space="preserve">        </w:t>
      </w:r>
      <w:r>
        <w:rPr>
          <w:rFonts w:hint="eastAsia" w:ascii="宋体" w:hAnsi="宋体" w:cs="宋体"/>
          <w:sz w:val="22"/>
          <w:szCs w:val="20"/>
        </w:rPr>
        <w:t>（供应商名称）的法定代表人，现委托</w:t>
      </w:r>
      <w:r>
        <w:rPr>
          <w:rFonts w:hint="eastAsia" w:ascii="宋体" w:hAnsi="宋体" w:cs="宋体"/>
          <w:sz w:val="22"/>
          <w:szCs w:val="20"/>
          <w:u w:val="single"/>
        </w:rPr>
        <w:t xml:space="preserve">        </w:t>
      </w:r>
      <w:r>
        <w:rPr>
          <w:rFonts w:hint="eastAsia" w:ascii="宋体" w:hAnsi="宋体" w:cs="宋体"/>
          <w:sz w:val="22"/>
          <w:szCs w:val="20"/>
        </w:rPr>
        <w:t>（姓名）为我方代理人。代理人根据授权，以我方名义签署、澄清、说明、补正、递交、撤回、修改</w:t>
      </w:r>
      <w:r>
        <w:rPr>
          <w:rFonts w:hint="eastAsia" w:ascii="宋体" w:hAnsi="宋体" w:cs="宋体"/>
          <w:sz w:val="22"/>
          <w:szCs w:val="20"/>
          <w:u w:val="single"/>
        </w:rPr>
        <w:t xml:space="preserve">           </w:t>
      </w:r>
      <w:r>
        <w:rPr>
          <w:rFonts w:hint="eastAsia" w:ascii="宋体" w:hAnsi="宋体" w:cs="宋体"/>
          <w:sz w:val="22"/>
          <w:szCs w:val="20"/>
        </w:rPr>
        <w:t>（项目名称）响应文件、签订合同和处理有关事宜，其法律后果由我方承担。</w:t>
      </w:r>
    </w:p>
    <w:p w14:paraId="25DE1C20">
      <w:pPr>
        <w:spacing w:line="440" w:lineRule="exact"/>
        <w:ind w:firstLine="440"/>
        <w:rPr>
          <w:rFonts w:ascii="宋体" w:hAnsi="宋体" w:cs="宋体"/>
          <w:sz w:val="22"/>
          <w:szCs w:val="20"/>
        </w:rPr>
      </w:pPr>
      <w:r>
        <w:rPr>
          <w:rFonts w:hint="eastAsia" w:ascii="宋体" w:hAnsi="宋体" w:cs="宋体"/>
          <w:sz w:val="22"/>
          <w:szCs w:val="20"/>
        </w:rPr>
        <w:t xml:space="preserve">    委托期限：</w:t>
      </w:r>
      <w:r>
        <w:rPr>
          <w:rFonts w:hint="eastAsia" w:ascii="宋体" w:hAnsi="宋体" w:cs="宋体"/>
          <w:sz w:val="22"/>
          <w:szCs w:val="20"/>
          <w:u w:val="single"/>
        </w:rPr>
        <w:t xml:space="preserve">长期 </w:t>
      </w:r>
      <w:r>
        <w:rPr>
          <w:rFonts w:hint="eastAsia" w:ascii="宋体" w:hAnsi="宋体" w:cs="宋体"/>
          <w:sz w:val="22"/>
          <w:szCs w:val="20"/>
        </w:rPr>
        <w:t>。</w:t>
      </w:r>
    </w:p>
    <w:p w14:paraId="2DC81D69">
      <w:pPr>
        <w:spacing w:line="440" w:lineRule="exact"/>
        <w:ind w:firstLine="440"/>
        <w:rPr>
          <w:rFonts w:ascii="宋体" w:hAnsi="宋体" w:cs="宋体"/>
          <w:sz w:val="22"/>
          <w:szCs w:val="20"/>
        </w:rPr>
      </w:pPr>
      <w:r>
        <w:rPr>
          <w:rFonts w:hint="eastAsia" w:ascii="宋体" w:hAnsi="宋体" w:cs="宋体"/>
          <w:sz w:val="22"/>
          <w:szCs w:val="20"/>
        </w:rPr>
        <w:t>代理人无转委托权。</w:t>
      </w:r>
    </w:p>
    <w:p w14:paraId="3F8DF094">
      <w:pPr>
        <w:spacing w:line="440" w:lineRule="exact"/>
        <w:ind w:firstLine="440"/>
        <w:rPr>
          <w:rFonts w:ascii="宋体" w:hAnsi="宋体" w:cs="宋体"/>
          <w:sz w:val="22"/>
          <w:szCs w:val="20"/>
        </w:rPr>
      </w:pPr>
    </w:p>
    <w:p w14:paraId="16CC8CAC">
      <w:pPr>
        <w:spacing w:line="440" w:lineRule="exact"/>
        <w:ind w:firstLine="440"/>
        <w:rPr>
          <w:rFonts w:ascii="宋体" w:hAnsi="宋体" w:cs="宋体"/>
          <w:sz w:val="22"/>
          <w:szCs w:val="20"/>
        </w:rPr>
      </w:pPr>
    </w:p>
    <w:p w14:paraId="61E328FD">
      <w:pPr>
        <w:spacing w:line="440" w:lineRule="exact"/>
        <w:ind w:firstLine="440"/>
        <w:rPr>
          <w:rFonts w:ascii="宋体" w:hAnsi="宋体" w:cs="宋体"/>
          <w:sz w:val="22"/>
          <w:szCs w:val="20"/>
        </w:rPr>
      </w:pPr>
    </w:p>
    <w:p w14:paraId="191E48F4">
      <w:pPr>
        <w:spacing w:line="440" w:lineRule="exact"/>
        <w:ind w:left="2730" w:leftChars="1300" w:firstLine="440"/>
        <w:rPr>
          <w:rFonts w:ascii="宋体" w:hAnsi="宋体" w:cs="宋体"/>
          <w:sz w:val="22"/>
          <w:szCs w:val="20"/>
        </w:rPr>
      </w:pPr>
      <w:r>
        <w:rPr>
          <w:rFonts w:hint="eastAsia" w:ascii="宋体" w:hAnsi="宋体" w:cs="宋体"/>
          <w:sz w:val="22"/>
          <w:szCs w:val="20"/>
        </w:rPr>
        <w:t>供应商：</w:t>
      </w:r>
      <w:r>
        <w:rPr>
          <w:rFonts w:hint="eastAsia" w:ascii="宋体" w:hAnsi="宋体" w:cs="宋体"/>
          <w:sz w:val="22"/>
          <w:szCs w:val="20"/>
          <w:u w:val="single"/>
        </w:rPr>
        <w:t xml:space="preserve">                             </w:t>
      </w:r>
      <w:r>
        <w:rPr>
          <w:rFonts w:hint="eastAsia" w:ascii="宋体" w:hAnsi="宋体" w:cs="宋体"/>
          <w:sz w:val="22"/>
          <w:szCs w:val="20"/>
        </w:rPr>
        <w:t>（盖单位公章）</w:t>
      </w:r>
    </w:p>
    <w:p w14:paraId="00B8CDC5">
      <w:pPr>
        <w:spacing w:line="440" w:lineRule="exact"/>
        <w:ind w:left="2730" w:leftChars="1300" w:firstLine="440"/>
        <w:rPr>
          <w:rFonts w:ascii="宋体" w:hAnsi="宋体" w:cs="宋体"/>
          <w:sz w:val="22"/>
          <w:szCs w:val="20"/>
        </w:rPr>
      </w:pPr>
      <w:r>
        <w:rPr>
          <w:rFonts w:hint="eastAsia" w:ascii="宋体" w:hAnsi="宋体" w:cs="宋体"/>
          <w:sz w:val="22"/>
          <w:szCs w:val="20"/>
        </w:rPr>
        <w:t>法定代表人：</w:t>
      </w:r>
      <w:r>
        <w:rPr>
          <w:rFonts w:hint="eastAsia" w:ascii="宋体" w:hAnsi="宋体" w:cs="宋体"/>
          <w:sz w:val="22"/>
          <w:szCs w:val="20"/>
          <w:u w:val="single"/>
        </w:rPr>
        <w:t xml:space="preserve">                        </w:t>
      </w:r>
      <w:r>
        <w:rPr>
          <w:rFonts w:hint="eastAsia" w:ascii="宋体" w:hAnsi="宋体" w:cs="宋体"/>
          <w:sz w:val="22"/>
          <w:szCs w:val="20"/>
        </w:rPr>
        <w:t>（签字或盖章）</w:t>
      </w:r>
    </w:p>
    <w:p w14:paraId="7F570B12">
      <w:pPr>
        <w:spacing w:line="440" w:lineRule="exact"/>
        <w:ind w:left="2730" w:leftChars="1300" w:firstLine="440"/>
        <w:rPr>
          <w:rFonts w:ascii="宋体" w:hAnsi="宋体" w:cs="宋体"/>
          <w:sz w:val="22"/>
          <w:szCs w:val="20"/>
        </w:rPr>
      </w:pPr>
      <w:r>
        <w:rPr>
          <w:rFonts w:hint="eastAsia" w:ascii="宋体" w:hAnsi="宋体" w:cs="宋体"/>
          <w:sz w:val="22"/>
          <w:szCs w:val="20"/>
        </w:rPr>
        <w:t>身份证号码：</w:t>
      </w:r>
      <w:r>
        <w:rPr>
          <w:rFonts w:hint="eastAsia" w:ascii="宋体" w:hAnsi="宋体" w:cs="宋体"/>
          <w:sz w:val="22"/>
          <w:szCs w:val="20"/>
          <w:u w:val="single"/>
        </w:rPr>
        <w:t xml:space="preserve">                                        </w:t>
      </w:r>
    </w:p>
    <w:p w14:paraId="1640E965">
      <w:pPr>
        <w:spacing w:line="440" w:lineRule="exact"/>
        <w:ind w:left="2730" w:leftChars="1300" w:firstLine="440"/>
        <w:rPr>
          <w:rFonts w:ascii="宋体" w:hAnsi="宋体" w:cs="宋体"/>
          <w:sz w:val="22"/>
          <w:szCs w:val="20"/>
        </w:rPr>
      </w:pPr>
      <w:r>
        <w:rPr>
          <w:rFonts w:hint="eastAsia" w:ascii="宋体" w:hAnsi="宋体" w:cs="宋体"/>
          <w:sz w:val="22"/>
          <w:szCs w:val="20"/>
        </w:rPr>
        <w:t>委托代理人：</w:t>
      </w:r>
      <w:r>
        <w:rPr>
          <w:rFonts w:hint="eastAsia" w:ascii="宋体" w:hAnsi="宋体" w:cs="宋体"/>
          <w:sz w:val="22"/>
          <w:szCs w:val="20"/>
          <w:u w:val="single"/>
        </w:rPr>
        <w:t xml:space="preserve">                          </w:t>
      </w:r>
      <w:r>
        <w:rPr>
          <w:rFonts w:hint="eastAsia" w:ascii="宋体" w:hAnsi="宋体" w:cs="宋体"/>
          <w:sz w:val="22"/>
          <w:szCs w:val="20"/>
        </w:rPr>
        <w:t>（签字或盖章）</w:t>
      </w:r>
    </w:p>
    <w:p w14:paraId="2FE20816">
      <w:pPr>
        <w:spacing w:line="440" w:lineRule="exact"/>
        <w:ind w:left="2730" w:leftChars="1300" w:firstLine="440"/>
        <w:rPr>
          <w:rFonts w:ascii="宋体" w:hAnsi="宋体" w:cs="宋体"/>
          <w:sz w:val="22"/>
          <w:szCs w:val="20"/>
        </w:rPr>
      </w:pPr>
      <w:r>
        <w:rPr>
          <w:rFonts w:hint="eastAsia" w:ascii="宋体" w:hAnsi="宋体" w:cs="宋体"/>
          <w:sz w:val="22"/>
          <w:szCs w:val="20"/>
        </w:rPr>
        <w:t>身份证号码：</w:t>
      </w:r>
      <w:r>
        <w:rPr>
          <w:rFonts w:hint="eastAsia" w:ascii="宋体" w:hAnsi="宋体" w:cs="宋体"/>
          <w:sz w:val="22"/>
          <w:szCs w:val="20"/>
          <w:u w:val="single"/>
        </w:rPr>
        <w:t xml:space="preserve">                                        </w:t>
      </w:r>
    </w:p>
    <w:p w14:paraId="48EE3C4B">
      <w:pPr>
        <w:spacing w:line="440" w:lineRule="exact"/>
        <w:ind w:firstLine="440"/>
        <w:jc w:val="right"/>
        <w:rPr>
          <w:rFonts w:ascii="宋体" w:hAnsi="宋体" w:cs="宋体"/>
          <w:sz w:val="22"/>
          <w:szCs w:val="20"/>
        </w:rPr>
      </w:pPr>
      <w:r>
        <w:rPr>
          <w:rFonts w:hint="eastAsia" w:ascii="宋体" w:hAnsi="宋体" w:cs="宋体"/>
          <w:sz w:val="22"/>
          <w:szCs w:val="20"/>
          <w:u w:val="single"/>
        </w:rPr>
        <w:t xml:space="preserve">       </w:t>
      </w:r>
      <w:r>
        <w:rPr>
          <w:rFonts w:hint="eastAsia" w:ascii="宋体" w:hAnsi="宋体" w:cs="宋体"/>
          <w:sz w:val="22"/>
          <w:szCs w:val="20"/>
        </w:rPr>
        <w:t>年</w:t>
      </w:r>
      <w:r>
        <w:rPr>
          <w:rFonts w:hint="eastAsia" w:ascii="宋体" w:hAnsi="宋体" w:cs="宋体"/>
          <w:sz w:val="22"/>
          <w:szCs w:val="20"/>
          <w:u w:val="single"/>
        </w:rPr>
        <w:t xml:space="preserve">       </w:t>
      </w:r>
      <w:r>
        <w:rPr>
          <w:rFonts w:hint="eastAsia" w:ascii="宋体" w:hAnsi="宋体" w:cs="宋体"/>
          <w:sz w:val="22"/>
          <w:szCs w:val="20"/>
        </w:rPr>
        <w:t>月</w:t>
      </w:r>
      <w:r>
        <w:rPr>
          <w:rFonts w:hint="eastAsia" w:ascii="宋体" w:hAnsi="宋体" w:cs="宋体"/>
          <w:sz w:val="22"/>
          <w:szCs w:val="20"/>
          <w:u w:val="single"/>
        </w:rPr>
        <w:t xml:space="preserve">       </w:t>
      </w:r>
      <w:r>
        <w:rPr>
          <w:rFonts w:hint="eastAsia" w:ascii="宋体" w:hAnsi="宋体" w:cs="宋体"/>
          <w:sz w:val="22"/>
          <w:szCs w:val="20"/>
        </w:rPr>
        <w:t>日</w:t>
      </w:r>
    </w:p>
    <w:p w14:paraId="736B6422">
      <w:pPr>
        <w:spacing w:line="440" w:lineRule="exact"/>
        <w:ind w:firstLine="400"/>
        <w:rPr>
          <w:rFonts w:ascii="宋体" w:hAnsi="宋体" w:cs="宋体"/>
          <w:sz w:val="20"/>
          <w:szCs w:val="20"/>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9EE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5" w:hRule="atLeast"/>
          <w:jc w:val="center"/>
        </w:trPr>
        <w:tc>
          <w:tcPr>
            <w:tcW w:w="8528" w:type="dxa"/>
            <w:vAlign w:val="center"/>
          </w:tcPr>
          <w:p w14:paraId="3975E9BB">
            <w:pPr>
              <w:spacing w:line="440" w:lineRule="exact"/>
              <w:ind w:firstLine="440"/>
              <w:jc w:val="center"/>
              <w:rPr>
                <w:rFonts w:ascii="宋体" w:hAnsi="宋体" w:cs="宋体"/>
                <w:sz w:val="22"/>
              </w:rPr>
            </w:pPr>
            <w:r>
              <w:rPr>
                <w:rFonts w:hint="eastAsia" w:ascii="宋体" w:hAnsi="宋体" w:cs="宋体"/>
                <w:sz w:val="22"/>
              </w:rPr>
              <w:t>委托代理人身份证扫描件</w:t>
            </w:r>
          </w:p>
          <w:p w14:paraId="0DD0805D">
            <w:pPr>
              <w:spacing w:line="440" w:lineRule="exact"/>
              <w:ind w:firstLine="400"/>
              <w:jc w:val="center"/>
              <w:rPr>
                <w:rFonts w:ascii="宋体" w:hAnsi="宋体" w:cs="宋体"/>
                <w:sz w:val="20"/>
                <w:szCs w:val="20"/>
              </w:rPr>
            </w:pPr>
          </w:p>
        </w:tc>
      </w:tr>
    </w:tbl>
    <w:p w14:paraId="70DA8047">
      <w:pPr>
        <w:spacing w:line="440" w:lineRule="exact"/>
        <w:ind w:firstLine="400"/>
        <w:rPr>
          <w:rFonts w:ascii="宋体" w:hAnsi="宋体" w:cs="宋体"/>
          <w:sz w:val="20"/>
          <w:szCs w:val="20"/>
        </w:rPr>
      </w:pPr>
    </w:p>
    <w:p w14:paraId="397CF3B0">
      <w:pPr>
        <w:pStyle w:val="8"/>
        <w:ind w:firstLine="482"/>
        <w:rPr>
          <w:rFonts w:ascii="宋体" w:hAnsi="宋体" w:eastAsia="宋体" w:cs="宋体"/>
        </w:rPr>
      </w:pPr>
      <w:bookmarkStart w:id="1256" w:name="_Toc15039"/>
      <w:bookmarkStart w:id="1257" w:name="_Toc17791"/>
      <w:bookmarkStart w:id="1258" w:name="_Toc8208"/>
      <w:bookmarkStart w:id="1259" w:name="_Toc14223"/>
    </w:p>
    <w:p w14:paraId="289B63B7">
      <w:pPr>
        <w:ind w:firstLine="422"/>
        <w:rPr>
          <w:rFonts w:ascii="宋体" w:hAnsi="宋体" w:cs="宋体"/>
          <w:b/>
          <w:bCs/>
        </w:rPr>
      </w:pPr>
    </w:p>
    <w:p w14:paraId="2EE22866">
      <w:pPr>
        <w:pStyle w:val="32"/>
        <w:spacing w:before="156" w:after="156"/>
        <w:ind w:firstLine="210"/>
      </w:pPr>
    </w:p>
    <w:p w14:paraId="1249B67A">
      <w:pPr>
        <w:pStyle w:val="8"/>
        <w:ind w:firstLine="482"/>
        <w:jc w:val="center"/>
        <w:rPr>
          <w:rFonts w:ascii="宋体" w:hAnsi="宋体" w:eastAsia="宋体" w:cs="宋体"/>
        </w:rPr>
      </w:pPr>
      <w:bookmarkStart w:id="1260" w:name="_Toc14712"/>
      <w:bookmarkStart w:id="1261" w:name="_Toc23445"/>
      <w:r>
        <w:rPr>
          <w:rFonts w:hint="eastAsia" w:ascii="宋体" w:hAnsi="宋体" w:eastAsia="宋体" w:cs="宋体"/>
          <w:lang w:val="en-US" w:eastAsia="zh-CN"/>
        </w:rPr>
        <w:t>四</w:t>
      </w:r>
      <w:r>
        <w:rPr>
          <w:rFonts w:hint="eastAsia" w:ascii="宋体" w:hAnsi="宋体" w:eastAsia="宋体" w:cs="宋体"/>
        </w:rPr>
        <w:t>、资格证明文件</w:t>
      </w:r>
      <w:bookmarkEnd w:id="1256"/>
      <w:bookmarkEnd w:id="1257"/>
      <w:bookmarkEnd w:id="1258"/>
      <w:bookmarkEnd w:id="1259"/>
      <w:bookmarkEnd w:id="1260"/>
      <w:bookmarkEnd w:id="1261"/>
    </w:p>
    <w:p w14:paraId="21F3FF60">
      <w:pPr>
        <w:pStyle w:val="9"/>
        <w:ind w:firstLine="422"/>
        <w:jc w:val="center"/>
        <w:rPr>
          <w:rFonts w:ascii="宋体" w:hAnsi="宋体" w:cs="宋体"/>
          <w:b/>
          <w:sz w:val="32"/>
          <w:szCs w:val="32"/>
        </w:rPr>
      </w:pPr>
      <w:bookmarkStart w:id="1262" w:name="_Toc1102"/>
      <w:bookmarkStart w:id="1263" w:name="_Toc16788"/>
      <w:bookmarkStart w:id="1264" w:name="_Toc8642"/>
      <w:bookmarkStart w:id="1265" w:name="_Toc8976"/>
      <w:r>
        <w:rPr>
          <w:rFonts w:hint="eastAsia" w:ascii="宋体" w:hAnsi="宋体" w:cs="宋体"/>
        </w:rPr>
        <w:t>（一）供应商基本情况表</w:t>
      </w:r>
      <w:bookmarkEnd w:id="1262"/>
      <w:bookmarkEnd w:id="1263"/>
      <w:bookmarkEnd w:id="1264"/>
      <w:bookmarkEnd w:id="1265"/>
    </w:p>
    <w:tbl>
      <w:tblPr>
        <w:tblStyle w:val="34"/>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818"/>
        <w:gridCol w:w="983"/>
        <w:gridCol w:w="1463"/>
        <w:gridCol w:w="1454"/>
        <w:gridCol w:w="927"/>
        <w:gridCol w:w="978"/>
        <w:gridCol w:w="1164"/>
      </w:tblGrid>
      <w:tr w14:paraId="6882F0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07D5E157">
            <w:pPr>
              <w:ind w:firstLine="0" w:firstLineChars="0"/>
              <w:jc w:val="center"/>
              <w:rPr>
                <w:rFonts w:ascii="宋体" w:hAnsi="宋体" w:cs="宋体"/>
                <w:b/>
                <w:bCs/>
              </w:rPr>
            </w:pPr>
            <w:r>
              <w:rPr>
                <w:rFonts w:hint="eastAsia" w:ascii="宋体" w:hAnsi="宋体" w:cs="宋体"/>
                <w:b/>
                <w:bCs/>
              </w:rPr>
              <w:t>供应商名称</w:t>
            </w:r>
          </w:p>
        </w:tc>
        <w:tc>
          <w:tcPr>
            <w:tcW w:w="6969" w:type="dxa"/>
            <w:gridSpan w:val="6"/>
            <w:vAlign w:val="center"/>
          </w:tcPr>
          <w:p w14:paraId="7BADCB46">
            <w:pPr>
              <w:ind w:firstLine="0" w:firstLineChars="0"/>
              <w:jc w:val="center"/>
              <w:rPr>
                <w:rFonts w:ascii="宋体" w:hAnsi="宋体" w:cs="宋体"/>
              </w:rPr>
            </w:pPr>
          </w:p>
        </w:tc>
      </w:tr>
      <w:tr w14:paraId="09993F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0FF347C3">
            <w:pPr>
              <w:ind w:firstLine="0" w:firstLineChars="0"/>
              <w:jc w:val="center"/>
              <w:rPr>
                <w:rFonts w:ascii="宋体" w:hAnsi="宋体" w:cs="宋体"/>
                <w:b/>
                <w:bCs/>
              </w:rPr>
            </w:pPr>
            <w:r>
              <w:rPr>
                <w:rFonts w:hint="eastAsia" w:ascii="宋体" w:hAnsi="宋体" w:cs="宋体"/>
                <w:b/>
                <w:bCs/>
              </w:rPr>
              <w:t>注册地址</w:t>
            </w:r>
          </w:p>
        </w:tc>
        <w:tc>
          <w:tcPr>
            <w:tcW w:w="3900" w:type="dxa"/>
            <w:gridSpan w:val="3"/>
            <w:vAlign w:val="center"/>
          </w:tcPr>
          <w:p w14:paraId="2017701A">
            <w:pPr>
              <w:ind w:firstLine="0" w:firstLineChars="0"/>
              <w:jc w:val="center"/>
              <w:rPr>
                <w:rFonts w:ascii="宋体" w:hAnsi="宋体" w:cs="宋体"/>
              </w:rPr>
            </w:pPr>
          </w:p>
        </w:tc>
        <w:tc>
          <w:tcPr>
            <w:tcW w:w="927" w:type="dxa"/>
            <w:vAlign w:val="center"/>
          </w:tcPr>
          <w:p w14:paraId="7CC7D223">
            <w:pPr>
              <w:ind w:firstLine="0" w:firstLineChars="0"/>
              <w:jc w:val="center"/>
              <w:rPr>
                <w:rFonts w:ascii="宋体" w:hAnsi="宋体" w:cs="宋体"/>
                <w:b/>
                <w:bCs/>
              </w:rPr>
            </w:pPr>
            <w:r>
              <w:rPr>
                <w:rFonts w:hint="eastAsia" w:ascii="宋体" w:hAnsi="宋体" w:cs="宋体"/>
                <w:b/>
                <w:bCs/>
              </w:rPr>
              <w:t>邮政编码</w:t>
            </w:r>
          </w:p>
        </w:tc>
        <w:tc>
          <w:tcPr>
            <w:tcW w:w="2142" w:type="dxa"/>
            <w:gridSpan w:val="2"/>
            <w:vAlign w:val="center"/>
          </w:tcPr>
          <w:p w14:paraId="44AADE43">
            <w:pPr>
              <w:ind w:firstLine="0" w:firstLineChars="0"/>
              <w:jc w:val="center"/>
              <w:rPr>
                <w:rFonts w:ascii="宋体" w:hAnsi="宋体" w:cs="宋体"/>
              </w:rPr>
            </w:pPr>
          </w:p>
        </w:tc>
      </w:tr>
      <w:tr w14:paraId="56CA4F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restart"/>
            <w:vAlign w:val="center"/>
          </w:tcPr>
          <w:p w14:paraId="6058564D">
            <w:pPr>
              <w:ind w:firstLine="0" w:firstLineChars="0"/>
              <w:jc w:val="center"/>
              <w:rPr>
                <w:rFonts w:ascii="宋体" w:hAnsi="宋体" w:cs="宋体"/>
                <w:b/>
                <w:bCs/>
              </w:rPr>
            </w:pPr>
            <w:r>
              <w:rPr>
                <w:rFonts w:hint="eastAsia" w:ascii="宋体" w:hAnsi="宋体" w:cs="宋体"/>
                <w:b/>
                <w:bCs/>
              </w:rPr>
              <w:t>联系方式</w:t>
            </w:r>
          </w:p>
        </w:tc>
        <w:tc>
          <w:tcPr>
            <w:tcW w:w="983" w:type="dxa"/>
            <w:vAlign w:val="center"/>
          </w:tcPr>
          <w:p w14:paraId="68C6B272">
            <w:pPr>
              <w:ind w:firstLine="0" w:firstLineChars="0"/>
              <w:jc w:val="center"/>
              <w:rPr>
                <w:rFonts w:ascii="宋体" w:hAnsi="宋体" w:cs="宋体"/>
                <w:b/>
                <w:bCs/>
              </w:rPr>
            </w:pPr>
            <w:r>
              <w:rPr>
                <w:rFonts w:hint="eastAsia" w:ascii="宋体" w:hAnsi="宋体" w:cs="宋体"/>
                <w:b/>
                <w:bCs/>
              </w:rPr>
              <w:t>联系人</w:t>
            </w:r>
          </w:p>
        </w:tc>
        <w:tc>
          <w:tcPr>
            <w:tcW w:w="2917" w:type="dxa"/>
            <w:gridSpan w:val="2"/>
            <w:vAlign w:val="center"/>
          </w:tcPr>
          <w:p w14:paraId="12F9A9AB">
            <w:pPr>
              <w:ind w:firstLine="0" w:firstLineChars="0"/>
              <w:jc w:val="center"/>
              <w:rPr>
                <w:rFonts w:ascii="宋体" w:hAnsi="宋体" w:cs="宋体"/>
              </w:rPr>
            </w:pPr>
          </w:p>
        </w:tc>
        <w:tc>
          <w:tcPr>
            <w:tcW w:w="927" w:type="dxa"/>
            <w:vAlign w:val="center"/>
          </w:tcPr>
          <w:p w14:paraId="6F6DC6FC">
            <w:pPr>
              <w:ind w:firstLine="0" w:firstLineChars="0"/>
              <w:jc w:val="center"/>
              <w:rPr>
                <w:rFonts w:ascii="宋体" w:hAnsi="宋体" w:cs="宋体"/>
                <w:b/>
                <w:bCs/>
              </w:rPr>
            </w:pPr>
            <w:r>
              <w:rPr>
                <w:rFonts w:hint="eastAsia" w:ascii="宋体" w:hAnsi="宋体" w:cs="宋体"/>
                <w:b/>
                <w:bCs/>
              </w:rPr>
              <w:t>电  话</w:t>
            </w:r>
          </w:p>
        </w:tc>
        <w:tc>
          <w:tcPr>
            <w:tcW w:w="2142" w:type="dxa"/>
            <w:gridSpan w:val="2"/>
            <w:vAlign w:val="center"/>
          </w:tcPr>
          <w:p w14:paraId="4B2C2F1B">
            <w:pPr>
              <w:ind w:firstLine="0" w:firstLineChars="0"/>
              <w:jc w:val="center"/>
              <w:rPr>
                <w:rFonts w:ascii="宋体" w:hAnsi="宋体" w:cs="宋体"/>
              </w:rPr>
            </w:pPr>
          </w:p>
        </w:tc>
      </w:tr>
      <w:tr w14:paraId="0AC4E0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continue"/>
            <w:vAlign w:val="center"/>
          </w:tcPr>
          <w:p w14:paraId="162AA8E3">
            <w:pPr>
              <w:ind w:firstLine="0" w:firstLineChars="0"/>
              <w:jc w:val="center"/>
              <w:rPr>
                <w:rFonts w:ascii="宋体" w:hAnsi="宋体" w:cs="宋体"/>
                <w:b/>
                <w:bCs/>
              </w:rPr>
            </w:pPr>
          </w:p>
        </w:tc>
        <w:tc>
          <w:tcPr>
            <w:tcW w:w="983" w:type="dxa"/>
            <w:vAlign w:val="center"/>
          </w:tcPr>
          <w:p w14:paraId="7C09E5AC">
            <w:pPr>
              <w:ind w:firstLine="0" w:firstLineChars="0"/>
              <w:jc w:val="center"/>
              <w:rPr>
                <w:rFonts w:ascii="宋体" w:hAnsi="宋体" w:cs="宋体"/>
                <w:b/>
                <w:bCs/>
              </w:rPr>
            </w:pPr>
            <w:r>
              <w:rPr>
                <w:rFonts w:hint="eastAsia" w:ascii="宋体" w:hAnsi="宋体" w:cs="宋体"/>
                <w:b/>
                <w:bCs/>
              </w:rPr>
              <w:t>传  真</w:t>
            </w:r>
          </w:p>
        </w:tc>
        <w:tc>
          <w:tcPr>
            <w:tcW w:w="2917" w:type="dxa"/>
            <w:gridSpan w:val="2"/>
            <w:vAlign w:val="center"/>
          </w:tcPr>
          <w:p w14:paraId="7461DC48">
            <w:pPr>
              <w:ind w:firstLine="0" w:firstLineChars="0"/>
              <w:jc w:val="center"/>
              <w:rPr>
                <w:rFonts w:ascii="宋体" w:hAnsi="宋体" w:cs="宋体"/>
              </w:rPr>
            </w:pPr>
          </w:p>
        </w:tc>
        <w:tc>
          <w:tcPr>
            <w:tcW w:w="927" w:type="dxa"/>
            <w:vAlign w:val="center"/>
          </w:tcPr>
          <w:p w14:paraId="27B1C28C">
            <w:pPr>
              <w:ind w:firstLine="0" w:firstLineChars="0"/>
              <w:jc w:val="center"/>
              <w:rPr>
                <w:rFonts w:ascii="宋体" w:hAnsi="宋体" w:cs="宋体"/>
                <w:b/>
                <w:bCs/>
              </w:rPr>
            </w:pPr>
            <w:r>
              <w:rPr>
                <w:rFonts w:hint="eastAsia" w:ascii="宋体" w:hAnsi="宋体" w:cs="宋体"/>
                <w:b/>
                <w:bCs/>
              </w:rPr>
              <w:t>网  址</w:t>
            </w:r>
          </w:p>
        </w:tc>
        <w:tc>
          <w:tcPr>
            <w:tcW w:w="2142" w:type="dxa"/>
            <w:gridSpan w:val="2"/>
            <w:vAlign w:val="center"/>
          </w:tcPr>
          <w:p w14:paraId="4D54BA1E">
            <w:pPr>
              <w:ind w:firstLine="0" w:firstLineChars="0"/>
              <w:jc w:val="center"/>
              <w:rPr>
                <w:rFonts w:ascii="宋体" w:hAnsi="宋体" w:cs="宋体"/>
              </w:rPr>
            </w:pPr>
          </w:p>
        </w:tc>
      </w:tr>
      <w:tr w14:paraId="1AE702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997CF12">
            <w:pPr>
              <w:ind w:firstLine="0" w:firstLineChars="0"/>
              <w:jc w:val="center"/>
              <w:rPr>
                <w:rFonts w:ascii="宋体" w:hAnsi="宋体" w:cs="宋体"/>
                <w:b/>
                <w:bCs/>
              </w:rPr>
            </w:pPr>
            <w:r>
              <w:rPr>
                <w:rFonts w:hint="eastAsia" w:ascii="宋体" w:hAnsi="宋体" w:cs="宋体"/>
                <w:b/>
                <w:bCs/>
              </w:rPr>
              <w:t>法定代表人</w:t>
            </w:r>
          </w:p>
        </w:tc>
        <w:tc>
          <w:tcPr>
            <w:tcW w:w="983" w:type="dxa"/>
            <w:vAlign w:val="center"/>
          </w:tcPr>
          <w:p w14:paraId="4932E44F">
            <w:pPr>
              <w:ind w:firstLine="0" w:firstLineChars="0"/>
              <w:jc w:val="center"/>
              <w:rPr>
                <w:rFonts w:ascii="宋体" w:hAnsi="宋体" w:cs="宋体"/>
                <w:b/>
                <w:bCs/>
              </w:rPr>
            </w:pPr>
            <w:r>
              <w:rPr>
                <w:rFonts w:hint="eastAsia" w:ascii="宋体" w:hAnsi="宋体" w:cs="宋体"/>
                <w:b/>
                <w:bCs/>
              </w:rPr>
              <w:t>姓  名</w:t>
            </w:r>
          </w:p>
        </w:tc>
        <w:tc>
          <w:tcPr>
            <w:tcW w:w="1463" w:type="dxa"/>
            <w:vAlign w:val="center"/>
          </w:tcPr>
          <w:p w14:paraId="6EA7E4B4">
            <w:pPr>
              <w:ind w:firstLine="0" w:firstLineChars="0"/>
              <w:jc w:val="center"/>
              <w:rPr>
                <w:rFonts w:ascii="宋体" w:hAnsi="宋体" w:cs="宋体"/>
              </w:rPr>
            </w:pPr>
          </w:p>
        </w:tc>
        <w:tc>
          <w:tcPr>
            <w:tcW w:w="1454" w:type="dxa"/>
            <w:vAlign w:val="center"/>
          </w:tcPr>
          <w:p w14:paraId="23BE01C3">
            <w:pPr>
              <w:ind w:firstLine="0" w:firstLineChars="0"/>
              <w:jc w:val="center"/>
              <w:rPr>
                <w:rFonts w:ascii="宋体" w:hAnsi="宋体" w:cs="宋体"/>
                <w:b/>
                <w:bCs/>
              </w:rPr>
            </w:pPr>
            <w:r>
              <w:rPr>
                <w:rFonts w:hint="eastAsia" w:ascii="宋体" w:hAnsi="宋体" w:cs="宋体"/>
                <w:b/>
                <w:bCs/>
              </w:rPr>
              <w:t>技术职称</w:t>
            </w:r>
          </w:p>
        </w:tc>
        <w:tc>
          <w:tcPr>
            <w:tcW w:w="927" w:type="dxa"/>
            <w:vAlign w:val="center"/>
          </w:tcPr>
          <w:p w14:paraId="289043FE">
            <w:pPr>
              <w:ind w:firstLine="0" w:firstLineChars="0"/>
              <w:jc w:val="center"/>
              <w:rPr>
                <w:rFonts w:ascii="宋体" w:hAnsi="宋体" w:cs="宋体"/>
              </w:rPr>
            </w:pPr>
          </w:p>
        </w:tc>
        <w:tc>
          <w:tcPr>
            <w:tcW w:w="978" w:type="dxa"/>
            <w:vAlign w:val="center"/>
          </w:tcPr>
          <w:p w14:paraId="421F93B5">
            <w:pPr>
              <w:ind w:firstLine="0" w:firstLineChars="0"/>
              <w:jc w:val="center"/>
              <w:rPr>
                <w:rFonts w:ascii="宋体" w:hAnsi="宋体" w:cs="宋体"/>
                <w:b/>
                <w:bCs/>
              </w:rPr>
            </w:pPr>
            <w:r>
              <w:rPr>
                <w:rFonts w:hint="eastAsia" w:ascii="宋体" w:hAnsi="宋体" w:cs="宋体"/>
                <w:b/>
                <w:bCs/>
              </w:rPr>
              <w:t>电  话</w:t>
            </w:r>
          </w:p>
        </w:tc>
        <w:tc>
          <w:tcPr>
            <w:tcW w:w="1164" w:type="dxa"/>
            <w:vAlign w:val="center"/>
          </w:tcPr>
          <w:p w14:paraId="34E29503">
            <w:pPr>
              <w:ind w:firstLine="0" w:firstLineChars="0"/>
              <w:jc w:val="center"/>
              <w:rPr>
                <w:rFonts w:ascii="宋体" w:hAnsi="宋体" w:cs="宋体"/>
              </w:rPr>
            </w:pPr>
          </w:p>
        </w:tc>
      </w:tr>
      <w:tr w14:paraId="46C12D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2B7452D4">
            <w:pPr>
              <w:ind w:firstLine="0" w:firstLineChars="0"/>
              <w:jc w:val="center"/>
              <w:rPr>
                <w:rFonts w:ascii="宋体" w:hAnsi="宋体" w:cs="宋体"/>
                <w:b/>
                <w:bCs/>
              </w:rPr>
            </w:pPr>
            <w:r>
              <w:rPr>
                <w:rFonts w:hint="eastAsia" w:ascii="宋体" w:hAnsi="宋体" w:cs="宋体"/>
                <w:b/>
                <w:bCs/>
              </w:rPr>
              <w:t>成立时间</w:t>
            </w:r>
          </w:p>
        </w:tc>
        <w:tc>
          <w:tcPr>
            <w:tcW w:w="2446" w:type="dxa"/>
            <w:gridSpan w:val="2"/>
            <w:vAlign w:val="center"/>
          </w:tcPr>
          <w:p w14:paraId="0463529C">
            <w:pPr>
              <w:ind w:firstLine="0" w:firstLineChars="0"/>
              <w:jc w:val="center"/>
              <w:rPr>
                <w:rFonts w:ascii="宋体" w:hAnsi="宋体" w:cs="宋体"/>
              </w:rPr>
            </w:pPr>
          </w:p>
        </w:tc>
        <w:tc>
          <w:tcPr>
            <w:tcW w:w="1454" w:type="dxa"/>
            <w:vAlign w:val="center"/>
          </w:tcPr>
          <w:p w14:paraId="6FA31F66">
            <w:pPr>
              <w:ind w:firstLine="0" w:firstLineChars="0"/>
              <w:jc w:val="center"/>
              <w:rPr>
                <w:rFonts w:ascii="宋体" w:hAnsi="宋体" w:cs="宋体"/>
                <w:b/>
                <w:bCs/>
              </w:rPr>
            </w:pPr>
            <w:r>
              <w:rPr>
                <w:rFonts w:hint="eastAsia" w:ascii="宋体" w:hAnsi="宋体" w:cs="宋体"/>
                <w:b/>
                <w:bCs/>
              </w:rPr>
              <w:t>员工总人数</w:t>
            </w:r>
          </w:p>
        </w:tc>
        <w:tc>
          <w:tcPr>
            <w:tcW w:w="3069" w:type="dxa"/>
            <w:gridSpan w:val="3"/>
            <w:vAlign w:val="center"/>
          </w:tcPr>
          <w:p w14:paraId="4B214D4E">
            <w:pPr>
              <w:ind w:firstLine="0" w:firstLineChars="0"/>
              <w:jc w:val="center"/>
              <w:rPr>
                <w:rFonts w:ascii="宋体" w:hAnsi="宋体" w:cs="宋体"/>
              </w:rPr>
            </w:pPr>
          </w:p>
        </w:tc>
      </w:tr>
      <w:tr w14:paraId="2B740B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66AFFAAB">
            <w:pPr>
              <w:ind w:firstLine="0" w:firstLineChars="0"/>
              <w:jc w:val="center"/>
              <w:rPr>
                <w:rFonts w:ascii="宋体" w:hAnsi="宋体" w:cs="宋体"/>
                <w:b/>
                <w:bCs/>
              </w:rPr>
            </w:pPr>
            <w:r>
              <w:rPr>
                <w:rFonts w:hint="eastAsia" w:ascii="宋体" w:hAnsi="宋体" w:cs="宋体"/>
                <w:b/>
                <w:bCs/>
              </w:rPr>
              <w:t>营业执照号</w:t>
            </w:r>
          </w:p>
        </w:tc>
        <w:tc>
          <w:tcPr>
            <w:tcW w:w="6969" w:type="dxa"/>
            <w:gridSpan w:val="6"/>
            <w:vAlign w:val="center"/>
          </w:tcPr>
          <w:p w14:paraId="6CEF34CC">
            <w:pPr>
              <w:ind w:firstLine="0" w:firstLineChars="0"/>
              <w:jc w:val="center"/>
              <w:rPr>
                <w:rFonts w:ascii="宋体" w:hAnsi="宋体" w:cs="宋体"/>
              </w:rPr>
            </w:pPr>
          </w:p>
          <w:p w14:paraId="6A2D5CE3">
            <w:pPr>
              <w:pStyle w:val="53"/>
              <w:rPr>
                <w:rFonts w:hAnsi="宋体"/>
                <w:color w:val="auto"/>
              </w:rPr>
            </w:pPr>
          </w:p>
        </w:tc>
      </w:tr>
      <w:tr w14:paraId="45EFC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74FBB54E">
            <w:pPr>
              <w:ind w:firstLine="0" w:firstLineChars="0"/>
              <w:jc w:val="center"/>
              <w:rPr>
                <w:rFonts w:ascii="宋体" w:hAnsi="宋体" w:cs="宋体"/>
                <w:b/>
                <w:bCs/>
              </w:rPr>
            </w:pPr>
            <w:r>
              <w:rPr>
                <w:rFonts w:hint="eastAsia" w:ascii="宋体" w:hAnsi="宋体" w:cs="宋体"/>
                <w:b/>
                <w:bCs/>
              </w:rPr>
              <w:t>注册资金</w:t>
            </w:r>
          </w:p>
        </w:tc>
        <w:tc>
          <w:tcPr>
            <w:tcW w:w="6969" w:type="dxa"/>
            <w:gridSpan w:val="6"/>
            <w:vAlign w:val="center"/>
          </w:tcPr>
          <w:p w14:paraId="46094AB5">
            <w:pPr>
              <w:ind w:firstLine="0" w:firstLineChars="0"/>
              <w:jc w:val="center"/>
              <w:rPr>
                <w:rFonts w:ascii="宋体" w:hAnsi="宋体" w:cs="宋体"/>
              </w:rPr>
            </w:pPr>
          </w:p>
        </w:tc>
      </w:tr>
      <w:tr w14:paraId="4EE0AB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1DD11DE3">
            <w:pPr>
              <w:ind w:firstLine="0" w:firstLineChars="0"/>
              <w:jc w:val="center"/>
              <w:rPr>
                <w:rFonts w:ascii="宋体" w:hAnsi="宋体" w:cs="宋体"/>
                <w:b/>
                <w:bCs/>
              </w:rPr>
            </w:pPr>
            <w:r>
              <w:rPr>
                <w:rFonts w:hint="eastAsia" w:ascii="宋体" w:hAnsi="宋体" w:cs="宋体"/>
                <w:b/>
                <w:bCs/>
              </w:rPr>
              <w:t>开户银行</w:t>
            </w:r>
          </w:p>
        </w:tc>
        <w:tc>
          <w:tcPr>
            <w:tcW w:w="6969" w:type="dxa"/>
            <w:gridSpan w:val="6"/>
            <w:vAlign w:val="center"/>
          </w:tcPr>
          <w:p w14:paraId="668630B8">
            <w:pPr>
              <w:ind w:firstLine="0" w:firstLineChars="0"/>
              <w:jc w:val="center"/>
              <w:rPr>
                <w:rFonts w:ascii="宋体" w:hAnsi="宋体" w:cs="宋体"/>
              </w:rPr>
            </w:pPr>
          </w:p>
        </w:tc>
      </w:tr>
      <w:tr w14:paraId="390DDA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2DE25718">
            <w:pPr>
              <w:ind w:firstLine="0" w:firstLineChars="0"/>
              <w:jc w:val="center"/>
              <w:rPr>
                <w:rFonts w:ascii="宋体" w:hAnsi="宋体" w:cs="宋体"/>
                <w:b/>
                <w:bCs/>
              </w:rPr>
            </w:pPr>
            <w:r>
              <w:rPr>
                <w:rFonts w:hint="eastAsia" w:ascii="宋体" w:hAnsi="宋体" w:cs="宋体"/>
                <w:b/>
                <w:bCs/>
              </w:rPr>
              <w:t>账号</w:t>
            </w:r>
          </w:p>
        </w:tc>
        <w:tc>
          <w:tcPr>
            <w:tcW w:w="6969" w:type="dxa"/>
            <w:gridSpan w:val="6"/>
            <w:vAlign w:val="center"/>
          </w:tcPr>
          <w:p w14:paraId="418B5913">
            <w:pPr>
              <w:ind w:firstLine="0" w:firstLineChars="0"/>
              <w:jc w:val="center"/>
              <w:rPr>
                <w:rFonts w:ascii="宋体" w:hAnsi="宋体" w:cs="宋体"/>
              </w:rPr>
            </w:pPr>
          </w:p>
        </w:tc>
      </w:tr>
      <w:tr w14:paraId="07A65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68F9159">
            <w:pPr>
              <w:ind w:firstLine="0" w:firstLineChars="0"/>
              <w:jc w:val="center"/>
              <w:rPr>
                <w:rFonts w:ascii="宋体" w:hAnsi="宋体" w:cs="宋体"/>
                <w:b/>
                <w:bCs/>
              </w:rPr>
            </w:pPr>
            <w:r>
              <w:rPr>
                <w:rFonts w:hint="eastAsia" w:ascii="宋体" w:hAnsi="宋体" w:cs="宋体"/>
                <w:b/>
                <w:bCs/>
              </w:rPr>
              <w:t>经营范围</w:t>
            </w:r>
          </w:p>
        </w:tc>
        <w:tc>
          <w:tcPr>
            <w:tcW w:w="6969" w:type="dxa"/>
            <w:gridSpan w:val="6"/>
            <w:vAlign w:val="center"/>
          </w:tcPr>
          <w:p w14:paraId="2FF0B165">
            <w:pPr>
              <w:ind w:firstLine="0" w:firstLineChars="0"/>
              <w:rPr>
                <w:rFonts w:ascii="宋体" w:hAnsi="宋体" w:cs="宋体"/>
              </w:rPr>
            </w:pPr>
          </w:p>
          <w:p w14:paraId="364B4B75">
            <w:pPr>
              <w:pStyle w:val="53"/>
              <w:rPr>
                <w:rFonts w:hAnsi="宋体"/>
                <w:color w:val="auto"/>
              </w:rPr>
            </w:pPr>
          </w:p>
        </w:tc>
      </w:tr>
      <w:tr w14:paraId="5218BD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Align w:val="center"/>
          </w:tcPr>
          <w:p w14:paraId="5059FB83">
            <w:pPr>
              <w:ind w:firstLine="0" w:firstLineChars="0"/>
              <w:jc w:val="center"/>
              <w:rPr>
                <w:rFonts w:ascii="宋体" w:hAnsi="宋体" w:cs="宋体"/>
                <w:b/>
                <w:bCs/>
              </w:rPr>
            </w:pPr>
            <w:r>
              <w:rPr>
                <w:rFonts w:hint="eastAsia" w:ascii="宋体" w:hAnsi="宋体" w:cs="宋体"/>
                <w:b/>
                <w:bCs/>
                <w:szCs w:val="21"/>
              </w:rPr>
              <w:t>备注</w:t>
            </w:r>
          </w:p>
        </w:tc>
        <w:tc>
          <w:tcPr>
            <w:tcW w:w="6969" w:type="dxa"/>
            <w:gridSpan w:val="6"/>
            <w:vAlign w:val="center"/>
          </w:tcPr>
          <w:p w14:paraId="11798DDB">
            <w:pPr>
              <w:pStyle w:val="53"/>
              <w:rPr>
                <w:rFonts w:hAnsi="宋体"/>
                <w:color w:val="auto"/>
              </w:rPr>
            </w:pPr>
          </w:p>
        </w:tc>
      </w:tr>
    </w:tbl>
    <w:p w14:paraId="6062E73A">
      <w:pPr>
        <w:spacing w:line="480" w:lineRule="exact"/>
        <w:ind w:firstLine="420"/>
        <w:rPr>
          <w:rFonts w:ascii="宋体" w:hAnsi="宋体" w:cs="宋体"/>
        </w:rPr>
      </w:pPr>
    </w:p>
    <w:p w14:paraId="615717BA">
      <w:pPr>
        <w:ind w:firstLine="400"/>
        <w:rPr>
          <w:rFonts w:ascii="宋体" w:hAnsi="宋体" w:cs="宋体"/>
          <w:sz w:val="20"/>
        </w:rPr>
      </w:pPr>
      <w:r>
        <w:rPr>
          <w:rFonts w:hint="eastAsia" w:ascii="宋体" w:hAnsi="宋体" w:cs="宋体"/>
          <w:sz w:val="20"/>
        </w:rPr>
        <w:t>注：1.根据供应商须知第3.5项的要求在本表后附供应商信用承诺函。</w:t>
      </w:r>
    </w:p>
    <w:p w14:paraId="38379060">
      <w:pPr>
        <w:numPr>
          <w:ilvl w:val="0"/>
          <w:numId w:val="9"/>
        </w:numPr>
        <w:ind w:firstLine="400"/>
        <w:rPr>
          <w:rFonts w:ascii="宋体" w:hAnsi="宋体" w:cs="宋体"/>
          <w:sz w:val="20"/>
        </w:rPr>
      </w:pPr>
      <w:r>
        <w:rPr>
          <w:rFonts w:hint="eastAsia" w:ascii="宋体" w:hAnsi="宋体" w:cs="宋体"/>
          <w:sz w:val="20"/>
        </w:rPr>
        <w:t>本项目的特定资格要求（如有）：需提供相应的证明材料。</w:t>
      </w:r>
    </w:p>
    <w:p w14:paraId="50734AB4">
      <w:pPr>
        <w:pStyle w:val="57"/>
        <w:ind w:firstLine="420"/>
        <w:rPr>
          <w:rFonts w:ascii="宋体" w:hAnsi="宋体" w:cs="宋体"/>
        </w:rPr>
      </w:pPr>
    </w:p>
    <w:p w14:paraId="4BD80B80">
      <w:pPr>
        <w:pStyle w:val="10"/>
        <w:ind w:firstLine="562"/>
        <w:rPr>
          <w:rFonts w:ascii="宋体" w:hAnsi="宋体" w:eastAsia="宋体" w:cs="宋体"/>
        </w:rPr>
      </w:pPr>
      <w:r>
        <w:rPr>
          <w:rFonts w:hint="eastAsia" w:ascii="宋体" w:hAnsi="宋体" w:eastAsia="宋体" w:cs="宋体"/>
        </w:rPr>
        <w:t>附件：</w:t>
      </w:r>
    </w:p>
    <w:p w14:paraId="4E6BC1B1">
      <w:pPr>
        <w:pStyle w:val="11"/>
        <w:spacing w:line="480" w:lineRule="auto"/>
        <w:ind w:firstLine="482"/>
        <w:jc w:val="center"/>
        <w:rPr>
          <w:rFonts w:ascii="宋体" w:hAnsi="宋体" w:eastAsia="宋体" w:cs="宋体"/>
        </w:rPr>
      </w:pPr>
      <w:r>
        <w:rPr>
          <w:rFonts w:hint="eastAsia" w:ascii="宋体" w:hAnsi="宋体" w:eastAsia="宋体" w:cs="宋体"/>
        </w:rPr>
        <w:t>信阳市政府采购供应商信用承诺</w:t>
      </w:r>
    </w:p>
    <w:p w14:paraId="1D1F5307">
      <w:pPr>
        <w:pStyle w:val="15"/>
        <w:ind w:firstLine="0" w:firstLineChars="0"/>
        <w:rPr>
          <w:rFonts w:ascii="宋体" w:hAnsi="宋体" w:cs="宋体"/>
          <w:u w:val="single"/>
        </w:rPr>
      </w:pPr>
      <w:r>
        <w:rPr>
          <w:rFonts w:hint="eastAsia" w:ascii="宋体" w:hAnsi="宋体" w:cs="宋体"/>
          <w:u w:val="single"/>
        </w:rPr>
        <w:t xml:space="preserve">致（采购人或采购代理机构）：               </w:t>
      </w:r>
    </w:p>
    <w:p w14:paraId="73A1AB08">
      <w:pPr>
        <w:pStyle w:val="15"/>
        <w:ind w:firstLine="0" w:firstLineChars="0"/>
        <w:rPr>
          <w:rFonts w:ascii="宋体" w:hAnsi="宋体" w:cs="宋体"/>
          <w:u w:val="single"/>
        </w:rPr>
      </w:pPr>
      <w:r>
        <w:rPr>
          <w:rFonts w:hint="eastAsia" w:ascii="宋体" w:hAnsi="宋体" w:cs="宋体"/>
          <w:u w:val="single"/>
        </w:rPr>
        <w:t xml:space="preserve">单位名称（自然人姓名）：   </w:t>
      </w:r>
    </w:p>
    <w:p w14:paraId="6AA0B3EE">
      <w:pPr>
        <w:pStyle w:val="15"/>
        <w:ind w:firstLine="0" w:firstLineChars="0"/>
        <w:rPr>
          <w:rFonts w:ascii="宋体" w:hAnsi="宋体" w:cs="宋体"/>
          <w:u w:val="single"/>
        </w:rPr>
      </w:pPr>
      <w:r>
        <w:rPr>
          <w:rFonts w:hint="eastAsia" w:ascii="宋体" w:hAnsi="宋体" w:cs="宋体"/>
          <w:u w:val="single"/>
        </w:rPr>
        <w:t xml:space="preserve">统一社会信用代码（身份证号码）： </w:t>
      </w:r>
    </w:p>
    <w:p w14:paraId="35CEDC08">
      <w:pPr>
        <w:pStyle w:val="15"/>
        <w:ind w:firstLine="0" w:firstLineChars="0"/>
        <w:rPr>
          <w:rFonts w:ascii="宋体" w:hAnsi="宋体" w:cs="宋体"/>
          <w:u w:val="single"/>
        </w:rPr>
      </w:pPr>
      <w:r>
        <w:rPr>
          <w:rFonts w:hint="eastAsia" w:ascii="宋体" w:hAnsi="宋体" w:cs="宋体"/>
          <w:u w:val="single"/>
        </w:rPr>
        <w:t xml:space="preserve">法定代表人（负责人）：   </w:t>
      </w:r>
    </w:p>
    <w:p w14:paraId="15A7702D">
      <w:pPr>
        <w:pStyle w:val="15"/>
        <w:ind w:firstLine="0" w:firstLineChars="0"/>
        <w:rPr>
          <w:rFonts w:ascii="宋体" w:hAnsi="宋体" w:cs="宋体"/>
          <w:u w:val="single"/>
        </w:rPr>
      </w:pPr>
      <w:r>
        <w:rPr>
          <w:rFonts w:hint="eastAsia" w:ascii="宋体" w:hAnsi="宋体" w:cs="宋体"/>
          <w:u w:val="single"/>
        </w:rPr>
        <w:t xml:space="preserve">联系地址和电话：              </w:t>
      </w:r>
    </w:p>
    <w:p w14:paraId="6382FFD4">
      <w:pPr>
        <w:pStyle w:val="15"/>
        <w:rPr>
          <w:rFonts w:ascii="宋体" w:hAnsi="宋体" w:cs="宋体"/>
        </w:rPr>
      </w:pPr>
      <w:r>
        <w:rPr>
          <w:rFonts w:hint="eastAsia" w:ascii="宋体" w:hAnsi="宋体" w:cs="宋体"/>
        </w:rPr>
        <w:t>为维护公平、公正、公开的政府采购市场秩序，树立诚实守信的政府采购供应商形象，我单位（本人）自愿作出以下承诺：</w:t>
      </w:r>
    </w:p>
    <w:p w14:paraId="68649F2B">
      <w:pPr>
        <w:pStyle w:val="15"/>
        <w:rPr>
          <w:rFonts w:ascii="宋体" w:hAnsi="宋体" w:cs="宋体"/>
        </w:rPr>
      </w:pPr>
      <w:r>
        <w:rPr>
          <w:rFonts w:hint="eastAsia" w:ascii="宋体" w:hAnsi="宋体" w:cs="宋体"/>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EAC0BDD">
      <w:pPr>
        <w:pStyle w:val="15"/>
        <w:numPr>
          <w:ilvl w:val="0"/>
          <w:numId w:val="10"/>
        </w:numPr>
        <w:ind w:firstLineChars="0"/>
        <w:rPr>
          <w:rFonts w:ascii="宋体" w:hAnsi="宋体" w:cs="宋体"/>
        </w:rPr>
      </w:pPr>
      <w:r>
        <w:rPr>
          <w:rFonts w:hint="eastAsia" w:ascii="宋体" w:hAnsi="宋体" w:cs="宋体"/>
        </w:rPr>
        <w:t>具有独立承担民事责任的能力；</w:t>
      </w:r>
    </w:p>
    <w:p w14:paraId="6D051243">
      <w:pPr>
        <w:pStyle w:val="15"/>
        <w:numPr>
          <w:ilvl w:val="0"/>
          <w:numId w:val="10"/>
        </w:numPr>
        <w:ind w:firstLineChars="0"/>
        <w:rPr>
          <w:rFonts w:ascii="宋体" w:hAnsi="宋体" w:cs="宋体"/>
        </w:rPr>
      </w:pPr>
      <w:r>
        <w:rPr>
          <w:rFonts w:hint="eastAsia" w:ascii="宋体" w:hAnsi="宋体" w:cs="宋体"/>
        </w:rPr>
        <w:t xml:space="preserve">具有良好的商业信誉和健全的财务会计制度； </w:t>
      </w:r>
    </w:p>
    <w:p w14:paraId="1FA26B74">
      <w:pPr>
        <w:pStyle w:val="15"/>
        <w:numPr>
          <w:ilvl w:val="0"/>
          <w:numId w:val="10"/>
        </w:numPr>
        <w:ind w:firstLineChars="0"/>
        <w:rPr>
          <w:rFonts w:ascii="宋体" w:hAnsi="宋体" w:cs="宋体"/>
        </w:rPr>
      </w:pPr>
      <w:r>
        <w:rPr>
          <w:rFonts w:hint="eastAsia" w:ascii="宋体" w:hAnsi="宋体" w:cs="宋体"/>
        </w:rPr>
        <w:t>具有履行合同所必需的设备和专业技术能力；</w:t>
      </w:r>
    </w:p>
    <w:p w14:paraId="60FF5883">
      <w:pPr>
        <w:pStyle w:val="15"/>
        <w:numPr>
          <w:ilvl w:val="0"/>
          <w:numId w:val="10"/>
        </w:numPr>
        <w:ind w:firstLineChars="0"/>
        <w:rPr>
          <w:rFonts w:ascii="宋体" w:hAnsi="宋体" w:cs="宋体"/>
        </w:rPr>
      </w:pPr>
      <w:r>
        <w:rPr>
          <w:rFonts w:hint="eastAsia" w:ascii="宋体" w:hAnsi="宋体" w:cs="宋体"/>
        </w:rPr>
        <w:t xml:space="preserve">有依法缴纳税收和社会保障资金的良好记录； </w:t>
      </w:r>
    </w:p>
    <w:p w14:paraId="5F43C280">
      <w:pPr>
        <w:pStyle w:val="15"/>
        <w:numPr>
          <w:ilvl w:val="0"/>
          <w:numId w:val="10"/>
        </w:numPr>
        <w:ind w:firstLineChars="0"/>
        <w:rPr>
          <w:rFonts w:ascii="宋体" w:hAnsi="宋体" w:cs="宋体"/>
        </w:rPr>
      </w:pPr>
      <w:r>
        <w:rPr>
          <w:rFonts w:hint="eastAsia" w:ascii="宋体" w:hAnsi="宋体" w:cs="宋体"/>
        </w:rPr>
        <w:t xml:space="preserve">参加政府采购活动前三年内，在经营活动中没有重大违法记录； </w:t>
      </w:r>
    </w:p>
    <w:p w14:paraId="72136A7E">
      <w:pPr>
        <w:pStyle w:val="15"/>
        <w:numPr>
          <w:ilvl w:val="0"/>
          <w:numId w:val="10"/>
        </w:numPr>
        <w:ind w:firstLineChars="0"/>
        <w:rPr>
          <w:rFonts w:ascii="宋体" w:hAnsi="宋体" w:cs="宋体"/>
        </w:rPr>
      </w:pPr>
      <w:r>
        <w:rPr>
          <w:rFonts w:hint="eastAsia" w:ascii="宋体" w:hAnsi="宋体" w:cs="宋体"/>
        </w:rPr>
        <w:t>未被列入经营异常名录或者严重违法失信名单、失信被执行人、重大税收违法案件当事人名单、政府采购严重违法失信行为记录名单；</w:t>
      </w:r>
    </w:p>
    <w:p w14:paraId="608F3404">
      <w:pPr>
        <w:pStyle w:val="15"/>
        <w:numPr>
          <w:ilvl w:val="0"/>
          <w:numId w:val="10"/>
        </w:numPr>
        <w:ind w:firstLineChars="0"/>
        <w:rPr>
          <w:rFonts w:ascii="宋体" w:hAnsi="宋体" w:cs="宋体"/>
        </w:rPr>
      </w:pPr>
      <w:r>
        <w:rPr>
          <w:rFonts w:hint="eastAsia" w:ascii="宋体" w:hAnsi="宋体" w:cs="宋体"/>
        </w:rPr>
        <w:t xml:space="preserve">未被相关监管部门作出行政处罚且尚在处罚有效期内； </w:t>
      </w:r>
    </w:p>
    <w:p w14:paraId="6C546020">
      <w:pPr>
        <w:pStyle w:val="15"/>
        <w:numPr>
          <w:ilvl w:val="0"/>
          <w:numId w:val="10"/>
        </w:numPr>
        <w:ind w:firstLineChars="0"/>
        <w:rPr>
          <w:rFonts w:ascii="宋体" w:hAnsi="宋体" w:cs="宋体"/>
        </w:rPr>
      </w:pPr>
      <w:r>
        <w:rPr>
          <w:rFonts w:hint="eastAsia" w:ascii="宋体" w:hAnsi="宋体" w:cs="宋体"/>
        </w:rPr>
        <w:t xml:space="preserve">未曾做出虚假采购承诺； </w:t>
      </w:r>
    </w:p>
    <w:p w14:paraId="66B31366">
      <w:pPr>
        <w:pStyle w:val="15"/>
        <w:numPr>
          <w:ilvl w:val="0"/>
          <w:numId w:val="10"/>
        </w:numPr>
        <w:ind w:firstLineChars="0"/>
        <w:rPr>
          <w:rFonts w:ascii="宋体" w:hAnsi="宋体" w:cs="宋体"/>
        </w:rPr>
      </w:pPr>
      <w:r>
        <w:rPr>
          <w:rFonts w:hint="eastAsia" w:ascii="宋体" w:hAnsi="宋体" w:cs="宋体"/>
        </w:rPr>
        <w:t>符合法律、行政法规规定的其他条件。</w:t>
      </w:r>
    </w:p>
    <w:p w14:paraId="57B4AFFF">
      <w:pPr>
        <w:pStyle w:val="15"/>
        <w:rPr>
          <w:rFonts w:ascii="宋体" w:hAnsi="宋体" w:cs="宋体"/>
        </w:rPr>
      </w:pPr>
      <w:r>
        <w:rPr>
          <w:rFonts w:hint="eastAsia" w:ascii="宋体" w:hAnsi="宋体" w:cs="宋体"/>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D4D32D8">
      <w:pPr>
        <w:pStyle w:val="15"/>
        <w:rPr>
          <w:rFonts w:ascii="宋体" w:hAnsi="宋体" w:cs="宋体"/>
        </w:rPr>
      </w:pPr>
    </w:p>
    <w:p w14:paraId="65776C5E">
      <w:pPr>
        <w:pStyle w:val="15"/>
        <w:ind w:left="420" w:leftChars="200" w:firstLine="0" w:firstLineChars="0"/>
        <w:rPr>
          <w:rFonts w:ascii="宋体" w:hAnsi="宋体" w:cs="宋体"/>
        </w:rPr>
      </w:pPr>
      <w:r>
        <w:rPr>
          <w:rFonts w:hint="eastAsia" w:ascii="宋体" w:hAnsi="宋体" w:cs="宋体"/>
        </w:rPr>
        <w:t>供应商（公章）：</w:t>
      </w:r>
    </w:p>
    <w:p w14:paraId="5DC17A20">
      <w:pPr>
        <w:pStyle w:val="15"/>
        <w:ind w:left="420" w:leftChars="200" w:firstLine="0" w:firstLineChars="0"/>
        <w:rPr>
          <w:rFonts w:ascii="宋体" w:hAnsi="宋体" w:cs="宋体"/>
        </w:rPr>
      </w:pPr>
      <w:r>
        <w:rPr>
          <w:rFonts w:hint="eastAsia" w:ascii="宋体" w:hAnsi="宋体" w:cs="宋体"/>
        </w:rPr>
        <w:t>法定代表人或授权代表人（签字或盖章）：</w:t>
      </w:r>
    </w:p>
    <w:p w14:paraId="30FA608C">
      <w:pPr>
        <w:pStyle w:val="15"/>
        <w:ind w:left="420" w:leftChars="200" w:firstLine="0" w:firstLineChars="0"/>
        <w:rPr>
          <w:rFonts w:ascii="宋体" w:hAnsi="宋体" w:cs="宋体"/>
        </w:rPr>
      </w:pPr>
      <w:r>
        <w:rPr>
          <w:rFonts w:hint="eastAsia" w:ascii="宋体" w:hAnsi="宋体" w:cs="宋体"/>
        </w:rPr>
        <w:t>日期：   年    月    日</w:t>
      </w:r>
    </w:p>
    <w:p w14:paraId="10D931C5">
      <w:pPr>
        <w:pStyle w:val="15"/>
        <w:ind w:left="420" w:leftChars="200" w:firstLine="0" w:firstLineChars="0"/>
        <w:rPr>
          <w:rFonts w:ascii="宋体" w:hAnsi="宋体" w:cs="宋体"/>
        </w:rPr>
      </w:pPr>
    </w:p>
    <w:p w14:paraId="7CC4BD06">
      <w:pPr>
        <w:pStyle w:val="15"/>
        <w:rPr>
          <w:rFonts w:ascii="宋体" w:hAnsi="宋体" w:cs="宋体"/>
        </w:rPr>
      </w:pPr>
      <w:r>
        <w:rPr>
          <w:rFonts w:hint="eastAsia" w:ascii="宋体" w:hAnsi="宋体" w:cs="宋体"/>
        </w:rPr>
        <w:t>注：1、供应商须在响应文件中按此模板提供承诺函，未提供视为未实质性响应招标文件要求，按无效投标处理。</w:t>
      </w:r>
    </w:p>
    <w:p w14:paraId="185D8301">
      <w:pPr>
        <w:pStyle w:val="15"/>
        <w:ind w:firstLine="840" w:firstLineChars="400"/>
        <w:rPr>
          <w:rFonts w:ascii="宋体" w:hAnsi="宋体" w:cs="宋体"/>
        </w:rPr>
      </w:pPr>
      <w:r>
        <w:rPr>
          <w:rFonts w:hint="eastAsia" w:ascii="宋体" w:hAnsi="宋体" w:cs="宋体"/>
        </w:rPr>
        <w:t>2、供应商的法定代表人或者授权代表的签字或盖章应真实、有效，如由授权代表签字或盖章的，应提供“法定代表人授权书”。</w:t>
      </w:r>
    </w:p>
    <w:p w14:paraId="00E5935B">
      <w:pPr>
        <w:ind w:firstLine="420"/>
        <w:rPr>
          <w:rFonts w:ascii="宋体" w:hAnsi="宋体" w:cs="宋体"/>
        </w:rPr>
      </w:pPr>
    </w:p>
    <w:p w14:paraId="48FBEA22">
      <w:pPr>
        <w:pStyle w:val="57"/>
        <w:ind w:firstLine="420"/>
        <w:rPr>
          <w:rFonts w:ascii="宋体" w:hAnsi="宋体" w:cs="宋体"/>
        </w:rPr>
      </w:pPr>
    </w:p>
    <w:p w14:paraId="16386455">
      <w:pPr>
        <w:ind w:firstLine="420"/>
        <w:rPr>
          <w:rFonts w:ascii="宋体" w:hAnsi="宋体" w:cs="宋体"/>
        </w:rPr>
      </w:pPr>
    </w:p>
    <w:p w14:paraId="2E8798A4">
      <w:pPr>
        <w:pStyle w:val="32"/>
        <w:spacing w:before="156" w:after="156"/>
        <w:ind w:firstLine="210"/>
        <w:rPr>
          <w:rFonts w:ascii="宋体" w:hAnsi="宋体" w:cs="宋体"/>
        </w:rPr>
      </w:pPr>
    </w:p>
    <w:p w14:paraId="5135DA96">
      <w:pPr>
        <w:pStyle w:val="32"/>
        <w:spacing w:before="156" w:after="156"/>
        <w:ind w:firstLine="210"/>
        <w:rPr>
          <w:rFonts w:ascii="宋体" w:hAnsi="宋体" w:cs="宋体"/>
        </w:rPr>
      </w:pPr>
    </w:p>
    <w:p w14:paraId="0E64CA22">
      <w:pPr>
        <w:pStyle w:val="9"/>
        <w:ind w:firstLine="422"/>
        <w:jc w:val="center"/>
        <w:rPr>
          <w:rFonts w:ascii="宋体" w:hAnsi="宋体" w:cs="宋体"/>
        </w:rPr>
      </w:pPr>
      <w:bookmarkStart w:id="1266" w:name="_Toc31216"/>
      <w:bookmarkStart w:id="1267" w:name="_Toc24479"/>
      <w:bookmarkStart w:id="1268" w:name="_Toc17242"/>
      <w:bookmarkStart w:id="1269" w:name="_Toc332961933"/>
      <w:bookmarkStart w:id="1270" w:name="_Toc14872"/>
      <w:bookmarkStart w:id="1271" w:name="_Toc262746026"/>
      <w:bookmarkStart w:id="1272" w:name="_Toc12055"/>
      <w:bookmarkStart w:id="1273" w:name="_Toc19310"/>
      <w:bookmarkStart w:id="1274" w:name="_Toc20925"/>
      <w:bookmarkStart w:id="1275" w:name="_Toc262483524"/>
      <w:r>
        <w:rPr>
          <w:rFonts w:hint="eastAsia" w:ascii="宋体" w:hAnsi="宋体" w:cs="宋体"/>
        </w:rPr>
        <w:t>（二）供应商资格证明文件</w:t>
      </w:r>
      <w:bookmarkEnd w:id="1266"/>
      <w:bookmarkEnd w:id="1267"/>
      <w:bookmarkEnd w:id="1268"/>
      <w:bookmarkEnd w:id="1269"/>
      <w:bookmarkEnd w:id="1270"/>
      <w:bookmarkEnd w:id="1271"/>
      <w:bookmarkEnd w:id="1272"/>
      <w:bookmarkEnd w:id="1273"/>
      <w:bookmarkEnd w:id="1274"/>
      <w:bookmarkEnd w:id="1275"/>
    </w:p>
    <w:p w14:paraId="753E3C9D">
      <w:pPr>
        <w:spacing w:line="360" w:lineRule="auto"/>
        <w:ind w:firstLine="420"/>
        <w:rPr>
          <w:rFonts w:ascii="宋体" w:hAnsi="宋体" w:cs="宋体"/>
        </w:rPr>
      </w:pPr>
      <w:bookmarkStart w:id="1276" w:name="_Toc30842"/>
      <w:bookmarkStart w:id="1277" w:name="_Toc14362"/>
    </w:p>
    <w:p w14:paraId="3F03FAFA">
      <w:pPr>
        <w:spacing w:line="360" w:lineRule="auto"/>
        <w:ind w:firstLine="420"/>
        <w:rPr>
          <w:rFonts w:ascii="宋体" w:hAnsi="宋体" w:cs="宋体"/>
        </w:rPr>
      </w:pPr>
    </w:p>
    <w:p w14:paraId="5CC41B64">
      <w:pPr>
        <w:spacing w:line="360" w:lineRule="auto"/>
        <w:ind w:firstLine="420"/>
        <w:rPr>
          <w:rFonts w:ascii="宋体" w:hAnsi="宋体" w:cs="宋体"/>
        </w:rPr>
      </w:pPr>
    </w:p>
    <w:p w14:paraId="6691EF91">
      <w:pPr>
        <w:spacing w:line="360" w:lineRule="auto"/>
        <w:ind w:firstLine="420"/>
        <w:rPr>
          <w:rFonts w:ascii="宋体" w:hAnsi="宋体" w:cs="宋体"/>
        </w:rPr>
      </w:pPr>
    </w:p>
    <w:p w14:paraId="53C7E5D9">
      <w:pPr>
        <w:spacing w:line="360" w:lineRule="auto"/>
        <w:ind w:firstLine="420"/>
        <w:rPr>
          <w:rFonts w:ascii="宋体" w:hAnsi="宋体" w:cs="宋体"/>
        </w:rPr>
      </w:pPr>
    </w:p>
    <w:p w14:paraId="7AC92C9C">
      <w:pPr>
        <w:spacing w:line="360" w:lineRule="auto"/>
        <w:ind w:firstLine="420"/>
        <w:rPr>
          <w:rFonts w:ascii="宋体" w:hAnsi="宋体" w:cs="宋体"/>
        </w:rPr>
      </w:pPr>
    </w:p>
    <w:p w14:paraId="180474D2">
      <w:pPr>
        <w:spacing w:line="360" w:lineRule="auto"/>
        <w:ind w:firstLine="420"/>
        <w:rPr>
          <w:rFonts w:ascii="宋体" w:hAnsi="宋体" w:cs="宋体"/>
        </w:rPr>
      </w:pPr>
    </w:p>
    <w:p w14:paraId="7AB11E8F">
      <w:pPr>
        <w:spacing w:line="360" w:lineRule="auto"/>
        <w:ind w:firstLine="420"/>
        <w:rPr>
          <w:rFonts w:ascii="宋体" w:hAnsi="宋体" w:cs="宋体"/>
        </w:rPr>
      </w:pPr>
    </w:p>
    <w:p w14:paraId="0B42DEFE">
      <w:pPr>
        <w:spacing w:line="360" w:lineRule="auto"/>
        <w:ind w:firstLine="420"/>
        <w:rPr>
          <w:rFonts w:ascii="宋体" w:hAnsi="宋体" w:cs="宋体"/>
        </w:rPr>
      </w:pPr>
    </w:p>
    <w:p w14:paraId="28E70E77">
      <w:pPr>
        <w:spacing w:line="360" w:lineRule="auto"/>
        <w:ind w:firstLine="420"/>
        <w:rPr>
          <w:rFonts w:ascii="宋体" w:hAnsi="宋体" w:cs="宋体"/>
        </w:rPr>
      </w:pPr>
    </w:p>
    <w:p w14:paraId="20AC71E8">
      <w:pPr>
        <w:spacing w:line="360" w:lineRule="auto"/>
        <w:ind w:firstLine="420"/>
        <w:rPr>
          <w:rFonts w:ascii="宋体" w:hAnsi="宋体" w:cs="宋体"/>
        </w:rPr>
      </w:pPr>
    </w:p>
    <w:p w14:paraId="78361710">
      <w:pPr>
        <w:spacing w:line="360" w:lineRule="auto"/>
        <w:ind w:firstLine="420"/>
        <w:rPr>
          <w:rFonts w:ascii="宋体" w:hAnsi="宋体" w:cs="宋体"/>
        </w:rPr>
      </w:pPr>
    </w:p>
    <w:p w14:paraId="2E93E442">
      <w:pPr>
        <w:spacing w:line="360" w:lineRule="auto"/>
        <w:ind w:firstLine="420"/>
        <w:rPr>
          <w:rFonts w:ascii="宋体" w:hAnsi="宋体" w:cs="宋体"/>
        </w:rPr>
      </w:pPr>
    </w:p>
    <w:p w14:paraId="6EF3B0F5">
      <w:pPr>
        <w:spacing w:line="360" w:lineRule="auto"/>
        <w:ind w:firstLine="420"/>
        <w:rPr>
          <w:rFonts w:ascii="宋体" w:hAnsi="宋体" w:cs="宋体"/>
        </w:rPr>
      </w:pPr>
    </w:p>
    <w:p w14:paraId="187CC835">
      <w:pPr>
        <w:spacing w:line="360" w:lineRule="auto"/>
        <w:ind w:firstLine="420"/>
        <w:rPr>
          <w:rFonts w:ascii="宋体" w:hAnsi="宋体" w:cs="宋体"/>
        </w:rPr>
      </w:pPr>
    </w:p>
    <w:p w14:paraId="149B1C56">
      <w:pPr>
        <w:spacing w:line="360" w:lineRule="auto"/>
        <w:ind w:firstLine="420"/>
        <w:rPr>
          <w:rFonts w:ascii="宋体" w:hAnsi="宋体" w:cs="宋体"/>
        </w:rPr>
      </w:pPr>
    </w:p>
    <w:p w14:paraId="15A703B5">
      <w:pPr>
        <w:spacing w:line="360" w:lineRule="auto"/>
        <w:ind w:firstLine="420"/>
        <w:rPr>
          <w:rFonts w:ascii="宋体" w:hAnsi="宋体" w:cs="宋体"/>
        </w:rPr>
      </w:pPr>
    </w:p>
    <w:p w14:paraId="5C86F9BA">
      <w:pPr>
        <w:spacing w:line="360" w:lineRule="auto"/>
        <w:ind w:firstLine="420"/>
        <w:rPr>
          <w:rFonts w:ascii="宋体" w:hAnsi="宋体" w:cs="宋体"/>
        </w:rPr>
      </w:pPr>
    </w:p>
    <w:p w14:paraId="5BDB0D83">
      <w:pPr>
        <w:spacing w:line="360" w:lineRule="auto"/>
        <w:ind w:firstLine="420"/>
        <w:rPr>
          <w:rFonts w:ascii="宋体" w:hAnsi="宋体" w:cs="宋体"/>
        </w:rPr>
      </w:pPr>
    </w:p>
    <w:p w14:paraId="10742B63">
      <w:pPr>
        <w:spacing w:line="360" w:lineRule="auto"/>
        <w:ind w:firstLine="420"/>
        <w:rPr>
          <w:rFonts w:ascii="宋体" w:hAnsi="宋体" w:cs="宋体"/>
        </w:rPr>
      </w:pPr>
    </w:p>
    <w:p w14:paraId="6E54185D">
      <w:pPr>
        <w:spacing w:line="360" w:lineRule="auto"/>
        <w:ind w:firstLine="420"/>
        <w:rPr>
          <w:rFonts w:ascii="宋体" w:hAnsi="宋体" w:cs="宋体"/>
        </w:rPr>
      </w:pPr>
    </w:p>
    <w:p w14:paraId="662A6DB2">
      <w:pPr>
        <w:spacing w:line="360" w:lineRule="auto"/>
        <w:ind w:firstLine="420"/>
        <w:rPr>
          <w:rFonts w:ascii="宋体" w:hAnsi="宋体" w:cs="宋体"/>
        </w:rPr>
      </w:pPr>
    </w:p>
    <w:p w14:paraId="632F934C">
      <w:pPr>
        <w:spacing w:line="360" w:lineRule="auto"/>
        <w:ind w:firstLine="420"/>
        <w:rPr>
          <w:rFonts w:ascii="宋体" w:hAnsi="宋体" w:cs="宋体"/>
        </w:rPr>
      </w:pPr>
    </w:p>
    <w:p w14:paraId="23A040B1">
      <w:pPr>
        <w:spacing w:line="360" w:lineRule="auto"/>
        <w:ind w:firstLine="420"/>
        <w:rPr>
          <w:rFonts w:ascii="宋体" w:hAnsi="宋体" w:cs="宋体"/>
        </w:rPr>
      </w:pPr>
    </w:p>
    <w:p w14:paraId="3F874DF9">
      <w:pPr>
        <w:pStyle w:val="9"/>
        <w:ind w:firstLine="422"/>
        <w:rPr>
          <w:rFonts w:ascii="宋体" w:hAnsi="宋体" w:cs="宋体"/>
        </w:rPr>
      </w:pPr>
      <w:bookmarkStart w:id="1278" w:name="_Toc21900"/>
      <w:bookmarkStart w:id="1279" w:name="_Toc19988"/>
      <w:bookmarkStart w:id="1280" w:name="_Toc16051"/>
      <w:bookmarkStart w:id="1281" w:name="_Toc16255"/>
    </w:p>
    <w:p w14:paraId="4224C7F7">
      <w:pPr>
        <w:pStyle w:val="9"/>
        <w:ind w:firstLine="422"/>
        <w:jc w:val="center"/>
        <w:rPr>
          <w:rFonts w:ascii="宋体" w:hAnsi="宋体" w:cs="宋体"/>
        </w:rPr>
      </w:pPr>
    </w:p>
    <w:p w14:paraId="3BE3C5C4">
      <w:pPr>
        <w:ind w:firstLine="420"/>
      </w:pPr>
    </w:p>
    <w:p w14:paraId="05B08FE9">
      <w:pPr>
        <w:pStyle w:val="9"/>
        <w:ind w:firstLine="422"/>
        <w:jc w:val="center"/>
        <w:rPr>
          <w:rFonts w:ascii="宋体" w:hAnsi="宋体" w:cs="宋体"/>
        </w:rPr>
      </w:pPr>
      <w:r>
        <w:rPr>
          <w:rFonts w:hint="eastAsia" w:ascii="宋体" w:hAnsi="宋体" w:cs="宋体"/>
        </w:rPr>
        <w:t>（三）反商业贿赂承诺书</w:t>
      </w:r>
      <w:bookmarkEnd w:id="1276"/>
      <w:bookmarkEnd w:id="1277"/>
      <w:bookmarkEnd w:id="1278"/>
      <w:bookmarkEnd w:id="1279"/>
      <w:bookmarkEnd w:id="1280"/>
      <w:bookmarkEnd w:id="1281"/>
    </w:p>
    <w:p w14:paraId="2655A15C">
      <w:pPr>
        <w:spacing w:line="360" w:lineRule="auto"/>
        <w:ind w:firstLine="420"/>
        <w:rPr>
          <w:rFonts w:ascii="宋体" w:hAnsi="宋体" w:cs="宋体"/>
          <w:szCs w:val="21"/>
        </w:rPr>
      </w:pPr>
    </w:p>
    <w:p w14:paraId="3424F72D">
      <w:pPr>
        <w:pStyle w:val="15"/>
        <w:ind w:firstLine="0" w:firstLineChars="0"/>
        <w:rPr>
          <w:rFonts w:ascii="宋体" w:hAnsi="宋体" w:cs="宋体"/>
        </w:rPr>
      </w:pPr>
      <w:bookmarkStart w:id="1282" w:name="_Toc1184"/>
      <w:bookmarkStart w:id="1283" w:name="_Toc24989"/>
      <w:bookmarkStart w:id="1284" w:name="_Toc26336"/>
      <w:bookmarkStart w:id="1285" w:name="_Toc22153"/>
      <w:bookmarkStart w:id="1286" w:name="_Toc20346"/>
      <w:bookmarkStart w:id="1287" w:name="_Toc19379"/>
      <w:bookmarkStart w:id="1288" w:name="_Toc6636"/>
      <w:r>
        <w:rPr>
          <w:rFonts w:hint="eastAsia" w:ascii="宋体" w:hAnsi="宋体" w:cs="宋体"/>
        </w:rPr>
        <w:t>我公司承诺：</w:t>
      </w:r>
      <w:bookmarkEnd w:id="1282"/>
      <w:bookmarkEnd w:id="1283"/>
      <w:bookmarkEnd w:id="1284"/>
      <w:bookmarkEnd w:id="1285"/>
      <w:bookmarkEnd w:id="1286"/>
      <w:bookmarkEnd w:id="1287"/>
      <w:bookmarkEnd w:id="1288"/>
    </w:p>
    <w:p w14:paraId="25C02E5D">
      <w:pPr>
        <w:pStyle w:val="15"/>
        <w:rPr>
          <w:rFonts w:ascii="宋体" w:hAnsi="宋体" w:cs="宋体"/>
        </w:rPr>
      </w:pPr>
      <w:bookmarkStart w:id="1289" w:name="_Toc16567"/>
      <w:bookmarkStart w:id="1290" w:name="_Toc3905"/>
      <w:bookmarkStart w:id="1291" w:name="_Toc24819"/>
      <w:bookmarkStart w:id="1292" w:name="_Toc2826"/>
      <w:bookmarkStart w:id="1293" w:name="_Toc10849"/>
      <w:bookmarkStart w:id="1294" w:name="_Toc2973"/>
      <w:bookmarkStart w:id="1295" w:name="_Toc22187"/>
      <w:r>
        <w:rPr>
          <w:rFonts w:hint="eastAsia" w:ascii="宋体" w:hAnsi="宋体" w:cs="宋体"/>
        </w:rPr>
        <w:t>在 （采购项目名称）投标活动中，我公司保证做到：</w:t>
      </w:r>
      <w:bookmarkEnd w:id="1289"/>
      <w:bookmarkEnd w:id="1290"/>
      <w:bookmarkEnd w:id="1291"/>
      <w:bookmarkEnd w:id="1292"/>
      <w:bookmarkEnd w:id="1293"/>
      <w:bookmarkEnd w:id="1294"/>
      <w:bookmarkEnd w:id="1295"/>
    </w:p>
    <w:p w14:paraId="62AA704A">
      <w:pPr>
        <w:pStyle w:val="15"/>
        <w:rPr>
          <w:rFonts w:ascii="宋体" w:hAnsi="宋体" w:cs="宋体"/>
        </w:rPr>
      </w:pPr>
      <w:bookmarkStart w:id="1296" w:name="_Toc23826"/>
      <w:bookmarkStart w:id="1297" w:name="_Toc1786"/>
      <w:bookmarkStart w:id="1298" w:name="_Toc28791"/>
      <w:bookmarkStart w:id="1299" w:name="_Toc31445"/>
      <w:bookmarkStart w:id="1300" w:name="_Toc19562"/>
      <w:bookmarkStart w:id="1301" w:name="_Toc28790"/>
      <w:bookmarkStart w:id="1302" w:name="_Toc7856"/>
      <w:r>
        <w:rPr>
          <w:rFonts w:hint="eastAsia" w:ascii="宋体" w:hAnsi="宋体" w:cs="宋体"/>
        </w:rPr>
        <w:t>一、公平竞争参加本次采购活动。</w:t>
      </w:r>
      <w:bookmarkEnd w:id="1296"/>
      <w:bookmarkEnd w:id="1297"/>
      <w:bookmarkEnd w:id="1298"/>
      <w:bookmarkEnd w:id="1299"/>
      <w:bookmarkEnd w:id="1300"/>
      <w:bookmarkEnd w:id="1301"/>
      <w:bookmarkEnd w:id="1302"/>
    </w:p>
    <w:p w14:paraId="71409A26">
      <w:pPr>
        <w:pStyle w:val="15"/>
        <w:rPr>
          <w:rFonts w:ascii="宋体" w:hAnsi="宋体" w:cs="宋体"/>
        </w:rPr>
      </w:pPr>
      <w:bookmarkStart w:id="1303" w:name="_Toc3473"/>
      <w:bookmarkStart w:id="1304" w:name="_Toc4479"/>
      <w:bookmarkStart w:id="1305" w:name="_Toc6152"/>
      <w:bookmarkStart w:id="1306" w:name="_Toc15277"/>
      <w:bookmarkStart w:id="1307" w:name="_Toc4016"/>
      <w:bookmarkStart w:id="1308" w:name="_Toc4051"/>
      <w:bookmarkStart w:id="1309" w:name="_Toc13021"/>
      <w:r>
        <w:rPr>
          <w:rFonts w:hint="eastAsia" w:ascii="宋体" w:hAnsi="宋体" w:cs="宋体"/>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bookmarkEnd w:id="1303"/>
      <w:bookmarkEnd w:id="1304"/>
      <w:bookmarkEnd w:id="1305"/>
      <w:bookmarkEnd w:id="1306"/>
      <w:bookmarkEnd w:id="1307"/>
      <w:bookmarkEnd w:id="1308"/>
      <w:bookmarkEnd w:id="1309"/>
    </w:p>
    <w:p w14:paraId="4BDA415A">
      <w:pPr>
        <w:pStyle w:val="15"/>
        <w:rPr>
          <w:rFonts w:ascii="宋体" w:hAnsi="宋体" w:cs="宋体"/>
        </w:rPr>
      </w:pPr>
      <w:bookmarkStart w:id="1310" w:name="_Toc19340"/>
      <w:bookmarkStart w:id="1311" w:name="_Toc25771"/>
      <w:bookmarkStart w:id="1312" w:name="_Toc9023"/>
      <w:bookmarkStart w:id="1313" w:name="_Toc30520"/>
      <w:bookmarkStart w:id="1314" w:name="_Toc16301"/>
      <w:bookmarkStart w:id="1315" w:name="_Toc31052"/>
      <w:bookmarkStart w:id="1316" w:name="_Toc27402"/>
      <w:r>
        <w:rPr>
          <w:rFonts w:hint="eastAsia" w:ascii="宋体" w:hAnsi="宋体" w:cs="宋体"/>
        </w:rPr>
        <w:t>三、若出现上述行为，我公司及参与采购的工作人员愿意接受按照国家法律法规等有关规定给予的处罚。</w:t>
      </w:r>
      <w:bookmarkEnd w:id="1310"/>
      <w:bookmarkEnd w:id="1311"/>
      <w:bookmarkEnd w:id="1312"/>
      <w:bookmarkEnd w:id="1313"/>
      <w:bookmarkEnd w:id="1314"/>
      <w:bookmarkEnd w:id="1315"/>
      <w:bookmarkEnd w:id="1316"/>
    </w:p>
    <w:p w14:paraId="6DFDE898">
      <w:pPr>
        <w:spacing w:line="360" w:lineRule="auto"/>
        <w:ind w:firstLine="420"/>
        <w:rPr>
          <w:rFonts w:ascii="宋体" w:hAnsi="宋体" w:cs="宋体"/>
        </w:rPr>
      </w:pPr>
    </w:p>
    <w:p w14:paraId="09D7D64F">
      <w:pPr>
        <w:spacing w:line="360" w:lineRule="auto"/>
        <w:ind w:left="1050" w:leftChars="500" w:firstLine="420"/>
        <w:rPr>
          <w:rFonts w:ascii="宋体" w:hAnsi="宋体" w:cs="宋体"/>
        </w:rPr>
      </w:pPr>
    </w:p>
    <w:p w14:paraId="18668EF2">
      <w:pPr>
        <w:spacing w:line="360" w:lineRule="auto"/>
        <w:ind w:left="1050" w:leftChars="500" w:firstLine="2520" w:firstLineChars="1200"/>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（盖单位章）</w:t>
      </w:r>
    </w:p>
    <w:p w14:paraId="4F1F661F">
      <w:pPr>
        <w:spacing w:line="360" w:lineRule="auto"/>
        <w:ind w:left="1050" w:leftChars="500" w:firstLine="2520" w:firstLineChars="1200"/>
        <w:rPr>
          <w:rFonts w:ascii="宋体" w:hAnsi="宋体" w:cs="宋体"/>
        </w:rPr>
      </w:pPr>
      <w:r>
        <w:rPr>
          <w:rFonts w:hint="eastAsia" w:ascii="宋体" w:hAnsi="宋体" w:cs="宋体"/>
        </w:rPr>
        <w:t>法定代表人或其委托代理人：______（签字或盖章）</w:t>
      </w:r>
    </w:p>
    <w:p w14:paraId="344FEE4D">
      <w:pPr>
        <w:spacing w:line="360" w:lineRule="auto"/>
        <w:ind w:left="1050" w:leftChars="500" w:firstLine="2520" w:firstLineChars="1200"/>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日</w:t>
      </w:r>
    </w:p>
    <w:p w14:paraId="1AC0DDA5">
      <w:pPr>
        <w:pStyle w:val="53"/>
        <w:rPr>
          <w:rFonts w:hAnsi="宋体"/>
          <w:color w:val="auto"/>
        </w:rPr>
      </w:pPr>
    </w:p>
    <w:p w14:paraId="23A9034A">
      <w:pPr>
        <w:ind w:firstLine="420"/>
        <w:rPr>
          <w:rFonts w:ascii="宋体" w:hAnsi="宋体" w:cs="宋体"/>
        </w:rPr>
      </w:pPr>
    </w:p>
    <w:p w14:paraId="53982A28">
      <w:pPr>
        <w:pStyle w:val="53"/>
        <w:rPr>
          <w:rFonts w:hAnsi="宋体"/>
          <w:color w:val="auto"/>
        </w:rPr>
      </w:pPr>
    </w:p>
    <w:p w14:paraId="0F36AE0B">
      <w:pPr>
        <w:ind w:firstLine="420"/>
        <w:rPr>
          <w:rFonts w:ascii="宋体" w:hAnsi="宋体" w:cs="宋体"/>
        </w:rPr>
      </w:pPr>
    </w:p>
    <w:p w14:paraId="45581D4A">
      <w:pPr>
        <w:pStyle w:val="53"/>
        <w:rPr>
          <w:rFonts w:hAnsi="宋体"/>
          <w:color w:val="auto"/>
        </w:rPr>
      </w:pPr>
    </w:p>
    <w:p w14:paraId="61628E69">
      <w:pPr>
        <w:ind w:firstLine="420"/>
        <w:rPr>
          <w:rFonts w:ascii="宋体" w:hAnsi="宋体" w:cs="宋体"/>
        </w:rPr>
      </w:pPr>
    </w:p>
    <w:p w14:paraId="11D29E4F">
      <w:pPr>
        <w:pStyle w:val="53"/>
        <w:rPr>
          <w:rFonts w:hAnsi="宋体"/>
          <w:color w:val="auto"/>
        </w:rPr>
      </w:pPr>
    </w:p>
    <w:p w14:paraId="641A0F54">
      <w:pPr>
        <w:ind w:firstLine="420"/>
        <w:rPr>
          <w:rFonts w:ascii="宋体" w:hAnsi="宋体" w:cs="宋体"/>
        </w:rPr>
      </w:pPr>
    </w:p>
    <w:p w14:paraId="42D6973C">
      <w:pPr>
        <w:pStyle w:val="53"/>
        <w:rPr>
          <w:rFonts w:hAnsi="宋体"/>
          <w:color w:val="auto"/>
        </w:rPr>
      </w:pPr>
    </w:p>
    <w:p w14:paraId="3D88BCE0">
      <w:pPr>
        <w:ind w:firstLine="420"/>
        <w:rPr>
          <w:rFonts w:ascii="宋体" w:hAnsi="宋体" w:cs="宋体"/>
        </w:rPr>
      </w:pPr>
    </w:p>
    <w:p w14:paraId="121973C9">
      <w:pPr>
        <w:ind w:firstLine="0" w:firstLineChars="0"/>
        <w:rPr>
          <w:rFonts w:ascii="宋体" w:hAnsi="宋体" w:cs="宋体"/>
        </w:rPr>
      </w:pPr>
    </w:p>
    <w:p w14:paraId="1BC9B242">
      <w:pPr>
        <w:keepNext w:val="0"/>
        <w:keepLines w:val="0"/>
        <w:pageBreakBefore w:val="0"/>
        <w:widowControl/>
        <w:kinsoku w:val="0"/>
        <w:wordWrap/>
        <w:overflowPunct/>
        <w:topLinePunct w:val="0"/>
        <w:autoSpaceDE w:val="0"/>
        <w:autoSpaceDN w:val="0"/>
        <w:bidi w:val="0"/>
        <w:adjustRightInd w:val="0"/>
        <w:snapToGrid w:val="0"/>
        <w:spacing w:before="169" w:line="240" w:lineRule="atLeast"/>
        <w:ind w:left="3018"/>
        <w:textAlignment w:val="baseline"/>
        <w:outlineLvl w:val="2"/>
        <w:rPr>
          <w:rFonts w:ascii="宋体" w:hAnsi="宋体" w:eastAsia="宋体" w:cs="宋体"/>
          <w:sz w:val="24"/>
          <w:szCs w:val="24"/>
        </w:rPr>
      </w:pPr>
      <w:r>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t>五、</w:t>
      </w:r>
      <w:r>
        <w:rPr>
          <w:rFonts w:ascii="宋体" w:hAnsi="宋体" w:eastAsia="宋体" w:cs="宋体"/>
          <w:spacing w:val="-1"/>
          <w:sz w:val="24"/>
          <w:szCs w:val="24"/>
          <w14:textOutline w14:w="4354" w14:cap="flat" w14:cmpd="sng">
            <w14:solidFill>
              <w14:srgbClr w14:val="000000"/>
            </w14:solidFill>
            <w14:prstDash w14:val="solid"/>
            <w14:miter w14:val="0"/>
          </w14:textOutline>
        </w:rPr>
        <w:t>拟投入本项目人员</w:t>
      </w:r>
    </w:p>
    <w:p w14:paraId="67E9931A">
      <w:pPr>
        <w:keepNext w:val="0"/>
        <w:keepLines w:val="0"/>
        <w:pageBreakBefore w:val="0"/>
        <w:widowControl/>
        <w:kinsoku w:val="0"/>
        <w:wordWrap/>
        <w:overflowPunct/>
        <w:topLinePunct w:val="0"/>
        <w:autoSpaceDE w:val="0"/>
        <w:autoSpaceDN w:val="0"/>
        <w:bidi w:val="0"/>
        <w:adjustRightInd w:val="0"/>
        <w:snapToGrid w:val="0"/>
        <w:spacing w:before="66" w:line="240" w:lineRule="atLeast"/>
        <w:textAlignment w:val="baseline"/>
      </w:pPr>
    </w:p>
    <w:p w14:paraId="65BCE493">
      <w:pPr>
        <w:keepNext w:val="0"/>
        <w:keepLines w:val="0"/>
        <w:pageBreakBefore w:val="0"/>
        <w:widowControl/>
        <w:kinsoku w:val="0"/>
        <w:wordWrap/>
        <w:overflowPunct/>
        <w:topLinePunct w:val="0"/>
        <w:autoSpaceDE w:val="0"/>
        <w:autoSpaceDN w:val="0"/>
        <w:bidi w:val="0"/>
        <w:adjustRightInd w:val="0"/>
        <w:snapToGrid w:val="0"/>
        <w:spacing w:before="66" w:line="240" w:lineRule="atLeast"/>
        <w:textAlignment w:val="baseline"/>
      </w:pPr>
    </w:p>
    <w:tbl>
      <w:tblPr>
        <w:tblStyle w:val="78"/>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1423"/>
        <w:gridCol w:w="1259"/>
        <w:gridCol w:w="1605"/>
        <w:gridCol w:w="1831"/>
        <w:gridCol w:w="1451"/>
      </w:tblGrid>
      <w:tr w14:paraId="0B20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59" w:type="dxa"/>
            <w:vAlign w:val="top"/>
          </w:tcPr>
          <w:p w14:paraId="685D64E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57CC35D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440910EF">
            <w:pPr>
              <w:pStyle w:val="77"/>
              <w:keepNext w:val="0"/>
              <w:keepLines w:val="0"/>
              <w:pageBreakBefore w:val="0"/>
              <w:widowControl/>
              <w:kinsoku w:val="0"/>
              <w:wordWrap/>
              <w:overflowPunct/>
              <w:topLinePunct w:val="0"/>
              <w:autoSpaceDE w:val="0"/>
              <w:autoSpaceDN w:val="0"/>
              <w:bidi w:val="0"/>
              <w:adjustRightInd w:val="0"/>
              <w:snapToGrid w:val="0"/>
              <w:spacing w:before="68" w:line="240" w:lineRule="atLeast"/>
              <w:ind w:left="0" w:leftChars="0" w:firstLine="0" w:firstLineChars="0"/>
              <w:jc w:val="center"/>
              <w:textAlignment w:val="baseline"/>
            </w:pPr>
            <w:r>
              <w:rPr>
                <w:spacing w:val="-2"/>
              </w:rPr>
              <w:t>序号</w:t>
            </w:r>
          </w:p>
        </w:tc>
        <w:tc>
          <w:tcPr>
            <w:tcW w:w="1423" w:type="dxa"/>
            <w:vAlign w:val="top"/>
          </w:tcPr>
          <w:p w14:paraId="07A11E5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1639CD8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53597002">
            <w:pPr>
              <w:pStyle w:val="77"/>
              <w:keepNext w:val="0"/>
              <w:keepLines w:val="0"/>
              <w:pageBreakBefore w:val="0"/>
              <w:widowControl/>
              <w:kinsoku w:val="0"/>
              <w:wordWrap/>
              <w:overflowPunct/>
              <w:topLinePunct w:val="0"/>
              <w:autoSpaceDE w:val="0"/>
              <w:autoSpaceDN w:val="0"/>
              <w:bidi w:val="0"/>
              <w:adjustRightInd w:val="0"/>
              <w:snapToGrid w:val="0"/>
              <w:spacing w:before="68" w:line="240" w:lineRule="atLeast"/>
              <w:jc w:val="both"/>
              <w:textAlignment w:val="baseline"/>
            </w:pPr>
            <w:r>
              <w:rPr>
                <w:spacing w:val="-2"/>
              </w:rPr>
              <w:t>姓名</w:t>
            </w:r>
          </w:p>
        </w:tc>
        <w:tc>
          <w:tcPr>
            <w:tcW w:w="1259" w:type="dxa"/>
            <w:vAlign w:val="top"/>
          </w:tcPr>
          <w:p w14:paraId="115D82D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6A62F70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3D8F885A">
            <w:pPr>
              <w:pStyle w:val="77"/>
              <w:keepNext w:val="0"/>
              <w:keepLines w:val="0"/>
              <w:pageBreakBefore w:val="0"/>
              <w:widowControl/>
              <w:kinsoku w:val="0"/>
              <w:wordWrap/>
              <w:overflowPunct/>
              <w:topLinePunct w:val="0"/>
              <w:autoSpaceDE w:val="0"/>
              <w:autoSpaceDN w:val="0"/>
              <w:bidi w:val="0"/>
              <w:adjustRightInd w:val="0"/>
              <w:snapToGrid w:val="0"/>
              <w:spacing w:before="68" w:line="240" w:lineRule="atLeast"/>
              <w:jc w:val="both"/>
              <w:textAlignment w:val="baseline"/>
            </w:pPr>
            <w:r>
              <w:rPr>
                <w:spacing w:val="-2"/>
              </w:rPr>
              <w:t>年龄</w:t>
            </w:r>
          </w:p>
        </w:tc>
        <w:tc>
          <w:tcPr>
            <w:tcW w:w="1605" w:type="dxa"/>
            <w:vAlign w:val="top"/>
          </w:tcPr>
          <w:p w14:paraId="2044ADC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03DDACA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65258E3E">
            <w:pPr>
              <w:pStyle w:val="77"/>
              <w:keepNext w:val="0"/>
              <w:keepLines w:val="0"/>
              <w:pageBreakBefore w:val="0"/>
              <w:widowControl/>
              <w:kinsoku w:val="0"/>
              <w:wordWrap/>
              <w:overflowPunct/>
              <w:topLinePunct w:val="0"/>
              <w:autoSpaceDE w:val="0"/>
              <w:autoSpaceDN w:val="0"/>
              <w:bidi w:val="0"/>
              <w:adjustRightInd w:val="0"/>
              <w:snapToGrid w:val="0"/>
              <w:spacing w:before="69" w:line="240" w:lineRule="atLeast"/>
              <w:jc w:val="both"/>
              <w:textAlignment w:val="baseline"/>
              <w:rPr>
                <w:rFonts w:hint="eastAsia" w:eastAsia="微软雅黑"/>
                <w:lang w:eastAsia="zh-CN"/>
              </w:rPr>
            </w:pPr>
            <w:r>
              <w:rPr>
                <w:rFonts w:hint="eastAsia"/>
                <w:spacing w:val="-2"/>
                <w:lang w:val="en-US" w:eastAsia="zh-CN"/>
              </w:rPr>
              <w:t>学历</w:t>
            </w:r>
          </w:p>
        </w:tc>
        <w:tc>
          <w:tcPr>
            <w:tcW w:w="1831" w:type="dxa"/>
            <w:vAlign w:val="top"/>
          </w:tcPr>
          <w:p w14:paraId="16554CE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5419EA9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58162F07">
            <w:pPr>
              <w:pStyle w:val="77"/>
              <w:keepNext w:val="0"/>
              <w:keepLines w:val="0"/>
              <w:pageBreakBefore w:val="0"/>
              <w:widowControl/>
              <w:kinsoku w:val="0"/>
              <w:wordWrap/>
              <w:overflowPunct/>
              <w:topLinePunct w:val="0"/>
              <w:autoSpaceDE w:val="0"/>
              <w:autoSpaceDN w:val="0"/>
              <w:bidi w:val="0"/>
              <w:adjustRightInd w:val="0"/>
              <w:snapToGrid w:val="0"/>
              <w:spacing w:before="68" w:line="240" w:lineRule="atLeast"/>
              <w:jc w:val="both"/>
              <w:textAlignment w:val="baseline"/>
              <w:rPr>
                <w:rFonts w:hint="default" w:eastAsia="微软雅黑"/>
                <w:lang w:val="en-US" w:eastAsia="zh-CN"/>
              </w:rPr>
            </w:pPr>
            <w:r>
              <w:rPr>
                <w:rFonts w:hint="eastAsia"/>
                <w:spacing w:val="-2"/>
                <w:lang w:val="en-US" w:eastAsia="zh-CN"/>
              </w:rPr>
              <w:t>证书名称</w:t>
            </w:r>
          </w:p>
        </w:tc>
        <w:tc>
          <w:tcPr>
            <w:tcW w:w="1451" w:type="dxa"/>
            <w:vAlign w:val="top"/>
          </w:tcPr>
          <w:p w14:paraId="63B79D49">
            <w:pPr>
              <w:pStyle w:val="77"/>
              <w:keepNext w:val="0"/>
              <w:keepLines w:val="0"/>
              <w:pageBreakBefore w:val="0"/>
              <w:widowControl/>
              <w:kinsoku w:val="0"/>
              <w:wordWrap/>
              <w:overflowPunct/>
              <w:topLinePunct w:val="0"/>
              <w:autoSpaceDE w:val="0"/>
              <w:autoSpaceDN w:val="0"/>
              <w:bidi w:val="0"/>
              <w:adjustRightInd w:val="0"/>
              <w:snapToGrid w:val="0"/>
              <w:spacing w:before="303" w:line="240" w:lineRule="atLeast"/>
              <w:ind w:left="0" w:leftChars="0" w:firstLine="0" w:firstLineChars="0"/>
              <w:jc w:val="center"/>
              <w:textAlignment w:val="baseline"/>
              <w:rPr>
                <w:rFonts w:hint="default" w:eastAsia="微软雅黑"/>
                <w:lang w:val="en-US" w:eastAsia="zh-CN"/>
              </w:rPr>
            </w:pPr>
            <w:r>
              <w:rPr>
                <w:spacing w:val="-1"/>
                <w:position w:val="30"/>
              </w:rPr>
              <w:t>拟在</w:t>
            </w:r>
            <w:r>
              <w:rPr>
                <w:rFonts w:hint="eastAsia"/>
                <w:spacing w:val="-1"/>
                <w:position w:val="30"/>
                <w:lang w:val="en-US" w:eastAsia="zh-CN"/>
              </w:rPr>
              <w:t>本项目中的职务</w:t>
            </w:r>
          </w:p>
        </w:tc>
      </w:tr>
      <w:tr w14:paraId="3A7E3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59" w:type="dxa"/>
            <w:vAlign w:val="top"/>
          </w:tcPr>
          <w:p w14:paraId="3956D7F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5BD03A32">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ascii="Arial"/>
                <w:sz w:val="21"/>
              </w:rPr>
            </w:pPr>
          </w:p>
          <w:p w14:paraId="627C4937">
            <w:pPr>
              <w:keepNext w:val="0"/>
              <w:keepLines w:val="0"/>
              <w:pageBreakBefore w:val="0"/>
              <w:widowControl/>
              <w:kinsoku w:val="0"/>
              <w:wordWrap/>
              <w:overflowPunct/>
              <w:topLinePunct w:val="0"/>
              <w:autoSpaceDE w:val="0"/>
              <w:autoSpaceDN w:val="0"/>
              <w:bidi w:val="0"/>
              <w:adjustRightInd w:val="0"/>
              <w:snapToGrid w:val="0"/>
              <w:spacing w:before="64" w:line="240" w:lineRule="atLeast"/>
              <w:jc w:val="both"/>
              <w:textAlignment w:val="baseline"/>
              <w:rPr>
                <w:rFonts w:ascii="Calibri" w:hAnsi="Calibri" w:eastAsia="Calibri" w:cs="Calibri"/>
                <w:sz w:val="21"/>
                <w:szCs w:val="21"/>
              </w:rPr>
            </w:pPr>
            <w:r>
              <w:rPr>
                <w:rFonts w:ascii="Calibri" w:hAnsi="Calibri" w:eastAsia="Calibri" w:cs="Calibri"/>
                <w:sz w:val="21"/>
                <w:szCs w:val="21"/>
              </w:rPr>
              <w:t>1</w:t>
            </w:r>
          </w:p>
        </w:tc>
        <w:tc>
          <w:tcPr>
            <w:tcW w:w="1423" w:type="dxa"/>
            <w:vAlign w:val="top"/>
          </w:tcPr>
          <w:p w14:paraId="3A59BF7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259" w:type="dxa"/>
            <w:vAlign w:val="top"/>
          </w:tcPr>
          <w:p w14:paraId="15DA52D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605" w:type="dxa"/>
            <w:vAlign w:val="top"/>
          </w:tcPr>
          <w:p w14:paraId="4A8417B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831" w:type="dxa"/>
            <w:vAlign w:val="top"/>
          </w:tcPr>
          <w:p w14:paraId="6C74196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451" w:type="dxa"/>
            <w:vAlign w:val="top"/>
          </w:tcPr>
          <w:p w14:paraId="36AC0B9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r>
      <w:tr w14:paraId="2A3D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59" w:type="dxa"/>
            <w:vAlign w:val="top"/>
          </w:tcPr>
          <w:p w14:paraId="2F9ACFF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1086298B">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4CFB66FF">
            <w:pPr>
              <w:keepNext w:val="0"/>
              <w:keepLines w:val="0"/>
              <w:pageBreakBefore w:val="0"/>
              <w:widowControl/>
              <w:kinsoku w:val="0"/>
              <w:wordWrap/>
              <w:overflowPunct/>
              <w:topLinePunct w:val="0"/>
              <w:autoSpaceDE w:val="0"/>
              <w:autoSpaceDN w:val="0"/>
              <w:bidi w:val="0"/>
              <w:adjustRightInd w:val="0"/>
              <w:snapToGrid w:val="0"/>
              <w:spacing w:before="64" w:line="240" w:lineRule="atLeast"/>
              <w:jc w:val="both"/>
              <w:textAlignment w:val="baseline"/>
              <w:rPr>
                <w:rFonts w:ascii="Calibri" w:hAnsi="Calibri" w:eastAsia="Calibri" w:cs="Calibri"/>
                <w:sz w:val="21"/>
                <w:szCs w:val="21"/>
              </w:rPr>
            </w:pPr>
            <w:r>
              <w:rPr>
                <w:rFonts w:ascii="Calibri" w:hAnsi="Calibri" w:eastAsia="Calibri" w:cs="Calibri"/>
                <w:sz w:val="21"/>
                <w:szCs w:val="21"/>
              </w:rPr>
              <w:t>2</w:t>
            </w:r>
          </w:p>
        </w:tc>
        <w:tc>
          <w:tcPr>
            <w:tcW w:w="1423" w:type="dxa"/>
            <w:vAlign w:val="top"/>
          </w:tcPr>
          <w:p w14:paraId="21AE41B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259" w:type="dxa"/>
            <w:vAlign w:val="top"/>
          </w:tcPr>
          <w:p w14:paraId="57BFD2E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605" w:type="dxa"/>
            <w:vAlign w:val="top"/>
          </w:tcPr>
          <w:p w14:paraId="5F3941C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831" w:type="dxa"/>
            <w:vAlign w:val="top"/>
          </w:tcPr>
          <w:p w14:paraId="66625D94">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451" w:type="dxa"/>
            <w:vAlign w:val="top"/>
          </w:tcPr>
          <w:p w14:paraId="1F88424A">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r>
      <w:tr w14:paraId="1733C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59" w:type="dxa"/>
            <w:vAlign w:val="top"/>
          </w:tcPr>
          <w:p w14:paraId="2C4258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2BC46F8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2E3A7DB7">
            <w:pPr>
              <w:keepNext w:val="0"/>
              <w:keepLines w:val="0"/>
              <w:pageBreakBefore w:val="0"/>
              <w:widowControl/>
              <w:kinsoku w:val="0"/>
              <w:wordWrap/>
              <w:overflowPunct/>
              <w:topLinePunct w:val="0"/>
              <w:autoSpaceDE w:val="0"/>
              <w:autoSpaceDN w:val="0"/>
              <w:bidi w:val="0"/>
              <w:adjustRightInd w:val="0"/>
              <w:snapToGrid w:val="0"/>
              <w:spacing w:before="64" w:line="240" w:lineRule="atLeast"/>
              <w:jc w:val="both"/>
              <w:textAlignment w:val="baseline"/>
              <w:rPr>
                <w:rFonts w:ascii="Calibri" w:hAnsi="Calibri" w:eastAsia="Calibri" w:cs="Calibri"/>
                <w:sz w:val="21"/>
                <w:szCs w:val="21"/>
              </w:rPr>
            </w:pPr>
            <w:r>
              <w:rPr>
                <w:rFonts w:ascii="Calibri" w:hAnsi="Calibri" w:eastAsia="Calibri" w:cs="Calibri"/>
                <w:sz w:val="21"/>
                <w:szCs w:val="21"/>
              </w:rPr>
              <w:t>3</w:t>
            </w:r>
          </w:p>
        </w:tc>
        <w:tc>
          <w:tcPr>
            <w:tcW w:w="1423" w:type="dxa"/>
            <w:vAlign w:val="top"/>
          </w:tcPr>
          <w:p w14:paraId="71D6AE7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259" w:type="dxa"/>
            <w:vAlign w:val="top"/>
          </w:tcPr>
          <w:p w14:paraId="0920134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605" w:type="dxa"/>
            <w:vAlign w:val="top"/>
          </w:tcPr>
          <w:p w14:paraId="22B948C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831" w:type="dxa"/>
            <w:vAlign w:val="top"/>
          </w:tcPr>
          <w:p w14:paraId="1C6AACC0">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451" w:type="dxa"/>
            <w:vAlign w:val="top"/>
          </w:tcPr>
          <w:p w14:paraId="1FBAF35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r>
      <w:tr w14:paraId="71C43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959" w:type="dxa"/>
            <w:vAlign w:val="top"/>
          </w:tcPr>
          <w:p w14:paraId="42B67B6D">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1F7D03F8">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326CF18B">
            <w:pPr>
              <w:keepNext w:val="0"/>
              <w:keepLines w:val="0"/>
              <w:pageBreakBefore w:val="0"/>
              <w:widowControl/>
              <w:kinsoku w:val="0"/>
              <w:wordWrap/>
              <w:overflowPunct/>
              <w:topLinePunct w:val="0"/>
              <w:autoSpaceDE w:val="0"/>
              <w:autoSpaceDN w:val="0"/>
              <w:bidi w:val="0"/>
              <w:adjustRightInd w:val="0"/>
              <w:snapToGrid w:val="0"/>
              <w:spacing w:before="64" w:line="240" w:lineRule="atLeast"/>
              <w:jc w:val="both"/>
              <w:textAlignment w:val="baseline"/>
              <w:rPr>
                <w:rFonts w:ascii="Calibri" w:hAnsi="Calibri" w:eastAsia="Calibri" w:cs="Calibri"/>
                <w:sz w:val="21"/>
                <w:szCs w:val="21"/>
              </w:rPr>
            </w:pPr>
            <w:r>
              <w:rPr>
                <w:rFonts w:ascii="Calibri" w:hAnsi="Calibri" w:eastAsia="Calibri" w:cs="Calibri"/>
                <w:sz w:val="21"/>
                <w:szCs w:val="21"/>
              </w:rPr>
              <w:t>4</w:t>
            </w:r>
          </w:p>
        </w:tc>
        <w:tc>
          <w:tcPr>
            <w:tcW w:w="1423" w:type="dxa"/>
            <w:vAlign w:val="top"/>
          </w:tcPr>
          <w:p w14:paraId="161C82C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259" w:type="dxa"/>
            <w:vAlign w:val="top"/>
          </w:tcPr>
          <w:p w14:paraId="354D6A9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605" w:type="dxa"/>
            <w:vAlign w:val="top"/>
          </w:tcPr>
          <w:p w14:paraId="6230AE4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831" w:type="dxa"/>
            <w:vAlign w:val="top"/>
          </w:tcPr>
          <w:p w14:paraId="346D6CB7">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451" w:type="dxa"/>
            <w:vAlign w:val="top"/>
          </w:tcPr>
          <w:p w14:paraId="7FE0FF8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r>
      <w:tr w14:paraId="2A75A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59" w:type="dxa"/>
            <w:vAlign w:val="top"/>
          </w:tcPr>
          <w:p w14:paraId="7302F63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p w14:paraId="19FEB3BD">
            <w:pPr>
              <w:keepNext w:val="0"/>
              <w:keepLines w:val="0"/>
              <w:pageBreakBefore w:val="0"/>
              <w:widowControl/>
              <w:kinsoku w:val="0"/>
              <w:wordWrap/>
              <w:overflowPunct/>
              <w:topLinePunct w:val="0"/>
              <w:autoSpaceDE w:val="0"/>
              <w:autoSpaceDN w:val="0"/>
              <w:bidi w:val="0"/>
              <w:adjustRightInd w:val="0"/>
              <w:snapToGrid w:val="0"/>
              <w:spacing w:line="240" w:lineRule="atLeast"/>
              <w:jc w:val="both"/>
              <w:textAlignment w:val="baseline"/>
              <w:rPr>
                <w:rFonts w:ascii="Arial"/>
                <w:sz w:val="21"/>
              </w:rPr>
            </w:pPr>
          </w:p>
          <w:p w14:paraId="29AD640C">
            <w:pPr>
              <w:keepNext w:val="0"/>
              <w:keepLines w:val="0"/>
              <w:pageBreakBefore w:val="0"/>
              <w:widowControl/>
              <w:kinsoku w:val="0"/>
              <w:wordWrap/>
              <w:overflowPunct/>
              <w:topLinePunct w:val="0"/>
              <w:autoSpaceDE w:val="0"/>
              <w:autoSpaceDN w:val="0"/>
              <w:bidi w:val="0"/>
              <w:adjustRightInd w:val="0"/>
              <w:snapToGrid w:val="0"/>
              <w:spacing w:before="64" w:line="240" w:lineRule="atLeast"/>
              <w:jc w:val="both"/>
              <w:textAlignment w:val="baseline"/>
              <w:rPr>
                <w:rFonts w:ascii="Calibri" w:hAnsi="Calibri" w:eastAsia="Calibri" w:cs="Calibri"/>
                <w:sz w:val="21"/>
                <w:szCs w:val="21"/>
              </w:rPr>
            </w:pPr>
            <w:r>
              <w:rPr>
                <w:rFonts w:ascii="Calibri" w:hAnsi="Calibri" w:eastAsia="Calibri" w:cs="Calibri"/>
                <w:sz w:val="21"/>
                <w:szCs w:val="21"/>
              </w:rPr>
              <w:t>5</w:t>
            </w:r>
          </w:p>
        </w:tc>
        <w:tc>
          <w:tcPr>
            <w:tcW w:w="1423" w:type="dxa"/>
            <w:vAlign w:val="top"/>
          </w:tcPr>
          <w:p w14:paraId="3A15D85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259" w:type="dxa"/>
            <w:vAlign w:val="top"/>
          </w:tcPr>
          <w:p w14:paraId="1FA7578E">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605" w:type="dxa"/>
            <w:vAlign w:val="top"/>
          </w:tcPr>
          <w:p w14:paraId="1404A9C3">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831" w:type="dxa"/>
            <w:vAlign w:val="top"/>
          </w:tcPr>
          <w:p w14:paraId="61805149">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c>
          <w:tcPr>
            <w:tcW w:w="1451" w:type="dxa"/>
            <w:vAlign w:val="top"/>
          </w:tcPr>
          <w:p w14:paraId="3850BC06">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ascii="Arial"/>
                <w:sz w:val="21"/>
              </w:rPr>
            </w:pPr>
          </w:p>
        </w:tc>
      </w:tr>
      <w:tr w14:paraId="698EC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959" w:type="dxa"/>
            <w:vAlign w:val="top"/>
          </w:tcPr>
          <w:p w14:paraId="2808F4D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rPr>
            </w:pPr>
          </w:p>
          <w:p w14:paraId="59DFF317">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rPr>
            </w:pPr>
          </w:p>
          <w:p w14:paraId="353D895C">
            <w:pPr>
              <w:keepNext w:val="0"/>
              <w:keepLines w:val="0"/>
              <w:pageBreakBefore w:val="0"/>
              <w:widowControl/>
              <w:kinsoku w:val="0"/>
              <w:wordWrap/>
              <w:overflowPunct/>
              <w:topLinePunct w:val="0"/>
              <w:autoSpaceDE w:val="0"/>
              <w:autoSpaceDN w:val="0"/>
              <w:bidi w:val="0"/>
              <w:adjustRightInd w:val="0"/>
              <w:snapToGrid w:val="0"/>
              <w:spacing w:before="64" w:line="240" w:lineRule="atLeast"/>
              <w:ind w:left="411"/>
              <w:textAlignment w:val="baseline"/>
              <w:rPr>
                <w:rFonts w:ascii="Calibri" w:hAnsi="Calibri" w:eastAsia="Calibri" w:cs="Calibri"/>
                <w:sz w:val="21"/>
                <w:szCs w:val="21"/>
              </w:rPr>
            </w:pPr>
            <w:r>
              <w:rPr>
                <w:rFonts w:ascii="Calibri" w:hAnsi="Calibri" w:eastAsia="Calibri" w:cs="Calibri"/>
                <w:spacing w:val="-4"/>
                <w:position w:val="1"/>
                <w:sz w:val="21"/>
                <w:szCs w:val="21"/>
              </w:rPr>
              <w:t>...</w:t>
            </w:r>
          </w:p>
        </w:tc>
        <w:tc>
          <w:tcPr>
            <w:tcW w:w="1423" w:type="dxa"/>
            <w:vAlign w:val="top"/>
          </w:tcPr>
          <w:p w14:paraId="6C5B625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rPr>
            </w:pPr>
          </w:p>
        </w:tc>
        <w:tc>
          <w:tcPr>
            <w:tcW w:w="1259" w:type="dxa"/>
            <w:vAlign w:val="top"/>
          </w:tcPr>
          <w:p w14:paraId="1CBC8B3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rPr>
            </w:pPr>
          </w:p>
        </w:tc>
        <w:tc>
          <w:tcPr>
            <w:tcW w:w="1605" w:type="dxa"/>
            <w:vAlign w:val="top"/>
          </w:tcPr>
          <w:p w14:paraId="79121099">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rPr>
            </w:pPr>
          </w:p>
        </w:tc>
        <w:tc>
          <w:tcPr>
            <w:tcW w:w="1831" w:type="dxa"/>
            <w:vAlign w:val="top"/>
          </w:tcPr>
          <w:p w14:paraId="4AF4B1DA">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rPr>
            </w:pPr>
          </w:p>
        </w:tc>
        <w:tc>
          <w:tcPr>
            <w:tcW w:w="1451" w:type="dxa"/>
            <w:vAlign w:val="top"/>
          </w:tcPr>
          <w:p w14:paraId="49728F33">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rPr>
                <w:rFonts w:ascii="Arial"/>
                <w:sz w:val="21"/>
              </w:rPr>
            </w:pPr>
          </w:p>
        </w:tc>
      </w:tr>
    </w:tbl>
    <w:p w14:paraId="3EAC1F34">
      <w:pPr>
        <w:pStyle w:val="19"/>
        <w:keepNext w:val="0"/>
        <w:keepLines w:val="0"/>
        <w:pageBreakBefore w:val="0"/>
        <w:widowControl/>
        <w:kinsoku w:val="0"/>
        <w:wordWrap/>
        <w:overflowPunct/>
        <w:topLinePunct w:val="0"/>
        <w:autoSpaceDE w:val="0"/>
        <w:autoSpaceDN w:val="0"/>
        <w:bidi w:val="0"/>
        <w:adjustRightInd w:val="0"/>
        <w:snapToGrid w:val="0"/>
        <w:spacing w:line="240" w:lineRule="atLeast"/>
        <w:textAlignment w:val="baseline"/>
      </w:pPr>
    </w:p>
    <w:p w14:paraId="5C3BB13F">
      <w:pPr>
        <w:ind w:firstLine="0" w:firstLineChars="0"/>
        <w:rPr>
          <w:rFonts w:ascii="宋体" w:hAnsi="宋体" w:eastAsia="宋体" w:cs="宋体"/>
          <w:spacing w:val="-1"/>
          <w:sz w:val="21"/>
          <w:szCs w:val="21"/>
        </w:rPr>
      </w:pPr>
    </w:p>
    <w:p w14:paraId="775F79B7">
      <w:pPr>
        <w:pStyle w:val="16"/>
      </w:pPr>
    </w:p>
    <w:p w14:paraId="1CE036D9">
      <w:pPr>
        <w:ind w:firstLine="0" w:firstLineChars="0"/>
        <w:rPr>
          <w:rFonts w:ascii="宋体" w:hAnsi="宋体" w:eastAsia="宋体" w:cs="宋体"/>
          <w:spacing w:val="-1"/>
          <w:sz w:val="21"/>
          <w:szCs w:val="21"/>
        </w:rPr>
      </w:pPr>
    </w:p>
    <w:p w14:paraId="53191A1F">
      <w:pPr>
        <w:ind w:firstLine="0" w:firstLineChars="0"/>
        <w:rPr>
          <w:rFonts w:ascii="宋体" w:hAnsi="宋体" w:eastAsia="宋体" w:cs="宋体"/>
          <w:spacing w:val="-1"/>
          <w:sz w:val="21"/>
          <w:szCs w:val="21"/>
        </w:rPr>
      </w:pPr>
    </w:p>
    <w:p w14:paraId="25411564">
      <w:pPr>
        <w:ind w:firstLine="0" w:firstLineChars="0"/>
        <w:rPr>
          <w:rFonts w:ascii="宋体" w:hAnsi="宋体" w:eastAsia="宋体" w:cs="宋体"/>
          <w:spacing w:val="-1"/>
          <w:sz w:val="21"/>
          <w:szCs w:val="21"/>
        </w:rPr>
      </w:pPr>
    </w:p>
    <w:p w14:paraId="57B9CAB6">
      <w:pPr>
        <w:pStyle w:val="8"/>
        <w:numPr>
          <w:ilvl w:val="0"/>
          <w:numId w:val="11"/>
        </w:numPr>
        <w:ind w:left="0" w:leftChars="0" w:firstLine="0" w:firstLineChars="0"/>
        <w:jc w:val="center"/>
        <w:rPr>
          <w:rFonts w:hint="eastAsia" w:ascii="宋体" w:hAnsi="宋体" w:eastAsia="宋体" w:cs="宋体"/>
          <w:lang w:val="en-US" w:eastAsia="zh-CN"/>
        </w:rPr>
      </w:pPr>
      <w:bookmarkStart w:id="1317" w:name="_Toc19486"/>
      <w:bookmarkStart w:id="1318" w:name="_Toc25732"/>
      <w:bookmarkStart w:id="1319" w:name="_Toc28090"/>
      <w:bookmarkStart w:id="1320" w:name="_Toc21363"/>
      <w:bookmarkStart w:id="1321" w:name="_Toc6620"/>
      <w:bookmarkStart w:id="1322" w:name="_Toc27330"/>
      <w:r>
        <w:rPr>
          <w:rFonts w:hint="eastAsia" w:ascii="宋体" w:hAnsi="宋体" w:eastAsia="宋体" w:cs="宋体"/>
        </w:rPr>
        <w:t>技术方案</w:t>
      </w:r>
      <w:bookmarkEnd w:id="1317"/>
      <w:bookmarkEnd w:id="1318"/>
    </w:p>
    <w:p w14:paraId="4389BF1D">
      <w:pPr>
        <w:widowControl w:val="0"/>
        <w:numPr>
          <w:ilvl w:val="0"/>
          <w:numId w:val="0"/>
        </w:numPr>
        <w:spacing w:line="600" w:lineRule="exact"/>
        <w:jc w:val="both"/>
        <w:rPr>
          <w:rFonts w:hint="eastAsia"/>
          <w:lang w:val="en-US" w:eastAsia="zh-CN"/>
        </w:rPr>
      </w:pPr>
    </w:p>
    <w:p w14:paraId="6D4E45C6">
      <w:pPr>
        <w:pStyle w:val="32"/>
        <w:ind w:left="0" w:leftChars="0" w:firstLine="0" w:firstLineChars="0"/>
        <w:jc w:val="center"/>
        <w:rPr>
          <w:rFonts w:hint="eastAsia"/>
          <w:b/>
          <w:color w:val="auto"/>
          <w:sz w:val="28"/>
          <w:szCs w:val="28"/>
          <w:highlight w:val="none"/>
        </w:rPr>
      </w:pPr>
      <w:r>
        <w:rPr>
          <w:rFonts w:hint="eastAsia"/>
          <w:b/>
          <w:color w:val="auto"/>
          <w:sz w:val="28"/>
          <w:szCs w:val="28"/>
          <w:highlight w:val="none"/>
        </w:rPr>
        <w:t>（格式、内容自拟）</w:t>
      </w:r>
    </w:p>
    <w:p w14:paraId="07D0AAC3">
      <w:pPr>
        <w:widowControl w:val="0"/>
        <w:numPr>
          <w:ilvl w:val="0"/>
          <w:numId w:val="0"/>
        </w:numPr>
        <w:spacing w:line="600" w:lineRule="exact"/>
        <w:jc w:val="both"/>
        <w:rPr>
          <w:rFonts w:hint="eastAsia"/>
          <w:lang w:val="en-US" w:eastAsia="zh-CN"/>
        </w:rPr>
      </w:pPr>
    </w:p>
    <w:p w14:paraId="69CE829E">
      <w:pPr>
        <w:widowControl w:val="0"/>
        <w:numPr>
          <w:ilvl w:val="0"/>
          <w:numId w:val="0"/>
        </w:numPr>
        <w:spacing w:line="600" w:lineRule="exact"/>
        <w:jc w:val="both"/>
        <w:rPr>
          <w:rFonts w:hint="eastAsia"/>
          <w:lang w:val="en-US" w:eastAsia="zh-CN"/>
        </w:rPr>
      </w:pPr>
    </w:p>
    <w:p w14:paraId="06A13946">
      <w:pPr>
        <w:widowControl w:val="0"/>
        <w:numPr>
          <w:ilvl w:val="0"/>
          <w:numId w:val="0"/>
        </w:numPr>
        <w:spacing w:line="600" w:lineRule="exact"/>
        <w:jc w:val="both"/>
        <w:rPr>
          <w:rFonts w:hint="eastAsia"/>
          <w:lang w:val="en-US" w:eastAsia="zh-CN"/>
        </w:rPr>
      </w:pPr>
    </w:p>
    <w:p w14:paraId="69624DE9">
      <w:pPr>
        <w:widowControl w:val="0"/>
        <w:numPr>
          <w:ilvl w:val="0"/>
          <w:numId w:val="0"/>
        </w:numPr>
        <w:spacing w:line="600" w:lineRule="exact"/>
        <w:jc w:val="both"/>
        <w:rPr>
          <w:rFonts w:hint="eastAsia"/>
          <w:lang w:val="en-US" w:eastAsia="zh-CN"/>
        </w:rPr>
      </w:pPr>
    </w:p>
    <w:p w14:paraId="1D4303BB">
      <w:pPr>
        <w:numPr>
          <w:ilvl w:val="0"/>
          <w:numId w:val="0"/>
        </w:numPr>
        <w:rPr>
          <w:rFonts w:hint="default"/>
          <w:lang w:val="en-US" w:eastAsia="zh-CN"/>
        </w:rPr>
      </w:pPr>
    </w:p>
    <w:p w14:paraId="147C1898">
      <w:pPr>
        <w:pStyle w:val="8"/>
        <w:ind w:firstLine="482"/>
        <w:jc w:val="center"/>
        <w:rPr>
          <w:rFonts w:ascii="宋体" w:hAnsi="宋体" w:eastAsia="宋体" w:cs="宋体"/>
        </w:rPr>
      </w:pPr>
    </w:p>
    <w:p w14:paraId="00B412F3">
      <w:pPr>
        <w:pStyle w:val="8"/>
        <w:ind w:left="0" w:leftChars="0" w:firstLine="0" w:firstLineChars="0"/>
        <w:jc w:val="both"/>
        <w:rPr>
          <w:rFonts w:ascii="宋体" w:hAnsi="宋体" w:eastAsia="宋体" w:cs="宋体"/>
        </w:rPr>
      </w:pPr>
    </w:p>
    <w:p w14:paraId="7C822651">
      <w:pPr>
        <w:pStyle w:val="8"/>
        <w:ind w:firstLine="482"/>
        <w:jc w:val="center"/>
        <w:rPr>
          <w:rFonts w:ascii="宋体" w:hAnsi="宋体" w:eastAsia="宋体" w:cs="宋体"/>
        </w:rPr>
      </w:pPr>
    </w:p>
    <w:p w14:paraId="74DB4030">
      <w:pPr>
        <w:pStyle w:val="8"/>
        <w:ind w:firstLine="482"/>
        <w:jc w:val="center"/>
        <w:rPr>
          <w:rFonts w:ascii="宋体" w:hAnsi="宋体" w:eastAsia="宋体" w:cs="宋体"/>
        </w:rPr>
      </w:pPr>
    </w:p>
    <w:p w14:paraId="06722BD5">
      <w:pPr>
        <w:pStyle w:val="8"/>
        <w:ind w:firstLine="482"/>
        <w:jc w:val="center"/>
        <w:rPr>
          <w:rFonts w:ascii="宋体" w:hAnsi="宋体" w:eastAsia="宋体" w:cs="宋体"/>
        </w:rPr>
      </w:pPr>
    </w:p>
    <w:p w14:paraId="15F39866">
      <w:pPr>
        <w:pStyle w:val="8"/>
        <w:ind w:firstLine="482"/>
        <w:jc w:val="center"/>
        <w:rPr>
          <w:rFonts w:ascii="宋体" w:hAnsi="宋体" w:eastAsia="宋体" w:cs="宋体"/>
        </w:rPr>
      </w:pPr>
    </w:p>
    <w:p w14:paraId="7A605081">
      <w:pPr>
        <w:pStyle w:val="8"/>
        <w:ind w:firstLine="482"/>
        <w:jc w:val="center"/>
        <w:rPr>
          <w:rFonts w:ascii="宋体" w:hAnsi="宋体" w:eastAsia="宋体" w:cs="宋体"/>
        </w:rPr>
      </w:pPr>
    </w:p>
    <w:p w14:paraId="64512E15">
      <w:pPr>
        <w:pStyle w:val="8"/>
        <w:ind w:firstLine="482"/>
        <w:jc w:val="center"/>
        <w:rPr>
          <w:rFonts w:ascii="宋体" w:hAnsi="宋体" w:eastAsia="宋体" w:cs="宋体"/>
        </w:rPr>
      </w:pPr>
    </w:p>
    <w:p w14:paraId="7E25EF00">
      <w:pPr>
        <w:pStyle w:val="8"/>
        <w:ind w:firstLine="482"/>
        <w:jc w:val="center"/>
        <w:rPr>
          <w:rFonts w:ascii="宋体" w:hAnsi="宋体" w:eastAsia="宋体" w:cs="宋体"/>
        </w:rPr>
      </w:pPr>
      <w:bookmarkStart w:id="1323" w:name="_Toc6718"/>
    </w:p>
    <w:p w14:paraId="500A7022">
      <w:pPr>
        <w:pStyle w:val="8"/>
        <w:ind w:firstLine="482"/>
        <w:jc w:val="center"/>
        <w:rPr>
          <w:rFonts w:ascii="宋体" w:hAnsi="宋体" w:eastAsia="宋体" w:cs="宋体"/>
        </w:rPr>
      </w:pPr>
    </w:p>
    <w:p w14:paraId="682EECC1">
      <w:pPr>
        <w:pStyle w:val="8"/>
        <w:ind w:firstLine="482"/>
        <w:jc w:val="center"/>
        <w:rPr>
          <w:rFonts w:ascii="宋体" w:hAnsi="宋体" w:eastAsia="宋体" w:cs="宋体"/>
        </w:rPr>
      </w:pPr>
    </w:p>
    <w:p w14:paraId="0B0DED40">
      <w:pPr>
        <w:pStyle w:val="8"/>
        <w:ind w:firstLine="482"/>
        <w:jc w:val="center"/>
        <w:rPr>
          <w:rFonts w:ascii="宋体" w:hAnsi="宋体" w:eastAsia="宋体" w:cs="宋体"/>
        </w:rPr>
      </w:pPr>
    </w:p>
    <w:p w14:paraId="74689FEB">
      <w:pPr>
        <w:pStyle w:val="8"/>
        <w:ind w:firstLine="482"/>
        <w:jc w:val="center"/>
        <w:rPr>
          <w:rFonts w:ascii="宋体" w:hAnsi="宋体" w:eastAsia="宋体" w:cs="宋体"/>
        </w:rPr>
      </w:pPr>
    </w:p>
    <w:p w14:paraId="4C16941E">
      <w:pPr>
        <w:pStyle w:val="8"/>
        <w:ind w:firstLine="482"/>
        <w:jc w:val="center"/>
        <w:rPr>
          <w:rFonts w:ascii="宋体" w:hAnsi="宋体" w:eastAsia="宋体" w:cs="宋体"/>
        </w:rPr>
      </w:pPr>
    </w:p>
    <w:p w14:paraId="2FC34980">
      <w:pPr>
        <w:pStyle w:val="8"/>
        <w:ind w:firstLine="482"/>
        <w:jc w:val="center"/>
        <w:rPr>
          <w:rFonts w:ascii="宋体" w:hAnsi="宋体" w:eastAsia="宋体" w:cs="宋体"/>
        </w:rPr>
      </w:pPr>
    </w:p>
    <w:p w14:paraId="17E1B176">
      <w:pPr>
        <w:pStyle w:val="8"/>
        <w:ind w:firstLine="482"/>
        <w:jc w:val="center"/>
        <w:rPr>
          <w:rFonts w:ascii="宋体" w:hAnsi="宋体" w:eastAsia="宋体" w:cs="宋体"/>
        </w:rPr>
      </w:pPr>
    </w:p>
    <w:p w14:paraId="1E9F2C7E">
      <w:pPr>
        <w:rPr>
          <w:rFonts w:hint="eastAsia" w:ascii="宋体" w:hAnsi="宋体" w:eastAsia="宋体" w:cs="宋体"/>
        </w:rPr>
      </w:pPr>
      <w:bookmarkStart w:id="1324" w:name="_Toc20278"/>
      <w:r>
        <w:rPr>
          <w:rFonts w:hint="eastAsia" w:ascii="宋体" w:hAnsi="宋体" w:eastAsia="宋体" w:cs="宋体"/>
        </w:rPr>
        <w:br w:type="page"/>
      </w:r>
    </w:p>
    <w:p w14:paraId="09077554">
      <w:pPr>
        <w:pStyle w:val="8"/>
        <w:ind w:firstLine="482"/>
        <w:jc w:val="center"/>
        <w:rPr>
          <w:rFonts w:ascii="宋体" w:hAnsi="宋体" w:eastAsia="宋体" w:cs="宋体"/>
        </w:rPr>
      </w:pPr>
      <w:r>
        <w:rPr>
          <w:rFonts w:hint="eastAsia" w:ascii="宋体" w:hAnsi="宋体" w:eastAsia="宋体" w:cs="宋体"/>
        </w:rPr>
        <w:t>七、类似项目业绩</w:t>
      </w:r>
      <w:bookmarkEnd w:id="1319"/>
      <w:bookmarkEnd w:id="1320"/>
      <w:bookmarkEnd w:id="1321"/>
      <w:bookmarkEnd w:id="1322"/>
      <w:bookmarkEnd w:id="1323"/>
      <w:bookmarkEnd w:id="1324"/>
    </w:p>
    <w:p w14:paraId="6F34131C">
      <w:pPr>
        <w:ind w:firstLine="420"/>
        <w:rPr>
          <w:rFonts w:ascii="宋体" w:hAnsi="宋体" w:cs="宋体"/>
        </w:rPr>
      </w:pP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88"/>
        <w:gridCol w:w="4698"/>
        <w:gridCol w:w="1315"/>
        <w:gridCol w:w="1486"/>
      </w:tblGrid>
      <w:tr w14:paraId="52C888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13F73163">
            <w:pPr>
              <w:widowControl/>
              <w:spacing w:line="360" w:lineRule="auto"/>
              <w:ind w:firstLine="422"/>
              <w:jc w:val="center"/>
              <w:rPr>
                <w:rFonts w:ascii="宋体" w:hAnsi="宋体" w:cs="宋体"/>
                <w:b/>
                <w:bCs/>
                <w:kern w:val="0"/>
              </w:rPr>
            </w:pPr>
            <w:r>
              <w:rPr>
                <w:rFonts w:hint="eastAsia" w:ascii="宋体" w:hAnsi="宋体" w:cs="宋体"/>
                <w:b/>
                <w:bCs/>
                <w:kern w:val="0"/>
              </w:rPr>
              <w:t>序号</w:t>
            </w:r>
          </w:p>
        </w:tc>
        <w:tc>
          <w:tcPr>
            <w:tcW w:w="4842" w:type="dxa"/>
            <w:vAlign w:val="center"/>
          </w:tcPr>
          <w:p w14:paraId="1989D5C9">
            <w:pPr>
              <w:widowControl/>
              <w:spacing w:line="360" w:lineRule="auto"/>
              <w:ind w:firstLine="422"/>
              <w:jc w:val="center"/>
              <w:rPr>
                <w:rFonts w:ascii="宋体" w:hAnsi="宋体" w:cs="宋体"/>
                <w:b/>
                <w:bCs/>
                <w:kern w:val="0"/>
              </w:rPr>
            </w:pPr>
            <w:r>
              <w:rPr>
                <w:rFonts w:hint="eastAsia" w:ascii="宋体" w:hAnsi="宋体" w:cs="宋体"/>
                <w:b/>
                <w:bCs/>
                <w:kern w:val="0"/>
              </w:rPr>
              <w:t>项目名称</w:t>
            </w:r>
          </w:p>
        </w:tc>
        <w:tc>
          <w:tcPr>
            <w:tcW w:w="1350" w:type="dxa"/>
            <w:vAlign w:val="center"/>
          </w:tcPr>
          <w:p w14:paraId="63152250">
            <w:pPr>
              <w:widowControl/>
              <w:spacing w:line="360" w:lineRule="auto"/>
              <w:ind w:left="0" w:leftChars="0" w:firstLine="0" w:firstLineChars="0"/>
              <w:jc w:val="center"/>
              <w:rPr>
                <w:rFonts w:ascii="宋体" w:hAnsi="宋体" w:cs="宋体"/>
                <w:b/>
                <w:bCs/>
                <w:kern w:val="0"/>
              </w:rPr>
            </w:pPr>
            <w:r>
              <w:rPr>
                <w:rFonts w:hint="eastAsia" w:ascii="宋体" w:hAnsi="宋体" w:cs="宋体"/>
                <w:b/>
                <w:bCs/>
                <w:kern w:val="0"/>
              </w:rPr>
              <w:t>业主</w:t>
            </w:r>
          </w:p>
        </w:tc>
        <w:tc>
          <w:tcPr>
            <w:tcW w:w="1526" w:type="dxa"/>
            <w:vAlign w:val="center"/>
          </w:tcPr>
          <w:p w14:paraId="6D51E0E5">
            <w:pPr>
              <w:widowControl/>
              <w:spacing w:line="360" w:lineRule="auto"/>
              <w:ind w:left="0" w:leftChars="0" w:firstLine="0" w:firstLineChars="0"/>
              <w:jc w:val="center"/>
              <w:rPr>
                <w:rFonts w:ascii="宋体" w:hAnsi="宋体" w:cs="宋体"/>
                <w:b/>
                <w:bCs/>
                <w:kern w:val="0"/>
              </w:rPr>
            </w:pPr>
            <w:r>
              <w:rPr>
                <w:rFonts w:hint="eastAsia" w:ascii="宋体" w:hAnsi="宋体" w:cs="宋体"/>
                <w:b/>
                <w:bCs/>
                <w:kern w:val="0"/>
              </w:rPr>
              <w:t>签订日期</w:t>
            </w:r>
          </w:p>
        </w:tc>
      </w:tr>
      <w:tr w14:paraId="1F031A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507C6ACC">
            <w:pPr>
              <w:widowControl/>
              <w:spacing w:line="360" w:lineRule="auto"/>
              <w:ind w:firstLine="420"/>
              <w:jc w:val="center"/>
              <w:rPr>
                <w:rFonts w:ascii="宋体" w:hAnsi="宋体" w:cs="宋体"/>
                <w:kern w:val="0"/>
              </w:rPr>
            </w:pPr>
            <w:r>
              <w:rPr>
                <w:rFonts w:hint="eastAsia" w:ascii="宋体" w:hAnsi="宋体" w:cs="宋体"/>
                <w:kern w:val="0"/>
              </w:rPr>
              <w:t>1</w:t>
            </w:r>
          </w:p>
        </w:tc>
        <w:tc>
          <w:tcPr>
            <w:tcW w:w="4842" w:type="dxa"/>
            <w:vAlign w:val="center"/>
          </w:tcPr>
          <w:p w14:paraId="6ABDAA54">
            <w:pPr>
              <w:widowControl/>
              <w:spacing w:line="360" w:lineRule="auto"/>
              <w:ind w:firstLine="420"/>
              <w:rPr>
                <w:rFonts w:ascii="宋体" w:hAnsi="宋体" w:cs="宋体"/>
                <w:kern w:val="0"/>
              </w:rPr>
            </w:pPr>
          </w:p>
        </w:tc>
        <w:tc>
          <w:tcPr>
            <w:tcW w:w="1350" w:type="dxa"/>
            <w:vAlign w:val="center"/>
          </w:tcPr>
          <w:p w14:paraId="20E296D5">
            <w:pPr>
              <w:widowControl/>
              <w:spacing w:line="360" w:lineRule="auto"/>
              <w:ind w:firstLine="420"/>
              <w:rPr>
                <w:rFonts w:ascii="宋体" w:hAnsi="宋体" w:cs="宋体"/>
                <w:kern w:val="0"/>
              </w:rPr>
            </w:pPr>
          </w:p>
        </w:tc>
        <w:tc>
          <w:tcPr>
            <w:tcW w:w="1526" w:type="dxa"/>
            <w:vAlign w:val="center"/>
          </w:tcPr>
          <w:p w14:paraId="4F665007">
            <w:pPr>
              <w:widowControl/>
              <w:spacing w:line="360" w:lineRule="auto"/>
              <w:ind w:firstLine="420"/>
              <w:rPr>
                <w:rFonts w:ascii="宋体" w:hAnsi="宋体" w:cs="宋体"/>
                <w:kern w:val="0"/>
              </w:rPr>
            </w:pPr>
          </w:p>
        </w:tc>
      </w:tr>
      <w:tr w14:paraId="167E8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1684C20E">
            <w:pPr>
              <w:widowControl/>
              <w:spacing w:line="360" w:lineRule="auto"/>
              <w:ind w:firstLine="420"/>
              <w:jc w:val="center"/>
              <w:rPr>
                <w:rFonts w:ascii="宋体" w:hAnsi="宋体" w:cs="宋体"/>
                <w:kern w:val="0"/>
              </w:rPr>
            </w:pPr>
            <w:r>
              <w:rPr>
                <w:rFonts w:hint="eastAsia" w:ascii="宋体" w:hAnsi="宋体" w:cs="宋体"/>
                <w:kern w:val="0"/>
              </w:rPr>
              <w:t>2</w:t>
            </w:r>
          </w:p>
        </w:tc>
        <w:tc>
          <w:tcPr>
            <w:tcW w:w="4842" w:type="dxa"/>
            <w:vAlign w:val="center"/>
          </w:tcPr>
          <w:p w14:paraId="7852D8C8">
            <w:pPr>
              <w:widowControl/>
              <w:spacing w:line="360" w:lineRule="auto"/>
              <w:ind w:firstLine="420"/>
              <w:rPr>
                <w:rFonts w:ascii="宋体" w:hAnsi="宋体" w:cs="宋体"/>
                <w:kern w:val="0"/>
              </w:rPr>
            </w:pPr>
          </w:p>
        </w:tc>
        <w:tc>
          <w:tcPr>
            <w:tcW w:w="1350" w:type="dxa"/>
            <w:vAlign w:val="center"/>
          </w:tcPr>
          <w:p w14:paraId="2B29884E">
            <w:pPr>
              <w:widowControl/>
              <w:spacing w:line="360" w:lineRule="auto"/>
              <w:ind w:firstLine="420"/>
              <w:rPr>
                <w:rFonts w:ascii="宋体" w:hAnsi="宋体" w:cs="宋体"/>
                <w:kern w:val="0"/>
              </w:rPr>
            </w:pPr>
          </w:p>
        </w:tc>
        <w:tc>
          <w:tcPr>
            <w:tcW w:w="1526" w:type="dxa"/>
            <w:vAlign w:val="center"/>
          </w:tcPr>
          <w:p w14:paraId="23A41F58">
            <w:pPr>
              <w:widowControl/>
              <w:spacing w:line="360" w:lineRule="auto"/>
              <w:ind w:firstLine="420"/>
              <w:rPr>
                <w:rFonts w:ascii="宋体" w:hAnsi="宋体" w:cs="宋体"/>
                <w:kern w:val="0"/>
              </w:rPr>
            </w:pPr>
          </w:p>
        </w:tc>
      </w:tr>
      <w:tr w14:paraId="1D089A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1CE2F022">
            <w:pPr>
              <w:widowControl/>
              <w:spacing w:line="360" w:lineRule="auto"/>
              <w:ind w:firstLine="420"/>
              <w:jc w:val="center"/>
              <w:rPr>
                <w:rFonts w:ascii="宋体" w:hAnsi="宋体" w:cs="宋体"/>
                <w:kern w:val="0"/>
              </w:rPr>
            </w:pPr>
            <w:r>
              <w:rPr>
                <w:rFonts w:hint="eastAsia" w:ascii="宋体" w:hAnsi="宋体" w:cs="宋体"/>
                <w:kern w:val="0"/>
              </w:rPr>
              <w:t>3</w:t>
            </w:r>
          </w:p>
        </w:tc>
        <w:tc>
          <w:tcPr>
            <w:tcW w:w="4842" w:type="dxa"/>
            <w:vAlign w:val="center"/>
          </w:tcPr>
          <w:p w14:paraId="4B869B25">
            <w:pPr>
              <w:widowControl/>
              <w:spacing w:line="360" w:lineRule="auto"/>
              <w:ind w:firstLine="420"/>
              <w:rPr>
                <w:rFonts w:ascii="宋体" w:hAnsi="宋体" w:cs="宋体"/>
                <w:kern w:val="0"/>
              </w:rPr>
            </w:pPr>
          </w:p>
        </w:tc>
        <w:tc>
          <w:tcPr>
            <w:tcW w:w="1350" w:type="dxa"/>
            <w:vAlign w:val="center"/>
          </w:tcPr>
          <w:p w14:paraId="662770B6">
            <w:pPr>
              <w:widowControl/>
              <w:spacing w:line="360" w:lineRule="auto"/>
              <w:ind w:firstLine="420"/>
              <w:rPr>
                <w:rFonts w:ascii="宋体" w:hAnsi="宋体" w:cs="宋体"/>
                <w:kern w:val="0"/>
              </w:rPr>
            </w:pPr>
          </w:p>
        </w:tc>
        <w:tc>
          <w:tcPr>
            <w:tcW w:w="1526" w:type="dxa"/>
            <w:vAlign w:val="center"/>
          </w:tcPr>
          <w:p w14:paraId="34CCA654">
            <w:pPr>
              <w:widowControl/>
              <w:spacing w:line="360" w:lineRule="auto"/>
              <w:ind w:firstLine="420"/>
              <w:rPr>
                <w:rFonts w:ascii="宋体" w:hAnsi="宋体" w:cs="宋体"/>
                <w:kern w:val="0"/>
              </w:rPr>
            </w:pPr>
          </w:p>
        </w:tc>
      </w:tr>
      <w:tr w14:paraId="7E521D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5F94AE78">
            <w:pPr>
              <w:widowControl/>
              <w:spacing w:line="360" w:lineRule="auto"/>
              <w:ind w:firstLine="420"/>
              <w:jc w:val="center"/>
              <w:rPr>
                <w:rFonts w:ascii="宋体" w:hAnsi="宋体" w:cs="宋体"/>
                <w:kern w:val="0"/>
              </w:rPr>
            </w:pPr>
            <w:r>
              <w:rPr>
                <w:rFonts w:hint="eastAsia" w:ascii="宋体" w:hAnsi="宋体" w:cs="宋体"/>
                <w:kern w:val="0"/>
              </w:rPr>
              <w:t>4</w:t>
            </w:r>
          </w:p>
        </w:tc>
        <w:tc>
          <w:tcPr>
            <w:tcW w:w="4842" w:type="dxa"/>
            <w:vAlign w:val="center"/>
          </w:tcPr>
          <w:p w14:paraId="147B9C5C">
            <w:pPr>
              <w:widowControl/>
              <w:spacing w:line="360" w:lineRule="auto"/>
              <w:ind w:firstLine="420"/>
              <w:rPr>
                <w:rFonts w:ascii="宋体" w:hAnsi="宋体" w:cs="宋体"/>
                <w:kern w:val="0"/>
              </w:rPr>
            </w:pPr>
          </w:p>
        </w:tc>
        <w:tc>
          <w:tcPr>
            <w:tcW w:w="1350" w:type="dxa"/>
            <w:vAlign w:val="center"/>
          </w:tcPr>
          <w:p w14:paraId="7297B81F">
            <w:pPr>
              <w:widowControl/>
              <w:spacing w:line="360" w:lineRule="auto"/>
              <w:ind w:firstLine="420"/>
              <w:rPr>
                <w:rFonts w:ascii="宋体" w:hAnsi="宋体" w:cs="宋体"/>
                <w:kern w:val="0"/>
              </w:rPr>
            </w:pPr>
          </w:p>
        </w:tc>
        <w:tc>
          <w:tcPr>
            <w:tcW w:w="1526" w:type="dxa"/>
            <w:vAlign w:val="center"/>
          </w:tcPr>
          <w:p w14:paraId="432B9A50">
            <w:pPr>
              <w:widowControl/>
              <w:spacing w:line="360" w:lineRule="auto"/>
              <w:ind w:firstLine="420"/>
              <w:rPr>
                <w:rFonts w:ascii="宋体" w:hAnsi="宋体" w:cs="宋体"/>
                <w:kern w:val="0"/>
              </w:rPr>
            </w:pPr>
          </w:p>
        </w:tc>
      </w:tr>
      <w:tr w14:paraId="28E713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14AAE7EE">
            <w:pPr>
              <w:widowControl/>
              <w:spacing w:line="360" w:lineRule="auto"/>
              <w:ind w:firstLine="420"/>
              <w:jc w:val="center"/>
              <w:rPr>
                <w:rFonts w:ascii="宋体" w:hAnsi="宋体" w:cs="宋体"/>
                <w:kern w:val="0"/>
              </w:rPr>
            </w:pPr>
            <w:r>
              <w:rPr>
                <w:rFonts w:hint="eastAsia" w:ascii="宋体" w:hAnsi="宋体" w:cs="宋体"/>
                <w:kern w:val="0"/>
              </w:rPr>
              <w:t>5</w:t>
            </w:r>
          </w:p>
        </w:tc>
        <w:tc>
          <w:tcPr>
            <w:tcW w:w="4842" w:type="dxa"/>
            <w:vAlign w:val="center"/>
          </w:tcPr>
          <w:p w14:paraId="167A748C">
            <w:pPr>
              <w:widowControl/>
              <w:spacing w:line="360" w:lineRule="auto"/>
              <w:ind w:firstLine="420"/>
              <w:rPr>
                <w:rFonts w:ascii="宋体" w:hAnsi="宋体" w:cs="宋体"/>
                <w:kern w:val="0"/>
              </w:rPr>
            </w:pPr>
          </w:p>
        </w:tc>
        <w:tc>
          <w:tcPr>
            <w:tcW w:w="1350" w:type="dxa"/>
            <w:vAlign w:val="center"/>
          </w:tcPr>
          <w:p w14:paraId="3D968860">
            <w:pPr>
              <w:widowControl/>
              <w:spacing w:line="360" w:lineRule="auto"/>
              <w:ind w:firstLine="420"/>
              <w:rPr>
                <w:rFonts w:ascii="宋体" w:hAnsi="宋体" w:cs="宋体"/>
                <w:kern w:val="0"/>
              </w:rPr>
            </w:pPr>
          </w:p>
        </w:tc>
        <w:tc>
          <w:tcPr>
            <w:tcW w:w="1526" w:type="dxa"/>
            <w:vAlign w:val="center"/>
          </w:tcPr>
          <w:p w14:paraId="6E6C03FC">
            <w:pPr>
              <w:widowControl/>
              <w:spacing w:line="360" w:lineRule="auto"/>
              <w:ind w:firstLine="420"/>
              <w:rPr>
                <w:rFonts w:ascii="宋体" w:hAnsi="宋体" w:cs="宋体"/>
                <w:kern w:val="0"/>
              </w:rPr>
            </w:pPr>
          </w:p>
        </w:tc>
      </w:tr>
      <w:tr w14:paraId="0D219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0D13E360">
            <w:pPr>
              <w:widowControl/>
              <w:spacing w:line="360" w:lineRule="auto"/>
              <w:ind w:firstLine="420"/>
              <w:jc w:val="center"/>
              <w:rPr>
                <w:rFonts w:ascii="宋体" w:hAnsi="宋体" w:cs="宋体"/>
                <w:kern w:val="0"/>
              </w:rPr>
            </w:pPr>
            <w:r>
              <w:rPr>
                <w:rFonts w:hint="eastAsia" w:ascii="宋体" w:hAnsi="宋体" w:cs="宋体"/>
                <w:kern w:val="0"/>
              </w:rPr>
              <w:t>6</w:t>
            </w:r>
          </w:p>
        </w:tc>
        <w:tc>
          <w:tcPr>
            <w:tcW w:w="4842" w:type="dxa"/>
            <w:vAlign w:val="center"/>
          </w:tcPr>
          <w:p w14:paraId="53DCBEF1">
            <w:pPr>
              <w:widowControl/>
              <w:spacing w:line="360" w:lineRule="auto"/>
              <w:ind w:firstLine="420"/>
              <w:rPr>
                <w:rFonts w:ascii="宋体" w:hAnsi="宋体" w:cs="宋体"/>
                <w:kern w:val="0"/>
              </w:rPr>
            </w:pPr>
          </w:p>
        </w:tc>
        <w:tc>
          <w:tcPr>
            <w:tcW w:w="1350" w:type="dxa"/>
            <w:vAlign w:val="center"/>
          </w:tcPr>
          <w:p w14:paraId="33BD522B">
            <w:pPr>
              <w:widowControl/>
              <w:spacing w:line="360" w:lineRule="auto"/>
              <w:ind w:firstLine="420"/>
              <w:rPr>
                <w:rFonts w:ascii="宋体" w:hAnsi="宋体" w:cs="宋体"/>
                <w:kern w:val="0"/>
              </w:rPr>
            </w:pPr>
          </w:p>
        </w:tc>
        <w:tc>
          <w:tcPr>
            <w:tcW w:w="1526" w:type="dxa"/>
            <w:vAlign w:val="center"/>
          </w:tcPr>
          <w:p w14:paraId="1BFAB04F">
            <w:pPr>
              <w:widowControl/>
              <w:spacing w:line="360" w:lineRule="auto"/>
              <w:ind w:firstLine="420"/>
              <w:rPr>
                <w:rFonts w:ascii="宋体" w:hAnsi="宋体" w:cs="宋体"/>
                <w:kern w:val="0"/>
              </w:rPr>
            </w:pPr>
          </w:p>
        </w:tc>
      </w:tr>
      <w:tr w14:paraId="52CF1D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vAlign w:val="center"/>
          </w:tcPr>
          <w:p w14:paraId="115A6E55">
            <w:pPr>
              <w:widowControl/>
              <w:spacing w:line="360" w:lineRule="auto"/>
              <w:ind w:firstLine="420"/>
              <w:jc w:val="center"/>
              <w:rPr>
                <w:rFonts w:ascii="宋体" w:hAnsi="宋体" w:cs="宋体"/>
                <w:kern w:val="0"/>
              </w:rPr>
            </w:pPr>
            <w:r>
              <w:rPr>
                <w:rFonts w:hint="eastAsia" w:ascii="宋体" w:hAnsi="宋体" w:cs="宋体"/>
                <w:kern w:val="0"/>
              </w:rPr>
              <w:t>……</w:t>
            </w:r>
          </w:p>
        </w:tc>
        <w:tc>
          <w:tcPr>
            <w:tcW w:w="4842" w:type="dxa"/>
            <w:vAlign w:val="center"/>
          </w:tcPr>
          <w:p w14:paraId="49211884">
            <w:pPr>
              <w:widowControl/>
              <w:spacing w:line="360" w:lineRule="auto"/>
              <w:ind w:firstLine="420"/>
              <w:rPr>
                <w:rFonts w:ascii="宋体" w:hAnsi="宋体" w:cs="宋体"/>
                <w:kern w:val="0"/>
              </w:rPr>
            </w:pPr>
          </w:p>
        </w:tc>
        <w:tc>
          <w:tcPr>
            <w:tcW w:w="1350" w:type="dxa"/>
            <w:vAlign w:val="center"/>
          </w:tcPr>
          <w:p w14:paraId="536374EC">
            <w:pPr>
              <w:widowControl/>
              <w:spacing w:line="360" w:lineRule="auto"/>
              <w:ind w:firstLine="420"/>
              <w:rPr>
                <w:rFonts w:ascii="宋体" w:hAnsi="宋体" w:cs="宋体"/>
                <w:kern w:val="0"/>
              </w:rPr>
            </w:pPr>
          </w:p>
        </w:tc>
        <w:tc>
          <w:tcPr>
            <w:tcW w:w="1526" w:type="dxa"/>
            <w:vAlign w:val="center"/>
          </w:tcPr>
          <w:p w14:paraId="32E06C9D">
            <w:pPr>
              <w:widowControl/>
              <w:spacing w:line="360" w:lineRule="auto"/>
              <w:ind w:firstLine="420"/>
              <w:rPr>
                <w:rFonts w:ascii="宋体" w:hAnsi="宋体" w:cs="宋体"/>
                <w:kern w:val="0"/>
              </w:rPr>
            </w:pPr>
          </w:p>
        </w:tc>
      </w:tr>
    </w:tbl>
    <w:p w14:paraId="3DD01436">
      <w:pPr>
        <w:widowControl/>
        <w:spacing w:line="360" w:lineRule="auto"/>
        <w:ind w:firstLine="420"/>
        <w:rPr>
          <w:rFonts w:ascii="宋体" w:hAnsi="宋体" w:cs="宋体"/>
          <w:kern w:val="0"/>
        </w:rPr>
      </w:pPr>
    </w:p>
    <w:p w14:paraId="7BB9C483">
      <w:pPr>
        <w:widowControl/>
        <w:spacing w:line="360" w:lineRule="auto"/>
        <w:ind w:firstLine="420"/>
        <w:rPr>
          <w:rFonts w:ascii="宋体" w:hAnsi="宋体" w:cs="宋体"/>
          <w:kern w:val="0"/>
        </w:rPr>
      </w:pPr>
      <w:r>
        <w:rPr>
          <w:rFonts w:hint="eastAsia" w:ascii="宋体" w:hAnsi="宋体" w:cs="宋体"/>
          <w:kern w:val="0"/>
        </w:rPr>
        <w:t>注：后附</w:t>
      </w:r>
      <w:r>
        <w:rPr>
          <w:rFonts w:hint="eastAsia" w:ascii="宋体" w:hAnsi="宋体" w:cs="宋体"/>
        </w:rPr>
        <w:t>类似项目业绩的合同的原件扫描件</w:t>
      </w:r>
      <w:r>
        <w:rPr>
          <w:rFonts w:hint="eastAsia" w:ascii="宋体" w:hAnsi="宋体" w:cs="宋体"/>
          <w:kern w:val="0"/>
        </w:rPr>
        <w:t>（合同至少包括首页、签字盖章页、服务内容页）</w:t>
      </w:r>
    </w:p>
    <w:p w14:paraId="1E237D77">
      <w:pPr>
        <w:ind w:firstLine="560"/>
        <w:rPr>
          <w:rFonts w:ascii="宋体" w:hAnsi="宋体" w:cs="宋体"/>
          <w:sz w:val="28"/>
          <w:szCs w:val="28"/>
        </w:rPr>
      </w:pPr>
    </w:p>
    <w:p w14:paraId="2811E26F">
      <w:pPr>
        <w:pStyle w:val="33"/>
        <w:rPr>
          <w:rFonts w:ascii="宋体" w:hAnsi="宋体" w:cs="宋体"/>
        </w:rPr>
      </w:pPr>
    </w:p>
    <w:p w14:paraId="66DA695B">
      <w:pPr>
        <w:ind w:firstLine="420"/>
        <w:rPr>
          <w:rFonts w:ascii="宋体" w:hAnsi="宋体" w:cs="宋体"/>
        </w:rPr>
      </w:pPr>
    </w:p>
    <w:p w14:paraId="1E11B163">
      <w:pPr>
        <w:ind w:firstLine="420"/>
        <w:rPr>
          <w:rFonts w:ascii="宋体" w:hAnsi="宋体" w:cs="宋体"/>
        </w:rPr>
      </w:pPr>
    </w:p>
    <w:p w14:paraId="5FAEB301">
      <w:pPr>
        <w:pStyle w:val="33"/>
        <w:rPr>
          <w:rFonts w:ascii="宋体" w:hAnsi="宋体" w:cs="宋体"/>
        </w:rPr>
      </w:pPr>
    </w:p>
    <w:p w14:paraId="55829F66">
      <w:pPr>
        <w:pStyle w:val="8"/>
        <w:ind w:firstLine="482"/>
        <w:jc w:val="center"/>
        <w:rPr>
          <w:rFonts w:ascii="宋体" w:hAnsi="宋体" w:eastAsia="宋体" w:cs="宋体"/>
        </w:rPr>
      </w:pPr>
      <w:bookmarkStart w:id="1325" w:name="_Toc13548"/>
      <w:bookmarkStart w:id="1326" w:name="_Toc32701"/>
      <w:bookmarkStart w:id="1327" w:name="_Toc15445"/>
      <w:bookmarkStart w:id="1328" w:name="_Toc7574"/>
    </w:p>
    <w:p w14:paraId="57BE9406">
      <w:pPr>
        <w:ind w:firstLine="420"/>
        <w:rPr>
          <w:rFonts w:ascii="宋体" w:hAnsi="宋体" w:cs="宋体"/>
        </w:rPr>
      </w:pPr>
    </w:p>
    <w:p w14:paraId="4ED1CE1D">
      <w:pPr>
        <w:pStyle w:val="8"/>
        <w:ind w:firstLine="482"/>
        <w:jc w:val="center"/>
        <w:rPr>
          <w:rFonts w:ascii="宋体" w:hAnsi="宋体" w:eastAsia="宋体" w:cs="宋体"/>
        </w:rPr>
      </w:pPr>
    </w:p>
    <w:p w14:paraId="115ECF72">
      <w:pPr>
        <w:ind w:firstLine="420"/>
      </w:pPr>
    </w:p>
    <w:p w14:paraId="1644D248">
      <w:pPr>
        <w:rPr>
          <w:rFonts w:hint="eastAsia" w:ascii="宋体" w:hAnsi="宋体" w:eastAsia="宋体" w:cs="宋体"/>
        </w:rPr>
      </w:pPr>
      <w:bookmarkStart w:id="1329" w:name="_Toc27755"/>
      <w:bookmarkStart w:id="1330" w:name="_Toc5368"/>
      <w:r>
        <w:rPr>
          <w:rFonts w:hint="eastAsia" w:ascii="宋体" w:hAnsi="宋体" w:eastAsia="宋体" w:cs="宋体"/>
        </w:rPr>
        <w:br w:type="page"/>
      </w:r>
    </w:p>
    <w:p w14:paraId="55D6A1CC">
      <w:pPr>
        <w:pStyle w:val="8"/>
        <w:ind w:firstLine="482"/>
        <w:jc w:val="center"/>
        <w:rPr>
          <w:rFonts w:hint="eastAsia" w:ascii="宋体" w:hAnsi="宋体" w:eastAsia="宋体" w:cs="宋体"/>
          <w:lang w:eastAsia="zh-CN"/>
        </w:rPr>
      </w:pPr>
      <w:r>
        <w:rPr>
          <w:rFonts w:hint="eastAsia" w:ascii="宋体" w:hAnsi="宋体" w:eastAsia="宋体" w:cs="宋体"/>
        </w:rPr>
        <w:t>八、</w:t>
      </w:r>
      <w:bookmarkStart w:id="1331" w:name="_Toc523494085"/>
      <w:bookmarkStart w:id="1332" w:name="_Toc525210051"/>
      <w:r>
        <w:rPr>
          <w:rFonts w:hint="eastAsia" w:ascii="宋体" w:hAnsi="宋体" w:eastAsia="宋体" w:cs="宋体"/>
        </w:rPr>
        <w:t>中小企业声明函</w:t>
      </w:r>
      <w:bookmarkEnd w:id="1325"/>
      <w:bookmarkEnd w:id="1326"/>
      <w:bookmarkEnd w:id="1327"/>
      <w:bookmarkEnd w:id="1328"/>
      <w:bookmarkEnd w:id="1329"/>
      <w:bookmarkEnd w:id="1330"/>
      <w:bookmarkEnd w:id="1331"/>
      <w:bookmarkEnd w:id="1332"/>
      <w:r>
        <w:rPr>
          <w:rFonts w:hint="eastAsia" w:ascii="宋体" w:hAnsi="宋体" w:eastAsia="宋体" w:cs="宋体"/>
          <w:lang w:eastAsia="zh-CN"/>
        </w:rPr>
        <w:t>（</w:t>
      </w:r>
      <w:r>
        <w:rPr>
          <w:rFonts w:hint="eastAsia" w:ascii="宋体" w:hAnsi="宋体" w:eastAsia="宋体" w:cs="宋体"/>
          <w:lang w:val="en-US" w:eastAsia="zh-CN"/>
        </w:rPr>
        <w:t>服务</w:t>
      </w:r>
      <w:r>
        <w:rPr>
          <w:rFonts w:hint="eastAsia" w:ascii="宋体" w:hAnsi="宋体" w:eastAsia="宋体" w:cs="宋体"/>
          <w:lang w:eastAsia="zh-CN"/>
        </w:rPr>
        <w:t>）</w:t>
      </w:r>
    </w:p>
    <w:p w14:paraId="22C66C3E">
      <w:pPr>
        <w:ind w:firstLine="420"/>
        <w:rPr>
          <w:rFonts w:ascii="宋体" w:hAnsi="宋体" w:cs="宋体"/>
        </w:rPr>
      </w:pPr>
    </w:p>
    <w:p w14:paraId="53C3A6EF">
      <w:pPr>
        <w:pStyle w:val="15"/>
        <w:rPr>
          <w:rFonts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u w:val="single"/>
        </w:rPr>
        <w:t xml:space="preserve">  （单位名称）  </w:t>
      </w:r>
      <w:r>
        <w:rPr>
          <w:rFonts w:hint="eastAsia" w:ascii="宋体" w:hAnsi="宋体" w:cs="宋体"/>
        </w:rPr>
        <w:t>的</w:t>
      </w:r>
      <w:r>
        <w:rPr>
          <w:rFonts w:hint="eastAsia" w:ascii="宋体" w:hAnsi="宋体" w:cs="宋体"/>
          <w:u w:val="single"/>
        </w:rPr>
        <w:t xml:space="preserve">  （项目名称）  </w:t>
      </w:r>
      <w:r>
        <w:rPr>
          <w:rFonts w:hint="eastAsia" w:ascii="宋体" w:hAnsi="宋体" w:cs="宋体"/>
        </w:rPr>
        <w:t xml:space="preserve">采购活动，服务全部由符合政策要求的中小企业承接。相关企业（含联合）体中的中小企业、签订分包意向协议的中小企业）的具体情 况如下： </w:t>
      </w:r>
    </w:p>
    <w:p w14:paraId="7BDA4623">
      <w:pPr>
        <w:pStyle w:val="15"/>
        <w:rPr>
          <w:rFonts w:ascii="宋体" w:hAnsi="宋体" w:cs="宋体"/>
        </w:rPr>
      </w:pPr>
      <w:r>
        <w:rPr>
          <w:rFonts w:hint="eastAsia" w:ascii="宋体" w:hAnsi="宋体" w:cs="宋体"/>
        </w:rPr>
        <w:t xml:space="preserve">1. </w:t>
      </w:r>
      <w:r>
        <w:rPr>
          <w:rFonts w:hint="eastAsia" w:ascii="宋体" w:hAnsi="宋体" w:cs="宋体"/>
          <w:u w:val="single"/>
        </w:rPr>
        <w:t xml:space="preserve">（标的名称） </w:t>
      </w:r>
      <w:r>
        <w:rPr>
          <w:rFonts w:hint="eastAsia" w:ascii="宋体" w:hAnsi="宋体" w:cs="宋体"/>
        </w:rPr>
        <w:t>，属于（采购文件中明确的所属行业）；承建（承接）企业为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 xml:space="preserve">； </w:t>
      </w:r>
    </w:p>
    <w:p w14:paraId="7276A693">
      <w:pPr>
        <w:pStyle w:val="15"/>
        <w:rPr>
          <w:rFonts w:ascii="宋体" w:hAnsi="宋体" w:cs="宋体"/>
        </w:rPr>
      </w:pPr>
      <w:r>
        <w:rPr>
          <w:rFonts w:hint="eastAsia" w:ascii="宋体" w:hAnsi="宋体" w:cs="宋体"/>
        </w:rPr>
        <w:t xml:space="preserve">2. </w:t>
      </w:r>
      <w:r>
        <w:rPr>
          <w:rFonts w:hint="eastAsia" w:ascii="宋体" w:hAnsi="宋体" w:cs="宋体"/>
          <w:u w:val="single"/>
        </w:rPr>
        <w:t>（标的名称）</w:t>
      </w:r>
      <w:r>
        <w:rPr>
          <w:rFonts w:hint="eastAsia" w:ascii="宋体" w:hAnsi="宋体" w:cs="宋体"/>
        </w:rPr>
        <w:t xml:space="preserve"> ，属于（采购文件中明确的所属行业）；承建（承接）企业为</w:t>
      </w:r>
      <w:r>
        <w:rPr>
          <w:rFonts w:hint="eastAsia" w:ascii="宋体" w:hAnsi="宋体" w:cs="宋体"/>
          <w:u w:val="single"/>
        </w:rPr>
        <w:t>（企业名称）</w:t>
      </w:r>
      <w:r>
        <w:rPr>
          <w:rFonts w:hint="eastAsia" w:ascii="宋体" w:hAnsi="宋体" w:cs="宋体"/>
        </w:rPr>
        <w:t>，从业人员</w:t>
      </w:r>
      <w:r>
        <w:rPr>
          <w:rFonts w:hint="eastAsia" w:ascii="宋体" w:hAnsi="宋体" w:cs="宋体"/>
          <w:u w:val="single"/>
        </w:rPr>
        <w:t xml:space="preserve">       </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（中型企业、小型企业、微型企业）</w:t>
      </w:r>
      <w:r>
        <w:rPr>
          <w:rFonts w:hint="eastAsia" w:ascii="宋体" w:hAnsi="宋体" w:cs="宋体"/>
        </w:rPr>
        <w:t xml:space="preserve">； </w:t>
      </w:r>
    </w:p>
    <w:p w14:paraId="5A019325">
      <w:pPr>
        <w:pStyle w:val="15"/>
        <w:rPr>
          <w:rFonts w:ascii="宋体" w:hAnsi="宋体" w:cs="宋体"/>
        </w:rPr>
      </w:pPr>
      <w:r>
        <w:rPr>
          <w:rFonts w:hint="eastAsia" w:ascii="宋体" w:hAnsi="宋体" w:cs="宋体"/>
        </w:rPr>
        <w:t xml:space="preserve">…… </w:t>
      </w:r>
    </w:p>
    <w:p w14:paraId="4A57E2C4">
      <w:pPr>
        <w:pStyle w:val="15"/>
        <w:rPr>
          <w:rFonts w:ascii="宋体" w:hAnsi="宋体" w:cs="宋体"/>
        </w:rPr>
      </w:pPr>
      <w:r>
        <w:rPr>
          <w:rFonts w:hint="eastAsia" w:ascii="宋体" w:hAnsi="宋体" w:cs="宋体"/>
        </w:rPr>
        <w:t xml:space="preserve">以上企业，不属于大企业的分支机构，不存在控股股东为大企业的情形，也不存在与大企业的负责人为同一人的情形。 </w:t>
      </w:r>
    </w:p>
    <w:p w14:paraId="40EFF92C">
      <w:pPr>
        <w:pStyle w:val="15"/>
        <w:rPr>
          <w:rFonts w:ascii="宋体" w:hAnsi="宋体" w:cs="宋体"/>
        </w:rPr>
      </w:pPr>
      <w:r>
        <w:rPr>
          <w:rFonts w:hint="eastAsia" w:ascii="宋体" w:hAnsi="宋体" w:cs="宋体"/>
        </w:rPr>
        <w:t xml:space="preserve">本企业对上述声明内容的真实性负责。如有虚假，将依 法承担相应责任。 </w:t>
      </w:r>
    </w:p>
    <w:p w14:paraId="2423D6A9">
      <w:pPr>
        <w:pStyle w:val="15"/>
        <w:ind w:firstLine="0" w:firstLineChars="0"/>
        <w:rPr>
          <w:rFonts w:ascii="宋体" w:hAnsi="宋体" w:cs="宋体"/>
        </w:rPr>
      </w:pPr>
    </w:p>
    <w:p w14:paraId="1C3D6F98">
      <w:pPr>
        <w:pStyle w:val="15"/>
        <w:ind w:left="3360" w:leftChars="1600"/>
        <w:rPr>
          <w:rFonts w:ascii="宋体" w:hAnsi="宋体" w:cs="宋体"/>
          <w:u w:val="single"/>
        </w:rPr>
      </w:pPr>
      <w:r>
        <w:rPr>
          <w:rFonts w:hint="eastAsia" w:ascii="宋体" w:hAnsi="宋体" w:cs="宋体"/>
        </w:rPr>
        <w:t>企业名称（</w:t>
      </w:r>
      <w:r>
        <w:rPr>
          <w:rFonts w:hint="eastAsia" w:ascii="宋体" w:hAnsi="宋体" w:eastAsia="宋体" w:cs="Times New Roman"/>
          <w:color w:val="auto"/>
          <w:kern w:val="2"/>
          <w:sz w:val="21"/>
          <w:szCs w:val="21"/>
          <w:highlight w:val="none"/>
          <w:lang w:val="en-US" w:eastAsia="zh-CN" w:bidi="ar-SA"/>
        </w:rPr>
        <w:t>单位电子签章</w:t>
      </w:r>
      <w:r>
        <w:rPr>
          <w:rFonts w:hint="eastAsia" w:ascii="宋体" w:hAnsi="宋体" w:cs="宋体"/>
        </w:rPr>
        <w:t>）：</w:t>
      </w:r>
      <w:r>
        <w:rPr>
          <w:rFonts w:hint="eastAsia" w:ascii="宋体" w:hAnsi="宋体" w:cs="宋体"/>
          <w:u w:val="single"/>
        </w:rPr>
        <w:t xml:space="preserve">                     </w:t>
      </w:r>
    </w:p>
    <w:p w14:paraId="6BEA6A94">
      <w:pPr>
        <w:pStyle w:val="15"/>
        <w:ind w:left="3360" w:leftChars="1600"/>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72C6B882">
      <w:pPr>
        <w:pStyle w:val="15"/>
        <w:ind w:left="3360" w:leftChars="1600"/>
        <w:rPr>
          <w:rFonts w:ascii="宋体" w:hAnsi="宋体" w:cs="宋体"/>
          <w:u w:val="single"/>
        </w:rPr>
      </w:pPr>
    </w:p>
    <w:p w14:paraId="75E8DC06">
      <w:pPr>
        <w:ind w:firstLine="420"/>
        <w:rPr>
          <w:rFonts w:ascii="宋体" w:hAnsi="宋体" w:cs="宋体"/>
        </w:rPr>
      </w:pPr>
      <w:r>
        <w:rPr>
          <w:rFonts w:hint="eastAsia" w:ascii="宋体" w:hAnsi="宋体" w:cs="宋体"/>
        </w:rPr>
        <w:t>1、从业人员、营业收入、资产总额填报上一年度数据，无上一年度数据的新成立企业可不填报。</w:t>
      </w:r>
    </w:p>
    <w:p w14:paraId="4C9A7C95">
      <w:pPr>
        <w:ind w:firstLine="420"/>
        <w:rPr>
          <w:rFonts w:ascii="宋体" w:hAnsi="宋体" w:eastAsia="宋体" w:cs="宋体"/>
        </w:rPr>
      </w:pPr>
      <w:r>
        <w:rPr>
          <w:rFonts w:hint="eastAsia" w:ascii="宋体" w:hAnsi="宋体" w:cs="宋体"/>
        </w:rPr>
        <w:t>2、所投项目供应商属于中小微企业的填写，不属于的无需填写此项内容。</w:t>
      </w:r>
      <w:bookmarkStart w:id="1333" w:name="_Toc4766"/>
      <w:bookmarkStart w:id="1334" w:name="_Toc7101"/>
      <w:bookmarkStart w:id="1335" w:name="_Toc8309"/>
      <w:bookmarkStart w:id="1336" w:name="_Toc13679"/>
      <w:bookmarkStart w:id="1337" w:name="_Toc24002"/>
    </w:p>
    <w:p w14:paraId="0E937ED0">
      <w:pPr>
        <w:bidi w:val="0"/>
        <w:jc w:val="center"/>
        <w:rPr>
          <w:rFonts w:hint="eastAsia"/>
          <w:b/>
          <w:bCs/>
          <w:color w:val="auto"/>
          <w:sz w:val="28"/>
          <w:szCs w:val="36"/>
          <w:highlight w:val="none"/>
        </w:rPr>
      </w:pPr>
      <w:bookmarkStart w:id="1338" w:name="_Toc18371"/>
      <w:bookmarkStart w:id="1339" w:name="_Toc14345"/>
      <w:r>
        <w:rPr>
          <w:rFonts w:hint="eastAsia" w:ascii="宋体" w:hAnsi="宋体" w:eastAsia="宋体" w:cs="宋体"/>
        </w:rPr>
        <w:br w:type="page"/>
      </w:r>
      <w:r>
        <w:rPr>
          <w:rFonts w:hint="eastAsia"/>
          <w:b/>
          <w:bCs/>
          <w:color w:val="auto"/>
          <w:sz w:val="28"/>
          <w:szCs w:val="36"/>
          <w:highlight w:val="none"/>
        </w:rPr>
        <w:t>国家统计局《统计上大中小微型企业划分标准》</w:t>
      </w:r>
    </w:p>
    <w:tbl>
      <w:tblPr>
        <w:tblStyle w:val="3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8"/>
        <w:gridCol w:w="1398"/>
        <w:gridCol w:w="725"/>
        <w:gridCol w:w="1149"/>
        <w:gridCol w:w="1738"/>
        <w:gridCol w:w="1456"/>
        <w:gridCol w:w="1014"/>
      </w:tblGrid>
      <w:tr w14:paraId="0CAE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6CD550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行业名称</w:t>
            </w:r>
          </w:p>
        </w:tc>
        <w:tc>
          <w:tcPr>
            <w:tcW w:w="1523" w:type="dxa"/>
            <w:tcBorders>
              <w:tl2br w:val="nil"/>
              <w:tr2bl w:val="nil"/>
            </w:tcBorders>
            <w:noWrap w:val="0"/>
            <w:vAlign w:val="center"/>
          </w:tcPr>
          <w:p w14:paraId="3AC3CA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指标名称</w:t>
            </w:r>
          </w:p>
        </w:tc>
        <w:tc>
          <w:tcPr>
            <w:tcW w:w="789" w:type="dxa"/>
            <w:tcBorders>
              <w:tl2br w:val="nil"/>
              <w:tr2bl w:val="nil"/>
            </w:tcBorders>
            <w:noWrap w:val="0"/>
            <w:vAlign w:val="center"/>
          </w:tcPr>
          <w:p w14:paraId="359D0C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w:t>
            </w:r>
          </w:p>
          <w:p w14:paraId="03F3A7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251" w:type="dxa"/>
            <w:tcBorders>
              <w:tl2br w:val="nil"/>
              <w:tr2bl w:val="nil"/>
            </w:tcBorders>
            <w:noWrap w:val="0"/>
            <w:vAlign w:val="center"/>
          </w:tcPr>
          <w:p w14:paraId="691BFB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大型</w:t>
            </w:r>
          </w:p>
        </w:tc>
        <w:tc>
          <w:tcPr>
            <w:tcW w:w="1893" w:type="dxa"/>
            <w:tcBorders>
              <w:tl2br w:val="nil"/>
              <w:tr2bl w:val="nil"/>
            </w:tcBorders>
            <w:noWrap w:val="0"/>
            <w:vAlign w:val="center"/>
          </w:tcPr>
          <w:p w14:paraId="2D177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中型</w:t>
            </w:r>
          </w:p>
        </w:tc>
        <w:tc>
          <w:tcPr>
            <w:tcW w:w="1586" w:type="dxa"/>
            <w:tcBorders>
              <w:tl2br w:val="nil"/>
              <w:tr2bl w:val="nil"/>
            </w:tcBorders>
            <w:noWrap w:val="0"/>
            <w:vAlign w:val="center"/>
          </w:tcPr>
          <w:p w14:paraId="362BA8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小型</w:t>
            </w:r>
          </w:p>
        </w:tc>
        <w:tc>
          <w:tcPr>
            <w:tcW w:w="1103" w:type="dxa"/>
            <w:tcBorders>
              <w:tl2br w:val="nil"/>
              <w:tr2bl w:val="nil"/>
            </w:tcBorders>
            <w:noWrap w:val="0"/>
            <w:vAlign w:val="center"/>
          </w:tcPr>
          <w:p w14:paraId="450A1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微型</w:t>
            </w:r>
          </w:p>
        </w:tc>
      </w:tr>
      <w:tr w14:paraId="040AA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42DC66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1523" w:type="dxa"/>
            <w:tcBorders>
              <w:tl2br w:val="nil"/>
              <w:tr2bl w:val="nil"/>
            </w:tcBorders>
            <w:noWrap w:val="0"/>
            <w:vAlign w:val="center"/>
          </w:tcPr>
          <w:p w14:paraId="1AAE6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60AEB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C24BE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w:t>
            </w:r>
          </w:p>
        </w:tc>
        <w:tc>
          <w:tcPr>
            <w:tcW w:w="1893" w:type="dxa"/>
            <w:tcBorders>
              <w:tl2br w:val="nil"/>
              <w:tr2bl w:val="nil"/>
            </w:tcBorders>
            <w:noWrap w:val="0"/>
            <w:vAlign w:val="center"/>
          </w:tcPr>
          <w:p w14:paraId="094025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500≤Y＜20000</w:t>
            </w:r>
          </w:p>
        </w:tc>
        <w:tc>
          <w:tcPr>
            <w:tcW w:w="1586" w:type="dxa"/>
            <w:tcBorders>
              <w:tl2br w:val="nil"/>
              <w:tr2bl w:val="nil"/>
            </w:tcBorders>
            <w:noWrap w:val="0"/>
            <w:vAlign w:val="center"/>
          </w:tcPr>
          <w:p w14:paraId="4DA85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50≤Y＜500</w:t>
            </w:r>
          </w:p>
        </w:tc>
        <w:tc>
          <w:tcPr>
            <w:tcW w:w="1103" w:type="dxa"/>
            <w:tcBorders>
              <w:tl2br w:val="nil"/>
              <w:tr2bl w:val="nil"/>
            </w:tcBorders>
            <w:noWrap w:val="0"/>
            <w:vAlign w:val="center"/>
          </w:tcPr>
          <w:p w14:paraId="339EA7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w:t>
            </w:r>
          </w:p>
        </w:tc>
      </w:tr>
      <w:tr w14:paraId="06A83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70E9EA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 *</w:t>
            </w:r>
          </w:p>
        </w:tc>
        <w:tc>
          <w:tcPr>
            <w:tcW w:w="1523" w:type="dxa"/>
            <w:tcBorders>
              <w:tl2br w:val="nil"/>
              <w:tr2bl w:val="nil"/>
            </w:tcBorders>
            <w:noWrap w:val="0"/>
            <w:vAlign w:val="center"/>
          </w:tcPr>
          <w:p w14:paraId="1EEBC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54AAEC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335C2A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26911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2CA94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p w14:paraId="45A03A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Y≥40000</w:t>
            </w:r>
          </w:p>
        </w:tc>
        <w:tc>
          <w:tcPr>
            <w:tcW w:w="1893" w:type="dxa"/>
            <w:tcBorders>
              <w:tl2br w:val="nil"/>
              <w:tr2bl w:val="nil"/>
            </w:tcBorders>
            <w:noWrap w:val="0"/>
            <w:vAlign w:val="center"/>
          </w:tcPr>
          <w:p w14:paraId="507199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p w14:paraId="1FB2C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2000≤Y＜40000</w:t>
            </w:r>
          </w:p>
        </w:tc>
        <w:tc>
          <w:tcPr>
            <w:tcW w:w="1586" w:type="dxa"/>
            <w:tcBorders>
              <w:tl2br w:val="nil"/>
              <w:tr2bl w:val="nil"/>
            </w:tcBorders>
            <w:noWrap w:val="0"/>
            <w:vAlign w:val="center"/>
          </w:tcPr>
          <w:p w14:paraId="05B21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p w14:paraId="619CAC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300≤Y＜2000</w:t>
            </w:r>
          </w:p>
        </w:tc>
        <w:tc>
          <w:tcPr>
            <w:tcW w:w="1103" w:type="dxa"/>
            <w:tcBorders>
              <w:tl2br w:val="nil"/>
              <w:tr2bl w:val="nil"/>
            </w:tcBorders>
            <w:noWrap w:val="0"/>
            <w:vAlign w:val="center"/>
          </w:tcPr>
          <w:p w14:paraId="0F9A79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p w14:paraId="1A3B50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w:t>
            </w:r>
          </w:p>
        </w:tc>
      </w:tr>
      <w:tr w14:paraId="7B1B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274731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1523" w:type="dxa"/>
            <w:tcBorders>
              <w:tl2br w:val="nil"/>
              <w:tr2bl w:val="nil"/>
            </w:tcBorders>
            <w:noWrap w:val="0"/>
            <w:vAlign w:val="center"/>
          </w:tcPr>
          <w:p w14:paraId="1CF8A5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p w14:paraId="1171E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789" w:type="dxa"/>
            <w:tcBorders>
              <w:tl2br w:val="nil"/>
              <w:tr2bl w:val="nil"/>
            </w:tcBorders>
            <w:noWrap w:val="0"/>
            <w:vAlign w:val="center"/>
          </w:tcPr>
          <w:p w14:paraId="0FC37B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p w14:paraId="40850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5A121E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Y≥80000</w:t>
            </w:r>
          </w:p>
          <w:p w14:paraId="507BED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Z≥80000</w:t>
            </w:r>
          </w:p>
        </w:tc>
        <w:tc>
          <w:tcPr>
            <w:tcW w:w="1893" w:type="dxa"/>
            <w:tcBorders>
              <w:tl2br w:val="nil"/>
              <w:tr2bl w:val="nil"/>
            </w:tcBorders>
            <w:noWrap w:val="0"/>
            <w:vAlign w:val="center"/>
          </w:tcPr>
          <w:p w14:paraId="08569D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6000≤Y＜80000</w:t>
            </w:r>
          </w:p>
          <w:p w14:paraId="1F117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5000≤Z＜80000</w:t>
            </w:r>
          </w:p>
        </w:tc>
        <w:tc>
          <w:tcPr>
            <w:tcW w:w="1586" w:type="dxa"/>
            <w:tcBorders>
              <w:tl2br w:val="nil"/>
              <w:tr2bl w:val="nil"/>
            </w:tcBorders>
            <w:noWrap w:val="0"/>
            <w:vAlign w:val="center"/>
          </w:tcPr>
          <w:p w14:paraId="383B96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300≤Y＜6000</w:t>
            </w:r>
          </w:p>
          <w:p w14:paraId="6B8CC1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300≤Z＜5000</w:t>
            </w:r>
          </w:p>
        </w:tc>
        <w:tc>
          <w:tcPr>
            <w:tcW w:w="1103" w:type="dxa"/>
            <w:tcBorders>
              <w:tl2br w:val="nil"/>
              <w:tr2bl w:val="nil"/>
            </w:tcBorders>
            <w:noWrap w:val="0"/>
            <w:vAlign w:val="center"/>
          </w:tcPr>
          <w:p w14:paraId="6A9E09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w:t>
            </w:r>
          </w:p>
          <w:p w14:paraId="639C14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Z＜300</w:t>
            </w:r>
          </w:p>
        </w:tc>
      </w:tr>
      <w:tr w14:paraId="5D26F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17535F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1523" w:type="dxa"/>
            <w:tcBorders>
              <w:tl2br w:val="nil"/>
              <w:tr2bl w:val="nil"/>
            </w:tcBorders>
            <w:noWrap w:val="0"/>
            <w:vAlign w:val="center"/>
          </w:tcPr>
          <w:p w14:paraId="78A775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7408EB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537DE9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68E62E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1C2C2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w:t>
            </w:r>
          </w:p>
          <w:p w14:paraId="4A141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Y≥40000</w:t>
            </w:r>
          </w:p>
        </w:tc>
        <w:tc>
          <w:tcPr>
            <w:tcW w:w="1893" w:type="dxa"/>
            <w:tcBorders>
              <w:tl2br w:val="nil"/>
              <w:tr2bl w:val="nil"/>
            </w:tcBorders>
            <w:noWrap w:val="0"/>
            <w:vAlign w:val="center"/>
          </w:tcPr>
          <w:p w14:paraId="08F6AB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20≤X＜200</w:t>
            </w:r>
          </w:p>
          <w:p w14:paraId="44CDB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5000≤Y＜40000</w:t>
            </w:r>
          </w:p>
        </w:tc>
        <w:tc>
          <w:tcPr>
            <w:tcW w:w="1586" w:type="dxa"/>
            <w:tcBorders>
              <w:tl2br w:val="nil"/>
              <w:tr2bl w:val="nil"/>
            </w:tcBorders>
            <w:noWrap w:val="0"/>
            <w:vAlign w:val="center"/>
          </w:tcPr>
          <w:p w14:paraId="4A73CE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5≤X＜20</w:t>
            </w:r>
          </w:p>
          <w:p w14:paraId="0A9A75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1000≤Y＜5000</w:t>
            </w:r>
          </w:p>
        </w:tc>
        <w:tc>
          <w:tcPr>
            <w:tcW w:w="1103" w:type="dxa"/>
            <w:tcBorders>
              <w:tl2br w:val="nil"/>
              <w:tr2bl w:val="nil"/>
            </w:tcBorders>
            <w:noWrap w:val="0"/>
            <w:vAlign w:val="center"/>
          </w:tcPr>
          <w:p w14:paraId="6A529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X＜5</w:t>
            </w:r>
          </w:p>
          <w:p w14:paraId="3C80DD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w:t>
            </w:r>
          </w:p>
        </w:tc>
      </w:tr>
      <w:tr w14:paraId="61921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699598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1523" w:type="dxa"/>
            <w:tcBorders>
              <w:tl2br w:val="nil"/>
              <w:tr2bl w:val="nil"/>
            </w:tcBorders>
            <w:noWrap w:val="0"/>
            <w:vAlign w:val="center"/>
          </w:tcPr>
          <w:p w14:paraId="2E4DA4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4B3305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0E9A15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4DE051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CE9F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21AA57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w:t>
            </w:r>
          </w:p>
        </w:tc>
        <w:tc>
          <w:tcPr>
            <w:tcW w:w="1893" w:type="dxa"/>
            <w:tcBorders>
              <w:tl2br w:val="nil"/>
              <w:tr2bl w:val="nil"/>
            </w:tcBorders>
            <w:noWrap w:val="0"/>
            <w:vAlign w:val="center"/>
          </w:tcPr>
          <w:p w14:paraId="1642D1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50≤X＜300</w:t>
            </w:r>
          </w:p>
          <w:p w14:paraId="7F1A7C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500≤Y＜20000</w:t>
            </w:r>
          </w:p>
        </w:tc>
        <w:tc>
          <w:tcPr>
            <w:tcW w:w="1586" w:type="dxa"/>
            <w:tcBorders>
              <w:tl2br w:val="nil"/>
              <w:tr2bl w:val="nil"/>
            </w:tcBorders>
            <w:noWrap w:val="0"/>
            <w:vAlign w:val="center"/>
          </w:tcPr>
          <w:p w14:paraId="1D4628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10≤X＜50</w:t>
            </w:r>
          </w:p>
          <w:p w14:paraId="0DBC36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100≤Y＜500</w:t>
            </w:r>
          </w:p>
        </w:tc>
        <w:tc>
          <w:tcPr>
            <w:tcW w:w="1103" w:type="dxa"/>
            <w:tcBorders>
              <w:tl2br w:val="nil"/>
              <w:tr2bl w:val="nil"/>
            </w:tcBorders>
            <w:noWrap w:val="0"/>
            <w:vAlign w:val="center"/>
          </w:tcPr>
          <w:p w14:paraId="43919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504019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01AF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3165A1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w:t>
            </w:r>
          </w:p>
        </w:tc>
        <w:tc>
          <w:tcPr>
            <w:tcW w:w="1523" w:type="dxa"/>
            <w:tcBorders>
              <w:tl2br w:val="nil"/>
              <w:tr2bl w:val="nil"/>
            </w:tcBorders>
            <w:noWrap w:val="0"/>
            <w:vAlign w:val="center"/>
          </w:tcPr>
          <w:p w14:paraId="657EA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6945A6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25BD36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724E77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174DB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p w14:paraId="254635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93" w:type="dxa"/>
            <w:tcBorders>
              <w:tl2br w:val="nil"/>
              <w:tr2bl w:val="nil"/>
            </w:tcBorders>
            <w:noWrap w:val="0"/>
            <w:vAlign w:val="center"/>
          </w:tcPr>
          <w:p w14:paraId="52B177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p w14:paraId="18F4D7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3000≤Y＜30000</w:t>
            </w:r>
          </w:p>
        </w:tc>
        <w:tc>
          <w:tcPr>
            <w:tcW w:w="1586" w:type="dxa"/>
            <w:tcBorders>
              <w:tl2br w:val="nil"/>
              <w:tr2bl w:val="nil"/>
            </w:tcBorders>
            <w:noWrap w:val="0"/>
            <w:vAlign w:val="center"/>
          </w:tcPr>
          <w:p w14:paraId="56D155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p w14:paraId="374B9C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200≤Y＜3000</w:t>
            </w:r>
          </w:p>
        </w:tc>
        <w:tc>
          <w:tcPr>
            <w:tcW w:w="1103" w:type="dxa"/>
            <w:tcBorders>
              <w:tl2br w:val="nil"/>
              <w:tr2bl w:val="nil"/>
            </w:tcBorders>
            <w:noWrap w:val="0"/>
            <w:vAlign w:val="center"/>
          </w:tcPr>
          <w:p w14:paraId="17AFFF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p w14:paraId="3AA127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w:t>
            </w:r>
          </w:p>
        </w:tc>
      </w:tr>
      <w:tr w14:paraId="14B3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5286F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1523" w:type="dxa"/>
            <w:tcBorders>
              <w:tl2br w:val="nil"/>
              <w:tr2bl w:val="nil"/>
            </w:tcBorders>
            <w:noWrap w:val="0"/>
            <w:vAlign w:val="center"/>
          </w:tcPr>
          <w:p w14:paraId="445494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72C3B0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7CA22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15B96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5BE7D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w:t>
            </w:r>
          </w:p>
          <w:p w14:paraId="5450C8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93" w:type="dxa"/>
            <w:tcBorders>
              <w:tl2br w:val="nil"/>
              <w:tr2bl w:val="nil"/>
            </w:tcBorders>
            <w:noWrap w:val="0"/>
            <w:vAlign w:val="center"/>
          </w:tcPr>
          <w:p w14:paraId="3A824D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100≤X＜200</w:t>
            </w:r>
          </w:p>
          <w:p w14:paraId="51B0BE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1000≤Y＜30000</w:t>
            </w:r>
          </w:p>
        </w:tc>
        <w:tc>
          <w:tcPr>
            <w:tcW w:w="1586" w:type="dxa"/>
            <w:tcBorders>
              <w:tl2br w:val="nil"/>
              <w:tr2bl w:val="nil"/>
            </w:tcBorders>
            <w:noWrap w:val="0"/>
            <w:vAlign w:val="center"/>
          </w:tcPr>
          <w:p w14:paraId="5F3E2B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20≤X＜100</w:t>
            </w:r>
          </w:p>
          <w:p w14:paraId="2AB361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1103" w:type="dxa"/>
            <w:tcBorders>
              <w:tl2br w:val="nil"/>
              <w:tr2bl w:val="nil"/>
            </w:tcBorders>
            <w:noWrap w:val="0"/>
            <w:vAlign w:val="center"/>
          </w:tcPr>
          <w:p w14:paraId="1BC85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p w14:paraId="0847E3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6853A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342D3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1523" w:type="dxa"/>
            <w:tcBorders>
              <w:tl2br w:val="nil"/>
              <w:tr2bl w:val="nil"/>
            </w:tcBorders>
            <w:noWrap w:val="0"/>
            <w:vAlign w:val="center"/>
          </w:tcPr>
          <w:p w14:paraId="055297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5853E1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6FE211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6C0B16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678918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w:t>
            </w:r>
          </w:p>
          <w:p w14:paraId="02A91E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Y≥30000</w:t>
            </w:r>
          </w:p>
        </w:tc>
        <w:tc>
          <w:tcPr>
            <w:tcW w:w="1893" w:type="dxa"/>
            <w:tcBorders>
              <w:tl2br w:val="nil"/>
              <w:tr2bl w:val="nil"/>
            </w:tcBorders>
            <w:noWrap w:val="0"/>
            <w:vAlign w:val="center"/>
          </w:tcPr>
          <w:p w14:paraId="34C59C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p w14:paraId="72ECB8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2000≤Y＜30000</w:t>
            </w:r>
          </w:p>
        </w:tc>
        <w:tc>
          <w:tcPr>
            <w:tcW w:w="1586" w:type="dxa"/>
            <w:tcBorders>
              <w:tl2br w:val="nil"/>
              <w:tr2bl w:val="nil"/>
            </w:tcBorders>
            <w:noWrap w:val="0"/>
            <w:vAlign w:val="center"/>
          </w:tcPr>
          <w:p w14:paraId="239575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p w14:paraId="54882D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03" w:type="dxa"/>
            <w:tcBorders>
              <w:tl2br w:val="nil"/>
              <w:tr2bl w:val="nil"/>
            </w:tcBorders>
            <w:noWrap w:val="0"/>
            <w:vAlign w:val="center"/>
          </w:tcPr>
          <w:p w14:paraId="1AFE9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p w14:paraId="3C46D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11C5A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4DAA68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1523" w:type="dxa"/>
            <w:tcBorders>
              <w:tl2br w:val="nil"/>
              <w:tr2bl w:val="nil"/>
            </w:tcBorders>
            <w:noWrap w:val="0"/>
            <w:vAlign w:val="center"/>
          </w:tcPr>
          <w:p w14:paraId="1C2843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2C40D0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68DCF1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35319A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2E8536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4308FB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93" w:type="dxa"/>
            <w:tcBorders>
              <w:tl2br w:val="nil"/>
              <w:tr2bl w:val="nil"/>
            </w:tcBorders>
            <w:noWrap w:val="0"/>
            <w:vAlign w:val="center"/>
          </w:tcPr>
          <w:p w14:paraId="0F4E8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12D85B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2000≤Y＜10000</w:t>
            </w:r>
          </w:p>
        </w:tc>
        <w:tc>
          <w:tcPr>
            <w:tcW w:w="1586" w:type="dxa"/>
            <w:tcBorders>
              <w:tl2br w:val="nil"/>
              <w:tr2bl w:val="nil"/>
            </w:tcBorders>
            <w:noWrap w:val="0"/>
            <w:vAlign w:val="center"/>
          </w:tcPr>
          <w:p w14:paraId="098F0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0AA249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03" w:type="dxa"/>
            <w:tcBorders>
              <w:tl2br w:val="nil"/>
              <w:tr2bl w:val="nil"/>
            </w:tcBorders>
            <w:noWrap w:val="0"/>
            <w:vAlign w:val="center"/>
          </w:tcPr>
          <w:p w14:paraId="5DC66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663347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19C9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7D6E71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1523" w:type="dxa"/>
            <w:tcBorders>
              <w:tl2br w:val="nil"/>
              <w:tr2bl w:val="nil"/>
            </w:tcBorders>
            <w:noWrap w:val="0"/>
            <w:vAlign w:val="center"/>
          </w:tcPr>
          <w:p w14:paraId="75FEC2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33E289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24C547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77BB2F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7EAEDD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13B49E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93" w:type="dxa"/>
            <w:tcBorders>
              <w:tl2br w:val="nil"/>
              <w:tr2bl w:val="nil"/>
            </w:tcBorders>
            <w:noWrap w:val="0"/>
            <w:vAlign w:val="center"/>
          </w:tcPr>
          <w:p w14:paraId="5FC124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7858E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2000≤Y＜10000</w:t>
            </w:r>
          </w:p>
        </w:tc>
        <w:tc>
          <w:tcPr>
            <w:tcW w:w="1586" w:type="dxa"/>
            <w:tcBorders>
              <w:tl2br w:val="nil"/>
              <w:tr2bl w:val="nil"/>
            </w:tcBorders>
            <w:noWrap w:val="0"/>
            <w:vAlign w:val="center"/>
          </w:tcPr>
          <w:p w14:paraId="4390C5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00381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03" w:type="dxa"/>
            <w:tcBorders>
              <w:tl2br w:val="nil"/>
              <w:tr2bl w:val="nil"/>
            </w:tcBorders>
            <w:noWrap w:val="0"/>
            <w:vAlign w:val="center"/>
          </w:tcPr>
          <w:p w14:paraId="10EA07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287925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1D3BD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248E68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w:t>
            </w:r>
          </w:p>
        </w:tc>
        <w:tc>
          <w:tcPr>
            <w:tcW w:w="1523" w:type="dxa"/>
            <w:tcBorders>
              <w:tl2br w:val="nil"/>
              <w:tr2bl w:val="nil"/>
            </w:tcBorders>
            <w:noWrap w:val="0"/>
            <w:vAlign w:val="center"/>
          </w:tcPr>
          <w:p w14:paraId="0BF744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60A4E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600A2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1391E4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B6FA4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X≥2000</w:t>
            </w:r>
          </w:p>
          <w:p w14:paraId="7BCBD9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Y≥100000</w:t>
            </w:r>
          </w:p>
        </w:tc>
        <w:tc>
          <w:tcPr>
            <w:tcW w:w="1893" w:type="dxa"/>
            <w:tcBorders>
              <w:tl2br w:val="nil"/>
              <w:tr2bl w:val="nil"/>
            </w:tcBorders>
            <w:noWrap w:val="0"/>
            <w:vAlign w:val="center"/>
          </w:tcPr>
          <w:p w14:paraId="6E994A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100≤X＜2000</w:t>
            </w:r>
          </w:p>
          <w:p w14:paraId="688C54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1000≤Y＜100000</w:t>
            </w:r>
          </w:p>
        </w:tc>
        <w:tc>
          <w:tcPr>
            <w:tcW w:w="1586" w:type="dxa"/>
            <w:tcBorders>
              <w:tl2br w:val="nil"/>
              <w:tr2bl w:val="nil"/>
            </w:tcBorders>
            <w:noWrap w:val="0"/>
            <w:vAlign w:val="center"/>
          </w:tcPr>
          <w:p w14:paraId="689AE2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626CE2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1103" w:type="dxa"/>
            <w:tcBorders>
              <w:tl2br w:val="nil"/>
              <w:tr2bl w:val="nil"/>
            </w:tcBorders>
            <w:noWrap w:val="0"/>
            <w:vAlign w:val="center"/>
          </w:tcPr>
          <w:p w14:paraId="37F42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2AF911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75F28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1F5DC6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1523" w:type="dxa"/>
            <w:tcBorders>
              <w:tl2br w:val="nil"/>
              <w:tr2bl w:val="nil"/>
            </w:tcBorders>
            <w:noWrap w:val="0"/>
            <w:vAlign w:val="center"/>
          </w:tcPr>
          <w:p w14:paraId="18FB4C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39E13D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2D1655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5C07E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7938D4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788D2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Y≥10000</w:t>
            </w:r>
          </w:p>
        </w:tc>
        <w:tc>
          <w:tcPr>
            <w:tcW w:w="1893" w:type="dxa"/>
            <w:tcBorders>
              <w:tl2br w:val="nil"/>
              <w:tr2bl w:val="nil"/>
            </w:tcBorders>
            <w:noWrap w:val="0"/>
            <w:vAlign w:val="center"/>
          </w:tcPr>
          <w:p w14:paraId="79F70D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39EE39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1000≤Y＜10000</w:t>
            </w:r>
          </w:p>
        </w:tc>
        <w:tc>
          <w:tcPr>
            <w:tcW w:w="1586" w:type="dxa"/>
            <w:tcBorders>
              <w:tl2br w:val="nil"/>
              <w:tr2bl w:val="nil"/>
            </w:tcBorders>
            <w:noWrap w:val="0"/>
            <w:vAlign w:val="center"/>
          </w:tcPr>
          <w:p w14:paraId="5C8E8F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23F0DD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50≤Y＜1000</w:t>
            </w:r>
          </w:p>
        </w:tc>
        <w:tc>
          <w:tcPr>
            <w:tcW w:w="1103" w:type="dxa"/>
            <w:tcBorders>
              <w:tl2br w:val="nil"/>
              <w:tr2bl w:val="nil"/>
            </w:tcBorders>
            <w:noWrap w:val="0"/>
            <w:vAlign w:val="center"/>
          </w:tcPr>
          <w:p w14:paraId="771266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4717FF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w:t>
            </w:r>
          </w:p>
        </w:tc>
      </w:tr>
      <w:tr w14:paraId="6F5FD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2ECAE0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1523" w:type="dxa"/>
            <w:tcBorders>
              <w:tl2br w:val="nil"/>
              <w:tr2bl w:val="nil"/>
            </w:tcBorders>
            <w:noWrap w:val="0"/>
            <w:vAlign w:val="center"/>
          </w:tcPr>
          <w:p w14:paraId="751723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p w14:paraId="072E57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789" w:type="dxa"/>
            <w:tcBorders>
              <w:tl2br w:val="nil"/>
              <w:tr2bl w:val="nil"/>
            </w:tcBorders>
            <w:noWrap w:val="0"/>
            <w:vAlign w:val="center"/>
          </w:tcPr>
          <w:p w14:paraId="641FC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p w14:paraId="66460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85A14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Y≥200000</w:t>
            </w:r>
          </w:p>
          <w:p w14:paraId="33F77F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Z≥10000</w:t>
            </w:r>
          </w:p>
        </w:tc>
        <w:tc>
          <w:tcPr>
            <w:tcW w:w="1893" w:type="dxa"/>
            <w:tcBorders>
              <w:tl2br w:val="nil"/>
              <w:tr2bl w:val="nil"/>
            </w:tcBorders>
            <w:noWrap w:val="0"/>
            <w:vAlign w:val="center"/>
          </w:tcPr>
          <w:p w14:paraId="7CFFF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1000≤Y＜200000</w:t>
            </w:r>
          </w:p>
          <w:p w14:paraId="6ED56E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5000≤Z＜10000</w:t>
            </w:r>
          </w:p>
        </w:tc>
        <w:tc>
          <w:tcPr>
            <w:tcW w:w="1586" w:type="dxa"/>
            <w:tcBorders>
              <w:tl2br w:val="nil"/>
              <w:tr2bl w:val="nil"/>
            </w:tcBorders>
            <w:noWrap w:val="0"/>
            <w:vAlign w:val="center"/>
          </w:tcPr>
          <w:p w14:paraId="671B3D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p w14:paraId="3BE7E9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2000≤Z＜5000</w:t>
            </w:r>
          </w:p>
        </w:tc>
        <w:tc>
          <w:tcPr>
            <w:tcW w:w="1103" w:type="dxa"/>
            <w:tcBorders>
              <w:tl2br w:val="nil"/>
              <w:tr2bl w:val="nil"/>
            </w:tcBorders>
            <w:noWrap w:val="0"/>
            <w:vAlign w:val="center"/>
          </w:tcPr>
          <w:p w14:paraId="0341F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p w14:paraId="284961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Z＜2000</w:t>
            </w:r>
          </w:p>
        </w:tc>
      </w:tr>
      <w:tr w14:paraId="6DE5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61DC21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1523" w:type="dxa"/>
            <w:tcBorders>
              <w:tl2br w:val="nil"/>
              <w:tr2bl w:val="nil"/>
            </w:tcBorders>
            <w:noWrap w:val="0"/>
            <w:vAlign w:val="center"/>
          </w:tcPr>
          <w:p w14:paraId="1DEB8E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66FB6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789" w:type="dxa"/>
            <w:tcBorders>
              <w:tl2br w:val="nil"/>
              <w:tr2bl w:val="nil"/>
            </w:tcBorders>
            <w:noWrap w:val="0"/>
            <w:vAlign w:val="center"/>
          </w:tcPr>
          <w:p w14:paraId="468BA3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 </w:t>
            </w:r>
          </w:p>
          <w:p w14:paraId="0E49FA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051A9A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X≥1000 Y≥5000</w:t>
            </w:r>
          </w:p>
        </w:tc>
        <w:tc>
          <w:tcPr>
            <w:tcW w:w="1893" w:type="dxa"/>
            <w:tcBorders>
              <w:tl2br w:val="nil"/>
              <w:tr2bl w:val="nil"/>
            </w:tcBorders>
            <w:noWrap w:val="0"/>
            <w:vAlign w:val="center"/>
          </w:tcPr>
          <w:p w14:paraId="363A2C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p w14:paraId="3FAE77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1000≤Y＜5000</w:t>
            </w:r>
          </w:p>
        </w:tc>
        <w:tc>
          <w:tcPr>
            <w:tcW w:w="1586" w:type="dxa"/>
            <w:tcBorders>
              <w:tl2br w:val="nil"/>
              <w:tr2bl w:val="nil"/>
            </w:tcBorders>
            <w:noWrap w:val="0"/>
            <w:vAlign w:val="center"/>
          </w:tcPr>
          <w:p w14:paraId="19559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44A7E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500≤Y＜1000</w:t>
            </w:r>
          </w:p>
        </w:tc>
        <w:tc>
          <w:tcPr>
            <w:tcW w:w="1103" w:type="dxa"/>
            <w:tcBorders>
              <w:tl2br w:val="nil"/>
              <w:tr2bl w:val="nil"/>
            </w:tcBorders>
            <w:noWrap w:val="0"/>
            <w:vAlign w:val="center"/>
          </w:tcPr>
          <w:p w14:paraId="2CB2A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 Y＜500</w:t>
            </w:r>
          </w:p>
        </w:tc>
      </w:tr>
      <w:tr w14:paraId="558EE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49530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1523" w:type="dxa"/>
            <w:tcBorders>
              <w:tl2br w:val="nil"/>
              <w:tr2bl w:val="nil"/>
            </w:tcBorders>
            <w:noWrap w:val="0"/>
            <w:vAlign w:val="center"/>
          </w:tcPr>
          <w:p w14:paraId="1935EB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p w14:paraId="0FC25E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789" w:type="dxa"/>
            <w:tcBorders>
              <w:tl2br w:val="nil"/>
              <w:tr2bl w:val="nil"/>
            </w:tcBorders>
            <w:noWrap w:val="0"/>
            <w:vAlign w:val="center"/>
          </w:tcPr>
          <w:p w14:paraId="0FAEA9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p w14:paraId="23839E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251" w:type="dxa"/>
            <w:tcBorders>
              <w:tl2br w:val="nil"/>
              <w:tr2bl w:val="nil"/>
            </w:tcBorders>
            <w:noWrap w:val="0"/>
            <w:vAlign w:val="center"/>
          </w:tcPr>
          <w:p w14:paraId="7012FA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p w14:paraId="5FB610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Z≥120000</w:t>
            </w:r>
          </w:p>
        </w:tc>
        <w:tc>
          <w:tcPr>
            <w:tcW w:w="1893" w:type="dxa"/>
            <w:tcBorders>
              <w:tl2br w:val="nil"/>
              <w:tr2bl w:val="nil"/>
            </w:tcBorders>
            <w:noWrap w:val="0"/>
            <w:vAlign w:val="center"/>
          </w:tcPr>
          <w:p w14:paraId="676FD9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p w14:paraId="55BB63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8000≤Z＜120000</w:t>
            </w:r>
          </w:p>
        </w:tc>
        <w:tc>
          <w:tcPr>
            <w:tcW w:w="1586" w:type="dxa"/>
            <w:tcBorders>
              <w:tl2br w:val="nil"/>
              <w:tr2bl w:val="nil"/>
            </w:tcBorders>
            <w:noWrap w:val="0"/>
            <w:vAlign w:val="center"/>
          </w:tcPr>
          <w:p w14:paraId="02BB6C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p w14:paraId="1F56D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100≤Z＜8000</w:t>
            </w:r>
          </w:p>
        </w:tc>
        <w:tc>
          <w:tcPr>
            <w:tcW w:w="1103" w:type="dxa"/>
            <w:tcBorders>
              <w:tl2br w:val="nil"/>
              <w:tr2bl w:val="nil"/>
            </w:tcBorders>
            <w:noWrap w:val="0"/>
            <w:vAlign w:val="center"/>
          </w:tcPr>
          <w:p w14:paraId="587D2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p w14:paraId="4BF67B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Z＜100</w:t>
            </w:r>
          </w:p>
        </w:tc>
      </w:tr>
      <w:tr w14:paraId="09AA8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Borders>
              <w:tl2br w:val="nil"/>
              <w:tr2bl w:val="nil"/>
            </w:tcBorders>
            <w:noWrap w:val="0"/>
            <w:vAlign w:val="center"/>
          </w:tcPr>
          <w:p w14:paraId="296838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 *</w:t>
            </w:r>
          </w:p>
        </w:tc>
        <w:tc>
          <w:tcPr>
            <w:tcW w:w="1523" w:type="dxa"/>
            <w:tcBorders>
              <w:tl2br w:val="nil"/>
              <w:tr2bl w:val="nil"/>
            </w:tcBorders>
            <w:noWrap w:val="0"/>
            <w:vAlign w:val="center"/>
          </w:tcPr>
          <w:p w14:paraId="3B7B4E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789" w:type="dxa"/>
            <w:tcBorders>
              <w:tl2br w:val="nil"/>
              <w:tr2bl w:val="nil"/>
            </w:tcBorders>
            <w:noWrap w:val="0"/>
            <w:vAlign w:val="center"/>
          </w:tcPr>
          <w:p w14:paraId="019DF7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251" w:type="dxa"/>
            <w:tcBorders>
              <w:tl2br w:val="nil"/>
              <w:tr2bl w:val="nil"/>
            </w:tcBorders>
            <w:noWrap w:val="0"/>
            <w:vAlign w:val="center"/>
          </w:tcPr>
          <w:p w14:paraId="6BB808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X≥300</w:t>
            </w:r>
          </w:p>
        </w:tc>
        <w:tc>
          <w:tcPr>
            <w:tcW w:w="1893" w:type="dxa"/>
            <w:tcBorders>
              <w:tl2br w:val="nil"/>
              <w:tr2bl w:val="nil"/>
            </w:tcBorders>
            <w:noWrap w:val="0"/>
            <w:vAlign w:val="center"/>
          </w:tcPr>
          <w:p w14:paraId="45A3A7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586" w:type="dxa"/>
            <w:tcBorders>
              <w:tl2br w:val="nil"/>
              <w:tr2bl w:val="nil"/>
            </w:tcBorders>
            <w:noWrap w:val="0"/>
            <w:vAlign w:val="center"/>
          </w:tcPr>
          <w:p w14:paraId="2CBB6B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1103" w:type="dxa"/>
            <w:tcBorders>
              <w:tl2br w:val="nil"/>
              <w:tr2bl w:val="nil"/>
            </w:tcBorders>
            <w:noWrap w:val="0"/>
            <w:vAlign w:val="center"/>
          </w:tcPr>
          <w:p w14:paraId="1C0DE9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bl>
    <w:p w14:paraId="3FB616DE">
      <w:pPr>
        <w:spacing w:line="460" w:lineRule="exact"/>
        <w:ind w:firstLine="420"/>
        <w:rPr>
          <w:rFonts w:ascii="宋体" w:hAnsi="宋体"/>
          <w:color w:val="auto"/>
          <w:sz w:val="21"/>
          <w:szCs w:val="21"/>
          <w:highlight w:val="none"/>
        </w:rPr>
      </w:pPr>
      <w:r>
        <w:rPr>
          <w:rFonts w:hint="eastAsia" w:ascii="宋体" w:hAnsi="宋体"/>
          <w:color w:val="auto"/>
          <w:sz w:val="21"/>
          <w:szCs w:val="21"/>
          <w:highlight w:val="none"/>
        </w:rPr>
        <w:t xml:space="preserve">说明： </w:t>
      </w:r>
    </w:p>
    <w:p w14:paraId="6525B03D">
      <w:pPr>
        <w:spacing w:line="460" w:lineRule="exact"/>
        <w:ind w:firstLine="420"/>
        <w:rPr>
          <w:rFonts w:ascii="宋体" w:hAnsi="宋体"/>
          <w:color w:val="auto"/>
          <w:sz w:val="21"/>
          <w:szCs w:val="21"/>
          <w:highlight w:val="none"/>
        </w:rPr>
      </w:pPr>
      <w:r>
        <w:rPr>
          <w:rFonts w:ascii="宋体" w:hAnsi="宋体"/>
          <w:color w:val="auto"/>
          <w:sz w:val="21"/>
          <w:szCs w:val="21"/>
          <w:highlight w:val="none"/>
        </w:rPr>
        <w:t xml:space="preserve">1.大型、中型和小型企业须同时满足所列指标的下限，否则下划一档；微型企业只须满足所列指标中的一项即可。 </w:t>
      </w:r>
    </w:p>
    <w:p w14:paraId="45B43834">
      <w:pPr>
        <w:spacing w:line="460" w:lineRule="exact"/>
        <w:ind w:firstLine="420"/>
        <w:rPr>
          <w:rFonts w:ascii="宋体" w:hAnsi="宋体"/>
          <w:color w:val="auto"/>
          <w:sz w:val="21"/>
          <w:szCs w:val="21"/>
          <w:highlight w:val="none"/>
        </w:rPr>
      </w:pPr>
      <w:r>
        <w:rPr>
          <w:rFonts w:ascii="宋体" w:hAnsi="宋体"/>
          <w:color w:val="auto"/>
          <w:sz w:val="21"/>
          <w:szCs w:val="21"/>
          <w:highlight w:val="none"/>
        </w:rPr>
        <w:t>2. 附 表 中 各 行 业 的 范 围 以 《 国 民 经 济 行 业 分 类 》（GB/T4754-2017）为准。带*的项为行业组合类别，其中， 工业包括采矿业，制造业，电力、热力、燃气及水生产和供 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D24B67A">
      <w:pPr>
        <w:spacing w:line="460" w:lineRule="exact"/>
        <w:ind w:firstLine="420"/>
        <w:rPr>
          <w:rFonts w:ascii="宋体" w:hAnsi="宋体"/>
          <w:color w:val="auto"/>
          <w:sz w:val="21"/>
          <w:szCs w:val="21"/>
          <w:highlight w:val="none"/>
        </w:rPr>
      </w:pPr>
      <w:r>
        <w:rPr>
          <w:rFonts w:ascii="宋体" w:hAnsi="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8D12B75">
      <w:pPr>
        <w:rPr>
          <w:rFonts w:hint="eastAsia" w:ascii="宋体" w:hAnsi="宋体" w:eastAsia="宋体" w:cs="宋体"/>
        </w:rPr>
      </w:pPr>
    </w:p>
    <w:p w14:paraId="6DB1D763">
      <w:pPr>
        <w:pStyle w:val="19"/>
        <w:rPr>
          <w:rFonts w:hint="eastAsia" w:ascii="宋体" w:hAnsi="宋体" w:eastAsia="宋体" w:cs="宋体"/>
        </w:rPr>
      </w:pPr>
    </w:p>
    <w:p w14:paraId="067B6914">
      <w:pPr>
        <w:pStyle w:val="48"/>
        <w:rPr>
          <w:rFonts w:hint="eastAsia" w:ascii="宋体" w:hAnsi="宋体" w:eastAsia="宋体" w:cs="宋体"/>
        </w:rPr>
      </w:pPr>
    </w:p>
    <w:p w14:paraId="7F249647">
      <w:pPr>
        <w:pStyle w:val="51"/>
        <w:rPr>
          <w:rFonts w:hint="eastAsia" w:ascii="宋体" w:hAnsi="宋体" w:eastAsia="宋体" w:cs="宋体"/>
        </w:rPr>
      </w:pPr>
    </w:p>
    <w:p w14:paraId="236B4F5F">
      <w:pPr>
        <w:rPr>
          <w:rFonts w:hint="eastAsia" w:ascii="宋体" w:hAnsi="宋体" w:eastAsia="宋体" w:cs="宋体"/>
        </w:rPr>
      </w:pPr>
    </w:p>
    <w:p w14:paraId="47965EDB">
      <w:pPr>
        <w:pStyle w:val="19"/>
        <w:rPr>
          <w:rFonts w:hint="eastAsia" w:ascii="宋体" w:hAnsi="宋体" w:eastAsia="宋体" w:cs="宋体"/>
        </w:rPr>
      </w:pPr>
    </w:p>
    <w:p w14:paraId="58F75474">
      <w:pPr>
        <w:pStyle w:val="48"/>
        <w:rPr>
          <w:rFonts w:hint="eastAsia" w:ascii="宋体" w:hAnsi="宋体" w:eastAsia="宋体" w:cs="宋体"/>
        </w:rPr>
      </w:pPr>
    </w:p>
    <w:p w14:paraId="309372D7">
      <w:pPr>
        <w:pStyle w:val="51"/>
        <w:rPr>
          <w:rFonts w:hint="eastAsia" w:ascii="宋体" w:hAnsi="宋体" w:eastAsia="宋体" w:cs="宋体"/>
        </w:rPr>
      </w:pPr>
    </w:p>
    <w:p w14:paraId="31645E8E">
      <w:pPr>
        <w:rPr>
          <w:rFonts w:hint="eastAsia" w:ascii="宋体" w:hAnsi="宋体" w:eastAsia="宋体" w:cs="宋体"/>
        </w:rPr>
      </w:pPr>
    </w:p>
    <w:p w14:paraId="79EBC42B">
      <w:pPr>
        <w:pStyle w:val="19"/>
        <w:rPr>
          <w:rFonts w:hint="eastAsia" w:ascii="宋体" w:hAnsi="宋体" w:eastAsia="宋体" w:cs="宋体"/>
        </w:rPr>
      </w:pPr>
    </w:p>
    <w:p w14:paraId="57E09007">
      <w:pPr>
        <w:pStyle w:val="48"/>
        <w:rPr>
          <w:rFonts w:hint="eastAsia" w:ascii="宋体" w:hAnsi="宋体" w:eastAsia="宋体" w:cs="宋体"/>
        </w:rPr>
      </w:pPr>
    </w:p>
    <w:p w14:paraId="1679B46A">
      <w:pPr>
        <w:pStyle w:val="51"/>
        <w:rPr>
          <w:rFonts w:hint="eastAsia"/>
        </w:rPr>
      </w:pPr>
    </w:p>
    <w:p w14:paraId="2D8CE5CA">
      <w:pPr>
        <w:pStyle w:val="8"/>
        <w:ind w:firstLine="482"/>
        <w:jc w:val="center"/>
        <w:rPr>
          <w:rFonts w:ascii="宋体" w:hAnsi="宋体" w:eastAsia="宋体" w:cs="宋体"/>
        </w:rPr>
      </w:pPr>
      <w:r>
        <w:rPr>
          <w:rFonts w:hint="eastAsia" w:ascii="宋体" w:hAnsi="宋体" w:eastAsia="宋体" w:cs="宋体"/>
        </w:rPr>
        <w:t>九、残疾人福利性单位声明函</w:t>
      </w:r>
      <w:bookmarkEnd w:id="1333"/>
      <w:bookmarkEnd w:id="1334"/>
      <w:bookmarkEnd w:id="1335"/>
      <w:bookmarkEnd w:id="1336"/>
      <w:bookmarkEnd w:id="1337"/>
      <w:bookmarkEnd w:id="1338"/>
      <w:bookmarkEnd w:id="1339"/>
    </w:p>
    <w:p w14:paraId="13C27575">
      <w:pPr>
        <w:ind w:firstLine="420"/>
        <w:jc w:val="center"/>
        <w:rPr>
          <w:rFonts w:ascii="宋体" w:hAnsi="宋体" w:cs="宋体"/>
        </w:rPr>
      </w:pPr>
    </w:p>
    <w:p w14:paraId="49C370BE">
      <w:pPr>
        <w:ind w:firstLine="420"/>
        <w:jc w:val="center"/>
        <w:rPr>
          <w:rFonts w:ascii="宋体" w:hAnsi="宋体" w:cs="宋体"/>
        </w:rPr>
      </w:pPr>
      <w:r>
        <w:rPr>
          <w:rFonts w:hint="eastAsia" w:ascii="宋体" w:hAnsi="宋体" w:cs="宋体"/>
        </w:rPr>
        <w:t>（属于残疾人福利企业的填写，不属于的无需填写此项内容）</w:t>
      </w:r>
    </w:p>
    <w:p w14:paraId="6589248D">
      <w:pPr>
        <w:ind w:firstLine="420"/>
        <w:rPr>
          <w:rFonts w:ascii="宋体" w:hAnsi="宋体" w:cs="宋体"/>
        </w:rPr>
      </w:pPr>
    </w:p>
    <w:p w14:paraId="209F69FE">
      <w:pPr>
        <w:ind w:firstLine="420"/>
        <w:rPr>
          <w:rFonts w:ascii="宋体" w:hAnsi="宋体" w:cs="宋体"/>
        </w:rPr>
      </w:pPr>
      <w:r>
        <w:rPr>
          <w:rFonts w:hint="eastAsia" w:ascii="宋体" w:hAnsi="宋体" w:cs="宋体"/>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由本单位承担工程/提供服务），或者提供（其他残疾人福利性单位名称）制造的货物（不包括使用非残疾人福利性单位注册商标的货物）。货物的名称品牌型号是</w:t>
      </w:r>
      <w:r>
        <w:rPr>
          <w:rFonts w:hint="eastAsia" w:ascii="宋体" w:hAnsi="宋体" w:cs="宋体"/>
          <w:u w:val="single"/>
        </w:rPr>
        <w:t xml:space="preserve">      /      </w:t>
      </w:r>
      <w:r>
        <w:rPr>
          <w:rFonts w:hint="eastAsia" w:ascii="宋体" w:hAnsi="宋体" w:cs="宋体"/>
        </w:rPr>
        <w:t>。</w:t>
      </w:r>
    </w:p>
    <w:p w14:paraId="70ACBD75">
      <w:pPr>
        <w:ind w:firstLine="420"/>
        <w:rPr>
          <w:rFonts w:ascii="宋体" w:hAnsi="宋体" w:cs="宋体"/>
        </w:rPr>
      </w:pPr>
      <w:r>
        <w:rPr>
          <w:rFonts w:hint="eastAsia" w:ascii="宋体" w:hAnsi="宋体" w:cs="宋体"/>
        </w:rPr>
        <w:t>本单位对上述声明的真实性负责。如有虚假，将承担相应的法律责任。</w:t>
      </w:r>
    </w:p>
    <w:p w14:paraId="2167348E">
      <w:pPr>
        <w:ind w:firstLine="420"/>
        <w:rPr>
          <w:rFonts w:ascii="宋体" w:hAnsi="宋体" w:cs="宋体"/>
        </w:rPr>
      </w:pPr>
    </w:p>
    <w:p w14:paraId="61DE6A85">
      <w:pPr>
        <w:ind w:firstLine="420"/>
        <w:rPr>
          <w:rFonts w:ascii="宋体" w:hAnsi="宋体" w:cs="宋体"/>
        </w:rPr>
      </w:pPr>
    </w:p>
    <w:p w14:paraId="44C76414">
      <w:pPr>
        <w:ind w:left="3360" w:leftChars="1600" w:firstLine="420"/>
        <w:rPr>
          <w:rFonts w:ascii="宋体" w:hAnsi="宋体" w:cs="宋体"/>
        </w:rPr>
      </w:pPr>
      <w:r>
        <w:rPr>
          <w:rFonts w:hint="eastAsia" w:ascii="宋体" w:hAnsi="宋体" w:cs="宋体"/>
        </w:rPr>
        <w:t>供应商名称（单位电子签章）：</w:t>
      </w:r>
      <w:r>
        <w:rPr>
          <w:rFonts w:hint="eastAsia" w:ascii="宋体" w:hAnsi="宋体" w:cs="宋体"/>
          <w:u w:val="single"/>
        </w:rPr>
        <w:t xml:space="preserve">         </w:t>
      </w:r>
    </w:p>
    <w:p w14:paraId="1C29D350">
      <w:pPr>
        <w:ind w:left="3360" w:leftChars="1600" w:firstLine="420"/>
        <w:rPr>
          <w:rFonts w:ascii="宋体" w:hAnsi="宋体" w:cs="宋体"/>
        </w:rPr>
      </w:pPr>
      <w:r>
        <w:rPr>
          <w:rFonts w:hint="eastAsia" w:ascii="宋体" w:hAnsi="宋体" w:cs="宋体"/>
        </w:rPr>
        <w:t>日   期：</w:t>
      </w:r>
      <w:r>
        <w:rPr>
          <w:rFonts w:hint="eastAsia" w:ascii="宋体" w:hAnsi="宋体" w:cs="宋体"/>
          <w:u w:val="single"/>
        </w:rPr>
        <w:t xml:space="preserve">                            </w:t>
      </w:r>
    </w:p>
    <w:p w14:paraId="107A24C3">
      <w:pPr>
        <w:ind w:firstLine="422"/>
        <w:rPr>
          <w:rFonts w:ascii="宋体" w:hAnsi="宋体" w:cs="宋体"/>
          <w:b/>
          <w:szCs w:val="21"/>
        </w:rPr>
      </w:pPr>
    </w:p>
    <w:p w14:paraId="3B576C07">
      <w:pPr>
        <w:pStyle w:val="27"/>
        <w:ind w:firstLine="422"/>
        <w:rPr>
          <w:rFonts w:ascii="宋体" w:hAnsi="宋体" w:cs="宋体"/>
          <w:b/>
          <w:sz w:val="21"/>
          <w:szCs w:val="21"/>
        </w:rPr>
      </w:pPr>
    </w:p>
    <w:p w14:paraId="4D658065">
      <w:pPr>
        <w:pStyle w:val="27"/>
        <w:ind w:firstLine="422"/>
        <w:rPr>
          <w:rFonts w:ascii="宋体" w:hAnsi="宋体" w:cs="宋体"/>
          <w:b/>
          <w:sz w:val="21"/>
          <w:szCs w:val="21"/>
        </w:rPr>
      </w:pPr>
    </w:p>
    <w:p w14:paraId="3C205B2E">
      <w:pPr>
        <w:pStyle w:val="27"/>
        <w:ind w:firstLine="422"/>
        <w:rPr>
          <w:rFonts w:ascii="宋体" w:hAnsi="宋体" w:cs="宋体"/>
          <w:b/>
          <w:sz w:val="21"/>
          <w:szCs w:val="21"/>
        </w:rPr>
      </w:pPr>
    </w:p>
    <w:p w14:paraId="7CE9E2D8">
      <w:pPr>
        <w:pStyle w:val="27"/>
        <w:ind w:firstLine="422"/>
        <w:rPr>
          <w:rFonts w:ascii="宋体" w:hAnsi="宋体" w:cs="宋体"/>
          <w:b/>
          <w:sz w:val="21"/>
          <w:szCs w:val="21"/>
        </w:rPr>
      </w:pPr>
    </w:p>
    <w:p w14:paraId="17D55EDF">
      <w:pPr>
        <w:pStyle w:val="27"/>
        <w:ind w:firstLine="422"/>
        <w:rPr>
          <w:rFonts w:ascii="宋体" w:hAnsi="宋体" w:cs="宋体"/>
          <w:b/>
          <w:sz w:val="21"/>
          <w:szCs w:val="21"/>
        </w:rPr>
      </w:pPr>
    </w:p>
    <w:p w14:paraId="398A7114">
      <w:pPr>
        <w:pStyle w:val="27"/>
        <w:ind w:firstLine="422"/>
        <w:rPr>
          <w:rFonts w:ascii="宋体" w:hAnsi="宋体" w:cs="宋体"/>
          <w:b/>
          <w:sz w:val="21"/>
          <w:szCs w:val="21"/>
        </w:rPr>
      </w:pPr>
    </w:p>
    <w:p w14:paraId="1F6012CE">
      <w:pPr>
        <w:rPr>
          <w:rFonts w:hint="eastAsia" w:ascii="宋体" w:hAnsi="宋体" w:eastAsia="宋体" w:cs="宋体"/>
        </w:rPr>
      </w:pPr>
      <w:bookmarkStart w:id="1340" w:name="_Toc19926"/>
      <w:bookmarkStart w:id="1341" w:name="_Toc28460"/>
      <w:bookmarkStart w:id="1342" w:name="_Toc31282"/>
      <w:bookmarkStart w:id="1343" w:name="_Toc4000"/>
      <w:bookmarkStart w:id="1344" w:name="_Toc28285"/>
      <w:bookmarkStart w:id="1345" w:name="_Toc19344"/>
      <w:bookmarkStart w:id="1346" w:name="_Toc22779"/>
      <w:bookmarkStart w:id="1347" w:name="_Toc13466"/>
      <w:r>
        <w:rPr>
          <w:rFonts w:hint="eastAsia" w:ascii="宋体" w:hAnsi="宋体" w:eastAsia="宋体" w:cs="宋体"/>
        </w:rPr>
        <w:br w:type="page"/>
      </w:r>
    </w:p>
    <w:p w14:paraId="079937B8">
      <w:pPr>
        <w:pStyle w:val="8"/>
        <w:ind w:firstLine="482"/>
        <w:jc w:val="center"/>
        <w:rPr>
          <w:rFonts w:ascii="宋体" w:hAnsi="宋体" w:eastAsia="宋体" w:cs="宋体"/>
        </w:rPr>
      </w:pPr>
      <w:r>
        <w:rPr>
          <w:rFonts w:hint="eastAsia" w:ascii="宋体" w:hAnsi="宋体" w:eastAsia="宋体" w:cs="宋体"/>
        </w:rPr>
        <w:t>十、监狱企业证明文件（如有）</w:t>
      </w:r>
      <w:bookmarkEnd w:id="1340"/>
      <w:bookmarkEnd w:id="1341"/>
      <w:bookmarkEnd w:id="1342"/>
      <w:bookmarkEnd w:id="1343"/>
      <w:bookmarkEnd w:id="1344"/>
      <w:bookmarkEnd w:id="1345"/>
      <w:bookmarkEnd w:id="1346"/>
      <w:bookmarkEnd w:id="1347"/>
    </w:p>
    <w:p w14:paraId="6A2591EB">
      <w:pPr>
        <w:ind w:firstLine="420"/>
        <w:rPr>
          <w:rFonts w:ascii="宋体" w:hAnsi="宋体" w:cs="宋体"/>
        </w:rPr>
      </w:pPr>
    </w:p>
    <w:p w14:paraId="5E50C9EC">
      <w:pPr>
        <w:pStyle w:val="15"/>
        <w:rPr>
          <w:rFonts w:ascii="宋体" w:hAnsi="宋体" w:cs="宋体"/>
        </w:rPr>
      </w:pPr>
      <w:r>
        <w:rPr>
          <w:rFonts w:hint="eastAsia" w:ascii="宋体" w:hAnsi="宋体" w:cs="宋体"/>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lang w:val="en-US" w:eastAsia="zh-CN"/>
        </w:rPr>
        <w:t>20</w:t>
      </w:r>
      <w:r>
        <w:rPr>
          <w:rFonts w:hint="eastAsia" w:ascii="宋体" w:hAnsi="宋体" w:cs="宋体"/>
        </w:rPr>
        <w:t>%的价格扣除，但必须提供由省级以上监狱管理局、戒毒管理局（含新疆生产建设兵团）出具的属于监狱企业的证明文件，否则评审时不予价格扣除优惠。</w:t>
      </w:r>
    </w:p>
    <w:p w14:paraId="42A04EF5">
      <w:pPr>
        <w:pStyle w:val="15"/>
        <w:rPr>
          <w:rFonts w:ascii="宋体" w:hAnsi="宋体" w:cs="宋体"/>
        </w:rPr>
      </w:pPr>
    </w:p>
    <w:p w14:paraId="201B706D">
      <w:pPr>
        <w:pStyle w:val="15"/>
        <w:rPr>
          <w:rFonts w:ascii="宋体" w:hAnsi="宋体" w:cs="宋体"/>
        </w:rPr>
      </w:pPr>
    </w:p>
    <w:p w14:paraId="1988947B">
      <w:pPr>
        <w:pStyle w:val="15"/>
        <w:rPr>
          <w:rFonts w:ascii="宋体" w:hAnsi="宋体" w:cs="宋体"/>
        </w:rPr>
      </w:pPr>
      <w:r>
        <w:rPr>
          <w:rFonts w:hint="eastAsia" w:ascii="宋体" w:hAnsi="宋体" w:cs="宋体"/>
        </w:rPr>
        <w:t>注：在投标文件中附扫描件。</w:t>
      </w:r>
    </w:p>
    <w:p w14:paraId="184A32CE">
      <w:pPr>
        <w:ind w:firstLine="420"/>
        <w:rPr>
          <w:rFonts w:ascii="宋体" w:hAnsi="宋体" w:cs="宋体"/>
        </w:rPr>
      </w:pPr>
    </w:p>
    <w:p w14:paraId="2E2FC77F">
      <w:pPr>
        <w:ind w:firstLine="420"/>
        <w:rPr>
          <w:rFonts w:ascii="宋体" w:hAnsi="宋体" w:cs="宋体"/>
        </w:rPr>
      </w:pPr>
    </w:p>
    <w:p w14:paraId="089461C4">
      <w:pPr>
        <w:ind w:firstLine="420"/>
        <w:rPr>
          <w:rFonts w:ascii="宋体" w:hAnsi="宋体" w:cs="宋体"/>
        </w:rPr>
      </w:pPr>
    </w:p>
    <w:p w14:paraId="2B8E6C69">
      <w:pPr>
        <w:ind w:firstLine="420"/>
        <w:rPr>
          <w:rFonts w:ascii="宋体" w:hAnsi="宋体" w:cs="宋体"/>
        </w:rPr>
      </w:pPr>
    </w:p>
    <w:p w14:paraId="20453FD8">
      <w:pPr>
        <w:ind w:firstLine="420"/>
        <w:rPr>
          <w:rFonts w:ascii="宋体" w:hAnsi="宋体" w:cs="宋体"/>
        </w:rPr>
      </w:pPr>
    </w:p>
    <w:p w14:paraId="486FC105">
      <w:pPr>
        <w:ind w:firstLine="420"/>
        <w:rPr>
          <w:rFonts w:ascii="宋体" w:hAnsi="宋体" w:cs="宋体"/>
        </w:rPr>
      </w:pPr>
    </w:p>
    <w:p w14:paraId="2A52C9C6">
      <w:pPr>
        <w:ind w:firstLine="420"/>
        <w:rPr>
          <w:rFonts w:ascii="宋体" w:hAnsi="宋体" w:cs="宋体"/>
        </w:rPr>
      </w:pPr>
    </w:p>
    <w:p w14:paraId="6B9A121A">
      <w:pPr>
        <w:pStyle w:val="19"/>
        <w:spacing w:before="156" w:after="156"/>
        <w:ind w:firstLine="420"/>
        <w:rPr>
          <w:rFonts w:ascii="宋体" w:hAnsi="宋体" w:cs="宋体"/>
        </w:rPr>
      </w:pPr>
    </w:p>
    <w:p w14:paraId="6B24A55E">
      <w:pPr>
        <w:ind w:firstLine="420"/>
        <w:rPr>
          <w:rFonts w:ascii="宋体" w:hAnsi="宋体" w:cs="宋体"/>
        </w:rPr>
      </w:pPr>
    </w:p>
    <w:p w14:paraId="7BEF8849">
      <w:pPr>
        <w:pStyle w:val="19"/>
        <w:spacing w:before="156" w:after="156"/>
        <w:ind w:firstLine="420"/>
        <w:rPr>
          <w:rFonts w:ascii="宋体" w:hAnsi="宋体" w:cs="宋体"/>
        </w:rPr>
      </w:pPr>
    </w:p>
    <w:p w14:paraId="44580BA2">
      <w:pPr>
        <w:ind w:firstLine="0" w:firstLineChars="0"/>
        <w:rPr>
          <w:rFonts w:ascii="宋体" w:hAnsi="宋体" w:cs="宋体"/>
        </w:rPr>
      </w:pPr>
      <w:bookmarkStart w:id="1348" w:name="_Toc24731"/>
      <w:bookmarkStart w:id="1349" w:name="_Toc30624"/>
    </w:p>
    <w:p w14:paraId="1EA00F73">
      <w:pPr>
        <w:rPr>
          <w:rFonts w:hint="eastAsia" w:ascii="宋体" w:hAnsi="宋体" w:eastAsia="宋体" w:cs="宋体"/>
        </w:rPr>
      </w:pPr>
      <w:bookmarkStart w:id="1350" w:name="_Toc4604"/>
      <w:bookmarkStart w:id="1351" w:name="_Toc28665"/>
      <w:bookmarkStart w:id="1352" w:name="_Toc20441"/>
      <w:bookmarkStart w:id="1353" w:name="_Toc19521"/>
      <w:bookmarkStart w:id="1354" w:name="_Toc29950"/>
      <w:bookmarkStart w:id="1355" w:name="_Toc16988"/>
      <w:r>
        <w:rPr>
          <w:rFonts w:hint="eastAsia" w:ascii="宋体" w:hAnsi="宋体" w:eastAsia="宋体" w:cs="宋体"/>
        </w:rPr>
        <w:br w:type="page"/>
      </w:r>
    </w:p>
    <w:p w14:paraId="2DBA4F52">
      <w:pPr>
        <w:pStyle w:val="8"/>
        <w:ind w:firstLine="482"/>
        <w:jc w:val="center"/>
        <w:rPr>
          <w:rFonts w:hint="default" w:ascii="宋体" w:hAnsi="宋体" w:eastAsia="宋体" w:cs="宋体"/>
          <w:lang w:val="en-US" w:eastAsia="zh-CN"/>
        </w:rPr>
      </w:pPr>
      <w:r>
        <w:rPr>
          <w:rFonts w:hint="eastAsia" w:ascii="宋体" w:hAnsi="宋体" w:eastAsia="宋体" w:cs="宋体"/>
        </w:rPr>
        <w:t>十一、</w:t>
      </w:r>
      <w:r>
        <w:rPr>
          <w:rFonts w:hint="eastAsia" w:ascii="宋体" w:hAnsi="宋体" w:eastAsia="宋体" w:cs="宋体"/>
          <w:lang w:val="en-US" w:eastAsia="zh-CN"/>
        </w:rPr>
        <w:t>企业实力证明文件</w:t>
      </w:r>
    </w:p>
    <w:p w14:paraId="07D4DD37">
      <w:pPr>
        <w:pStyle w:val="32"/>
        <w:ind w:left="0" w:leftChars="0" w:firstLine="0" w:firstLineChars="0"/>
        <w:jc w:val="center"/>
        <w:rPr>
          <w:rFonts w:hint="eastAsia"/>
          <w:b/>
          <w:color w:val="auto"/>
          <w:sz w:val="28"/>
          <w:szCs w:val="28"/>
          <w:highlight w:val="none"/>
        </w:rPr>
      </w:pPr>
      <w:r>
        <w:rPr>
          <w:rFonts w:hint="eastAsia"/>
          <w:b/>
          <w:color w:val="auto"/>
          <w:sz w:val="28"/>
          <w:szCs w:val="28"/>
          <w:highlight w:val="none"/>
        </w:rPr>
        <w:t>（格式、内容自拟）</w:t>
      </w:r>
    </w:p>
    <w:p w14:paraId="6F0F2449">
      <w:pPr>
        <w:pStyle w:val="8"/>
        <w:ind w:firstLine="482"/>
        <w:jc w:val="center"/>
        <w:rPr>
          <w:rFonts w:hint="eastAsia" w:ascii="宋体" w:hAnsi="宋体" w:eastAsia="宋体" w:cs="宋体"/>
        </w:rPr>
      </w:pPr>
    </w:p>
    <w:p w14:paraId="370B1730">
      <w:pPr>
        <w:pStyle w:val="8"/>
        <w:ind w:firstLine="482"/>
        <w:jc w:val="center"/>
        <w:rPr>
          <w:rFonts w:hint="eastAsia" w:ascii="宋体" w:hAnsi="宋体" w:eastAsia="宋体" w:cs="宋体"/>
        </w:rPr>
      </w:pPr>
    </w:p>
    <w:p w14:paraId="06A7BEA4">
      <w:pPr>
        <w:pStyle w:val="8"/>
        <w:ind w:firstLine="482"/>
        <w:jc w:val="center"/>
        <w:rPr>
          <w:rFonts w:hint="eastAsia" w:ascii="宋体" w:hAnsi="宋体" w:eastAsia="宋体" w:cs="宋体"/>
        </w:rPr>
      </w:pPr>
    </w:p>
    <w:p w14:paraId="35A90E0B">
      <w:pPr>
        <w:pStyle w:val="8"/>
        <w:ind w:firstLine="482"/>
        <w:jc w:val="center"/>
        <w:rPr>
          <w:rFonts w:hint="eastAsia" w:ascii="宋体" w:hAnsi="宋体" w:eastAsia="宋体" w:cs="宋体"/>
        </w:rPr>
      </w:pPr>
    </w:p>
    <w:p w14:paraId="6067E341">
      <w:pPr>
        <w:pStyle w:val="8"/>
        <w:ind w:firstLine="482"/>
        <w:jc w:val="center"/>
        <w:rPr>
          <w:rFonts w:hint="eastAsia" w:ascii="宋体" w:hAnsi="宋体" w:eastAsia="宋体" w:cs="宋体"/>
        </w:rPr>
      </w:pPr>
    </w:p>
    <w:p w14:paraId="4FB6D814">
      <w:pPr>
        <w:rPr>
          <w:rFonts w:hint="eastAsia" w:ascii="宋体" w:hAnsi="宋体" w:eastAsia="宋体" w:cs="宋体"/>
        </w:rPr>
      </w:pPr>
    </w:p>
    <w:p w14:paraId="4DD7A029">
      <w:pPr>
        <w:pStyle w:val="25"/>
        <w:rPr>
          <w:rFonts w:hint="eastAsia" w:ascii="宋体" w:hAnsi="宋体" w:eastAsia="宋体" w:cs="宋体"/>
        </w:rPr>
      </w:pPr>
    </w:p>
    <w:p w14:paraId="3A38FF21">
      <w:pPr>
        <w:pStyle w:val="25"/>
        <w:rPr>
          <w:rFonts w:hint="eastAsia" w:ascii="宋体" w:hAnsi="宋体" w:eastAsia="宋体" w:cs="宋体"/>
        </w:rPr>
      </w:pPr>
    </w:p>
    <w:p w14:paraId="3B0D54AD">
      <w:pPr>
        <w:pStyle w:val="25"/>
        <w:rPr>
          <w:rFonts w:hint="eastAsia" w:ascii="宋体" w:hAnsi="宋体" w:eastAsia="宋体" w:cs="宋体"/>
        </w:rPr>
      </w:pPr>
    </w:p>
    <w:p w14:paraId="5EADF2F2">
      <w:pPr>
        <w:pStyle w:val="25"/>
        <w:rPr>
          <w:rFonts w:hint="eastAsia" w:ascii="宋体" w:hAnsi="宋体" w:eastAsia="宋体" w:cs="宋体"/>
        </w:rPr>
      </w:pPr>
    </w:p>
    <w:p w14:paraId="5F627334">
      <w:pPr>
        <w:pStyle w:val="25"/>
        <w:rPr>
          <w:rFonts w:hint="eastAsia" w:ascii="宋体" w:hAnsi="宋体" w:eastAsia="宋体" w:cs="宋体"/>
        </w:rPr>
      </w:pPr>
    </w:p>
    <w:p w14:paraId="64014F96">
      <w:pPr>
        <w:pStyle w:val="25"/>
        <w:rPr>
          <w:rFonts w:hint="eastAsia" w:ascii="宋体" w:hAnsi="宋体" w:eastAsia="宋体" w:cs="宋体"/>
        </w:rPr>
      </w:pPr>
    </w:p>
    <w:p w14:paraId="478BC79F">
      <w:pPr>
        <w:pStyle w:val="25"/>
        <w:rPr>
          <w:rFonts w:hint="eastAsia" w:ascii="宋体" w:hAnsi="宋体" w:eastAsia="宋体" w:cs="宋体"/>
        </w:rPr>
      </w:pPr>
    </w:p>
    <w:p w14:paraId="129C657D">
      <w:pPr>
        <w:pStyle w:val="25"/>
        <w:rPr>
          <w:rFonts w:hint="eastAsia" w:ascii="宋体" w:hAnsi="宋体" w:eastAsia="宋体" w:cs="宋体"/>
        </w:rPr>
      </w:pPr>
    </w:p>
    <w:p w14:paraId="459BDC50">
      <w:pPr>
        <w:pStyle w:val="25"/>
        <w:rPr>
          <w:rFonts w:hint="eastAsia" w:ascii="宋体" w:hAnsi="宋体" w:eastAsia="宋体" w:cs="宋体"/>
        </w:rPr>
      </w:pPr>
    </w:p>
    <w:p w14:paraId="3385B051">
      <w:pPr>
        <w:pStyle w:val="25"/>
        <w:rPr>
          <w:rFonts w:hint="eastAsia" w:ascii="宋体" w:hAnsi="宋体" w:eastAsia="宋体" w:cs="宋体"/>
        </w:rPr>
      </w:pPr>
    </w:p>
    <w:p w14:paraId="23B38D37">
      <w:pPr>
        <w:pStyle w:val="25"/>
        <w:rPr>
          <w:rFonts w:hint="eastAsia" w:ascii="宋体" w:hAnsi="宋体" w:eastAsia="宋体" w:cs="宋体"/>
        </w:rPr>
      </w:pPr>
    </w:p>
    <w:p w14:paraId="58097376">
      <w:pPr>
        <w:pStyle w:val="25"/>
        <w:rPr>
          <w:rFonts w:hint="eastAsia" w:ascii="宋体" w:hAnsi="宋体" w:eastAsia="宋体" w:cs="宋体"/>
        </w:rPr>
      </w:pPr>
    </w:p>
    <w:p w14:paraId="439FFE4C">
      <w:pPr>
        <w:pStyle w:val="25"/>
        <w:rPr>
          <w:rFonts w:hint="eastAsia" w:ascii="宋体" w:hAnsi="宋体" w:eastAsia="宋体" w:cs="宋体"/>
        </w:rPr>
      </w:pPr>
    </w:p>
    <w:p w14:paraId="57304E69">
      <w:pPr>
        <w:pStyle w:val="25"/>
        <w:rPr>
          <w:rFonts w:hint="eastAsia" w:ascii="宋体" w:hAnsi="宋体" w:eastAsia="宋体" w:cs="宋体"/>
        </w:rPr>
      </w:pPr>
    </w:p>
    <w:p w14:paraId="59F52EB4">
      <w:pPr>
        <w:pStyle w:val="25"/>
        <w:rPr>
          <w:rFonts w:hint="eastAsia" w:ascii="宋体" w:hAnsi="宋体" w:eastAsia="宋体" w:cs="宋体"/>
        </w:rPr>
      </w:pPr>
    </w:p>
    <w:p w14:paraId="026F7547">
      <w:pPr>
        <w:pStyle w:val="25"/>
        <w:rPr>
          <w:rFonts w:hint="eastAsia" w:ascii="宋体" w:hAnsi="宋体" w:eastAsia="宋体" w:cs="宋体"/>
        </w:rPr>
      </w:pPr>
    </w:p>
    <w:p w14:paraId="3D939C89">
      <w:pPr>
        <w:pStyle w:val="25"/>
        <w:rPr>
          <w:rFonts w:hint="eastAsia" w:ascii="宋体" w:hAnsi="宋体" w:eastAsia="宋体" w:cs="宋体"/>
        </w:rPr>
      </w:pPr>
    </w:p>
    <w:p w14:paraId="5D8179EC">
      <w:pPr>
        <w:pStyle w:val="25"/>
        <w:rPr>
          <w:rFonts w:hint="eastAsia" w:ascii="宋体" w:hAnsi="宋体" w:eastAsia="宋体" w:cs="宋体"/>
        </w:rPr>
      </w:pPr>
    </w:p>
    <w:p w14:paraId="1BAB6878">
      <w:pPr>
        <w:pStyle w:val="25"/>
        <w:rPr>
          <w:rFonts w:hint="eastAsia" w:ascii="宋体" w:hAnsi="宋体" w:eastAsia="宋体" w:cs="宋体"/>
        </w:rPr>
      </w:pPr>
    </w:p>
    <w:p w14:paraId="2871A5B0">
      <w:pPr>
        <w:pStyle w:val="25"/>
        <w:rPr>
          <w:rFonts w:hint="eastAsia" w:ascii="宋体" w:hAnsi="宋体" w:eastAsia="宋体" w:cs="宋体"/>
        </w:rPr>
      </w:pPr>
    </w:p>
    <w:p w14:paraId="0A91C6E2">
      <w:pPr>
        <w:pStyle w:val="25"/>
        <w:rPr>
          <w:rFonts w:hint="eastAsia" w:ascii="宋体" w:hAnsi="宋体" w:eastAsia="宋体" w:cs="宋体"/>
        </w:rPr>
      </w:pPr>
    </w:p>
    <w:p w14:paraId="7866444A">
      <w:pPr>
        <w:pStyle w:val="25"/>
        <w:rPr>
          <w:rFonts w:hint="eastAsia" w:ascii="宋体" w:hAnsi="宋体" w:eastAsia="宋体" w:cs="宋体"/>
        </w:rPr>
      </w:pPr>
    </w:p>
    <w:p w14:paraId="72BAD012">
      <w:pPr>
        <w:pStyle w:val="25"/>
        <w:rPr>
          <w:rFonts w:hint="eastAsia" w:ascii="宋体" w:hAnsi="宋体" w:eastAsia="宋体" w:cs="宋体"/>
        </w:rPr>
      </w:pPr>
    </w:p>
    <w:p w14:paraId="62F3C2EF">
      <w:pPr>
        <w:pStyle w:val="25"/>
        <w:rPr>
          <w:rFonts w:hint="eastAsia" w:ascii="宋体" w:hAnsi="宋体" w:eastAsia="宋体" w:cs="宋体"/>
        </w:rPr>
      </w:pPr>
    </w:p>
    <w:p w14:paraId="6268299C">
      <w:pPr>
        <w:pStyle w:val="25"/>
        <w:rPr>
          <w:rFonts w:hint="eastAsia" w:ascii="宋体" w:hAnsi="宋体" w:eastAsia="宋体" w:cs="宋体"/>
        </w:rPr>
      </w:pPr>
    </w:p>
    <w:p w14:paraId="68A63CBE">
      <w:pPr>
        <w:pStyle w:val="8"/>
        <w:ind w:firstLine="482"/>
        <w:jc w:val="center"/>
        <w:rPr>
          <w:rFonts w:hint="eastAsia" w:ascii="宋体" w:hAnsi="宋体" w:eastAsia="宋体" w:cs="宋体"/>
          <w:lang w:val="en-US" w:eastAsia="zh-CN"/>
        </w:rPr>
      </w:pPr>
      <w:r>
        <w:rPr>
          <w:rFonts w:hint="eastAsia" w:ascii="宋体" w:hAnsi="宋体" w:eastAsia="宋体" w:cs="宋体"/>
          <w:lang w:val="en-US" w:eastAsia="zh-CN"/>
        </w:rPr>
        <w:t>十二、</w:t>
      </w:r>
      <w:r>
        <w:rPr>
          <w:rFonts w:hint="eastAsia" w:ascii="宋体" w:hAnsi="宋体" w:eastAsia="宋体" w:cs="宋体"/>
        </w:rPr>
        <w:t>采购需求及技术要求</w:t>
      </w:r>
      <w:r>
        <w:rPr>
          <w:rFonts w:hint="eastAsia" w:ascii="宋体" w:hAnsi="宋体" w:eastAsia="宋体" w:cs="宋体"/>
          <w:lang w:val="en-US" w:eastAsia="zh-CN"/>
        </w:rPr>
        <w:t>响应承诺</w:t>
      </w:r>
    </w:p>
    <w:p w14:paraId="0A5F8617">
      <w:pPr>
        <w:pStyle w:val="32"/>
        <w:ind w:left="0" w:leftChars="0" w:firstLine="0" w:firstLineChars="0"/>
        <w:jc w:val="center"/>
        <w:rPr>
          <w:rFonts w:hint="eastAsia"/>
          <w:b/>
          <w:color w:val="auto"/>
          <w:sz w:val="28"/>
          <w:szCs w:val="28"/>
          <w:highlight w:val="none"/>
        </w:rPr>
      </w:pPr>
      <w:r>
        <w:rPr>
          <w:rFonts w:hint="eastAsia"/>
          <w:b/>
          <w:color w:val="auto"/>
          <w:sz w:val="28"/>
          <w:szCs w:val="28"/>
          <w:highlight w:val="none"/>
        </w:rPr>
        <w:t>（格式、内容自拟）</w:t>
      </w:r>
    </w:p>
    <w:p w14:paraId="5DF892A8">
      <w:pPr>
        <w:rPr>
          <w:rFonts w:hint="eastAsia"/>
          <w:lang w:val="en-US" w:eastAsia="zh-CN"/>
        </w:rPr>
      </w:pPr>
    </w:p>
    <w:p w14:paraId="1AC00CC3">
      <w:pPr>
        <w:pStyle w:val="8"/>
        <w:ind w:left="0" w:leftChars="0" w:firstLine="0" w:firstLineChars="0"/>
        <w:jc w:val="both"/>
        <w:rPr>
          <w:rFonts w:hint="eastAsia" w:ascii="宋体" w:hAnsi="宋体" w:eastAsia="宋体" w:cs="宋体"/>
        </w:rPr>
      </w:pPr>
    </w:p>
    <w:p w14:paraId="22D712C2">
      <w:pPr>
        <w:pStyle w:val="8"/>
        <w:ind w:firstLine="482"/>
        <w:jc w:val="center"/>
        <w:rPr>
          <w:rFonts w:hint="eastAsia" w:ascii="宋体" w:hAnsi="宋体" w:eastAsia="宋体" w:cs="宋体"/>
        </w:rPr>
      </w:pPr>
    </w:p>
    <w:p w14:paraId="5327C73D">
      <w:pPr>
        <w:pStyle w:val="8"/>
        <w:ind w:firstLine="482"/>
        <w:jc w:val="center"/>
        <w:rPr>
          <w:rFonts w:hint="eastAsia" w:ascii="宋体" w:hAnsi="宋体" w:eastAsia="宋体" w:cs="宋体"/>
          <w:lang w:val="en-US" w:eastAsia="zh-CN"/>
        </w:rPr>
      </w:pPr>
    </w:p>
    <w:p w14:paraId="58A7910F">
      <w:pPr>
        <w:rPr>
          <w:rFonts w:hint="eastAsia" w:ascii="宋体" w:hAnsi="宋体" w:eastAsia="宋体" w:cs="宋体"/>
          <w:lang w:val="en-US" w:eastAsia="zh-CN"/>
        </w:rPr>
      </w:pPr>
    </w:p>
    <w:p w14:paraId="1DA86F4E">
      <w:pPr>
        <w:rPr>
          <w:rFonts w:hint="eastAsia" w:ascii="宋体" w:hAnsi="宋体" w:eastAsia="宋体" w:cs="宋体"/>
          <w:lang w:val="en-US" w:eastAsia="zh-CN"/>
        </w:rPr>
      </w:pPr>
    </w:p>
    <w:p w14:paraId="06A78736">
      <w:pPr>
        <w:rPr>
          <w:rFonts w:hint="eastAsia" w:ascii="宋体" w:hAnsi="宋体" w:eastAsia="宋体" w:cs="宋体"/>
          <w:lang w:val="en-US" w:eastAsia="zh-CN"/>
        </w:rPr>
      </w:pPr>
    </w:p>
    <w:p w14:paraId="7E333AB7">
      <w:pPr>
        <w:rPr>
          <w:rFonts w:hint="eastAsia" w:ascii="宋体" w:hAnsi="宋体" w:eastAsia="宋体" w:cs="宋体"/>
          <w:lang w:val="en-US" w:eastAsia="zh-CN"/>
        </w:rPr>
      </w:pPr>
    </w:p>
    <w:p w14:paraId="448AB62A">
      <w:pPr>
        <w:rPr>
          <w:rFonts w:hint="eastAsia" w:ascii="宋体" w:hAnsi="宋体" w:eastAsia="宋体" w:cs="宋体"/>
          <w:lang w:val="en-US" w:eastAsia="zh-CN"/>
        </w:rPr>
      </w:pPr>
    </w:p>
    <w:p w14:paraId="268A9AD3">
      <w:pPr>
        <w:rPr>
          <w:rFonts w:hint="eastAsia" w:ascii="宋体" w:hAnsi="宋体" w:eastAsia="宋体" w:cs="宋体"/>
          <w:lang w:val="en-US" w:eastAsia="zh-CN"/>
        </w:rPr>
      </w:pPr>
    </w:p>
    <w:p w14:paraId="650E31AB">
      <w:pPr>
        <w:rPr>
          <w:rFonts w:hint="eastAsia" w:ascii="宋体" w:hAnsi="宋体" w:eastAsia="宋体" w:cs="宋体"/>
          <w:lang w:val="en-US" w:eastAsia="zh-CN"/>
        </w:rPr>
      </w:pPr>
    </w:p>
    <w:p w14:paraId="13859859">
      <w:pPr>
        <w:rPr>
          <w:rFonts w:hint="eastAsia" w:ascii="宋体" w:hAnsi="宋体" w:eastAsia="宋体" w:cs="宋体"/>
          <w:lang w:val="en-US" w:eastAsia="zh-CN"/>
        </w:rPr>
      </w:pPr>
    </w:p>
    <w:p w14:paraId="520F5ADF">
      <w:pPr>
        <w:rPr>
          <w:rFonts w:hint="eastAsia" w:ascii="宋体" w:hAnsi="宋体" w:eastAsia="宋体" w:cs="宋体"/>
          <w:lang w:val="en-US" w:eastAsia="zh-CN"/>
        </w:rPr>
      </w:pPr>
    </w:p>
    <w:p w14:paraId="6AE18C4B">
      <w:pPr>
        <w:rPr>
          <w:rFonts w:hint="eastAsia" w:ascii="宋体" w:hAnsi="宋体" w:eastAsia="宋体" w:cs="宋体"/>
          <w:lang w:val="en-US" w:eastAsia="zh-CN"/>
        </w:rPr>
      </w:pPr>
    </w:p>
    <w:p w14:paraId="4FD68257">
      <w:pPr>
        <w:rPr>
          <w:rFonts w:hint="eastAsia" w:ascii="宋体" w:hAnsi="宋体" w:eastAsia="宋体" w:cs="宋体"/>
          <w:lang w:val="en-US" w:eastAsia="zh-CN"/>
        </w:rPr>
      </w:pPr>
    </w:p>
    <w:p w14:paraId="3FD9E5C9">
      <w:pPr>
        <w:rPr>
          <w:rFonts w:hint="eastAsia" w:ascii="宋体" w:hAnsi="宋体" w:eastAsia="宋体" w:cs="宋体"/>
          <w:lang w:val="en-US" w:eastAsia="zh-CN"/>
        </w:rPr>
      </w:pPr>
    </w:p>
    <w:p w14:paraId="1B71C115">
      <w:pPr>
        <w:rPr>
          <w:rFonts w:hint="eastAsia" w:ascii="宋体" w:hAnsi="宋体" w:eastAsia="宋体" w:cs="宋体"/>
          <w:lang w:val="en-US" w:eastAsia="zh-CN"/>
        </w:rPr>
      </w:pPr>
    </w:p>
    <w:p w14:paraId="54712C1A">
      <w:pPr>
        <w:rPr>
          <w:rFonts w:hint="eastAsia" w:ascii="宋体" w:hAnsi="宋体" w:eastAsia="宋体" w:cs="宋体"/>
          <w:lang w:val="en-US" w:eastAsia="zh-CN"/>
        </w:rPr>
      </w:pPr>
    </w:p>
    <w:p w14:paraId="2624CD46">
      <w:pPr>
        <w:rPr>
          <w:rFonts w:hint="eastAsia" w:ascii="宋体" w:hAnsi="宋体" w:eastAsia="宋体" w:cs="宋体"/>
          <w:lang w:val="en-US" w:eastAsia="zh-CN"/>
        </w:rPr>
      </w:pPr>
    </w:p>
    <w:p w14:paraId="19326CAA">
      <w:pPr>
        <w:pStyle w:val="8"/>
        <w:ind w:firstLine="482"/>
        <w:jc w:val="center"/>
        <w:rPr>
          <w:rFonts w:hint="eastAsia" w:ascii="宋体" w:hAnsi="宋体" w:eastAsia="宋体" w:cs="宋体"/>
          <w:lang w:val="en-US" w:eastAsia="zh-CN"/>
        </w:rPr>
      </w:pPr>
    </w:p>
    <w:p w14:paraId="1843CF15">
      <w:pPr>
        <w:pStyle w:val="8"/>
        <w:ind w:firstLine="482"/>
        <w:jc w:val="center"/>
        <w:rPr>
          <w:rFonts w:hint="eastAsia" w:ascii="宋体" w:hAnsi="宋体" w:eastAsia="宋体" w:cs="宋体"/>
          <w:lang w:val="en-US" w:eastAsia="zh-CN"/>
        </w:rPr>
      </w:pPr>
      <w:r>
        <w:rPr>
          <w:rFonts w:hint="eastAsia" w:ascii="宋体" w:hAnsi="宋体" w:eastAsia="宋体" w:cs="宋体"/>
          <w:lang w:val="en-US" w:eastAsia="zh-CN"/>
        </w:rPr>
        <w:t>十三、其他材料</w:t>
      </w:r>
      <w:bookmarkEnd w:id="1348"/>
      <w:bookmarkEnd w:id="1349"/>
      <w:bookmarkEnd w:id="1350"/>
      <w:bookmarkEnd w:id="1351"/>
      <w:bookmarkEnd w:id="1352"/>
      <w:bookmarkEnd w:id="1353"/>
      <w:bookmarkEnd w:id="1354"/>
      <w:bookmarkEnd w:id="1355"/>
    </w:p>
    <w:p w14:paraId="5C9AB616">
      <w:pPr>
        <w:pStyle w:val="9"/>
        <w:ind w:firstLine="422"/>
        <w:jc w:val="center"/>
        <w:rPr>
          <w:rFonts w:ascii="宋体" w:hAnsi="宋体" w:cs="宋体"/>
        </w:rPr>
      </w:pPr>
      <w:bookmarkStart w:id="1356" w:name="_Toc11806"/>
      <w:bookmarkStart w:id="1357" w:name="_Toc9444"/>
      <w:bookmarkStart w:id="1358" w:name="_Toc29325"/>
      <w:bookmarkStart w:id="1359" w:name="_Toc22434"/>
      <w:bookmarkStart w:id="1360" w:name="_Toc26902"/>
      <w:r>
        <w:rPr>
          <w:rFonts w:hint="eastAsia" w:ascii="宋体" w:hAnsi="宋体" w:cs="宋体"/>
        </w:rPr>
        <w:t>1、磋商承诺函</w:t>
      </w:r>
      <w:bookmarkEnd w:id="1356"/>
      <w:bookmarkEnd w:id="1357"/>
      <w:bookmarkEnd w:id="1358"/>
      <w:bookmarkEnd w:id="1359"/>
      <w:bookmarkEnd w:id="1360"/>
    </w:p>
    <w:p w14:paraId="4A169DE6">
      <w:pPr>
        <w:spacing w:line="400" w:lineRule="atLeast"/>
        <w:ind w:firstLine="420"/>
        <w:rPr>
          <w:rFonts w:ascii="宋体" w:hAnsi="宋体" w:cs="宋体"/>
          <w:u w:val="single"/>
        </w:rPr>
      </w:pPr>
      <w:r>
        <w:rPr>
          <w:rFonts w:hint="eastAsia" w:ascii="宋体" w:hAnsi="宋体" w:cs="宋体"/>
        </w:rPr>
        <w:t>致</w:t>
      </w:r>
      <w:r>
        <w:rPr>
          <w:rFonts w:hint="eastAsia" w:ascii="宋体" w:hAnsi="宋体" w:cs="宋体"/>
          <w:u w:val="single"/>
        </w:rPr>
        <w:t>（采购人及采购代理机构）：</w:t>
      </w:r>
    </w:p>
    <w:p w14:paraId="728E20AF">
      <w:pPr>
        <w:spacing w:line="400" w:lineRule="atLeast"/>
        <w:ind w:firstLine="420"/>
        <w:rPr>
          <w:rFonts w:ascii="宋体" w:hAnsi="宋体" w:cs="宋体"/>
        </w:rPr>
      </w:pPr>
      <w:r>
        <w:rPr>
          <w:rFonts w:hint="eastAsia" w:ascii="宋体" w:hAnsi="宋体" w:cs="宋体"/>
        </w:rPr>
        <w:t>我公司作为本次采购项目的供应商，根据招标文件要求，现郑重承诺如下：</w:t>
      </w:r>
    </w:p>
    <w:p w14:paraId="25F98FC9">
      <w:pPr>
        <w:spacing w:line="400" w:lineRule="atLeast"/>
        <w:ind w:firstLine="420"/>
        <w:rPr>
          <w:rFonts w:ascii="宋体" w:hAnsi="宋体" w:cs="宋体"/>
        </w:rPr>
      </w:pPr>
      <w:r>
        <w:rPr>
          <w:rFonts w:hint="eastAsia" w:ascii="宋体" w:hAnsi="宋体" w:cs="宋体"/>
        </w:rPr>
        <w:t>一、具备《中华人民共和国政府采购法》第二十二条第一款和本项目规定的条件：</w:t>
      </w:r>
    </w:p>
    <w:p w14:paraId="1678462B">
      <w:pPr>
        <w:spacing w:line="400" w:lineRule="atLeast"/>
        <w:ind w:firstLine="420"/>
        <w:rPr>
          <w:rFonts w:ascii="宋体" w:hAnsi="宋体" w:cs="宋体"/>
        </w:rPr>
      </w:pPr>
      <w:r>
        <w:rPr>
          <w:rFonts w:hint="eastAsia" w:ascii="宋体" w:hAnsi="宋体" w:cs="宋体"/>
        </w:rPr>
        <w:t>（一）具有独立承担民事责任的能力； 　　</w:t>
      </w:r>
    </w:p>
    <w:p w14:paraId="4F052901">
      <w:pPr>
        <w:spacing w:line="400" w:lineRule="atLeast"/>
        <w:ind w:firstLine="420"/>
        <w:rPr>
          <w:rFonts w:ascii="宋体" w:hAnsi="宋体" w:cs="宋体"/>
        </w:rPr>
      </w:pPr>
      <w:r>
        <w:rPr>
          <w:rFonts w:hint="eastAsia" w:ascii="宋体" w:hAnsi="宋体" w:cs="宋体"/>
        </w:rPr>
        <w:t>（二）具有良好的商业信誉和健全的财务会计制度； 　</w:t>
      </w:r>
    </w:p>
    <w:p w14:paraId="47756C6E">
      <w:pPr>
        <w:spacing w:line="400" w:lineRule="atLeast"/>
        <w:ind w:firstLine="420"/>
        <w:rPr>
          <w:rFonts w:ascii="宋体" w:hAnsi="宋体" w:cs="宋体"/>
        </w:rPr>
      </w:pPr>
      <w:r>
        <w:rPr>
          <w:rFonts w:hint="eastAsia" w:ascii="宋体" w:hAnsi="宋体" w:cs="宋体"/>
        </w:rPr>
        <w:t>（三）具有履行合同所必需的设备和专业技术能力； 　　</w:t>
      </w:r>
    </w:p>
    <w:p w14:paraId="01009A34">
      <w:pPr>
        <w:spacing w:line="400" w:lineRule="atLeast"/>
        <w:ind w:firstLine="420"/>
        <w:rPr>
          <w:rFonts w:ascii="宋体" w:hAnsi="宋体" w:cs="宋体"/>
        </w:rPr>
      </w:pPr>
      <w:r>
        <w:rPr>
          <w:rFonts w:hint="eastAsia" w:ascii="宋体" w:hAnsi="宋体" w:cs="宋体"/>
        </w:rPr>
        <w:t>（四）有依法缴纳税收和社会保障资金的良好记录； 　　</w:t>
      </w:r>
    </w:p>
    <w:p w14:paraId="63AB34BB">
      <w:pPr>
        <w:spacing w:line="400" w:lineRule="atLeast"/>
        <w:ind w:firstLine="420"/>
        <w:rPr>
          <w:rFonts w:ascii="宋体" w:hAnsi="宋体" w:cs="宋体"/>
        </w:rPr>
      </w:pPr>
      <w:r>
        <w:rPr>
          <w:rFonts w:hint="eastAsia" w:ascii="宋体" w:hAnsi="宋体" w:cs="宋体"/>
        </w:rPr>
        <w:t>（五）参加政府采购活动前三年内，在经营活动中没有重大违法记录；</w:t>
      </w:r>
    </w:p>
    <w:p w14:paraId="560F6663">
      <w:pPr>
        <w:spacing w:line="400" w:lineRule="atLeast"/>
        <w:ind w:firstLine="420"/>
        <w:rPr>
          <w:rFonts w:ascii="宋体" w:hAnsi="宋体" w:cs="宋体"/>
        </w:rPr>
      </w:pPr>
      <w:r>
        <w:rPr>
          <w:rFonts w:hint="eastAsia" w:ascii="宋体" w:hAnsi="宋体" w:cs="宋体"/>
        </w:rPr>
        <w:t>（六）法律、行政法规规定的其他条件；</w:t>
      </w:r>
    </w:p>
    <w:p w14:paraId="79A8226C">
      <w:pPr>
        <w:spacing w:line="400" w:lineRule="atLeast"/>
        <w:ind w:firstLine="420"/>
        <w:rPr>
          <w:rFonts w:ascii="宋体" w:hAnsi="宋体" w:cs="宋体"/>
        </w:rPr>
      </w:pPr>
      <w:r>
        <w:rPr>
          <w:rFonts w:hint="eastAsia" w:ascii="宋体" w:hAnsi="宋体" w:cs="宋体"/>
        </w:rPr>
        <w:t>（七）根据采购项目提出的特殊条件。</w:t>
      </w:r>
    </w:p>
    <w:p w14:paraId="5774A00A">
      <w:pPr>
        <w:spacing w:line="400" w:lineRule="atLeast"/>
        <w:ind w:firstLine="420"/>
        <w:rPr>
          <w:rFonts w:ascii="宋体" w:hAnsi="宋体" w:cs="宋体"/>
        </w:rPr>
      </w:pPr>
      <w:r>
        <w:rPr>
          <w:rFonts w:hint="eastAsia" w:ascii="宋体" w:hAnsi="宋体" w:cs="宋体"/>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712A1F0">
      <w:pPr>
        <w:spacing w:line="400" w:lineRule="atLeast"/>
        <w:ind w:firstLine="420"/>
        <w:rPr>
          <w:rFonts w:ascii="宋体" w:hAnsi="宋体" w:cs="宋体"/>
        </w:rPr>
      </w:pPr>
      <w:r>
        <w:rPr>
          <w:rFonts w:hint="eastAsia" w:ascii="宋体" w:hAnsi="宋体" w:cs="宋体"/>
        </w:rPr>
        <w:t>三、参加本次招标采购活动，不存在与单位负责人为同一人或者存在直接控股、管理关系的其他供应商参与同一合同项下的政府采购活动的行为。    </w:t>
      </w:r>
    </w:p>
    <w:p w14:paraId="105986F5">
      <w:pPr>
        <w:spacing w:line="400" w:lineRule="atLeast"/>
        <w:ind w:firstLine="420"/>
        <w:rPr>
          <w:rFonts w:ascii="宋体" w:hAnsi="宋体" w:cs="宋体"/>
        </w:rPr>
      </w:pPr>
      <w:r>
        <w:rPr>
          <w:rFonts w:hint="eastAsia" w:ascii="宋体" w:hAnsi="宋体" w:cs="宋体"/>
        </w:rPr>
        <w:t>四、参加本次招标采购活动，不存在为采购项目提供整体设计、规范编制或者项目管理、监理、检测等服务的行为。</w:t>
      </w:r>
    </w:p>
    <w:p w14:paraId="0ACC7B28">
      <w:pPr>
        <w:spacing w:line="400" w:lineRule="atLeast"/>
        <w:ind w:firstLine="420"/>
        <w:rPr>
          <w:rFonts w:ascii="宋体" w:hAnsi="宋体" w:cs="宋体"/>
        </w:rPr>
      </w:pPr>
      <w:r>
        <w:rPr>
          <w:rFonts w:hint="eastAsia" w:ascii="宋体" w:hAnsi="宋体" w:cs="宋体"/>
        </w:rPr>
        <w:t>五、参加本次招标采购活动，不存在和其他供应商在同一合同项下的采购项目中，同时委托同一个自然人、同一家庭的人员、同一单位的人员作为代理人的行为。</w:t>
      </w:r>
    </w:p>
    <w:p w14:paraId="0CF26347">
      <w:pPr>
        <w:spacing w:line="400" w:lineRule="atLeast"/>
        <w:ind w:firstLine="420"/>
        <w:rPr>
          <w:rFonts w:ascii="宋体" w:hAnsi="宋体" w:cs="宋体"/>
        </w:rPr>
      </w:pPr>
      <w:r>
        <w:rPr>
          <w:rFonts w:hint="eastAsia" w:ascii="宋体" w:hAnsi="宋体" w:cs="宋体"/>
        </w:rPr>
        <w:t>六、供应商参加本次政府采购活动要求在近三年内供应商和其法定代表人没有行贿犯罪行为。</w:t>
      </w:r>
    </w:p>
    <w:p w14:paraId="162F15EE">
      <w:pPr>
        <w:spacing w:line="400" w:lineRule="atLeast"/>
        <w:ind w:firstLine="420"/>
        <w:rPr>
          <w:rFonts w:ascii="宋体" w:hAnsi="宋体" w:cs="宋体"/>
        </w:rPr>
      </w:pPr>
      <w:r>
        <w:rPr>
          <w:rFonts w:hint="eastAsia" w:ascii="宋体" w:hAnsi="宋体" w:cs="宋体"/>
        </w:rPr>
        <w:t>七、投标文件中提供的能够给予我公司带来优惠、好处的任何材料资料和技术、服务、商务等相应承诺情况都是真实的、有效的、合法的。</w:t>
      </w:r>
    </w:p>
    <w:p w14:paraId="110B5691">
      <w:pPr>
        <w:spacing w:line="400" w:lineRule="atLeast"/>
        <w:ind w:firstLine="420"/>
        <w:rPr>
          <w:rFonts w:ascii="宋体" w:hAnsi="宋体" w:cs="宋体"/>
        </w:rPr>
      </w:pPr>
      <w:r>
        <w:rPr>
          <w:rFonts w:hint="eastAsia" w:ascii="宋体" w:hAnsi="宋体" w:cs="宋体"/>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C7F2E2D">
      <w:pPr>
        <w:spacing w:line="400" w:lineRule="atLeast"/>
        <w:ind w:firstLine="420"/>
        <w:rPr>
          <w:rFonts w:ascii="宋体" w:hAnsi="宋体" w:cs="宋体"/>
        </w:rPr>
      </w:pPr>
      <w:r>
        <w:rPr>
          <w:rFonts w:hint="eastAsia" w:ascii="宋体" w:hAnsi="宋体" w:cs="宋体"/>
        </w:rPr>
        <w:t>九、存在以下行为之一的愿意接受相关部门的处理：</w:t>
      </w:r>
    </w:p>
    <w:p w14:paraId="23AD06C2">
      <w:pPr>
        <w:spacing w:line="400" w:lineRule="atLeast"/>
        <w:ind w:firstLine="420"/>
        <w:rPr>
          <w:rFonts w:ascii="宋体" w:hAnsi="宋体" w:cs="宋体"/>
        </w:rPr>
      </w:pPr>
      <w:r>
        <w:rPr>
          <w:rFonts w:hint="eastAsia" w:ascii="宋体" w:hAnsi="宋体" w:cs="宋体"/>
        </w:rPr>
        <w:t>（一）投标有效期内撤销投标文件的；</w:t>
      </w:r>
    </w:p>
    <w:p w14:paraId="12BF3312">
      <w:pPr>
        <w:spacing w:line="400" w:lineRule="atLeast"/>
        <w:ind w:firstLine="420"/>
        <w:rPr>
          <w:rFonts w:ascii="宋体" w:hAnsi="宋体" w:cs="宋体"/>
        </w:rPr>
      </w:pPr>
      <w:r>
        <w:rPr>
          <w:rFonts w:hint="eastAsia" w:ascii="宋体" w:hAnsi="宋体" w:cs="宋体"/>
        </w:rPr>
        <w:t>（二）在采购人确定成交人以前放弃中标候选资格的；</w:t>
      </w:r>
    </w:p>
    <w:p w14:paraId="0D721BAC">
      <w:pPr>
        <w:spacing w:line="400" w:lineRule="atLeast"/>
        <w:ind w:firstLine="420"/>
        <w:rPr>
          <w:rFonts w:ascii="宋体" w:hAnsi="宋体" w:cs="宋体"/>
        </w:rPr>
      </w:pPr>
      <w:r>
        <w:rPr>
          <w:rFonts w:hint="eastAsia" w:ascii="宋体" w:hAnsi="宋体" w:cs="宋体"/>
        </w:rPr>
        <w:t>（三）由于成交人的原因未能按照招标文件的规定与采购人签订合同；</w:t>
      </w:r>
    </w:p>
    <w:p w14:paraId="275A53A6">
      <w:pPr>
        <w:spacing w:line="400" w:lineRule="atLeast"/>
        <w:ind w:firstLine="420"/>
        <w:rPr>
          <w:rFonts w:ascii="宋体" w:hAnsi="宋体" w:cs="宋体"/>
        </w:rPr>
      </w:pPr>
      <w:r>
        <w:rPr>
          <w:rFonts w:hint="eastAsia" w:ascii="宋体" w:hAnsi="宋体" w:cs="宋体"/>
        </w:rPr>
        <w:t>（四）在投标文件中提供虚假材料谋取中标；</w:t>
      </w:r>
    </w:p>
    <w:p w14:paraId="3C62D418">
      <w:pPr>
        <w:spacing w:line="400" w:lineRule="atLeast"/>
        <w:ind w:firstLine="420"/>
        <w:rPr>
          <w:rFonts w:ascii="宋体" w:hAnsi="宋体" w:cs="宋体"/>
        </w:rPr>
      </w:pPr>
      <w:r>
        <w:rPr>
          <w:rFonts w:hint="eastAsia" w:ascii="宋体" w:hAnsi="宋体" w:cs="宋体"/>
        </w:rPr>
        <w:t>（五）与采购人、其他供应商或者采购代理机构恶意串通的；</w:t>
      </w:r>
    </w:p>
    <w:p w14:paraId="526C60A9">
      <w:pPr>
        <w:spacing w:line="400" w:lineRule="atLeast"/>
        <w:ind w:firstLine="420"/>
        <w:rPr>
          <w:rFonts w:ascii="宋体" w:hAnsi="宋体" w:cs="宋体"/>
        </w:rPr>
      </w:pPr>
      <w:r>
        <w:rPr>
          <w:rFonts w:hint="eastAsia" w:ascii="宋体" w:hAnsi="宋体" w:cs="宋体"/>
        </w:rPr>
        <w:t>（六）投标有效期内，供应商在政府采购活动中有违法、违规、违纪行为。</w:t>
      </w:r>
    </w:p>
    <w:p w14:paraId="1D917730">
      <w:pPr>
        <w:spacing w:line="400" w:lineRule="atLeast"/>
        <w:ind w:firstLine="420"/>
        <w:rPr>
          <w:rFonts w:ascii="宋体" w:hAnsi="宋体" w:cs="宋体"/>
        </w:rPr>
      </w:pPr>
      <w:r>
        <w:rPr>
          <w:rFonts w:hint="eastAsia" w:ascii="宋体" w:hAnsi="宋体" w:cs="宋体"/>
        </w:rPr>
        <w:t> 由此产生的一切法律后果和责任由我公司承担。我公司声明放弃对此提出任何异议和追索的权利。</w:t>
      </w:r>
    </w:p>
    <w:p w14:paraId="31629414">
      <w:pPr>
        <w:spacing w:line="400" w:lineRule="atLeast"/>
        <w:ind w:firstLine="420"/>
        <w:rPr>
          <w:rFonts w:ascii="宋体" w:hAnsi="宋体" w:cs="宋体"/>
        </w:rPr>
      </w:pPr>
      <w:r>
        <w:rPr>
          <w:rFonts w:hint="eastAsia" w:ascii="宋体" w:hAnsi="宋体" w:cs="宋体"/>
        </w:rPr>
        <w:t>本公司对上述承诺的内容事项真实性负责。如经查实上述承诺的内容事项存在虚假，我公司愿意接受以提供虚假材料谋取中标追究法律责任。</w:t>
      </w:r>
    </w:p>
    <w:p w14:paraId="74E53B48">
      <w:pPr>
        <w:spacing w:line="400" w:lineRule="atLeast"/>
        <w:ind w:left="840" w:leftChars="400" w:firstLine="420"/>
        <w:rPr>
          <w:rFonts w:ascii="宋体" w:hAnsi="宋体" w:cs="宋体"/>
        </w:rPr>
      </w:pPr>
      <w:r>
        <w:rPr>
          <w:rFonts w:hint="eastAsia" w:ascii="宋体" w:hAnsi="宋体" w:cs="宋体"/>
        </w:rPr>
        <w:t>       </w:t>
      </w:r>
    </w:p>
    <w:p w14:paraId="5E185924">
      <w:pPr>
        <w:pStyle w:val="53"/>
        <w:rPr>
          <w:rFonts w:hAnsi="宋体"/>
          <w:color w:val="auto"/>
        </w:rPr>
      </w:pPr>
    </w:p>
    <w:p w14:paraId="62F52FA8">
      <w:pPr>
        <w:ind w:firstLine="420"/>
        <w:rPr>
          <w:rFonts w:ascii="宋体" w:hAnsi="宋体" w:cs="宋体"/>
        </w:rPr>
      </w:pPr>
    </w:p>
    <w:p w14:paraId="1EACBDA8">
      <w:pPr>
        <w:spacing w:line="360" w:lineRule="auto"/>
        <w:ind w:left="2730" w:leftChars="1300" w:firstLine="420"/>
        <w:rPr>
          <w:rFonts w:ascii="宋体" w:hAnsi="宋体" w:cs="宋体"/>
        </w:rPr>
      </w:pPr>
      <w:r>
        <w:rPr>
          <w:rFonts w:hint="eastAsia" w:ascii="宋体" w:hAnsi="宋体" w:cs="宋体"/>
        </w:rPr>
        <w:t>供应商名称：</w:t>
      </w:r>
      <w:r>
        <w:rPr>
          <w:rFonts w:hint="eastAsia" w:ascii="宋体" w:hAnsi="宋体" w:cs="宋体"/>
          <w:u w:val="single"/>
        </w:rPr>
        <w:t>              </w:t>
      </w:r>
      <w:r>
        <w:rPr>
          <w:rFonts w:hint="eastAsia" w:ascii="宋体" w:hAnsi="宋体" w:cs="宋体"/>
        </w:rPr>
        <w:t>（单位电子签章）</w:t>
      </w:r>
    </w:p>
    <w:p w14:paraId="47E55097">
      <w:pPr>
        <w:spacing w:line="360" w:lineRule="auto"/>
        <w:ind w:left="2730" w:leftChars="1300" w:firstLine="420"/>
        <w:rPr>
          <w:rFonts w:ascii="宋体" w:hAnsi="宋体" w:cs="宋体"/>
        </w:rPr>
      </w:pPr>
      <w:r>
        <w:rPr>
          <w:rFonts w:hint="eastAsia" w:ascii="宋体" w:hAnsi="宋体" w:cs="宋体"/>
        </w:rPr>
        <w:t>法定代表人或授权代表：</w:t>
      </w:r>
      <w:r>
        <w:rPr>
          <w:rFonts w:hint="eastAsia" w:ascii="宋体" w:hAnsi="宋体" w:cs="宋体"/>
          <w:u w:val="single"/>
        </w:rPr>
        <w:t>      </w:t>
      </w:r>
      <w:r>
        <w:rPr>
          <w:rFonts w:hint="eastAsia" w:ascii="宋体" w:hAnsi="宋体" w:cs="宋体"/>
        </w:rPr>
        <w:t>（签字或盖章）</w:t>
      </w:r>
    </w:p>
    <w:p w14:paraId="0FB2A58D">
      <w:pPr>
        <w:spacing w:line="360" w:lineRule="auto"/>
        <w:ind w:left="2730" w:leftChars="1300" w:firstLine="420"/>
        <w:rPr>
          <w:rFonts w:ascii="宋体" w:hAnsi="宋体" w:cs="宋体"/>
          <w:u w:val="single"/>
        </w:rPr>
      </w:pPr>
      <w:r>
        <w:rPr>
          <w:rFonts w:hint="eastAsia" w:ascii="宋体" w:hAnsi="宋体" w:cs="宋体"/>
        </w:rPr>
        <w:t>日      期：</w:t>
      </w:r>
      <w:r>
        <w:rPr>
          <w:rFonts w:hint="eastAsia" w:ascii="宋体" w:hAnsi="宋体" w:cs="宋体"/>
          <w:u w:val="single"/>
        </w:rPr>
        <w:t>               </w:t>
      </w:r>
    </w:p>
    <w:p w14:paraId="275A422C">
      <w:pPr>
        <w:pStyle w:val="30"/>
        <w:shd w:val="clear" w:color="auto" w:fill="FFFFFF"/>
        <w:spacing w:beforeAutospacing="0" w:afterAutospacing="0" w:line="405" w:lineRule="atLeast"/>
        <w:ind w:firstLine="422"/>
        <w:jc w:val="center"/>
        <w:rPr>
          <w:rFonts w:eastAsia="宋体"/>
          <w:b/>
          <w:sz w:val="21"/>
          <w:szCs w:val="21"/>
        </w:rPr>
      </w:pPr>
    </w:p>
    <w:p w14:paraId="64C3D867">
      <w:pPr>
        <w:pStyle w:val="30"/>
        <w:shd w:val="clear" w:color="auto" w:fill="FFFFFF"/>
        <w:spacing w:beforeAutospacing="0" w:afterAutospacing="0" w:line="405" w:lineRule="atLeast"/>
        <w:ind w:firstLine="422"/>
        <w:jc w:val="both"/>
        <w:rPr>
          <w:rFonts w:eastAsia="宋体"/>
          <w:b/>
          <w:sz w:val="21"/>
          <w:szCs w:val="21"/>
        </w:rPr>
      </w:pPr>
    </w:p>
    <w:p w14:paraId="0265D418">
      <w:pPr>
        <w:pStyle w:val="30"/>
        <w:shd w:val="clear" w:color="auto" w:fill="FFFFFF"/>
        <w:spacing w:beforeAutospacing="0" w:afterAutospacing="0" w:line="405" w:lineRule="atLeast"/>
        <w:ind w:firstLine="422"/>
        <w:jc w:val="both"/>
        <w:rPr>
          <w:rFonts w:eastAsia="宋体"/>
          <w:b/>
          <w:sz w:val="21"/>
          <w:szCs w:val="21"/>
        </w:rPr>
      </w:pPr>
    </w:p>
    <w:p w14:paraId="2F381A4D">
      <w:pPr>
        <w:pStyle w:val="30"/>
        <w:shd w:val="clear" w:color="auto" w:fill="FFFFFF"/>
        <w:spacing w:beforeAutospacing="0" w:afterAutospacing="0" w:line="405" w:lineRule="atLeast"/>
        <w:ind w:firstLine="422"/>
        <w:jc w:val="both"/>
        <w:rPr>
          <w:rFonts w:eastAsia="宋体"/>
          <w:b/>
          <w:sz w:val="21"/>
          <w:szCs w:val="21"/>
        </w:rPr>
      </w:pPr>
    </w:p>
    <w:p w14:paraId="7487E1B0">
      <w:pPr>
        <w:pStyle w:val="30"/>
        <w:shd w:val="clear" w:color="auto" w:fill="FFFFFF"/>
        <w:spacing w:beforeAutospacing="0" w:afterAutospacing="0" w:line="405" w:lineRule="atLeast"/>
        <w:ind w:firstLine="422"/>
        <w:jc w:val="both"/>
        <w:rPr>
          <w:rFonts w:eastAsia="宋体"/>
          <w:b/>
          <w:sz w:val="21"/>
          <w:szCs w:val="21"/>
        </w:rPr>
      </w:pPr>
    </w:p>
    <w:p w14:paraId="3BD6EAD4">
      <w:pPr>
        <w:pStyle w:val="30"/>
        <w:shd w:val="clear" w:color="auto" w:fill="FFFFFF"/>
        <w:spacing w:beforeAutospacing="0" w:afterAutospacing="0" w:line="405" w:lineRule="atLeast"/>
        <w:ind w:firstLine="422"/>
        <w:jc w:val="both"/>
        <w:rPr>
          <w:rFonts w:eastAsia="宋体"/>
          <w:b/>
          <w:sz w:val="21"/>
          <w:szCs w:val="21"/>
        </w:rPr>
      </w:pPr>
    </w:p>
    <w:p w14:paraId="294A0562">
      <w:pPr>
        <w:pStyle w:val="30"/>
        <w:shd w:val="clear" w:color="auto" w:fill="FFFFFF"/>
        <w:spacing w:beforeAutospacing="0" w:afterAutospacing="0" w:line="405" w:lineRule="atLeast"/>
        <w:ind w:firstLine="422"/>
        <w:jc w:val="both"/>
        <w:rPr>
          <w:rFonts w:eastAsia="宋体"/>
          <w:b/>
          <w:sz w:val="21"/>
          <w:szCs w:val="21"/>
        </w:rPr>
      </w:pPr>
    </w:p>
    <w:p w14:paraId="10E8E3A2">
      <w:pPr>
        <w:pStyle w:val="30"/>
        <w:shd w:val="clear" w:color="auto" w:fill="FFFFFF"/>
        <w:spacing w:beforeAutospacing="0" w:afterAutospacing="0" w:line="405" w:lineRule="atLeast"/>
        <w:ind w:firstLine="422"/>
        <w:jc w:val="both"/>
        <w:rPr>
          <w:rFonts w:eastAsia="宋体"/>
          <w:b/>
          <w:sz w:val="21"/>
          <w:szCs w:val="21"/>
        </w:rPr>
      </w:pPr>
    </w:p>
    <w:p w14:paraId="604FA564">
      <w:pPr>
        <w:pStyle w:val="30"/>
        <w:shd w:val="clear" w:color="auto" w:fill="FFFFFF"/>
        <w:spacing w:beforeAutospacing="0" w:afterAutospacing="0" w:line="405" w:lineRule="atLeast"/>
        <w:ind w:firstLine="422"/>
        <w:jc w:val="both"/>
        <w:rPr>
          <w:rFonts w:eastAsia="宋体"/>
          <w:b/>
          <w:sz w:val="21"/>
          <w:szCs w:val="21"/>
        </w:rPr>
      </w:pPr>
    </w:p>
    <w:p w14:paraId="5EA51C80">
      <w:pPr>
        <w:pStyle w:val="30"/>
        <w:shd w:val="clear" w:color="auto" w:fill="FFFFFF"/>
        <w:spacing w:beforeAutospacing="0" w:afterAutospacing="0" w:line="405" w:lineRule="atLeast"/>
        <w:ind w:firstLine="422"/>
        <w:jc w:val="both"/>
        <w:rPr>
          <w:rFonts w:eastAsia="宋体"/>
          <w:b/>
          <w:sz w:val="21"/>
          <w:szCs w:val="21"/>
        </w:rPr>
      </w:pPr>
    </w:p>
    <w:p w14:paraId="62053679">
      <w:pPr>
        <w:pStyle w:val="30"/>
        <w:shd w:val="clear" w:color="auto" w:fill="FFFFFF"/>
        <w:spacing w:beforeAutospacing="0" w:afterAutospacing="0" w:line="405" w:lineRule="atLeast"/>
        <w:ind w:firstLine="422"/>
        <w:jc w:val="both"/>
        <w:rPr>
          <w:rFonts w:eastAsia="宋体"/>
          <w:b/>
          <w:sz w:val="21"/>
          <w:szCs w:val="21"/>
        </w:rPr>
      </w:pPr>
    </w:p>
    <w:p w14:paraId="0ECAB7FC">
      <w:pPr>
        <w:pStyle w:val="30"/>
        <w:shd w:val="clear" w:color="auto" w:fill="FFFFFF"/>
        <w:spacing w:beforeAutospacing="0" w:afterAutospacing="0" w:line="405" w:lineRule="atLeast"/>
        <w:ind w:firstLine="422"/>
        <w:jc w:val="both"/>
        <w:rPr>
          <w:rFonts w:eastAsia="宋体"/>
          <w:b/>
          <w:sz w:val="21"/>
          <w:szCs w:val="21"/>
        </w:rPr>
      </w:pPr>
    </w:p>
    <w:p w14:paraId="6FC28883">
      <w:pPr>
        <w:pStyle w:val="30"/>
        <w:shd w:val="clear" w:color="auto" w:fill="FFFFFF"/>
        <w:spacing w:beforeAutospacing="0" w:afterAutospacing="0" w:line="405" w:lineRule="atLeast"/>
        <w:ind w:firstLine="422"/>
        <w:jc w:val="both"/>
        <w:rPr>
          <w:rFonts w:eastAsia="宋体"/>
          <w:b/>
          <w:sz w:val="21"/>
          <w:szCs w:val="21"/>
        </w:rPr>
      </w:pPr>
    </w:p>
    <w:p w14:paraId="66F188D2">
      <w:pPr>
        <w:pStyle w:val="30"/>
        <w:shd w:val="clear" w:color="auto" w:fill="FFFFFF"/>
        <w:spacing w:beforeAutospacing="0" w:afterAutospacing="0" w:line="405" w:lineRule="atLeast"/>
        <w:ind w:firstLine="422"/>
        <w:jc w:val="both"/>
        <w:rPr>
          <w:rFonts w:eastAsia="宋体"/>
          <w:b/>
          <w:sz w:val="21"/>
          <w:szCs w:val="21"/>
        </w:rPr>
      </w:pPr>
    </w:p>
    <w:p w14:paraId="59935617">
      <w:pPr>
        <w:pStyle w:val="30"/>
        <w:shd w:val="clear" w:color="auto" w:fill="FFFFFF"/>
        <w:spacing w:beforeAutospacing="0" w:afterAutospacing="0" w:line="405" w:lineRule="atLeast"/>
        <w:ind w:firstLine="422"/>
        <w:jc w:val="both"/>
        <w:rPr>
          <w:rFonts w:eastAsia="宋体"/>
          <w:b/>
          <w:sz w:val="21"/>
          <w:szCs w:val="21"/>
        </w:rPr>
      </w:pPr>
    </w:p>
    <w:p w14:paraId="303BD88A">
      <w:pPr>
        <w:pStyle w:val="30"/>
        <w:shd w:val="clear" w:color="auto" w:fill="FFFFFF"/>
        <w:spacing w:beforeAutospacing="0" w:afterAutospacing="0" w:line="405" w:lineRule="atLeast"/>
        <w:ind w:firstLine="422"/>
        <w:jc w:val="both"/>
        <w:rPr>
          <w:rFonts w:eastAsia="宋体"/>
          <w:b/>
          <w:sz w:val="21"/>
          <w:szCs w:val="21"/>
        </w:rPr>
      </w:pPr>
    </w:p>
    <w:p w14:paraId="4D53E4EC">
      <w:pPr>
        <w:pStyle w:val="9"/>
        <w:ind w:firstLine="422"/>
        <w:rPr>
          <w:rFonts w:ascii="宋体" w:hAnsi="宋体" w:cs="宋体"/>
        </w:rPr>
      </w:pPr>
      <w:bookmarkStart w:id="1361" w:name="_Toc19284"/>
      <w:bookmarkStart w:id="1362" w:name="_Toc20300"/>
      <w:bookmarkStart w:id="1363" w:name="_Toc27552"/>
      <w:bookmarkStart w:id="1364" w:name="_Toc27882"/>
      <w:bookmarkStart w:id="1365" w:name="_Toc20232"/>
      <w:bookmarkStart w:id="1366" w:name="_Toc5434"/>
    </w:p>
    <w:p w14:paraId="09C1B22A">
      <w:pPr>
        <w:ind w:firstLine="420"/>
        <w:rPr>
          <w:rFonts w:ascii="宋体" w:hAnsi="宋体" w:cs="宋体"/>
        </w:rPr>
      </w:pPr>
    </w:p>
    <w:p w14:paraId="555506AB">
      <w:pPr>
        <w:pStyle w:val="9"/>
        <w:ind w:firstLine="422"/>
        <w:jc w:val="center"/>
        <w:rPr>
          <w:rFonts w:ascii="宋体" w:hAnsi="宋体" w:cs="宋体"/>
        </w:rPr>
      </w:pPr>
      <w:r>
        <w:rPr>
          <w:rFonts w:hint="eastAsia" w:ascii="宋体" w:hAnsi="宋体" w:cs="宋体"/>
        </w:rPr>
        <w:t>2、采购代理服务费承诺函</w:t>
      </w:r>
      <w:bookmarkEnd w:id="1361"/>
      <w:bookmarkEnd w:id="1362"/>
      <w:bookmarkEnd w:id="1363"/>
      <w:bookmarkEnd w:id="1364"/>
      <w:bookmarkEnd w:id="1365"/>
      <w:bookmarkEnd w:id="1366"/>
    </w:p>
    <w:p w14:paraId="7B0E8689">
      <w:pPr>
        <w:spacing w:line="480" w:lineRule="atLeast"/>
        <w:ind w:firstLine="420"/>
        <w:rPr>
          <w:rFonts w:ascii="宋体" w:hAnsi="宋体" w:cs="宋体"/>
          <w:u w:val="single"/>
        </w:rPr>
      </w:pPr>
      <w:r>
        <w:rPr>
          <w:rFonts w:hint="eastAsia" w:ascii="宋体" w:hAnsi="宋体" w:cs="宋体"/>
        </w:rPr>
        <w:t>致</w:t>
      </w:r>
      <w:r>
        <w:rPr>
          <w:rFonts w:hint="eastAsia" w:ascii="宋体" w:hAnsi="宋体" w:cs="宋体"/>
          <w:u w:val="single"/>
        </w:rPr>
        <w:t>（采购人及采购代理机构） ：</w:t>
      </w:r>
    </w:p>
    <w:p w14:paraId="53D27628">
      <w:pPr>
        <w:spacing w:line="480" w:lineRule="atLeast"/>
        <w:ind w:firstLine="420"/>
        <w:rPr>
          <w:rFonts w:ascii="宋体" w:hAnsi="宋体" w:cs="宋体"/>
        </w:rPr>
      </w:pPr>
      <w:r>
        <w:rPr>
          <w:rFonts w:hint="eastAsia" w:ascii="宋体" w:hAnsi="宋体" w:cs="宋体"/>
        </w:rPr>
        <w:t>我们在贵公司组织的（项目名称：</w:t>
      </w:r>
      <w:r>
        <w:rPr>
          <w:rFonts w:hint="eastAsia" w:ascii="宋体" w:hAnsi="宋体" w:cs="宋体"/>
          <w:u w:val="single"/>
        </w:rPr>
        <w:t xml:space="preserve">            </w:t>
      </w:r>
      <w:r>
        <w:rPr>
          <w:rFonts w:hint="eastAsia" w:ascii="宋体" w:hAnsi="宋体" w:cs="宋体"/>
        </w:rPr>
        <w:t>，采购编号：</w:t>
      </w:r>
      <w:r>
        <w:rPr>
          <w:rFonts w:hint="eastAsia" w:ascii="宋体" w:hAnsi="宋体" w:cs="宋体"/>
          <w:u w:val="single"/>
        </w:rPr>
        <w:t xml:space="preserve">     </w:t>
      </w:r>
      <w:r>
        <w:rPr>
          <w:rFonts w:hint="eastAsia" w:ascii="宋体" w:hAnsi="宋体" w:cs="宋体"/>
        </w:rPr>
        <w:t>）招标采购中若获中标（成交），我们保证在中标（成交）结果公告发布后5个工作日内，按招标文件的规定向贵公司一次性支付采购代理服务费用。否则，由此产生的一切法律后果和责任由我公司承担。我公司声明放弃对此提出任何异议和追索的权利。</w:t>
      </w:r>
    </w:p>
    <w:p w14:paraId="138A5131">
      <w:pPr>
        <w:spacing w:line="480" w:lineRule="atLeast"/>
        <w:ind w:firstLine="420"/>
        <w:rPr>
          <w:rFonts w:ascii="宋体" w:hAnsi="宋体" w:cs="宋体"/>
        </w:rPr>
      </w:pPr>
      <w:r>
        <w:rPr>
          <w:rFonts w:hint="eastAsia" w:ascii="宋体" w:hAnsi="宋体" w:cs="宋体"/>
        </w:rPr>
        <w:t>特此承诺。</w:t>
      </w:r>
    </w:p>
    <w:p w14:paraId="001C20DE">
      <w:pPr>
        <w:pStyle w:val="30"/>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 </w:t>
      </w:r>
    </w:p>
    <w:p w14:paraId="01319E42">
      <w:pPr>
        <w:pStyle w:val="30"/>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 </w:t>
      </w:r>
    </w:p>
    <w:p w14:paraId="037D54D9">
      <w:pPr>
        <w:spacing w:line="360" w:lineRule="auto"/>
        <w:ind w:left="2520" w:leftChars="1200" w:firstLine="420"/>
        <w:rPr>
          <w:rFonts w:ascii="宋体" w:hAnsi="宋体" w:cs="宋体"/>
        </w:rPr>
      </w:pPr>
      <w:r>
        <w:rPr>
          <w:rFonts w:hint="eastAsia" w:ascii="宋体" w:hAnsi="宋体" w:cs="宋体"/>
        </w:rPr>
        <w:t>供应商名称：</w:t>
      </w:r>
      <w:r>
        <w:rPr>
          <w:rFonts w:hint="eastAsia" w:ascii="宋体" w:hAnsi="宋体" w:cs="宋体"/>
          <w:u w:val="single"/>
        </w:rPr>
        <w:t>         </w:t>
      </w:r>
      <w:r>
        <w:rPr>
          <w:rFonts w:hint="eastAsia" w:ascii="宋体" w:hAnsi="宋体" w:cs="宋体"/>
        </w:rPr>
        <w:t>（单位电子签章）</w:t>
      </w:r>
    </w:p>
    <w:p w14:paraId="7BFD260E">
      <w:pPr>
        <w:spacing w:line="360" w:lineRule="auto"/>
        <w:ind w:left="2520" w:leftChars="1200" w:firstLine="420"/>
        <w:rPr>
          <w:rFonts w:ascii="宋体" w:hAnsi="宋体" w:cs="宋体"/>
        </w:rPr>
      </w:pPr>
      <w:r>
        <w:rPr>
          <w:rFonts w:hint="eastAsia" w:ascii="宋体" w:hAnsi="宋体" w:cs="宋体"/>
        </w:rPr>
        <w:t>法定代表人或授权代表：</w:t>
      </w:r>
      <w:r>
        <w:rPr>
          <w:rFonts w:hint="eastAsia" w:ascii="宋体" w:hAnsi="宋体" w:cs="宋体"/>
          <w:u w:val="single"/>
        </w:rPr>
        <w:t>        </w:t>
      </w:r>
      <w:r>
        <w:rPr>
          <w:rFonts w:hint="eastAsia" w:ascii="宋体" w:hAnsi="宋体" w:cs="宋体"/>
        </w:rPr>
        <w:t>（签字或盖章）</w:t>
      </w:r>
    </w:p>
    <w:p w14:paraId="38DF7460">
      <w:pPr>
        <w:spacing w:line="360" w:lineRule="auto"/>
        <w:ind w:left="2520" w:leftChars="1200" w:firstLine="420"/>
        <w:rPr>
          <w:rFonts w:ascii="宋体" w:hAnsi="宋体" w:cs="宋体"/>
          <w:u w:val="single"/>
        </w:rPr>
      </w:pPr>
      <w:r>
        <w:rPr>
          <w:rFonts w:hint="eastAsia" w:ascii="宋体" w:hAnsi="宋体" w:cs="宋体"/>
        </w:rPr>
        <w:t>日      期：</w:t>
      </w:r>
      <w:r>
        <w:rPr>
          <w:rFonts w:hint="eastAsia" w:ascii="宋体" w:hAnsi="宋体" w:cs="宋体"/>
          <w:u w:val="single"/>
        </w:rPr>
        <w:t>                  </w:t>
      </w:r>
    </w:p>
    <w:p w14:paraId="57398194">
      <w:pPr>
        <w:pStyle w:val="30"/>
        <w:shd w:val="clear" w:color="auto" w:fill="FFFFFF"/>
        <w:spacing w:beforeAutospacing="0" w:afterAutospacing="0" w:line="360" w:lineRule="auto"/>
        <w:ind w:firstLine="452"/>
        <w:jc w:val="both"/>
        <w:rPr>
          <w:rFonts w:eastAsia="宋体"/>
          <w:spacing w:val="8"/>
          <w:sz w:val="21"/>
          <w:szCs w:val="21"/>
        </w:rPr>
      </w:pPr>
      <w:r>
        <w:rPr>
          <w:rFonts w:hint="eastAsia" w:eastAsia="宋体"/>
          <w:spacing w:val="8"/>
          <w:sz w:val="21"/>
          <w:szCs w:val="21"/>
          <w:shd w:val="clear" w:color="auto" w:fill="FFFFFF"/>
        </w:rPr>
        <w:t> </w:t>
      </w:r>
    </w:p>
    <w:p w14:paraId="2E8958E5">
      <w:pPr>
        <w:ind w:firstLine="420"/>
        <w:rPr>
          <w:rFonts w:ascii="宋体" w:hAnsi="宋体" w:cs="宋体"/>
        </w:rPr>
      </w:pPr>
    </w:p>
    <w:p w14:paraId="0254986D">
      <w:pPr>
        <w:ind w:firstLine="420"/>
        <w:rPr>
          <w:rFonts w:ascii="宋体" w:hAnsi="宋体" w:cs="宋体"/>
        </w:rPr>
      </w:pPr>
    </w:p>
    <w:p w14:paraId="57272EED">
      <w:pPr>
        <w:pStyle w:val="19"/>
        <w:spacing w:before="156" w:after="156"/>
        <w:ind w:firstLine="420"/>
        <w:rPr>
          <w:rFonts w:ascii="宋体" w:hAnsi="宋体" w:cs="宋体"/>
        </w:rPr>
      </w:pPr>
    </w:p>
    <w:p w14:paraId="6721ABD6">
      <w:pPr>
        <w:pStyle w:val="53"/>
        <w:rPr>
          <w:rFonts w:hAnsi="宋体"/>
          <w:color w:val="auto"/>
        </w:rPr>
      </w:pPr>
    </w:p>
    <w:p w14:paraId="7A532A60">
      <w:pPr>
        <w:ind w:firstLine="420"/>
        <w:rPr>
          <w:rFonts w:ascii="宋体" w:hAnsi="宋体" w:cs="宋体"/>
        </w:rPr>
      </w:pPr>
    </w:p>
    <w:p w14:paraId="7DC6A060">
      <w:pPr>
        <w:pStyle w:val="19"/>
        <w:spacing w:before="156" w:after="156"/>
        <w:ind w:firstLine="420"/>
        <w:rPr>
          <w:rFonts w:ascii="宋体" w:hAnsi="宋体" w:cs="宋体"/>
        </w:rPr>
      </w:pPr>
    </w:p>
    <w:p w14:paraId="76B6AA1C">
      <w:pPr>
        <w:pStyle w:val="53"/>
        <w:rPr>
          <w:rFonts w:hAnsi="宋体"/>
          <w:color w:val="auto"/>
        </w:rPr>
      </w:pPr>
    </w:p>
    <w:p w14:paraId="0E307AD0">
      <w:pPr>
        <w:ind w:firstLine="420"/>
        <w:rPr>
          <w:rFonts w:ascii="宋体" w:hAnsi="宋体" w:cs="宋体"/>
        </w:rPr>
      </w:pPr>
    </w:p>
    <w:p w14:paraId="30833937">
      <w:pPr>
        <w:pStyle w:val="19"/>
        <w:spacing w:before="156" w:after="156"/>
        <w:ind w:firstLine="420"/>
        <w:rPr>
          <w:rFonts w:ascii="宋体" w:hAnsi="宋体" w:cs="宋体"/>
        </w:rPr>
      </w:pPr>
    </w:p>
    <w:p w14:paraId="47405519">
      <w:pPr>
        <w:ind w:firstLine="420"/>
        <w:rPr>
          <w:rFonts w:ascii="宋体" w:hAnsi="宋体" w:cs="宋体"/>
        </w:rPr>
      </w:pPr>
    </w:p>
    <w:p w14:paraId="24906268">
      <w:pPr>
        <w:pStyle w:val="19"/>
        <w:spacing w:before="156" w:after="156"/>
        <w:ind w:firstLine="420"/>
        <w:rPr>
          <w:rFonts w:ascii="宋体" w:hAnsi="宋体" w:cs="宋体"/>
        </w:rPr>
      </w:pPr>
    </w:p>
    <w:p w14:paraId="6FC17403">
      <w:pPr>
        <w:pStyle w:val="9"/>
        <w:ind w:left="0" w:leftChars="0" w:firstLine="0" w:firstLineChars="0"/>
        <w:jc w:val="center"/>
        <w:rPr>
          <w:rFonts w:ascii="宋体" w:hAnsi="宋体" w:cs="宋体"/>
        </w:rPr>
      </w:pPr>
      <w:bookmarkStart w:id="1367" w:name="_Toc19686"/>
      <w:bookmarkStart w:id="1368" w:name="_Toc7652"/>
      <w:bookmarkStart w:id="1369" w:name="_Toc32575"/>
      <w:bookmarkStart w:id="1370" w:name="_Toc17802"/>
      <w:bookmarkStart w:id="1371" w:name="_Toc13180"/>
      <w:bookmarkStart w:id="1372" w:name="_Toc173"/>
      <w:r>
        <w:rPr>
          <w:rFonts w:hint="eastAsia" w:ascii="宋体" w:hAnsi="宋体" w:cs="宋体"/>
        </w:rPr>
        <w:t>3、供应商认为需要的其他资料</w:t>
      </w:r>
      <w:bookmarkEnd w:id="1367"/>
      <w:bookmarkEnd w:id="1368"/>
      <w:bookmarkEnd w:id="1369"/>
      <w:bookmarkEnd w:id="1370"/>
      <w:bookmarkEnd w:id="1371"/>
      <w:bookmarkEnd w:id="1372"/>
    </w:p>
    <w:p w14:paraId="48049251">
      <w:pPr>
        <w:ind w:firstLine="420"/>
        <w:rPr>
          <w:rFonts w:ascii="宋体" w:hAnsi="宋体" w:cs="宋体"/>
        </w:rPr>
      </w:pPr>
    </w:p>
    <w:p w14:paraId="3BDEEB76">
      <w:pPr>
        <w:ind w:firstLine="420"/>
        <w:rPr>
          <w:rFonts w:ascii="宋体" w:hAnsi="宋体" w:cs="宋体"/>
        </w:rPr>
      </w:pPr>
    </w:p>
    <w:p w14:paraId="4FCBC222">
      <w:pPr>
        <w:ind w:firstLine="420"/>
        <w:rPr>
          <w:rFonts w:ascii="宋体" w:hAnsi="宋体" w:cs="宋体"/>
        </w:rPr>
      </w:pPr>
    </w:p>
    <w:p w14:paraId="23D0F75B">
      <w:pPr>
        <w:ind w:firstLine="420"/>
        <w:rPr>
          <w:rFonts w:ascii="宋体" w:hAnsi="宋体" w:cs="宋体"/>
        </w:rPr>
      </w:pPr>
    </w:p>
    <w:p w14:paraId="2D8B733D">
      <w:pPr>
        <w:ind w:firstLine="420"/>
        <w:rPr>
          <w:rFonts w:ascii="宋体" w:hAnsi="宋体" w:cs="宋体"/>
        </w:rPr>
      </w:pPr>
    </w:p>
    <w:p w14:paraId="52887E16">
      <w:pPr>
        <w:ind w:firstLine="420"/>
        <w:rPr>
          <w:rFonts w:ascii="宋体" w:hAnsi="宋体" w:cs="宋体"/>
        </w:rPr>
      </w:pPr>
    </w:p>
    <w:p w14:paraId="6688732C">
      <w:pPr>
        <w:ind w:firstLine="420"/>
        <w:rPr>
          <w:rFonts w:ascii="宋体" w:hAnsi="宋体" w:cs="宋体"/>
        </w:rPr>
      </w:pPr>
    </w:p>
    <w:p w14:paraId="7BFF1A71">
      <w:pPr>
        <w:ind w:firstLine="420"/>
        <w:rPr>
          <w:rFonts w:ascii="宋体" w:hAnsi="宋体" w:cs="宋体"/>
        </w:rPr>
      </w:pPr>
    </w:p>
    <w:p w14:paraId="26395CC7">
      <w:pPr>
        <w:ind w:firstLine="420"/>
        <w:rPr>
          <w:rFonts w:ascii="宋体" w:hAnsi="宋体" w:cs="宋体"/>
        </w:rPr>
      </w:pPr>
    </w:p>
    <w:p w14:paraId="7520D52C">
      <w:pPr>
        <w:ind w:firstLine="420"/>
        <w:rPr>
          <w:rFonts w:ascii="宋体" w:hAnsi="宋体" w:cs="宋体"/>
        </w:rPr>
      </w:pPr>
    </w:p>
    <w:p w14:paraId="4C0B15E7">
      <w:pPr>
        <w:ind w:firstLine="420"/>
        <w:rPr>
          <w:rFonts w:ascii="宋体" w:hAnsi="宋体" w:cs="宋体"/>
        </w:rPr>
      </w:pPr>
    </w:p>
    <w:p w14:paraId="7E60FA03">
      <w:pPr>
        <w:ind w:firstLine="420"/>
        <w:rPr>
          <w:rFonts w:ascii="宋体" w:hAnsi="宋体" w:cs="宋体"/>
        </w:rPr>
      </w:pPr>
    </w:p>
    <w:p w14:paraId="01A88EF1">
      <w:pPr>
        <w:ind w:firstLine="420"/>
        <w:rPr>
          <w:rFonts w:ascii="宋体" w:hAnsi="宋体" w:cs="宋体"/>
        </w:rPr>
      </w:pPr>
    </w:p>
    <w:p w14:paraId="7D259C1A">
      <w:pPr>
        <w:ind w:firstLine="420"/>
        <w:rPr>
          <w:rFonts w:ascii="宋体" w:hAnsi="宋体" w:cs="宋体"/>
        </w:rPr>
      </w:pPr>
    </w:p>
    <w:p w14:paraId="6A65FD42">
      <w:pPr>
        <w:ind w:firstLine="420"/>
        <w:rPr>
          <w:rFonts w:ascii="宋体" w:hAnsi="宋体" w:cs="宋体"/>
        </w:rPr>
      </w:pPr>
    </w:p>
    <w:p w14:paraId="38DBC3C9">
      <w:pPr>
        <w:ind w:firstLine="420"/>
        <w:rPr>
          <w:rFonts w:ascii="宋体" w:hAnsi="宋体" w:cs="宋体"/>
        </w:rPr>
      </w:pPr>
    </w:p>
    <w:p w14:paraId="47F2F62A">
      <w:pPr>
        <w:ind w:firstLine="420"/>
        <w:rPr>
          <w:rFonts w:ascii="宋体" w:hAnsi="宋体" w:cs="宋体"/>
        </w:rPr>
      </w:pPr>
    </w:p>
    <w:p w14:paraId="006C87C6">
      <w:pPr>
        <w:ind w:firstLine="420"/>
        <w:rPr>
          <w:rFonts w:ascii="宋体" w:hAnsi="宋体" w:cs="宋体"/>
        </w:rPr>
      </w:pPr>
    </w:p>
    <w:p w14:paraId="1C45FB4E">
      <w:pPr>
        <w:ind w:firstLine="0" w:firstLineChars="0"/>
        <w:rPr>
          <w:rFonts w:ascii="宋体" w:hAnsi="宋体" w:cs="宋体"/>
        </w:rPr>
      </w:pPr>
    </w:p>
    <w:p w14:paraId="3F8488E9">
      <w:pPr>
        <w:rPr>
          <w:rFonts w:hint="eastAsia" w:ascii="宋体" w:hAnsi="宋体" w:eastAsia="宋体" w:cs="宋体"/>
        </w:rPr>
      </w:pPr>
      <w:bookmarkStart w:id="1373" w:name="_Toc24745"/>
      <w:bookmarkStart w:id="1374" w:name="_Toc25119"/>
      <w:bookmarkStart w:id="1375" w:name="_Toc11814"/>
      <w:bookmarkStart w:id="1376" w:name="_Toc21207"/>
      <w:bookmarkStart w:id="1377" w:name="_Toc1247"/>
      <w:bookmarkStart w:id="1378" w:name="_Toc19710"/>
      <w:bookmarkStart w:id="1379" w:name="_Toc7814"/>
      <w:bookmarkStart w:id="1380" w:name="_Toc17700"/>
      <w:r>
        <w:rPr>
          <w:rFonts w:hint="eastAsia" w:ascii="宋体" w:hAnsi="宋体" w:eastAsia="宋体" w:cs="宋体"/>
        </w:rPr>
        <w:br w:type="page"/>
      </w:r>
    </w:p>
    <w:p w14:paraId="112DA9AD">
      <w:pPr>
        <w:pStyle w:val="8"/>
        <w:ind w:firstLine="482"/>
        <w:jc w:val="center"/>
        <w:rPr>
          <w:rFonts w:ascii="宋体" w:hAnsi="宋体" w:eastAsia="宋体" w:cs="宋体"/>
        </w:rPr>
      </w:pPr>
      <w:r>
        <w:rPr>
          <w:rFonts w:hint="eastAsia" w:ascii="宋体" w:hAnsi="宋体" w:eastAsia="宋体" w:cs="宋体"/>
        </w:rPr>
        <w:t>河南省政府采购合同融资政策告知函</w:t>
      </w:r>
      <w:bookmarkEnd w:id="1373"/>
      <w:bookmarkEnd w:id="1374"/>
      <w:bookmarkEnd w:id="1375"/>
      <w:bookmarkEnd w:id="1376"/>
      <w:bookmarkEnd w:id="1377"/>
      <w:bookmarkEnd w:id="1378"/>
      <w:bookmarkEnd w:id="1379"/>
      <w:bookmarkEnd w:id="1380"/>
    </w:p>
    <w:p w14:paraId="24EC97F2">
      <w:pPr>
        <w:ind w:firstLine="420"/>
        <w:rPr>
          <w:rFonts w:ascii="宋体" w:hAnsi="宋体" w:cs="宋体"/>
          <w:szCs w:val="21"/>
        </w:rPr>
      </w:pPr>
    </w:p>
    <w:p w14:paraId="3B8F08AF">
      <w:pPr>
        <w:ind w:firstLine="420"/>
        <w:rPr>
          <w:rFonts w:ascii="宋体" w:hAnsi="宋体" w:cs="宋体"/>
        </w:rPr>
      </w:pPr>
      <w:r>
        <w:rPr>
          <w:rFonts w:hint="eastAsia" w:ascii="宋体" w:hAnsi="宋体" w:cs="宋体"/>
        </w:rPr>
        <w:t>各</w:t>
      </w:r>
      <w:r>
        <w:rPr>
          <w:rFonts w:hint="eastAsia" w:ascii="宋体" w:hAnsi="宋体" w:cs="宋体"/>
          <w:lang w:eastAsia="zh-CN"/>
        </w:rPr>
        <w:t>供应商</w:t>
      </w:r>
      <w:r>
        <w:rPr>
          <w:rFonts w:hint="eastAsia" w:ascii="宋体" w:hAnsi="宋体" w:cs="宋体"/>
        </w:rPr>
        <w:t>：</w:t>
      </w:r>
    </w:p>
    <w:p w14:paraId="7DA792A0">
      <w:pPr>
        <w:ind w:firstLine="420"/>
        <w:rPr>
          <w:rFonts w:ascii="宋体" w:hAnsi="宋体" w:cs="宋体"/>
        </w:rPr>
      </w:pPr>
      <w:r>
        <w:rPr>
          <w:rFonts w:hint="eastAsia" w:ascii="宋体" w:hAnsi="宋体" w:cs="宋体"/>
        </w:rPr>
        <w:t>欢迎贵公司参与河南省政府采购活动！</w:t>
      </w:r>
    </w:p>
    <w:p w14:paraId="69B3DC4A">
      <w:pPr>
        <w:ind w:firstLine="420"/>
        <w:rPr>
          <w:rFonts w:ascii="宋体" w:hAnsi="宋体" w:cs="宋体"/>
        </w:rPr>
      </w:pPr>
      <w:r>
        <w:rPr>
          <w:rFonts w:hint="eastAsia" w:ascii="宋体" w:hAnsi="宋体" w:cs="宋体"/>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F3A4684">
      <w:pPr>
        <w:ind w:firstLine="420"/>
        <w:rPr>
          <w:rFonts w:ascii="宋体" w:hAnsi="宋体" w:cs="宋体"/>
        </w:rPr>
      </w:pPr>
      <w:r>
        <w:rPr>
          <w:rFonts w:hint="eastAsia" w:ascii="宋体" w:hAnsi="宋体" w:cs="宋体"/>
        </w:rPr>
        <w:t>贷款渠道和提供贷款的金融机构，可在河南省政府采购网“河南省政府采购合同融资平台”查询联系。政策解读网址：http://www.hngp.gov.cn/henan/content?infoId=1601449567470800&amp;channelCode=H6016</w:t>
      </w:r>
    </w:p>
    <w:p w14:paraId="5061D593">
      <w:pPr>
        <w:ind w:firstLine="420"/>
        <w:rPr>
          <w:rFonts w:ascii="宋体" w:hAnsi="宋体" w:cs="宋体"/>
        </w:rPr>
      </w:pPr>
    </w:p>
    <w:p w14:paraId="06448D21">
      <w:pPr>
        <w:ind w:firstLine="420"/>
        <w:rPr>
          <w:rFonts w:ascii="宋体" w:hAnsi="宋体" w:cs="宋体"/>
        </w:rPr>
      </w:pPr>
    </w:p>
    <w:p w14:paraId="2E9EEF8E">
      <w:pPr>
        <w:ind w:firstLine="420"/>
        <w:rPr>
          <w:rFonts w:ascii="宋体" w:hAnsi="宋体" w:cs="宋体"/>
        </w:rPr>
      </w:pPr>
      <w:r>
        <w:rPr>
          <w:rFonts w:hint="eastAsia" w:ascii="宋体" w:hAnsi="宋体" w:cs="宋体"/>
        </w:rPr>
        <w:t>注：1、</w:t>
      </w:r>
      <w:r>
        <w:rPr>
          <w:rFonts w:hint="eastAsia" w:ascii="宋体" w:hAnsi="宋体" w:cs="宋体"/>
          <w:b/>
          <w:bCs/>
        </w:rPr>
        <w:t>此项仅为告知，无须附到投标文件中</w:t>
      </w:r>
      <w:r>
        <w:rPr>
          <w:rFonts w:hint="eastAsia" w:ascii="宋体" w:hAnsi="宋体" w:cs="宋体"/>
        </w:rPr>
        <w:t>。</w:t>
      </w:r>
    </w:p>
    <w:p w14:paraId="1AD8050F">
      <w:pPr>
        <w:ind w:firstLine="840" w:firstLineChars="400"/>
        <w:rPr>
          <w:rFonts w:ascii="宋体" w:hAnsi="宋体" w:cs="宋体"/>
        </w:rPr>
      </w:pPr>
      <w:r>
        <w:rPr>
          <w:rFonts w:hint="eastAsia" w:ascii="宋体" w:hAnsi="宋体" w:cs="宋体"/>
        </w:rPr>
        <w:t>2、预进行合同融资的，在签订合同时，供应商的合同账号需为合同融资行指定的账户和账号。</w:t>
      </w:r>
    </w:p>
    <w:p w14:paraId="615F93CE">
      <w:pPr>
        <w:ind w:firstLine="840" w:firstLineChars="400"/>
        <w:rPr>
          <w:rFonts w:ascii="宋体" w:hAnsi="宋体" w:cs="宋体"/>
        </w:rPr>
      </w:pPr>
      <w:r>
        <w:rPr>
          <w:rFonts w:hint="eastAsia" w:ascii="宋体" w:hAnsi="宋体" w:cs="宋体"/>
        </w:rPr>
        <w:t>3、预进行合同融资的，请提醒采购人在合同备案时，将备案系统中供应商默认账号修改后合同融资行指定的账户和账号，然后再提交合同备案。</w:t>
      </w:r>
    </w:p>
    <w:p w14:paraId="12010DA8">
      <w:pPr>
        <w:pStyle w:val="29"/>
        <w:ind w:firstLine="420"/>
        <w:rPr>
          <w:rFonts w:ascii="宋体" w:hAnsi="宋体" w:cs="宋体"/>
        </w:rPr>
      </w:pPr>
    </w:p>
    <w:p w14:paraId="4EC839D1">
      <w:pPr>
        <w:ind w:firstLine="840" w:firstLineChars="400"/>
        <w:rPr>
          <w:rFonts w:ascii="宋体" w:hAnsi="宋体" w:cs="宋体"/>
        </w:rPr>
      </w:pPr>
    </w:p>
    <w:p w14:paraId="6E326CA9">
      <w:pPr>
        <w:pStyle w:val="29"/>
        <w:ind w:firstLine="420"/>
        <w:rPr>
          <w:rFonts w:ascii="宋体" w:hAnsi="宋体" w:cs="宋体"/>
        </w:rPr>
      </w:pPr>
    </w:p>
    <w:bookmarkEnd w:id="1172"/>
    <w:bookmarkEnd w:id="1173"/>
    <w:p w14:paraId="4C1C0E7C">
      <w:pPr>
        <w:pStyle w:val="57"/>
        <w:ind w:firstLine="0" w:firstLineChars="0"/>
        <w:rPr>
          <w:rFonts w:ascii="宋体" w:hAnsi="宋体" w:eastAsia="宋体" w:cs="宋体"/>
          <w:b/>
          <w:spacing w:val="-20"/>
          <w:sz w:val="44"/>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Ari">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EFB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B40A">
    <w:pPr>
      <w:pStyle w:val="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604F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2604F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D68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9420" cy="152400"/>
              <wp:effectExtent l="0" t="0" r="0" b="0"/>
              <wp:wrapNone/>
              <wp:docPr id="860221163"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439420" cy="152400"/>
                      </a:xfrm>
                      <a:prstGeom prst="rect">
                        <a:avLst/>
                      </a:prstGeom>
                      <a:noFill/>
                      <a:ln>
                        <a:noFill/>
                      </a:ln>
                    </wps:spPr>
                    <wps:txbx>
                      <w:txbxContent>
                        <w:p w14:paraId="128F779B">
                          <w:pPr>
                            <w:pStyle w:val="3"/>
                            <w:ind w:firstLine="360"/>
                          </w:pPr>
                          <w:r>
                            <w:fldChar w:fldCharType="begin"/>
                          </w:r>
                          <w:r>
                            <w:instrText xml:space="preserve"> PAGE  \* MERGEFORMAT </w:instrText>
                          </w:r>
                          <w:r>
                            <w:fldChar w:fldCharType="separate"/>
                          </w:r>
                          <w:r>
                            <w:t>49</w:t>
                          </w:r>
                          <w:r>
                            <w:fldChar w:fldCharType="end"/>
                          </w:r>
                        </w:p>
                      </w:txbxContent>
                    </wps:txbx>
                    <wps:bodyPr rot="0" vert="horz" wrap="square" lIns="0" tIns="0" rIns="0" bIns="0" anchor="t" anchorCtr="0" upright="1">
                      <a:spAutoFit/>
                    </wps:bodyPr>
                  </wps:wsp>
                </a:graphicData>
              </a:graphic>
            </wp:anchor>
          </w:drawing>
        </mc:Choice>
        <mc:Fallback>
          <w:pict>
            <v:shape id="Text Box 1041" o:spid="_x0000_s1026" o:spt="202" type="#_x0000_t202" style="position:absolute;left:0pt;margin-top:0pt;height:12pt;width:34.6pt;mso-position-horizontal:center;mso-position-horizontal-relative:margin;z-index:251659264;mso-width-relative:page;mso-height-relative:page;" filled="f" stroked="f" coordsize="21600,21600" o:gfxdata="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ZucQdEAAAADAQAADwAAAAAAAAABACAAAAAiAAAAZHJzL2Rvd25y&#10;ZXYueG1sUEsBAhQAFAAAAAgAh07iQFBq8a0FAgAADgQAAA4AAAAAAAAAAQAgAAAAIAEAAGRycy9l&#10;Mm9Eb2MueG1sUEsFBgAAAAAGAAYAWQEAAJcFAAAAAA==&#10;">
              <v:fill on="f" focussize="0,0"/>
              <v:stroke on="f"/>
              <v:imagedata o:title=""/>
              <o:lock v:ext="edit" aspectratio="f"/>
              <v:textbox inset="0mm,0mm,0mm,0mm" style="mso-fit-shape-to-text:t;">
                <w:txbxContent>
                  <w:p w14:paraId="128F779B">
                    <w:pPr>
                      <w:pStyle w:val="3"/>
                      <w:ind w:firstLine="36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sdtPr>
    <w:sdtContent>
      <w:p w14:paraId="3D27A21A">
        <w:pPr>
          <w:pStyle w:val="3"/>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2E707A36">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DABF">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38E9B">
    <w:pPr>
      <w:pStyle w:val="4"/>
      <w:pBdr>
        <w:bottom w:val="none" w:color="auto" w:sz="0" w:space="1"/>
      </w:pBdr>
      <w:bidi w:val="0"/>
      <w:ind w:left="0" w:leftChars="0" w:firstLine="0" w:firstLineChars="0"/>
      <w:jc w:val="left"/>
      <w:rPr>
        <w:rFonts w:hint="default"/>
        <w:b/>
        <w:bCs/>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8E65">
    <w:pPr>
      <w:pStyle w:val="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A691">
    <w:pPr>
      <w:pStyle w:val="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A23E">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360F6"/>
    <w:multiLevelType w:val="singleLevel"/>
    <w:tmpl w:val="BF7360F6"/>
    <w:lvl w:ilvl="0" w:tentative="0">
      <w:start w:val="1"/>
      <w:numFmt w:val="chineseCounting"/>
      <w:suff w:val="space"/>
      <w:lvlText w:val="第%1节"/>
      <w:lvlJc w:val="left"/>
      <w:rPr>
        <w:rFonts w:hint="eastAsia"/>
      </w:rPr>
    </w:lvl>
  </w:abstractNum>
  <w:abstractNum w:abstractNumId="1">
    <w:nsid w:val="C7864D61"/>
    <w:multiLevelType w:val="singleLevel"/>
    <w:tmpl w:val="C7864D61"/>
    <w:lvl w:ilvl="0" w:tentative="0">
      <w:start w:val="5"/>
      <w:numFmt w:val="chineseCounting"/>
      <w:suff w:val="space"/>
      <w:lvlText w:val="第%1章"/>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FFEFC674"/>
    <w:multiLevelType w:val="singleLevel"/>
    <w:tmpl w:val="FFEFC674"/>
    <w:lvl w:ilvl="0" w:tentative="0">
      <w:start w:val="1"/>
      <w:numFmt w:val="decimal"/>
      <w:suff w:val="nothing"/>
      <w:lvlText w:val="（%1）"/>
      <w:lvlJc w:val="left"/>
    </w:lvl>
  </w:abstractNum>
  <w:abstractNum w:abstractNumId="4">
    <w:nsid w:val="0000000E"/>
    <w:multiLevelType w:val="multilevel"/>
    <w:tmpl w:val="0000000E"/>
    <w:lvl w:ilvl="0" w:tentative="0">
      <w:start w:val="1"/>
      <w:numFmt w:val="decimal"/>
      <w:suff w:val="nothing"/>
      <w:lvlText w:val="第%1章 "/>
      <w:lvlJc w:val="left"/>
      <w:pPr>
        <w:ind w:left="0" w:firstLine="0"/>
      </w:pPr>
      <w:rPr>
        <w:rFonts w:hint="eastAsia" w:ascii="Cambria" w:eastAsia="Cambria"/>
        <w:b w:val="0"/>
        <w:i w:val="0"/>
        <w:sz w:val="36"/>
        <w:szCs w:val="36"/>
        <w14:shadow w14:blurRad="0" w14:dist="0" w14:dir="0" w14:sx="0" w14:sy="0" w14:kx="0" w14:ky="0" w14:algn="none">
          <w14:srgbClr w14:val="000000"/>
        </w14:shadow>
      </w:rPr>
    </w:lvl>
    <w:lvl w:ilvl="1" w:tentative="0">
      <w:start w:val="1"/>
      <w:numFmt w:val="decimal"/>
      <w:suff w:val="nothing"/>
      <w:lvlText w:val="    %2、"/>
      <w:lvlJc w:val="left"/>
      <w:pPr>
        <w:ind w:left="0" w:firstLine="0"/>
      </w:pPr>
      <w:rPr>
        <w:rFonts w:hint="eastAsia" w:ascii="微软雅黑" w:eastAsia="微软雅黑"/>
        <w:b/>
        <w:i w:val="0"/>
        <w:sz w:val="30"/>
        <w:szCs w:val="30"/>
      </w:rPr>
    </w:lvl>
    <w:lvl w:ilvl="2" w:tentative="0">
      <w:start w:val="1"/>
      <w:numFmt w:val="decimal"/>
      <w:suff w:val="nothing"/>
      <w:lvlText w:val="    %2.%3 "/>
      <w:lvlJc w:val="left"/>
      <w:pPr>
        <w:ind w:left="459" w:firstLine="0"/>
      </w:pPr>
      <w:rPr>
        <w:rFonts w:cs="楷体_GB2312"/>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    %2.%3.%4  "/>
      <w:lvlJc w:val="left"/>
      <w:pPr>
        <w:ind w:left="0" w:firstLine="0"/>
      </w:pPr>
      <w:rPr>
        <w:rFonts w:hint="eastAsia" w:ascii="monospace" w:eastAsia="monospace"/>
        <w:b/>
        <w:i w:val="0"/>
        <w:sz w:val="28"/>
        <w:szCs w:val="28"/>
      </w:rPr>
    </w:lvl>
    <w:lvl w:ilvl="4" w:tentative="0">
      <w:start w:val="1"/>
      <w:numFmt w:val="none"/>
      <w:pStyle w:val="10"/>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6">
    <w:nsid w:val="5A4A420D"/>
    <w:multiLevelType w:val="singleLevel"/>
    <w:tmpl w:val="5A4A420D"/>
    <w:lvl w:ilvl="0" w:tentative="0">
      <w:start w:val="1"/>
      <w:numFmt w:val="chineseCounting"/>
      <w:suff w:val="nothing"/>
      <w:lvlText w:val="%1、"/>
      <w:lvlJc w:val="left"/>
      <w:rPr>
        <w:rFonts w:hint="eastAsia"/>
      </w:rPr>
    </w:lvl>
  </w:abstractNum>
  <w:abstractNum w:abstractNumId="7">
    <w:nsid w:val="5EBB28FC"/>
    <w:multiLevelType w:val="singleLevel"/>
    <w:tmpl w:val="5EBB28FC"/>
    <w:lvl w:ilvl="0" w:tentative="0">
      <w:start w:val="6"/>
      <w:numFmt w:val="chineseCounting"/>
      <w:suff w:val="nothing"/>
      <w:lvlText w:val="%1、"/>
      <w:lvlJc w:val="left"/>
      <w:rPr>
        <w:rFonts w:hint="eastAsia"/>
      </w:rPr>
    </w:lvl>
  </w:abstractNum>
  <w:abstractNum w:abstractNumId="8">
    <w:nsid w:val="64A5DBB2"/>
    <w:multiLevelType w:val="singleLevel"/>
    <w:tmpl w:val="64A5DBB2"/>
    <w:lvl w:ilvl="0" w:tentative="0">
      <w:start w:val="1"/>
      <w:numFmt w:val="decimal"/>
      <w:suff w:val="space"/>
      <w:lvlText w:val="%1."/>
      <w:lvlJc w:val="left"/>
    </w:lvl>
  </w:abstractNum>
  <w:abstractNum w:abstractNumId="9">
    <w:nsid w:val="6E9372FF"/>
    <w:multiLevelType w:val="singleLevel"/>
    <w:tmpl w:val="6E9372FF"/>
    <w:lvl w:ilvl="0" w:tentative="0">
      <w:start w:val="2"/>
      <w:numFmt w:val="decimal"/>
      <w:lvlText w:val="%1."/>
      <w:lvlJc w:val="left"/>
      <w:pPr>
        <w:tabs>
          <w:tab w:val="left" w:pos="312"/>
        </w:tabs>
        <w:ind w:left="400" w:firstLine="0"/>
      </w:pPr>
    </w:lvl>
  </w:abstractNum>
  <w:abstractNum w:abstractNumId="10">
    <w:nsid w:val="711A7290"/>
    <w:multiLevelType w:val="singleLevel"/>
    <w:tmpl w:val="711A7290"/>
    <w:lvl w:ilvl="0" w:tentative="0">
      <w:start w:val="9"/>
      <w:numFmt w:val="chineseCounting"/>
      <w:suff w:val="nothing"/>
      <w:lvlText w:val="%1、"/>
      <w:lvlJc w:val="left"/>
      <w:rPr>
        <w:rFonts w:hint="eastAsia"/>
      </w:rPr>
    </w:lvl>
  </w:abstractNum>
  <w:num w:numId="1">
    <w:abstractNumId w:val="4"/>
  </w:num>
  <w:num w:numId="2">
    <w:abstractNumId w:val="10"/>
  </w:num>
  <w:num w:numId="3">
    <w:abstractNumId w:val="8"/>
  </w:num>
  <w:num w:numId="4">
    <w:abstractNumId w:val="0"/>
  </w:num>
  <w:num w:numId="5">
    <w:abstractNumId w:val="2"/>
  </w:num>
  <w:num w:numId="6">
    <w:abstractNumId w:val="3"/>
  </w:num>
  <w:num w:numId="7">
    <w:abstractNumId w:val="1"/>
  </w:num>
  <w:num w:numId="8">
    <w:abstractNumId w:val="6"/>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NTc5YWZkODk0ZjU4ZmRhMWMyNzZjMTcyZGZiZGMifQ=="/>
  </w:docVars>
  <w:rsids>
    <w:rsidRoot w:val="005F7F29"/>
    <w:rsid w:val="00007818"/>
    <w:rsid w:val="000207CE"/>
    <w:rsid w:val="00037C70"/>
    <w:rsid w:val="00070034"/>
    <w:rsid w:val="00090C3B"/>
    <w:rsid w:val="000B2138"/>
    <w:rsid w:val="000D4473"/>
    <w:rsid w:val="000E4995"/>
    <w:rsid w:val="000F4ABB"/>
    <w:rsid w:val="001012A7"/>
    <w:rsid w:val="00115114"/>
    <w:rsid w:val="00144E11"/>
    <w:rsid w:val="00146E8C"/>
    <w:rsid w:val="0015094F"/>
    <w:rsid w:val="00155351"/>
    <w:rsid w:val="00197FA8"/>
    <w:rsid w:val="001A1B7E"/>
    <w:rsid w:val="00207852"/>
    <w:rsid w:val="00216492"/>
    <w:rsid w:val="0027491C"/>
    <w:rsid w:val="00294A18"/>
    <w:rsid w:val="002A7BFE"/>
    <w:rsid w:val="002B047F"/>
    <w:rsid w:val="002C29D5"/>
    <w:rsid w:val="002F2062"/>
    <w:rsid w:val="00340787"/>
    <w:rsid w:val="0034188F"/>
    <w:rsid w:val="00344E47"/>
    <w:rsid w:val="003962CF"/>
    <w:rsid w:val="003A3624"/>
    <w:rsid w:val="003A567B"/>
    <w:rsid w:val="003B17DC"/>
    <w:rsid w:val="003B549C"/>
    <w:rsid w:val="003C0BFB"/>
    <w:rsid w:val="003C1D28"/>
    <w:rsid w:val="003D3D2F"/>
    <w:rsid w:val="003E631B"/>
    <w:rsid w:val="0048631C"/>
    <w:rsid w:val="00487EBB"/>
    <w:rsid w:val="0049496E"/>
    <w:rsid w:val="004B1EED"/>
    <w:rsid w:val="004E318D"/>
    <w:rsid w:val="00506C08"/>
    <w:rsid w:val="005404E3"/>
    <w:rsid w:val="00557DFD"/>
    <w:rsid w:val="005873C2"/>
    <w:rsid w:val="005A2146"/>
    <w:rsid w:val="005C2551"/>
    <w:rsid w:val="005C6ADC"/>
    <w:rsid w:val="005E08D0"/>
    <w:rsid w:val="005F46D3"/>
    <w:rsid w:val="005F7F29"/>
    <w:rsid w:val="006B4F71"/>
    <w:rsid w:val="006C00FC"/>
    <w:rsid w:val="006C4BE3"/>
    <w:rsid w:val="006F735B"/>
    <w:rsid w:val="00700302"/>
    <w:rsid w:val="007306C8"/>
    <w:rsid w:val="00746EDC"/>
    <w:rsid w:val="007722FA"/>
    <w:rsid w:val="007B0927"/>
    <w:rsid w:val="007C5295"/>
    <w:rsid w:val="007F1BAB"/>
    <w:rsid w:val="008142D6"/>
    <w:rsid w:val="008D0A0C"/>
    <w:rsid w:val="008E4D0E"/>
    <w:rsid w:val="008F6C18"/>
    <w:rsid w:val="00A11916"/>
    <w:rsid w:val="00A43156"/>
    <w:rsid w:val="00A57016"/>
    <w:rsid w:val="00A6528B"/>
    <w:rsid w:val="00B20DF2"/>
    <w:rsid w:val="00B24C30"/>
    <w:rsid w:val="00B3323C"/>
    <w:rsid w:val="00B83EE6"/>
    <w:rsid w:val="00BB2CC5"/>
    <w:rsid w:val="00BD1A50"/>
    <w:rsid w:val="00BD5AE6"/>
    <w:rsid w:val="00BF745E"/>
    <w:rsid w:val="00C142E8"/>
    <w:rsid w:val="00CB5A10"/>
    <w:rsid w:val="00CC248A"/>
    <w:rsid w:val="00CE5F5E"/>
    <w:rsid w:val="00CE759D"/>
    <w:rsid w:val="00CF58F9"/>
    <w:rsid w:val="00D0063A"/>
    <w:rsid w:val="00D139CD"/>
    <w:rsid w:val="00D26B29"/>
    <w:rsid w:val="00D95C04"/>
    <w:rsid w:val="00DA206C"/>
    <w:rsid w:val="00E40930"/>
    <w:rsid w:val="00E60299"/>
    <w:rsid w:val="00E645F8"/>
    <w:rsid w:val="00E64D26"/>
    <w:rsid w:val="00E90D98"/>
    <w:rsid w:val="00EB6732"/>
    <w:rsid w:val="00EE5312"/>
    <w:rsid w:val="00F77F05"/>
    <w:rsid w:val="00FB40EA"/>
    <w:rsid w:val="00FD0BE9"/>
    <w:rsid w:val="010158D6"/>
    <w:rsid w:val="01341D4F"/>
    <w:rsid w:val="013F518A"/>
    <w:rsid w:val="014324AF"/>
    <w:rsid w:val="01610122"/>
    <w:rsid w:val="01910A08"/>
    <w:rsid w:val="01FB2793"/>
    <w:rsid w:val="02010E40"/>
    <w:rsid w:val="02750329"/>
    <w:rsid w:val="02783976"/>
    <w:rsid w:val="02BE0A08"/>
    <w:rsid w:val="03303116"/>
    <w:rsid w:val="035017A2"/>
    <w:rsid w:val="03555A65"/>
    <w:rsid w:val="03627DF1"/>
    <w:rsid w:val="038A39B7"/>
    <w:rsid w:val="03B10EED"/>
    <w:rsid w:val="03D35138"/>
    <w:rsid w:val="03F45425"/>
    <w:rsid w:val="03FD19BA"/>
    <w:rsid w:val="04246422"/>
    <w:rsid w:val="045A1585"/>
    <w:rsid w:val="04691D7B"/>
    <w:rsid w:val="04E715DC"/>
    <w:rsid w:val="052C61D4"/>
    <w:rsid w:val="05340028"/>
    <w:rsid w:val="05676E89"/>
    <w:rsid w:val="05ED01D7"/>
    <w:rsid w:val="05F17CC7"/>
    <w:rsid w:val="060757D5"/>
    <w:rsid w:val="06426774"/>
    <w:rsid w:val="065B5A88"/>
    <w:rsid w:val="06654211"/>
    <w:rsid w:val="068A54ED"/>
    <w:rsid w:val="06A72A7B"/>
    <w:rsid w:val="06DF451E"/>
    <w:rsid w:val="074E68E3"/>
    <w:rsid w:val="07547B8E"/>
    <w:rsid w:val="075524D7"/>
    <w:rsid w:val="076331A3"/>
    <w:rsid w:val="079F5DEC"/>
    <w:rsid w:val="0842480A"/>
    <w:rsid w:val="08943F23"/>
    <w:rsid w:val="08986B20"/>
    <w:rsid w:val="08FB2C0B"/>
    <w:rsid w:val="09366A61"/>
    <w:rsid w:val="095709D4"/>
    <w:rsid w:val="09AA6B0A"/>
    <w:rsid w:val="09B94F9F"/>
    <w:rsid w:val="09D41DD9"/>
    <w:rsid w:val="09E04896"/>
    <w:rsid w:val="0A157CFC"/>
    <w:rsid w:val="0A257920"/>
    <w:rsid w:val="0A851326"/>
    <w:rsid w:val="0A8C6210"/>
    <w:rsid w:val="0A932B49"/>
    <w:rsid w:val="0A9B084E"/>
    <w:rsid w:val="0AE95411"/>
    <w:rsid w:val="0B043FF8"/>
    <w:rsid w:val="0B5331D2"/>
    <w:rsid w:val="0BB2614A"/>
    <w:rsid w:val="0BE35035"/>
    <w:rsid w:val="0C3703FE"/>
    <w:rsid w:val="0C3E353A"/>
    <w:rsid w:val="0CA27F6D"/>
    <w:rsid w:val="0D006A41"/>
    <w:rsid w:val="0D633294"/>
    <w:rsid w:val="0D6E60A1"/>
    <w:rsid w:val="0D7511DD"/>
    <w:rsid w:val="0DBE2B84"/>
    <w:rsid w:val="0E5B33B7"/>
    <w:rsid w:val="0E740E08"/>
    <w:rsid w:val="0E844F82"/>
    <w:rsid w:val="0EB6675E"/>
    <w:rsid w:val="0ED57440"/>
    <w:rsid w:val="0EE20AF5"/>
    <w:rsid w:val="0EEC54CF"/>
    <w:rsid w:val="0F541A09"/>
    <w:rsid w:val="0FC01CEC"/>
    <w:rsid w:val="0FC63F72"/>
    <w:rsid w:val="0FE4089C"/>
    <w:rsid w:val="10150A56"/>
    <w:rsid w:val="104B4477"/>
    <w:rsid w:val="1096436D"/>
    <w:rsid w:val="115E01DA"/>
    <w:rsid w:val="11B146B5"/>
    <w:rsid w:val="120A6E26"/>
    <w:rsid w:val="125A4E46"/>
    <w:rsid w:val="13141499"/>
    <w:rsid w:val="132D39FF"/>
    <w:rsid w:val="13953CC6"/>
    <w:rsid w:val="13BB075C"/>
    <w:rsid w:val="13CA424E"/>
    <w:rsid w:val="148D1503"/>
    <w:rsid w:val="149A59CD"/>
    <w:rsid w:val="14A30806"/>
    <w:rsid w:val="14C03BFB"/>
    <w:rsid w:val="14F56B39"/>
    <w:rsid w:val="15207F84"/>
    <w:rsid w:val="152855C7"/>
    <w:rsid w:val="15673B02"/>
    <w:rsid w:val="15775423"/>
    <w:rsid w:val="15963A31"/>
    <w:rsid w:val="15CC605B"/>
    <w:rsid w:val="160B6B83"/>
    <w:rsid w:val="16493207"/>
    <w:rsid w:val="166B7ACC"/>
    <w:rsid w:val="174409AB"/>
    <w:rsid w:val="174D31CB"/>
    <w:rsid w:val="176302F9"/>
    <w:rsid w:val="183A54FD"/>
    <w:rsid w:val="184049EC"/>
    <w:rsid w:val="184C5231"/>
    <w:rsid w:val="18892E95"/>
    <w:rsid w:val="18DE232D"/>
    <w:rsid w:val="199C7AF2"/>
    <w:rsid w:val="19A90B8D"/>
    <w:rsid w:val="19C257AA"/>
    <w:rsid w:val="19C77265"/>
    <w:rsid w:val="19ED659F"/>
    <w:rsid w:val="19F80E61"/>
    <w:rsid w:val="1A5B79AD"/>
    <w:rsid w:val="1A620D3B"/>
    <w:rsid w:val="1A6F499A"/>
    <w:rsid w:val="1A703458"/>
    <w:rsid w:val="1AA2382E"/>
    <w:rsid w:val="1AA2738A"/>
    <w:rsid w:val="1B8D1DE8"/>
    <w:rsid w:val="1BBB0703"/>
    <w:rsid w:val="1C883C6F"/>
    <w:rsid w:val="1C9B22E3"/>
    <w:rsid w:val="1CAB4C1C"/>
    <w:rsid w:val="1D7C13CA"/>
    <w:rsid w:val="1D8A7EF3"/>
    <w:rsid w:val="1DD54B85"/>
    <w:rsid w:val="1F291F5C"/>
    <w:rsid w:val="1F8654CC"/>
    <w:rsid w:val="204D5FEA"/>
    <w:rsid w:val="206B4350"/>
    <w:rsid w:val="20C444FE"/>
    <w:rsid w:val="20EB5EB9"/>
    <w:rsid w:val="21076199"/>
    <w:rsid w:val="21611D4D"/>
    <w:rsid w:val="21896D2A"/>
    <w:rsid w:val="21AD277E"/>
    <w:rsid w:val="21CC0274"/>
    <w:rsid w:val="21FE759C"/>
    <w:rsid w:val="221A34A8"/>
    <w:rsid w:val="221F6070"/>
    <w:rsid w:val="222363F6"/>
    <w:rsid w:val="22904457"/>
    <w:rsid w:val="23333275"/>
    <w:rsid w:val="237B0335"/>
    <w:rsid w:val="23A91789"/>
    <w:rsid w:val="241F68F2"/>
    <w:rsid w:val="24466CF9"/>
    <w:rsid w:val="24B34E27"/>
    <w:rsid w:val="24D26ABE"/>
    <w:rsid w:val="24F64D25"/>
    <w:rsid w:val="24FB7DC2"/>
    <w:rsid w:val="251175E6"/>
    <w:rsid w:val="254E083A"/>
    <w:rsid w:val="256C0CC0"/>
    <w:rsid w:val="25817846"/>
    <w:rsid w:val="260445E2"/>
    <w:rsid w:val="261D1FBA"/>
    <w:rsid w:val="2636533A"/>
    <w:rsid w:val="265F0201"/>
    <w:rsid w:val="268E0D6B"/>
    <w:rsid w:val="26DD1E76"/>
    <w:rsid w:val="26EF1618"/>
    <w:rsid w:val="26F23447"/>
    <w:rsid w:val="270E053D"/>
    <w:rsid w:val="27607E24"/>
    <w:rsid w:val="277125BE"/>
    <w:rsid w:val="27DC4546"/>
    <w:rsid w:val="27EE1E60"/>
    <w:rsid w:val="27F751B9"/>
    <w:rsid w:val="281B5698"/>
    <w:rsid w:val="283F495A"/>
    <w:rsid w:val="28456613"/>
    <w:rsid w:val="28461C9C"/>
    <w:rsid w:val="284E0B51"/>
    <w:rsid w:val="28AC770C"/>
    <w:rsid w:val="294207DB"/>
    <w:rsid w:val="297E036A"/>
    <w:rsid w:val="29960578"/>
    <w:rsid w:val="29EC23D0"/>
    <w:rsid w:val="2A03126E"/>
    <w:rsid w:val="2A04559B"/>
    <w:rsid w:val="2A264090"/>
    <w:rsid w:val="2A965577"/>
    <w:rsid w:val="2AC31382"/>
    <w:rsid w:val="2B4F0E68"/>
    <w:rsid w:val="2B8A00F2"/>
    <w:rsid w:val="2BCC6732"/>
    <w:rsid w:val="2C767A58"/>
    <w:rsid w:val="2D1759B5"/>
    <w:rsid w:val="2D8E640E"/>
    <w:rsid w:val="2F6D5D61"/>
    <w:rsid w:val="2F7470EF"/>
    <w:rsid w:val="2F776BDF"/>
    <w:rsid w:val="2F7B222C"/>
    <w:rsid w:val="2FB256BE"/>
    <w:rsid w:val="2FE222AB"/>
    <w:rsid w:val="31266FA0"/>
    <w:rsid w:val="31397A57"/>
    <w:rsid w:val="3163566D"/>
    <w:rsid w:val="317A74AA"/>
    <w:rsid w:val="31A41DB5"/>
    <w:rsid w:val="31B45EC9"/>
    <w:rsid w:val="320F2B09"/>
    <w:rsid w:val="320F698C"/>
    <w:rsid w:val="32764A7C"/>
    <w:rsid w:val="32955444"/>
    <w:rsid w:val="32A23ACC"/>
    <w:rsid w:val="32D12FC4"/>
    <w:rsid w:val="331309CD"/>
    <w:rsid w:val="33422219"/>
    <w:rsid w:val="33F24A4C"/>
    <w:rsid w:val="345C398C"/>
    <w:rsid w:val="34A22779"/>
    <w:rsid w:val="353758FE"/>
    <w:rsid w:val="3571053A"/>
    <w:rsid w:val="35A835AF"/>
    <w:rsid w:val="35BC70FA"/>
    <w:rsid w:val="35BE7316"/>
    <w:rsid w:val="35F965A0"/>
    <w:rsid w:val="36147E72"/>
    <w:rsid w:val="364105D4"/>
    <w:rsid w:val="36453593"/>
    <w:rsid w:val="36A04C6E"/>
    <w:rsid w:val="36D745BC"/>
    <w:rsid w:val="36E73AF7"/>
    <w:rsid w:val="376E08C8"/>
    <w:rsid w:val="37BB320A"/>
    <w:rsid w:val="37C130EE"/>
    <w:rsid w:val="37E813AF"/>
    <w:rsid w:val="37F6610B"/>
    <w:rsid w:val="38DE1A7D"/>
    <w:rsid w:val="38EF77E6"/>
    <w:rsid w:val="393C086A"/>
    <w:rsid w:val="395372B4"/>
    <w:rsid w:val="396E1A8A"/>
    <w:rsid w:val="398E0DAD"/>
    <w:rsid w:val="39A22B9D"/>
    <w:rsid w:val="39C80763"/>
    <w:rsid w:val="39F53C22"/>
    <w:rsid w:val="39F71B77"/>
    <w:rsid w:val="39F77406"/>
    <w:rsid w:val="3A3000B7"/>
    <w:rsid w:val="3A481C93"/>
    <w:rsid w:val="3A7601BF"/>
    <w:rsid w:val="3AC54CA3"/>
    <w:rsid w:val="3ACD1DA9"/>
    <w:rsid w:val="3AFD61EB"/>
    <w:rsid w:val="3B0532F1"/>
    <w:rsid w:val="3B0752BB"/>
    <w:rsid w:val="3B7A1263"/>
    <w:rsid w:val="3B9D79CE"/>
    <w:rsid w:val="3BAF16AE"/>
    <w:rsid w:val="3BB6283D"/>
    <w:rsid w:val="3BDD7DCA"/>
    <w:rsid w:val="3C6346EB"/>
    <w:rsid w:val="3C6A1712"/>
    <w:rsid w:val="3CE92A99"/>
    <w:rsid w:val="3D393726"/>
    <w:rsid w:val="3D5D7415"/>
    <w:rsid w:val="3D654FA6"/>
    <w:rsid w:val="3D78424E"/>
    <w:rsid w:val="3D865D18"/>
    <w:rsid w:val="3DB17A70"/>
    <w:rsid w:val="3E157CEF"/>
    <w:rsid w:val="3E1B560E"/>
    <w:rsid w:val="3E1C2297"/>
    <w:rsid w:val="3E265A58"/>
    <w:rsid w:val="3E726EF0"/>
    <w:rsid w:val="3EE32283"/>
    <w:rsid w:val="3F5E1222"/>
    <w:rsid w:val="3F5E74C6"/>
    <w:rsid w:val="3F8C2233"/>
    <w:rsid w:val="3F9115F7"/>
    <w:rsid w:val="402C217F"/>
    <w:rsid w:val="408353E4"/>
    <w:rsid w:val="40D16EE7"/>
    <w:rsid w:val="40ED0AAF"/>
    <w:rsid w:val="40FE4A6B"/>
    <w:rsid w:val="413C5593"/>
    <w:rsid w:val="413D380E"/>
    <w:rsid w:val="41C949FF"/>
    <w:rsid w:val="41CE369A"/>
    <w:rsid w:val="426E79CE"/>
    <w:rsid w:val="4281242F"/>
    <w:rsid w:val="42D72041"/>
    <w:rsid w:val="43A009B6"/>
    <w:rsid w:val="43AC4C52"/>
    <w:rsid w:val="43B14016"/>
    <w:rsid w:val="43B753A5"/>
    <w:rsid w:val="43D05124"/>
    <w:rsid w:val="44541D6C"/>
    <w:rsid w:val="4486676E"/>
    <w:rsid w:val="44867251"/>
    <w:rsid w:val="449000D0"/>
    <w:rsid w:val="44E2484F"/>
    <w:rsid w:val="44FA379B"/>
    <w:rsid w:val="45243044"/>
    <w:rsid w:val="455F668E"/>
    <w:rsid w:val="45E65BB7"/>
    <w:rsid w:val="460567F2"/>
    <w:rsid w:val="46170B01"/>
    <w:rsid w:val="46511AE0"/>
    <w:rsid w:val="46DD3374"/>
    <w:rsid w:val="47013507"/>
    <w:rsid w:val="470A0C21"/>
    <w:rsid w:val="47431429"/>
    <w:rsid w:val="47F72214"/>
    <w:rsid w:val="482E3EDE"/>
    <w:rsid w:val="484C00D4"/>
    <w:rsid w:val="48861F15"/>
    <w:rsid w:val="48A759E8"/>
    <w:rsid w:val="49384441"/>
    <w:rsid w:val="494A674B"/>
    <w:rsid w:val="495050E4"/>
    <w:rsid w:val="49692462"/>
    <w:rsid w:val="497A560D"/>
    <w:rsid w:val="499D1F90"/>
    <w:rsid w:val="49A50261"/>
    <w:rsid w:val="49E84F3F"/>
    <w:rsid w:val="49FF7E17"/>
    <w:rsid w:val="4A056E6A"/>
    <w:rsid w:val="4A233794"/>
    <w:rsid w:val="4A5523AB"/>
    <w:rsid w:val="4A5639DD"/>
    <w:rsid w:val="4A666E46"/>
    <w:rsid w:val="4A6C56A3"/>
    <w:rsid w:val="4A835FE1"/>
    <w:rsid w:val="4AD54A8E"/>
    <w:rsid w:val="4AD66A58"/>
    <w:rsid w:val="4AED2B87"/>
    <w:rsid w:val="4B1C0834"/>
    <w:rsid w:val="4B1E3247"/>
    <w:rsid w:val="4B46598C"/>
    <w:rsid w:val="4B77411A"/>
    <w:rsid w:val="4B8E2E8F"/>
    <w:rsid w:val="4BDF36EB"/>
    <w:rsid w:val="4C001FDF"/>
    <w:rsid w:val="4C6836E0"/>
    <w:rsid w:val="4C746529"/>
    <w:rsid w:val="4C812076"/>
    <w:rsid w:val="4C92075D"/>
    <w:rsid w:val="4C9A553A"/>
    <w:rsid w:val="4CBD1C7E"/>
    <w:rsid w:val="4D294B06"/>
    <w:rsid w:val="4D8251E3"/>
    <w:rsid w:val="4D92310A"/>
    <w:rsid w:val="4DD6155F"/>
    <w:rsid w:val="4DE1199C"/>
    <w:rsid w:val="4DE47862"/>
    <w:rsid w:val="4DF91468"/>
    <w:rsid w:val="4E025BDD"/>
    <w:rsid w:val="4E10402F"/>
    <w:rsid w:val="4E125FF9"/>
    <w:rsid w:val="4E60700D"/>
    <w:rsid w:val="4E6879C7"/>
    <w:rsid w:val="4E727914"/>
    <w:rsid w:val="4EE26A2D"/>
    <w:rsid w:val="4F495A4B"/>
    <w:rsid w:val="4F4C205F"/>
    <w:rsid w:val="4FF77255"/>
    <w:rsid w:val="50471FD9"/>
    <w:rsid w:val="50C33A43"/>
    <w:rsid w:val="50CC01A2"/>
    <w:rsid w:val="50D40FFE"/>
    <w:rsid w:val="51383FC9"/>
    <w:rsid w:val="51656440"/>
    <w:rsid w:val="516802E5"/>
    <w:rsid w:val="519D3E2C"/>
    <w:rsid w:val="51BF3DA2"/>
    <w:rsid w:val="51D140A4"/>
    <w:rsid w:val="51D8340A"/>
    <w:rsid w:val="527E5C9D"/>
    <w:rsid w:val="52D65847"/>
    <w:rsid w:val="53004672"/>
    <w:rsid w:val="531E2D4A"/>
    <w:rsid w:val="533D01A8"/>
    <w:rsid w:val="53A544BD"/>
    <w:rsid w:val="53E30ECE"/>
    <w:rsid w:val="54B0031A"/>
    <w:rsid w:val="54BE47E5"/>
    <w:rsid w:val="553F0929"/>
    <w:rsid w:val="5540344C"/>
    <w:rsid w:val="558A7637"/>
    <w:rsid w:val="558F3392"/>
    <w:rsid w:val="55AC288F"/>
    <w:rsid w:val="55BE25C3"/>
    <w:rsid w:val="55CA0F67"/>
    <w:rsid w:val="55DE469A"/>
    <w:rsid w:val="55E859E8"/>
    <w:rsid w:val="561B7A15"/>
    <w:rsid w:val="56D46542"/>
    <w:rsid w:val="575C5ED5"/>
    <w:rsid w:val="57825F9E"/>
    <w:rsid w:val="57DA59B5"/>
    <w:rsid w:val="5840354A"/>
    <w:rsid w:val="584119B5"/>
    <w:rsid w:val="586631C9"/>
    <w:rsid w:val="58C15CEE"/>
    <w:rsid w:val="58DA7713"/>
    <w:rsid w:val="58E8233A"/>
    <w:rsid w:val="58F66846"/>
    <w:rsid w:val="59205A6E"/>
    <w:rsid w:val="59A0095D"/>
    <w:rsid w:val="5A0D11F0"/>
    <w:rsid w:val="5A5F4202"/>
    <w:rsid w:val="5A8570CB"/>
    <w:rsid w:val="5ABF3065"/>
    <w:rsid w:val="5AC84C04"/>
    <w:rsid w:val="5B5C6B06"/>
    <w:rsid w:val="5B8F76D0"/>
    <w:rsid w:val="5BE014E5"/>
    <w:rsid w:val="5C643EC4"/>
    <w:rsid w:val="5C6D38AA"/>
    <w:rsid w:val="5CD31049"/>
    <w:rsid w:val="5CFC5FEF"/>
    <w:rsid w:val="5D064F7B"/>
    <w:rsid w:val="5D5E0913"/>
    <w:rsid w:val="5D635F29"/>
    <w:rsid w:val="5D820D5D"/>
    <w:rsid w:val="5D9A56C3"/>
    <w:rsid w:val="5F000D08"/>
    <w:rsid w:val="5F012A79"/>
    <w:rsid w:val="5F105200"/>
    <w:rsid w:val="5F1E2A64"/>
    <w:rsid w:val="5F3644B5"/>
    <w:rsid w:val="5F5C0E82"/>
    <w:rsid w:val="5FB52D33"/>
    <w:rsid w:val="5FCA6734"/>
    <w:rsid w:val="602C4A56"/>
    <w:rsid w:val="605B738C"/>
    <w:rsid w:val="606B6290"/>
    <w:rsid w:val="60765F74"/>
    <w:rsid w:val="6098238E"/>
    <w:rsid w:val="60A26D69"/>
    <w:rsid w:val="61261A91"/>
    <w:rsid w:val="61C96577"/>
    <w:rsid w:val="61FE0917"/>
    <w:rsid w:val="62375AA1"/>
    <w:rsid w:val="623C19AD"/>
    <w:rsid w:val="62915CFC"/>
    <w:rsid w:val="62AD7C47"/>
    <w:rsid w:val="63066EFB"/>
    <w:rsid w:val="63A96660"/>
    <w:rsid w:val="63C5259B"/>
    <w:rsid w:val="64555BF0"/>
    <w:rsid w:val="64F25DE5"/>
    <w:rsid w:val="650F6997"/>
    <w:rsid w:val="653F54CE"/>
    <w:rsid w:val="656E7B61"/>
    <w:rsid w:val="657607C4"/>
    <w:rsid w:val="65817895"/>
    <w:rsid w:val="65FA450E"/>
    <w:rsid w:val="65FF2EBD"/>
    <w:rsid w:val="66012783"/>
    <w:rsid w:val="664310AC"/>
    <w:rsid w:val="667F4123"/>
    <w:rsid w:val="66B617C0"/>
    <w:rsid w:val="66BC3D6A"/>
    <w:rsid w:val="66D94689"/>
    <w:rsid w:val="66F45E44"/>
    <w:rsid w:val="67386679"/>
    <w:rsid w:val="677133AF"/>
    <w:rsid w:val="67746F85"/>
    <w:rsid w:val="67DA3E79"/>
    <w:rsid w:val="683326BB"/>
    <w:rsid w:val="68A37B22"/>
    <w:rsid w:val="68CD2DF1"/>
    <w:rsid w:val="68E8706E"/>
    <w:rsid w:val="690F51B7"/>
    <w:rsid w:val="6990454A"/>
    <w:rsid w:val="699456BD"/>
    <w:rsid w:val="69A33BED"/>
    <w:rsid w:val="69AE5C87"/>
    <w:rsid w:val="69F83E9D"/>
    <w:rsid w:val="6A2473ED"/>
    <w:rsid w:val="6A753740"/>
    <w:rsid w:val="6B264A3A"/>
    <w:rsid w:val="6B431148"/>
    <w:rsid w:val="6C2A3879"/>
    <w:rsid w:val="6C450EF0"/>
    <w:rsid w:val="6C7672FB"/>
    <w:rsid w:val="6D0D5EB2"/>
    <w:rsid w:val="6D2A25C0"/>
    <w:rsid w:val="6D305418"/>
    <w:rsid w:val="6D44521C"/>
    <w:rsid w:val="6D4F2026"/>
    <w:rsid w:val="6D605FE2"/>
    <w:rsid w:val="6DEE1061"/>
    <w:rsid w:val="6E056B89"/>
    <w:rsid w:val="6E3663FC"/>
    <w:rsid w:val="6E510020"/>
    <w:rsid w:val="6EEC1A58"/>
    <w:rsid w:val="6FBD7CF3"/>
    <w:rsid w:val="707F3EC5"/>
    <w:rsid w:val="70812005"/>
    <w:rsid w:val="70FF2756"/>
    <w:rsid w:val="710B4301"/>
    <w:rsid w:val="711772FF"/>
    <w:rsid w:val="71453E6C"/>
    <w:rsid w:val="71A843FB"/>
    <w:rsid w:val="72581BA9"/>
    <w:rsid w:val="72A526E9"/>
    <w:rsid w:val="72B25F01"/>
    <w:rsid w:val="72CB03A1"/>
    <w:rsid w:val="72DD6345"/>
    <w:rsid w:val="734343DB"/>
    <w:rsid w:val="735E5441"/>
    <w:rsid w:val="7369382B"/>
    <w:rsid w:val="73CD1EF7"/>
    <w:rsid w:val="73F90F3E"/>
    <w:rsid w:val="74554E1A"/>
    <w:rsid w:val="749B64FC"/>
    <w:rsid w:val="74B448CB"/>
    <w:rsid w:val="74F34CBF"/>
    <w:rsid w:val="75802AC1"/>
    <w:rsid w:val="758953D2"/>
    <w:rsid w:val="76380819"/>
    <w:rsid w:val="765863F0"/>
    <w:rsid w:val="76BD44A5"/>
    <w:rsid w:val="76CD44F9"/>
    <w:rsid w:val="76D31FB3"/>
    <w:rsid w:val="76F231C0"/>
    <w:rsid w:val="76FE3487"/>
    <w:rsid w:val="7702635B"/>
    <w:rsid w:val="7731279D"/>
    <w:rsid w:val="77370B62"/>
    <w:rsid w:val="77631821"/>
    <w:rsid w:val="776C7C79"/>
    <w:rsid w:val="7773713D"/>
    <w:rsid w:val="77A60EE7"/>
    <w:rsid w:val="77AE16A6"/>
    <w:rsid w:val="77C903B7"/>
    <w:rsid w:val="78484242"/>
    <w:rsid w:val="78495FEE"/>
    <w:rsid w:val="786F5C73"/>
    <w:rsid w:val="78970D25"/>
    <w:rsid w:val="78A70F68"/>
    <w:rsid w:val="78FF6FF6"/>
    <w:rsid w:val="794C5318"/>
    <w:rsid w:val="799B65F3"/>
    <w:rsid w:val="79E96CA3"/>
    <w:rsid w:val="7A001CA7"/>
    <w:rsid w:val="7A044199"/>
    <w:rsid w:val="7A440A39"/>
    <w:rsid w:val="7A664E53"/>
    <w:rsid w:val="7A7E0DE9"/>
    <w:rsid w:val="7A996FD7"/>
    <w:rsid w:val="7ACC00B3"/>
    <w:rsid w:val="7B064216"/>
    <w:rsid w:val="7B503B39"/>
    <w:rsid w:val="7B5829EE"/>
    <w:rsid w:val="7B71585E"/>
    <w:rsid w:val="7BDA3403"/>
    <w:rsid w:val="7C100811"/>
    <w:rsid w:val="7C7F0171"/>
    <w:rsid w:val="7CCC5441"/>
    <w:rsid w:val="7CF14EA8"/>
    <w:rsid w:val="7D1B0177"/>
    <w:rsid w:val="7D5E1E12"/>
    <w:rsid w:val="7DBA10EA"/>
    <w:rsid w:val="7DF34C50"/>
    <w:rsid w:val="7E0557AD"/>
    <w:rsid w:val="7E991353"/>
    <w:rsid w:val="7E9F0934"/>
    <w:rsid w:val="7F00538E"/>
    <w:rsid w:val="7F182006"/>
    <w:rsid w:val="7F2A644F"/>
    <w:rsid w:val="7FA144D8"/>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qFormat="1" w:unhideWhenUsed="0" w:uiPriority="0" w:semiHidden="0"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jc w:val="center"/>
      <w:outlineLvl w:val="0"/>
    </w:pPr>
    <w:rPr>
      <w:b/>
      <w:bCs/>
      <w:color w:val="000000"/>
      <w:sz w:val="32"/>
    </w:rPr>
  </w:style>
  <w:style w:type="paragraph" w:styleId="7">
    <w:name w:val="heading 2"/>
    <w:basedOn w:val="1"/>
    <w:next w:val="1"/>
    <w:qFormat/>
    <w:uiPriority w:val="0"/>
    <w:pPr>
      <w:keepNext/>
      <w:keepLines/>
      <w:spacing w:line="460" w:lineRule="exact"/>
      <w:outlineLvl w:val="1"/>
    </w:pPr>
    <w:rPr>
      <w:rFonts w:ascii="宋体" w:hAnsi="宋体"/>
      <w:b/>
      <w:sz w:val="30"/>
      <w:szCs w:val="30"/>
    </w:rPr>
  </w:style>
  <w:style w:type="paragraph" w:styleId="8">
    <w:name w:val="heading 3"/>
    <w:basedOn w:val="1"/>
    <w:next w:val="1"/>
    <w:qFormat/>
    <w:uiPriority w:val="0"/>
    <w:pPr>
      <w:keepNext/>
      <w:keepLines/>
      <w:spacing w:line="460" w:lineRule="exact"/>
      <w:jc w:val="left"/>
      <w:outlineLvl w:val="2"/>
    </w:pPr>
    <w:rPr>
      <w:b/>
      <w:sz w:val="24"/>
    </w:rPr>
  </w:style>
  <w:style w:type="paragraph" w:styleId="9">
    <w:name w:val="heading 4"/>
    <w:basedOn w:val="1"/>
    <w:next w:val="1"/>
    <w:qFormat/>
    <w:uiPriority w:val="0"/>
    <w:pPr>
      <w:keepNext/>
      <w:keepLines/>
      <w:spacing w:line="360" w:lineRule="auto"/>
      <w:outlineLvl w:val="3"/>
    </w:pPr>
    <w:rPr>
      <w:rFonts w:ascii="Arial" w:hAnsi="Arial"/>
      <w:b/>
      <w:bCs/>
      <w:szCs w:val="28"/>
    </w:rPr>
  </w:style>
  <w:style w:type="paragraph" w:styleId="10">
    <w:name w:val="heading 5"/>
    <w:basedOn w:val="1"/>
    <w:next w:val="1"/>
    <w:qFormat/>
    <w:uiPriority w:val="0"/>
    <w:pPr>
      <w:keepNext/>
      <w:keepLines/>
      <w:numPr>
        <w:ilvl w:val="4"/>
        <w:numId w:val="1"/>
      </w:numPr>
      <w:spacing w:before="280" w:after="290" w:line="374" w:lineRule="auto"/>
      <w:outlineLvl w:val="4"/>
    </w:pPr>
    <w:rPr>
      <w:rFonts w:ascii="楷体_GB2312" w:hAnsi="楷体_GB2312" w:eastAsia="monospace"/>
      <w:b/>
      <w:bCs/>
      <w:kern w:val="0"/>
      <w:sz w:val="28"/>
      <w:szCs w:val="28"/>
    </w:rPr>
  </w:style>
  <w:style w:type="paragraph" w:styleId="11">
    <w:name w:val="heading 6"/>
    <w:basedOn w:val="1"/>
    <w:next w:val="1"/>
    <w:qFormat/>
    <w:uiPriority w:val="0"/>
    <w:pPr>
      <w:keepNext/>
      <w:keepLines/>
      <w:numPr>
        <w:ilvl w:val="5"/>
        <w:numId w:val="1"/>
      </w:numPr>
      <w:spacing w:before="240" w:after="64" w:line="319" w:lineRule="auto"/>
      <w:outlineLvl w:val="5"/>
    </w:pPr>
    <w:rPr>
      <w:rFonts w:ascii="Arial Unicode MS" w:hAnsi="Arial Unicode MS" w:eastAsia="微软雅黑"/>
      <w:b/>
      <w:bCs/>
      <w:kern w:val="0"/>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Ari"/>
      <w:kern w:val="0"/>
      <w:sz w:val="20"/>
      <w:szCs w:val="20"/>
    </w:rPr>
  </w:style>
  <w:style w:type="paragraph" w:styleId="3">
    <w:name w:val="footer"/>
    <w:basedOn w:val="1"/>
    <w:next w:val="4"/>
    <w:link w:val="6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next w:val="5"/>
    <w:link w:val="59"/>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toc 2"/>
    <w:basedOn w:val="1"/>
    <w:next w:val="1"/>
    <w:qFormat/>
    <w:uiPriority w:val="39"/>
    <w:pPr>
      <w:widowControl/>
      <w:spacing w:line="276" w:lineRule="auto"/>
      <w:ind w:left="220"/>
      <w:jc w:val="left"/>
    </w:pPr>
    <w:rPr>
      <w:rFonts w:ascii="Calibri" w:hAnsi="Calibri"/>
      <w:kern w:val="0"/>
      <w:sz w:val="22"/>
    </w:rPr>
  </w:style>
  <w:style w:type="paragraph" w:styleId="12">
    <w:name w:val="toc 7"/>
    <w:basedOn w:val="1"/>
    <w:next w:val="1"/>
    <w:qFormat/>
    <w:uiPriority w:val="39"/>
    <w:pPr>
      <w:spacing w:before="50" w:beforeLines="50" w:after="50" w:afterLines="50" w:line="560" w:lineRule="atLeast"/>
      <w:ind w:firstLine="480"/>
    </w:pPr>
    <w:rPr>
      <w:rFonts w:ascii="Tahoma" w:hAnsi="Tahoma"/>
      <w:sz w:val="28"/>
    </w:rPr>
  </w:style>
  <w:style w:type="paragraph" w:styleId="13">
    <w:name w:val="table of authorities"/>
    <w:basedOn w:val="1"/>
    <w:next w:val="1"/>
    <w:qFormat/>
    <w:uiPriority w:val="0"/>
    <w:pPr>
      <w:spacing w:line="240" w:lineRule="auto"/>
      <w:ind w:left="420" w:firstLine="0"/>
    </w:pPr>
    <w:rPr>
      <w:rFonts w:ascii="Calibri" w:eastAsia="宋体"/>
    </w:rPr>
  </w:style>
  <w:style w:type="paragraph" w:styleId="14">
    <w:name w:val="index 8"/>
    <w:basedOn w:val="1"/>
    <w:next w:val="1"/>
    <w:unhideWhenUsed/>
    <w:qFormat/>
    <w:uiPriority w:val="99"/>
    <w:pPr>
      <w:ind w:left="1400" w:leftChars="1400"/>
    </w:pPr>
  </w:style>
  <w:style w:type="paragraph" w:styleId="15">
    <w:name w:val="Normal Indent"/>
    <w:basedOn w:val="1"/>
    <w:next w:val="1"/>
    <w:qFormat/>
    <w:uiPriority w:val="0"/>
    <w:pPr>
      <w:ind w:firstLine="42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qFormat/>
    <w:uiPriority w:val="99"/>
    <w:pPr>
      <w:jc w:val="left"/>
    </w:pPr>
  </w:style>
  <w:style w:type="paragraph" w:styleId="18">
    <w:name w:val="Body Text 3"/>
    <w:basedOn w:val="1"/>
    <w:qFormat/>
    <w:uiPriority w:val="0"/>
    <w:rPr>
      <w:rFonts w:hAnsi="Times New Roman"/>
      <w:kern w:val="0"/>
      <w:sz w:val="24"/>
      <w:szCs w:val="20"/>
    </w:rPr>
  </w:style>
  <w:style w:type="paragraph" w:styleId="19">
    <w:name w:val="Body Text"/>
    <w:basedOn w:val="1"/>
    <w:next w:val="1"/>
    <w:qFormat/>
    <w:uiPriority w:val="0"/>
  </w:style>
  <w:style w:type="paragraph" w:styleId="20">
    <w:name w:val="Body Text Indent"/>
    <w:basedOn w:val="1"/>
    <w:next w:val="21"/>
    <w:qFormat/>
    <w:uiPriority w:val="0"/>
    <w:pPr>
      <w:spacing w:line="312" w:lineRule="auto"/>
      <w:ind w:firstLine="735" w:firstLineChars="245"/>
    </w:pPr>
  </w:style>
  <w:style w:type="paragraph" w:styleId="21">
    <w:name w:val="envelope return"/>
    <w:basedOn w:val="1"/>
    <w:unhideWhenUsed/>
    <w:qFormat/>
    <w:uiPriority w:val="99"/>
    <w:pPr>
      <w:snapToGrid w:val="0"/>
    </w:pPr>
    <w:rPr>
      <w:rFonts w:ascii="Arial" w:hAnsi="Arial"/>
    </w:rPr>
  </w:style>
  <w:style w:type="paragraph" w:styleId="22">
    <w:name w:val="List 2"/>
    <w:basedOn w:val="1"/>
    <w:qFormat/>
    <w:uiPriority w:val="0"/>
    <w:pPr>
      <w:ind w:left="100" w:leftChars="200" w:hanging="200" w:hangingChars="200"/>
    </w:pPr>
    <w:rPr>
      <w:szCs w:val="24"/>
    </w:rPr>
  </w:style>
  <w:style w:type="paragraph" w:styleId="23">
    <w:name w:val="toc 3"/>
    <w:basedOn w:val="1"/>
    <w:next w:val="1"/>
    <w:semiHidden/>
    <w:unhideWhenUsed/>
    <w:qFormat/>
    <w:uiPriority w:val="39"/>
    <w:pPr>
      <w:ind w:left="840" w:leftChars="400"/>
    </w:pPr>
  </w:style>
  <w:style w:type="paragraph" w:styleId="24">
    <w:name w:val="Date"/>
    <w:basedOn w:val="1"/>
    <w:next w:val="1"/>
    <w:qFormat/>
    <w:uiPriority w:val="0"/>
    <w:rPr>
      <w:rFonts w:ascii="楷体_GB2312" w:hAnsi="楷体_GB2312"/>
      <w:kern w:val="0"/>
      <w:sz w:val="24"/>
      <w:szCs w:val="20"/>
    </w:rPr>
  </w:style>
  <w:style w:type="paragraph" w:styleId="25">
    <w:name w:val="Body Text Indent 2"/>
    <w:basedOn w:val="1"/>
    <w:qFormat/>
    <w:uiPriority w:val="0"/>
    <w:pPr>
      <w:spacing w:line="400" w:lineRule="exact"/>
      <w:ind w:firstLine="560"/>
    </w:pPr>
    <w:rPr>
      <w:sz w:val="28"/>
    </w:rPr>
  </w:style>
  <w:style w:type="paragraph" w:styleId="26">
    <w:name w:val="toc 1"/>
    <w:basedOn w:val="1"/>
    <w:next w:val="1"/>
    <w:qFormat/>
    <w:uiPriority w:val="39"/>
  </w:style>
  <w:style w:type="paragraph" w:styleId="27">
    <w:name w:val="footnote text"/>
    <w:basedOn w:val="1"/>
    <w:qFormat/>
    <w:uiPriority w:val="0"/>
    <w:pPr>
      <w:snapToGrid w:val="0"/>
      <w:jc w:val="left"/>
    </w:pPr>
    <w:rPr>
      <w:sz w:val="18"/>
      <w:szCs w:val="18"/>
    </w:rPr>
  </w:style>
  <w:style w:type="paragraph" w:styleId="28">
    <w:name w:val="toc 6"/>
    <w:basedOn w:val="1"/>
    <w:next w:val="1"/>
    <w:qFormat/>
    <w:uiPriority w:val="0"/>
    <w:pPr>
      <w:ind w:left="1000" w:leftChars="1000"/>
    </w:pPr>
    <w:rPr>
      <w:rFonts w:ascii="Calibri" w:hAnsi="Calibri" w:eastAsia="宋体" w:cs="Times New Roman"/>
      <w:szCs w:val="22"/>
    </w:rPr>
  </w:style>
  <w:style w:type="paragraph" w:styleId="29">
    <w:name w:val="Body Text 2"/>
    <w:basedOn w:val="1"/>
    <w:next w:val="1"/>
    <w:qFormat/>
    <w:uiPriority w:val="0"/>
    <w:pPr>
      <w:spacing w:line="480" w:lineRule="auto"/>
    </w:pPr>
  </w:style>
  <w:style w:type="paragraph" w:styleId="30">
    <w:name w:val="Normal (Web)"/>
    <w:basedOn w:val="1"/>
    <w:qFormat/>
    <w:uiPriority w:val="0"/>
    <w:pPr>
      <w:widowControl/>
      <w:spacing w:beforeAutospacing="1" w:afterAutospacing="1"/>
      <w:jc w:val="left"/>
    </w:pPr>
    <w:rPr>
      <w:rFonts w:ascii="宋体" w:hAnsi="宋体" w:cs="宋体"/>
      <w:kern w:val="0"/>
      <w:sz w:val="24"/>
      <w:szCs w:val="24"/>
    </w:rPr>
  </w:style>
  <w:style w:type="paragraph" w:styleId="31">
    <w:name w:val="Title"/>
    <w:basedOn w:val="1"/>
    <w:next w:val="1"/>
    <w:qFormat/>
    <w:uiPriority w:val="0"/>
    <w:pPr>
      <w:jc w:val="center"/>
      <w:outlineLvl w:val="0"/>
    </w:pPr>
    <w:rPr>
      <w:rFonts w:ascii="Cambria" w:hAnsi="Cambria"/>
      <w:b/>
      <w:bCs/>
      <w:sz w:val="32"/>
      <w:szCs w:val="32"/>
    </w:rPr>
  </w:style>
  <w:style w:type="paragraph" w:styleId="32">
    <w:name w:val="Body Text First Indent"/>
    <w:basedOn w:val="19"/>
    <w:next w:val="28"/>
    <w:qFormat/>
    <w:uiPriority w:val="0"/>
    <w:pPr>
      <w:ind w:firstLine="420" w:firstLineChars="100"/>
    </w:pPr>
  </w:style>
  <w:style w:type="paragraph" w:styleId="33">
    <w:name w:val="Body Text First Indent 2"/>
    <w:basedOn w:val="20"/>
    <w:next w:val="1"/>
    <w:qFormat/>
    <w:uiPriority w:val="0"/>
    <w:pPr>
      <w:spacing w:line="240" w:lineRule="auto"/>
      <w:ind w:left="420" w:leftChars="200" w:firstLine="420" w:firstLineChars="200"/>
    </w:pPr>
  </w:style>
  <w:style w:type="table" w:styleId="35">
    <w:name w:val="Table Grid"/>
    <w:basedOn w:val="3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7">
    <w:name w:val="page number"/>
    <w:basedOn w:val="36"/>
    <w:qFormat/>
    <w:uiPriority w:val="0"/>
  </w:style>
  <w:style w:type="character" w:styleId="38">
    <w:name w:val="FollowedHyperlink"/>
    <w:basedOn w:val="36"/>
    <w:semiHidden/>
    <w:unhideWhenUsed/>
    <w:qFormat/>
    <w:uiPriority w:val="99"/>
    <w:rPr>
      <w:color w:val="800080"/>
      <w:u w:val="none"/>
    </w:rPr>
  </w:style>
  <w:style w:type="character" w:styleId="39">
    <w:name w:val="HTML Definition"/>
    <w:basedOn w:val="36"/>
    <w:semiHidden/>
    <w:unhideWhenUsed/>
    <w:qFormat/>
    <w:uiPriority w:val="99"/>
  </w:style>
  <w:style w:type="character" w:styleId="40">
    <w:name w:val="HTML Typewriter"/>
    <w:basedOn w:val="36"/>
    <w:semiHidden/>
    <w:unhideWhenUsed/>
    <w:qFormat/>
    <w:uiPriority w:val="99"/>
    <w:rPr>
      <w:rFonts w:hint="default" w:ascii="monospace" w:hAnsi="monospace" w:eastAsia="monospace" w:cs="monospace"/>
      <w:sz w:val="20"/>
    </w:rPr>
  </w:style>
  <w:style w:type="character" w:styleId="41">
    <w:name w:val="HTML Acronym"/>
    <w:basedOn w:val="36"/>
    <w:semiHidden/>
    <w:unhideWhenUsed/>
    <w:qFormat/>
    <w:uiPriority w:val="99"/>
  </w:style>
  <w:style w:type="character" w:styleId="42">
    <w:name w:val="HTML Variable"/>
    <w:basedOn w:val="36"/>
    <w:semiHidden/>
    <w:unhideWhenUsed/>
    <w:qFormat/>
    <w:uiPriority w:val="99"/>
  </w:style>
  <w:style w:type="character" w:styleId="43">
    <w:name w:val="Hyperlink"/>
    <w:basedOn w:val="36"/>
    <w:semiHidden/>
    <w:unhideWhenUsed/>
    <w:qFormat/>
    <w:uiPriority w:val="99"/>
    <w:rPr>
      <w:color w:val="0000FF"/>
      <w:u w:val="none"/>
    </w:rPr>
  </w:style>
  <w:style w:type="character" w:styleId="44">
    <w:name w:val="HTML Code"/>
    <w:basedOn w:val="36"/>
    <w:semiHidden/>
    <w:unhideWhenUsed/>
    <w:qFormat/>
    <w:uiPriority w:val="99"/>
    <w:rPr>
      <w:rFonts w:hint="default" w:ascii="monospace" w:hAnsi="monospace" w:eastAsia="monospace" w:cs="monospace"/>
      <w:sz w:val="20"/>
    </w:rPr>
  </w:style>
  <w:style w:type="character" w:styleId="45">
    <w:name w:val="HTML Cite"/>
    <w:basedOn w:val="36"/>
    <w:semiHidden/>
    <w:unhideWhenUsed/>
    <w:qFormat/>
    <w:uiPriority w:val="99"/>
  </w:style>
  <w:style w:type="character" w:styleId="46">
    <w:name w:val="HTML Keyboard"/>
    <w:basedOn w:val="36"/>
    <w:semiHidden/>
    <w:unhideWhenUsed/>
    <w:qFormat/>
    <w:uiPriority w:val="99"/>
    <w:rPr>
      <w:rFonts w:ascii="monospace" w:hAnsi="monospace" w:eastAsia="monospace" w:cs="monospace"/>
      <w:sz w:val="20"/>
    </w:rPr>
  </w:style>
  <w:style w:type="character" w:styleId="47">
    <w:name w:val="HTML Sample"/>
    <w:basedOn w:val="36"/>
    <w:semiHidden/>
    <w:unhideWhenUsed/>
    <w:qFormat/>
    <w:uiPriority w:val="99"/>
    <w:rPr>
      <w:rFonts w:hint="default" w:ascii="monospace" w:hAnsi="monospace" w:eastAsia="monospace" w:cs="monospace"/>
    </w:rPr>
  </w:style>
  <w:style w:type="paragraph" w:customStyle="1" w:styleId="48">
    <w:name w:val="style4"/>
    <w:basedOn w:val="49"/>
    <w:next w:val="51"/>
    <w:qFormat/>
    <w:uiPriority w:val="0"/>
    <w:pPr>
      <w:widowControl/>
      <w:spacing w:beforeAutospacing="1" w:afterAutospacing="1"/>
      <w:jc w:val="left"/>
    </w:pPr>
    <w:rPr>
      <w:rFonts w:ascii="宋体" w:hAnsi="宋体" w:cs="宋体"/>
      <w:kern w:val="0"/>
      <w:sz w:val="18"/>
      <w:szCs w:val="18"/>
    </w:rPr>
  </w:style>
  <w:style w:type="paragraph" w:customStyle="1" w:styleId="49">
    <w:name w:val="正文1"/>
    <w:next w:val="50"/>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50">
    <w:name w:val="正文文本1"/>
    <w:basedOn w:val="49"/>
    <w:next w:val="48"/>
    <w:qFormat/>
    <w:uiPriority w:val="0"/>
    <w:pPr>
      <w:spacing w:after="120"/>
    </w:pPr>
    <w:rPr>
      <w:kern w:val="0"/>
      <w:sz w:val="20"/>
    </w:rPr>
  </w:style>
  <w:style w:type="paragraph" w:customStyle="1" w:styleId="51">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52">
    <w:name w:val="样式 正文首行缩进 2 + Arial"/>
    <w:basedOn w:val="1"/>
    <w:next w:val="1"/>
    <w:qFormat/>
    <w:uiPriority w:val="0"/>
    <w:pPr>
      <w:spacing w:after="120" w:line="320" w:lineRule="atLeast"/>
    </w:pPr>
    <w:rPr>
      <w:rFonts w:ascii="Arial" w:hAnsi="Arial"/>
      <w:kern w:val="0"/>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表格文字"/>
    <w:basedOn w:val="1"/>
    <w:next w:val="19"/>
    <w:qFormat/>
    <w:uiPriority w:val="0"/>
    <w:pPr>
      <w:wordWrap w:val="0"/>
      <w:ind w:firstLine="0" w:firstLineChars="0"/>
    </w:pPr>
    <w:rPr>
      <w:sz w:val="18"/>
    </w:rPr>
  </w:style>
  <w:style w:type="paragraph" w:customStyle="1" w:styleId="5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56">
    <w:name w:val="正文_0"/>
    <w:next w:val="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无间隔1"/>
    <w:basedOn w:val="56"/>
    <w:next w:val="1"/>
    <w:qFormat/>
    <w:uiPriority w:val="1"/>
    <w:pPr>
      <w:spacing w:line="400" w:lineRule="exact"/>
    </w:pPr>
  </w:style>
  <w:style w:type="table" w:customStyle="1" w:styleId="58">
    <w:name w:val="浅色底纹1"/>
    <w:basedOn w:val="34"/>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59">
    <w:name w:val="页眉 字符"/>
    <w:basedOn w:val="36"/>
    <w:link w:val="4"/>
    <w:semiHidden/>
    <w:qFormat/>
    <w:uiPriority w:val="99"/>
    <w:rPr>
      <w:kern w:val="2"/>
      <w:sz w:val="18"/>
      <w:szCs w:val="18"/>
    </w:rPr>
  </w:style>
  <w:style w:type="character" w:customStyle="1" w:styleId="60">
    <w:name w:val="页脚 字符"/>
    <w:basedOn w:val="36"/>
    <w:link w:val="3"/>
    <w:qFormat/>
    <w:uiPriority w:val="99"/>
    <w:rPr>
      <w:kern w:val="2"/>
      <w:sz w:val="18"/>
      <w:szCs w:val="18"/>
    </w:rPr>
  </w:style>
  <w:style w:type="paragraph" w:customStyle="1" w:styleId="61">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styleId="63">
    <w:name w:val="List Paragraph"/>
    <w:basedOn w:val="1"/>
    <w:qFormat/>
    <w:uiPriority w:val="0"/>
    <w:pPr>
      <w:ind w:firstLine="420"/>
    </w:pPr>
    <w:rPr>
      <w:szCs w:val="24"/>
    </w:rPr>
  </w:style>
  <w:style w:type="paragraph" w:customStyle="1" w:styleId="64">
    <w:name w:val="招标正文"/>
    <w:basedOn w:val="1"/>
    <w:qFormat/>
    <w:uiPriority w:val="0"/>
    <w:pPr>
      <w:spacing w:line="360" w:lineRule="auto"/>
      <w:ind w:firstLine="480"/>
    </w:pPr>
    <w:rPr>
      <w:rFonts w:ascii="宋体" w:hAnsi="宋体"/>
      <w:sz w:val="24"/>
      <w:szCs w:val="24"/>
    </w:rPr>
  </w:style>
  <w:style w:type="paragraph" w:customStyle="1" w:styleId="65">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66">
    <w:name w:val="BodyText1I2"/>
    <w:basedOn w:val="67"/>
    <w:next w:val="68"/>
    <w:qFormat/>
    <w:uiPriority w:val="0"/>
    <w:pPr>
      <w:ind w:firstLine="420"/>
    </w:pPr>
    <w:rPr>
      <w:rFonts w:ascii="Calibri" w:hAnsi="Calibri" w:eastAsia="楷体_GB2312"/>
      <w:kern w:val="44"/>
      <w:sz w:val="44"/>
    </w:rPr>
  </w:style>
  <w:style w:type="paragraph" w:customStyle="1" w:styleId="67">
    <w:name w:val="BodyTextIndent"/>
    <w:basedOn w:val="1"/>
    <w:qFormat/>
    <w:uiPriority w:val="0"/>
    <w:pPr>
      <w:spacing w:after="120"/>
      <w:ind w:left="420" w:leftChars="200"/>
    </w:pPr>
    <w:rPr>
      <w:rFonts w:ascii="Times New Roman" w:hAnsi="Times New Roman"/>
      <w:kern w:val="0"/>
      <w:sz w:val="20"/>
    </w:rPr>
  </w:style>
  <w:style w:type="paragraph" w:customStyle="1" w:styleId="68">
    <w:name w:val="UserStyle_136"/>
    <w:basedOn w:val="1"/>
    <w:next w:val="1"/>
    <w:qFormat/>
    <w:uiPriority w:val="0"/>
    <w:pPr>
      <w:spacing w:after="120" w:line="320" w:lineRule="atLeast"/>
    </w:pPr>
    <w:rPr>
      <w:rFonts w:ascii="Arial" w:hAnsi="Arial"/>
      <w:kern w:val="0"/>
    </w:rPr>
  </w:style>
  <w:style w:type="paragraph" w:customStyle="1" w:styleId="69">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72">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3">
    <w:name w:val="样式 标题 2 + Times New Roman 四号 非加粗 段前: 5 磅 段后: 0 磅 行距: 固定值 20..."/>
    <w:basedOn w:val="7"/>
    <w:qFormat/>
    <w:uiPriority w:val="0"/>
    <w:pPr>
      <w:spacing w:line="400" w:lineRule="exact"/>
    </w:pPr>
    <w:rPr>
      <w:rFonts w:ascii="Times New Roman" w:hAnsi="Times New Roman" w:cs="宋体"/>
      <w:b w:val="0"/>
      <w:sz w:val="28"/>
      <w:szCs w:val="20"/>
    </w:rPr>
  </w:style>
  <w:style w:type="paragraph" w:customStyle="1" w:styleId="74">
    <w:name w:val="样式 标题 3 + (中文) 黑体 小四 非加粗 段前: 7.8 磅 段后: 0 磅 行距: 固定值 20 磅"/>
    <w:basedOn w:val="8"/>
    <w:qFormat/>
    <w:uiPriority w:val="0"/>
    <w:pPr>
      <w:spacing w:line="400" w:lineRule="exact"/>
    </w:pPr>
    <w:rPr>
      <w:rFonts w:eastAsia="黑体" w:cs="宋体"/>
      <w:b w:val="0"/>
      <w:szCs w:val="20"/>
    </w:rPr>
  </w:style>
  <w:style w:type="paragraph" w:customStyle="1" w:styleId="75">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76">
    <w:name w:val="TOC 标题1"/>
    <w:basedOn w:val="6"/>
    <w:next w:val="1"/>
    <w:qFormat/>
    <w:uiPriority w:val="99"/>
    <w:pPr>
      <w:outlineLvl w:val="9"/>
    </w:pPr>
    <w:rPr>
      <w:rFonts w:ascii="Calibri" w:hAnsi="Calibri"/>
    </w:rPr>
  </w:style>
  <w:style w:type="paragraph" w:customStyle="1" w:styleId="77">
    <w:name w:val="Table Text"/>
    <w:basedOn w:val="1"/>
    <w:semiHidden/>
    <w:qFormat/>
    <w:uiPriority w:val="0"/>
    <w:rPr>
      <w:rFonts w:ascii="微软雅黑" w:hAnsi="微软雅黑" w:eastAsia="微软雅黑" w:cs="微软雅黑"/>
      <w:sz w:val="20"/>
      <w:szCs w:val="20"/>
      <w:lang w:eastAsia="en-US"/>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customStyle="1" w:styleId="79">
    <w:name w:val="p0"/>
    <w:basedOn w:val="1"/>
    <w:qFormat/>
    <w:uiPriority w:val="0"/>
    <w:pPr>
      <w:widowControl/>
    </w:pPr>
    <w:rPr>
      <w:kern w:val="0"/>
      <w:sz w:val="21"/>
      <w:szCs w:val="21"/>
    </w:rPr>
  </w:style>
  <w:style w:type="paragraph" w:customStyle="1" w:styleId="80">
    <w:name w:val="列表段落1"/>
    <w:basedOn w:val="1"/>
    <w:qFormat/>
    <w:uiPriority w:val="34"/>
    <w:pPr>
      <w:ind w:firstLine="420" w:firstLineChars="200"/>
    </w:pPr>
    <w:rPr>
      <w:rFonts w:ascii="等线" w:hAnsi="等线" w:eastAsia="宋体" w:cs="Times New Roman"/>
    </w:rPr>
  </w:style>
  <w:style w:type="paragraph" w:customStyle="1" w:styleId="81">
    <w:name w:val="List Paragraph1"/>
    <w:basedOn w:val="1"/>
    <w:qFormat/>
    <w:uiPriority w:val="0"/>
    <w:pPr>
      <w:ind w:firstLine="420" w:firstLineChars="200"/>
    </w:pPr>
    <w:rPr>
      <w:rFonts w:ascii="Calibri" w:hAnsi="Calibri" w:eastAsia="宋体" w:cs="Times New Roman"/>
    </w:rPr>
  </w:style>
  <w:style w:type="paragraph" w:customStyle="1" w:styleId="82">
    <w:name w:val="Char Char10 Char Char Char Char"/>
    <w:basedOn w:val="1"/>
    <w:next w:val="83"/>
    <w:qFormat/>
    <w:uiPriority w:val="99"/>
  </w:style>
  <w:style w:type="paragraph" w:customStyle="1" w:styleId="83">
    <w:name w:val="xl87"/>
    <w:basedOn w:val="1"/>
    <w:next w:val="8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2"/>
    </w:rPr>
  </w:style>
  <w:style w:type="paragraph" w:customStyle="1" w:styleId="84">
    <w:name w:val="xl72"/>
    <w:basedOn w:val="1"/>
    <w:next w:val="2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00"/>
      <w:kern w:val="0"/>
      <w:sz w:val="24"/>
      <w:szCs w:val="24"/>
    </w:rPr>
  </w:style>
  <w:style w:type="paragraph" w:customStyle="1" w:styleId="8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6">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62194-3374-4AEB-8008-6272CCE9EC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16665</Words>
  <Characters>18294</Characters>
  <Lines>234</Lines>
  <Paragraphs>65</Paragraphs>
  <TotalTime>23</TotalTime>
  <ScaleCrop>false</ScaleCrop>
  <LinksUpToDate>false</LinksUpToDate>
  <CharactersWithSpaces>18548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2023-08-21T14:09:00Z</dcterms:created>
  <dc:creator>wxk</dc:creator>
  <cp:lastModifiedBy>Never Forget</cp:lastModifiedBy>
  <cp:lastPrinted>2025-12-01T04:03:00Z</cp:lastPrinted>
  <dcterms:modified xsi:type="dcterms:W3CDTF">2026-06-08T07:59:37Z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565AC19C6D164677A1A725E6518D20FC_13</vt:lpwstr>
  </property>
  <property fmtid="{D5CDD505-2E9C-101B-9397-08002B2CF9AE}" pid="4" name="KSOTemplateDocerSaveRecord">
    <vt:lpwstr>eyJoZGlkIjoiYjgyNWI4ZWM5NjMzY2EwMTQxMzdkYjRjMTQ3MzdhMDAiLCJ1c2VySWQiOiIyMDg5NDIxNDAifQ==</vt:lpwstr>
  </property>
</Properties>
</file>