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E1592">
      <w:pPr>
        <w:bidi w:val="0"/>
        <w:ind w:left="0" w:leftChars="0" w:firstLine="0" w:firstLineChars="0"/>
        <w:jc w:val="both"/>
      </w:pPr>
      <w:bookmarkStart w:id="0" w:name="_Toc152042286"/>
      <w:bookmarkStart w:id="1" w:name="_Toc144974478"/>
      <w:r>
        <w:drawing>
          <wp:anchor distT="0" distB="0" distL="114300" distR="114300" simplePos="0" relativeHeight="251667456" behindDoc="0" locked="0" layoutInCell="1" allowOverlap="1">
            <wp:simplePos x="0" y="0"/>
            <wp:positionH relativeFrom="column">
              <wp:posOffset>-168275</wp:posOffset>
            </wp:positionH>
            <wp:positionV relativeFrom="paragraph">
              <wp:posOffset>169545</wp:posOffset>
            </wp:positionV>
            <wp:extent cx="6099810" cy="8602345"/>
            <wp:effectExtent l="0" t="0" r="11430" b="825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6099810" cy="8602345"/>
                    </a:xfrm>
                    <a:prstGeom prst="rect">
                      <a:avLst/>
                    </a:prstGeom>
                    <a:noFill/>
                    <a:ln>
                      <a:noFill/>
                    </a:ln>
                  </pic:spPr>
                </pic:pic>
              </a:graphicData>
            </a:graphic>
          </wp:anchor>
        </w:drawing>
      </w:r>
    </w:p>
    <w:p w14:paraId="59605BBE">
      <w:pPr>
        <w:bidi w:val="0"/>
        <w:ind w:left="0" w:leftChars="0" w:firstLine="0" w:firstLineChars="0"/>
        <w:jc w:val="both"/>
      </w:pPr>
    </w:p>
    <w:p w14:paraId="018C92CD">
      <w:pPr>
        <w:bidi w:val="0"/>
        <w:ind w:left="0" w:leftChars="0" w:firstLine="0" w:firstLineChars="0"/>
        <w:jc w:val="both"/>
      </w:pPr>
    </w:p>
    <w:p w14:paraId="7436A4D4">
      <w:pPr>
        <w:bidi w:val="0"/>
        <w:ind w:left="0" w:leftChars="0" w:firstLine="0" w:firstLineChars="0"/>
        <w:jc w:val="both"/>
      </w:pPr>
    </w:p>
    <w:p w14:paraId="5B66E455">
      <w:pPr>
        <w:bidi w:val="0"/>
        <w:ind w:left="0" w:leftChars="0" w:firstLine="0" w:firstLineChars="0"/>
        <w:jc w:val="both"/>
      </w:pPr>
    </w:p>
    <w:p w14:paraId="6A9E66CF">
      <w:pPr>
        <w:bidi w:val="0"/>
        <w:ind w:left="0" w:leftChars="0" w:firstLine="0" w:firstLineChars="0"/>
        <w:jc w:val="both"/>
      </w:pPr>
    </w:p>
    <w:p w14:paraId="55C20DEC">
      <w:pPr>
        <w:bidi w:val="0"/>
        <w:ind w:left="0" w:leftChars="0" w:firstLine="0" w:firstLineChars="0"/>
        <w:jc w:val="both"/>
      </w:pPr>
    </w:p>
    <w:p w14:paraId="2C3D20FF">
      <w:pPr>
        <w:bidi w:val="0"/>
        <w:ind w:left="0" w:leftChars="0" w:firstLine="0" w:firstLineChars="0"/>
        <w:jc w:val="both"/>
      </w:pPr>
    </w:p>
    <w:p w14:paraId="5170512C">
      <w:pPr>
        <w:bidi w:val="0"/>
        <w:ind w:left="0" w:leftChars="0" w:firstLine="0" w:firstLineChars="0"/>
        <w:jc w:val="both"/>
      </w:pPr>
    </w:p>
    <w:p w14:paraId="1FDA07B4">
      <w:pPr>
        <w:bidi w:val="0"/>
        <w:ind w:left="0" w:leftChars="0" w:firstLine="0" w:firstLineChars="0"/>
        <w:jc w:val="both"/>
      </w:pPr>
    </w:p>
    <w:p w14:paraId="5DC859B6">
      <w:pPr>
        <w:bidi w:val="0"/>
        <w:ind w:left="0" w:leftChars="0" w:firstLine="0" w:firstLineChars="0"/>
        <w:jc w:val="both"/>
      </w:pPr>
    </w:p>
    <w:p w14:paraId="1526BCC7">
      <w:pPr>
        <w:bidi w:val="0"/>
        <w:ind w:left="0" w:leftChars="0" w:firstLine="0" w:firstLineChars="0"/>
        <w:jc w:val="both"/>
      </w:pPr>
    </w:p>
    <w:p w14:paraId="43EEC03D">
      <w:pPr>
        <w:bidi w:val="0"/>
        <w:ind w:left="0" w:leftChars="0" w:firstLine="0" w:firstLineChars="0"/>
        <w:jc w:val="both"/>
      </w:pPr>
    </w:p>
    <w:p w14:paraId="5737B736">
      <w:pPr>
        <w:pStyle w:val="28"/>
      </w:pPr>
    </w:p>
    <w:p w14:paraId="54EEC854"/>
    <w:p w14:paraId="6A43077D">
      <w:pPr>
        <w:pStyle w:val="28"/>
      </w:pPr>
    </w:p>
    <w:p w14:paraId="2A3B3C58"/>
    <w:p w14:paraId="63147BFC">
      <w:pPr>
        <w:pStyle w:val="28"/>
      </w:pPr>
    </w:p>
    <w:p w14:paraId="3DABBA68"/>
    <w:p w14:paraId="3397D746">
      <w:pPr>
        <w:pStyle w:val="28"/>
      </w:pPr>
    </w:p>
    <w:p w14:paraId="730A4C31"/>
    <w:p w14:paraId="744A0C1D">
      <w:pPr>
        <w:bidi w:val="0"/>
        <w:ind w:left="0" w:leftChars="0" w:firstLine="0" w:firstLineChars="0"/>
        <w:jc w:val="both"/>
      </w:pPr>
    </w:p>
    <w:p w14:paraId="6B88CC30">
      <w:pPr>
        <w:bidi w:val="0"/>
        <w:ind w:left="0" w:leftChars="0" w:firstLine="0" w:firstLineChars="0"/>
        <w:jc w:val="both"/>
      </w:pPr>
    </w:p>
    <w:p w14:paraId="50995D3E">
      <w:pPr>
        <w:pStyle w:val="14"/>
        <w:ind w:left="0" w:leftChars="0" w:firstLine="0" w:firstLineChars="0"/>
        <w:jc w:val="center"/>
        <w:rPr>
          <w:rFonts w:hint="eastAsia" w:ascii="仿宋" w:hAnsi="仿宋" w:eastAsia="仿宋" w:cs="仿宋"/>
          <w:b/>
          <w:color w:val="000000"/>
          <w:spacing w:val="-20"/>
          <w:sz w:val="52"/>
          <w:szCs w:val="52"/>
          <w:u w:val="none"/>
          <w:lang w:val="en-US" w:eastAsia="zh-CN"/>
        </w:rPr>
      </w:pPr>
      <w:r>
        <w:rPr>
          <w:rFonts w:hint="eastAsia" w:ascii="仿宋" w:hAnsi="仿宋" w:eastAsia="仿宋" w:cs="仿宋"/>
          <w:b/>
          <w:color w:val="000000"/>
          <w:spacing w:val="-20"/>
          <w:sz w:val="52"/>
          <w:szCs w:val="52"/>
          <w:u w:val="none"/>
          <w:lang w:val="en-US" w:eastAsia="zh-CN"/>
        </w:rPr>
        <w:t>罗山县铁铺镇人民政府2026年罗山县铁铺镇产业发展配套设施项目</w:t>
      </w:r>
    </w:p>
    <w:p w14:paraId="3AC93E2C">
      <w:pPr>
        <w:pStyle w:val="14"/>
        <w:ind w:left="0" w:leftChars="0" w:firstLine="0" w:firstLineChars="0"/>
        <w:jc w:val="center"/>
        <w:rPr>
          <w:rFonts w:hint="eastAsia" w:ascii="仿宋" w:hAnsi="仿宋" w:eastAsia="仿宋" w:cs="仿宋"/>
          <w:b/>
          <w:color w:val="000000"/>
          <w:spacing w:val="-20"/>
          <w:sz w:val="52"/>
          <w:szCs w:val="52"/>
          <w:u w:val="none"/>
          <w:lang w:val="en-US" w:eastAsia="zh-CN"/>
        </w:rPr>
      </w:pPr>
      <w:r>
        <w:rPr>
          <w:rFonts w:hint="eastAsia" w:ascii="仿宋" w:hAnsi="仿宋" w:eastAsia="仿宋" w:cs="仿宋"/>
          <w:b/>
          <w:color w:val="000000"/>
          <w:spacing w:val="-20"/>
          <w:sz w:val="52"/>
          <w:szCs w:val="52"/>
          <w:u w:val="none"/>
          <w:lang w:val="en-US" w:eastAsia="zh-CN"/>
        </w:rPr>
        <w:t>竞争性磋商文件</w:t>
      </w:r>
    </w:p>
    <w:p w14:paraId="3794498F">
      <w:pPr>
        <w:bidi w:val="0"/>
        <w:ind w:left="0" w:leftChars="0" w:firstLine="0" w:firstLineChars="0"/>
        <w:jc w:val="center"/>
        <w:rPr>
          <w:rFonts w:hint="eastAsia" w:ascii="仿宋" w:hAnsi="仿宋" w:eastAsia="仿宋" w:cs="仿宋"/>
          <w:b/>
          <w:bCs/>
          <w:color w:val="000000"/>
          <w:sz w:val="36"/>
          <w:szCs w:val="28"/>
          <w:lang w:eastAsia="zh-CN"/>
        </w:rPr>
      </w:pPr>
    </w:p>
    <w:p w14:paraId="6099FF55">
      <w:pPr>
        <w:pStyle w:val="28"/>
        <w:rPr>
          <w:rFonts w:hint="eastAsia" w:ascii="仿宋" w:hAnsi="仿宋" w:eastAsia="仿宋" w:cs="仿宋"/>
          <w:b/>
          <w:bCs/>
          <w:color w:val="000000"/>
          <w:sz w:val="36"/>
          <w:szCs w:val="28"/>
          <w:lang w:eastAsia="zh-CN"/>
        </w:rPr>
      </w:pPr>
    </w:p>
    <w:p w14:paraId="370479EC">
      <w:pPr>
        <w:rPr>
          <w:rFonts w:hint="eastAsia" w:ascii="仿宋" w:hAnsi="仿宋" w:eastAsia="仿宋" w:cs="仿宋"/>
          <w:b/>
          <w:bCs/>
          <w:color w:val="000000"/>
          <w:sz w:val="36"/>
          <w:szCs w:val="28"/>
          <w:lang w:eastAsia="zh-CN"/>
        </w:rPr>
      </w:pPr>
    </w:p>
    <w:p w14:paraId="2E8795E4">
      <w:pPr>
        <w:pStyle w:val="45"/>
        <w:rPr>
          <w:rFonts w:hint="eastAsia"/>
          <w:lang w:eastAsia="zh-CN"/>
        </w:rPr>
      </w:pPr>
    </w:p>
    <w:p w14:paraId="46ACF42A">
      <w:pPr>
        <w:rPr>
          <w:rFonts w:hint="eastAsia"/>
          <w:lang w:eastAsia="zh-CN"/>
        </w:rPr>
      </w:pPr>
    </w:p>
    <w:p w14:paraId="739EC56F">
      <w:pPr>
        <w:bidi w:val="0"/>
        <w:ind w:left="0" w:leftChars="0" w:firstLine="0" w:firstLineChars="0"/>
        <w:jc w:val="center"/>
        <w:rPr>
          <w:rFonts w:hint="default" w:ascii="仿宋" w:hAnsi="仿宋" w:eastAsia="仿宋" w:cs="仿宋"/>
          <w:color w:val="000000"/>
          <w:sz w:val="28"/>
          <w:lang w:val="en-US" w:eastAsia="zh-CN"/>
        </w:rPr>
      </w:pPr>
      <w:r>
        <w:rPr>
          <w:rFonts w:hint="eastAsia" w:ascii="仿宋" w:hAnsi="仿宋" w:eastAsia="仿宋" w:cs="仿宋"/>
          <w:b/>
          <w:bCs/>
          <w:color w:val="000000"/>
          <w:sz w:val="36"/>
          <w:szCs w:val="28"/>
          <w:lang w:eastAsia="zh-CN"/>
        </w:rPr>
        <w:t>采购编号：罗财</w:t>
      </w:r>
      <w:r>
        <w:rPr>
          <w:rFonts w:hint="eastAsia" w:ascii="仿宋" w:hAnsi="仿宋" w:eastAsia="仿宋" w:cs="仿宋"/>
          <w:b/>
          <w:bCs/>
          <w:color w:val="000000"/>
          <w:sz w:val="36"/>
          <w:szCs w:val="28"/>
          <w:lang w:val="en-US" w:eastAsia="zh-CN"/>
        </w:rPr>
        <w:t>磋商采购</w:t>
      </w:r>
      <w:r>
        <w:rPr>
          <w:rFonts w:hint="eastAsia" w:ascii="仿宋" w:hAnsi="仿宋" w:eastAsia="仿宋" w:cs="仿宋"/>
          <w:b/>
          <w:bCs/>
          <w:color w:val="000000"/>
          <w:sz w:val="36"/>
          <w:szCs w:val="28"/>
          <w:lang w:eastAsia="zh-CN"/>
        </w:rPr>
        <w:t>-202</w:t>
      </w:r>
      <w:r>
        <w:rPr>
          <w:rFonts w:hint="eastAsia" w:ascii="仿宋" w:hAnsi="仿宋" w:eastAsia="仿宋" w:cs="仿宋"/>
          <w:b/>
          <w:bCs/>
          <w:color w:val="000000"/>
          <w:sz w:val="36"/>
          <w:szCs w:val="28"/>
          <w:lang w:val="en-US" w:eastAsia="zh-CN"/>
        </w:rPr>
        <w:t>6-39</w:t>
      </w:r>
    </w:p>
    <w:p w14:paraId="6FCFAD75">
      <w:pPr>
        <w:pStyle w:val="56"/>
        <w:ind w:left="0" w:leftChars="0" w:firstLine="324" w:firstLineChars="116"/>
        <w:rPr>
          <w:rFonts w:hint="eastAsia" w:ascii="仿宋" w:hAnsi="仿宋" w:eastAsia="仿宋" w:cs="仿宋"/>
          <w:color w:val="000000"/>
          <w:sz w:val="28"/>
        </w:rPr>
      </w:pPr>
    </w:p>
    <w:p w14:paraId="5D634D0B">
      <w:pPr>
        <w:pStyle w:val="56"/>
        <w:ind w:left="0" w:leftChars="0" w:firstLine="326" w:firstLineChars="116"/>
        <w:rPr>
          <w:rFonts w:hint="eastAsia" w:ascii="仿宋" w:hAnsi="仿宋" w:eastAsia="仿宋" w:cs="仿宋"/>
          <w:color w:val="000000"/>
          <w:sz w:val="28"/>
        </w:rPr>
      </w:pPr>
      <w:r>
        <w:rPr>
          <w:rFonts w:hint="eastAsia" w:ascii="宋体" w:hAnsi="宋体" w:eastAsia="宋体" w:cs="宋体"/>
          <w:b/>
          <w:bCs/>
          <w:sz w:val="28"/>
          <w:szCs w:val="28"/>
          <w:lang w:val="en-US" w:eastAsia="zh-CN"/>
        </w:rPr>
        <w:drawing>
          <wp:anchor distT="0" distB="0" distL="114300" distR="114300" simplePos="0" relativeHeight="251659264" behindDoc="1" locked="0" layoutInCell="1" allowOverlap="1">
            <wp:simplePos x="0" y="0"/>
            <wp:positionH relativeFrom="column">
              <wp:posOffset>1991360</wp:posOffset>
            </wp:positionH>
            <wp:positionV relativeFrom="paragraph">
              <wp:posOffset>55880</wp:posOffset>
            </wp:positionV>
            <wp:extent cx="1934845" cy="1814830"/>
            <wp:effectExtent l="0" t="0" r="635" b="13970"/>
            <wp:wrapTight wrapText="bothSides">
              <wp:wrapPolygon>
                <wp:start x="0" y="0"/>
                <wp:lineTo x="0" y="21403"/>
                <wp:lineTo x="21437" y="21403"/>
                <wp:lineTo x="21437" y="0"/>
                <wp:lineTo x="0" y="0"/>
              </wp:wrapPolygon>
            </wp:wrapTight>
            <wp:docPr id="2" name="图片 2" descr="中睿管理华康 竖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睿管理华康 竖式"/>
                    <pic:cNvPicPr>
                      <a:picLocks noChangeAspect="1"/>
                    </pic:cNvPicPr>
                  </pic:nvPicPr>
                  <pic:blipFill>
                    <a:blip r:embed="rId15"/>
                    <a:srcRect l="20816" t="15868" r="15747"/>
                    <a:stretch>
                      <a:fillRect/>
                    </a:stretch>
                  </pic:blipFill>
                  <pic:spPr>
                    <a:xfrm>
                      <a:off x="0" y="0"/>
                      <a:ext cx="1934845" cy="1814830"/>
                    </a:xfrm>
                    <a:prstGeom prst="rect">
                      <a:avLst/>
                    </a:prstGeom>
                    <a:noFill/>
                    <a:ln>
                      <a:noFill/>
                    </a:ln>
                  </pic:spPr>
                </pic:pic>
              </a:graphicData>
            </a:graphic>
          </wp:anchor>
        </w:drawing>
      </w:r>
    </w:p>
    <w:p w14:paraId="35012A3C">
      <w:pPr>
        <w:pStyle w:val="56"/>
        <w:ind w:left="0" w:leftChars="0" w:firstLine="324" w:firstLineChars="116"/>
        <w:rPr>
          <w:rFonts w:hint="eastAsia" w:ascii="仿宋" w:hAnsi="仿宋" w:eastAsia="仿宋" w:cs="仿宋"/>
          <w:color w:val="000000"/>
          <w:sz w:val="28"/>
        </w:rPr>
      </w:pPr>
    </w:p>
    <w:p w14:paraId="14949315">
      <w:pPr>
        <w:pStyle w:val="56"/>
        <w:ind w:left="0" w:leftChars="0" w:firstLine="324" w:firstLineChars="116"/>
        <w:rPr>
          <w:rFonts w:hint="eastAsia" w:ascii="仿宋" w:hAnsi="仿宋" w:eastAsia="仿宋" w:cs="仿宋"/>
          <w:color w:val="000000"/>
          <w:sz w:val="28"/>
        </w:rPr>
      </w:pPr>
    </w:p>
    <w:p w14:paraId="01A594C8">
      <w:pPr>
        <w:pStyle w:val="56"/>
        <w:ind w:left="0" w:leftChars="0" w:firstLine="324" w:firstLineChars="116"/>
        <w:rPr>
          <w:rFonts w:hint="eastAsia" w:ascii="仿宋" w:hAnsi="仿宋" w:eastAsia="仿宋" w:cs="仿宋"/>
          <w:color w:val="000000"/>
          <w:sz w:val="28"/>
        </w:rPr>
      </w:pPr>
    </w:p>
    <w:p w14:paraId="7865A823">
      <w:pPr>
        <w:pStyle w:val="56"/>
        <w:ind w:left="0" w:leftChars="0" w:firstLine="243" w:firstLineChars="116"/>
        <w:rPr>
          <w:rFonts w:hint="eastAsia" w:ascii="仿宋" w:hAnsi="仿宋" w:eastAsia="仿宋" w:cs="仿宋"/>
          <w:color w:val="000000"/>
        </w:rPr>
      </w:pPr>
    </w:p>
    <w:p w14:paraId="417B3414">
      <w:pPr>
        <w:pStyle w:val="56"/>
        <w:ind w:left="0" w:leftChars="0" w:firstLine="243" w:firstLineChars="116"/>
        <w:rPr>
          <w:rFonts w:hint="eastAsia" w:ascii="仿宋" w:hAnsi="仿宋" w:eastAsia="仿宋" w:cs="仿宋"/>
          <w:color w:val="000000"/>
        </w:rPr>
      </w:pPr>
    </w:p>
    <w:p w14:paraId="5465CA8B">
      <w:pPr>
        <w:pStyle w:val="56"/>
        <w:ind w:left="0" w:leftChars="0" w:firstLine="243" w:firstLineChars="116"/>
        <w:rPr>
          <w:rFonts w:hint="eastAsia" w:ascii="仿宋" w:hAnsi="仿宋" w:eastAsia="仿宋" w:cs="仿宋"/>
          <w:color w:val="000000"/>
        </w:rPr>
      </w:pPr>
    </w:p>
    <w:p w14:paraId="3EBC198B">
      <w:pPr>
        <w:widowControl/>
        <w:bidi w:val="0"/>
        <w:spacing w:line="480" w:lineRule="auto"/>
        <w:ind w:left="0" w:leftChars="0" w:firstLine="1263" w:firstLineChars="393"/>
        <w:jc w:val="both"/>
        <w:rPr>
          <w:rFonts w:hint="eastAsia" w:ascii="仿宋" w:hAnsi="仿宋" w:eastAsia="仿宋" w:cs="仿宋"/>
          <w:b/>
          <w:bCs/>
          <w:color w:val="000000"/>
          <w:kern w:val="0"/>
          <w:sz w:val="32"/>
          <w:szCs w:val="32"/>
        </w:rPr>
      </w:pPr>
    </w:p>
    <w:p w14:paraId="0684E8D2">
      <w:pPr>
        <w:pStyle w:val="52"/>
        <w:rPr>
          <w:rFonts w:hint="eastAsia" w:ascii="仿宋" w:hAnsi="仿宋" w:eastAsia="仿宋" w:cs="仿宋"/>
          <w:b/>
          <w:bCs/>
          <w:color w:val="000000"/>
          <w:kern w:val="0"/>
          <w:sz w:val="32"/>
          <w:szCs w:val="32"/>
        </w:rPr>
      </w:pPr>
    </w:p>
    <w:p w14:paraId="3DB9888A">
      <w:pPr>
        <w:pStyle w:val="52"/>
        <w:rPr>
          <w:rFonts w:hint="eastAsia" w:ascii="仿宋" w:hAnsi="仿宋" w:eastAsia="仿宋" w:cs="仿宋"/>
          <w:b/>
          <w:bCs/>
          <w:color w:val="000000"/>
          <w:kern w:val="0"/>
          <w:sz w:val="32"/>
          <w:szCs w:val="32"/>
        </w:rPr>
      </w:pPr>
    </w:p>
    <w:p w14:paraId="14D40BE2">
      <w:pPr>
        <w:pStyle w:val="81"/>
        <w:rPr>
          <w:rFonts w:hint="eastAsia"/>
        </w:rPr>
      </w:pPr>
    </w:p>
    <w:p w14:paraId="480169C2">
      <w:pPr>
        <w:widowControl/>
        <w:bidi w:val="0"/>
        <w:spacing w:line="480" w:lineRule="auto"/>
        <w:ind w:left="0" w:leftChars="0" w:firstLine="1263" w:firstLineChars="393"/>
        <w:jc w:val="both"/>
        <w:rPr>
          <w:rFonts w:hint="default" w:ascii="仿宋" w:hAnsi="仿宋" w:eastAsia="仿宋" w:cs="仿宋"/>
          <w:b/>
          <w:bCs/>
          <w:color w:val="000000"/>
          <w:kern w:val="0"/>
          <w:sz w:val="32"/>
          <w:szCs w:val="32"/>
          <w:lang w:val="en-US"/>
        </w:rPr>
      </w:pPr>
      <w:r>
        <w:rPr>
          <w:rFonts w:hint="eastAsia" w:ascii="仿宋" w:hAnsi="仿宋" w:eastAsia="仿宋" w:cs="仿宋"/>
          <w:b/>
          <w:bCs/>
          <w:color w:val="000000"/>
          <w:kern w:val="0"/>
          <w:sz w:val="32"/>
          <w:szCs w:val="32"/>
        </w:rPr>
        <w:t>采</w:t>
      </w:r>
      <w:r>
        <w:rPr>
          <w:rFonts w:hint="eastAsia" w:ascii="仿宋" w:hAnsi="仿宋" w:eastAsia="仿宋" w:cs="仿宋"/>
          <w:b/>
          <w:bCs/>
          <w:color w:val="000000"/>
          <w:kern w:val="0"/>
          <w:sz w:val="32"/>
          <w:szCs w:val="32"/>
          <w:lang w:val="en-US" w:eastAsia="zh-CN"/>
        </w:rPr>
        <w:t xml:space="preserve">  </w:t>
      </w:r>
      <w:r>
        <w:rPr>
          <w:rFonts w:hint="eastAsia" w:ascii="仿宋" w:hAnsi="仿宋" w:eastAsia="仿宋" w:cs="仿宋"/>
          <w:b/>
          <w:bCs/>
          <w:color w:val="000000"/>
          <w:kern w:val="0"/>
          <w:sz w:val="32"/>
          <w:szCs w:val="32"/>
        </w:rPr>
        <w:t xml:space="preserve"> 购 </w:t>
      </w:r>
      <w:r>
        <w:rPr>
          <w:rFonts w:hint="eastAsia" w:ascii="仿宋" w:hAnsi="仿宋" w:eastAsia="仿宋" w:cs="仿宋"/>
          <w:b/>
          <w:bCs/>
          <w:color w:val="000000"/>
          <w:kern w:val="0"/>
          <w:sz w:val="32"/>
          <w:szCs w:val="32"/>
          <w:lang w:val="en-US" w:eastAsia="zh-CN"/>
        </w:rPr>
        <w:t xml:space="preserve"> </w:t>
      </w:r>
      <w:r>
        <w:rPr>
          <w:rFonts w:hint="eastAsia" w:ascii="仿宋" w:hAnsi="仿宋" w:eastAsia="仿宋" w:cs="仿宋"/>
          <w:b/>
          <w:bCs/>
          <w:color w:val="000000"/>
          <w:kern w:val="0"/>
          <w:sz w:val="32"/>
          <w:szCs w:val="32"/>
        </w:rPr>
        <w:t>人：</w:t>
      </w:r>
      <w:r>
        <w:rPr>
          <w:rFonts w:hint="eastAsia" w:ascii="仿宋" w:hAnsi="仿宋" w:eastAsia="仿宋" w:cs="仿宋"/>
          <w:b/>
          <w:bCs/>
          <w:color w:val="000000"/>
          <w:kern w:val="0"/>
          <w:sz w:val="32"/>
          <w:szCs w:val="32"/>
          <w:lang w:val="en-US" w:eastAsia="zh-CN"/>
        </w:rPr>
        <w:t>罗山县铁铺镇人民政府</w:t>
      </w:r>
    </w:p>
    <w:p w14:paraId="56F7B715">
      <w:pPr>
        <w:widowControl/>
        <w:bidi w:val="0"/>
        <w:spacing w:line="480" w:lineRule="auto"/>
        <w:ind w:left="0" w:leftChars="0" w:firstLine="1263" w:firstLineChars="393"/>
        <w:jc w:val="both"/>
        <w:rPr>
          <w:rFonts w:hint="eastAsia" w:ascii="仿宋" w:hAnsi="仿宋" w:eastAsia="仿宋" w:cs="仿宋"/>
          <w:b/>
          <w:bCs/>
          <w:color w:val="000000"/>
          <w:kern w:val="0"/>
          <w:sz w:val="32"/>
          <w:szCs w:val="32"/>
          <w:lang w:eastAsia="zh-CN"/>
        </w:rPr>
      </w:pPr>
      <w:r>
        <w:rPr>
          <w:rFonts w:hint="eastAsia" w:ascii="仿宋" w:hAnsi="仿宋" w:eastAsia="仿宋" w:cs="仿宋"/>
          <w:b/>
          <w:bCs/>
          <w:color w:val="000000"/>
          <w:kern w:val="0"/>
          <w:sz w:val="32"/>
          <w:szCs w:val="32"/>
        </w:rPr>
        <w:t>采购代理机构：</w:t>
      </w:r>
      <w:r>
        <w:rPr>
          <w:rFonts w:hint="eastAsia" w:ascii="仿宋" w:hAnsi="仿宋" w:eastAsia="仿宋" w:cs="仿宋"/>
          <w:b/>
          <w:bCs/>
          <w:color w:val="000000"/>
          <w:kern w:val="0"/>
          <w:sz w:val="32"/>
          <w:szCs w:val="32"/>
          <w:lang w:eastAsia="zh-CN"/>
        </w:rPr>
        <w:t>中睿项目管理有限公司</w:t>
      </w:r>
    </w:p>
    <w:p w14:paraId="6CD0D045">
      <w:pPr>
        <w:widowControl/>
        <w:bidi w:val="0"/>
        <w:spacing w:line="480" w:lineRule="auto"/>
        <w:ind w:left="0" w:leftChars="0" w:firstLine="1263" w:firstLineChars="393"/>
        <w:jc w:val="both"/>
        <w:rPr>
          <w:rFonts w:ascii="宋体" w:hAnsi="宋体" w:cs="宋体"/>
          <w:b/>
          <w:sz w:val="32"/>
        </w:rPr>
        <w:sectPr>
          <w:headerReference r:id="rId5" w:type="default"/>
          <w:footerReference r:id="rId6" w:type="default"/>
          <w:pgSz w:w="11905" w:h="16838"/>
          <w:pgMar w:top="1440" w:right="1803" w:bottom="1440" w:left="1803" w:header="850" w:footer="850" w:gutter="0"/>
          <w:pgNumType w:fmt="decimal" w:start="1"/>
          <w:cols w:space="720" w:num="1"/>
          <w:docGrid w:type="lines" w:linePitch="349" w:charSpace="0"/>
        </w:sectPr>
      </w:pPr>
      <w:r>
        <w:rPr>
          <w:rFonts w:hint="eastAsia" w:ascii="仿宋" w:hAnsi="仿宋" w:eastAsia="仿宋" w:cs="仿宋"/>
          <w:b/>
          <w:bCs/>
          <w:color w:val="000000"/>
          <w:kern w:val="0"/>
          <w:sz w:val="32"/>
          <w:szCs w:val="32"/>
          <w:lang w:eastAsia="zh-CN"/>
        </w:rPr>
        <w:t>日</w:t>
      </w:r>
      <w:r>
        <w:rPr>
          <w:rFonts w:hint="eastAsia" w:ascii="仿宋" w:hAnsi="仿宋" w:eastAsia="仿宋" w:cs="仿宋"/>
          <w:b/>
          <w:bCs/>
          <w:color w:val="000000"/>
          <w:kern w:val="0"/>
          <w:sz w:val="32"/>
          <w:szCs w:val="32"/>
          <w:lang w:val="en-US" w:eastAsia="zh-CN"/>
        </w:rPr>
        <w:t xml:space="preserve">       </w:t>
      </w:r>
      <w:r>
        <w:rPr>
          <w:rFonts w:hint="eastAsia" w:ascii="仿宋" w:hAnsi="仿宋" w:eastAsia="仿宋" w:cs="仿宋"/>
          <w:b/>
          <w:bCs/>
          <w:color w:val="000000"/>
          <w:kern w:val="0"/>
          <w:sz w:val="32"/>
          <w:szCs w:val="32"/>
          <w:lang w:eastAsia="zh-CN"/>
        </w:rPr>
        <w:t>期：</w:t>
      </w:r>
      <w:r>
        <w:rPr>
          <w:rFonts w:hint="eastAsia" w:ascii="仿宋" w:hAnsi="仿宋" w:eastAsia="仿宋" w:cs="仿宋"/>
          <w:b/>
          <w:bCs/>
          <w:color w:val="000000"/>
          <w:kern w:val="0"/>
          <w:sz w:val="32"/>
          <w:szCs w:val="32"/>
          <w:lang w:val="en-US" w:eastAsia="zh-CN"/>
        </w:rPr>
        <w:t>二〇二六</w:t>
      </w:r>
      <w:r>
        <w:rPr>
          <w:rFonts w:hint="eastAsia" w:ascii="仿宋" w:hAnsi="仿宋" w:eastAsia="仿宋" w:cs="仿宋"/>
          <w:b/>
          <w:bCs/>
          <w:color w:val="000000"/>
          <w:kern w:val="0"/>
          <w:sz w:val="32"/>
          <w:szCs w:val="32"/>
          <w:lang w:eastAsia="zh-CN"/>
        </w:rPr>
        <w:t>年</w:t>
      </w:r>
      <w:r>
        <w:rPr>
          <w:rFonts w:hint="eastAsia" w:ascii="仿宋" w:hAnsi="仿宋" w:eastAsia="仿宋" w:cs="仿宋"/>
          <w:b/>
          <w:bCs/>
          <w:color w:val="000000"/>
          <w:kern w:val="0"/>
          <w:sz w:val="32"/>
          <w:szCs w:val="32"/>
          <w:lang w:val="en-US" w:eastAsia="zh-CN"/>
        </w:rPr>
        <w:t>七</w:t>
      </w:r>
      <w:r>
        <w:rPr>
          <w:rFonts w:hint="eastAsia" w:ascii="仿宋" w:hAnsi="仿宋" w:eastAsia="仿宋" w:cs="仿宋"/>
          <w:b/>
          <w:bCs/>
          <w:color w:val="000000"/>
          <w:kern w:val="0"/>
          <w:sz w:val="32"/>
          <w:szCs w:val="32"/>
          <w:lang w:eastAsia="zh-CN"/>
        </w:rPr>
        <w:t>月</w:t>
      </w:r>
    </w:p>
    <w:p w14:paraId="319584D2">
      <w:pPr>
        <w:pStyle w:val="12"/>
        <w:ind w:firstLine="0" w:firstLineChars="0"/>
        <w:jc w:val="center"/>
        <w:rPr>
          <w:rFonts w:ascii="宋体" w:hAnsi="宋体" w:cs="宋体"/>
          <w:b/>
          <w:sz w:val="32"/>
        </w:rPr>
      </w:pPr>
      <w:r>
        <w:rPr>
          <w:rFonts w:hint="eastAsia" w:ascii="宋体" w:hAnsi="宋体" w:cs="宋体"/>
          <w:b/>
          <w:sz w:val="32"/>
        </w:rPr>
        <w:t>目     录</w:t>
      </w:r>
      <w:bookmarkEnd w:id="0"/>
      <w:bookmarkEnd w:id="1"/>
      <w:bookmarkStart w:id="2" w:name="_Toc490667779"/>
      <w:bookmarkStart w:id="3" w:name="_Toc152045511"/>
      <w:bookmarkStart w:id="4" w:name="_Toc152042287"/>
      <w:bookmarkStart w:id="5" w:name="_Toc144974479"/>
    </w:p>
    <w:p w14:paraId="452437BF">
      <w:pPr>
        <w:pStyle w:val="22"/>
        <w:tabs>
          <w:tab w:val="right" w:leader="dot" w:pos="8299"/>
        </w:tabs>
        <w:spacing w:line="440" w:lineRule="exact"/>
        <w:ind w:firstLine="0" w:firstLineChars="0"/>
        <w:rPr>
          <w:rFonts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fldChar w:fldCharType="begin"/>
      </w:r>
      <w:r>
        <w:instrText xml:space="preserve"> HYPERLINK \l "_Toc32308" </w:instrText>
      </w:r>
      <w:r>
        <w:fldChar w:fldCharType="separate"/>
      </w:r>
      <w:r>
        <w:rPr>
          <w:rFonts w:hint="eastAsia" w:ascii="宋体" w:hAnsi="宋体" w:eastAsia="宋体" w:cs="宋体"/>
          <w:bCs/>
          <w:sz w:val="24"/>
          <w:szCs w:val="24"/>
        </w:rPr>
        <w:t>第一章 竞争性磋商公告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_Toc32308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7829339">
      <w:pPr>
        <w:pStyle w:val="22"/>
        <w:tabs>
          <w:tab w:val="right" w:leader="dot" w:pos="8299"/>
        </w:tabs>
        <w:spacing w:line="440" w:lineRule="exact"/>
        <w:ind w:firstLine="0" w:firstLineChars="0"/>
        <w:rPr>
          <w:rFonts w:ascii="宋体" w:hAnsi="宋体" w:eastAsia="宋体" w:cs="宋体"/>
          <w:sz w:val="24"/>
          <w:szCs w:val="24"/>
        </w:rPr>
      </w:pPr>
      <w:r>
        <w:fldChar w:fldCharType="begin"/>
      </w:r>
      <w:r>
        <w:instrText xml:space="preserve"> HYPERLINK \l "_Toc14928" </w:instrText>
      </w:r>
      <w:r>
        <w:fldChar w:fldCharType="separate"/>
      </w:r>
      <w:r>
        <w:rPr>
          <w:rFonts w:hint="eastAsia" w:ascii="宋体" w:hAnsi="宋体" w:eastAsia="宋体" w:cs="宋体"/>
          <w:bCs/>
          <w:sz w:val="24"/>
          <w:szCs w:val="24"/>
        </w:rPr>
        <w:t>第二章 供应商须知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_Toc14928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21DB3DB">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"_Toc22294" </w:instrText>
      </w:r>
      <w:r>
        <w:fldChar w:fldCharType="separate"/>
      </w:r>
      <w:r>
        <w:rPr>
          <w:rFonts w:hint="eastAsia" w:ascii="宋体" w:hAnsi="宋体" w:eastAsia="宋体" w:cs="宋体"/>
          <w:bCs/>
          <w:sz w:val="24"/>
          <w:szCs w:val="24"/>
        </w:rPr>
        <w:t>供应商须知前附表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_Toc22294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99E9A9F">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"_Toc24740" </w:instrText>
      </w:r>
      <w:r>
        <w:fldChar w:fldCharType="separate"/>
      </w:r>
      <w:r>
        <w:rPr>
          <w:rFonts w:hint="eastAsia" w:ascii="宋体" w:hAnsi="宋体" w:eastAsia="宋体" w:cs="宋体"/>
          <w:bCs/>
          <w:sz w:val="24"/>
          <w:szCs w:val="24"/>
        </w:rPr>
        <w:t>1. 总则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_Toc24740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8C62B41">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"_Toc15552" </w:instrText>
      </w:r>
      <w:r>
        <w:fldChar w:fldCharType="separate"/>
      </w:r>
      <w:r>
        <w:rPr>
          <w:rFonts w:hint="eastAsia" w:ascii="宋体" w:hAnsi="宋体" w:eastAsia="宋体" w:cs="宋体"/>
          <w:bCs/>
          <w:sz w:val="24"/>
          <w:szCs w:val="24"/>
        </w:rPr>
        <w:t>2.竞争性磋商文件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_Toc15552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9D99A94">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"_Toc22547" </w:instrText>
      </w:r>
      <w:r>
        <w:fldChar w:fldCharType="separate"/>
      </w:r>
      <w:r>
        <w:rPr>
          <w:rFonts w:hint="eastAsia" w:ascii="宋体" w:hAnsi="宋体" w:eastAsia="宋体" w:cs="宋体"/>
          <w:bCs/>
          <w:sz w:val="24"/>
          <w:szCs w:val="24"/>
        </w:rPr>
        <w:t>3. 响应文件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_Toc22547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8D867EF">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"_Toc18951" </w:instrText>
      </w:r>
      <w:r>
        <w:fldChar w:fldCharType="separate"/>
      </w:r>
      <w:r>
        <w:rPr>
          <w:rFonts w:hint="eastAsia" w:ascii="宋体" w:hAnsi="宋体" w:eastAsia="宋体" w:cs="宋体"/>
          <w:bCs/>
          <w:sz w:val="24"/>
          <w:szCs w:val="24"/>
        </w:rPr>
        <w:t>4. 磋商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_Toc18951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25342DD">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"_Toc7480" </w:instrText>
      </w:r>
      <w:r>
        <w:fldChar w:fldCharType="separate"/>
      </w:r>
      <w:r>
        <w:rPr>
          <w:rFonts w:hint="eastAsia" w:ascii="宋体" w:hAnsi="宋体" w:eastAsia="宋体" w:cs="宋体"/>
          <w:bCs/>
          <w:sz w:val="24"/>
          <w:szCs w:val="24"/>
        </w:rPr>
        <w:t>5.磋商开始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_Toc7480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F5E9CC4">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"_Toc24508" </w:instrText>
      </w:r>
      <w:r>
        <w:fldChar w:fldCharType="separate"/>
      </w:r>
      <w:r>
        <w:rPr>
          <w:rFonts w:hint="eastAsia" w:ascii="宋体" w:hAnsi="宋体" w:eastAsia="宋体" w:cs="宋体"/>
          <w:bCs/>
          <w:sz w:val="24"/>
          <w:szCs w:val="24"/>
        </w:rPr>
        <w:t>6. 磋商小组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_Toc24508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ECEB8C0">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"_Toc3578" </w:instrText>
      </w:r>
      <w:r>
        <w:fldChar w:fldCharType="separate"/>
      </w:r>
      <w:r>
        <w:rPr>
          <w:rFonts w:hint="eastAsia" w:ascii="宋体" w:hAnsi="宋体" w:eastAsia="宋体" w:cs="宋体"/>
          <w:bCs/>
          <w:sz w:val="24"/>
          <w:szCs w:val="24"/>
        </w:rPr>
        <w:t>7. 合同授予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_Toc3578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8D1B213">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"_Toc18918" </w:instrText>
      </w:r>
      <w:r>
        <w:fldChar w:fldCharType="separate"/>
      </w:r>
      <w:r>
        <w:rPr>
          <w:rFonts w:hint="eastAsia" w:ascii="宋体" w:hAnsi="宋体" w:eastAsia="宋体" w:cs="宋体"/>
          <w:bCs/>
          <w:sz w:val="24"/>
          <w:szCs w:val="24"/>
        </w:rPr>
        <w:t>8.重新招标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_Toc18918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986EA9C">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"_Toc2509" </w:instrText>
      </w:r>
      <w:r>
        <w:fldChar w:fldCharType="separate"/>
      </w:r>
      <w:r>
        <w:rPr>
          <w:rFonts w:hint="eastAsia" w:ascii="宋体" w:hAnsi="宋体" w:eastAsia="宋体" w:cs="宋体"/>
          <w:bCs/>
          <w:sz w:val="24"/>
          <w:szCs w:val="24"/>
        </w:rPr>
        <w:t>9.纪律和监督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_Toc2509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E4B1187">
      <w:pPr>
        <w:pStyle w:val="24"/>
        <w:tabs>
          <w:tab w:val="right" w:leader="dot" w:pos="8299"/>
        </w:tabs>
        <w:spacing w:line="440" w:lineRule="exact"/>
        <w:ind w:left="0" w:firstLine="440"/>
        <w:rPr>
          <w:rFonts w:ascii="宋体" w:hAnsi="宋体" w:eastAsia="宋体" w:cs="宋体"/>
          <w:sz w:val="24"/>
          <w:szCs w:val="24"/>
        </w:rPr>
      </w:pPr>
      <w:r>
        <w:fldChar w:fldCharType="begin"/>
      </w:r>
      <w:r>
        <w:instrText xml:space="preserve"> HYPERLINK \l "_Toc26468" </w:instrText>
      </w:r>
      <w:r>
        <w:fldChar w:fldCharType="separate"/>
      </w:r>
      <w:r>
        <w:rPr>
          <w:rFonts w:hint="eastAsia" w:ascii="宋体" w:hAnsi="宋体" w:eastAsia="宋体" w:cs="宋体"/>
          <w:bCs/>
          <w:sz w:val="24"/>
          <w:szCs w:val="24"/>
        </w:rPr>
        <w:t>10. 需要补充的其他内容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_Toc26468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DB29567">
      <w:pPr>
        <w:pStyle w:val="22"/>
        <w:tabs>
          <w:tab w:val="right" w:leader="dot" w:pos="8299"/>
        </w:tabs>
        <w:spacing w:line="440" w:lineRule="exact"/>
        <w:ind w:firstLine="0" w:firstLineChars="0"/>
        <w:rPr>
          <w:rFonts w:ascii="宋体" w:hAnsi="宋体" w:eastAsia="宋体" w:cs="宋体"/>
          <w:sz w:val="24"/>
          <w:szCs w:val="24"/>
        </w:rPr>
      </w:pPr>
      <w:r>
        <w:fldChar w:fldCharType="begin"/>
      </w:r>
      <w:r>
        <w:instrText xml:space="preserve"> HYPERLINK \l "_Toc22014" </w:instrText>
      </w:r>
      <w:r>
        <w:fldChar w:fldCharType="separate"/>
      </w:r>
      <w:r>
        <w:rPr>
          <w:rFonts w:hint="eastAsia" w:ascii="宋体" w:hAnsi="宋体" w:eastAsia="宋体" w:cs="宋体"/>
          <w:kern w:val="44"/>
          <w:sz w:val="24"/>
          <w:szCs w:val="24"/>
        </w:rPr>
        <w:t>第三章  评审办法（综合评分法）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_Toc22014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552263F">
      <w:pPr>
        <w:pStyle w:val="22"/>
        <w:tabs>
          <w:tab w:val="right" w:leader="dot" w:pos="8299"/>
        </w:tabs>
        <w:spacing w:line="440" w:lineRule="exact"/>
        <w:ind w:firstLine="0" w:firstLineChars="0"/>
        <w:rPr>
          <w:rFonts w:ascii="宋体" w:hAnsi="宋体" w:eastAsia="宋体" w:cs="宋体"/>
          <w:sz w:val="24"/>
          <w:szCs w:val="24"/>
        </w:rPr>
      </w:pPr>
      <w:r>
        <w:fldChar w:fldCharType="begin"/>
      </w:r>
      <w:r>
        <w:instrText xml:space="preserve"> HYPERLINK \l "_Toc21270" </w:instrText>
      </w:r>
      <w:r>
        <w:fldChar w:fldCharType="separate"/>
      </w:r>
      <w:r>
        <w:rPr>
          <w:rFonts w:hint="eastAsia" w:ascii="宋体" w:hAnsi="宋体" w:eastAsia="宋体" w:cs="宋体"/>
          <w:kern w:val="44"/>
          <w:sz w:val="24"/>
          <w:szCs w:val="24"/>
        </w:rPr>
        <w:t>第四章  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_Toc21270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CA13C4F">
      <w:pPr>
        <w:pStyle w:val="22"/>
        <w:tabs>
          <w:tab w:val="right" w:leader="dot" w:pos="8299"/>
        </w:tabs>
        <w:spacing w:line="440" w:lineRule="exact"/>
        <w:ind w:firstLine="0" w:firstLineChars="0"/>
        <w:rPr>
          <w:rFonts w:hint="eastAsia" w:ascii="宋体" w:hAnsi="宋体" w:eastAsia="宋体" w:cs="宋体"/>
          <w:sz w:val="24"/>
          <w:szCs w:val="24"/>
          <w:lang w:val="en-US" w:eastAsia="zh-CN"/>
        </w:rPr>
      </w:pPr>
      <w:r>
        <w:fldChar w:fldCharType="begin"/>
      </w:r>
      <w:r>
        <w:instrText xml:space="preserve"> HYPERLINK \l "_Toc4703" </w:instrText>
      </w:r>
      <w:r>
        <w:fldChar w:fldCharType="separate"/>
      </w:r>
      <w:r>
        <w:rPr>
          <w:rFonts w:hint="eastAsia" w:ascii="宋体" w:hAnsi="宋体" w:eastAsia="宋体" w:cs="宋体"/>
          <w:sz w:val="24"/>
          <w:szCs w:val="24"/>
        </w:rPr>
        <w:t xml:space="preserve">第五章 </w:t>
      </w:r>
      <w:r>
        <w:rPr>
          <w:rFonts w:hint="eastAsia" w:ascii="宋体" w:hAnsi="宋体" w:eastAsia="宋体" w:cs="宋体"/>
          <w:sz w:val="24"/>
          <w:szCs w:val="24"/>
          <w:lang w:val="en-US" w:eastAsia="zh-CN"/>
        </w:rPr>
        <w:t>工程量清单</w:t>
      </w:r>
      <w:r>
        <w:rPr>
          <w:rFonts w:hint="eastAsia" w:ascii="宋体" w:hAnsi="宋体" w:eastAsia="宋体" w:cs="宋体"/>
          <w:sz w:val="24"/>
          <w:szCs w:val="24"/>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5</w:t>
      </w:r>
    </w:p>
    <w:p w14:paraId="029E94A1">
      <w:pPr>
        <w:pStyle w:val="22"/>
        <w:tabs>
          <w:tab w:val="right" w:leader="dot" w:pos="8299"/>
        </w:tabs>
        <w:spacing w:line="440" w:lineRule="exact"/>
        <w:ind w:firstLine="0" w:firstLineChars="0"/>
        <w:rPr>
          <w:rFonts w:hint="eastAsia" w:ascii="宋体" w:hAnsi="宋体" w:eastAsia="宋体" w:cs="宋体"/>
          <w:sz w:val="24"/>
          <w:szCs w:val="24"/>
          <w:lang w:val="en-US" w:eastAsia="zh-CN"/>
        </w:rPr>
      </w:pPr>
      <w:r>
        <w:fldChar w:fldCharType="begin"/>
      </w:r>
      <w:r>
        <w:instrText xml:space="preserve"> HYPERLINK \l "_Toc12248" </w:instrText>
      </w:r>
      <w:r>
        <w:fldChar w:fldCharType="separate"/>
      </w:r>
      <w:r>
        <w:rPr>
          <w:rFonts w:hint="eastAsia" w:ascii="宋体" w:hAnsi="宋体" w:eastAsia="宋体" w:cs="宋体"/>
          <w:sz w:val="24"/>
          <w:szCs w:val="24"/>
        </w:rPr>
        <w:t>第六章  竞争性磋商响应文件格式</w:t>
      </w:r>
      <w:r>
        <w:rPr>
          <w:rFonts w:hint="eastAsia" w:ascii="宋体" w:hAnsi="宋体" w:eastAsia="宋体" w:cs="宋体"/>
          <w:sz w:val="24"/>
          <w:szCs w:val="24"/>
        </w:rPr>
        <w:tab/>
      </w:r>
      <w:r>
        <w:rPr>
          <w:rFonts w:hint="eastAsia" w:ascii="宋体" w:hAnsi="宋体" w:eastAsia="宋体" w:cs="宋体"/>
          <w:sz w:val="24"/>
          <w:szCs w:val="24"/>
          <w:lang w:val="en-US" w:eastAsia="zh-CN"/>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t>6</w:t>
      </w:r>
    </w:p>
    <w:p w14:paraId="35EC829D">
      <w:pPr>
        <w:spacing w:line="440" w:lineRule="exact"/>
        <w:ind w:firstLine="0" w:firstLineChars="0"/>
        <w:rPr>
          <w:rFonts w:ascii="宋体" w:hAnsi="宋体" w:eastAsia="宋体" w:cs="宋体"/>
          <w:sz w:val="24"/>
          <w:szCs w:val="24"/>
        </w:rPr>
      </w:pPr>
      <w:r>
        <w:rPr>
          <w:rFonts w:hint="eastAsia" w:ascii="宋体" w:hAnsi="宋体" w:eastAsia="宋体" w:cs="宋体"/>
          <w:sz w:val="24"/>
          <w:szCs w:val="24"/>
        </w:rPr>
        <w:fldChar w:fldCharType="end"/>
      </w:r>
    </w:p>
    <w:p w14:paraId="6EEFE829">
      <w:pPr>
        <w:rPr>
          <w:rFonts w:hint="eastAsia" w:ascii="宋体" w:hAnsi="宋体" w:eastAsia="宋体" w:cs="宋体"/>
          <w:b/>
          <w:spacing w:val="14"/>
          <w:sz w:val="44"/>
          <w:szCs w:val="44"/>
        </w:rPr>
      </w:pPr>
      <w:r>
        <w:rPr>
          <w:rFonts w:hint="eastAsia" w:ascii="宋体" w:hAnsi="宋体" w:eastAsia="宋体" w:cs="宋体"/>
          <w:b/>
          <w:spacing w:val="14"/>
          <w:sz w:val="44"/>
          <w:szCs w:val="44"/>
        </w:rPr>
        <w:br w:type="page"/>
      </w:r>
    </w:p>
    <w:p w14:paraId="4B100D92">
      <w:pPr>
        <w:spacing w:line="240" w:lineRule="auto"/>
        <w:ind w:firstLine="0" w:firstLineChars="0"/>
        <w:jc w:val="center"/>
        <w:rPr>
          <w:rFonts w:ascii="宋体" w:hAnsi="宋体" w:eastAsia="宋体" w:cs="宋体"/>
          <w:b/>
          <w:spacing w:val="14"/>
          <w:sz w:val="44"/>
          <w:szCs w:val="44"/>
        </w:rPr>
      </w:pPr>
      <w:r>
        <w:rPr>
          <w:rFonts w:hint="eastAsia" w:ascii="宋体" w:hAnsi="宋体" w:eastAsia="宋体" w:cs="宋体"/>
          <w:b/>
          <w:spacing w:val="14"/>
          <w:sz w:val="44"/>
          <w:szCs w:val="44"/>
        </w:rPr>
        <w:t>电子招投标特别提示</w:t>
      </w:r>
    </w:p>
    <w:p w14:paraId="7CC441F2">
      <w:pPr>
        <w:spacing w:line="400" w:lineRule="exact"/>
        <w:ind w:firstLine="0" w:firstLineChars="0"/>
        <w:rPr>
          <w:rFonts w:ascii="宋体" w:hAnsi="宋体" w:cs="宋体"/>
          <w:b/>
          <w:bCs/>
          <w:sz w:val="24"/>
        </w:rPr>
      </w:pPr>
    </w:p>
    <w:p w14:paraId="71E991DE">
      <w:pPr>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一、投标人（供应商）注册</w:t>
      </w:r>
    </w:p>
    <w:p w14:paraId="1FA9546F">
      <w:pPr>
        <w:spacing w:line="360" w:lineRule="exact"/>
        <w:ind w:firstLine="420" w:firstLineChars="200"/>
        <w:rPr>
          <w:rFonts w:ascii="宋体" w:hAnsi="宋体" w:eastAsia="宋体" w:cs="宋体"/>
          <w:szCs w:val="21"/>
        </w:rPr>
      </w:pPr>
      <w:r>
        <w:rPr>
          <w:rFonts w:hint="eastAsia" w:ascii="宋体" w:hAnsi="宋体" w:eastAsia="宋体" w:cs="宋体"/>
          <w:szCs w:val="21"/>
        </w:rPr>
        <w:t>凡有意参加本项目的投标人（供应商），请</w:t>
      </w:r>
      <w:r>
        <w:rPr>
          <w:rFonts w:hint="eastAsia" w:ascii="宋体" w:hAnsi="宋体" w:eastAsia="宋体" w:cs="宋体"/>
          <w:szCs w:val="21"/>
          <w:lang w:eastAsia="zh-CN"/>
        </w:rPr>
        <w:t>登录</w:t>
      </w:r>
      <w:r>
        <w:rPr>
          <w:rFonts w:hint="eastAsia" w:ascii="宋体" w:hAnsi="宋体" w:eastAsia="宋体" w:cs="宋体"/>
          <w:szCs w:val="21"/>
        </w:rPr>
        <w:t>“全国公共资源交易平台（河南省·信阳市）（https://ggzyjy.xinyang.gov.cn/）”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6ADC100D">
      <w:pPr>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二、办理CA数字证书</w:t>
      </w:r>
    </w:p>
    <w:p w14:paraId="74DEA160">
      <w:pPr>
        <w:spacing w:line="360" w:lineRule="exact"/>
        <w:ind w:firstLine="420" w:firstLineChars="200"/>
        <w:rPr>
          <w:rFonts w:ascii="宋体" w:hAnsi="宋体" w:eastAsia="宋体" w:cs="宋体"/>
          <w:szCs w:val="21"/>
        </w:rPr>
      </w:pPr>
      <w:r>
        <w:rPr>
          <w:rFonts w:hint="eastAsia" w:ascii="宋体" w:hAnsi="宋体" w:eastAsia="宋体" w:cs="宋体"/>
          <w:szCs w:val="21"/>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2411DEA1">
      <w:pPr>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三、招标（采购）文件获取方式</w:t>
      </w:r>
    </w:p>
    <w:p w14:paraId="563AE8DA">
      <w:pPr>
        <w:spacing w:line="360" w:lineRule="exact"/>
        <w:ind w:firstLine="420" w:firstLineChars="200"/>
        <w:rPr>
          <w:rFonts w:ascii="宋体" w:hAnsi="宋体" w:eastAsia="宋体" w:cs="宋体"/>
          <w:szCs w:val="21"/>
        </w:rPr>
      </w:pPr>
      <w:r>
        <w:rPr>
          <w:rFonts w:hint="eastAsia" w:ascii="宋体" w:hAnsi="宋体" w:eastAsia="宋体" w:cs="宋体"/>
          <w:szCs w:val="21"/>
        </w:rPr>
        <w:t>投标人（供应商）凭CA数字证书</w:t>
      </w:r>
      <w:r>
        <w:rPr>
          <w:rFonts w:hint="eastAsia" w:ascii="宋体" w:hAnsi="宋体" w:eastAsia="宋体" w:cs="宋体"/>
          <w:szCs w:val="21"/>
          <w:lang w:eastAsia="zh-CN"/>
        </w:rPr>
        <w:t>登录</w:t>
      </w:r>
      <w:r>
        <w:rPr>
          <w:rFonts w:hint="eastAsia" w:ascii="宋体" w:hAnsi="宋体" w:eastAsia="宋体" w:cs="宋体"/>
          <w:szCs w:val="21"/>
        </w:rPr>
        <w:t>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全国公共资源交易平台（河南省·信阳市）（https://ggzyjy.xinyang.gov.cn/）”网站下载中心栏目内下载或在招标文件领取页面下载）。</w:t>
      </w:r>
    </w:p>
    <w:p w14:paraId="61A8F8AA">
      <w:pPr>
        <w:tabs>
          <w:tab w:val="left" w:pos="0"/>
        </w:tabs>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四、投标（响应）文件制作</w:t>
      </w:r>
    </w:p>
    <w:p w14:paraId="095E1CE2">
      <w:pPr>
        <w:tabs>
          <w:tab w:val="left" w:pos="0"/>
        </w:tabs>
        <w:spacing w:line="360" w:lineRule="exact"/>
        <w:ind w:firstLine="420" w:firstLineChars="200"/>
        <w:rPr>
          <w:rFonts w:ascii="宋体" w:hAnsi="宋体" w:eastAsia="宋体" w:cs="宋体"/>
          <w:szCs w:val="21"/>
        </w:rPr>
      </w:pPr>
      <w:r>
        <w:rPr>
          <w:rFonts w:hint="eastAsia" w:ascii="宋体" w:hAnsi="宋体" w:eastAsia="宋体" w:cs="宋体"/>
          <w:szCs w:val="21"/>
        </w:rPr>
        <w:t>投标（响应）文件应使用信阳市公共资源交易系统投标文件制作专用工具软件编制，投标（响应）文件格式为“*.XYTF”。</w:t>
      </w:r>
    </w:p>
    <w:p w14:paraId="252A4FDC">
      <w:pPr>
        <w:tabs>
          <w:tab w:val="left" w:pos="0"/>
        </w:tabs>
        <w:spacing w:line="360" w:lineRule="exact"/>
        <w:ind w:firstLine="0" w:firstLineChars="0"/>
        <w:rPr>
          <w:rFonts w:ascii="宋体" w:hAnsi="宋体" w:eastAsia="宋体" w:cs="宋体"/>
          <w:szCs w:val="21"/>
          <w:u w:val="single"/>
        </w:rPr>
      </w:pPr>
      <w:r>
        <w:rPr>
          <w:rFonts w:hint="eastAsia" w:ascii="宋体" w:hAnsi="宋体" w:eastAsia="宋体" w:cs="宋体"/>
          <w:szCs w:val="21"/>
        </w:rPr>
        <w:t>招标文件费用网上支付，支付成功后，方可上传电子投标（响应）文件。</w:t>
      </w:r>
      <w:r>
        <w:rPr>
          <w:rFonts w:hint="eastAsia" w:ascii="宋体" w:hAnsi="宋体" w:eastAsia="宋体" w:cs="宋体"/>
          <w:szCs w:val="21"/>
          <w:u w:val="single"/>
        </w:rPr>
        <w:t>（政府采购类项目不收取招标文件费用）</w:t>
      </w:r>
    </w:p>
    <w:p w14:paraId="59A4D96A">
      <w:pPr>
        <w:tabs>
          <w:tab w:val="left" w:pos="0"/>
        </w:tabs>
        <w:spacing w:line="360" w:lineRule="exact"/>
        <w:ind w:firstLine="420" w:firstLineChars="200"/>
        <w:rPr>
          <w:rFonts w:ascii="宋体" w:hAnsi="宋体" w:eastAsia="宋体" w:cs="宋体"/>
          <w:szCs w:val="21"/>
        </w:rPr>
      </w:pPr>
      <w:r>
        <w:rPr>
          <w:rFonts w:hint="eastAsia" w:ascii="宋体" w:hAnsi="宋体" w:eastAsia="宋体" w:cs="宋体"/>
          <w:szCs w:val="21"/>
        </w:rPr>
        <w:t>投标人（供应商）须在投标（响应）文件递交截止时间前制作并提交。</w:t>
      </w:r>
    </w:p>
    <w:p w14:paraId="6E2FE2F7">
      <w:pPr>
        <w:pStyle w:val="14"/>
        <w:spacing w:line="360" w:lineRule="exact"/>
        <w:ind w:firstLine="0" w:firstLineChars="0"/>
        <w:rPr>
          <w:rFonts w:ascii="宋体" w:hAnsi="宋体" w:eastAsia="宋体" w:cs="宋体"/>
          <w:b/>
          <w:bCs/>
          <w:szCs w:val="21"/>
        </w:rPr>
      </w:pPr>
      <w:r>
        <w:rPr>
          <w:rFonts w:hint="eastAsia" w:ascii="宋体" w:hAnsi="宋体" w:eastAsia="宋体" w:cs="宋体"/>
          <w:b/>
          <w:bCs/>
          <w:szCs w:val="21"/>
          <w:u w:val="double"/>
        </w:rPr>
        <w:t>五、投标（响应）文件的签字和盖章要求</w:t>
      </w:r>
    </w:p>
    <w:p w14:paraId="3889D752">
      <w:pPr>
        <w:adjustRightInd w:val="0"/>
        <w:snapToGrid w:val="0"/>
        <w:spacing w:line="360" w:lineRule="exact"/>
        <w:ind w:firstLine="420" w:firstLineChars="200"/>
        <w:jc w:val="left"/>
        <w:rPr>
          <w:rFonts w:ascii="宋体" w:hAnsi="宋体" w:eastAsia="宋体" w:cs="宋体"/>
          <w:szCs w:val="21"/>
        </w:rPr>
      </w:pPr>
      <w:r>
        <w:rPr>
          <w:rFonts w:hint="eastAsia" w:ascii="宋体" w:hAnsi="宋体" w:eastAsia="宋体" w:cs="宋体"/>
          <w:szCs w:val="21"/>
        </w:rPr>
        <w:t>1、投标文件（响应）格式中所有要求投标人（供应商）加盖公章的地方都须加盖投标人（供应商）的 CA 印章。</w:t>
      </w:r>
    </w:p>
    <w:p w14:paraId="707B714F">
      <w:pPr>
        <w:adjustRightInd w:val="0"/>
        <w:snapToGrid w:val="0"/>
        <w:spacing w:line="360" w:lineRule="exact"/>
        <w:ind w:left="-126" w:leftChars="-60" w:firstLine="630" w:firstLineChars="300"/>
        <w:jc w:val="left"/>
        <w:rPr>
          <w:rFonts w:ascii="宋体" w:hAnsi="宋体" w:eastAsia="宋体" w:cs="宋体"/>
          <w:b/>
          <w:bCs/>
          <w:szCs w:val="21"/>
        </w:rPr>
      </w:pPr>
      <w:r>
        <w:rPr>
          <w:rFonts w:hint="eastAsia" w:ascii="宋体" w:hAnsi="宋体" w:eastAsia="宋体" w:cs="宋体"/>
          <w:szCs w:val="21"/>
        </w:rPr>
        <w:t>2、投标文件（响应）格式中所有要求法定代表人或其委托代理人签字或盖章的地方</w:t>
      </w:r>
      <w:r>
        <w:rPr>
          <w:rFonts w:hint="eastAsia" w:ascii="宋体" w:hAnsi="宋体" w:eastAsia="宋体" w:cs="宋体"/>
          <w:b/>
          <w:bCs/>
          <w:szCs w:val="21"/>
        </w:rPr>
        <w:t>（不含授权委托书委托人签字）</w:t>
      </w:r>
      <w:r>
        <w:rPr>
          <w:rFonts w:hint="eastAsia" w:ascii="宋体" w:hAnsi="宋体" w:eastAsia="宋体" w:cs="宋体"/>
          <w:szCs w:val="21"/>
        </w:rPr>
        <w:t>都须加盖法定代表人</w:t>
      </w:r>
      <w:r>
        <w:rPr>
          <w:rFonts w:hint="eastAsia" w:ascii="宋体" w:hAnsi="宋体" w:eastAsia="宋体" w:cs="宋体"/>
          <w:b/>
          <w:bCs/>
          <w:szCs w:val="21"/>
        </w:rPr>
        <w:t>CA 印章。</w:t>
      </w:r>
    </w:p>
    <w:p w14:paraId="4F685FAD">
      <w:pPr>
        <w:pStyle w:val="14"/>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六、投标文件份数</w:t>
      </w:r>
    </w:p>
    <w:p w14:paraId="37B402BB">
      <w:pPr>
        <w:adjustRightInd w:val="0"/>
        <w:snapToGrid w:val="0"/>
        <w:spacing w:line="360" w:lineRule="exact"/>
        <w:ind w:firstLine="420" w:firstLineChars="200"/>
        <w:jc w:val="left"/>
        <w:rPr>
          <w:rFonts w:ascii="宋体" w:hAnsi="宋体" w:eastAsia="宋体" w:cs="宋体"/>
          <w:szCs w:val="21"/>
        </w:rPr>
      </w:pPr>
      <w:r>
        <w:rPr>
          <w:rFonts w:hint="eastAsia" w:ascii="宋体" w:hAnsi="宋体" w:eastAsia="宋体" w:cs="宋体"/>
          <w:szCs w:val="21"/>
        </w:rPr>
        <w:t>加密的电子投标（响应）文件壹份（*.XYTF 格式，在会员系统指定位置上传）。</w:t>
      </w:r>
    </w:p>
    <w:p w14:paraId="0FD193D8">
      <w:pPr>
        <w:pStyle w:val="14"/>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七、投标（响应）文件的递交</w:t>
      </w:r>
    </w:p>
    <w:p w14:paraId="48656C43">
      <w:pPr>
        <w:adjustRightInd w:val="0"/>
        <w:snapToGrid w:val="0"/>
        <w:spacing w:line="360" w:lineRule="exact"/>
        <w:ind w:firstLine="420" w:firstLineChars="200"/>
        <w:rPr>
          <w:rFonts w:ascii="宋体" w:hAnsi="宋体" w:eastAsia="宋体" w:cs="宋体"/>
          <w:szCs w:val="21"/>
        </w:rPr>
      </w:pPr>
      <w:r>
        <w:rPr>
          <w:rFonts w:hint="eastAsia" w:ascii="宋体" w:hAnsi="宋体" w:eastAsia="宋体" w:cs="宋体"/>
          <w:szCs w:val="21"/>
        </w:rPr>
        <w:t>1、电子投标（响应）文件的递交</w:t>
      </w:r>
    </w:p>
    <w:p w14:paraId="796B5EE3">
      <w:pPr>
        <w:spacing w:line="360" w:lineRule="exact"/>
        <w:ind w:firstLine="0" w:firstLineChars="0"/>
        <w:jc w:val="left"/>
        <w:rPr>
          <w:rFonts w:ascii="宋体" w:hAnsi="宋体" w:eastAsia="宋体" w:cs="宋体"/>
          <w:szCs w:val="21"/>
        </w:rPr>
      </w:pPr>
      <w:r>
        <w:rPr>
          <w:rFonts w:hint="eastAsia" w:ascii="宋体" w:hAnsi="宋体" w:eastAsia="宋体" w:cs="宋体"/>
          <w:szCs w:val="21"/>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29F9C5E0">
      <w:pPr>
        <w:spacing w:line="360" w:lineRule="exact"/>
        <w:ind w:firstLine="420" w:firstLineChars="200"/>
        <w:jc w:val="left"/>
        <w:rPr>
          <w:rFonts w:ascii="宋体" w:hAnsi="宋体" w:eastAsia="宋体" w:cs="宋体"/>
          <w:szCs w:val="21"/>
        </w:rPr>
      </w:pPr>
      <w:r>
        <w:rPr>
          <w:rFonts w:hint="eastAsia" w:ascii="宋体" w:hAnsi="宋体" w:eastAsia="宋体" w:cs="宋体"/>
          <w:szCs w:val="21"/>
        </w:rPr>
        <w:t>2、除电子投标（响应）文件外，不再接受任何纸质文件、资料原件等。</w:t>
      </w:r>
    </w:p>
    <w:p w14:paraId="3AAD87D1">
      <w:pPr>
        <w:spacing w:line="360" w:lineRule="exact"/>
        <w:ind w:firstLine="0" w:firstLineChars="0"/>
        <w:rPr>
          <w:rFonts w:ascii="宋体" w:hAnsi="宋体" w:eastAsia="宋体" w:cs="宋体"/>
          <w:b/>
          <w:bCs/>
          <w:szCs w:val="21"/>
          <w:u w:val="double"/>
        </w:rPr>
      </w:pPr>
      <w:r>
        <w:rPr>
          <w:rFonts w:hint="eastAsia" w:ascii="宋体" w:hAnsi="宋体" w:eastAsia="宋体" w:cs="宋体"/>
          <w:b/>
          <w:bCs/>
          <w:szCs w:val="21"/>
          <w:u w:val="double"/>
        </w:rPr>
        <w:t>八、澄清与变更</w:t>
      </w:r>
    </w:p>
    <w:p w14:paraId="010E9C9B">
      <w:pPr>
        <w:spacing w:line="360" w:lineRule="exact"/>
        <w:ind w:firstLine="420" w:firstLineChars="200"/>
        <w:rPr>
          <w:rFonts w:ascii="宋体" w:hAnsi="宋体" w:eastAsia="宋体" w:cs="宋体"/>
          <w:szCs w:val="21"/>
        </w:rPr>
      </w:pPr>
      <w:r>
        <w:rPr>
          <w:rFonts w:hint="eastAsia" w:ascii="宋体" w:hAnsi="宋体" w:eastAsia="宋体" w:cs="宋体"/>
          <w:szCs w:val="21"/>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47F8D81F">
      <w:pPr>
        <w:widowControl/>
        <w:spacing w:line="360" w:lineRule="exact"/>
        <w:ind w:firstLine="0" w:firstLineChars="0"/>
        <w:jc w:val="left"/>
        <w:rPr>
          <w:rFonts w:ascii="宋体" w:hAnsi="宋体" w:eastAsia="宋体" w:cs="宋体"/>
          <w:b/>
          <w:bCs/>
          <w:szCs w:val="21"/>
          <w:u w:val="double"/>
        </w:rPr>
      </w:pPr>
      <w:r>
        <w:rPr>
          <w:rFonts w:hint="eastAsia" w:ascii="宋体" w:hAnsi="宋体" w:eastAsia="宋体" w:cs="宋体"/>
          <w:b/>
          <w:bCs/>
          <w:szCs w:val="21"/>
          <w:u w:val="double"/>
        </w:rPr>
        <w:t xml:space="preserve">九、其他注意事项 </w:t>
      </w:r>
    </w:p>
    <w:p w14:paraId="404929C3">
      <w:pPr>
        <w:widowControl/>
        <w:spacing w:line="360" w:lineRule="exact"/>
        <w:ind w:firstLine="422" w:firstLineChars="200"/>
        <w:jc w:val="left"/>
        <w:rPr>
          <w:rFonts w:ascii="宋体" w:hAnsi="宋体" w:eastAsia="宋体" w:cs="宋体"/>
          <w:b/>
          <w:bCs/>
          <w:szCs w:val="21"/>
          <w:u w:val="double"/>
        </w:rPr>
      </w:pPr>
      <w:r>
        <w:rPr>
          <w:rFonts w:hint="eastAsia" w:ascii="宋体" w:hAnsi="宋体" w:eastAsia="宋体" w:cs="宋体"/>
          <w:b/>
          <w:bCs/>
          <w:szCs w:val="21"/>
          <w:u w:val="double"/>
        </w:rPr>
        <w:t xml:space="preserve">1、供应商编制投标文件时，涉及的营业执照、资质、获奖、社保、纳税等固定内容可在交易中心主体信用信息中录入。 </w:t>
      </w:r>
    </w:p>
    <w:p w14:paraId="17467365">
      <w:pPr>
        <w:widowControl/>
        <w:spacing w:line="360" w:lineRule="exact"/>
        <w:ind w:firstLine="422" w:firstLineChars="200"/>
        <w:jc w:val="left"/>
        <w:rPr>
          <w:rFonts w:ascii="宋体" w:hAnsi="宋体" w:eastAsia="宋体" w:cs="宋体"/>
          <w:b/>
          <w:bCs/>
          <w:szCs w:val="21"/>
          <w:u w:val="double"/>
        </w:rPr>
      </w:pPr>
      <w:r>
        <w:rPr>
          <w:rFonts w:hint="eastAsia" w:ascii="宋体" w:hAnsi="宋体" w:eastAsia="宋体" w:cs="宋体"/>
          <w:b/>
          <w:bCs/>
          <w:szCs w:val="21"/>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60802D80">
      <w:pPr>
        <w:widowControl/>
        <w:spacing w:line="360" w:lineRule="exact"/>
        <w:ind w:firstLine="0" w:firstLineChars="0"/>
        <w:jc w:val="left"/>
        <w:rPr>
          <w:rFonts w:ascii="宋体" w:hAnsi="宋体" w:eastAsia="宋体" w:cs="宋体"/>
          <w:b/>
          <w:bCs/>
          <w:szCs w:val="21"/>
          <w:u w:val="double"/>
        </w:rPr>
      </w:pPr>
      <w:r>
        <w:rPr>
          <w:rFonts w:hint="eastAsia" w:ascii="宋体" w:hAnsi="宋体" w:eastAsia="宋体" w:cs="宋体"/>
          <w:b/>
          <w:bCs/>
          <w:szCs w:val="21"/>
          <w:u w:val="double"/>
        </w:rPr>
        <w:t>十、特别提醒</w:t>
      </w:r>
    </w:p>
    <w:p w14:paraId="7C0A2FA4">
      <w:pPr>
        <w:spacing w:line="360" w:lineRule="exact"/>
        <w:ind w:firstLine="420" w:firstLineChars="200"/>
        <w:rPr>
          <w:rFonts w:hint="eastAsia" w:ascii="宋体" w:hAnsi="宋体" w:eastAsia="宋体" w:cs="宋体"/>
          <w:szCs w:val="21"/>
        </w:rPr>
      </w:pPr>
      <w:r>
        <w:rPr>
          <w:rFonts w:hint="eastAsia" w:ascii="宋体" w:hAnsi="宋体" w:eastAsia="宋体" w:cs="宋体"/>
          <w:szCs w:val="21"/>
        </w:rPr>
        <w:t>招标（响应）文件与此内容不符的，以此内容为准。</w:t>
      </w:r>
    </w:p>
    <w:p w14:paraId="452EB899">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信阳市公共资源交易中心评标系统在评标过程中如涉及到二次报价、在线答疑澄清等事项时，会在相关事项开始后向投标人发送提醒短信。评标过程中涉及二次报价、在线答疑澄清等不再进行电话提醒。投标人在评标过程中应当时刻关注评标进程，在短信提醒需要二次报价、在线答疑澄清时在规定时间内进行相关操作，未在规定时间内操作造成的一切后果由投标人自行承担。</w:t>
      </w:r>
    </w:p>
    <w:p w14:paraId="6540BBE4">
      <w:pPr>
        <w:widowControl/>
        <w:spacing w:line="360" w:lineRule="exact"/>
        <w:ind w:firstLine="0" w:firstLineChars="0"/>
        <w:jc w:val="left"/>
        <w:rPr>
          <w:rFonts w:hint="eastAsia" w:ascii="宋体" w:hAnsi="宋体" w:eastAsia="宋体" w:cs="宋体"/>
          <w:b/>
          <w:bCs/>
          <w:szCs w:val="21"/>
          <w:u w:val="double"/>
        </w:rPr>
      </w:pPr>
      <w:r>
        <w:rPr>
          <w:rFonts w:hint="eastAsia" w:ascii="宋体" w:hAnsi="宋体" w:eastAsia="宋体" w:cs="宋体"/>
          <w:b/>
          <w:bCs/>
          <w:szCs w:val="21"/>
          <w:u w:val="double"/>
          <w:lang w:val="en-US" w:eastAsia="zh-CN"/>
        </w:rPr>
        <w:t>十一、</w:t>
      </w:r>
      <w:r>
        <w:rPr>
          <w:rFonts w:hint="eastAsia" w:ascii="宋体" w:hAnsi="宋体" w:eastAsia="宋体" w:cs="宋体"/>
          <w:b/>
          <w:bCs/>
          <w:szCs w:val="21"/>
          <w:u w:val="double"/>
        </w:rPr>
        <w:t>政府采购二次报价操作流程</w:t>
      </w:r>
    </w:p>
    <w:p w14:paraId="799BFAA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rFonts w:hint="eastAsia" w:ascii="宋体" w:hAnsi="宋体" w:eastAsia="宋体" w:cs="宋体"/>
          <w:color w:val="auto"/>
          <w:kern w:val="2"/>
          <w:sz w:val="24"/>
          <w:szCs w:val="24"/>
          <w:highlight w:val="none"/>
          <w:lang w:val="en-US" w:eastAsia="zh-CN" w:bidi="ar-SA"/>
        </w:rPr>
      </w:pPr>
      <w:r>
        <w:rPr>
          <w:color w:val="auto"/>
          <w:highlight w:val="none"/>
        </w:rPr>
        <w:drawing>
          <wp:anchor distT="0" distB="0" distL="114300" distR="114300" simplePos="0" relativeHeight="251662336" behindDoc="0" locked="0" layoutInCell="1" allowOverlap="1">
            <wp:simplePos x="0" y="0"/>
            <wp:positionH relativeFrom="column">
              <wp:posOffset>-259715</wp:posOffset>
            </wp:positionH>
            <wp:positionV relativeFrom="paragraph">
              <wp:posOffset>227965</wp:posOffset>
            </wp:positionV>
            <wp:extent cx="6104255" cy="2138680"/>
            <wp:effectExtent l="0" t="0" r="6985" b="10160"/>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6"/>
                    <a:stretch>
                      <a:fillRect/>
                    </a:stretch>
                  </pic:blipFill>
                  <pic:spPr>
                    <a:xfrm>
                      <a:off x="0" y="0"/>
                      <a:ext cx="6104255" cy="2138680"/>
                    </a:xfrm>
                    <a:prstGeom prst="rect">
                      <a:avLst/>
                    </a:prstGeom>
                    <a:noFill/>
                    <a:ln>
                      <a:noFill/>
                    </a:ln>
                  </pic:spPr>
                </pic:pic>
              </a:graphicData>
            </a:graphic>
          </wp:anchor>
        </w:drawing>
      </w:r>
      <w:r>
        <w:rPr>
          <w:rFonts w:hint="eastAsia" w:ascii="宋体" w:hAnsi="宋体" w:eastAsia="宋体" w:cs="宋体"/>
          <w:color w:val="auto"/>
          <w:kern w:val="2"/>
          <w:sz w:val="24"/>
          <w:szCs w:val="24"/>
          <w:highlight w:val="none"/>
          <w:lang w:val="en-US" w:eastAsia="zh-CN" w:bidi="ar-SA"/>
        </w:rPr>
        <w:t>1、首先评委组长发起开始二次报价。</w:t>
      </w:r>
    </w:p>
    <w:p w14:paraId="42CF232D">
      <w:pPr>
        <w:pStyle w:val="29"/>
        <w:rPr>
          <w:rFonts w:hint="eastAsia"/>
          <w:color w:val="auto"/>
          <w:highlight w:val="none"/>
          <w:lang w:val="en-US" w:eastAsia="zh-CN"/>
        </w:rPr>
      </w:pPr>
    </w:p>
    <w:p w14:paraId="5378A3A9">
      <w:pPr>
        <w:rPr>
          <w:rFonts w:hint="eastAsia"/>
          <w:color w:val="auto"/>
          <w:highlight w:val="none"/>
          <w:lang w:val="en-US" w:eastAsia="zh-CN"/>
        </w:rPr>
      </w:pPr>
      <w:r>
        <w:rPr>
          <w:rFonts w:hint="eastAsia" w:ascii="宋体" w:hAnsi="宋体" w:eastAsia="宋体" w:cs="宋体"/>
          <w:color w:val="auto"/>
          <w:kern w:val="2"/>
          <w:sz w:val="24"/>
          <w:szCs w:val="24"/>
          <w:highlight w:val="none"/>
          <w:lang w:val="en-US" w:eastAsia="zh-CN" w:bidi="ar-SA"/>
        </w:rPr>
        <w:br w:type="page"/>
      </w:r>
    </w:p>
    <w:p w14:paraId="40A24AD3">
      <w:pPr>
        <w:pStyle w:val="14"/>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1312" behindDoc="0" locked="0" layoutInCell="1" allowOverlap="1">
            <wp:simplePos x="0" y="0"/>
            <wp:positionH relativeFrom="page">
              <wp:posOffset>389890</wp:posOffset>
            </wp:positionH>
            <wp:positionV relativeFrom="page">
              <wp:posOffset>704215</wp:posOffset>
            </wp:positionV>
            <wp:extent cx="6092825" cy="3456305"/>
            <wp:effectExtent l="0" t="0" r="3175" b="3175"/>
            <wp:wrapNone/>
            <wp:docPr id="6" name="图片 2" descr="367a4e9ba1aa0e06d99c4f32f1fa5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367a4e9ba1aa0e06d99c4f32f1fa58e"/>
                    <pic:cNvPicPr>
                      <a:picLocks noChangeAspect="1"/>
                    </pic:cNvPicPr>
                  </pic:nvPicPr>
                  <pic:blipFill>
                    <a:blip r:embed="rId17"/>
                    <a:stretch>
                      <a:fillRect/>
                    </a:stretch>
                  </pic:blipFill>
                  <pic:spPr>
                    <a:xfrm>
                      <a:off x="0" y="0"/>
                      <a:ext cx="6092825" cy="3456305"/>
                    </a:xfrm>
                    <a:prstGeom prst="rect">
                      <a:avLst/>
                    </a:prstGeom>
                    <a:noFill/>
                    <a:ln>
                      <a:noFill/>
                    </a:ln>
                  </pic:spPr>
                </pic:pic>
              </a:graphicData>
            </a:graphic>
          </wp:anchor>
        </w:drawing>
      </w:r>
    </w:p>
    <w:p w14:paraId="234F28D1">
      <w:pPr>
        <w:pStyle w:val="25"/>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0288" behindDoc="0" locked="0" layoutInCell="1" allowOverlap="1">
            <wp:simplePos x="0" y="0"/>
            <wp:positionH relativeFrom="column">
              <wp:posOffset>-749300</wp:posOffset>
            </wp:positionH>
            <wp:positionV relativeFrom="paragraph">
              <wp:posOffset>3091815</wp:posOffset>
            </wp:positionV>
            <wp:extent cx="6203315" cy="3485515"/>
            <wp:effectExtent l="0" t="0" r="14605" b="4445"/>
            <wp:wrapNone/>
            <wp:docPr id="7" name="图片 4" descr="6f74f37b1629f049dc0462856c6c4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6f74f37b1629f049dc0462856c6c40b"/>
                    <pic:cNvPicPr>
                      <a:picLocks noChangeAspect="1"/>
                    </pic:cNvPicPr>
                  </pic:nvPicPr>
                  <pic:blipFill>
                    <a:blip r:embed="rId18"/>
                    <a:stretch>
                      <a:fillRect/>
                    </a:stretch>
                  </pic:blipFill>
                  <pic:spPr>
                    <a:xfrm>
                      <a:off x="0" y="0"/>
                      <a:ext cx="6203315" cy="3485515"/>
                    </a:xfrm>
                    <a:prstGeom prst="rect">
                      <a:avLst/>
                    </a:prstGeom>
                    <a:noFill/>
                    <a:ln>
                      <a:noFill/>
                    </a:ln>
                  </pic:spPr>
                </pic:pic>
              </a:graphicData>
            </a:graphic>
          </wp:anchor>
        </w:drawing>
      </w:r>
      <w:r>
        <w:rPr>
          <w:rFonts w:hint="eastAsia" w:ascii="宋体" w:hAnsi="宋体" w:eastAsia="宋体" w:cs="宋体"/>
          <w:color w:val="auto"/>
          <w:highlight w:val="none"/>
        </w:rPr>
        <w:br w:type="page"/>
      </w:r>
    </w:p>
    <w:p w14:paraId="630C282E">
      <w:pPr>
        <w:pStyle w:val="14"/>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3360" behindDoc="0" locked="0" layoutInCell="1" allowOverlap="1">
            <wp:simplePos x="0" y="0"/>
            <wp:positionH relativeFrom="page">
              <wp:posOffset>654685</wp:posOffset>
            </wp:positionH>
            <wp:positionV relativeFrom="page">
              <wp:posOffset>995680</wp:posOffset>
            </wp:positionV>
            <wp:extent cx="6190615" cy="3283585"/>
            <wp:effectExtent l="0" t="0" r="12065" b="8255"/>
            <wp:wrapNone/>
            <wp:docPr id="4" name="图片 4" descr="adf93593eaf15fa2b8002efc617c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df93593eaf15fa2b8002efc617c012"/>
                    <pic:cNvPicPr>
                      <a:picLocks noChangeAspect="1"/>
                    </pic:cNvPicPr>
                  </pic:nvPicPr>
                  <pic:blipFill>
                    <a:blip r:embed="rId19"/>
                    <a:stretch>
                      <a:fillRect/>
                    </a:stretch>
                  </pic:blipFill>
                  <pic:spPr>
                    <a:xfrm>
                      <a:off x="0" y="0"/>
                      <a:ext cx="6190615" cy="3283585"/>
                    </a:xfrm>
                    <a:prstGeom prst="rect">
                      <a:avLst/>
                    </a:prstGeom>
                    <a:noFill/>
                    <a:ln>
                      <a:noFill/>
                    </a:ln>
                  </pic:spPr>
                </pic:pic>
              </a:graphicData>
            </a:graphic>
          </wp:anchor>
        </w:drawing>
      </w:r>
    </w:p>
    <w:p w14:paraId="16A5D99A">
      <w:pPr>
        <w:pStyle w:val="25"/>
        <w:rPr>
          <w:rFonts w:hint="eastAsia" w:ascii="宋体" w:hAnsi="宋体" w:eastAsia="宋体" w:cs="宋体"/>
          <w:color w:val="auto"/>
          <w:highlight w:val="none"/>
        </w:rPr>
      </w:pPr>
    </w:p>
    <w:p w14:paraId="1FB4ADFB">
      <w:pPr>
        <w:pStyle w:val="14"/>
        <w:rPr>
          <w:rFonts w:hint="eastAsia"/>
        </w:rPr>
      </w:pPr>
    </w:p>
    <w:p w14:paraId="21554F3A">
      <w:pPr>
        <w:pStyle w:val="25"/>
        <w:rPr>
          <w:rFonts w:hint="eastAsia"/>
        </w:rPr>
      </w:pPr>
    </w:p>
    <w:p w14:paraId="006817B9">
      <w:pPr>
        <w:pStyle w:val="14"/>
        <w:rPr>
          <w:rFonts w:hint="eastAsia"/>
        </w:rPr>
      </w:pPr>
    </w:p>
    <w:p w14:paraId="25C3F8E0">
      <w:pPr>
        <w:pStyle w:val="25"/>
        <w:rPr>
          <w:rFonts w:hint="eastAsia" w:ascii="宋体" w:hAnsi="宋体" w:eastAsia="宋体" w:cs="宋体"/>
          <w:color w:val="auto"/>
          <w:highlight w:val="none"/>
        </w:rPr>
      </w:pPr>
    </w:p>
    <w:p w14:paraId="0DCA5EB0">
      <w:pPr>
        <w:pStyle w:val="25"/>
        <w:rPr>
          <w:rFonts w:hint="eastAsia" w:ascii="宋体" w:hAnsi="宋体" w:eastAsia="宋体" w:cs="宋体"/>
          <w:color w:val="auto"/>
          <w:highlight w:val="none"/>
        </w:rPr>
      </w:pPr>
    </w:p>
    <w:p w14:paraId="69CDE3CE">
      <w:pPr>
        <w:jc w:val="center"/>
        <w:rPr>
          <w:rStyle w:val="84"/>
          <w:rFonts w:hint="eastAsia" w:ascii="宋体" w:hAnsi="宋体" w:eastAsia="宋体" w:cs="宋体"/>
          <w:color w:val="auto"/>
          <w:highlight w:val="none"/>
        </w:rPr>
      </w:pPr>
    </w:p>
    <w:p w14:paraId="2D913CCA">
      <w:pPr>
        <w:pStyle w:val="29"/>
        <w:rPr>
          <w:rStyle w:val="84"/>
          <w:rFonts w:hint="eastAsia" w:ascii="宋体" w:hAnsi="宋体" w:eastAsia="宋体" w:cs="宋体"/>
          <w:color w:val="auto"/>
          <w:highlight w:val="none"/>
        </w:rPr>
      </w:pPr>
      <w:r>
        <w:rPr>
          <w:rStyle w:val="84"/>
          <w:rFonts w:hint="eastAsia" w:ascii="宋体" w:hAnsi="宋体" w:eastAsia="宋体" w:cs="宋体"/>
          <w:color w:val="auto"/>
          <w:highlight w:val="none"/>
        </w:rPr>
        <w:drawing>
          <wp:anchor distT="0" distB="0" distL="114300" distR="114300" simplePos="0" relativeHeight="251664384" behindDoc="0" locked="0" layoutInCell="1" allowOverlap="1">
            <wp:simplePos x="0" y="0"/>
            <wp:positionH relativeFrom="column">
              <wp:posOffset>-534670</wp:posOffset>
            </wp:positionH>
            <wp:positionV relativeFrom="paragraph">
              <wp:posOffset>100330</wp:posOffset>
            </wp:positionV>
            <wp:extent cx="6348095" cy="3307715"/>
            <wp:effectExtent l="0" t="0" r="6985" b="14605"/>
            <wp:wrapNone/>
            <wp:docPr id="3" name="图片 6" descr="d6fd467dc2a364b73691551f275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d6fd467dc2a364b73691551f2756613"/>
                    <pic:cNvPicPr>
                      <a:picLocks noChangeAspect="1"/>
                    </pic:cNvPicPr>
                  </pic:nvPicPr>
                  <pic:blipFill>
                    <a:blip r:embed="rId20"/>
                    <a:stretch>
                      <a:fillRect/>
                    </a:stretch>
                  </pic:blipFill>
                  <pic:spPr>
                    <a:xfrm>
                      <a:off x="0" y="0"/>
                      <a:ext cx="6348095" cy="3307715"/>
                    </a:xfrm>
                    <a:prstGeom prst="rect">
                      <a:avLst/>
                    </a:prstGeom>
                    <a:noFill/>
                    <a:ln>
                      <a:noFill/>
                    </a:ln>
                  </pic:spPr>
                </pic:pic>
              </a:graphicData>
            </a:graphic>
          </wp:anchor>
        </w:drawing>
      </w:r>
    </w:p>
    <w:p w14:paraId="614F964F">
      <w:pPr>
        <w:rPr>
          <w:rStyle w:val="84"/>
          <w:rFonts w:hint="eastAsia" w:ascii="宋体" w:hAnsi="宋体" w:eastAsia="宋体" w:cs="宋体"/>
          <w:color w:val="auto"/>
          <w:highlight w:val="none"/>
        </w:rPr>
      </w:pPr>
    </w:p>
    <w:p w14:paraId="55DE5D0F">
      <w:pPr>
        <w:pStyle w:val="29"/>
        <w:rPr>
          <w:rStyle w:val="84"/>
          <w:rFonts w:hint="eastAsia" w:ascii="宋体" w:hAnsi="宋体" w:eastAsia="宋体" w:cs="宋体"/>
          <w:color w:val="auto"/>
          <w:highlight w:val="none"/>
        </w:rPr>
      </w:pPr>
    </w:p>
    <w:p w14:paraId="0D2C21F4">
      <w:pPr>
        <w:rPr>
          <w:rFonts w:hint="eastAsia"/>
          <w:color w:val="auto"/>
          <w:highlight w:val="none"/>
        </w:rPr>
      </w:pPr>
    </w:p>
    <w:p w14:paraId="03118ACE">
      <w:pPr>
        <w:wordWrap w:val="0"/>
        <w:topLinePunct/>
        <w:ind w:firstLine="361" w:firstLineChars="150"/>
        <w:rPr>
          <w:rFonts w:hint="eastAsia" w:ascii="宋体" w:hAnsi="宋体" w:eastAsia="宋体" w:cs="宋体"/>
          <w:b/>
          <w:color w:val="auto"/>
          <w:sz w:val="24"/>
          <w:highlight w:val="none"/>
          <w:shd w:val="clear" w:color="auto" w:fill="FFFFFF"/>
        </w:rPr>
      </w:pPr>
    </w:p>
    <w:p w14:paraId="4D53A1B8">
      <w:pPr>
        <w:keepNext w:val="0"/>
        <w:keepLines w:val="0"/>
        <w:pageBreakBefore w:val="0"/>
        <w:kinsoku/>
        <w:wordWrap w:val="0"/>
        <w:overflowPunct/>
        <w:topLinePunct/>
        <w:autoSpaceDE/>
        <w:autoSpaceDN/>
        <w:bidi w:val="0"/>
        <w:adjustRightInd w:val="0"/>
        <w:snapToGrid w:val="0"/>
        <w:spacing w:line="360" w:lineRule="auto"/>
        <w:ind w:left="0" w:leftChars="0" w:right="0" w:rightChars="0" w:firstLine="482" w:firstLineChars="200"/>
        <w:textAlignment w:val="auto"/>
        <w:outlineLvl w:val="9"/>
        <w:rPr>
          <w:rFonts w:hint="eastAsia" w:ascii="宋体" w:hAnsi="宋体" w:eastAsia="宋体" w:cs="宋体"/>
          <w:b/>
          <w:color w:val="auto"/>
          <w:sz w:val="24"/>
          <w:szCs w:val="24"/>
          <w:highlight w:val="none"/>
          <w:shd w:val="clear" w:color="auto" w:fill="FFFFFF"/>
        </w:rPr>
      </w:pPr>
    </w:p>
    <w:p w14:paraId="76857C44">
      <w:pPr>
        <w:pStyle w:val="28"/>
        <w:rPr>
          <w:rFonts w:hint="eastAsia" w:ascii="宋体" w:hAnsi="宋体" w:eastAsia="宋体" w:cs="宋体"/>
          <w:b/>
          <w:color w:val="auto"/>
          <w:sz w:val="24"/>
          <w:szCs w:val="24"/>
          <w:highlight w:val="none"/>
          <w:shd w:val="clear" w:color="auto" w:fill="FFFFFF"/>
        </w:rPr>
      </w:pPr>
    </w:p>
    <w:p w14:paraId="3FAD3589">
      <w:pPr>
        <w:rPr>
          <w:rFonts w:hint="eastAsia" w:ascii="宋体" w:hAnsi="宋体" w:eastAsia="宋体" w:cs="宋体"/>
          <w:b/>
          <w:color w:val="auto"/>
          <w:sz w:val="24"/>
          <w:szCs w:val="24"/>
          <w:highlight w:val="none"/>
          <w:shd w:val="clear" w:color="auto" w:fill="FFFFFF"/>
        </w:rPr>
      </w:pPr>
    </w:p>
    <w:p w14:paraId="3E3D5523">
      <w:pPr>
        <w:spacing w:line="360" w:lineRule="exact"/>
        <w:ind w:left="0" w:leftChars="0" w:firstLine="0" w:firstLineChars="0"/>
        <w:rPr>
          <w:rFonts w:hint="eastAsia" w:ascii="宋体" w:hAnsi="宋体" w:eastAsia="宋体" w:cs="宋体"/>
          <w:szCs w:val="21"/>
          <w:lang w:val="en-US" w:eastAsia="zh-CN"/>
        </w:rPr>
      </w:pPr>
    </w:p>
    <w:p w14:paraId="37C4D08A">
      <w:pPr>
        <w:spacing w:line="360" w:lineRule="exact"/>
        <w:ind w:left="0" w:leftChars="0" w:firstLine="0" w:firstLineChars="0"/>
        <w:rPr>
          <w:rFonts w:hint="eastAsia" w:ascii="宋体" w:hAnsi="宋体" w:eastAsia="宋体" w:cs="宋体"/>
          <w:szCs w:val="21"/>
          <w:lang w:val="en-US" w:eastAsia="zh-CN"/>
        </w:rPr>
      </w:pPr>
    </w:p>
    <w:p w14:paraId="6EE3CD2A">
      <w:pPr>
        <w:spacing w:line="360" w:lineRule="exact"/>
        <w:ind w:left="0" w:leftChars="0" w:firstLine="0" w:firstLineChars="0"/>
        <w:rPr>
          <w:rFonts w:hint="eastAsia" w:ascii="宋体" w:hAnsi="宋体" w:eastAsia="宋体" w:cs="宋体"/>
          <w:b/>
          <w:bCs/>
          <w:szCs w:val="21"/>
          <w:lang w:val="en-US" w:eastAsia="zh-CN"/>
        </w:rPr>
      </w:pPr>
      <w:r>
        <w:rPr>
          <w:rFonts w:hint="eastAsia" w:ascii="宋体" w:hAnsi="宋体" w:eastAsia="宋体" w:cs="宋体"/>
          <w:b/>
          <w:bCs/>
          <w:szCs w:val="21"/>
          <w:lang w:val="en-US" w:eastAsia="zh-CN"/>
        </w:rPr>
        <w:t>特别注意：</w:t>
      </w:r>
    </w:p>
    <w:p w14:paraId="3944017E">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不见面开标签章环节，使用信安CA钥匙，如果出现签不上章的情况，请检查是否有：互诚通、云政数据证书助手，等驱动，安装这些会造成无法签章，请务必卸载！</w:t>
      </w:r>
    </w:p>
    <w:p w14:paraId="5181829D">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供应商因信阳市电子招投标交易平台问题无法上传加密电子响应文件时，请在工作时间与交易中心联系。联系电话如下：</w:t>
      </w:r>
    </w:p>
    <w:p w14:paraId="550A7A4B">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信阳市公共资源交易中心</w:t>
      </w:r>
    </w:p>
    <w:p w14:paraId="02F94282">
      <w:pPr>
        <w:spacing w:line="36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地    址：信阳市羊山新区百花中路（市博物馆正对面）</w:t>
      </w:r>
    </w:p>
    <w:p w14:paraId="05ABE743">
      <w:pPr>
        <w:spacing w:line="360" w:lineRule="exact"/>
        <w:ind w:firstLine="420" w:firstLineChars="200"/>
      </w:pPr>
      <w:r>
        <w:rPr>
          <w:rFonts w:hint="eastAsia" w:ascii="宋体" w:hAnsi="宋体" w:eastAsia="宋体" w:cs="宋体"/>
          <w:szCs w:val="21"/>
          <w:lang w:val="en-US" w:eastAsia="zh-CN"/>
        </w:rPr>
        <w:t>电子交易系统技术支持电话：0376-6369677</w:t>
      </w:r>
      <w:bookmarkStart w:id="6" w:name="_Toc30363"/>
    </w:p>
    <w:p w14:paraId="357596E9">
      <w:pPr>
        <w:pStyle w:val="24"/>
        <w:tabs>
          <w:tab w:val="right" w:leader="underscore" w:pos="8296"/>
        </w:tabs>
        <w:spacing w:line="540" w:lineRule="exact"/>
        <w:ind w:left="0" w:firstLine="0" w:firstLineChars="0"/>
        <w:jc w:val="center"/>
        <w:outlineLvl w:val="0"/>
        <w:rPr>
          <w:rFonts w:ascii="宋体" w:hAnsi="宋体" w:eastAsia="宋体" w:cs="宋体"/>
          <w:b/>
          <w:bCs/>
          <w:sz w:val="32"/>
          <w:szCs w:val="32"/>
        </w:rPr>
      </w:pPr>
      <w:bookmarkStart w:id="7" w:name="_Toc32308"/>
      <w:r>
        <w:rPr>
          <w:rFonts w:hint="eastAsia" w:ascii="宋体" w:hAnsi="宋体" w:cs="宋体"/>
          <w:b/>
          <w:bCs/>
          <w:sz w:val="32"/>
          <w:szCs w:val="32"/>
        </w:rPr>
        <w:t xml:space="preserve">第一章 </w:t>
      </w:r>
      <w:bookmarkEnd w:id="2"/>
      <w:bookmarkEnd w:id="3"/>
      <w:bookmarkEnd w:id="4"/>
      <w:bookmarkEnd w:id="5"/>
      <w:bookmarkEnd w:id="6"/>
      <w:r>
        <w:rPr>
          <w:rFonts w:hint="eastAsia" w:ascii="宋体" w:hAnsi="宋体" w:cs="宋体"/>
          <w:b/>
          <w:bCs/>
          <w:sz w:val="32"/>
          <w:szCs w:val="32"/>
        </w:rPr>
        <w:t>竞争性磋商公告</w:t>
      </w:r>
      <w:bookmarkEnd w:id="7"/>
    </w:p>
    <w:p w14:paraId="1A548DE7">
      <w:pPr>
        <w:pStyle w:val="26"/>
        <w:pageBreakBefore w:val="0"/>
        <w:widowControl w:val="0"/>
        <w:kinsoku/>
        <w:overflowPunct/>
        <w:topLinePunct w:val="0"/>
        <w:autoSpaceDE/>
        <w:autoSpaceDN/>
        <w:bidi w:val="0"/>
        <w:spacing w:beforeAutospacing="0" w:afterAutospacing="0" w:line="340" w:lineRule="atLeast"/>
        <w:ind w:firstLine="0" w:firstLineChars="0"/>
        <w:textAlignment w:val="auto"/>
        <w:rPr>
          <w:rFonts w:eastAsia="宋体"/>
          <w:b/>
          <w:sz w:val="21"/>
          <w:szCs w:val="21"/>
        </w:rPr>
      </w:pPr>
      <w:bookmarkStart w:id="8" w:name="OLE_LINK1"/>
      <w:bookmarkStart w:id="9" w:name="_Toc152042303"/>
      <w:bookmarkStart w:id="10" w:name="_Toc152045527"/>
      <w:bookmarkStart w:id="11" w:name="_Toc144974495"/>
      <w:r>
        <w:rPr>
          <w:rFonts w:hint="eastAsia" w:eastAsia="宋体"/>
          <w:b/>
          <w:sz w:val="21"/>
          <w:szCs w:val="21"/>
        </w:rPr>
        <w:t>项目概况</w:t>
      </w:r>
    </w:p>
    <w:p w14:paraId="2B5FB161">
      <w:pPr>
        <w:pStyle w:val="26"/>
        <w:pageBreakBefore w:val="0"/>
        <w:widowControl w:val="0"/>
        <w:kinsoku/>
        <w:overflowPunct/>
        <w:topLinePunct w:val="0"/>
        <w:autoSpaceDE/>
        <w:autoSpaceDN/>
        <w:bidi w:val="0"/>
        <w:spacing w:beforeAutospacing="0" w:afterAutospacing="0" w:line="340" w:lineRule="atLeast"/>
        <w:ind w:left="0" w:leftChars="0" w:firstLine="420" w:firstLineChars="200"/>
        <w:textAlignment w:val="auto"/>
        <w:rPr>
          <w:rFonts w:eastAsia="宋体"/>
          <w:bCs/>
          <w:color w:val="auto"/>
          <w:sz w:val="21"/>
          <w:szCs w:val="21"/>
          <w:highlight w:val="none"/>
        </w:rPr>
      </w:pPr>
      <w:r>
        <w:rPr>
          <w:rFonts w:hint="eastAsia" w:eastAsia="宋体"/>
          <w:bCs/>
          <w:sz w:val="21"/>
          <w:szCs w:val="21"/>
          <w:highlight w:val="none"/>
          <w:lang w:val="en-US" w:eastAsia="zh-CN"/>
        </w:rPr>
        <w:t>罗山县铁铺镇人民政府2026年罗山县铁铺镇产业发展配套设施项目</w:t>
      </w:r>
      <w:r>
        <w:rPr>
          <w:rFonts w:hint="eastAsia" w:eastAsia="宋体"/>
          <w:bCs/>
          <w:sz w:val="21"/>
          <w:szCs w:val="21"/>
          <w:highlight w:val="none"/>
        </w:rPr>
        <w:t>的</w:t>
      </w:r>
      <w:r>
        <w:rPr>
          <w:rFonts w:hint="eastAsia" w:eastAsia="宋体"/>
          <w:bCs/>
          <w:sz w:val="21"/>
          <w:szCs w:val="21"/>
        </w:rPr>
        <w:t>潜在供应商应在</w:t>
      </w:r>
      <w:r>
        <w:rPr>
          <w:rFonts w:hint="eastAsia" w:eastAsia="宋体"/>
          <w:bCs/>
          <w:sz w:val="21"/>
          <w:szCs w:val="21"/>
          <w:lang w:eastAsia="zh-CN"/>
        </w:rPr>
        <w:t>登录</w:t>
      </w:r>
      <w:r>
        <w:rPr>
          <w:rFonts w:hint="eastAsia" w:eastAsia="宋体"/>
          <w:bCs/>
          <w:sz w:val="21"/>
          <w:szCs w:val="21"/>
        </w:rPr>
        <w:t>“全国公共资源交易中心（河</w:t>
      </w:r>
      <w:r>
        <w:rPr>
          <w:rFonts w:hint="eastAsia" w:eastAsia="宋体"/>
          <w:bCs/>
          <w:sz w:val="21"/>
          <w:szCs w:val="21"/>
          <w:highlight w:val="none"/>
        </w:rPr>
        <w:t>南省·</w:t>
      </w:r>
      <w:r>
        <w:rPr>
          <w:rFonts w:hint="eastAsia" w:eastAsia="宋体"/>
          <w:bCs/>
          <w:sz w:val="21"/>
          <w:szCs w:val="21"/>
          <w:highlight w:val="none"/>
          <w:lang w:val="en-US" w:eastAsia="zh-CN"/>
        </w:rPr>
        <w:t>罗山县</w:t>
      </w:r>
      <w:r>
        <w:rPr>
          <w:rFonts w:hint="eastAsia" w:eastAsia="宋体"/>
          <w:bCs/>
          <w:sz w:val="21"/>
          <w:szCs w:val="21"/>
          <w:highlight w:val="none"/>
        </w:rPr>
        <w:t>）（http://ggzyjy.xin</w:t>
      </w:r>
      <w:r>
        <w:rPr>
          <w:rFonts w:hint="eastAsia" w:eastAsia="宋体"/>
          <w:bCs/>
          <w:color w:val="auto"/>
          <w:sz w:val="21"/>
          <w:szCs w:val="21"/>
          <w:highlight w:val="none"/>
        </w:rPr>
        <w:t>yang.gov.cn/luoshan/）”网站，凭办理的企业身份认证锁（CA数字证书）</w:t>
      </w:r>
      <w:r>
        <w:rPr>
          <w:rFonts w:hint="eastAsia" w:eastAsia="宋体"/>
          <w:bCs/>
          <w:color w:val="auto"/>
          <w:sz w:val="21"/>
          <w:szCs w:val="21"/>
          <w:highlight w:val="none"/>
          <w:lang w:eastAsia="zh-CN"/>
        </w:rPr>
        <w:t>登录</w:t>
      </w:r>
      <w:r>
        <w:rPr>
          <w:rFonts w:hint="eastAsia" w:eastAsia="宋体"/>
          <w:bCs/>
          <w:color w:val="auto"/>
          <w:sz w:val="21"/>
          <w:szCs w:val="21"/>
          <w:highlight w:val="none"/>
        </w:rPr>
        <w:t>会员系统获取竞争性磋商文件，并于202</w:t>
      </w:r>
      <w:r>
        <w:rPr>
          <w:rFonts w:hint="eastAsia" w:eastAsia="宋体"/>
          <w:bCs/>
          <w:color w:val="auto"/>
          <w:sz w:val="21"/>
          <w:szCs w:val="21"/>
          <w:highlight w:val="none"/>
          <w:lang w:val="en-US" w:eastAsia="zh-CN"/>
        </w:rPr>
        <w:t>6</w:t>
      </w:r>
      <w:r>
        <w:rPr>
          <w:rFonts w:hint="eastAsia" w:eastAsia="宋体"/>
          <w:bCs/>
          <w:color w:val="auto"/>
          <w:sz w:val="21"/>
          <w:szCs w:val="21"/>
          <w:highlight w:val="none"/>
        </w:rPr>
        <w:t>年</w:t>
      </w:r>
      <w:r>
        <w:rPr>
          <w:rFonts w:hint="eastAsia" w:eastAsia="宋体"/>
          <w:bCs/>
          <w:color w:val="auto"/>
          <w:sz w:val="21"/>
          <w:szCs w:val="21"/>
          <w:highlight w:val="none"/>
          <w:lang w:val="en-US" w:eastAsia="zh-CN"/>
        </w:rPr>
        <w:t>7</w:t>
      </w:r>
      <w:r>
        <w:rPr>
          <w:rFonts w:hint="eastAsia" w:eastAsia="宋体"/>
          <w:bCs/>
          <w:color w:val="auto"/>
          <w:sz w:val="21"/>
          <w:szCs w:val="21"/>
          <w:highlight w:val="none"/>
        </w:rPr>
        <w:t>月</w:t>
      </w:r>
      <w:r>
        <w:rPr>
          <w:rFonts w:hint="eastAsia" w:eastAsia="宋体"/>
          <w:bCs/>
          <w:color w:val="auto"/>
          <w:sz w:val="21"/>
          <w:szCs w:val="21"/>
          <w:highlight w:val="none"/>
          <w:lang w:val="en-US" w:eastAsia="zh-CN"/>
        </w:rPr>
        <w:t>21</w:t>
      </w:r>
      <w:r>
        <w:rPr>
          <w:rFonts w:hint="eastAsia" w:eastAsia="宋体"/>
          <w:bCs/>
          <w:color w:val="auto"/>
          <w:sz w:val="21"/>
          <w:szCs w:val="21"/>
          <w:highlight w:val="none"/>
        </w:rPr>
        <w:t>日</w:t>
      </w:r>
      <w:r>
        <w:rPr>
          <w:rFonts w:hint="eastAsia" w:eastAsia="宋体"/>
          <w:bCs/>
          <w:color w:val="auto"/>
          <w:sz w:val="21"/>
          <w:szCs w:val="21"/>
          <w:highlight w:val="none"/>
          <w:lang w:val="en-US" w:eastAsia="zh-CN"/>
        </w:rPr>
        <w:t>9</w:t>
      </w:r>
      <w:r>
        <w:rPr>
          <w:rFonts w:hint="eastAsia" w:eastAsia="宋体"/>
          <w:bCs/>
          <w:color w:val="auto"/>
          <w:sz w:val="21"/>
          <w:szCs w:val="21"/>
          <w:highlight w:val="none"/>
        </w:rPr>
        <w:t>时</w:t>
      </w:r>
      <w:r>
        <w:rPr>
          <w:rFonts w:hint="eastAsia" w:eastAsia="宋体"/>
          <w:bCs/>
          <w:color w:val="auto"/>
          <w:sz w:val="21"/>
          <w:szCs w:val="21"/>
          <w:highlight w:val="none"/>
          <w:lang w:val="en-US" w:eastAsia="zh-CN"/>
        </w:rPr>
        <w:t>30</w:t>
      </w:r>
      <w:r>
        <w:rPr>
          <w:rFonts w:hint="eastAsia" w:eastAsia="宋体"/>
          <w:bCs/>
          <w:color w:val="auto"/>
          <w:sz w:val="21"/>
          <w:szCs w:val="21"/>
          <w:highlight w:val="none"/>
        </w:rPr>
        <w:t>分（北京时间）前递交响应文件。</w:t>
      </w:r>
    </w:p>
    <w:p w14:paraId="0E75E502">
      <w:pPr>
        <w:pStyle w:val="26"/>
        <w:pageBreakBefore w:val="0"/>
        <w:widowControl w:val="0"/>
        <w:kinsoku/>
        <w:overflowPunct/>
        <w:topLinePunct w:val="0"/>
        <w:autoSpaceDE/>
        <w:autoSpaceDN/>
        <w:bidi w:val="0"/>
        <w:spacing w:beforeAutospacing="0" w:afterAutospacing="0" w:line="340" w:lineRule="atLeast"/>
        <w:ind w:left="0" w:leftChars="0" w:firstLine="0" w:firstLineChars="0"/>
        <w:textAlignment w:val="auto"/>
        <w:rPr>
          <w:rFonts w:eastAsia="宋体"/>
          <w:b/>
          <w:color w:val="auto"/>
          <w:sz w:val="21"/>
          <w:szCs w:val="21"/>
          <w:highlight w:val="none"/>
        </w:rPr>
      </w:pPr>
      <w:r>
        <w:rPr>
          <w:rFonts w:hint="eastAsia" w:eastAsia="宋体"/>
          <w:b/>
          <w:color w:val="auto"/>
          <w:sz w:val="21"/>
          <w:szCs w:val="21"/>
          <w:highlight w:val="none"/>
        </w:rPr>
        <w:t>一、项目基本情况</w:t>
      </w:r>
    </w:p>
    <w:p w14:paraId="0AC11B38">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default" w:eastAsia="宋体"/>
          <w:bCs/>
          <w:color w:val="auto"/>
          <w:sz w:val="21"/>
          <w:szCs w:val="21"/>
          <w:highlight w:val="none"/>
          <w:lang w:val="en-US" w:eastAsia="zh-CN"/>
        </w:rPr>
      </w:pPr>
      <w:r>
        <w:rPr>
          <w:rFonts w:hint="eastAsia" w:eastAsia="宋体"/>
          <w:bCs/>
          <w:color w:val="auto"/>
          <w:sz w:val="21"/>
          <w:szCs w:val="21"/>
          <w:highlight w:val="none"/>
        </w:rPr>
        <w:t>1、项目编号：罗财</w:t>
      </w:r>
      <w:r>
        <w:rPr>
          <w:rFonts w:hint="eastAsia" w:eastAsia="宋体"/>
          <w:bCs/>
          <w:color w:val="auto"/>
          <w:sz w:val="21"/>
          <w:szCs w:val="21"/>
          <w:highlight w:val="none"/>
          <w:lang w:val="en-US" w:eastAsia="zh-CN"/>
        </w:rPr>
        <w:t>磋商采购</w:t>
      </w:r>
      <w:r>
        <w:rPr>
          <w:rFonts w:hint="eastAsia" w:eastAsia="宋体"/>
          <w:bCs/>
          <w:color w:val="auto"/>
          <w:sz w:val="21"/>
          <w:szCs w:val="21"/>
          <w:highlight w:val="none"/>
        </w:rPr>
        <w:t>-202</w:t>
      </w:r>
      <w:r>
        <w:rPr>
          <w:rFonts w:hint="eastAsia" w:eastAsia="宋体"/>
          <w:bCs/>
          <w:color w:val="auto"/>
          <w:sz w:val="21"/>
          <w:szCs w:val="21"/>
          <w:highlight w:val="none"/>
          <w:lang w:val="en-US" w:eastAsia="zh-CN"/>
        </w:rPr>
        <w:t>6</w:t>
      </w:r>
      <w:r>
        <w:rPr>
          <w:rFonts w:hint="eastAsia" w:eastAsia="宋体"/>
          <w:bCs/>
          <w:color w:val="auto"/>
          <w:sz w:val="21"/>
          <w:szCs w:val="21"/>
          <w:highlight w:val="none"/>
        </w:rPr>
        <w:t>-</w:t>
      </w:r>
      <w:r>
        <w:rPr>
          <w:rFonts w:hint="eastAsia" w:eastAsia="宋体"/>
          <w:bCs/>
          <w:color w:val="auto"/>
          <w:sz w:val="21"/>
          <w:szCs w:val="21"/>
          <w:highlight w:val="none"/>
          <w:lang w:val="en-US" w:eastAsia="zh-CN"/>
        </w:rPr>
        <w:t>39</w:t>
      </w:r>
    </w:p>
    <w:p w14:paraId="61F3D72E">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Cs/>
          <w:sz w:val="21"/>
          <w:szCs w:val="21"/>
          <w:highlight w:val="none"/>
          <w:lang w:val="en-US" w:eastAsia="zh-CN"/>
        </w:rPr>
      </w:pPr>
      <w:r>
        <w:rPr>
          <w:rFonts w:hint="eastAsia" w:eastAsia="宋体"/>
          <w:bCs/>
          <w:sz w:val="21"/>
          <w:szCs w:val="21"/>
          <w:highlight w:val="none"/>
        </w:rPr>
        <w:t>2、项目名称：</w:t>
      </w:r>
      <w:r>
        <w:rPr>
          <w:rFonts w:hint="eastAsia" w:eastAsia="宋体"/>
          <w:bCs/>
          <w:sz w:val="21"/>
          <w:szCs w:val="21"/>
          <w:highlight w:val="none"/>
          <w:lang w:val="en-US" w:eastAsia="zh-CN"/>
        </w:rPr>
        <w:t>罗山县铁铺镇人民政府2026年罗山县铁铺镇产业发展配套设施项目</w:t>
      </w:r>
    </w:p>
    <w:p w14:paraId="4CD04148">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eastAsia="宋体"/>
          <w:bCs/>
          <w:sz w:val="21"/>
          <w:szCs w:val="21"/>
          <w:highlight w:val="none"/>
        </w:rPr>
      </w:pPr>
      <w:r>
        <w:rPr>
          <w:rFonts w:hint="eastAsia" w:eastAsia="宋体"/>
          <w:bCs/>
          <w:sz w:val="21"/>
          <w:szCs w:val="21"/>
          <w:highlight w:val="none"/>
        </w:rPr>
        <w:t>3、采购方式：竞争性磋商</w:t>
      </w:r>
    </w:p>
    <w:p w14:paraId="0889D35A">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eastAsia="宋体"/>
          <w:bCs/>
          <w:sz w:val="21"/>
          <w:szCs w:val="21"/>
          <w:highlight w:val="none"/>
        </w:rPr>
      </w:pPr>
      <w:r>
        <w:rPr>
          <w:rFonts w:hint="eastAsia" w:eastAsia="宋体"/>
          <w:bCs/>
          <w:sz w:val="21"/>
          <w:szCs w:val="21"/>
          <w:highlight w:val="none"/>
        </w:rPr>
        <w:t>4、预算金额：</w:t>
      </w:r>
      <w:r>
        <w:rPr>
          <w:rFonts w:hint="eastAsia" w:eastAsia="宋体"/>
          <w:bCs/>
          <w:sz w:val="21"/>
          <w:szCs w:val="21"/>
          <w:highlight w:val="none"/>
          <w:lang w:val="en-US" w:eastAsia="zh-CN"/>
        </w:rPr>
        <w:t>3061422.31</w:t>
      </w:r>
      <w:r>
        <w:rPr>
          <w:rFonts w:hint="eastAsia" w:eastAsia="宋体"/>
          <w:bCs/>
          <w:sz w:val="21"/>
          <w:szCs w:val="21"/>
          <w:highlight w:val="none"/>
        </w:rPr>
        <w:t>元</w:t>
      </w:r>
    </w:p>
    <w:p w14:paraId="4A3CE409">
      <w:pPr>
        <w:pStyle w:val="26"/>
        <w:pageBreakBefore w:val="0"/>
        <w:widowControl w:val="0"/>
        <w:kinsoku/>
        <w:overflowPunct/>
        <w:topLinePunct w:val="0"/>
        <w:autoSpaceDE/>
        <w:autoSpaceDN/>
        <w:bidi w:val="0"/>
        <w:spacing w:beforeAutospacing="0" w:afterAutospacing="0" w:line="340" w:lineRule="atLeast"/>
        <w:ind w:left="0" w:leftChars="0" w:firstLine="420" w:firstLineChars="200"/>
        <w:textAlignment w:val="auto"/>
        <w:rPr>
          <w:rFonts w:eastAsia="宋体"/>
          <w:sz w:val="21"/>
          <w:szCs w:val="21"/>
          <w:highlight w:val="none"/>
        </w:rPr>
      </w:pPr>
      <w:r>
        <w:rPr>
          <w:rFonts w:hint="eastAsia" w:eastAsia="宋体"/>
          <w:sz w:val="21"/>
          <w:szCs w:val="21"/>
          <w:highlight w:val="none"/>
        </w:rPr>
        <w:t>最高限价：</w:t>
      </w:r>
      <w:r>
        <w:rPr>
          <w:rFonts w:hint="eastAsia" w:eastAsia="宋体"/>
          <w:bCs/>
          <w:sz w:val="21"/>
          <w:szCs w:val="21"/>
          <w:highlight w:val="none"/>
          <w:lang w:val="en-US" w:eastAsia="zh-CN"/>
        </w:rPr>
        <w:t>3061422.31</w:t>
      </w:r>
      <w:r>
        <w:rPr>
          <w:rFonts w:hint="eastAsia" w:eastAsia="宋体"/>
          <w:sz w:val="21"/>
          <w:szCs w:val="21"/>
          <w:highlight w:val="none"/>
        </w:rPr>
        <w:t>元</w:t>
      </w:r>
    </w:p>
    <w:tbl>
      <w:tblPr>
        <w:tblStyle w:val="31"/>
        <w:tblW w:w="9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48"/>
        <w:gridCol w:w="3426"/>
        <w:gridCol w:w="1667"/>
        <w:gridCol w:w="1857"/>
      </w:tblGrid>
      <w:tr w14:paraId="0FE2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80" w:type="dxa"/>
            <w:vAlign w:val="center"/>
          </w:tcPr>
          <w:p w14:paraId="754E6512">
            <w:pPr>
              <w:pStyle w:val="25"/>
              <w:pageBreakBefore w:val="0"/>
              <w:kinsoku/>
              <w:overflowPunct/>
              <w:topLinePunct w:val="0"/>
              <w:autoSpaceDE/>
              <w:autoSpaceDN/>
              <w:bidi w:val="0"/>
              <w:spacing w:line="340" w:lineRule="atLeast"/>
              <w:ind w:left="0" w:leftChars="0" w:firstLine="0" w:firstLineChars="0"/>
              <w:jc w:val="center"/>
              <w:textAlignment w:val="auto"/>
              <w:rPr>
                <w:rFonts w:hint="eastAsia"/>
                <w:highlight w:val="none"/>
              </w:rPr>
            </w:pPr>
            <w:r>
              <w:rPr>
                <w:rFonts w:hint="eastAsia"/>
                <w:highlight w:val="none"/>
              </w:rPr>
              <w:t>序号</w:t>
            </w:r>
          </w:p>
        </w:tc>
        <w:tc>
          <w:tcPr>
            <w:tcW w:w="1848" w:type="dxa"/>
            <w:vAlign w:val="center"/>
          </w:tcPr>
          <w:p w14:paraId="4FFF0560">
            <w:pPr>
              <w:pStyle w:val="25"/>
              <w:pageBreakBefore w:val="0"/>
              <w:kinsoku/>
              <w:overflowPunct/>
              <w:topLinePunct w:val="0"/>
              <w:autoSpaceDE/>
              <w:autoSpaceDN/>
              <w:bidi w:val="0"/>
              <w:spacing w:line="340" w:lineRule="atLeast"/>
              <w:ind w:left="0" w:leftChars="0" w:firstLine="0" w:firstLineChars="0"/>
              <w:jc w:val="center"/>
              <w:textAlignment w:val="auto"/>
              <w:rPr>
                <w:rFonts w:hint="eastAsia"/>
                <w:highlight w:val="none"/>
              </w:rPr>
            </w:pPr>
            <w:r>
              <w:rPr>
                <w:rFonts w:hint="eastAsia"/>
                <w:highlight w:val="none"/>
              </w:rPr>
              <w:t>包号</w:t>
            </w:r>
          </w:p>
        </w:tc>
        <w:tc>
          <w:tcPr>
            <w:tcW w:w="3426" w:type="dxa"/>
            <w:vAlign w:val="center"/>
          </w:tcPr>
          <w:p w14:paraId="085BD91D">
            <w:pPr>
              <w:pStyle w:val="25"/>
              <w:pageBreakBefore w:val="0"/>
              <w:kinsoku/>
              <w:overflowPunct/>
              <w:topLinePunct w:val="0"/>
              <w:autoSpaceDE/>
              <w:autoSpaceDN/>
              <w:bidi w:val="0"/>
              <w:spacing w:line="340" w:lineRule="atLeast"/>
              <w:ind w:left="0" w:leftChars="0" w:firstLine="0" w:firstLineChars="0"/>
              <w:jc w:val="center"/>
              <w:textAlignment w:val="auto"/>
              <w:rPr>
                <w:rFonts w:hint="eastAsia"/>
                <w:highlight w:val="none"/>
                <w:lang w:eastAsia="zh-CN"/>
              </w:rPr>
            </w:pPr>
            <w:r>
              <w:rPr>
                <w:rFonts w:hint="eastAsia"/>
                <w:highlight w:val="none"/>
              </w:rPr>
              <w:t>包名称</w:t>
            </w:r>
          </w:p>
        </w:tc>
        <w:tc>
          <w:tcPr>
            <w:tcW w:w="1667" w:type="dxa"/>
            <w:vAlign w:val="center"/>
          </w:tcPr>
          <w:p w14:paraId="4112549F">
            <w:pPr>
              <w:pStyle w:val="25"/>
              <w:pageBreakBefore w:val="0"/>
              <w:kinsoku/>
              <w:overflowPunct/>
              <w:topLinePunct w:val="0"/>
              <w:autoSpaceDE/>
              <w:autoSpaceDN/>
              <w:bidi w:val="0"/>
              <w:spacing w:line="340" w:lineRule="atLeast"/>
              <w:ind w:left="0" w:leftChars="0" w:firstLine="0" w:firstLineChars="0"/>
              <w:jc w:val="center"/>
              <w:textAlignment w:val="auto"/>
              <w:rPr>
                <w:rFonts w:hint="eastAsia"/>
                <w:highlight w:val="none"/>
                <w:lang w:val="en-US" w:eastAsia="zh-CN"/>
              </w:rPr>
            </w:pPr>
            <w:r>
              <w:rPr>
                <w:rFonts w:hint="eastAsia"/>
                <w:highlight w:val="none"/>
                <w:lang w:val="en-US" w:eastAsia="zh-CN"/>
              </w:rPr>
              <w:t>包预算（元）</w:t>
            </w:r>
          </w:p>
        </w:tc>
        <w:tc>
          <w:tcPr>
            <w:tcW w:w="1857" w:type="dxa"/>
            <w:vAlign w:val="center"/>
          </w:tcPr>
          <w:p w14:paraId="3F52B940">
            <w:pPr>
              <w:pStyle w:val="25"/>
              <w:pageBreakBefore w:val="0"/>
              <w:kinsoku/>
              <w:overflowPunct/>
              <w:topLinePunct w:val="0"/>
              <w:autoSpaceDE/>
              <w:autoSpaceDN/>
              <w:bidi w:val="0"/>
              <w:spacing w:line="340" w:lineRule="atLeast"/>
              <w:ind w:left="0" w:leftChars="0" w:firstLine="0" w:firstLineChars="0"/>
              <w:jc w:val="center"/>
              <w:textAlignment w:val="auto"/>
              <w:rPr>
                <w:rFonts w:hint="eastAsia"/>
                <w:highlight w:val="none"/>
                <w:lang w:val="en-US" w:eastAsia="zh-CN"/>
              </w:rPr>
            </w:pPr>
            <w:r>
              <w:rPr>
                <w:rFonts w:hint="eastAsia"/>
                <w:highlight w:val="none"/>
                <w:lang w:val="en-US" w:eastAsia="zh-CN"/>
              </w:rPr>
              <w:t>包最高限价（元）</w:t>
            </w:r>
          </w:p>
        </w:tc>
      </w:tr>
      <w:tr w14:paraId="5B8E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80" w:type="dxa"/>
            <w:vAlign w:val="center"/>
          </w:tcPr>
          <w:p w14:paraId="35546646">
            <w:pPr>
              <w:pStyle w:val="3"/>
              <w:pageBreakBefore w:val="0"/>
              <w:kinsoku/>
              <w:overflowPunct/>
              <w:topLinePunct w:val="0"/>
              <w:autoSpaceDE/>
              <w:autoSpaceDN/>
              <w:bidi w:val="0"/>
              <w:spacing w:line="340" w:lineRule="atLeast"/>
              <w:ind w:firstLine="0" w:firstLineChars="0"/>
              <w:jc w:val="center"/>
              <w:textAlignment w:val="auto"/>
              <w:rPr>
                <w:rFonts w:eastAsia="宋体" w:cs="Times New Roman"/>
                <w:b w:val="0"/>
                <w:kern w:val="0"/>
                <w:sz w:val="21"/>
                <w:szCs w:val="21"/>
                <w:highlight w:val="none"/>
              </w:rPr>
            </w:pPr>
            <w:r>
              <w:rPr>
                <w:rFonts w:hint="eastAsia" w:eastAsia="宋体" w:cs="Times New Roman"/>
                <w:b w:val="0"/>
                <w:kern w:val="0"/>
                <w:sz w:val="21"/>
                <w:szCs w:val="21"/>
                <w:highlight w:val="none"/>
              </w:rPr>
              <w:t>1</w:t>
            </w:r>
          </w:p>
        </w:tc>
        <w:tc>
          <w:tcPr>
            <w:tcW w:w="1848" w:type="dxa"/>
            <w:vAlign w:val="center"/>
          </w:tcPr>
          <w:p w14:paraId="3E01497C">
            <w:pPr>
              <w:pStyle w:val="3"/>
              <w:pageBreakBefore w:val="0"/>
              <w:kinsoku/>
              <w:overflowPunct/>
              <w:topLinePunct w:val="0"/>
              <w:autoSpaceDE/>
              <w:autoSpaceDN/>
              <w:bidi w:val="0"/>
              <w:spacing w:line="340" w:lineRule="atLeast"/>
              <w:ind w:firstLine="0" w:firstLineChars="0"/>
              <w:textAlignment w:val="auto"/>
              <w:rPr>
                <w:rFonts w:hint="default" w:cs="Times New Roman" w:eastAsiaTheme="minorEastAsia"/>
                <w:b w:val="0"/>
                <w:bCs w:val="0"/>
                <w:kern w:val="0"/>
                <w:sz w:val="21"/>
                <w:szCs w:val="21"/>
                <w:highlight w:val="none"/>
                <w:lang w:val="en-US" w:eastAsia="zh-CN"/>
              </w:rPr>
            </w:pPr>
            <w:r>
              <w:rPr>
                <w:rFonts w:hint="eastAsia" w:eastAsia="宋体"/>
                <w:b w:val="0"/>
                <w:bCs w:val="0"/>
                <w:color w:val="auto"/>
                <w:sz w:val="21"/>
                <w:szCs w:val="21"/>
                <w:highlight w:val="none"/>
              </w:rPr>
              <w:t>罗财</w:t>
            </w:r>
            <w:r>
              <w:rPr>
                <w:rFonts w:hint="eastAsia" w:eastAsia="宋体"/>
                <w:b w:val="0"/>
                <w:bCs w:val="0"/>
                <w:color w:val="auto"/>
                <w:sz w:val="21"/>
                <w:szCs w:val="21"/>
                <w:highlight w:val="none"/>
                <w:lang w:val="en-US" w:eastAsia="zh-CN"/>
              </w:rPr>
              <w:t>磋商采购</w:t>
            </w:r>
            <w:r>
              <w:rPr>
                <w:rFonts w:cs="宋体"/>
                <w:b w:val="0"/>
                <w:bCs w:val="0"/>
                <w:color w:val="auto"/>
                <w:sz w:val="21"/>
                <w:szCs w:val="21"/>
                <w:highlight w:val="none"/>
              </w:rPr>
              <w:t>-202</w:t>
            </w:r>
            <w:r>
              <w:rPr>
                <w:rFonts w:hint="eastAsia" w:cs="宋体"/>
                <w:b w:val="0"/>
                <w:bCs w:val="0"/>
                <w:color w:val="auto"/>
                <w:sz w:val="21"/>
                <w:szCs w:val="21"/>
                <w:highlight w:val="none"/>
                <w:lang w:val="en-US" w:eastAsia="zh-CN"/>
              </w:rPr>
              <w:t>6</w:t>
            </w:r>
            <w:r>
              <w:rPr>
                <w:rFonts w:cs="宋体"/>
                <w:b w:val="0"/>
                <w:bCs w:val="0"/>
                <w:color w:val="auto"/>
                <w:sz w:val="21"/>
                <w:szCs w:val="21"/>
                <w:highlight w:val="none"/>
              </w:rPr>
              <w:t>-</w:t>
            </w:r>
            <w:r>
              <w:rPr>
                <w:rFonts w:hint="eastAsia" w:cs="宋体"/>
                <w:b w:val="0"/>
                <w:bCs w:val="0"/>
                <w:color w:val="auto"/>
                <w:sz w:val="21"/>
                <w:szCs w:val="21"/>
                <w:highlight w:val="none"/>
                <w:lang w:val="en-US" w:eastAsia="zh-CN"/>
              </w:rPr>
              <w:t>39-1</w:t>
            </w:r>
          </w:p>
        </w:tc>
        <w:tc>
          <w:tcPr>
            <w:tcW w:w="3426" w:type="dxa"/>
          </w:tcPr>
          <w:p w14:paraId="5327F9D8">
            <w:pPr>
              <w:pStyle w:val="3"/>
              <w:pageBreakBefore w:val="0"/>
              <w:kinsoku/>
              <w:overflowPunct/>
              <w:topLinePunct w:val="0"/>
              <w:autoSpaceDE/>
              <w:autoSpaceDN/>
              <w:bidi w:val="0"/>
              <w:spacing w:line="340" w:lineRule="atLeast"/>
              <w:ind w:firstLine="0" w:firstLineChars="0"/>
              <w:textAlignment w:val="auto"/>
              <w:rPr>
                <w:rFonts w:hint="default" w:eastAsia="宋体" w:cs="Times New Roman"/>
                <w:b w:val="0"/>
                <w:bCs w:val="0"/>
                <w:kern w:val="0"/>
                <w:sz w:val="21"/>
                <w:szCs w:val="21"/>
                <w:highlight w:val="none"/>
                <w:lang w:val="en-US"/>
              </w:rPr>
            </w:pPr>
            <w:r>
              <w:rPr>
                <w:rFonts w:hint="eastAsia" w:eastAsia="宋体" w:cs="Times New Roman"/>
                <w:b w:val="0"/>
                <w:bCs w:val="0"/>
                <w:kern w:val="0"/>
                <w:sz w:val="21"/>
                <w:szCs w:val="21"/>
                <w:highlight w:val="none"/>
                <w:lang w:val="en-US" w:eastAsia="zh-CN"/>
              </w:rPr>
              <w:t>罗山县铁铺镇人民政府2026年罗山县铁铺镇产业发展配套设施项目</w:t>
            </w:r>
          </w:p>
        </w:tc>
        <w:tc>
          <w:tcPr>
            <w:tcW w:w="1667" w:type="dxa"/>
            <w:vAlign w:val="center"/>
          </w:tcPr>
          <w:p w14:paraId="78157B51">
            <w:pPr>
              <w:pStyle w:val="3"/>
              <w:pageBreakBefore w:val="0"/>
              <w:kinsoku/>
              <w:overflowPunct/>
              <w:topLinePunct w:val="0"/>
              <w:autoSpaceDE/>
              <w:autoSpaceDN/>
              <w:bidi w:val="0"/>
              <w:spacing w:line="340" w:lineRule="atLeast"/>
              <w:ind w:firstLine="0" w:firstLineChars="0"/>
              <w:jc w:val="center"/>
              <w:textAlignment w:val="auto"/>
              <w:rPr>
                <w:rFonts w:hint="default" w:eastAsia="宋体" w:cs="Times New Roman"/>
                <w:b w:val="0"/>
                <w:bCs w:val="0"/>
                <w:kern w:val="0"/>
                <w:sz w:val="21"/>
                <w:szCs w:val="21"/>
                <w:highlight w:val="none"/>
                <w:lang w:val="en-US"/>
              </w:rPr>
            </w:pPr>
            <w:r>
              <w:rPr>
                <w:rFonts w:hint="default" w:eastAsia="宋体" w:cs="Times New Roman"/>
                <w:b w:val="0"/>
                <w:bCs w:val="0"/>
                <w:kern w:val="0"/>
                <w:sz w:val="21"/>
                <w:szCs w:val="21"/>
                <w:highlight w:val="none"/>
                <w:lang w:val="en-US" w:eastAsia="zh-CN"/>
              </w:rPr>
              <w:t>3061422.31</w:t>
            </w:r>
          </w:p>
        </w:tc>
        <w:tc>
          <w:tcPr>
            <w:tcW w:w="1857" w:type="dxa"/>
            <w:vAlign w:val="center"/>
          </w:tcPr>
          <w:p w14:paraId="330264BD">
            <w:pPr>
              <w:pStyle w:val="3"/>
              <w:pageBreakBefore w:val="0"/>
              <w:kinsoku/>
              <w:overflowPunct/>
              <w:topLinePunct w:val="0"/>
              <w:autoSpaceDE/>
              <w:autoSpaceDN/>
              <w:bidi w:val="0"/>
              <w:spacing w:line="340" w:lineRule="atLeast"/>
              <w:ind w:firstLine="0" w:firstLineChars="0"/>
              <w:jc w:val="center"/>
              <w:textAlignment w:val="auto"/>
              <w:rPr>
                <w:rFonts w:hint="default" w:eastAsia="宋体" w:cs="Times New Roman"/>
                <w:b w:val="0"/>
                <w:bCs w:val="0"/>
                <w:kern w:val="0"/>
                <w:sz w:val="21"/>
                <w:szCs w:val="21"/>
                <w:highlight w:val="none"/>
                <w:lang w:val="en-US"/>
              </w:rPr>
            </w:pPr>
            <w:r>
              <w:rPr>
                <w:rFonts w:hint="default" w:eastAsia="宋体" w:cs="Times New Roman"/>
                <w:b w:val="0"/>
                <w:bCs w:val="0"/>
                <w:kern w:val="0"/>
                <w:sz w:val="21"/>
                <w:szCs w:val="21"/>
                <w:highlight w:val="none"/>
                <w:lang w:val="en-US" w:eastAsia="zh-CN"/>
              </w:rPr>
              <w:t>3061422.31</w:t>
            </w:r>
          </w:p>
        </w:tc>
      </w:tr>
    </w:tbl>
    <w:p w14:paraId="5B644C51">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eastAsia="宋体"/>
          <w:bCs/>
          <w:sz w:val="21"/>
          <w:szCs w:val="21"/>
        </w:rPr>
      </w:pPr>
      <w:r>
        <w:rPr>
          <w:rFonts w:hint="eastAsia" w:eastAsia="宋体"/>
          <w:bCs/>
          <w:sz w:val="21"/>
          <w:szCs w:val="21"/>
        </w:rPr>
        <w:t>5、采购需求：</w:t>
      </w:r>
    </w:p>
    <w:p w14:paraId="5354214F">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lang w:val="en-US" w:eastAsia="zh-CN"/>
        </w:rPr>
      </w:pPr>
      <w:r>
        <w:rPr>
          <w:rFonts w:hint="eastAsia" w:eastAsia="宋体"/>
          <w:b w:val="0"/>
          <w:bCs w:val="0"/>
          <w:sz w:val="21"/>
          <w:szCs w:val="21"/>
          <w:lang w:val="en-US" w:eastAsia="zh-CN"/>
        </w:rPr>
        <w:t>5.1 采购内容：工程量清单内包含的全部内容；</w:t>
      </w:r>
    </w:p>
    <w:p w14:paraId="7A30B8E1">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lang w:val="en-US" w:eastAsia="zh-CN"/>
        </w:rPr>
      </w:pPr>
      <w:r>
        <w:rPr>
          <w:rFonts w:hint="eastAsia" w:eastAsia="宋体"/>
          <w:b w:val="0"/>
          <w:bCs w:val="0"/>
          <w:sz w:val="21"/>
          <w:szCs w:val="21"/>
          <w:lang w:val="en-US" w:eastAsia="zh-CN"/>
        </w:rPr>
        <w:t>5.2 资金来源及落实情况：财政资金，已落实；</w:t>
      </w:r>
    </w:p>
    <w:p w14:paraId="4ED954A1">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highlight w:val="none"/>
          <w:lang w:val="en-US" w:eastAsia="zh-CN"/>
        </w:rPr>
      </w:pPr>
      <w:r>
        <w:rPr>
          <w:rFonts w:hint="eastAsia" w:eastAsia="宋体"/>
          <w:b w:val="0"/>
          <w:bCs w:val="0"/>
          <w:sz w:val="21"/>
          <w:szCs w:val="21"/>
          <w:lang w:val="en-US" w:eastAsia="zh-CN"/>
        </w:rPr>
        <w:t>5.3质量要求</w:t>
      </w:r>
      <w:r>
        <w:rPr>
          <w:rFonts w:hint="eastAsia" w:eastAsia="宋体"/>
          <w:b w:val="0"/>
          <w:bCs w:val="0"/>
          <w:sz w:val="21"/>
          <w:szCs w:val="21"/>
          <w:highlight w:val="none"/>
          <w:lang w:val="en-US" w:eastAsia="zh-CN"/>
        </w:rPr>
        <w:t>：合格，达到施工质量验收规范国家标准；</w:t>
      </w:r>
    </w:p>
    <w:p w14:paraId="29E0C63E">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highlight w:val="none"/>
          <w:lang w:val="en-US" w:eastAsia="zh-CN"/>
        </w:rPr>
      </w:pPr>
      <w:r>
        <w:rPr>
          <w:rFonts w:hint="eastAsia" w:eastAsia="宋体"/>
          <w:b w:val="0"/>
          <w:bCs w:val="0"/>
          <w:sz w:val="21"/>
          <w:szCs w:val="21"/>
          <w:highlight w:val="none"/>
          <w:lang w:val="en-US" w:eastAsia="zh-CN"/>
        </w:rPr>
        <w:t>5.4包段划分：共划分1个包段；</w:t>
      </w:r>
    </w:p>
    <w:p w14:paraId="160800D6">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highlight w:val="none"/>
          <w:lang w:val="en-US" w:eastAsia="zh-CN"/>
        </w:rPr>
      </w:pPr>
      <w:r>
        <w:rPr>
          <w:rFonts w:hint="eastAsia" w:eastAsia="宋体"/>
          <w:b w:val="0"/>
          <w:bCs w:val="0"/>
          <w:sz w:val="21"/>
          <w:szCs w:val="21"/>
          <w:highlight w:val="none"/>
          <w:lang w:val="en-US" w:eastAsia="zh-CN"/>
        </w:rPr>
        <w:t xml:space="preserve">6、合同履行期限：120日历天。  </w:t>
      </w:r>
    </w:p>
    <w:p w14:paraId="41F587FC">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lang w:val="en-US" w:eastAsia="zh-CN"/>
        </w:rPr>
      </w:pPr>
      <w:r>
        <w:rPr>
          <w:rFonts w:hint="eastAsia" w:eastAsia="宋体"/>
          <w:b w:val="0"/>
          <w:bCs w:val="0"/>
          <w:sz w:val="21"/>
          <w:szCs w:val="21"/>
          <w:lang w:val="en-US" w:eastAsia="zh-CN"/>
        </w:rPr>
        <w:t xml:space="preserve">7、本项目是否接受联合体投标：否 </w:t>
      </w:r>
    </w:p>
    <w:p w14:paraId="6B2ECFFF">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eastAsia" w:eastAsia="宋体"/>
          <w:b w:val="0"/>
          <w:bCs w:val="0"/>
          <w:sz w:val="21"/>
          <w:szCs w:val="21"/>
          <w:lang w:val="en-US" w:eastAsia="zh-CN"/>
        </w:rPr>
      </w:pPr>
      <w:r>
        <w:rPr>
          <w:rFonts w:hint="eastAsia" w:eastAsia="宋体"/>
          <w:b w:val="0"/>
          <w:bCs w:val="0"/>
          <w:sz w:val="21"/>
          <w:szCs w:val="21"/>
          <w:lang w:val="en-US" w:eastAsia="zh-CN"/>
        </w:rPr>
        <w:t xml:space="preserve">8、是否接受进口产品：否 </w:t>
      </w:r>
    </w:p>
    <w:p w14:paraId="24D417D4">
      <w:pPr>
        <w:pStyle w:val="26"/>
        <w:pageBreakBefore w:val="0"/>
        <w:widowControl w:val="0"/>
        <w:kinsoku/>
        <w:overflowPunct/>
        <w:topLinePunct w:val="0"/>
        <w:autoSpaceDE/>
        <w:autoSpaceDN/>
        <w:bidi w:val="0"/>
        <w:spacing w:beforeAutospacing="0" w:afterAutospacing="0" w:line="340" w:lineRule="atLeast"/>
        <w:ind w:firstLine="420" w:firstLineChars="200"/>
        <w:textAlignment w:val="auto"/>
        <w:rPr>
          <w:rFonts w:hint="default" w:eastAsia="宋体"/>
          <w:b w:val="0"/>
          <w:bCs w:val="0"/>
          <w:sz w:val="21"/>
          <w:szCs w:val="21"/>
          <w:lang w:val="en-US" w:eastAsia="zh-CN"/>
        </w:rPr>
      </w:pPr>
      <w:r>
        <w:rPr>
          <w:rFonts w:hint="eastAsia" w:eastAsia="宋体"/>
          <w:b w:val="0"/>
          <w:bCs w:val="0"/>
          <w:sz w:val="21"/>
          <w:szCs w:val="21"/>
          <w:lang w:val="en-US" w:eastAsia="zh-CN"/>
        </w:rPr>
        <w:t>9、是否专门面向中小企业：是</w:t>
      </w:r>
    </w:p>
    <w:p w14:paraId="7E7868AB">
      <w:pPr>
        <w:pStyle w:val="26"/>
        <w:pageBreakBefore w:val="0"/>
        <w:widowControl w:val="0"/>
        <w:kinsoku/>
        <w:overflowPunct/>
        <w:topLinePunct w:val="0"/>
        <w:autoSpaceDE/>
        <w:autoSpaceDN/>
        <w:bidi w:val="0"/>
        <w:spacing w:beforeAutospacing="0" w:afterAutospacing="0" w:line="340" w:lineRule="atLeast"/>
        <w:ind w:firstLine="0" w:firstLineChars="0"/>
        <w:textAlignment w:val="auto"/>
        <w:rPr>
          <w:rFonts w:eastAsia="宋体"/>
          <w:b/>
          <w:bCs/>
          <w:sz w:val="21"/>
          <w:szCs w:val="21"/>
        </w:rPr>
      </w:pPr>
      <w:r>
        <w:rPr>
          <w:rFonts w:hint="eastAsia" w:eastAsia="宋体"/>
          <w:b/>
          <w:bCs/>
          <w:sz w:val="21"/>
          <w:szCs w:val="21"/>
        </w:rPr>
        <w:t>二、申请人资格要求：</w:t>
      </w:r>
    </w:p>
    <w:p w14:paraId="35B455FE">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rPr>
        <w:t>1、满足《中华人民共和国政府采购法》第二十二条规定。</w:t>
      </w:r>
    </w:p>
    <w:p w14:paraId="785DD0E2">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rPr>
        <w:t>2、落实政府采购政策满足的资格要求：</w:t>
      </w:r>
    </w:p>
    <w:p w14:paraId="3B00AA44">
      <w:pPr>
        <w:pageBreakBefore w:val="0"/>
        <w:kinsoku/>
        <w:overflowPunct/>
        <w:topLinePunct w:val="0"/>
        <w:autoSpaceDE/>
        <w:autoSpaceDN/>
        <w:bidi w:val="0"/>
        <w:adjustRightInd w:val="0"/>
        <w:snapToGrid w:val="0"/>
        <w:spacing w:line="340" w:lineRule="atLeast"/>
        <w:ind w:firstLine="420" w:firstLineChars="200"/>
        <w:textAlignment w:val="auto"/>
        <w:rPr>
          <w:rFonts w:hint="default" w:eastAsia="宋体"/>
          <w:lang w:val="en-US" w:eastAsia="zh-CN"/>
        </w:rPr>
      </w:pPr>
      <w:r>
        <w:rPr>
          <w:rFonts w:hint="eastAsia" w:ascii="宋体" w:hAnsi="宋体" w:eastAsia="宋体" w:cs="宋体"/>
          <w:szCs w:val="21"/>
          <w:lang w:val="en-US" w:eastAsia="zh-CN"/>
        </w:rPr>
        <w:t>本项目为专门面向中小微企业采购(监狱企业、残疾人福利性单位视同小型、微型企业)，落实节约能源、保护环境、绿色建筑、绿色建材。</w:t>
      </w:r>
    </w:p>
    <w:p w14:paraId="129D6DF6">
      <w:pPr>
        <w:pageBreakBefore w:val="0"/>
        <w:numPr>
          <w:ilvl w:val="0"/>
          <w:numId w:val="0"/>
        </w:numPr>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本项目的特定资格要求：</w:t>
      </w:r>
    </w:p>
    <w:p w14:paraId="3DD55BF0">
      <w:pPr>
        <w:pageBreakBefore w:val="0"/>
        <w:kinsoku/>
        <w:overflowPunct/>
        <w:topLinePunct w:val="0"/>
        <w:autoSpaceDE/>
        <w:autoSpaceDN/>
        <w:bidi w:val="0"/>
        <w:adjustRightInd w:val="0"/>
        <w:snapToGrid w:val="0"/>
        <w:spacing w:line="340" w:lineRule="atLeas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3.1</w:t>
      </w:r>
      <w:r>
        <w:rPr>
          <w:rFonts w:hint="eastAsia" w:ascii="宋体" w:hAnsi="宋体" w:eastAsia="宋体" w:cs="宋体"/>
          <w:color w:val="auto"/>
          <w:kern w:val="0"/>
          <w:szCs w:val="21"/>
          <w:highlight w:val="none"/>
        </w:rPr>
        <w:t>供应商须具备</w:t>
      </w:r>
      <w:r>
        <w:rPr>
          <w:rFonts w:hint="eastAsia" w:ascii="宋体" w:hAnsi="宋体" w:eastAsia="宋体" w:cs="宋体"/>
          <w:color w:val="auto"/>
          <w:kern w:val="0"/>
          <w:szCs w:val="21"/>
          <w:highlight w:val="none"/>
          <w:lang w:eastAsia="zh-CN"/>
        </w:rPr>
        <w:t>建设行政主管部门核发的</w:t>
      </w:r>
      <w:r>
        <w:rPr>
          <w:rFonts w:hint="eastAsia" w:ascii="宋体" w:hAnsi="宋体" w:eastAsia="宋体" w:cs="宋体"/>
          <w:color w:val="auto"/>
          <w:kern w:val="0"/>
          <w:szCs w:val="21"/>
          <w:highlight w:val="none"/>
          <w:lang w:val="en-US" w:eastAsia="zh-CN"/>
        </w:rPr>
        <w:t>建筑工程施工总承包三级及以上</w:t>
      </w:r>
      <w:r>
        <w:rPr>
          <w:rFonts w:hint="eastAsia" w:ascii="宋体" w:hAnsi="宋体" w:eastAsia="宋体" w:cs="宋体"/>
          <w:color w:val="auto"/>
          <w:kern w:val="0"/>
          <w:szCs w:val="21"/>
          <w:highlight w:val="none"/>
          <w:lang w:eastAsia="zh-CN"/>
        </w:rPr>
        <w:t>资质</w:t>
      </w:r>
      <w:r>
        <w:rPr>
          <w:rFonts w:hint="eastAsia" w:ascii="宋体" w:hAnsi="宋体" w:eastAsia="宋体" w:cs="宋体"/>
          <w:color w:val="auto"/>
          <w:kern w:val="0"/>
          <w:szCs w:val="21"/>
          <w:highlight w:val="none"/>
          <w:lang w:val="en-US" w:eastAsia="zh-CN"/>
        </w:rPr>
        <w:t>或水利水电工程施工总承包叁级及以上资质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具有有效的安全生产许可证，并在人员、设备、资金等方面具有相应的施工能力；其中，拟派项目经理具备</w:t>
      </w:r>
      <w:r>
        <w:rPr>
          <w:rFonts w:hint="eastAsia" w:ascii="宋体" w:hAnsi="宋体" w:eastAsia="宋体" w:cs="宋体"/>
          <w:color w:val="auto"/>
          <w:kern w:val="0"/>
          <w:szCs w:val="21"/>
          <w:highlight w:val="none"/>
          <w:lang w:val="en-US" w:eastAsia="zh-CN"/>
        </w:rPr>
        <w:t>相关</w:t>
      </w:r>
      <w:r>
        <w:rPr>
          <w:rFonts w:hint="eastAsia" w:ascii="宋体" w:hAnsi="宋体" w:eastAsia="宋体" w:cs="宋体"/>
          <w:color w:val="auto"/>
          <w:kern w:val="0"/>
          <w:szCs w:val="21"/>
          <w:highlight w:val="none"/>
          <w:lang w:eastAsia="zh-CN"/>
        </w:rPr>
        <w:t>专业</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级及以上注册建造师证书，且具有安全生产考核合格证书，并未担任其他在建工程的项目经理</w:t>
      </w:r>
      <w:r>
        <w:rPr>
          <w:rFonts w:hint="eastAsia" w:ascii="宋体" w:hAnsi="宋体" w:eastAsia="宋体" w:cs="宋体"/>
          <w:color w:val="auto"/>
          <w:kern w:val="0"/>
          <w:szCs w:val="21"/>
          <w:highlight w:val="none"/>
          <w:lang w:eastAsia="zh-CN"/>
        </w:rPr>
        <w:t>；根据《河南省住房和城乡建设厅关于进一步规范建设工程企业资质管理的通知》建筑业企业不能使用标注异常资质承揽新的工程（提供承诺函）。</w:t>
      </w:r>
    </w:p>
    <w:p w14:paraId="5B14515B">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.2 本项目 适用</w:t>
      </w:r>
      <w:r>
        <w:rPr>
          <w:rFonts w:hint="eastAsia" w:ascii="宋体" w:hAnsi="宋体" w:cs="宋体"/>
          <w:szCs w:val="21"/>
          <w:u w:val="single"/>
        </w:rPr>
        <w:t xml:space="preserve"> </w:t>
      </w:r>
      <w:r>
        <w:rPr>
          <w:rFonts w:hint="eastAsia" w:ascii="宋体" w:hAnsi="宋体" w:cs="宋体"/>
          <w:b/>
          <w:bCs/>
          <w:szCs w:val="21"/>
          <w:u w:val="single"/>
        </w:rPr>
        <w:t>信用承诺</w:t>
      </w:r>
      <w:r>
        <w:rPr>
          <w:rFonts w:hint="eastAsia" w:ascii="宋体" w:hAnsi="宋体" w:cs="宋体"/>
          <w:szCs w:val="21"/>
        </w:rPr>
        <w:t>（详见下述要求）：</w:t>
      </w:r>
    </w:p>
    <w:p w14:paraId="627CB7D4">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70B93C1B">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①具有独立承担民事责任的能力；</w:t>
      </w:r>
    </w:p>
    <w:p w14:paraId="6927D98D">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②符合国家相关规定的财务状况报告（</w:t>
      </w:r>
      <w:r>
        <w:rPr>
          <w:rFonts w:hint="eastAsia" w:ascii="宋体" w:hAnsi="宋体" w:cs="宋体"/>
          <w:szCs w:val="21"/>
          <w:lang w:val="en-US" w:eastAsia="zh-CN"/>
        </w:rPr>
        <w:t>提供2025年度</w:t>
      </w:r>
      <w:r>
        <w:rPr>
          <w:rFonts w:hint="eastAsia" w:ascii="宋体" w:hAnsi="宋体" w:cs="宋体"/>
          <w:szCs w:val="21"/>
        </w:rPr>
        <w:t>财务审计报告或</w:t>
      </w:r>
      <w:r>
        <w:rPr>
          <w:rFonts w:hint="eastAsia" w:ascii="宋体" w:hAnsi="宋体" w:cs="宋体"/>
          <w:szCs w:val="21"/>
          <w:lang w:val="en-US" w:eastAsia="zh-CN"/>
        </w:rPr>
        <w:t>近一个月内</w:t>
      </w:r>
      <w:r>
        <w:rPr>
          <w:rFonts w:hint="eastAsia" w:ascii="宋体" w:hAnsi="宋体" w:cs="宋体"/>
          <w:szCs w:val="21"/>
        </w:rPr>
        <w:t>其基本开户银行出具的资信证明</w:t>
      </w:r>
      <w:r>
        <w:rPr>
          <w:rFonts w:hint="eastAsia" w:ascii="宋体" w:hAnsi="宋体" w:cs="宋体"/>
          <w:szCs w:val="21"/>
          <w:lang w:eastAsia="zh-CN"/>
        </w:rPr>
        <w:t>）</w:t>
      </w:r>
      <w:r>
        <w:rPr>
          <w:rFonts w:hint="eastAsia" w:ascii="宋体" w:hAnsi="宋体" w:cs="宋体"/>
          <w:szCs w:val="21"/>
        </w:rPr>
        <w:t>；</w:t>
      </w:r>
    </w:p>
    <w:p w14:paraId="3FC26F03">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③依法缴纳税收</w:t>
      </w:r>
      <w:r>
        <w:rPr>
          <w:rFonts w:hint="eastAsia" w:ascii="宋体" w:hAnsi="宋体" w:cs="宋体"/>
          <w:szCs w:val="21"/>
          <w:lang w:val="en-US" w:eastAsia="zh-CN"/>
        </w:rPr>
        <w:t>和</w:t>
      </w:r>
      <w:r>
        <w:rPr>
          <w:rFonts w:hint="eastAsia" w:ascii="宋体" w:hAnsi="宋体" w:cs="宋体"/>
          <w:szCs w:val="21"/>
        </w:rPr>
        <w:t>社会保障资金的证明材料（默认开标前12个月内任意</w:t>
      </w:r>
      <w:r>
        <w:rPr>
          <w:rFonts w:hint="eastAsia" w:ascii="宋体" w:hAnsi="宋体" w:cs="宋体"/>
          <w:szCs w:val="21"/>
          <w:lang w:val="en-US" w:eastAsia="zh-CN"/>
        </w:rPr>
        <w:t>3</w:t>
      </w:r>
      <w:r>
        <w:rPr>
          <w:rFonts w:hint="eastAsia" w:ascii="宋体" w:hAnsi="宋体" w:cs="宋体"/>
          <w:szCs w:val="21"/>
        </w:rPr>
        <w:t>个月缴纳社会保障证明，新成立公司不足</w:t>
      </w:r>
      <w:r>
        <w:rPr>
          <w:rFonts w:hint="eastAsia" w:ascii="宋体" w:hAnsi="宋体" w:cs="宋体"/>
          <w:szCs w:val="21"/>
          <w:lang w:val="en-US" w:eastAsia="zh-CN"/>
        </w:rPr>
        <w:t>3</w:t>
      </w:r>
      <w:r>
        <w:rPr>
          <w:rFonts w:hint="eastAsia" w:ascii="宋体" w:hAnsi="宋体" w:cs="宋体"/>
          <w:szCs w:val="21"/>
        </w:rPr>
        <w:t>个月的，按已缴纳月份提供）；</w:t>
      </w:r>
    </w:p>
    <w:p w14:paraId="13C3A33F">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④具备履行政府采购合同所必需的设备和专业技术能力的证明材料（</w:t>
      </w:r>
      <w:r>
        <w:rPr>
          <w:rFonts w:hint="eastAsia" w:ascii="宋体" w:hAnsi="宋体" w:cs="宋体"/>
          <w:szCs w:val="21"/>
          <w:lang w:val="en-US" w:eastAsia="zh-CN"/>
        </w:rPr>
        <w:t>自行承诺</w:t>
      </w:r>
      <w:r>
        <w:rPr>
          <w:rFonts w:hint="eastAsia" w:ascii="宋体" w:hAnsi="宋体" w:cs="宋体"/>
          <w:szCs w:val="21"/>
        </w:rPr>
        <w:t>）；</w:t>
      </w:r>
    </w:p>
    <w:p w14:paraId="5949A7C8">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⑤参加政府采购活动前三年内在经营活动中没有重大违法记录的证明材料；</w:t>
      </w:r>
    </w:p>
    <w:p w14:paraId="228C8E28">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eastAsiaTheme="minorEastAsia"/>
          <w:szCs w:val="21"/>
          <w:lang w:eastAsia="zh-CN"/>
        </w:rPr>
      </w:pPr>
      <w:r>
        <w:rPr>
          <w:rFonts w:hint="eastAsia" w:ascii="宋体" w:hAnsi="宋体" w:cs="宋体"/>
          <w:szCs w:val="21"/>
        </w:rPr>
        <w:t>⑥未被列入失信被执行人、税收违法黑名单、政府采购严重违法失信行为记录名单的证明材料。投标人应通过“信用中国（www.creditchina.gov.cn）”查询“失信被执行人、重大税收违法失信主体、政府采购严重违法失信行为记录名单”和“中国政府采购网（www.ccgp.gov.cn）”查询“政府采购严重违法失信行为记录”进行信用查询，提供网页查询截图，对列入上述名单的投标人将被拒绝参加投标活动</w:t>
      </w:r>
      <w:r>
        <w:rPr>
          <w:rFonts w:hint="eastAsia" w:ascii="宋体" w:hAnsi="宋体" w:cs="宋体"/>
          <w:szCs w:val="21"/>
          <w:lang w:eastAsia="zh-CN"/>
        </w:rPr>
        <w:t>。（</w:t>
      </w:r>
      <w:r>
        <w:rPr>
          <w:rFonts w:hint="eastAsia" w:ascii="宋体" w:hAnsi="宋体" w:cs="宋体"/>
          <w:szCs w:val="21"/>
        </w:rPr>
        <w:t>查询截止时点为：从报名开始之日起至投标截止之日止</w:t>
      </w:r>
      <w:r>
        <w:rPr>
          <w:rFonts w:hint="eastAsia" w:ascii="宋体" w:hAnsi="宋体" w:cs="宋体"/>
          <w:szCs w:val="21"/>
          <w:lang w:eastAsia="zh-CN"/>
        </w:rPr>
        <w:t>）</w:t>
      </w:r>
    </w:p>
    <w:p w14:paraId="6E16AC41">
      <w:pPr>
        <w:pageBreakBefore w:val="0"/>
        <w:numPr>
          <w:ilvl w:val="0"/>
          <w:numId w:val="2"/>
        </w:numPr>
        <w:kinsoku/>
        <w:overflowPunct/>
        <w:topLinePunct w:val="0"/>
        <w:autoSpaceDE/>
        <w:autoSpaceDN/>
        <w:bidi w:val="0"/>
        <w:adjustRightInd w:val="0"/>
        <w:snapToGrid w:val="0"/>
        <w:spacing w:line="340" w:lineRule="atLeast"/>
        <w:ind w:firstLine="420" w:firstLineChars="200"/>
        <w:textAlignment w:val="auto"/>
        <w:rPr>
          <w:rFonts w:hint="eastAsia" w:ascii="宋体" w:hAnsi="宋体" w:cs="宋体"/>
          <w:szCs w:val="21"/>
        </w:rPr>
      </w:pPr>
      <w:r>
        <w:rPr>
          <w:rFonts w:hint="eastAsia" w:ascii="宋体" w:hAnsi="宋体" w:cs="宋体"/>
          <w:szCs w:val="21"/>
        </w:rPr>
        <w:t>供应商在中标（成交）后，应将上述由信用承诺书替代的证明材料提交采购人（采购代理机构）核验，经核验无误后，由采购人发出中标（成交）通知书。</w:t>
      </w:r>
    </w:p>
    <w:p w14:paraId="0F80FE0B">
      <w:pPr>
        <w:pageBreakBefore w:val="0"/>
        <w:kinsoku/>
        <w:overflowPunct/>
        <w:topLinePunct w:val="0"/>
        <w:autoSpaceDE/>
        <w:autoSpaceDN/>
        <w:bidi w:val="0"/>
        <w:adjustRightInd w:val="0"/>
        <w:snapToGrid w:val="0"/>
        <w:spacing w:line="340" w:lineRule="atLeast"/>
        <w:ind w:firstLine="420" w:firstLineChars="200"/>
        <w:textAlignment w:val="auto"/>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w:t>
      </w:r>
      <w:r>
        <w:rPr>
          <w:rFonts w:hint="eastAsia" w:ascii="宋体" w:hAnsi="宋体" w:cs="宋体"/>
          <w:szCs w:val="21"/>
          <w:lang w:val="en-US" w:eastAsia="zh-CN"/>
        </w:rPr>
        <w:t>其他说明：</w:t>
      </w:r>
      <w:r>
        <w:rPr>
          <w:rFonts w:hint="eastAsia" w:ascii="宋体" w:hAnsi="宋体" w:cs="宋体"/>
          <w:szCs w:val="21"/>
        </w:rPr>
        <w:t>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p>
    <w:p w14:paraId="293E26B0">
      <w:pPr>
        <w:pStyle w:val="65"/>
        <w:pageBreakBefore w:val="0"/>
        <w:kinsoku/>
        <w:overflowPunct/>
        <w:topLinePunct w:val="0"/>
        <w:autoSpaceDE/>
        <w:autoSpaceDN/>
        <w:bidi w:val="0"/>
        <w:spacing w:after="0" w:line="340" w:lineRule="atLeast"/>
        <w:ind w:left="0" w:leftChars="0" w:firstLine="0" w:firstLineChars="0"/>
        <w:textAlignment w:val="auto"/>
        <w:rPr>
          <w:rFonts w:ascii="宋体" w:hAnsi="宋体" w:eastAsia="宋体" w:cs="宋体"/>
          <w:b/>
          <w:bCs/>
          <w:sz w:val="21"/>
          <w:szCs w:val="21"/>
        </w:rPr>
      </w:pPr>
      <w:r>
        <w:rPr>
          <w:rFonts w:hint="eastAsia" w:ascii="宋体" w:hAnsi="宋体" w:eastAsia="宋体" w:cs="宋体"/>
          <w:b/>
          <w:bCs/>
          <w:kern w:val="0"/>
          <w:sz w:val="21"/>
          <w:szCs w:val="21"/>
        </w:rPr>
        <w:t>三、获取采购文件</w:t>
      </w:r>
    </w:p>
    <w:p w14:paraId="4E5EC5A4">
      <w:pPr>
        <w:pageBreakBefore w:val="0"/>
        <w:kinsoku/>
        <w:overflowPunct/>
        <w:topLinePunct w:val="0"/>
        <w:autoSpaceDE/>
        <w:autoSpaceDN/>
        <w:bidi w:val="0"/>
        <w:spacing w:line="340" w:lineRule="atLeast"/>
        <w:ind w:firstLine="420" w:firstLineChars="200"/>
        <w:jc w:val="left"/>
        <w:textAlignment w:val="auto"/>
        <w:rPr>
          <w:rFonts w:ascii="宋体" w:hAnsi="宋体" w:cs="宋体"/>
          <w:color w:val="FF0000"/>
          <w:kern w:val="0"/>
          <w:szCs w:val="21"/>
          <w:highlight w:val="none"/>
        </w:rPr>
      </w:pPr>
      <w:r>
        <w:rPr>
          <w:rFonts w:hint="eastAsia" w:ascii="宋体" w:hAnsi="宋体" w:cs="宋体"/>
          <w:kern w:val="0"/>
          <w:szCs w:val="21"/>
        </w:rPr>
        <w:t>1、时</w:t>
      </w:r>
      <w:r>
        <w:rPr>
          <w:rFonts w:hint="eastAsia" w:ascii="宋体" w:hAnsi="宋体" w:cs="宋体"/>
          <w:kern w:val="0"/>
          <w:szCs w:val="21"/>
          <w:highlight w:val="none"/>
        </w:rPr>
        <w:t>间：</w:t>
      </w:r>
      <w:r>
        <w:rPr>
          <w:rFonts w:hint="eastAsia" w:ascii="宋体" w:hAnsi="宋体" w:cs="宋体"/>
          <w:color w:val="auto"/>
          <w:kern w:val="0"/>
          <w:szCs w:val="21"/>
          <w:highlight w:val="none"/>
        </w:rPr>
        <w:t xml:space="preserve"> 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日至202</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年</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月</w:t>
      </w:r>
      <w:r>
        <w:rPr>
          <w:rFonts w:hint="eastAsia" w:ascii="宋体" w:hAnsi="宋体" w:cs="宋体"/>
          <w:color w:val="auto"/>
          <w:kern w:val="0"/>
          <w:szCs w:val="21"/>
          <w:highlight w:val="none"/>
          <w:lang w:val="en-US" w:eastAsia="zh-CN"/>
        </w:rPr>
        <w:t>13</w:t>
      </w:r>
      <w:r>
        <w:rPr>
          <w:rFonts w:hint="eastAsia" w:ascii="宋体" w:hAnsi="宋体" w:cs="宋体"/>
          <w:color w:val="auto"/>
          <w:kern w:val="0"/>
          <w:szCs w:val="21"/>
          <w:highlight w:val="none"/>
        </w:rPr>
        <w:t>日</w:t>
      </w:r>
      <w:r>
        <w:rPr>
          <w:rFonts w:hint="eastAsia" w:ascii="宋体" w:hAnsi="宋体" w:cs="宋体"/>
          <w:color w:val="auto"/>
          <w:kern w:val="0"/>
          <w:szCs w:val="21"/>
          <w:highlight w:val="none"/>
        </w:rPr>
        <w:t>，每天上午00:00至12:00，下午12:01至23:59（北京时间）</w:t>
      </w:r>
    </w:p>
    <w:p w14:paraId="4065D9DE">
      <w:pPr>
        <w:pageBreakBefore w:val="0"/>
        <w:kinsoku/>
        <w:overflowPunct/>
        <w:topLinePunct w:val="0"/>
        <w:autoSpaceDE/>
        <w:autoSpaceDN/>
        <w:bidi w:val="0"/>
        <w:spacing w:line="340" w:lineRule="atLeast"/>
        <w:ind w:firstLine="420" w:firstLineChars="200"/>
        <w:jc w:val="left"/>
        <w:textAlignment w:val="auto"/>
        <w:rPr>
          <w:rFonts w:ascii="宋体" w:hAnsi="宋体" w:cs="宋体"/>
          <w:kern w:val="0"/>
          <w:szCs w:val="21"/>
        </w:rPr>
      </w:pPr>
      <w:r>
        <w:rPr>
          <w:rFonts w:hint="eastAsia" w:ascii="宋体" w:hAnsi="宋体" w:cs="宋体"/>
          <w:kern w:val="0"/>
          <w:szCs w:val="21"/>
        </w:rPr>
        <w:t>2、地点：“全国公共资源交易中心（河南省·</w:t>
      </w:r>
      <w:r>
        <w:rPr>
          <w:rFonts w:hint="eastAsia" w:ascii="宋体" w:hAnsi="宋体" w:cs="宋体"/>
          <w:kern w:val="0"/>
          <w:szCs w:val="21"/>
          <w:lang w:val="en-US" w:eastAsia="zh-CN"/>
        </w:rPr>
        <w:t>罗山县</w:t>
      </w:r>
      <w:r>
        <w:rPr>
          <w:rFonts w:hint="eastAsia" w:ascii="宋体" w:hAnsi="宋体" w:cs="宋体"/>
          <w:kern w:val="0"/>
          <w:szCs w:val="21"/>
        </w:rPr>
        <w:t>）（http://ggzyjy.xinyang.gov.cn/luoshan/）”网站，凭办理的企业身份认证锁（CA数字证书）</w:t>
      </w:r>
      <w:r>
        <w:rPr>
          <w:rFonts w:hint="eastAsia" w:ascii="宋体" w:hAnsi="宋体" w:cs="宋体"/>
          <w:kern w:val="0"/>
          <w:szCs w:val="21"/>
          <w:lang w:eastAsia="zh-CN"/>
        </w:rPr>
        <w:t>登录</w:t>
      </w:r>
      <w:r>
        <w:rPr>
          <w:rFonts w:hint="eastAsia" w:ascii="宋体" w:hAnsi="宋体" w:cs="宋体"/>
          <w:kern w:val="0"/>
          <w:szCs w:val="21"/>
        </w:rPr>
        <w:t>会员系统。</w:t>
      </w:r>
    </w:p>
    <w:p w14:paraId="13D2794D">
      <w:pPr>
        <w:pStyle w:val="14"/>
        <w:pageBreakBefore w:val="0"/>
        <w:kinsoku/>
        <w:overflowPunct/>
        <w:topLinePunct w:val="0"/>
        <w:autoSpaceDE/>
        <w:autoSpaceDN/>
        <w:bidi w:val="0"/>
        <w:spacing w:line="340" w:lineRule="atLeast"/>
        <w:ind w:firstLine="420" w:firstLineChars="200"/>
        <w:textAlignment w:val="auto"/>
        <w:rPr>
          <w:rFonts w:ascii="宋体" w:hAnsi="宋体" w:cs="宋体"/>
          <w:kern w:val="0"/>
          <w:szCs w:val="21"/>
        </w:rPr>
      </w:pPr>
      <w:r>
        <w:rPr>
          <w:rFonts w:hint="eastAsia" w:ascii="宋体" w:hAnsi="宋体" w:cs="宋体"/>
          <w:kern w:val="0"/>
          <w:szCs w:val="21"/>
        </w:rPr>
        <w:t>3、方式：供应商凭CA数字证书</w:t>
      </w:r>
      <w:r>
        <w:rPr>
          <w:rFonts w:hint="eastAsia" w:ascii="宋体" w:hAnsi="宋体" w:cs="宋体"/>
          <w:kern w:val="0"/>
          <w:szCs w:val="21"/>
          <w:lang w:eastAsia="zh-CN"/>
        </w:rPr>
        <w:t>登录</w:t>
      </w:r>
      <w:r>
        <w:rPr>
          <w:rFonts w:hint="eastAsia" w:ascii="宋体" w:hAnsi="宋体" w:cs="宋体"/>
          <w:kern w:val="0"/>
          <w:szCs w:val="21"/>
        </w:rPr>
        <w:t>会员系统后，即可按网上提示免费下载竞争性磋商文件及资料（操作程序详见信阳市公共资源交易中心网站下载中心栏目里投标人操作手册）。竞争性磋商文件(*.XYZF格式)下载后需使用“信阳市投标文件制作工具软件”打开（该工具软件可在“全国公共资源交易平台（河南省·信阳市）”网站下载中心栏目内下载或在文件领取页面下载）。请供应商下载磋商文件后及时关注系统业务菜单内该项目是否有新的答疑澄清文件。如有请直接下载，不再另行通知。</w:t>
      </w:r>
    </w:p>
    <w:p w14:paraId="2B0F74CA">
      <w:pPr>
        <w:pageBreakBefore w:val="0"/>
        <w:kinsoku/>
        <w:overflowPunct/>
        <w:topLinePunct w:val="0"/>
        <w:autoSpaceDE/>
        <w:autoSpaceDN/>
        <w:bidi w:val="0"/>
        <w:spacing w:line="340" w:lineRule="atLeast"/>
        <w:ind w:firstLine="420" w:firstLineChars="200"/>
        <w:jc w:val="left"/>
        <w:textAlignment w:val="auto"/>
      </w:pPr>
      <w:r>
        <w:rPr>
          <w:rFonts w:hint="eastAsia" w:ascii="宋体" w:hAnsi="宋体" w:cs="宋体"/>
          <w:kern w:val="0"/>
          <w:szCs w:val="21"/>
          <w:lang w:val="en-US" w:eastAsia="zh-CN"/>
        </w:rPr>
        <w:t>4</w:t>
      </w:r>
      <w:r>
        <w:rPr>
          <w:rFonts w:hint="eastAsia" w:ascii="宋体" w:hAnsi="宋体" w:cs="宋体"/>
          <w:kern w:val="0"/>
          <w:szCs w:val="21"/>
        </w:rPr>
        <w:t>、售价：竞争性磋商文件售价0元。</w:t>
      </w:r>
    </w:p>
    <w:p w14:paraId="1034D9DB">
      <w:pPr>
        <w:pageBreakBefore w:val="0"/>
        <w:widowControl/>
        <w:kinsoku/>
        <w:overflowPunct/>
        <w:topLinePunct w:val="0"/>
        <w:autoSpaceDE/>
        <w:autoSpaceDN/>
        <w:bidi w:val="0"/>
        <w:spacing w:line="340" w:lineRule="atLeast"/>
        <w:ind w:firstLine="0" w:firstLineChars="0"/>
        <w:textAlignment w:val="auto"/>
        <w:rPr>
          <w:rFonts w:ascii="宋体" w:hAnsi="宋体" w:cs="宋体"/>
          <w:b/>
          <w:bCs/>
          <w:kern w:val="0"/>
          <w:szCs w:val="21"/>
          <w:highlight w:val="none"/>
        </w:rPr>
      </w:pPr>
      <w:r>
        <w:rPr>
          <w:rFonts w:hint="eastAsia" w:ascii="宋体" w:hAnsi="宋体" w:cs="宋体"/>
          <w:b/>
          <w:bCs/>
          <w:kern w:val="0"/>
          <w:szCs w:val="21"/>
        </w:rPr>
        <w:t>四、响应文件提</w:t>
      </w:r>
      <w:r>
        <w:rPr>
          <w:rFonts w:hint="eastAsia" w:ascii="宋体" w:hAnsi="宋体" w:cs="宋体"/>
          <w:b/>
          <w:bCs/>
          <w:kern w:val="0"/>
          <w:szCs w:val="21"/>
          <w:highlight w:val="none"/>
        </w:rPr>
        <w:t>交：</w:t>
      </w:r>
    </w:p>
    <w:p w14:paraId="4A9DE0D1">
      <w:pPr>
        <w:pStyle w:val="26"/>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340" w:lineRule="atLeast"/>
        <w:ind w:firstLine="420" w:firstLineChars="200"/>
        <w:textAlignment w:val="auto"/>
        <w:rPr>
          <w:rFonts w:eastAsia="宋体"/>
          <w:color w:val="auto"/>
          <w:sz w:val="21"/>
          <w:szCs w:val="21"/>
          <w:highlight w:val="none"/>
        </w:rPr>
      </w:pPr>
      <w:r>
        <w:rPr>
          <w:rFonts w:hint="eastAsia" w:eastAsia="宋体"/>
          <w:sz w:val="21"/>
          <w:szCs w:val="21"/>
          <w:highlight w:val="none"/>
        </w:rPr>
        <w:t>1、时间</w:t>
      </w:r>
      <w:r>
        <w:rPr>
          <w:rFonts w:hint="eastAsia" w:eastAsia="宋体"/>
          <w:sz w:val="21"/>
          <w:szCs w:val="21"/>
          <w:highlight w:val="none"/>
        </w:rPr>
        <w:t>：</w:t>
      </w:r>
      <w:r>
        <w:rPr>
          <w:rFonts w:hint="eastAsia" w:eastAsia="宋体"/>
          <w:bCs/>
          <w:color w:val="auto"/>
          <w:sz w:val="21"/>
          <w:szCs w:val="21"/>
          <w:highlight w:val="none"/>
        </w:rPr>
        <w:t>202</w:t>
      </w:r>
      <w:r>
        <w:rPr>
          <w:rFonts w:hint="eastAsia" w:eastAsia="宋体"/>
          <w:bCs/>
          <w:color w:val="auto"/>
          <w:sz w:val="21"/>
          <w:szCs w:val="21"/>
          <w:highlight w:val="none"/>
          <w:lang w:val="en-US" w:eastAsia="zh-CN"/>
        </w:rPr>
        <w:t>6</w:t>
      </w:r>
      <w:r>
        <w:rPr>
          <w:rFonts w:hint="eastAsia" w:eastAsia="宋体"/>
          <w:bCs/>
          <w:color w:val="auto"/>
          <w:sz w:val="21"/>
          <w:szCs w:val="21"/>
          <w:highlight w:val="none"/>
        </w:rPr>
        <w:t>年</w:t>
      </w:r>
      <w:r>
        <w:rPr>
          <w:rFonts w:hint="eastAsia" w:eastAsia="宋体"/>
          <w:bCs/>
          <w:color w:val="auto"/>
          <w:sz w:val="21"/>
          <w:szCs w:val="21"/>
          <w:highlight w:val="none"/>
          <w:lang w:val="en-US" w:eastAsia="zh-CN"/>
        </w:rPr>
        <w:t>7</w:t>
      </w:r>
      <w:r>
        <w:rPr>
          <w:rFonts w:hint="eastAsia" w:eastAsia="宋体"/>
          <w:bCs/>
          <w:color w:val="auto"/>
          <w:sz w:val="21"/>
          <w:szCs w:val="21"/>
          <w:highlight w:val="none"/>
        </w:rPr>
        <w:t>月</w:t>
      </w:r>
      <w:r>
        <w:rPr>
          <w:rFonts w:hint="eastAsia" w:eastAsia="宋体"/>
          <w:bCs/>
          <w:color w:val="auto"/>
          <w:sz w:val="21"/>
          <w:szCs w:val="21"/>
          <w:highlight w:val="none"/>
          <w:lang w:val="en-US" w:eastAsia="zh-CN"/>
        </w:rPr>
        <w:t>21</w:t>
      </w:r>
      <w:r>
        <w:rPr>
          <w:rFonts w:hint="eastAsia" w:eastAsia="宋体"/>
          <w:bCs/>
          <w:color w:val="auto"/>
          <w:sz w:val="21"/>
          <w:szCs w:val="21"/>
          <w:highlight w:val="none"/>
        </w:rPr>
        <w:t>日</w:t>
      </w:r>
      <w:r>
        <w:rPr>
          <w:rFonts w:hint="eastAsia" w:eastAsia="宋体"/>
          <w:bCs/>
          <w:color w:val="auto"/>
          <w:sz w:val="21"/>
          <w:szCs w:val="21"/>
          <w:highlight w:val="none"/>
          <w:lang w:val="en-US" w:eastAsia="zh-CN"/>
        </w:rPr>
        <w:t>9</w:t>
      </w:r>
      <w:r>
        <w:rPr>
          <w:rFonts w:hint="eastAsia" w:eastAsia="宋体"/>
          <w:bCs/>
          <w:color w:val="auto"/>
          <w:sz w:val="21"/>
          <w:szCs w:val="21"/>
          <w:highlight w:val="none"/>
        </w:rPr>
        <w:t>时</w:t>
      </w:r>
      <w:r>
        <w:rPr>
          <w:rFonts w:hint="eastAsia" w:eastAsia="宋体"/>
          <w:bCs/>
          <w:color w:val="auto"/>
          <w:sz w:val="21"/>
          <w:szCs w:val="21"/>
          <w:highlight w:val="none"/>
          <w:lang w:val="en-US" w:eastAsia="zh-CN"/>
        </w:rPr>
        <w:t>30</w:t>
      </w:r>
      <w:r>
        <w:rPr>
          <w:rFonts w:hint="eastAsia" w:eastAsia="宋体"/>
          <w:bCs/>
          <w:color w:val="auto"/>
          <w:sz w:val="21"/>
          <w:szCs w:val="21"/>
          <w:highlight w:val="none"/>
        </w:rPr>
        <w:t>分</w:t>
      </w:r>
      <w:r>
        <w:rPr>
          <w:rFonts w:hint="eastAsia" w:eastAsia="宋体"/>
          <w:color w:val="auto"/>
          <w:sz w:val="21"/>
          <w:szCs w:val="21"/>
          <w:highlight w:val="none"/>
        </w:rPr>
        <w:t>（北京时间）。</w:t>
      </w:r>
    </w:p>
    <w:p w14:paraId="0107ADB3">
      <w:pPr>
        <w:pageBreakBefore w:val="0"/>
        <w:kinsoku/>
        <w:overflowPunct/>
        <w:topLinePunct w:val="0"/>
        <w:autoSpaceDE/>
        <w:autoSpaceDN/>
        <w:bidi w:val="0"/>
        <w:spacing w:line="340" w:lineRule="atLeas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2、地点：供应商必须在响应文件提交截止时间前通过信阳市公共资源交易中心电子招投标系统上传加密的电子响应文件(*.XYTF格式)。注：加密电子响应文件逾期上传采购人不予受理。</w:t>
      </w:r>
    </w:p>
    <w:p w14:paraId="34E53319">
      <w:pPr>
        <w:pageBreakBefore w:val="0"/>
        <w:widowControl/>
        <w:kinsoku/>
        <w:overflowPunct/>
        <w:topLinePunct w:val="0"/>
        <w:autoSpaceDE/>
        <w:autoSpaceDN/>
        <w:bidi w:val="0"/>
        <w:spacing w:line="340" w:lineRule="atLeast"/>
        <w:ind w:firstLine="0" w:firstLineChars="0"/>
        <w:textAlignment w:val="auto"/>
        <w:rPr>
          <w:rFonts w:ascii="宋体" w:hAnsi="宋体" w:cs="宋体"/>
          <w:b/>
          <w:bCs/>
          <w:color w:val="auto"/>
          <w:kern w:val="0"/>
          <w:szCs w:val="21"/>
          <w:highlight w:val="none"/>
        </w:rPr>
      </w:pPr>
      <w:r>
        <w:rPr>
          <w:rFonts w:hint="eastAsia" w:ascii="宋体" w:hAnsi="宋体" w:cs="宋体"/>
          <w:b/>
          <w:bCs/>
          <w:color w:val="auto"/>
          <w:kern w:val="0"/>
          <w:szCs w:val="21"/>
          <w:highlight w:val="none"/>
        </w:rPr>
        <w:t>五、响应文件开启：</w:t>
      </w:r>
    </w:p>
    <w:p w14:paraId="6863C055">
      <w:pPr>
        <w:pStyle w:val="26"/>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340" w:lineRule="atLeast"/>
        <w:ind w:firstLine="420" w:firstLineChars="200"/>
        <w:textAlignment w:val="auto"/>
        <w:rPr>
          <w:rFonts w:eastAsia="宋体"/>
          <w:color w:val="auto"/>
          <w:sz w:val="21"/>
          <w:szCs w:val="21"/>
          <w:highlight w:val="none"/>
        </w:rPr>
      </w:pPr>
      <w:r>
        <w:rPr>
          <w:rFonts w:hint="eastAsia" w:eastAsia="宋体"/>
          <w:color w:val="auto"/>
          <w:sz w:val="21"/>
          <w:szCs w:val="21"/>
          <w:highlight w:val="none"/>
        </w:rPr>
        <w:t>1、时间：</w:t>
      </w:r>
      <w:r>
        <w:rPr>
          <w:rFonts w:hint="eastAsia" w:eastAsia="宋体"/>
          <w:bCs/>
          <w:color w:val="auto"/>
          <w:sz w:val="21"/>
          <w:szCs w:val="21"/>
          <w:highlight w:val="none"/>
        </w:rPr>
        <w:t>202</w:t>
      </w:r>
      <w:r>
        <w:rPr>
          <w:rFonts w:hint="eastAsia" w:eastAsia="宋体"/>
          <w:bCs/>
          <w:color w:val="auto"/>
          <w:sz w:val="21"/>
          <w:szCs w:val="21"/>
          <w:highlight w:val="none"/>
          <w:lang w:val="en-US" w:eastAsia="zh-CN"/>
        </w:rPr>
        <w:t>6</w:t>
      </w:r>
      <w:r>
        <w:rPr>
          <w:rFonts w:hint="eastAsia" w:eastAsia="宋体"/>
          <w:bCs/>
          <w:color w:val="auto"/>
          <w:sz w:val="21"/>
          <w:szCs w:val="21"/>
          <w:highlight w:val="none"/>
        </w:rPr>
        <w:t>年</w:t>
      </w:r>
      <w:r>
        <w:rPr>
          <w:rFonts w:hint="eastAsia" w:eastAsia="宋体"/>
          <w:bCs/>
          <w:color w:val="auto"/>
          <w:sz w:val="21"/>
          <w:szCs w:val="21"/>
          <w:highlight w:val="none"/>
          <w:lang w:val="en-US" w:eastAsia="zh-CN"/>
        </w:rPr>
        <w:t>7</w:t>
      </w:r>
      <w:r>
        <w:rPr>
          <w:rFonts w:hint="eastAsia" w:eastAsia="宋体"/>
          <w:bCs/>
          <w:color w:val="auto"/>
          <w:sz w:val="21"/>
          <w:szCs w:val="21"/>
          <w:highlight w:val="none"/>
        </w:rPr>
        <w:t>月</w:t>
      </w:r>
      <w:r>
        <w:rPr>
          <w:rFonts w:hint="eastAsia" w:eastAsia="宋体"/>
          <w:bCs/>
          <w:color w:val="auto"/>
          <w:sz w:val="21"/>
          <w:szCs w:val="21"/>
          <w:highlight w:val="none"/>
          <w:lang w:val="en-US" w:eastAsia="zh-CN"/>
        </w:rPr>
        <w:t>21</w:t>
      </w:r>
      <w:r>
        <w:rPr>
          <w:rFonts w:hint="eastAsia" w:eastAsia="宋体"/>
          <w:bCs/>
          <w:color w:val="auto"/>
          <w:sz w:val="21"/>
          <w:szCs w:val="21"/>
          <w:highlight w:val="none"/>
        </w:rPr>
        <w:t>日</w:t>
      </w:r>
      <w:r>
        <w:rPr>
          <w:rFonts w:hint="eastAsia" w:eastAsia="宋体"/>
          <w:bCs/>
          <w:color w:val="auto"/>
          <w:sz w:val="21"/>
          <w:szCs w:val="21"/>
          <w:highlight w:val="none"/>
          <w:lang w:val="en-US" w:eastAsia="zh-CN"/>
        </w:rPr>
        <w:t>9</w:t>
      </w:r>
      <w:r>
        <w:rPr>
          <w:rFonts w:hint="eastAsia" w:eastAsia="宋体"/>
          <w:bCs/>
          <w:color w:val="auto"/>
          <w:sz w:val="21"/>
          <w:szCs w:val="21"/>
          <w:highlight w:val="none"/>
        </w:rPr>
        <w:t>时</w:t>
      </w:r>
      <w:r>
        <w:rPr>
          <w:rFonts w:hint="eastAsia" w:eastAsia="宋体"/>
          <w:bCs/>
          <w:color w:val="auto"/>
          <w:sz w:val="21"/>
          <w:szCs w:val="21"/>
          <w:highlight w:val="none"/>
          <w:lang w:val="en-US" w:eastAsia="zh-CN"/>
        </w:rPr>
        <w:t>30</w:t>
      </w:r>
      <w:r>
        <w:rPr>
          <w:rFonts w:hint="eastAsia" w:eastAsia="宋体"/>
          <w:bCs/>
          <w:color w:val="auto"/>
          <w:sz w:val="21"/>
          <w:szCs w:val="21"/>
          <w:highlight w:val="none"/>
        </w:rPr>
        <w:t>分</w:t>
      </w:r>
      <w:r>
        <w:rPr>
          <w:rFonts w:hint="eastAsia" w:eastAsia="宋体"/>
          <w:color w:val="auto"/>
          <w:sz w:val="21"/>
          <w:szCs w:val="21"/>
          <w:highlight w:val="none"/>
        </w:rPr>
        <w:t>（北京时间）。</w:t>
      </w:r>
    </w:p>
    <w:p w14:paraId="50DFB8F5">
      <w:pPr>
        <w:pageBreakBefore w:val="0"/>
        <w:widowControl/>
        <w:kinsoku/>
        <w:overflowPunct/>
        <w:topLinePunct w:val="0"/>
        <w:autoSpaceDE/>
        <w:autoSpaceDN/>
        <w:bidi w:val="0"/>
        <w:spacing w:line="340" w:lineRule="atLeast"/>
        <w:ind w:firstLine="420" w:firstLineChars="200"/>
        <w:jc w:val="left"/>
        <w:textAlignment w:val="auto"/>
        <w:rPr>
          <w:rFonts w:ascii="宋体" w:hAnsi="宋体" w:cs="宋体"/>
          <w:kern w:val="0"/>
          <w:szCs w:val="21"/>
        </w:rPr>
      </w:pPr>
      <w:r>
        <w:rPr>
          <w:rFonts w:hint="eastAsia" w:ascii="宋体" w:hAnsi="宋体" w:cs="宋体"/>
          <w:kern w:val="0"/>
          <w:szCs w:val="21"/>
          <w:highlight w:val="none"/>
        </w:rPr>
        <w:t>2、地点：罗山县公共资源交易中心八楼</w:t>
      </w:r>
      <w:r>
        <w:rPr>
          <w:rFonts w:hint="eastAsia" w:ascii="宋体" w:hAnsi="宋体" w:cs="宋体"/>
          <w:kern w:val="0"/>
          <w:szCs w:val="21"/>
          <w:highlight w:val="none"/>
          <w:lang w:val="en-US" w:eastAsia="zh-CN"/>
        </w:rPr>
        <w:t>不见</w:t>
      </w:r>
      <w:r>
        <w:rPr>
          <w:rFonts w:hint="eastAsia" w:ascii="宋体" w:hAnsi="宋体" w:cs="宋体"/>
          <w:kern w:val="0"/>
          <w:szCs w:val="21"/>
          <w:lang w:val="en-US" w:eastAsia="zh-CN"/>
        </w:rPr>
        <w:t>面开标大厅</w:t>
      </w:r>
      <w:r>
        <w:rPr>
          <w:rFonts w:hint="eastAsia" w:ascii="宋体" w:hAnsi="宋体" w:cs="宋体"/>
          <w:kern w:val="0"/>
          <w:szCs w:val="21"/>
        </w:rPr>
        <w:t>。</w:t>
      </w:r>
    </w:p>
    <w:p w14:paraId="62559921">
      <w:pPr>
        <w:pageBreakBefore w:val="0"/>
        <w:widowControl/>
        <w:kinsoku/>
        <w:overflowPunct/>
        <w:topLinePunct w:val="0"/>
        <w:autoSpaceDE/>
        <w:autoSpaceDN/>
        <w:bidi w:val="0"/>
        <w:spacing w:line="340" w:lineRule="atLeast"/>
        <w:ind w:firstLine="0" w:firstLineChars="0"/>
        <w:textAlignment w:val="auto"/>
        <w:rPr>
          <w:rFonts w:ascii="宋体" w:hAnsi="宋体" w:cs="宋体"/>
          <w:b/>
          <w:bCs/>
          <w:kern w:val="0"/>
          <w:szCs w:val="21"/>
        </w:rPr>
      </w:pPr>
      <w:r>
        <w:rPr>
          <w:rFonts w:hint="eastAsia" w:ascii="宋体" w:hAnsi="宋体" w:cs="宋体"/>
          <w:b/>
          <w:bCs/>
          <w:kern w:val="0"/>
          <w:szCs w:val="21"/>
        </w:rPr>
        <w:t>六、发布公告的媒介及招标公告期限：</w:t>
      </w:r>
    </w:p>
    <w:p w14:paraId="0AF0CE58">
      <w:pPr>
        <w:pageBreakBefore w:val="0"/>
        <w:widowControl/>
        <w:kinsoku/>
        <w:overflowPunct/>
        <w:topLinePunct w:val="0"/>
        <w:autoSpaceDE/>
        <w:autoSpaceDN/>
        <w:bidi w:val="0"/>
        <w:spacing w:line="340" w:lineRule="atLeast"/>
        <w:ind w:firstLine="420" w:firstLineChars="200"/>
        <w:jc w:val="left"/>
        <w:textAlignment w:val="auto"/>
        <w:rPr>
          <w:rFonts w:ascii="宋体" w:hAnsi="宋体" w:cs="宋体"/>
          <w:kern w:val="0"/>
          <w:szCs w:val="21"/>
        </w:rPr>
      </w:pPr>
      <w:r>
        <w:rPr>
          <w:rFonts w:hint="eastAsia" w:ascii="宋体" w:hAnsi="宋体" w:cs="宋体"/>
          <w:kern w:val="0"/>
          <w:szCs w:val="21"/>
        </w:rPr>
        <w:t>本次招标公告在《河南省政府采购网》、《全国公共资源交易平台（河南省·罗山县）》网上发布，公告期限为</w:t>
      </w:r>
      <w:r>
        <w:rPr>
          <w:rFonts w:hint="eastAsia" w:ascii="宋体" w:hAnsi="宋体" w:cs="宋体"/>
          <w:kern w:val="0"/>
          <w:szCs w:val="21"/>
          <w:lang w:val="en-US" w:eastAsia="zh-CN"/>
        </w:rPr>
        <w:t>五</w:t>
      </w:r>
      <w:r>
        <w:rPr>
          <w:rFonts w:hint="eastAsia" w:ascii="宋体" w:hAnsi="宋体" w:cs="宋体"/>
          <w:kern w:val="0"/>
          <w:szCs w:val="21"/>
        </w:rPr>
        <w:t>个工作日。</w:t>
      </w:r>
    </w:p>
    <w:p w14:paraId="06F7D6CD">
      <w:pPr>
        <w:pStyle w:val="14"/>
        <w:pageBreakBefore w:val="0"/>
        <w:kinsoku/>
        <w:overflowPunct/>
        <w:topLinePunct w:val="0"/>
        <w:autoSpaceDE/>
        <w:autoSpaceDN/>
        <w:bidi w:val="0"/>
        <w:spacing w:line="340" w:lineRule="atLeast"/>
        <w:ind w:firstLine="0" w:firstLineChars="0"/>
        <w:textAlignment w:val="auto"/>
        <w:rPr>
          <w:rFonts w:ascii="宋体" w:hAnsi="宋体" w:cs="宋体"/>
          <w:b/>
          <w:bCs/>
          <w:szCs w:val="21"/>
        </w:rPr>
      </w:pPr>
      <w:r>
        <w:rPr>
          <w:rFonts w:hint="eastAsia" w:ascii="宋体" w:hAnsi="宋体" w:cs="宋体"/>
          <w:b/>
          <w:bCs/>
          <w:szCs w:val="21"/>
        </w:rPr>
        <w:t>七、其他补充事宜：</w:t>
      </w:r>
    </w:p>
    <w:p w14:paraId="609F0625">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rPr>
      </w:pPr>
      <w:r>
        <w:rPr>
          <w:rFonts w:hint="eastAsia" w:ascii="宋体" w:hAnsi="宋体" w:cs="宋体"/>
          <w:kern w:val="0"/>
          <w:szCs w:val="21"/>
        </w:rPr>
        <w:t>1、本项目采用“不见面开标”交易方式，不见面开标大厅网址为https://ggzyjy.xinyang.gov.cn/BidOpening/bidhall/xinyang/login.html，供应商无需寄送和递交非加密的电子响应文件，无需到现场参加开标会议，无需到达现场提交原件资料。</w:t>
      </w:r>
    </w:p>
    <w:p w14:paraId="6D6F13BD">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rPr>
      </w:pPr>
      <w:r>
        <w:rPr>
          <w:rFonts w:hint="eastAsia" w:ascii="宋体" w:hAnsi="宋体" w:cs="宋体"/>
          <w:kern w:val="0"/>
          <w:szCs w:val="21"/>
        </w:rPr>
        <w:t>2、供应商应当在响应文件提交截止时间前，使用供应商CA数字证书登录不见面开标大厅，在线签到并准时参加开标活动，并在规定时间内完成响应文件解密、答疑澄清等。</w:t>
      </w:r>
    </w:p>
    <w:p w14:paraId="2E1A7BB6">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rPr>
      </w:pPr>
      <w:r>
        <w:rPr>
          <w:rFonts w:hint="eastAsia" w:ascii="宋体" w:hAnsi="宋体" w:cs="宋体"/>
          <w:kern w:val="0"/>
          <w:szCs w:val="21"/>
        </w:rPr>
        <w:t>3、逾期解密或者没有准时在线参加开标活动导致的一切后果供应商自行承担。</w:t>
      </w:r>
    </w:p>
    <w:p w14:paraId="7CED2EAE">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rPr>
      </w:pPr>
      <w:r>
        <w:rPr>
          <w:rFonts w:hint="eastAsia" w:ascii="宋体" w:hAnsi="宋体" w:cs="宋体"/>
          <w:kern w:val="0"/>
          <w:szCs w:val="21"/>
        </w:rPr>
        <w:t>4、不见面开标服务的具体事宜，请查阅信阳市公共资源交易中心网站首页—下载中心—信阳市不见面开标大厅系统操作手册 。</w:t>
      </w:r>
    </w:p>
    <w:p w14:paraId="13625D0B">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rPr>
      </w:pPr>
      <w:r>
        <w:rPr>
          <w:rFonts w:hint="eastAsia" w:ascii="宋体" w:hAnsi="宋体" w:cs="宋体"/>
          <w:kern w:val="0"/>
          <w:szCs w:val="21"/>
          <w:lang w:val="en-US" w:eastAsia="zh-CN"/>
        </w:rPr>
        <w:t>5、</w:t>
      </w:r>
      <w:r>
        <w:rPr>
          <w:rFonts w:hint="eastAsia" w:ascii="宋体" w:hAnsi="宋体" w:cs="宋体"/>
          <w:kern w:val="0"/>
          <w:szCs w:val="21"/>
        </w:rPr>
        <w:t>特别提示：供应商在线签到时，应如实准确的填写授权委托人的联系电话，开标当天请务必保证电话保持畅通。</w:t>
      </w:r>
    </w:p>
    <w:p w14:paraId="4CAEB783">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rPr>
      </w:pPr>
      <w:r>
        <w:rPr>
          <w:rFonts w:hint="eastAsia" w:ascii="宋体" w:hAnsi="宋体" w:cs="宋体"/>
          <w:kern w:val="0"/>
          <w:szCs w:val="21"/>
          <w:lang w:val="en-US" w:eastAsia="zh-CN"/>
        </w:rPr>
        <w:t>6、本项目实行远程异地评标</w:t>
      </w:r>
      <w:r>
        <w:rPr>
          <w:rFonts w:hint="eastAsia" w:ascii="宋体" w:hAnsi="宋体" w:cs="宋体"/>
          <w:kern w:val="0"/>
          <w:szCs w:val="21"/>
        </w:rPr>
        <w:t>。</w:t>
      </w:r>
    </w:p>
    <w:p w14:paraId="4B5C9CBF">
      <w:pPr>
        <w:pageBreakBefore w:val="0"/>
        <w:kinsoku/>
        <w:overflowPunct/>
        <w:topLinePunct w:val="0"/>
        <w:autoSpaceDE/>
        <w:autoSpaceDN/>
        <w:bidi w:val="0"/>
        <w:spacing w:line="340" w:lineRule="atLeast"/>
        <w:ind w:firstLine="420" w:firstLineChars="200"/>
        <w:jc w:val="left"/>
        <w:textAlignment w:val="auto"/>
        <w:rPr>
          <w:rFonts w:hint="eastAsia" w:ascii="宋体" w:hAnsi="宋体" w:cs="宋体"/>
          <w:kern w:val="0"/>
          <w:szCs w:val="21"/>
          <w:highlight w:val="none"/>
          <w:lang w:val="en-US" w:eastAsia="zh-CN"/>
        </w:rPr>
      </w:pPr>
      <w:r>
        <w:rPr>
          <w:rFonts w:hint="eastAsia" w:ascii="宋体" w:hAnsi="宋体" w:cs="宋体"/>
          <w:kern w:val="0"/>
          <w:szCs w:val="21"/>
          <w:lang w:val="en-US" w:eastAsia="zh-CN"/>
        </w:rPr>
        <w:t>7</w:t>
      </w:r>
      <w:r>
        <w:rPr>
          <w:rFonts w:hint="eastAsia" w:ascii="宋体" w:hAnsi="宋体" w:cs="宋体"/>
          <w:kern w:val="0"/>
          <w:szCs w:val="21"/>
          <w:highlight w:val="none"/>
          <w:lang w:val="en-US" w:eastAsia="zh-CN"/>
        </w:rPr>
        <w:t>、监督单位：罗山县财政局政府采购股       联系电话：0376-2175979</w:t>
      </w:r>
    </w:p>
    <w:p w14:paraId="54AC2404">
      <w:pPr>
        <w:pageBreakBefore w:val="0"/>
        <w:kinsoku/>
        <w:overflowPunct/>
        <w:topLinePunct w:val="0"/>
        <w:autoSpaceDE/>
        <w:autoSpaceDN/>
        <w:bidi w:val="0"/>
        <w:spacing w:line="340" w:lineRule="atLeast"/>
        <w:ind w:firstLine="420" w:firstLineChars="200"/>
        <w:jc w:val="left"/>
        <w:textAlignment w:val="auto"/>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 xml:space="preserve">   监督单位：罗山县铁铺镇纪律检查委员会   联系电话：18568290126</w:t>
      </w:r>
    </w:p>
    <w:p w14:paraId="3A0CA596">
      <w:pPr>
        <w:pageBreakBefore w:val="0"/>
        <w:widowControl/>
        <w:kinsoku/>
        <w:overflowPunct/>
        <w:topLinePunct w:val="0"/>
        <w:autoSpaceDE/>
        <w:autoSpaceDN/>
        <w:bidi w:val="0"/>
        <w:spacing w:line="340" w:lineRule="atLeast"/>
        <w:ind w:firstLine="0" w:firstLineChars="0"/>
        <w:textAlignment w:val="auto"/>
        <w:rPr>
          <w:rFonts w:ascii="宋体" w:hAnsi="宋体" w:cs="宋体"/>
          <w:b/>
          <w:bCs/>
          <w:kern w:val="0"/>
          <w:szCs w:val="21"/>
          <w:highlight w:val="none"/>
        </w:rPr>
      </w:pPr>
      <w:r>
        <w:rPr>
          <w:rFonts w:hint="eastAsia" w:ascii="宋体" w:hAnsi="宋体" w:cs="宋体"/>
          <w:b/>
          <w:bCs/>
          <w:kern w:val="0"/>
          <w:szCs w:val="21"/>
          <w:highlight w:val="none"/>
        </w:rPr>
        <w:t>八、凡对本次招标提出询问，请按照以下方式联系：</w:t>
      </w:r>
    </w:p>
    <w:p w14:paraId="4B133BD6">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 xml:space="preserve">1.采购人信息 </w:t>
      </w:r>
    </w:p>
    <w:p w14:paraId="07DF7E62">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highlight w:val="none"/>
        </w:rPr>
      </w:pPr>
      <w:r>
        <w:rPr>
          <w:rFonts w:hint="eastAsia" w:ascii="宋体" w:hAnsi="宋体" w:cs="宋体"/>
          <w:szCs w:val="21"/>
          <w:highlight w:val="none"/>
        </w:rPr>
        <w:t>采购人：</w:t>
      </w:r>
      <w:r>
        <w:rPr>
          <w:rFonts w:hint="eastAsia" w:ascii="宋体" w:hAnsi="宋体" w:cs="宋体"/>
          <w:szCs w:val="21"/>
          <w:highlight w:val="none"/>
          <w:lang w:val="en-US" w:eastAsia="zh-CN"/>
        </w:rPr>
        <w:t>罗山县铁铺镇人民政府</w:t>
      </w:r>
    </w:p>
    <w:p w14:paraId="783AB9CE">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highlight w:val="none"/>
        </w:rPr>
      </w:pPr>
      <w:r>
        <w:rPr>
          <w:rFonts w:hint="eastAsia" w:ascii="宋体" w:hAnsi="宋体" w:cs="宋体"/>
          <w:szCs w:val="21"/>
          <w:highlight w:val="none"/>
        </w:rPr>
        <w:t>地 址：铁铺镇行政路1号</w:t>
      </w:r>
    </w:p>
    <w:p w14:paraId="78FBEFE7">
      <w:pPr>
        <w:pageBreakBefore w:val="0"/>
        <w:kinsoku/>
        <w:overflowPunct/>
        <w:topLinePunct w:val="0"/>
        <w:autoSpaceDE/>
        <w:autoSpaceDN/>
        <w:bidi w:val="0"/>
        <w:adjustRightInd w:val="0"/>
        <w:snapToGrid w:val="0"/>
        <w:spacing w:line="340" w:lineRule="atLeast"/>
        <w:ind w:firstLine="0" w:firstLineChars="0"/>
        <w:textAlignment w:val="auto"/>
        <w:rPr>
          <w:rFonts w:hint="default" w:ascii="宋体" w:hAnsi="宋体" w:cs="宋体" w:eastAsiaTheme="minorEastAsia"/>
          <w:szCs w:val="21"/>
          <w:highlight w:val="none"/>
          <w:lang w:val="en-US" w:eastAsia="zh-CN"/>
        </w:rPr>
      </w:pPr>
      <w:r>
        <w:rPr>
          <w:rFonts w:hint="eastAsia" w:ascii="宋体" w:hAnsi="宋体" w:cs="宋体"/>
          <w:szCs w:val="21"/>
          <w:highlight w:val="none"/>
        </w:rPr>
        <w:t>联系人：</w:t>
      </w:r>
      <w:r>
        <w:rPr>
          <w:rFonts w:hint="eastAsia" w:ascii="宋体" w:hAnsi="宋体" w:cs="宋体"/>
          <w:szCs w:val="21"/>
          <w:highlight w:val="none"/>
          <w:lang w:val="en-US" w:eastAsia="zh-CN"/>
        </w:rPr>
        <w:t>郑丰</w:t>
      </w:r>
    </w:p>
    <w:p w14:paraId="4CB84BA9">
      <w:pPr>
        <w:pageBreakBefore w:val="0"/>
        <w:kinsoku/>
        <w:overflowPunct/>
        <w:topLinePunct w:val="0"/>
        <w:autoSpaceDE/>
        <w:autoSpaceDN/>
        <w:bidi w:val="0"/>
        <w:adjustRightInd w:val="0"/>
        <w:snapToGrid w:val="0"/>
        <w:spacing w:line="340" w:lineRule="atLeast"/>
        <w:ind w:firstLine="0" w:firstLineChars="0"/>
        <w:textAlignment w:val="auto"/>
        <w:rPr>
          <w:rFonts w:hint="default" w:ascii="宋体" w:hAnsi="宋体" w:cs="宋体" w:eastAsiaTheme="minorEastAsia"/>
          <w:szCs w:val="21"/>
          <w:highlight w:val="none"/>
          <w:lang w:val="en-US" w:eastAsia="zh-CN"/>
        </w:rPr>
      </w:pPr>
      <w:r>
        <w:rPr>
          <w:rFonts w:hint="eastAsia" w:ascii="宋体" w:hAnsi="宋体" w:cs="宋体"/>
          <w:szCs w:val="21"/>
          <w:highlight w:val="none"/>
        </w:rPr>
        <w:t>电 话：</w:t>
      </w:r>
      <w:r>
        <w:rPr>
          <w:rFonts w:hint="eastAsia" w:ascii="宋体" w:hAnsi="宋体" w:cs="宋体"/>
          <w:szCs w:val="21"/>
          <w:highlight w:val="none"/>
          <w:lang w:val="en-US" w:eastAsia="zh-CN"/>
        </w:rPr>
        <w:t>0376-2238001</w:t>
      </w:r>
    </w:p>
    <w:p w14:paraId="794D0C84">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 xml:space="preserve">2.采购代理机构信息 </w:t>
      </w:r>
    </w:p>
    <w:p w14:paraId="152E7C55">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名 称：中睿项目管理有限公司</w:t>
      </w:r>
    </w:p>
    <w:p w14:paraId="5CBF1DDC">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地　址：郑州市管城回族区航海东路869号1号楼26层2610号</w:t>
      </w:r>
    </w:p>
    <w:p w14:paraId="170AAE9E">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eastAsiaTheme="minorEastAsia"/>
          <w:szCs w:val="21"/>
          <w:lang w:eastAsia="zh-CN"/>
        </w:rPr>
      </w:pPr>
      <w:r>
        <w:rPr>
          <w:rFonts w:hint="eastAsia" w:ascii="宋体" w:hAnsi="宋体" w:cs="宋体"/>
          <w:szCs w:val="21"/>
        </w:rPr>
        <w:t>联系人：李</w:t>
      </w:r>
      <w:r>
        <w:rPr>
          <w:rFonts w:hint="eastAsia" w:ascii="宋体" w:hAnsi="宋体" w:cs="宋体"/>
          <w:szCs w:val="21"/>
          <w:lang w:val="en-US" w:eastAsia="zh-CN"/>
        </w:rPr>
        <w:t>林</w:t>
      </w:r>
    </w:p>
    <w:p w14:paraId="5B629E2B">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 xml:space="preserve">联系方式：18638782001 </w:t>
      </w:r>
    </w:p>
    <w:p w14:paraId="56FD94F5">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 xml:space="preserve">3.项目联系方式 </w:t>
      </w:r>
    </w:p>
    <w:p w14:paraId="2B5457E4">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eastAsiaTheme="minorEastAsia"/>
          <w:szCs w:val="21"/>
          <w:lang w:val="en-US" w:eastAsia="zh-CN"/>
        </w:rPr>
      </w:pPr>
      <w:r>
        <w:rPr>
          <w:rFonts w:hint="eastAsia" w:ascii="宋体" w:hAnsi="宋体" w:cs="宋体"/>
          <w:szCs w:val="21"/>
        </w:rPr>
        <w:t>联 系 人：李</w:t>
      </w:r>
      <w:r>
        <w:rPr>
          <w:rFonts w:hint="eastAsia" w:ascii="宋体" w:hAnsi="宋体" w:cs="宋体"/>
          <w:szCs w:val="21"/>
          <w:lang w:val="en-US" w:eastAsia="zh-CN"/>
        </w:rPr>
        <w:t>林</w:t>
      </w:r>
    </w:p>
    <w:p w14:paraId="32F741AD">
      <w:pPr>
        <w:pageBreakBefore w:val="0"/>
        <w:kinsoku/>
        <w:overflowPunct/>
        <w:topLinePunct w:val="0"/>
        <w:autoSpaceDE/>
        <w:autoSpaceDN/>
        <w:bidi w:val="0"/>
        <w:adjustRightInd w:val="0"/>
        <w:snapToGrid w:val="0"/>
        <w:spacing w:line="340" w:lineRule="atLeast"/>
        <w:ind w:firstLine="0" w:firstLineChars="0"/>
        <w:textAlignment w:val="auto"/>
        <w:rPr>
          <w:rFonts w:ascii="宋体" w:hAnsi="宋体" w:cs="宋体"/>
          <w:szCs w:val="21"/>
        </w:rPr>
      </w:pPr>
      <w:r>
        <w:rPr>
          <w:rFonts w:hint="eastAsia" w:ascii="宋体" w:hAnsi="宋体" w:cs="宋体"/>
          <w:szCs w:val="21"/>
        </w:rPr>
        <w:t xml:space="preserve">电    话：18638782001  </w:t>
      </w:r>
    </w:p>
    <w:p w14:paraId="14771DF6">
      <w:pPr>
        <w:widowControl/>
        <w:spacing w:line="360" w:lineRule="auto"/>
        <w:ind w:firstLine="0" w:firstLineChars="0"/>
        <w:jc w:val="left"/>
        <w:rPr>
          <w:rFonts w:hint="eastAsia" w:ascii="宋体" w:hAnsi="宋体" w:cs="宋体"/>
          <w:kern w:val="0"/>
          <w:szCs w:val="21"/>
        </w:rPr>
      </w:pPr>
      <w:r>
        <w:rPr>
          <w:rFonts w:hint="eastAsia" w:ascii="宋体" w:hAnsi="宋体" w:cs="宋体"/>
          <w:kern w:val="0"/>
          <w:szCs w:val="21"/>
        </w:rPr>
        <w:t>            </w:t>
      </w:r>
      <w:bookmarkEnd w:id="8"/>
      <w:bookmarkStart w:id="12" w:name="_Toc8890"/>
    </w:p>
    <w:p w14:paraId="67BBBC39">
      <w:pPr>
        <w:pStyle w:val="28"/>
        <w:rPr>
          <w:rFonts w:hint="eastAsia"/>
        </w:rPr>
      </w:pPr>
    </w:p>
    <w:p w14:paraId="760B2CF2">
      <w:pPr>
        <w:rPr>
          <w:rFonts w:hint="eastAsia"/>
        </w:rPr>
      </w:pPr>
    </w:p>
    <w:p w14:paraId="04684A88">
      <w:pPr>
        <w:pStyle w:val="28"/>
        <w:rPr>
          <w:rFonts w:hint="eastAsia"/>
        </w:rPr>
      </w:pPr>
    </w:p>
    <w:p w14:paraId="194F1A2D">
      <w:pPr>
        <w:rPr>
          <w:rFonts w:hint="eastAsia"/>
        </w:rPr>
      </w:pPr>
    </w:p>
    <w:p w14:paraId="513A61EA">
      <w:pPr>
        <w:ind w:left="0" w:leftChars="0" w:firstLine="0" w:firstLineChars="0"/>
        <w:jc w:val="center"/>
        <w:rPr>
          <w:rFonts w:ascii="宋体" w:hAnsi="宋体" w:cs="宋体"/>
          <w:b/>
          <w:bCs/>
          <w:sz w:val="32"/>
          <w:szCs w:val="32"/>
        </w:rPr>
      </w:pPr>
      <w:bookmarkStart w:id="13" w:name="_Toc14928"/>
      <w:r>
        <w:rPr>
          <w:rFonts w:hint="eastAsia" w:ascii="宋体" w:hAnsi="宋体" w:cs="宋体"/>
          <w:b/>
          <w:bCs/>
          <w:sz w:val="32"/>
          <w:szCs w:val="32"/>
        </w:rPr>
        <w:t>第二章 供应商须知</w:t>
      </w:r>
      <w:bookmarkEnd w:id="9"/>
      <w:bookmarkEnd w:id="10"/>
      <w:bookmarkEnd w:id="11"/>
      <w:bookmarkEnd w:id="12"/>
      <w:bookmarkEnd w:id="13"/>
    </w:p>
    <w:p w14:paraId="34782988">
      <w:pPr>
        <w:pStyle w:val="72"/>
        <w:ind w:firstLine="0" w:firstLineChars="0"/>
        <w:jc w:val="center"/>
        <w:rPr>
          <w:rFonts w:ascii="宋体" w:hAnsi="宋体" w:eastAsia="宋体"/>
          <w:b/>
          <w:bCs/>
        </w:rPr>
      </w:pPr>
      <w:bookmarkStart w:id="14" w:name="_Toc471"/>
      <w:bookmarkStart w:id="15" w:name="_Toc466298090"/>
      <w:bookmarkStart w:id="16" w:name="_Toc152045528"/>
      <w:bookmarkStart w:id="17" w:name="_Toc144974496"/>
      <w:bookmarkStart w:id="18" w:name="_Toc152042304"/>
      <w:bookmarkStart w:id="19" w:name="_Toc27072"/>
      <w:bookmarkStart w:id="20" w:name="_Toc455080107"/>
      <w:bookmarkStart w:id="21" w:name="_Toc22294"/>
      <w:r>
        <w:rPr>
          <w:rFonts w:hint="eastAsia" w:ascii="宋体" w:hAnsi="宋体" w:eastAsia="宋体"/>
          <w:b/>
          <w:bCs/>
        </w:rPr>
        <w:t>供应商须知前附表</w:t>
      </w:r>
      <w:bookmarkEnd w:id="14"/>
      <w:bookmarkEnd w:id="15"/>
      <w:bookmarkEnd w:id="16"/>
      <w:bookmarkEnd w:id="17"/>
      <w:bookmarkEnd w:id="18"/>
      <w:bookmarkEnd w:id="19"/>
      <w:bookmarkEnd w:id="20"/>
      <w:bookmarkEnd w:id="21"/>
    </w:p>
    <w:tbl>
      <w:tblPr>
        <w:tblStyle w:val="30"/>
        <w:tblW w:w="8899" w:type="dxa"/>
        <w:tblInd w:w="108" w:type="dxa"/>
        <w:tblLayout w:type="fixed"/>
        <w:tblCellMar>
          <w:top w:w="0" w:type="dxa"/>
          <w:left w:w="108" w:type="dxa"/>
          <w:bottom w:w="0" w:type="dxa"/>
          <w:right w:w="108" w:type="dxa"/>
        </w:tblCellMar>
      </w:tblPr>
      <w:tblGrid>
        <w:gridCol w:w="1085"/>
        <w:gridCol w:w="1933"/>
        <w:gridCol w:w="5881"/>
      </w:tblGrid>
      <w:tr w14:paraId="12A9AC70">
        <w:trPr>
          <w:trHeight w:val="496"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02E69D05">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条款号</w:t>
            </w:r>
          </w:p>
        </w:tc>
        <w:tc>
          <w:tcPr>
            <w:tcW w:w="1933" w:type="dxa"/>
            <w:tcBorders>
              <w:top w:val="single" w:color="auto" w:sz="4" w:space="0"/>
              <w:left w:val="single" w:color="auto" w:sz="4" w:space="0"/>
              <w:bottom w:val="single" w:color="auto" w:sz="4" w:space="0"/>
              <w:right w:val="single" w:color="auto" w:sz="4" w:space="0"/>
            </w:tcBorders>
            <w:noWrap/>
            <w:vAlign w:val="center"/>
          </w:tcPr>
          <w:p w14:paraId="023DD7B9">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条款名称</w:t>
            </w:r>
          </w:p>
        </w:tc>
        <w:tc>
          <w:tcPr>
            <w:tcW w:w="5881" w:type="dxa"/>
            <w:tcBorders>
              <w:top w:val="single" w:color="auto" w:sz="4" w:space="0"/>
              <w:left w:val="single" w:color="auto" w:sz="4" w:space="0"/>
              <w:bottom w:val="single" w:color="auto" w:sz="4" w:space="0"/>
              <w:right w:val="single" w:color="auto" w:sz="4" w:space="0"/>
            </w:tcBorders>
            <w:noWrap/>
            <w:vAlign w:val="center"/>
          </w:tcPr>
          <w:p w14:paraId="1AD2D16D">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编  列  内  容</w:t>
            </w:r>
          </w:p>
        </w:tc>
      </w:tr>
      <w:tr w14:paraId="785548B3">
        <w:tblPrEx>
          <w:tblCellMar>
            <w:top w:w="0" w:type="dxa"/>
            <w:left w:w="108" w:type="dxa"/>
            <w:bottom w:w="0" w:type="dxa"/>
            <w:right w:w="108" w:type="dxa"/>
          </w:tblCellMar>
        </w:tblPrEx>
        <w:trPr>
          <w:trHeight w:val="1420"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68588C9">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1"/>
              </w:rPr>
              <w:t>.1</w:t>
            </w:r>
          </w:p>
        </w:tc>
        <w:tc>
          <w:tcPr>
            <w:tcW w:w="1933" w:type="dxa"/>
            <w:tcBorders>
              <w:top w:val="single" w:color="auto" w:sz="4" w:space="0"/>
              <w:left w:val="single" w:color="auto" w:sz="4" w:space="0"/>
              <w:bottom w:val="single" w:color="auto" w:sz="4" w:space="0"/>
              <w:right w:val="single" w:color="auto" w:sz="4" w:space="0"/>
            </w:tcBorders>
            <w:noWrap/>
            <w:vAlign w:val="center"/>
          </w:tcPr>
          <w:p w14:paraId="3917C392">
            <w:pPr>
              <w:adjustRightInd w:val="0"/>
              <w:spacing w:line="400" w:lineRule="exact"/>
              <w:ind w:firstLine="0" w:firstLineChars="0"/>
              <w:jc w:val="center"/>
              <w:textAlignment w:val="baseline"/>
              <w:rPr>
                <w:rFonts w:ascii="宋体" w:hAnsi="宋体" w:cs="宋体"/>
                <w:szCs w:val="21"/>
                <w:highlight w:val="none"/>
              </w:rPr>
            </w:pPr>
            <w:r>
              <w:rPr>
                <w:rFonts w:hint="eastAsia" w:ascii="宋体" w:hAnsi="宋体" w:cs="宋体"/>
                <w:szCs w:val="21"/>
                <w:highlight w:val="none"/>
              </w:rPr>
              <w:t>采购人</w:t>
            </w:r>
          </w:p>
        </w:tc>
        <w:tc>
          <w:tcPr>
            <w:tcW w:w="5881" w:type="dxa"/>
            <w:tcBorders>
              <w:top w:val="single" w:color="auto" w:sz="4" w:space="0"/>
              <w:left w:val="single" w:color="auto" w:sz="4" w:space="0"/>
              <w:bottom w:val="single" w:color="auto" w:sz="4" w:space="0"/>
              <w:right w:val="single" w:color="auto" w:sz="4" w:space="0"/>
            </w:tcBorders>
            <w:noWrap/>
            <w:vAlign w:val="center"/>
          </w:tcPr>
          <w:p w14:paraId="5B4A2FDA">
            <w:pPr>
              <w:spacing w:line="400" w:lineRule="exact"/>
              <w:ind w:firstLine="0" w:firstLineChars="0"/>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采购人：</w:t>
            </w:r>
            <w:r>
              <w:rPr>
                <w:rFonts w:hint="eastAsia" w:ascii="宋体" w:hAnsi="宋体" w:eastAsia="宋体" w:cs="宋体"/>
                <w:szCs w:val="21"/>
                <w:highlight w:val="none"/>
                <w:lang w:val="en-US" w:eastAsia="zh-CN"/>
              </w:rPr>
              <w:t>罗山县铁铺镇人民政府</w:t>
            </w:r>
          </w:p>
          <w:p w14:paraId="6E8F3F9F">
            <w:pPr>
              <w:spacing w:line="400" w:lineRule="exact"/>
              <w:ind w:firstLine="0" w:firstLineChars="0"/>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地址：</w:t>
            </w:r>
            <w:r>
              <w:rPr>
                <w:rFonts w:hint="eastAsia" w:ascii="宋体" w:hAnsi="宋体" w:cs="宋体"/>
                <w:szCs w:val="21"/>
                <w:highlight w:val="none"/>
              </w:rPr>
              <w:t>铁铺镇行政路1号</w:t>
            </w:r>
          </w:p>
          <w:p w14:paraId="00A92445">
            <w:pPr>
              <w:spacing w:line="400" w:lineRule="exact"/>
              <w:ind w:firstLine="0" w:firstLineChars="0"/>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联系人：</w:t>
            </w:r>
            <w:r>
              <w:rPr>
                <w:rFonts w:hint="eastAsia" w:ascii="宋体" w:hAnsi="宋体" w:cs="宋体"/>
                <w:szCs w:val="21"/>
                <w:highlight w:val="none"/>
                <w:lang w:val="en-US" w:eastAsia="zh-CN"/>
              </w:rPr>
              <w:t>郑丰</w:t>
            </w:r>
          </w:p>
          <w:p w14:paraId="3CBB81F5">
            <w:pPr>
              <w:spacing w:line="400" w:lineRule="exact"/>
              <w:ind w:firstLine="0" w:firstLineChars="0"/>
              <w:rPr>
                <w:rFonts w:hint="default" w:ascii="宋体" w:hAnsi="宋体" w:eastAsia="宋体" w:cs="宋体"/>
                <w:szCs w:val="21"/>
                <w:highlight w:val="none"/>
                <w:lang w:val="en-US" w:eastAsia="zh-CN"/>
              </w:rPr>
            </w:pPr>
            <w:r>
              <w:rPr>
                <w:rFonts w:hint="default" w:ascii="宋体" w:hAnsi="宋体" w:eastAsia="宋体" w:cs="宋体"/>
                <w:szCs w:val="21"/>
                <w:highlight w:val="none"/>
                <w:lang w:val="en-US" w:eastAsia="zh-CN"/>
              </w:rPr>
              <w:t>电话：</w:t>
            </w:r>
            <w:r>
              <w:rPr>
                <w:rFonts w:hint="eastAsia" w:ascii="宋体" w:hAnsi="宋体" w:cs="宋体"/>
                <w:szCs w:val="21"/>
                <w:highlight w:val="none"/>
                <w:lang w:val="en-US" w:eastAsia="zh-CN"/>
              </w:rPr>
              <w:t>0376-2238001</w:t>
            </w:r>
          </w:p>
        </w:tc>
      </w:tr>
      <w:tr w14:paraId="0B1018FC">
        <w:tblPrEx>
          <w:tblCellMar>
            <w:top w:w="0" w:type="dxa"/>
            <w:left w:w="108" w:type="dxa"/>
            <w:bottom w:w="0" w:type="dxa"/>
            <w:right w:w="108" w:type="dxa"/>
          </w:tblCellMar>
        </w:tblPrEx>
        <w:trPr>
          <w:trHeight w:val="1502"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30312BC7">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1"/>
              </w:rPr>
              <w:t>.2</w:t>
            </w:r>
          </w:p>
        </w:tc>
        <w:tc>
          <w:tcPr>
            <w:tcW w:w="1933" w:type="dxa"/>
            <w:tcBorders>
              <w:top w:val="single" w:color="auto" w:sz="4" w:space="0"/>
              <w:left w:val="single" w:color="auto" w:sz="4" w:space="0"/>
              <w:bottom w:val="single" w:color="auto" w:sz="4" w:space="0"/>
              <w:right w:val="single" w:color="auto" w:sz="4" w:space="0"/>
            </w:tcBorders>
            <w:noWrap/>
            <w:vAlign w:val="center"/>
          </w:tcPr>
          <w:p w14:paraId="41A8145C">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采购代理机构</w:t>
            </w:r>
          </w:p>
        </w:tc>
        <w:tc>
          <w:tcPr>
            <w:tcW w:w="5881" w:type="dxa"/>
            <w:tcBorders>
              <w:top w:val="single" w:color="auto" w:sz="4" w:space="0"/>
              <w:left w:val="single" w:color="auto" w:sz="4" w:space="0"/>
              <w:bottom w:val="single" w:color="auto" w:sz="4" w:space="0"/>
              <w:right w:val="single" w:color="auto" w:sz="4" w:space="0"/>
            </w:tcBorders>
            <w:noWrap/>
            <w:vAlign w:val="center"/>
          </w:tcPr>
          <w:p w14:paraId="1EE0D4FE">
            <w:pPr>
              <w:spacing w:line="400" w:lineRule="exact"/>
              <w:ind w:firstLine="0" w:firstLineChars="0"/>
              <w:rPr>
                <w:rFonts w:ascii="宋体" w:hAnsi="宋体" w:eastAsia="宋体" w:cs="宋体"/>
                <w:szCs w:val="21"/>
              </w:rPr>
            </w:pPr>
            <w:r>
              <w:rPr>
                <w:rFonts w:ascii="宋体" w:hAnsi="宋体" w:eastAsia="宋体" w:cs="宋体"/>
                <w:szCs w:val="21"/>
              </w:rPr>
              <w:t>名称：</w:t>
            </w:r>
            <w:r>
              <w:rPr>
                <w:rFonts w:hint="eastAsia" w:ascii="宋体" w:hAnsi="宋体" w:eastAsia="宋体" w:cs="宋体"/>
                <w:szCs w:val="21"/>
              </w:rPr>
              <w:t>中睿项目管理有限公司</w:t>
            </w:r>
          </w:p>
          <w:p w14:paraId="53322124">
            <w:pPr>
              <w:spacing w:line="400" w:lineRule="exact"/>
              <w:ind w:firstLine="0" w:firstLineChars="0"/>
              <w:rPr>
                <w:rFonts w:ascii="宋体" w:hAnsi="宋体" w:eastAsia="宋体" w:cs="宋体"/>
                <w:szCs w:val="21"/>
              </w:rPr>
            </w:pPr>
            <w:r>
              <w:rPr>
                <w:rFonts w:ascii="宋体" w:hAnsi="宋体" w:eastAsia="宋体" w:cs="宋体"/>
                <w:szCs w:val="21"/>
              </w:rPr>
              <w:t>地址：</w:t>
            </w:r>
            <w:r>
              <w:rPr>
                <w:rFonts w:hint="eastAsia" w:ascii="宋体" w:hAnsi="宋体" w:eastAsia="宋体" w:cs="宋体"/>
                <w:szCs w:val="21"/>
              </w:rPr>
              <w:t>郑州市管城回族区航海东路869号1号楼26层2610号</w:t>
            </w:r>
          </w:p>
          <w:p w14:paraId="2A2EC2D0">
            <w:pPr>
              <w:spacing w:line="400" w:lineRule="exact"/>
              <w:ind w:firstLine="0" w:firstLineChars="0"/>
              <w:rPr>
                <w:rFonts w:hint="eastAsia" w:ascii="宋体" w:hAnsi="宋体" w:eastAsia="宋体" w:cs="宋体"/>
                <w:szCs w:val="21"/>
                <w:lang w:val="en-US" w:eastAsia="zh-CN"/>
              </w:rPr>
            </w:pPr>
            <w:r>
              <w:rPr>
                <w:rFonts w:ascii="宋体" w:hAnsi="宋体" w:eastAsia="宋体" w:cs="宋体"/>
                <w:szCs w:val="21"/>
              </w:rPr>
              <w:t>联系人：</w:t>
            </w:r>
            <w:r>
              <w:rPr>
                <w:rFonts w:hint="eastAsia" w:ascii="宋体" w:hAnsi="宋体" w:eastAsia="宋体" w:cs="宋体"/>
                <w:szCs w:val="21"/>
              </w:rPr>
              <w:t>李</w:t>
            </w:r>
            <w:r>
              <w:rPr>
                <w:rFonts w:hint="eastAsia" w:ascii="宋体" w:hAnsi="宋体" w:eastAsia="宋体" w:cs="宋体"/>
                <w:szCs w:val="21"/>
                <w:lang w:val="en-US" w:eastAsia="zh-CN"/>
              </w:rPr>
              <w:t>林</w:t>
            </w:r>
          </w:p>
          <w:p w14:paraId="08452350">
            <w:pPr>
              <w:spacing w:line="400" w:lineRule="exact"/>
              <w:ind w:firstLine="0" w:firstLineChars="0"/>
              <w:rPr>
                <w:rFonts w:ascii="宋体" w:hAnsi="宋体" w:eastAsia="宋体" w:cs="宋体"/>
                <w:szCs w:val="21"/>
              </w:rPr>
            </w:pPr>
            <w:r>
              <w:rPr>
                <w:rFonts w:ascii="宋体" w:hAnsi="宋体" w:eastAsia="宋体" w:cs="宋体"/>
                <w:szCs w:val="21"/>
              </w:rPr>
              <w:t>联系方式：</w:t>
            </w:r>
            <w:r>
              <w:rPr>
                <w:rFonts w:hint="eastAsia" w:ascii="宋体" w:hAnsi="宋体" w:eastAsia="宋体" w:cs="宋体"/>
                <w:szCs w:val="21"/>
              </w:rPr>
              <w:t xml:space="preserve">18638782001 </w:t>
            </w:r>
          </w:p>
        </w:tc>
      </w:tr>
      <w:tr w14:paraId="585889FF">
        <w:tblPrEx>
          <w:tblCellMar>
            <w:top w:w="0" w:type="dxa"/>
            <w:left w:w="108" w:type="dxa"/>
            <w:bottom w:w="0" w:type="dxa"/>
            <w:right w:w="108" w:type="dxa"/>
          </w:tblCellMar>
        </w:tblPrEx>
        <w:trPr>
          <w:trHeight w:val="1502"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149112A1">
            <w:pPr>
              <w:adjustRightInd w:val="0"/>
              <w:spacing w:line="400" w:lineRule="exact"/>
              <w:ind w:firstLine="0" w:firstLineChars="0"/>
              <w:jc w:val="center"/>
              <w:textAlignment w:val="baseline"/>
              <w:rPr>
                <w:rFonts w:hint="default" w:ascii="宋体" w:hAnsi="宋体" w:cs="宋体" w:eastAsiaTheme="minorEastAsia"/>
                <w:szCs w:val="21"/>
                <w:lang w:val="en-US" w:eastAsia="zh-CN"/>
              </w:rPr>
            </w:pPr>
            <w:r>
              <w:rPr>
                <w:rFonts w:hint="eastAsia" w:ascii="宋体" w:hAnsi="宋体" w:cs="宋体"/>
                <w:szCs w:val="21"/>
                <w:lang w:val="en-US" w:eastAsia="zh-CN"/>
              </w:rPr>
              <w:t>1.1.3</w:t>
            </w:r>
          </w:p>
        </w:tc>
        <w:tc>
          <w:tcPr>
            <w:tcW w:w="1933" w:type="dxa"/>
            <w:tcBorders>
              <w:top w:val="single" w:color="auto" w:sz="4" w:space="0"/>
              <w:left w:val="single" w:color="auto" w:sz="4" w:space="0"/>
              <w:bottom w:val="single" w:color="auto" w:sz="4" w:space="0"/>
              <w:right w:val="single" w:color="auto" w:sz="4" w:space="0"/>
            </w:tcBorders>
            <w:noWrap/>
            <w:vAlign w:val="center"/>
          </w:tcPr>
          <w:p w14:paraId="03A5E412">
            <w:pPr>
              <w:spacing w:line="400" w:lineRule="exact"/>
              <w:ind w:firstLine="0" w:firstLineChars="0"/>
              <w:rPr>
                <w:rFonts w:hint="eastAsia" w:ascii="宋体" w:hAnsi="宋体" w:eastAsia="宋体" w:cs="宋体"/>
                <w:szCs w:val="21"/>
              </w:rPr>
            </w:pPr>
            <w:r>
              <w:rPr>
                <w:rFonts w:hint="eastAsia" w:ascii="宋体" w:hAnsi="宋体" w:eastAsia="宋体" w:cs="宋体"/>
                <w:szCs w:val="21"/>
                <w:lang w:val="en-US" w:eastAsia="zh-CN"/>
              </w:rPr>
              <w:t>监督部门信息</w:t>
            </w:r>
          </w:p>
        </w:tc>
        <w:tc>
          <w:tcPr>
            <w:tcW w:w="5881" w:type="dxa"/>
            <w:tcBorders>
              <w:top w:val="single" w:color="auto" w:sz="4" w:space="0"/>
              <w:left w:val="single" w:color="auto" w:sz="4" w:space="0"/>
              <w:bottom w:val="single" w:color="auto" w:sz="4" w:space="0"/>
              <w:right w:val="single" w:color="auto" w:sz="4" w:space="0"/>
            </w:tcBorders>
            <w:noWrap/>
            <w:vAlign w:val="center"/>
          </w:tcPr>
          <w:p w14:paraId="133018E5">
            <w:pPr>
              <w:spacing w:line="400" w:lineRule="exact"/>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监督单位：罗山县财政局政府采购股</w:t>
            </w:r>
          </w:p>
          <w:p w14:paraId="089C85EB">
            <w:pPr>
              <w:spacing w:line="400" w:lineRule="exact"/>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联系电话：0376-2175979</w:t>
            </w:r>
          </w:p>
          <w:p w14:paraId="3914AD83">
            <w:pPr>
              <w:spacing w:line="400" w:lineRule="exact"/>
              <w:ind w:firstLine="0" w:firstLineChars="0"/>
              <w:rPr>
                <w:rFonts w:hint="eastAsia" w:ascii="宋体" w:hAnsi="宋体" w:cs="宋体"/>
                <w:kern w:val="0"/>
                <w:szCs w:val="21"/>
                <w:lang w:val="en-US" w:eastAsia="zh-CN"/>
              </w:rPr>
            </w:pPr>
            <w:r>
              <w:rPr>
                <w:rFonts w:hint="eastAsia" w:ascii="宋体" w:hAnsi="宋体" w:cs="宋体"/>
                <w:kern w:val="0"/>
                <w:szCs w:val="21"/>
                <w:lang w:val="en-US" w:eastAsia="zh-CN"/>
              </w:rPr>
              <w:t xml:space="preserve">监督单位：罗山县铁铺镇纪律检查委员会         </w:t>
            </w:r>
          </w:p>
          <w:p w14:paraId="0A734EEA">
            <w:pPr>
              <w:spacing w:line="400" w:lineRule="exact"/>
              <w:ind w:firstLine="0" w:firstLineChars="0"/>
              <w:rPr>
                <w:rFonts w:hint="eastAsia" w:ascii="宋体" w:hAnsi="宋体" w:eastAsia="宋体" w:cs="宋体"/>
                <w:b/>
                <w:bCs/>
                <w:szCs w:val="21"/>
                <w:lang w:val="en-US" w:eastAsia="zh-CN"/>
              </w:rPr>
            </w:pPr>
            <w:r>
              <w:rPr>
                <w:rFonts w:hint="eastAsia" w:ascii="宋体" w:hAnsi="宋体" w:cs="宋体"/>
                <w:kern w:val="0"/>
                <w:szCs w:val="21"/>
                <w:lang w:val="en-US" w:eastAsia="zh-CN"/>
              </w:rPr>
              <w:t>联系电话：18568290126</w:t>
            </w:r>
          </w:p>
        </w:tc>
      </w:tr>
      <w:tr w14:paraId="6622E9A0">
        <w:tblPrEx>
          <w:tblCellMar>
            <w:top w:w="0" w:type="dxa"/>
            <w:left w:w="108" w:type="dxa"/>
            <w:bottom w:w="0" w:type="dxa"/>
            <w:right w:w="108" w:type="dxa"/>
          </w:tblCellMar>
        </w:tblPrEx>
        <w:trPr>
          <w:trHeight w:val="512"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4FBD0BD">
            <w:pPr>
              <w:adjustRightInd w:val="0"/>
              <w:spacing w:line="400" w:lineRule="exact"/>
              <w:ind w:firstLine="0" w:firstLineChars="0"/>
              <w:jc w:val="center"/>
              <w:textAlignment w:val="baseline"/>
              <w:rPr>
                <w:rFonts w:hint="eastAsia" w:ascii="宋体" w:hAnsi="宋体" w:cs="宋体" w:eastAsiaTheme="minorEastAsia"/>
                <w:szCs w:val="21"/>
                <w:lang w:eastAsia="zh-CN"/>
              </w:rPr>
            </w:pPr>
            <w:r>
              <w:rPr>
                <w:rFonts w:hint="eastAsia" w:ascii="宋体" w:hAnsi="宋体" w:cs="宋体"/>
                <w:szCs w:val="21"/>
              </w:rPr>
              <w:t>1.2.</w:t>
            </w:r>
            <w:r>
              <w:rPr>
                <w:rFonts w:hint="eastAsia" w:ascii="宋体" w:hAnsi="宋体" w:cs="宋体"/>
                <w:szCs w:val="21"/>
                <w:lang w:val="en-US" w:eastAsia="zh-CN"/>
              </w:rPr>
              <w:t>1</w:t>
            </w:r>
          </w:p>
        </w:tc>
        <w:tc>
          <w:tcPr>
            <w:tcW w:w="1933" w:type="dxa"/>
            <w:tcBorders>
              <w:top w:val="single" w:color="auto" w:sz="4" w:space="0"/>
              <w:left w:val="single" w:color="auto" w:sz="4" w:space="0"/>
              <w:bottom w:val="single" w:color="auto" w:sz="4" w:space="0"/>
              <w:right w:val="single" w:color="auto" w:sz="4" w:space="0"/>
            </w:tcBorders>
            <w:noWrap/>
            <w:vAlign w:val="center"/>
          </w:tcPr>
          <w:p w14:paraId="4EA0C613">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项目名称</w:t>
            </w:r>
          </w:p>
        </w:tc>
        <w:tc>
          <w:tcPr>
            <w:tcW w:w="5881" w:type="dxa"/>
            <w:tcBorders>
              <w:top w:val="single" w:color="auto" w:sz="4" w:space="0"/>
              <w:left w:val="single" w:color="auto" w:sz="4" w:space="0"/>
              <w:bottom w:val="single" w:color="auto" w:sz="4" w:space="0"/>
              <w:right w:val="single" w:color="auto" w:sz="4" w:space="0"/>
            </w:tcBorders>
            <w:noWrap/>
            <w:vAlign w:val="center"/>
          </w:tcPr>
          <w:p w14:paraId="181B9051">
            <w:pPr>
              <w:spacing w:line="400" w:lineRule="exact"/>
              <w:ind w:firstLine="0" w:firstLineChars="0"/>
              <w:rPr>
                <w:rFonts w:hint="default" w:ascii="宋体" w:hAnsi="宋体" w:eastAsia="宋体" w:cs="宋体"/>
                <w:szCs w:val="21"/>
                <w:lang w:val="en-US" w:eastAsia="zh-CN"/>
              </w:rPr>
            </w:pPr>
            <w:r>
              <w:rPr>
                <w:rFonts w:hint="eastAsia" w:ascii="宋体" w:hAnsi="宋体" w:eastAsia="宋体" w:cs="宋体"/>
                <w:szCs w:val="21"/>
                <w:lang w:val="en-US" w:eastAsia="zh-CN"/>
              </w:rPr>
              <w:t>罗山县铁铺镇人民政府2026年罗山县铁铺镇产业发展配套设施项目</w:t>
            </w:r>
          </w:p>
        </w:tc>
      </w:tr>
      <w:tr w14:paraId="25C17899">
        <w:tblPrEx>
          <w:tblCellMar>
            <w:top w:w="0" w:type="dxa"/>
            <w:left w:w="108" w:type="dxa"/>
            <w:bottom w:w="0" w:type="dxa"/>
            <w:right w:w="108" w:type="dxa"/>
          </w:tblCellMar>
        </w:tblPrEx>
        <w:trPr>
          <w:trHeight w:val="525"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3BF6F13A">
            <w:pPr>
              <w:adjustRightInd w:val="0"/>
              <w:spacing w:line="400" w:lineRule="exact"/>
              <w:ind w:firstLine="0" w:firstLineChars="0"/>
              <w:jc w:val="center"/>
              <w:textAlignment w:val="baseline"/>
              <w:rPr>
                <w:rFonts w:hint="eastAsia" w:ascii="宋体" w:hAnsi="宋体" w:cs="宋体" w:eastAsiaTheme="minorEastAsia"/>
                <w:szCs w:val="21"/>
                <w:lang w:eastAsia="zh-CN"/>
              </w:rPr>
            </w:pPr>
            <w:r>
              <w:rPr>
                <w:rFonts w:hint="eastAsia" w:ascii="宋体" w:hAnsi="宋体" w:cs="宋体"/>
                <w:szCs w:val="21"/>
              </w:rPr>
              <w:t>1.2.</w:t>
            </w:r>
            <w:r>
              <w:rPr>
                <w:rFonts w:hint="eastAsia" w:ascii="宋体" w:hAnsi="宋体" w:cs="宋体"/>
                <w:szCs w:val="21"/>
                <w:lang w:val="en-US" w:eastAsia="zh-CN"/>
              </w:rPr>
              <w:t>2</w:t>
            </w:r>
          </w:p>
        </w:tc>
        <w:tc>
          <w:tcPr>
            <w:tcW w:w="1933" w:type="dxa"/>
            <w:tcBorders>
              <w:top w:val="single" w:color="auto" w:sz="4" w:space="0"/>
              <w:left w:val="single" w:color="auto" w:sz="4" w:space="0"/>
              <w:bottom w:val="single" w:color="auto" w:sz="4" w:space="0"/>
              <w:right w:val="single" w:color="auto" w:sz="4" w:space="0"/>
            </w:tcBorders>
            <w:noWrap/>
            <w:vAlign w:val="center"/>
          </w:tcPr>
          <w:p w14:paraId="3C4BD494">
            <w:pPr>
              <w:autoSpaceDE w:val="0"/>
              <w:autoSpaceDN w:val="0"/>
              <w:adjustRightInd w:val="0"/>
              <w:spacing w:line="400" w:lineRule="exact"/>
              <w:ind w:right="35" w:firstLine="0" w:firstLineChars="0"/>
              <w:jc w:val="center"/>
              <w:rPr>
                <w:rFonts w:ascii="宋体" w:hAnsi="宋体" w:eastAsia="宋体" w:cs="宋体"/>
                <w:spacing w:val="1"/>
                <w:kern w:val="0"/>
                <w:szCs w:val="21"/>
              </w:rPr>
            </w:pPr>
            <w:r>
              <w:rPr>
                <w:rFonts w:hint="eastAsia" w:ascii="宋体" w:hAnsi="宋体" w:eastAsia="宋体" w:cs="宋体"/>
                <w:spacing w:val="1"/>
                <w:kern w:val="0"/>
                <w:szCs w:val="21"/>
              </w:rPr>
              <w:t>采购方式</w:t>
            </w:r>
          </w:p>
        </w:tc>
        <w:tc>
          <w:tcPr>
            <w:tcW w:w="5881" w:type="dxa"/>
            <w:tcBorders>
              <w:top w:val="single" w:color="auto" w:sz="4" w:space="0"/>
              <w:left w:val="single" w:color="auto" w:sz="4" w:space="0"/>
              <w:bottom w:val="single" w:color="auto" w:sz="4" w:space="0"/>
              <w:right w:val="single" w:color="auto" w:sz="4" w:space="0"/>
            </w:tcBorders>
            <w:noWrap/>
            <w:vAlign w:val="center"/>
          </w:tcPr>
          <w:p w14:paraId="31D5E800">
            <w:pPr>
              <w:autoSpaceDE w:val="0"/>
              <w:autoSpaceDN w:val="0"/>
              <w:adjustRightInd w:val="0"/>
              <w:spacing w:line="400" w:lineRule="exact"/>
              <w:ind w:firstLine="0" w:firstLineChars="0"/>
              <w:jc w:val="left"/>
              <w:rPr>
                <w:rFonts w:ascii="宋体" w:hAnsi="宋体" w:eastAsia="宋体" w:cs="宋体"/>
                <w:spacing w:val="1"/>
                <w:kern w:val="0"/>
                <w:szCs w:val="21"/>
              </w:rPr>
            </w:pPr>
            <w:r>
              <w:rPr>
                <w:rFonts w:hint="eastAsia" w:ascii="宋体" w:hAnsi="宋体" w:eastAsia="宋体" w:cs="宋体"/>
                <w:spacing w:val="1"/>
                <w:kern w:val="0"/>
                <w:szCs w:val="21"/>
              </w:rPr>
              <w:t>竞争性磋商</w:t>
            </w:r>
          </w:p>
        </w:tc>
      </w:tr>
      <w:tr w14:paraId="4A70C1DF">
        <w:tblPrEx>
          <w:tblCellMar>
            <w:top w:w="0" w:type="dxa"/>
            <w:left w:w="108" w:type="dxa"/>
            <w:bottom w:w="0" w:type="dxa"/>
            <w:right w:w="108" w:type="dxa"/>
          </w:tblCellMar>
        </w:tblPrEx>
        <w:trPr>
          <w:trHeight w:val="824"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005F7F7D">
            <w:pPr>
              <w:adjustRightInd w:val="0"/>
              <w:spacing w:line="400" w:lineRule="exact"/>
              <w:ind w:firstLine="0" w:firstLineChars="0"/>
              <w:jc w:val="center"/>
              <w:textAlignment w:val="baseline"/>
              <w:rPr>
                <w:rFonts w:hint="eastAsia" w:ascii="宋体" w:hAnsi="宋体" w:cs="宋体" w:eastAsiaTheme="minorEastAsia"/>
                <w:szCs w:val="21"/>
                <w:lang w:eastAsia="zh-CN"/>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1</w:t>
            </w:r>
          </w:p>
        </w:tc>
        <w:tc>
          <w:tcPr>
            <w:tcW w:w="1933" w:type="dxa"/>
            <w:tcBorders>
              <w:top w:val="single" w:color="auto" w:sz="4" w:space="0"/>
              <w:left w:val="single" w:color="auto" w:sz="4" w:space="0"/>
              <w:bottom w:val="single" w:color="auto" w:sz="4" w:space="0"/>
              <w:right w:val="single" w:color="auto" w:sz="4" w:space="0"/>
            </w:tcBorders>
            <w:noWrap/>
            <w:vAlign w:val="center"/>
          </w:tcPr>
          <w:p w14:paraId="44609C1A">
            <w:pPr>
              <w:autoSpaceDE w:val="0"/>
              <w:autoSpaceDN w:val="0"/>
              <w:adjustRightInd w:val="0"/>
              <w:spacing w:line="400" w:lineRule="exact"/>
              <w:ind w:firstLine="0" w:firstLineChars="0"/>
              <w:jc w:val="center"/>
              <w:rPr>
                <w:rFonts w:ascii="宋体" w:hAnsi="宋体" w:eastAsia="宋体" w:cs="宋体"/>
                <w:kern w:val="0"/>
                <w:szCs w:val="21"/>
              </w:rPr>
            </w:pPr>
            <w:r>
              <w:rPr>
                <w:rFonts w:hint="eastAsia" w:ascii="宋体" w:hAnsi="宋体" w:eastAsia="宋体" w:cs="宋体"/>
                <w:kern w:val="0"/>
                <w:szCs w:val="21"/>
              </w:rPr>
              <w:t>预算价（</w:t>
            </w:r>
            <w:r>
              <w:rPr>
                <w:rFonts w:hint="eastAsia" w:ascii="宋体" w:hAnsi="宋体" w:eastAsia="宋体" w:cs="宋体"/>
                <w:szCs w:val="21"/>
              </w:rPr>
              <w:t>最高限价</w:t>
            </w:r>
            <w:r>
              <w:rPr>
                <w:rFonts w:hint="eastAsia" w:ascii="宋体" w:hAnsi="宋体" w:eastAsia="宋体" w:cs="宋体"/>
                <w:kern w:val="0"/>
                <w:szCs w:val="21"/>
              </w:rPr>
              <w:t>）</w:t>
            </w:r>
          </w:p>
        </w:tc>
        <w:tc>
          <w:tcPr>
            <w:tcW w:w="5881" w:type="dxa"/>
            <w:tcBorders>
              <w:top w:val="single" w:color="auto" w:sz="4" w:space="0"/>
              <w:left w:val="single" w:color="auto" w:sz="4" w:space="0"/>
              <w:bottom w:val="single" w:color="auto" w:sz="4" w:space="0"/>
              <w:right w:val="single" w:color="auto" w:sz="4" w:space="0"/>
            </w:tcBorders>
            <w:noWrap/>
            <w:vAlign w:val="center"/>
          </w:tcPr>
          <w:p w14:paraId="6F03FA5A">
            <w:pPr>
              <w:spacing w:line="400" w:lineRule="exact"/>
              <w:ind w:firstLine="0" w:firstLineChars="0"/>
              <w:rPr>
                <w:rFonts w:hint="default" w:ascii="宋体" w:hAnsi="宋体" w:eastAsia="宋体" w:cs="宋体"/>
                <w:szCs w:val="21"/>
                <w:lang w:val="en-US" w:eastAsia="zh-CN"/>
              </w:rPr>
            </w:pPr>
            <w:r>
              <w:rPr>
                <w:rFonts w:hint="eastAsia" w:ascii="宋体" w:hAnsi="宋体" w:eastAsia="宋体" w:cs="宋体"/>
                <w:szCs w:val="21"/>
                <w:lang w:eastAsia="zh-CN"/>
              </w:rPr>
              <w:t>预算价（最高限价）：</w:t>
            </w:r>
            <w:r>
              <w:rPr>
                <w:rFonts w:hint="eastAsia" w:ascii="宋体" w:hAnsi="宋体" w:eastAsia="宋体" w:cs="宋体"/>
                <w:szCs w:val="21"/>
                <w:lang w:val="en-US" w:eastAsia="zh-CN"/>
              </w:rPr>
              <w:t>（￥：3061422.31元）。</w:t>
            </w:r>
          </w:p>
          <w:p w14:paraId="0EB55CE9">
            <w:pPr>
              <w:pStyle w:val="62"/>
              <w:keepNext w:val="0"/>
              <w:keepLines w:val="0"/>
              <w:pageBreakBefore w:val="0"/>
              <w:widowControl w:val="0"/>
              <w:kinsoku/>
              <w:wordWrap/>
              <w:overflowPunct/>
              <w:topLinePunct w:val="0"/>
              <w:autoSpaceDE/>
              <w:autoSpaceDN/>
              <w:bidi w:val="0"/>
              <w:adjustRightInd/>
              <w:snapToGrid/>
              <w:spacing w:line="300" w:lineRule="exact"/>
              <w:ind w:firstLine="0" w:firstLineChars="0"/>
              <w:textAlignment w:val="auto"/>
              <w:rPr>
                <w:rFonts w:ascii="宋体" w:hAnsi="宋体" w:eastAsia="宋体" w:cs="宋体"/>
                <w:kern w:val="0"/>
                <w:szCs w:val="21"/>
              </w:rPr>
            </w:pPr>
            <w:r>
              <w:rPr>
                <w:rFonts w:hint="eastAsia" w:ascii="宋体" w:hAnsi="宋体" w:eastAsia="宋体" w:cs="宋体"/>
                <w:kern w:val="0"/>
                <w:szCs w:val="21"/>
              </w:rPr>
              <w:t>第一次报价超过预算价（最高限价）按无效投标处理。</w:t>
            </w:r>
          </w:p>
        </w:tc>
      </w:tr>
      <w:tr w14:paraId="687A06AB">
        <w:tblPrEx>
          <w:tblCellMar>
            <w:top w:w="0" w:type="dxa"/>
            <w:left w:w="108" w:type="dxa"/>
            <w:bottom w:w="0" w:type="dxa"/>
            <w:right w:w="108" w:type="dxa"/>
          </w:tblCellMar>
        </w:tblPrEx>
        <w:trPr>
          <w:trHeight w:val="47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61FDE00">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1.4.1</w:t>
            </w:r>
          </w:p>
        </w:tc>
        <w:tc>
          <w:tcPr>
            <w:tcW w:w="1933" w:type="dxa"/>
            <w:tcBorders>
              <w:top w:val="single" w:color="auto" w:sz="4" w:space="0"/>
              <w:left w:val="single" w:color="auto" w:sz="4" w:space="0"/>
              <w:bottom w:val="single" w:color="auto" w:sz="4" w:space="0"/>
              <w:right w:val="single" w:color="auto" w:sz="4" w:space="0"/>
            </w:tcBorders>
            <w:noWrap/>
            <w:vAlign w:val="center"/>
          </w:tcPr>
          <w:p w14:paraId="41A43439">
            <w:pPr>
              <w:adjustRightInd w:val="0"/>
              <w:spacing w:line="400" w:lineRule="exact"/>
              <w:ind w:firstLine="0" w:firstLineChars="0"/>
              <w:jc w:val="center"/>
              <w:textAlignment w:val="baseline"/>
              <w:rPr>
                <w:rFonts w:ascii="宋体" w:hAnsi="宋体" w:eastAsia="宋体" w:cs="宋体"/>
                <w:szCs w:val="21"/>
                <w:highlight w:val="none"/>
              </w:rPr>
            </w:pPr>
            <w:r>
              <w:rPr>
                <w:rFonts w:hint="eastAsia" w:ascii="宋体" w:hAnsi="宋体" w:cs="宋体"/>
                <w:szCs w:val="21"/>
                <w:highlight w:val="none"/>
              </w:rPr>
              <w:t>磋商内容</w:t>
            </w:r>
          </w:p>
        </w:tc>
        <w:tc>
          <w:tcPr>
            <w:tcW w:w="5881" w:type="dxa"/>
            <w:tcBorders>
              <w:top w:val="single" w:color="auto" w:sz="4" w:space="0"/>
              <w:left w:val="single" w:color="auto" w:sz="4" w:space="0"/>
              <w:bottom w:val="single" w:color="auto" w:sz="4" w:space="0"/>
              <w:right w:val="single" w:color="auto" w:sz="4" w:space="0"/>
            </w:tcBorders>
            <w:noWrap/>
            <w:vAlign w:val="center"/>
          </w:tcPr>
          <w:p w14:paraId="7DDA25DC">
            <w:pPr>
              <w:spacing w:line="400" w:lineRule="exact"/>
              <w:ind w:firstLine="0" w:firstLineChars="0"/>
              <w:rPr>
                <w:rFonts w:hint="default" w:ascii="宋体" w:hAnsi="宋体" w:cs="宋体" w:eastAsiaTheme="minorEastAsia"/>
                <w:szCs w:val="21"/>
                <w:highlight w:val="none"/>
                <w:lang w:val="en-US" w:eastAsia="zh-CN"/>
              </w:rPr>
            </w:pPr>
            <w:r>
              <w:rPr>
                <w:rFonts w:hint="default" w:ascii="宋体" w:hAnsi="宋体" w:cs="宋体" w:eastAsiaTheme="minorEastAsia"/>
                <w:szCs w:val="21"/>
                <w:highlight w:val="none"/>
                <w:lang w:val="en-US" w:eastAsia="zh-CN"/>
              </w:rPr>
              <w:t>工程量清单内包含的全部内容</w:t>
            </w:r>
          </w:p>
        </w:tc>
      </w:tr>
      <w:tr w14:paraId="5ACFAF32">
        <w:tblPrEx>
          <w:tblCellMar>
            <w:top w:w="0" w:type="dxa"/>
            <w:left w:w="108" w:type="dxa"/>
            <w:bottom w:w="0" w:type="dxa"/>
            <w:right w:w="108" w:type="dxa"/>
          </w:tblCellMar>
        </w:tblPrEx>
        <w:trPr>
          <w:trHeight w:val="501"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F9A8B7E">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1.4.2</w:t>
            </w:r>
          </w:p>
        </w:tc>
        <w:tc>
          <w:tcPr>
            <w:tcW w:w="1933" w:type="dxa"/>
            <w:tcBorders>
              <w:top w:val="single" w:color="auto" w:sz="4" w:space="0"/>
              <w:left w:val="single" w:color="auto" w:sz="4" w:space="0"/>
              <w:bottom w:val="single" w:color="auto" w:sz="4" w:space="0"/>
              <w:right w:val="single" w:color="auto" w:sz="4" w:space="0"/>
            </w:tcBorders>
            <w:noWrap/>
            <w:vAlign w:val="center"/>
          </w:tcPr>
          <w:p w14:paraId="10628B3A">
            <w:pPr>
              <w:spacing w:line="400" w:lineRule="exact"/>
              <w:ind w:firstLine="0" w:firstLineChars="0"/>
              <w:jc w:val="center"/>
              <w:rPr>
                <w:rFonts w:hint="eastAsia" w:ascii="宋体" w:hAnsi="宋体" w:eastAsiaTheme="minorEastAsia"/>
                <w:szCs w:val="21"/>
                <w:highlight w:val="none"/>
                <w:lang w:eastAsia="zh-CN"/>
              </w:rPr>
            </w:pPr>
            <w:r>
              <w:rPr>
                <w:rFonts w:hint="eastAsia" w:ascii="宋体" w:hAnsi="宋体"/>
                <w:szCs w:val="21"/>
                <w:highlight w:val="none"/>
              </w:rPr>
              <w:t>服务期限</w:t>
            </w:r>
            <w:r>
              <w:rPr>
                <w:rFonts w:hint="eastAsia" w:ascii="宋体" w:hAnsi="宋体"/>
                <w:szCs w:val="21"/>
                <w:highlight w:val="none"/>
                <w:lang w:eastAsia="zh-CN"/>
              </w:rPr>
              <w:t>（</w:t>
            </w:r>
            <w:r>
              <w:rPr>
                <w:rFonts w:hint="eastAsia" w:ascii="宋体" w:hAnsi="宋体"/>
                <w:szCs w:val="21"/>
                <w:highlight w:val="none"/>
                <w:lang w:val="en-US" w:eastAsia="zh-CN"/>
              </w:rPr>
              <w:t>工期</w:t>
            </w:r>
            <w:r>
              <w:rPr>
                <w:rFonts w:hint="eastAsia" w:ascii="宋体" w:hAnsi="宋体"/>
                <w:szCs w:val="21"/>
                <w:highlight w:val="none"/>
                <w:lang w:eastAsia="zh-CN"/>
              </w:rPr>
              <w:t>）</w:t>
            </w:r>
          </w:p>
        </w:tc>
        <w:tc>
          <w:tcPr>
            <w:tcW w:w="5881" w:type="dxa"/>
            <w:tcBorders>
              <w:top w:val="single" w:color="auto" w:sz="4" w:space="0"/>
              <w:left w:val="single" w:color="auto" w:sz="4" w:space="0"/>
              <w:bottom w:val="single" w:color="auto" w:sz="4" w:space="0"/>
              <w:right w:val="single" w:color="auto" w:sz="4" w:space="0"/>
            </w:tcBorders>
            <w:noWrap/>
            <w:vAlign w:val="center"/>
          </w:tcPr>
          <w:p w14:paraId="0059AB48">
            <w:pPr>
              <w:spacing w:line="400" w:lineRule="exact"/>
              <w:ind w:firstLine="0" w:firstLineChars="0"/>
              <w:jc w:val="left"/>
              <w:rPr>
                <w:rFonts w:ascii="宋体" w:hAnsi="宋体"/>
                <w:szCs w:val="21"/>
                <w:highlight w:val="none"/>
              </w:rPr>
            </w:pPr>
            <w:r>
              <w:rPr>
                <w:rFonts w:hint="eastAsia" w:ascii="宋体" w:hAnsi="宋体"/>
                <w:szCs w:val="21"/>
                <w:highlight w:val="none"/>
                <w:lang w:val="en-US" w:eastAsia="zh-CN"/>
              </w:rPr>
              <w:t>120日历天</w:t>
            </w:r>
          </w:p>
        </w:tc>
      </w:tr>
      <w:tr w14:paraId="35E18198">
        <w:tblPrEx>
          <w:tblCellMar>
            <w:top w:w="0" w:type="dxa"/>
            <w:left w:w="108" w:type="dxa"/>
            <w:bottom w:w="0" w:type="dxa"/>
            <w:right w:w="108" w:type="dxa"/>
          </w:tblCellMar>
        </w:tblPrEx>
        <w:trPr>
          <w:trHeight w:val="461"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0B899E82">
            <w:pPr>
              <w:adjustRightInd w:val="0"/>
              <w:spacing w:line="400" w:lineRule="exact"/>
              <w:ind w:firstLine="0" w:firstLineChars="0"/>
              <w:jc w:val="center"/>
              <w:textAlignment w:val="baseline"/>
              <w:rPr>
                <w:rFonts w:hint="eastAsia" w:ascii="宋体" w:hAnsi="宋体" w:cs="宋体" w:eastAsiaTheme="minorEastAsia"/>
                <w:szCs w:val="21"/>
                <w:lang w:eastAsia="zh-CN"/>
              </w:rPr>
            </w:pPr>
            <w:r>
              <w:rPr>
                <w:rFonts w:hint="eastAsia" w:ascii="宋体" w:hAnsi="宋体" w:cs="宋体"/>
                <w:szCs w:val="21"/>
              </w:rPr>
              <w:t>1.4.</w:t>
            </w:r>
            <w:r>
              <w:rPr>
                <w:rFonts w:hint="eastAsia" w:ascii="宋体" w:hAnsi="宋体" w:cs="宋体"/>
                <w:szCs w:val="21"/>
                <w:lang w:val="en-US" w:eastAsia="zh-CN"/>
              </w:rPr>
              <w:t>3</w:t>
            </w:r>
          </w:p>
        </w:tc>
        <w:tc>
          <w:tcPr>
            <w:tcW w:w="1933" w:type="dxa"/>
            <w:tcBorders>
              <w:top w:val="single" w:color="auto" w:sz="4" w:space="0"/>
              <w:left w:val="single" w:color="auto" w:sz="4" w:space="0"/>
              <w:bottom w:val="single" w:color="auto" w:sz="4" w:space="0"/>
              <w:right w:val="single" w:color="auto" w:sz="4" w:space="0"/>
            </w:tcBorders>
            <w:noWrap/>
            <w:vAlign w:val="center"/>
          </w:tcPr>
          <w:p w14:paraId="286B8BE3">
            <w:pPr>
              <w:spacing w:line="400" w:lineRule="exact"/>
              <w:ind w:firstLine="0" w:firstLineChars="0"/>
              <w:jc w:val="center"/>
              <w:rPr>
                <w:rFonts w:ascii="宋体" w:hAnsi="宋体"/>
                <w:szCs w:val="21"/>
                <w:highlight w:val="none"/>
              </w:rPr>
            </w:pPr>
            <w:r>
              <w:rPr>
                <w:rFonts w:hint="eastAsia" w:ascii="宋体" w:hAnsi="宋体"/>
                <w:szCs w:val="21"/>
                <w:highlight w:val="none"/>
              </w:rPr>
              <w:t>质量要求</w:t>
            </w:r>
          </w:p>
        </w:tc>
        <w:tc>
          <w:tcPr>
            <w:tcW w:w="5881" w:type="dxa"/>
            <w:tcBorders>
              <w:top w:val="single" w:color="auto" w:sz="4" w:space="0"/>
              <w:left w:val="single" w:color="auto" w:sz="4" w:space="0"/>
              <w:bottom w:val="single" w:color="auto" w:sz="4" w:space="0"/>
              <w:right w:val="single" w:color="auto" w:sz="4" w:space="0"/>
            </w:tcBorders>
            <w:noWrap/>
            <w:vAlign w:val="center"/>
          </w:tcPr>
          <w:p w14:paraId="16F19025">
            <w:pPr>
              <w:spacing w:line="400" w:lineRule="exact"/>
              <w:ind w:firstLine="0" w:firstLineChars="0"/>
              <w:jc w:val="left"/>
              <w:rPr>
                <w:rFonts w:ascii="宋体" w:hAnsi="宋体"/>
                <w:szCs w:val="21"/>
                <w:highlight w:val="none"/>
              </w:rPr>
            </w:pPr>
            <w:r>
              <w:rPr>
                <w:rFonts w:hint="eastAsia" w:eastAsia="宋体"/>
                <w:b w:val="0"/>
                <w:bCs w:val="0"/>
                <w:sz w:val="21"/>
                <w:szCs w:val="21"/>
                <w:highlight w:val="none"/>
                <w:lang w:val="en-US" w:eastAsia="zh-CN"/>
              </w:rPr>
              <w:t>合格，达到施工质量验收规范国家标准</w:t>
            </w:r>
            <w:r>
              <w:rPr>
                <w:rFonts w:hint="eastAsia" w:ascii="宋体" w:hAnsi="宋体" w:cs="宋体"/>
                <w:szCs w:val="21"/>
                <w:highlight w:val="none"/>
              </w:rPr>
              <w:t>；</w:t>
            </w:r>
          </w:p>
        </w:tc>
      </w:tr>
      <w:tr w14:paraId="28F51C13">
        <w:tblPrEx>
          <w:tblCellMar>
            <w:top w:w="0" w:type="dxa"/>
            <w:left w:w="108" w:type="dxa"/>
            <w:bottom w:w="0" w:type="dxa"/>
            <w:right w:w="108" w:type="dxa"/>
          </w:tblCellMar>
        </w:tblPrEx>
        <w:trPr>
          <w:trHeight w:val="461"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BC27307">
            <w:pPr>
              <w:adjustRightInd w:val="0"/>
              <w:spacing w:line="400" w:lineRule="exact"/>
              <w:ind w:firstLine="0" w:firstLineChars="0"/>
              <w:jc w:val="center"/>
              <w:textAlignment w:val="baseline"/>
              <w:rPr>
                <w:rFonts w:hint="eastAsia" w:ascii="宋体" w:hAnsi="宋体" w:cs="宋体"/>
                <w:szCs w:val="21"/>
                <w:highlight w:val="none"/>
              </w:rPr>
            </w:pPr>
            <w:r>
              <w:rPr>
                <w:rFonts w:hint="eastAsia" w:ascii="宋体" w:hAnsi="宋体" w:cs="宋体"/>
                <w:szCs w:val="21"/>
                <w:highlight w:val="none"/>
              </w:rPr>
              <w:t>1.5.1</w:t>
            </w:r>
          </w:p>
        </w:tc>
        <w:tc>
          <w:tcPr>
            <w:tcW w:w="1933" w:type="dxa"/>
            <w:tcBorders>
              <w:top w:val="single" w:color="auto" w:sz="4" w:space="0"/>
              <w:left w:val="single" w:color="auto" w:sz="4" w:space="0"/>
              <w:bottom w:val="single" w:color="auto" w:sz="4" w:space="0"/>
              <w:right w:val="single" w:color="auto" w:sz="4" w:space="0"/>
            </w:tcBorders>
            <w:noWrap/>
            <w:vAlign w:val="center"/>
          </w:tcPr>
          <w:p w14:paraId="632172A3">
            <w:pPr>
              <w:adjustRightInd w:val="0"/>
              <w:spacing w:line="400" w:lineRule="exact"/>
              <w:ind w:firstLine="0" w:firstLineChars="0"/>
              <w:jc w:val="center"/>
              <w:textAlignment w:val="baseline"/>
              <w:rPr>
                <w:rFonts w:hint="eastAsia" w:ascii="宋体" w:hAnsi="宋体"/>
                <w:szCs w:val="21"/>
                <w:highlight w:val="none"/>
              </w:rPr>
            </w:pPr>
            <w:r>
              <w:rPr>
                <w:rFonts w:hint="eastAsia" w:ascii="宋体" w:hAnsi="宋体" w:cs="宋体"/>
                <w:szCs w:val="21"/>
                <w:highlight w:val="none"/>
              </w:rPr>
              <w:t>供应商资质条件及能力要求</w:t>
            </w:r>
          </w:p>
        </w:tc>
        <w:tc>
          <w:tcPr>
            <w:tcW w:w="5881" w:type="dxa"/>
            <w:tcBorders>
              <w:top w:val="single" w:color="auto" w:sz="4" w:space="0"/>
              <w:left w:val="single" w:color="auto" w:sz="4" w:space="0"/>
              <w:bottom w:val="single" w:color="auto" w:sz="4" w:space="0"/>
              <w:right w:val="single" w:color="auto" w:sz="4" w:space="0"/>
            </w:tcBorders>
            <w:noWrap/>
            <w:vAlign w:val="center"/>
          </w:tcPr>
          <w:p w14:paraId="2D2CDF95">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rPr>
              <w:t>1、满足《中华人民共和国政府采购法》第二十二条规定。</w:t>
            </w:r>
          </w:p>
          <w:p w14:paraId="5948D306">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rPr>
              <w:t>2、落实政府采购政策满足的资格要求：</w:t>
            </w:r>
          </w:p>
          <w:p w14:paraId="147EDCAF">
            <w:pPr>
              <w:pageBreakBefore w:val="0"/>
              <w:kinsoku/>
              <w:overflowPunct/>
              <w:topLinePunct w:val="0"/>
              <w:autoSpaceDE/>
              <w:autoSpaceDN/>
              <w:bidi w:val="0"/>
              <w:adjustRightInd w:val="0"/>
              <w:snapToGrid w:val="0"/>
              <w:spacing w:line="340" w:lineRule="atLeast"/>
              <w:ind w:firstLine="420" w:firstLineChars="200"/>
              <w:textAlignment w:val="auto"/>
              <w:rPr>
                <w:rFonts w:hint="default" w:eastAsia="宋体"/>
                <w:lang w:val="en-US" w:eastAsia="zh-CN"/>
              </w:rPr>
            </w:pPr>
            <w:r>
              <w:rPr>
                <w:rFonts w:hint="eastAsia" w:ascii="宋体" w:hAnsi="宋体" w:eastAsia="宋体" w:cs="宋体"/>
                <w:szCs w:val="21"/>
                <w:lang w:val="en-US" w:eastAsia="zh-CN"/>
              </w:rPr>
              <w:t>本项目为专门面向中小微企业采购(监狱企业、残疾人福利性单位视同小型、微型企业)，落实节约能源、保护环境、绿色建筑、绿色建材。</w:t>
            </w:r>
          </w:p>
          <w:p w14:paraId="52246199">
            <w:pPr>
              <w:pageBreakBefore w:val="0"/>
              <w:numPr>
                <w:ilvl w:val="0"/>
                <w:numId w:val="0"/>
              </w:numPr>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本项目的特定资格要求：</w:t>
            </w:r>
          </w:p>
          <w:p w14:paraId="29BFC9F2">
            <w:pPr>
              <w:pageBreakBefore w:val="0"/>
              <w:kinsoku/>
              <w:overflowPunct/>
              <w:topLinePunct w:val="0"/>
              <w:autoSpaceDE/>
              <w:autoSpaceDN/>
              <w:bidi w:val="0"/>
              <w:adjustRightInd w:val="0"/>
              <w:snapToGrid w:val="0"/>
              <w:spacing w:line="340" w:lineRule="atLeas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3.1</w:t>
            </w:r>
            <w:r>
              <w:rPr>
                <w:rFonts w:hint="eastAsia" w:ascii="宋体" w:hAnsi="宋体" w:eastAsia="宋体" w:cs="宋体"/>
                <w:color w:val="auto"/>
                <w:kern w:val="0"/>
                <w:szCs w:val="21"/>
                <w:highlight w:val="none"/>
              </w:rPr>
              <w:t>供应商须具备</w:t>
            </w:r>
            <w:r>
              <w:rPr>
                <w:rFonts w:hint="eastAsia" w:ascii="宋体" w:hAnsi="宋体" w:eastAsia="宋体" w:cs="宋体"/>
                <w:color w:val="auto"/>
                <w:kern w:val="0"/>
                <w:szCs w:val="21"/>
                <w:highlight w:val="none"/>
                <w:lang w:eastAsia="zh-CN"/>
              </w:rPr>
              <w:t>建设行政主管部门核发的</w:t>
            </w:r>
            <w:r>
              <w:rPr>
                <w:rFonts w:hint="eastAsia" w:ascii="宋体" w:hAnsi="宋体" w:eastAsia="宋体" w:cs="宋体"/>
                <w:color w:val="auto"/>
                <w:kern w:val="0"/>
                <w:szCs w:val="21"/>
                <w:highlight w:val="none"/>
                <w:lang w:val="en-US" w:eastAsia="zh-CN"/>
              </w:rPr>
              <w:t>建筑工程施工总承包三级及以上</w:t>
            </w:r>
            <w:r>
              <w:rPr>
                <w:rFonts w:hint="eastAsia" w:ascii="宋体" w:hAnsi="宋体" w:eastAsia="宋体" w:cs="宋体"/>
                <w:color w:val="auto"/>
                <w:kern w:val="0"/>
                <w:szCs w:val="21"/>
                <w:highlight w:val="none"/>
                <w:lang w:eastAsia="zh-CN"/>
              </w:rPr>
              <w:t>资质</w:t>
            </w:r>
            <w:r>
              <w:rPr>
                <w:rFonts w:hint="eastAsia" w:ascii="宋体" w:hAnsi="宋体" w:eastAsia="宋体" w:cs="宋体"/>
                <w:color w:val="auto"/>
                <w:kern w:val="0"/>
                <w:szCs w:val="21"/>
                <w:highlight w:val="none"/>
                <w:lang w:val="en-US" w:eastAsia="zh-CN"/>
              </w:rPr>
              <w:t>或水利水电工程施工总承包叁级及以上资质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具有有效的安全生产许可证，并在人员、设备、资金等方面具有相应的施工能力；其中，拟派项目经理具备</w:t>
            </w:r>
            <w:r>
              <w:rPr>
                <w:rFonts w:hint="eastAsia" w:ascii="宋体" w:hAnsi="宋体" w:eastAsia="宋体" w:cs="宋体"/>
                <w:color w:val="auto"/>
                <w:kern w:val="0"/>
                <w:szCs w:val="21"/>
                <w:highlight w:val="none"/>
                <w:lang w:val="en-US" w:eastAsia="zh-CN"/>
              </w:rPr>
              <w:t>相关</w:t>
            </w:r>
            <w:r>
              <w:rPr>
                <w:rFonts w:hint="eastAsia" w:ascii="宋体" w:hAnsi="宋体" w:eastAsia="宋体" w:cs="宋体"/>
                <w:color w:val="auto"/>
                <w:kern w:val="0"/>
                <w:szCs w:val="21"/>
                <w:highlight w:val="none"/>
                <w:lang w:eastAsia="zh-CN"/>
              </w:rPr>
              <w:t>专业</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rPr>
              <w:t>级及以上注册建造师证书，且具有安全生产考核合格证书，并未担任其他在建工程的项目经理</w:t>
            </w:r>
            <w:r>
              <w:rPr>
                <w:rFonts w:hint="eastAsia" w:ascii="宋体" w:hAnsi="宋体" w:eastAsia="宋体" w:cs="宋体"/>
                <w:color w:val="auto"/>
                <w:kern w:val="0"/>
                <w:szCs w:val="21"/>
                <w:highlight w:val="none"/>
                <w:lang w:eastAsia="zh-CN"/>
              </w:rPr>
              <w:t>；根据《河南省住房和城乡建设厅关于进一步规范建设工程企业资质管理的通知》建筑业企业不能使用标注异常资质承揽新的工程（提供承诺函）。</w:t>
            </w:r>
          </w:p>
          <w:p w14:paraId="6D12DB33">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.2 本项目 适用</w:t>
            </w:r>
            <w:r>
              <w:rPr>
                <w:rFonts w:hint="eastAsia" w:ascii="宋体" w:hAnsi="宋体" w:cs="宋体"/>
                <w:szCs w:val="21"/>
                <w:u w:val="single"/>
              </w:rPr>
              <w:t xml:space="preserve"> </w:t>
            </w:r>
            <w:r>
              <w:rPr>
                <w:rFonts w:hint="eastAsia" w:ascii="宋体" w:hAnsi="宋体" w:cs="宋体"/>
                <w:b/>
                <w:bCs/>
                <w:szCs w:val="21"/>
                <w:u w:val="single"/>
              </w:rPr>
              <w:t>信用承诺</w:t>
            </w:r>
            <w:r>
              <w:rPr>
                <w:rFonts w:hint="eastAsia" w:ascii="宋体" w:hAnsi="宋体" w:cs="宋体"/>
                <w:szCs w:val="21"/>
              </w:rPr>
              <w:t>（详见下述要求）：</w:t>
            </w:r>
          </w:p>
          <w:p w14:paraId="490FA425">
            <w:pPr>
              <w:pageBreakBefore w:val="0"/>
              <w:kinsoku/>
              <w:overflowPunct/>
              <w:topLinePunct w:val="0"/>
              <w:autoSpaceDE/>
              <w:autoSpaceDN/>
              <w:bidi w:val="0"/>
              <w:adjustRightInd w:val="0"/>
              <w:snapToGrid w:val="0"/>
              <w:spacing w:line="340" w:lineRule="atLeast"/>
              <w:ind w:firstLine="420" w:firstLineChars="200"/>
              <w:textAlignment w:val="auto"/>
              <w:rPr>
                <w:rFonts w:ascii="宋体" w:hAnsi="宋体" w:cs="宋体"/>
                <w:szCs w:val="21"/>
              </w:rPr>
            </w:pPr>
            <w:r>
              <w:rPr>
                <w:rFonts w:hint="eastAsia" w:ascii="宋体" w:hAnsi="宋体" w:cs="宋体"/>
                <w:szCs w:val="21"/>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47DE5930">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①具有独立承担民事责任的能力；</w:t>
            </w:r>
          </w:p>
          <w:p w14:paraId="0229B519">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②符合国家相关规定的财务状况报告（</w:t>
            </w:r>
            <w:r>
              <w:rPr>
                <w:rFonts w:hint="eastAsia" w:ascii="宋体" w:hAnsi="宋体" w:cs="宋体"/>
                <w:szCs w:val="21"/>
                <w:lang w:val="en-US" w:eastAsia="zh-CN"/>
              </w:rPr>
              <w:t>提供2025年度</w:t>
            </w:r>
            <w:r>
              <w:rPr>
                <w:rFonts w:hint="eastAsia" w:ascii="宋体" w:hAnsi="宋体" w:cs="宋体"/>
                <w:szCs w:val="21"/>
              </w:rPr>
              <w:t>财务审计报告或</w:t>
            </w:r>
            <w:r>
              <w:rPr>
                <w:rFonts w:hint="eastAsia" w:ascii="宋体" w:hAnsi="宋体" w:cs="宋体"/>
                <w:szCs w:val="21"/>
                <w:lang w:val="en-US" w:eastAsia="zh-CN"/>
              </w:rPr>
              <w:t>近一个月内</w:t>
            </w:r>
            <w:r>
              <w:rPr>
                <w:rFonts w:hint="eastAsia" w:ascii="宋体" w:hAnsi="宋体" w:cs="宋体"/>
                <w:szCs w:val="21"/>
              </w:rPr>
              <w:t>其基本开户银行出具的资信证明</w:t>
            </w:r>
            <w:r>
              <w:rPr>
                <w:rFonts w:hint="eastAsia" w:ascii="宋体" w:hAnsi="宋体" w:cs="宋体"/>
                <w:szCs w:val="21"/>
                <w:lang w:eastAsia="zh-CN"/>
              </w:rPr>
              <w:t>）</w:t>
            </w:r>
            <w:r>
              <w:rPr>
                <w:rFonts w:hint="eastAsia" w:ascii="宋体" w:hAnsi="宋体" w:cs="宋体"/>
                <w:szCs w:val="21"/>
              </w:rPr>
              <w:t>；</w:t>
            </w:r>
          </w:p>
          <w:p w14:paraId="06BAD6AD">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③依法缴纳税收</w:t>
            </w:r>
            <w:r>
              <w:rPr>
                <w:rFonts w:hint="eastAsia" w:ascii="宋体" w:hAnsi="宋体" w:cs="宋体"/>
                <w:szCs w:val="21"/>
                <w:lang w:val="en-US" w:eastAsia="zh-CN"/>
              </w:rPr>
              <w:t>和</w:t>
            </w:r>
            <w:r>
              <w:rPr>
                <w:rFonts w:hint="eastAsia" w:ascii="宋体" w:hAnsi="宋体" w:cs="宋体"/>
                <w:szCs w:val="21"/>
              </w:rPr>
              <w:t>社会保障资金的证明材料（默认开标前12个月内任意</w:t>
            </w:r>
            <w:r>
              <w:rPr>
                <w:rFonts w:hint="eastAsia" w:ascii="宋体" w:hAnsi="宋体" w:cs="宋体"/>
                <w:szCs w:val="21"/>
                <w:lang w:val="en-US" w:eastAsia="zh-CN"/>
              </w:rPr>
              <w:t>3</w:t>
            </w:r>
            <w:r>
              <w:rPr>
                <w:rFonts w:hint="eastAsia" w:ascii="宋体" w:hAnsi="宋体" w:cs="宋体"/>
                <w:szCs w:val="21"/>
              </w:rPr>
              <w:t>个月缴纳社会保障证明，新成立公司不足</w:t>
            </w:r>
            <w:r>
              <w:rPr>
                <w:rFonts w:hint="eastAsia" w:ascii="宋体" w:hAnsi="宋体" w:cs="宋体"/>
                <w:szCs w:val="21"/>
                <w:lang w:val="en-US" w:eastAsia="zh-CN"/>
              </w:rPr>
              <w:t>3</w:t>
            </w:r>
            <w:r>
              <w:rPr>
                <w:rFonts w:hint="eastAsia" w:ascii="宋体" w:hAnsi="宋体" w:cs="宋体"/>
                <w:szCs w:val="21"/>
              </w:rPr>
              <w:t>个月的，按已缴纳月份提供）；</w:t>
            </w:r>
          </w:p>
          <w:p w14:paraId="5B78AB05">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④具备履行政府采购合同所必需的设备和专业技术能力的证明材料（</w:t>
            </w:r>
            <w:r>
              <w:rPr>
                <w:rFonts w:hint="eastAsia" w:ascii="宋体" w:hAnsi="宋体" w:cs="宋体"/>
                <w:szCs w:val="21"/>
                <w:lang w:val="en-US" w:eastAsia="zh-CN"/>
              </w:rPr>
              <w:t>自行承诺</w:t>
            </w:r>
            <w:r>
              <w:rPr>
                <w:rFonts w:hint="eastAsia" w:ascii="宋体" w:hAnsi="宋体" w:cs="宋体"/>
                <w:szCs w:val="21"/>
              </w:rPr>
              <w:t>）；</w:t>
            </w:r>
          </w:p>
          <w:p w14:paraId="43276603">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szCs w:val="21"/>
              </w:rPr>
            </w:pPr>
            <w:r>
              <w:rPr>
                <w:rFonts w:hint="eastAsia" w:ascii="宋体" w:hAnsi="宋体" w:cs="宋体"/>
                <w:szCs w:val="21"/>
              </w:rPr>
              <w:t>⑤参加政府采购活动前三年内在经营活动中没有重大违法记录的证明材料；</w:t>
            </w:r>
          </w:p>
          <w:p w14:paraId="62F33F5E">
            <w:pPr>
              <w:pageBreakBefore w:val="0"/>
              <w:kinsoku/>
              <w:overflowPunct/>
              <w:topLinePunct w:val="0"/>
              <w:autoSpaceDE/>
              <w:autoSpaceDN/>
              <w:bidi w:val="0"/>
              <w:adjustRightInd w:val="0"/>
              <w:snapToGrid w:val="0"/>
              <w:spacing w:line="340" w:lineRule="atLeast"/>
              <w:ind w:firstLine="0" w:firstLineChars="0"/>
              <w:textAlignment w:val="auto"/>
              <w:rPr>
                <w:rFonts w:hint="eastAsia" w:ascii="宋体" w:hAnsi="宋体" w:cs="宋体" w:eastAsiaTheme="minorEastAsia"/>
                <w:szCs w:val="21"/>
                <w:lang w:eastAsia="zh-CN"/>
              </w:rPr>
            </w:pPr>
            <w:r>
              <w:rPr>
                <w:rFonts w:hint="eastAsia" w:ascii="宋体" w:hAnsi="宋体" w:cs="宋体"/>
                <w:szCs w:val="21"/>
              </w:rPr>
              <w:t>⑥未被列入失信被执行人、税收违法黑名单、政府采购严重违法失信行为记录名单的证明材料。投标人应通过“信用中国（www.creditchina.gov.cn）”查询“失信被执行人、重大税收违法失信主体、政府采购严重违法失信行为记录名单”和“中国政府采购网（www.ccgp.gov.cn）”查询“政府采购严重违法失信行为记录”进行信用查询，提供网页查询截图，对列入上述名单的投标人将被拒绝参加投标活动</w:t>
            </w:r>
            <w:r>
              <w:rPr>
                <w:rFonts w:hint="eastAsia" w:ascii="宋体" w:hAnsi="宋体" w:cs="宋体"/>
                <w:szCs w:val="21"/>
                <w:lang w:eastAsia="zh-CN"/>
              </w:rPr>
              <w:t>。（</w:t>
            </w:r>
            <w:r>
              <w:rPr>
                <w:rFonts w:hint="eastAsia" w:ascii="宋体" w:hAnsi="宋体" w:cs="宋体"/>
                <w:szCs w:val="21"/>
              </w:rPr>
              <w:t>查询截止时点为：从报名开始之日起至投标截止之日止</w:t>
            </w:r>
            <w:r>
              <w:rPr>
                <w:rFonts w:hint="eastAsia" w:ascii="宋体" w:hAnsi="宋体" w:cs="宋体"/>
                <w:szCs w:val="21"/>
                <w:lang w:eastAsia="zh-CN"/>
              </w:rPr>
              <w:t>）</w:t>
            </w:r>
          </w:p>
          <w:p w14:paraId="074C418C">
            <w:pPr>
              <w:pageBreakBefore w:val="0"/>
              <w:numPr>
                <w:ilvl w:val="0"/>
                <w:numId w:val="2"/>
              </w:numPr>
              <w:kinsoku/>
              <w:overflowPunct/>
              <w:topLinePunct w:val="0"/>
              <w:autoSpaceDE/>
              <w:autoSpaceDN/>
              <w:bidi w:val="0"/>
              <w:adjustRightInd w:val="0"/>
              <w:snapToGrid w:val="0"/>
              <w:spacing w:line="340" w:lineRule="atLeast"/>
              <w:ind w:firstLine="420" w:firstLineChars="200"/>
              <w:textAlignment w:val="auto"/>
              <w:rPr>
                <w:rFonts w:hint="eastAsia" w:ascii="宋体" w:hAnsi="宋体" w:cs="宋体"/>
                <w:szCs w:val="21"/>
              </w:rPr>
            </w:pPr>
            <w:r>
              <w:rPr>
                <w:rFonts w:hint="eastAsia" w:ascii="宋体" w:hAnsi="宋体" w:cs="宋体"/>
                <w:szCs w:val="21"/>
              </w:rPr>
              <w:t>供应商在中标（成交）后，应将上述由信用承诺书替代的证明材料提交采购人（采购代理机构）核验，经核验无误后，由采购人发出中标（成交）通知书。</w:t>
            </w:r>
          </w:p>
          <w:p w14:paraId="26ECF67B">
            <w:pPr>
              <w:pageBreakBefore w:val="0"/>
              <w:kinsoku/>
              <w:overflowPunct/>
              <w:topLinePunct w:val="0"/>
              <w:autoSpaceDE/>
              <w:autoSpaceDN/>
              <w:bidi w:val="0"/>
              <w:adjustRightInd w:val="0"/>
              <w:snapToGrid w:val="0"/>
              <w:spacing w:line="340" w:lineRule="atLeast"/>
              <w:ind w:firstLine="420" w:firstLineChars="200"/>
              <w:textAlignment w:val="auto"/>
              <w:rPr>
                <w:rFonts w:hint="eastAsia" w:eastAsia="宋体"/>
                <w:b w:val="0"/>
                <w:bCs w:val="0"/>
                <w:sz w:val="21"/>
                <w:szCs w:val="21"/>
                <w:highlight w:val="none"/>
                <w:lang w:val="en-US" w:eastAsia="zh-CN"/>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 xml:space="preserve"> </w:t>
            </w:r>
            <w:r>
              <w:rPr>
                <w:rFonts w:hint="eastAsia" w:ascii="宋体" w:hAnsi="宋体" w:cs="宋体"/>
                <w:szCs w:val="21"/>
                <w:lang w:val="en-US" w:eastAsia="zh-CN"/>
              </w:rPr>
              <w:t>其他说明：</w:t>
            </w:r>
            <w:r>
              <w:rPr>
                <w:rFonts w:hint="eastAsia" w:ascii="宋体" w:hAnsi="宋体" w:cs="宋体"/>
                <w:szCs w:val="21"/>
              </w:rPr>
              <w:t>单位负责人为同一人或者存在直接控股、管理关系的不同单位，不得同时参加同一合同项下的政府采购活动（提供加盖投标人公章的“国家企业信用信息公示系统”中公示的公司基础信息包含股东及出资信息。查询截止时点为：从报名开始之日起至投标截止之日止）</w:t>
            </w:r>
            <w:r>
              <w:rPr>
                <w:rFonts w:hint="eastAsia" w:ascii="宋体" w:hAnsi="宋体" w:cs="宋体"/>
                <w:szCs w:val="21"/>
                <w:lang w:eastAsia="zh-CN"/>
              </w:rPr>
              <w:t>。</w:t>
            </w:r>
          </w:p>
        </w:tc>
      </w:tr>
      <w:tr w14:paraId="524F6E89">
        <w:tblPrEx>
          <w:tblCellMar>
            <w:top w:w="0" w:type="dxa"/>
            <w:left w:w="108" w:type="dxa"/>
            <w:bottom w:w="0" w:type="dxa"/>
            <w:right w:w="108" w:type="dxa"/>
          </w:tblCellMar>
        </w:tblPrEx>
        <w:trPr>
          <w:trHeight w:val="493"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DF3451F">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1.5.2</w:t>
            </w:r>
          </w:p>
        </w:tc>
        <w:tc>
          <w:tcPr>
            <w:tcW w:w="1933" w:type="dxa"/>
            <w:tcBorders>
              <w:top w:val="single" w:color="auto" w:sz="4" w:space="0"/>
              <w:left w:val="single" w:color="auto" w:sz="4" w:space="0"/>
              <w:bottom w:val="single" w:color="auto" w:sz="4" w:space="0"/>
              <w:right w:val="single" w:color="auto" w:sz="4" w:space="0"/>
            </w:tcBorders>
            <w:noWrap/>
            <w:vAlign w:val="center"/>
          </w:tcPr>
          <w:p w14:paraId="4B542C2E">
            <w:pPr>
              <w:spacing w:line="400" w:lineRule="exact"/>
              <w:ind w:firstLine="0" w:firstLineChars="0"/>
              <w:jc w:val="center"/>
              <w:rPr>
                <w:rFonts w:ascii="宋体" w:hAnsi="宋体" w:cs="宋体"/>
                <w:szCs w:val="21"/>
              </w:rPr>
            </w:pPr>
            <w:r>
              <w:rPr>
                <w:rFonts w:hint="eastAsia" w:ascii="宋体" w:hAnsi="宋体" w:cs="宋体"/>
                <w:szCs w:val="21"/>
              </w:rPr>
              <w:t>是否接受联合体</w:t>
            </w:r>
          </w:p>
        </w:tc>
        <w:tc>
          <w:tcPr>
            <w:tcW w:w="5881" w:type="dxa"/>
            <w:tcBorders>
              <w:top w:val="single" w:color="auto" w:sz="4" w:space="0"/>
              <w:left w:val="single" w:color="auto" w:sz="4" w:space="0"/>
              <w:bottom w:val="single" w:color="auto" w:sz="4" w:space="0"/>
              <w:right w:val="single" w:color="auto" w:sz="4" w:space="0"/>
            </w:tcBorders>
            <w:noWrap/>
            <w:vAlign w:val="center"/>
          </w:tcPr>
          <w:p w14:paraId="7E8CD6A7">
            <w:pPr>
              <w:pStyle w:val="13"/>
              <w:topLinePunct/>
              <w:adjustRightInd w:val="0"/>
              <w:spacing w:line="400" w:lineRule="exact"/>
              <w:ind w:firstLine="0" w:firstLineChars="0"/>
              <w:jc w:val="left"/>
              <w:textAlignment w:val="baseline"/>
              <w:rPr>
                <w:rFonts w:ascii="宋体" w:hAnsi="宋体" w:cs="宋体"/>
                <w:kern w:val="2"/>
                <w:sz w:val="21"/>
                <w:szCs w:val="21"/>
              </w:rPr>
            </w:pPr>
            <w:r>
              <w:rPr>
                <w:rFonts w:hint="eastAsia" w:ascii="宋体" w:hAnsi="宋体" w:cs="宋体"/>
                <w:kern w:val="2"/>
                <w:sz w:val="21"/>
                <w:szCs w:val="21"/>
              </w:rPr>
              <w:t>不接受</w:t>
            </w:r>
          </w:p>
        </w:tc>
      </w:tr>
      <w:tr w14:paraId="14C1838F">
        <w:tblPrEx>
          <w:tblCellMar>
            <w:top w:w="0" w:type="dxa"/>
            <w:left w:w="108" w:type="dxa"/>
            <w:bottom w:w="0" w:type="dxa"/>
            <w:right w:w="108" w:type="dxa"/>
          </w:tblCellMar>
        </w:tblPrEx>
        <w:trPr>
          <w:trHeight w:val="469"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04155E5E">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1.10</w:t>
            </w:r>
          </w:p>
        </w:tc>
        <w:tc>
          <w:tcPr>
            <w:tcW w:w="1933" w:type="dxa"/>
            <w:tcBorders>
              <w:top w:val="single" w:color="auto" w:sz="4" w:space="0"/>
              <w:left w:val="single" w:color="auto" w:sz="4" w:space="0"/>
              <w:bottom w:val="single" w:color="auto" w:sz="4" w:space="0"/>
              <w:right w:val="single" w:color="auto" w:sz="4" w:space="0"/>
            </w:tcBorders>
            <w:noWrap/>
            <w:vAlign w:val="center"/>
          </w:tcPr>
          <w:p w14:paraId="716EC45B">
            <w:pPr>
              <w:adjustRightInd w:val="0"/>
              <w:spacing w:line="400" w:lineRule="exact"/>
              <w:ind w:firstLine="0" w:firstLineChars="0"/>
              <w:jc w:val="center"/>
              <w:textAlignment w:val="baseline"/>
              <w:rPr>
                <w:rFonts w:ascii="宋体" w:hAnsi="宋体" w:eastAsia="宋体" w:cs="宋体"/>
                <w:szCs w:val="21"/>
              </w:rPr>
            </w:pPr>
            <w:r>
              <w:rPr>
                <w:rFonts w:hint="eastAsia" w:ascii="宋体" w:hAnsi="宋体" w:cs="宋体"/>
                <w:szCs w:val="21"/>
              </w:rPr>
              <w:t>现场踏勘</w:t>
            </w:r>
          </w:p>
        </w:tc>
        <w:tc>
          <w:tcPr>
            <w:tcW w:w="5881" w:type="dxa"/>
            <w:tcBorders>
              <w:top w:val="single" w:color="auto" w:sz="4" w:space="0"/>
              <w:left w:val="single" w:color="auto" w:sz="4" w:space="0"/>
              <w:bottom w:val="single" w:color="auto" w:sz="4" w:space="0"/>
              <w:right w:val="single" w:color="auto" w:sz="4" w:space="0"/>
            </w:tcBorders>
            <w:noWrap/>
            <w:vAlign w:val="center"/>
          </w:tcPr>
          <w:p w14:paraId="4C6E6AA3">
            <w:pPr>
              <w:pStyle w:val="13"/>
              <w:topLinePunct/>
              <w:adjustRightInd w:val="0"/>
              <w:spacing w:line="400" w:lineRule="exact"/>
              <w:ind w:firstLine="0" w:firstLineChars="0"/>
              <w:jc w:val="left"/>
              <w:textAlignment w:val="baseline"/>
              <w:rPr>
                <w:rFonts w:ascii="宋体" w:hAnsi="宋体" w:cs="宋体"/>
                <w:kern w:val="2"/>
                <w:sz w:val="21"/>
                <w:szCs w:val="21"/>
              </w:rPr>
            </w:pPr>
            <w:r>
              <w:rPr>
                <w:rFonts w:hint="eastAsia" w:ascii="宋体" w:hAnsi="宋体" w:cs="宋体"/>
                <w:kern w:val="2"/>
                <w:sz w:val="21"/>
                <w:szCs w:val="21"/>
              </w:rPr>
              <w:t>自行踏勘</w:t>
            </w:r>
          </w:p>
        </w:tc>
      </w:tr>
      <w:tr w14:paraId="4F748398">
        <w:tblPrEx>
          <w:tblCellMar>
            <w:top w:w="0" w:type="dxa"/>
            <w:left w:w="108" w:type="dxa"/>
            <w:bottom w:w="0" w:type="dxa"/>
            <w:right w:w="108" w:type="dxa"/>
          </w:tblCellMar>
        </w:tblPrEx>
        <w:trPr>
          <w:trHeight w:val="469"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633CB6E0">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1.11</w:t>
            </w:r>
          </w:p>
        </w:tc>
        <w:tc>
          <w:tcPr>
            <w:tcW w:w="1933" w:type="dxa"/>
            <w:tcBorders>
              <w:top w:val="single" w:color="auto" w:sz="4" w:space="0"/>
              <w:left w:val="single" w:color="auto" w:sz="4" w:space="0"/>
              <w:bottom w:val="single" w:color="auto" w:sz="4" w:space="0"/>
              <w:right w:val="single" w:color="auto" w:sz="4" w:space="0"/>
            </w:tcBorders>
            <w:noWrap/>
            <w:vAlign w:val="center"/>
          </w:tcPr>
          <w:p w14:paraId="02B6298C">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分包</w:t>
            </w:r>
          </w:p>
        </w:tc>
        <w:tc>
          <w:tcPr>
            <w:tcW w:w="5881" w:type="dxa"/>
            <w:tcBorders>
              <w:top w:val="single" w:color="auto" w:sz="4" w:space="0"/>
              <w:left w:val="single" w:color="auto" w:sz="4" w:space="0"/>
              <w:bottom w:val="single" w:color="auto" w:sz="4" w:space="0"/>
              <w:right w:val="single" w:color="auto" w:sz="4" w:space="0"/>
            </w:tcBorders>
            <w:noWrap/>
            <w:vAlign w:val="center"/>
          </w:tcPr>
          <w:p w14:paraId="63E70587">
            <w:pPr>
              <w:pStyle w:val="13"/>
              <w:topLinePunct/>
              <w:adjustRightInd w:val="0"/>
              <w:spacing w:line="400" w:lineRule="exact"/>
              <w:ind w:firstLine="0" w:firstLineChars="0"/>
              <w:jc w:val="left"/>
              <w:textAlignment w:val="baseline"/>
              <w:rPr>
                <w:rFonts w:ascii="宋体" w:hAnsi="宋体" w:cs="宋体"/>
                <w:kern w:val="2"/>
                <w:sz w:val="21"/>
                <w:szCs w:val="21"/>
              </w:rPr>
            </w:pPr>
            <w:r>
              <w:rPr>
                <w:rFonts w:hint="eastAsia" w:ascii="宋体" w:hAnsi="宋体" w:cs="宋体"/>
                <w:kern w:val="2"/>
                <w:sz w:val="21"/>
                <w:szCs w:val="21"/>
              </w:rPr>
              <w:t>不允许</w:t>
            </w:r>
          </w:p>
        </w:tc>
      </w:tr>
      <w:tr w14:paraId="29E2F3BA">
        <w:tblPrEx>
          <w:tblCellMar>
            <w:top w:w="0" w:type="dxa"/>
            <w:left w:w="108" w:type="dxa"/>
            <w:bottom w:w="0" w:type="dxa"/>
            <w:right w:w="108" w:type="dxa"/>
          </w:tblCellMar>
        </w:tblPrEx>
        <w:trPr>
          <w:trHeight w:val="88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63A1867">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2.1</w:t>
            </w:r>
          </w:p>
        </w:tc>
        <w:tc>
          <w:tcPr>
            <w:tcW w:w="1933" w:type="dxa"/>
            <w:tcBorders>
              <w:top w:val="single" w:color="auto" w:sz="4" w:space="0"/>
              <w:left w:val="single" w:color="auto" w:sz="4" w:space="0"/>
              <w:bottom w:val="single" w:color="auto" w:sz="4" w:space="0"/>
              <w:right w:val="single" w:color="auto" w:sz="4" w:space="0"/>
            </w:tcBorders>
            <w:noWrap/>
            <w:vAlign w:val="center"/>
          </w:tcPr>
          <w:p w14:paraId="149D6D6B">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构成磋商文件</w:t>
            </w:r>
          </w:p>
          <w:p w14:paraId="6F8900D4">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的其他材料</w:t>
            </w:r>
          </w:p>
        </w:tc>
        <w:tc>
          <w:tcPr>
            <w:tcW w:w="5881" w:type="dxa"/>
            <w:tcBorders>
              <w:top w:val="single" w:color="auto" w:sz="4" w:space="0"/>
              <w:left w:val="single" w:color="auto" w:sz="4" w:space="0"/>
              <w:bottom w:val="single" w:color="auto" w:sz="4" w:space="0"/>
              <w:right w:val="single" w:color="auto" w:sz="4" w:space="0"/>
            </w:tcBorders>
            <w:noWrap/>
            <w:vAlign w:val="center"/>
          </w:tcPr>
          <w:p w14:paraId="79E7673D">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除磋商文件外，采购人在磋商期间发出的澄清、修改、补充、补遗和其它有效正式函件等内容均是磋商文件的组成部分</w:t>
            </w:r>
          </w:p>
        </w:tc>
      </w:tr>
      <w:tr w14:paraId="70BD8D9D">
        <w:tblPrEx>
          <w:tblCellMar>
            <w:top w:w="0" w:type="dxa"/>
            <w:left w:w="108" w:type="dxa"/>
            <w:bottom w:w="0" w:type="dxa"/>
            <w:right w:w="108" w:type="dxa"/>
          </w:tblCellMar>
        </w:tblPrEx>
        <w:trPr>
          <w:trHeight w:val="650"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3D7A517D">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2.2.1</w:t>
            </w:r>
          </w:p>
        </w:tc>
        <w:tc>
          <w:tcPr>
            <w:tcW w:w="1933" w:type="dxa"/>
            <w:tcBorders>
              <w:top w:val="single" w:color="auto" w:sz="4" w:space="0"/>
              <w:left w:val="single" w:color="auto" w:sz="4" w:space="0"/>
              <w:bottom w:val="single" w:color="auto" w:sz="4" w:space="0"/>
              <w:right w:val="single" w:color="auto" w:sz="4" w:space="0"/>
            </w:tcBorders>
            <w:noWrap/>
            <w:vAlign w:val="center"/>
          </w:tcPr>
          <w:p w14:paraId="521E8FAF">
            <w:pPr>
              <w:spacing w:line="400" w:lineRule="exact"/>
              <w:ind w:firstLine="0" w:firstLineChars="0"/>
              <w:jc w:val="center"/>
              <w:rPr>
                <w:rFonts w:ascii="宋体" w:hAnsi="宋体" w:cs="宋体"/>
                <w:szCs w:val="21"/>
              </w:rPr>
            </w:pPr>
            <w:r>
              <w:rPr>
                <w:rFonts w:hint="eastAsia" w:ascii="宋体" w:hAnsi="宋体" w:cs="宋体"/>
                <w:szCs w:val="21"/>
              </w:rPr>
              <w:t>供应商提出问题的截止时间</w:t>
            </w:r>
          </w:p>
        </w:tc>
        <w:tc>
          <w:tcPr>
            <w:tcW w:w="5881" w:type="dxa"/>
            <w:tcBorders>
              <w:top w:val="single" w:color="auto" w:sz="4" w:space="0"/>
              <w:left w:val="single" w:color="auto" w:sz="4" w:space="0"/>
              <w:bottom w:val="single" w:color="auto" w:sz="4" w:space="0"/>
              <w:right w:val="single" w:color="auto" w:sz="4" w:space="0"/>
            </w:tcBorders>
            <w:noWrap/>
            <w:vAlign w:val="center"/>
          </w:tcPr>
          <w:p w14:paraId="464A011B">
            <w:pPr>
              <w:adjustRightInd w:val="0"/>
              <w:spacing w:line="400" w:lineRule="exact"/>
              <w:ind w:firstLine="0" w:firstLineChars="0"/>
              <w:jc w:val="left"/>
              <w:textAlignment w:val="baseline"/>
              <w:rPr>
                <w:rFonts w:ascii="宋体" w:hAnsi="宋体" w:eastAsia="宋体" w:cs="宋体"/>
                <w:szCs w:val="21"/>
              </w:rPr>
            </w:pPr>
            <w:r>
              <w:rPr>
                <w:rFonts w:hint="eastAsia" w:ascii="宋体" w:hAnsi="宋体" w:cs="宋体"/>
                <w:szCs w:val="21"/>
              </w:rPr>
              <w:t>公告发布之日起7个工作日内</w:t>
            </w:r>
          </w:p>
        </w:tc>
      </w:tr>
      <w:tr w14:paraId="64BA8AF4">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597796B5">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2.2.2</w:t>
            </w:r>
          </w:p>
        </w:tc>
        <w:tc>
          <w:tcPr>
            <w:tcW w:w="1933" w:type="dxa"/>
            <w:tcBorders>
              <w:top w:val="single" w:color="auto" w:sz="4" w:space="0"/>
              <w:left w:val="single" w:color="auto" w:sz="4" w:space="0"/>
              <w:bottom w:val="single" w:color="auto" w:sz="4" w:space="0"/>
              <w:right w:val="single" w:color="auto" w:sz="4" w:space="0"/>
            </w:tcBorders>
            <w:noWrap/>
            <w:vAlign w:val="center"/>
          </w:tcPr>
          <w:p w14:paraId="373DEBC1">
            <w:pPr>
              <w:spacing w:line="400" w:lineRule="exact"/>
              <w:ind w:firstLine="0" w:firstLineChars="0"/>
              <w:jc w:val="center"/>
              <w:rPr>
                <w:rFonts w:ascii="宋体" w:hAnsi="宋体" w:cs="宋体"/>
                <w:szCs w:val="21"/>
              </w:rPr>
            </w:pPr>
            <w:r>
              <w:rPr>
                <w:rFonts w:hint="eastAsia" w:ascii="宋体" w:hAnsi="宋体" w:cs="宋体"/>
                <w:szCs w:val="21"/>
              </w:rPr>
              <w:t>采购人澄清磋商文件的截止时间</w:t>
            </w:r>
          </w:p>
        </w:tc>
        <w:tc>
          <w:tcPr>
            <w:tcW w:w="5881" w:type="dxa"/>
            <w:tcBorders>
              <w:top w:val="single" w:color="auto" w:sz="4" w:space="0"/>
              <w:left w:val="single" w:color="auto" w:sz="4" w:space="0"/>
              <w:bottom w:val="single" w:color="auto" w:sz="4" w:space="0"/>
              <w:right w:val="single" w:color="auto" w:sz="4" w:space="0"/>
            </w:tcBorders>
            <w:noWrap/>
            <w:vAlign w:val="center"/>
          </w:tcPr>
          <w:p w14:paraId="0DA825FD">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递交响应文件截止之日</w:t>
            </w:r>
            <w:r>
              <w:rPr>
                <w:rFonts w:hint="eastAsia" w:ascii="宋体" w:hAnsi="宋体" w:cs="宋体"/>
                <w:szCs w:val="21"/>
                <w:u w:val="single"/>
              </w:rPr>
              <w:t>5</w:t>
            </w:r>
            <w:r>
              <w:rPr>
                <w:rFonts w:hint="eastAsia" w:ascii="宋体" w:hAnsi="宋体" w:cs="宋体"/>
                <w:szCs w:val="21"/>
              </w:rPr>
              <w:t>天前</w:t>
            </w:r>
          </w:p>
        </w:tc>
      </w:tr>
      <w:tr w14:paraId="50A57A15">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09EC32C">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2.2.3</w:t>
            </w:r>
          </w:p>
        </w:tc>
        <w:tc>
          <w:tcPr>
            <w:tcW w:w="1933" w:type="dxa"/>
            <w:tcBorders>
              <w:top w:val="single" w:color="auto" w:sz="4" w:space="0"/>
              <w:left w:val="single" w:color="auto" w:sz="4" w:space="0"/>
              <w:bottom w:val="single" w:color="auto" w:sz="4" w:space="0"/>
              <w:right w:val="single" w:color="auto" w:sz="4" w:space="0"/>
            </w:tcBorders>
            <w:noWrap/>
            <w:vAlign w:val="center"/>
          </w:tcPr>
          <w:p w14:paraId="2548D562">
            <w:pPr>
              <w:spacing w:line="400" w:lineRule="exact"/>
              <w:ind w:firstLine="0" w:firstLineChars="0"/>
              <w:jc w:val="center"/>
              <w:rPr>
                <w:rFonts w:ascii="宋体" w:hAnsi="宋体" w:cs="宋体"/>
                <w:szCs w:val="21"/>
              </w:rPr>
            </w:pPr>
            <w:r>
              <w:rPr>
                <w:rFonts w:hint="eastAsia" w:ascii="宋体" w:hAnsi="宋体" w:cs="宋体"/>
                <w:szCs w:val="21"/>
              </w:rPr>
              <w:t>供应商确认收到磋商文件澄清的时间</w:t>
            </w:r>
          </w:p>
        </w:tc>
        <w:tc>
          <w:tcPr>
            <w:tcW w:w="5881" w:type="dxa"/>
            <w:tcBorders>
              <w:top w:val="single" w:color="auto" w:sz="4" w:space="0"/>
              <w:left w:val="single" w:color="auto" w:sz="4" w:space="0"/>
              <w:bottom w:val="single" w:color="auto" w:sz="4" w:space="0"/>
              <w:right w:val="single" w:color="auto" w:sz="4" w:space="0"/>
            </w:tcBorders>
            <w:noWrap/>
            <w:vAlign w:val="center"/>
          </w:tcPr>
          <w:p w14:paraId="15A65E59">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在收到相应澄清文件后</w:t>
            </w:r>
            <w:r>
              <w:rPr>
                <w:rFonts w:hint="eastAsia" w:ascii="宋体" w:hAnsi="宋体" w:cs="宋体"/>
                <w:szCs w:val="21"/>
                <w:u w:val="single"/>
              </w:rPr>
              <w:t xml:space="preserve"> 24 </w:t>
            </w:r>
            <w:r>
              <w:rPr>
                <w:rFonts w:hint="eastAsia" w:ascii="宋体" w:hAnsi="宋体" w:cs="宋体"/>
                <w:szCs w:val="21"/>
              </w:rPr>
              <w:t>小时内</w:t>
            </w:r>
          </w:p>
        </w:tc>
      </w:tr>
      <w:tr w14:paraId="575EC42E">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F0B2162">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2.3.2</w:t>
            </w:r>
          </w:p>
        </w:tc>
        <w:tc>
          <w:tcPr>
            <w:tcW w:w="1933" w:type="dxa"/>
            <w:tcBorders>
              <w:top w:val="single" w:color="auto" w:sz="4" w:space="0"/>
              <w:left w:val="single" w:color="auto" w:sz="4" w:space="0"/>
              <w:bottom w:val="single" w:color="auto" w:sz="4" w:space="0"/>
              <w:right w:val="single" w:color="auto" w:sz="4" w:space="0"/>
            </w:tcBorders>
            <w:noWrap/>
            <w:vAlign w:val="center"/>
          </w:tcPr>
          <w:p w14:paraId="16FD80A6">
            <w:pPr>
              <w:spacing w:line="400" w:lineRule="exact"/>
              <w:ind w:firstLine="0" w:firstLineChars="0"/>
              <w:jc w:val="center"/>
              <w:rPr>
                <w:rFonts w:ascii="宋体" w:hAnsi="宋体" w:cs="宋体"/>
                <w:szCs w:val="21"/>
              </w:rPr>
            </w:pPr>
            <w:r>
              <w:rPr>
                <w:rFonts w:hint="eastAsia" w:ascii="宋体" w:hAnsi="宋体" w:cs="宋体"/>
                <w:szCs w:val="21"/>
              </w:rPr>
              <w:t>供应商确认收到磋商文件修改的时间</w:t>
            </w:r>
          </w:p>
        </w:tc>
        <w:tc>
          <w:tcPr>
            <w:tcW w:w="5881" w:type="dxa"/>
            <w:tcBorders>
              <w:top w:val="single" w:color="auto" w:sz="4" w:space="0"/>
              <w:left w:val="single" w:color="auto" w:sz="4" w:space="0"/>
              <w:bottom w:val="single" w:color="auto" w:sz="4" w:space="0"/>
              <w:right w:val="single" w:color="auto" w:sz="4" w:space="0"/>
            </w:tcBorders>
            <w:noWrap/>
            <w:vAlign w:val="center"/>
          </w:tcPr>
          <w:p w14:paraId="2605D424">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在收到相应修改文件后</w:t>
            </w:r>
            <w:r>
              <w:rPr>
                <w:rFonts w:hint="eastAsia" w:ascii="宋体" w:hAnsi="宋体" w:cs="宋体"/>
                <w:szCs w:val="21"/>
                <w:u w:val="single"/>
              </w:rPr>
              <w:t xml:space="preserve"> 24 </w:t>
            </w:r>
            <w:r>
              <w:rPr>
                <w:rFonts w:hint="eastAsia" w:ascii="宋体" w:hAnsi="宋体" w:cs="宋体"/>
                <w:szCs w:val="21"/>
              </w:rPr>
              <w:t>小时内</w:t>
            </w:r>
          </w:p>
        </w:tc>
      </w:tr>
      <w:tr w14:paraId="30FA5648">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C6F188A">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3.1</w:t>
            </w:r>
          </w:p>
        </w:tc>
        <w:tc>
          <w:tcPr>
            <w:tcW w:w="1933" w:type="dxa"/>
            <w:tcBorders>
              <w:top w:val="single" w:color="auto" w:sz="4" w:space="0"/>
              <w:left w:val="single" w:color="auto" w:sz="4" w:space="0"/>
              <w:bottom w:val="single" w:color="auto" w:sz="4" w:space="0"/>
              <w:right w:val="single" w:color="auto" w:sz="4" w:space="0"/>
            </w:tcBorders>
            <w:noWrap/>
            <w:vAlign w:val="center"/>
          </w:tcPr>
          <w:p w14:paraId="1D0A70B7">
            <w:pPr>
              <w:spacing w:line="400" w:lineRule="exact"/>
              <w:ind w:firstLine="0" w:firstLineChars="0"/>
              <w:jc w:val="center"/>
              <w:rPr>
                <w:rFonts w:ascii="宋体" w:hAnsi="宋体" w:cs="宋体"/>
                <w:szCs w:val="21"/>
              </w:rPr>
            </w:pPr>
            <w:r>
              <w:rPr>
                <w:rFonts w:hint="eastAsia" w:ascii="宋体" w:hAnsi="宋体" w:cs="宋体"/>
                <w:szCs w:val="21"/>
              </w:rPr>
              <w:t>构成响应文件</w:t>
            </w:r>
          </w:p>
          <w:p w14:paraId="7C2F9BD4">
            <w:pPr>
              <w:spacing w:line="400" w:lineRule="exact"/>
              <w:ind w:firstLine="0" w:firstLineChars="0"/>
              <w:jc w:val="center"/>
              <w:rPr>
                <w:rFonts w:ascii="宋体" w:hAnsi="宋体" w:cs="宋体"/>
                <w:szCs w:val="21"/>
              </w:rPr>
            </w:pPr>
            <w:r>
              <w:rPr>
                <w:rFonts w:hint="eastAsia" w:ascii="宋体" w:hAnsi="宋体" w:cs="宋体"/>
                <w:szCs w:val="21"/>
              </w:rPr>
              <w:t>的其他材料</w:t>
            </w:r>
          </w:p>
        </w:tc>
        <w:tc>
          <w:tcPr>
            <w:tcW w:w="5881" w:type="dxa"/>
            <w:tcBorders>
              <w:top w:val="single" w:color="auto" w:sz="4" w:space="0"/>
              <w:left w:val="single" w:color="auto" w:sz="4" w:space="0"/>
              <w:bottom w:val="single" w:color="auto" w:sz="4" w:space="0"/>
              <w:right w:val="single" w:color="auto" w:sz="4" w:space="0"/>
            </w:tcBorders>
            <w:noWrap/>
            <w:vAlign w:val="center"/>
          </w:tcPr>
          <w:p w14:paraId="19967207">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供应商认为需要提交的其他证明材料</w:t>
            </w:r>
          </w:p>
        </w:tc>
      </w:tr>
      <w:tr w14:paraId="0E5062EE">
        <w:tblPrEx>
          <w:tblCellMar>
            <w:top w:w="0" w:type="dxa"/>
            <w:left w:w="108" w:type="dxa"/>
            <w:bottom w:w="0" w:type="dxa"/>
            <w:right w:w="108" w:type="dxa"/>
          </w:tblCellMar>
        </w:tblPrEx>
        <w:trPr>
          <w:trHeight w:val="39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551187D2">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3.3.1</w:t>
            </w:r>
          </w:p>
        </w:tc>
        <w:tc>
          <w:tcPr>
            <w:tcW w:w="1933" w:type="dxa"/>
            <w:tcBorders>
              <w:top w:val="single" w:color="auto" w:sz="4" w:space="0"/>
              <w:left w:val="single" w:color="auto" w:sz="4" w:space="0"/>
              <w:bottom w:val="single" w:color="auto" w:sz="4" w:space="0"/>
              <w:right w:val="single" w:color="auto" w:sz="4" w:space="0"/>
            </w:tcBorders>
            <w:noWrap/>
            <w:vAlign w:val="center"/>
          </w:tcPr>
          <w:p w14:paraId="681D5CD0">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磋商有效期</w:t>
            </w:r>
          </w:p>
        </w:tc>
        <w:tc>
          <w:tcPr>
            <w:tcW w:w="5881" w:type="dxa"/>
            <w:tcBorders>
              <w:top w:val="single" w:color="auto" w:sz="4" w:space="0"/>
              <w:left w:val="single" w:color="auto" w:sz="4" w:space="0"/>
              <w:bottom w:val="single" w:color="auto" w:sz="4" w:space="0"/>
              <w:right w:val="single" w:color="auto" w:sz="4" w:space="0"/>
            </w:tcBorders>
            <w:noWrap/>
            <w:vAlign w:val="center"/>
          </w:tcPr>
          <w:p w14:paraId="33E61364">
            <w:pPr>
              <w:adjustRightInd w:val="0"/>
              <w:spacing w:line="400" w:lineRule="exact"/>
              <w:ind w:firstLine="0" w:firstLineChars="0"/>
              <w:jc w:val="left"/>
              <w:textAlignment w:val="baseline"/>
              <w:rPr>
                <w:rFonts w:ascii="宋体" w:hAnsi="宋体" w:cs="宋体"/>
                <w:szCs w:val="21"/>
              </w:rPr>
            </w:pPr>
            <w:r>
              <w:rPr>
                <w:rFonts w:hint="eastAsia" w:ascii="宋体" w:hAnsi="宋体" w:cs="宋体"/>
                <w:kern w:val="0"/>
                <w:szCs w:val="21"/>
              </w:rPr>
              <w:t>60日历天（响应文件截止之日起）</w:t>
            </w:r>
          </w:p>
        </w:tc>
      </w:tr>
      <w:tr w14:paraId="18601FAC">
        <w:tblPrEx>
          <w:tblCellMar>
            <w:top w:w="0" w:type="dxa"/>
            <w:left w:w="108" w:type="dxa"/>
            <w:bottom w:w="0" w:type="dxa"/>
            <w:right w:w="108" w:type="dxa"/>
          </w:tblCellMar>
        </w:tblPrEx>
        <w:trPr>
          <w:trHeight w:val="359"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10509105">
            <w:pPr>
              <w:spacing w:line="400" w:lineRule="exact"/>
              <w:ind w:firstLine="0" w:firstLineChars="0"/>
              <w:jc w:val="center"/>
              <w:textAlignment w:val="center"/>
              <w:rPr>
                <w:rFonts w:ascii="宋体" w:hAnsi="宋体"/>
                <w:szCs w:val="21"/>
              </w:rPr>
            </w:pPr>
            <w:r>
              <w:rPr>
                <w:rFonts w:hint="eastAsia" w:ascii="宋体" w:hAnsi="宋体"/>
                <w:szCs w:val="21"/>
              </w:rPr>
              <w:t>3.2.3</w:t>
            </w:r>
          </w:p>
        </w:tc>
        <w:tc>
          <w:tcPr>
            <w:tcW w:w="1933" w:type="dxa"/>
            <w:tcBorders>
              <w:top w:val="single" w:color="auto" w:sz="4" w:space="0"/>
              <w:left w:val="single" w:color="auto" w:sz="4" w:space="0"/>
              <w:bottom w:val="single" w:color="auto" w:sz="4" w:space="0"/>
              <w:right w:val="single" w:color="auto" w:sz="4" w:space="0"/>
            </w:tcBorders>
            <w:noWrap/>
            <w:vAlign w:val="center"/>
          </w:tcPr>
          <w:p w14:paraId="01AC2196">
            <w:pPr>
              <w:spacing w:line="400" w:lineRule="exact"/>
              <w:ind w:firstLine="0" w:firstLineChars="0"/>
              <w:jc w:val="center"/>
              <w:textAlignment w:val="center"/>
              <w:rPr>
                <w:szCs w:val="24"/>
              </w:rPr>
            </w:pPr>
            <w:r>
              <w:t>报价方式</w:t>
            </w:r>
          </w:p>
        </w:tc>
        <w:tc>
          <w:tcPr>
            <w:tcW w:w="5881" w:type="dxa"/>
            <w:tcBorders>
              <w:top w:val="single" w:color="auto" w:sz="4" w:space="0"/>
              <w:left w:val="single" w:color="auto" w:sz="4" w:space="0"/>
              <w:bottom w:val="single" w:color="auto" w:sz="4" w:space="0"/>
              <w:right w:val="single" w:color="auto" w:sz="4" w:space="0"/>
            </w:tcBorders>
            <w:noWrap/>
            <w:vAlign w:val="center"/>
          </w:tcPr>
          <w:p w14:paraId="64318D7E">
            <w:pPr>
              <w:spacing w:line="400" w:lineRule="exact"/>
              <w:ind w:firstLine="0" w:firstLineChars="0"/>
              <w:jc w:val="left"/>
              <w:textAlignment w:val="center"/>
              <w:rPr>
                <w:rFonts w:ascii="宋体" w:hAnsi="宋体"/>
                <w:szCs w:val="24"/>
              </w:rPr>
            </w:pPr>
            <w:r>
              <w:rPr>
                <w:rFonts w:hint="eastAsia" w:ascii="宋体" w:hAnsi="宋体"/>
              </w:rPr>
              <w:t>自主报价</w:t>
            </w:r>
          </w:p>
        </w:tc>
      </w:tr>
      <w:tr w14:paraId="05715408">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A58B08E">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3.6</w:t>
            </w:r>
          </w:p>
        </w:tc>
        <w:tc>
          <w:tcPr>
            <w:tcW w:w="1933" w:type="dxa"/>
            <w:tcBorders>
              <w:top w:val="single" w:color="auto" w:sz="4" w:space="0"/>
              <w:left w:val="single" w:color="auto" w:sz="4" w:space="0"/>
              <w:bottom w:val="single" w:color="auto" w:sz="4" w:space="0"/>
              <w:right w:val="single" w:color="auto" w:sz="4" w:space="0"/>
            </w:tcBorders>
            <w:noWrap/>
            <w:vAlign w:val="center"/>
          </w:tcPr>
          <w:p w14:paraId="7E21DA8B">
            <w:pPr>
              <w:spacing w:line="400" w:lineRule="exact"/>
              <w:ind w:firstLine="0" w:firstLineChars="0"/>
              <w:jc w:val="center"/>
              <w:rPr>
                <w:rFonts w:ascii="宋体" w:hAnsi="宋体" w:cs="宋体"/>
                <w:szCs w:val="21"/>
              </w:rPr>
            </w:pPr>
            <w:r>
              <w:rPr>
                <w:rFonts w:hint="eastAsia" w:ascii="宋体" w:hAnsi="宋体" w:cs="宋体"/>
                <w:szCs w:val="21"/>
              </w:rPr>
              <w:t>是否允许递交</w:t>
            </w:r>
          </w:p>
          <w:p w14:paraId="5C72185F">
            <w:pPr>
              <w:spacing w:line="400" w:lineRule="exact"/>
              <w:ind w:firstLine="0" w:firstLineChars="0"/>
              <w:jc w:val="center"/>
              <w:rPr>
                <w:rFonts w:ascii="宋体" w:hAnsi="宋体" w:cs="宋体"/>
                <w:szCs w:val="21"/>
              </w:rPr>
            </w:pPr>
            <w:r>
              <w:rPr>
                <w:rFonts w:hint="eastAsia" w:ascii="宋体" w:hAnsi="宋体" w:cs="宋体"/>
                <w:szCs w:val="21"/>
              </w:rPr>
              <w:t>备选磋商方案</w:t>
            </w:r>
          </w:p>
        </w:tc>
        <w:tc>
          <w:tcPr>
            <w:tcW w:w="5881" w:type="dxa"/>
            <w:tcBorders>
              <w:top w:val="single" w:color="auto" w:sz="4" w:space="0"/>
              <w:left w:val="single" w:color="auto" w:sz="4" w:space="0"/>
              <w:bottom w:val="single" w:color="auto" w:sz="4" w:space="0"/>
              <w:right w:val="single" w:color="auto" w:sz="4" w:space="0"/>
            </w:tcBorders>
            <w:noWrap/>
            <w:vAlign w:val="center"/>
          </w:tcPr>
          <w:p w14:paraId="17B74AC4">
            <w:pPr>
              <w:pStyle w:val="13"/>
              <w:topLinePunct/>
              <w:adjustRightInd w:val="0"/>
              <w:spacing w:line="400" w:lineRule="exact"/>
              <w:ind w:firstLine="0" w:firstLineChars="0"/>
              <w:jc w:val="left"/>
              <w:textAlignment w:val="baseline"/>
              <w:rPr>
                <w:rFonts w:ascii="宋体" w:hAnsi="宋体" w:cs="宋体"/>
                <w:kern w:val="2"/>
                <w:sz w:val="21"/>
                <w:szCs w:val="21"/>
              </w:rPr>
            </w:pPr>
            <w:r>
              <w:rPr>
                <w:rFonts w:hint="eastAsia" w:ascii="宋体" w:hAnsi="宋体" w:cs="宋体"/>
                <w:kern w:val="2"/>
                <w:sz w:val="21"/>
                <w:szCs w:val="21"/>
              </w:rPr>
              <w:t>不允许</w:t>
            </w:r>
          </w:p>
        </w:tc>
      </w:tr>
      <w:tr w14:paraId="70387F6A">
        <w:tblPrEx>
          <w:tblCellMar>
            <w:top w:w="0" w:type="dxa"/>
            <w:left w:w="108" w:type="dxa"/>
            <w:bottom w:w="0" w:type="dxa"/>
            <w:right w:w="108" w:type="dxa"/>
          </w:tblCellMar>
        </w:tblPrEx>
        <w:trPr>
          <w:trHeight w:val="14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17E31618">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3.7.3</w:t>
            </w:r>
          </w:p>
        </w:tc>
        <w:tc>
          <w:tcPr>
            <w:tcW w:w="1933" w:type="dxa"/>
            <w:tcBorders>
              <w:top w:val="single" w:color="auto" w:sz="4" w:space="0"/>
              <w:left w:val="single" w:color="auto" w:sz="4" w:space="0"/>
              <w:bottom w:val="single" w:color="auto" w:sz="4" w:space="0"/>
              <w:right w:val="single" w:color="auto" w:sz="4" w:space="0"/>
            </w:tcBorders>
            <w:noWrap/>
            <w:vAlign w:val="center"/>
          </w:tcPr>
          <w:p w14:paraId="6139D268">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电子响应文件</w:t>
            </w:r>
          </w:p>
          <w:p w14:paraId="5A75162A">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签字盖章要求</w:t>
            </w:r>
          </w:p>
        </w:tc>
        <w:tc>
          <w:tcPr>
            <w:tcW w:w="5881" w:type="dxa"/>
            <w:tcBorders>
              <w:top w:val="single" w:color="auto" w:sz="4" w:space="0"/>
              <w:left w:val="single" w:color="auto" w:sz="4" w:space="0"/>
              <w:bottom w:val="single" w:color="auto" w:sz="4" w:space="0"/>
              <w:right w:val="single" w:color="auto" w:sz="4" w:space="0"/>
            </w:tcBorders>
            <w:noWrap/>
            <w:vAlign w:val="center"/>
          </w:tcPr>
          <w:p w14:paraId="1ED1D822">
            <w:pPr>
              <w:adjustRightInd w:val="0"/>
              <w:snapToGrid w:val="0"/>
              <w:spacing w:line="400" w:lineRule="exact"/>
              <w:ind w:firstLine="0" w:firstLineChars="0"/>
              <w:jc w:val="left"/>
              <w:rPr>
                <w:rFonts w:ascii="宋体" w:hAnsi="宋体" w:cs="宋体"/>
                <w:szCs w:val="21"/>
              </w:rPr>
            </w:pPr>
            <w:r>
              <w:rPr>
                <w:rFonts w:hint="eastAsia" w:ascii="宋体" w:hAnsi="宋体" w:cs="宋体"/>
                <w:szCs w:val="21"/>
              </w:rPr>
              <w:t>（1）所有要求供应商加盖公章的地方都须加盖供应商的 CA 印章。</w:t>
            </w:r>
          </w:p>
          <w:p w14:paraId="172C6D10">
            <w:pPr>
              <w:adjustRightInd w:val="0"/>
              <w:snapToGrid w:val="0"/>
              <w:spacing w:line="400" w:lineRule="exact"/>
              <w:ind w:firstLine="0" w:firstLineChars="0"/>
              <w:jc w:val="left"/>
              <w:rPr>
                <w:rFonts w:ascii="宋体" w:hAnsi="宋体" w:cs="宋体"/>
                <w:szCs w:val="21"/>
              </w:rPr>
            </w:pPr>
            <w:r>
              <w:rPr>
                <w:rFonts w:hint="eastAsia" w:ascii="宋体" w:hAnsi="宋体" w:cs="宋体"/>
                <w:szCs w:val="21"/>
              </w:rPr>
              <w:t>（2）所有要求法定代表人或其委托代理人签字的地方都须法定代表人或其委托代理人加盖CA印章或签字。</w:t>
            </w:r>
          </w:p>
        </w:tc>
      </w:tr>
      <w:tr w14:paraId="0F195261">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1716340">
            <w:pPr>
              <w:spacing w:line="400" w:lineRule="exact"/>
              <w:ind w:firstLine="0" w:firstLineChars="0"/>
              <w:jc w:val="center"/>
              <w:rPr>
                <w:rFonts w:ascii="宋体" w:hAnsi="宋体" w:cs="宋体"/>
                <w:bCs/>
                <w:szCs w:val="21"/>
              </w:rPr>
            </w:pPr>
            <w:r>
              <w:rPr>
                <w:rFonts w:hint="eastAsia" w:ascii="宋体" w:hAnsi="宋体" w:cs="宋体"/>
                <w:bCs/>
                <w:szCs w:val="21"/>
              </w:rPr>
              <w:t>3.7.4</w:t>
            </w:r>
          </w:p>
        </w:tc>
        <w:tc>
          <w:tcPr>
            <w:tcW w:w="1933" w:type="dxa"/>
            <w:tcBorders>
              <w:top w:val="single" w:color="auto" w:sz="4" w:space="0"/>
              <w:left w:val="single" w:color="auto" w:sz="4" w:space="0"/>
              <w:bottom w:val="single" w:color="auto" w:sz="4" w:space="0"/>
              <w:right w:val="single" w:color="auto" w:sz="4" w:space="0"/>
            </w:tcBorders>
            <w:noWrap/>
            <w:vAlign w:val="center"/>
          </w:tcPr>
          <w:p w14:paraId="4065405A">
            <w:pPr>
              <w:adjustRightInd w:val="0"/>
              <w:snapToGrid w:val="0"/>
              <w:spacing w:line="400" w:lineRule="exact"/>
              <w:ind w:firstLine="0" w:firstLineChars="0"/>
              <w:jc w:val="center"/>
              <w:rPr>
                <w:rFonts w:ascii="宋体" w:hAnsi="宋体" w:cs="宋体"/>
                <w:bCs/>
                <w:szCs w:val="21"/>
              </w:rPr>
            </w:pPr>
            <w:r>
              <w:rPr>
                <w:rFonts w:hint="eastAsia" w:ascii="宋体" w:hAnsi="宋体" w:cs="宋体"/>
                <w:bCs/>
                <w:szCs w:val="21"/>
              </w:rPr>
              <w:t>响应文件份数</w:t>
            </w:r>
          </w:p>
        </w:tc>
        <w:tc>
          <w:tcPr>
            <w:tcW w:w="5881" w:type="dxa"/>
            <w:tcBorders>
              <w:top w:val="single" w:color="auto" w:sz="4" w:space="0"/>
              <w:left w:val="single" w:color="auto" w:sz="4" w:space="0"/>
              <w:bottom w:val="single" w:color="auto" w:sz="4" w:space="0"/>
              <w:right w:val="single" w:color="auto" w:sz="4" w:space="0"/>
            </w:tcBorders>
            <w:noWrap/>
            <w:vAlign w:val="center"/>
          </w:tcPr>
          <w:p w14:paraId="5B582A83">
            <w:pPr>
              <w:adjustRightInd w:val="0"/>
              <w:snapToGrid w:val="0"/>
              <w:spacing w:line="400" w:lineRule="exact"/>
              <w:ind w:firstLine="0" w:firstLineChars="0"/>
              <w:jc w:val="left"/>
              <w:rPr>
                <w:rFonts w:ascii="宋体" w:hAnsi="宋体" w:cs="宋体"/>
                <w:bCs/>
                <w:szCs w:val="21"/>
              </w:rPr>
            </w:pPr>
            <w:r>
              <w:rPr>
                <w:rFonts w:hint="eastAsia" w:ascii="宋体" w:hAnsi="宋体" w:cs="宋体"/>
                <w:bCs/>
                <w:szCs w:val="21"/>
              </w:rPr>
              <w:t>加密的电子响应文件壹份（*.XYTF 格式，在会员系统指定位置上传）</w:t>
            </w:r>
          </w:p>
        </w:tc>
      </w:tr>
      <w:tr w14:paraId="5767122F">
        <w:tblPrEx>
          <w:tblCellMar>
            <w:top w:w="0" w:type="dxa"/>
            <w:left w:w="108" w:type="dxa"/>
            <w:bottom w:w="0" w:type="dxa"/>
            <w:right w:w="108" w:type="dxa"/>
          </w:tblCellMar>
        </w:tblPrEx>
        <w:trPr>
          <w:trHeight w:val="402"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7A8EDFF">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4.2</w:t>
            </w:r>
          </w:p>
        </w:tc>
        <w:tc>
          <w:tcPr>
            <w:tcW w:w="1933" w:type="dxa"/>
            <w:tcBorders>
              <w:top w:val="single" w:color="auto" w:sz="4" w:space="0"/>
              <w:left w:val="single" w:color="auto" w:sz="4" w:space="0"/>
              <w:bottom w:val="single" w:color="auto" w:sz="4" w:space="0"/>
              <w:right w:val="single" w:color="auto" w:sz="4" w:space="0"/>
            </w:tcBorders>
            <w:noWrap/>
            <w:vAlign w:val="center"/>
          </w:tcPr>
          <w:p w14:paraId="2C926A3C">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响应文件的递交</w:t>
            </w:r>
          </w:p>
        </w:tc>
        <w:tc>
          <w:tcPr>
            <w:tcW w:w="5881" w:type="dxa"/>
            <w:tcBorders>
              <w:top w:val="single" w:color="auto" w:sz="4" w:space="0"/>
              <w:left w:val="single" w:color="auto" w:sz="4" w:space="0"/>
              <w:bottom w:val="single" w:color="auto" w:sz="4" w:space="0"/>
              <w:right w:val="single" w:color="auto" w:sz="4" w:space="0"/>
            </w:tcBorders>
            <w:noWrap/>
            <w:vAlign w:val="center"/>
          </w:tcPr>
          <w:p w14:paraId="0EB89FBA">
            <w:pPr>
              <w:adjustRightInd w:val="0"/>
              <w:snapToGrid w:val="0"/>
              <w:spacing w:line="400" w:lineRule="exact"/>
              <w:ind w:firstLine="0" w:firstLineChars="0"/>
              <w:jc w:val="left"/>
              <w:rPr>
                <w:rFonts w:ascii="宋体" w:hAnsi="宋体" w:cs="宋体"/>
                <w:szCs w:val="21"/>
              </w:rPr>
            </w:pPr>
            <w:r>
              <w:rPr>
                <w:rFonts w:hint="eastAsia" w:ascii="宋体" w:hAnsi="宋体" w:cs="宋体"/>
                <w:szCs w:val="21"/>
              </w:rPr>
              <w:t>1、电子响应文件的递交</w:t>
            </w:r>
          </w:p>
          <w:p w14:paraId="78F1E8F7">
            <w:pPr>
              <w:adjustRightInd w:val="0"/>
              <w:snapToGrid w:val="0"/>
              <w:spacing w:line="400" w:lineRule="exact"/>
              <w:ind w:firstLine="0" w:firstLineChars="0"/>
              <w:jc w:val="left"/>
              <w:rPr>
                <w:rFonts w:ascii="宋体" w:hAnsi="宋体" w:cs="宋体"/>
                <w:szCs w:val="21"/>
              </w:rPr>
            </w:pPr>
            <w:r>
              <w:rPr>
                <w:rFonts w:hint="eastAsia" w:ascii="宋体" w:hAnsi="宋体" w:cs="宋体"/>
                <w:szCs w:val="21"/>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40214997">
            <w:pPr>
              <w:adjustRightInd w:val="0"/>
              <w:snapToGrid w:val="0"/>
              <w:spacing w:line="400" w:lineRule="exact"/>
              <w:ind w:firstLine="0" w:firstLineChars="0"/>
              <w:jc w:val="left"/>
              <w:rPr>
                <w:rFonts w:ascii="宋体" w:hAnsi="宋体" w:cs="宋体"/>
                <w:szCs w:val="21"/>
              </w:rPr>
            </w:pPr>
            <w:r>
              <w:rPr>
                <w:rFonts w:hint="eastAsia" w:ascii="宋体" w:hAnsi="宋体" w:cs="宋体"/>
                <w:szCs w:val="21"/>
              </w:rPr>
              <w:t xml:space="preserve">2、本项目采用“不见面开标”交易方式，不见面开标大厅网址为 </w:t>
            </w:r>
            <w:r>
              <w:fldChar w:fldCharType="begin"/>
            </w:r>
            <w:r>
              <w:instrText xml:space="preserve"> HYPERLINK "http://117.158.91.68:8095/xxhy，投标人无需寄送和递交非加密的电子投标文件，无需到现场参加开标会议，无需到达现场提交原件资料。" </w:instrText>
            </w:r>
            <w:r>
              <w:fldChar w:fldCharType="separate"/>
            </w:r>
            <w:r>
              <w:rPr>
                <w:rFonts w:hint="eastAsia" w:ascii="宋体" w:hAnsi="宋体" w:cs="宋体"/>
                <w:szCs w:val="21"/>
              </w:rPr>
              <w:t>https://ggzyjy.xinyang.gov.cn/BidOpening/bidhall/xinyang/login.html，供应商无需寄送和递交非加密的电子响应文件，无需到现场参加开标会议，无需到达现场提交原件资料。</w:t>
            </w:r>
            <w:r>
              <w:rPr>
                <w:rFonts w:hint="eastAsia" w:ascii="宋体" w:hAnsi="宋体" w:cs="宋体"/>
                <w:szCs w:val="21"/>
              </w:rPr>
              <w:fldChar w:fldCharType="end"/>
            </w:r>
          </w:p>
        </w:tc>
      </w:tr>
      <w:tr w14:paraId="67CB772F">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1B9E88B8">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5.1</w:t>
            </w:r>
          </w:p>
        </w:tc>
        <w:tc>
          <w:tcPr>
            <w:tcW w:w="1933" w:type="dxa"/>
            <w:tcBorders>
              <w:top w:val="single" w:color="auto" w:sz="4" w:space="0"/>
              <w:left w:val="single" w:color="auto" w:sz="4" w:space="0"/>
              <w:bottom w:val="single" w:color="auto" w:sz="4" w:space="0"/>
              <w:right w:val="single" w:color="auto" w:sz="4" w:space="0"/>
            </w:tcBorders>
            <w:noWrap/>
            <w:vAlign w:val="center"/>
          </w:tcPr>
          <w:p w14:paraId="7E2215E7">
            <w:pPr>
              <w:adjustRightInd w:val="0"/>
              <w:spacing w:line="400" w:lineRule="exact"/>
              <w:ind w:firstLine="0" w:firstLineChars="0"/>
              <w:jc w:val="center"/>
              <w:textAlignment w:val="baseline"/>
              <w:rPr>
                <w:rFonts w:ascii="宋体" w:hAnsi="宋体" w:cs="宋体"/>
                <w:szCs w:val="21"/>
                <w:highlight w:val="none"/>
              </w:rPr>
            </w:pPr>
            <w:r>
              <w:rPr>
                <w:rFonts w:hint="eastAsia" w:ascii="宋体" w:hAnsi="宋体" w:cs="宋体"/>
                <w:szCs w:val="21"/>
                <w:highlight w:val="none"/>
              </w:rPr>
              <w:t>提交响应文件</w:t>
            </w:r>
          </w:p>
          <w:p w14:paraId="65CE7881">
            <w:pPr>
              <w:adjustRightInd w:val="0"/>
              <w:spacing w:line="400" w:lineRule="exact"/>
              <w:ind w:firstLine="0" w:firstLineChars="0"/>
              <w:jc w:val="center"/>
              <w:textAlignment w:val="baseline"/>
              <w:rPr>
                <w:rFonts w:ascii="宋体" w:hAnsi="宋体" w:cs="宋体"/>
                <w:szCs w:val="21"/>
                <w:highlight w:val="none"/>
              </w:rPr>
            </w:pPr>
            <w:r>
              <w:rPr>
                <w:rFonts w:hint="eastAsia" w:ascii="宋体" w:hAnsi="宋体" w:cs="宋体"/>
                <w:szCs w:val="21"/>
                <w:highlight w:val="none"/>
              </w:rPr>
              <w:t>截止时间</w:t>
            </w:r>
          </w:p>
        </w:tc>
        <w:tc>
          <w:tcPr>
            <w:tcW w:w="5881" w:type="dxa"/>
            <w:tcBorders>
              <w:top w:val="single" w:color="auto" w:sz="4" w:space="0"/>
              <w:left w:val="single" w:color="auto" w:sz="4" w:space="0"/>
              <w:bottom w:val="single" w:color="auto" w:sz="4" w:space="0"/>
              <w:right w:val="single" w:color="auto" w:sz="4" w:space="0"/>
            </w:tcBorders>
            <w:noWrap/>
            <w:vAlign w:val="center"/>
          </w:tcPr>
          <w:p w14:paraId="72594E2D">
            <w:pPr>
              <w:adjustRightInd w:val="0"/>
              <w:spacing w:line="400" w:lineRule="exact"/>
              <w:ind w:firstLine="0" w:firstLineChars="0"/>
              <w:jc w:val="left"/>
              <w:textAlignment w:val="baseline"/>
              <w:rPr>
                <w:rFonts w:ascii="宋体" w:hAnsi="宋体" w:cs="宋体"/>
                <w:szCs w:val="21"/>
                <w:highlight w:val="none"/>
              </w:rPr>
            </w:pPr>
            <w:bookmarkStart w:id="1178" w:name="_GoBack"/>
            <w:r>
              <w:rPr>
                <w:rFonts w:hint="eastAsia" w:eastAsia="宋体"/>
                <w:bCs/>
                <w:color w:val="auto"/>
                <w:sz w:val="21"/>
                <w:szCs w:val="21"/>
                <w:highlight w:val="none"/>
              </w:rPr>
              <w:t>202</w:t>
            </w:r>
            <w:r>
              <w:rPr>
                <w:rFonts w:hint="eastAsia" w:eastAsia="宋体"/>
                <w:bCs/>
                <w:color w:val="auto"/>
                <w:sz w:val="21"/>
                <w:szCs w:val="21"/>
                <w:highlight w:val="none"/>
                <w:lang w:val="en-US" w:eastAsia="zh-CN"/>
              </w:rPr>
              <w:t>6</w:t>
            </w:r>
            <w:r>
              <w:rPr>
                <w:rFonts w:hint="eastAsia" w:eastAsia="宋体"/>
                <w:bCs/>
                <w:color w:val="auto"/>
                <w:sz w:val="21"/>
                <w:szCs w:val="21"/>
                <w:highlight w:val="none"/>
              </w:rPr>
              <w:t>年</w:t>
            </w:r>
            <w:r>
              <w:rPr>
                <w:rFonts w:hint="eastAsia" w:eastAsia="宋体"/>
                <w:bCs/>
                <w:color w:val="auto"/>
                <w:sz w:val="21"/>
                <w:szCs w:val="21"/>
                <w:highlight w:val="none"/>
                <w:lang w:val="en-US" w:eastAsia="zh-CN"/>
              </w:rPr>
              <w:t>7</w:t>
            </w:r>
            <w:r>
              <w:rPr>
                <w:rFonts w:hint="eastAsia" w:eastAsia="宋体"/>
                <w:bCs/>
                <w:color w:val="auto"/>
                <w:sz w:val="21"/>
                <w:szCs w:val="21"/>
                <w:highlight w:val="none"/>
              </w:rPr>
              <w:t>月</w:t>
            </w:r>
            <w:r>
              <w:rPr>
                <w:rFonts w:hint="eastAsia" w:eastAsia="宋体"/>
                <w:bCs/>
                <w:color w:val="auto"/>
                <w:sz w:val="21"/>
                <w:szCs w:val="21"/>
                <w:highlight w:val="none"/>
                <w:lang w:val="en-US" w:eastAsia="zh-CN"/>
              </w:rPr>
              <w:t>21</w:t>
            </w:r>
            <w:r>
              <w:rPr>
                <w:rFonts w:hint="eastAsia" w:eastAsia="宋体"/>
                <w:bCs/>
                <w:color w:val="auto"/>
                <w:sz w:val="21"/>
                <w:szCs w:val="21"/>
                <w:highlight w:val="none"/>
              </w:rPr>
              <w:t>日</w:t>
            </w:r>
            <w:r>
              <w:rPr>
                <w:rFonts w:hint="eastAsia" w:eastAsia="宋体"/>
                <w:bCs/>
                <w:color w:val="auto"/>
                <w:sz w:val="21"/>
                <w:szCs w:val="21"/>
                <w:highlight w:val="none"/>
                <w:lang w:val="en-US" w:eastAsia="zh-CN"/>
              </w:rPr>
              <w:t>9</w:t>
            </w:r>
            <w:r>
              <w:rPr>
                <w:rFonts w:hint="eastAsia" w:eastAsia="宋体"/>
                <w:bCs/>
                <w:color w:val="auto"/>
                <w:sz w:val="21"/>
                <w:szCs w:val="21"/>
                <w:highlight w:val="none"/>
              </w:rPr>
              <w:t>时</w:t>
            </w:r>
            <w:r>
              <w:rPr>
                <w:rFonts w:hint="eastAsia" w:eastAsia="宋体"/>
                <w:bCs/>
                <w:color w:val="auto"/>
                <w:sz w:val="21"/>
                <w:szCs w:val="21"/>
                <w:highlight w:val="none"/>
                <w:lang w:val="en-US" w:eastAsia="zh-CN"/>
              </w:rPr>
              <w:t>30</w:t>
            </w:r>
            <w:r>
              <w:rPr>
                <w:rFonts w:hint="eastAsia" w:eastAsia="宋体"/>
                <w:bCs/>
                <w:color w:val="auto"/>
                <w:sz w:val="21"/>
                <w:szCs w:val="21"/>
                <w:highlight w:val="none"/>
              </w:rPr>
              <w:t>分</w:t>
            </w:r>
            <w:bookmarkEnd w:id="1178"/>
          </w:p>
        </w:tc>
      </w:tr>
      <w:tr w14:paraId="0D6AADEA">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5E826DF6">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5.1.1</w:t>
            </w:r>
          </w:p>
        </w:tc>
        <w:tc>
          <w:tcPr>
            <w:tcW w:w="1933" w:type="dxa"/>
            <w:tcBorders>
              <w:top w:val="single" w:color="auto" w:sz="4" w:space="0"/>
              <w:left w:val="single" w:color="auto" w:sz="4" w:space="0"/>
              <w:bottom w:val="single" w:color="auto" w:sz="4" w:space="0"/>
              <w:right w:val="single" w:color="auto" w:sz="4" w:space="0"/>
            </w:tcBorders>
            <w:noWrap/>
            <w:vAlign w:val="center"/>
          </w:tcPr>
          <w:p w14:paraId="15BF0DA3">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磋商时间和地点</w:t>
            </w:r>
          </w:p>
        </w:tc>
        <w:tc>
          <w:tcPr>
            <w:tcW w:w="5881" w:type="dxa"/>
            <w:tcBorders>
              <w:top w:val="single" w:color="auto" w:sz="4" w:space="0"/>
              <w:left w:val="single" w:color="auto" w:sz="4" w:space="0"/>
              <w:bottom w:val="single" w:color="auto" w:sz="4" w:space="0"/>
              <w:right w:val="single" w:color="auto" w:sz="4" w:space="0"/>
            </w:tcBorders>
            <w:noWrap/>
            <w:vAlign w:val="center"/>
          </w:tcPr>
          <w:p w14:paraId="10E468F6">
            <w:pPr>
              <w:autoSpaceDE w:val="0"/>
              <w:autoSpaceDN w:val="0"/>
              <w:adjustRightInd w:val="0"/>
              <w:spacing w:line="400" w:lineRule="exact"/>
              <w:ind w:firstLine="0" w:firstLineChars="0"/>
              <w:jc w:val="left"/>
              <w:rPr>
                <w:rFonts w:ascii="宋体" w:hAnsi="宋体" w:cs="宋体"/>
                <w:kern w:val="0"/>
                <w:szCs w:val="21"/>
              </w:rPr>
            </w:pPr>
            <w:r>
              <w:rPr>
                <w:rFonts w:hint="eastAsia" w:ascii="宋体" w:hAnsi="宋体" w:cs="宋体"/>
                <w:szCs w:val="21"/>
              </w:rPr>
              <w:t>磋商</w:t>
            </w:r>
            <w:r>
              <w:rPr>
                <w:rFonts w:hint="eastAsia" w:ascii="宋体" w:hAnsi="宋体" w:cs="宋体"/>
                <w:kern w:val="0"/>
                <w:szCs w:val="21"/>
              </w:rPr>
              <w:t>时间：同</w:t>
            </w:r>
            <w:r>
              <w:rPr>
                <w:rFonts w:hint="eastAsia" w:ascii="宋体" w:hAnsi="宋体" w:cs="宋体"/>
                <w:szCs w:val="21"/>
              </w:rPr>
              <w:t>响应文件提交</w:t>
            </w:r>
            <w:r>
              <w:rPr>
                <w:rFonts w:hint="eastAsia" w:ascii="宋体" w:hAnsi="宋体" w:cs="宋体"/>
                <w:kern w:val="0"/>
                <w:szCs w:val="21"/>
              </w:rPr>
              <w:t>截止时间</w:t>
            </w:r>
          </w:p>
          <w:p w14:paraId="3C16E94A">
            <w:pPr>
              <w:spacing w:line="400" w:lineRule="exact"/>
              <w:ind w:firstLine="0" w:firstLineChars="0"/>
              <w:jc w:val="left"/>
              <w:rPr>
                <w:rFonts w:hint="default" w:ascii="宋体" w:hAnsi="宋体" w:cs="宋体" w:eastAsiaTheme="minorEastAsia"/>
                <w:szCs w:val="21"/>
                <w:lang w:val="en-US" w:eastAsia="zh-CN"/>
              </w:rPr>
            </w:pPr>
            <w:r>
              <w:rPr>
                <w:rFonts w:hint="eastAsia" w:ascii="宋体" w:hAnsi="宋体" w:cs="宋体"/>
                <w:szCs w:val="21"/>
              </w:rPr>
              <w:t>磋商</w:t>
            </w:r>
            <w:r>
              <w:rPr>
                <w:rFonts w:hint="eastAsia" w:ascii="宋体" w:hAnsi="宋体" w:cs="宋体"/>
                <w:kern w:val="0"/>
                <w:szCs w:val="21"/>
              </w:rPr>
              <w:t>地点：</w:t>
            </w:r>
            <w:r>
              <w:rPr>
                <w:rFonts w:hint="eastAsia" w:ascii="宋体" w:hAnsi="宋体" w:cs="宋体"/>
                <w:szCs w:val="21"/>
              </w:rPr>
              <w:t>罗山县公共资源交易中心八楼</w:t>
            </w:r>
            <w:r>
              <w:rPr>
                <w:rFonts w:hint="eastAsia" w:ascii="宋体" w:hAnsi="宋体" w:cs="宋体"/>
                <w:szCs w:val="21"/>
                <w:lang w:val="en-US" w:eastAsia="zh-CN"/>
              </w:rPr>
              <w:t>不见面开标大厅</w:t>
            </w:r>
          </w:p>
        </w:tc>
      </w:tr>
      <w:tr w14:paraId="1C26905B">
        <w:tblPrEx>
          <w:tblCellMar>
            <w:top w:w="0" w:type="dxa"/>
            <w:left w:w="108" w:type="dxa"/>
            <w:bottom w:w="0" w:type="dxa"/>
            <w:right w:w="108" w:type="dxa"/>
          </w:tblCellMar>
        </w:tblPrEx>
        <w:trPr>
          <w:trHeight w:val="105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5FC2DE57">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6.1</w:t>
            </w:r>
          </w:p>
        </w:tc>
        <w:tc>
          <w:tcPr>
            <w:tcW w:w="1933" w:type="dxa"/>
            <w:tcBorders>
              <w:top w:val="single" w:color="auto" w:sz="4" w:space="0"/>
              <w:left w:val="single" w:color="auto" w:sz="4" w:space="0"/>
              <w:bottom w:val="single" w:color="auto" w:sz="4" w:space="0"/>
              <w:right w:val="single" w:color="auto" w:sz="4" w:space="0"/>
            </w:tcBorders>
            <w:noWrap/>
            <w:vAlign w:val="center"/>
          </w:tcPr>
          <w:p w14:paraId="550AF34E">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磋商小组的组建</w:t>
            </w:r>
          </w:p>
        </w:tc>
        <w:tc>
          <w:tcPr>
            <w:tcW w:w="5881" w:type="dxa"/>
            <w:tcBorders>
              <w:top w:val="single" w:color="auto" w:sz="4" w:space="0"/>
              <w:left w:val="single" w:color="auto" w:sz="4" w:space="0"/>
              <w:bottom w:val="single" w:color="auto" w:sz="4" w:space="0"/>
              <w:right w:val="single" w:color="auto" w:sz="4" w:space="0"/>
            </w:tcBorders>
            <w:noWrap/>
            <w:vAlign w:val="center"/>
          </w:tcPr>
          <w:p w14:paraId="049DD4E3">
            <w:pPr>
              <w:autoSpaceDE w:val="0"/>
              <w:autoSpaceDN w:val="0"/>
              <w:adjustRightInd w:val="0"/>
              <w:spacing w:line="400" w:lineRule="exact"/>
              <w:ind w:firstLine="0" w:firstLineChars="0"/>
              <w:jc w:val="left"/>
              <w:rPr>
                <w:rFonts w:ascii="宋体" w:hAnsi="宋体" w:cs="宋体"/>
                <w:szCs w:val="21"/>
              </w:rPr>
            </w:pPr>
            <w:r>
              <w:rPr>
                <w:rFonts w:hint="eastAsia" w:ascii="宋体" w:hAnsi="宋体" w:cs="宋体"/>
                <w:szCs w:val="21"/>
              </w:rPr>
              <w:t>磋商小组构成：</w:t>
            </w:r>
            <w:r>
              <w:rPr>
                <w:rFonts w:hint="eastAsia" w:ascii="宋体" w:hAnsi="宋体" w:cs="宋体"/>
                <w:szCs w:val="21"/>
                <w:u w:val="single"/>
              </w:rPr>
              <w:t xml:space="preserve"> 3 </w:t>
            </w:r>
            <w:r>
              <w:rPr>
                <w:rFonts w:hint="eastAsia" w:ascii="宋体" w:hAnsi="宋体" w:cs="宋体"/>
                <w:szCs w:val="21"/>
              </w:rPr>
              <w:t>人，其中业主评委</w:t>
            </w:r>
            <w:r>
              <w:rPr>
                <w:rFonts w:hint="eastAsia" w:ascii="宋体" w:hAnsi="宋体" w:cs="宋体"/>
                <w:szCs w:val="21"/>
                <w:u w:val="single"/>
              </w:rPr>
              <w:t xml:space="preserve"> 1 </w:t>
            </w:r>
            <w:r>
              <w:rPr>
                <w:rFonts w:hint="eastAsia" w:ascii="宋体" w:hAnsi="宋体" w:cs="宋体"/>
                <w:szCs w:val="21"/>
              </w:rPr>
              <w:t>人，技术、经济类专家</w:t>
            </w:r>
            <w:r>
              <w:rPr>
                <w:rFonts w:hint="eastAsia" w:ascii="宋体" w:hAnsi="宋体" w:cs="宋体"/>
                <w:szCs w:val="21"/>
                <w:u w:val="single"/>
              </w:rPr>
              <w:t xml:space="preserve"> 2 </w:t>
            </w:r>
            <w:r>
              <w:rPr>
                <w:rFonts w:hint="eastAsia" w:ascii="宋体" w:hAnsi="宋体" w:cs="宋体"/>
                <w:szCs w:val="21"/>
              </w:rPr>
              <w:t>人；</w:t>
            </w:r>
          </w:p>
          <w:p w14:paraId="4F60CC93">
            <w:pPr>
              <w:adjustRightInd w:val="0"/>
              <w:spacing w:line="400" w:lineRule="exact"/>
              <w:ind w:firstLine="0" w:firstLineChars="0"/>
              <w:jc w:val="left"/>
              <w:textAlignment w:val="baseline"/>
              <w:rPr>
                <w:rFonts w:ascii="宋体" w:hAnsi="宋体" w:cs="宋体"/>
                <w:szCs w:val="21"/>
              </w:rPr>
            </w:pPr>
            <w:r>
              <w:rPr>
                <w:rFonts w:hint="eastAsia" w:ascii="宋体" w:hAnsi="宋体" w:cs="宋体"/>
                <w:kern w:val="0"/>
                <w:szCs w:val="21"/>
              </w:rPr>
              <w:t>专家确定方式：磋商前从政府采购专家库中随机抽取。</w:t>
            </w:r>
          </w:p>
        </w:tc>
      </w:tr>
      <w:tr w14:paraId="7A940442">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5FF42AF9">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7.1</w:t>
            </w:r>
          </w:p>
        </w:tc>
        <w:tc>
          <w:tcPr>
            <w:tcW w:w="1933" w:type="dxa"/>
            <w:tcBorders>
              <w:top w:val="single" w:color="auto" w:sz="4" w:space="0"/>
              <w:left w:val="single" w:color="auto" w:sz="4" w:space="0"/>
              <w:bottom w:val="single" w:color="auto" w:sz="4" w:space="0"/>
              <w:right w:val="single" w:color="auto" w:sz="4" w:space="0"/>
            </w:tcBorders>
            <w:noWrap/>
            <w:vAlign w:val="center"/>
          </w:tcPr>
          <w:p w14:paraId="3BE64AC0">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是否授权磋商小组</w:t>
            </w:r>
          </w:p>
          <w:p w14:paraId="6A817A08">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确定成交人</w:t>
            </w:r>
          </w:p>
        </w:tc>
        <w:tc>
          <w:tcPr>
            <w:tcW w:w="5881" w:type="dxa"/>
            <w:tcBorders>
              <w:top w:val="single" w:color="auto" w:sz="4" w:space="0"/>
              <w:left w:val="single" w:color="auto" w:sz="4" w:space="0"/>
              <w:bottom w:val="single" w:color="auto" w:sz="4" w:space="0"/>
              <w:right w:val="single" w:color="auto" w:sz="4" w:space="0"/>
            </w:tcBorders>
            <w:noWrap/>
            <w:vAlign w:val="center"/>
          </w:tcPr>
          <w:p w14:paraId="0CFBD1EF">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否；推荐的成交候选人数：3名</w:t>
            </w:r>
          </w:p>
        </w:tc>
      </w:tr>
      <w:tr w14:paraId="280F38FE">
        <w:tblPrEx>
          <w:tblCellMar>
            <w:top w:w="0" w:type="dxa"/>
            <w:left w:w="108" w:type="dxa"/>
            <w:bottom w:w="0" w:type="dxa"/>
            <w:right w:w="108" w:type="dxa"/>
          </w:tblCellMar>
        </w:tblPrEx>
        <w:trPr>
          <w:trHeight w:val="412"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710DAEF2">
            <w:pPr>
              <w:autoSpaceDE w:val="0"/>
              <w:autoSpaceDN w:val="0"/>
              <w:adjustRightInd w:val="0"/>
              <w:spacing w:line="400" w:lineRule="exact"/>
              <w:ind w:firstLine="0" w:firstLineChars="0"/>
              <w:jc w:val="center"/>
              <w:rPr>
                <w:rFonts w:ascii="宋体" w:hAnsi="宋体" w:eastAsia="宋体" w:cs="宋体"/>
                <w:kern w:val="0"/>
                <w:szCs w:val="21"/>
              </w:rPr>
            </w:pPr>
            <w:r>
              <w:rPr>
                <w:rFonts w:hint="eastAsia" w:ascii="宋体" w:hAnsi="宋体" w:eastAsia="宋体" w:cs="宋体"/>
                <w:kern w:val="0"/>
                <w:szCs w:val="21"/>
              </w:rPr>
              <w:t>7.3</w:t>
            </w:r>
          </w:p>
        </w:tc>
        <w:tc>
          <w:tcPr>
            <w:tcW w:w="1933" w:type="dxa"/>
            <w:tcBorders>
              <w:top w:val="single" w:color="auto" w:sz="4" w:space="0"/>
              <w:left w:val="single" w:color="auto" w:sz="4" w:space="0"/>
              <w:bottom w:val="single" w:color="auto" w:sz="4" w:space="0"/>
              <w:right w:val="single" w:color="auto" w:sz="4" w:space="0"/>
            </w:tcBorders>
            <w:noWrap/>
            <w:vAlign w:val="center"/>
          </w:tcPr>
          <w:p w14:paraId="7AFBBAB5">
            <w:pPr>
              <w:autoSpaceDE w:val="0"/>
              <w:autoSpaceDN w:val="0"/>
              <w:adjustRightInd w:val="0"/>
              <w:spacing w:line="400" w:lineRule="exact"/>
              <w:ind w:firstLine="0" w:firstLineChars="0"/>
              <w:jc w:val="center"/>
              <w:rPr>
                <w:rFonts w:ascii="宋体" w:hAnsi="宋体" w:eastAsia="宋体" w:cs="宋体"/>
                <w:kern w:val="0"/>
                <w:szCs w:val="21"/>
              </w:rPr>
            </w:pPr>
            <w:r>
              <w:rPr>
                <w:rFonts w:hint="eastAsia" w:ascii="宋体" w:hAnsi="宋体" w:eastAsia="宋体" w:cs="宋体"/>
                <w:kern w:val="0"/>
                <w:szCs w:val="21"/>
              </w:rPr>
              <w:t>履约保证金</w:t>
            </w:r>
          </w:p>
        </w:tc>
        <w:tc>
          <w:tcPr>
            <w:tcW w:w="5881" w:type="dxa"/>
            <w:tcBorders>
              <w:top w:val="single" w:color="auto" w:sz="4" w:space="0"/>
              <w:left w:val="single" w:color="auto" w:sz="4" w:space="0"/>
              <w:bottom w:val="single" w:color="auto" w:sz="4" w:space="0"/>
              <w:right w:val="single" w:color="auto" w:sz="4" w:space="0"/>
            </w:tcBorders>
            <w:noWrap/>
            <w:vAlign w:val="center"/>
          </w:tcPr>
          <w:p w14:paraId="0A34D9D1">
            <w:pPr>
              <w:autoSpaceDE w:val="0"/>
              <w:autoSpaceDN w:val="0"/>
              <w:adjustRightInd w:val="0"/>
              <w:spacing w:line="400" w:lineRule="exact"/>
              <w:ind w:firstLine="0" w:firstLineChars="0"/>
              <w:rPr>
                <w:rFonts w:ascii="宋体" w:hAnsi="宋体" w:eastAsia="宋体" w:cs="宋体"/>
                <w:szCs w:val="21"/>
              </w:rPr>
            </w:pPr>
            <w:r>
              <w:rPr>
                <w:rFonts w:hint="eastAsia" w:ascii="宋体" w:hAnsi="宋体" w:eastAsia="宋体" w:cs="宋体"/>
                <w:szCs w:val="21"/>
              </w:rPr>
              <w:t>无</w:t>
            </w:r>
          </w:p>
        </w:tc>
      </w:tr>
      <w:tr w14:paraId="5F9954C0">
        <w:tblPrEx>
          <w:tblCellMar>
            <w:top w:w="0" w:type="dxa"/>
            <w:left w:w="108" w:type="dxa"/>
            <w:bottom w:w="0" w:type="dxa"/>
            <w:right w:w="108" w:type="dxa"/>
          </w:tblCellMar>
        </w:tblPrEx>
        <w:trPr>
          <w:trHeight w:val="481"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14:paraId="21875108">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需要补充的其他内容</w:t>
            </w:r>
          </w:p>
        </w:tc>
      </w:tr>
      <w:tr w14:paraId="56A4F7DE">
        <w:tblPrEx>
          <w:tblCellMar>
            <w:top w:w="0" w:type="dxa"/>
            <w:left w:w="108" w:type="dxa"/>
            <w:bottom w:w="0" w:type="dxa"/>
            <w:right w:w="108" w:type="dxa"/>
          </w:tblCellMar>
        </w:tblPrEx>
        <w:trPr>
          <w:trHeight w:val="1757"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111615E3">
            <w:pPr>
              <w:adjustRightInd w:val="0"/>
              <w:spacing w:line="400" w:lineRule="exact"/>
              <w:ind w:firstLine="0" w:firstLineChars="0"/>
              <w:jc w:val="center"/>
              <w:textAlignment w:val="baseline"/>
              <w:rPr>
                <w:rFonts w:ascii="宋体" w:hAnsi="宋体" w:cs="宋体"/>
                <w:szCs w:val="21"/>
              </w:rPr>
            </w:pPr>
            <w:r>
              <w:rPr>
                <w:rFonts w:hint="eastAsia" w:ascii="宋体" w:hAnsi="宋体" w:cs="宋体"/>
                <w:szCs w:val="21"/>
              </w:rPr>
              <w:t>解释权</w:t>
            </w:r>
          </w:p>
        </w:tc>
        <w:tc>
          <w:tcPr>
            <w:tcW w:w="7814" w:type="dxa"/>
            <w:gridSpan w:val="2"/>
            <w:tcBorders>
              <w:top w:val="single" w:color="auto" w:sz="4" w:space="0"/>
              <w:left w:val="single" w:color="auto" w:sz="4" w:space="0"/>
              <w:bottom w:val="single" w:color="auto" w:sz="4" w:space="0"/>
              <w:right w:val="single" w:color="auto" w:sz="4" w:space="0"/>
            </w:tcBorders>
            <w:noWrap/>
            <w:vAlign w:val="center"/>
          </w:tcPr>
          <w:p w14:paraId="60135418">
            <w:pPr>
              <w:adjustRightInd w:val="0"/>
              <w:spacing w:line="400" w:lineRule="exact"/>
              <w:ind w:firstLine="0" w:firstLineChars="0"/>
              <w:jc w:val="left"/>
              <w:textAlignment w:val="baseline"/>
              <w:rPr>
                <w:rFonts w:ascii="宋体" w:hAnsi="宋体" w:cs="宋体"/>
                <w:szCs w:val="21"/>
              </w:rPr>
            </w:pPr>
            <w:r>
              <w:rPr>
                <w:rFonts w:hint="eastAsia" w:ascii="宋体" w:hAnsi="宋体" w:cs="宋体"/>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4AFB402">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5AED9D5C">
            <w:pPr>
              <w:autoSpaceDE w:val="0"/>
              <w:autoSpaceDN w:val="0"/>
              <w:adjustRightInd w:val="0"/>
              <w:spacing w:line="400" w:lineRule="exact"/>
              <w:ind w:firstLine="0" w:firstLineChars="0"/>
              <w:jc w:val="center"/>
              <w:rPr>
                <w:rFonts w:ascii="宋体" w:hAnsi="宋体"/>
                <w:szCs w:val="21"/>
              </w:rPr>
            </w:pPr>
            <w:r>
              <w:rPr>
                <w:rFonts w:hint="eastAsia" w:ascii="宋体" w:hAnsi="宋体" w:eastAsia="宋体" w:cs="宋体"/>
                <w:kern w:val="0"/>
                <w:szCs w:val="21"/>
              </w:rPr>
              <w:t>标书雷同性分析</w:t>
            </w:r>
          </w:p>
        </w:tc>
        <w:tc>
          <w:tcPr>
            <w:tcW w:w="7814" w:type="dxa"/>
            <w:gridSpan w:val="2"/>
            <w:tcBorders>
              <w:top w:val="single" w:color="auto" w:sz="4" w:space="0"/>
              <w:left w:val="single" w:color="auto" w:sz="4" w:space="0"/>
              <w:bottom w:val="single" w:color="auto" w:sz="4" w:space="0"/>
              <w:right w:val="single" w:color="auto" w:sz="4" w:space="0"/>
            </w:tcBorders>
            <w:noWrap/>
            <w:vAlign w:val="center"/>
          </w:tcPr>
          <w:p w14:paraId="5F99015C">
            <w:pPr>
              <w:autoSpaceDE w:val="0"/>
              <w:autoSpaceDN w:val="0"/>
              <w:adjustRightInd w:val="0"/>
              <w:spacing w:line="400" w:lineRule="exact"/>
              <w:ind w:firstLine="0" w:firstLineChars="0"/>
              <w:rPr>
                <w:rFonts w:ascii="宋体" w:hAnsi="宋体"/>
                <w:szCs w:val="21"/>
              </w:rPr>
            </w:pPr>
            <w:r>
              <w:rPr>
                <w:rFonts w:hint="eastAsia" w:ascii="宋体" w:hAnsi="宋体" w:eastAsia="宋体" w:cs="宋体"/>
                <w:kern w:val="0"/>
                <w:szCs w:val="21"/>
              </w:rPr>
              <w:t>文件制作机器码、文件创建标识码有相同的按废标处理。</w:t>
            </w:r>
          </w:p>
        </w:tc>
      </w:tr>
      <w:tr w14:paraId="23388421">
        <w:tblPrEx>
          <w:tblCellMar>
            <w:top w:w="0" w:type="dxa"/>
            <w:left w:w="108" w:type="dxa"/>
            <w:bottom w:w="0" w:type="dxa"/>
            <w:right w:w="108" w:type="dxa"/>
          </w:tblCellMar>
        </w:tblPrEx>
        <w:trPr>
          <w:trHeight w:val="708"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6B54695">
            <w:pPr>
              <w:spacing w:line="400" w:lineRule="exact"/>
              <w:ind w:firstLine="0" w:firstLineChars="0"/>
              <w:jc w:val="center"/>
              <w:rPr>
                <w:rFonts w:ascii="宋体" w:hAnsi="宋体" w:eastAsia="宋体"/>
                <w:szCs w:val="21"/>
              </w:rPr>
            </w:pPr>
            <w:r>
              <w:rPr>
                <w:rFonts w:ascii="宋体" w:hAnsi="宋体" w:eastAsia="宋体"/>
                <w:szCs w:val="21"/>
              </w:rPr>
              <w:t>采购代理服务费</w:t>
            </w:r>
          </w:p>
        </w:tc>
        <w:tc>
          <w:tcPr>
            <w:tcW w:w="7814" w:type="dxa"/>
            <w:gridSpan w:val="2"/>
            <w:tcBorders>
              <w:top w:val="single" w:color="auto" w:sz="4" w:space="0"/>
              <w:left w:val="single" w:color="auto" w:sz="4" w:space="0"/>
              <w:bottom w:val="single" w:color="auto" w:sz="4" w:space="0"/>
              <w:right w:val="single" w:color="auto" w:sz="4" w:space="0"/>
            </w:tcBorders>
            <w:noWrap/>
            <w:vAlign w:val="center"/>
          </w:tcPr>
          <w:p w14:paraId="764FEF95">
            <w:pPr>
              <w:spacing w:line="400" w:lineRule="exact"/>
              <w:ind w:firstLine="0" w:firstLineChars="0"/>
              <w:jc w:val="left"/>
              <w:rPr>
                <w:rFonts w:hint="eastAsia" w:ascii="宋体" w:hAnsi="宋体" w:eastAsia="宋体"/>
                <w:szCs w:val="21"/>
              </w:rPr>
            </w:pPr>
            <w:r>
              <w:rPr>
                <w:rFonts w:hint="eastAsia" w:ascii="宋体" w:hAnsi="宋体" w:eastAsia="宋体"/>
                <w:szCs w:val="21"/>
              </w:rPr>
              <w:t>代理费收费约定：</w:t>
            </w:r>
          </w:p>
          <w:p w14:paraId="328740FF">
            <w:pPr>
              <w:spacing w:line="400" w:lineRule="exact"/>
              <w:ind w:firstLine="0" w:firstLineChars="0"/>
              <w:jc w:val="left"/>
              <w:rPr>
                <w:rFonts w:hint="eastAsia" w:ascii="宋体" w:hAnsi="宋体" w:eastAsia="宋体"/>
                <w:szCs w:val="21"/>
              </w:rPr>
            </w:pPr>
            <w:r>
              <w:rPr>
                <w:rFonts w:hint="eastAsia" w:ascii="宋体" w:hAnsi="宋体" w:eastAsia="宋体"/>
                <w:szCs w:val="21"/>
              </w:rPr>
              <w:t>1.本项目代理费由</w:t>
            </w:r>
            <w:r>
              <w:rPr>
                <w:rFonts w:hint="eastAsia" w:ascii="宋体" w:hAnsi="宋体" w:eastAsia="宋体"/>
                <w:szCs w:val="21"/>
                <w:lang w:val="en-US" w:eastAsia="zh-CN"/>
              </w:rPr>
              <w:t>成交</w:t>
            </w:r>
            <w:r>
              <w:rPr>
                <w:rFonts w:hint="eastAsia" w:ascii="宋体" w:hAnsi="宋体" w:eastAsia="宋体"/>
                <w:szCs w:val="21"/>
              </w:rPr>
              <w:t>企业支付，供应商报价应当包含该项目代理服务费。</w:t>
            </w:r>
          </w:p>
          <w:p w14:paraId="61905C4A">
            <w:pPr>
              <w:spacing w:line="400" w:lineRule="exact"/>
              <w:ind w:firstLine="0" w:firstLineChars="0"/>
              <w:jc w:val="left"/>
              <w:rPr>
                <w:rFonts w:hint="eastAsia" w:ascii="宋体" w:hAnsi="宋体" w:eastAsia="宋体"/>
                <w:szCs w:val="21"/>
              </w:rPr>
            </w:pPr>
            <w:r>
              <w:rPr>
                <w:rFonts w:hint="eastAsia" w:ascii="宋体" w:hAnsi="宋体" w:eastAsia="宋体"/>
                <w:szCs w:val="21"/>
              </w:rPr>
              <w:t>2.本项目参照《河南省招标代理服务收费指导意见》豫招协【2023】002号文件的规定收取代理费用，由</w:t>
            </w:r>
            <w:r>
              <w:rPr>
                <w:rFonts w:hint="eastAsia" w:ascii="宋体" w:hAnsi="宋体" w:eastAsia="宋体"/>
                <w:szCs w:val="21"/>
                <w:lang w:val="en-US" w:eastAsia="zh-CN"/>
              </w:rPr>
              <w:t>成交</w:t>
            </w:r>
            <w:r>
              <w:rPr>
                <w:rFonts w:hint="eastAsia" w:ascii="宋体" w:hAnsi="宋体" w:eastAsia="宋体"/>
                <w:szCs w:val="21"/>
              </w:rPr>
              <w:t>人在领取</w:t>
            </w:r>
            <w:r>
              <w:rPr>
                <w:rFonts w:hint="eastAsia" w:ascii="宋体" w:hAnsi="宋体" w:eastAsia="宋体"/>
                <w:szCs w:val="21"/>
                <w:lang w:val="en-US" w:eastAsia="zh-CN"/>
              </w:rPr>
              <w:t>成交</w:t>
            </w:r>
            <w:r>
              <w:rPr>
                <w:rFonts w:hint="eastAsia" w:ascii="宋体" w:hAnsi="宋体" w:eastAsia="宋体"/>
                <w:szCs w:val="21"/>
              </w:rPr>
              <w:t>通知书前向</w:t>
            </w:r>
            <w:r>
              <w:rPr>
                <w:rFonts w:hint="eastAsia" w:ascii="宋体" w:hAnsi="宋体" w:eastAsia="宋体"/>
                <w:szCs w:val="21"/>
                <w:lang w:val="en-US" w:eastAsia="zh-CN"/>
              </w:rPr>
              <w:t>采购</w:t>
            </w:r>
            <w:r>
              <w:rPr>
                <w:rFonts w:hint="eastAsia" w:ascii="宋体" w:hAnsi="宋体" w:eastAsia="宋体"/>
                <w:szCs w:val="21"/>
              </w:rPr>
              <w:t>代理机构支付。</w:t>
            </w:r>
          </w:p>
          <w:p w14:paraId="33179EF4">
            <w:pPr>
              <w:spacing w:line="400" w:lineRule="exact"/>
              <w:ind w:firstLine="0" w:firstLineChars="0"/>
              <w:jc w:val="left"/>
              <w:rPr>
                <w:rFonts w:hint="eastAsia" w:ascii="宋体" w:hAnsi="宋体" w:eastAsia="宋体"/>
                <w:szCs w:val="21"/>
              </w:rPr>
            </w:pPr>
            <w:r>
              <w:rPr>
                <w:rFonts w:hint="eastAsia" w:ascii="宋体" w:hAnsi="宋体" w:eastAsia="宋体"/>
                <w:szCs w:val="21"/>
              </w:rPr>
              <w:t>3.收费标准：</w:t>
            </w:r>
          </w:p>
          <w:p w14:paraId="32260038">
            <w:pPr>
              <w:spacing w:line="400" w:lineRule="exact"/>
              <w:ind w:firstLine="0" w:firstLineChars="0"/>
              <w:jc w:val="left"/>
              <w:rPr>
                <w:rFonts w:hint="eastAsia" w:ascii="宋体" w:hAnsi="宋体" w:eastAsia="宋体"/>
                <w:szCs w:val="21"/>
              </w:rPr>
            </w:pPr>
            <w:r>
              <w:rPr>
                <w:rFonts w:hint="eastAsia" w:ascii="宋体" w:hAnsi="宋体" w:eastAsia="宋体"/>
                <w:szCs w:val="21"/>
              </w:rPr>
              <w:t>本项目</w:t>
            </w:r>
            <w:r>
              <w:rPr>
                <w:rFonts w:hint="eastAsia" w:ascii="宋体" w:hAnsi="宋体" w:eastAsia="宋体"/>
                <w:szCs w:val="21"/>
                <w:lang w:val="en-US" w:eastAsia="zh-CN"/>
              </w:rPr>
              <w:t>成交</w:t>
            </w:r>
            <w:r>
              <w:rPr>
                <w:rFonts w:hint="eastAsia" w:ascii="宋体" w:hAnsi="宋体" w:eastAsia="宋体"/>
                <w:szCs w:val="21"/>
              </w:rPr>
              <w:t>服务费的收取按差额定率累进法计算</w:t>
            </w:r>
          </w:p>
          <w:p w14:paraId="53A28270">
            <w:pPr>
              <w:spacing w:line="400" w:lineRule="exact"/>
              <w:ind w:firstLine="0" w:firstLineChars="0"/>
              <w:jc w:val="left"/>
              <w:rPr>
                <w:rFonts w:hint="eastAsia" w:ascii="宋体" w:hAnsi="宋体" w:eastAsia="宋体"/>
                <w:szCs w:val="21"/>
              </w:rPr>
            </w:pPr>
            <w:r>
              <w:rPr>
                <w:rFonts w:hint="eastAsia" w:ascii="宋体" w:hAnsi="宋体" w:eastAsia="宋体"/>
                <w:szCs w:val="21"/>
                <w:lang w:eastAsia="zh-CN"/>
              </w:rPr>
              <w:t>中标金额</w:t>
            </w:r>
            <w:r>
              <w:rPr>
                <w:rFonts w:hint="eastAsia" w:ascii="宋体" w:hAnsi="宋体" w:eastAsia="宋体"/>
                <w:szCs w:val="21"/>
              </w:rPr>
              <w:t>的100万（含）以下部分费率为1.</w:t>
            </w:r>
            <w:r>
              <w:rPr>
                <w:rFonts w:hint="eastAsia" w:ascii="宋体" w:hAnsi="宋体" w:eastAsia="宋体"/>
                <w:szCs w:val="21"/>
                <w:lang w:val="en-US" w:eastAsia="zh-CN"/>
              </w:rPr>
              <w:t>2</w:t>
            </w:r>
            <w:r>
              <w:rPr>
                <w:rFonts w:hint="eastAsia" w:ascii="宋体" w:hAnsi="宋体" w:eastAsia="宋体"/>
                <w:szCs w:val="21"/>
              </w:rPr>
              <w:t>%；</w:t>
            </w:r>
          </w:p>
          <w:p w14:paraId="265654F8">
            <w:pPr>
              <w:spacing w:line="400" w:lineRule="exact"/>
              <w:ind w:firstLine="0" w:firstLineChars="0"/>
              <w:jc w:val="left"/>
              <w:rPr>
                <w:rFonts w:ascii="宋体" w:hAnsi="宋体" w:eastAsia="宋体"/>
                <w:szCs w:val="21"/>
              </w:rPr>
            </w:pPr>
            <w:r>
              <w:rPr>
                <w:rFonts w:hint="eastAsia" w:ascii="宋体" w:hAnsi="宋体" w:eastAsia="宋体"/>
                <w:szCs w:val="21"/>
                <w:lang w:eastAsia="zh-CN"/>
              </w:rPr>
              <w:t>中标金额</w:t>
            </w:r>
            <w:r>
              <w:rPr>
                <w:rFonts w:hint="eastAsia" w:ascii="宋体" w:hAnsi="宋体" w:eastAsia="宋体"/>
                <w:szCs w:val="21"/>
              </w:rPr>
              <w:t>的100万以上－500万（含）部分费率为1.</w:t>
            </w:r>
            <w:r>
              <w:rPr>
                <w:rFonts w:hint="eastAsia" w:ascii="宋体" w:hAnsi="宋体" w:eastAsia="宋体"/>
                <w:szCs w:val="21"/>
                <w:lang w:val="en-US" w:eastAsia="zh-CN"/>
              </w:rPr>
              <w:t>0</w:t>
            </w:r>
            <w:r>
              <w:rPr>
                <w:rFonts w:hint="eastAsia" w:ascii="宋体" w:hAnsi="宋体" w:eastAsia="宋体"/>
                <w:szCs w:val="21"/>
              </w:rPr>
              <w:t>%；</w:t>
            </w:r>
          </w:p>
        </w:tc>
      </w:tr>
      <w:tr w14:paraId="702A0013">
        <w:tblPrEx>
          <w:tblCellMar>
            <w:top w:w="0" w:type="dxa"/>
            <w:left w:w="108" w:type="dxa"/>
            <w:bottom w:w="0" w:type="dxa"/>
            <w:right w:w="108" w:type="dxa"/>
          </w:tblCellMar>
        </w:tblPrEx>
        <w:trPr>
          <w:trHeight w:val="3863"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1AEAF8B4">
            <w:pPr>
              <w:spacing w:line="400" w:lineRule="exact"/>
              <w:ind w:firstLine="0" w:firstLineChars="0"/>
              <w:jc w:val="center"/>
              <w:rPr>
                <w:rFonts w:ascii="宋体" w:hAnsi="宋体" w:eastAsia="宋体"/>
                <w:b/>
                <w:bCs/>
                <w:szCs w:val="21"/>
              </w:rPr>
            </w:pPr>
            <w:bookmarkStart w:id="22" w:name="_Toc455080108"/>
            <w:bookmarkStart w:id="23" w:name="_Toc152045529"/>
            <w:bookmarkStart w:id="24" w:name="_Toc466298091"/>
            <w:bookmarkStart w:id="25" w:name="_Toc152042305"/>
            <w:bookmarkStart w:id="26" w:name="_Toc10694"/>
            <w:bookmarkStart w:id="27" w:name="_Toc144974497"/>
            <w:r>
              <w:rPr>
                <w:rFonts w:ascii="宋体" w:hAnsi="宋体" w:eastAsia="宋体"/>
                <w:b/>
                <w:bCs/>
                <w:szCs w:val="21"/>
              </w:rPr>
              <w:t>河南省政府采购合同融资政策告知函</w:t>
            </w:r>
          </w:p>
          <w:p w14:paraId="5A5F190E">
            <w:pPr>
              <w:spacing w:line="400" w:lineRule="exact"/>
              <w:ind w:firstLine="0" w:firstLineChars="0"/>
              <w:jc w:val="center"/>
              <w:rPr>
                <w:rFonts w:ascii="宋体" w:hAnsi="宋体" w:eastAsia="宋体"/>
                <w:b/>
                <w:bCs/>
                <w:szCs w:val="21"/>
              </w:rPr>
            </w:pPr>
          </w:p>
        </w:tc>
        <w:tc>
          <w:tcPr>
            <w:tcW w:w="7814" w:type="dxa"/>
            <w:gridSpan w:val="2"/>
            <w:tcBorders>
              <w:top w:val="single" w:color="auto" w:sz="4" w:space="0"/>
              <w:left w:val="single" w:color="auto" w:sz="4" w:space="0"/>
              <w:bottom w:val="single" w:color="auto" w:sz="4" w:space="0"/>
              <w:right w:val="single" w:color="auto" w:sz="4" w:space="0"/>
            </w:tcBorders>
            <w:noWrap/>
            <w:vAlign w:val="center"/>
          </w:tcPr>
          <w:p w14:paraId="2F39D43A">
            <w:pPr>
              <w:spacing w:line="400" w:lineRule="exact"/>
              <w:ind w:firstLine="0" w:firstLineChars="0"/>
              <w:jc w:val="left"/>
              <w:rPr>
                <w:rFonts w:ascii="宋体" w:hAnsi="宋体" w:eastAsia="宋体" w:cs="宋体"/>
                <w:b/>
                <w:bCs/>
                <w:kern w:val="0"/>
                <w:szCs w:val="21"/>
              </w:rPr>
            </w:pPr>
            <w:r>
              <w:rPr>
                <w:rFonts w:hint="eastAsia" w:ascii="宋体" w:hAnsi="宋体" w:eastAsia="宋体" w:cs="宋体"/>
                <w:b/>
                <w:bCs/>
                <w:kern w:val="0"/>
                <w:szCs w:val="21"/>
              </w:rPr>
              <w:t>各供应商：</w:t>
            </w:r>
          </w:p>
          <w:p w14:paraId="0D80CC6D">
            <w:pPr>
              <w:spacing w:line="400" w:lineRule="exact"/>
              <w:ind w:firstLine="0" w:firstLineChars="0"/>
              <w:jc w:val="left"/>
              <w:rPr>
                <w:rFonts w:ascii="宋体" w:hAnsi="宋体" w:eastAsia="宋体" w:cs="宋体"/>
                <w:b/>
                <w:bCs/>
                <w:kern w:val="0"/>
                <w:szCs w:val="21"/>
              </w:rPr>
            </w:pPr>
            <w:r>
              <w:rPr>
                <w:rFonts w:hint="eastAsia" w:ascii="宋体" w:hAnsi="宋体" w:eastAsia="宋体" w:cs="宋体"/>
                <w:b/>
                <w:bCs/>
                <w:kern w:val="0"/>
                <w:szCs w:val="21"/>
              </w:rPr>
              <w:t>欢迎贵公司参与河南省政府采购活动！</w:t>
            </w:r>
          </w:p>
          <w:p w14:paraId="21994F53">
            <w:pPr>
              <w:spacing w:line="400" w:lineRule="exact"/>
              <w:ind w:firstLine="0" w:firstLineChars="0"/>
              <w:jc w:val="left"/>
              <w:rPr>
                <w:rFonts w:ascii="宋体" w:hAnsi="宋体" w:eastAsia="宋体" w:cs="宋体"/>
                <w:b/>
                <w:bCs/>
                <w:kern w:val="0"/>
                <w:szCs w:val="21"/>
              </w:rPr>
            </w:pPr>
            <w:r>
              <w:rPr>
                <w:rFonts w:hint="eastAsia" w:ascii="宋体" w:hAnsi="宋体" w:eastAsia="宋体" w:cs="宋体"/>
                <w:b/>
                <w:bCs/>
                <w:kern w:val="0"/>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1AB11D6">
            <w:pPr>
              <w:spacing w:line="400" w:lineRule="exact"/>
              <w:ind w:firstLine="0" w:firstLineChars="0"/>
              <w:jc w:val="left"/>
              <w:rPr>
                <w:rFonts w:ascii="宋体" w:hAnsi="宋体" w:eastAsia="宋体" w:cs="宋体"/>
                <w:b/>
                <w:bCs/>
                <w:kern w:val="0"/>
                <w:szCs w:val="21"/>
              </w:rPr>
            </w:pPr>
            <w:r>
              <w:rPr>
                <w:rFonts w:hint="eastAsia" w:ascii="宋体" w:hAnsi="宋体" w:eastAsia="宋体" w:cs="宋体"/>
                <w:b/>
                <w:bCs/>
                <w:kern w:val="0"/>
                <w:szCs w:val="21"/>
              </w:rPr>
              <w:t>贷款渠道和提供贷款的金融机构，可在河南省政府采购网“河南省政府采购合同融资平台”查询联系。政策解读网址：http://www.hngp.gov.cn/henan/content?infoId=1601449567470800&amp;channelCode=H6016</w:t>
            </w:r>
          </w:p>
        </w:tc>
      </w:tr>
      <w:tr w14:paraId="6EA74751">
        <w:tblPrEx>
          <w:tblCellMar>
            <w:top w:w="0" w:type="dxa"/>
            <w:left w:w="108" w:type="dxa"/>
            <w:bottom w:w="0" w:type="dxa"/>
            <w:right w:w="108" w:type="dxa"/>
          </w:tblCellMar>
        </w:tblPrEx>
        <w:trPr>
          <w:trHeight w:val="1963" w:hRule="atLeast"/>
        </w:trPr>
        <w:tc>
          <w:tcPr>
            <w:tcW w:w="1085" w:type="dxa"/>
            <w:tcBorders>
              <w:top w:val="single" w:color="auto" w:sz="4" w:space="0"/>
              <w:left w:val="single" w:color="auto" w:sz="4" w:space="0"/>
              <w:bottom w:val="single" w:color="auto" w:sz="4" w:space="0"/>
              <w:right w:val="single" w:color="auto" w:sz="4" w:space="0"/>
            </w:tcBorders>
            <w:noWrap/>
            <w:vAlign w:val="center"/>
          </w:tcPr>
          <w:p w14:paraId="4C56E66D">
            <w:pPr>
              <w:autoSpaceDE w:val="0"/>
              <w:autoSpaceDN w:val="0"/>
              <w:adjustRightInd w:val="0"/>
              <w:spacing w:line="400" w:lineRule="exact"/>
              <w:ind w:left="0" w:leftChars="0" w:firstLine="0" w:firstLineChars="0"/>
              <w:jc w:val="both"/>
              <w:rPr>
                <w:rFonts w:hint="eastAsia" w:ascii="宋体" w:hAnsi="宋体"/>
                <w:color w:val="auto"/>
                <w:szCs w:val="21"/>
                <w:lang w:val="en-US" w:eastAsia="zh-CN"/>
              </w:rPr>
            </w:pPr>
            <w:bookmarkStart w:id="28" w:name="_Toc24740"/>
            <w:r>
              <w:rPr>
                <w:rFonts w:hint="eastAsia" w:ascii="宋体" w:hAnsi="宋体" w:cs="宋体"/>
                <w:b/>
                <w:bCs/>
                <w:kern w:val="0"/>
                <w:szCs w:val="21"/>
                <w:highlight w:val="none"/>
              </w:rPr>
              <w:t>本次采购标的对应中小企业划分标准 所属行业</w:t>
            </w:r>
          </w:p>
        </w:tc>
        <w:tc>
          <w:tcPr>
            <w:tcW w:w="7814" w:type="dxa"/>
            <w:gridSpan w:val="2"/>
            <w:tcBorders>
              <w:top w:val="single" w:color="auto" w:sz="4" w:space="0"/>
              <w:left w:val="single" w:color="auto" w:sz="4" w:space="0"/>
              <w:bottom w:val="single" w:color="auto" w:sz="4" w:space="0"/>
              <w:right w:val="single" w:color="auto" w:sz="4" w:space="0"/>
            </w:tcBorders>
            <w:noWrap/>
            <w:vAlign w:val="center"/>
          </w:tcPr>
          <w:p w14:paraId="79892940">
            <w:pPr>
              <w:pStyle w:val="79"/>
              <w:spacing w:line="400" w:lineRule="exact"/>
              <w:ind w:firstLine="0" w:firstLineChars="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宋体" w:hAnsi="宋体" w:cs="宋体"/>
                <w:b/>
                <w:szCs w:val="21"/>
                <w:lang w:val="en-US" w:eastAsia="zh-CN"/>
              </w:rPr>
              <w:t>建筑业，企业规模划分详见中小企业划型标准规定（工信部联企业[2011]300号）</w:t>
            </w:r>
          </w:p>
        </w:tc>
      </w:tr>
      <w:tr w14:paraId="1252020F">
        <w:tblPrEx>
          <w:tblCellMar>
            <w:top w:w="0" w:type="dxa"/>
            <w:left w:w="108" w:type="dxa"/>
            <w:bottom w:w="0" w:type="dxa"/>
            <w:right w:w="108" w:type="dxa"/>
          </w:tblCellMar>
        </w:tblPrEx>
        <w:trPr>
          <w:trHeight w:val="1963"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14:paraId="721806E7">
            <w:pPr>
              <w:pStyle w:val="78"/>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1、开标时供应商需自行配置电脑上网环境，准备好企业 CA 进行签到解密。因供应商原因导致的未能在规定的时间内签到解密的，造成的损失由供应商自负。 </w:t>
            </w:r>
          </w:p>
          <w:p w14:paraId="520EAECA">
            <w:pPr>
              <w:pStyle w:val="78"/>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lang w:val="en-US" w:eastAsia="zh-CN"/>
              </w:rPr>
              <w:t>、投标文件递交、解密完成后，供应商需登录会员系统，评审结束前保持在线状态，确保可以及时接收评标委员会提出的质询等要求。</w:t>
            </w:r>
          </w:p>
        </w:tc>
      </w:tr>
      <w:tr w14:paraId="04B15F50">
        <w:tblPrEx>
          <w:tblCellMar>
            <w:top w:w="0" w:type="dxa"/>
            <w:left w:w="108" w:type="dxa"/>
            <w:bottom w:w="0" w:type="dxa"/>
            <w:right w:w="108" w:type="dxa"/>
          </w:tblCellMar>
        </w:tblPrEx>
        <w:trPr>
          <w:trHeight w:val="1563" w:hRule="atLeast"/>
        </w:trPr>
        <w:tc>
          <w:tcPr>
            <w:tcW w:w="8899" w:type="dxa"/>
            <w:gridSpan w:val="3"/>
            <w:tcBorders>
              <w:top w:val="single" w:color="auto" w:sz="4" w:space="0"/>
              <w:left w:val="single" w:color="auto" w:sz="4" w:space="0"/>
              <w:bottom w:val="single" w:color="auto" w:sz="4" w:space="0"/>
              <w:right w:val="single" w:color="auto" w:sz="4" w:space="0"/>
            </w:tcBorders>
            <w:noWrap/>
            <w:vAlign w:val="center"/>
          </w:tcPr>
          <w:p w14:paraId="39EC78BC">
            <w:pPr>
              <w:pStyle w:val="78"/>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本文件解释权归采购人； </w:t>
            </w:r>
          </w:p>
          <w:p w14:paraId="6CEB1DC7">
            <w:pPr>
              <w:pStyle w:val="78"/>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其它未尽事宜，按国家有关法律、法规执行； </w:t>
            </w:r>
          </w:p>
          <w:p w14:paraId="2A464E18">
            <w:pPr>
              <w:pStyle w:val="78"/>
              <w:keepNext w:val="0"/>
              <w:keepLines w:val="0"/>
              <w:pageBreakBefore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如招标文件前后出现不一致，以招标公告和投标人须知前附表为准。</w:t>
            </w:r>
          </w:p>
        </w:tc>
      </w:tr>
    </w:tbl>
    <w:p w14:paraId="749B925A">
      <w:pPr>
        <w:pStyle w:val="72"/>
        <w:spacing w:line="360" w:lineRule="auto"/>
        <w:ind w:firstLine="0" w:firstLineChars="0"/>
        <w:rPr>
          <w:rFonts w:ascii="宋体" w:hAnsi="宋体" w:eastAsia="宋体"/>
          <w:sz w:val="21"/>
          <w:szCs w:val="21"/>
        </w:rPr>
      </w:pPr>
      <w:r>
        <w:rPr>
          <w:rFonts w:hint="eastAsia" w:ascii="宋体" w:hAnsi="宋体" w:eastAsia="宋体"/>
          <w:b/>
          <w:bCs/>
          <w:sz w:val="24"/>
          <w:szCs w:val="24"/>
        </w:rPr>
        <w:t>1</w:t>
      </w:r>
      <w:r>
        <w:rPr>
          <w:rFonts w:hint="eastAsia" w:ascii="宋体" w:hAnsi="宋体" w:eastAsia="宋体"/>
          <w:b/>
          <w:bCs/>
          <w:sz w:val="21"/>
          <w:szCs w:val="21"/>
        </w:rPr>
        <w:t>. 总则</w:t>
      </w:r>
      <w:bookmarkEnd w:id="22"/>
      <w:bookmarkEnd w:id="23"/>
      <w:bookmarkEnd w:id="24"/>
      <w:bookmarkEnd w:id="25"/>
      <w:bookmarkEnd w:id="26"/>
      <w:bookmarkEnd w:id="27"/>
      <w:bookmarkEnd w:id="28"/>
    </w:p>
    <w:p w14:paraId="454C7530">
      <w:pPr>
        <w:pStyle w:val="73"/>
        <w:spacing w:line="360" w:lineRule="auto"/>
        <w:ind w:firstLine="0" w:firstLineChars="0"/>
        <w:outlineLvl w:val="0"/>
        <w:rPr>
          <w:rFonts w:ascii="宋体" w:hAnsi="宋体" w:eastAsia="宋体"/>
          <w:b/>
          <w:bCs/>
          <w:sz w:val="21"/>
          <w:szCs w:val="21"/>
        </w:rPr>
      </w:pPr>
      <w:bookmarkStart w:id="29" w:name="_Toc318450675"/>
      <w:bookmarkStart w:id="30" w:name="_Toc455080109"/>
      <w:bookmarkStart w:id="31" w:name="_Toc490667828"/>
      <w:bookmarkStart w:id="32" w:name="_Toc281380952"/>
      <w:bookmarkStart w:id="33" w:name="_Toc29023"/>
      <w:bookmarkStart w:id="34" w:name="_Toc27339"/>
      <w:bookmarkStart w:id="35" w:name="_Toc21266"/>
      <w:bookmarkStart w:id="36" w:name="_Toc21979"/>
      <w:bookmarkStart w:id="37" w:name="_Toc6747"/>
      <w:bookmarkStart w:id="38" w:name="_Toc658"/>
      <w:bookmarkStart w:id="39" w:name="_Toc1172"/>
      <w:bookmarkStart w:id="40" w:name="_Toc21458"/>
      <w:bookmarkStart w:id="41" w:name="_Toc1209"/>
      <w:bookmarkStart w:id="42" w:name="_Toc15391"/>
      <w:bookmarkStart w:id="43" w:name="_Toc1669"/>
      <w:bookmarkStart w:id="44" w:name="_Toc9953"/>
      <w:bookmarkStart w:id="45" w:name="_Toc10273"/>
      <w:bookmarkStart w:id="46" w:name="_Toc274409866"/>
      <w:bookmarkStart w:id="47" w:name="_Toc15709"/>
      <w:bookmarkStart w:id="48" w:name="_Toc31404"/>
      <w:bookmarkStart w:id="49" w:name="_Toc20827"/>
      <w:bookmarkStart w:id="50" w:name="_Toc455867769"/>
      <w:bookmarkStart w:id="51" w:name="_Toc466298092"/>
      <w:bookmarkStart w:id="52" w:name="_Toc152045531"/>
      <w:bookmarkStart w:id="53" w:name="_Toc144974499"/>
      <w:bookmarkStart w:id="54" w:name="_Toc152042307"/>
      <w:r>
        <w:rPr>
          <w:rFonts w:hint="eastAsia" w:ascii="宋体" w:hAnsi="宋体" w:eastAsia="宋体"/>
          <w:b/>
          <w:bCs/>
          <w:sz w:val="21"/>
          <w:szCs w:val="21"/>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4598B82">
      <w:pPr>
        <w:spacing w:line="360" w:lineRule="auto"/>
        <w:ind w:firstLine="0" w:firstLineChars="0"/>
        <w:rPr>
          <w:rFonts w:ascii="宋体" w:hAnsi="宋体" w:cs="宋体"/>
          <w:szCs w:val="21"/>
        </w:rPr>
      </w:pPr>
      <w:r>
        <w:rPr>
          <w:rFonts w:hint="eastAsia" w:ascii="宋体" w:hAnsi="宋体" w:cs="宋体"/>
          <w:szCs w:val="21"/>
        </w:rPr>
        <w:t>1.1.1根据《中华人民共和国政府采购法》等有关法律、法规和规章的规定，编制本项目磋商文件。</w:t>
      </w:r>
    </w:p>
    <w:p w14:paraId="10ABA9BE">
      <w:pPr>
        <w:pStyle w:val="73"/>
        <w:tabs>
          <w:tab w:val="left" w:pos="7410"/>
        </w:tabs>
        <w:spacing w:line="360" w:lineRule="auto"/>
        <w:ind w:firstLine="0" w:firstLineChars="0"/>
        <w:outlineLvl w:val="0"/>
        <w:rPr>
          <w:rFonts w:ascii="宋体" w:hAnsi="宋体" w:eastAsia="宋体"/>
          <w:b/>
          <w:bCs/>
          <w:sz w:val="21"/>
          <w:szCs w:val="21"/>
        </w:rPr>
      </w:pPr>
      <w:bookmarkStart w:id="55" w:name="_Toc710"/>
      <w:bookmarkStart w:id="56" w:name="_Toc455867770"/>
      <w:bookmarkStart w:id="57" w:name="_Toc2291"/>
      <w:bookmarkStart w:id="58" w:name="_Toc30891"/>
      <w:bookmarkStart w:id="59" w:name="_Toc274409867"/>
      <w:bookmarkStart w:id="60" w:name="_Toc24852"/>
      <w:bookmarkStart w:id="61" w:name="_Toc3336"/>
      <w:bookmarkStart w:id="62" w:name="_Toc29506"/>
      <w:bookmarkStart w:id="63" w:name="_Toc14944"/>
      <w:bookmarkStart w:id="64" w:name="_Toc25773"/>
      <w:bookmarkStart w:id="65" w:name="_Toc281405468"/>
      <w:bookmarkStart w:id="66" w:name="_Toc318450676"/>
      <w:bookmarkStart w:id="67" w:name="_Toc25049"/>
      <w:bookmarkStart w:id="68" w:name="_Toc2929"/>
      <w:bookmarkStart w:id="69" w:name="_Toc10269"/>
      <w:bookmarkStart w:id="70" w:name="_Toc10556"/>
      <w:bookmarkStart w:id="71" w:name="_Toc466298093"/>
      <w:bookmarkStart w:id="72" w:name="_Toc455080110"/>
      <w:bookmarkStart w:id="73" w:name="_Toc7062"/>
      <w:bookmarkStart w:id="74" w:name="_Toc32619"/>
      <w:bookmarkStart w:id="75" w:name="_Toc490667829"/>
      <w:bookmarkStart w:id="76" w:name="_Toc7237"/>
      <w:bookmarkStart w:id="77" w:name="_Toc17549"/>
      <w:r>
        <w:rPr>
          <w:rFonts w:hint="eastAsia" w:ascii="宋体" w:hAnsi="宋体" w:eastAsia="宋体"/>
          <w:b/>
          <w:bCs/>
          <w:sz w:val="21"/>
          <w:szCs w:val="21"/>
        </w:rPr>
        <w:t>1.2 招标项目说明</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6BFBC515">
      <w:pPr>
        <w:spacing w:line="360" w:lineRule="auto"/>
        <w:ind w:firstLine="0" w:firstLineChars="0"/>
        <w:rPr>
          <w:rFonts w:ascii="宋体" w:hAnsi="宋体" w:cs="宋体"/>
          <w:szCs w:val="21"/>
        </w:rPr>
      </w:pPr>
      <w:r>
        <w:rPr>
          <w:rFonts w:hint="eastAsia" w:ascii="宋体" w:hAnsi="宋体" w:cs="宋体"/>
          <w:szCs w:val="21"/>
        </w:rPr>
        <w:t>1.2.1 本项目</w:t>
      </w:r>
      <w:r>
        <w:rPr>
          <w:rFonts w:hint="eastAsia" w:ascii="宋体" w:hAnsi="宋体"/>
          <w:szCs w:val="21"/>
        </w:rPr>
        <w:t>采购人</w:t>
      </w:r>
      <w:r>
        <w:rPr>
          <w:rFonts w:hint="eastAsia" w:ascii="宋体" w:hAnsi="宋体" w:cs="宋体"/>
          <w:szCs w:val="21"/>
        </w:rPr>
        <w:t>：见供应商须知前附表。</w:t>
      </w:r>
    </w:p>
    <w:p w14:paraId="37906A4D">
      <w:pPr>
        <w:spacing w:line="360" w:lineRule="auto"/>
        <w:ind w:firstLine="0" w:firstLineChars="0"/>
        <w:rPr>
          <w:rFonts w:ascii="宋体" w:hAnsi="宋体" w:cs="宋体"/>
          <w:szCs w:val="21"/>
        </w:rPr>
      </w:pPr>
      <w:r>
        <w:rPr>
          <w:rFonts w:hint="eastAsia" w:ascii="宋体" w:hAnsi="宋体" w:cs="宋体"/>
          <w:szCs w:val="21"/>
        </w:rPr>
        <w:t>1.2.2 本项目采购代理机构：见供应商须知前附表。</w:t>
      </w:r>
    </w:p>
    <w:p w14:paraId="5850EAC0">
      <w:pPr>
        <w:spacing w:line="360" w:lineRule="auto"/>
        <w:ind w:firstLine="0" w:firstLineChars="0"/>
        <w:rPr>
          <w:rFonts w:ascii="宋体" w:hAnsi="宋体" w:eastAsia="宋体" w:cs="宋体"/>
          <w:szCs w:val="21"/>
        </w:rPr>
      </w:pPr>
      <w:r>
        <w:rPr>
          <w:rFonts w:hint="eastAsia" w:ascii="宋体" w:hAnsi="宋体" w:eastAsia="宋体" w:cs="宋体"/>
          <w:szCs w:val="21"/>
        </w:rPr>
        <w:t>1.2.3 本项目名称：见供应商须知前附表。</w:t>
      </w:r>
    </w:p>
    <w:p w14:paraId="205945AD">
      <w:pPr>
        <w:spacing w:line="360" w:lineRule="auto"/>
        <w:ind w:firstLine="0" w:firstLineChars="0"/>
        <w:rPr>
          <w:rFonts w:ascii="宋体" w:hAnsi="宋体" w:eastAsia="宋体" w:cs="宋体"/>
          <w:szCs w:val="21"/>
        </w:rPr>
      </w:pPr>
      <w:r>
        <w:rPr>
          <w:rFonts w:hint="eastAsia" w:ascii="宋体" w:hAnsi="宋体" w:eastAsia="宋体" w:cs="宋体"/>
          <w:szCs w:val="21"/>
        </w:rPr>
        <w:t>1.2.4本项目采购方式：见供应商须知前附表。</w:t>
      </w:r>
    </w:p>
    <w:p w14:paraId="05B51E81">
      <w:pPr>
        <w:spacing w:line="360" w:lineRule="auto"/>
        <w:ind w:firstLine="0" w:firstLineChars="0"/>
        <w:rPr>
          <w:rFonts w:ascii="宋体" w:hAnsi="宋体" w:eastAsia="宋体" w:cs="宋体"/>
          <w:szCs w:val="21"/>
        </w:rPr>
      </w:pPr>
      <w:r>
        <w:rPr>
          <w:rFonts w:hint="eastAsia" w:ascii="宋体" w:hAnsi="宋体" w:eastAsia="宋体" w:cs="宋体"/>
          <w:szCs w:val="21"/>
        </w:rPr>
        <w:t>1.2.5本项目预算价（最高限价）：见供应商须知前附表。</w:t>
      </w:r>
    </w:p>
    <w:p w14:paraId="631402F1">
      <w:pPr>
        <w:pStyle w:val="73"/>
        <w:spacing w:line="360" w:lineRule="auto"/>
        <w:ind w:firstLine="0" w:firstLineChars="0"/>
        <w:outlineLvl w:val="0"/>
        <w:rPr>
          <w:rFonts w:ascii="宋体" w:hAnsi="宋体" w:eastAsia="宋体"/>
          <w:b/>
          <w:bCs/>
          <w:sz w:val="21"/>
          <w:szCs w:val="21"/>
        </w:rPr>
      </w:pPr>
      <w:bookmarkStart w:id="78" w:name="_Toc18583"/>
      <w:bookmarkStart w:id="79" w:name="_Toc12098"/>
      <w:bookmarkStart w:id="80" w:name="_Toc22979"/>
      <w:bookmarkStart w:id="81" w:name="_Toc9593"/>
      <w:bookmarkStart w:id="82" w:name="_Toc455867771"/>
      <w:bookmarkStart w:id="83" w:name="_Toc12395"/>
      <w:bookmarkStart w:id="84" w:name="_Toc3477"/>
      <w:bookmarkStart w:id="85" w:name="_Toc1373"/>
      <w:bookmarkStart w:id="86" w:name="_Toc455080111"/>
      <w:bookmarkStart w:id="87" w:name="_Toc16825"/>
      <w:bookmarkStart w:id="88" w:name="_Toc16931"/>
      <w:bookmarkStart w:id="89" w:name="_Toc274409868"/>
      <w:bookmarkStart w:id="90" w:name="_Toc17146"/>
      <w:bookmarkStart w:id="91" w:name="_Toc4563"/>
      <w:bookmarkStart w:id="92" w:name="_Toc490667830"/>
      <w:bookmarkStart w:id="93" w:name="_Toc281405469"/>
      <w:bookmarkStart w:id="94" w:name="_Toc4608"/>
      <w:bookmarkStart w:id="95" w:name="_Toc18960"/>
      <w:bookmarkStart w:id="96" w:name="_Toc4952"/>
      <w:bookmarkStart w:id="97" w:name="_Toc4122"/>
      <w:bookmarkStart w:id="98" w:name="_Toc318450677"/>
      <w:bookmarkStart w:id="99" w:name="_Toc466298094"/>
      <w:bookmarkStart w:id="100" w:name="_Toc17016"/>
      <w:r>
        <w:rPr>
          <w:rFonts w:hint="eastAsia" w:ascii="宋体" w:hAnsi="宋体" w:eastAsia="宋体"/>
          <w:b/>
          <w:bCs/>
          <w:sz w:val="21"/>
          <w:szCs w:val="21"/>
        </w:rPr>
        <w:t>1.3 定义及解释</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49D907CA">
      <w:pPr>
        <w:spacing w:line="360" w:lineRule="auto"/>
        <w:ind w:firstLine="0" w:firstLineChars="0"/>
        <w:rPr>
          <w:rFonts w:ascii="宋体" w:hAnsi="宋体" w:cs="宋体"/>
          <w:szCs w:val="21"/>
        </w:rPr>
      </w:pPr>
      <w:r>
        <w:rPr>
          <w:rFonts w:hint="eastAsia" w:ascii="宋体" w:hAnsi="宋体" w:cs="宋体"/>
          <w:szCs w:val="21"/>
        </w:rPr>
        <w:t>1.3.1</w:t>
      </w:r>
      <w:r>
        <w:rPr>
          <w:rFonts w:hint="eastAsia" w:ascii="宋体" w:hAnsi="宋体"/>
          <w:szCs w:val="21"/>
        </w:rPr>
        <w:t>采购人</w:t>
      </w:r>
      <w:r>
        <w:rPr>
          <w:rFonts w:hint="eastAsia" w:ascii="宋体" w:hAnsi="宋体" w:cs="宋体"/>
          <w:szCs w:val="21"/>
        </w:rPr>
        <w:t>：依法进行政府采购的国家机关、事业单位、团体组织。</w:t>
      </w:r>
    </w:p>
    <w:p w14:paraId="126F9152">
      <w:pPr>
        <w:spacing w:line="360" w:lineRule="auto"/>
        <w:ind w:firstLine="0" w:firstLineChars="0"/>
        <w:rPr>
          <w:rFonts w:ascii="宋体" w:hAnsi="宋体" w:cs="宋体"/>
          <w:szCs w:val="21"/>
        </w:rPr>
      </w:pPr>
      <w:r>
        <w:rPr>
          <w:rFonts w:hint="eastAsia" w:ascii="宋体" w:hAnsi="宋体" w:cs="宋体"/>
          <w:szCs w:val="21"/>
        </w:rPr>
        <w:t>1.3.2</w:t>
      </w:r>
      <w:r>
        <w:rPr>
          <w:rFonts w:hint="eastAsia" w:ascii="宋体" w:hAnsi="宋体"/>
          <w:szCs w:val="21"/>
        </w:rPr>
        <w:t>采购代理机构</w:t>
      </w:r>
      <w:r>
        <w:rPr>
          <w:rFonts w:hint="eastAsia" w:ascii="宋体" w:hAnsi="宋体" w:cs="宋体"/>
          <w:szCs w:val="21"/>
        </w:rPr>
        <w:t>：取得政府采购招标代理资质，受采购人委托组织招标活动的社会中介组织。</w:t>
      </w:r>
    </w:p>
    <w:p w14:paraId="630CF12A">
      <w:pPr>
        <w:spacing w:line="360" w:lineRule="auto"/>
        <w:ind w:firstLine="0" w:firstLineChars="0"/>
        <w:rPr>
          <w:rFonts w:ascii="宋体" w:hAnsi="宋体" w:cs="宋体"/>
          <w:szCs w:val="21"/>
        </w:rPr>
      </w:pPr>
      <w:r>
        <w:rPr>
          <w:rFonts w:hint="eastAsia" w:ascii="宋体" w:hAnsi="宋体" w:cs="宋体"/>
          <w:szCs w:val="21"/>
        </w:rPr>
        <w:t>1.3.3服务：系指根据本磋商文件规定供应商须承担的服务以及其他类似的义务等。</w:t>
      </w:r>
    </w:p>
    <w:p w14:paraId="2035E4ED">
      <w:pPr>
        <w:spacing w:line="360" w:lineRule="auto"/>
        <w:ind w:firstLine="0" w:firstLineChars="0"/>
        <w:rPr>
          <w:rFonts w:ascii="宋体" w:hAnsi="宋体" w:cs="宋体"/>
          <w:szCs w:val="21"/>
        </w:rPr>
      </w:pPr>
      <w:r>
        <w:rPr>
          <w:rFonts w:hint="eastAsia" w:ascii="宋体" w:hAnsi="宋体" w:cs="宋体"/>
          <w:szCs w:val="21"/>
        </w:rPr>
        <w:t>1.3.4供应商：供应商是响应磋商文件、参加磋商竞争的中华人民共和国境内的法人、其它组织。</w:t>
      </w:r>
    </w:p>
    <w:p w14:paraId="1349B5C7">
      <w:pPr>
        <w:spacing w:line="360" w:lineRule="auto"/>
        <w:ind w:firstLine="0" w:firstLineChars="0"/>
        <w:rPr>
          <w:rFonts w:ascii="宋体" w:hAnsi="宋体" w:cs="宋体"/>
          <w:szCs w:val="21"/>
        </w:rPr>
      </w:pPr>
      <w:r>
        <w:rPr>
          <w:rFonts w:hint="eastAsia" w:ascii="宋体" w:hAnsi="宋体" w:cs="宋体"/>
          <w:szCs w:val="21"/>
        </w:rPr>
        <w:t>1.3.5响应文件：指供应商根据竞争性磋商文件提交的所有文件。</w:t>
      </w:r>
    </w:p>
    <w:p w14:paraId="621D11D8">
      <w:pPr>
        <w:spacing w:line="360" w:lineRule="auto"/>
        <w:ind w:firstLine="0" w:firstLineChars="0"/>
        <w:rPr>
          <w:rFonts w:ascii="宋体" w:hAnsi="宋体" w:cs="宋体"/>
          <w:szCs w:val="21"/>
        </w:rPr>
      </w:pPr>
      <w:r>
        <w:rPr>
          <w:rFonts w:hint="eastAsia" w:ascii="宋体" w:hAnsi="宋体" w:cs="宋体"/>
          <w:szCs w:val="21"/>
        </w:rPr>
        <w:t>1.3.6磋商小组：依据</w:t>
      </w:r>
      <w:r>
        <w:rPr>
          <w:rFonts w:hint="eastAsia" w:ascii="宋体" w:hAnsi="宋体" w:cs="宋体"/>
          <w:szCs w:val="21"/>
          <w:lang w:bidi="en-US"/>
        </w:rPr>
        <w:t>《中华人民共和国政府采购法》及有关法律、法规的规定依法组建的专门负责本次评标工作的临时机构</w:t>
      </w:r>
      <w:r>
        <w:rPr>
          <w:rFonts w:hint="eastAsia" w:ascii="宋体" w:hAnsi="宋体" w:cs="宋体"/>
          <w:szCs w:val="21"/>
        </w:rPr>
        <w:t>。</w:t>
      </w:r>
    </w:p>
    <w:p w14:paraId="75861A56">
      <w:pPr>
        <w:spacing w:line="360" w:lineRule="auto"/>
        <w:ind w:firstLine="0" w:firstLineChars="0"/>
        <w:rPr>
          <w:rFonts w:ascii="宋体" w:hAnsi="宋体" w:cs="宋体"/>
          <w:szCs w:val="21"/>
        </w:rPr>
      </w:pPr>
      <w:r>
        <w:rPr>
          <w:rFonts w:hint="eastAsia" w:ascii="宋体" w:hAnsi="宋体" w:cs="宋体"/>
          <w:szCs w:val="21"/>
        </w:rPr>
        <w:t>1.3.7偏离：响应文件的响应相对于竞争性磋商文件要求的偏差，该偏差优于竞争性磋商文件要求的为正偏离；劣于的，为负偏离。</w:t>
      </w:r>
    </w:p>
    <w:p w14:paraId="12AC5BCC">
      <w:pPr>
        <w:spacing w:line="360" w:lineRule="auto"/>
        <w:ind w:firstLine="0" w:firstLineChars="0"/>
        <w:rPr>
          <w:rFonts w:ascii="宋体" w:hAnsi="宋体" w:cs="宋体"/>
          <w:szCs w:val="21"/>
        </w:rPr>
      </w:pPr>
      <w:r>
        <w:rPr>
          <w:rFonts w:hint="eastAsia" w:ascii="宋体" w:hAnsi="宋体" w:cs="宋体"/>
          <w:szCs w:val="21"/>
        </w:rPr>
        <w:t>1.3.8“日期”或“天”：指日历天。</w:t>
      </w:r>
    </w:p>
    <w:p w14:paraId="173A45DA">
      <w:pPr>
        <w:spacing w:line="360" w:lineRule="auto"/>
        <w:ind w:firstLine="0" w:firstLineChars="0"/>
        <w:rPr>
          <w:rFonts w:ascii="宋体" w:hAnsi="宋体" w:cs="宋体"/>
          <w:szCs w:val="21"/>
        </w:rPr>
      </w:pPr>
      <w:r>
        <w:rPr>
          <w:rFonts w:hint="eastAsia" w:ascii="宋体" w:hAnsi="宋体" w:cs="宋体"/>
          <w:szCs w:val="21"/>
        </w:rPr>
        <w:t>1.3.9合同：指依据本次服务采购招标结果签订的协议或合约文件。</w:t>
      </w:r>
    </w:p>
    <w:p w14:paraId="14375369">
      <w:pPr>
        <w:spacing w:line="360" w:lineRule="auto"/>
        <w:ind w:firstLine="0" w:firstLineChars="0"/>
        <w:rPr>
          <w:rFonts w:ascii="宋体" w:hAnsi="宋体" w:cs="宋体"/>
          <w:szCs w:val="21"/>
        </w:rPr>
      </w:pPr>
      <w:r>
        <w:rPr>
          <w:rFonts w:hint="eastAsia" w:ascii="宋体" w:hAnsi="宋体" w:cs="宋体"/>
          <w:szCs w:val="21"/>
        </w:rPr>
        <w:t>1.3.10竞争性磋商文件中的标题或题名仅起引导作用，而不应视为对竞争性磋商文件内容的理解和解释。</w:t>
      </w:r>
    </w:p>
    <w:bookmarkEnd w:id="52"/>
    <w:bookmarkEnd w:id="53"/>
    <w:bookmarkEnd w:id="54"/>
    <w:p w14:paraId="153B556A">
      <w:pPr>
        <w:pStyle w:val="73"/>
        <w:spacing w:line="360" w:lineRule="auto"/>
        <w:ind w:firstLine="0" w:firstLineChars="0"/>
        <w:outlineLvl w:val="0"/>
        <w:rPr>
          <w:rFonts w:ascii="宋体" w:hAnsi="宋体" w:eastAsia="宋体"/>
          <w:b/>
          <w:bCs/>
          <w:sz w:val="21"/>
          <w:szCs w:val="21"/>
        </w:rPr>
      </w:pPr>
      <w:bookmarkStart w:id="101" w:name="_Toc19363"/>
      <w:bookmarkStart w:id="102" w:name="_Toc27407"/>
      <w:bookmarkStart w:id="103" w:name="_Toc14043"/>
      <w:bookmarkStart w:id="104" w:name="_Toc24289"/>
      <w:bookmarkStart w:id="105" w:name="_Toc16470"/>
      <w:bookmarkStart w:id="106" w:name="_Toc28499"/>
      <w:bookmarkStart w:id="107" w:name="_Toc32236"/>
      <w:bookmarkStart w:id="108" w:name="_Toc152045532"/>
      <w:bookmarkStart w:id="109" w:name="_Toc152042308"/>
      <w:bookmarkStart w:id="110" w:name="_Toc12752"/>
      <w:bookmarkStart w:id="111" w:name="_Toc455080112"/>
      <w:bookmarkStart w:id="112" w:name="_Toc10894"/>
      <w:bookmarkStart w:id="113" w:name="_Toc466298095"/>
      <w:bookmarkStart w:id="114" w:name="_Toc455867772"/>
      <w:bookmarkStart w:id="115" w:name="_Toc23228"/>
      <w:bookmarkStart w:id="116" w:name="_Toc490667831"/>
      <w:bookmarkStart w:id="117" w:name="_Toc18788"/>
      <w:bookmarkStart w:id="118" w:name="_Toc21766"/>
      <w:bookmarkStart w:id="119" w:name="_Toc144974500"/>
      <w:bookmarkStart w:id="120" w:name="_Toc25616"/>
      <w:bookmarkStart w:id="121" w:name="_Toc17908"/>
      <w:bookmarkStart w:id="122" w:name="_Toc17808"/>
      <w:bookmarkStart w:id="123" w:name="_Toc318450678"/>
      <w:bookmarkStart w:id="124" w:name="_Toc30975"/>
      <w:r>
        <w:rPr>
          <w:rFonts w:hint="eastAsia" w:ascii="宋体" w:hAnsi="宋体" w:eastAsia="宋体"/>
          <w:b/>
          <w:bCs/>
          <w:sz w:val="21"/>
          <w:szCs w:val="21"/>
        </w:rPr>
        <w:t>1.4 磋商内容、交货期、质保期和质量要求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6319FB31">
      <w:pPr>
        <w:spacing w:line="360" w:lineRule="auto"/>
        <w:ind w:firstLine="0" w:firstLineChars="0"/>
        <w:rPr>
          <w:rFonts w:ascii="宋体" w:hAnsi="宋体" w:cs="宋体"/>
          <w:szCs w:val="21"/>
        </w:rPr>
      </w:pPr>
      <w:r>
        <w:rPr>
          <w:rFonts w:hint="eastAsia" w:ascii="宋体" w:hAnsi="宋体" w:cs="宋体"/>
          <w:szCs w:val="21"/>
        </w:rPr>
        <w:t>1.4.1 本次磋商内容：见供应商须知前附表。</w:t>
      </w:r>
    </w:p>
    <w:p w14:paraId="31277F00">
      <w:pPr>
        <w:spacing w:line="360" w:lineRule="auto"/>
        <w:ind w:firstLine="0" w:firstLineChars="0"/>
        <w:rPr>
          <w:rFonts w:ascii="宋体" w:hAnsi="宋体" w:cs="宋体"/>
          <w:szCs w:val="21"/>
        </w:rPr>
      </w:pPr>
      <w:r>
        <w:rPr>
          <w:rFonts w:hint="eastAsia" w:ascii="宋体" w:hAnsi="宋体" w:cs="宋体"/>
          <w:szCs w:val="21"/>
        </w:rPr>
        <w:t>1.4.2 本项目的交货期：见供应商须知前附表。</w:t>
      </w:r>
    </w:p>
    <w:p w14:paraId="68002FF3">
      <w:pPr>
        <w:spacing w:line="360" w:lineRule="auto"/>
        <w:ind w:firstLine="0" w:firstLineChars="0"/>
        <w:rPr>
          <w:rFonts w:ascii="宋体" w:hAnsi="宋体" w:cs="宋体"/>
          <w:szCs w:val="21"/>
        </w:rPr>
      </w:pPr>
      <w:r>
        <w:rPr>
          <w:rFonts w:hint="eastAsia" w:ascii="宋体" w:hAnsi="宋体" w:cs="宋体"/>
          <w:szCs w:val="21"/>
        </w:rPr>
        <w:t>1.4.3本项目的质保期：见供应商须知前附表。</w:t>
      </w:r>
    </w:p>
    <w:p w14:paraId="5FE07589">
      <w:pPr>
        <w:spacing w:line="360" w:lineRule="auto"/>
        <w:ind w:firstLine="0" w:firstLineChars="0"/>
        <w:rPr>
          <w:rFonts w:ascii="宋体" w:hAnsi="宋体" w:cs="宋体"/>
          <w:szCs w:val="21"/>
        </w:rPr>
      </w:pPr>
      <w:r>
        <w:rPr>
          <w:rFonts w:hint="eastAsia" w:ascii="宋体" w:hAnsi="宋体" w:cs="宋体"/>
          <w:szCs w:val="21"/>
        </w:rPr>
        <w:t>1.4.4本项目的质量要求：见供应商须知前附表。</w:t>
      </w:r>
    </w:p>
    <w:p w14:paraId="4B574F60">
      <w:pPr>
        <w:spacing w:line="360" w:lineRule="auto"/>
        <w:ind w:firstLine="0" w:firstLineChars="0"/>
        <w:rPr>
          <w:rFonts w:ascii="宋体" w:hAnsi="宋体" w:cs="宋体"/>
          <w:szCs w:val="21"/>
        </w:rPr>
      </w:pPr>
      <w:r>
        <w:rPr>
          <w:rFonts w:hint="eastAsia" w:ascii="宋体" w:hAnsi="宋体" w:eastAsia="宋体" w:cs="宋体"/>
          <w:szCs w:val="21"/>
        </w:rPr>
        <w:t>1.4.5付款方式：见供应商须知前附表。</w:t>
      </w:r>
    </w:p>
    <w:p w14:paraId="2622AB89">
      <w:pPr>
        <w:pStyle w:val="73"/>
        <w:spacing w:line="360" w:lineRule="auto"/>
        <w:ind w:firstLine="0" w:firstLineChars="0"/>
        <w:outlineLvl w:val="0"/>
        <w:rPr>
          <w:rFonts w:ascii="宋体" w:hAnsi="宋体" w:eastAsia="宋体"/>
          <w:b/>
          <w:bCs/>
          <w:sz w:val="21"/>
          <w:szCs w:val="21"/>
        </w:rPr>
      </w:pPr>
      <w:bookmarkStart w:id="125" w:name="_Toc152045534"/>
      <w:bookmarkStart w:id="126" w:name="_Toc144974502"/>
      <w:bookmarkStart w:id="127" w:name="_Toc318450679"/>
      <w:bookmarkStart w:id="128" w:name="_Toc152042310"/>
      <w:bookmarkStart w:id="129" w:name="_Toc4850"/>
      <w:bookmarkStart w:id="130" w:name="_Toc19901"/>
      <w:bookmarkStart w:id="131" w:name="_Toc5019"/>
      <w:bookmarkStart w:id="132" w:name="_Toc490667832"/>
      <w:bookmarkStart w:id="133" w:name="_Toc466298096"/>
      <w:bookmarkStart w:id="134" w:name="_Toc4301"/>
      <w:bookmarkStart w:id="135" w:name="_Toc18004"/>
      <w:bookmarkStart w:id="136" w:name="_Toc22643"/>
      <w:bookmarkStart w:id="137" w:name="_Toc32156"/>
      <w:bookmarkStart w:id="138" w:name="_Toc11063"/>
      <w:bookmarkStart w:id="139" w:name="_Toc1602"/>
      <w:bookmarkStart w:id="140" w:name="_Toc4711"/>
      <w:bookmarkStart w:id="141" w:name="_Toc455867773"/>
      <w:bookmarkStart w:id="142" w:name="_Toc13438"/>
      <w:bookmarkStart w:id="143" w:name="_Toc31969"/>
      <w:bookmarkStart w:id="144" w:name="_Toc7209"/>
      <w:bookmarkStart w:id="145" w:name="_Toc455080113"/>
      <w:bookmarkStart w:id="146" w:name="_Toc9716"/>
      <w:bookmarkStart w:id="147" w:name="_Toc18689"/>
      <w:bookmarkStart w:id="148" w:name="_Toc25754"/>
      <w:r>
        <w:rPr>
          <w:rFonts w:hint="eastAsia" w:ascii="宋体" w:hAnsi="宋体" w:eastAsia="宋体"/>
          <w:b/>
          <w:bCs/>
          <w:sz w:val="21"/>
          <w:szCs w:val="21"/>
        </w:rPr>
        <w:t xml:space="preserve">1.5 </w:t>
      </w:r>
      <w:bookmarkEnd w:id="125"/>
      <w:bookmarkEnd w:id="126"/>
      <w:bookmarkEnd w:id="127"/>
      <w:bookmarkEnd w:id="128"/>
      <w:r>
        <w:rPr>
          <w:rFonts w:hint="eastAsia" w:ascii="宋体" w:hAnsi="宋体" w:eastAsia="宋体"/>
          <w:b/>
          <w:bCs/>
          <w:sz w:val="21"/>
          <w:szCs w:val="21"/>
        </w:rPr>
        <w:t>供应商资质条件和能力</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278CA008">
      <w:pPr>
        <w:spacing w:line="360" w:lineRule="auto"/>
        <w:ind w:firstLine="0" w:firstLineChars="0"/>
        <w:rPr>
          <w:rFonts w:ascii="宋体" w:hAnsi="宋体" w:eastAsia="宋体" w:cs="宋体"/>
          <w:szCs w:val="21"/>
        </w:rPr>
      </w:pPr>
      <w:r>
        <w:rPr>
          <w:rFonts w:hint="eastAsia" w:ascii="宋体" w:hAnsi="宋体" w:eastAsia="宋体" w:cs="宋体"/>
          <w:szCs w:val="21"/>
        </w:rPr>
        <w:t>1.5.1供应商资质及能力要求：见供应商须知前附表。</w:t>
      </w:r>
    </w:p>
    <w:p w14:paraId="2A3EE1FB">
      <w:pPr>
        <w:spacing w:line="360" w:lineRule="auto"/>
        <w:ind w:firstLine="0" w:firstLineChars="0"/>
        <w:rPr>
          <w:rFonts w:ascii="宋体" w:hAnsi="宋体" w:eastAsia="宋体" w:cs="宋体"/>
          <w:szCs w:val="21"/>
        </w:rPr>
      </w:pPr>
      <w:r>
        <w:rPr>
          <w:rFonts w:hint="eastAsia" w:ascii="宋体" w:hAnsi="宋体" w:eastAsia="宋体" w:cs="宋体"/>
          <w:szCs w:val="21"/>
        </w:rPr>
        <w:t>1.5.2是否接受联合体：见供应商须知前附表。</w:t>
      </w:r>
    </w:p>
    <w:p w14:paraId="5B958A07">
      <w:pPr>
        <w:pStyle w:val="73"/>
        <w:spacing w:line="360" w:lineRule="auto"/>
        <w:ind w:firstLine="0" w:firstLineChars="0"/>
        <w:outlineLvl w:val="0"/>
        <w:rPr>
          <w:rFonts w:ascii="宋体" w:hAnsi="宋体" w:eastAsia="宋体"/>
          <w:b/>
          <w:bCs/>
          <w:sz w:val="21"/>
          <w:szCs w:val="21"/>
        </w:rPr>
      </w:pPr>
      <w:bookmarkStart w:id="149" w:name="_Toc25712"/>
      <w:bookmarkStart w:id="150" w:name="_Toc152042311"/>
      <w:bookmarkStart w:id="151" w:name="_Toc651"/>
      <w:bookmarkStart w:id="152" w:name="_Toc318450680"/>
      <w:bookmarkStart w:id="153" w:name="_Toc31854"/>
      <w:bookmarkStart w:id="154" w:name="_Toc9505"/>
      <w:bookmarkStart w:id="155" w:name="_Toc529"/>
      <w:bookmarkStart w:id="156" w:name="_Toc14511"/>
      <w:bookmarkStart w:id="157" w:name="_Toc16889"/>
      <w:bookmarkStart w:id="158" w:name="_Toc490667833"/>
      <w:bookmarkStart w:id="159" w:name="_Toc455080114"/>
      <w:bookmarkStart w:id="160" w:name="_Toc455867774"/>
      <w:bookmarkStart w:id="161" w:name="_Toc152045535"/>
      <w:bookmarkStart w:id="162" w:name="_Toc981"/>
      <w:bookmarkStart w:id="163" w:name="_Toc5162"/>
      <w:bookmarkStart w:id="164" w:name="_Toc144974503"/>
      <w:bookmarkStart w:id="165" w:name="_Toc466298097"/>
      <w:bookmarkStart w:id="166" w:name="_Toc16828"/>
      <w:bookmarkStart w:id="167" w:name="_Toc6233"/>
      <w:bookmarkStart w:id="168" w:name="_Toc11905"/>
      <w:bookmarkStart w:id="169" w:name="_Toc17411"/>
      <w:bookmarkStart w:id="170" w:name="_Toc32446"/>
      <w:bookmarkStart w:id="171" w:name="_Toc28135"/>
      <w:bookmarkStart w:id="172" w:name="_Toc12403"/>
      <w:r>
        <w:rPr>
          <w:rFonts w:hint="eastAsia" w:ascii="宋体" w:hAnsi="宋体" w:eastAsia="宋体"/>
          <w:b/>
          <w:bCs/>
          <w:sz w:val="21"/>
          <w:szCs w:val="21"/>
        </w:rPr>
        <w:t>1.6 费用承担</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EA8524D">
      <w:pPr>
        <w:spacing w:line="360" w:lineRule="auto"/>
        <w:ind w:firstLine="0" w:firstLineChars="0"/>
        <w:rPr>
          <w:rFonts w:ascii="宋体" w:hAnsi="宋体" w:cs="宋体"/>
          <w:szCs w:val="21"/>
        </w:rPr>
      </w:pPr>
      <w:r>
        <w:rPr>
          <w:rFonts w:hint="eastAsia" w:ascii="宋体" w:hAnsi="宋体" w:cs="宋体"/>
          <w:szCs w:val="21"/>
        </w:rPr>
        <w:t>供应商准备和参加磋商活动发生的费用自理，不论磋商的结果如何，采购人和采购代理机构在任何情况下均无义务和责任承担这些费用。</w:t>
      </w:r>
    </w:p>
    <w:p w14:paraId="01090C27">
      <w:pPr>
        <w:pStyle w:val="73"/>
        <w:spacing w:line="360" w:lineRule="auto"/>
        <w:ind w:firstLine="0" w:firstLineChars="0"/>
        <w:outlineLvl w:val="0"/>
        <w:rPr>
          <w:rFonts w:ascii="宋体" w:hAnsi="宋体" w:eastAsia="宋体"/>
          <w:b/>
          <w:bCs/>
          <w:sz w:val="21"/>
          <w:szCs w:val="21"/>
        </w:rPr>
      </w:pPr>
      <w:bookmarkStart w:id="173" w:name="_Toc609"/>
      <w:bookmarkStart w:id="174" w:name="_Toc8390"/>
      <w:bookmarkStart w:id="175" w:name="_Toc318450681"/>
      <w:bookmarkStart w:id="176" w:name="_Toc22136"/>
      <w:bookmarkStart w:id="177" w:name="_Toc20145"/>
      <w:bookmarkStart w:id="178" w:name="_Toc455867775"/>
      <w:bookmarkStart w:id="179" w:name="_Toc8055"/>
      <w:bookmarkStart w:id="180" w:name="_Toc16419"/>
      <w:bookmarkStart w:id="181" w:name="_Toc152045536"/>
      <w:bookmarkStart w:id="182" w:name="_Toc490667834"/>
      <w:bookmarkStart w:id="183" w:name="_Toc466298098"/>
      <w:bookmarkStart w:id="184" w:name="_Toc10331"/>
      <w:bookmarkStart w:id="185" w:name="_Toc1879"/>
      <w:bookmarkStart w:id="186" w:name="_Toc22800"/>
      <w:bookmarkStart w:id="187" w:name="_Toc152042312"/>
      <w:bookmarkStart w:id="188" w:name="_Toc144974504"/>
      <w:bookmarkStart w:id="189" w:name="_Toc24601"/>
      <w:bookmarkStart w:id="190" w:name="_Toc11954"/>
      <w:bookmarkStart w:id="191" w:name="_Toc455080115"/>
      <w:bookmarkStart w:id="192" w:name="_Toc24530"/>
      <w:bookmarkStart w:id="193" w:name="_Toc6014"/>
      <w:bookmarkStart w:id="194" w:name="_Toc5402"/>
      <w:bookmarkStart w:id="195" w:name="_Toc2622"/>
      <w:bookmarkStart w:id="196" w:name="_Toc32053"/>
      <w:r>
        <w:rPr>
          <w:rFonts w:hint="eastAsia" w:ascii="宋体" w:hAnsi="宋体" w:eastAsia="宋体"/>
          <w:b/>
          <w:bCs/>
          <w:sz w:val="21"/>
          <w:szCs w:val="21"/>
        </w:rPr>
        <w:t>1.7 保密</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33B856EF">
      <w:pPr>
        <w:spacing w:line="360" w:lineRule="auto"/>
        <w:ind w:firstLine="0" w:firstLineChars="0"/>
        <w:rPr>
          <w:rFonts w:ascii="宋体" w:hAnsi="宋体" w:cs="宋体"/>
          <w:szCs w:val="21"/>
        </w:rPr>
      </w:pPr>
      <w:r>
        <w:rPr>
          <w:rFonts w:hint="eastAsia" w:ascii="宋体" w:hAnsi="宋体" w:cs="宋体"/>
          <w:szCs w:val="21"/>
        </w:rPr>
        <w:t xml:space="preserve">参与磋商活动的各方应对竞争性磋商文件和响应文件中的商业和技术等秘密保密，违者应对由此造成的后果承担法律责任。 </w:t>
      </w:r>
    </w:p>
    <w:p w14:paraId="19D6A045">
      <w:pPr>
        <w:pStyle w:val="73"/>
        <w:spacing w:line="360" w:lineRule="auto"/>
        <w:ind w:firstLine="0" w:firstLineChars="0"/>
        <w:outlineLvl w:val="0"/>
        <w:rPr>
          <w:rFonts w:ascii="宋体" w:hAnsi="宋体" w:eastAsia="宋体"/>
          <w:b/>
          <w:bCs/>
          <w:sz w:val="21"/>
          <w:szCs w:val="21"/>
        </w:rPr>
      </w:pPr>
      <w:bookmarkStart w:id="197" w:name="_Toc144974505"/>
      <w:bookmarkStart w:id="198" w:name="_Toc29323"/>
      <w:bookmarkStart w:id="199" w:name="_Toc15673"/>
      <w:bookmarkStart w:id="200" w:name="_Toc13976"/>
      <w:bookmarkStart w:id="201" w:name="_Toc318450682"/>
      <w:bookmarkStart w:id="202" w:name="_Toc2658"/>
      <w:bookmarkStart w:id="203" w:name="_Toc152045537"/>
      <w:bookmarkStart w:id="204" w:name="_Toc30747"/>
      <w:bookmarkStart w:id="205" w:name="_Toc466298099"/>
      <w:bookmarkStart w:id="206" w:name="_Toc7031"/>
      <w:bookmarkStart w:id="207" w:name="_Toc30583"/>
      <w:bookmarkStart w:id="208" w:name="_Toc152042313"/>
      <w:bookmarkStart w:id="209" w:name="_Toc14775"/>
      <w:bookmarkStart w:id="210" w:name="_Toc455080116"/>
      <w:bookmarkStart w:id="211" w:name="_Toc3628"/>
      <w:bookmarkStart w:id="212" w:name="_Toc23509"/>
      <w:bookmarkStart w:id="213" w:name="_Toc6550"/>
      <w:bookmarkStart w:id="214" w:name="_Toc455867776"/>
      <w:bookmarkStart w:id="215" w:name="_Toc6615"/>
      <w:bookmarkStart w:id="216" w:name="_Toc490667835"/>
      <w:bookmarkStart w:id="217" w:name="_Toc28512"/>
      <w:bookmarkStart w:id="218" w:name="_Toc25517"/>
      <w:bookmarkStart w:id="219" w:name="_Toc21089"/>
      <w:bookmarkStart w:id="220" w:name="_Toc23942"/>
      <w:r>
        <w:rPr>
          <w:rFonts w:hint="eastAsia" w:ascii="宋体" w:hAnsi="宋体" w:eastAsia="宋体"/>
          <w:b/>
          <w:bCs/>
          <w:sz w:val="21"/>
          <w:szCs w:val="21"/>
        </w:rPr>
        <w:t>1.8 语言</w:t>
      </w:r>
      <w:bookmarkEnd w:id="197"/>
      <w:r>
        <w:rPr>
          <w:rFonts w:hint="eastAsia" w:ascii="宋体" w:hAnsi="宋体" w:eastAsia="宋体"/>
          <w:b/>
          <w:bCs/>
          <w:sz w:val="21"/>
          <w:szCs w:val="21"/>
        </w:rPr>
        <w:t>文字</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6B0C6E8E">
      <w:pPr>
        <w:spacing w:line="360" w:lineRule="auto"/>
        <w:ind w:firstLine="0" w:firstLineChars="0"/>
        <w:rPr>
          <w:rFonts w:ascii="宋体" w:hAnsi="宋体" w:cs="宋体"/>
          <w:szCs w:val="21"/>
        </w:rPr>
      </w:pPr>
      <w:r>
        <w:rPr>
          <w:rFonts w:hint="eastAsia" w:ascii="宋体" w:hAnsi="宋体" w:cs="宋体"/>
          <w:szCs w:val="21"/>
        </w:rPr>
        <w:t>除专用术语外，与磋商有关的语言均使用中文。必要时专用术语应附有中文注释，</w:t>
      </w:r>
      <w:r>
        <w:rPr>
          <w:rFonts w:hint="eastAsia" w:ascii="宋体" w:hAnsi="宋体" w:cs="宋体"/>
          <w:szCs w:val="21"/>
          <w:lang w:bidi="en-US"/>
        </w:rPr>
        <w:t>对不同文字文本响应文件的解释发生异议的，以中文文本为准。</w:t>
      </w:r>
    </w:p>
    <w:p w14:paraId="580E3D13">
      <w:pPr>
        <w:pStyle w:val="73"/>
        <w:spacing w:line="360" w:lineRule="auto"/>
        <w:ind w:firstLine="0" w:firstLineChars="0"/>
        <w:outlineLvl w:val="0"/>
        <w:rPr>
          <w:rFonts w:ascii="宋体" w:hAnsi="宋体" w:eastAsia="宋体"/>
          <w:b/>
          <w:bCs/>
          <w:sz w:val="21"/>
          <w:szCs w:val="21"/>
        </w:rPr>
      </w:pPr>
      <w:bookmarkStart w:id="221" w:name="_Toc455080117"/>
      <w:bookmarkStart w:id="222" w:name="_Toc14934"/>
      <w:bookmarkStart w:id="223" w:name="_Toc4237"/>
      <w:bookmarkStart w:id="224" w:name="_Toc18357"/>
      <w:bookmarkStart w:id="225" w:name="_Toc152042314"/>
      <w:bookmarkStart w:id="226" w:name="_Toc2313"/>
      <w:bookmarkStart w:id="227" w:name="_Toc490667836"/>
      <w:bookmarkStart w:id="228" w:name="_Toc455867777"/>
      <w:bookmarkStart w:id="229" w:name="_Toc22378"/>
      <w:bookmarkStart w:id="230" w:name="_Toc22415"/>
      <w:bookmarkStart w:id="231" w:name="_Toc18425"/>
      <w:bookmarkStart w:id="232" w:name="_Toc152045538"/>
      <w:bookmarkStart w:id="233" w:name="_Toc17559"/>
      <w:bookmarkStart w:id="234" w:name="_Toc2702"/>
      <w:bookmarkStart w:id="235" w:name="_Toc14555"/>
      <w:bookmarkStart w:id="236" w:name="_Toc32507"/>
      <w:bookmarkStart w:id="237" w:name="_Toc9446"/>
      <w:bookmarkStart w:id="238" w:name="_Toc318450683"/>
      <w:bookmarkStart w:id="239" w:name="_Toc29626"/>
      <w:bookmarkStart w:id="240" w:name="_Toc24337"/>
      <w:bookmarkStart w:id="241" w:name="_Toc144974506"/>
      <w:bookmarkStart w:id="242" w:name="_Toc29060"/>
      <w:bookmarkStart w:id="243" w:name="_Toc466298100"/>
      <w:bookmarkStart w:id="244" w:name="_Toc4501"/>
      <w:r>
        <w:rPr>
          <w:rFonts w:hint="eastAsia" w:ascii="宋体" w:hAnsi="宋体" w:eastAsia="宋体"/>
          <w:b/>
          <w:bCs/>
          <w:sz w:val="21"/>
          <w:szCs w:val="21"/>
        </w:rPr>
        <w:t>1.9 计量单位</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2C2FDEAB">
      <w:pPr>
        <w:spacing w:line="360" w:lineRule="auto"/>
        <w:ind w:firstLine="0" w:firstLineChars="0"/>
        <w:rPr>
          <w:rFonts w:ascii="宋体" w:hAnsi="宋体" w:cs="宋体"/>
          <w:szCs w:val="21"/>
        </w:rPr>
      </w:pPr>
      <w:r>
        <w:rPr>
          <w:rFonts w:hint="eastAsia" w:ascii="宋体" w:hAnsi="宋体" w:cs="宋体"/>
          <w:szCs w:val="21"/>
        </w:rPr>
        <w:t>所有计量均采用中华人民共和国法定计量单位。</w:t>
      </w:r>
    </w:p>
    <w:p w14:paraId="2104012E">
      <w:pPr>
        <w:pStyle w:val="73"/>
        <w:spacing w:line="360" w:lineRule="auto"/>
        <w:ind w:firstLine="0" w:firstLineChars="0"/>
        <w:outlineLvl w:val="0"/>
        <w:rPr>
          <w:rFonts w:ascii="宋体" w:hAnsi="宋体" w:eastAsia="宋体"/>
          <w:sz w:val="21"/>
          <w:szCs w:val="21"/>
        </w:rPr>
      </w:pPr>
      <w:bookmarkStart w:id="245" w:name="_Toc18589"/>
      <w:bookmarkStart w:id="246" w:name="_Toc29845"/>
      <w:bookmarkStart w:id="247" w:name="_Toc31195"/>
      <w:bookmarkStart w:id="248" w:name="_Toc318450684"/>
      <w:bookmarkStart w:id="249" w:name="_Toc284"/>
      <w:bookmarkStart w:id="250" w:name="_Toc455080118"/>
      <w:bookmarkStart w:id="251" w:name="_Toc152045540"/>
      <w:bookmarkStart w:id="252" w:name="_Toc27570"/>
      <w:bookmarkStart w:id="253" w:name="_Toc13675"/>
      <w:bookmarkStart w:id="254" w:name="_Toc144974508"/>
      <w:bookmarkStart w:id="255" w:name="_Toc19685"/>
      <w:bookmarkStart w:id="256" w:name="_Toc455867778"/>
      <w:bookmarkStart w:id="257" w:name="_Toc338"/>
      <w:bookmarkStart w:id="258" w:name="_Toc152042316"/>
      <w:bookmarkStart w:id="259" w:name="_Toc490667837"/>
      <w:bookmarkStart w:id="260" w:name="_Toc2508"/>
      <w:bookmarkStart w:id="261" w:name="_Toc466298101"/>
      <w:bookmarkStart w:id="262" w:name="_Toc12027"/>
      <w:bookmarkStart w:id="263" w:name="_Toc21643"/>
      <w:bookmarkStart w:id="264" w:name="_Toc8379"/>
      <w:bookmarkStart w:id="265" w:name="_Toc21098"/>
      <w:bookmarkStart w:id="266" w:name="_Toc27512"/>
      <w:bookmarkStart w:id="267" w:name="_Toc15047"/>
      <w:bookmarkStart w:id="268" w:name="_Toc30886"/>
      <w:r>
        <w:rPr>
          <w:rFonts w:hint="eastAsia" w:ascii="宋体" w:hAnsi="宋体" w:eastAsia="宋体"/>
          <w:b/>
          <w:bCs/>
          <w:sz w:val="21"/>
          <w:szCs w:val="21"/>
        </w:rPr>
        <w:t xml:space="preserve">1.10 </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Fonts w:hint="eastAsia" w:ascii="宋体" w:hAnsi="宋体" w:eastAsia="宋体"/>
          <w:b/>
          <w:bCs/>
          <w:sz w:val="21"/>
          <w:szCs w:val="21"/>
        </w:rPr>
        <w:t>现场踏勘：</w:t>
      </w:r>
      <w:r>
        <w:rPr>
          <w:rFonts w:hint="eastAsia" w:ascii="宋体" w:hAnsi="宋体" w:eastAsia="宋体"/>
          <w:sz w:val="21"/>
          <w:szCs w:val="21"/>
        </w:rPr>
        <w:t>自行踏勘，与之相关的费用，供应商自行承担。</w:t>
      </w:r>
      <w:bookmarkEnd w:id="263"/>
      <w:bookmarkEnd w:id="264"/>
      <w:bookmarkEnd w:id="265"/>
      <w:bookmarkEnd w:id="266"/>
      <w:bookmarkEnd w:id="267"/>
      <w:bookmarkEnd w:id="268"/>
    </w:p>
    <w:p w14:paraId="6E2C5F89">
      <w:pPr>
        <w:pStyle w:val="73"/>
        <w:spacing w:line="360" w:lineRule="auto"/>
        <w:ind w:firstLine="0" w:firstLineChars="0"/>
        <w:outlineLvl w:val="0"/>
        <w:rPr>
          <w:rFonts w:ascii="宋体" w:hAnsi="宋体" w:eastAsia="宋体"/>
          <w:b/>
          <w:bCs/>
          <w:sz w:val="21"/>
          <w:szCs w:val="21"/>
        </w:rPr>
      </w:pPr>
      <w:bookmarkStart w:id="269" w:name="_Toc5365"/>
      <w:bookmarkStart w:id="270" w:name="_Toc152042317"/>
      <w:bookmarkStart w:id="271" w:name="_Toc4384"/>
      <w:bookmarkStart w:id="272" w:name="_Toc25208"/>
      <w:bookmarkStart w:id="273" w:name="_Toc9182"/>
      <w:bookmarkStart w:id="274" w:name="_Toc12562"/>
      <w:bookmarkStart w:id="275" w:name="_Toc29433"/>
      <w:bookmarkStart w:id="276" w:name="_Toc23635"/>
      <w:bookmarkStart w:id="277" w:name="_Toc21571"/>
      <w:bookmarkStart w:id="278" w:name="_Toc7035"/>
      <w:bookmarkStart w:id="279" w:name="_Toc490667838"/>
      <w:bookmarkStart w:id="280" w:name="_Toc144974509"/>
      <w:bookmarkStart w:id="281" w:name="_Toc23678"/>
      <w:bookmarkStart w:id="282" w:name="_Toc11744"/>
      <w:bookmarkStart w:id="283" w:name="_Toc3853"/>
      <w:bookmarkStart w:id="284" w:name="_Toc152045541"/>
      <w:bookmarkStart w:id="285" w:name="_Toc25167"/>
      <w:bookmarkStart w:id="286" w:name="_Toc455867779"/>
      <w:bookmarkStart w:id="287" w:name="_Toc32757"/>
      <w:bookmarkStart w:id="288" w:name="_Toc466298102"/>
      <w:bookmarkStart w:id="289" w:name="_Toc455080119"/>
      <w:bookmarkStart w:id="290" w:name="_Toc318450685"/>
      <w:bookmarkStart w:id="291" w:name="_Toc24262"/>
      <w:bookmarkStart w:id="292" w:name="_Toc31725"/>
      <w:r>
        <w:rPr>
          <w:rFonts w:hint="eastAsia" w:ascii="宋体" w:hAnsi="宋体" w:eastAsia="宋体"/>
          <w:b/>
          <w:bCs/>
          <w:sz w:val="21"/>
          <w:szCs w:val="21"/>
        </w:rPr>
        <w:t>1.11分包</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4D9F748A">
      <w:pPr>
        <w:spacing w:line="360" w:lineRule="auto"/>
        <w:ind w:firstLine="0" w:firstLineChars="0"/>
        <w:rPr>
          <w:rFonts w:ascii="宋体" w:hAnsi="宋体" w:cs="宋体"/>
          <w:szCs w:val="21"/>
        </w:rPr>
      </w:pPr>
      <w:r>
        <w:rPr>
          <w:rFonts w:hint="eastAsia" w:ascii="宋体" w:hAnsi="宋体" w:cs="宋体"/>
          <w:szCs w:val="21"/>
        </w:rPr>
        <w:t>是否允许分包：见供应商须知前附表。</w:t>
      </w:r>
      <w:bookmarkStart w:id="293" w:name="_Toc144974510"/>
      <w:bookmarkStart w:id="294" w:name="_Toc152042318"/>
      <w:bookmarkStart w:id="295" w:name="_Toc152045542"/>
      <w:bookmarkStart w:id="296" w:name="_Toc455080120"/>
    </w:p>
    <w:bookmarkEnd w:id="293"/>
    <w:bookmarkEnd w:id="294"/>
    <w:bookmarkEnd w:id="295"/>
    <w:p w14:paraId="7614FCF5">
      <w:pPr>
        <w:spacing w:line="360" w:lineRule="auto"/>
        <w:ind w:firstLine="0" w:firstLineChars="0"/>
        <w:outlineLvl w:val="1"/>
        <w:rPr>
          <w:rFonts w:ascii="宋体" w:hAnsi="宋体" w:eastAsia="宋体"/>
          <w:b/>
          <w:bCs/>
          <w:szCs w:val="21"/>
        </w:rPr>
      </w:pPr>
      <w:bookmarkStart w:id="297" w:name="_Toc12453"/>
      <w:bookmarkStart w:id="298" w:name="_Toc15552"/>
      <w:r>
        <w:rPr>
          <w:rFonts w:hint="eastAsia" w:ascii="宋体" w:hAnsi="宋体"/>
          <w:b/>
          <w:bCs/>
          <w:szCs w:val="21"/>
        </w:rPr>
        <w:t>2.</w:t>
      </w:r>
      <w:bookmarkEnd w:id="296"/>
      <w:bookmarkEnd w:id="297"/>
      <w:r>
        <w:rPr>
          <w:rFonts w:hint="eastAsia" w:ascii="宋体" w:hAnsi="宋体"/>
          <w:b/>
          <w:bCs/>
          <w:szCs w:val="21"/>
        </w:rPr>
        <w:t>竞争性磋商文件</w:t>
      </w:r>
      <w:bookmarkEnd w:id="298"/>
    </w:p>
    <w:p w14:paraId="234F26C0">
      <w:pPr>
        <w:pStyle w:val="73"/>
        <w:spacing w:line="360" w:lineRule="auto"/>
        <w:ind w:firstLine="0" w:firstLineChars="0"/>
        <w:outlineLvl w:val="0"/>
        <w:rPr>
          <w:rFonts w:ascii="宋体" w:hAnsi="宋体" w:eastAsia="宋体"/>
          <w:b/>
          <w:bCs/>
          <w:sz w:val="21"/>
          <w:szCs w:val="21"/>
        </w:rPr>
      </w:pPr>
      <w:bookmarkStart w:id="299" w:name="_Toc152042319"/>
      <w:bookmarkStart w:id="300" w:name="_Toc30730"/>
      <w:bookmarkStart w:id="301" w:name="_Toc30664"/>
      <w:bookmarkStart w:id="302" w:name="_Toc12640"/>
      <w:bookmarkStart w:id="303" w:name="_Toc9780"/>
      <w:bookmarkStart w:id="304" w:name="_Toc318450687"/>
      <w:bookmarkStart w:id="305" w:name="_Toc23649"/>
      <w:bookmarkStart w:id="306" w:name="_Toc1008"/>
      <w:bookmarkStart w:id="307" w:name="_Toc490667840"/>
      <w:bookmarkStart w:id="308" w:name="_Toc6065"/>
      <w:bookmarkStart w:id="309" w:name="_Toc30071"/>
      <w:bookmarkStart w:id="310" w:name="_Toc7999"/>
      <w:bookmarkStart w:id="311" w:name="_Toc11567"/>
      <w:bookmarkStart w:id="312" w:name="_Toc3982"/>
      <w:bookmarkStart w:id="313" w:name="_Toc455080121"/>
      <w:bookmarkStart w:id="314" w:name="_Toc32497"/>
      <w:bookmarkStart w:id="315" w:name="_Toc466298104"/>
      <w:bookmarkStart w:id="316" w:name="_Toc11599"/>
      <w:bookmarkStart w:id="317" w:name="_Toc12004"/>
      <w:bookmarkStart w:id="318" w:name="_Toc32711"/>
      <w:bookmarkStart w:id="319" w:name="_Toc152045543"/>
      <w:bookmarkStart w:id="320" w:name="_Toc455867781"/>
      <w:bookmarkStart w:id="321" w:name="_Toc144974511"/>
      <w:r>
        <w:rPr>
          <w:rFonts w:hint="eastAsia" w:ascii="宋体" w:hAnsi="宋体" w:eastAsia="宋体"/>
          <w:b/>
          <w:bCs/>
          <w:sz w:val="21"/>
          <w:szCs w:val="21"/>
        </w:rPr>
        <w:t>2.1竞争性磋商文件的组成</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29F6FA35">
      <w:pPr>
        <w:spacing w:line="360" w:lineRule="auto"/>
        <w:ind w:firstLine="0" w:firstLineChars="0"/>
        <w:rPr>
          <w:rFonts w:ascii="宋体" w:hAnsi="宋体" w:cs="宋体"/>
          <w:szCs w:val="21"/>
        </w:rPr>
      </w:pPr>
      <w:r>
        <w:rPr>
          <w:rFonts w:hint="eastAsia" w:ascii="宋体" w:hAnsi="宋体" w:cs="宋体"/>
          <w:szCs w:val="21"/>
        </w:rPr>
        <w:t>　　本竞争性磋商文件包括：</w:t>
      </w:r>
    </w:p>
    <w:p w14:paraId="76135219">
      <w:pPr>
        <w:spacing w:line="360" w:lineRule="auto"/>
        <w:ind w:firstLine="0" w:firstLineChars="0"/>
        <w:rPr>
          <w:rFonts w:ascii="宋体" w:hAnsi="宋体" w:cs="宋体"/>
          <w:szCs w:val="21"/>
        </w:rPr>
      </w:pPr>
      <w:r>
        <w:rPr>
          <w:rFonts w:hint="eastAsia" w:ascii="宋体" w:hAnsi="宋体" w:cs="宋体"/>
          <w:szCs w:val="21"/>
        </w:rPr>
        <w:t>（1）竞争性磋商公告；</w:t>
      </w:r>
    </w:p>
    <w:p w14:paraId="25761DA3">
      <w:pPr>
        <w:spacing w:line="360" w:lineRule="auto"/>
        <w:ind w:firstLine="0" w:firstLineChars="0"/>
        <w:rPr>
          <w:rFonts w:ascii="宋体" w:hAnsi="宋体" w:cs="宋体"/>
          <w:szCs w:val="21"/>
        </w:rPr>
      </w:pPr>
      <w:r>
        <w:rPr>
          <w:rFonts w:hint="eastAsia" w:ascii="宋体" w:hAnsi="宋体" w:cs="宋体"/>
          <w:szCs w:val="21"/>
        </w:rPr>
        <w:t>（2）供应商须知；</w:t>
      </w:r>
    </w:p>
    <w:p w14:paraId="23B361DF">
      <w:pPr>
        <w:spacing w:line="360" w:lineRule="auto"/>
        <w:ind w:firstLine="0" w:firstLineChars="0"/>
        <w:rPr>
          <w:rFonts w:ascii="宋体" w:hAnsi="宋体" w:cs="宋体"/>
          <w:szCs w:val="21"/>
        </w:rPr>
      </w:pPr>
      <w:r>
        <w:rPr>
          <w:rFonts w:hint="eastAsia" w:ascii="宋体" w:hAnsi="宋体" w:cs="宋体"/>
          <w:szCs w:val="21"/>
        </w:rPr>
        <w:t>（3）评审办法；</w:t>
      </w:r>
    </w:p>
    <w:p w14:paraId="31EE2636">
      <w:pPr>
        <w:spacing w:line="360" w:lineRule="auto"/>
        <w:ind w:firstLine="0" w:firstLineChars="0"/>
        <w:rPr>
          <w:rFonts w:ascii="宋体" w:hAnsi="宋体" w:cs="宋体"/>
          <w:szCs w:val="21"/>
        </w:rPr>
      </w:pPr>
      <w:r>
        <w:rPr>
          <w:rFonts w:hint="eastAsia" w:ascii="宋体" w:hAnsi="宋体" w:cs="宋体"/>
          <w:szCs w:val="21"/>
        </w:rPr>
        <w:t>（4）采购合同；</w:t>
      </w:r>
    </w:p>
    <w:p w14:paraId="0385A3DF">
      <w:pPr>
        <w:spacing w:line="360" w:lineRule="auto"/>
        <w:ind w:firstLine="0" w:firstLineChars="0"/>
        <w:rPr>
          <w:rFonts w:ascii="宋体" w:hAnsi="宋体" w:cs="宋体"/>
          <w:szCs w:val="21"/>
        </w:rPr>
      </w:pPr>
      <w:r>
        <w:rPr>
          <w:rFonts w:hint="eastAsia" w:ascii="宋体" w:hAnsi="宋体" w:cs="宋体"/>
          <w:szCs w:val="21"/>
        </w:rPr>
        <w:t>（5）采购</w:t>
      </w:r>
      <w:r>
        <w:rPr>
          <w:rFonts w:hint="eastAsia" w:ascii="宋体" w:hAnsi="宋体" w:cs="宋体"/>
          <w:szCs w:val="21"/>
          <w:lang w:val="en-US" w:eastAsia="zh-CN"/>
        </w:rPr>
        <w:t>内容</w:t>
      </w:r>
      <w:r>
        <w:rPr>
          <w:rFonts w:hint="eastAsia" w:ascii="宋体" w:hAnsi="宋体" w:cs="宋体"/>
          <w:szCs w:val="21"/>
        </w:rPr>
        <w:t>与要求；</w:t>
      </w:r>
    </w:p>
    <w:p w14:paraId="6C2E0E12">
      <w:pPr>
        <w:spacing w:line="360" w:lineRule="auto"/>
        <w:ind w:firstLine="0" w:firstLineChars="0"/>
        <w:rPr>
          <w:rFonts w:ascii="宋体" w:hAnsi="宋体" w:eastAsia="宋体" w:cs="宋体"/>
          <w:szCs w:val="21"/>
        </w:rPr>
      </w:pPr>
      <w:r>
        <w:rPr>
          <w:rFonts w:hint="eastAsia" w:ascii="宋体" w:hAnsi="宋体" w:cs="宋体"/>
          <w:szCs w:val="21"/>
        </w:rPr>
        <w:t>（6）竞争性磋商响应文件格式；</w:t>
      </w:r>
    </w:p>
    <w:p w14:paraId="34153507">
      <w:pPr>
        <w:spacing w:line="360" w:lineRule="auto"/>
        <w:ind w:firstLine="0" w:firstLineChars="0"/>
        <w:rPr>
          <w:rFonts w:ascii="宋体" w:hAnsi="宋体" w:cs="宋体"/>
          <w:szCs w:val="21"/>
        </w:rPr>
      </w:pPr>
      <w:r>
        <w:rPr>
          <w:rFonts w:hint="eastAsia" w:ascii="宋体" w:hAnsi="宋体" w:cs="宋体"/>
          <w:szCs w:val="21"/>
        </w:rPr>
        <w:t>（7）供应商须知前附表规定的其他材料。</w:t>
      </w:r>
    </w:p>
    <w:p w14:paraId="161CAED6">
      <w:pPr>
        <w:spacing w:line="360" w:lineRule="auto"/>
        <w:ind w:firstLine="0" w:firstLineChars="0"/>
        <w:rPr>
          <w:rFonts w:ascii="宋体" w:hAnsi="宋体" w:cs="宋体"/>
          <w:szCs w:val="21"/>
        </w:rPr>
      </w:pPr>
      <w:r>
        <w:rPr>
          <w:rFonts w:hint="eastAsia" w:ascii="宋体" w:hAnsi="宋体" w:cs="宋体"/>
          <w:szCs w:val="21"/>
        </w:rPr>
        <w:t>根据本章第2.2款和第2.3款对竞争性磋商文件所作的澄清、修改，构成竞争性磋商文件的组成部分。</w:t>
      </w:r>
    </w:p>
    <w:p w14:paraId="4719EB1F">
      <w:pPr>
        <w:pStyle w:val="73"/>
        <w:spacing w:line="360" w:lineRule="auto"/>
        <w:ind w:firstLine="0" w:firstLineChars="0"/>
        <w:outlineLvl w:val="0"/>
        <w:rPr>
          <w:rFonts w:ascii="宋体" w:hAnsi="宋体" w:eastAsia="宋体"/>
          <w:b/>
          <w:bCs/>
          <w:sz w:val="21"/>
          <w:szCs w:val="21"/>
        </w:rPr>
      </w:pPr>
      <w:bookmarkStart w:id="322" w:name="_Toc2133"/>
      <w:bookmarkStart w:id="323" w:name="_Toc4054"/>
      <w:bookmarkStart w:id="324" w:name="_Toc391"/>
      <w:bookmarkStart w:id="325" w:name="_Toc29229"/>
      <w:bookmarkStart w:id="326" w:name="_Toc14688"/>
      <w:bookmarkStart w:id="327" w:name="_Toc15658"/>
      <w:bookmarkStart w:id="328" w:name="_Toc152045546"/>
      <w:bookmarkStart w:id="329" w:name="_Toc152042322"/>
      <w:bookmarkStart w:id="330" w:name="_Toc144974514"/>
      <w:bookmarkStart w:id="331" w:name="_Toc455080124"/>
      <w:r>
        <w:rPr>
          <w:rFonts w:hint="eastAsia" w:ascii="宋体" w:hAnsi="宋体" w:eastAsia="宋体"/>
          <w:b/>
          <w:bCs/>
          <w:sz w:val="21"/>
          <w:szCs w:val="21"/>
        </w:rPr>
        <w:t>2.2 竞争性磋商文件的澄清</w:t>
      </w:r>
      <w:bookmarkEnd w:id="322"/>
      <w:bookmarkEnd w:id="323"/>
      <w:bookmarkEnd w:id="324"/>
      <w:bookmarkEnd w:id="325"/>
      <w:bookmarkEnd w:id="326"/>
      <w:bookmarkEnd w:id="327"/>
    </w:p>
    <w:p w14:paraId="09779A48">
      <w:pPr>
        <w:spacing w:line="400" w:lineRule="exact"/>
        <w:ind w:firstLine="0" w:firstLineChars="0"/>
        <w:rPr>
          <w:rFonts w:ascii="宋体" w:hAnsi="宋体" w:cs="宋体"/>
        </w:rPr>
      </w:pPr>
      <w:r>
        <w:rPr>
          <w:rFonts w:hint="eastAsia" w:ascii="宋体" w:hAnsi="宋体" w:cs="宋体"/>
        </w:rPr>
        <w:t>2.2.1供应商应仔细阅读和检查竞争性磋商文件的全部内容。</w:t>
      </w:r>
      <w:r>
        <w:rPr>
          <w:rFonts w:hint="eastAsia" w:ascii="宋体" w:hAnsi="宋体" w:cs="宋体"/>
          <w:szCs w:val="21"/>
        </w:rPr>
        <w:t>如发现缺页或附件不全，应及时向采购人提出，以便补齐。</w:t>
      </w:r>
      <w:r>
        <w:rPr>
          <w:rFonts w:hint="eastAsia" w:ascii="宋体" w:hAnsi="宋体" w:cs="宋体"/>
        </w:rPr>
        <w:t>如有疑问，应在供应商须知前附表规定的时间前</w:t>
      </w:r>
      <w:r>
        <w:rPr>
          <w:rFonts w:hint="eastAsia" w:ascii="宋体" w:hAnsi="宋体"/>
          <w:szCs w:val="21"/>
        </w:rPr>
        <w:t>以书面形式（包括信函、电报、传真等可以有形表现所载内容的形式，下同），</w:t>
      </w:r>
      <w:r>
        <w:rPr>
          <w:rFonts w:hint="eastAsia" w:ascii="宋体" w:hAnsi="宋体" w:cs="宋体"/>
        </w:rPr>
        <w:t>要求采购人对竞争性磋商文件予以澄清。</w:t>
      </w:r>
    </w:p>
    <w:p w14:paraId="422DE9C8">
      <w:pPr>
        <w:spacing w:line="400" w:lineRule="exact"/>
        <w:ind w:firstLine="0" w:firstLineChars="0"/>
        <w:rPr>
          <w:rFonts w:ascii="宋体" w:hAnsi="宋体" w:cs="宋体"/>
        </w:rPr>
      </w:pPr>
      <w:r>
        <w:rPr>
          <w:rFonts w:hint="eastAsia" w:ascii="宋体" w:hAnsi="宋体" w:cs="宋体"/>
        </w:rPr>
        <w:t>2.2.2 竞争性磋商文件的澄清将在供应商须知前附表规定的响应文件递交截止时间5天前在信阳市公共资源交易系统“变更公告”或“答疑文件”</w:t>
      </w:r>
      <w:r>
        <w:rPr>
          <w:rFonts w:hint="eastAsia" w:ascii="宋体" w:hAnsi="宋体"/>
          <w:szCs w:val="21"/>
        </w:rPr>
        <w:t>将澄清内容予以发布，</w:t>
      </w:r>
      <w:r>
        <w:rPr>
          <w:rFonts w:hint="eastAsia" w:ascii="宋体" w:hAnsi="宋体" w:cs="宋体"/>
        </w:rPr>
        <w:t>但不指明澄清问题的来源。如果澄清的内容可能影响响应文件编制且发出的时间距响应文件递交截止时间不足5天，相应延长投标截止时间。</w:t>
      </w:r>
    </w:p>
    <w:p w14:paraId="25190120">
      <w:pPr>
        <w:spacing w:line="360" w:lineRule="auto"/>
        <w:ind w:firstLine="0" w:firstLineChars="0"/>
      </w:pPr>
      <w:r>
        <w:rPr>
          <w:rFonts w:hint="eastAsia" w:ascii="宋体" w:hAnsi="宋体"/>
          <w:szCs w:val="21"/>
        </w:rPr>
        <w:t>2.2.3供应商应在响应文件递交截止时间前及时查看澄清内容，因供应商未及时查看而造成的后果自负。</w:t>
      </w:r>
    </w:p>
    <w:p w14:paraId="2F43C425">
      <w:pPr>
        <w:pStyle w:val="73"/>
        <w:spacing w:line="360" w:lineRule="auto"/>
        <w:ind w:firstLine="0" w:firstLineChars="0"/>
        <w:outlineLvl w:val="0"/>
        <w:rPr>
          <w:rFonts w:ascii="宋体" w:hAnsi="宋体" w:eastAsia="宋体"/>
          <w:b/>
          <w:bCs/>
          <w:sz w:val="21"/>
          <w:szCs w:val="21"/>
        </w:rPr>
      </w:pPr>
      <w:bookmarkStart w:id="332" w:name="_Toc6489"/>
      <w:bookmarkStart w:id="333" w:name="_Toc8263"/>
      <w:bookmarkStart w:id="334" w:name="_Toc27360"/>
      <w:bookmarkStart w:id="335" w:name="_Toc5672"/>
      <w:bookmarkStart w:id="336" w:name="_Toc1637"/>
      <w:bookmarkStart w:id="337" w:name="_Toc10140"/>
      <w:r>
        <w:rPr>
          <w:rFonts w:hint="eastAsia" w:ascii="宋体" w:hAnsi="宋体" w:eastAsia="宋体"/>
          <w:b/>
          <w:bCs/>
          <w:sz w:val="21"/>
          <w:szCs w:val="21"/>
        </w:rPr>
        <w:t>2.3 竞争性磋商文件的修改</w:t>
      </w:r>
      <w:bookmarkEnd w:id="332"/>
      <w:bookmarkEnd w:id="333"/>
      <w:bookmarkEnd w:id="334"/>
      <w:bookmarkEnd w:id="335"/>
      <w:bookmarkEnd w:id="336"/>
      <w:bookmarkEnd w:id="337"/>
    </w:p>
    <w:p w14:paraId="4EA8887A">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ascii="宋体" w:hAnsi="宋体" w:cs="宋体"/>
        </w:rPr>
      </w:pPr>
      <w:r>
        <w:rPr>
          <w:rFonts w:hint="eastAsia" w:ascii="宋体" w:hAnsi="宋体" w:cs="宋体"/>
        </w:rPr>
        <w:t>2.3.1 在响应文件递交截止时间5天前，采购人可以修改竞争性磋商文件。如有修改，应在信阳市公共资源交易系统“变更公告”或“答疑文件”</w:t>
      </w:r>
      <w:r>
        <w:rPr>
          <w:rFonts w:hint="eastAsia" w:ascii="宋体" w:hAnsi="宋体"/>
          <w:szCs w:val="21"/>
        </w:rPr>
        <w:t>将修改内容予以发布</w:t>
      </w:r>
      <w:r>
        <w:rPr>
          <w:rFonts w:hint="eastAsia" w:ascii="宋体" w:hAnsi="宋体" w:cs="宋体"/>
        </w:rPr>
        <w:t>。如果修改的内容可能影响响应文件编制且发出的时间距响应文件递交截止时间不足5天，相应延长响应文件递交截止时间。</w:t>
      </w:r>
    </w:p>
    <w:p w14:paraId="2EC10951">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ascii="宋体" w:hAnsi="宋体"/>
          <w:szCs w:val="21"/>
        </w:rPr>
      </w:pPr>
      <w:r>
        <w:rPr>
          <w:rFonts w:hint="eastAsia" w:ascii="宋体" w:hAnsi="宋体" w:cs="宋体"/>
        </w:rPr>
        <w:t>2.3.2当竞争性磋商文件的澄清、修改、补充等在同一内容的表述上不一致时，</w:t>
      </w:r>
      <w:r>
        <w:rPr>
          <w:rFonts w:hint="eastAsia" w:ascii="宋体" w:hAnsi="宋体"/>
          <w:szCs w:val="21"/>
        </w:rPr>
        <w:t>以最后在信阳市公共资源交易系统发出的文件为准。</w:t>
      </w:r>
    </w:p>
    <w:p w14:paraId="70C303B1">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pPr>
      <w:r>
        <w:rPr>
          <w:rFonts w:hint="eastAsia" w:ascii="宋体" w:hAnsi="宋体" w:cs="宋体"/>
        </w:rPr>
        <w:t>2.3.3</w:t>
      </w:r>
      <w:r>
        <w:rPr>
          <w:rFonts w:hint="eastAsia" w:ascii="宋体" w:hAnsi="宋体"/>
          <w:szCs w:val="21"/>
        </w:rPr>
        <w:t>供应商应在响应文件递交截止时间前及时查看修改内容，因供应商未及时查看而造成的后果自负。</w:t>
      </w:r>
    </w:p>
    <w:p w14:paraId="627C145B">
      <w:pPr>
        <w:pStyle w:val="72"/>
        <w:spacing w:line="360" w:lineRule="auto"/>
        <w:ind w:firstLine="0" w:firstLineChars="0"/>
        <w:rPr>
          <w:rFonts w:ascii="宋体" w:hAnsi="宋体" w:eastAsia="宋体"/>
          <w:b/>
          <w:bCs/>
          <w:sz w:val="21"/>
          <w:szCs w:val="21"/>
        </w:rPr>
      </w:pPr>
      <w:bookmarkStart w:id="338" w:name="_Toc4666"/>
      <w:bookmarkStart w:id="339" w:name="_Toc22547"/>
      <w:r>
        <w:rPr>
          <w:rFonts w:hint="eastAsia" w:ascii="宋体" w:hAnsi="宋体" w:eastAsia="宋体"/>
          <w:b/>
          <w:bCs/>
          <w:sz w:val="21"/>
          <w:szCs w:val="21"/>
        </w:rPr>
        <w:t xml:space="preserve">3. </w:t>
      </w:r>
      <w:bookmarkEnd w:id="328"/>
      <w:bookmarkEnd w:id="329"/>
      <w:bookmarkEnd w:id="330"/>
      <w:r>
        <w:rPr>
          <w:rFonts w:hint="eastAsia" w:ascii="宋体" w:hAnsi="宋体" w:eastAsia="宋体"/>
          <w:b/>
          <w:bCs/>
          <w:sz w:val="21"/>
          <w:szCs w:val="21"/>
        </w:rPr>
        <w:t>响应文件</w:t>
      </w:r>
      <w:bookmarkEnd w:id="331"/>
      <w:bookmarkEnd w:id="338"/>
      <w:bookmarkEnd w:id="339"/>
    </w:p>
    <w:p w14:paraId="73A7D72C">
      <w:pPr>
        <w:pStyle w:val="73"/>
        <w:spacing w:line="360" w:lineRule="auto"/>
        <w:ind w:firstLine="0" w:firstLineChars="0"/>
        <w:outlineLvl w:val="9"/>
        <w:rPr>
          <w:rFonts w:ascii="宋体" w:hAnsi="宋体" w:eastAsia="宋体"/>
          <w:b/>
          <w:bCs/>
          <w:sz w:val="21"/>
          <w:szCs w:val="21"/>
        </w:rPr>
      </w:pPr>
      <w:bookmarkStart w:id="340" w:name="_Toc15810"/>
      <w:bookmarkStart w:id="341" w:name="_Toc24440"/>
      <w:bookmarkStart w:id="342" w:name="_Toc15800"/>
      <w:bookmarkStart w:id="343" w:name="_Toc13674"/>
      <w:bookmarkStart w:id="344" w:name="_Toc152045547"/>
      <w:bookmarkStart w:id="345" w:name="_Toc318450691"/>
      <w:bookmarkStart w:id="346" w:name="_Toc32410"/>
      <w:bookmarkStart w:id="347" w:name="_Toc27373"/>
      <w:bookmarkStart w:id="348" w:name="_Toc9273"/>
      <w:bookmarkStart w:id="349" w:name="_Toc10096"/>
      <w:bookmarkStart w:id="350" w:name="_Toc490667844"/>
      <w:bookmarkStart w:id="351" w:name="_Toc152042323"/>
      <w:bookmarkStart w:id="352" w:name="_Toc16198"/>
      <w:bookmarkStart w:id="353" w:name="_Toc13956"/>
      <w:bookmarkStart w:id="354" w:name="_Toc144974515"/>
      <w:bookmarkStart w:id="355" w:name="_Toc28231"/>
      <w:r>
        <w:rPr>
          <w:rFonts w:hint="eastAsia" w:ascii="宋体" w:hAnsi="宋体" w:eastAsia="宋体"/>
          <w:b/>
          <w:bCs/>
          <w:sz w:val="21"/>
          <w:szCs w:val="21"/>
        </w:rPr>
        <w:t>3.1 响应文件的组成</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23C1B6B0">
      <w:pPr>
        <w:spacing w:line="360" w:lineRule="auto"/>
        <w:ind w:firstLine="420" w:firstLineChars="200"/>
        <w:rPr>
          <w:rFonts w:hint="eastAsia" w:ascii="宋体" w:hAnsi="宋体" w:cs="宋体"/>
          <w:b w:val="0"/>
          <w:bCs w:val="0"/>
          <w:szCs w:val="21"/>
        </w:rPr>
      </w:pPr>
      <w:bookmarkStart w:id="356" w:name="_Toc779"/>
      <w:bookmarkStart w:id="357" w:name="_Toc455867785"/>
      <w:bookmarkStart w:id="358" w:name="_Toc31931"/>
      <w:bookmarkStart w:id="359" w:name="_Toc466298108"/>
      <w:bookmarkStart w:id="360" w:name="_Toc31433"/>
      <w:bookmarkStart w:id="361" w:name="_Toc18750"/>
      <w:bookmarkStart w:id="362" w:name="_Toc8768"/>
      <w:bookmarkStart w:id="363" w:name="_Toc13280"/>
      <w:bookmarkStart w:id="364" w:name="_Toc22864"/>
      <w:bookmarkStart w:id="365" w:name="_Toc455080125"/>
      <w:bookmarkStart w:id="366" w:name="_Toc490667845"/>
      <w:bookmarkStart w:id="367" w:name="_Toc12237"/>
      <w:bookmarkStart w:id="368" w:name="_Toc318450692"/>
      <w:bookmarkStart w:id="369" w:name="_Toc144974516"/>
      <w:bookmarkStart w:id="370" w:name="_Toc152042324"/>
      <w:bookmarkStart w:id="371" w:name="_Toc279156232"/>
      <w:bookmarkStart w:id="372" w:name="_Toc26291"/>
      <w:bookmarkStart w:id="373" w:name="_Toc899"/>
      <w:bookmarkStart w:id="374" w:name="_Toc152045548"/>
      <w:r>
        <w:rPr>
          <w:rFonts w:hint="eastAsia" w:ascii="宋体" w:hAnsi="宋体" w:cs="宋体"/>
          <w:b w:val="0"/>
          <w:bCs w:val="0"/>
          <w:szCs w:val="21"/>
        </w:rPr>
        <w:t>详见第六章“响应文件格式”</w:t>
      </w:r>
      <w:bookmarkEnd w:id="356"/>
      <w:bookmarkEnd w:id="357"/>
      <w:bookmarkEnd w:id="358"/>
      <w:bookmarkEnd w:id="359"/>
      <w:bookmarkEnd w:id="360"/>
      <w:bookmarkEnd w:id="361"/>
      <w:bookmarkEnd w:id="362"/>
      <w:bookmarkEnd w:id="363"/>
      <w:bookmarkEnd w:id="364"/>
      <w:bookmarkEnd w:id="365"/>
      <w:bookmarkEnd w:id="366"/>
      <w:r>
        <w:rPr>
          <w:rFonts w:hint="eastAsia" w:ascii="宋体" w:hAnsi="宋体" w:cs="宋体"/>
          <w:b w:val="0"/>
          <w:bCs w:val="0"/>
          <w:szCs w:val="21"/>
        </w:rPr>
        <w:t>。</w:t>
      </w:r>
      <w:bookmarkEnd w:id="367"/>
    </w:p>
    <w:p w14:paraId="62E6FA05">
      <w:pPr>
        <w:spacing w:line="360" w:lineRule="auto"/>
        <w:ind w:firstLine="0" w:firstLineChars="0"/>
        <w:rPr>
          <w:rFonts w:ascii="宋体" w:hAnsi="宋体" w:cs="宋体"/>
          <w:b/>
          <w:bCs/>
          <w:szCs w:val="21"/>
        </w:rPr>
      </w:pPr>
      <w:r>
        <w:rPr>
          <w:rFonts w:hint="eastAsia" w:ascii="宋体" w:hAnsi="宋体" w:cs="宋体"/>
          <w:b/>
          <w:bCs/>
          <w:szCs w:val="21"/>
        </w:rPr>
        <w:t>3.2 磋商报价</w:t>
      </w:r>
      <w:bookmarkEnd w:id="368"/>
      <w:bookmarkEnd w:id="369"/>
      <w:bookmarkEnd w:id="370"/>
      <w:bookmarkEnd w:id="371"/>
      <w:bookmarkEnd w:id="372"/>
      <w:bookmarkEnd w:id="373"/>
      <w:bookmarkEnd w:id="374"/>
    </w:p>
    <w:p w14:paraId="7E13D359">
      <w:pPr>
        <w:tabs>
          <w:tab w:val="left" w:pos="0"/>
          <w:tab w:val="left" w:pos="1050"/>
        </w:tabs>
        <w:spacing w:line="440" w:lineRule="exact"/>
        <w:ind w:firstLine="0" w:firstLineChars="0"/>
        <w:rPr>
          <w:rFonts w:ascii="宋体" w:hAnsi="宋体" w:cs="宋体"/>
          <w:szCs w:val="21"/>
        </w:rPr>
      </w:pPr>
      <w:bookmarkStart w:id="375" w:name="_Toc12402"/>
      <w:bookmarkStart w:id="376" w:name="_Toc11968"/>
      <w:bookmarkStart w:id="377" w:name="_Toc7105"/>
      <w:bookmarkStart w:id="378" w:name="_Toc455867786"/>
      <w:bookmarkStart w:id="379" w:name="_Toc21600"/>
      <w:bookmarkStart w:id="380" w:name="_Toc152042325"/>
      <w:bookmarkStart w:id="381" w:name="_Toc6105"/>
      <w:bookmarkStart w:id="382" w:name="_Toc152045549"/>
      <w:bookmarkStart w:id="383" w:name="_Toc455080126"/>
      <w:bookmarkStart w:id="384" w:name="_Toc2425"/>
      <w:bookmarkStart w:id="385" w:name="_Toc29133"/>
      <w:bookmarkStart w:id="386" w:name="_Toc466298109"/>
      <w:bookmarkStart w:id="387" w:name="_Toc7910"/>
      <w:bookmarkStart w:id="388" w:name="_Toc318450693"/>
      <w:bookmarkStart w:id="389" w:name="_Toc25387"/>
      <w:bookmarkStart w:id="390" w:name="_Toc490667846"/>
      <w:bookmarkStart w:id="391" w:name="_Toc144974517"/>
      <w:bookmarkStart w:id="392" w:name="_Toc3624"/>
      <w:bookmarkStart w:id="393" w:name="_Toc21680"/>
      <w:r>
        <w:rPr>
          <w:rFonts w:hint="eastAsia" w:ascii="宋体" w:hAnsi="宋体" w:cs="宋体"/>
          <w:szCs w:val="21"/>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本，分二次报价：第一次报价必须按照竞争性磋商文件的报价格式填报，第二次报价在磋商中填报，第二次报价（不得高于第一次报价）即为最终报价</w:t>
      </w:r>
      <w:bookmarkEnd w:id="375"/>
      <w:r>
        <w:rPr>
          <w:rFonts w:hint="eastAsia" w:ascii="宋体" w:hAnsi="宋体" w:cs="宋体"/>
          <w:szCs w:val="21"/>
        </w:rPr>
        <w:t>。</w:t>
      </w:r>
    </w:p>
    <w:p w14:paraId="7735CB23">
      <w:pPr>
        <w:tabs>
          <w:tab w:val="left" w:pos="0"/>
          <w:tab w:val="left" w:pos="1050"/>
        </w:tabs>
        <w:spacing w:line="440" w:lineRule="exact"/>
        <w:ind w:firstLine="0" w:firstLineChars="0"/>
        <w:rPr>
          <w:rFonts w:ascii="宋体" w:hAnsi="宋体" w:cs="宋体"/>
          <w:szCs w:val="21"/>
        </w:rPr>
      </w:pPr>
      <w:r>
        <w:rPr>
          <w:rFonts w:hint="eastAsia" w:ascii="宋体" w:hAnsi="宋体" w:cs="宋体"/>
          <w:szCs w:val="21"/>
        </w:rPr>
        <w:t>3.2.2供应商应充分了解该项目的总体情况以及影响磋商报价的其它要素，考虑供货期间的价格风险因素，成交价在合同实施期内不得调整，同时也不因市场价格变动而调整。</w:t>
      </w:r>
    </w:p>
    <w:p w14:paraId="151EDD1F">
      <w:pPr>
        <w:tabs>
          <w:tab w:val="left" w:pos="0"/>
          <w:tab w:val="left" w:pos="1050"/>
        </w:tabs>
        <w:spacing w:line="440" w:lineRule="exact"/>
        <w:ind w:firstLine="0" w:firstLineChars="0"/>
        <w:rPr>
          <w:rFonts w:ascii="宋体" w:hAnsi="宋体" w:cs="宋体"/>
          <w:szCs w:val="21"/>
        </w:rPr>
      </w:pPr>
      <w:r>
        <w:rPr>
          <w:rFonts w:hint="eastAsia" w:ascii="宋体" w:hAnsi="宋体" w:cs="宋体"/>
          <w:szCs w:val="21"/>
        </w:rPr>
        <w:t>3.2.3 响应报价表中的大写金额和小写金额不一致的，以大写金额为准。</w:t>
      </w:r>
    </w:p>
    <w:p w14:paraId="63A2E443">
      <w:pPr>
        <w:tabs>
          <w:tab w:val="left" w:pos="0"/>
          <w:tab w:val="left" w:pos="1050"/>
        </w:tabs>
        <w:spacing w:line="440" w:lineRule="exact"/>
        <w:ind w:firstLine="0" w:firstLineChars="0"/>
        <w:rPr>
          <w:rFonts w:ascii="宋体" w:hAnsi="宋体" w:cs="宋体"/>
          <w:b/>
          <w:bCs/>
          <w:szCs w:val="21"/>
        </w:rPr>
      </w:pPr>
      <w:r>
        <w:rPr>
          <w:rFonts w:hint="eastAsia" w:ascii="宋体" w:hAnsi="宋体" w:cs="宋体"/>
          <w:szCs w:val="21"/>
        </w:rPr>
        <w:t>3.2.4供应商的报价明显低于其他通过符合性审查供应商的报价，有可能影响产品质量或者不能诚信履约的，磋商委员会应当要求其在磋商现场</w:t>
      </w:r>
      <w:r>
        <w:rPr>
          <w:rFonts w:hint="eastAsia" w:ascii="宋体" w:hAnsi="宋体" w:cs="宋体"/>
          <w:kern w:val="0"/>
          <w:szCs w:val="21"/>
        </w:rPr>
        <w:t>（或电子交易系统）</w:t>
      </w:r>
      <w:r>
        <w:rPr>
          <w:rFonts w:hint="eastAsia" w:ascii="宋体" w:hAnsi="宋体" w:cs="宋体"/>
          <w:szCs w:val="21"/>
        </w:rPr>
        <w:t>合理的时间内提供书面说明</w:t>
      </w:r>
      <w:r>
        <w:rPr>
          <w:rFonts w:hint="eastAsia" w:ascii="宋体" w:hAnsi="宋体" w:cs="宋体"/>
          <w:kern w:val="0"/>
          <w:szCs w:val="21"/>
        </w:rPr>
        <w:t>（或电子澄清说明文件）</w:t>
      </w:r>
      <w:r>
        <w:rPr>
          <w:rFonts w:hint="eastAsia" w:ascii="宋体" w:hAnsi="宋体" w:cs="宋体"/>
          <w:szCs w:val="21"/>
        </w:rPr>
        <w:t xml:space="preserve">，必要时提交相关证明材料；供应商不能证明其报价合理性的，磋商委员会应当将其作为无效投标处理。 </w:t>
      </w:r>
    </w:p>
    <w:p w14:paraId="61CFBBDC">
      <w:pPr>
        <w:pStyle w:val="73"/>
        <w:spacing w:line="360" w:lineRule="auto"/>
        <w:ind w:firstLine="0" w:firstLineChars="0"/>
        <w:outlineLvl w:val="0"/>
        <w:rPr>
          <w:rFonts w:ascii="宋体" w:hAnsi="宋体" w:eastAsia="宋体"/>
          <w:b/>
          <w:bCs/>
          <w:sz w:val="21"/>
          <w:szCs w:val="21"/>
        </w:rPr>
      </w:pPr>
      <w:bookmarkStart w:id="394" w:name="_Toc31811"/>
      <w:bookmarkStart w:id="395" w:name="_Toc11851"/>
      <w:bookmarkStart w:id="396" w:name="_Toc21628"/>
      <w:bookmarkStart w:id="397" w:name="_Toc13240"/>
      <w:bookmarkStart w:id="398" w:name="_Toc22930"/>
      <w:r>
        <w:rPr>
          <w:rFonts w:hint="eastAsia" w:ascii="宋体" w:hAnsi="宋体" w:eastAsia="宋体"/>
          <w:b/>
          <w:bCs/>
          <w:sz w:val="21"/>
          <w:szCs w:val="21"/>
        </w:rPr>
        <w:t>3.3 磋商有效期</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17603523">
      <w:pPr>
        <w:spacing w:line="360" w:lineRule="auto"/>
        <w:ind w:firstLine="0" w:firstLineChars="0"/>
        <w:rPr>
          <w:rFonts w:ascii="宋体" w:hAnsi="宋体" w:cs="宋体"/>
          <w:szCs w:val="21"/>
        </w:rPr>
      </w:pPr>
      <w:r>
        <w:rPr>
          <w:rFonts w:hint="eastAsia" w:ascii="宋体" w:hAnsi="宋体" w:cs="宋体"/>
          <w:szCs w:val="21"/>
        </w:rPr>
        <w:t>3.3.1 在供应商须知前附表规定的磋商有效期内，供应商不得要求撤销或修改其响应文件。</w:t>
      </w:r>
    </w:p>
    <w:p w14:paraId="6A019B5A">
      <w:pPr>
        <w:spacing w:line="360" w:lineRule="auto"/>
        <w:ind w:firstLine="0" w:firstLineChars="0"/>
        <w:rPr>
          <w:rFonts w:ascii="宋体" w:hAnsi="宋体" w:cs="宋体"/>
          <w:szCs w:val="21"/>
        </w:rPr>
      </w:pPr>
      <w:r>
        <w:rPr>
          <w:rFonts w:hint="eastAsia" w:ascii="宋体" w:hAnsi="宋体" w:cs="宋体"/>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33C32D50">
      <w:pPr>
        <w:pStyle w:val="73"/>
        <w:spacing w:line="360" w:lineRule="auto"/>
        <w:ind w:firstLine="0" w:firstLineChars="0"/>
        <w:outlineLvl w:val="0"/>
        <w:rPr>
          <w:rFonts w:ascii="宋体" w:hAnsi="宋体" w:eastAsia="宋体"/>
          <w:b/>
          <w:bCs/>
          <w:sz w:val="21"/>
          <w:szCs w:val="21"/>
        </w:rPr>
      </w:pPr>
      <w:bookmarkStart w:id="399" w:name="_Toc455080127"/>
      <w:bookmarkStart w:id="400" w:name="_Toc2505"/>
      <w:bookmarkStart w:id="401" w:name="_Toc455867787"/>
      <w:bookmarkStart w:id="402" w:name="_Toc22634"/>
      <w:bookmarkStart w:id="403" w:name="_Toc144974518"/>
      <w:bookmarkStart w:id="404" w:name="_Toc490667847"/>
      <w:bookmarkStart w:id="405" w:name="_Toc7973"/>
      <w:bookmarkStart w:id="406" w:name="_Toc318450694"/>
      <w:bookmarkStart w:id="407" w:name="_Toc8406"/>
      <w:bookmarkStart w:id="408" w:name="_Toc7057"/>
      <w:bookmarkStart w:id="409" w:name="_Toc30697"/>
      <w:bookmarkStart w:id="410" w:name="_Toc466298110"/>
      <w:bookmarkStart w:id="411" w:name="_Toc7618"/>
      <w:bookmarkStart w:id="412" w:name="_Toc4165"/>
      <w:bookmarkStart w:id="413" w:name="_Toc152042326"/>
      <w:bookmarkStart w:id="414" w:name="_Toc152045550"/>
      <w:bookmarkStart w:id="415" w:name="_Toc10370"/>
      <w:bookmarkStart w:id="416" w:name="_Toc13921"/>
      <w:bookmarkStart w:id="417" w:name="_Toc24456"/>
      <w:bookmarkStart w:id="418" w:name="_Toc7436"/>
      <w:bookmarkStart w:id="419" w:name="_Toc13403"/>
      <w:bookmarkStart w:id="420" w:name="_Toc24281"/>
      <w:bookmarkStart w:id="421" w:name="_Toc11372"/>
      <w:r>
        <w:rPr>
          <w:rFonts w:hint="eastAsia" w:ascii="宋体" w:hAnsi="宋体" w:eastAsia="宋体"/>
          <w:b/>
          <w:bCs/>
          <w:sz w:val="21"/>
          <w:szCs w:val="21"/>
        </w:rPr>
        <w:t>3.4 磋商保证金</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Start w:id="422" w:name="_Toc152042328"/>
      <w:bookmarkStart w:id="423" w:name="_Toc144974520"/>
      <w:bookmarkStart w:id="424" w:name="_Toc152045552"/>
      <w:bookmarkStart w:id="425" w:name="_Toc318450695"/>
      <w:r>
        <w:rPr>
          <w:rFonts w:hint="eastAsia" w:ascii="宋体" w:hAnsi="宋体" w:eastAsia="宋体"/>
          <w:b/>
          <w:bCs/>
          <w:sz w:val="21"/>
          <w:szCs w:val="21"/>
        </w:rPr>
        <w:t>：无。</w:t>
      </w:r>
      <w:bookmarkEnd w:id="416"/>
      <w:bookmarkEnd w:id="417"/>
      <w:bookmarkEnd w:id="418"/>
      <w:bookmarkEnd w:id="419"/>
      <w:bookmarkEnd w:id="420"/>
      <w:bookmarkEnd w:id="421"/>
    </w:p>
    <w:p w14:paraId="05757F7B">
      <w:pPr>
        <w:pStyle w:val="73"/>
        <w:spacing w:line="360" w:lineRule="auto"/>
        <w:ind w:firstLine="0" w:firstLineChars="0"/>
        <w:outlineLvl w:val="0"/>
        <w:rPr>
          <w:rFonts w:ascii="宋体" w:hAnsi="宋体" w:eastAsia="宋体"/>
          <w:b/>
          <w:bCs/>
          <w:sz w:val="21"/>
          <w:szCs w:val="21"/>
        </w:rPr>
      </w:pPr>
      <w:bookmarkStart w:id="426" w:name="_Toc17148"/>
      <w:bookmarkStart w:id="427" w:name="_Toc2794"/>
      <w:bookmarkStart w:id="428" w:name="_Toc29082"/>
      <w:bookmarkStart w:id="429" w:name="_Toc15547"/>
      <w:bookmarkStart w:id="430" w:name="_Toc466298111"/>
      <w:bookmarkStart w:id="431" w:name="_Toc20328"/>
      <w:bookmarkStart w:id="432" w:name="_Toc27579"/>
      <w:bookmarkStart w:id="433" w:name="_Toc22527"/>
      <w:bookmarkStart w:id="434" w:name="_Toc16747"/>
      <w:bookmarkStart w:id="435" w:name="_Toc22384"/>
      <w:bookmarkStart w:id="436" w:name="_Toc17153"/>
      <w:bookmarkStart w:id="437" w:name="_Toc23136"/>
      <w:bookmarkStart w:id="438" w:name="_Toc13680"/>
      <w:bookmarkStart w:id="439" w:name="_Toc11077"/>
      <w:bookmarkStart w:id="440" w:name="_Toc31935"/>
      <w:bookmarkStart w:id="441" w:name="_Toc490667848"/>
      <w:bookmarkStart w:id="442" w:name="_Toc455867788"/>
      <w:bookmarkStart w:id="443" w:name="_Toc30696"/>
      <w:bookmarkStart w:id="444" w:name="_Toc455080128"/>
      <w:r>
        <w:rPr>
          <w:rFonts w:hint="eastAsia" w:ascii="宋体" w:hAnsi="宋体" w:eastAsia="宋体"/>
          <w:b/>
          <w:bCs/>
          <w:sz w:val="21"/>
          <w:szCs w:val="21"/>
        </w:rPr>
        <w:t>3.5资格审查资料</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200A7EFE">
      <w:pPr>
        <w:pStyle w:val="73"/>
        <w:spacing w:line="360" w:lineRule="auto"/>
        <w:ind w:firstLine="0" w:firstLineChars="0"/>
        <w:outlineLvl w:val="0"/>
        <w:rPr>
          <w:rFonts w:ascii="宋体" w:hAnsi="宋体" w:eastAsia="宋体"/>
          <w:sz w:val="21"/>
          <w:szCs w:val="21"/>
        </w:rPr>
      </w:pPr>
      <w:bookmarkStart w:id="445" w:name="_Toc4586"/>
      <w:bookmarkStart w:id="446" w:name="_Toc10160"/>
      <w:bookmarkStart w:id="447" w:name="_Toc1848"/>
      <w:bookmarkStart w:id="448" w:name="_Toc13787"/>
      <w:bookmarkStart w:id="449" w:name="_Toc20557"/>
      <w:bookmarkStart w:id="450" w:name="_Toc933"/>
      <w:bookmarkStart w:id="451" w:name="_Toc30442"/>
      <w:bookmarkStart w:id="452" w:name="_Toc152045553"/>
      <w:bookmarkStart w:id="453" w:name="_Toc5132"/>
      <w:bookmarkStart w:id="454" w:name="_Toc19724"/>
      <w:bookmarkStart w:id="455" w:name="_Toc144974521"/>
      <w:bookmarkStart w:id="456" w:name="_Toc26258"/>
      <w:bookmarkStart w:id="457" w:name="_Toc1228"/>
      <w:bookmarkStart w:id="458" w:name="_Toc318450696"/>
      <w:bookmarkStart w:id="459" w:name="_Toc3286"/>
      <w:bookmarkStart w:id="460" w:name="_Toc18915"/>
      <w:bookmarkStart w:id="461" w:name="_Toc11694"/>
      <w:bookmarkStart w:id="462" w:name="_Toc152042329"/>
      <w:bookmarkStart w:id="463" w:name="_Toc466298112"/>
      <w:bookmarkStart w:id="464" w:name="_Toc455080129"/>
      <w:bookmarkStart w:id="465" w:name="_Toc9015"/>
      <w:bookmarkStart w:id="466" w:name="_Toc455867789"/>
      <w:bookmarkStart w:id="467" w:name="_Toc490667849"/>
      <w:r>
        <w:rPr>
          <w:rFonts w:hint="eastAsia" w:ascii="宋体" w:hAnsi="宋体" w:eastAsia="宋体"/>
          <w:sz w:val="21"/>
          <w:szCs w:val="21"/>
        </w:rPr>
        <w:t>按照第二章供应商须知表“供应商须知前附表”1.5.1要求，提供其他相关材料。</w:t>
      </w:r>
      <w:bookmarkEnd w:id="445"/>
      <w:bookmarkEnd w:id="446"/>
      <w:bookmarkEnd w:id="447"/>
      <w:bookmarkEnd w:id="448"/>
      <w:bookmarkEnd w:id="449"/>
      <w:bookmarkEnd w:id="450"/>
    </w:p>
    <w:p w14:paraId="5721443E">
      <w:pPr>
        <w:pStyle w:val="73"/>
        <w:spacing w:line="360" w:lineRule="auto"/>
        <w:ind w:firstLine="0" w:firstLineChars="0"/>
        <w:outlineLvl w:val="0"/>
        <w:rPr>
          <w:rFonts w:ascii="宋体" w:hAnsi="宋体" w:eastAsia="宋体"/>
          <w:b/>
          <w:bCs/>
          <w:sz w:val="21"/>
          <w:szCs w:val="21"/>
        </w:rPr>
      </w:pPr>
      <w:bookmarkStart w:id="468" w:name="_Toc24976"/>
      <w:bookmarkStart w:id="469" w:name="_Toc2472"/>
      <w:bookmarkStart w:id="470" w:name="_Toc24859"/>
      <w:bookmarkStart w:id="471" w:name="_Toc9338"/>
      <w:bookmarkStart w:id="472" w:name="_Toc3034"/>
      <w:bookmarkStart w:id="473" w:name="_Toc27283"/>
      <w:r>
        <w:rPr>
          <w:rFonts w:hint="eastAsia" w:ascii="宋体" w:hAnsi="宋体" w:eastAsia="宋体"/>
          <w:b/>
          <w:bCs/>
          <w:sz w:val="21"/>
          <w:szCs w:val="21"/>
        </w:rPr>
        <w:t>3.6 备选方案</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1E1D9047">
      <w:pPr>
        <w:spacing w:line="360" w:lineRule="auto"/>
        <w:ind w:firstLine="0" w:firstLineChars="0"/>
        <w:rPr>
          <w:rFonts w:ascii="宋体" w:hAnsi="宋体" w:cs="宋体"/>
          <w:szCs w:val="21"/>
        </w:rPr>
      </w:pPr>
      <w:r>
        <w:rPr>
          <w:rFonts w:hint="eastAsia" w:ascii="宋体" w:hAnsi="宋体" w:cs="宋体"/>
          <w:szCs w:val="21"/>
        </w:rPr>
        <w:t>除供应商须知前附表另有规定外，供应商不得递交备选磋商方案。</w:t>
      </w:r>
    </w:p>
    <w:p w14:paraId="42959C0F">
      <w:pPr>
        <w:pStyle w:val="73"/>
        <w:spacing w:line="360" w:lineRule="auto"/>
        <w:ind w:firstLine="0" w:firstLineChars="0"/>
        <w:outlineLvl w:val="0"/>
        <w:rPr>
          <w:rFonts w:ascii="宋体" w:hAnsi="宋体" w:eastAsia="宋体"/>
          <w:b/>
          <w:bCs/>
          <w:sz w:val="21"/>
          <w:szCs w:val="21"/>
        </w:rPr>
      </w:pPr>
      <w:bookmarkStart w:id="474" w:name="_Toc18141"/>
      <w:bookmarkStart w:id="475" w:name="_Toc455080130"/>
      <w:bookmarkStart w:id="476" w:name="_Toc318450697"/>
      <w:bookmarkStart w:id="477" w:name="_Toc5516"/>
      <w:bookmarkStart w:id="478" w:name="_Toc17697"/>
      <w:bookmarkStart w:id="479" w:name="_Toc1358"/>
      <w:bookmarkStart w:id="480" w:name="_Toc18912"/>
      <w:bookmarkStart w:id="481" w:name="_Toc7966"/>
      <w:bookmarkStart w:id="482" w:name="_Toc466298113"/>
      <w:bookmarkStart w:id="483" w:name="_Toc12275"/>
      <w:bookmarkStart w:id="484" w:name="_Toc152042330"/>
      <w:bookmarkStart w:id="485" w:name="_Toc28656"/>
      <w:bookmarkStart w:id="486" w:name="_Toc6323"/>
      <w:bookmarkStart w:id="487" w:name="_Toc455867790"/>
      <w:bookmarkStart w:id="488" w:name="_Toc8143"/>
      <w:bookmarkStart w:id="489" w:name="_Toc7626"/>
      <w:bookmarkStart w:id="490" w:name="_Toc10246"/>
      <w:bookmarkStart w:id="491" w:name="_Toc12541"/>
      <w:bookmarkStart w:id="492" w:name="_Toc144974522"/>
      <w:bookmarkStart w:id="493" w:name="_Toc490667850"/>
      <w:bookmarkStart w:id="494" w:name="_Toc22454"/>
      <w:bookmarkStart w:id="495" w:name="_Toc25620"/>
      <w:bookmarkStart w:id="496" w:name="_Toc152045554"/>
      <w:r>
        <w:rPr>
          <w:rFonts w:hint="eastAsia" w:ascii="宋体" w:hAnsi="宋体" w:eastAsia="宋体"/>
          <w:b/>
          <w:bCs/>
          <w:sz w:val="21"/>
          <w:szCs w:val="21"/>
        </w:rPr>
        <w:t>3.7 响应文件的编制</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2ECB6863">
      <w:pPr>
        <w:spacing w:line="360" w:lineRule="auto"/>
        <w:ind w:firstLine="0" w:firstLineChars="0"/>
        <w:rPr>
          <w:rFonts w:ascii="宋体" w:hAnsi="宋体" w:cs="宋体"/>
          <w:szCs w:val="21"/>
        </w:rPr>
      </w:pPr>
      <w:bookmarkStart w:id="497" w:name="_Toc144974523"/>
      <w:bookmarkStart w:id="498" w:name="_Toc152045555"/>
      <w:bookmarkStart w:id="499" w:name="_Toc152042331"/>
      <w:bookmarkStart w:id="500" w:name="_Toc455080131"/>
      <w:r>
        <w:rPr>
          <w:rFonts w:hint="eastAsia" w:ascii="宋体" w:hAnsi="宋体" w:cs="宋体"/>
          <w:szCs w:val="21"/>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7D91BD7B">
      <w:pPr>
        <w:spacing w:line="360" w:lineRule="auto"/>
        <w:ind w:firstLine="0" w:firstLineChars="0"/>
        <w:rPr>
          <w:rFonts w:ascii="宋体" w:hAnsi="宋体" w:cs="宋体"/>
          <w:szCs w:val="21"/>
        </w:rPr>
      </w:pPr>
      <w:r>
        <w:rPr>
          <w:rFonts w:hint="eastAsia" w:ascii="宋体" w:hAnsi="宋体" w:cs="宋体"/>
          <w:szCs w:val="21"/>
        </w:rPr>
        <w:t>3.7.2 响应文件应当对竞争性磋商文件有关交货期、磋商有效期、质量要求、磋商内容作出响应。</w:t>
      </w:r>
    </w:p>
    <w:p w14:paraId="2CEBED4C">
      <w:pPr>
        <w:spacing w:line="360" w:lineRule="auto"/>
        <w:ind w:firstLine="0" w:firstLineChars="0"/>
        <w:rPr>
          <w:rFonts w:ascii="宋体" w:hAnsi="宋体" w:cs="宋体"/>
          <w:szCs w:val="21"/>
        </w:rPr>
      </w:pPr>
      <w:r>
        <w:rPr>
          <w:rFonts w:hint="eastAsia" w:ascii="宋体" w:hAnsi="宋体" w:cs="宋体"/>
          <w:szCs w:val="21"/>
        </w:rPr>
        <w:t>3.7.3</w:t>
      </w:r>
      <w:r>
        <w:rPr>
          <w:rFonts w:hint="eastAsia" w:ascii="宋体" w:hAnsi="宋体" w:cs="宋体"/>
          <w:szCs w:val="21"/>
          <w:highlight w:val="white"/>
        </w:rPr>
        <w:t>响应文件应使用信阳市公共资源交易系统投标文件制作专用工具软件编制，竞争性磋商响应文件格式为“*.XYTF”。电子响应文件</w:t>
      </w:r>
      <w:r>
        <w:rPr>
          <w:rFonts w:hint="eastAsia" w:ascii="宋体" w:hAnsi="宋体" w:cs="宋体"/>
          <w:szCs w:val="21"/>
        </w:rPr>
        <w:t>签字或盖章的具体要求见供应商须知前附表。）供应商须在响应文件递交截止时间前制作并提交。</w:t>
      </w:r>
    </w:p>
    <w:p w14:paraId="2A768774">
      <w:pPr>
        <w:spacing w:line="360" w:lineRule="auto"/>
        <w:ind w:firstLine="0" w:firstLineChars="0"/>
        <w:rPr>
          <w:rFonts w:ascii="宋体" w:hAnsi="宋体" w:cs="宋体"/>
          <w:highlight w:val="white"/>
        </w:rPr>
      </w:pPr>
      <w:r>
        <w:rPr>
          <w:rFonts w:hint="eastAsia" w:ascii="宋体" w:hAnsi="宋体" w:cs="宋体"/>
          <w:szCs w:val="21"/>
        </w:rPr>
        <w:t xml:space="preserve"> 3.7.4 响应文件份数见供应商须知前附表。</w:t>
      </w:r>
    </w:p>
    <w:p w14:paraId="10F19A3B">
      <w:pPr>
        <w:pStyle w:val="72"/>
        <w:spacing w:line="360" w:lineRule="auto"/>
        <w:ind w:firstLine="0" w:firstLineChars="0"/>
        <w:rPr>
          <w:rFonts w:ascii="宋体" w:hAnsi="宋体" w:eastAsia="宋体"/>
          <w:b/>
          <w:bCs/>
          <w:sz w:val="21"/>
          <w:szCs w:val="21"/>
        </w:rPr>
      </w:pPr>
      <w:bookmarkStart w:id="501" w:name="_Toc18951"/>
      <w:bookmarkStart w:id="502" w:name="_Toc19433"/>
      <w:r>
        <w:rPr>
          <w:rFonts w:hint="eastAsia" w:ascii="宋体" w:hAnsi="宋体" w:eastAsia="宋体"/>
          <w:b/>
          <w:bCs/>
          <w:sz w:val="21"/>
          <w:szCs w:val="21"/>
        </w:rPr>
        <w:t xml:space="preserve">4. </w:t>
      </w:r>
      <w:bookmarkEnd w:id="497"/>
      <w:bookmarkEnd w:id="498"/>
      <w:bookmarkEnd w:id="499"/>
      <w:bookmarkEnd w:id="500"/>
      <w:r>
        <w:rPr>
          <w:rFonts w:hint="eastAsia" w:ascii="宋体" w:hAnsi="宋体" w:eastAsia="宋体"/>
          <w:b/>
          <w:bCs/>
          <w:sz w:val="21"/>
          <w:szCs w:val="21"/>
        </w:rPr>
        <w:t>磋商</w:t>
      </w:r>
      <w:bookmarkEnd w:id="501"/>
      <w:bookmarkEnd w:id="502"/>
    </w:p>
    <w:p w14:paraId="12ABF420">
      <w:pPr>
        <w:pStyle w:val="73"/>
        <w:spacing w:line="360" w:lineRule="auto"/>
        <w:ind w:firstLine="0" w:firstLineChars="0"/>
        <w:outlineLvl w:val="0"/>
        <w:rPr>
          <w:rFonts w:ascii="宋体" w:hAnsi="宋体" w:eastAsia="宋体"/>
          <w:b/>
          <w:bCs/>
          <w:sz w:val="21"/>
          <w:szCs w:val="21"/>
        </w:rPr>
      </w:pPr>
      <w:bookmarkStart w:id="503" w:name="_Toc26550"/>
      <w:bookmarkStart w:id="504" w:name="_Toc16783"/>
      <w:bookmarkStart w:id="505" w:name="_Toc455080132"/>
      <w:bookmarkStart w:id="506" w:name="_Toc466298115"/>
      <w:bookmarkStart w:id="507" w:name="_Toc455867792"/>
      <w:bookmarkStart w:id="508" w:name="_Toc22961"/>
      <w:bookmarkStart w:id="509" w:name="_Toc18820"/>
      <w:bookmarkStart w:id="510" w:name="_Toc152042332"/>
      <w:bookmarkStart w:id="511" w:name="_Toc16962"/>
      <w:bookmarkStart w:id="512" w:name="_Toc318450699"/>
      <w:bookmarkStart w:id="513" w:name="_Toc152045556"/>
      <w:bookmarkStart w:id="514" w:name="_Toc11243"/>
      <w:bookmarkStart w:id="515" w:name="_Toc26583"/>
      <w:bookmarkStart w:id="516" w:name="_Toc16344"/>
      <w:bookmarkStart w:id="517" w:name="_Toc31492"/>
      <w:bookmarkStart w:id="518" w:name="_Toc144974524"/>
      <w:bookmarkStart w:id="519" w:name="_Toc490667852"/>
      <w:bookmarkStart w:id="520" w:name="_Toc29366"/>
      <w:bookmarkStart w:id="521" w:name="_Toc25812"/>
      <w:bookmarkStart w:id="522" w:name="_Toc24560"/>
      <w:bookmarkStart w:id="523" w:name="_Toc21145"/>
      <w:bookmarkStart w:id="524" w:name="_Toc7666"/>
      <w:bookmarkStart w:id="525" w:name="_Toc9644"/>
      <w:r>
        <w:rPr>
          <w:rFonts w:hint="eastAsia" w:ascii="宋体" w:hAnsi="宋体" w:eastAsia="宋体"/>
          <w:b/>
          <w:bCs/>
          <w:sz w:val="21"/>
          <w:szCs w:val="21"/>
        </w:rPr>
        <w:t>4.1 响应文件的</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Pr>
          <w:rFonts w:hint="eastAsia" w:ascii="宋体" w:hAnsi="宋体" w:eastAsia="宋体"/>
          <w:b/>
          <w:bCs/>
          <w:sz w:val="21"/>
          <w:szCs w:val="21"/>
        </w:rPr>
        <w:t>上传</w:t>
      </w:r>
      <w:bookmarkEnd w:id="520"/>
      <w:bookmarkEnd w:id="521"/>
      <w:bookmarkEnd w:id="522"/>
      <w:bookmarkEnd w:id="523"/>
      <w:bookmarkEnd w:id="524"/>
      <w:bookmarkEnd w:id="525"/>
    </w:p>
    <w:p w14:paraId="194264F4">
      <w:pPr>
        <w:spacing w:line="360" w:lineRule="auto"/>
        <w:ind w:firstLine="0" w:firstLineChars="0"/>
        <w:rPr>
          <w:rFonts w:ascii="宋体" w:hAnsi="宋体"/>
          <w:szCs w:val="21"/>
        </w:rPr>
      </w:pPr>
      <w:r>
        <w:rPr>
          <w:rFonts w:hint="eastAsia" w:ascii="宋体" w:hAnsi="宋体" w:cs="宋体"/>
          <w:szCs w:val="21"/>
        </w:rPr>
        <w:t>4.1.1网上上传的电子响应文件应使用供应商数字证书认证并加密</w:t>
      </w:r>
      <w:r>
        <w:rPr>
          <w:rFonts w:hint="eastAsia" w:ascii="宋体" w:hAnsi="宋体"/>
          <w:szCs w:val="21"/>
        </w:rPr>
        <w:t>。</w:t>
      </w:r>
    </w:p>
    <w:p w14:paraId="3C0498A0">
      <w:pPr>
        <w:pStyle w:val="73"/>
        <w:spacing w:line="360" w:lineRule="auto"/>
        <w:ind w:firstLine="0" w:firstLineChars="0"/>
        <w:outlineLvl w:val="0"/>
        <w:rPr>
          <w:rFonts w:ascii="宋体" w:hAnsi="宋体" w:eastAsia="宋体"/>
          <w:b/>
          <w:bCs/>
          <w:sz w:val="21"/>
          <w:szCs w:val="21"/>
        </w:rPr>
      </w:pPr>
      <w:bookmarkStart w:id="526" w:name="_Toc16832"/>
      <w:bookmarkStart w:id="527" w:name="_Toc4767"/>
      <w:bookmarkStart w:id="528" w:name="_Toc462"/>
      <w:bookmarkStart w:id="529" w:name="_Toc318450700"/>
      <w:bookmarkStart w:id="530" w:name="_Toc8754"/>
      <w:bookmarkStart w:id="531" w:name="_Toc21072"/>
      <w:bookmarkStart w:id="532" w:name="_Toc22202"/>
      <w:bookmarkStart w:id="533" w:name="_Toc144974525"/>
      <w:bookmarkStart w:id="534" w:name="_Toc28929"/>
      <w:bookmarkStart w:id="535" w:name="_Toc455867793"/>
      <w:bookmarkStart w:id="536" w:name="_Toc21897"/>
      <w:bookmarkStart w:id="537" w:name="_Toc455080133"/>
      <w:bookmarkStart w:id="538" w:name="_Toc16976"/>
      <w:bookmarkStart w:id="539" w:name="_Toc490667853"/>
      <w:bookmarkStart w:id="540" w:name="_Toc7663"/>
      <w:bookmarkStart w:id="541" w:name="_Toc15488"/>
      <w:bookmarkStart w:id="542" w:name="_Toc16394"/>
      <w:bookmarkStart w:id="543" w:name="_Toc20259"/>
      <w:bookmarkStart w:id="544" w:name="_Toc28272"/>
      <w:bookmarkStart w:id="545" w:name="_Toc152045557"/>
      <w:bookmarkStart w:id="546" w:name="_Toc466298116"/>
      <w:bookmarkStart w:id="547" w:name="_Toc27132"/>
      <w:bookmarkStart w:id="548" w:name="_Toc152042333"/>
      <w:r>
        <w:rPr>
          <w:rFonts w:hint="eastAsia" w:ascii="宋体" w:hAnsi="宋体" w:eastAsia="宋体"/>
          <w:b/>
          <w:bCs/>
          <w:sz w:val="21"/>
          <w:szCs w:val="21"/>
        </w:rPr>
        <w:t>4.2 响应文件的递交</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12B65C2C">
      <w:pPr>
        <w:spacing w:line="400" w:lineRule="exact"/>
        <w:ind w:firstLine="0" w:firstLineChars="0"/>
        <w:rPr>
          <w:rFonts w:ascii="宋体" w:hAnsi="宋体" w:cs="宋体"/>
          <w:highlight w:val="white"/>
        </w:rPr>
      </w:pPr>
      <w:bookmarkStart w:id="549" w:name="_Toc318450701"/>
      <w:bookmarkStart w:id="550" w:name="_Toc21890"/>
      <w:bookmarkStart w:id="551" w:name="_Toc2952"/>
      <w:bookmarkStart w:id="552" w:name="_Toc152045558"/>
      <w:bookmarkStart w:id="553" w:name="_Toc19951"/>
      <w:bookmarkStart w:id="554" w:name="_Toc455080134"/>
      <w:bookmarkStart w:id="555" w:name="_Toc26684"/>
      <w:bookmarkStart w:id="556" w:name="_Toc30860"/>
      <w:bookmarkStart w:id="557" w:name="_Toc466298117"/>
      <w:bookmarkStart w:id="558" w:name="_Toc11817"/>
      <w:bookmarkStart w:id="559" w:name="_Toc152042334"/>
      <w:bookmarkStart w:id="560" w:name="_Toc455867794"/>
      <w:bookmarkStart w:id="561" w:name="_Toc17161"/>
      <w:bookmarkStart w:id="562" w:name="_Toc144974526"/>
      <w:bookmarkStart w:id="563" w:name="_Toc5102"/>
      <w:bookmarkStart w:id="564" w:name="_Toc490667854"/>
      <w:bookmarkStart w:id="565" w:name="_Toc20281"/>
      <w:r>
        <w:rPr>
          <w:rFonts w:hint="eastAsia" w:ascii="宋体" w:hAnsi="宋体" w:cs="宋体"/>
          <w:highlight w:val="white"/>
        </w:rPr>
        <w:t>4.2.1电子响应文件的递交</w:t>
      </w:r>
    </w:p>
    <w:p w14:paraId="65E4B38C">
      <w:pPr>
        <w:spacing w:line="400" w:lineRule="exact"/>
        <w:ind w:firstLine="0" w:firstLineChars="0"/>
        <w:rPr>
          <w:rFonts w:ascii="宋体" w:hAnsi="宋体" w:cs="宋体"/>
          <w:highlight w:val="white"/>
        </w:rPr>
      </w:pPr>
      <w:r>
        <w:rPr>
          <w:rFonts w:hint="eastAsia" w:ascii="宋体" w:hAnsi="宋体" w:cs="宋体"/>
          <w:highlight w:val="whit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4CA537D8">
      <w:pPr>
        <w:pStyle w:val="73"/>
        <w:spacing w:line="360" w:lineRule="auto"/>
        <w:ind w:firstLine="0" w:firstLineChars="0"/>
        <w:outlineLvl w:val="0"/>
        <w:rPr>
          <w:rFonts w:ascii="宋体" w:hAnsi="宋体" w:eastAsia="宋体"/>
          <w:b/>
          <w:bCs/>
          <w:sz w:val="21"/>
          <w:szCs w:val="21"/>
        </w:rPr>
      </w:pPr>
      <w:bookmarkStart w:id="566" w:name="_Toc21902"/>
      <w:bookmarkStart w:id="567" w:name="_Toc15897"/>
      <w:bookmarkStart w:id="568" w:name="_Toc1790"/>
      <w:bookmarkStart w:id="569" w:name="_Toc19985"/>
      <w:bookmarkStart w:id="570" w:name="_Toc12093"/>
      <w:bookmarkStart w:id="571" w:name="_Toc11973"/>
      <w:r>
        <w:rPr>
          <w:rFonts w:hint="eastAsia" w:ascii="宋体" w:hAnsi="宋体" w:eastAsia="宋体"/>
          <w:b/>
          <w:bCs/>
          <w:sz w:val="21"/>
          <w:szCs w:val="21"/>
        </w:rPr>
        <w:t>4.3 响应文件的修改与撤回</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32E1F7D4">
      <w:pPr>
        <w:spacing w:line="400" w:lineRule="exact"/>
        <w:ind w:firstLine="0" w:firstLineChars="0"/>
        <w:rPr>
          <w:rFonts w:ascii="宋体" w:hAnsi="宋体" w:cs="宋体"/>
          <w:szCs w:val="21"/>
        </w:rPr>
      </w:pPr>
      <w:bookmarkStart w:id="572" w:name="_Toc152042335"/>
      <w:bookmarkStart w:id="573" w:name="_Toc144974527"/>
      <w:bookmarkStart w:id="574" w:name="_Toc152045559"/>
      <w:bookmarkStart w:id="575" w:name="_Toc455080135"/>
      <w:r>
        <w:rPr>
          <w:rFonts w:hint="eastAsia" w:ascii="宋体" w:hAnsi="宋体" w:cs="宋体"/>
          <w:szCs w:val="21"/>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1772A598">
      <w:pPr>
        <w:spacing w:line="400" w:lineRule="exact"/>
        <w:ind w:firstLine="0" w:firstLineChars="0"/>
        <w:rPr>
          <w:rFonts w:ascii="宋体" w:hAnsi="宋体" w:cs="宋体"/>
          <w:szCs w:val="21"/>
        </w:rPr>
      </w:pPr>
      <w:r>
        <w:rPr>
          <w:rFonts w:hint="eastAsia" w:ascii="宋体" w:hAnsi="宋体" w:cs="宋体"/>
          <w:szCs w:val="21"/>
        </w:rPr>
        <w:t>4.3.2修改的响应文件应按照本章第3.7条、第4.2条规定进行编制和递交。</w:t>
      </w:r>
    </w:p>
    <w:bookmarkEnd w:id="572"/>
    <w:bookmarkEnd w:id="573"/>
    <w:bookmarkEnd w:id="574"/>
    <w:p w14:paraId="3F872C6B">
      <w:pPr>
        <w:spacing w:line="400" w:lineRule="exact"/>
        <w:ind w:firstLine="0" w:firstLineChars="0"/>
        <w:outlineLvl w:val="1"/>
        <w:rPr>
          <w:rFonts w:ascii="宋体" w:hAnsi="宋体"/>
          <w:b/>
          <w:bCs/>
          <w:szCs w:val="21"/>
        </w:rPr>
      </w:pPr>
      <w:bookmarkStart w:id="576" w:name="_Toc7480"/>
      <w:bookmarkStart w:id="577" w:name="_Toc14969"/>
      <w:r>
        <w:rPr>
          <w:rFonts w:hint="eastAsia" w:ascii="宋体" w:hAnsi="宋体"/>
          <w:b/>
          <w:bCs/>
          <w:szCs w:val="21"/>
        </w:rPr>
        <w:t>5.磋商开始</w:t>
      </w:r>
      <w:bookmarkEnd w:id="575"/>
      <w:bookmarkEnd w:id="576"/>
      <w:bookmarkEnd w:id="577"/>
      <w:bookmarkStart w:id="578" w:name="_Toc9969"/>
      <w:bookmarkStart w:id="579" w:name="_Toc318450703"/>
      <w:bookmarkStart w:id="580" w:name="_Toc144974528"/>
      <w:bookmarkStart w:id="581" w:name="_Toc490667856"/>
      <w:bookmarkStart w:id="582" w:name="_Toc25533"/>
      <w:bookmarkStart w:id="583" w:name="_Toc455080136"/>
      <w:bookmarkStart w:id="584" w:name="_Toc152042336"/>
      <w:bookmarkStart w:id="585" w:name="_Toc20333"/>
      <w:bookmarkStart w:id="586" w:name="_Toc16040"/>
      <w:bookmarkStart w:id="587" w:name="_Toc14"/>
      <w:bookmarkStart w:id="588" w:name="_Toc455867796"/>
      <w:bookmarkStart w:id="589" w:name="_Toc466298119"/>
      <w:bookmarkStart w:id="590" w:name="_Toc26426"/>
      <w:bookmarkStart w:id="591" w:name="_Toc6763"/>
      <w:bookmarkStart w:id="592" w:name="_Toc152045560"/>
      <w:bookmarkStart w:id="593" w:name="_Toc20660"/>
      <w:bookmarkStart w:id="594" w:name="_Toc25809"/>
    </w:p>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14:paraId="56A5F852">
      <w:pPr>
        <w:spacing w:line="440" w:lineRule="exact"/>
        <w:ind w:firstLine="0" w:firstLineChars="0"/>
        <w:rPr>
          <w:rFonts w:ascii="宋体" w:hAnsi="宋体"/>
          <w:b/>
          <w:bCs/>
          <w:szCs w:val="21"/>
        </w:rPr>
      </w:pPr>
      <w:bookmarkStart w:id="595" w:name="_Toc318450704"/>
      <w:bookmarkStart w:id="596" w:name="_Toc30074"/>
      <w:bookmarkStart w:id="597" w:name="_Toc747"/>
      <w:bookmarkStart w:id="598" w:name="_Toc490667857"/>
      <w:bookmarkStart w:id="599" w:name="_Toc18582"/>
      <w:bookmarkStart w:id="600" w:name="_Toc30965"/>
      <w:bookmarkStart w:id="601" w:name="_Toc3865"/>
      <w:bookmarkStart w:id="602" w:name="_Toc17491"/>
      <w:bookmarkStart w:id="603" w:name="_Toc11148"/>
      <w:bookmarkStart w:id="604" w:name="_Toc30792"/>
      <w:bookmarkStart w:id="605" w:name="_Toc455867797"/>
      <w:bookmarkStart w:id="606" w:name="_Toc25911"/>
      <w:bookmarkStart w:id="607" w:name="_Toc152045561"/>
      <w:bookmarkStart w:id="608" w:name="_Toc152042337"/>
      <w:bookmarkStart w:id="609" w:name="_Toc9328"/>
      <w:bookmarkStart w:id="610" w:name="_Toc144974529"/>
      <w:bookmarkStart w:id="611" w:name="_Toc466298120"/>
      <w:bookmarkStart w:id="612" w:name="_Toc455080137"/>
      <w:r>
        <w:rPr>
          <w:rFonts w:hint="eastAsia" w:ascii="宋体" w:hAnsi="宋体"/>
          <w:b/>
          <w:bCs/>
          <w:szCs w:val="21"/>
        </w:rPr>
        <w:t>5.1 磋商时间和地点</w:t>
      </w:r>
    </w:p>
    <w:p w14:paraId="781462CC">
      <w:pPr>
        <w:spacing w:line="440" w:lineRule="exact"/>
        <w:ind w:firstLine="0" w:firstLineChars="0"/>
        <w:rPr>
          <w:rFonts w:ascii="宋体" w:hAnsi="宋体"/>
          <w:szCs w:val="21"/>
        </w:rPr>
      </w:pPr>
      <w:r>
        <w:rPr>
          <w:rFonts w:hint="eastAsia" w:ascii="宋体" w:hAnsi="宋体"/>
          <w:szCs w:val="21"/>
        </w:rPr>
        <w:t>5.1.1 采购人在本章规定的投标截止时间（开标时间）和供应商须知前附表规定的地点开标。</w:t>
      </w:r>
    </w:p>
    <w:p w14:paraId="43A9F14D">
      <w:pPr>
        <w:spacing w:line="440" w:lineRule="exact"/>
        <w:ind w:firstLine="0" w:firstLineChars="0"/>
        <w:rPr>
          <w:rFonts w:ascii="宋体" w:hAnsi="宋体"/>
          <w:b/>
          <w:bCs/>
          <w:szCs w:val="21"/>
        </w:rPr>
      </w:pPr>
      <w:r>
        <w:rPr>
          <w:rFonts w:hint="eastAsia" w:ascii="宋体" w:hAnsi="宋体"/>
          <w:b/>
          <w:bCs/>
          <w:szCs w:val="21"/>
        </w:rPr>
        <w:t xml:space="preserve">5.1.2 本项目采用“不见面开标”交易方式，不见面开标大厅网址为 </w:t>
      </w:r>
      <w:r>
        <w:fldChar w:fldCharType="begin"/>
      </w:r>
      <w:r>
        <w:instrText xml:space="preserve"> HYPERLINK "http://117.158.91.68:8095/xxhy，投标人无需寄送和递交非加密的电子投标文件，无需到现场参加开标会议，无需到达现场提交原件资料。" </w:instrText>
      </w:r>
      <w:r>
        <w:fldChar w:fldCharType="separate"/>
      </w:r>
      <w:r>
        <w:rPr>
          <w:rFonts w:hint="eastAsia" w:ascii="宋体" w:hAnsi="宋体"/>
          <w:b/>
          <w:bCs/>
          <w:szCs w:val="21"/>
        </w:rPr>
        <w:t>https://ggzyjy.xinyang.gov.cn/BidOpening/bidhall/xinyang/login.html，供应商无需寄送和递交非加密的电子响应文件，无需到现场参加开标会议，无需到达现场提交原件资料。</w:t>
      </w:r>
      <w:r>
        <w:rPr>
          <w:rFonts w:hint="eastAsia" w:ascii="宋体" w:hAnsi="宋体"/>
          <w:b/>
          <w:bCs/>
          <w:szCs w:val="21"/>
        </w:rPr>
        <w:fldChar w:fldCharType="end"/>
      </w:r>
    </w:p>
    <w:p w14:paraId="115E4429">
      <w:pPr>
        <w:spacing w:line="440" w:lineRule="exact"/>
        <w:ind w:firstLine="0" w:firstLineChars="0"/>
        <w:rPr>
          <w:rFonts w:ascii="宋体" w:hAnsi="宋体"/>
          <w:b/>
          <w:bCs/>
          <w:szCs w:val="21"/>
        </w:rPr>
      </w:pPr>
      <w:r>
        <w:rPr>
          <w:rFonts w:hint="eastAsia" w:ascii="宋体" w:hAnsi="宋体"/>
          <w:b/>
          <w:bCs/>
          <w:szCs w:val="21"/>
        </w:rPr>
        <w:t>供应商应当在响应文件提交截止时间前，使用供应商CA数字证书登录不见面开标大厅，在线签到并准时参加开标活动，并在规定时间内完成响应文件解密、答疑澄清等。</w:t>
      </w:r>
    </w:p>
    <w:p w14:paraId="47131DE0">
      <w:pPr>
        <w:spacing w:line="440" w:lineRule="exact"/>
        <w:ind w:firstLine="0" w:firstLineChars="0"/>
        <w:rPr>
          <w:rFonts w:ascii="宋体" w:hAnsi="宋体"/>
          <w:b/>
          <w:bCs/>
          <w:szCs w:val="21"/>
        </w:rPr>
      </w:pPr>
      <w:r>
        <w:rPr>
          <w:rFonts w:hint="eastAsia" w:ascii="宋体" w:hAnsi="宋体"/>
          <w:b/>
          <w:bCs/>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16BD289B">
      <w:pPr>
        <w:spacing w:line="440" w:lineRule="exact"/>
        <w:ind w:firstLine="0" w:firstLineChars="0"/>
        <w:rPr>
          <w:rFonts w:ascii="宋体" w:hAnsi="宋体"/>
          <w:b/>
          <w:bCs/>
          <w:szCs w:val="21"/>
        </w:rPr>
      </w:pPr>
      <w:r>
        <w:rPr>
          <w:rFonts w:hint="eastAsia" w:ascii="宋体" w:hAnsi="宋体"/>
          <w:b/>
          <w:bCs/>
          <w:szCs w:val="21"/>
        </w:rPr>
        <w:t>不见面开标服务的具体事宜，请查阅信阳市公共资源交易中心网站首页—下载中心—信阳市不见面开标大厅系统操作手册 。</w:t>
      </w:r>
    </w:p>
    <w:p w14:paraId="09130194">
      <w:pPr>
        <w:spacing w:line="440" w:lineRule="exact"/>
        <w:ind w:firstLine="0" w:firstLineChars="0"/>
        <w:rPr>
          <w:rFonts w:ascii="宋体" w:hAnsi="宋体"/>
          <w:b/>
          <w:bCs/>
          <w:szCs w:val="21"/>
        </w:rPr>
      </w:pPr>
      <w:r>
        <w:rPr>
          <w:rFonts w:hint="eastAsia" w:ascii="宋体" w:hAnsi="宋体"/>
          <w:b/>
          <w:bCs/>
          <w:szCs w:val="21"/>
        </w:rPr>
        <w:t xml:space="preserve">开标过程中，供应商如有异议，须在开标结束前通过系统提出，否则视同认可开标记录。开标结束后，对开标记录的任何异议不再接受。 </w:t>
      </w:r>
    </w:p>
    <w:p w14:paraId="02986D80">
      <w:pPr>
        <w:pStyle w:val="73"/>
        <w:spacing w:line="360" w:lineRule="auto"/>
        <w:ind w:firstLine="0" w:firstLineChars="0"/>
        <w:outlineLvl w:val="0"/>
        <w:rPr>
          <w:rFonts w:ascii="宋体" w:hAnsi="宋体" w:eastAsia="宋体"/>
          <w:b/>
          <w:bCs/>
          <w:sz w:val="21"/>
          <w:szCs w:val="21"/>
        </w:rPr>
      </w:pPr>
      <w:bookmarkStart w:id="613" w:name="_Toc21144"/>
      <w:bookmarkStart w:id="614" w:name="_Toc26637"/>
      <w:bookmarkStart w:id="615" w:name="_Toc28600"/>
      <w:bookmarkStart w:id="616" w:name="_Toc4518"/>
      <w:bookmarkStart w:id="617" w:name="_Toc24353"/>
      <w:r>
        <w:rPr>
          <w:rFonts w:hint="eastAsia" w:ascii="宋体" w:hAnsi="宋体" w:eastAsia="宋体"/>
          <w:b/>
          <w:bCs/>
          <w:sz w:val="21"/>
          <w:szCs w:val="21"/>
        </w:rPr>
        <w:t>5.2 磋商程序</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0C1AC05D">
      <w:pPr>
        <w:pStyle w:val="73"/>
        <w:spacing w:line="360" w:lineRule="auto"/>
        <w:ind w:firstLine="0" w:firstLineChars="0"/>
        <w:outlineLvl w:val="0"/>
        <w:rPr>
          <w:rFonts w:ascii="宋体" w:hAnsi="宋体" w:eastAsia="宋体"/>
          <w:b/>
          <w:bCs/>
          <w:sz w:val="21"/>
          <w:szCs w:val="21"/>
        </w:rPr>
      </w:pPr>
      <w:bookmarkStart w:id="618" w:name="_Toc26086"/>
      <w:bookmarkStart w:id="619" w:name="_Toc11770"/>
      <w:bookmarkStart w:id="620" w:name="_Toc27540"/>
      <w:bookmarkStart w:id="621" w:name="_Toc1467"/>
      <w:bookmarkStart w:id="622" w:name="_Toc30403"/>
      <w:bookmarkStart w:id="623" w:name="_Toc8008"/>
      <w:r>
        <w:rPr>
          <w:rFonts w:hint="eastAsia" w:ascii="宋体" w:hAnsi="宋体" w:eastAsia="宋体"/>
          <w:sz w:val="21"/>
          <w:szCs w:val="21"/>
        </w:rPr>
        <w:t>5.2.1磋商小组对竞争性磋商文件进行熟悉确认。</w:t>
      </w:r>
      <w:bookmarkEnd w:id="618"/>
      <w:bookmarkEnd w:id="619"/>
      <w:bookmarkEnd w:id="620"/>
      <w:bookmarkEnd w:id="621"/>
      <w:bookmarkEnd w:id="622"/>
      <w:bookmarkEnd w:id="623"/>
    </w:p>
    <w:p w14:paraId="515F7B78">
      <w:pPr>
        <w:spacing w:line="360" w:lineRule="auto"/>
        <w:ind w:firstLine="0" w:firstLineChars="0"/>
        <w:rPr>
          <w:rFonts w:ascii="宋体" w:hAnsi="宋体" w:cs="宋体"/>
          <w:szCs w:val="21"/>
        </w:rPr>
      </w:pPr>
      <w:bookmarkStart w:id="624" w:name="_Toc144974530"/>
      <w:bookmarkStart w:id="625" w:name="_Toc152045562"/>
      <w:bookmarkStart w:id="626" w:name="_Toc152042338"/>
      <w:r>
        <w:rPr>
          <w:rFonts w:hint="eastAsia" w:ascii="宋体" w:hAnsi="宋体" w:cs="宋体"/>
          <w:szCs w:val="21"/>
        </w:rPr>
        <w:t>5.2.2磋商小组推选组长，讨论、通过磋商工作流程和磋商要点。</w:t>
      </w:r>
    </w:p>
    <w:p w14:paraId="2E5A28E6">
      <w:pPr>
        <w:spacing w:line="360" w:lineRule="auto"/>
        <w:ind w:firstLine="0" w:firstLineChars="0"/>
        <w:rPr>
          <w:rFonts w:ascii="宋体" w:hAnsi="宋体" w:cs="宋体"/>
          <w:szCs w:val="21"/>
        </w:rPr>
      </w:pPr>
      <w:r>
        <w:rPr>
          <w:rFonts w:hint="eastAsia" w:ascii="宋体" w:hAnsi="宋体" w:cs="宋体"/>
          <w:szCs w:val="21"/>
        </w:rPr>
        <w:t>5.2.3资格评审审查：采购人依据竞争性磋商文件规定，对供应商进行审查，以确定磋商供应商是否具备参与磋商的资格。</w:t>
      </w:r>
    </w:p>
    <w:p w14:paraId="196A5E31">
      <w:pPr>
        <w:spacing w:line="360" w:lineRule="auto"/>
        <w:ind w:firstLine="0" w:firstLineChars="0"/>
        <w:rPr>
          <w:rFonts w:ascii="宋体" w:hAnsi="宋体" w:cs="宋体"/>
          <w:szCs w:val="21"/>
        </w:rPr>
      </w:pPr>
      <w:r>
        <w:rPr>
          <w:rFonts w:hint="eastAsia" w:ascii="宋体" w:hAnsi="宋体" w:cs="宋体"/>
          <w:szCs w:val="21"/>
        </w:rPr>
        <w:t>5.2.4符合性评审审查：磋商开始后，磋商小组依据竞争性磋商文件规定，对通过资格评审的供应商进行审查，以确定磋商供应商是否具备参与磋商的资格。</w:t>
      </w:r>
    </w:p>
    <w:p w14:paraId="6CD6B7C5">
      <w:pPr>
        <w:spacing w:line="360" w:lineRule="auto"/>
        <w:ind w:firstLine="0" w:firstLineChars="0"/>
        <w:rPr>
          <w:rFonts w:ascii="宋体" w:hAnsi="宋体" w:cs="宋体"/>
          <w:szCs w:val="21"/>
        </w:rPr>
      </w:pPr>
      <w:r>
        <w:rPr>
          <w:rFonts w:hint="eastAsia" w:ascii="宋体" w:hAnsi="宋体" w:cs="宋体"/>
          <w:szCs w:val="21"/>
        </w:rPr>
        <w:t>5.2.5磋商小组对通过资格性和符合性审查的响应文件进行评估，确定与各竞标人磋商的具体内容。</w:t>
      </w:r>
    </w:p>
    <w:p w14:paraId="4C8880B0">
      <w:pPr>
        <w:spacing w:line="360" w:lineRule="auto"/>
        <w:ind w:firstLine="0" w:firstLineChars="0"/>
        <w:rPr>
          <w:rFonts w:ascii="宋体" w:hAnsi="宋体" w:cs="宋体"/>
          <w:szCs w:val="21"/>
        </w:rPr>
      </w:pPr>
      <w:r>
        <w:rPr>
          <w:rFonts w:hint="eastAsia" w:ascii="宋体" w:hAnsi="宋体" w:cs="宋体"/>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0C2C5F8A">
      <w:pPr>
        <w:spacing w:line="360" w:lineRule="auto"/>
        <w:ind w:firstLine="0" w:firstLineChars="0"/>
        <w:rPr>
          <w:rFonts w:ascii="宋体" w:hAnsi="宋体" w:cs="宋体"/>
          <w:szCs w:val="21"/>
        </w:rPr>
      </w:pPr>
      <w:r>
        <w:rPr>
          <w:rFonts w:hint="eastAsia" w:ascii="宋体" w:hAnsi="宋体" w:cs="宋体"/>
          <w:szCs w:val="21"/>
        </w:rPr>
        <w:t>5.2.7磋商小组对符合招标需求的供应商进行两轮报价；供应商只有通过资格评审及符合性评审后方可进入下一轮报价，在规定的时间内同时提交报价，最终报价不得超过响应文件中报价。</w:t>
      </w:r>
    </w:p>
    <w:p w14:paraId="6F3EA0B3">
      <w:pPr>
        <w:spacing w:line="360" w:lineRule="auto"/>
        <w:ind w:left="0" w:leftChars="0" w:firstLine="0" w:firstLineChars="0"/>
        <w:rPr>
          <w:rFonts w:hint="eastAsia" w:ascii="宋体" w:hAnsi="宋体" w:eastAsia="宋体" w:cs="宋体"/>
          <w:color w:val="auto"/>
          <w:szCs w:val="21"/>
          <w:highlight w:val="none"/>
          <w:lang w:val="en-US" w:eastAsia="zh-CN"/>
        </w:rPr>
      </w:pPr>
      <w:bookmarkStart w:id="627" w:name="_Toc455080138"/>
      <w:bookmarkStart w:id="628" w:name="_Toc14039"/>
      <w:bookmarkStart w:id="629" w:name="_Toc24508"/>
      <w:r>
        <w:rPr>
          <w:rFonts w:hint="eastAsia" w:ascii="宋体" w:hAnsi="宋体" w:eastAsia="宋体" w:cs="宋体"/>
          <w:color w:val="auto"/>
          <w:szCs w:val="21"/>
          <w:highlight w:val="none"/>
          <w:lang w:val="en-US" w:eastAsia="zh-CN"/>
        </w:rPr>
        <w:t>5.2.8竞争性磋商采用远程不见面方式，磋商内容主要为二次报价。</w:t>
      </w:r>
    </w:p>
    <w:p w14:paraId="11D460E9">
      <w:pPr>
        <w:spacing w:line="360" w:lineRule="auto"/>
        <w:ind w:left="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5.2.9竞争性磋商结束后，竞争性磋商小组应当要求所有参加竞争性磋商的供应商在规定的时间内进行最后报价，响应性文件中报价为第二轮次报价为准。二次报价不得高于首次报价（除磋商文件有实质性变动外），否则将被视为未实质性响应磋商文件。</w:t>
      </w:r>
    </w:p>
    <w:p w14:paraId="39C47F25">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特别注意：</w:t>
      </w:r>
    </w:p>
    <w:p w14:paraId="37A8BFEC">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本项目在开标后进行第二轮报价（二次报价），即最后报价。磋商小组发起最后报价后，如供应商未在指定时限内提交最后报价，视为该供应商放弃最后报价机会。</w:t>
      </w:r>
    </w:p>
    <w:p w14:paraId="6BDF7CCF">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信阳市公共资源交易中心评标系统在评标过程中如涉及到二次报价、在线答疑澄清等事项时，会在相关事项开始后向投标人发送提醒短信。评标过程中涉及二次报价、在线答疑澄清等不再进行电话提醒。投标人在评标过程中应当时刻关注评标进程，在短信提醒需要二次报价、在线答疑澄清时在规定时间内进行相关操作，未在规定时间内操作造成的一切后果由投标人自行承担。</w:t>
      </w:r>
    </w:p>
    <w:p w14:paraId="1709A306">
      <w:pPr>
        <w:spacing w:line="360" w:lineRule="auto"/>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二次报价操作流程</w:t>
      </w:r>
    </w:p>
    <w:p w14:paraId="1DED5A85">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（1）【供应商操作】及时登录至&lt;信阳市公共资源交易系统&gt;，打开“报价参与”菜单。选择需要参与报价的标段。</w:t>
      </w:r>
    </w:p>
    <w:p w14:paraId="5D2DF018">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供应商操作】及时关注“二次报价剩余时间”如果显示状态为“未开始”，表示评委组长还未开始二次报价。如果已经显示倒计时（默认20分钟），则需要在倒计结束时间前完成二次报价，否则视为放弃本次报价机会！！！</w:t>
      </w:r>
    </w:p>
    <w:p w14:paraId="09289E0F">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（3）【供应商操作】</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 1 \* GB3 \* MERGEFORMAT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①</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点击“新增报价”输入报价金额（报价必须和《开标一览表》报价单位一致，可以指总价、单价或费率）；</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 2 \* GB3 \* MERGEFORMAT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②</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点击“保存报价”；</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 3 \* GB3 \* MERGEFORMAT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③</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进行电子签章；</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 4 \* GB3 \* MERGEFORMAT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④</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点击“提交报价”（每次修改报价必须点击保存报价按钮再签章，提交前务必确认报价和签章表报价一致！！！）。</w:t>
      </w:r>
    </w:p>
    <w:p w14:paraId="61C17584">
      <w:pPr>
        <w:pageBreakBefore w:val="0"/>
        <w:widowControl w:val="0"/>
        <w:kinsoku/>
        <w:wordWrap/>
        <w:overflowPunct/>
        <w:topLinePunct w:val="0"/>
        <w:autoSpaceDE w:val="0"/>
        <w:autoSpaceDN w:val="0"/>
        <w:bidi w:val="0"/>
        <w:adjustRightInd w:val="0"/>
        <w:snapToGrid w:val="0"/>
        <w:spacing w:line="360" w:lineRule="auto"/>
        <w:ind w:right="0" w:rightChars="0" w:firstLine="42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（4）【供应商操作】报价的机会只有一次，提交后将不能修改，完成后检查“第2轮次”的报价是否显示已签章，已提交，则表示二次报价完成。</w:t>
      </w:r>
    </w:p>
    <w:p w14:paraId="05A11C57">
      <w:pPr>
        <w:pStyle w:val="72"/>
        <w:spacing w:line="360" w:lineRule="auto"/>
        <w:ind w:firstLine="0" w:firstLineChars="0"/>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5.2.10经磋商确定最终招标需求，由磋商小组采用综合评分法对通过初步评审的供应商的响应文件进行综合评分。</w:t>
      </w:r>
    </w:p>
    <w:p w14:paraId="60A4120D">
      <w:pPr>
        <w:pStyle w:val="72"/>
        <w:spacing w:line="360" w:lineRule="auto"/>
        <w:ind w:firstLine="0" w:firstLineChars="0"/>
        <w:rPr>
          <w:rFonts w:ascii="宋体" w:hAnsi="宋体" w:eastAsia="宋体"/>
          <w:b/>
          <w:bCs/>
          <w:sz w:val="21"/>
          <w:szCs w:val="21"/>
        </w:rPr>
      </w:pPr>
      <w:r>
        <w:rPr>
          <w:rFonts w:hint="eastAsia" w:ascii="宋体" w:hAnsi="宋体" w:eastAsia="宋体"/>
          <w:b/>
          <w:bCs/>
          <w:sz w:val="21"/>
          <w:szCs w:val="21"/>
        </w:rPr>
        <w:t xml:space="preserve">6. </w:t>
      </w:r>
      <w:bookmarkEnd w:id="624"/>
      <w:bookmarkEnd w:id="625"/>
      <w:bookmarkEnd w:id="626"/>
      <w:r>
        <w:rPr>
          <w:rFonts w:hint="eastAsia" w:ascii="宋体" w:hAnsi="宋体" w:eastAsia="宋体"/>
          <w:b/>
          <w:bCs/>
          <w:sz w:val="21"/>
          <w:szCs w:val="21"/>
        </w:rPr>
        <w:t>磋商</w:t>
      </w:r>
      <w:bookmarkEnd w:id="627"/>
      <w:r>
        <w:rPr>
          <w:rFonts w:hint="eastAsia" w:ascii="宋体" w:hAnsi="宋体" w:eastAsia="宋体"/>
          <w:b/>
          <w:bCs/>
          <w:sz w:val="21"/>
          <w:szCs w:val="21"/>
        </w:rPr>
        <w:t>小组</w:t>
      </w:r>
      <w:bookmarkEnd w:id="628"/>
      <w:bookmarkEnd w:id="629"/>
    </w:p>
    <w:p w14:paraId="24CD9A6B">
      <w:pPr>
        <w:pStyle w:val="73"/>
        <w:spacing w:line="360" w:lineRule="auto"/>
        <w:ind w:firstLine="0" w:firstLineChars="0"/>
        <w:outlineLvl w:val="0"/>
        <w:rPr>
          <w:rFonts w:ascii="宋体" w:hAnsi="宋体" w:eastAsia="宋体"/>
          <w:b/>
          <w:bCs/>
          <w:sz w:val="21"/>
          <w:szCs w:val="21"/>
        </w:rPr>
      </w:pPr>
      <w:bookmarkStart w:id="630" w:name="_Toc318450706"/>
      <w:bookmarkStart w:id="631" w:name="_Toc9808"/>
      <w:bookmarkStart w:id="632" w:name="_Toc26098"/>
      <w:bookmarkStart w:id="633" w:name="_Toc144974531"/>
      <w:bookmarkStart w:id="634" w:name="_Toc152045563"/>
      <w:bookmarkStart w:id="635" w:name="_Toc152042339"/>
      <w:bookmarkStart w:id="636" w:name="_Toc22250"/>
      <w:bookmarkStart w:id="637" w:name="_Toc455867799"/>
      <w:bookmarkStart w:id="638" w:name="_Toc490667859"/>
      <w:bookmarkStart w:id="639" w:name="_Toc455080139"/>
      <w:bookmarkStart w:id="640" w:name="_Toc18985"/>
      <w:bookmarkStart w:id="641" w:name="_Toc23775"/>
      <w:bookmarkStart w:id="642" w:name="_Toc8157"/>
      <w:bookmarkStart w:id="643" w:name="_Toc11499"/>
      <w:bookmarkStart w:id="644" w:name="_Toc23866"/>
      <w:bookmarkStart w:id="645" w:name="_Toc23138"/>
      <w:bookmarkStart w:id="646" w:name="_Toc13978"/>
      <w:bookmarkStart w:id="647" w:name="_Toc1574"/>
      <w:bookmarkStart w:id="648" w:name="_Toc109"/>
      <w:bookmarkStart w:id="649" w:name="_Toc8725"/>
      <w:bookmarkStart w:id="650" w:name="_Toc466298122"/>
      <w:bookmarkStart w:id="651" w:name="_Toc21542"/>
      <w:bookmarkStart w:id="652" w:name="_Toc1546"/>
      <w:r>
        <w:rPr>
          <w:rFonts w:hint="eastAsia" w:ascii="宋体" w:hAnsi="宋体" w:eastAsia="宋体"/>
          <w:b/>
          <w:bCs/>
          <w:sz w:val="21"/>
          <w:szCs w:val="21"/>
        </w:rPr>
        <w:t>6.1</w:t>
      </w:r>
      <w:bookmarkEnd w:id="630"/>
      <w:bookmarkEnd w:id="631"/>
      <w:bookmarkEnd w:id="632"/>
      <w:bookmarkEnd w:id="633"/>
      <w:bookmarkEnd w:id="634"/>
      <w:bookmarkEnd w:id="635"/>
      <w:bookmarkEnd w:id="636"/>
      <w:r>
        <w:rPr>
          <w:rFonts w:hint="eastAsia" w:ascii="宋体" w:hAnsi="宋体" w:eastAsia="宋体"/>
          <w:b/>
          <w:bCs/>
          <w:sz w:val="21"/>
          <w:szCs w:val="21"/>
        </w:rPr>
        <w:t>磋商小组</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p>
    <w:p w14:paraId="0596BF96">
      <w:pPr>
        <w:spacing w:line="360" w:lineRule="auto"/>
        <w:ind w:firstLine="0" w:firstLineChars="0"/>
        <w:rPr>
          <w:rFonts w:ascii="宋体" w:hAnsi="宋体" w:cs="宋体"/>
          <w:szCs w:val="21"/>
        </w:rPr>
      </w:pPr>
      <w:r>
        <w:rPr>
          <w:rFonts w:hint="eastAsia" w:ascii="宋体" w:hAnsi="宋体" w:cs="宋体"/>
          <w:szCs w:val="21"/>
        </w:rPr>
        <w:t>磋商由采购人依法组建的磋商小组负责。磋商小组由采购人代表以及有关技术、经济等方面的专家组成。磋商小组成员人数以及技术、经济等方面专家的确定方式见供应商须知前附表。</w:t>
      </w:r>
    </w:p>
    <w:p w14:paraId="5DB5AD7B">
      <w:pPr>
        <w:pStyle w:val="73"/>
        <w:tabs>
          <w:tab w:val="left" w:pos="2620"/>
        </w:tabs>
        <w:spacing w:line="360" w:lineRule="auto"/>
        <w:ind w:firstLine="0" w:firstLineChars="0"/>
        <w:outlineLvl w:val="0"/>
        <w:rPr>
          <w:rFonts w:ascii="宋体" w:hAnsi="宋体" w:eastAsia="宋体"/>
          <w:b/>
          <w:bCs/>
          <w:sz w:val="21"/>
          <w:szCs w:val="21"/>
        </w:rPr>
      </w:pPr>
      <w:bookmarkStart w:id="653" w:name="_Toc152042340"/>
      <w:bookmarkStart w:id="654" w:name="_Toc8240"/>
      <w:bookmarkStart w:id="655" w:name="_Toc31961"/>
      <w:bookmarkStart w:id="656" w:name="_Toc8248"/>
      <w:bookmarkStart w:id="657" w:name="_Toc144974532"/>
      <w:bookmarkStart w:id="658" w:name="_Toc455080140"/>
      <w:bookmarkStart w:id="659" w:name="_Toc6050"/>
      <w:bookmarkStart w:id="660" w:name="_Toc25721"/>
      <w:bookmarkStart w:id="661" w:name="_Toc32608"/>
      <w:bookmarkStart w:id="662" w:name="_Toc318450707"/>
      <w:bookmarkStart w:id="663" w:name="_Toc22143"/>
      <w:bookmarkStart w:id="664" w:name="_Toc5376"/>
      <w:bookmarkStart w:id="665" w:name="_Toc490667860"/>
      <w:bookmarkStart w:id="666" w:name="_Toc4435"/>
      <w:bookmarkStart w:id="667" w:name="_Toc9532"/>
      <w:bookmarkStart w:id="668" w:name="_Toc7286"/>
      <w:bookmarkStart w:id="669" w:name="_Toc13368"/>
      <w:bookmarkStart w:id="670" w:name="_Toc466298123"/>
      <w:bookmarkStart w:id="671" w:name="_Toc27035"/>
      <w:bookmarkStart w:id="672" w:name="_Toc31227"/>
      <w:bookmarkStart w:id="673" w:name="_Toc455867800"/>
      <w:bookmarkStart w:id="674" w:name="_Toc21102"/>
      <w:bookmarkStart w:id="675" w:name="_Toc152045564"/>
      <w:r>
        <w:rPr>
          <w:rFonts w:hint="eastAsia" w:ascii="宋体" w:hAnsi="宋体" w:eastAsia="宋体"/>
          <w:b/>
          <w:bCs/>
          <w:sz w:val="21"/>
          <w:szCs w:val="21"/>
        </w:rPr>
        <w:t>6.2 磋商原则</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496ABF61">
      <w:pPr>
        <w:spacing w:line="360" w:lineRule="auto"/>
        <w:ind w:firstLine="0" w:firstLineChars="0"/>
        <w:rPr>
          <w:rFonts w:ascii="宋体" w:hAnsi="宋体" w:cs="宋体"/>
          <w:szCs w:val="21"/>
        </w:rPr>
      </w:pPr>
      <w:r>
        <w:rPr>
          <w:rFonts w:hint="eastAsia" w:ascii="宋体" w:hAnsi="宋体" w:cs="宋体"/>
          <w:szCs w:val="21"/>
        </w:rPr>
        <w:t>磋商活动遵循公平、公正、科学和择优的原则。</w:t>
      </w:r>
    </w:p>
    <w:p w14:paraId="1E5681BC">
      <w:pPr>
        <w:pStyle w:val="73"/>
        <w:spacing w:line="360" w:lineRule="auto"/>
        <w:ind w:firstLine="0" w:firstLineChars="0"/>
        <w:outlineLvl w:val="0"/>
        <w:rPr>
          <w:rFonts w:ascii="宋体" w:hAnsi="宋体" w:eastAsia="宋体"/>
          <w:sz w:val="21"/>
          <w:szCs w:val="21"/>
        </w:rPr>
      </w:pPr>
      <w:bookmarkStart w:id="676" w:name="_Toc318450708"/>
      <w:bookmarkStart w:id="677" w:name="_Toc16725"/>
      <w:bookmarkStart w:id="678" w:name="_Toc144974533"/>
      <w:bookmarkStart w:id="679" w:name="_Toc15595"/>
      <w:bookmarkStart w:id="680" w:name="_Toc152045565"/>
      <w:bookmarkStart w:id="681" w:name="_Toc8705"/>
      <w:bookmarkStart w:id="682" w:name="_Toc152042341"/>
      <w:bookmarkStart w:id="683" w:name="_Toc18756"/>
      <w:bookmarkStart w:id="684" w:name="_Toc490667861"/>
      <w:bookmarkStart w:id="685" w:name="_Toc20062"/>
      <w:bookmarkStart w:id="686" w:name="_Toc11010"/>
      <w:bookmarkStart w:id="687" w:name="_Toc3606"/>
      <w:bookmarkStart w:id="688" w:name="_Toc11018"/>
      <w:bookmarkStart w:id="689" w:name="_Toc1768"/>
      <w:bookmarkStart w:id="690" w:name="_Toc28882"/>
      <w:bookmarkStart w:id="691" w:name="_Toc455867801"/>
      <w:bookmarkStart w:id="692" w:name="_Toc27036"/>
      <w:bookmarkStart w:id="693" w:name="_Toc915"/>
      <w:bookmarkStart w:id="694" w:name="_Toc455080141"/>
      <w:bookmarkStart w:id="695" w:name="_Toc24358"/>
      <w:bookmarkStart w:id="696" w:name="_Toc7890"/>
      <w:bookmarkStart w:id="697" w:name="_Toc28734"/>
      <w:bookmarkStart w:id="698" w:name="_Toc466298124"/>
      <w:r>
        <w:rPr>
          <w:rFonts w:hint="eastAsia" w:ascii="宋体" w:hAnsi="宋体" w:eastAsia="宋体"/>
          <w:b/>
          <w:bCs/>
          <w:sz w:val="21"/>
          <w:szCs w:val="21"/>
        </w:rPr>
        <w:t xml:space="preserve">6.3 </w:t>
      </w:r>
      <w:bookmarkEnd w:id="676"/>
      <w:bookmarkEnd w:id="677"/>
      <w:bookmarkEnd w:id="678"/>
      <w:bookmarkEnd w:id="679"/>
      <w:bookmarkEnd w:id="680"/>
      <w:bookmarkEnd w:id="681"/>
      <w:bookmarkEnd w:id="682"/>
      <w:r>
        <w:rPr>
          <w:rFonts w:hint="eastAsia" w:ascii="宋体" w:hAnsi="宋体" w:eastAsia="宋体"/>
          <w:b/>
          <w:bCs/>
          <w:sz w:val="21"/>
          <w:szCs w:val="21"/>
        </w:rPr>
        <w:t>磋商</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6499485B">
      <w:pPr>
        <w:spacing w:line="360" w:lineRule="auto"/>
        <w:ind w:firstLine="0" w:firstLineChars="0"/>
        <w:rPr>
          <w:rFonts w:ascii="宋体" w:hAnsi="宋体" w:cs="宋体"/>
          <w:szCs w:val="21"/>
        </w:rPr>
      </w:pPr>
      <w:r>
        <w:rPr>
          <w:rFonts w:hint="eastAsia" w:ascii="宋体" w:hAnsi="宋体" w:cs="宋体"/>
          <w:szCs w:val="21"/>
        </w:rPr>
        <w:t>磋商小组按照第三章“评审办法”规定的方法、评审因素、标准和程序对响应文件进行评审。第三章“评审办法”没有规定的方法、评审因素和标准，不作为评标依据。</w:t>
      </w:r>
    </w:p>
    <w:p w14:paraId="0839529D">
      <w:pPr>
        <w:pStyle w:val="72"/>
        <w:spacing w:line="360" w:lineRule="auto"/>
        <w:ind w:firstLine="0" w:firstLineChars="0"/>
        <w:rPr>
          <w:rFonts w:ascii="宋体" w:hAnsi="宋体" w:eastAsia="宋体"/>
          <w:b/>
          <w:bCs/>
          <w:sz w:val="21"/>
          <w:szCs w:val="21"/>
        </w:rPr>
      </w:pPr>
      <w:bookmarkStart w:id="699" w:name="_Toc455080142"/>
      <w:bookmarkStart w:id="700" w:name="_Toc144974534"/>
      <w:bookmarkStart w:id="701" w:name="_Toc9522"/>
      <w:bookmarkStart w:id="702" w:name="_Toc152042342"/>
      <w:bookmarkStart w:id="703" w:name="_Toc152045566"/>
      <w:bookmarkStart w:id="704" w:name="_Toc3578"/>
      <w:r>
        <w:rPr>
          <w:rFonts w:hint="eastAsia" w:ascii="宋体" w:hAnsi="宋体" w:eastAsia="宋体"/>
          <w:b/>
          <w:bCs/>
          <w:sz w:val="21"/>
          <w:szCs w:val="21"/>
        </w:rPr>
        <w:t>7. 合同授予</w:t>
      </w:r>
      <w:bookmarkEnd w:id="699"/>
      <w:bookmarkEnd w:id="700"/>
      <w:bookmarkEnd w:id="701"/>
      <w:bookmarkEnd w:id="702"/>
      <w:bookmarkEnd w:id="703"/>
      <w:bookmarkEnd w:id="704"/>
    </w:p>
    <w:p w14:paraId="2653BE3A">
      <w:pPr>
        <w:pStyle w:val="73"/>
        <w:spacing w:line="360" w:lineRule="auto"/>
        <w:ind w:firstLine="0" w:firstLineChars="0"/>
        <w:outlineLvl w:val="0"/>
        <w:rPr>
          <w:rFonts w:ascii="宋体" w:hAnsi="宋体" w:eastAsia="宋体"/>
          <w:b/>
          <w:bCs/>
          <w:sz w:val="21"/>
          <w:szCs w:val="21"/>
        </w:rPr>
      </w:pPr>
      <w:bookmarkStart w:id="705" w:name="_Toc20777"/>
      <w:bookmarkStart w:id="706" w:name="_Toc455867803"/>
      <w:bookmarkStart w:id="707" w:name="_Toc28919"/>
      <w:bookmarkStart w:id="708" w:name="_Toc455080143"/>
      <w:bookmarkStart w:id="709" w:name="_Toc17660"/>
      <w:bookmarkStart w:id="710" w:name="_Toc11409"/>
      <w:bookmarkStart w:id="711" w:name="_Toc17667"/>
      <w:bookmarkStart w:id="712" w:name="_Toc144974535"/>
      <w:bookmarkStart w:id="713" w:name="_Toc25316"/>
      <w:bookmarkStart w:id="714" w:name="_Toc4262"/>
      <w:bookmarkStart w:id="715" w:name="_Toc490667863"/>
      <w:bookmarkStart w:id="716" w:name="_Toc552"/>
      <w:bookmarkStart w:id="717" w:name="_Toc22461"/>
      <w:bookmarkStart w:id="718" w:name="_Toc318450710"/>
      <w:bookmarkStart w:id="719" w:name="_Toc466298126"/>
      <w:bookmarkStart w:id="720" w:name="_Toc29686"/>
      <w:bookmarkStart w:id="721" w:name="_Toc152045567"/>
      <w:bookmarkStart w:id="722" w:name="_Toc152042343"/>
      <w:bookmarkStart w:id="723" w:name="_Toc24041"/>
      <w:bookmarkStart w:id="724" w:name="_Toc11008"/>
      <w:bookmarkStart w:id="725" w:name="_Toc14528"/>
      <w:bookmarkStart w:id="726" w:name="_Toc7358"/>
      <w:bookmarkStart w:id="727" w:name="_Toc29664"/>
      <w:r>
        <w:rPr>
          <w:rFonts w:hint="eastAsia" w:ascii="宋体" w:hAnsi="宋体" w:eastAsia="宋体"/>
          <w:b/>
          <w:bCs/>
          <w:sz w:val="21"/>
          <w:szCs w:val="21"/>
        </w:rPr>
        <w:t>7.1 定标方式</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1DD51293">
      <w:pPr>
        <w:spacing w:line="360" w:lineRule="auto"/>
        <w:ind w:firstLine="0" w:firstLineChars="0"/>
        <w:rPr>
          <w:rFonts w:ascii="宋体" w:hAnsi="宋体" w:cs="宋体"/>
          <w:szCs w:val="21"/>
        </w:rPr>
      </w:pPr>
      <w:bookmarkStart w:id="728" w:name="_Toc28254"/>
      <w:bookmarkStart w:id="729" w:name="_Toc152045568"/>
      <w:bookmarkStart w:id="730" w:name="_Toc144974536"/>
      <w:bookmarkStart w:id="731" w:name="_Toc10868"/>
      <w:bookmarkStart w:id="732" w:name="_Toc152042344"/>
      <w:bookmarkStart w:id="733" w:name="_Toc318450711"/>
      <w:bookmarkStart w:id="734" w:name="_Toc7066"/>
      <w:r>
        <w:rPr>
          <w:rFonts w:hint="eastAsia" w:ascii="宋体" w:hAnsi="宋体" w:cs="宋体"/>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或者被查实存在影响成交结果的违法行为等情形，不符合成交条件的，采购人可以按照磋商小组提出的成交候选人名单排序依次确定其他成交候选人为成交人，也可以重新磋商。</w:t>
      </w:r>
    </w:p>
    <w:p w14:paraId="5CA496E5">
      <w:pPr>
        <w:pStyle w:val="73"/>
        <w:spacing w:line="360" w:lineRule="auto"/>
        <w:ind w:firstLine="0" w:firstLineChars="0"/>
        <w:outlineLvl w:val="0"/>
        <w:rPr>
          <w:rFonts w:ascii="宋体" w:hAnsi="宋体" w:eastAsia="宋体"/>
          <w:b/>
          <w:bCs/>
          <w:sz w:val="21"/>
          <w:szCs w:val="21"/>
        </w:rPr>
      </w:pPr>
      <w:bookmarkStart w:id="735" w:name="_Toc455080144"/>
      <w:bookmarkStart w:id="736" w:name="_Toc490667864"/>
      <w:bookmarkStart w:id="737" w:name="_Toc9775"/>
      <w:bookmarkStart w:id="738" w:name="_Toc28177"/>
      <w:bookmarkStart w:id="739" w:name="_Toc7337"/>
      <w:bookmarkStart w:id="740" w:name="_Toc5668"/>
      <w:bookmarkStart w:id="741" w:name="_Toc16163"/>
      <w:bookmarkStart w:id="742" w:name="_Toc15825"/>
      <w:bookmarkStart w:id="743" w:name="_Toc466298127"/>
      <w:bookmarkStart w:id="744" w:name="_Toc21229"/>
      <w:bookmarkStart w:id="745" w:name="_Toc14331"/>
      <w:bookmarkStart w:id="746" w:name="_Toc455867804"/>
      <w:bookmarkStart w:id="747" w:name="_Toc5428"/>
      <w:bookmarkStart w:id="748" w:name="_Toc9897"/>
      <w:bookmarkStart w:id="749" w:name="_Toc8133"/>
      <w:bookmarkStart w:id="750" w:name="_Toc25515"/>
      <w:r>
        <w:rPr>
          <w:rFonts w:hint="eastAsia" w:ascii="宋体" w:hAnsi="宋体" w:eastAsia="宋体"/>
          <w:b/>
          <w:bCs/>
          <w:sz w:val="21"/>
          <w:szCs w:val="21"/>
        </w:rPr>
        <w:t>7.2 成交通知</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14:paraId="44DD8159">
      <w:pPr>
        <w:spacing w:line="360" w:lineRule="auto"/>
        <w:ind w:firstLine="0" w:firstLineChars="0"/>
        <w:rPr>
          <w:rFonts w:ascii="宋体" w:hAnsi="宋体" w:cs="宋体"/>
          <w:szCs w:val="21"/>
        </w:rPr>
      </w:pPr>
      <w:r>
        <w:rPr>
          <w:rFonts w:hint="eastAsia" w:ascii="宋体" w:hAnsi="宋体" w:cs="宋体"/>
          <w:szCs w:val="21"/>
        </w:rPr>
        <w:t>在本章第3.3.1款规定的磋商有效期内，采购人以书面形式向成交人发出成交通知书，同时将成交结果通知未成交的供应商。</w:t>
      </w:r>
    </w:p>
    <w:p w14:paraId="7CA5FC6B">
      <w:pPr>
        <w:spacing w:line="400" w:lineRule="exact"/>
        <w:ind w:firstLine="0" w:firstLineChars="0"/>
        <w:rPr>
          <w:rFonts w:ascii="宋体" w:hAnsi="宋体" w:eastAsia="宋体" w:cs="宋体"/>
          <w:b/>
          <w:bCs/>
          <w:szCs w:val="21"/>
        </w:rPr>
      </w:pPr>
      <w:r>
        <w:rPr>
          <w:rFonts w:hint="eastAsia" w:ascii="宋体" w:hAnsi="宋体" w:eastAsia="宋体" w:cs="宋体"/>
          <w:b/>
          <w:bCs/>
          <w:szCs w:val="21"/>
        </w:rPr>
        <w:t>7.3 履约保证金</w:t>
      </w:r>
    </w:p>
    <w:p w14:paraId="45DD355E">
      <w:pPr>
        <w:pStyle w:val="73"/>
        <w:spacing w:line="360" w:lineRule="auto"/>
        <w:ind w:firstLine="0" w:firstLineChars="0"/>
        <w:outlineLvl w:val="0"/>
        <w:rPr>
          <w:rFonts w:ascii="宋体" w:hAnsi="宋体" w:eastAsia="宋体"/>
          <w:b/>
          <w:bCs/>
          <w:sz w:val="21"/>
          <w:szCs w:val="21"/>
        </w:rPr>
      </w:pPr>
      <w:bookmarkStart w:id="751" w:name="_Toc24659"/>
      <w:bookmarkStart w:id="752" w:name="_Toc5993"/>
      <w:bookmarkStart w:id="753" w:name="_Toc9509"/>
      <w:bookmarkStart w:id="754" w:name="_Toc27005"/>
      <w:bookmarkStart w:id="755" w:name="_Toc10489"/>
      <w:bookmarkStart w:id="756" w:name="_Toc26655"/>
      <w:bookmarkStart w:id="757" w:name="_Toc24026"/>
      <w:bookmarkStart w:id="758" w:name="_Toc15458"/>
      <w:bookmarkStart w:id="759" w:name="_Toc455080145"/>
      <w:bookmarkStart w:id="760" w:name="_Toc10082"/>
      <w:bookmarkStart w:id="761" w:name="_Toc21271"/>
      <w:bookmarkStart w:id="762" w:name="_Toc12663"/>
      <w:bookmarkStart w:id="763" w:name="_Toc455867805"/>
      <w:bookmarkStart w:id="764" w:name="_Toc26760"/>
      <w:bookmarkStart w:id="765" w:name="_Toc318450712"/>
      <w:bookmarkStart w:id="766" w:name="_Toc466298128"/>
      <w:bookmarkStart w:id="767" w:name="_Toc13147"/>
      <w:bookmarkStart w:id="768" w:name="_Toc8886"/>
      <w:bookmarkStart w:id="769" w:name="_Toc152042346"/>
      <w:bookmarkStart w:id="770" w:name="_Toc490667865"/>
      <w:bookmarkStart w:id="771" w:name="_Toc152045570"/>
      <w:bookmarkStart w:id="772" w:name="_Toc144974538"/>
      <w:bookmarkStart w:id="773" w:name="_Toc26915"/>
      <w:r>
        <w:rPr>
          <w:rFonts w:hint="eastAsia" w:ascii="宋体" w:hAnsi="宋体" w:eastAsia="宋体"/>
          <w:b/>
          <w:bCs/>
          <w:sz w:val="21"/>
          <w:szCs w:val="21"/>
        </w:rPr>
        <w:t>免收履约保证金</w:t>
      </w:r>
      <w:bookmarkEnd w:id="751"/>
      <w:bookmarkEnd w:id="752"/>
      <w:bookmarkEnd w:id="753"/>
      <w:bookmarkEnd w:id="754"/>
      <w:bookmarkEnd w:id="755"/>
    </w:p>
    <w:p w14:paraId="7DB567F0">
      <w:pPr>
        <w:pStyle w:val="73"/>
        <w:spacing w:line="360" w:lineRule="auto"/>
        <w:ind w:firstLine="0" w:firstLineChars="0"/>
        <w:outlineLvl w:val="0"/>
        <w:rPr>
          <w:rFonts w:ascii="宋体" w:hAnsi="宋体" w:eastAsia="宋体"/>
          <w:b/>
          <w:bCs/>
          <w:sz w:val="21"/>
          <w:szCs w:val="21"/>
        </w:rPr>
      </w:pPr>
      <w:bookmarkStart w:id="774" w:name="_Toc27919"/>
      <w:bookmarkStart w:id="775" w:name="_Toc27033"/>
      <w:bookmarkStart w:id="776" w:name="_Toc1041"/>
      <w:bookmarkStart w:id="777" w:name="_Toc27441"/>
      <w:bookmarkStart w:id="778" w:name="_Toc21220"/>
      <w:r>
        <w:rPr>
          <w:rFonts w:hint="eastAsia" w:ascii="宋体" w:hAnsi="宋体" w:eastAsia="宋体"/>
          <w:b/>
          <w:bCs/>
          <w:sz w:val="21"/>
          <w:szCs w:val="21"/>
        </w:rPr>
        <w:t>7.4 签订合同</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6A5B83E8">
      <w:pPr>
        <w:spacing w:line="360" w:lineRule="auto"/>
        <w:ind w:firstLine="0" w:firstLineChars="0"/>
        <w:rPr>
          <w:rFonts w:ascii="宋体" w:hAnsi="宋体" w:cs="宋体"/>
          <w:szCs w:val="21"/>
        </w:rPr>
      </w:pPr>
      <w:r>
        <w:rPr>
          <w:rFonts w:hint="eastAsia" w:ascii="宋体" w:hAnsi="宋体" w:cs="宋体"/>
          <w:szCs w:val="21"/>
        </w:rPr>
        <w:t xml:space="preserve">7.4.1采购人和成交人应当自成交通知书发出之日起2个工作日内，根据磋商文件和成交人的响应文件订立书面合同。成交人无正当理由拒签合同的，采购人取消其成交资格；给采购人造成的损失的，成交人还应当对超过部分予以赔偿。 </w:t>
      </w:r>
    </w:p>
    <w:p w14:paraId="4E0E16FD">
      <w:pPr>
        <w:spacing w:line="360" w:lineRule="auto"/>
        <w:ind w:firstLine="0" w:firstLineChars="0"/>
        <w:rPr>
          <w:rFonts w:ascii="宋体" w:hAnsi="宋体" w:cs="宋体"/>
          <w:szCs w:val="21"/>
        </w:rPr>
      </w:pPr>
      <w:r>
        <w:rPr>
          <w:rFonts w:hint="eastAsia" w:ascii="宋体" w:hAnsi="宋体" w:cs="宋体"/>
          <w:szCs w:val="21"/>
        </w:rPr>
        <w:t xml:space="preserve">7.4.2 发出成交通知书后，采购人无正当理由拒签合同的，给成交人造成损失的，还应当赔偿损失。 </w:t>
      </w:r>
      <w:bookmarkStart w:id="779" w:name="_Toc152042350"/>
      <w:bookmarkStart w:id="780" w:name="_Toc144974542"/>
      <w:bookmarkStart w:id="781" w:name="_Toc152045574"/>
    </w:p>
    <w:p w14:paraId="261766ED">
      <w:pPr>
        <w:pStyle w:val="72"/>
        <w:spacing w:line="360" w:lineRule="auto"/>
        <w:ind w:firstLine="0" w:firstLineChars="0"/>
        <w:rPr>
          <w:rFonts w:ascii="宋体" w:hAnsi="宋体" w:eastAsia="宋体"/>
          <w:b/>
          <w:bCs/>
          <w:sz w:val="21"/>
          <w:szCs w:val="21"/>
        </w:rPr>
      </w:pPr>
      <w:bookmarkStart w:id="782" w:name="_Toc455080146"/>
      <w:bookmarkStart w:id="783" w:name="_Toc16866"/>
      <w:bookmarkStart w:id="784" w:name="_Toc18918"/>
      <w:r>
        <w:rPr>
          <w:rFonts w:hint="eastAsia" w:ascii="宋体" w:hAnsi="宋体" w:eastAsia="宋体"/>
          <w:b/>
          <w:bCs/>
          <w:sz w:val="21"/>
          <w:szCs w:val="21"/>
        </w:rPr>
        <w:t>8.重新招标</w:t>
      </w:r>
      <w:bookmarkEnd w:id="782"/>
      <w:bookmarkEnd w:id="783"/>
      <w:bookmarkEnd w:id="784"/>
    </w:p>
    <w:p w14:paraId="61B77107">
      <w:pPr>
        <w:spacing w:line="360" w:lineRule="auto"/>
        <w:ind w:firstLine="0" w:firstLineChars="0"/>
        <w:rPr>
          <w:rFonts w:ascii="宋体" w:hAnsi="宋体"/>
          <w:szCs w:val="21"/>
        </w:rPr>
      </w:pPr>
      <w:bookmarkStart w:id="785" w:name="_Toc16556"/>
      <w:r>
        <w:rPr>
          <w:rFonts w:hint="eastAsia" w:ascii="宋体" w:hAnsi="宋体"/>
          <w:b/>
          <w:bCs/>
          <w:szCs w:val="21"/>
        </w:rPr>
        <w:t>8.1 重新招标</w:t>
      </w:r>
      <w:bookmarkEnd w:id="785"/>
    </w:p>
    <w:p w14:paraId="50301105">
      <w:pPr>
        <w:spacing w:line="360" w:lineRule="auto"/>
        <w:ind w:firstLine="0" w:firstLineChars="0"/>
        <w:rPr>
          <w:rFonts w:ascii="宋体" w:hAnsi="宋体"/>
          <w:szCs w:val="21"/>
        </w:rPr>
      </w:pPr>
      <w:bookmarkStart w:id="786" w:name="_Toc9985"/>
      <w:r>
        <w:rPr>
          <w:rFonts w:hint="eastAsia" w:ascii="宋体" w:hAnsi="宋体"/>
          <w:szCs w:val="21"/>
        </w:rPr>
        <w:t>有下列情形之一的，采购人将重新招标：</w:t>
      </w:r>
      <w:bookmarkEnd w:id="786"/>
    </w:p>
    <w:p w14:paraId="5688FEF9">
      <w:pPr>
        <w:spacing w:line="360" w:lineRule="auto"/>
        <w:ind w:firstLine="0" w:firstLineChars="0"/>
        <w:rPr>
          <w:rFonts w:ascii="宋体" w:hAnsi="宋体"/>
          <w:szCs w:val="21"/>
        </w:rPr>
      </w:pPr>
      <w:bookmarkStart w:id="787" w:name="_Toc25063"/>
      <w:r>
        <w:rPr>
          <w:rFonts w:hint="eastAsia" w:ascii="宋体" w:hAnsi="宋体"/>
          <w:szCs w:val="21"/>
        </w:rPr>
        <w:t>（1）提交响应文件截止时间止，供应商少于3个的；</w:t>
      </w:r>
      <w:bookmarkEnd w:id="787"/>
    </w:p>
    <w:p w14:paraId="3FA06966">
      <w:pPr>
        <w:spacing w:line="360" w:lineRule="auto"/>
        <w:ind w:firstLine="0" w:firstLineChars="0"/>
        <w:rPr>
          <w:rFonts w:ascii="宋体" w:hAnsi="宋体"/>
          <w:szCs w:val="21"/>
        </w:rPr>
      </w:pPr>
      <w:bookmarkStart w:id="788" w:name="_Toc17911"/>
      <w:r>
        <w:rPr>
          <w:rFonts w:hint="eastAsia" w:ascii="宋体" w:hAnsi="宋体"/>
          <w:szCs w:val="21"/>
        </w:rPr>
        <w:t>（2）经磋商小组评审后否决所有响应文件的。</w:t>
      </w:r>
      <w:bookmarkEnd w:id="788"/>
    </w:p>
    <w:p w14:paraId="7FED3121">
      <w:pPr>
        <w:pStyle w:val="72"/>
        <w:spacing w:line="360" w:lineRule="auto"/>
        <w:ind w:firstLine="0" w:firstLineChars="0"/>
        <w:rPr>
          <w:rFonts w:ascii="宋体" w:hAnsi="宋体" w:eastAsia="宋体"/>
          <w:b/>
          <w:bCs/>
          <w:sz w:val="21"/>
          <w:szCs w:val="21"/>
        </w:rPr>
      </w:pPr>
      <w:bookmarkStart w:id="789" w:name="_Toc455080147"/>
      <w:bookmarkStart w:id="790" w:name="_Toc9996"/>
      <w:bookmarkStart w:id="791" w:name="_Toc2509"/>
      <w:r>
        <w:rPr>
          <w:rFonts w:hint="eastAsia" w:ascii="宋体" w:hAnsi="宋体" w:eastAsia="宋体"/>
          <w:b/>
          <w:bCs/>
          <w:sz w:val="21"/>
          <w:szCs w:val="21"/>
        </w:rPr>
        <w:t>9.纪律和监督</w:t>
      </w:r>
      <w:bookmarkEnd w:id="779"/>
      <w:bookmarkEnd w:id="780"/>
      <w:bookmarkEnd w:id="781"/>
      <w:bookmarkEnd w:id="789"/>
      <w:bookmarkEnd w:id="790"/>
      <w:bookmarkEnd w:id="791"/>
    </w:p>
    <w:p w14:paraId="6B241BEC">
      <w:pPr>
        <w:pStyle w:val="73"/>
        <w:spacing w:line="360" w:lineRule="auto"/>
        <w:ind w:firstLine="0" w:firstLineChars="0"/>
        <w:outlineLvl w:val="0"/>
        <w:rPr>
          <w:rFonts w:ascii="宋体" w:hAnsi="宋体" w:eastAsia="宋体"/>
          <w:b/>
          <w:bCs/>
          <w:sz w:val="21"/>
          <w:szCs w:val="21"/>
        </w:rPr>
      </w:pPr>
      <w:bookmarkStart w:id="792" w:name="_Toc455867808"/>
      <w:bookmarkStart w:id="793" w:name="_Toc455080148"/>
      <w:bookmarkStart w:id="794" w:name="_Toc8381"/>
      <w:bookmarkStart w:id="795" w:name="_Toc12992"/>
      <w:bookmarkStart w:id="796" w:name="_Toc14620"/>
      <w:bookmarkStart w:id="797" w:name="_Toc144974543"/>
      <w:bookmarkStart w:id="798" w:name="_Toc152045575"/>
      <w:bookmarkStart w:id="799" w:name="_Toc1282"/>
      <w:bookmarkStart w:id="800" w:name="_Toc318450714"/>
      <w:bookmarkStart w:id="801" w:name="_Toc19159"/>
      <w:bookmarkStart w:id="802" w:name="_Toc13970"/>
      <w:bookmarkStart w:id="803" w:name="_Toc27836"/>
      <w:bookmarkStart w:id="804" w:name="_Toc15769"/>
      <w:bookmarkStart w:id="805" w:name="_Toc697"/>
      <w:bookmarkStart w:id="806" w:name="_Toc14614"/>
      <w:bookmarkStart w:id="807" w:name="_Toc269"/>
      <w:bookmarkStart w:id="808" w:name="_Toc466298131"/>
      <w:bookmarkStart w:id="809" w:name="_Toc20009"/>
      <w:bookmarkStart w:id="810" w:name="_Toc15592"/>
      <w:bookmarkStart w:id="811" w:name="_Toc490667868"/>
      <w:bookmarkStart w:id="812" w:name="_Toc31857"/>
      <w:bookmarkStart w:id="813" w:name="_Toc24482"/>
      <w:bookmarkStart w:id="814" w:name="_Toc152042351"/>
      <w:r>
        <w:rPr>
          <w:rFonts w:hint="eastAsia" w:ascii="宋体" w:hAnsi="宋体" w:eastAsia="宋体"/>
          <w:b/>
          <w:bCs/>
          <w:sz w:val="21"/>
          <w:szCs w:val="21"/>
        </w:rPr>
        <w:t>9.1 对采购人的纪律要求</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14:paraId="64032590">
      <w:pPr>
        <w:spacing w:line="360" w:lineRule="auto"/>
        <w:ind w:firstLine="0" w:firstLineChars="0"/>
        <w:rPr>
          <w:rFonts w:ascii="宋体" w:hAnsi="宋体" w:cs="宋体"/>
          <w:szCs w:val="21"/>
        </w:rPr>
      </w:pPr>
      <w:r>
        <w:rPr>
          <w:rFonts w:hint="eastAsia" w:ascii="宋体" w:hAnsi="宋体" w:cs="宋体"/>
          <w:szCs w:val="21"/>
        </w:rPr>
        <w:t>采购人不得泄漏磋商活动中应当保密的情况和资料，不得与供应商串通损害国家利益、社会公共利益或者他人合法权益。</w:t>
      </w:r>
    </w:p>
    <w:p w14:paraId="3D8479D1">
      <w:pPr>
        <w:pStyle w:val="73"/>
        <w:spacing w:line="360" w:lineRule="auto"/>
        <w:ind w:firstLine="0" w:firstLineChars="0"/>
        <w:outlineLvl w:val="0"/>
        <w:rPr>
          <w:rFonts w:ascii="宋体" w:hAnsi="宋体" w:eastAsia="宋体"/>
          <w:sz w:val="21"/>
          <w:szCs w:val="21"/>
        </w:rPr>
      </w:pPr>
      <w:bookmarkStart w:id="815" w:name="_Toc21646"/>
      <w:bookmarkStart w:id="816" w:name="_Toc3220"/>
      <w:bookmarkStart w:id="817" w:name="_Toc1743"/>
      <w:bookmarkStart w:id="818" w:name="_Toc27698"/>
      <w:bookmarkStart w:id="819" w:name="_Toc9058"/>
      <w:bookmarkStart w:id="820" w:name="_Toc3375"/>
      <w:bookmarkStart w:id="821" w:name="_Toc152045576"/>
      <w:bookmarkStart w:id="822" w:name="_Toc466298132"/>
      <w:bookmarkStart w:id="823" w:name="_Toc18204"/>
      <w:bookmarkStart w:id="824" w:name="_Toc13753"/>
      <w:bookmarkStart w:id="825" w:name="_Toc3089"/>
      <w:bookmarkStart w:id="826" w:name="_Toc152042352"/>
      <w:bookmarkStart w:id="827" w:name="_Toc20261"/>
      <w:bookmarkStart w:id="828" w:name="_Toc18604"/>
      <w:bookmarkStart w:id="829" w:name="_Toc455867809"/>
      <w:bookmarkStart w:id="830" w:name="_Toc23415"/>
      <w:bookmarkStart w:id="831" w:name="_Toc19167"/>
      <w:bookmarkStart w:id="832" w:name="_Toc17040"/>
      <w:bookmarkStart w:id="833" w:name="_Toc455080149"/>
      <w:bookmarkStart w:id="834" w:name="_Toc7572"/>
      <w:bookmarkStart w:id="835" w:name="_Toc490667869"/>
      <w:bookmarkStart w:id="836" w:name="_Toc144974544"/>
      <w:bookmarkStart w:id="837" w:name="_Toc318450715"/>
      <w:r>
        <w:rPr>
          <w:rFonts w:hint="eastAsia" w:ascii="宋体" w:hAnsi="宋体" w:eastAsia="宋体"/>
          <w:b/>
          <w:bCs/>
          <w:sz w:val="21"/>
          <w:szCs w:val="21"/>
        </w:rPr>
        <w:t>9.2 对供应商的纪律要求</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4513CF57">
      <w:pPr>
        <w:spacing w:line="360" w:lineRule="auto"/>
        <w:ind w:firstLine="0" w:firstLineChars="0"/>
        <w:rPr>
          <w:rFonts w:ascii="宋体" w:hAnsi="宋体" w:cs="宋体"/>
          <w:szCs w:val="21"/>
        </w:rPr>
      </w:pPr>
      <w:r>
        <w:rPr>
          <w:rFonts w:hint="eastAsia" w:ascii="宋体" w:hAnsi="宋体" w:cs="宋体"/>
          <w:szCs w:val="21"/>
        </w:rPr>
        <w:t>供应商不得相互串通或者与采购人串通，不得向采购人或者谈判小组行贿谋取成交，不得以他人名义或者以其他方式弄虚作假骗取成交；供应商不得以任何方式干扰、影响评审工作。</w:t>
      </w:r>
    </w:p>
    <w:p w14:paraId="31DF4827">
      <w:pPr>
        <w:pStyle w:val="73"/>
        <w:spacing w:line="360" w:lineRule="auto"/>
        <w:ind w:firstLine="0" w:firstLineChars="0"/>
        <w:outlineLvl w:val="0"/>
        <w:rPr>
          <w:rFonts w:ascii="宋体" w:hAnsi="宋体" w:eastAsia="宋体"/>
          <w:b/>
          <w:bCs/>
          <w:sz w:val="21"/>
          <w:szCs w:val="21"/>
        </w:rPr>
      </w:pPr>
      <w:bookmarkStart w:id="838" w:name="_Toc30153"/>
      <w:bookmarkStart w:id="839" w:name="_Toc490667870"/>
      <w:bookmarkStart w:id="840" w:name="_Toc7107"/>
      <w:bookmarkStart w:id="841" w:name="_Toc9247"/>
      <w:bookmarkStart w:id="842" w:name="_Toc31001"/>
      <w:bookmarkStart w:id="843" w:name="_Toc2199"/>
      <w:bookmarkStart w:id="844" w:name="_Toc318450716"/>
      <w:bookmarkStart w:id="845" w:name="_Toc1928"/>
      <w:bookmarkStart w:id="846" w:name="_Toc2542"/>
      <w:bookmarkStart w:id="847" w:name="_Toc32320"/>
      <w:bookmarkStart w:id="848" w:name="_Toc144974545"/>
      <w:bookmarkStart w:id="849" w:name="_Toc25241"/>
      <w:bookmarkStart w:id="850" w:name="_Toc25211"/>
      <w:bookmarkStart w:id="851" w:name="_Toc7439"/>
      <w:bookmarkStart w:id="852" w:name="_Toc12177"/>
      <w:bookmarkStart w:id="853" w:name="_Toc152045577"/>
      <w:bookmarkStart w:id="854" w:name="_Toc152042353"/>
      <w:bookmarkStart w:id="855" w:name="_Toc19965"/>
      <w:bookmarkStart w:id="856" w:name="_Toc19086"/>
      <w:bookmarkStart w:id="857" w:name="_Toc28813"/>
      <w:bookmarkStart w:id="858" w:name="_Toc455867810"/>
      <w:bookmarkStart w:id="859" w:name="_Toc455080150"/>
      <w:bookmarkStart w:id="860" w:name="_Toc466298133"/>
      <w:r>
        <w:rPr>
          <w:rFonts w:hint="eastAsia" w:ascii="宋体" w:hAnsi="宋体" w:eastAsia="宋体"/>
          <w:b/>
          <w:bCs/>
          <w:sz w:val="21"/>
          <w:szCs w:val="21"/>
        </w:rPr>
        <w:t>9.3 对磋商小组成员的纪律要求</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14:paraId="7941DE83">
      <w:pPr>
        <w:spacing w:line="360" w:lineRule="auto"/>
        <w:ind w:firstLine="0" w:firstLineChars="0"/>
        <w:rPr>
          <w:rFonts w:ascii="宋体" w:hAnsi="宋体" w:cs="宋体"/>
          <w:szCs w:val="21"/>
        </w:rPr>
      </w:pPr>
      <w:r>
        <w:rPr>
          <w:rFonts w:hint="eastAsia" w:ascii="宋体" w:hAnsi="宋体" w:cs="宋体"/>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6ADFD121">
      <w:pPr>
        <w:pStyle w:val="73"/>
        <w:spacing w:line="360" w:lineRule="auto"/>
        <w:ind w:firstLine="0" w:firstLineChars="0"/>
        <w:outlineLvl w:val="0"/>
        <w:rPr>
          <w:rFonts w:ascii="宋体" w:hAnsi="宋体" w:eastAsia="宋体"/>
          <w:sz w:val="21"/>
          <w:szCs w:val="21"/>
        </w:rPr>
      </w:pPr>
      <w:bookmarkStart w:id="861" w:name="_Toc26462"/>
      <w:bookmarkStart w:id="862" w:name="_Toc7368"/>
      <w:bookmarkStart w:id="863" w:name="_Toc15116"/>
      <w:bookmarkStart w:id="864" w:name="_Toc32632"/>
      <w:bookmarkStart w:id="865" w:name="_Toc19485"/>
      <w:bookmarkStart w:id="866" w:name="_Toc235"/>
      <w:bookmarkStart w:id="867" w:name="_Toc466298134"/>
      <w:bookmarkStart w:id="868" w:name="_Toc24733"/>
      <w:bookmarkStart w:id="869" w:name="_Toc455080151"/>
      <w:bookmarkStart w:id="870" w:name="_Toc490667871"/>
      <w:bookmarkStart w:id="871" w:name="_Toc455867811"/>
      <w:bookmarkStart w:id="872" w:name="_Toc8677"/>
      <w:bookmarkStart w:id="873" w:name="_Toc24"/>
      <w:bookmarkStart w:id="874" w:name="_Toc9063"/>
      <w:bookmarkStart w:id="875" w:name="_Toc23717"/>
      <w:bookmarkStart w:id="876" w:name="_Toc27559"/>
      <w:bookmarkStart w:id="877" w:name="_Toc1295"/>
      <w:bookmarkStart w:id="878" w:name="_Toc20546"/>
      <w:bookmarkStart w:id="879" w:name="_Toc8952"/>
      <w:bookmarkStart w:id="880" w:name="_Toc152045578"/>
      <w:bookmarkStart w:id="881" w:name="_Toc152042354"/>
      <w:bookmarkStart w:id="882" w:name="_Toc318450717"/>
      <w:bookmarkStart w:id="883" w:name="_Toc144974546"/>
      <w:r>
        <w:rPr>
          <w:rFonts w:hint="eastAsia" w:ascii="宋体" w:hAnsi="宋体" w:eastAsia="宋体"/>
          <w:b/>
          <w:bCs/>
          <w:sz w:val="21"/>
          <w:szCs w:val="21"/>
        </w:rPr>
        <w:t>9.4 对与评标活动有关的工作人员的纪律要求</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5F001C14">
      <w:pPr>
        <w:spacing w:line="360" w:lineRule="auto"/>
        <w:ind w:firstLine="0" w:firstLineChars="0"/>
        <w:rPr>
          <w:rFonts w:ascii="宋体" w:hAnsi="宋体" w:cs="宋体"/>
          <w:szCs w:val="21"/>
        </w:rPr>
      </w:pPr>
      <w:bookmarkStart w:id="884" w:name="_Toc152042355"/>
      <w:r>
        <w:rPr>
          <w:rFonts w:hint="eastAsia" w:ascii="宋体" w:hAnsi="宋体" w:cs="宋体"/>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884"/>
    </w:p>
    <w:p w14:paraId="519535FD">
      <w:pPr>
        <w:pStyle w:val="73"/>
        <w:spacing w:line="360" w:lineRule="auto"/>
        <w:ind w:firstLine="0" w:firstLineChars="0"/>
        <w:outlineLvl w:val="0"/>
        <w:rPr>
          <w:rFonts w:ascii="宋体" w:hAnsi="宋体" w:eastAsia="宋体"/>
          <w:b/>
          <w:bCs/>
          <w:sz w:val="21"/>
          <w:szCs w:val="21"/>
        </w:rPr>
      </w:pPr>
      <w:bookmarkStart w:id="885" w:name="_Toc11924"/>
      <w:bookmarkStart w:id="886" w:name="_Toc17735"/>
      <w:bookmarkStart w:id="887" w:name="_Toc318450718"/>
      <w:bookmarkStart w:id="888" w:name="_Toc31010"/>
      <w:bookmarkStart w:id="889" w:name="_Toc7556"/>
      <w:bookmarkStart w:id="890" w:name="_Toc32064"/>
      <w:bookmarkStart w:id="891" w:name="_Toc8074"/>
      <w:bookmarkStart w:id="892" w:name="_Toc3617"/>
      <w:bookmarkStart w:id="893" w:name="_Toc455080152"/>
      <w:bookmarkStart w:id="894" w:name="_Toc31609"/>
      <w:bookmarkStart w:id="895" w:name="_Toc152045579"/>
      <w:bookmarkStart w:id="896" w:name="_Toc5504"/>
      <w:bookmarkStart w:id="897" w:name="_Toc25751"/>
      <w:bookmarkStart w:id="898" w:name="_Toc6199"/>
      <w:bookmarkStart w:id="899" w:name="_Toc3303"/>
      <w:bookmarkStart w:id="900" w:name="_Toc455867812"/>
      <w:bookmarkStart w:id="901" w:name="_Toc466298135"/>
      <w:bookmarkStart w:id="902" w:name="_Toc18178"/>
      <w:bookmarkStart w:id="903" w:name="_Toc32675"/>
      <w:bookmarkStart w:id="904" w:name="_Toc490667872"/>
      <w:bookmarkStart w:id="905" w:name="_Toc1820"/>
      <w:bookmarkStart w:id="906" w:name="_Toc152042356"/>
      <w:r>
        <w:rPr>
          <w:rFonts w:hint="eastAsia" w:ascii="宋体" w:hAnsi="宋体" w:eastAsia="宋体"/>
          <w:b/>
          <w:bCs/>
          <w:sz w:val="21"/>
          <w:szCs w:val="21"/>
        </w:rPr>
        <w:t>9.5 投诉</w:t>
      </w:r>
      <w:bookmarkEnd w:id="883"/>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14:paraId="58BFEAD6">
      <w:pPr>
        <w:spacing w:line="360" w:lineRule="auto"/>
        <w:ind w:firstLine="0" w:firstLineChars="0"/>
        <w:rPr>
          <w:rFonts w:ascii="宋体" w:hAnsi="宋体" w:cs="宋体"/>
          <w:szCs w:val="21"/>
        </w:rPr>
      </w:pPr>
      <w:r>
        <w:rPr>
          <w:rFonts w:hint="eastAsia" w:ascii="宋体" w:hAnsi="宋体" w:cs="宋体"/>
          <w:szCs w:val="21"/>
        </w:rPr>
        <w:t>供应商和其他利害关系人认为本次磋商活动违反法律、法规和规章规定的，有权向有关行政监督部门投诉。</w:t>
      </w:r>
    </w:p>
    <w:p w14:paraId="6A479174">
      <w:pPr>
        <w:pStyle w:val="72"/>
        <w:spacing w:line="360" w:lineRule="auto"/>
        <w:ind w:firstLine="0" w:firstLineChars="0"/>
        <w:rPr>
          <w:rFonts w:ascii="宋体" w:hAnsi="宋体" w:eastAsia="宋体"/>
          <w:b/>
          <w:bCs/>
          <w:sz w:val="21"/>
          <w:szCs w:val="21"/>
        </w:rPr>
      </w:pPr>
      <w:bookmarkStart w:id="907" w:name="_Toc14221"/>
      <w:bookmarkStart w:id="908" w:name="_Toc152042357"/>
      <w:bookmarkStart w:id="909" w:name="_Toc455080153"/>
      <w:bookmarkStart w:id="910" w:name="_Toc152045580"/>
      <w:bookmarkStart w:id="911" w:name="_Toc26468"/>
      <w:bookmarkStart w:id="912" w:name="_Toc144974547"/>
      <w:r>
        <w:rPr>
          <w:rFonts w:hint="eastAsia" w:ascii="宋体" w:hAnsi="宋体" w:eastAsia="宋体"/>
          <w:b/>
          <w:bCs/>
          <w:sz w:val="21"/>
          <w:szCs w:val="21"/>
        </w:rPr>
        <w:t>10. 需要补充的其他内容</w:t>
      </w:r>
      <w:bookmarkEnd w:id="907"/>
      <w:bookmarkEnd w:id="908"/>
      <w:bookmarkEnd w:id="909"/>
      <w:bookmarkEnd w:id="910"/>
      <w:bookmarkEnd w:id="911"/>
      <w:bookmarkEnd w:id="912"/>
    </w:p>
    <w:p w14:paraId="1F312296">
      <w:pPr>
        <w:spacing w:line="360" w:lineRule="auto"/>
        <w:ind w:firstLine="420" w:firstLineChars="200"/>
        <w:outlineLvl w:val="0"/>
        <w:rPr>
          <w:rFonts w:hint="eastAsia" w:ascii="宋体" w:hAnsi="宋体" w:eastAsia="宋体" w:cs="宋体"/>
          <w:color w:val="auto"/>
          <w:szCs w:val="21"/>
          <w:highlight w:val="none"/>
        </w:rPr>
      </w:pPr>
      <w:bookmarkStart w:id="913" w:name="_Toc490667874"/>
      <w:bookmarkStart w:id="914" w:name="_Toc5176"/>
      <w:bookmarkStart w:id="915" w:name="_Toc14763"/>
      <w:bookmarkStart w:id="916" w:name="_Toc17627"/>
      <w:bookmarkStart w:id="917" w:name="_Toc22486"/>
      <w:bookmarkStart w:id="918" w:name="_Toc455080154"/>
      <w:bookmarkStart w:id="919" w:name="_Toc466298137"/>
      <w:bookmarkStart w:id="920" w:name="_Toc455867814"/>
      <w:bookmarkStart w:id="921" w:name="_Toc152045598"/>
      <w:bookmarkStart w:id="922" w:name="_Toc152042375"/>
      <w:bookmarkStart w:id="923" w:name="_Toc144974565"/>
      <w:r>
        <w:rPr>
          <w:rFonts w:hint="eastAsia" w:ascii="宋体" w:hAnsi="宋体" w:eastAsia="宋体" w:cs="宋体"/>
          <w:color w:val="auto"/>
          <w:szCs w:val="21"/>
          <w:highlight w:val="none"/>
          <w:lang w:val="en-US" w:eastAsia="zh-CN"/>
        </w:rPr>
        <w:t>10.1</w:t>
      </w:r>
      <w:r>
        <w:rPr>
          <w:rFonts w:hint="eastAsia" w:ascii="宋体" w:hAnsi="宋体" w:eastAsia="宋体" w:cs="宋体"/>
          <w:color w:val="auto"/>
          <w:szCs w:val="21"/>
          <w:highlight w:val="none"/>
        </w:rPr>
        <w:t>需要补充的其他内容：见供应商须知前附表。</w:t>
      </w:r>
      <w:bookmarkEnd w:id="913"/>
      <w:bookmarkEnd w:id="914"/>
      <w:bookmarkEnd w:id="915"/>
      <w:bookmarkEnd w:id="916"/>
      <w:bookmarkEnd w:id="917"/>
    </w:p>
    <w:p w14:paraId="4123BD0F">
      <w:pPr>
        <w:ind w:firstLine="0" w:firstLineChars="0"/>
        <w:outlineLvl w:val="0"/>
        <w:rPr>
          <w:rFonts w:ascii="宋体" w:hAnsi="宋体" w:cs="宋体"/>
          <w:b/>
          <w:kern w:val="44"/>
          <w:sz w:val="28"/>
          <w:szCs w:val="28"/>
        </w:rPr>
      </w:pPr>
    </w:p>
    <w:p w14:paraId="002ECB4A">
      <w:pPr>
        <w:ind w:firstLine="0" w:firstLineChars="0"/>
        <w:outlineLvl w:val="0"/>
        <w:rPr>
          <w:rFonts w:ascii="宋体" w:hAnsi="宋体" w:cs="宋体"/>
          <w:b/>
          <w:kern w:val="44"/>
          <w:sz w:val="32"/>
          <w:szCs w:val="32"/>
        </w:rPr>
      </w:pPr>
      <w:bookmarkStart w:id="924" w:name="_Toc6192"/>
    </w:p>
    <w:p w14:paraId="0744499D">
      <w:pPr>
        <w:ind w:left="0" w:leftChars="0" w:firstLine="0" w:firstLineChars="0"/>
        <w:rPr>
          <w:rFonts w:hint="eastAsia" w:ascii="宋体" w:hAnsi="宋体" w:cs="宋体"/>
          <w:b/>
          <w:kern w:val="44"/>
          <w:sz w:val="32"/>
          <w:szCs w:val="32"/>
        </w:rPr>
      </w:pPr>
      <w:bookmarkStart w:id="925" w:name="_Toc22014"/>
      <w:r>
        <w:rPr>
          <w:rFonts w:hint="eastAsia" w:ascii="宋体" w:hAnsi="宋体" w:cs="宋体"/>
          <w:b/>
          <w:kern w:val="44"/>
          <w:sz w:val="32"/>
          <w:szCs w:val="32"/>
        </w:rPr>
        <w:br w:type="page"/>
      </w:r>
    </w:p>
    <w:p w14:paraId="45798CF9">
      <w:pPr>
        <w:ind w:firstLine="0" w:firstLineChars="0"/>
        <w:jc w:val="center"/>
        <w:outlineLvl w:val="0"/>
        <w:rPr>
          <w:rFonts w:ascii="宋体" w:hAnsi="宋体" w:cs="宋体"/>
          <w:bCs/>
          <w:sz w:val="32"/>
          <w:szCs w:val="32"/>
        </w:rPr>
      </w:pPr>
      <w:r>
        <w:rPr>
          <w:rFonts w:hint="eastAsia" w:ascii="宋体" w:hAnsi="宋体" w:cs="宋体"/>
          <w:b/>
          <w:kern w:val="44"/>
          <w:sz w:val="32"/>
          <w:szCs w:val="32"/>
        </w:rPr>
        <w:t>第三章  评审办法（综合评分法）</w:t>
      </w:r>
      <w:bookmarkEnd w:id="918"/>
      <w:bookmarkEnd w:id="919"/>
      <w:bookmarkEnd w:id="920"/>
      <w:bookmarkEnd w:id="924"/>
      <w:bookmarkEnd w:id="925"/>
    </w:p>
    <w:bookmarkEnd w:id="921"/>
    <w:bookmarkEnd w:id="922"/>
    <w:bookmarkEnd w:id="923"/>
    <w:p w14:paraId="360246C5">
      <w:pPr>
        <w:ind w:firstLine="0" w:firstLineChars="0"/>
        <w:jc w:val="center"/>
        <w:outlineLvl w:val="1"/>
        <w:rPr>
          <w:rFonts w:ascii="宋体" w:hAnsi="宋体"/>
          <w:sz w:val="24"/>
        </w:rPr>
      </w:pPr>
      <w:bookmarkStart w:id="926" w:name="_Toc11491"/>
      <w:bookmarkStart w:id="927" w:name="_Toc31647"/>
      <w:bookmarkStart w:id="928" w:name="_Toc466298139"/>
      <w:bookmarkStart w:id="929" w:name="_Toc144974566"/>
      <w:bookmarkStart w:id="930" w:name="_Toc281405527"/>
      <w:bookmarkStart w:id="931" w:name="_Toc25472"/>
      <w:bookmarkStart w:id="932" w:name="_Toc152042376"/>
      <w:bookmarkStart w:id="933" w:name="_Toc27806"/>
      <w:bookmarkStart w:id="934" w:name="_Toc455867816"/>
      <w:bookmarkStart w:id="935" w:name="_Toc455080156"/>
      <w:bookmarkStart w:id="936" w:name="_Toc318450721"/>
      <w:bookmarkStart w:id="937" w:name="_Toc28069"/>
      <w:bookmarkStart w:id="938" w:name="_Toc152045599"/>
      <w:r>
        <w:rPr>
          <w:rFonts w:hint="eastAsia" w:ascii="宋体" w:hAnsi="宋体"/>
          <w:sz w:val="24"/>
        </w:rPr>
        <w:t>评审办法前附表</w:t>
      </w:r>
      <w:bookmarkEnd w:id="926"/>
      <w:bookmarkEnd w:id="927"/>
      <w:bookmarkEnd w:id="928"/>
      <w:bookmarkEnd w:id="929"/>
      <w:bookmarkEnd w:id="930"/>
      <w:bookmarkEnd w:id="931"/>
      <w:bookmarkEnd w:id="932"/>
      <w:bookmarkEnd w:id="933"/>
      <w:bookmarkEnd w:id="934"/>
      <w:bookmarkEnd w:id="935"/>
      <w:bookmarkEnd w:id="936"/>
      <w:bookmarkEnd w:id="937"/>
      <w:bookmarkEnd w:id="938"/>
    </w:p>
    <w:tbl>
      <w:tblPr>
        <w:tblStyle w:val="30"/>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91"/>
        <w:gridCol w:w="2038"/>
        <w:gridCol w:w="5058"/>
        <w:gridCol w:w="1120"/>
      </w:tblGrid>
      <w:tr w14:paraId="1A52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588" w:type="dxa"/>
            <w:gridSpan w:val="2"/>
            <w:noWrap/>
            <w:vAlign w:val="center"/>
          </w:tcPr>
          <w:p w14:paraId="0F05B90C">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条款号</w:t>
            </w:r>
          </w:p>
        </w:tc>
        <w:tc>
          <w:tcPr>
            <w:tcW w:w="2038" w:type="dxa"/>
            <w:noWrap/>
            <w:vAlign w:val="center"/>
          </w:tcPr>
          <w:p w14:paraId="09ED5192">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评审因素</w:t>
            </w:r>
          </w:p>
        </w:tc>
        <w:tc>
          <w:tcPr>
            <w:tcW w:w="6178" w:type="dxa"/>
            <w:gridSpan w:val="2"/>
            <w:noWrap/>
            <w:vAlign w:val="center"/>
          </w:tcPr>
          <w:p w14:paraId="575148DF">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评审标准</w:t>
            </w:r>
          </w:p>
        </w:tc>
      </w:tr>
      <w:tr w14:paraId="5785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97" w:type="dxa"/>
            <w:vMerge w:val="restart"/>
            <w:noWrap/>
            <w:vAlign w:val="center"/>
          </w:tcPr>
          <w:p w14:paraId="59B57EF1">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2.1.1</w:t>
            </w:r>
          </w:p>
        </w:tc>
        <w:tc>
          <w:tcPr>
            <w:tcW w:w="791" w:type="dxa"/>
            <w:vMerge w:val="restart"/>
            <w:noWrap/>
            <w:vAlign w:val="center"/>
          </w:tcPr>
          <w:p w14:paraId="34378F5F">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资格评审标准</w:t>
            </w:r>
          </w:p>
        </w:tc>
        <w:tc>
          <w:tcPr>
            <w:tcW w:w="2038" w:type="dxa"/>
            <w:noWrap/>
            <w:vAlign w:val="center"/>
          </w:tcPr>
          <w:p w14:paraId="23A82858">
            <w:pPr>
              <w:keepNext w:val="0"/>
              <w:keepLines w:val="0"/>
              <w:pageBreakBefore w:val="0"/>
              <w:kinsoku/>
              <w:wordWrap w:val="0"/>
              <w:overflowPunct/>
              <w:topLinePunct/>
              <w:bidi w:val="0"/>
              <w:adjustRightInd/>
              <w:snapToGrid/>
              <w:spacing w:line="400" w:lineRule="exact"/>
              <w:ind w:left="105" w:leftChars="50"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符合《中华人民共和国政府采购法》第22条规定</w:t>
            </w:r>
          </w:p>
        </w:tc>
        <w:tc>
          <w:tcPr>
            <w:tcW w:w="6178" w:type="dxa"/>
            <w:gridSpan w:val="2"/>
            <w:noWrap/>
            <w:vAlign w:val="center"/>
          </w:tcPr>
          <w:p w14:paraId="115FAB91">
            <w:pPr>
              <w:keepNext w:val="0"/>
              <w:keepLines w:val="0"/>
              <w:pageBreakBefore w:val="0"/>
              <w:kinsoku/>
              <w:wordWrap w:val="0"/>
              <w:overflowPunct/>
              <w:topLinePunct/>
              <w:bidi w:val="0"/>
              <w:adjustRightInd/>
              <w:snapToGrid/>
              <w:spacing w:line="400" w:lineRule="exact"/>
              <w:ind w:left="105" w:leftChars="50"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符合第二章“供应商须知”第1.5.1项规定</w:t>
            </w:r>
          </w:p>
        </w:tc>
      </w:tr>
      <w:tr w14:paraId="3C2F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97" w:type="dxa"/>
            <w:vMerge w:val="continue"/>
            <w:noWrap/>
            <w:vAlign w:val="center"/>
          </w:tcPr>
          <w:p w14:paraId="566E0065">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p>
        </w:tc>
        <w:tc>
          <w:tcPr>
            <w:tcW w:w="791" w:type="dxa"/>
            <w:vMerge w:val="continue"/>
            <w:noWrap/>
            <w:vAlign w:val="center"/>
          </w:tcPr>
          <w:p w14:paraId="25136CBA">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p>
        </w:tc>
        <w:tc>
          <w:tcPr>
            <w:tcW w:w="2038" w:type="dxa"/>
            <w:noWrap/>
            <w:vAlign w:val="center"/>
          </w:tcPr>
          <w:p w14:paraId="0869BF07">
            <w:pPr>
              <w:keepNext w:val="0"/>
              <w:keepLines w:val="0"/>
              <w:pageBreakBefore w:val="0"/>
              <w:kinsoku/>
              <w:wordWrap w:val="0"/>
              <w:overflowPunct/>
              <w:topLinePunct/>
              <w:bidi w:val="0"/>
              <w:adjustRightInd/>
              <w:snapToGrid/>
              <w:spacing w:line="400" w:lineRule="exact"/>
              <w:ind w:left="105" w:leftChars="50"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落实政府采购政策</w:t>
            </w:r>
          </w:p>
        </w:tc>
        <w:tc>
          <w:tcPr>
            <w:tcW w:w="6178" w:type="dxa"/>
            <w:gridSpan w:val="2"/>
            <w:noWrap/>
            <w:vAlign w:val="center"/>
          </w:tcPr>
          <w:p w14:paraId="671D5FC2">
            <w:pPr>
              <w:keepNext w:val="0"/>
              <w:keepLines w:val="0"/>
              <w:pageBreakBefore w:val="0"/>
              <w:kinsoku/>
              <w:wordWrap w:val="0"/>
              <w:overflowPunct/>
              <w:topLinePunct/>
              <w:bidi w:val="0"/>
              <w:adjustRightInd/>
              <w:snapToGrid/>
              <w:spacing w:line="400" w:lineRule="exact"/>
              <w:ind w:left="105" w:leftChars="50"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符合第二章“供应商须知”第1.5.1项规定</w:t>
            </w:r>
          </w:p>
        </w:tc>
      </w:tr>
      <w:tr w14:paraId="1F01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97" w:type="dxa"/>
            <w:vMerge w:val="continue"/>
            <w:noWrap/>
            <w:vAlign w:val="center"/>
          </w:tcPr>
          <w:p w14:paraId="1AD20C04">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p>
        </w:tc>
        <w:tc>
          <w:tcPr>
            <w:tcW w:w="791" w:type="dxa"/>
            <w:vMerge w:val="continue"/>
            <w:noWrap/>
            <w:vAlign w:val="center"/>
          </w:tcPr>
          <w:p w14:paraId="3FF913C8">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p>
        </w:tc>
        <w:tc>
          <w:tcPr>
            <w:tcW w:w="2038" w:type="dxa"/>
            <w:noWrap/>
            <w:vAlign w:val="center"/>
          </w:tcPr>
          <w:p w14:paraId="374A4B9A">
            <w:pPr>
              <w:keepNext w:val="0"/>
              <w:keepLines w:val="0"/>
              <w:pageBreakBefore w:val="0"/>
              <w:kinsoku/>
              <w:wordWrap w:val="0"/>
              <w:overflowPunct/>
              <w:topLinePunct/>
              <w:bidi w:val="0"/>
              <w:adjustRightInd/>
              <w:snapToGrid/>
              <w:spacing w:line="400" w:lineRule="exact"/>
              <w:ind w:left="105" w:leftChars="50"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特定资格要求</w:t>
            </w:r>
          </w:p>
        </w:tc>
        <w:tc>
          <w:tcPr>
            <w:tcW w:w="6178" w:type="dxa"/>
            <w:gridSpan w:val="2"/>
            <w:noWrap/>
            <w:vAlign w:val="center"/>
          </w:tcPr>
          <w:p w14:paraId="73232A78">
            <w:pPr>
              <w:keepNext w:val="0"/>
              <w:keepLines w:val="0"/>
              <w:pageBreakBefore w:val="0"/>
              <w:kinsoku/>
              <w:wordWrap w:val="0"/>
              <w:overflowPunct/>
              <w:topLinePunct/>
              <w:bidi w:val="0"/>
              <w:adjustRightInd/>
              <w:snapToGrid/>
              <w:spacing w:line="400" w:lineRule="exact"/>
              <w:ind w:left="105" w:leftChars="50"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符合第二章“供应商须知”第1.5.1项规定</w:t>
            </w:r>
          </w:p>
        </w:tc>
      </w:tr>
      <w:tr w14:paraId="15C4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97" w:type="dxa"/>
            <w:vMerge w:val="continue"/>
            <w:noWrap/>
            <w:vAlign w:val="center"/>
          </w:tcPr>
          <w:p w14:paraId="1BD569F7">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6B9190E0">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68A0F586">
            <w:pPr>
              <w:keepNext w:val="0"/>
              <w:keepLines w:val="0"/>
              <w:pageBreakBefore w:val="0"/>
              <w:kinsoku/>
              <w:wordWrap w:val="0"/>
              <w:overflowPunct/>
              <w:topLinePunct/>
              <w:bidi w:val="0"/>
              <w:adjustRightInd/>
              <w:snapToGrid/>
              <w:spacing w:line="400" w:lineRule="exact"/>
              <w:ind w:left="105" w:leftChars="50"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其他要求</w:t>
            </w:r>
          </w:p>
        </w:tc>
        <w:tc>
          <w:tcPr>
            <w:tcW w:w="6178" w:type="dxa"/>
            <w:gridSpan w:val="2"/>
            <w:noWrap/>
            <w:vAlign w:val="center"/>
          </w:tcPr>
          <w:p w14:paraId="65CDF5B6">
            <w:pPr>
              <w:keepNext w:val="0"/>
              <w:keepLines w:val="0"/>
              <w:pageBreakBefore w:val="0"/>
              <w:kinsoku/>
              <w:wordWrap w:val="0"/>
              <w:overflowPunct/>
              <w:topLinePunct/>
              <w:bidi w:val="0"/>
              <w:adjustRightInd/>
              <w:snapToGrid/>
              <w:spacing w:line="400" w:lineRule="exact"/>
              <w:ind w:left="105" w:leftChars="50"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符合第二章“供应商须知”第1.5.1项规定</w:t>
            </w:r>
          </w:p>
        </w:tc>
      </w:tr>
      <w:tr w14:paraId="3C6E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7" w:type="dxa"/>
            <w:vMerge w:val="restart"/>
            <w:noWrap/>
            <w:vAlign w:val="center"/>
          </w:tcPr>
          <w:p w14:paraId="69E0AC84">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2.1.2</w:t>
            </w:r>
          </w:p>
        </w:tc>
        <w:tc>
          <w:tcPr>
            <w:tcW w:w="791" w:type="dxa"/>
            <w:vMerge w:val="restart"/>
            <w:noWrap/>
            <w:vAlign w:val="center"/>
          </w:tcPr>
          <w:p w14:paraId="0407C758">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符合性评审标准</w:t>
            </w:r>
          </w:p>
        </w:tc>
        <w:tc>
          <w:tcPr>
            <w:tcW w:w="2038" w:type="dxa"/>
            <w:noWrap/>
            <w:vAlign w:val="center"/>
          </w:tcPr>
          <w:p w14:paraId="0D0975AD">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供应商名称</w:t>
            </w:r>
          </w:p>
        </w:tc>
        <w:tc>
          <w:tcPr>
            <w:tcW w:w="6178" w:type="dxa"/>
            <w:gridSpan w:val="2"/>
            <w:noWrap/>
            <w:vAlign w:val="center"/>
          </w:tcPr>
          <w:p w14:paraId="0356A3C4">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与营业执照、资质证书、安全生产许可证一致</w:t>
            </w:r>
          </w:p>
        </w:tc>
      </w:tr>
      <w:tr w14:paraId="2E5A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97" w:type="dxa"/>
            <w:vMerge w:val="continue"/>
            <w:noWrap/>
            <w:vAlign w:val="center"/>
          </w:tcPr>
          <w:p w14:paraId="61710CEA">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4143D5F2">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10D24E3B">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响应函签字盖章</w:t>
            </w:r>
          </w:p>
        </w:tc>
        <w:tc>
          <w:tcPr>
            <w:tcW w:w="6178" w:type="dxa"/>
            <w:gridSpan w:val="2"/>
            <w:noWrap/>
            <w:vAlign w:val="center"/>
          </w:tcPr>
          <w:p w14:paraId="24F94358">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pacing w:val="-6"/>
                <w:szCs w:val="21"/>
                <w:highlight w:val="none"/>
              </w:rPr>
              <w:t>符合第六章“竞争性磋商响应文件格式”响应函签字盖章的要求</w:t>
            </w:r>
          </w:p>
        </w:tc>
      </w:tr>
      <w:tr w14:paraId="0E75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7" w:type="dxa"/>
            <w:vMerge w:val="continue"/>
            <w:noWrap/>
            <w:vAlign w:val="center"/>
          </w:tcPr>
          <w:p w14:paraId="19C2F0D5">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1398A2D0">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03A4D39C">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响应文件格式</w:t>
            </w:r>
          </w:p>
        </w:tc>
        <w:tc>
          <w:tcPr>
            <w:tcW w:w="6178" w:type="dxa"/>
            <w:gridSpan w:val="2"/>
            <w:noWrap/>
            <w:vAlign w:val="center"/>
          </w:tcPr>
          <w:p w14:paraId="6121B95A">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符合第六章“竞争性磋商响应文件格式”的要求</w:t>
            </w:r>
          </w:p>
        </w:tc>
      </w:tr>
      <w:tr w14:paraId="2E60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97" w:type="dxa"/>
            <w:vMerge w:val="continue"/>
            <w:noWrap/>
            <w:vAlign w:val="center"/>
          </w:tcPr>
          <w:p w14:paraId="6A9127A7">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p>
        </w:tc>
        <w:tc>
          <w:tcPr>
            <w:tcW w:w="791" w:type="dxa"/>
            <w:vMerge w:val="continue"/>
            <w:noWrap/>
            <w:vAlign w:val="center"/>
          </w:tcPr>
          <w:p w14:paraId="71D9916D">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p>
        </w:tc>
        <w:tc>
          <w:tcPr>
            <w:tcW w:w="2038" w:type="dxa"/>
            <w:noWrap/>
            <w:vAlign w:val="center"/>
          </w:tcPr>
          <w:p w14:paraId="0DCE1BA5">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响应内容</w:t>
            </w:r>
          </w:p>
        </w:tc>
        <w:tc>
          <w:tcPr>
            <w:tcW w:w="6178" w:type="dxa"/>
            <w:gridSpan w:val="2"/>
            <w:noWrap/>
            <w:vAlign w:val="center"/>
          </w:tcPr>
          <w:p w14:paraId="4D4FE1D0">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符合第二章“供应商须知”第1.4.1项规定</w:t>
            </w:r>
          </w:p>
        </w:tc>
      </w:tr>
      <w:tr w14:paraId="37BE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797" w:type="dxa"/>
            <w:vMerge w:val="continue"/>
            <w:noWrap/>
            <w:vAlign w:val="center"/>
          </w:tcPr>
          <w:p w14:paraId="4519A2CE">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3EFCF568">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6D63B296">
            <w:pPr>
              <w:keepNext w:val="0"/>
              <w:keepLines w:val="0"/>
              <w:pageBreakBefore w:val="0"/>
              <w:kinsoku/>
              <w:overflowPunct/>
              <w:bidi w:val="0"/>
              <w:adjustRightInd/>
              <w:snapToGrid/>
              <w:spacing w:line="400" w:lineRule="exact"/>
              <w:ind w:firstLine="0" w:firstLineChars="0"/>
              <w:jc w:val="center"/>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服务期限</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工期）</w:t>
            </w:r>
          </w:p>
        </w:tc>
        <w:tc>
          <w:tcPr>
            <w:tcW w:w="6178" w:type="dxa"/>
            <w:gridSpan w:val="2"/>
            <w:noWrap/>
            <w:vAlign w:val="center"/>
          </w:tcPr>
          <w:p w14:paraId="1BFBDC22">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符合第二章“供应商须知”第1.4.2项规定</w:t>
            </w:r>
          </w:p>
        </w:tc>
      </w:tr>
      <w:tr w14:paraId="2AC5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97" w:type="dxa"/>
            <w:vMerge w:val="continue"/>
            <w:noWrap/>
            <w:vAlign w:val="center"/>
          </w:tcPr>
          <w:p w14:paraId="12247ACC">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040CA04C">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23949A32">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质量要求</w:t>
            </w:r>
          </w:p>
        </w:tc>
        <w:tc>
          <w:tcPr>
            <w:tcW w:w="6178" w:type="dxa"/>
            <w:gridSpan w:val="2"/>
            <w:noWrap/>
            <w:vAlign w:val="center"/>
          </w:tcPr>
          <w:p w14:paraId="2E291943">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符合第二章“供应商须知”第1.4.</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项规定</w:t>
            </w:r>
          </w:p>
        </w:tc>
      </w:tr>
      <w:tr w14:paraId="2984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97" w:type="dxa"/>
            <w:vMerge w:val="continue"/>
            <w:noWrap/>
            <w:vAlign w:val="center"/>
          </w:tcPr>
          <w:p w14:paraId="4F4AF7B8">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580CFF2F">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307A7CA3">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磋商有效期</w:t>
            </w:r>
          </w:p>
        </w:tc>
        <w:tc>
          <w:tcPr>
            <w:tcW w:w="6178" w:type="dxa"/>
            <w:gridSpan w:val="2"/>
            <w:noWrap/>
            <w:vAlign w:val="center"/>
          </w:tcPr>
          <w:p w14:paraId="2E0A8A8A">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符合第二章“供应商须知”第3.3.1项规定</w:t>
            </w:r>
          </w:p>
        </w:tc>
      </w:tr>
      <w:tr w14:paraId="1FC5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97" w:type="dxa"/>
            <w:vMerge w:val="continue"/>
            <w:noWrap/>
            <w:vAlign w:val="center"/>
          </w:tcPr>
          <w:p w14:paraId="1F050F47">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791" w:type="dxa"/>
            <w:vMerge w:val="continue"/>
            <w:noWrap/>
            <w:vAlign w:val="center"/>
          </w:tcPr>
          <w:p w14:paraId="2C3DD33B">
            <w:pPr>
              <w:keepNext w:val="0"/>
              <w:keepLines w:val="0"/>
              <w:pageBreakBefore w:val="0"/>
              <w:widowControl/>
              <w:kinsoku/>
              <w:overflowPunct/>
              <w:bidi w:val="0"/>
              <w:adjustRightInd/>
              <w:snapToGrid/>
              <w:spacing w:line="400" w:lineRule="exact"/>
              <w:ind w:firstLine="0" w:firstLineChars="0"/>
              <w:jc w:val="left"/>
              <w:textAlignment w:val="auto"/>
              <w:rPr>
                <w:rFonts w:ascii="宋体" w:hAnsi="宋体" w:eastAsia="宋体" w:cs="宋体"/>
                <w:szCs w:val="21"/>
                <w:highlight w:val="none"/>
              </w:rPr>
            </w:pPr>
          </w:p>
        </w:tc>
        <w:tc>
          <w:tcPr>
            <w:tcW w:w="2038" w:type="dxa"/>
            <w:noWrap/>
            <w:vAlign w:val="center"/>
          </w:tcPr>
          <w:p w14:paraId="362CFF96">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磋商报价</w:t>
            </w:r>
          </w:p>
        </w:tc>
        <w:tc>
          <w:tcPr>
            <w:tcW w:w="6178" w:type="dxa"/>
            <w:gridSpan w:val="2"/>
            <w:noWrap/>
            <w:vAlign w:val="center"/>
          </w:tcPr>
          <w:p w14:paraId="03AE86BE">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szCs w:val="21"/>
                <w:highlight w:val="none"/>
              </w:rPr>
              <w:t>报价不超过预算价（最高限价）</w:t>
            </w:r>
          </w:p>
        </w:tc>
      </w:tr>
      <w:tr w14:paraId="04BBC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jc w:val="center"/>
        </w:trPr>
        <w:tc>
          <w:tcPr>
            <w:tcW w:w="1588" w:type="dxa"/>
            <w:gridSpan w:val="2"/>
            <w:noWrap/>
            <w:vAlign w:val="center"/>
          </w:tcPr>
          <w:p w14:paraId="3852499C">
            <w:pPr>
              <w:keepNext w:val="0"/>
              <w:keepLines w:val="0"/>
              <w:pageBreakBefore w:val="0"/>
              <w:kinsoku/>
              <w:overflowPunct/>
              <w:bidi w:val="0"/>
              <w:adjustRightInd/>
              <w:snapToGrid/>
              <w:spacing w:line="400" w:lineRule="exact"/>
              <w:ind w:firstLine="0" w:firstLineChars="0"/>
              <w:jc w:val="center"/>
              <w:textAlignment w:val="auto"/>
              <w:rPr>
                <w:rFonts w:hint="default" w:ascii="宋体" w:hAnsi="宋体" w:eastAsia="宋体" w:cs="宋体"/>
                <w:szCs w:val="21"/>
                <w:highlight w:val="none"/>
                <w:lang w:val="en-US" w:eastAsia="zh-CN"/>
              </w:rPr>
            </w:pPr>
            <w:bookmarkStart w:id="939" w:name="_Toc31578"/>
            <w:bookmarkStart w:id="940" w:name="_Toc152045600"/>
            <w:bookmarkStart w:id="941" w:name="_Toc281405528"/>
            <w:bookmarkStart w:id="942" w:name="_Toc318450722"/>
            <w:bookmarkStart w:id="943" w:name="_Toc144974567"/>
            <w:bookmarkStart w:id="944" w:name="_Toc152042377"/>
            <w:r>
              <w:rPr>
                <w:rFonts w:hint="eastAsia" w:ascii="宋体" w:hAnsi="宋体" w:eastAsia="宋体" w:cs="宋体"/>
                <w:szCs w:val="21"/>
                <w:highlight w:val="none"/>
              </w:rPr>
              <w:t>2.2</w:t>
            </w:r>
            <w:r>
              <w:rPr>
                <w:rFonts w:hint="eastAsia" w:ascii="宋体" w:hAnsi="宋体" w:eastAsia="宋体" w:cs="宋体"/>
                <w:szCs w:val="21"/>
                <w:highlight w:val="none"/>
                <w:lang w:val="en-US" w:eastAsia="zh-CN"/>
              </w:rPr>
              <w:t>.1</w:t>
            </w:r>
          </w:p>
        </w:tc>
        <w:tc>
          <w:tcPr>
            <w:tcW w:w="2038" w:type="dxa"/>
            <w:noWrap/>
            <w:vAlign w:val="center"/>
          </w:tcPr>
          <w:p w14:paraId="7DB3312D">
            <w:pPr>
              <w:keepNext w:val="0"/>
              <w:keepLines w:val="0"/>
              <w:pageBreakBefore w:val="0"/>
              <w:kinsoku/>
              <w:overflowPunct/>
              <w:bidi w:val="0"/>
              <w:adjustRightInd/>
              <w:snapToGrid/>
              <w:spacing w:line="400" w:lineRule="exact"/>
              <w:ind w:firstLine="0" w:firstLineChars="0"/>
              <w:jc w:val="center"/>
              <w:textAlignment w:val="auto"/>
              <w:rPr>
                <w:rFonts w:hint="eastAsia" w:ascii="宋体" w:hAnsi="宋体" w:eastAsia="宋体" w:cs="宋体"/>
                <w:szCs w:val="21"/>
                <w:highlight w:val="none"/>
              </w:rPr>
            </w:pPr>
            <w:r>
              <w:rPr>
                <w:rFonts w:hint="eastAsia" w:ascii="宋体" w:hAnsi="宋体" w:eastAsia="宋体" w:cs="宋体"/>
                <w:szCs w:val="21"/>
                <w:highlight w:val="none"/>
              </w:rPr>
              <w:t>分值构成</w:t>
            </w:r>
          </w:p>
          <w:p w14:paraId="054EEF34">
            <w:pPr>
              <w:keepNext w:val="0"/>
              <w:keepLines w:val="0"/>
              <w:pageBreakBefore w:val="0"/>
              <w:kinsoku/>
              <w:overflowPunct/>
              <w:bidi w:val="0"/>
              <w:adjustRightInd/>
              <w:snapToGrid/>
              <w:spacing w:line="400" w:lineRule="exact"/>
              <w:ind w:firstLine="0" w:firstLineChars="0"/>
              <w:jc w:val="center"/>
              <w:textAlignment w:val="auto"/>
              <w:rPr>
                <w:rFonts w:ascii="宋体" w:hAnsi="宋体" w:eastAsia="宋体" w:cs="宋体"/>
                <w:szCs w:val="21"/>
                <w:highlight w:val="none"/>
              </w:rPr>
            </w:pPr>
            <w:r>
              <w:rPr>
                <w:rFonts w:hint="eastAsia" w:ascii="宋体" w:hAnsi="宋体" w:eastAsia="宋体" w:cs="宋体"/>
                <w:szCs w:val="21"/>
                <w:highlight w:val="none"/>
              </w:rPr>
              <w:t>（100分）</w:t>
            </w:r>
          </w:p>
        </w:tc>
        <w:tc>
          <w:tcPr>
            <w:tcW w:w="6178" w:type="dxa"/>
            <w:gridSpan w:val="2"/>
            <w:noWrap/>
            <w:vAlign w:val="center"/>
          </w:tcPr>
          <w:p w14:paraId="32C2C71B">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szCs w:val="21"/>
                <w:highlight w:val="none"/>
              </w:rPr>
              <w:t>商务部</w:t>
            </w:r>
            <w:r>
              <w:rPr>
                <w:rFonts w:hint="eastAsia" w:ascii="宋体" w:hAnsi="宋体" w:eastAsia="宋体" w:cs="宋体"/>
                <w:color w:val="auto"/>
                <w:szCs w:val="21"/>
                <w:highlight w:val="none"/>
              </w:rPr>
              <w:t>分：</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0</w:t>
            </w:r>
            <w:r>
              <w:rPr>
                <w:rFonts w:hint="eastAsia" w:ascii="宋体" w:hAnsi="宋体" w:eastAsia="宋体" w:cs="宋体"/>
                <w:color w:val="auto"/>
                <w:szCs w:val="21"/>
                <w:highlight w:val="none"/>
              </w:rPr>
              <w:t xml:space="preserve">分 </w:t>
            </w:r>
          </w:p>
          <w:p w14:paraId="5E1DB6C5">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t>技术部分：</w:t>
            </w:r>
            <w:r>
              <w:rPr>
                <w:rFonts w:hint="eastAsia" w:ascii="宋体" w:hAnsi="宋体" w:eastAsia="宋体" w:cs="宋体"/>
                <w:color w:val="auto"/>
                <w:szCs w:val="21"/>
                <w:highlight w:val="none"/>
                <w:lang w:val="en-US" w:eastAsia="zh-CN"/>
              </w:rPr>
              <w:t>55</w:t>
            </w:r>
            <w:r>
              <w:rPr>
                <w:rFonts w:hint="eastAsia" w:ascii="宋体" w:hAnsi="宋体" w:eastAsia="宋体" w:cs="宋体"/>
                <w:color w:val="auto"/>
                <w:szCs w:val="21"/>
                <w:highlight w:val="none"/>
              </w:rPr>
              <w:t xml:space="preserve">分 </w:t>
            </w:r>
          </w:p>
          <w:p w14:paraId="7333F621">
            <w:pPr>
              <w:keepNext w:val="0"/>
              <w:keepLines w:val="0"/>
              <w:pageBreakBefore w:val="0"/>
              <w:kinsoku/>
              <w:overflowPunct/>
              <w:bidi w:val="0"/>
              <w:adjustRightInd/>
              <w:snapToGrid/>
              <w:spacing w:line="400" w:lineRule="exact"/>
              <w:ind w:firstLine="0" w:firstLineChars="0"/>
              <w:textAlignment w:val="auto"/>
              <w:rPr>
                <w:rFonts w:ascii="宋体" w:hAnsi="宋体" w:eastAsia="宋体" w:cs="宋体"/>
                <w:szCs w:val="21"/>
                <w:highlight w:val="none"/>
              </w:rPr>
            </w:pPr>
            <w:r>
              <w:rPr>
                <w:rFonts w:hint="eastAsia" w:ascii="宋体" w:hAnsi="宋体" w:eastAsia="宋体" w:cs="宋体"/>
                <w:color w:val="auto"/>
                <w:szCs w:val="21"/>
                <w:highlight w:val="none"/>
              </w:rPr>
              <w:t>综合部分：</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分</w:t>
            </w:r>
          </w:p>
        </w:tc>
      </w:tr>
      <w:tr w14:paraId="3FCE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588" w:type="dxa"/>
            <w:gridSpan w:val="2"/>
            <w:noWrap w:val="0"/>
            <w:vAlign w:val="center"/>
          </w:tcPr>
          <w:p w14:paraId="51A1C8D9">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038" w:type="dxa"/>
            <w:noWrap w:val="0"/>
            <w:vAlign w:val="center"/>
          </w:tcPr>
          <w:p w14:paraId="4CFB8BBD">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178" w:type="dxa"/>
            <w:gridSpan w:val="2"/>
            <w:noWrap w:val="0"/>
            <w:vAlign w:val="center"/>
          </w:tcPr>
          <w:p w14:paraId="5D901485">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r>
      <w:tr w14:paraId="0666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97" w:type="dxa"/>
            <w:noWrap w:val="0"/>
            <w:vAlign w:val="center"/>
          </w:tcPr>
          <w:p w14:paraId="2DD98C12">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w:t>
            </w:r>
          </w:p>
        </w:tc>
        <w:tc>
          <w:tcPr>
            <w:tcW w:w="791" w:type="dxa"/>
            <w:noWrap w:val="0"/>
            <w:vAlign w:val="center"/>
          </w:tcPr>
          <w:p w14:paraId="24324652">
            <w:pPr>
              <w:keepNext w:val="0"/>
              <w:keepLines w:val="0"/>
              <w:pageBreakBefore w:val="0"/>
              <w:kinsoku/>
              <w:wordWrap/>
              <w:overflowPunct/>
              <w:topLinePunct w:val="0"/>
              <w:autoSpaceDE/>
              <w:autoSpaceDN/>
              <w:bidi w:val="0"/>
              <w:adjustRightInd/>
              <w:spacing w:line="36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商务标</w:t>
            </w:r>
          </w:p>
          <w:p w14:paraId="7BF1022A">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tc>
        <w:tc>
          <w:tcPr>
            <w:tcW w:w="2038" w:type="dxa"/>
            <w:noWrap w:val="0"/>
            <w:vAlign w:val="center"/>
          </w:tcPr>
          <w:p w14:paraId="6714AB47">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p>
          <w:p w14:paraId="0C01F11D">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磋商最终报价得分</w:t>
            </w:r>
          </w:p>
          <w:p w14:paraId="745CEC5F">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p w14:paraId="1D3AF3B7">
            <w:pPr>
              <w:keepNext w:val="0"/>
              <w:keepLines w:val="0"/>
              <w:pageBreakBefore w:val="0"/>
              <w:kinsoku/>
              <w:wordWrap/>
              <w:overflowPunct/>
              <w:topLinePunct w:val="0"/>
              <w:autoSpaceDE/>
              <w:autoSpaceDN/>
              <w:bidi w:val="0"/>
              <w:adjustRightInd/>
              <w:spacing w:line="360" w:lineRule="exact"/>
              <w:ind w:left="-19" w:leftChars="-9" w:firstLine="10" w:firstLineChars="5"/>
              <w:jc w:val="center"/>
              <w:textAlignment w:val="auto"/>
              <w:rPr>
                <w:rFonts w:hint="eastAsia" w:ascii="宋体" w:hAnsi="宋体" w:eastAsia="宋体" w:cs="宋体"/>
                <w:color w:val="auto"/>
                <w:sz w:val="21"/>
                <w:szCs w:val="21"/>
                <w:highlight w:val="none"/>
              </w:rPr>
            </w:pPr>
          </w:p>
        </w:tc>
        <w:tc>
          <w:tcPr>
            <w:tcW w:w="6178" w:type="dxa"/>
            <w:gridSpan w:val="2"/>
            <w:noWrap w:val="0"/>
            <w:vAlign w:val="center"/>
          </w:tcPr>
          <w:p w14:paraId="200A3C9D">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①价格分采用低价优先法计算，即通过资格性和符合性审查且投标价格最低的投标报价为评标基准价，其价格得分为满分 30 分。</w:t>
            </w:r>
          </w:p>
          <w:p w14:paraId="6B5E8AF8">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②其他供应商的价格分统一按照下列公式计算：投标报价得分 = (评标基准价／投标报价)×30 。</w:t>
            </w:r>
          </w:p>
          <w:p w14:paraId="57EBCD25">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③优惠政策：本项目为专门面向中小企业采购项目，不参与价格扣除。</w:t>
            </w:r>
          </w:p>
          <w:p w14:paraId="11B56489">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④异常报价处理：根据《关于推动解决政府采购异常低价问题的通知》，采购评审中出现下列情形之一的，评审委员会应当启动异常低价投标（响应） 审查程序：</w:t>
            </w:r>
          </w:p>
          <w:p w14:paraId="1CC8EFCA">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（1）投标（响应）报价低于全部通过符合性审查供应商投标（响应）报价平均值65%的，即投标（响应）报价&lt;全部通过符合性审查供应商投标（响应）报价平均值×65%；</w:t>
            </w:r>
          </w:p>
          <w:p w14:paraId="76C5E844">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（2）投标（响应）报价低于通过符合性审查的次低报价供应商投标（响应）报价 65%的，即投标（响应）报价&lt;通过符合性审查的次低报价供应商投标（响应）报价×65%；</w:t>
            </w:r>
          </w:p>
          <w:p w14:paraId="5B499D46">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（3）投标（响应）报价低于采购项目最高限价 65%的，即投标（响应）报价&lt;采购项目最高限价×65%；</w:t>
            </w:r>
          </w:p>
          <w:p w14:paraId="34990B50">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（4）评审委员会基于专业判断，认为供应商报价过低，有可能影响产品质量或者不能诚信履约的其他情形。</w:t>
            </w:r>
          </w:p>
          <w:p w14:paraId="07DBCD66">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评审委员会启动异常低价投标（响应） 审查后，属于前述第 1 项至第4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w:t>
            </w:r>
          </w:p>
          <w:p w14:paraId="1AC082EC">
            <w:pPr>
              <w:keepNext w:val="0"/>
              <w:keepLines w:val="0"/>
              <w:pageBreakBefore w:val="0"/>
              <w:kinsoku/>
              <w:wordWrap/>
              <w:overflowPunct/>
              <w:topLinePunct w:val="0"/>
              <w:autoSpaceDE/>
              <w:autoSpaceDN/>
              <w:bidi w:val="0"/>
              <w:adjustRightInd/>
              <w:spacing w:line="360" w:lineRule="exact"/>
              <w:ind w:left="-17" w:leftChars="-8" w:firstLine="16" w:firstLineChars="8"/>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评审委员会依据专业经验，参考同类项目中标（成交）价格、类似产品市场价格水平、行业人工费用标准、 国家有关部门指导行业协会发布的行业平均成本等情况，对报价合理性进行判断。投标（响应）供应商不能提供书面说明、证明材料，或者提供的书面说明、证明材料不能证明其报价合理性的，评审委员会应当将</w:t>
            </w:r>
            <w:r>
              <w:rPr>
                <w:rFonts w:hint="eastAsia" w:ascii="宋体" w:hAnsi="宋体" w:eastAsia="宋体" w:cs="宋体"/>
                <w:color w:val="auto"/>
                <w:sz w:val="21"/>
                <w:szCs w:val="21"/>
                <w:highlight w:val="none"/>
                <w:lang w:eastAsia="zh-CN"/>
              </w:rPr>
              <w:t>其作为无效投标(响应)处理。</w:t>
            </w:r>
          </w:p>
        </w:tc>
      </w:tr>
      <w:tr w14:paraId="58CD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97" w:type="dxa"/>
            <w:vMerge w:val="restart"/>
            <w:noWrap w:val="0"/>
            <w:vAlign w:val="center"/>
          </w:tcPr>
          <w:p w14:paraId="15C2241E">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005F8734">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7B1C3A09">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09510836">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36033FED">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2549BE72">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02656E8A">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2.2.2（2）</w:t>
            </w:r>
          </w:p>
        </w:tc>
        <w:tc>
          <w:tcPr>
            <w:tcW w:w="791" w:type="dxa"/>
            <w:vMerge w:val="restart"/>
            <w:noWrap w:val="0"/>
            <w:vAlign w:val="center"/>
          </w:tcPr>
          <w:p w14:paraId="09C824B8">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rPr>
            </w:pPr>
          </w:p>
          <w:p w14:paraId="4E5026A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rPr>
            </w:pPr>
          </w:p>
          <w:p w14:paraId="674EBEDE">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rPr>
            </w:pPr>
          </w:p>
          <w:p w14:paraId="58973927">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rPr>
            </w:pPr>
          </w:p>
          <w:p w14:paraId="56C4944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bCs/>
                <w:color w:val="auto"/>
                <w:sz w:val="21"/>
                <w:szCs w:val="21"/>
                <w:highlight w:val="none"/>
              </w:rPr>
            </w:pPr>
          </w:p>
          <w:p w14:paraId="74E8B5BE">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技术</w:t>
            </w:r>
            <w:r>
              <w:rPr>
                <w:rFonts w:hint="eastAsia" w:ascii="宋体" w:hAnsi="宋体" w:eastAsia="宋体" w:cs="宋体"/>
                <w:bCs/>
                <w:color w:val="auto"/>
                <w:sz w:val="21"/>
                <w:szCs w:val="21"/>
                <w:highlight w:val="none"/>
                <w:lang w:val="en-US" w:eastAsia="zh-CN"/>
              </w:rPr>
              <w:t>标</w:t>
            </w:r>
          </w:p>
          <w:p w14:paraId="48AE0587">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55</w:t>
            </w:r>
            <w:r>
              <w:rPr>
                <w:rFonts w:hint="eastAsia" w:ascii="宋体" w:hAnsi="宋体" w:eastAsia="宋体" w:cs="宋体"/>
                <w:bCs/>
                <w:color w:val="auto"/>
                <w:sz w:val="21"/>
                <w:szCs w:val="21"/>
                <w:highlight w:val="none"/>
              </w:rPr>
              <w:t>分）</w:t>
            </w:r>
          </w:p>
        </w:tc>
        <w:tc>
          <w:tcPr>
            <w:tcW w:w="2038" w:type="dxa"/>
            <w:vMerge w:val="restart"/>
            <w:noWrap w:val="0"/>
            <w:vAlign w:val="center"/>
          </w:tcPr>
          <w:p w14:paraId="540C071E">
            <w:pPr>
              <w:keepNext w:val="0"/>
              <w:keepLines w:val="0"/>
              <w:pageBreakBefore w:val="0"/>
              <w:kinsoku/>
              <w:wordWrap/>
              <w:overflowPunct/>
              <w:topLinePunct w:val="0"/>
              <w:autoSpaceDE/>
              <w:autoSpaceDN/>
              <w:bidi w:val="0"/>
              <w:adjustRightInd/>
              <w:spacing w:line="360" w:lineRule="exact"/>
              <w:ind w:left="0" w:leftChars="0" w:firstLine="0" w:firstLineChars="0"/>
              <w:jc w:val="center"/>
              <w:textAlignment w:val="auto"/>
              <w:rPr>
                <w:rFonts w:hint="eastAsia"/>
                <w:color w:val="auto"/>
                <w:highlight w:val="none"/>
              </w:rPr>
            </w:pPr>
            <w:r>
              <w:rPr>
                <w:rFonts w:hint="eastAsia"/>
                <w:color w:val="auto"/>
                <w:highlight w:val="none"/>
              </w:rPr>
              <w:t>施工组织方案内容</w:t>
            </w:r>
          </w:p>
          <w:p w14:paraId="3EB8EB47">
            <w:pPr>
              <w:pStyle w:val="28"/>
              <w:ind w:left="0" w:leftChars="0" w:firstLine="0" w:firstLineChars="0"/>
              <w:jc w:val="center"/>
              <w:rPr>
                <w:rFonts w:hint="eastAsia" w:eastAsia="宋体"/>
                <w:color w:val="auto"/>
                <w:highlight w:val="none"/>
                <w:lang w:val="en-US" w:eastAsia="zh-CN"/>
              </w:rPr>
            </w:pPr>
            <w:r>
              <w:rPr>
                <w:rFonts w:hint="eastAsia" w:ascii="宋体" w:hAnsi="宋体" w:eastAsia="宋体" w:cs="宋体"/>
                <w:color w:val="auto"/>
                <w:sz w:val="21"/>
                <w:szCs w:val="21"/>
                <w:highlight w:val="none"/>
                <w:lang w:val="en-US" w:eastAsia="zh-CN"/>
              </w:rPr>
              <w:t>(50分）</w:t>
            </w:r>
          </w:p>
        </w:tc>
        <w:tc>
          <w:tcPr>
            <w:tcW w:w="5058" w:type="dxa"/>
            <w:noWrap w:val="0"/>
            <w:vAlign w:val="center"/>
          </w:tcPr>
          <w:p w14:paraId="41F41CDA">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kern w:val="0"/>
                <w:szCs w:val="21"/>
                <w:highlight w:val="none"/>
              </w:rPr>
              <w:t>主要施工方案与技术措施</w:t>
            </w:r>
          </w:p>
        </w:tc>
        <w:tc>
          <w:tcPr>
            <w:tcW w:w="1120" w:type="dxa"/>
            <w:noWrap w:val="0"/>
            <w:vAlign w:val="center"/>
          </w:tcPr>
          <w:p w14:paraId="06F705A1">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r>
      <w:tr w14:paraId="0B65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97" w:type="dxa"/>
            <w:vMerge w:val="continue"/>
            <w:noWrap w:val="0"/>
            <w:vAlign w:val="center"/>
          </w:tcPr>
          <w:p w14:paraId="5C551FEB">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5CF24363">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1669409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62A9F2DA">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kern w:val="0"/>
                <w:szCs w:val="21"/>
                <w:highlight w:val="none"/>
              </w:rPr>
              <w:t>质量管理体系与措施</w:t>
            </w:r>
          </w:p>
        </w:tc>
        <w:tc>
          <w:tcPr>
            <w:tcW w:w="1120" w:type="dxa"/>
            <w:noWrap w:val="0"/>
            <w:vAlign w:val="center"/>
          </w:tcPr>
          <w:p w14:paraId="576B5F20">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5CAF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97" w:type="dxa"/>
            <w:vMerge w:val="continue"/>
            <w:noWrap w:val="0"/>
            <w:vAlign w:val="center"/>
          </w:tcPr>
          <w:p w14:paraId="72EB858B">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294AE695">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2AB0F945">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4E570F35">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安全管理体系与措施</w:t>
            </w:r>
          </w:p>
        </w:tc>
        <w:tc>
          <w:tcPr>
            <w:tcW w:w="1120" w:type="dxa"/>
            <w:noWrap w:val="0"/>
            <w:vAlign w:val="center"/>
          </w:tcPr>
          <w:p w14:paraId="2D6CD385">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6291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97" w:type="dxa"/>
            <w:vMerge w:val="continue"/>
            <w:noWrap w:val="0"/>
            <w:vAlign w:val="center"/>
          </w:tcPr>
          <w:p w14:paraId="0C0E145A">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5F0B8138">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363798E7">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084EEF50">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文明施工、环境保护管理体系及施工现场扬尘治理措施</w:t>
            </w:r>
          </w:p>
        </w:tc>
        <w:tc>
          <w:tcPr>
            <w:tcW w:w="1120" w:type="dxa"/>
            <w:noWrap w:val="0"/>
            <w:vAlign w:val="center"/>
          </w:tcPr>
          <w:p w14:paraId="678B3EBB">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2547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97" w:type="dxa"/>
            <w:vMerge w:val="continue"/>
            <w:noWrap w:val="0"/>
            <w:vAlign w:val="center"/>
          </w:tcPr>
          <w:p w14:paraId="2287969D">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6A843D52">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2B784C2F">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28D8C3E0">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工期保证措施</w:t>
            </w:r>
          </w:p>
        </w:tc>
        <w:tc>
          <w:tcPr>
            <w:tcW w:w="1120" w:type="dxa"/>
            <w:noWrap w:val="0"/>
            <w:vAlign w:val="center"/>
          </w:tcPr>
          <w:p w14:paraId="29FF3BC4">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7605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797" w:type="dxa"/>
            <w:vMerge w:val="continue"/>
            <w:noWrap w:val="0"/>
            <w:vAlign w:val="center"/>
          </w:tcPr>
          <w:p w14:paraId="41F2C7CD">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667E570D">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6A0301FF">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621F795A">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highlight w:val="none"/>
              </w:rPr>
              <w:t>拟投入资源配备计划</w:t>
            </w:r>
          </w:p>
        </w:tc>
        <w:tc>
          <w:tcPr>
            <w:tcW w:w="1120" w:type="dxa"/>
            <w:noWrap w:val="0"/>
            <w:vAlign w:val="center"/>
          </w:tcPr>
          <w:p w14:paraId="4DD40212">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r>
      <w:tr w14:paraId="6BFE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97" w:type="dxa"/>
            <w:vMerge w:val="continue"/>
            <w:noWrap w:val="0"/>
            <w:vAlign w:val="center"/>
          </w:tcPr>
          <w:p w14:paraId="0C54D0C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2BED28B1">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75889775">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62E4643A">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施工进度表</w:t>
            </w:r>
          </w:p>
        </w:tc>
        <w:tc>
          <w:tcPr>
            <w:tcW w:w="1120" w:type="dxa"/>
            <w:noWrap w:val="0"/>
            <w:vAlign w:val="center"/>
          </w:tcPr>
          <w:p w14:paraId="4F9549AA">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r>
      <w:tr w14:paraId="17C3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97" w:type="dxa"/>
            <w:vMerge w:val="continue"/>
            <w:noWrap w:val="0"/>
            <w:vAlign w:val="center"/>
          </w:tcPr>
          <w:p w14:paraId="200A896D">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6650C92E">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4E4873B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4F6C63A7">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施工总平面图布置</w:t>
            </w:r>
          </w:p>
        </w:tc>
        <w:tc>
          <w:tcPr>
            <w:tcW w:w="1120" w:type="dxa"/>
            <w:noWrap w:val="0"/>
            <w:vAlign w:val="center"/>
          </w:tcPr>
          <w:p w14:paraId="274A310B">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tc>
      </w:tr>
      <w:tr w14:paraId="23FD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97" w:type="dxa"/>
            <w:vMerge w:val="continue"/>
            <w:noWrap w:val="0"/>
            <w:vAlign w:val="center"/>
          </w:tcPr>
          <w:p w14:paraId="242C5097">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2043BA9E">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3BFEF635">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778E0E5D">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技术创新的应用实施措施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包含</w:t>
            </w:r>
            <w:r>
              <w:rPr>
                <w:color w:val="auto"/>
                <w:highlight w:val="none"/>
              </w:rPr>
              <w:t>节能减排、绿色施工、工艺创新、装配式建筑等技术创新的应用实施措施</w:t>
            </w:r>
            <w:r>
              <w:rPr>
                <w:rFonts w:hint="eastAsia"/>
                <w:color w:val="auto"/>
                <w:highlight w:val="none"/>
                <w:lang w:val="en-US" w:eastAsia="zh-CN"/>
              </w:rPr>
              <w:t>等</w:t>
            </w:r>
            <w:r>
              <w:rPr>
                <w:rFonts w:hint="eastAsia" w:ascii="宋体" w:hAnsi="宋体" w:eastAsia="宋体" w:cs="宋体"/>
                <w:color w:val="auto"/>
                <w:sz w:val="21"/>
                <w:szCs w:val="21"/>
                <w:highlight w:val="none"/>
                <w:lang w:eastAsia="zh-CN"/>
              </w:rPr>
              <w:t>）</w:t>
            </w:r>
          </w:p>
        </w:tc>
        <w:tc>
          <w:tcPr>
            <w:tcW w:w="1120" w:type="dxa"/>
            <w:noWrap w:val="0"/>
            <w:vAlign w:val="center"/>
          </w:tcPr>
          <w:p w14:paraId="5091BD60">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r>
      <w:tr w14:paraId="6DE0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97" w:type="dxa"/>
            <w:vMerge w:val="continue"/>
            <w:noWrap w:val="0"/>
            <w:vAlign w:val="center"/>
          </w:tcPr>
          <w:p w14:paraId="6FB8454D">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72837565">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6CA4CDC8">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6E51DCB0">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highlight w:val="none"/>
              </w:rPr>
            </w:pPr>
            <w:r>
              <w:rPr>
                <w:rFonts w:hint="eastAsia" w:ascii="宋体" w:hAnsi="宋体" w:eastAsia="宋体" w:cs="宋体"/>
                <w:color w:val="auto"/>
                <w:sz w:val="21"/>
                <w:szCs w:val="21"/>
                <w:highlight w:val="none"/>
              </w:rPr>
              <w:t>采用新工艺、新技术、新设备、新材料、BIM等的程度</w:t>
            </w:r>
          </w:p>
        </w:tc>
        <w:tc>
          <w:tcPr>
            <w:tcW w:w="1120" w:type="dxa"/>
            <w:noWrap w:val="0"/>
            <w:vAlign w:val="center"/>
          </w:tcPr>
          <w:p w14:paraId="62F936D6">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3分</w:t>
            </w:r>
          </w:p>
        </w:tc>
      </w:tr>
      <w:tr w14:paraId="5625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97" w:type="dxa"/>
            <w:vMerge w:val="continue"/>
            <w:noWrap w:val="0"/>
            <w:vAlign w:val="center"/>
          </w:tcPr>
          <w:p w14:paraId="2594248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447BA1B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758BC93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07F0B758">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kern w:val="0"/>
                <w:szCs w:val="21"/>
                <w:highlight w:val="none"/>
              </w:rPr>
              <w:t>施工现场实施信息化监控和数据处理</w:t>
            </w:r>
          </w:p>
        </w:tc>
        <w:tc>
          <w:tcPr>
            <w:tcW w:w="1120" w:type="dxa"/>
            <w:noWrap w:val="0"/>
            <w:vAlign w:val="center"/>
          </w:tcPr>
          <w:p w14:paraId="6B0BFEE9">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3分</w:t>
            </w:r>
          </w:p>
        </w:tc>
      </w:tr>
      <w:tr w14:paraId="39FD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97" w:type="dxa"/>
            <w:vMerge w:val="continue"/>
            <w:noWrap w:val="0"/>
            <w:vAlign w:val="center"/>
          </w:tcPr>
          <w:p w14:paraId="217DF0D7">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3A0BEB16">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21B1BF26">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5058" w:type="dxa"/>
            <w:noWrap w:val="0"/>
            <w:vAlign w:val="center"/>
          </w:tcPr>
          <w:p w14:paraId="133C4276">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kern w:val="0"/>
                <w:szCs w:val="21"/>
                <w:highlight w:val="none"/>
              </w:rPr>
              <w:t>风险管理措施</w:t>
            </w:r>
          </w:p>
        </w:tc>
        <w:tc>
          <w:tcPr>
            <w:tcW w:w="1120" w:type="dxa"/>
            <w:noWrap w:val="0"/>
            <w:vAlign w:val="center"/>
          </w:tcPr>
          <w:p w14:paraId="1E1EA340">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3分</w:t>
            </w:r>
          </w:p>
        </w:tc>
      </w:tr>
      <w:tr w14:paraId="285A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97" w:type="dxa"/>
            <w:vMerge w:val="continue"/>
            <w:noWrap w:val="0"/>
            <w:vAlign w:val="center"/>
          </w:tcPr>
          <w:p w14:paraId="280358D8">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4F4F2703">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p>
        </w:tc>
        <w:tc>
          <w:tcPr>
            <w:tcW w:w="8216" w:type="dxa"/>
            <w:gridSpan w:val="3"/>
            <w:noWrap w:val="0"/>
            <w:vAlign w:val="center"/>
          </w:tcPr>
          <w:p w14:paraId="144E88C5">
            <w:pPr>
              <w:keepNext w:val="0"/>
              <w:keepLines w:val="0"/>
              <w:pageBreakBefore w:val="0"/>
              <w:kinsoku/>
              <w:wordWrap/>
              <w:overflowPunct/>
              <w:topLinePunct w:val="0"/>
              <w:autoSpaceDE/>
              <w:autoSpaceDN/>
              <w:bidi w:val="0"/>
              <w:adjustRightInd/>
              <w:spacing w:line="36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说明：以上每项有则按所示分值得分，缺项经半数以上评委确认该项不得分。</w:t>
            </w:r>
          </w:p>
        </w:tc>
      </w:tr>
      <w:tr w14:paraId="64FA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797" w:type="dxa"/>
            <w:vMerge w:val="continue"/>
            <w:noWrap w:val="0"/>
            <w:vAlign w:val="center"/>
          </w:tcPr>
          <w:p w14:paraId="4A910938">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614CE79C">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p>
        </w:tc>
        <w:tc>
          <w:tcPr>
            <w:tcW w:w="2038" w:type="dxa"/>
            <w:vMerge w:val="restart"/>
            <w:noWrap w:val="0"/>
            <w:vAlign w:val="center"/>
          </w:tcPr>
          <w:p w14:paraId="60A6EBD4">
            <w:pPr>
              <w:keepNext w:val="0"/>
              <w:keepLines w:val="0"/>
              <w:pageBreakBefore w:val="0"/>
              <w:kinsoku/>
              <w:wordWrap/>
              <w:overflowPunct/>
              <w:topLinePunct w:val="0"/>
              <w:autoSpaceDE/>
              <w:autoSpaceDN/>
              <w:bidi w:val="0"/>
              <w:adjustRightInd/>
              <w:spacing w:line="360" w:lineRule="exact"/>
              <w:ind w:left="0" w:leftChars="0" w:firstLine="0" w:firstLineChars="0"/>
              <w:jc w:val="center"/>
              <w:textAlignment w:val="auto"/>
              <w:rPr>
                <w:rFonts w:hint="eastAsia"/>
                <w:color w:val="auto"/>
                <w:highlight w:val="none"/>
              </w:rPr>
            </w:pPr>
            <w:r>
              <w:rPr>
                <w:rFonts w:hint="eastAsia"/>
                <w:color w:val="auto"/>
                <w:highlight w:val="none"/>
              </w:rPr>
              <w:t>施工组织方案水平</w:t>
            </w:r>
          </w:p>
          <w:p w14:paraId="10C14A85">
            <w:pPr>
              <w:pStyle w:val="28"/>
              <w:ind w:left="0" w:leftChars="0" w:firstLine="0" w:firstLineChars="0"/>
              <w:jc w:val="center"/>
              <w:rPr>
                <w:rFonts w:hint="eastAsia" w:eastAsia="宋体"/>
                <w:color w:val="auto"/>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5058" w:type="dxa"/>
            <w:noWrap w:val="0"/>
            <w:vAlign w:val="center"/>
          </w:tcPr>
          <w:p w14:paraId="49382073">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根据</w:t>
            </w:r>
            <w:r>
              <w:rPr>
                <w:rFonts w:hint="eastAsia" w:ascii="宋体" w:hAnsi="宋体" w:eastAsia="宋体" w:cs="宋体"/>
                <w:color w:val="auto"/>
                <w:sz w:val="21"/>
                <w:szCs w:val="21"/>
                <w:highlight w:val="none"/>
              </w:rPr>
              <w:t>有关“施工组织”内容是否齐全、准确、清晰及表达的准确性、条理性等</w:t>
            </w:r>
            <w:r>
              <w:rPr>
                <w:rFonts w:hint="eastAsia" w:ascii="宋体" w:hAnsi="宋体" w:eastAsia="宋体" w:cs="宋体"/>
                <w:color w:val="auto"/>
                <w:sz w:val="21"/>
                <w:szCs w:val="21"/>
                <w:highlight w:val="none"/>
                <w:lang w:val="en-US" w:eastAsia="zh-CN"/>
              </w:rPr>
              <w:t>综合评价</w:t>
            </w:r>
            <w:r>
              <w:rPr>
                <w:rFonts w:hint="eastAsia" w:ascii="宋体" w:hAnsi="宋体" w:eastAsia="宋体" w:cs="宋体"/>
                <w:color w:val="auto"/>
                <w:sz w:val="21"/>
                <w:szCs w:val="21"/>
                <w:highlight w:val="none"/>
                <w:lang w:eastAsia="zh-CN"/>
              </w:rPr>
              <w:t>。</w:t>
            </w:r>
          </w:p>
          <w:p w14:paraId="218084C2">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1.方案内容</w:t>
            </w:r>
            <w:r>
              <w:rPr>
                <w:rFonts w:hint="eastAsia" w:ascii="宋体" w:hAnsi="宋体" w:eastAsia="宋体" w:cs="宋体"/>
                <w:color w:val="auto"/>
                <w:sz w:val="21"/>
                <w:szCs w:val="21"/>
                <w:highlight w:val="none"/>
              </w:rPr>
              <w:t>设计全面、符合</w:t>
            </w:r>
            <w:r>
              <w:rPr>
                <w:rFonts w:hint="eastAsia" w:ascii="宋体" w:hAnsi="宋体" w:eastAsia="宋体" w:cs="宋体"/>
                <w:color w:val="auto"/>
                <w:sz w:val="21"/>
                <w:szCs w:val="21"/>
                <w:highlight w:val="none"/>
                <w:lang w:val="en-US" w:eastAsia="zh-CN"/>
              </w:rPr>
              <w:t>现场</w:t>
            </w:r>
            <w:r>
              <w:rPr>
                <w:rFonts w:hint="eastAsia" w:ascii="宋体" w:hAnsi="宋体" w:eastAsia="宋体" w:cs="宋体"/>
                <w:color w:val="auto"/>
                <w:sz w:val="21"/>
                <w:szCs w:val="21"/>
                <w:highlight w:val="none"/>
              </w:rPr>
              <w:t>实际</w:t>
            </w:r>
            <w:r>
              <w:rPr>
                <w:rFonts w:hint="eastAsia" w:ascii="宋体" w:hAnsi="宋体" w:eastAsia="宋体" w:cs="宋体"/>
                <w:color w:val="auto"/>
                <w:sz w:val="21"/>
                <w:szCs w:val="21"/>
                <w:highlight w:val="none"/>
                <w:lang w:val="en-US" w:eastAsia="zh-CN"/>
              </w:rPr>
              <w:t>情况</w:t>
            </w:r>
            <w:r>
              <w:rPr>
                <w:rFonts w:hint="eastAsia" w:ascii="宋体" w:hAnsi="宋体" w:eastAsia="宋体" w:cs="宋体"/>
                <w:color w:val="auto"/>
                <w:sz w:val="21"/>
                <w:szCs w:val="21"/>
                <w:highlight w:val="none"/>
              </w:rPr>
              <w:t>、具有</w:t>
            </w:r>
            <w:r>
              <w:rPr>
                <w:rFonts w:hint="eastAsia" w:ascii="宋体" w:hAnsi="宋体" w:eastAsia="宋体" w:cs="宋体"/>
                <w:color w:val="auto"/>
                <w:sz w:val="21"/>
                <w:szCs w:val="21"/>
                <w:highlight w:val="none"/>
                <w:lang w:val="en-US" w:eastAsia="zh-CN"/>
              </w:rPr>
              <w:t>很强的</w:t>
            </w:r>
            <w:r>
              <w:rPr>
                <w:rFonts w:hint="eastAsia" w:ascii="宋体" w:hAnsi="宋体" w:eastAsia="宋体" w:cs="宋体"/>
                <w:color w:val="auto"/>
                <w:sz w:val="21"/>
                <w:szCs w:val="21"/>
                <w:highlight w:val="none"/>
              </w:rPr>
              <w:t>可操作性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得3分；</w:t>
            </w:r>
          </w:p>
          <w:p w14:paraId="66AAA258">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2.方案内容</w:t>
            </w:r>
            <w:r>
              <w:rPr>
                <w:rFonts w:hint="eastAsia" w:ascii="宋体" w:hAnsi="宋体" w:eastAsia="宋体" w:cs="宋体"/>
                <w:color w:val="auto"/>
                <w:sz w:val="21"/>
                <w:szCs w:val="21"/>
                <w:highlight w:val="none"/>
              </w:rPr>
              <w:t>设计</w:t>
            </w:r>
            <w:r>
              <w:rPr>
                <w:rFonts w:hint="eastAsia" w:ascii="宋体" w:hAnsi="宋体" w:eastAsia="宋体" w:cs="宋体"/>
                <w:color w:val="auto"/>
                <w:sz w:val="21"/>
                <w:szCs w:val="21"/>
                <w:highlight w:val="none"/>
                <w:lang w:val="en-US" w:eastAsia="zh-CN"/>
              </w:rPr>
              <w:t>基本</w:t>
            </w:r>
            <w:r>
              <w:rPr>
                <w:rFonts w:hint="eastAsia" w:ascii="宋体" w:hAnsi="宋体" w:eastAsia="宋体" w:cs="宋体"/>
                <w:color w:val="auto"/>
                <w:sz w:val="21"/>
                <w:szCs w:val="21"/>
                <w:highlight w:val="none"/>
              </w:rPr>
              <w:t>全面、</w:t>
            </w:r>
            <w:r>
              <w:rPr>
                <w:rFonts w:hint="eastAsia" w:ascii="宋体" w:hAnsi="宋体" w:eastAsia="宋体" w:cs="宋体"/>
                <w:color w:val="auto"/>
                <w:sz w:val="21"/>
                <w:szCs w:val="21"/>
                <w:highlight w:val="none"/>
                <w:lang w:val="en-US" w:eastAsia="zh-CN"/>
              </w:rPr>
              <w:t>基本</w:t>
            </w:r>
            <w:r>
              <w:rPr>
                <w:rFonts w:hint="eastAsia" w:ascii="宋体" w:hAnsi="宋体" w:eastAsia="宋体" w:cs="宋体"/>
                <w:color w:val="auto"/>
                <w:sz w:val="21"/>
                <w:szCs w:val="21"/>
                <w:highlight w:val="none"/>
              </w:rPr>
              <w:t>符合</w:t>
            </w:r>
            <w:r>
              <w:rPr>
                <w:rFonts w:hint="eastAsia" w:ascii="宋体" w:hAnsi="宋体" w:eastAsia="宋体" w:cs="宋体"/>
                <w:color w:val="auto"/>
                <w:sz w:val="21"/>
                <w:szCs w:val="21"/>
                <w:highlight w:val="none"/>
                <w:lang w:val="en-US" w:eastAsia="zh-CN"/>
              </w:rPr>
              <w:t>现场</w:t>
            </w:r>
            <w:r>
              <w:rPr>
                <w:rFonts w:hint="eastAsia" w:ascii="宋体" w:hAnsi="宋体" w:eastAsia="宋体" w:cs="宋体"/>
                <w:color w:val="auto"/>
                <w:sz w:val="21"/>
                <w:szCs w:val="21"/>
                <w:highlight w:val="none"/>
              </w:rPr>
              <w:t>实际</w:t>
            </w:r>
            <w:r>
              <w:rPr>
                <w:rFonts w:hint="eastAsia" w:ascii="宋体" w:hAnsi="宋体" w:eastAsia="宋体" w:cs="宋体"/>
                <w:color w:val="auto"/>
                <w:sz w:val="21"/>
                <w:szCs w:val="21"/>
                <w:highlight w:val="none"/>
                <w:lang w:val="en-US" w:eastAsia="zh-CN"/>
              </w:rPr>
              <w:t>情况</w:t>
            </w:r>
            <w:r>
              <w:rPr>
                <w:rFonts w:hint="eastAsia" w:ascii="宋体" w:hAnsi="宋体" w:eastAsia="宋体" w:cs="宋体"/>
                <w:color w:val="auto"/>
                <w:sz w:val="21"/>
                <w:szCs w:val="21"/>
                <w:highlight w:val="none"/>
              </w:rPr>
              <w:t>、具有可操作性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得2分；</w:t>
            </w:r>
          </w:p>
          <w:p w14:paraId="3C2F1096">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3.方案内容设计不够</w:t>
            </w:r>
            <w:r>
              <w:rPr>
                <w:rFonts w:hint="eastAsia" w:ascii="宋体" w:hAnsi="宋体" w:eastAsia="宋体" w:cs="宋体"/>
                <w:color w:val="auto"/>
                <w:sz w:val="21"/>
                <w:szCs w:val="21"/>
                <w:highlight w:val="none"/>
              </w:rPr>
              <w:t>全面、</w:t>
            </w:r>
            <w:r>
              <w:rPr>
                <w:rFonts w:hint="eastAsia" w:ascii="宋体" w:hAnsi="宋体" w:eastAsia="宋体" w:cs="宋体"/>
                <w:color w:val="auto"/>
                <w:sz w:val="21"/>
                <w:szCs w:val="21"/>
                <w:highlight w:val="none"/>
                <w:lang w:val="en-US" w:eastAsia="zh-CN"/>
              </w:rPr>
              <w:t>不太</w:t>
            </w:r>
            <w:r>
              <w:rPr>
                <w:rFonts w:hint="eastAsia" w:ascii="宋体" w:hAnsi="宋体" w:eastAsia="宋体" w:cs="宋体"/>
                <w:color w:val="auto"/>
                <w:sz w:val="21"/>
                <w:szCs w:val="21"/>
                <w:highlight w:val="none"/>
              </w:rPr>
              <w:t>符合实际</w:t>
            </w:r>
            <w:r>
              <w:rPr>
                <w:rFonts w:hint="eastAsia" w:ascii="宋体" w:hAnsi="宋体" w:eastAsia="宋体" w:cs="宋体"/>
                <w:color w:val="auto"/>
                <w:sz w:val="21"/>
                <w:szCs w:val="21"/>
                <w:highlight w:val="none"/>
                <w:lang w:val="en-US" w:eastAsia="zh-CN"/>
              </w:rPr>
              <w:t>情况</w:t>
            </w:r>
            <w:r>
              <w:rPr>
                <w:rFonts w:hint="eastAsia" w:ascii="宋体" w:hAnsi="宋体" w:eastAsia="宋体" w:cs="宋体"/>
                <w:color w:val="auto"/>
                <w:sz w:val="21"/>
                <w:szCs w:val="21"/>
                <w:highlight w:val="none"/>
              </w:rPr>
              <w:t>、可操作性</w:t>
            </w:r>
            <w:r>
              <w:rPr>
                <w:rFonts w:hint="eastAsia" w:ascii="宋体" w:hAnsi="宋体" w:eastAsia="宋体" w:cs="宋体"/>
                <w:color w:val="auto"/>
                <w:sz w:val="21"/>
                <w:szCs w:val="21"/>
                <w:highlight w:val="none"/>
                <w:lang w:val="en-US" w:eastAsia="zh-CN"/>
              </w:rPr>
              <w:t>一般的，得1分</w:t>
            </w:r>
            <w:r>
              <w:rPr>
                <w:rFonts w:hint="eastAsia" w:ascii="宋体" w:hAnsi="宋体" w:eastAsia="宋体" w:cs="宋体"/>
                <w:color w:val="auto"/>
                <w:sz w:val="21"/>
                <w:szCs w:val="21"/>
                <w:highlight w:val="none"/>
              </w:rPr>
              <w:t>。</w:t>
            </w:r>
          </w:p>
        </w:tc>
        <w:tc>
          <w:tcPr>
            <w:tcW w:w="1120" w:type="dxa"/>
            <w:noWrap w:val="0"/>
            <w:vAlign w:val="center"/>
          </w:tcPr>
          <w:p w14:paraId="0D138841">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-3分</w:t>
            </w:r>
          </w:p>
        </w:tc>
      </w:tr>
      <w:tr w14:paraId="107A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797" w:type="dxa"/>
            <w:vMerge w:val="continue"/>
            <w:noWrap w:val="0"/>
            <w:vAlign w:val="center"/>
          </w:tcPr>
          <w:p w14:paraId="43F6482C">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0C106026">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p>
        </w:tc>
        <w:tc>
          <w:tcPr>
            <w:tcW w:w="2038" w:type="dxa"/>
            <w:vMerge w:val="continue"/>
            <w:noWrap w:val="0"/>
            <w:vAlign w:val="center"/>
          </w:tcPr>
          <w:p w14:paraId="483ABCED">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eastAsia="宋体" w:cs="宋体"/>
                <w:color w:val="auto"/>
                <w:sz w:val="21"/>
                <w:szCs w:val="21"/>
                <w:highlight w:val="none"/>
              </w:rPr>
            </w:pPr>
          </w:p>
        </w:tc>
        <w:tc>
          <w:tcPr>
            <w:tcW w:w="5058" w:type="dxa"/>
            <w:noWrap w:val="0"/>
            <w:vAlign w:val="center"/>
          </w:tcPr>
          <w:p w14:paraId="47C121D4">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宋体" w:hAnsi="宋体" w:eastAsia="宋体" w:cs="宋体"/>
                <w:color w:val="auto"/>
                <w:sz w:val="21"/>
                <w:szCs w:val="21"/>
                <w:highlight w:val="none"/>
              </w:rPr>
              <w:t>有关“施工组织”各项主要内容的措施是否稳妥、计划是否周密、流水段的划分、各项交叉作业是否科学、切合实际，合理可行</w:t>
            </w:r>
            <w:r>
              <w:rPr>
                <w:rFonts w:hint="eastAsia" w:ascii="宋体" w:hAnsi="宋体" w:eastAsia="宋体" w:cs="宋体"/>
                <w:color w:val="auto"/>
                <w:sz w:val="21"/>
                <w:szCs w:val="21"/>
                <w:highlight w:val="none"/>
                <w:lang w:val="en-US" w:eastAsia="zh-CN"/>
              </w:rPr>
              <w:t>等综合评价。</w:t>
            </w:r>
          </w:p>
          <w:p w14:paraId="5C4B3E60">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1.编制完整详细且合理可行，得2分；</w:t>
            </w:r>
          </w:p>
          <w:p w14:paraId="4125B83E">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2.编制较完整、较合理可行，得1分；</w:t>
            </w:r>
          </w:p>
          <w:p w14:paraId="6A24DF7C">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3.编制不够完整、不够合理，可行性一般，得0.5分。</w:t>
            </w:r>
          </w:p>
        </w:tc>
        <w:tc>
          <w:tcPr>
            <w:tcW w:w="1120" w:type="dxa"/>
            <w:noWrap w:val="0"/>
            <w:vAlign w:val="center"/>
          </w:tcPr>
          <w:p w14:paraId="72E993E7">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-2分</w:t>
            </w:r>
          </w:p>
        </w:tc>
      </w:tr>
      <w:tr w14:paraId="0ECD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797" w:type="dxa"/>
            <w:vMerge w:val="restart"/>
            <w:noWrap w:val="0"/>
            <w:vAlign w:val="center"/>
          </w:tcPr>
          <w:p w14:paraId="343C39F2">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宋体" w:cs="宋体"/>
                <w:color w:val="auto"/>
                <w:sz w:val="21"/>
                <w:szCs w:val="21"/>
                <w:highlight w:val="none"/>
              </w:rPr>
            </w:pPr>
          </w:p>
          <w:p w14:paraId="0B57CED0">
            <w:pPr>
              <w:pStyle w:val="28"/>
              <w:keepNext w:val="0"/>
              <w:keepLines w:val="0"/>
              <w:pageBreakBefore w:val="0"/>
              <w:kinsoku/>
              <w:wordWrap/>
              <w:overflowPunct/>
              <w:topLinePunct w:val="0"/>
              <w:autoSpaceDE/>
              <w:autoSpaceDN/>
              <w:bidi w:val="0"/>
              <w:adjustRightInd/>
              <w:spacing w:line="360" w:lineRule="exact"/>
              <w:ind w:firstLine="210"/>
              <w:jc w:val="center"/>
              <w:textAlignment w:val="auto"/>
              <w:rPr>
                <w:rFonts w:hint="eastAsia" w:ascii="宋体" w:hAnsi="宋体" w:eastAsia="宋体" w:cs="宋体"/>
                <w:color w:val="auto"/>
                <w:sz w:val="21"/>
                <w:szCs w:val="21"/>
                <w:highlight w:val="none"/>
              </w:rPr>
            </w:pPr>
          </w:p>
          <w:p w14:paraId="1DC2E90A">
            <w:pPr>
              <w:keepNext w:val="0"/>
              <w:keepLines w:val="0"/>
              <w:pageBreakBefore w:val="0"/>
              <w:kinsoku/>
              <w:wordWrap/>
              <w:overflowPunct/>
              <w:topLinePunct w:val="0"/>
              <w:autoSpaceDE/>
              <w:autoSpaceDN/>
              <w:bidi w:val="0"/>
              <w:adjustRightInd/>
              <w:spacing w:line="360" w:lineRule="exact"/>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2.2.2（3）</w:t>
            </w:r>
          </w:p>
        </w:tc>
        <w:tc>
          <w:tcPr>
            <w:tcW w:w="791" w:type="dxa"/>
            <w:vMerge w:val="restart"/>
            <w:noWrap w:val="0"/>
            <w:vAlign w:val="center"/>
          </w:tcPr>
          <w:p w14:paraId="4279DFF2">
            <w:pPr>
              <w:keepNext w:val="0"/>
              <w:keepLines w:val="0"/>
              <w:pageBreakBefore w:val="0"/>
              <w:kinsoku/>
              <w:wordWrap/>
              <w:overflowPunct/>
              <w:topLinePunct w:val="0"/>
              <w:autoSpaceDE/>
              <w:autoSpaceDN/>
              <w:bidi w:val="0"/>
              <w:adjustRightInd/>
              <w:spacing w:line="36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综合标 （</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分）</w:t>
            </w:r>
          </w:p>
        </w:tc>
        <w:tc>
          <w:tcPr>
            <w:tcW w:w="2038" w:type="dxa"/>
            <w:noWrap w:val="0"/>
            <w:vAlign w:val="center"/>
          </w:tcPr>
          <w:p w14:paraId="45154D6B">
            <w:pPr>
              <w:keepNext w:val="0"/>
              <w:keepLines w:val="0"/>
              <w:pageBreakBefore w:val="0"/>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color w:val="auto"/>
                <w:highlight w:val="none"/>
                <w:lang w:val="en-US" w:eastAsia="zh-CN"/>
              </w:rPr>
            </w:pPr>
            <w:r>
              <w:rPr>
                <w:rFonts w:hint="eastAsia"/>
                <w:color w:val="auto"/>
                <w:highlight w:val="none"/>
                <w:lang w:val="en-US" w:eastAsia="zh-CN"/>
              </w:rPr>
              <w:t>企业业绩</w:t>
            </w:r>
          </w:p>
          <w:p w14:paraId="5ECA2B2E">
            <w:pPr>
              <w:pStyle w:val="28"/>
              <w:ind w:left="0" w:leftChars="0" w:firstLine="0" w:firstLineChars="0"/>
              <w:jc w:val="center"/>
              <w:rPr>
                <w:rFonts w:hint="eastAsia"/>
                <w:color w:val="auto"/>
                <w:highlight w:val="none"/>
                <w:lang w:val="en-US" w:eastAsia="zh-CN"/>
              </w:rPr>
            </w:pPr>
            <w:r>
              <w:rPr>
                <w:rFonts w:hint="eastAsia" w:ascii="宋体" w:hAnsi="宋体" w:eastAsia="宋体" w:cs="宋体"/>
                <w:color w:val="auto"/>
                <w:sz w:val="21"/>
                <w:szCs w:val="21"/>
                <w:highlight w:val="none"/>
                <w:lang w:val="en-US" w:eastAsia="zh-CN"/>
              </w:rPr>
              <w:t>（5分）</w:t>
            </w:r>
          </w:p>
        </w:tc>
        <w:tc>
          <w:tcPr>
            <w:tcW w:w="6178" w:type="dxa"/>
            <w:gridSpan w:val="2"/>
            <w:noWrap w:val="0"/>
            <w:vAlign w:val="center"/>
          </w:tcPr>
          <w:p w14:paraId="15537B92">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自</w:t>
            </w:r>
            <w:r>
              <w:rPr>
                <w:rFonts w:hint="eastAsia" w:ascii="宋体" w:hAnsi="宋体" w:eastAsia="宋体" w:cs="宋体"/>
                <w:color w:val="auto"/>
                <w:sz w:val="21"/>
                <w:szCs w:val="21"/>
                <w:highlight w:val="none"/>
                <w:lang w:eastAsia="zh-CN"/>
              </w:rPr>
              <w:t>20</w:t>
            </w: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月1日以来</w:t>
            </w:r>
            <w:r>
              <w:rPr>
                <w:rFonts w:hint="eastAsia" w:ascii="宋体" w:hAnsi="宋体" w:eastAsia="宋体" w:cs="宋体"/>
                <w:color w:val="auto"/>
                <w:sz w:val="21"/>
                <w:szCs w:val="21"/>
                <w:highlight w:val="none"/>
                <w:lang w:val="en-US" w:eastAsia="zh-CN"/>
              </w:rPr>
              <w:t>承担过类似</w:t>
            </w:r>
            <w:r>
              <w:rPr>
                <w:rFonts w:hint="eastAsia" w:ascii="宋体" w:hAnsi="宋体" w:eastAsia="宋体" w:cs="宋体"/>
                <w:color w:val="auto"/>
                <w:sz w:val="21"/>
                <w:szCs w:val="21"/>
                <w:highlight w:val="none"/>
                <w:lang w:eastAsia="zh-CN"/>
              </w:rPr>
              <w:t>项目的，</w:t>
            </w:r>
            <w:r>
              <w:rPr>
                <w:rFonts w:hint="eastAsia" w:ascii="宋体" w:hAnsi="宋体" w:eastAsia="宋体" w:cs="宋体"/>
                <w:color w:val="auto"/>
                <w:sz w:val="21"/>
                <w:szCs w:val="21"/>
                <w:highlight w:val="none"/>
                <w:lang w:val="en-US" w:eastAsia="zh-CN"/>
              </w:rPr>
              <w:t>每有一份</w:t>
            </w:r>
            <w:r>
              <w:rPr>
                <w:rFonts w:hint="eastAsia" w:ascii="宋体" w:hAnsi="宋体" w:eastAsia="宋体" w:cs="宋体"/>
                <w:color w:val="auto"/>
                <w:sz w:val="21"/>
                <w:szCs w:val="21"/>
                <w:highlight w:val="none"/>
                <w:lang w:eastAsia="zh-CN"/>
              </w:rPr>
              <w:t>得</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lang w:eastAsia="zh-CN"/>
              </w:rPr>
              <w:t>分，最高得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lang w:val="en-US" w:eastAsia="zh-CN"/>
              </w:rPr>
              <w:t>时间</w:t>
            </w:r>
            <w:r>
              <w:rPr>
                <w:rFonts w:hint="eastAsia" w:ascii="宋体" w:hAnsi="宋体" w:eastAsia="宋体" w:cs="宋体"/>
                <w:color w:val="auto"/>
                <w:sz w:val="21"/>
                <w:szCs w:val="21"/>
                <w:highlight w:val="none"/>
                <w:lang w:eastAsia="zh-CN"/>
              </w:rPr>
              <w:t>以合同签订时间为准，</w:t>
            </w:r>
            <w:r>
              <w:rPr>
                <w:rFonts w:hint="eastAsia" w:ascii="宋体" w:hAnsi="宋体" w:eastAsia="宋体" w:cs="宋体"/>
                <w:color w:val="auto"/>
                <w:sz w:val="21"/>
                <w:szCs w:val="21"/>
                <w:highlight w:val="none"/>
                <w:lang w:val="en-US" w:eastAsia="zh-CN"/>
              </w:rPr>
              <w:t>须同时提供中标（成交）通知书和合同，中标公告网站公示截图</w:t>
            </w:r>
            <w:r>
              <w:rPr>
                <w:rFonts w:hint="eastAsia" w:ascii="宋体" w:hAnsi="宋体" w:eastAsia="宋体" w:cs="宋体"/>
                <w:color w:val="auto"/>
                <w:sz w:val="21"/>
                <w:szCs w:val="21"/>
                <w:highlight w:val="none"/>
                <w:lang w:eastAsia="zh-CN"/>
              </w:rPr>
              <w:t>）</w:t>
            </w:r>
          </w:p>
        </w:tc>
      </w:tr>
      <w:tr w14:paraId="281F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797" w:type="dxa"/>
            <w:vMerge w:val="continue"/>
            <w:noWrap w:val="0"/>
            <w:vAlign w:val="center"/>
          </w:tcPr>
          <w:p w14:paraId="3EB5186C">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4C04DE6B">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eastAsia="宋体" w:cs="宋体"/>
                <w:color w:val="auto"/>
                <w:sz w:val="21"/>
                <w:szCs w:val="21"/>
                <w:highlight w:val="none"/>
              </w:rPr>
            </w:pPr>
          </w:p>
        </w:tc>
        <w:tc>
          <w:tcPr>
            <w:tcW w:w="2038" w:type="dxa"/>
            <w:noWrap w:val="0"/>
            <w:vAlign w:val="center"/>
          </w:tcPr>
          <w:p w14:paraId="2F7FD157">
            <w:pPr>
              <w:keepNext w:val="0"/>
              <w:keepLines w:val="0"/>
              <w:pageBreakBefore w:val="0"/>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color w:val="auto"/>
                <w:highlight w:val="none"/>
              </w:rPr>
            </w:pPr>
            <w:r>
              <w:rPr>
                <w:rFonts w:hint="eastAsia"/>
                <w:color w:val="auto"/>
                <w:highlight w:val="none"/>
                <w:lang w:val="en-US" w:eastAsia="zh-CN"/>
              </w:rPr>
              <w:t>履职尽责</w:t>
            </w:r>
            <w:r>
              <w:rPr>
                <w:rFonts w:hint="eastAsia"/>
                <w:color w:val="auto"/>
                <w:highlight w:val="none"/>
              </w:rPr>
              <w:t>承诺</w:t>
            </w:r>
          </w:p>
          <w:p w14:paraId="6C9BBB53">
            <w:pPr>
              <w:pStyle w:val="28"/>
              <w:ind w:left="0" w:leftChars="0" w:firstLine="0" w:firstLineChars="0"/>
              <w:jc w:val="center"/>
              <w:rPr>
                <w:rFonts w:hint="eastAsia" w:eastAsia="宋体"/>
                <w:color w:val="auto"/>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tc>
        <w:tc>
          <w:tcPr>
            <w:tcW w:w="6178" w:type="dxa"/>
            <w:gridSpan w:val="2"/>
            <w:noWrap w:val="0"/>
            <w:vAlign w:val="center"/>
          </w:tcPr>
          <w:p w14:paraId="714850D6">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具有全面、详实、可行、合法有效的书面保证技术措施落实到位的承诺和落实不到位的处理承诺，其中包括各关键岗位人员（项目经理、技术负责人及相关技术人员、质量员、安全员、材料员、</w:t>
            </w:r>
            <w:r>
              <w:rPr>
                <w:rFonts w:hint="eastAsia" w:ascii="宋体" w:hAnsi="宋体" w:eastAsia="宋体" w:cs="宋体"/>
                <w:color w:val="auto"/>
                <w:kern w:val="0"/>
                <w:sz w:val="21"/>
                <w:szCs w:val="21"/>
                <w:highlight w:val="none"/>
                <w:lang w:val="en-US" w:eastAsia="zh-CN"/>
              </w:rPr>
              <w:t>资料</w:t>
            </w:r>
            <w:r>
              <w:rPr>
                <w:rFonts w:hint="eastAsia" w:ascii="宋体" w:hAnsi="宋体" w:eastAsia="宋体" w:cs="宋体"/>
                <w:color w:val="auto"/>
                <w:kern w:val="0"/>
                <w:sz w:val="21"/>
                <w:szCs w:val="21"/>
                <w:highlight w:val="none"/>
                <w:lang w:eastAsia="zh-CN"/>
              </w:rPr>
              <w:t>员等）的在岗、</w:t>
            </w:r>
            <w:r>
              <w:rPr>
                <w:rFonts w:hint="eastAsia" w:ascii="宋体" w:hAnsi="宋体" w:eastAsia="宋体" w:cs="宋体"/>
                <w:color w:val="auto"/>
                <w:kern w:val="0"/>
                <w:sz w:val="21"/>
                <w:szCs w:val="21"/>
                <w:highlight w:val="none"/>
                <w:lang w:val="en-US" w:eastAsia="zh-CN"/>
              </w:rPr>
              <w:t>不</w:t>
            </w:r>
            <w:r>
              <w:rPr>
                <w:rFonts w:hint="eastAsia" w:ascii="宋体" w:hAnsi="宋体" w:eastAsia="宋体" w:cs="宋体"/>
                <w:color w:val="auto"/>
                <w:kern w:val="0"/>
                <w:sz w:val="21"/>
                <w:szCs w:val="21"/>
                <w:highlight w:val="none"/>
                <w:lang w:eastAsia="zh-CN"/>
              </w:rPr>
              <w:t>更换等履职尽责承诺。</w:t>
            </w:r>
          </w:p>
          <w:p w14:paraId="21106B40">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1.有具体详实的内容、可行性强，得5分；</w:t>
            </w:r>
          </w:p>
          <w:p w14:paraId="0FE31B61">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2.内容比较具体、可行性一般，得3分；</w:t>
            </w:r>
          </w:p>
          <w:p w14:paraId="63928CE3">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3.内容简单、基本不可行，得1分；</w:t>
            </w:r>
          </w:p>
          <w:p w14:paraId="788B290F">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4.编制不完整、不合理，可行性差，得0.5分；</w:t>
            </w:r>
          </w:p>
          <w:p w14:paraId="2D5A57F2">
            <w:pPr>
              <w:keepNext w:val="0"/>
              <w:keepLines w:val="0"/>
              <w:pageBreakBefore w:val="0"/>
              <w:kinsoku/>
              <w:wordWrap/>
              <w:overflowPunct/>
              <w:topLinePunct w:val="0"/>
              <w:autoSpaceDE/>
              <w:autoSpaceDN/>
              <w:bidi w:val="0"/>
              <w:adjustRightInd/>
              <w:snapToGrid w:val="0"/>
              <w:spacing w:line="360" w:lineRule="exact"/>
              <w:ind w:left="0" w:lef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5.无此项内容不得分。</w:t>
            </w:r>
          </w:p>
        </w:tc>
      </w:tr>
      <w:tr w14:paraId="5BCD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797" w:type="dxa"/>
            <w:vMerge w:val="continue"/>
            <w:noWrap w:val="0"/>
            <w:vAlign w:val="center"/>
          </w:tcPr>
          <w:p w14:paraId="2F4FBF6C">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eastAsia="宋体" w:cs="宋体"/>
                <w:color w:val="auto"/>
                <w:sz w:val="21"/>
                <w:szCs w:val="21"/>
                <w:highlight w:val="none"/>
              </w:rPr>
            </w:pPr>
          </w:p>
        </w:tc>
        <w:tc>
          <w:tcPr>
            <w:tcW w:w="791" w:type="dxa"/>
            <w:vMerge w:val="continue"/>
            <w:noWrap w:val="0"/>
            <w:vAlign w:val="center"/>
          </w:tcPr>
          <w:p w14:paraId="55AF604F">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eastAsia="宋体" w:cs="宋体"/>
                <w:color w:val="auto"/>
                <w:sz w:val="21"/>
                <w:szCs w:val="21"/>
                <w:highlight w:val="none"/>
              </w:rPr>
            </w:pPr>
          </w:p>
        </w:tc>
        <w:tc>
          <w:tcPr>
            <w:tcW w:w="2038" w:type="dxa"/>
            <w:noWrap w:val="0"/>
            <w:vAlign w:val="center"/>
          </w:tcPr>
          <w:p w14:paraId="024D0AD2">
            <w:pPr>
              <w:keepNext w:val="0"/>
              <w:keepLines w:val="0"/>
              <w:pageBreakBefore w:val="0"/>
              <w:kinsoku/>
              <w:wordWrap/>
              <w:overflowPunct/>
              <w:topLinePunct w:val="0"/>
              <w:autoSpaceDE/>
              <w:autoSpaceDN/>
              <w:bidi w:val="0"/>
              <w:adjustRightInd/>
              <w:snapToGrid w:val="0"/>
              <w:spacing w:line="36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优惠承诺</w:t>
            </w:r>
          </w:p>
          <w:p w14:paraId="03876EF4">
            <w:pPr>
              <w:pStyle w:val="28"/>
              <w:ind w:left="0" w:leftChars="0" w:firstLine="0" w:firstLineChars="0"/>
              <w:jc w:val="center"/>
              <w:rPr>
                <w:rFonts w:hint="eastAsia"/>
                <w:color w:val="auto"/>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p w14:paraId="45AA4F7D">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kern w:val="2"/>
                <w:sz w:val="21"/>
                <w:szCs w:val="21"/>
                <w:highlight w:val="none"/>
                <w:lang w:val="en-US" w:eastAsia="zh-CN" w:bidi="ar-SA"/>
              </w:rPr>
            </w:pPr>
          </w:p>
        </w:tc>
        <w:tc>
          <w:tcPr>
            <w:tcW w:w="6178" w:type="dxa"/>
            <w:gridSpan w:val="2"/>
            <w:noWrap w:val="0"/>
            <w:vAlign w:val="center"/>
          </w:tcPr>
          <w:p w14:paraId="30B71E75">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工程建设过程中保证连续施工承诺及质保期内、质保期外的优惠及服务承诺，并承诺替招标人排忧解难，协调周边关系的承诺，符合工程实际情况，确保依法依规，优惠合理，切实可行。</w:t>
            </w:r>
          </w:p>
          <w:p w14:paraId="1B19F829">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1.编制完整详细且合理可行，得5分；</w:t>
            </w:r>
          </w:p>
          <w:p w14:paraId="6CAC8DCB">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2.编制较完整、较合理可行，得3分；</w:t>
            </w:r>
          </w:p>
          <w:p w14:paraId="5643D377">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3.编制不够完整、不够合理，可行性一般，得1分；</w:t>
            </w:r>
          </w:p>
          <w:p w14:paraId="5ACF8FF0">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4.编制不完整、不合理，可行性差，得0.5分；</w:t>
            </w:r>
          </w:p>
          <w:p w14:paraId="61C3DB76">
            <w:pPr>
              <w:keepNext w:val="0"/>
              <w:keepLines w:val="0"/>
              <w:pageBreakBefore w:val="0"/>
              <w:kinsoku/>
              <w:wordWrap/>
              <w:overflowPunct/>
              <w:topLinePunct w:val="0"/>
              <w:autoSpaceDE/>
              <w:autoSpaceDN/>
              <w:bidi w:val="0"/>
              <w:adjustRightInd/>
              <w:spacing w:line="360" w:lineRule="exact"/>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5.无此项内容不得分。</w:t>
            </w:r>
          </w:p>
        </w:tc>
      </w:tr>
      <w:tr w14:paraId="1D7E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9804" w:type="dxa"/>
            <w:gridSpan w:val="5"/>
            <w:noWrap w:val="0"/>
            <w:vAlign w:val="center"/>
          </w:tcPr>
          <w:p w14:paraId="79CA21CF">
            <w:pPr>
              <w:keepNext w:val="0"/>
              <w:keepLines w:val="0"/>
              <w:pageBreakBefore w:val="0"/>
              <w:kinsoku/>
              <w:wordWrap/>
              <w:overflowPunct/>
              <w:topLinePunct w:val="0"/>
              <w:autoSpaceDE/>
              <w:autoSpaceDN/>
              <w:bidi w:val="0"/>
              <w:adjustRightInd/>
              <w:spacing w:line="36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highlight w:val="none"/>
              </w:rPr>
              <w:t>说明：</w:t>
            </w:r>
            <w:r>
              <w:rPr>
                <w:rFonts w:hint="eastAsia" w:ascii="宋体" w:hAnsi="宋体" w:eastAsia="宋体" w:cs="宋体"/>
                <w:b/>
                <w:color w:val="auto"/>
                <w:highlight w:val="none"/>
                <w:lang w:val="en-US" w:eastAsia="zh-CN"/>
              </w:rPr>
              <w:t>严格执行</w:t>
            </w:r>
            <w:r>
              <w:rPr>
                <w:rFonts w:hint="eastAsia" w:ascii="宋体" w:hAnsi="宋体" w:eastAsia="宋体" w:cs="宋体"/>
                <w:b/>
                <w:color w:val="auto"/>
                <w:highlight w:val="none"/>
              </w:rPr>
              <w:t>“信财购【202</w:t>
            </w:r>
            <w:r>
              <w:rPr>
                <w:rFonts w:hint="eastAsia" w:ascii="宋体" w:hAnsi="宋体" w:eastAsia="宋体" w:cs="宋体"/>
                <w:b/>
                <w:color w:val="auto"/>
                <w:highlight w:val="none"/>
                <w:lang w:val="en-US" w:eastAsia="zh-CN"/>
              </w:rPr>
              <w:t>3</w:t>
            </w:r>
            <w:r>
              <w:rPr>
                <w:rFonts w:hint="eastAsia" w:ascii="宋体" w:hAnsi="宋体" w:eastAsia="宋体" w:cs="宋体"/>
                <w:b/>
                <w:color w:val="auto"/>
                <w:highlight w:val="none"/>
              </w:rPr>
              <w:t>】</w:t>
            </w:r>
            <w:r>
              <w:rPr>
                <w:rFonts w:hint="eastAsia" w:ascii="宋体" w:hAnsi="宋体" w:eastAsia="宋体" w:cs="宋体"/>
                <w:b/>
                <w:color w:val="auto"/>
                <w:highlight w:val="none"/>
                <w:lang w:val="en-US" w:eastAsia="zh-CN"/>
              </w:rPr>
              <w:t>8</w:t>
            </w:r>
            <w:r>
              <w:rPr>
                <w:rFonts w:hint="eastAsia" w:ascii="宋体" w:hAnsi="宋体" w:eastAsia="宋体" w:cs="宋体"/>
                <w:b/>
                <w:color w:val="auto"/>
                <w:highlight w:val="none"/>
              </w:rPr>
              <w:t>号文《信阳市政府采购文件歧视性和倾向性禁止条款清单》”</w:t>
            </w:r>
          </w:p>
        </w:tc>
      </w:tr>
    </w:tbl>
    <w:p w14:paraId="675A159D">
      <w:pPr>
        <w:numPr>
          <w:ilvl w:val="0"/>
          <w:numId w:val="3"/>
        </w:numPr>
        <w:spacing w:line="400" w:lineRule="exact"/>
        <w:ind w:firstLine="0" w:firstLineChars="0"/>
        <w:outlineLvl w:val="1"/>
        <w:rPr>
          <w:rFonts w:ascii="宋体" w:hAnsi="宋体" w:eastAsia="宋体" w:cs="宋体"/>
          <w:b/>
          <w:bCs/>
          <w:szCs w:val="21"/>
        </w:rPr>
      </w:pPr>
      <w:bookmarkStart w:id="945" w:name="_Toc27706"/>
      <w:bookmarkStart w:id="946" w:name="_Toc21598"/>
      <w:bookmarkStart w:id="947" w:name="_Toc9743"/>
      <w:r>
        <w:rPr>
          <w:rFonts w:hint="eastAsia" w:ascii="宋体" w:hAnsi="宋体" w:eastAsia="宋体" w:cs="宋体"/>
          <w:b/>
          <w:bCs/>
          <w:szCs w:val="21"/>
        </w:rPr>
        <w:t>评审方法</w:t>
      </w:r>
      <w:bookmarkEnd w:id="939"/>
      <w:bookmarkEnd w:id="940"/>
      <w:bookmarkEnd w:id="941"/>
      <w:bookmarkEnd w:id="942"/>
      <w:bookmarkEnd w:id="943"/>
      <w:bookmarkEnd w:id="944"/>
      <w:bookmarkEnd w:id="945"/>
      <w:bookmarkEnd w:id="946"/>
      <w:bookmarkEnd w:id="947"/>
    </w:p>
    <w:p w14:paraId="1D125E3B">
      <w:pPr>
        <w:spacing w:line="400" w:lineRule="exact"/>
        <w:ind w:firstLine="420"/>
        <w:rPr>
          <w:rFonts w:hint="eastAsia" w:ascii="宋体" w:hAnsi="宋体" w:eastAsia="宋体" w:cs="宋体"/>
          <w:szCs w:val="21"/>
          <w:lang w:bidi="en-US"/>
        </w:rPr>
      </w:pPr>
      <w:r>
        <w:rPr>
          <w:rFonts w:hint="eastAsia" w:ascii="宋体" w:hAnsi="宋体" w:eastAsia="宋体" w:cs="宋体"/>
          <w:szCs w:val="21"/>
          <w:lang w:bidi="en-US"/>
        </w:rPr>
        <w:t>1.1本次评审采用综合评分法。磋商小组对满足竞争性磋商文件实质性要求的响应文件，按照本章规定的评分标准进行打分，并按得分由高到低顺序推荐成交候选人，综合评分相等时，以报价得分高的优先；报价得分也相等的，由采购人自行确定。</w:t>
      </w:r>
      <w:bookmarkStart w:id="948" w:name="_Toc6612"/>
      <w:bookmarkStart w:id="949" w:name="_Toc26131"/>
      <w:bookmarkStart w:id="950" w:name="_Toc466298140"/>
      <w:bookmarkStart w:id="951" w:name="_Toc318450723"/>
      <w:bookmarkStart w:id="952" w:name="_Toc144974568"/>
      <w:bookmarkStart w:id="953" w:name="_Toc281405529"/>
      <w:bookmarkStart w:id="954" w:name="_Toc29362"/>
      <w:bookmarkStart w:id="955" w:name="_Toc24936"/>
      <w:bookmarkStart w:id="956" w:name="_Toc152042378"/>
      <w:bookmarkStart w:id="957" w:name="_Toc455867817"/>
      <w:bookmarkStart w:id="958" w:name="_Toc455080157"/>
      <w:bookmarkStart w:id="959" w:name="_Toc152045601"/>
      <w:bookmarkStart w:id="960" w:name="_Toc20837"/>
      <w:bookmarkStart w:id="961" w:name="_Toc490667876"/>
    </w:p>
    <w:p w14:paraId="772D526A">
      <w:pPr>
        <w:spacing w:line="400" w:lineRule="exact"/>
        <w:ind w:firstLine="420"/>
        <w:rPr>
          <w:rFonts w:hint="eastAsia" w:ascii="宋体" w:hAnsi="宋体" w:eastAsia="宋体" w:cs="宋体"/>
          <w:b/>
          <w:bCs/>
          <w:szCs w:val="21"/>
          <w:lang w:bidi="en-US"/>
        </w:rPr>
      </w:pPr>
      <w:r>
        <w:rPr>
          <w:rFonts w:hint="eastAsia" w:ascii="宋体" w:hAnsi="宋体" w:eastAsia="宋体" w:cs="宋体"/>
          <w:b/>
          <w:bCs/>
          <w:szCs w:val="21"/>
          <w:lang w:bidi="en-US"/>
        </w:rPr>
        <w:t>1.</w:t>
      </w:r>
      <w:r>
        <w:rPr>
          <w:rFonts w:hint="eastAsia" w:ascii="宋体" w:hAnsi="宋体" w:eastAsia="宋体" w:cs="宋体"/>
          <w:b/>
          <w:bCs/>
          <w:szCs w:val="21"/>
          <w:lang w:val="en-US" w:eastAsia="zh-CN" w:bidi="en-US"/>
        </w:rPr>
        <w:t>2</w:t>
      </w:r>
      <w:r>
        <w:rPr>
          <w:rFonts w:hint="eastAsia" w:ascii="宋体" w:hAnsi="宋体" w:eastAsia="宋体" w:cs="宋体"/>
          <w:b/>
          <w:bCs/>
          <w:szCs w:val="21"/>
          <w:lang w:bidi="en-US"/>
        </w:rPr>
        <w:t>根据《财政部关于政府采购竞争性磋商采购方式管理暂行办法有关问题的补充通知》的规定，在采购过程中符合要求的供应商只有2家的，竞争性磋商采购活动可以继续进行，提交最后报价的供应商可以为2家。</w:t>
      </w:r>
    </w:p>
    <w:p w14:paraId="0C319C57">
      <w:pPr>
        <w:numPr>
          <w:ilvl w:val="0"/>
          <w:numId w:val="3"/>
        </w:numPr>
        <w:spacing w:line="400" w:lineRule="exact"/>
        <w:ind w:firstLine="0" w:firstLineChars="0"/>
        <w:outlineLvl w:val="1"/>
        <w:rPr>
          <w:rFonts w:ascii="宋体" w:hAnsi="宋体" w:eastAsia="宋体" w:cs="宋体"/>
          <w:b/>
          <w:bCs/>
          <w:szCs w:val="21"/>
        </w:rPr>
      </w:pPr>
      <w:bookmarkStart w:id="962" w:name="_Toc10406"/>
      <w:bookmarkStart w:id="963" w:name="_Toc21350"/>
      <w:bookmarkStart w:id="964" w:name="_Toc19388"/>
      <w:r>
        <w:rPr>
          <w:rFonts w:hint="eastAsia" w:ascii="宋体" w:hAnsi="宋体" w:eastAsia="宋体" w:cs="宋体"/>
          <w:b/>
          <w:bCs/>
          <w:szCs w:val="21"/>
        </w:rPr>
        <w:t>评审标准</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Start w:id="965" w:name="_Toc31037"/>
      <w:bookmarkStart w:id="966" w:name="_Toc490667877"/>
      <w:bookmarkStart w:id="967" w:name="_Toc24558"/>
      <w:bookmarkStart w:id="968" w:name="_Toc6711"/>
      <w:bookmarkStart w:id="969" w:name="_Toc15813"/>
      <w:bookmarkStart w:id="970" w:name="_Toc455867818"/>
      <w:bookmarkStart w:id="971" w:name="_Toc152045602"/>
      <w:bookmarkStart w:id="972" w:name="_Toc318450724"/>
      <w:bookmarkStart w:id="973" w:name="_Toc2867"/>
      <w:bookmarkStart w:id="974" w:name="_Toc455080158"/>
      <w:bookmarkStart w:id="975" w:name="_Toc19934"/>
      <w:bookmarkStart w:id="976" w:name="_Toc11223"/>
      <w:bookmarkStart w:id="977" w:name="_Toc25637"/>
      <w:bookmarkStart w:id="978" w:name="_Toc281405530"/>
      <w:bookmarkStart w:id="979" w:name="_Toc21120"/>
      <w:bookmarkStart w:id="980" w:name="_Toc144974569"/>
      <w:bookmarkStart w:id="981" w:name="_Toc466298141"/>
      <w:bookmarkStart w:id="982" w:name="_Toc152042379"/>
    </w:p>
    <w:p w14:paraId="18171A21">
      <w:pPr>
        <w:spacing w:line="400" w:lineRule="exact"/>
        <w:ind w:firstLine="0" w:firstLineChars="0"/>
        <w:rPr>
          <w:rFonts w:ascii="宋体" w:hAnsi="宋体" w:eastAsia="宋体" w:cs="宋体"/>
          <w:b/>
          <w:bCs/>
          <w:szCs w:val="21"/>
        </w:rPr>
      </w:pPr>
      <w:r>
        <w:rPr>
          <w:rFonts w:hint="eastAsia" w:ascii="宋体" w:hAnsi="宋体" w:eastAsia="宋体" w:cs="宋体"/>
          <w:b/>
          <w:bCs/>
          <w:szCs w:val="21"/>
        </w:rPr>
        <w:t>2.1 初步评审标准</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14:paraId="5F451EE2">
      <w:pPr>
        <w:spacing w:line="400" w:lineRule="exact"/>
        <w:ind w:firstLine="0" w:firstLineChars="0"/>
        <w:rPr>
          <w:rFonts w:ascii="宋体" w:hAnsi="宋体" w:eastAsia="宋体" w:cs="宋体"/>
          <w:szCs w:val="21"/>
        </w:rPr>
      </w:pPr>
      <w:r>
        <w:rPr>
          <w:rFonts w:hint="eastAsia" w:ascii="宋体" w:hAnsi="宋体" w:eastAsia="宋体" w:cs="宋体"/>
          <w:szCs w:val="21"/>
        </w:rPr>
        <w:t>2.1.1 资格检查评审标准：见评审办法前附表。</w:t>
      </w:r>
    </w:p>
    <w:p w14:paraId="11105714">
      <w:pPr>
        <w:spacing w:line="400" w:lineRule="exact"/>
        <w:ind w:firstLine="0" w:firstLineChars="0"/>
        <w:rPr>
          <w:rFonts w:ascii="宋体" w:hAnsi="宋体" w:eastAsia="宋体" w:cs="宋体"/>
          <w:szCs w:val="21"/>
        </w:rPr>
      </w:pPr>
      <w:r>
        <w:rPr>
          <w:rFonts w:hint="eastAsia" w:ascii="宋体" w:hAnsi="宋体" w:eastAsia="宋体" w:cs="宋体"/>
          <w:szCs w:val="21"/>
        </w:rPr>
        <w:t>2.1.2符合性检查评审标准：见评审办法前附表。</w:t>
      </w:r>
    </w:p>
    <w:p w14:paraId="5862DBBC">
      <w:pPr>
        <w:pStyle w:val="73"/>
        <w:ind w:firstLine="0" w:firstLineChars="0"/>
        <w:outlineLvl w:val="0"/>
        <w:rPr>
          <w:rFonts w:ascii="宋体" w:hAnsi="宋体" w:eastAsia="宋体"/>
          <w:b/>
          <w:bCs/>
          <w:sz w:val="21"/>
          <w:szCs w:val="21"/>
        </w:rPr>
      </w:pPr>
      <w:bookmarkStart w:id="983" w:name="_Toc144974570"/>
      <w:bookmarkStart w:id="984" w:name="_Toc24825"/>
      <w:bookmarkStart w:id="985" w:name="_Toc30189"/>
      <w:bookmarkStart w:id="986" w:name="_Toc21970"/>
      <w:bookmarkStart w:id="987" w:name="_Toc490667878"/>
      <w:bookmarkStart w:id="988" w:name="_Toc281405531"/>
      <w:bookmarkStart w:id="989" w:name="_Toc466298142"/>
      <w:bookmarkStart w:id="990" w:name="_Toc318450725"/>
      <w:bookmarkStart w:id="991" w:name="_Toc7284"/>
      <w:bookmarkStart w:id="992" w:name="_Toc18417"/>
      <w:bookmarkStart w:id="993" w:name="_Toc31385"/>
      <w:bookmarkStart w:id="994" w:name="_Toc455867819"/>
      <w:bookmarkStart w:id="995" w:name="_Toc152042380"/>
      <w:bookmarkStart w:id="996" w:name="_Toc11061"/>
      <w:bookmarkStart w:id="997" w:name="_Toc4734"/>
      <w:bookmarkStart w:id="998" w:name="_Toc455080159"/>
      <w:bookmarkStart w:id="999" w:name="_Toc25492"/>
      <w:bookmarkStart w:id="1000" w:name="_Toc12013"/>
      <w:bookmarkStart w:id="1001" w:name="_Toc152045603"/>
      <w:bookmarkStart w:id="1002" w:name="_Toc22439"/>
      <w:bookmarkStart w:id="1003" w:name="_Toc26179"/>
      <w:r>
        <w:rPr>
          <w:rFonts w:hint="eastAsia" w:ascii="宋体" w:hAnsi="宋体" w:eastAsia="宋体"/>
          <w:b/>
          <w:bCs/>
          <w:sz w:val="21"/>
          <w:szCs w:val="21"/>
        </w:rPr>
        <w:t>2.2 分值构成与评分标准</w:t>
      </w:r>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14:paraId="2D550A4A">
      <w:pPr>
        <w:spacing w:line="400" w:lineRule="exact"/>
        <w:ind w:firstLine="0" w:firstLineChars="0"/>
        <w:rPr>
          <w:rFonts w:ascii="宋体" w:hAnsi="宋体" w:eastAsia="宋体" w:cs="宋体"/>
          <w:szCs w:val="21"/>
        </w:rPr>
      </w:pPr>
      <w:r>
        <w:rPr>
          <w:rFonts w:hint="eastAsia" w:ascii="宋体" w:hAnsi="宋体" w:eastAsia="宋体" w:cs="宋体"/>
          <w:szCs w:val="21"/>
        </w:rPr>
        <w:t>（1）商务标：见评审办法前附表；</w:t>
      </w:r>
    </w:p>
    <w:p w14:paraId="76E3DEB7">
      <w:pPr>
        <w:spacing w:line="400" w:lineRule="exact"/>
        <w:ind w:firstLine="0" w:firstLineChars="0"/>
        <w:rPr>
          <w:rFonts w:ascii="宋体" w:hAnsi="宋体" w:eastAsia="宋体" w:cs="宋体"/>
          <w:szCs w:val="21"/>
        </w:rPr>
      </w:pPr>
      <w:r>
        <w:rPr>
          <w:rFonts w:hint="eastAsia" w:ascii="宋体" w:hAnsi="宋体" w:eastAsia="宋体" w:cs="宋体"/>
          <w:szCs w:val="21"/>
        </w:rPr>
        <w:t>（2）技术标：见评审办法前附表；</w:t>
      </w:r>
    </w:p>
    <w:p w14:paraId="1474CD7A">
      <w:pPr>
        <w:spacing w:line="400" w:lineRule="exact"/>
        <w:ind w:firstLine="0" w:firstLineChars="0"/>
        <w:rPr>
          <w:rFonts w:ascii="宋体" w:hAnsi="宋体" w:eastAsia="宋体" w:cs="宋体"/>
          <w:szCs w:val="21"/>
        </w:rPr>
      </w:pPr>
      <w:r>
        <w:rPr>
          <w:rFonts w:hint="eastAsia" w:ascii="宋体" w:hAnsi="宋体" w:eastAsia="宋体" w:cs="宋体"/>
          <w:szCs w:val="21"/>
        </w:rPr>
        <w:t>（3）综合标：见评审办法前附表。</w:t>
      </w:r>
    </w:p>
    <w:p w14:paraId="7350AEB9">
      <w:pPr>
        <w:pStyle w:val="72"/>
        <w:ind w:firstLine="0" w:firstLineChars="0"/>
        <w:rPr>
          <w:rFonts w:ascii="宋体" w:hAnsi="宋体" w:eastAsia="宋体"/>
          <w:b/>
          <w:bCs/>
          <w:sz w:val="21"/>
          <w:szCs w:val="21"/>
        </w:rPr>
      </w:pPr>
      <w:bookmarkStart w:id="1004" w:name="_Toc17308"/>
      <w:bookmarkStart w:id="1005" w:name="_Toc281405532"/>
      <w:bookmarkStart w:id="1006" w:name="_Toc3149"/>
      <w:bookmarkStart w:id="1007" w:name="_Toc455867820"/>
      <w:bookmarkStart w:id="1008" w:name="_Toc490667879"/>
      <w:bookmarkStart w:id="1009" w:name="_Toc18127"/>
      <w:bookmarkStart w:id="1010" w:name="_Toc16479"/>
      <w:bookmarkStart w:id="1011" w:name="_Toc318450726"/>
      <w:bookmarkStart w:id="1012" w:name="_Toc11546"/>
      <w:bookmarkStart w:id="1013" w:name="_Toc32314"/>
      <w:bookmarkStart w:id="1014" w:name="_Toc29297"/>
      <w:bookmarkStart w:id="1015" w:name="_Toc5766"/>
      <w:bookmarkStart w:id="1016" w:name="_Toc466298143"/>
      <w:bookmarkStart w:id="1017" w:name="_Toc455080160"/>
      <w:r>
        <w:rPr>
          <w:rFonts w:hint="eastAsia" w:ascii="宋体" w:hAnsi="宋体" w:eastAsia="宋体"/>
          <w:b/>
          <w:bCs/>
          <w:sz w:val="21"/>
          <w:szCs w:val="21"/>
        </w:rPr>
        <w:t>3. 评审程序</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14:paraId="6D6FB0D6">
      <w:pPr>
        <w:pStyle w:val="73"/>
        <w:ind w:firstLine="0" w:firstLineChars="0"/>
        <w:outlineLvl w:val="0"/>
        <w:rPr>
          <w:rFonts w:ascii="宋体" w:hAnsi="宋体" w:eastAsia="宋体"/>
          <w:b/>
          <w:bCs/>
          <w:sz w:val="21"/>
          <w:szCs w:val="21"/>
        </w:rPr>
      </w:pPr>
      <w:bookmarkStart w:id="1018" w:name="_Toc455080161"/>
      <w:bookmarkStart w:id="1019" w:name="_Toc466298144"/>
      <w:bookmarkStart w:id="1020" w:name="_Toc29614"/>
      <w:bookmarkStart w:id="1021" w:name="_Toc14633"/>
      <w:bookmarkStart w:id="1022" w:name="_Toc455867821"/>
      <w:bookmarkStart w:id="1023" w:name="_Toc30986"/>
      <w:bookmarkStart w:id="1024" w:name="_Toc18886"/>
      <w:bookmarkStart w:id="1025" w:name="_Toc16892"/>
      <w:bookmarkStart w:id="1026" w:name="_Toc281405533"/>
      <w:bookmarkStart w:id="1027" w:name="_Toc11826"/>
      <w:bookmarkStart w:id="1028" w:name="_Toc28837"/>
      <w:bookmarkStart w:id="1029" w:name="_Toc7272"/>
      <w:bookmarkStart w:id="1030" w:name="_Toc318450727"/>
      <w:bookmarkStart w:id="1031" w:name="_Toc490667880"/>
      <w:bookmarkStart w:id="1032" w:name="_Toc5427"/>
      <w:bookmarkStart w:id="1033" w:name="_Toc9433"/>
      <w:bookmarkStart w:id="1034" w:name="_Toc29092"/>
      <w:bookmarkStart w:id="1035" w:name="_Toc2410"/>
      <w:bookmarkStart w:id="1036" w:name="_Toc31432"/>
      <w:r>
        <w:rPr>
          <w:rFonts w:hint="eastAsia" w:ascii="宋体" w:hAnsi="宋体" w:eastAsia="宋体"/>
          <w:b/>
          <w:bCs/>
          <w:sz w:val="21"/>
          <w:szCs w:val="21"/>
        </w:rPr>
        <w:t>3.1 初步评审</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14:paraId="6636ACBC">
      <w:pPr>
        <w:spacing w:line="400" w:lineRule="exact"/>
        <w:ind w:firstLine="0" w:firstLineChars="0"/>
        <w:rPr>
          <w:rFonts w:ascii="宋体" w:hAnsi="宋体" w:eastAsia="宋体" w:cs="宋体"/>
          <w:b w:val="0"/>
          <w:bCs w:val="0"/>
          <w:szCs w:val="21"/>
        </w:rPr>
      </w:pPr>
      <w:bookmarkStart w:id="1037" w:name="_Toc10692"/>
      <w:bookmarkStart w:id="1038" w:name="_Toc22101"/>
      <w:bookmarkStart w:id="1039" w:name="_Toc26049"/>
      <w:bookmarkStart w:id="1040" w:name="_Toc21570"/>
      <w:bookmarkStart w:id="1041" w:name="_Toc12406"/>
      <w:bookmarkStart w:id="1042" w:name="_Toc466298145"/>
      <w:bookmarkStart w:id="1043" w:name="_Toc455867822"/>
      <w:bookmarkStart w:id="1044" w:name="_Toc490667881"/>
      <w:bookmarkStart w:id="1045" w:name="_Toc16964"/>
      <w:bookmarkStart w:id="1046" w:name="_Toc455080162"/>
      <w:bookmarkStart w:id="1047" w:name="_Toc7121"/>
      <w:bookmarkStart w:id="1048" w:name="_Toc13386"/>
      <w:bookmarkStart w:id="1049" w:name="_Toc21032"/>
      <w:bookmarkStart w:id="1050" w:name="_Toc318450728"/>
      <w:bookmarkStart w:id="1051" w:name="_Toc281405534"/>
      <w:bookmarkStart w:id="1052" w:name="_Toc26280"/>
      <w:r>
        <w:rPr>
          <w:rFonts w:hint="eastAsia" w:ascii="宋体" w:hAnsi="宋体" w:eastAsia="宋体" w:cs="宋体"/>
          <w:szCs w:val="21"/>
        </w:rPr>
        <w:t>3.1.1只有</w:t>
      </w:r>
      <w:r>
        <w:rPr>
          <w:rFonts w:hint="eastAsia" w:ascii="宋体" w:hAnsi="宋体" w:eastAsia="宋体" w:cs="宋体"/>
          <w:b w:val="0"/>
          <w:bCs w:val="0"/>
          <w:szCs w:val="21"/>
        </w:rPr>
        <w:t>通过资格审查的供应商才能进入符合性评审。评标委员会依据2.1.2规定的内容和标准对响应文件进行符合性审查。有一项不符合评审标准的，其投标做无效投标处理，不得进入详细评审。</w:t>
      </w:r>
    </w:p>
    <w:p w14:paraId="117BD64B">
      <w:pPr>
        <w:spacing w:line="400" w:lineRule="exact"/>
        <w:ind w:firstLine="0" w:firstLineChars="0"/>
        <w:rPr>
          <w:rFonts w:ascii="宋体" w:hAnsi="宋体" w:eastAsia="宋体" w:cs="宋体"/>
          <w:szCs w:val="21"/>
        </w:rPr>
      </w:pPr>
      <w:r>
        <w:rPr>
          <w:rFonts w:hint="eastAsia" w:ascii="宋体" w:hAnsi="宋体" w:eastAsia="宋体" w:cs="宋体"/>
          <w:szCs w:val="21"/>
        </w:rPr>
        <w:t>3.1.2 供应商有以下情形之一的，其响应文件作无效处理：</w:t>
      </w:r>
    </w:p>
    <w:p w14:paraId="451BC114">
      <w:pPr>
        <w:spacing w:line="400" w:lineRule="exact"/>
        <w:ind w:firstLine="0" w:firstLineChars="0"/>
        <w:rPr>
          <w:rFonts w:ascii="宋体" w:hAnsi="宋体" w:eastAsia="宋体" w:cs="宋体"/>
          <w:szCs w:val="21"/>
        </w:rPr>
      </w:pPr>
      <w:r>
        <w:rPr>
          <w:rFonts w:hint="eastAsia" w:ascii="宋体" w:hAnsi="宋体" w:eastAsia="宋体" w:cs="宋体"/>
          <w:szCs w:val="21"/>
        </w:rPr>
        <w:t>（1）串通或弄虚作假或有其他违法行为的；</w:t>
      </w:r>
    </w:p>
    <w:p w14:paraId="4E1C0402">
      <w:pPr>
        <w:spacing w:line="400" w:lineRule="exact"/>
        <w:ind w:firstLine="0" w:firstLineChars="0"/>
        <w:rPr>
          <w:rFonts w:ascii="宋体" w:hAnsi="宋体" w:eastAsia="宋体" w:cs="宋体"/>
          <w:szCs w:val="21"/>
        </w:rPr>
      </w:pPr>
      <w:r>
        <w:rPr>
          <w:rFonts w:hint="eastAsia" w:ascii="宋体" w:hAnsi="宋体" w:eastAsia="宋体" w:cs="宋体"/>
          <w:szCs w:val="21"/>
        </w:rPr>
        <w:t>（2）不按磋商小组要求澄清、说明或补正的；</w:t>
      </w:r>
    </w:p>
    <w:p w14:paraId="44DED26D">
      <w:pPr>
        <w:spacing w:line="400" w:lineRule="exact"/>
        <w:ind w:firstLine="0" w:firstLineChars="0"/>
        <w:rPr>
          <w:rFonts w:ascii="宋体" w:hAnsi="宋体" w:eastAsia="宋体" w:cs="宋体"/>
          <w:szCs w:val="21"/>
        </w:rPr>
      </w:pPr>
      <w:r>
        <w:rPr>
          <w:rFonts w:hint="eastAsia" w:ascii="宋体" w:hAnsi="宋体" w:eastAsia="宋体" w:cs="宋体"/>
          <w:szCs w:val="21"/>
        </w:rPr>
        <w:t>（3）未按规定格式填写、内容不全或关键字迹模糊、无法辨认的；</w:t>
      </w:r>
    </w:p>
    <w:p w14:paraId="23FAB32A">
      <w:pPr>
        <w:spacing w:line="400" w:lineRule="exact"/>
        <w:ind w:firstLine="0" w:firstLineChars="0"/>
        <w:rPr>
          <w:rFonts w:ascii="宋体" w:hAnsi="宋体" w:eastAsia="宋体" w:cs="宋体"/>
          <w:szCs w:val="21"/>
        </w:rPr>
      </w:pPr>
      <w:r>
        <w:rPr>
          <w:rFonts w:hint="eastAsia" w:ascii="宋体" w:hAnsi="宋体" w:eastAsia="宋体" w:cs="宋体"/>
          <w:szCs w:val="21"/>
        </w:rPr>
        <w:t>（4）响应文件附有采购人不能接受的条件；</w:t>
      </w:r>
    </w:p>
    <w:p w14:paraId="53D255B0">
      <w:pPr>
        <w:spacing w:line="400" w:lineRule="exact"/>
        <w:ind w:firstLine="0" w:firstLineChars="0"/>
        <w:rPr>
          <w:rFonts w:hint="eastAsia" w:ascii="宋体" w:hAnsi="宋体" w:eastAsia="宋体" w:cs="宋体"/>
          <w:szCs w:val="21"/>
        </w:rPr>
      </w:pPr>
      <w:r>
        <w:rPr>
          <w:rFonts w:hint="eastAsia" w:ascii="宋体" w:hAnsi="宋体" w:eastAsia="宋体" w:cs="宋体"/>
          <w:szCs w:val="21"/>
        </w:rPr>
        <w:t>（5）不符合竞争性磋商文件规定的其他实质性要求。</w:t>
      </w:r>
    </w:p>
    <w:p w14:paraId="5C48EBFC">
      <w:pPr>
        <w:spacing w:line="400" w:lineRule="exact"/>
        <w:ind w:firstLine="0" w:firstLineChars="0"/>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）文件制作机器码一致的按废标处理。</w:t>
      </w:r>
    </w:p>
    <w:p w14:paraId="044F97C1">
      <w:pPr>
        <w:pStyle w:val="73"/>
        <w:ind w:firstLine="0" w:firstLineChars="0"/>
        <w:outlineLvl w:val="0"/>
        <w:rPr>
          <w:rFonts w:ascii="宋体" w:hAnsi="宋体" w:eastAsia="宋体"/>
          <w:b/>
          <w:bCs/>
          <w:sz w:val="21"/>
          <w:szCs w:val="21"/>
        </w:rPr>
      </w:pPr>
      <w:bookmarkStart w:id="1053" w:name="_Toc8771"/>
      <w:bookmarkStart w:id="1054" w:name="_Toc28255"/>
      <w:bookmarkStart w:id="1055" w:name="_Toc21966"/>
      <w:r>
        <w:rPr>
          <w:rFonts w:hint="eastAsia" w:ascii="宋体" w:hAnsi="宋体" w:eastAsia="宋体"/>
          <w:b/>
          <w:bCs/>
          <w:sz w:val="21"/>
          <w:szCs w:val="21"/>
        </w:rPr>
        <w:t>3.2 详细评审</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11C8BB70">
      <w:pPr>
        <w:spacing w:line="400" w:lineRule="exact"/>
        <w:ind w:firstLine="0" w:firstLineChars="0"/>
        <w:rPr>
          <w:rFonts w:ascii="宋体" w:hAnsi="宋体" w:eastAsia="宋体" w:cs="宋体"/>
          <w:szCs w:val="21"/>
        </w:rPr>
      </w:pPr>
      <w:r>
        <w:rPr>
          <w:rFonts w:hint="eastAsia" w:ascii="宋体" w:hAnsi="宋体" w:eastAsia="宋体" w:cs="宋体"/>
          <w:szCs w:val="21"/>
        </w:rPr>
        <w:t>3.2.1 磋商小组按本章第2.2款规定的量化因素和分值进行打分，并计算出综合评分得分。</w:t>
      </w:r>
    </w:p>
    <w:p w14:paraId="04508028">
      <w:pPr>
        <w:spacing w:line="400" w:lineRule="exact"/>
        <w:ind w:firstLine="0" w:firstLineChars="0"/>
        <w:rPr>
          <w:rFonts w:ascii="宋体" w:hAnsi="宋体" w:eastAsia="宋体" w:cs="宋体"/>
          <w:szCs w:val="21"/>
        </w:rPr>
      </w:pPr>
      <w:r>
        <w:rPr>
          <w:rFonts w:hint="eastAsia" w:ascii="宋体" w:hAnsi="宋体" w:eastAsia="宋体" w:cs="宋体"/>
          <w:szCs w:val="21"/>
        </w:rPr>
        <w:t>3.2.2 评分分值计算保留小数点后两位，小数点后第三位“四舍五入”。</w:t>
      </w:r>
    </w:p>
    <w:p w14:paraId="0CEA2828">
      <w:pPr>
        <w:spacing w:line="400" w:lineRule="exact"/>
        <w:ind w:firstLine="0" w:firstLineChars="0"/>
        <w:rPr>
          <w:rFonts w:ascii="宋体" w:hAnsi="宋体" w:eastAsia="宋体" w:cs="宋体"/>
          <w:szCs w:val="21"/>
        </w:rPr>
      </w:pPr>
      <w:r>
        <w:rPr>
          <w:rFonts w:hint="eastAsia" w:ascii="宋体" w:hAnsi="宋体" w:eastAsia="宋体" w:cs="宋体"/>
          <w:szCs w:val="21"/>
        </w:rPr>
        <w:t>3.2.3供应商的最终得分以全部小组成员打分的算术平均值为准，作为该供应商的最终得分。</w:t>
      </w:r>
    </w:p>
    <w:p w14:paraId="5A7A5BEA">
      <w:pPr>
        <w:spacing w:line="400" w:lineRule="exact"/>
        <w:ind w:firstLine="0" w:firstLineChars="0"/>
        <w:rPr>
          <w:rFonts w:ascii="宋体" w:hAnsi="宋体" w:eastAsia="宋体" w:cs="宋体"/>
          <w:szCs w:val="21"/>
        </w:rPr>
      </w:pPr>
      <w:r>
        <w:rPr>
          <w:rFonts w:hint="eastAsia" w:ascii="宋体" w:hAnsi="宋体" w:eastAsia="宋体" w:cs="宋体"/>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66C04870">
      <w:pPr>
        <w:pStyle w:val="73"/>
        <w:ind w:firstLine="0" w:firstLineChars="0"/>
        <w:outlineLvl w:val="0"/>
        <w:rPr>
          <w:rFonts w:ascii="宋体" w:hAnsi="宋体" w:eastAsia="宋体"/>
          <w:b/>
          <w:bCs/>
          <w:sz w:val="21"/>
          <w:szCs w:val="21"/>
        </w:rPr>
      </w:pPr>
      <w:bookmarkStart w:id="1056" w:name="_Toc8813"/>
      <w:bookmarkStart w:id="1057" w:name="_Toc25291"/>
      <w:bookmarkStart w:id="1058" w:name="_Toc8342"/>
      <w:bookmarkStart w:id="1059" w:name="_Toc466298146"/>
      <w:bookmarkStart w:id="1060" w:name="_Toc10153"/>
      <w:bookmarkStart w:id="1061" w:name="_Toc24862"/>
      <w:bookmarkStart w:id="1062" w:name="_Toc455080163"/>
      <w:bookmarkStart w:id="1063" w:name="_Toc2657"/>
      <w:bookmarkStart w:id="1064" w:name="_Toc22084"/>
      <w:bookmarkStart w:id="1065" w:name="_Toc281405535"/>
      <w:bookmarkStart w:id="1066" w:name="_Toc9193"/>
      <w:bookmarkStart w:id="1067" w:name="_Toc318450729"/>
      <w:bookmarkStart w:id="1068" w:name="_Toc11958"/>
      <w:bookmarkStart w:id="1069" w:name="_Toc490667882"/>
      <w:bookmarkStart w:id="1070" w:name="_Toc12374"/>
      <w:bookmarkStart w:id="1071" w:name="_Toc12390"/>
      <w:bookmarkStart w:id="1072" w:name="_Toc455867823"/>
      <w:bookmarkStart w:id="1073" w:name="_Toc28633"/>
      <w:bookmarkStart w:id="1074" w:name="_Toc331"/>
      <w:r>
        <w:rPr>
          <w:rFonts w:hint="eastAsia" w:ascii="宋体" w:hAnsi="宋体" w:eastAsia="宋体"/>
          <w:b/>
          <w:bCs/>
          <w:sz w:val="21"/>
          <w:szCs w:val="21"/>
        </w:rPr>
        <w:t>3.3 响应文件的澄清和补正</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14:paraId="38ECC7D2">
      <w:pPr>
        <w:spacing w:line="400" w:lineRule="exact"/>
        <w:ind w:firstLine="0" w:firstLineChars="0"/>
        <w:rPr>
          <w:rFonts w:ascii="宋体" w:hAnsi="宋体" w:eastAsia="宋体" w:cs="宋体"/>
          <w:szCs w:val="21"/>
        </w:rPr>
      </w:pPr>
      <w:r>
        <w:rPr>
          <w:rFonts w:hint="eastAsia" w:ascii="宋体" w:hAnsi="宋体" w:eastAsia="宋体" w:cs="宋体"/>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6495CB12">
      <w:pPr>
        <w:spacing w:line="400" w:lineRule="exact"/>
        <w:ind w:firstLine="0" w:firstLineChars="0"/>
        <w:rPr>
          <w:rFonts w:ascii="宋体" w:hAnsi="宋体" w:eastAsia="宋体" w:cs="宋体"/>
          <w:szCs w:val="21"/>
        </w:rPr>
      </w:pPr>
      <w:r>
        <w:rPr>
          <w:rFonts w:hint="eastAsia" w:ascii="宋体" w:hAnsi="宋体" w:eastAsia="宋体" w:cs="宋体"/>
          <w:szCs w:val="21"/>
        </w:rPr>
        <w:t>3.3.2 澄清、说明和补正不得超出响应文件的范围或者改变响应文件的实质性内容（算术性错误修正的除外）。供应商的书面澄清、说明和补正属于响应文件的组成部分。</w:t>
      </w:r>
    </w:p>
    <w:p w14:paraId="45C56918">
      <w:pPr>
        <w:spacing w:line="400" w:lineRule="exact"/>
        <w:ind w:firstLine="0" w:firstLineChars="0"/>
        <w:rPr>
          <w:rFonts w:ascii="宋体" w:hAnsi="宋体" w:eastAsia="宋体" w:cs="宋体"/>
          <w:szCs w:val="21"/>
        </w:rPr>
      </w:pPr>
      <w:r>
        <w:rPr>
          <w:rFonts w:hint="eastAsia" w:ascii="宋体" w:hAnsi="宋体" w:eastAsia="宋体" w:cs="宋体"/>
          <w:szCs w:val="21"/>
        </w:rPr>
        <w:t>3.3.3 磋商小组对供应商提交的澄清、说明或补正有疑问的，可以要求供应商进一步澄清、说明或补正，直至满足磋商小组的要求。</w:t>
      </w:r>
    </w:p>
    <w:p w14:paraId="44F8B633">
      <w:pPr>
        <w:pStyle w:val="73"/>
        <w:ind w:firstLine="0" w:firstLineChars="0"/>
        <w:outlineLvl w:val="0"/>
        <w:rPr>
          <w:rFonts w:ascii="宋体" w:hAnsi="宋体" w:eastAsia="宋体"/>
          <w:sz w:val="21"/>
          <w:szCs w:val="21"/>
        </w:rPr>
      </w:pPr>
      <w:bookmarkStart w:id="1075" w:name="_Toc281405536"/>
      <w:bookmarkStart w:id="1076" w:name="_Toc490667883"/>
      <w:bookmarkStart w:id="1077" w:name="_Toc6270"/>
      <w:bookmarkStart w:id="1078" w:name="_Toc22682"/>
      <w:bookmarkStart w:id="1079" w:name="_Toc466298147"/>
      <w:bookmarkStart w:id="1080" w:name="_Toc455080164"/>
      <w:bookmarkStart w:id="1081" w:name="_Toc5903"/>
      <w:bookmarkStart w:id="1082" w:name="_Toc19938"/>
      <w:bookmarkStart w:id="1083" w:name="_Toc26894"/>
      <w:bookmarkStart w:id="1084" w:name="_Toc22986"/>
      <w:bookmarkStart w:id="1085" w:name="_Toc27990"/>
      <w:bookmarkStart w:id="1086" w:name="_Toc30053"/>
      <w:bookmarkStart w:id="1087" w:name="_Toc455867824"/>
      <w:bookmarkStart w:id="1088" w:name="_Toc22049"/>
      <w:bookmarkStart w:id="1089" w:name="_Toc32183"/>
      <w:bookmarkStart w:id="1090" w:name="_Toc8139"/>
      <w:bookmarkStart w:id="1091" w:name="_Toc1857"/>
      <w:bookmarkStart w:id="1092" w:name="_Toc19453"/>
      <w:bookmarkStart w:id="1093" w:name="_Toc318450730"/>
      <w:r>
        <w:rPr>
          <w:rFonts w:hint="eastAsia" w:ascii="宋体" w:hAnsi="宋体" w:eastAsia="宋体"/>
          <w:sz w:val="21"/>
          <w:szCs w:val="21"/>
        </w:rPr>
        <w:t>3.4 评审结果</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14:paraId="642DE2C7">
      <w:pPr>
        <w:spacing w:line="400" w:lineRule="exact"/>
        <w:ind w:firstLine="0" w:firstLineChars="0"/>
        <w:rPr>
          <w:rFonts w:ascii="宋体" w:hAnsi="宋体" w:eastAsia="宋体" w:cs="宋体"/>
          <w:szCs w:val="21"/>
        </w:rPr>
      </w:pPr>
      <w:r>
        <w:rPr>
          <w:rFonts w:hint="eastAsia" w:ascii="宋体" w:hAnsi="宋体" w:eastAsia="宋体" w:cs="宋体"/>
          <w:szCs w:val="21"/>
        </w:rPr>
        <w:t>3.4.1除第二章“供应商须知”前附表授权直接确定成交人外，磋商小组按照得分由高到低的顺序推荐成交候选人。</w:t>
      </w:r>
    </w:p>
    <w:p w14:paraId="1E4BEAC6">
      <w:pPr>
        <w:spacing w:line="400" w:lineRule="exact"/>
        <w:ind w:firstLine="0" w:firstLineChars="0"/>
        <w:rPr>
          <w:rFonts w:ascii="宋体" w:hAnsi="宋体" w:eastAsia="宋体" w:cs="宋体"/>
          <w:szCs w:val="21"/>
        </w:rPr>
      </w:pPr>
      <w:r>
        <w:rPr>
          <w:rFonts w:hint="eastAsia" w:ascii="宋体" w:hAnsi="宋体" w:eastAsia="宋体" w:cs="宋体"/>
          <w:szCs w:val="21"/>
        </w:rPr>
        <w:t>3.4.2 磋商小组完成评审后，应当向采购人提交书面评审报告。</w:t>
      </w:r>
    </w:p>
    <w:p w14:paraId="094B7022">
      <w:pPr>
        <w:spacing w:line="400" w:lineRule="exact"/>
        <w:ind w:firstLine="0" w:firstLineChars="0"/>
        <w:rPr>
          <w:rFonts w:ascii="宋体" w:hAnsi="宋体" w:cs="宋体"/>
          <w:bCs/>
          <w:sz w:val="28"/>
          <w:szCs w:val="28"/>
        </w:rPr>
      </w:pPr>
      <w:bookmarkStart w:id="1094" w:name="_Toc152042387"/>
      <w:bookmarkStart w:id="1095" w:name="_Toc152045609"/>
      <w:bookmarkStart w:id="1096" w:name="_Toc144974577"/>
      <w:bookmarkStart w:id="1097" w:name="_Toc14024"/>
      <w:r>
        <w:rPr>
          <w:rFonts w:hint="eastAsia" w:ascii="宋体" w:hAnsi="宋体" w:eastAsia="宋体" w:cs="宋体"/>
          <w:szCs w:val="21"/>
        </w:rPr>
        <w:t>3.4.3评标结果同时在《河南省政府采购网》、《全国公共资源交易平台（河南省·</w:t>
      </w:r>
      <w:r>
        <w:rPr>
          <w:rFonts w:hint="eastAsia" w:ascii="宋体" w:hAnsi="宋体" w:eastAsia="宋体" w:cs="宋体"/>
          <w:szCs w:val="21"/>
          <w:lang w:val="en-US" w:eastAsia="zh-CN"/>
        </w:rPr>
        <w:t>罗山县</w:t>
      </w:r>
      <w:r>
        <w:rPr>
          <w:rFonts w:hint="eastAsia" w:ascii="宋体" w:hAnsi="宋体" w:eastAsia="宋体" w:cs="宋体"/>
          <w:szCs w:val="21"/>
        </w:rPr>
        <w:t>）》公示。</w:t>
      </w:r>
    </w:p>
    <w:p w14:paraId="0D651278">
      <w:pPr>
        <w:rPr>
          <w:rFonts w:ascii="宋体" w:hAnsi="宋体" w:cs="宋体"/>
          <w:b/>
          <w:kern w:val="44"/>
          <w:sz w:val="32"/>
          <w:szCs w:val="32"/>
        </w:rPr>
      </w:pPr>
      <w:bookmarkStart w:id="1098" w:name="_Toc22046"/>
      <w:bookmarkStart w:id="1099" w:name="_Toc27942"/>
      <w:bookmarkStart w:id="1100" w:name="_Toc6806"/>
      <w:r>
        <w:rPr>
          <w:rFonts w:hint="eastAsia" w:ascii="宋体" w:hAnsi="宋体" w:eastAsia="宋体" w:cs="宋体"/>
          <w:sz w:val="21"/>
          <w:szCs w:val="21"/>
        </w:rPr>
        <w:br w:type="page"/>
      </w:r>
      <w:bookmarkEnd w:id="1094"/>
      <w:bookmarkEnd w:id="1095"/>
      <w:bookmarkEnd w:id="1096"/>
      <w:bookmarkEnd w:id="1097"/>
      <w:bookmarkEnd w:id="1098"/>
      <w:bookmarkEnd w:id="1099"/>
      <w:bookmarkEnd w:id="1100"/>
      <w:bookmarkStart w:id="1101" w:name="_Toc152042575"/>
      <w:bookmarkStart w:id="1102" w:name="_Toc144974855"/>
      <w:bookmarkStart w:id="1103" w:name="_Toc21270"/>
      <w:bookmarkStart w:id="1104" w:name="_Toc152045786"/>
      <w:bookmarkStart w:id="1105" w:name="_Toc14158"/>
    </w:p>
    <w:bookmarkEnd w:id="1101"/>
    <w:bookmarkEnd w:id="1102"/>
    <w:bookmarkEnd w:id="1103"/>
    <w:bookmarkEnd w:id="1104"/>
    <w:bookmarkEnd w:id="1105"/>
    <w:p w14:paraId="5B4EA38D">
      <w:pPr>
        <w:pStyle w:val="2"/>
        <w:keepNext/>
        <w:keepLines/>
        <w:pageBreakBefore w:val="0"/>
        <w:widowControl w:val="0"/>
        <w:numPr>
          <w:ilvl w:val="0"/>
          <w:numId w:val="0"/>
        </w:numP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Cs w:val="0"/>
          <w:color w:val="auto"/>
          <w:sz w:val="28"/>
          <w:szCs w:val="28"/>
          <w:highlight w:val="none"/>
        </w:rPr>
        <w:t>第四章   合同条款及格式</w:t>
      </w:r>
    </w:p>
    <w:p w14:paraId="4C020BDC">
      <w:pPr>
        <w:spacing w:line="400" w:lineRule="exact"/>
        <w:ind w:left="0" w:leftChars="0" w:firstLine="0" w:firstLineChars="0"/>
        <w:jc w:val="center"/>
        <w:outlineLvl w:val="0"/>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河南省政府采购合同（</w:t>
      </w:r>
      <w:r>
        <w:rPr>
          <w:rFonts w:hint="eastAsia" w:ascii="宋体" w:hAnsi="宋体" w:eastAsia="宋体" w:cs="宋体"/>
          <w:b/>
          <w:color w:val="auto"/>
          <w:sz w:val="32"/>
          <w:szCs w:val="32"/>
          <w:highlight w:val="none"/>
          <w:lang w:eastAsia="zh-CN"/>
        </w:rPr>
        <w:t>参考文本，</w:t>
      </w:r>
      <w:r>
        <w:rPr>
          <w:rFonts w:hint="eastAsia" w:ascii="宋体" w:hAnsi="宋体" w:eastAsia="宋体" w:cs="宋体"/>
          <w:b/>
          <w:color w:val="auto"/>
          <w:sz w:val="32"/>
          <w:szCs w:val="32"/>
          <w:highlight w:val="none"/>
          <w:lang w:val="en-US" w:eastAsia="zh-CN"/>
        </w:rPr>
        <w:t>以实际签订合同为准</w:t>
      </w:r>
      <w:r>
        <w:rPr>
          <w:rFonts w:hint="eastAsia" w:ascii="宋体" w:hAnsi="宋体" w:eastAsia="宋体" w:cs="宋体"/>
          <w:b/>
          <w:color w:val="auto"/>
          <w:sz w:val="32"/>
          <w:szCs w:val="32"/>
          <w:highlight w:val="none"/>
        </w:rPr>
        <w:t>）</w:t>
      </w:r>
    </w:p>
    <w:p w14:paraId="68EFDB93">
      <w:pPr>
        <w:spacing w:line="400" w:lineRule="exact"/>
        <w:ind w:firstLine="450" w:firstLineChars="150"/>
        <w:rPr>
          <w:rFonts w:hint="eastAsia" w:ascii="宋体" w:hAnsi="宋体" w:eastAsia="宋体" w:cs="宋体"/>
          <w:color w:val="auto"/>
          <w:sz w:val="30"/>
          <w:szCs w:val="30"/>
          <w:highlight w:val="none"/>
        </w:rPr>
      </w:pPr>
    </w:p>
    <w:p w14:paraId="22DDC416">
      <w:pPr>
        <w:spacing w:line="400" w:lineRule="exact"/>
        <w:ind w:firstLine="450" w:firstLineChars="150"/>
        <w:rPr>
          <w:rFonts w:hint="eastAsia" w:ascii="宋体" w:hAnsi="宋体" w:eastAsia="宋体" w:cs="宋体"/>
          <w:color w:val="auto"/>
          <w:sz w:val="30"/>
          <w:szCs w:val="30"/>
          <w:highlight w:val="none"/>
        </w:rPr>
      </w:pPr>
    </w:p>
    <w:p w14:paraId="3E4F6FF2">
      <w:pPr>
        <w:spacing w:line="400" w:lineRule="exact"/>
        <w:ind w:firstLine="450" w:firstLineChars="150"/>
        <w:rPr>
          <w:rFonts w:hint="eastAsia" w:ascii="宋体" w:hAnsi="宋体" w:eastAsia="宋体" w:cs="宋体"/>
          <w:color w:val="auto"/>
          <w:sz w:val="30"/>
          <w:szCs w:val="30"/>
          <w:highlight w:val="none"/>
        </w:rPr>
      </w:pPr>
    </w:p>
    <w:p w14:paraId="30319328">
      <w:pPr>
        <w:spacing w:line="400" w:lineRule="exact"/>
        <w:ind w:firstLine="450" w:firstLineChars="150"/>
        <w:rPr>
          <w:rFonts w:hint="eastAsia" w:ascii="宋体" w:hAnsi="宋体" w:eastAsia="宋体" w:cs="宋体"/>
          <w:color w:val="auto"/>
          <w:sz w:val="30"/>
          <w:szCs w:val="30"/>
          <w:highlight w:val="none"/>
        </w:rPr>
      </w:pPr>
    </w:p>
    <w:p w14:paraId="67081E39">
      <w:pPr>
        <w:spacing w:line="400" w:lineRule="exact"/>
        <w:ind w:firstLine="450" w:firstLineChars="150"/>
        <w:rPr>
          <w:rFonts w:hint="eastAsia" w:ascii="宋体" w:hAnsi="宋体" w:eastAsia="宋体" w:cs="宋体"/>
          <w:color w:val="auto"/>
          <w:sz w:val="30"/>
          <w:szCs w:val="30"/>
          <w:highlight w:val="none"/>
        </w:rPr>
      </w:pPr>
    </w:p>
    <w:p w14:paraId="361B81DC">
      <w:pPr>
        <w:keepNext w:val="0"/>
        <w:keepLines w:val="0"/>
        <w:widowControl/>
        <w:suppressLineNumbers w:val="0"/>
        <w:spacing w:line="240" w:lineRule="auto"/>
        <w:ind w:firstLine="0" w:firstLineChars="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 xml:space="preserve">合同编号： </w:t>
      </w:r>
    </w:p>
    <w:p w14:paraId="38A95930">
      <w:pPr>
        <w:keepNext w:val="0"/>
        <w:keepLines w:val="0"/>
        <w:widowControl/>
        <w:suppressLineNumbers w:val="0"/>
        <w:spacing w:line="240" w:lineRule="auto"/>
        <w:ind w:firstLine="0" w:firstLineChars="0"/>
        <w:jc w:val="left"/>
        <w:rPr>
          <w:rFonts w:hint="eastAsia" w:ascii="宋体" w:hAnsi="宋体" w:eastAsia="宋体" w:cs="宋体"/>
          <w:color w:val="000000"/>
          <w:kern w:val="0"/>
          <w:sz w:val="28"/>
          <w:szCs w:val="28"/>
          <w:highlight w:val="none"/>
          <w:lang w:val="en-US" w:eastAsia="zh-CN" w:bidi="ar"/>
        </w:rPr>
      </w:pPr>
    </w:p>
    <w:p w14:paraId="7273E5B8">
      <w:pPr>
        <w:keepNext w:val="0"/>
        <w:keepLines w:val="0"/>
        <w:widowControl/>
        <w:suppressLineNumbers w:val="0"/>
        <w:spacing w:line="240" w:lineRule="auto"/>
        <w:ind w:firstLine="0" w:firstLineChars="0"/>
        <w:jc w:val="center"/>
        <w:rPr>
          <w:rFonts w:hint="eastAsia" w:ascii="宋体" w:hAnsi="宋体" w:eastAsia="宋体" w:cs="宋体"/>
          <w:szCs w:val="24"/>
          <w:highlight w:val="none"/>
          <w:lang w:val="en-US"/>
        </w:rPr>
      </w:pPr>
      <w:r>
        <w:rPr>
          <w:rFonts w:hint="eastAsia" w:ascii="宋体" w:hAnsi="宋体" w:eastAsia="宋体" w:cs="宋体"/>
          <w:color w:val="000000"/>
          <w:kern w:val="0"/>
          <w:sz w:val="52"/>
          <w:szCs w:val="52"/>
          <w:highlight w:val="none"/>
          <w:lang w:val="en-US" w:eastAsia="zh-CN" w:bidi="ar"/>
        </w:rPr>
        <w:t>合同名称</w:t>
      </w:r>
    </w:p>
    <w:p w14:paraId="35D404DE">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p>
    <w:p w14:paraId="404336AA">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r>
        <w:rPr>
          <w:rFonts w:hint="eastAsia" w:ascii="宋体" w:hAnsi="宋体" w:eastAsia="宋体" w:cs="宋体"/>
          <w:b/>
          <w:bCs/>
          <w:color w:val="000000"/>
          <w:kern w:val="0"/>
          <w:sz w:val="31"/>
          <w:szCs w:val="31"/>
          <w:highlight w:val="none"/>
          <w:lang w:val="en-US" w:eastAsia="zh-CN" w:bidi="ar"/>
        </w:rPr>
        <w:t>项目名称：</w:t>
      </w:r>
    </w:p>
    <w:p w14:paraId="495DA5CA">
      <w:pPr>
        <w:keepNext w:val="0"/>
        <w:keepLines w:val="0"/>
        <w:widowControl/>
        <w:suppressLineNumbers w:val="0"/>
        <w:spacing w:line="240" w:lineRule="auto"/>
        <w:ind w:firstLine="0" w:firstLineChars="0"/>
        <w:jc w:val="left"/>
        <w:rPr>
          <w:rFonts w:hint="eastAsia" w:ascii="宋体" w:hAnsi="宋体" w:eastAsia="宋体" w:cs="宋体"/>
          <w:szCs w:val="24"/>
          <w:highlight w:val="none"/>
        </w:rPr>
      </w:pPr>
      <w:r>
        <w:rPr>
          <w:rFonts w:hint="eastAsia" w:ascii="宋体" w:hAnsi="宋体" w:eastAsia="宋体" w:cs="宋体"/>
          <w:b/>
          <w:bCs/>
          <w:color w:val="000000"/>
          <w:kern w:val="0"/>
          <w:sz w:val="31"/>
          <w:szCs w:val="31"/>
          <w:highlight w:val="none"/>
          <w:lang w:val="en-US" w:eastAsia="zh-CN" w:bidi="ar"/>
        </w:rPr>
        <w:t xml:space="preserve"> </w:t>
      </w:r>
    </w:p>
    <w:p w14:paraId="4127D3B4">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r>
        <w:rPr>
          <w:rFonts w:hint="eastAsia" w:ascii="宋体" w:hAnsi="宋体" w:eastAsia="宋体" w:cs="宋体"/>
          <w:b/>
          <w:bCs/>
          <w:color w:val="000000"/>
          <w:kern w:val="0"/>
          <w:sz w:val="31"/>
          <w:szCs w:val="31"/>
          <w:highlight w:val="none"/>
          <w:lang w:val="en-US" w:eastAsia="zh-CN" w:bidi="ar"/>
        </w:rPr>
        <w:t>需方（甲方）：</w:t>
      </w:r>
    </w:p>
    <w:p w14:paraId="4858A67B">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p>
    <w:p w14:paraId="4BE6C3CE">
      <w:pPr>
        <w:keepNext w:val="0"/>
        <w:keepLines w:val="0"/>
        <w:widowControl/>
        <w:suppressLineNumbers w:val="0"/>
        <w:spacing w:line="240" w:lineRule="auto"/>
        <w:ind w:firstLine="0" w:firstLineChars="0"/>
        <w:jc w:val="left"/>
        <w:rPr>
          <w:rFonts w:hint="eastAsia" w:ascii="宋体" w:hAnsi="宋体" w:eastAsia="宋体" w:cs="宋体"/>
          <w:szCs w:val="24"/>
          <w:highlight w:val="none"/>
        </w:rPr>
      </w:pPr>
      <w:r>
        <w:rPr>
          <w:rFonts w:hint="eastAsia" w:ascii="宋体" w:hAnsi="宋体" w:eastAsia="宋体" w:cs="宋体"/>
          <w:b/>
          <w:bCs/>
          <w:color w:val="000000"/>
          <w:kern w:val="0"/>
          <w:sz w:val="31"/>
          <w:szCs w:val="31"/>
          <w:highlight w:val="none"/>
          <w:lang w:val="en-US" w:eastAsia="zh-CN" w:bidi="ar"/>
        </w:rPr>
        <w:t xml:space="preserve"> </w:t>
      </w:r>
    </w:p>
    <w:p w14:paraId="7CB4A2CD">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r>
        <w:rPr>
          <w:rFonts w:hint="eastAsia" w:ascii="宋体" w:hAnsi="宋体" w:eastAsia="宋体" w:cs="宋体"/>
          <w:b/>
          <w:bCs/>
          <w:color w:val="000000"/>
          <w:kern w:val="0"/>
          <w:sz w:val="31"/>
          <w:szCs w:val="31"/>
          <w:highlight w:val="none"/>
          <w:lang w:val="en-US" w:eastAsia="zh-CN" w:bidi="ar"/>
        </w:rPr>
        <w:t xml:space="preserve">供方（乙方）： </w:t>
      </w:r>
    </w:p>
    <w:p w14:paraId="41974DB8">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p>
    <w:p w14:paraId="579C9B0F">
      <w:pPr>
        <w:keepNext w:val="0"/>
        <w:keepLines w:val="0"/>
        <w:widowControl/>
        <w:suppressLineNumbers w:val="0"/>
        <w:spacing w:line="240" w:lineRule="auto"/>
        <w:ind w:firstLine="0" w:firstLineChars="0"/>
        <w:jc w:val="left"/>
        <w:rPr>
          <w:rFonts w:hint="eastAsia" w:ascii="宋体" w:hAnsi="宋体" w:eastAsia="宋体" w:cs="宋体"/>
          <w:b/>
          <w:bCs/>
          <w:color w:val="000000"/>
          <w:kern w:val="0"/>
          <w:sz w:val="31"/>
          <w:szCs w:val="31"/>
          <w:highlight w:val="none"/>
          <w:lang w:val="en-US" w:eastAsia="zh-CN" w:bidi="ar"/>
        </w:rPr>
      </w:pPr>
    </w:p>
    <w:p w14:paraId="162A0E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Cs w:val="24"/>
          <w:highlight w:val="none"/>
        </w:rPr>
      </w:pPr>
      <w:r>
        <w:rPr>
          <w:rFonts w:hint="eastAsia" w:ascii="宋体" w:hAnsi="宋体" w:eastAsia="宋体" w:cs="宋体"/>
          <w:b/>
          <w:bCs/>
          <w:color w:val="000000"/>
          <w:kern w:val="0"/>
          <w:sz w:val="31"/>
          <w:szCs w:val="31"/>
          <w:highlight w:val="none"/>
          <w:lang w:val="en-US" w:eastAsia="zh-CN" w:bidi="ar"/>
        </w:rPr>
        <w:t xml:space="preserve">签订时间： </w:t>
      </w:r>
    </w:p>
    <w:p w14:paraId="2D6031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Cs w:val="24"/>
          <w:highlight w:val="none"/>
        </w:rPr>
      </w:pPr>
      <w:r>
        <w:rPr>
          <w:rFonts w:hint="eastAsia" w:ascii="宋体" w:hAnsi="宋体" w:eastAsia="宋体" w:cs="宋体"/>
          <w:b/>
          <w:bCs/>
          <w:color w:val="000000"/>
          <w:kern w:val="0"/>
          <w:sz w:val="31"/>
          <w:szCs w:val="31"/>
          <w:highlight w:val="none"/>
          <w:lang w:val="en-US" w:eastAsia="zh-CN" w:bidi="ar"/>
        </w:rPr>
        <w:t xml:space="preserve">签订地点：  </w:t>
      </w:r>
    </w:p>
    <w:p w14:paraId="0E42446E">
      <w:pPr>
        <w:keepNext w:val="0"/>
        <w:keepLines w:val="0"/>
        <w:widowControl/>
        <w:suppressLineNumbers w:val="0"/>
        <w:spacing w:line="240" w:lineRule="auto"/>
        <w:ind w:firstLine="0" w:firstLineChars="0"/>
        <w:jc w:val="left"/>
        <w:rPr>
          <w:rFonts w:hint="eastAsia" w:ascii="宋体" w:hAnsi="宋体" w:eastAsia="宋体" w:cs="宋体"/>
          <w:color w:val="000000"/>
          <w:kern w:val="0"/>
          <w:sz w:val="28"/>
          <w:szCs w:val="28"/>
          <w:highlight w:val="none"/>
          <w:lang w:val="en-US" w:eastAsia="zh-CN" w:bidi="ar"/>
        </w:rPr>
      </w:pPr>
    </w:p>
    <w:p w14:paraId="3CE04799">
      <w:pPr>
        <w:keepNext w:val="0"/>
        <w:keepLines w:val="0"/>
        <w:widowControl/>
        <w:suppressLineNumbers w:val="0"/>
        <w:spacing w:line="240" w:lineRule="auto"/>
        <w:ind w:firstLine="0" w:firstLineChars="0"/>
        <w:jc w:val="left"/>
        <w:rPr>
          <w:rFonts w:hint="eastAsia" w:ascii="宋体" w:hAnsi="宋体" w:eastAsia="宋体" w:cs="宋体"/>
          <w:color w:val="000000"/>
          <w:kern w:val="0"/>
          <w:sz w:val="28"/>
          <w:szCs w:val="28"/>
          <w:highlight w:val="none"/>
          <w:lang w:val="en-US" w:eastAsia="zh-CN" w:bidi="ar"/>
        </w:rPr>
      </w:pPr>
    </w:p>
    <w:p w14:paraId="708F6C0D">
      <w:pPr>
        <w:keepNext w:val="0"/>
        <w:keepLines w:val="0"/>
        <w:widowControl/>
        <w:suppressLineNumbers w:val="0"/>
        <w:spacing w:line="240" w:lineRule="auto"/>
        <w:ind w:firstLine="0" w:firstLineChars="0"/>
        <w:jc w:val="left"/>
        <w:rPr>
          <w:rFonts w:hint="eastAsia" w:ascii="宋体" w:hAnsi="宋体" w:eastAsia="宋体" w:cs="宋体"/>
          <w:color w:val="000000"/>
          <w:kern w:val="0"/>
          <w:sz w:val="28"/>
          <w:szCs w:val="28"/>
          <w:highlight w:val="none"/>
          <w:lang w:val="en-US" w:eastAsia="zh-CN" w:bidi="ar"/>
        </w:rPr>
      </w:pPr>
    </w:p>
    <w:p w14:paraId="46F0A9E7">
      <w:pPr>
        <w:keepNext/>
        <w:keepLines/>
        <w:pageBreakBefore w:val="0"/>
        <w:widowControl w:val="0"/>
        <w:numPr>
          <w:ilvl w:val="0"/>
          <w:numId w:val="4"/>
        </w:numPr>
        <w:kinsoku/>
        <w:wordWrap/>
        <w:overflowPunct/>
        <w:topLinePunct w:val="0"/>
        <w:autoSpaceDE/>
        <w:autoSpaceDN/>
        <w:bidi w:val="0"/>
        <w:adjustRightInd w:val="0"/>
        <w:snapToGrid w:val="0"/>
        <w:spacing w:beforeLines="0" w:line="360" w:lineRule="auto"/>
        <w:ind w:left="0" w:leftChars="0"/>
        <w:jc w:val="center"/>
        <w:textAlignment w:val="auto"/>
        <w:outlineLvl w:val="9"/>
        <w:rPr>
          <w:rFonts w:hint="eastAsia" w:ascii="宋体" w:hAnsi="宋体" w:eastAsia="宋体" w:cs="宋体"/>
          <w:b/>
          <w:bCs/>
          <w:color w:val="auto"/>
          <w:sz w:val="36"/>
          <w:szCs w:val="36"/>
        </w:rPr>
      </w:pPr>
      <w:r>
        <w:rPr>
          <w:rFonts w:hint="eastAsia" w:ascii="宋体" w:hAnsi="宋体" w:eastAsia="宋体" w:cs="宋体"/>
          <w:b/>
          <w:bCs/>
          <w:color w:val="auto"/>
          <w:sz w:val="36"/>
          <w:szCs w:val="36"/>
        </w:rPr>
        <w:t>政府采购合同协议书</w:t>
      </w:r>
    </w:p>
    <w:p w14:paraId="6A7E81A6">
      <w:pPr>
        <w:pStyle w:val="28"/>
        <w:numPr>
          <w:ilvl w:val="0"/>
          <w:numId w:val="0"/>
        </w:numPr>
        <w:jc w:val="center"/>
        <w:rPr>
          <w:rFonts w:hint="eastAsia" w:eastAsiaTheme="minorEastAsia"/>
          <w:lang w:eastAsia="zh-CN"/>
        </w:rPr>
      </w:pPr>
      <w:r>
        <w:rPr>
          <w:rFonts w:hint="eastAsia"/>
          <w:lang w:eastAsia="zh-CN"/>
        </w:rPr>
        <w:t>（</w:t>
      </w:r>
      <w:r>
        <w:rPr>
          <w:rFonts w:hint="eastAsia"/>
          <w:lang w:val="en-US" w:eastAsia="zh-CN"/>
        </w:rPr>
        <w:t>合同模板仅供参考，最终以实际签订合同为准</w:t>
      </w:r>
      <w:r>
        <w:rPr>
          <w:rFonts w:hint="eastAsia"/>
          <w:lang w:eastAsia="zh-CN"/>
        </w:rPr>
        <w:t>）</w:t>
      </w:r>
    </w:p>
    <w:p w14:paraId="6B606567">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甲方（全称）：</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rPr>
        <w:t>（采购人）</w:t>
      </w:r>
    </w:p>
    <w:p w14:paraId="70A96A72">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乙方（全称）：</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（供应商）</w:t>
      </w:r>
    </w:p>
    <w:p w14:paraId="5F428AF2">
      <w:pPr>
        <w:pStyle w:val="15"/>
        <w:keepNext w:val="0"/>
        <w:keepLines w:val="0"/>
        <w:pageBreakBefore w:val="0"/>
        <w:kinsoku/>
        <w:wordWrap/>
        <w:overflowPunct/>
        <w:topLinePunct w:val="0"/>
        <w:bidi w:val="0"/>
        <w:adjustRightInd w:val="0"/>
        <w:snapToGrid w:val="0"/>
        <w:spacing w:before="0" w:beforeLines="0" w:after="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依据《中华人民共和国民法典》</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rPr>
        <w:t>《中华人民共和国政府采购法》等有关的法律法规，以及</w:t>
      </w:r>
      <w:r>
        <w:rPr>
          <w:rFonts w:hint="eastAsia" w:ascii="新宋体" w:hAnsi="新宋体" w:eastAsia="新宋体" w:cs="新宋体"/>
          <w:i w:val="0"/>
          <w:iCs w:val="0"/>
          <w:color w:val="auto"/>
          <w:sz w:val="21"/>
          <w:szCs w:val="21"/>
          <w:u w:val="none"/>
          <w:lang w:eastAsia="zh-CN"/>
        </w:rPr>
        <w:t>本采购项目</w:t>
      </w:r>
      <w:r>
        <w:rPr>
          <w:rFonts w:hint="eastAsia" w:ascii="新宋体" w:hAnsi="新宋体" w:eastAsia="新宋体" w:cs="新宋体"/>
          <w:color w:val="auto"/>
          <w:sz w:val="21"/>
          <w:szCs w:val="21"/>
        </w:rPr>
        <w:t>的采购文件</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rPr>
        <w:t xml:space="preserve">乙方的《投标文件》及《中标通知书》，甲乙双方同意签订本合同。具体情况及要求如下：     </w:t>
      </w:r>
    </w:p>
    <w:p w14:paraId="6BB6520C">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2" w:firstLineChars="200"/>
        <w:textAlignment w:val="auto"/>
        <w:outlineLvl w:val="9"/>
        <w:rPr>
          <w:rFonts w:hint="eastAsia" w:ascii="新宋体" w:hAnsi="新宋体" w:eastAsia="新宋体" w:cs="新宋体"/>
          <w:b/>
          <w:color w:val="auto"/>
          <w:sz w:val="21"/>
          <w:szCs w:val="21"/>
        </w:rPr>
      </w:pPr>
      <w:r>
        <w:rPr>
          <w:rFonts w:hint="eastAsia" w:ascii="新宋体" w:hAnsi="新宋体" w:eastAsia="新宋体" w:cs="新宋体"/>
          <w:b/>
          <w:snapToGrid w:val="0"/>
          <w:color w:val="auto"/>
          <w:kern w:val="0"/>
          <w:sz w:val="21"/>
          <w:szCs w:val="21"/>
          <w:lang w:val="en-US" w:eastAsia="en-US" w:bidi="ar-SA"/>
        </w:rPr>
        <w:t>1.</w:t>
      </w:r>
      <w:r>
        <w:rPr>
          <w:rFonts w:hint="eastAsia" w:ascii="新宋体" w:hAnsi="新宋体" w:eastAsia="新宋体" w:cs="新宋体"/>
          <w:b/>
          <w:color w:val="auto"/>
          <w:sz w:val="21"/>
          <w:szCs w:val="21"/>
        </w:rPr>
        <w:t>项目信息</w:t>
      </w:r>
    </w:p>
    <w:p w14:paraId="2BDCB213">
      <w:pPr>
        <w:pStyle w:val="15"/>
        <w:keepNext w:val="0"/>
        <w:keepLines w:val="0"/>
        <w:pageBreakBefore w:val="0"/>
        <w:numPr>
          <w:ilvl w:val="0"/>
          <w:numId w:val="5"/>
        </w:numPr>
        <w:kinsoku/>
        <w:wordWrap/>
        <w:overflowPunct/>
        <w:topLinePunct w:val="0"/>
        <w:bidi w:val="0"/>
        <w:adjustRightInd w:val="0"/>
        <w:snapToGrid w:val="0"/>
        <w:spacing w:before="0" w:beforeLines="0" w:after="0" w:line="400" w:lineRule="exact"/>
        <w:ind w:left="0" w:leftChars="0" w:firstLine="420" w:firstLineChars="200"/>
        <w:textAlignment w:val="auto"/>
        <w:outlineLvl w:val="9"/>
        <w:rPr>
          <w:rFonts w:hint="eastAsia" w:ascii="新宋体" w:hAnsi="新宋体" w:eastAsia="新宋体" w:cs="新宋体"/>
          <w:color w:val="auto"/>
          <w:sz w:val="21"/>
          <w:szCs w:val="21"/>
          <w:u w:val="none"/>
          <w:lang w:val="en-US" w:eastAsia="zh-CN"/>
        </w:rPr>
      </w:pPr>
      <w:r>
        <w:rPr>
          <w:rFonts w:hint="eastAsia" w:ascii="新宋体" w:hAnsi="新宋体" w:eastAsia="新宋体" w:cs="新宋体"/>
          <w:color w:val="auto"/>
          <w:sz w:val="21"/>
          <w:szCs w:val="21"/>
        </w:rPr>
        <w:t>采购项目名称：</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 xml:space="preserve"> </w:t>
      </w:r>
    </w:p>
    <w:p w14:paraId="1E9697FA">
      <w:pPr>
        <w:pStyle w:val="15"/>
        <w:keepNext w:val="0"/>
        <w:keepLines w:val="0"/>
        <w:pageBreakBefore w:val="0"/>
        <w:kinsoku/>
        <w:wordWrap/>
        <w:overflowPunct/>
        <w:topLinePunct w:val="0"/>
        <w:bidi w:val="0"/>
        <w:adjustRightInd w:val="0"/>
        <w:snapToGrid w:val="0"/>
        <w:spacing w:before="0" w:beforeLines="0" w:after="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（2）采购计划编号：</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 xml:space="preserve">  </w:t>
      </w:r>
    </w:p>
    <w:p w14:paraId="7B05E239">
      <w:pPr>
        <w:keepNext w:val="0"/>
        <w:keepLines w:val="0"/>
        <w:pageBreakBefore w:val="0"/>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（3）项目内容：</w:t>
      </w:r>
    </w:p>
    <w:p w14:paraId="225C1788">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lang w:eastAsia="zh-CN"/>
        </w:rPr>
        <w:t>采购标的及数量</w:t>
      </w:r>
      <w:r>
        <w:rPr>
          <w:rFonts w:hint="eastAsia" w:ascii="新宋体" w:hAnsi="新宋体" w:eastAsia="新宋体" w:cs="新宋体"/>
          <w:color w:val="auto"/>
          <w:sz w:val="21"/>
          <w:szCs w:val="21"/>
          <w:lang w:val="en-US" w:eastAsia="zh-CN"/>
        </w:rPr>
        <w:t>（台/套</w:t>
      </w:r>
      <w:r>
        <w:rPr>
          <w:rFonts w:hint="eastAsia" w:ascii="新宋体" w:hAnsi="新宋体" w:eastAsia="新宋体" w:cs="新宋体"/>
          <w:color w:val="auto"/>
          <w:sz w:val="21"/>
          <w:szCs w:val="21"/>
          <w:lang w:val="en" w:eastAsia="zh-CN"/>
        </w:rPr>
        <w:t>/个/架/组等</w:t>
      </w:r>
      <w:r>
        <w:rPr>
          <w:rFonts w:hint="eastAsia" w:ascii="新宋体" w:hAnsi="新宋体" w:eastAsia="新宋体" w:cs="新宋体"/>
          <w:color w:val="auto"/>
          <w:sz w:val="21"/>
          <w:szCs w:val="21"/>
          <w:lang w:val="en-US" w:eastAsia="zh-CN"/>
        </w:rPr>
        <w:t>）</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lang w:val="en-US" w:eastAsia="zh-CN"/>
        </w:rPr>
        <w:t xml:space="preserve"> </w:t>
      </w:r>
    </w:p>
    <w:p w14:paraId="4CC89962">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lang w:val="en" w:eastAsia="zh-CN"/>
        </w:rPr>
      </w:pPr>
      <w:r>
        <w:rPr>
          <w:rFonts w:hint="eastAsia" w:ascii="新宋体" w:hAnsi="新宋体" w:eastAsia="新宋体" w:cs="新宋体"/>
          <w:color w:val="auto"/>
          <w:sz w:val="21"/>
          <w:szCs w:val="21"/>
          <w:highlight w:val="none"/>
          <w:u w:val="none"/>
          <w:lang w:val="en-US" w:eastAsia="zh-CN"/>
        </w:rPr>
        <w:t xml:space="preserve">     </w:t>
      </w:r>
      <w:r>
        <w:rPr>
          <w:rFonts w:hint="eastAsia" w:ascii="新宋体" w:hAnsi="新宋体" w:eastAsia="新宋体" w:cs="新宋体"/>
          <w:color w:val="auto"/>
          <w:sz w:val="21"/>
          <w:szCs w:val="21"/>
          <w:lang w:val="en-US" w:eastAsia="zh-CN"/>
        </w:rPr>
        <w:t>品牌：</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lang w:val="en" w:eastAsia="zh-CN"/>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lang w:val="en" w:eastAsia="zh-CN"/>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none"/>
          <w:lang w:val="en" w:eastAsia="zh-CN"/>
        </w:rPr>
        <w:t xml:space="preserve">     </w:t>
      </w:r>
      <w:r>
        <w:rPr>
          <w:rFonts w:hint="eastAsia" w:ascii="新宋体" w:hAnsi="新宋体" w:eastAsia="新宋体" w:cs="新宋体"/>
          <w:color w:val="auto"/>
          <w:sz w:val="21"/>
          <w:szCs w:val="21"/>
          <w:lang w:val="en-US" w:eastAsia="zh-CN"/>
        </w:rPr>
        <w:t>规格型号：</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lang w:val="en" w:eastAsia="zh-CN"/>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lang w:val="en" w:eastAsia="zh-CN"/>
        </w:rPr>
        <w:t xml:space="preserve">   </w:t>
      </w:r>
    </w:p>
    <w:p w14:paraId="34791066">
      <w:pPr>
        <w:keepNext w:val="0"/>
        <w:keepLines w:val="0"/>
        <w:pageBreakBefore w:val="0"/>
        <w:kinsoku/>
        <w:wordWrap/>
        <w:overflowPunct/>
        <w:topLinePunct w:val="0"/>
        <w:bidi w:val="0"/>
        <w:adjustRightInd w:val="0"/>
        <w:snapToGrid w:val="0"/>
        <w:spacing w:before="0" w:beforeLines="0" w:line="400" w:lineRule="exact"/>
        <w:ind w:left="0" w:leftChars="0" w:firstLine="945" w:firstLineChars="450"/>
        <w:textAlignment w:val="auto"/>
        <w:outlineLvl w:val="9"/>
        <w:rPr>
          <w:rFonts w:hint="eastAsia" w:ascii="新宋体" w:hAnsi="新宋体" w:eastAsia="新宋体" w:cs="新宋体"/>
          <w:color w:val="auto"/>
          <w:sz w:val="21"/>
          <w:szCs w:val="21"/>
          <w:highlight w:val="none"/>
          <w:u w:val="single"/>
        </w:rPr>
      </w:pPr>
      <w:r>
        <w:rPr>
          <w:rFonts w:hint="eastAsia" w:ascii="新宋体" w:hAnsi="新宋体" w:eastAsia="新宋体" w:cs="新宋体"/>
          <w:color w:val="auto"/>
          <w:sz w:val="21"/>
          <w:szCs w:val="21"/>
          <w:highlight w:val="none"/>
          <w:u w:val="none"/>
          <w:lang w:val="en-US" w:eastAsia="zh-CN"/>
        </w:rPr>
        <w:t>配置清单详见附件。</w:t>
      </w:r>
    </w:p>
    <w:p w14:paraId="11FDE37C">
      <w:pPr>
        <w:pStyle w:val="86"/>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iCs w:val="0"/>
          <w:color w:val="auto"/>
          <w:sz w:val="21"/>
          <w:szCs w:val="21"/>
          <w:lang w:val="en-US" w:eastAsia="zh-CN"/>
        </w:rPr>
      </w:pPr>
      <w:r>
        <w:rPr>
          <w:rFonts w:hint="eastAsia" w:ascii="新宋体" w:hAnsi="新宋体" w:eastAsia="新宋体" w:cs="新宋体"/>
          <w:iCs w:val="0"/>
          <w:color w:val="auto"/>
          <w:sz w:val="21"/>
          <w:szCs w:val="21"/>
          <w:lang w:val="en-US" w:eastAsia="zh-CN"/>
        </w:rPr>
        <w:t>（</w:t>
      </w:r>
      <w:r>
        <w:rPr>
          <w:rFonts w:hint="eastAsia" w:ascii="新宋体" w:hAnsi="新宋体" w:eastAsia="新宋体" w:cs="新宋体"/>
          <w:iCs w:val="0"/>
          <w:color w:val="auto"/>
          <w:sz w:val="21"/>
          <w:szCs w:val="21"/>
          <w:lang w:val="en" w:eastAsia="zh-CN"/>
        </w:rPr>
        <w:t>4</w:t>
      </w:r>
      <w:r>
        <w:rPr>
          <w:rFonts w:hint="eastAsia" w:ascii="新宋体" w:hAnsi="新宋体" w:eastAsia="新宋体" w:cs="新宋体"/>
          <w:iCs w:val="0"/>
          <w:color w:val="auto"/>
          <w:sz w:val="21"/>
          <w:szCs w:val="21"/>
          <w:lang w:val="en-US" w:eastAsia="zh-CN"/>
        </w:rPr>
        <w:t>）政府采购组织形式：</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政府集中采购</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val="en-US" w:eastAsia="zh-CN"/>
        </w:rPr>
        <w:t xml:space="preserve">部门集中采购  </w:t>
      </w:r>
      <w:r>
        <w:rPr>
          <w:rFonts w:hint="eastAsia" w:ascii="新宋体" w:hAnsi="新宋体" w:eastAsia="新宋体" w:cs="新宋体"/>
          <w:iCs w:val="0"/>
          <w:color w:val="auto"/>
          <w:sz w:val="21"/>
          <w:szCs w:val="21"/>
        </w:rPr>
        <w:sym w:font="Wingdings" w:char="00FE"/>
      </w:r>
      <w:r>
        <w:rPr>
          <w:rFonts w:hint="eastAsia" w:ascii="新宋体" w:hAnsi="新宋体" w:eastAsia="新宋体" w:cs="新宋体"/>
          <w:iCs w:val="0"/>
          <w:color w:val="auto"/>
          <w:sz w:val="21"/>
          <w:szCs w:val="21"/>
          <w:lang w:val="en-US" w:eastAsia="zh-CN"/>
        </w:rPr>
        <w:t>分散采购</w:t>
      </w:r>
    </w:p>
    <w:p w14:paraId="2130228C">
      <w:pPr>
        <w:pStyle w:val="86"/>
        <w:keepNext w:val="0"/>
        <w:keepLines w:val="0"/>
        <w:pageBreakBefore w:val="0"/>
        <w:numPr>
          <w:ilvl w:val="0"/>
          <w:numId w:val="0"/>
        </w:numPr>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iCs w:val="0"/>
          <w:color w:val="auto"/>
          <w:sz w:val="21"/>
          <w:szCs w:val="21"/>
          <w:lang w:eastAsia="zh-CN"/>
        </w:rPr>
      </w:pPr>
      <w:r>
        <w:rPr>
          <w:rFonts w:hint="eastAsia" w:ascii="新宋体" w:hAnsi="新宋体" w:eastAsia="新宋体" w:cs="新宋体"/>
          <w:iCs w:val="0"/>
          <w:color w:val="auto"/>
          <w:sz w:val="21"/>
          <w:szCs w:val="21"/>
          <w:lang w:val="en-US" w:eastAsia="zh-CN"/>
        </w:rPr>
        <w:t>（</w:t>
      </w:r>
      <w:r>
        <w:rPr>
          <w:rFonts w:hint="eastAsia" w:ascii="新宋体" w:hAnsi="新宋体" w:eastAsia="新宋体" w:cs="新宋体"/>
          <w:iCs w:val="0"/>
          <w:color w:val="auto"/>
          <w:sz w:val="21"/>
          <w:szCs w:val="21"/>
          <w:lang w:val="en" w:eastAsia="zh-CN"/>
        </w:rPr>
        <w:t>5</w:t>
      </w:r>
      <w:r>
        <w:rPr>
          <w:rFonts w:hint="eastAsia" w:ascii="新宋体" w:hAnsi="新宋体" w:eastAsia="新宋体" w:cs="新宋体"/>
          <w:iCs w:val="0"/>
          <w:color w:val="auto"/>
          <w:sz w:val="21"/>
          <w:szCs w:val="21"/>
          <w:lang w:val="en-US" w:eastAsia="zh-CN"/>
        </w:rPr>
        <w:t>）政府采购方式：</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公开招标</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邀请招标</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竞争性谈判</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FE"/>
      </w:r>
      <w:r>
        <w:rPr>
          <w:rFonts w:hint="eastAsia" w:ascii="新宋体" w:hAnsi="新宋体" w:eastAsia="新宋体" w:cs="新宋体"/>
          <w:iCs w:val="0"/>
          <w:color w:val="auto"/>
          <w:sz w:val="21"/>
          <w:szCs w:val="21"/>
          <w:lang w:eastAsia="zh-CN"/>
        </w:rPr>
        <w:t>竞争性磋商</w:t>
      </w:r>
    </w:p>
    <w:p w14:paraId="6B2407A8">
      <w:pPr>
        <w:pStyle w:val="86"/>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0" w:firstLineChars="0"/>
        <w:textAlignment w:val="auto"/>
        <w:outlineLvl w:val="9"/>
        <w:rPr>
          <w:rFonts w:hint="eastAsia" w:ascii="新宋体" w:hAnsi="新宋体" w:eastAsia="新宋体" w:cs="新宋体"/>
          <w:iCs w:val="0"/>
          <w:color w:val="auto"/>
          <w:sz w:val="21"/>
          <w:szCs w:val="21"/>
          <w:u w:val="single"/>
          <w:lang w:val="en-US" w:eastAsia="zh-CN"/>
        </w:rPr>
      </w:pPr>
      <w:r>
        <w:rPr>
          <w:rFonts w:hint="eastAsia" w:ascii="新宋体" w:hAnsi="新宋体" w:eastAsia="新宋体" w:cs="新宋体"/>
          <w:color w:val="auto"/>
          <w:sz w:val="21"/>
          <w:szCs w:val="21"/>
          <w:u w:val="none"/>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询价</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单一来源</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框架协议</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其他：</w:t>
      </w:r>
      <w:r>
        <w:rPr>
          <w:rFonts w:hint="eastAsia" w:ascii="新宋体" w:hAnsi="新宋体" w:eastAsia="新宋体" w:cs="新宋体"/>
          <w:iCs w:val="0"/>
          <w:color w:val="auto"/>
          <w:sz w:val="21"/>
          <w:szCs w:val="21"/>
          <w:u w:val="single"/>
          <w:lang w:val="en-US" w:eastAsia="zh-CN"/>
        </w:rPr>
        <w:t xml:space="preserve">          </w:t>
      </w:r>
    </w:p>
    <w:p w14:paraId="3F6016E0">
      <w:pPr>
        <w:pStyle w:val="86"/>
        <w:keepNext w:val="0"/>
        <w:keepLines w:val="0"/>
        <w:pageBreakBefore w:val="0"/>
        <w:numPr>
          <w:ilvl w:val="0"/>
          <w:numId w:val="0"/>
        </w:numPr>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color w:val="auto"/>
          <w:w w:val="100"/>
          <w:kern w:val="2"/>
          <w:sz w:val="21"/>
          <w:szCs w:val="21"/>
          <w:lang w:val="en-US" w:eastAsia="zh-CN" w:bidi="ar-SA"/>
        </w:rPr>
      </w:pPr>
      <w:r>
        <w:rPr>
          <w:rFonts w:hint="eastAsia" w:ascii="新宋体" w:hAnsi="新宋体" w:eastAsia="新宋体" w:cs="新宋体"/>
          <w:color w:val="auto"/>
          <w:sz w:val="21"/>
          <w:szCs w:val="21"/>
          <w:lang w:val="en-US" w:eastAsia="zh-CN"/>
        </w:rPr>
        <w:t>（</w:t>
      </w:r>
      <w:r>
        <w:rPr>
          <w:rFonts w:hint="eastAsia" w:ascii="新宋体" w:hAnsi="新宋体" w:eastAsia="新宋体" w:cs="新宋体"/>
          <w:color w:val="auto"/>
          <w:sz w:val="21"/>
          <w:szCs w:val="21"/>
          <w:lang w:val="en" w:eastAsia="zh-CN"/>
        </w:rPr>
        <w:t>6</w:t>
      </w:r>
      <w:r>
        <w:rPr>
          <w:rFonts w:hint="eastAsia" w:ascii="新宋体" w:hAnsi="新宋体" w:eastAsia="新宋体" w:cs="新宋体"/>
          <w:color w:val="auto"/>
          <w:sz w:val="21"/>
          <w:szCs w:val="21"/>
          <w:lang w:val="en-US" w:eastAsia="zh-CN"/>
        </w:rPr>
        <w:t>）</w:t>
      </w:r>
      <w:r>
        <w:rPr>
          <w:rFonts w:hint="eastAsia" w:ascii="新宋体" w:hAnsi="新宋体" w:eastAsia="新宋体" w:cs="新宋体"/>
          <w:color w:val="auto"/>
          <w:w w:val="100"/>
          <w:kern w:val="2"/>
          <w:sz w:val="21"/>
          <w:szCs w:val="21"/>
          <w:lang w:val="en-US" w:eastAsia="zh-CN" w:bidi="ar-SA"/>
        </w:rPr>
        <w:t>中标（成交）采购标的制造商是否为中小企业：</w:t>
      </w:r>
      <w:r>
        <w:rPr>
          <w:rFonts w:hint="eastAsia" w:ascii="新宋体" w:hAnsi="新宋体" w:eastAsia="新宋体" w:cs="新宋体"/>
          <w:color w:val="auto"/>
          <w:w w:val="100"/>
          <w:kern w:val="2"/>
          <w:sz w:val="21"/>
          <w:szCs w:val="21"/>
          <w:lang w:val="en-US" w:eastAsia="zh-CN" w:bidi="ar-SA"/>
        </w:rPr>
        <w:sym w:font="Wingdings" w:char="00A8"/>
      </w:r>
      <w:r>
        <w:rPr>
          <w:rFonts w:hint="eastAsia" w:ascii="新宋体" w:hAnsi="新宋体" w:eastAsia="新宋体" w:cs="新宋体"/>
          <w:color w:val="auto"/>
          <w:w w:val="100"/>
          <w:kern w:val="2"/>
          <w:sz w:val="21"/>
          <w:szCs w:val="21"/>
          <w:lang w:val="en-US" w:eastAsia="zh-CN" w:bidi="ar-SA"/>
        </w:rPr>
        <w:t xml:space="preserve">是      </w:t>
      </w:r>
      <w:r>
        <w:rPr>
          <w:rFonts w:hint="eastAsia" w:ascii="新宋体" w:hAnsi="新宋体" w:eastAsia="新宋体" w:cs="新宋体"/>
          <w:color w:val="auto"/>
          <w:w w:val="100"/>
          <w:kern w:val="2"/>
          <w:sz w:val="21"/>
          <w:szCs w:val="21"/>
          <w:lang w:val="en-US" w:eastAsia="zh-CN" w:bidi="ar-SA"/>
        </w:rPr>
        <w:sym w:font="Wingdings" w:char="00A8"/>
      </w:r>
      <w:r>
        <w:rPr>
          <w:rFonts w:hint="eastAsia" w:ascii="新宋体" w:hAnsi="新宋体" w:eastAsia="新宋体" w:cs="新宋体"/>
          <w:color w:val="auto"/>
          <w:w w:val="100"/>
          <w:kern w:val="2"/>
          <w:sz w:val="21"/>
          <w:szCs w:val="21"/>
          <w:lang w:val="en-US" w:eastAsia="zh-CN" w:bidi="ar-SA"/>
        </w:rPr>
        <w:t>否</w:t>
      </w:r>
    </w:p>
    <w:p w14:paraId="60D5D662">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rPr>
      </w:pPr>
      <w:r>
        <w:rPr>
          <w:rFonts w:hint="eastAsia" w:ascii="新宋体" w:hAnsi="新宋体" w:eastAsia="新宋体" w:cs="新宋体"/>
          <w:color w:val="auto"/>
          <w:w w:val="100"/>
          <w:sz w:val="21"/>
          <w:szCs w:val="21"/>
          <w:lang w:val="en-US" w:eastAsia="zh-CN"/>
        </w:rPr>
        <w:t xml:space="preserve">    本合同</w:t>
      </w:r>
      <w:r>
        <w:rPr>
          <w:rFonts w:hint="eastAsia" w:ascii="新宋体" w:hAnsi="新宋体" w:eastAsia="新宋体" w:cs="新宋体"/>
          <w:color w:val="auto"/>
          <w:w w:val="100"/>
          <w:sz w:val="21"/>
          <w:szCs w:val="21"/>
        </w:rPr>
        <w:t>是否</w:t>
      </w:r>
      <w:r>
        <w:rPr>
          <w:rFonts w:hint="eastAsia" w:ascii="新宋体" w:hAnsi="新宋体" w:eastAsia="新宋体" w:cs="新宋体"/>
          <w:color w:val="auto"/>
          <w:w w:val="100"/>
          <w:sz w:val="21"/>
          <w:szCs w:val="21"/>
          <w:lang w:eastAsia="zh-CN"/>
        </w:rPr>
        <w:t>为专门面向</w:t>
      </w:r>
      <w:r>
        <w:rPr>
          <w:rFonts w:hint="eastAsia" w:ascii="新宋体" w:hAnsi="新宋体" w:eastAsia="新宋体" w:cs="新宋体"/>
          <w:color w:val="auto"/>
          <w:w w:val="100"/>
          <w:sz w:val="21"/>
          <w:szCs w:val="21"/>
        </w:rPr>
        <w:t>中小企业</w:t>
      </w:r>
      <w:r>
        <w:rPr>
          <w:rFonts w:hint="eastAsia" w:ascii="新宋体" w:hAnsi="新宋体" w:eastAsia="新宋体" w:cs="新宋体"/>
          <w:color w:val="auto"/>
          <w:w w:val="100"/>
          <w:sz w:val="21"/>
          <w:szCs w:val="21"/>
          <w:lang w:eastAsia="zh-CN"/>
        </w:rPr>
        <w:t>的采</w:t>
      </w:r>
      <w:r>
        <w:rPr>
          <w:rFonts w:hint="eastAsia" w:ascii="新宋体" w:hAnsi="新宋体" w:eastAsia="新宋体" w:cs="新宋体"/>
          <w:color w:val="auto"/>
          <w:w w:val="100"/>
          <w:sz w:val="21"/>
          <w:szCs w:val="21"/>
          <w:shd w:val="clear" w:color="auto" w:fill="auto"/>
          <w:lang w:eastAsia="zh-CN"/>
        </w:rPr>
        <w:t>购</w:t>
      </w:r>
      <w:r>
        <w:rPr>
          <w:rFonts w:hint="eastAsia" w:ascii="新宋体" w:hAnsi="新宋体" w:eastAsia="新宋体" w:cs="新宋体"/>
          <w:color w:val="auto"/>
          <w:w w:val="100"/>
          <w:sz w:val="21"/>
          <w:szCs w:val="21"/>
          <w:shd w:val="clear" w:color="auto" w:fill="auto"/>
        </w:rPr>
        <w:t>合同</w:t>
      </w:r>
      <w:r>
        <w:rPr>
          <w:rFonts w:hint="eastAsia" w:ascii="新宋体" w:hAnsi="新宋体" w:eastAsia="新宋体" w:cs="新宋体"/>
          <w:color w:val="auto"/>
          <w:w w:val="100"/>
          <w:sz w:val="21"/>
          <w:szCs w:val="21"/>
          <w:shd w:val="clear" w:color="auto" w:fill="auto"/>
          <w:lang w:eastAsia="zh-CN"/>
        </w:rPr>
        <w:t>（中小企业预留合同）</w:t>
      </w:r>
      <w:r>
        <w:rPr>
          <w:rFonts w:hint="eastAsia" w:ascii="新宋体" w:hAnsi="新宋体" w:eastAsia="新宋体" w:cs="新宋体"/>
          <w:color w:val="auto"/>
          <w:sz w:val="21"/>
          <w:szCs w:val="21"/>
          <w:shd w:val="clear" w:color="auto" w:fill="auto"/>
        </w:rPr>
        <w:t>：</w:t>
      </w:r>
      <w:r>
        <w:rPr>
          <w:rFonts w:hint="eastAsia" w:ascii="新宋体" w:hAnsi="新宋体" w:eastAsia="新宋体" w:cs="新宋体"/>
          <w:iCs/>
          <w:color w:val="auto"/>
          <w:sz w:val="21"/>
          <w:szCs w:val="21"/>
        </w:rPr>
        <w:sym w:font="Wingdings" w:char="00FE"/>
      </w:r>
      <w:r>
        <w:rPr>
          <w:rFonts w:hint="eastAsia" w:ascii="新宋体" w:hAnsi="新宋体" w:eastAsia="新宋体" w:cs="新宋体"/>
          <w:iCs/>
          <w:color w:val="auto"/>
          <w:sz w:val="21"/>
          <w:szCs w:val="21"/>
        </w:rPr>
        <w:t xml:space="preserve">是 </w:t>
      </w: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否</w:t>
      </w:r>
    </w:p>
    <w:p w14:paraId="69E8D697">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rPr>
      </w:pPr>
      <w:r>
        <w:rPr>
          <w:rFonts w:hint="eastAsia" w:ascii="新宋体" w:hAnsi="新宋体" w:eastAsia="新宋体" w:cs="新宋体"/>
          <w:color w:val="auto"/>
          <w:sz w:val="21"/>
          <w:szCs w:val="21"/>
          <w:lang w:val="en-US" w:eastAsia="zh-CN"/>
        </w:rPr>
        <w:t xml:space="preserve">    若本项目不专门面向中小企业采购，是否给予小微企业评审优惠：</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 xml:space="preserve">是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否</w:t>
      </w:r>
    </w:p>
    <w:p w14:paraId="6DBB7FFE">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rPr>
      </w:pPr>
      <w:r>
        <w:rPr>
          <w:rFonts w:hint="eastAsia" w:ascii="新宋体" w:hAnsi="新宋体" w:eastAsia="新宋体" w:cs="新宋体"/>
          <w:color w:val="auto"/>
          <w:sz w:val="21"/>
          <w:szCs w:val="21"/>
          <w:lang w:val="en-US" w:eastAsia="zh-CN"/>
        </w:rPr>
        <w:t xml:space="preserve">    中标（成交）采购标的制造商是否为残疾人福利性单位：</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 xml:space="preserve">是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否</w:t>
      </w:r>
    </w:p>
    <w:p w14:paraId="47D7FA00">
      <w:pPr>
        <w:keepNext w:val="0"/>
        <w:keepLines w:val="0"/>
        <w:pageBreakBefore w:val="0"/>
        <w:numPr>
          <w:ilvl w:val="0"/>
          <w:numId w:val="0"/>
        </w:numPr>
        <w:kinsoku/>
        <w:wordWrap/>
        <w:overflowPunct/>
        <w:topLinePunct w:val="0"/>
        <w:bidi w:val="0"/>
        <w:adjustRightInd w:val="0"/>
        <w:snapToGrid w:val="0"/>
        <w:spacing w:beforeLines="0" w:line="400" w:lineRule="exact"/>
        <w:ind w:left="0" w:leftChars="0" w:firstLine="0" w:firstLineChars="0"/>
        <w:textAlignment w:val="auto"/>
        <w:outlineLvl w:val="9"/>
        <w:rPr>
          <w:rFonts w:hint="eastAsia"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 xml:space="preserve">    中标（成交）采购标的制造商是否为监狱企业：</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 xml:space="preserve">是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否</w:t>
      </w:r>
    </w:p>
    <w:p w14:paraId="1AD51885">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u w:val="none"/>
          <w:lang w:val="en-US" w:eastAsia="zh-CN"/>
        </w:rPr>
      </w:pPr>
      <w:r>
        <w:rPr>
          <w:rFonts w:hint="eastAsia" w:ascii="新宋体" w:hAnsi="新宋体" w:eastAsia="新宋体" w:cs="新宋体"/>
          <w:color w:val="auto"/>
          <w:sz w:val="21"/>
          <w:szCs w:val="21"/>
        </w:rPr>
        <w:t>（</w:t>
      </w:r>
      <w:r>
        <w:rPr>
          <w:rFonts w:hint="eastAsia" w:ascii="新宋体" w:hAnsi="新宋体" w:eastAsia="新宋体" w:cs="新宋体"/>
          <w:color w:val="auto"/>
          <w:sz w:val="21"/>
          <w:szCs w:val="21"/>
          <w:lang w:val="en" w:eastAsia="zh-CN"/>
        </w:rPr>
        <w:t>7</w:t>
      </w:r>
      <w:r>
        <w:rPr>
          <w:rFonts w:hint="eastAsia" w:ascii="新宋体" w:hAnsi="新宋体" w:eastAsia="新宋体" w:cs="新宋体"/>
          <w:color w:val="auto"/>
          <w:sz w:val="21"/>
          <w:szCs w:val="21"/>
        </w:rPr>
        <w:t>）合同是否分包：</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 xml:space="preserve">是       </w:t>
      </w:r>
      <w:r>
        <w:rPr>
          <w:rFonts w:hint="eastAsia" w:ascii="新宋体" w:hAnsi="新宋体" w:eastAsia="新宋体" w:cs="新宋体"/>
          <w:iCs/>
          <w:color w:val="auto"/>
          <w:sz w:val="21"/>
          <w:szCs w:val="21"/>
        </w:rPr>
        <w:sym w:font="Wingdings" w:char="00FE"/>
      </w:r>
      <w:r>
        <w:rPr>
          <w:rFonts w:hint="eastAsia" w:ascii="新宋体" w:hAnsi="新宋体" w:eastAsia="新宋体" w:cs="新宋体"/>
          <w:iCs/>
          <w:color w:val="auto"/>
          <w:sz w:val="21"/>
          <w:szCs w:val="21"/>
        </w:rPr>
        <w:t>否</w:t>
      </w:r>
    </w:p>
    <w:p w14:paraId="02033B12">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highlight w:val="none"/>
        </w:rPr>
      </w:pPr>
      <w:r>
        <w:rPr>
          <w:rFonts w:hint="eastAsia" w:ascii="新宋体" w:hAnsi="新宋体" w:eastAsia="新宋体" w:cs="新宋体"/>
          <w:color w:val="auto"/>
          <w:sz w:val="21"/>
          <w:szCs w:val="21"/>
          <w:highlight w:val="none"/>
          <w:u w:val="none"/>
          <w:lang w:val="en-US" w:eastAsia="zh-CN"/>
        </w:rPr>
        <w:t xml:space="preserve">    （</w:t>
      </w:r>
      <w:r>
        <w:rPr>
          <w:rFonts w:hint="eastAsia" w:ascii="新宋体" w:hAnsi="新宋体" w:eastAsia="新宋体" w:cs="新宋体"/>
          <w:color w:val="auto"/>
          <w:sz w:val="21"/>
          <w:szCs w:val="21"/>
          <w:highlight w:val="none"/>
          <w:u w:val="none"/>
          <w:lang w:val="en" w:eastAsia="zh-CN"/>
        </w:rPr>
        <w:t>8</w:t>
      </w:r>
      <w:r>
        <w:rPr>
          <w:rFonts w:hint="eastAsia" w:ascii="新宋体" w:hAnsi="新宋体" w:eastAsia="新宋体" w:cs="新宋体"/>
          <w:color w:val="auto"/>
          <w:sz w:val="21"/>
          <w:szCs w:val="21"/>
          <w:highlight w:val="none"/>
          <w:u w:val="none"/>
          <w:lang w:val="en-US" w:eastAsia="zh-CN"/>
        </w:rPr>
        <w:t>）中标（成交）供应商是否为外商投资企业：</w:t>
      </w:r>
      <w:r>
        <w:rPr>
          <w:rFonts w:hint="eastAsia" w:ascii="新宋体" w:hAnsi="新宋体" w:eastAsia="新宋体" w:cs="新宋体"/>
          <w:iCs/>
          <w:color w:val="auto"/>
          <w:sz w:val="21"/>
          <w:szCs w:val="21"/>
          <w:highlight w:val="none"/>
        </w:rPr>
        <w:sym w:font="Wingdings" w:char="00A8"/>
      </w:r>
      <w:r>
        <w:rPr>
          <w:rFonts w:hint="eastAsia" w:ascii="新宋体" w:hAnsi="新宋体" w:eastAsia="新宋体" w:cs="新宋体"/>
          <w:iCs/>
          <w:color w:val="auto"/>
          <w:sz w:val="21"/>
          <w:szCs w:val="21"/>
          <w:highlight w:val="none"/>
        </w:rPr>
        <w:t xml:space="preserve">是       </w:t>
      </w:r>
      <w:r>
        <w:rPr>
          <w:rFonts w:hint="eastAsia" w:ascii="新宋体" w:hAnsi="新宋体" w:eastAsia="新宋体" w:cs="新宋体"/>
          <w:iCs/>
          <w:color w:val="auto"/>
          <w:sz w:val="21"/>
          <w:szCs w:val="21"/>
          <w:highlight w:val="none"/>
        </w:rPr>
        <w:sym w:font="Wingdings" w:char="00A8"/>
      </w:r>
      <w:r>
        <w:rPr>
          <w:rFonts w:hint="eastAsia" w:ascii="新宋体" w:hAnsi="新宋体" w:eastAsia="新宋体" w:cs="新宋体"/>
          <w:iCs/>
          <w:color w:val="auto"/>
          <w:sz w:val="21"/>
          <w:szCs w:val="21"/>
          <w:highlight w:val="none"/>
        </w:rPr>
        <w:t>否</w:t>
      </w:r>
    </w:p>
    <w:p w14:paraId="0D6E1988">
      <w:pPr>
        <w:pStyle w:val="86"/>
        <w:keepNext w:val="0"/>
        <w:keepLines w:val="0"/>
        <w:pageBreakBefore w:val="0"/>
        <w:tabs>
          <w:tab w:val="left" w:pos="1340"/>
        </w:tabs>
        <w:kinsoku/>
        <w:wordWrap/>
        <w:overflowPunct/>
        <w:topLinePunct w:val="0"/>
        <w:bidi w:val="0"/>
        <w:adjustRightInd w:val="0"/>
        <w:spacing w:beforeLines="0" w:line="400" w:lineRule="exact"/>
        <w:ind w:left="0" w:leftChars="0"/>
        <w:textAlignment w:val="auto"/>
        <w:outlineLvl w:val="9"/>
        <w:rPr>
          <w:rFonts w:hint="eastAsia" w:ascii="新宋体" w:hAnsi="新宋体" w:eastAsia="新宋体" w:cs="新宋体"/>
          <w:color w:val="auto"/>
          <w:sz w:val="21"/>
          <w:szCs w:val="21"/>
          <w:highlight w:val="none"/>
          <w:u w:val="single"/>
        </w:rPr>
      </w:pPr>
      <w:r>
        <w:rPr>
          <w:rFonts w:hint="eastAsia" w:ascii="新宋体" w:hAnsi="新宋体" w:eastAsia="新宋体" w:cs="新宋体"/>
          <w:color w:val="auto"/>
          <w:sz w:val="21"/>
          <w:szCs w:val="21"/>
          <w:highlight w:val="none"/>
          <w:u w:val="none"/>
          <w:lang w:val="en-US" w:eastAsia="zh-CN"/>
        </w:rPr>
        <w:t xml:space="preserve">     外商投资企业类型：</w:t>
      </w:r>
      <w:r>
        <w:rPr>
          <w:rFonts w:hint="eastAsia" w:ascii="新宋体" w:hAnsi="新宋体" w:eastAsia="新宋体" w:cs="新宋体"/>
          <w:iCs/>
          <w:color w:val="auto"/>
          <w:sz w:val="21"/>
          <w:szCs w:val="21"/>
          <w:highlight w:val="none"/>
        </w:rPr>
        <w:sym w:font="Wingdings" w:char="00A8"/>
      </w:r>
      <w:r>
        <w:rPr>
          <w:rFonts w:hint="eastAsia" w:ascii="新宋体" w:hAnsi="新宋体" w:eastAsia="新宋体" w:cs="新宋体"/>
          <w:color w:val="auto"/>
          <w:sz w:val="21"/>
          <w:szCs w:val="21"/>
          <w:highlight w:val="none"/>
          <w:u w:val="none"/>
          <w:lang w:val="en-US" w:eastAsia="zh-CN"/>
        </w:rPr>
        <w:t xml:space="preserve">全部由外国投资者投资  </w:t>
      </w:r>
      <w:r>
        <w:rPr>
          <w:rFonts w:hint="eastAsia" w:ascii="新宋体" w:hAnsi="新宋体" w:eastAsia="新宋体" w:cs="新宋体"/>
          <w:iCs/>
          <w:color w:val="auto"/>
          <w:sz w:val="21"/>
          <w:szCs w:val="21"/>
          <w:highlight w:val="none"/>
        </w:rPr>
        <w:sym w:font="Wingdings" w:char="00A8"/>
      </w:r>
      <w:r>
        <w:rPr>
          <w:rFonts w:hint="eastAsia" w:ascii="新宋体" w:hAnsi="新宋体" w:eastAsia="新宋体" w:cs="新宋体"/>
          <w:iCs/>
          <w:color w:val="auto"/>
          <w:sz w:val="21"/>
          <w:szCs w:val="21"/>
          <w:highlight w:val="none"/>
          <w:lang w:val="en-US" w:eastAsia="zh-CN"/>
        </w:rPr>
        <w:t>部分由外国投资者投资</w:t>
      </w:r>
    </w:p>
    <w:p w14:paraId="16497095">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b w:val="0"/>
          <w:bCs w:val="0"/>
          <w:color w:val="auto"/>
          <w:sz w:val="21"/>
          <w:szCs w:val="21"/>
          <w:u w:val="none"/>
          <w:lang w:val="en-US" w:eastAsia="zh-CN"/>
        </w:rPr>
      </w:pPr>
      <w:r>
        <w:rPr>
          <w:rFonts w:hint="eastAsia" w:ascii="新宋体" w:hAnsi="新宋体" w:eastAsia="新宋体" w:cs="新宋体"/>
          <w:b w:val="0"/>
          <w:bCs w:val="0"/>
          <w:color w:val="auto"/>
          <w:sz w:val="21"/>
          <w:szCs w:val="21"/>
          <w:u w:val="none"/>
          <w:lang w:val="en-US" w:eastAsia="zh-CN"/>
        </w:rPr>
        <w:t>（</w:t>
      </w:r>
      <w:r>
        <w:rPr>
          <w:rFonts w:hint="eastAsia" w:ascii="新宋体" w:hAnsi="新宋体" w:eastAsia="新宋体" w:cs="新宋体"/>
          <w:b w:val="0"/>
          <w:bCs w:val="0"/>
          <w:color w:val="auto"/>
          <w:sz w:val="21"/>
          <w:szCs w:val="21"/>
          <w:u w:val="none"/>
          <w:lang w:val="en" w:eastAsia="zh-CN"/>
        </w:rPr>
        <w:t>9</w:t>
      </w:r>
      <w:r>
        <w:rPr>
          <w:rFonts w:hint="eastAsia" w:ascii="新宋体" w:hAnsi="新宋体" w:eastAsia="新宋体" w:cs="新宋体"/>
          <w:b w:val="0"/>
          <w:bCs w:val="0"/>
          <w:color w:val="auto"/>
          <w:sz w:val="21"/>
          <w:szCs w:val="21"/>
          <w:u w:val="none"/>
          <w:lang w:val="en-US" w:eastAsia="zh-CN"/>
        </w:rPr>
        <w:t>）是否涉及进口产品：</w:t>
      </w:r>
    </w:p>
    <w:p w14:paraId="0545B38D">
      <w:pPr>
        <w:keepNext w:val="0"/>
        <w:keepLines w:val="0"/>
        <w:pageBreakBefore w:val="0"/>
        <w:numPr>
          <w:ilvl w:val="0"/>
          <w:numId w:val="0"/>
        </w:numPr>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color w:val="auto"/>
          <w:sz w:val="21"/>
          <w:szCs w:val="21"/>
          <w:u w:val="single"/>
          <w:lang w:val="en-US" w:eastAsia="zh-CN"/>
        </w:rPr>
      </w:pP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rPr>
        <w:t>是</w:t>
      </w:r>
      <w:r>
        <w:rPr>
          <w:rFonts w:hint="eastAsia" w:ascii="新宋体" w:hAnsi="新宋体" w:eastAsia="新宋体" w:cs="新宋体"/>
          <w:iCs w:val="0"/>
          <w:color w:val="auto"/>
          <w:sz w:val="21"/>
          <w:szCs w:val="21"/>
          <w:lang w:eastAsia="zh-CN"/>
        </w:rPr>
        <w:t>，《政府采购品目分类目录》底级品目名称</w:t>
      </w:r>
      <w:r>
        <w:rPr>
          <w:rFonts w:hint="eastAsia" w:ascii="新宋体" w:hAnsi="新宋体" w:eastAsia="新宋体" w:cs="新宋体"/>
          <w:color w:val="auto"/>
          <w:sz w:val="21"/>
          <w:szCs w:val="21"/>
          <w:lang w:val="en-US" w:eastAsia="zh-CN"/>
        </w:rPr>
        <w:t>：</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lang w:val="en-US" w:eastAsia="zh-CN"/>
        </w:rPr>
        <w:t xml:space="preserve"> 金额：</w:t>
      </w:r>
      <w:r>
        <w:rPr>
          <w:rFonts w:hint="eastAsia" w:ascii="新宋体" w:hAnsi="新宋体" w:eastAsia="新宋体" w:cs="新宋体"/>
          <w:color w:val="auto"/>
          <w:sz w:val="21"/>
          <w:szCs w:val="21"/>
          <w:u w:val="single"/>
          <w:lang w:val="en-US" w:eastAsia="zh-CN"/>
        </w:rPr>
        <w:t xml:space="preserve">        </w:t>
      </w:r>
    </w:p>
    <w:p w14:paraId="60354542">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840" w:firstLineChars="400"/>
        <w:textAlignment w:val="auto"/>
        <w:outlineLvl w:val="9"/>
        <w:rPr>
          <w:rFonts w:hint="eastAsia" w:ascii="新宋体" w:hAnsi="新宋体" w:eastAsia="新宋体" w:cs="新宋体"/>
          <w:iCs w:val="0"/>
          <w:color w:val="auto"/>
          <w:sz w:val="21"/>
          <w:szCs w:val="21"/>
        </w:rPr>
      </w:pPr>
      <w:r>
        <w:rPr>
          <w:rFonts w:hint="eastAsia" w:ascii="新宋体" w:hAnsi="新宋体" w:eastAsia="新宋体" w:cs="新宋体"/>
          <w:color w:val="auto"/>
          <w:sz w:val="21"/>
          <w:szCs w:val="21"/>
          <w:lang w:val="en-US" w:eastAsia="zh-CN"/>
        </w:rPr>
        <w:t xml:space="preserve">   国别：</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lang w:val="en-US" w:eastAsia="zh-CN"/>
        </w:rPr>
        <w:t xml:space="preserve"> 品牌：</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none"/>
          <w:lang w:val="en-US" w:eastAsia="zh-CN"/>
        </w:rPr>
        <w:t xml:space="preserve"> 规格型号：</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iCs w:val="0"/>
          <w:color w:val="auto"/>
          <w:sz w:val="21"/>
          <w:szCs w:val="21"/>
        </w:rPr>
        <w:t xml:space="preserve">      </w:t>
      </w:r>
    </w:p>
    <w:p w14:paraId="1474B36E">
      <w:pPr>
        <w:keepNext w:val="0"/>
        <w:keepLines w:val="0"/>
        <w:pageBreakBefore w:val="0"/>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color w:val="auto"/>
          <w:sz w:val="21"/>
          <w:szCs w:val="21"/>
          <w:u w:val="none"/>
          <w:lang w:val="en-US" w:eastAsia="zh-CN"/>
        </w:rPr>
      </w:pP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否</w:t>
      </w:r>
    </w:p>
    <w:p w14:paraId="150F3A24">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b w:val="0"/>
          <w:bCs w:val="0"/>
          <w:color w:val="auto"/>
          <w:sz w:val="21"/>
          <w:szCs w:val="21"/>
          <w:u w:val="none"/>
          <w:lang w:val="en-US" w:eastAsia="zh-CN"/>
        </w:rPr>
      </w:pPr>
      <w:r>
        <w:rPr>
          <w:rFonts w:hint="eastAsia" w:ascii="新宋体" w:hAnsi="新宋体" w:eastAsia="新宋体" w:cs="新宋体"/>
          <w:b w:val="0"/>
          <w:bCs w:val="0"/>
          <w:color w:val="auto"/>
          <w:sz w:val="21"/>
          <w:szCs w:val="21"/>
          <w:u w:val="none"/>
          <w:lang w:val="en-US" w:eastAsia="zh-CN"/>
        </w:rPr>
        <w:t xml:space="preserve">    （1</w:t>
      </w:r>
      <w:r>
        <w:rPr>
          <w:rFonts w:hint="eastAsia" w:ascii="新宋体" w:hAnsi="新宋体" w:eastAsia="新宋体" w:cs="新宋体"/>
          <w:b w:val="0"/>
          <w:bCs w:val="0"/>
          <w:color w:val="auto"/>
          <w:sz w:val="21"/>
          <w:szCs w:val="21"/>
          <w:u w:val="none"/>
          <w:lang w:val="en" w:eastAsia="zh-CN"/>
        </w:rPr>
        <w:t>0</w:t>
      </w:r>
      <w:r>
        <w:rPr>
          <w:rFonts w:hint="eastAsia" w:ascii="新宋体" w:hAnsi="新宋体" w:eastAsia="新宋体" w:cs="新宋体"/>
          <w:b w:val="0"/>
          <w:bCs w:val="0"/>
          <w:color w:val="auto"/>
          <w:sz w:val="21"/>
          <w:szCs w:val="21"/>
          <w:u w:val="none"/>
          <w:lang w:val="en-US" w:eastAsia="zh-CN"/>
        </w:rPr>
        <w:t>）是否涉及节能产品：</w:t>
      </w:r>
    </w:p>
    <w:p w14:paraId="128463B2">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lang w:val="en-US" w:eastAsia="zh-CN"/>
        </w:rPr>
      </w:pPr>
      <w:r>
        <w:rPr>
          <w:rFonts w:hint="eastAsia" w:ascii="新宋体" w:hAnsi="新宋体" w:eastAsia="新宋体" w:cs="新宋体"/>
          <w:b w:val="0"/>
          <w:bCs w:val="0"/>
          <w:color w:val="auto"/>
          <w:sz w:val="21"/>
          <w:szCs w:val="21"/>
          <w:u w:val="none"/>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rPr>
        <w:t>是</w:t>
      </w:r>
      <w:r>
        <w:rPr>
          <w:rFonts w:hint="eastAsia" w:ascii="新宋体" w:hAnsi="新宋体" w:eastAsia="新宋体" w:cs="新宋体"/>
          <w:iCs w:val="0"/>
          <w:color w:val="auto"/>
          <w:sz w:val="21"/>
          <w:szCs w:val="21"/>
          <w:lang w:eastAsia="zh-CN"/>
        </w:rPr>
        <w:t>，《节能产品政府采购品目清单》的底级品目名称：</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iCs/>
          <w:color w:val="auto"/>
          <w:sz w:val="21"/>
          <w:szCs w:val="21"/>
          <w:lang w:val="en-US" w:eastAsia="zh-CN"/>
        </w:rPr>
        <w:t xml:space="preserve">     </w:t>
      </w:r>
    </w:p>
    <w:p w14:paraId="66A5549C">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lang w:val="en-US" w:eastAsia="zh-CN"/>
        </w:rPr>
      </w:pP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强制采购</w:t>
      </w: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优先采购</w:t>
      </w:r>
      <w:r>
        <w:rPr>
          <w:rFonts w:hint="eastAsia" w:ascii="新宋体" w:hAnsi="新宋体" w:eastAsia="新宋体" w:cs="新宋体"/>
          <w:iCs/>
          <w:color w:val="auto"/>
          <w:sz w:val="21"/>
          <w:szCs w:val="21"/>
          <w:lang w:val="en-US" w:eastAsia="zh-CN"/>
        </w:rPr>
        <w:t xml:space="preserve">    </w:t>
      </w:r>
    </w:p>
    <w:p w14:paraId="2646EE91">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val="0"/>
          <w:color w:val="auto"/>
          <w:sz w:val="21"/>
          <w:szCs w:val="21"/>
        </w:rPr>
      </w:pP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rPr>
        <w:t>否</w:t>
      </w:r>
    </w:p>
    <w:p w14:paraId="5B070C6B">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b w:val="0"/>
          <w:bCs w:val="0"/>
          <w:color w:val="auto"/>
          <w:sz w:val="21"/>
          <w:szCs w:val="21"/>
          <w:u w:val="none"/>
          <w:lang w:val="en-US" w:eastAsia="zh-CN"/>
        </w:rPr>
      </w:pPr>
      <w:r>
        <w:rPr>
          <w:rFonts w:hint="eastAsia" w:ascii="新宋体" w:hAnsi="新宋体" w:eastAsia="新宋体" w:cs="新宋体"/>
          <w:b w:val="0"/>
          <w:bCs w:val="0"/>
          <w:color w:val="auto"/>
          <w:sz w:val="21"/>
          <w:szCs w:val="21"/>
          <w:u w:val="none"/>
          <w:lang w:val="en-US" w:eastAsia="zh-CN"/>
        </w:rPr>
        <w:t xml:space="preserve">   是否涉及环境标志产品：</w:t>
      </w:r>
    </w:p>
    <w:p w14:paraId="4F642D9F">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val="0"/>
          <w:color w:val="auto"/>
          <w:sz w:val="21"/>
          <w:szCs w:val="21"/>
          <w:lang w:eastAsia="zh-CN"/>
        </w:rPr>
      </w:pPr>
      <w:r>
        <w:rPr>
          <w:rFonts w:hint="eastAsia" w:ascii="新宋体" w:hAnsi="新宋体" w:eastAsia="新宋体" w:cs="新宋体"/>
          <w:b w:val="0"/>
          <w:bCs w:val="0"/>
          <w:color w:val="auto"/>
          <w:sz w:val="21"/>
          <w:szCs w:val="21"/>
          <w:u w:val="none"/>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rPr>
        <w:t>是</w:t>
      </w:r>
      <w:r>
        <w:rPr>
          <w:rFonts w:hint="eastAsia" w:ascii="新宋体" w:hAnsi="新宋体" w:eastAsia="新宋体" w:cs="新宋体"/>
          <w:iCs w:val="0"/>
          <w:color w:val="auto"/>
          <w:sz w:val="21"/>
          <w:szCs w:val="21"/>
          <w:lang w:eastAsia="zh-CN"/>
        </w:rPr>
        <w:t>，《环境标志产品政府采购品目清单》的底级品目名称：</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iCs/>
          <w:color w:val="auto"/>
          <w:sz w:val="21"/>
          <w:szCs w:val="21"/>
          <w:lang w:val="en-US" w:eastAsia="zh-CN"/>
        </w:rPr>
        <w:t xml:space="preserve"> </w:t>
      </w:r>
    </w:p>
    <w:p w14:paraId="1AD3C3F2">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lang w:val="en-US" w:eastAsia="zh-CN"/>
        </w:rPr>
      </w:pP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强制采购</w:t>
      </w: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优先采购</w:t>
      </w:r>
      <w:r>
        <w:rPr>
          <w:rFonts w:hint="eastAsia" w:ascii="新宋体" w:hAnsi="新宋体" w:eastAsia="新宋体" w:cs="新宋体"/>
          <w:iCs/>
          <w:color w:val="auto"/>
          <w:sz w:val="21"/>
          <w:szCs w:val="21"/>
          <w:lang w:val="en-US" w:eastAsia="zh-CN"/>
        </w:rPr>
        <w:t xml:space="preserve">    </w:t>
      </w:r>
    </w:p>
    <w:p w14:paraId="60D16CC3">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b w:val="0"/>
          <w:bCs w:val="0"/>
          <w:color w:val="auto"/>
          <w:sz w:val="21"/>
          <w:szCs w:val="21"/>
          <w:u w:val="none"/>
          <w:lang w:val="en-US" w:eastAsia="zh-CN"/>
        </w:rPr>
      </w:pP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rPr>
        <w:t>否</w:t>
      </w:r>
    </w:p>
    <w:p w14:paraId="7915431E">
      <w:pPr>
        <w:pStyle w:val="86"/>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val="0"/>
          <w:color w:val="auto"/>
          <w:kern w:val="2"/>
          <w:sz w:val="21"/>
          <w:szCs w:val="21"/>
          <w:u w:val="none"/>
          <w:lang w:val="en-US" w:eastAsia="zh-CN"/>
        </w:rPr>
      </w:pPr>
      <w:r>
        <w:rPr>
          <w:rFonts w:hint="eastAsia" w:ascii="新宋体" w:hAnsi="新宋体" w:eastAsia="新宋体" w:cs="新宋体"/>
          <w:b w:val="0"/>
          <w:bCs w:val="0"/>
          <w:color w:val="auto"/>
          <w:sz w:val="21"/>
          <w:szCs w:val="21"/>
          <w:u w:val="none"/>
          <w:lang w:val="en-US" w:eastAsia="zh-CN"/>
        </w:rPr>
        <w:t xml:space="preserve">   </w:t>
      </w:r>
      <w:r>
        <w:rPr>
          <w:rFonts w:hint="eastAsia" w:ascii="新宋体" w:hAnsi="新宋体" w:eastAsia="新宋体" w:cs="新宋体"/>
          <w:b w:val="0"/>
          <w:bCs w:val="0"/>
          <w:color w:val="auto"/>
          <w:kern w:val="2"/>
          <w:sz w:val="21"/>
          <w:szCs w:val="21"/>
          <w:u w:val="none"/>
          <w:lang w:val="en-US" w:eastAsia="zh-CN"/>
        </w:rPr>
        <w:t>是否涉及绿色产品：</w:t>
      </w:r>
      <w:r>
        <w:rPr>
          <w:rFonts w:hint="eastAsia" w:ascii="新宋体" w:hAnsi="新宋体" w:eastAsia="新宋体" w:cs="新宋体"/>
          <w:iCs w:val="0"/>
          <w:color w:val="auto"/>
          <w:kern w:val="2"/>
          <w:sz w:val="21"/>
          <w:szCs w:val="21"/>
          <w:u w:val="none"/>
          <w:lang w:val="en-US" w:eastAsia="zh-CN"/>
        </w:rPr>
        <w:t xml:space="preserve"> </w:t>
      </w:r>
    </w:p>
    <w:p w14:paraId="0C439D15">
      <w:pPr>
        <w:pStyle w:val="86"/>
        <w:keepNext w:val="0"/>
        <w:keepLines w:val="0"/>
        <w:pageBreakBefore w:val="0"/>
        <w:kinsoku/>
        <w:wordWrap/>
        <w:overflowPunct/>
        <w:topLinePunct w:val="0"/>
        <w:bidi w:val="0"/>
        <w:adjustRightInd w:val="0"/>
        <w:spacing w:beforeLines="0" w:line="400" w:lineRule="exact"/>
        <w:ind w:left="0" w:leftChars="0" w:firstLine="420" w:firstLineChars="0"/>
        <w:textAlignment w:val="auto"/>
        <w:outlineLvl w:val="9"/>
        <w:rPr>
          <w:rFonts w:hint="eastAsia" w:ascii="新宋体" w:hAnsi="新宋体" w:eastAsia="新宋体" w:cs="新宋体"/>
          <w:color w:val="auto"/>
          <w:sz w:val="21"/>
          <w:szCs w:val="21"/>
          <w:u w:val="single"/>
          <w:lang w:val="en-US" w:eastAsia="zh-CN"/>
        </w:rPr>
      </w:pPr>
      <w:r>
        <w:rPr>
          <w:rFonts w:hint="eastAsia" w:ascii="新宋体" w:hAnsi="新宋体" w:eastAsia="新宋体" w:cs="新宋体"/>
          <w:iCs w:val="0"/>
          <w:color w:val="auto"/>
          <w:kern w:val="2"/>
          <w:sz w:val="21"/>
          <w:szCs w:val="21"/>
          <w:u w:val="none"/>
        </w:rPr>
        <w:sym w:font="Wingdings" w:char="00A8"/>
      </w:r>
      <w:r>
        <w:rPr>
          <w:rFonts w:hint="eastAsia" w:ascii="新宋体" w:hAnsi="新宋体" w:eastAsia="新宋体" w:cs="新宋体"/>
          <w:iCs w:val="0"/>
          <w:color w:val="auto"/>
          <w:kern w:val="2"/>
          <w:sz w:val="21"/>
          <w:szCs w:val="21"/>
          <w:u w:val="none"/>
        </w:rPr>
        <w:t>是</w:t>
      </w:r>
      <w:r>
        <w:rPr>
          <w:rFonts w:hint="eastAsia" w:ascii="新宋体" w:hAnsi="新宋体" w:eastAsia="新宋体" w:cs="新宋体"/>
          <w:iCs w:val="0"/>
          <w:color w:val="auto"/>
          <w:kern w:val="2"/>
          <w:sz w:val="21"/>
          <w:szCs w:val="21"/>
          <w:u w:val="none"/>
          <w:lang w:eastAsia="zh-CN"/>
        </w:rPr>
        <w:t>，绿色产品政府采购相关政策确定的底级品目名称：</w:t>
      </w:r>
      <w:r>
        <w:rPr>
          <w:rFonts w:hint="eastAsia" w:ascii="新宋体" w:hAnsi="新宋体" w:eastAsia="新宋体" w:cs="新宋体"/>
          <w:color w:val="auto"/>
          <w:sz w:val="21"/>
          <w:szCs w:val="21"/>
          <w:u w:val="single"/>
          <w:lang w:val="en-US" w:eastAsia="zh-CN"/>
        </w:rPr>
        <w:t xml:space="preserve">         </w:t>
      </w:r>
    </w:p>
    <w:p w14:paraId="71D1DC56">
      <w:pPr>
        <w:keepNext w:val="0"/>
        <w:keepLines w:val="0"/>
        <w:pageBreakBefore w:val="0"/>
        <w:numPr>
          <w:ilvl w:val="0"/>
          <w:numId w:val="0"/>
        </w:numPr>
        <w:tabs>
          <w:tab w:val="left" w:pos="740"/>
        </w:tabs>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iCs/>
          <w:color w:val="auto"/>
          <w:sz w:val="21"/>
          <w:szCs w:val="21"/>
          <w:lang w:val="en-US" w:eastAsia="zh-CN"/>
        </w:rPr>
      </w:pP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强制采购</w:t>
      </w: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优先采购</w:t>
      </w:r>
      <w:r>
        <w:rPr>
          <w:rFonts w:hint="eastAsia" w:ascii="新宋体" w:hAnsi="新宋体" w:eastAsia="新宋体" w:cs="新宋体"/>
          <w:iCs/>
          <w:color w:val="auto"/>
          <w:sz w:val="21"/>
          <w:szCs w:val="21"/>
          <w:lang w:val="en-US" w:eastAsia="zh-CN"/>
        </w:rPr>
        <w:t xml:space="preserve">    </w:t>
      </w:r>
    </w:p>
    <w:p w14:paraId="2A5E6E4C">
      <w:pPr>
        <w:pStyle w:val="86"/>
        <w:keepNext w:val="0"/>
        <w:keepLines w:val="0"/>
        <w:pageBreakBefore w:val="0"/>
        <w:kinsoku/>
        <w:wordWrap/>
        <w:overflowPunct/>
        <w:topLinePunct w:val="0"/>
        <w:bidi w:val="0"/>
        <w:adjustRightInd w:val="0"/>
        <w:spacing w:beforeLines="0" w:line="400" w:lineRule="exact"/>
        <w:ind w:left="0" w:leftChars="0" w:firstLine="420" w:firstLineChars="0"/>
        <w:textAlignment w:val="auto"/>
        <w:outlineLvl w:val="9"/>
        <w:rPr>
          <w:rFonts w:hint="eastAsia" w:ascii="新宋体" w:hAnsi="新宋体" w:eastAsia="新宋体" w:cs="新宋体"/>
          <w:b w:val="0"/>
          <w:bCs w:val="0"/>
          <w:color w:val="auto"/>
          <w:sz w:val="21"/>
          <w:szCs w:val="21"/>
          <w:u w:val="none"/>
          <w:lang w:val="en-US" w:eastAsia="zh-CN"/>
        </w:rPr>
      </w:pPr>
      <w:r>
        <w:rPr>
          <w:rFonts w:hint="eastAsia" w:ascii="新宋体" w:hAnsi="新宋体" w:eastAsia="新宋体" w:cs="新宋体"/>
          <w:iCs w:val="0"/>
          <w:color w:val="auto"/>
          <w:kern w:val="2"/>
          <w:sz w:val="21"/>
          <w:szCs w:val="21"/>
          <w:u w:val="none"/>
        </w:rPr>
        <w:sym w:font="Wingdings" w:char="00A8"/>
      </w:r>
      <w:r>
        <w:rPr>
          <w:rFonts w:hint="eastAsia" w:ascii="新宋体" w:hAnsi="新宋体" w:eastAsia="新宋体" w:cs="新宋体"/>
          <w:iCs w:val="0"/>
          <w:color w:val="auto"/>
          <w:kern w:val="2"/>
          <w:sz w:val="21"/>
          <w:szCs w:val="21"/>
          <w:u w:val="none"/>
        </w:rPr>
        <w:t>否</w:t>
      </w:r>
    </w:p>
    <w:p w14:paraId="22E6143F">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（1</w:t>
      </w:r>
      <w:r>
        <w:rPr>
          <w:rFonts w:hint="eastAsia" w:ascii="新宋体" w:hAnsi="新宋体" w:eastAsia="新宋体" w:cs="新宋体"/>
          <w:color w:val="auto"/>
          <w:sz w:val="21"/>
          <w:szCs w:val="21"/>
          <w:lang w:val="en" w:eastAsia="zh-CN"/>
        </w:rPr>
        <w:t>1</w:t>
      </w:r>
      <w:r>
        <w:rPr>
          <w:rFonts w:hint="eastAsia" w:ascii="新宋体" w:hAnsi="新宋体" w:eastAsia="新宋体" w:cs="新宋体"/>
          <w:color w:val="auto"/>
          <w:sz w:val="21"/>
          <w:szCs w:val="21"/>
          <w:lang w:val="en-US" w:eastAsia="zh-CN"/>
        </w:rPr>
        <w:t>）涉及商品包装和快递包装的，是否参考</w:t>
      </w:r>
      <w:r>
        <w:rPr>
          <w:rFonts w:hint="eastAsia" w:ascii="新宋体" w:hAnsi="新宋体" w:eastAsia="新宋体" w:cs="新宋体"/>
          <w:color w:val="auto"/>
          <w:sz w:val="21"/>
          <w:szCs w:val="21"/>
        </w:rPr>
        <w:t>《商品包装政府采购需求标准（试行）》、《快递包装政府采购需求标准（试行）》</w:t>
      </w:r>
      <w:r>
        <w:rPr>
          <w:rFonts w:hint="eastAsia" w:ascii="新宋体" w:hAnsi="新宋体" w:eastAsia="新宋体" w:cs="新宋体"/>
          <w:color w:val="auto"/>
          <w:sz w:val="21"/>
          <w:szCs w:val="21"/>
          <w:lang w:eastAsia="zh-CN"/>
        </w:rPr>
        <w:t>明确产品及相关快递服务的具体包装要求：</w:t>
      </w:r>
    </w:p>
    <w:p w14:paraId="0626494F">
      <w:pPr>
        <w:keepNext w:val="0"/>
        <w:keepLines w:val="0"/>
        <w:pageBreakBefore w:val="0"/>
        <w:numPr>
          <w:ilvl w:val="0"/>
          <w:numId w:val="0"/>
        </w:numPr>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iCs w:val="0"/>
          <w:color w:val="auto"/>
          <w:sz w:val="21"/>
          <w:szCs w:val="21"/>
          <w:lang w:val="en-US" w:eastAsia="zh-CN"/>
        </w:rPr>
      </w:pPr>
      <w:r>
        <w:rPr>
          <w:rFonts w:hint="eastAsia" w:ascii="新宋体" w:hAnsi="新宋体" w:eastAsia="新宋体" w:cs="新宋体"/>
          <w:iCs w:val="0"/>
          <w:color w:val="auto"/>
          <w:sz w:val="21"/>
          <w:szCs w:val="21"/>
        </w:rPr>
        <w:sym w:font="Wingdings" w:char="00FE"/>
      </w:r>
      <w:r>
        <w:rPr>
          <w:rFonts w:hint="eastAsia" w:ascii="新宋体" w:hAnsi="新宋体" w:eastAsia="新宋体" w:cs="新宋体"/>
          <w:iCs w:val="0"/>
          <w:color w:val="auto"/>
          <w:sz w:val="21"/>
          <w:szCs w:val="21"/>
        </w:rPr>
        <w:t xml:space="preserve">是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rPr>
        <w:t>否</w:t>
      </w:r>
      <w:r>
        <w:rPr>
          <w:rFonts w:hint="eastAsia" w:ascii="新宋体" w:hAnsi="新宋体" w:eastAsia="新宋体" w:cs="新宋体"/>
          <w:iCs w:val="0"/>
          <w:color w:val="auto"/>
          <w:sz w:val="21"/>
          <w:szCs w:val="21"/>
          <w:lang w:val="en-US" w:eastAsia="zh-CN"/>
        </w:rPr>
        <w:t xml:space="preserve">      </w:t>
      </w:r>
      <w:r>
        <w:rPr>
          <w:rFonts w:hint="eastAsia" w:ascii="新宋体" w:hAnsi="新宋体" w:eastAsia="新宋体" w:cs="新宋体"/>
          <w:iCs w:val="0"/>
          <w:color w:val="auto"/>
          <w:sz w:val="21"/>
          <w:szCs w:val="21"/>
        </w:rPr>
        <w:sym w:font="Wingdings" w:char="00A8"/>
      </w:r>
      <w:r>
        <w:rPr>
          <w:rFonts w:hint="eastAsia" w:ascii="新宋体" w:hAnsi="新宋体" w:eastAsia="新宋体" w:cs="新宋体"/>
          <w:iCs w:val="0"/>
          <w:color w:val="auto"/>
          <w:sz w:val="21"/>
          <w:szCs w:val="21"/>
          <w:lang w:eastAsia="zh-CN"/>
        </w:rPr>
        <w:t>不涉及</w:t>
      </w:r>
    </w:p>
    <w:p w14:paraId="5B7152EA">
      <w:pPr>
        <w:keepNext w:val="0"/>
        <w:keepLines w:val="0"/>
        <w:pageBreakBefore w:val="0"/>
        <w:numPr>
          <w:ilvl w:val="0"/>
          <w:numId w:val="0"/>
        </w:numPr>
        <w:kinsoku/>
        <w:wordWrap/>
        <w:overflowPunct/>
        <w:topLinePunct w:val="0"/>
        <w:bidi w:val="0"/>
        <w:adjustRightInd w:val="0"/>
        <w:snapToGrid w:val="0"/>
        <w:spacing w:before="0" w:beforeLines="0" w:line="400" w:lineRule="exact"/>
        <w:ind w:firstLine="422" w:firstLineChars="200"/>
        <w:textAlignment w:val="auto"/>
        <w:outlineLvl w:val="9"/>
        <w:rPr>
          <w:rFonts w:hint="eastAsia" w:ascii="新宋体" w:hAnsi="新宋体" w:eastAsia="新宋体" w:cs="新宋体"/>
          <w:b/>
          <w:color w:val="auto"/>
          <w:sz w:val="21"/>
          <w:szCs w:val="21"/>
          <w:highlight w:val="none"/>
        </w:rPr>
      </w:pPr>
      <w:r>
        <w:rPr>
          <w:rFonts w:hint="eastAsia" w:ascii="新宋体" w:hAnsi="新宋体" w:eastAsia="新宋体" w:cs="新宋体"/>
          <w:b/>
          <w:snapToGrid w:val="0"/>
          <w:color w:val="auto"/>
          <w:kern w:val="0"/>
          <w:sz w:val="21"/>
          <w:szCs w:val="21"/>
          <w:lang w:val="en-US" w:eastAsia="en-US" w:bidi="ar-SA"/>
        </w:rPr>
        <w:t>2.</w:t>
      </w:r>
      <w:r>
        <w:rPr>
          <w:rFonts w:hint="eastAsia" w:ascii="新宋体" w:hAnsi="新宋体" w:eastAsia="新宋体" w:cs="新宋体"/>
          <w:b/>
          <w:color w:val="auto"/>
          <w:sz w:val="21"/>
          <w:szCs w:val="21"/>
          <w:highlight w:val="none"/>
        </w:rPr>
        <w:t>合同金额</w:t>
      </w:r>
    </w:p>
    <w:p w14:paraId="4BD3A0AC">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（1）合同金额小写：</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 xml:space="preserve">      </w:t>
      </w:r>
    </w:p>
    <w:p w14:paraId="2EE330DF">
      <w:pPr>
        <w:keepNext w:val="0"/>
        <w:keepLines w:val="0"/>
        <w:pageBreakBefore w:val="0"/>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color w:val="auto"/>
          <w:sz w:val="21"/>
          <w:szCs w:val="21"/>
          <w:u w:val="single"/>
        </w:rPr>
      </w:pP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rPr>
        <w:t>大写：</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 xml:space="preserve">      </w:t>
      </w:r>
    </w:p>
    <w:p w14:paraId="1746085E">
      <w:pPr>
        <w:keepNext w:val="0"/>
        <w:keepLines w:val="0"/>
        <w:pageBreakBefore w:val="0"/>
        <w:kinsoku/>
        <w:wordWrap/>
        <w:overflowPunct/>
        <w:topLinePunct w:val="0"/>
        <w:bidi w:val="0"/>
        <w:adjustRightInd w:val="0"/>
        <w:snapToGrid w:val="0"/>
        <w:spacing w:before="0" w:beforeLines="0" w:line="400" w:lineRule="exact"/>
        <w:ind w:firstLine="420" w:firstLineChars="200"/>
        <w:textAlignment w:val="auto"/>
        <w:outlineLvl w:val="9"/>
        <w:rPr>
          <w:rFonts w:hint="eastAsia" w:ascii="新宋体" w:hAnsi="新宋体" w:eastAsia="新宋体" w:cs="新宋体"/>
          <w:color w:val="auto"/>
          <w:sz w:val="21"/>
          <w:szCs w:val="21"/>
          <w:lang w:val="en-US" w:eastAsia="zh-CN"/>
        </w:rPr>
      </w:pPr>
      <w:r>
        <w:rPr>
          <w:rFonts w:hint="eastAsia" w:ascii="新宋体" w:hAnsi="新宋体" w:eastAsia="新宋体" w:cs="新宋体"/>
          <w:color w:val="auto"/>
          <w:sz w:val="21"/>
          <w:szCs w:val="21"/>
          <w:u w:val="single"/>
        </w:rPr>
        <w:t>合同总价款包含：</w:t>
      </w:r>
      <w:r>
        <w:rPr>
          <w:rFonts w:hint="eastAsia" w:ascii="新宋体" w:hAnsi="新宋体" w:eastAsia="新宋体" w:cs="新宋体"/>
          <w:color w:val="auto"/>
          <w:sz w:val="21"/>
          <w:szCs w:val="21"/>
          <w:u w:val="single"/>
          <w:lang w:val="en-US" w:eastAsia="zh-CN"/>
        </w:rPr>
        <w:t>工程量清单内</w:t>
      </w:r>
      <w:r>
        <w:rPr>
          <w:rFonts w:hint="eastAsia" w:ascii="新宋体" w:hAnsi="新宋体" w:eastAsia="新宋体" w:cs="新宋体"/>
          <w:color w:val="auto"/>
          <w:sz w:val="21"/>
          <w:szCs w:val="21"/>
          <w:u w:val="single"/>
        </w:rPr>
        <w:t>所有费用。</w:t>
      </w:r>
    </w:p>
    <w:p w14:paraId="09166F3F">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0" w:firstLineChars="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lang w:val="en-US" w:eastAsia="zh-CN"/>
        </w:rPr>
        <w:t>2</w:t>
      </w:r>
      <w:r>
        <w:rPr>
          <w:rFonts w:hint="eastAsia" w:ascii="新宋体" w:hAnsi="新宋体" w:eastAsia="新宋体" w:cs="新宋体"/>
          <w:color w:val="auto"/>
          <w:sz w:val="21"/>
          <w:szCs w:val="21"/>
          <w:lang w:eastAsia="zh-CN"/>
        </w:rPr>
        <w:t>）</w:t>
      </w:r>
      <w:r>
        <w:rPr>
          <w:rFonts w:hint="eastAsia" w:ascii="新宋体" w:hAnsi="新宋体" w:eastAsia="新宋体" w:cs="新宋体"/>
          <w:color w:val="auto"/>
          <w:sz w:val="21"/>
          <w:szCs w:val="21"/>
        </w:rPr>
        <w:t>合同定价方式</w:t>
      </w:r>
      <w:r>
        <w:rPr>
          <w:rFonts w:hint="eastAsia" w:ascii="新宋体" w:hAnsi="新宋体" w:eastAsia="新宋体" w:cs="新宋体"/>
          <w:color w:val="auto"/>
          <w:sz w:val="21"/>
          <w:szCs w:val="21"/>
          <w:lang w:eastAsia="zh-CN"/>
        </w:rPr>
        <w:t>（采用组合定价方式的，可以勾选多项）</w:t>
      </w:r>
      <w:r>
        <w:rPr>
          <w:rFonts w:hint="eastAsia" w:ascii="新宋体" w:hAnsi="新宋体" w:eastAsia="新宋体" w:cs="新宋体"/>
          <w:color w:val="auto"/>
          <w:sz w:val="21"/>
          <w:szCs w:val="21"/>
        </w:rPr>
        <w:t>：</w:t>
      </w:r>
    </w:p>
    <w:p w14:paraId="5B0AA506">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lang w:eastAsia="zh-CN"/>
        </w:rPr>
      </w:pPr>
      <w:r>
        <w:rPr>
          <w:rFonts w:hint="eastAsia" w:ascii="新宋体" w:hAnsi="新宋体" w:eastAsia="新宋体" w:cs="新宋体"/>
          <w:iCs/>
          <w:color w:val="auto"/>
          <w:sz w:val="21"/>
          <w:szCs w:val="21"/>
        </w:rPr>
        <w:sym w:font="Wingdings" w:char="00FE"/>
      </w:r>
      <w:r>
        <w:rPr>
          <w:rFonts w:hint="eastAsia" w:ascii="新宋体" w:hAnsi="新宋体" w:eastAsia="新宋体" w:cs="新宋体"/>
          <w:iCs/>
          <w:color w:val="auto"/>
          <w:sz w:val="21"/>
          <w:szCs w:val="21"/>
        </w:rPr>
        <w:t xml:space="preserve">固定总价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固定单价</w:t>
      </w: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固定费率</w:t>
      </w:r>
      <w:r>
        <w:rPr>
          <w:rFonts w:hint="eastAsia" w:ascii="新宋体" w:hAnsi="新宋体" w:eastAsia="新宋体" w:cs="新宋体"/>
          <w:iCs/>
          <w:color w:val="auto"/>
          <w:sz w:val="21"/>
          <w:szCs w:val="21"/>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 xml:space="preserve">成本补偿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rPr>
        <w:t>绩效激励</w:t>
      </w:r>
      <w:r>
        <w:rPr>
          <w:rFonts w:hint="eastAsia" w:ascii="新宋体" w:hAnsi="新宋体" w:eastAsia="新宋体" w:cs="新宋体"/>
          <w:iCs/>
          <w:color w:val="auto"/>
          <w:sz w:val="21"/>
          <w:szCs w:val="21"/>
          <w:lang w:val="en-US" w:eastAsia="zh-CN"/>
        </w:rPr>
        <w:t xml:space="preserve"> </w:t>
      </w:r>
      <w:r>
        <w:rPr>
          <w:rFonts w:hint="eastAsia" w:ascii="新宋体" w:hAnsi="新宋体" w:eastAsia="新宋体" w:cs="新宋体"/>
          <w:iCs/>
          <w:color w:val="auto"/>
          <w:sz w:val="21"/>
          <w:szCs w:val="21"/>
        </w:rPr>
        <w:sym w:font="Wingdings" w:char="00A8"/>
      </w:r>
      <w:r>
        <w:rPr>
          <w:rFonts w:hint="eastAsia" w:ascii="新宋体" w:hAnsi="新宋体" w:eastAsia="新宋体" w:cs="新宋体"/>
          <w:iCs/>
          <w:color w:val="auto"/>
          <w:sz w:val="21"/>
          <w:szCs w:val="21"/>
          <w:lang w:eastAsia="zh-CN"/>
        </w:rPr>
        <w:t>其他</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w:t>
      </w:r>
      <w:r>
        <w:rPr>
          <w:rFonts w:hint="eastAsia" w:ascii="新宋体" w:hAnsi="新宋体" w:eastAsia="新宋体" w:cs="新宋体"/>
          <w:color w:val="auto"/>
          <w:sz w:val="21"/>
          <w:szCs w:val="21"/>
          <w:u w:val="single"/>
        </w:rPr>
        <w:t xml:space="preserve">   </w:t>
      </w:r>
    </w:p>
    <w:p w14:paraId="6FD0F8FA">
      <w:pPr>
        <w:pStyle w:val="87"/>
        <w:keepNext w:val="0"/>
        <w:keepLines w:val="0"/>
        <w:pageBreakBefore w:val="0"/>
        <w:kinsoku/>
        <w:wordWrap/>
        <w:overflowPunct/>
        <w:topLinePunct w:val="0"/>
        <w:bidi w:val="0"/>
        <w:adjustRightInd w:val="0"/>
        <w:spacing w:beforeLines="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w:t>
      </w:r>
      <w:r>
        <w:rPr>
          <w:rFonts w:hint="eastAsia" w:ascii="新宋体" w:hAnsi="新宋体" w:eastAsia="新宋体" w:cs="新宋体"/>
          <w:color w:val="auto"/>
          <w:sz w:val="21"/>
          <w:szCs w:val="21"/>
          <w:lang w:val="en-US" w:eastAsia="zh-CN"/>
        </w:rPr>
        <w:t>3</w:t>
      </w:r>
      <w:r>
        <w:rPr>
          <w:rFonts w:hint="eastAsia" w:ascii="新宋体" w:hAnsi="新宋体" w:eastAsia="新宋体" w:cs="新宋体"/>
          <w:color w:val="auto"/>
          <w:sz w:val="21"/>
          <w:szCs w:val="21"/>
        </w:rPr>
        <w:t>）付款方式：</w:t>
      </w:r>
    </w:p>
    <w:p w14:paraId="4366BFCA">
      <w:pPr>
        <w:keepNext w:val="0"/>
        <w:keepLines w:val="0"/>
        <w:pageBreakBefore w:val="0"/>
        <w:kinsoku/>
        <w:wordWrap/>
        <w:overflowPunct/>
        <w:topLinePunct w:val="0"/>
        <w:bidi w:val="0"/>
        <w:adjustRightInd w:val="0"/>
        <w:snapToGrid w:val="0"/>
        <w:spacing w:beforeLines="0" w:line="400" w:lineRule="exact"/>
        <w:ind w:firstLine="420" w:firstLineChars="200"/>
        <w:textAlignment w:val="auto"/>
        <w:outlineLvl w:val="9"/>
        <w:rPr>
          <w:rFonts w:hint="eastAsia" w:ascii="新宋体" w:hAnsi="新宋体" w:eastAsia="新宋体" w:cs="新宋体"/>
          <w:color w:val="auto"/>
          <w:sz w:val="21"/>
          <w:szCs w:val="21"/>
          <w:u w:val="none"/>
        </w:rPr>
      </w:pPr>
      <w:r>
        <w:rPr>
          <w:rFonts w:hint="eastAsia" w:ascii="新宋体" w:hAnsi="新宋体" w:eastAsia="新宋体" w:cs="新宋体"/>
          <w:color w:val="auto"/>
          <w:sz w:val="21"/>
          <w:szCs w:val="21"/>
          <w:u w:val="none"/>
        </w:rPr>
        <w:sym w:font="Wingdings" w:char="00A8"/>
      </w:r>
      <w:r>
        <w:rPr>
          <w:rFonts w:hint="eastAsia" w:ascii="新宋体" w:hAnsi="新宋体" w:eastAsia="新宋体" w:cs="新宋体"/>
          <w:color w:val="auto"/>
          <w:sz w:val="21"/>
          <w:szCs w:val="21"/>
          <w:u w:val="none"/>
        </w:rPr>
        <w:t>全额付款：</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项目完成，经甲方组织验收合格后一次性付清</w:t>
      </w:r>
      <w:r>
        <w:rPr>
          <w:rFonts w:hint="eastAsia" w:ascii="新宋体" w:hAnsi="新宋体" w:eastAsia="新宋体" w:cs="新宋体"/>
          <w:color w:val="auto"/>
          <w:sz w:val="21"/>
          <w:szCs w:val="21"/>
          <w:u w:val="none"/>
        </w:rPr>
        <w:t xml:space="preserve">  </w:t>
      </w:r>
    </w:p>
    <w:p w14:paraId="450A9DFE">
      <w:pPr>
        <w:keepNext w:val="0"/>
        <w:keepLines w:val="0"/>
        <w:pageBreakBefore w:val="0"/>
        <w:kinsoku/>
        <w:wordWrap/>
        <w:overflowPunct/>
        <w:topLinePunct w:val="0"/>
        <w:bidi w:val="0"/>
        <w:adjustRightInd w:val="0"/>
        <w:snapToGrid w:val="0"/>
        <w:spacing w:beforeLines="0" w:line="400" w:lineRule="exact"/>
        <w:ind w:firstLine="420" w:firstLineChars="200"/>
        <w:textAlignment w:val="auto"/>
        <w:outlineLvl w:val="9"/>
        <w:rPr>
          <w:rFonts w:hint="eastAsia" w:ascii="新宋体" w:hAnsi="新宋体" w:eastAsia="新宋体" w:cs="新宋体"/>
          <w:color w:val="auto"/>
          <w:sz w:val="21"/>
          <w:szCs w:val="21"/>
          <w:u w:val="none"/>
        </w:rPr>
      </w:pPr>
      <w:r>
        <w:rPr>
          <w:rFonts w:hint="eastAsia" w:ascii="新宋体" w:hAnsi="新宋体" w:eastAsia="新宋体" w:cs="新宋体"/>
          <w:iCs/>
          <w:color w:val="auto"/>
          <w:sz w:val="21"/>
          <w:szCs w:val="21"/>
        </w:rPr>
        <w:sym w:font="Wingdings" w:char="00A8"/>
      </w:r>
      <w:r>
        <w:rPr>
          <w:rFonts w:hint="eastAsia" w:ascii="新宋体" w:hAnsi="新宋体" w:eastAsia="新宋体" w:cs="新宋体"/>
          <w:color w:val="auto"/>
          <w:sz w:val="21"/>
          <w:szCs w:val="21"/>
          <w:u w:val="none"/>
        </w:rPr>
        <w:t>分期付款：</w:t>
      </w:r>
      <w:r>
        <w:rPr>
          <w:rFonts w:hint="eastAsia" w:ascii="新宋体" w:hAnsi="新宋体" w:eastAsia="新宋体" w:cs="新宋体"/>
          <w:color w:val="auto"/>
          <w:sz w:val="21"/>
          <w:szCs w:val="21"/>
          <w:u w:val="single"/>
        </w:rPr>
        <w:t xml:space="preserve">  （应明确分期支付合同款项的各期比例和支付条件，各期支付条件应与分 期履约验收情况挂钩）  ，</w:t>
      </w:r>
      <w:r>
        <w:rPr>
          <w:rFonts w:hint="eastAsia" w:ascii="新宋体" w:hAnsi="新宋体" w:eastAsia="新宋体" w:cs="新宋体"/>
          <w:color w:val="auto"/>
          <w:sz w:val="21"/>
          <w:szCs w:val="21"/>
          <w:u w:val="none"/>
        </w:rPr>
        <w:t xml:space="preserve">其中涉及预付款的： </w:t>
      </w:r>
      <w:r>
        <w:rPr>
          <w:rFonts w:hint="eastAsia" w:ascii="新宋体" w:hAnsi="新宋体" w:eastAsia="新宋体" w:cs="新宋体"/>
          <w:color w:val="auto"/>
          <w:sz w:val="21"/>
          <w:szCs w:val="21"/>
          <w:u w:val="single"/>
        </w:rPr>
        <w:t>（应明确预付款的支付比例和支付条件）</w:t>
      </w:r>
      <w:r>
        <w:rPr>
          <w:rFonts w:hint="eastAsia" w:ascii="新宋体" w:hAnsi="新宋体" w:eastAsia="新宋体" w:cs="新宋体"/>
          <w:color w:val="auto"/>
          <w:sz w:val="21"/>
          <w:szCs w:val="21"/>
          <w:u w:val="none"/>
        </w:rPr>
        <w:t xml:space="preserve">  </w:t>
      </w:r>
    </w:p>
    <w:p w14:paraId="540A44FE">
      <w:pPr>
        <w:keepNext w:val="0"/>
        <w:keepLines w:val="0"/>
        <w:pageBreakBefore w:val="0"/>
        <w:kinsoku/>
        <w:wordWrap/>
        <w:overflowPunct/>
        <w:topLinePunct w:val="0"/>
        <w:bidi w:val="0"/>
        <w:adjustRightInd w:val="0"/>
        <w:snapToGrid w:val="0"/>
        <w:spacing w:beforeLines="0" w:line="400" w:lineRule="exact"/>
        <w:ind w:firstLine="420" w:firstLineChars="200"/>
        <w:textAlignment w:val="auto"/>
        <w:outlineLvl w:val="9"/>
        <w:rPr>
          <w:rFonts w:hint="eastAsia" w:ascii="新宋体" w:hAnsi="新宋体" w:eastAsia="新宋体" w:cs="新宋体"/>
          <w:color w:val="auto"/>
          <w:sz w:val="21"/>
          <w:szCs w:val="21"/>
          <w:u w:val="none"/>
        </w:rPr>
      </w:pPr>
      <w:r>
        <w:rPr>
          <w:rFonts w:hint="eastAsia" w:ascii="新宋体" w:hAnsi="新宋体" w:eastAsia="新宋体" w:cs="新宋体"/>
          <w:iCs/>
          <w:color w:val="auto"/>
          <w:sz w:val="21"/>
          <w:szCs w:val="21"/>
        </w:rPr>
        <w:sym w:font="Wingdings" w:char="00A8"/>
      </w:r>
      <w:r>
        <w:rPr>
          <w:rFonts w:hint="eastAsia" w:ascii="新宋体" w:hAnsi="新宋体" w:eastAsia="新宋体" w:cs="新宋体"/>
          <w:color w:val="auto"/>
          <w:sz w:val="21"/>
          <w:szCs w:val="21"/>
          <w:u w:val="none"/>
        </w:rPr>
        <w:t>成本补偿：</w:t>
      </w:r>
      <w:r>
        <w:rPr>
          <w:rFonts w:hint="eastAsia" w:ascii="新宋体" w:hAnsi="新宋体" w:eastAsia="新宋体" w:cs="新宋体"/>
          <w:color w:val="auto"/>
          <w:sz w:val="21"/>
          <w:szCs w:val="21"/>
          <w:u w:val="single"/>
        </w:rPr>
        <w:t xml:space="preserve">      （应明确按照成本补偿方式的支付方式和支付条件）</w:t>
      </w:r>
      <w:r>
        <w:rPr>
          <w:rFonts w:hint="eastAsia" w:ascii="新宋体" w:hAnsi="新宋体" w:eastAsia="新宋体" w:cs="新宋体"/>
          <w:color w:val="auto"/>
          <w:sz w:val="21"/>
          <w:szCs w:val="21"/>
          <w:u w:val="none"/>
        </w:rPr>
        <w:t xml:space="preserve">    </w:t>
      </w:r>
    </w:p>
    <w:p w14:paraId="2F580039">
      <w:pPr>
        <w:keepNext w:val="0"/>
        <w:keepLines w:val="0"/>
        <w:pageBreakBefore w:val="0"/>
        <w:kinsoku/>
        <w:wordWrap/>
        <w:overflowPunct/>
        <w:topLinePunct w:val="0"/>
        <w:bidi w:val="0"/>
        <w:adjustRightInd w:val="0"/>
        <w:snapToGrid w:val="0"/>
        <w:spacing w:beforeLines="0" w:line="400" w:lineRule="exact"/>
        <w:ind w:firstLine="420" w:firstLineChars="200"/>
        <w:textAlignment w:val="auto"/>
        <w:outlineLvl w:val="9"/>
        <w:rPr>
          <w:rFonts w:hint="eastAsia" w:ascii="新宋体" w:hAnsi="新宋体" w:eastAsia="新宋体" w:cs="新宋体"/>
          <w:color w:val="auto"/>
          <w:sz w:val="21"/>
          <w:szCs w:val="21"/>
          <w:u w:val="none"/>
        </w:rPr>
      </w:pPr>
      <w:r>
        <w:rPr>
          <w:rFonts w:hint="eastAsia" w:ascii="新宋体" w:hAnsi="新宋体" w:eastAsia="新宋体" w:cs="新宋体"/>
          <w:iCs/>
          <w:color w:val="auto"/>
          <w:sz w:val="21"/>
          <w:szCs w:val="21"/>
        </w:rPr>
        <w:sym w:font="Wingdings" w:char="00A8"/>
      </w:r>
      <w:r>
        <w:rPr>
          <w:rFonts w:hint="eastAsia" w:ascii="新宋体" w:hAnsi="新宋体" w:eastAsia="新宋体" w:cs="新宋体"/>
          <w:color w:val="auto"/>
          <w:sz w:val="21"/>
          <w:szCs w:val="21"/>
          <w:u w:val="none"/>
        </w:rPr>
        <w:t>绩效激励：</w:t>
      </w:r>
      <w:r>
        <w:rPr>
          <w:rFonts w:hint="eastAsia" w:ascii="新宋体" w:hAnsi="新宋体" w:eastAsia="新宋体" w:cs="新宋体"/>
          <w:color w:val="auto"/>
          <w:sz w:val="21"/>
          <w:szCs w:val="21"/>
          <w:u w:val="single"/>
        </w:rPr>
        <w:t xml:space="preserve">      （应明确按照绩效激励方式的支付方式和支付条件）</w:t>
      </w:r>
    </w:p>
    <w:p w14:paraId="174027AF">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2" w:firstLineChars="200"/>
        <w:textAlignment w:val="auto"/>
        <w:outlineLvl w:val="9"/>
        <w:rPr>
          <w:rFonts w:hint="eastAsia" w:ascii="新宋体" w:hAnsi="新宋体" w:eastAsia="新宋体" w:cs="新宋体"/>
          <w:b/>
          <w:bCs w:val="0"/>
          <w:color w:val="auto"/>
          <w:sz w:val="21"/>
          <w:szCs w:val="21"/>
          <w:u w:val="single"/>
        </w:rPr>
      </w:pPr>
      <w:r>
        <w:rPr>
          <w:rFonts w:hint="eastAsia" w:ascii="新宋体" w:hAnsi="新宋体" w:eastAsia="新宋体" w:cs="新宋体"/>
          <w:b/>
          <w:bCs w:val="0"/>
          <w:snapToGrid w:val="0"/>
          <w:color w:val="auto"/>
          <w:kern w:val="0"/>
          <w:sz w:val="21"/>
          <w:szCs w:val="21"/>
          <w:lang w:val="en-US" w:eastAsia="en-US" w:bidi="ar-SA"/>
        </w:rPr>
        <w:t>3.</w:t>
      </w:r>
      <w:r>
        <w:rPr>
          <w:rFonts w:hint="eastAsia" w:ascii="新宋体" w:hAnsi="新宋体" w:eastAsia="新宋体" w:cs="新宋体"/>
          <w:b/>
          <w:bCs w:val="0"/>
          <w:color w:val="auto"/>
          <w:sz w:val="21"/>
          <w:szCs w:val="21"/>
        </w:rPr>
        <w:t>合同履行</w:t>
      </w:r>
    </w:p>
    <w:p w14:paraId="78FD56EF">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（1）起始日期：</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年</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月</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日，完成日期：</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年</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月</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rPr>
        <w:t>日。</w:t>
      </w:r>
    </w:p>
    <w:p w14:paraId="5A36958A">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u w:val="single"/>
          <w:lang w:val="en-US" w:eastAsia="zh-CN"/>
        </w:rPr>
      </w:pPr>
      <w:r>
        <w:rPr>
          <w:rFonts w:hint="eastAsia" w:ascii="新宋体" w:hAnsi="新宋体" w:eastAsia="新宋体" w:cs="新宋体"/>
          <w:color w:val="auto"/>
          <w:sz w:val="21"/>
          <w:szCs w:val="21"/>
        </w:rPr>
        <w:t>（2）</w:t>
      </w:r>
      <w:r>
        <w:rPr>
          <w:rFonts w:hint="eastAsia" w:ascii="新宋体" w:hAnsi="新宋体" w:eastAsia="新宋体" w:cs="新宋体"/>
          <w:color w:val="auto"/>
          <w:sz w:val="21"/>
          <w:szCs w:val="21"/>
          <w:lang w:eastAsia="zh-CN"/>
        </w:rPr>
        <w:t>履约</w:t>
      </w:r>
      <w:r>
        <w:rPr>
          <w:rFonts w:hint="eastAsia" w:ascii="新宋体" w:hAnsi="新宋体" w:eastAsia="新宋体" w:cs="新宋体"/>
          <w:color w:val="auto"/>
          <w:sz w:val="21"/>
          <w:szCs w:val="21"/>
        </w:rPr>
        <w:t>地点</w:t>
      </w:r>
      <w:r>
        <w:rPr>
          <w:rFonts w:hint="eastAsia" w:ascii="新宋体" w:hAnsi="新宋体" w:eastAsia="新宋体" w:cs="新宋体"/>
          <w:b w:val="0"/>
          <w:bCs/>
          <w:color w:val="auto"/>
          <w:sz w:val="21"/>
          <w:szCs w:val="21"/>
        </w:rPr>
        <w:t>：</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p>
    <w:p w14:paraId="2A7269BD">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lang w:val="en-US" w:eastAsia="zh-CN"/>
        </w:rPr>
      </w:pPr>
      <w:r>
        <w:rPr>
          <w:rFonts w:hint="eastAsia" w:ascii="新宋体" w:hAnsi="新宋体" w:eastAsia="新宋体" w:cs="新宋体"/>
          <w:bCs/>
          <w:color w:val="auto"/>
          <w:sz w:val="21"/>
          <w:szCs w:val="21"/>
        </w:rPr>
        <w:t>（3）</w:t>
      </w:r>
      <w:r>
        <w:rPr>
          <w:rFonts w:hint="eastAsia" w:ascii="新宋体" w:hAnsi="新宋体" w:eastAsia="新宋体" w:cs="新宋体"/>
          <w:color w:val="auto"/>
          <w:sz w:val="21"/>
          <w:szCs w:val="21"/>
          <w:lang w:val="en-US" w:eastAsia="zh-CN"/>
        </w:rPr>
        <w:t>是否收取履约保证金：</w:t>
      </w:r>
      <w:r>
        <w:rPr>
          <w:rFonts w:hint="eastAsia" w:ascii="新宋体" w:hAnsi="新宋体" w:eastAsia="新宋体" w:cs="新宋体"/>
          <w:color w:val="auto"/>
          <w:sz w:val="21"/>
          <w:szCs w:val="21"/>
        </w:rPr>
        <w:sym w:font="Wingdings" w:char="00A8"/>
      </w:r>
      <w:r>
        <w:rPr>
          <w:rFonts w:hint="eastAsia" w:ascii="新宋体" w:hAnsi="新宋体" w:eastAsia="新宋体" w:cs="新宋体"/>
          <w:color w:val="auto"/>
          <w:sz w:val="21"/>
          <w:szCs w:val="21"/>
          <w:lang w:eastAsia="zh-CN"/>
        </w:rPr>
        <w:t>是</w:t>
      </w: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rPr>
        <w:sym w:font="Wingdings" w:char="00FE"/>
      </w:r>
      <w:r>
        <w:rPr>
          <w:rFonts w:hint="eastAsia" w:ascii="新宋体" w:hAnsi="新宋体" w:eastAsia="新宋体" w:cs="新宋体"/>
          <w:color w:val="auto"/>
          <w:sz w:val="21"/>
          <w:szCs w:val="21"/>
          <w:lang w:eastAsia="zh-CN"/>
        </w:rPr>
        <w:t>否</w:t>
      </w:r>
    </w:p>
    <w:p w14:paraId="42AABA99">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bCs/>
          <w:color w:val="auto"/>
          <w:sz w:val="21"/>
          <w:szCs w:val="21"/>
          <w:u w:val="single"/>
        </w:rPr>
      </w:pPr>
      <w:r>
        <w:rPr>
          <w:rFonts w:hint="eastAsia" w:ascii="新宋体" w:hAnsi="新宋体" w:eastAsia="新宋体" w:cs="新宋体"/>
          <w:bCs/>
          <w:color w:val="auto"/>
          <w:sz w:val="21"/>
          <w:szCs w:val="21"/>
        </w:rPr>
        <w:t>（4）分期履行要求：</w:t>
      </w:r>
      <w:r>
        <w:rPr>
          <w:rFonts w:hint="eastAsia" w:ascii="新宋体" w:hAnsi="新宋体" w:eastAsia="新宋体" w:cs="新宋体"/>
          <w:bCs/>
          <w:color w:val="auto"/>
          <w:sz w:val="21"/>
          <w:szCs w:val="21"/>
          <w:u w:val="single"/>
        </w:rPr>
        <w:t xml:space="preserve">    </w:t>
      </w:r>
      <w:r>
        <w:rPr>
          <w:rFonts w:hint="eastAsia" w:ascii="新宋体" w:hAnsi="新宋体" w:eastAsia="新宋体" w:cs="新宋体"/>
          <w:bCs/>
          <w:color w:val="auto"/>
          <w:sz w:val="21"/>
          <w:szCs w:val="21"/>
          <w:u w:val="single"/>
          <w:lang w:val="en-US" w:eastAsia="zh-CN"/>
        </w:rPr>
        <w:t xml:space="preserve">                    </w:t>
      </w:r>
      <w:r>
        <w:rPr>
          <w:rFonts w:hint="eastAsia" w:ascii="新宋体" w:hAnsi="新宋体" w:eastAsia="新宋体" w:cs="新宋体"/>
          <w:bCs/>
          <w:color w:val="auto"/>
          <w:sz w:val="21"/>
          <w:szCs w:val="21"/>
          <w:u w:val="single"/>
        </w:rPr>
        <w:t xml:space="preserve">  。</w:t>
      </w:r>
    </w:p>
    <w:p w14:paraId="4034A12C">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eastAsia" w:ascii="新宋体" w:hAnsi="新宋体" w:eastAsia="新宋体" w:cs="新宋体"/>
          <w:color w:val="auto"/>
          <w:sz w:val="21"/>
          <w:szCs w:val="21"/>
          <w:u w:val="single"/>
        </w:rPr>
      </w:pPr>
      <w:r>
        <w:rPr>
          <w:rFonts w:hint="eastAsia" w:ascii="新宋体" w:hAnsi="新宋体" w:eastAsia="新宋体" w:cs="新宋体"/>
          <w:bCs/>
          <w:color w:val="auto"/>
          <w:sz w:val="21"/>
          <w:szCs w:val="21"/>
        </w:rPr>
        <w:t>（5）</w:t>
      </w:r>
      <w:r>
        <w:rPr>
          <w:rFonts w:hint="eastAsia" w:ascii="新宋体" w:hAnsi="新宋体" w:eastAsia="新宋体" w:cs="新宋体"/>
          <w:bCs/>
          <w:color w:val="auto"/>
          <w:sz w:val="21"/>
          <w:szCs w:val="21"/>
          <w:lang w:eastAsia="zh-CN"/>
        </w:rPr>
        <w:t>风险处置措施和替代方案</w:t>
      </w:r>
      <w:r>
        <w:rPr>
          <w:rFonts w:hint="eastAsia" w:ascii="新宋体" w:hAnsi="新宋体" w:eastAsia="新宋体" w:cs="新宋体"/>
          <w:bCs/>
          <w:color w:val="auto"/>
          <w:sz w:val="21"/>
          <w:szCs w:val="21"/>
        </w:rPr>
        <w:t>：</w:t>
      </w:r>
      <w:r>
        <w:rPr>
          <w:rFonts w:hint="eastAsia" w:ascii="新宋体" w:hAnsi="新宋体" w:eastAsia="新宋体" w:cs="新宋体"/>
          <w:color w:val="auto"/>
          <w:sz w:val="21"/>
          <w:szCs w:val="21"/>
          <w:u w:val="single"/>
        </w:rPr>
        <w:t xml:space="preserve">    </w:t>
      </w:r>
      <w:r>
        <w:rPr>
          <w:rFonts w:hint="eastAsia" w:ascii="新宋体" w:hAnsi="新宋体" w:eastAsia="新宋体" w:cs="新宋体"/>
          <w:color w:val="auto"/>
          <w:sz w:val="21"/>
          <w:szCs w:val="21"/>
          <w:u w:val="single"/>
          <w:lang w:val="en-US" w:eastAsia="zh-CN"/>
        </w:rPr>
        <w:t xml:space="preserve">            </w:t>
      </w:r>
      <w:r>
        <w:rPr>
          <w:rFonts w:hint="eastAsia" w:ascii="新宋体" w:hAnsi="新宋体" w:eastAsia="新宋体" w:cs="新宋体"/>
          <w:color w:val="auto"/>
          <w:sz w:val="21"/>
          <w:szCs w:val="21"/>
          <w:u w:val="single"/>
        </w:rPr>
        <w:t>。</w:t>
      </w:r>
    </w:p>
    <w:p w14:paraId="08BC7AB3">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2" w:firstLineChars="200"/>
        <w:textAlignment w:val="auto"/>
        <w:outlineLvl w:val="9"/>
        <w:rPr>
          <w:rFonts w:hint="eastAsia" w:ascii="新宋体" w:hAnsi="新宋体" w:eastAsia="新宋体" w:cs="新宋体"/>
          <w:b/>
          <w:bCs w:val="0"/>
          <w:snapToGrid w:val="0"/>
          <w:color w:val="auto"/>
          <w:kern w:val="0"/>
          <w:sz w:val="21"/>
          <w:szCs w:val="21"/>
          <w:lang w:val="en-US" w:eastAsia="en-US" w:bidi="ar-SA"/>
        </w:rPr>
      </w:pPr>
      <w:r>
        <w:rPr>
          <w:rFonts w:hint="eastAsia" w:ascii="新宋体" w:hAnsi="新宋体" w:eastAsia="新宋体" w:cs="新宋体"/>
          <w:b/>
          <w:bCs w:val="0"/>
          <w:snapToGrid w:val="0"/>
          <w:color w:val="auto"/>
          <w:kern w:val="0"/>
          <w:sz w:val="21"/>
          <w:szCs w:val="21"/>
          <w:lang w:val="en-US" w:eastAsia="zh-CN" w:bidi="ar-SA"/>
        </w:rPr>
        <w:t>4.</w:t>
      </w:r>
      <w:r>
        <w:rPr>
          <w:rFonts w:hint="eastAsia" w:ascii="新宋体" w:hAnsi="新宋体" w:eastAsia="新宋体" w:cs="新宋体"/>
          <w:b/>
          <w:bCs w:val="0"/>
          <w:snapToGrid w:val="0"/>
          <w:color w:val="auto"/>
          <w:kern w:val="0"/>
          <w:sz w:val="21"/>
          <w:szCs w:val="21"/>
          <w:lang w:val="en-US" w:eastAsia="en-US" w:bidi="ar-SA"/>
        </w:rPr>
        <w:t>合同验收</w:t>
      </w:r>
    </w:p>
    <w:p w14:paraId="434B3512">
      <w:pPr>
        <w:numPr>
          <w:ilvl w:val="0"/>
          <w:numId w:val="6"/>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578095E7">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0D15CCDB">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C26ECE5">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5DBB6979">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29E157A">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C8AA2D7">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2BB2229E">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4292658C">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4D64E83E">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4B572B12">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4B326527">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72A313BD">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19332668">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7E784254">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354EF87A">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3712A382">
      <w:pPr>
        <w:pStyle w:val="86"/>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06121893">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3B2FF5D4">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2" w:firstLineChars="200"/>
        <w:textAlignment w:val="auto"/>
        <w:outlineLvl w:val="9"/>
        <w:rPr>
          <w:rFonts w:hint="eastAsia" w:ascii="新宋体" w:hAnsi="新宋体" w:eastAsia="新宋体" w:cs="新宋体"/>
          <w:b/>
          <w:bCs w:val="0"/>
          <w:snapToGrid w:val="0"/>
          <w:color w:val="auto"/>
          <w:kern w:val="0"/>
          <w:sz w:val="21"/>
          <w:szCs w:val="21"/>
          <w:lang w:val="en-US" w:eastAsia="en-US" w:bidi="ar-SA"/>
        </w:rPr>
      </w:pPr>
      <w:r>
        <w:rPr>
          <w:rFonts w:hint="eastAsia" w:ascii="新宋体" w:hAnsi="新宋体" w:eastAsia="新宋体" w:cs="新宋体"/>
          <w:b/>
          <w:bCs w:val="0"/>
          <w:snapToGrid w:val="0"/>
          <w:color w:val="auto"/>
          <w:kern w:val="0"/>
          <w:sz w:val="21"/>
          <w:szCs w:val="21"/>
          <w:lang w:val="en-US" w:eastAsia="zh-CN" w:bidi="ar-SA"/>
        </w:rPr>
        <w:t>5.</w:t>
      </w:r>
      <w:r>
        <w:rPr>
          <w:rFonts w:hint="eastAsia" w:ascii="新宋体" w:hAnsi="新宋体" w:eastAsia="新宋体" w:cs="新宋体"/>
          <w:b/>
          <w:bCs w:val="0"/>
          <w:snapToGrid w:val="0"/>
          <w:color w:val="auto"/>
          <w:kern w:val="0"/>
          <w:sz w:val="21"/>
          <w:szCs w:val="21"/>
          <w:lang w:val="en-US" w:eastAsia="en-US" w:bidi="ar-SA"/>
        </w:rPr>
        <w:t>组成合同的文件</w:t>
      </w:r>
    </w:p>
    <w:p w14:paraId="4E6A783B">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2E8994A6">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0481B623">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6D5423DB">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704795FC">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7BA138FE">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10EAC64B">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56670FAC">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70D9B0FD">
      <w:pPr>
        <w:pStyle w:val="86"/>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p>
    <w:p w14:paraId="63A1233D">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2" w:firstLineChars="200"/>
        <w:textAlignment w:val="auto"/>
        <w:outlineLvl w:val="9"/>
        <w:rPr>
          <w:rFonts w:hint="eastAsia" w:ascii="新宋体" w:hAnsi="新宋体" w:eastAsia="新宋体" w:cs="新宋体"/>
          <w:b/>
          <w:bCs w:val="0"/>
          <w:snapToGrid w:val="0"/>
          <w:color w:val="auto"/>
          <w:kern w:val="0"/>
          <w:sz w:val="21"/>
          <w:szCs w:val="21"/>
          <w:lang w:val="en-US" w:eastAsia="en-US" w:bidi="ar-SA"/>
        </w:rPr>
      </w:pPr>
      <w:r>
        <w:rPr>
          <w:rFonts w:hint="eastAsia" w:ascii="新宋体" w:hAnsi="新宋体" w:eastAsia="新宋体" w:cs="新宋体"/>
          <w:b/>
          <w:bCs w:val="0"/>
          <w:snapToGrid w:val="0"/>
          <w:color w:val="auto"/>
          <w:kern w:val="0"/>
          <w:sz w:val="21"/>
          <w:szCs w:val="21"/>
          <w:lang w:val="en-US" w:eastAsia="zh-CN" w:bidi="ar-SA"/>
        </w:rPr>
        <w:t>6.</w:t>
      </w:r>
      <w:r>
        <w:rPr>
          <w:rFonts w:hint="eastAsia" w:ascii="新宋体" w:hAnsi="新宋体" w:eastAsia="新宋体" w:cs="新宋体"/>
          <w:b/>
          <w:bCs w:val="0"/>
          <w:snapToGrid w:val="0"/>
          <w:color w:val="auto"/>
          <w:kern w:val="0"/>
          <w:sz w:val="21"/>
          <w:szCs w:val="21"/>
          <w:lang w:val="en-US" w:eastAsia="en-US" w:bidi="ar-SA"/>
        </w:rPr>
        <w:t>合同生效</w:t>
      </w:r>
    </w:p>
    <w:p w14:paraId="1FFD26EC">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3C6721F5">
      <w:pPr>
        <w:keepNext w:val="0"/>
        <w:keepLines w:val="0"/>
        <w:pageBreakBefore w:val="0"/>
        <w:numPr>
          <w:ilvl w:val="0"/>
          <w:numId w:val="0"/>
        </w:numPr>
        <w:kinsoku/>
        <w:wordWrap/>
        <w:overflowPunct/>
        <w:topLinePunct w:val="0"/>
        <w:bidi w:val="0"/>
        <w:adjustRightInd w:val="0"/>
        <w:snapToGrid w:val="0"/>
        <w:spacing w:before="0" w:beforeLines="0" w:line="400" w:lineRule="exact"/>
        <w:ind w:left="0" w:leftChars="0" w:firstLine="422" w:firstLineChars="200"/>
        <w:textAlignment w:val="auto"/>
        <w:outlineLvl w:val="9"/>
        <w:rPr>
          <w:rFonts w:hint="eastAsia" w:ascii="新宋体" w:hAnsi="新宋体" w:eastAsia="新宋体" w:cs="新宋体"/>
          <w:b/>
          <w:bCs w:val="0"/>
          <w:snapToGrid w:val="0"/>
          <w:color w:val="auto"/>
          <w:kern w:val="0"/>
          <w:sz w:val="21"/>
          <w:szCs w:val="21"/>
          <w:lang w:val="en-US" w:eastAsia="zh-CN" w:bidi="ar-SA"/>
        </w:rPr>
      </w:pPr>
      <w:r>
        <w:rPr>
          <w:rFonts w:hint="eastAsia" w:ascii="新宋体" w:hAnsi="新宋体" w:eastAsia="新宋体" w:cs="新宋体"/>
          <w:b/>
          <w:bCs w:val="0"/>
          <w:snapToGrid w:val="0"/>
          <w:color w:val="auto"/>
          <w:kern w:val="0"/>
          <w:sz w:val="21"/>
          <w:szCs w:val="21"/>
          <w:lang w:val="en-US" w:eastAsia="zh-CN" w:bidi="ar-SA"/>
        </w:rPr>
        <w:t>7.合同份数</w:t>
      </w:r>
    </w:p>
    <w:p w14:paraId="277029E8">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03464744">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39E3A9A">
      <w:pPr>
        <w:adjustRightInd w:val="0"/>
        <w:snapToGrid w:val="0"/>
        <w:spacing w:before="0" w:beforeLines="0" w:line="400" w:lineRule="exact"/>
        <w:ind w:firstLine="420" w:firstLineChars="200"/>
        <w:rPr>
          <w:rFonts w:hint="eastAsia" w:ascii="宋体" w:hAnsi="宋体"/>
          <w:szCs w:val="21"/>
          <w:u w:val="single"/>
        </w:rPr>
      </w:pPr>
      <w:r>
        <w:rPr>
          <w:rFonts w:hint="eastAsia" w:ascii="宋体" w:hAnsi="宋体"/>
          <w:szCs w:val="21"/>
        </w:rPr>
        <w:t>合同订立地点：</w:t>
      </w:r>
      <w:r>
        <w:rPr>
          <w:rFonts w:hint="eastAsia" w:ascii="宋体" w:hAnsi="宋体"/>
          <w:szCs w:val="21"/>
          <w:u w:val="single"/>
        </w:rPr>
        <w:t xml:space="preserve">                           </w:t>
      </w:r>
    </w:p>
    <w:p w14:paraId="1C215B9C">
      <w:pPr>
        <w:keepNext w:val="0"/>
        <w:keepLines w:val="0"/>
        <w:pageBreakBefore w:val="0"/>
        <w:kinsoku/>
        <w:wordWrap/>
        <w:overflowPunct/>
        <w:topLinePunct w:val="0"/>
        <w:bidi w:val="0"/>
        <w:adjustRightInd w:val="0"/>
        <w:snapToGrid w:val="0"/>
        <w:spacing w:before="0" w:beforeLines="0" w:line="400" w:lineRule="exact"/>
        <w:ind w:left="0" w:leftChars="0" w:firstLine="420" w:firstLineChars="200"/>
        <w:textAlignment w:val="auto"/>
        <w:outlineLvl w:val="9"/>
        <w:rPr>
          <w:rFonts w:hint="default" w:ascii="新宋体" w:hAnsi="新宋体" w:eastAsia="新宋体" w:cs="新宋体"/>
          <w:color w:val="auto"/>
          <w:sz w:val="21"/>
          <w:szCs w:val="21"/>
          <w:u w:val="single"/>
          <w:lang w:val="en-US" w:eastAsia="zh-CN"/>
        </w:rPr>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tbl>
      <w:tblPr>
        <w:tblStyle w:val="30"/>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94"/>
        <w:gridCol w:w="2493"/>
        <w:gridCol w:w="2156"/>
        <w:gridCol w:w="2306"/>
      </w:tblGrid>
      <w:tr w14:paraId="462D694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noWrap w:val="0"/>
            <w:vAlign w:val="center"/>
          </w:tcPr>
          <w:p w14:paraId="4C3A2875">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甲方（采购人）</w:t>
            </w:r>
          </w:p>
        </w:tc>
        <w:tc>
          <w:tcPr>
            <w:tcW w:w="2438" w:type="pct"/>
            <w:gridSpan w:val="2"/>
            <w:tcBorders>
              <w:left w:val="single" w:color="auto" w:sz="2" w:space="0"/>
              <w:bottom w:val="single" w:color="auto" w:sz="2" w:space="0"/>
            </w:tcBorders>
            <w:noWrap w:val="0"/>
            <w:vAlign w:val="center"/>
          </w:tcPr>
          <w:p w14:paraId="5EF0BE27">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乙方（供应商）</w:t>
            </w:r>
          </w:p>
        </w:tc>
      </w:tr>
      <w:tr w14:paraId="6D824C5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765" w:hRule="atLeast"/>
        </w:trPr>
        <w:tc>
          <w:tcPr>
            <w:tcW w:w="1199" w:type="pct"/>
            <w:tcBorders>
              <w:top w:val="single" w:color="auto" w:sz="2" w:space="0"/>
              <w:bottom w:val="single" w:color="auto" w:sz="2" w:space="0"/>
              <w:right w:val="single" w:color="auto" w:sz="2" w:space="0"/>
            </w:tcBorders>
            <w:noWrap w:val="0"/>
            <w:vAlign w:val="center"/>
          </w:tcPr>
          <w:p w14:paraId="08B8A718">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单位名称</w:t>
            </w:r>
          </w:p>
          <w:p w14:paraId="528787B6">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（公章</w:t>
            </w:r>
            <w:r>
              <w:rPr>
                <w:rFonts w:hint="eastAsia" w:ascii="新宋体" w:hAnsi="新宋体" w:eastAsia="新宋体" w:cs="新宋体"/>
                <w:color w:val="auto"/>
                <w:sz w:val="21"/>
                <w:szCs w:val="21"/>
                <w:lang w:eastAsia="zh-CN"/>
              </w:rPr>
              <w:t>或合同章</w:t>
            </w:r>
            <w:r>
              <w:rPr>
                <w:rFonts w:hint="eastAsia" w:ascii="新宋体" w:hAnsi="新宋体" w:eastAsia="新宋体" w:cs="新宋体"/>
                <w:color w:val="auto"/>
                <w:sz w:val="21"/>
                <w:szCs w:val="21"/>
              </w:rPr>
              <w:t>）</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626FC485">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70FD1C1">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单位名称</w:t>
            </w:r>
          </w:p>
          <w:p w14:paraId="4B03A11F">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（公章</w:t>
            </w:r>
            <w:r>
              <w:rPr>
                <w:rFonts w:hint="eastAsia" w:ascii="新宋体" w:hAnsi="新宋体" w:eastAsia="新宋体" w:cs="新宋体"/>
                <w:color w:val="auto"/>
                <w:sz w:val="21"/>
                <w:szCs w:val="21"/>
                <w:lang w:eastAsia="zh-CN"/>
              </w:rPr>
              <w:t>或合同章</w:t>
            </w:r>
            <w:r>
              <w:rPr>
                <w:rFonts w:hint="eastAsia" w:ascii="新宋体" w:hAnsi="新宋体" w:eastAsia="新宋体" w:cs="新宋体"/>
                <w:color w:val="auto"/>
                <w:sz w:val="21"/>
                <w:szCs w:val="21"/>
              </w:rPr>
              <w:t>）</w:t>
            </w:r>
          </w:p>
        </w:tc>
        <w:tc>
          <w:tcPr>
            <w:tcW w:w="1260" w:type="pct"/>
            <w:tcBorders>
              <w:top w:val="single" w:color="auto" w:sz="2" w:space="0"/>
              <w:left w:val="single" w:color="auto" w:sz="2" w:space="0"/>
              <w:bottom w:val="single" w:color="auto" w:sz="2" w:space="0"/>
            </w:tcBorders>
            <w:noWrap w:val="0"/>
            <w:vAlign w:val="center"/>
          </w:tcPr>
          <w:p w14:paraId="733BD812">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2E931FB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42" w:hRule="atLeast"/>
        </w:trPr>
        <w:tc>
          <w:tcPr>
            <w:tcW w:w="1199" w:type="pct"/>
            <w:vMerge w:val="restart"/>
            <w:tcBorders>
              <w:top w:val="single" w:color="auto" w:sz="2" w:space="0"/>
              <w:right w:val="single" w:color="auto" w:sz="2" w:space="0"/>
            </w:tcBorders>
            <w:noWrap w:val="0"/>
            <w:vAlign w:val="center"/>
          </w:tcPr>
          <w:p w14:paraId="78D93703">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法定代表人</w:t>
            </w:r>
          </w:p>
          <w:p w14:paraId="5CB7A1A4">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或其委托代理人</w:t>
            </w:r>
          </w:p>
          <w:p w14:paraId="082629D8">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（签章）</w:t>
            </w:r>
          </w:p>
        </w:tc>
        <w:tc>
          <w:tcPr>
            <w:tcW w:w="1361" w:type="pct"/>
            <w:vMerge w:val="restart"/>
            <w:tcBorders>
              <w:top w:val="single" w:color="auto" w:sz="2" w:space="0"/>
              <w:left w:val="single" w:color="auto" w:sz="2" w:space="0"/>
              <w:right w:val="single" w:color="auto" w:sz="2" w:space="0"/>
            </w:tcBorders>
            <w:noWrap w:val="0"/>
            <w:vAlign w:val="center"/>
          </w:tcPr>
          <w:p w14:paraId="26EF88B4">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right w:val="single" w:color="auto" w:sz="2" w:space="0"/>
            </w:tcBorders>
            <w:noWrap w:val="0"/>
            <w:vAlign w:val="center"/>
          </w:tcPr>
          <w:p w14:paraId="6E6DDE50">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法定代表人</w:t>
            </w:r>
          </w:p>
          <w:p w14:paraId="42627016">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或其委托代理人</w:t>
            </w:r>
          </w:p>
          <w:p w14:paraId="7083B439">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（签章）</w:t>
            </w:r>
          </w:p>
        </w:tc>
        <w:tc>
          <w:tcPr>
            <w:tcW w:w="1260" w:type="pct"/>
            <w:tcBorders>
              <w:top w:val="single" w:color="auto" w:sz="2" w:space="0"/>
              <w:left w:val="single" w:color="auto" w:sz="2" w:space="0"/>
              <w:bottom w:val="single" w:color="auto" w:sz="2" w:space="0"/>
            </w:tcBorders>
            <w:noWrap w:val="0"/>
            <w:vAlign w:val="center"/>
          </w:tcPr>
          <w:p w14:paraId="125D26E8">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z w:val="21"/>
                <w:szCs w:val="21"/>
              </w:rPr>
            </w:pPr>
          </w:p>
        </w:tc>
      </w:tr>
      <w:tr w14:paraId="08141F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vMerge w:val="continue"/>
            <w:tcBorders>
              <w:bottom w:val="single" w:color="auto" w:sz="2" w:space="0"/>
              <w:right w:val="single" w:color="auto" w:sz="2" w:space="0"/>
            </w:tcBorders>
            <w:noWrap w:val="0"/>
            <w:vAlign w:val="center"/>
          </w:tcPr>
          <w:p w14:paraId="23D35480">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361" w:type="pct"/>
            <w:vMerge w:val="continue"/>
            <w:tcBorders>
              <w:left w:val="single" w:color="auto" w:sz="2" w:space="0"/>
              <w:bottom w:val="single" w:color="auto" w:sz="2" w:space="0"/>
              <w:right w:val="single" w:color="auto" w:sz="2" w:space="0"/>
            </w:tcBorders>
            <w:noWrap w:val="0"/>
            <w:vAlign w:val="center"/>
          </w:tcPr>
          <w:p w14:paraId="71160484">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343CD72">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lang w:eastAsia="zh-CN"/>
              </w:rPr>
              <w:t>拥有者性别</w:t>
            </w:r>
          </w:p>
        </w:tc>
        <w:tc>
          <w:tcPr>
            <w:tcW w:w="1260" w:type="pct"/>
            <w:tcBorders>
              <w:top w:val="single" w:color="auto" w:sz="2" w:space="0"/>
              <w:left w:val="single" w:color="auto" w:sz="2" w:space="0"/>
              <w:bottom w:val="single" w:color="auto" w:sz="2" w:space="0"/>
            </w:tcBorders>
            <w:noWrap w:val="0"/>
            <w:vAlign w:val="center"/>
          </w:tcPr>
          <w:p w14:paraId="231CD281">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7F0E5E4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4DDC8276">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lang w:eastAsia="zh-CN"/>
              </w:rPr>
              <w:t>住</w:t>
            </w: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lang w:eastAsia="zh-CN"/>
              </w:rPr>
              <w:t>所</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54A3AE91">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6D5B05A">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lang w:eastAsia="zh-CN"/>
              </w:rPr>
              <w:t>住</w:t>
            </w:r>
            <w:r>
              <w:rPr>
                <w:rFonts w:hint="eastAsia" w:ascii="新宋体" w:hAnsi="新宋体" w:eastAsia="新宋体" w:cs="新宋体"/>
                <w:color w:val="auto"/>
                <w:sz w:val="21"/>
                <w:szCs w:val="21"/>
                <w:lang w:val="en-US" w:eastAsia="zh-CN"/>
              </w:rPr>
              <w:t xml:space="preserve">  </w:t>
            </w:r>
            <w:r>
              <w:rPr>
                <w:rFonts w:hint="eastAsia" w:ascii="新宋体" w:hAnsi="新宋体" w:eastAsia="新宋体" w:cs="新宋体"/>
                <w:color w:val="auto"/>
                <w:sz w:val="21"/>
                <w:szCs w:val="21"/>
                <w:lang w:eastAsia="zh-CN"/>
              </w:rPr>
              <w:t>所</w:t>
            </w:r>
          </w:p>
        </w:tc>
        <w:tc>
          <w:tcPr>
            <w:tcW w:w="1260" w:type="pct"/>
            <w:tcBorders>
              <w:top w:val="single" w:color="auto" w:sz="2" w:space="0"/>
              <w:left w:val="single" w:color="auto" w:sz="2" w:space="0"/>
              <w:bottom w:val="single" w:color="auto" w:sz="2" w:space="0"/>
            </w:tcBorders>
            <w:noWrap w:val="0"/>
            <w:vAlign w:val="center"/>
          </w:tcPr>
          <w:p w14:paraId="2C01EB35">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20CB4C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04280F32">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联 系 人</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6425B9C0">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BC0E8DC">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联 系 人</w:t>
            </w:r>
          </w:p>
        </w:tc>
        <w:tc>
          <w:tcPr>
            <w:tcW w:w="1260" w:type="pct"/>
            <w:tcBorders>
              <w:top w:val="single" w:color="auto" w:sz="2" w:space="0"/>
              <w:left w:val="single" w:color="auto" w:sz="2" w:space="0"/>
              <w:bottom w:val="single" w:color="auto" w:sz="2" w:space="0"/>
            </w:tcBorders>
            <w:noWrap w:val="0"/>
            <w:vAlign w:val="center"/>
          </w:tcPr>
          <w:p w14:paraId="749C60EB">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26E7E9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2DC43E87">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联系电话</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6A617347">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3B83EAE">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联系电话</w:t>
            </w:r>
          </w:p>
        </w:tc>
        <w:tc>
          <w:tcPr>
            <w:tcW w:w="1260" w:type="pct"/>
            <w:tcBorders>
              <w:top w:val="single" w:color="auto" w:sz="2" w:space="0"/>
              <w:left w:val="single" w:color="auto" w:sz="2" w:space="0"/>
              <w:bottom w:val="single" w:color="auto" w:sz="2" w:space="0"/>
            </w:tcBorders>
            <w:noWrap w:val="0"/>
            <w:vAlign w:val="center"/>
          </w:tcPr>
          <w:p w14:paraId="4AE18A40">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12DB978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090C129F">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lang w:eastAsia="zh-CN"/>
              </w:rPr>
              <w:t>通信地址</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25221A48">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E147FEC">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lang w:eastAsia="zh-CN"/>
              </w:rPr>
              <w:t>通信地址</w:t>
            </w:r>
          </w:p>
        </w:tc>
        <w:tc>
          <w:tcPr>
            <w:tcW w:w="1260" w:type="pct"/>
            <w:tcBorders>
              <w:top w:val="single" w:color="auto" w:sz="2" w:space="0"/>
              <w:left w:val="single" w:color="auto" w:sz="2" w:space="0"/>
              <w:bottom w:val="single" w:color="auto" w:sz="2" w:space="0"/>
            </w:tcBorders>
            <w:noWrap w:val="0"/>
            <w:vAlign w:val="center"/>
          </w:tcPr>
          <w:p w14:paraId="01101337">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502996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5B6F4E82">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邮政编码</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74F5B0FA">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7656D8F">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邮政编码</w:t>
            </w:r>
          </w:p>
        </w:tc>
        <w:tc>
          <w:tcPr>
            <w:tcW w:w="1260" w:type="pct"/>
            <w:tcBorders>
              <w:top w:val="single" w:color="auto" w:sz="2" w:space="0"/>
              <w:left w:val="single" w:color="auto" w:sz="2" w:space="0"/>
              <w:bottom w:val="single" w:color="auto" w:sz="2" w:space="0"/>
            </w:tcBorders>
            <w:noWrap w:val="0"/>
            <w:vAlign w:val="center"/>
          </w:tcPr>
          <w:p w14:paraId="2E3F3260">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5295AA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3693C7E5">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电子邮箱</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5C6BC293">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AD98AF">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电子邮箱</w:t>
            </w:r>
          </w:p>
        </w:tc>
        <w:tc>
          <w:tcPr>
            <w:tcW w:w="1260" w:type="pct"/>
            <w:tcBorders>
              <w:top w:val="single" w:color="auto" w:sz="2" w:space="0"/>
              <w:left w:val="single" w:color="auto" w:sz="2" w:space="0"/>
              <w:bottom w:val="single" w:color="auto" w:sz="2" w:space="0"/>
            </w:tcBorders>
            <w:noWrap w:val="0"/>
            <w:vAlign w:val="center"/>
          </w:tcPr>
          <w:p w14:paraId="63640B47">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1A120E6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2B3C0F42">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统一社会信用代码</w:t>
            </w:r>
          </w:p>
        </w:tc>
        <w:tc>
          <w:tcPr>
            <w:tcW w:w="1361" w:type="pct"/>
            <w:tcBorders>
              <w:top w:val="single" w:color="auto" w:sz="2" w:space="0"/>
              <w:left w:val="single" w:color="auto" w:sz="2" w:space="0"/>
              <w:bottom w:val="single" w:color="auto" w:sz="2" w:space="0"/>
              <w:right w:val="single" w:color="auto" w:sz="2" w:space="0"/>
            </w:tcBorders>
            <w:noWrap w:val="0"/>
            <w:vAlign w:val="center"/>
          </w:tcPr>
          <w:p w14:paraId="6D1662F5">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B331E4B">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统一社会信用代码</w:t>
            </w:r>
          </w:p>
        </w:tc>
        <w:tc>
          <w:tcPr>
            <w:tcW w:w="1260" w:type="pct"/>
            <w:tcBorders>
              <w:top w:val="single" w:color="auto" w:sz="2" w:space="0"/>
              <w:left w:val="single" w:color="auto" w:sz="2" w:space="0"/>
              <w:bottom w:val="single" w:color="auto" w:sz="2" w:space="0"/>
            </w:tcBorders>
            <w:noWrap w:val="0"/>
            <w:vAlign w:val="center"/>
          </w:tcPr>
          <w:p w14:paraId="403BFB30">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0221FE6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35306B2F">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361" w:type="pct"/>
            <w:tcBorders>
              <w:top w:val="single" w:color="auto" w:sz="2" w:space="0"/>
              <w:left w:val="single" w:color="auto" w:sz="2" w:space="0"/>
              <w:bottom w:val="single" w:color="auto" w:sz="2" w:space="0"/>
              <w:right w:val="single" w:color="auto" w:sz="2" w:space="0"/>
            </w:tcBorders>
            <w:noWrap w:val="0"/>
            <w:vAlign w:val="center"/>
          </w:tcPr>
          <w:p w14:paraId="7AE953F1">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B9F2BC3">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开户名称</w:t>
            </w:r>
          </w:p>
        </w:tc>
        <w:tc>
          <w:tcPr>
            <w:tcW w:w="1260" w:type="pct"/>
            <w:tcBorders>
              <w:top w:val="single" w:color="auto" w:sz="2" w:space="0"/>
              <w:left w:val="single" w:color="auto" w:sz="2" w:space="0"/>
              <w:bottom w:val="single" w:color="auto" w:sz="2" w:space="0"/>
            </w:tcBorders>
            <w:noWrap w:val="0"/>
            <w:vAlign w:val="center"/>
          </w:tcPr>
          <w:p w14:paraId="5F8BEE65">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7CFD89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185C095A">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361" w:type="pct"/>
            <w:tcBorders>
              <w:top w:val="single" w:color="auto" w:sz="2" w:space="0"/>
              <w:left w:val="single" w:color="auto" w:sz="2" w:space="0"/>
              <w:bottom w:val="single" w:color="auto" w:sz="2" w:space="0"/>
              <w:right w:val="single" w:color="auto" w:sz="2" w:space="0"/>
            </w:tcBorders>
            <w:noWrap w:val="0"/>
            <w:vAlign w:val="center"/>
          </w:tcPr>
          <w:p w14:paraId="45B144DC">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CCDB2F1">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开户银行</w:t>
            </w:r>
          </w:p>
        </w:tc>
        <w:tc>
          <w:tcPr>
            <w:tcW w:w="1260" w:type="pct"/>
            <w:tcBorders>
              <w:top w:val="single" w:color="auto" w:sz="2" w:space="0"/>
              <w:left w:val="single" w:color="auto" w:sz="2" w:space="0"/>
              <w:bottom w:val="single" w:color="auto" w:sz="2" w:space="0"/>
            </w:tcBorders>
            <w:noWrap w:val="0"/>
            <w:vAlign w:val="center"/>
          </w:tcPr>
          <w:p w14:paraId="4E404130">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pacing w:val="20"/>
                <w:sz w:val="21"/>
                <w:szCs w:val="21"/>
              </w:rPr>
            </w:pPr>
          </w:p>
        </w:tc>
      </w:tr>
      <w:tr w14:paraId="6B1584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99" w:type="pct"/>
            <w:tcBorders>
              <w:top w:val="single" w:color="auto" w:sz="2" w:space="0"/>
              <w:bottom w:val="single" w:color="auto" w:sz="2" w:space="0"/>
              <w:right w:val="single" w:color="auto" w:sz="2" w:space="0"/>
            </w:tcBorders>
            <w:noWrap w:val="0"/>
            <w:vAlign w:val="center"/>
          </w:tcPr>
          <w:p w14:paraId="1D542276">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361" w:type="pct"/>
            <w:tcBorders>
              <w:top w:val="single" w:color="auto" w:sz="2" w:space="0"/>
              <w:left w:val="single" w:color="auto" w:sz="2" w:space="0"/>
              <w:bottom w:val="single" w:color="auto" w:sz="2" w:space="0"/>
              <w:right w:val="single" w:color="auto" w:sz="2" w:space="0"/>
            </w:tcBorders>
            <w:noWrap w:val="0"/>
            <w:vAlign w:val="center"/>
          </w:tcPr>
          <w:p w14:paraId="14C5E385">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5215ED2">
            <w:pPr>
              <w:pageBreakBefore w:val="0"/>
              <w:kinsoku/>
              <w:wordWrap/>
              <w:overflowPunct/>
              <w:topLinePunct w:val="0"/>
              <w:bidi w:val="0"/>
              <w:adjustRightInd w:val="0"/>
              <w:snapToGrid w:val="0"/>
              <w:spacing w:line="300" w:lineRule="exact"/>
              <w:ind w:left="0" w:leftChars="0" w:firstLine="0" w:firstLineChars="0"/>
              <w:jc w:val="center"/>
              <w:textAlignment w:val="auto"/>
              <w:outlineLvl w:val="9"/>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银行账号</w:t>
            </w:r>
          </w:p>
        </w:tc>
        <w:tc>
          <w:tcPr>
            <w:tcW w:w="1260" w:type="pct"/>
            <w:tcBorders>
              <w:top w:val="single" w:color="auto" w:sz="2" w:space="0"/>
              <w:left w:val="single" w:color="auto" w:sz="2" w:space="0"/>
              <w:bottom w:val="single" w:color="auto" w:sz="2" w:space="0"/>
            </w:tcBorders>
            <w:noWrap w:val="0"/>
            <w:vAlign w:val="center"/>
          </w:tcPr>
          <w:p w14:paraId="1D2134C1">
            <w:pPr>
              <w:pageBreakBefore w:val="0"/>
              <w:kinsoku/>
              <w:wordWrap/>
              <w:overflowPunct/>
              <w:topLinePunct w:val="0"/>
              <w:bidi w:val="0"/>
              <w:adjustRightInd w:val="0"/>
              <w:snapToGrid w:val="0"/>
              <w:spacing w:line="300" w:lineRule="exact"/>
              <w:ind w:left="0" w:leftChars="0"/>
              <w:jc w:val="center"/>
              <w:textAlignment w:val="auto"/>
              <w:outlineLvl w:val="9"/>
              <w:rPr>
                <w:rFonts w:hint="eastAsia" w:ascii="新宋体" w:hAnsi="新宋体" w:eastAsia="新宋体" w:cs="新宋体"/>
                <w:color w:val="auto"/>
                <w:sz w:val="21"/>
                <w:szCs w:val="21"/>
              </w:rPr>
            </w:pPr>
          </w:p>
        </w:tc>
      </w:tr>
    </w:tbl>
    <w:p w14:paraId="1056AC0A">
      <w:pPr>
        <w:pStyle w:val="2"/>
        <w:numPr>
          <w:ilvl w:val="0"/>
          <w:numId w:val="0"/>
        </w:numPr>
        <w:spacing w:before="120" w:after="120" w:line="720" w:lineRule="auto"/>
        <w:jc w:val="center"/>
        <w:rPr>
          <w:rFonts w:hint="eastAsia" w:ascii="宋体" w:hAnsi="宋体" w:eastAsia="宋体" w:cs="宋体"/>
          <w:color w:val="auto"/>
          <w:sz w:val="28"/>
          <w:szCs w:val="28"/>
          <w:highlight w:val="none"/>
        </w:rPr>
      </w:pPr>
      <w:r>
        <w:rPr>
          <w:rFonts w:hint="eastAsia" w:ascii="宋体" w:hAnsi="宋体" w:eastAsia="宋体" w:cs="宋体"/>
          <w:b/>
          <w:bCs/>
          <w:sz w:val="21"/>
          <w:szCs w:val="21"/>
        </w:rPr>
        <w:t>合同融资注意事项：1）供应商预进行合同融资的，在签订合同时，供应商的合同账号需为合同融资行指定的账户和账号。2）预进行合同融资的合同，采购人在合同备案时，需将备案系统中供应商默认账户和账号修改为合同融资行指定的账户和账号，然后再提交合同备案。</w:t>
      </w:r>
      <w:r>
        <w:rPr>
          <w:rFonts w:hint="eastAsia" w:ascii="宋体" w:hAnsi="宋体" w:eastAsia="宋体" w:cs="宋体"/>
          <w:color w:val="auto"/>
          <w:sz w:val="28"/>
          <w:szCs w:val="15"/>
          <w:highlight w:val="none"/>
        </w:rPr>
        <w:br w:type="page"/>
      </w:r>
      <w:r>
        <w:rPr>
          <w:rFonts w:hint="eastAsia" w:ascii="宋体" w:hAnsi="宋体" w:eastAsia="宋体" w:cs="宋体"/>
          <w:color w:val="auto"/>
          <w:sz w:val="28"/>
          <w:szCs w:val="28"/>
          <w:highlight w:val="none"/>
        </w:rPr>
        <w:t>第五章   工程量清单</w:t>
      </w:r>
    </w:p>
    <w:p w14:paraId="6524B738">
      <w:pPr>
        <w:pStyle w:val="3"/>
        <w:numPr>
          <w:ilvl w:val="1"/>
          <w:numId w:val="0"/>
        </w:numPr>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工程量清单（另附）</w:t>
      </w:r>
    </w:p>
    <w:p w14:paraId="5D16CE90">
      <w:pPr>
        <w:pStyle w:val="2"/>
        <w:numPr>
          <w:ilvl w:val="0"/>
          <w:numId w:val="0"/>
        </w:numPr>
        <w:spacing w:before="120" w:after="120" w:line="400" w:lineRule="exact"/>
        <w:jc w:val="center"/>
        <w:rPr>
          <w:rFonts w:hint="eastAsia" w:ascii="宋体" w:hAnsi="宋体" w:eastAsia="宋体" w:cs="宋体"/>
          <w:bCs w:val="0"/>
          <w:color w:val="auto"/>
          <w:sz w:val="28"/>
          <w:szCs w:val="28"/>
          <w:highlight w:val="none"/>
        </w:rPr>
      </w:pPr>
      <w:bookmarkStart w:id="1106" w:name="_Toc15071"/>
      <w:r>
        <w:rPr>
          <w:rFonts w:hint="eastAsia" w:ascii="宋体" w:hAnsi="宋体" w:eastAsia="宋体" w:cs="宋体"/>
          <w:bCs w:val="0"/>
          <w:color w:val="auto"/>
          <w:sz w:val="28"/>
          <w:szCs w:val="28"/>
          <w:highlight w:val="none"/>
        </w:rPr>
        <w:br w:type="page"/>
      </w:r>
      <w:r>
        <w:rPr>
          <w:rFonts w:hint="eastAsia" w:ascii="宋体" w:hAnsi="宋体" w:eastAsia="宋体" w:cs="宋体"/>
          <w:bCs w:val="0"/>
          <w:color w:val="auto"/>
          <w:sz w:val="28"/>
          <w:szCs w:val="28"/>
          <w:highlight w:val="none"/>
        </w:rPr>
        <w:t>第六章  响应文件格式</w:t>
      </w:r>
      <w:bookmarkEnd w:id="1106"/>
    </w:p>
    <w:p w14:paraId="57A8E49D">
      <w:pPr>
        <w:spacing w:line="400" w:lineRule="exact"/>
        <w:rPr>
          <w:rFonts w:hint="eastAsia" w:ascii="宋体" w:hAnsi="宋体" w:eastAsia="宋体" w:cs="宋体"/>
          <w:color w:val="auto"/>
          <w:highlight w:val="none"/>
        </w:rPr>
      </w:pPr>
    </w:p>
    <w:p w14:paraId="1E656110">
      <w:pPr>
        <w:spacing w:line="440" w:lineRule="exact"/>
        <w:jc w:val="right"/>
        <w:rPr>
          <w:rFonts w:hint="eastAsia" w:ascii="宋体" w:hAnsi="宋体" w:eastAsia="宋体" w:cs="宋体"/>
          <w:color w:val="auto"/>
          <w:sz w:val="24"/>
          <w:highlight w:val="none"/>
          <w:bdr w:val="single" w:color="auto" w:sz="4" w:space="0"/>
        </w:rPr>
      </w:pPr>
    </w:p>
    <w:p w14:paraId="6866CC6E">
      <w:pPr>
        <w:spacing w:line="440" w:lineRule="exact"/>
        <w:rPr>
          <w:rFonts w:hint="eastAsia" w:ascii="宋体" w:hAnsi="宋体" w:eastAsia="宋体" w:cs="宋体"/>
          <w:color w:val="auto"/>
          <w:sz w:val="24"/>
          <w:highlight w:val="none"/>
        </w:rPr>
      </w:pPr>
    </w:p>
    <w:p w14:paraId="77849747">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u w:val="single"/>
        </w:rPr>
        <w:t xml:space="preserve">                     </w:t>
      </w:r>
      <w:r>
        <w:rPr>
          <w:rFonts w:hint="eastAsia" w:ascii="宋体" w:hAnsi="宋体" w:eastAsia="宋体" w:cs="宋体"/>
          <w:b/>
          <w:bCs/>
          <w:color w:val="auto"/>
          <w:sz w:val="30"/>
          <w:szCs w:val="30"/>
          <w:highlight w:val="none"/>
        </w:rPr>
        <w:t>（项目名称）竞争性磋商</w:t>
      </w:r>
    </w:p>
    <w:p w14:paraId="36B18A80">
      <w:pPr>
        <w:jc w:val="center"/>
        <w:rPr>
          <w:rFonts w:hint="eastAsia" w:ascii="宋体" w:hAnsi="宋体" w:eastAsia="宋体" w:cs="宋体"/>
          <w:color w:val="auto"/>
          <w:sz w:val="28"/>
          <w:szCs w:val="28"/>
          <w:highlight w:val="none"/>
        </w:rPr>
      </w:pPr>
    </w:p>
    <w:p w14:paraId="726B9CF1">
      <w:pPr>
        <w:jc w:val="center"/>
        <w:rPr>
          <w:rFonts w:hint="eastAsia" w:ascii="宋体" w:hAnsi="宋体" w:eastAsia="宋体" w:cs="宋体"/>
          <w:color w:val="auto"/>
          <w:sz w:val="28"/>
          <w:szCs w:val="28"/>
          <w:highlight w:val="none"/>
        </w:rPr>
      </w:pPr>
    </w:p>
    <w:p w14:paraId="56BB3647">
      <w:pPr>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响 应 文 件</w:t>
      </w:r>
    </w:p>
    <w:p w14:paraId="3A83C499">
      <w:pPr>
        <w:spacing w:line="400" w:lineRule="exact"/>
        <w:rPr>
          <w:rFonts w:hint="eastAsia" w:ascii="宋体" w:hAnsi="宋体" w:eastAsia="宋体" w:cs="宋体"/>
          <w:color w:val="auto"/>
          <w:sz w:val="28"/>
          <w:szCs w:val="28"/>
          <w:highlight w:val="none"/>
        </w:rPr>
      </w:pPr>
    </w:p>
    <w:p w14:paraId="3A7FEB9B">
      <w:pPr>
        <w:spacing w:line="400" w:lineRule="exact"/>
        <w:rPr>
          <w:rFonts w:hint="eastAsia" w:ascii="宋体" w:hAnsi="宋体" w:eastAsia="宋体" w:cs="宋体"/>
          <w:color w:val="auto"/>
          <w:sz w:val="28"/>
          <w:szCs w:val="28"/>
          <w:highlight w:val="none"/>
        </w:rPr>
      </w:pPr>
    </w:p>
    <w:p w14:paraId="586B1C11">
      <w:pPr>
        <w:spacing w:line="400" w:lineRule="exact"/>
        <w:rPr>
          <w:rFonts w:hint="eastAsia" w:ascii="宋体" w:hAnsi="宋体" w:eastAsia="宋体" w:cs="宋体"/>
          <w:color w:val="auto"/>
          <w:sz w:val="28"/>
          <w:szCs w:val="28"/>
          <w:highlight w:val="none"/>
        </w:rPr>
      </w:pPr>
    </w:p>
    <w:p w14:paraId="6F45B065">
      <w:pPr>
        <w:spacing w:line="400" w:lineRule="exact"/>
        <w:rPr>
          <w:rFonts w:hint="eastAsia" w:ascii="宋体" w:hAnsi="宋体" w:eastAsia="宋体" w:cs="宋体"/>
          <w:color w:val="auto"/>
          <w:sz w:val="28"/>
          <w:szCs w:val="28"/>
          <w:highlight w:val="none"/>
        </w:rPr>
      </w:pPr>
    </w:p>
    <w:p w14:paraId="06B1D442">
      <w:pPr>
        <w:spacing w:line="400" w:lineRule="exact"/>
        <w:rPr>
          <w:rFonts w:hint="eastAsia" w:ascii="宋体" w:hAnsi="宋体" w:eastAsia="宋体" w:cs="宋体"/>
          <w:color w:val="auto"/>
          <w:sz w:val="28"/>
          <w:szCs w:val="28"/>
          <w:highlight w:val="none"/>
        </w:rPr>
      </w:pPr>
    </w:p>
    <w:p w14:paraId="5E2BE196">
      <w:pPr>
        <w:spacing w:line="400" w:lineRule="exact"/>
        <w:rPr>
          <w:rFonts w:hint="eastAsia" w:ascii="宋体" w:hAnsi="宋体" w:eastAsia="宋体" w:cs="宋体"/>
          <w:color w:val="auto"/>
          <w:sz w:val="28"/>
          <w:szCs w:val="28"/>
          <w:highlight w:val="none"/>
        </w:rPr>
      </w:pPr>
    </w:p>
    <w:p w14:paraId="37744F55">
      <w:pPr>
        <w:spacing w:line="400" w:lineRule="exact"/>
        <w:rPr>
          <w:rFonts w:hint="eastAsia" w:ascii="宋体" w:hAnsi="宋体" w:eastAsia="宋体" w:cs="宋体"/>
          <w:color w:val="auto"/>
          <w:sz w:val="28"/>
          <w:szCs w:val="28"/>
          <w:highlight w:val="none"/>
        </w:rPr>
      </w:pPr>
    </w:p>
    <w:p w14:paraId="4D656D7E">
      <w:pPr>
        <w:spacing w:line="400" w:lineRule="exact"/>
        <w:rPr>
          <w:rFonts w:hint="eastAsia" w:ascii="宋体" w:hAnsi="宋体" w:eastAsia="宋体" w:cs="宋体"/>
          <w:color w:val="auto"/>
          <w:sz w:val="28"/>
          <w:szCs w:val="28"/>
          <w:highlight w:val="none"/>
        </w:rPr>
      </w:pPr>
    </w:p>
    <w:p w14:paraId="6918CF72">
      <w:pPr>
        <w:spacing w:line="400" w:lineRule="exact"/>
        <w:rPr>
          <w:rFonts w:hint="eastAsia" w:ascii="宋体" w:hAnsi="宋体" w:eastAsia="宋体" w:cs="宋体"/>
          <w:color w:val="auto"/>
          <w:sz w:val="28"/>
          <w:szCs w:val="28"/>
          <w:highlight w:val="none"/>
        </w:rPr>
      </w:pPr>
    </w:p>
    <w:p w14:paraId="4EBD0D8D">
      <w:pPr>
        <w:spacing w:line="400" w:lineRule="exact"/>
        <w:rPr>
          <w:rFonts w:hint="eastAsia" w:ascii="宋体" w:hAnsi="宋体" w:eastAsia="宋体" w:cs="宋体"/>
          <w:color w:val="auto"/>
          <w:sz w:val="28"/>
          <w:szCs w:val="28"/>
          <w:highlight w:val="none"/>
        </w:rPr>
      </w:pPr>
    </w:p>
    <w:p w14:paraId="1A3D0212">
      <w:pPr>
        <w:spacing w:line="400" w:lineRule="exact"/>
        <w:rPr>
          <w:rFonts w:hint="eastAsia" w:ascii="宋体" w:hAnsi="宋体" w:eastAsia="宋体" w:cs="宋体"/>
          <w:color w:val="auto"/>
          <w:sz w:val="28"/>
          <w:szCs w:val="28"/>
          <w:highlight w:val="none"/>
        </w:rPr>
      </w:pPr>
    </w:p>
    <w:p w14:paraId="5F974F0C">
      <w:pPr>
        <w:pStyle w:val="14"/>
        <w:rPr>
          <w:rFonts w:hint="eastAsia" w:ascii="宋体" w:hAnsi="宋体" w:eastAsia="宋体" w:cs="宋体"/>
          <w:color w:val="auto"/>
          <w:sz w:val="28"/>
          <w:szCs w:val="28"/>
          <w:highlight w:val="none"/>
        </w:rPr>
      </w:pPr>
    </w:p>
    <w:p w14:paraId="05FA4A32">
      <w:pPr>
        <w:spacing w:line="400" w:lineRule="exact"/>
        <w:rPr>
          <w:rFonts w:hint="eastAsia" w:ascii="宋体" w:hAnsi="宋体" w:eastAsia="宋体" w:cs="宋体"/>
          <w:color w:val="auto"/>
          <w:sz w:val="28"/>
          <w:szCs w:val="28"/>
          <w:highlight w:val="none"/>
        </w:rPr>
      </w:pPr>
    </w:p>
    <w:p w14:paraId="22BB4CEE">
      <w:pPr>
        <w:spacing w:line="400" w:lineRule="exact"/>
        <w:rPr>
          <w:rFonts w:hint="eastAsia" w:ascii="宋体" w:hAnsi="宋体" w:eastAsia="宋体" w:cs="宋体"/>
          <w:color w:val="auto"/>
          <w:sz w:val="28"/>
          <w:szCs w:val="28"/>
          <w:highlight w:val="none"/>
        </w:rPr>
      </w:pPr>
    </w:p>
    <w:p w14:paraId="7D18FF9D">
      <w:pPr>
        <w:spacing w:line="48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（单位电子签章）</w:t>
      </w:r>
    </w:p>
    <w:p w14:paraId="69DEAD56">
      <w:pPr>
        <w:spacing w:line="48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（电子签名或盖章）</w:t>
      </w:r>
    </w:p>
    <w:p w14:paraId="63A675F2">
      <w:pPr>
        <w:spacing w:line="48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5B825937">
      <w:pPr>
        <w:spacing w:line="440" w:lineRule="exact"/>
        <w:rPr>
          <w:rFonts w:hint="eastAsia" w:ascii="宋体" w:hAnsi="宋体" w:eastAsia="宋体" w:cs="宋体"/>
          <w:color w:val="auto"/>
          <w:sz w:val="24"/>
          <w:highlight w:val="none"/>
        </w:rPr>
      </w:pPr>
    </w:p>
    <w:p w14:paraId="789619BA">
      <w:pPr>
        <w:spacing w:line="400" w:lineRule="exact"/>
        <w:rPr>
          <w:rFonts w:hint="eastAsia" w:ascii="宋体" w:hAnsi="宋体" w:eastAsia="宋体" w:cs="宋体"/>
          <w:color w:val="auto"/>
          <w:sz w:val="22"/>
          <w:szCs w:val="28"/>
          <w:highlight w:val="none"/>
        </w:rPr>
      </w:pPr>
      <w:r>
        <w:rPr>
          <w:rFonts w:hint="eastAsia" w:ascii="宋体" w:hAnsi="宋体" w:eastAsia="宋体" w:cs="宋体"/>
          <w:color w:val="auto"/>
          <w:highlight w:val="none"/>
        </w:rPr>
        <w:br w:type="page"/>
      </w:r>
    </w:p>
    <w:p w14:paraId="75995BFB">
      <w:pPr>
        <w:pStyle w:val="72"/>
        <w:jc w:val="center"/>
        <w:rPr>
          <w:rFonts w:hint="eastAsia" w:ascii="宋体" w:hAnsi="宋体" w:eastAsia="宋体" w:cs="宋体"/>
          <w:color w:val="auto"/>
          <w:szCs w:val="28"/>
          <w:highlight w:val="none"/>
        </w:rPr>
      </w:pPr>
      <w:bookmarkStart w:id="1107" w:name="_Toc20198"/>
      <w:bookmarkStart w:id="1108" w:name="_Toc152045787"/>
      <w:bookmarkStart w:id="1109" w:name="_Toc144974856"/>
      <w:bookmarkStart w:id="1110" w:name="_Toc466298157"/>
      <w:bookmarkStart w:id="1111" w:name="_Toc152042576"/>
      <w:bookmarkStart w:id="1112" w:name="_Toc8978"/>
      <w:r>
        <w:rPr>
          <w:rFonts w:hint="eastAsia" w:ascii="宋体" w:hAnsi="宋体" w:eastAsia="宋体" w:cs="宋体"/>
          <w:color w:val="auto"/>
          <w:szCs w:val="28"/>
          <w:highlight w:val="none"/>
        </w:rPr>
        <w:t>目    录</w:t>
      </w:r>
      <w:bookmarkEnd w:id="1107"/>
      <w:bookmarkEnd w:id="1108"/>
      <w:bookmarkEnd w:id="1109"/>
      <w:bookmarkEnd w:id="1110"/>
      <w:bookmarkEnd w:id="1111"/>
      <w:bookmarkEnd w:id="1112"/>
    </w:p>
    <w:p w14:paraId="1EFD715A">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一、磋商函及磋商函附录（第一轮报价）</w:t>
      </w:r>
    </w:p>
    <w:p w14:paraId="36DB0F28">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二、法定代表身份证明</w:t>
      </w:r>
    </w:p>
    <w:p w14:paraId="774DE476">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三、授权委托书</w:t>
      </w:r>
    </w:p>
    <w:p w14:paraId="0040E848">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四、已标价工程量清单</w:t>
      </w:r>
    </w:p>
    <w:p w14:paraId="6C361674">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五、施工组织设计</w:t>
      </w:r>
    </w:p>
    <w:p w14:paraId="584F3305">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六、项目管理机构</w:t>
      </w:r>
    </w:p>
    <w:p w14:paraId="7DFCA7B5">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七、资格证明材料</w:t>
      </w:r>
    </w:p>
    <w:p w14:paraId="4B3282E1">
      <w:pPr>
        <w:spacing w:line="540" w:lineRule="exact"/>
        <w:rPr>
          <w:rFonts w:hint="eastAsia" w:ascii="宋体" w:hAnsi="宋体" w:eastAsia="宋体" w:cs="宋体"/>
          <w:color w:val="auto"/>
          <w:highlight w:val="none"/>
        </w:rPr>
      </w:pPr>
      <w:r>
        <w:rPr>
          <w:rFonts w:hint="eastAsia" w:ascii="宋体" w:hAnsi="宋体" w:eastAsia="宋体" w:cs="宋体"/>
          <w:color w:val="auto"/>
          <w:highlight w:val="none"/>
        </w:rPr>
        <w:t>八、其他材料</w:t>
      </w:r>
    </w:p>
    <w:p w14:paraId="0681124C">
      <w:pPr>
        <w:pStyle w:val="72"/>
        <w:numPr>
          <w:ilvl w:val="0"/>
          <w:numId w:val="7"/>
        </w:numPr>
        <w:jc w:val="center"/>
        <w:rPr>
          <w:rFonts w:hint="eastAsia" w:ascii="宋体" w:hAnsi="宋体" w:eastAsia="宋体" w:cs="宋体"/>
          <w:b/>
          <w:color w:val="auto"/>
          <w:szCs w:val="28"/>
          <w:highlight w:val="none"/>
        </w:rPr>
      </w:pPr>
      <w:bookmarkStart w:id="1113" w:name="_Toc152042577"/>
      <w:bookmarkStart w:id="1114" w:name="_Toc144974857"/>
      <w:bookmarkStart w:id="1115" w:name="_Toc152045788"/>
      <w:bookmarkStart w:id="1116" w:name="_Toc8095"/>
      <w:bookmarkStart w:id="1117" w:name="_Toc9911"/>
      <w:bookmarkStart w:id="1118" w:name="_Toc466298158"/>
      <w:r>
        <w:rPr>
          <w:rFonts w:hint="eastAsia" w:ascii="宋体" w:hAnsi="宋体" w:eastAsia="宋体" w:cs="宋体"/>
          <w:b/>
          <w:color w:val="auto"/>
          <w:szCs w:val="28"/>
          <w:highlight w:val="none"/>
        </w:rPr>
        <w:br w:type="page"/>
      </w:r>
      <w:r>
        <w:rPr>
          <w:rFonts w:hint="eastAsia" w:ascii="宋体" w:hAnsi="宋体" w:eastAsia="宋体" w:cs="宋体"/>
          <w:b/>
          <w:color w:val="auto"/>
          <w:szCs w:val="28"/>
          <w:highlight w:val="none"/>
        </w:rPr>
        <w:t>磋商函及</w:t>
      </w:r>
      <w:bookmarkEnd w:id="1113"/>
      <w:bookmarkEnd w:id="1114"/>
      <w:bookmarkEnd w:id="1115"/>
      <w:r>
        <w:rPr>
          <w:rFonts w:hint="eastAsia" w:ascii="宋体" w:hAnsi="宋体" w:eastAsia="宋体" w:cs="宋体"/>
          <w:b/>
          <w:color w:val="auto"/>
          <w:szCs w:val="28"/>
          <w:highlight w:val="none"/>
        </w:rPr>
        <w:t>磋商函附录</w:t>
      </w:r>
      <w:bookmarkEnd w:id="1116"/>
      <w:bookmarkEnd w:id="1117"/>
      <w:bookmarkEnd w:id="1118"/>
    </w:p>
    <w:p w14:paraId="5D08C073">
      <w:pPr>
        <w:pStyle w:val="73"/>
        <w:numPr>
          <w:ilvl w:val="0"/>
          <w:numId w:val="8"/>
        </w:numPr>
        <w:jc w:val="center"/>
        <w:outlineLvl w:val="0"/>
        <w:rPr>
          <w:rFonts w:hint="eastAsia" w:ascii="宋体" w:hAnsi="宋体" w:eastAsia="宋体" w:cs="宋体"/>
          <w:b/>
          <w:color w:val="auto"/>
          <w:szCs w:val="23"/>
          <w:highlight w:val="none"/>
        </w:rPr>
      </w:pPr>
      <w:bookmarkStart w:id="1119" w:name="_Toc23888"/>
      <w:bookmarkStart w:id="1120" w:name="_Toc455867830"/>
      <w:bookmarkStart w:id="1121" w:name="_Toc152045789"/>
      <w:bookmarkStart w:id="1122" w:name="_Toc16901"/>
      <w:bookmarkStart w:id="1123" w:name="_Toc26262"/>
      <w:bookmarkStart w:id="1124" w:name="_Toc455080170"/>
      <w:bookmarkStart w:id="1125" w:name="_Toc8915"/>
      <w:bookmarkStart w:id="1126" w:name="_Toc318450744"/>
      <w:bookmarkStart w:id="1127" w:name="_Toc18705"/>
      <w:bookmarkStart w:id="1128" w:name="_Toc490667892"/>
      <w:bookmarkStart w:id="1129" w:name="_Toc466298159"/>
      <w:bookmarkStart w:id="1130" w:name="_Toc152042578"/>
      <w:bookmarkStart w:id="1131" w:name="_Toc6005"/>
      <w:bookmarkStart w:id="1132" w:name="_Toc30581"/>
      <w:bookmarkStart w:id="1133" w:name="_Toc11855"/>
      <w:bookmarkStart w:id="1134" w:name="_Toc144974858"/>
      <w:r>
        <w:rPr>
          <w:rFonts w:hint="eastAsia" w:ascii="宋体" w:hAnsi="宋体" w:eastAsia="宋体" w:cs="宋体"/>
          <w:b/>
          <w:color w:val="auto"/>
          <w:szCs w:val="23"/>
          <w:highlight w:val="none"/>
        </w:rPr>
        <w:t>磋商函</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0FA00499">
      <w:pPr>
        <w:pStyle w:val="17"/>
        <w:spacing w:line="420" w:lineRule="exact"/>
        <w:ind w:left="98" w:leftChars="0" w:hanging="98" w:hangingChars="47"/>
        <w:rPr>
          <w:rFonts w:hint="eastAsia" w:ascii="宋体" w:hAnsi="宋体" w:eastAsia="宋体" w:cs="宋体"/>
          <w:color w:val="auto"/>
          <w:szCs w:val="21"/>
          <w:highlight w:val="none"/>
        </w:rPr>
      </w:pPr>
      <w:bookmarkStart w:id="1135" w:name="_Toc466298160"/>
      <w:bookmarkStart w:id="1136" w:name="_Toc447888814"/>
      <w:bookmarkStart w:id="1137" w:name="_Toc490667893"/>
      <w:bookmarkStart w:id="1138" w:name="_Toc19056"/>
      <w:r>
        <w:rPr>
          <w:rFonts w:hint="eastAsia" w:ascii="宋体" w:hAnsi="宋体" w:eastAsia="宋体" w:cs="宋体"/>
          <w:color w:val="auto"/>
          <w:szCs w:val="21"/>
          <w:highlight w:val="none"/>
        </w:rPr>
        <w:t>致 ：</w:t>
      </w:r>
      <w:r>
        <w:rPr>
          <w:rFonts w:hint="eastAsia" w:ascii="宋体" w:hAnsi="宋体" w:eastAsia="宋体" w:cs="宋体"/>
          <w:color w:val="auto"/>
          <w:szCs w:val="21"/>
          <w:highlight w:val="none"/>
          <w:u w:val="single"/>
        </w:rPr>
        <w:t>（采购人）</w:t>
      </w:r>
    </w:p>
    <w:p w14:paraId="05A51DC2">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1．根据已收到的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元</w:t>
      </w:r>
      <w:r>
        <w:rPr>
          <w:rFonts w:hint="eastAsia" w:ascii="宋体" w:hAnsi="宋体" w:eastAsia="宋体" w:cs="宋体"/>
          <w:color w:val="auto"/>
          <w:szCs w:val="21"/>
          <w:highlight w:val="none"/>
        </w:rPr>
        <w:t>）的磋商总报价作为第一次磋商报价，按合同约定实施和完成本项目，并承担其任何质量缺陷等问题所造成的任何损失。</w:t>
      </w:r>
    </w:p>
    <w:p w14:paraId="5D5E8015">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已详细检查全部竞争性磋商文件包括澄清文件、补充通知（如有的话）及有关附件，并完全理解我方必须放弃提出含糊不清或误解的权力，愿按照磋商文件中的条款和要求按最后一次的报价做为最后报价。</w:t>
      </w:r>
    </w:p>
    <w:p w14:paraId="0642CAD2">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3．我方在此承诺，我方若能成交，保证在施工期限内，全面履行竞争性磋商文件中规定的职责和义务。</w:t>
      </w:r>
    </w:p>
    <w:p w14:paraId="7BAC26A9">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4．如果我方成交，我方保证按合同条款中规定的内容执行；我方保证质量达到国家及行业现行标准规范规定的合格要求，并按竞争性磋商文件和有关规定提交一切资料。</w:t>
      </w:r>
    </w:p>
    <w:p w14:paraId="404A728B">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．我方同意从响应文件递交截止日期起</w:t>
      </w:r>
      <w:r>
        <w:rPr>
          <w:rFonts w:hint="eastAsia" w:ascii="宋体" w:hAnsi="宋体" w:eastAsia="宋体" w:cs="宋体"/>
          <w:color w:val="auto"/>
          <w:szCs w:val="21"/>
          <w:highlight w:val="none"/>
          <w:u w:val="single"/>
        </w:rPr>
        <w:t xml:space="preserve">  60  </w:t>
      </w:r>
      <w:r>
        <w:rPr>
          <w:rFonts w:hint="eastAsia" w:ascii="宋体" w:hAnsi="宋体" w:eastAsia="宋体" w:cs="宋体"/>
          <w:color w:val="auto"/>
          <w:szCs w:val="21"/>
          <w:highlight w:val="none"/>
          <w:u w:val="none"/>
          <w:lang w:val="en-US" w:eastAsia="zh-CN"/>
        </w:rPr>
        <w:t>日历</w:t>
      </w:r>
      <w:r>
        <w:rPr>
          <w:rFonts w:hint="eastAsia" w:ascii="宋体" w:hAnsi="宋体" w:eastAsia="宋体" w:cs="宋体"/>
          <w:color w:val="auto"/>
          <w:szCs w:val="21"/>
          <w:highlight w:val="none"/>
        </w:rPr>
        <w:t>天内保持磋商响应文件有效，在此有效期内，我方将严格遵守磋商响应文件的承诺，本磋商响应文件对我方具有约束力，并可随时被接受成交。</w:t>
      </w:r>
    </w:p>
    <w:p w14:paraId="2843D585">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．除磋商响应文件所提交的资料外，我方同意随时接受贵方的检查、询问，并根据磋商需要补充贵方要求提交的资料。</w:t>
      </w:r>
    </w:p>
    <w:p w14:paraId="675941CA">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．如果我方成交后，我方没有任何正当理由而拒签合同，同时我方愿意补偿该项工作因我方延误所造成的经济损失。</w:t>
      </w:r>
    </w:p>
    <w:p w14:paraId="0C075675">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．我方愿接受合同条款中规定的合同价款计算和调整方式。</w:t>
      </w:r>
    </w:p>
    <w:p w14:paraId="0C116CCD">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．除非另外达成协议并生效，贵方的成交通知书和本磋商响应文件将成为约束我方的合同文件组成部分。</w:t>
      </w:r>
    </w:p>
    <w:p w14:paraId="5BDD7230">
      <w:pPr>
        <w:pStyle w:val="17"/>
        <w:spacing w:line="420" w:lineRule="exact"/>
        <w:ind w:left="1" w:leftChars="0" w:firstLine="420" w:firstLineChars="200"/>
        <w:rPr>
          <w:rFonts w:hint="eastAsia" w:ascii="宋体" w:hAnsi="宋体" w:eastAsia="宋体" w:cs="宋体"/>
          <w:color w:val="auto"/>
          <w:szCs w:val="21"/>
          <w:highlight w:val="none"/>
        </w:rPr>
      </w:pPr>
    </w:p>
    <w:p w14:paraId="1619E258">
      <w:pPr>
        <w:pStyle w:val="17"/>
        <w:spacing w:line="420" w:lineRule="exact"/>
        <w:ind w:left="1" w:leftChars="0" w:firstLine="420" w:firstLineChars="200"/>
        <w:rPr>
          <w:rFonts w:hint="eastAsia" w:ascii="宋体" w:hAnsi="宋体" w:eastAsia="宋体" w:cs="宋体"/>
          <w:color w:val="auto"/>
          <w:szCs w:val="21"/>
          <w:highlight w:val="none"/>
        </w:rPr>
      </w:pPr>
    </w:p>
    <w:p w14:paraId="37BFE9A3">
      <w:pPr>
        <w:pStyle w:val="17"/>
        <w:spacing w:line="420" w:lineRule="exact"/>
        <w:ind w:left="1" w:leftChars="0" w:firstLine="420" w:firstLineChars="200"/>
        <w:rPr>
          <w:rFonts w:hint="eastAsia" w:ascii="宋体" w:hAnsi="宋体" w:eastAsia="宋体" w:cs="宋体"/>
          <w:color w:val="auto"/>
          <w:szCs w:val="21"/>
          <w:highlight w:val="none"/>
        </w:rPr>
      </w:pPr>
    </w:p>
    <w:p w14:paraId="2B6460F3">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（单位电子签章）</w:t>
      </w:r>
    </w:p>
    <w:p w14:paraId="50A9C6C9">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（电子签名或盖章）</w:t>
      </w:r>
    </w:p>
    <w:p w14:paraId="5D24A01E">
      <w:pPr>
        <w:pStyle w:val="17"/>
        <w:spacing w:line="420" w:lineRule="exact"/>
        <w:ind w:left="1"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BA35A50">
      <w:pPr>
        <w:pStyle w:val="3"/>
        <w:numPr>
          <w:ilvl w:val="1"/>
          <w:numId w:val="0"/>
        </w:numPr>
        <w:jc w:val="center"/>
        <w:rPr>
          <w:rFonts w:hint="eastAsia" w:ascii="宋体" w:hAnsi="宋体" w:eastAsia="宋体" w:cs="宋体"/>
          <w:color w:val="auto"/>
          <w:sz w:val="28"/>
          <w:szCs w:val="28"/>
          <w:highlight w:val="none"/>
        </w:rPr>
      </w:pPr>
      <w:bookmarkStart w:id="1139" w:name="_Toc11398"/>
      <w:r>
        <w:rPr>
          <w:rFonts w:hint="eastAsia" w:ascii="宋体" w:hAnsi="宋体" w:eastAsia="宋体" w:cs="宋体"/>
          <w:color w:val="auto"/>
          <w:sz w:val="28"/>
          <w:szCs w:val="28"/>
          <w:highlight w:val="none"/>
        </w:rPr>
        <w:t>（二）</w:t>
      </w:r>
      <w:bookmarkEnd w:id="1135"/>
      <w:bookmarkEnd w:id="1136"/>
      <w:r>
        <w:rPr>
          <w:rFonts w:hint="eastAsia" w:ascii="宋体" w:hAnsi="宋体" w:eastAsia="宋体" w:cs="宋体"/>
          <w:color w:val="auto"/>
          <w:sz w:val="28"/>
          <w:szCs w:val="28"/>
          <w:highlight w:val="none"/>
        </w:rPr>
        <w:t>磋商函附录</w:t>
      </w:r>
      <w:bookmarkEnd w:id="1137"/>
      <w:bookmarkEnd w:id="1138"/>
      <w:bookmarkEnd w:id="1139"/>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6"/>
        <w:gridCol w:w="1696"/>
        <w:gridCol w:w="870"/>
        <w:gridCol w:w="1305"/>
        <w:gridCol w:w="1120"/>
        <w:gridCol w:w="1122"/>
      </w:tblGrid>
      <w:tr w14:paraId="6998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1A9AFF3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工程名称</w:t>
            </w: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08071DDC">
            <w:pPr>
              <w:rPr>
                <w:rFonts w:hint="eastAsia" w:ascii="宋体" w:hAnsi="宋体" w:eastAsia="宋体" w:cs="宋体"/>
                <w:color w:val="auto"/>
                <w:szCs w:val="21"/>
                <w:highlight w:val="none"/>
              </w:rPr>
            </w:pPr>
          </w:p>
        </w:tc>
      </w:tr>
      <w:tr w14:paraId="311E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249C6BC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41F7099F">
            <w:pPr>
              <w:rPr>
                <w:rFonts w:hint="eastAsia" w:ascii="宋体" w:hAnsi="宋体" w:eastAsia="宋体" w:cs="宋体"/>
                <w:color w:val="auto"/>
                <w:szCs w:val="21"/>
                <w:highlight w:val="none"/>
              </w:rPr>
            </w:pPr>
          </w:p>
        </w:tc>
      </w:tr>
      <w:tr w14:paraId="22FB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0AAB4EB1">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磋商</w:t>
            </w:r>
            <w:r>
              <w:rPr>
                <w:rFonts w:hint="eastAsia" w:ascii="宋体" w:hAnsi="宋体" w:eastAsia="宋体" w:cs="宋体"/>
                <w:color w:val="auto"/>
                <w:szCs w:val="21"/>
                <w:highlight w:val="none"/>
                <w:lang w:val="en-US" w:eastAsia="zh-CN"/>
              </w:rPr>
              <w:t>内容</w:t>
            </w: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3BA90EAB">
            <w:pPr>
              <w:pStyle w:val="26"/>
              <w:widowControl w:val="0"/>
              <w:spacing w:before="0" w:beforeAutospacing="0" w:after="0" w:afterAutospacing="0" w:line="400" w:lineRule="exac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rPr>
              <w:t>工程量清单所含的全部内容。</w:t>
            </w:r>
          </w:p>
        </w:tc>
      </w:tr>
      <w:tr w14:paraId="0129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3326" w:type="dxa"/>
            <w:vMerge w:val="restart"/>
            <w:tcBorders>
              <w:top w:val="single" w:color="auto" w:sz="4" w:space="0"/>
              <w:left w:val="single" w:color="auto" w:sz="4" w:space="0"/>
              <w:right w:val="single" w:color="auto" w:sz="4" w:space="0"/>
            </w:tcBorders>
            <w:noWrap w:val="0"/>
            <w:vAlign w:val="center"/>
          </w:tcPr>
          <w:p w14:paraId="5F786C8F">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投标总价</w:t>
            </w:r>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7D0404A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w:t>
            </w:r>
          </w:p>
        </w:tc>
        <w:tc>
          <w:tcPr>
            <w:tcW w:w="3547" w:type="dxa"/>
            <w:gridSpan w:val="3"/>
            <w:tcBorders>
              <w:top w:val="single" w:color="auto" w:sz="4" w:space="0"/>
              <w:left w:val="single" w:color="auto" w:sz="4" w:space="0"/>
              <w:bottom w:val="single" w:color="auto" w:sz="4" w:space="0"/>
              <w:right w:val="single" w:color="auto" w:sz="4" w:space="0"/>
            </w:tcBorders>
            <w:noWrap w:val="0"/>
            <w:vAlign w:val="center"/>
          </w:tcPr>
          <w:p w14:paraId="5EFF4D6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（小写）</w:t>
            </w:r>
          </w:p>
        </w:tc>
      </w:tr>
      <w:tr w14:paraId="78B3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326" w:type="dxa"/>
            <w:vMerge w:val="continue"/>
            <w:tcBorders>
              <w:left w:val="single" w:color="auto" w:sz="4" w:space="0"/>
              <w:bottom w:val="single" w:color="auto" w:sz="4" w:space="0"/>
              <w:right w:val="single" w:color="auto" w:sz="4" w:space="0"/>
            </w:tcBorders>
            <w:noWrap w:val="0"/>
            <w:vAlign w:val="center"/>
          </w:tcPr>
          <w:p w14:paraId="4AF75F69">
            <w:pPr>
              <w:spacing w:line="360" w:lineRule="exact"/>
              <w:jc w:val="center"/>
              <w:rPr>
                <w:rFonts w:hint="eastAsia" w:ascii="宋体" w:hAnsi="宋体" w:eastAsia="宋体" w:cs="宋体"/>
                <w:color w:val="auto"/>
                <w:szCs w:val="21"/>
                <w:highlight w:val="none"/>
              </w:rPr>
            </w:pP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2470E6E6">
            <w:pP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（供应商应在此填列第一次报价，但以供应商最后一次的磋商报价为成交价）</w:t>
            </w:r>
          </w:p>
        </w:tc>
      </w:tr>
      <w:tr w14:paraId="5AF8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1C0F0A8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1696" w:type="dxa"/>
            <w:tcBorders>
              <w:top w:val="single" w:color="auto" w:sz="4" w:space="0"/>
              <w:left w:val="single" w:color="auto" w:sz="4" w:space="0"/>
              <w:bottom w:val="single" w:color="auto" w:sz="4" w:space="0"/>
              <w:right w:val="single" w:color="auto" w:sz="4" w:space="0"/>
            </w:tcBorders>
            <w:noWrap w:val="0"/>
            <w:vAlign w:val="center"/>
          </w:tcPr>
          <w:p w14:paraId="66E0C8A9">
            <w:pPr>
              <w:rPr>
                <w:rFonts w:hint="eastAsia" w:ascii="宋体" w:hAnsi="宋体" w:eastAsia="宋体" w:cs="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8D67D5D">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D44FCE0">
            <w:pPr>
              <w:rPr>
                <w:rFonts w:hint="eastAsia" w:ascii="宋体" w:hAnsi="宋体" w:eastAsia="宋体" w:cs="宋体"/>
                <w:color w:val="auto"/>
                <w:szCs w:val="21"/>
                <w:highlight w:val="none"/>
              </w:rPr>
            </w:pPr>
          </w:p>
        </w:tc>
        <w:tc>
          <w:tcPr>
            <w:tcW w:w="1120" w:type="dxa"/>
            <w:tcBorders>
              <w:top w:val="single" w:color="auto" w:sz="4" w:space="0"/>
              <w:left w:val="single" w:color="auto" w:sz="4" w:space="0"/>
              <w:bottom w:val="single" w:color="auto" w:sz="4" w:space="0"/>
              <w:right w:val="single" w:color="auto" w:sz="4" w:space="0"/>
            </w:tcBorders>
            <w:noWrap w:val="0"/>
            <w:vAlign w:val="center"/>
          </w:tcPr>
          <w:p w14:paraId="22AADCFB">
            <w:pPr>
              <w:ind w:left="0" w:leftChars="0"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注册编号</w:t>
            </w:r>
          </w:p>
        </w:tc>
        <w:tc>
          <w:tcPr>
            <w:tcW w:w="1122" w:type="dxa"/>
            <w:tcBorders>
              <w:top w:val="single" w:color="auto" w:sz="4" w:space="0"/>
              <w:left w:val="single" w:color="auto" w:sz="4" w:space="0"/>
              <w:bottom w:val="single" w:color="auto" w:sz="4" w:space="0"/>
              <w:right w:val="single" w:color="auto" w:sz="4" w:space="0"/>
            </w:tcBorders>
            <w:noWrap w:val="0"/>
            <w:vAlign w:val="center"/>
          </w:tcPr>
          <w:p w14:paraId="5002A9C1">
            <w:pPr>
              <w:rPr>
                <w:rFonts w:hint="eastAsia" w:ascii="宋体" w:hAnsi="宋体" w:eastAsia="宋体" w:cs="宋体"/>
                <w:color w:val="auto"/>
                <w:szCs w:val="21"/>
                <w:highlight w:val="none"/>
              </w:rPr>
            </w:pPr>
          </w:p>
        </w:tc>
      </w:tr>
      <w:tr w14:paraId="0E83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25098FD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w:t>
            </w: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3B72899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合格，达到施工质量验收规范国家标准</w:t>
            </w:r>
          </w:p>
        </w:tc>
      </w:tr>
      <w:tr w14:paraId="00305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72500D1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4DF9585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日历天</w:t>
            </w:r>
          </w:p>
        </w:tc>
      </w:tr>
      <w:tr w14:paraId="23F4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3326" w:type="dxa"/>
            <w:tcBorders>
              <w:top w:val="single" w:color="auto" w:sz="4" w:space="0"/>
              <w:left w:val="single" w:color="auto" w:sz="4" w:space="0"/>
              <w:bottom w:val="single" w:color="auto" w:sz="4" w:space="0"/>
              <w:right w:val="single" w:color="auto" w:sz="4" w:space="0"/>
            </w:tcBorders>
            <w:noWrap w:val="0"/>
            <w:vAlign w:val="center"/>
          </w:tcPr>
          <w:p w14:paraId="667D9D5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磋商有效期</w:t>
            </w:r>
          </w:p>
        </w:tc>
        <w:tc>
          <w:tcPr>
            <w:tcW w:w="6113" w:type="dxa"/>
            <w:gridSpan w:val="5"/>
            <w:tcBorders>
              <w:top w:val="single" w:color="auto" w:sz="4" w:space="0"/>
              <w:left w:val="single" w:color="auto" w:sz="4" w:space="0"/>
              <w:bottom w:val="single" w:color="auto" w:sz="4" w:space="0"/>
              <w:right w:val="single" w:color="auto" w:sz="4" w:space="0"/>
            </w:tcBorders>
            <w:noWrap w:val="0"/>
            <w:vAlign w:val="center"/>
          </w:tcPr>
          <w:p w14:paraId="7BD3765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60日历天（响应文件截止之日起）</w:t>
            </w:r>
          </w:p>
        </w:tc>
      </w:tr>
    </w:tbl>
    <w:p w14:paraId="1033F7FF">
      <w:pPr>
        <w:rPr>
          <w:rFonts w:hint="eastAsia" w:ascii="宋体" w:hAnsi="宋体" w:eastAsia="宋体" w:cs="宋体"/>
          <w:color w:val="auto"/>
          <w:szCs w:val="21"/>
          <w:highlight w:val="none"/>
        </w:rPr>
      </w:pPr>
    </w:p>
    <w:p w14:paraId="17DDFAA4">
      <w:pPr>
        <w:rPr>
          <w:rFonts w:hint="eastAsia" w:ascii="宋体" w:hAnsi="宋体" w:eastAsia="宋体" w:cs="宋体"/>
          <w:color w:val="auto"/>
          <w:szCs w:val="21"/>
          <w:highlight w:val="none"/>
        </w:rPr>
      </w:pPr>
    </w:p>
    <w:p w14:paraId="3A17C555">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供应商法定代表人或其授权委托人(电子签名或盖章)</w:t>
      </w:r>
      <w:r>
        <w:rPr>
          <w:rFonts w:hint="eastAsia" w:ascii="宋体" w:hAnsi="宋体" w:eastAsia="宋体" w:cs="宋体"/>
          <w:color w:val="auto"/>
          <w:szCs w:val="21"/>
          <w:highlight w:val="none"/>
          <w:u w:val="single"/>
          <w:lang w:val="en-US" w:eastAsia="zh-CN"/>
        </w:rPr>
        <w:t xml:space="preserve">                 </w:t>
      </w:r>
    </w:p>
    <w:p w14:paraId="7981CC1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供应商(单位电子签章):</w:t>
      </w:r>
      <w:r>
        <w:rPr>
          <w:rFonts w:hint="eastAsia" w:ascii="宋体" w:hAnsi="宋体" w:eastAsia="宋体" w:cs="宋体"/>
          <w:color w:val="auto"/>
          <w:szCs w:val="21"/>
          <w:highlight w:val="none"/>
        </w:rPr>
        <w:tab/>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rPr>
        <w:tab/>
      </w:r>
    </w:p>
    <w:p w14:paraId="6EDC192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年   月   </w:t>
      </w:r>
      <w:bookmarkStart w:id="1140" w:name="_Toc152042580"/>
      <w:bookmarkStart w:id="1141" w:name="_Toc287367268"/>
      <w:bookmarkStart w:id="1142" w:name="_Toc152045791"/>
      <w:bookmarkStart w:id="1143" w:name="_Toc144974860"/>
      <w:r>
        <w:rPr>
          <w:rFonts w:hint="eastAsia" w:ascii="宋体" w:hAnsi="宋体" w:eastAsia="宋体" w:cs="宋体"/>
          <w:color w:val="auto"/>
          <w:szCs w:val="21"/>
          <w:highlight w:val="none"/>
        </w:rPr>
        <w:t>日</w:t>
      </w:r>
      <w:bookmarkStart w:id="1144" w:name="_Toc2481"/>
      <w:bookmarkStart w:id="1145" w:name="_Toc31033"/>
      <w:bookmarkStart w:id="1146" w:name="_Toc466298161"/>
    </w:p>
    <w:p w14:paraId="597CA072">
      <w:pPr>
        <w:spacing w:line="360" w:lineRule="auto"/>
        <w:ind w:firstLine="210" w:firstLineChars="100"/>
        <w:jc w:val="center"/>
        <w:rPr>
          <w:rFonts w:hint="eastAsia" w:ascii="宋体" w:hAnsi="宋体" w:eastAsia="宋体" w:cs="宋体"/>
          <w:b/>
          <w:color w:val="auto"/>
          <w:sz w:val="28"/>
          <w:szCs w:val="40"/>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 w:val="28"/>
          <w:szCs w:val="40"/>
          <w:highlight w:val="none"/>
        </w:rPr>
        <w:t>二、</w:t>
      </w:r>
      <w:bookmarkEnd w:id="1140"/>
      <w:bookmarkEnd w:id="1141"/>
      <w:bookmarkEnd w:id="1142"/>
      <w:bookmarkEnd w:id="1143"/>
      <w:r>
        <w:rPr>
          <w:rFonts w:hint="eastAsia" w:ascii="宋体" w:hAnsi="宋体" w:eastAsia="宋体" w:cs="宋体"/>
          <w:b/>
          <w:color w:val="auto"/>
          <w:sz w:val="28"/>
          <w:szCs w:val="40"/>
          <w:highlight w:val="none"/>
        </w:rPr>
        <w:t>法定代表身份证明</w:t>
      </w:r>
      <w:bookmarkEnd w:id="1144"/>
      <w:bookmarkEnd w:id="1145"/>
      <w:bookmarkEnd w:id="1146"/>
    </w:p>
    <w:p w14:paraId="0C3582D0">
      <w:pPr>
        <w:spacing w:line="440" w:lineRule="exact"/>
        <w:jc w:val="center"/>
        <w:rPr>
          <w:rFonts w:hint="eastAsia" w:ascii="宋体" w:hAnsi="宋体" w:eastAsia="宋体" w:cs="宋体"/>
          <w:color w:val="auto"/>
          <w:szCs w:val="21"/>
          <w:highlight w:val="none"/>
        </w:rPr>
      </w:pPr>
    </w:p>
    <w:p w14:paraId="73E97516">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44DA56B">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9D14136">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391667B8">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w:t>
      </w:r>
    </w:p>
    <w:p w14:paraId="68D65909">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rPr>
        <w:t xml:space="preserve">                               </w:t>
      </w:r>
    </w:p>
    <w:p w14:paraId="3BB8E8FD">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14:paraId="29E1944A">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（供应商名称）的法定代表人。</w:t>
      </w:r>
    </w:p>
    <w:p w14:paraId="28C73504">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72349EB8">
      <w:pPr>
        <w:spacing w:line="440" w:lineRule="exact"/>
        <w:rPr>
          <w:rFonts w:hint="eastAsia" w:ascii="宋体" w:hAnsi="宋体" w:eastAsia="宋体" w:cs="宋体"/>
          <w:color w:val="auto"/>
          <w:szCs w:val="21"/>
          <w:highlight w:val="none"/>
        </w:rPr>
      </w:pPr>
    </w:p>
    <w:p w14:paraId="5DAD4252">
      <w:pPr>
        <w:spacing w:line="440" w:lineRule="exact"/>
        <w:rPr>
          <w:rFonts w:hint="eastAsia" w:ascii="宋体" w:hAnsi="宋体" w:eastAsia="宋体" w:cs="宋体"/>
          <w:color w:val="auto"/>
          <w:szCs w:val="21"/>
          <w:highlight w:val="none"/>
        </w:rPr>
      </w:pPr>
    </w:p>
    <w:p w14:paraId="3E6AB45A">
      <w:pPr>
        <w:spacing w:line="44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（单位电子签章）</w:t>
      </w:r>
    </w:p>
    <w:p w14:paraId="5B3519FD">
      <w:pPr>
        <w:spacing w:line="44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1AE6BED5">
      <w:pPr>
        <w:spacing w:line="440" w:lineRule="exact"/>
        <w:rPr>
          <w:rFonts w:hint="eastAsia" w:ascii="宋体" w:hAnsi="宋体" w:eastAsia="宋体" w:cs="宋体"/>
          <w:color w:val="auto"/>
          <w:szCs w:val="21"/>
          <w:highlight w:val="none"/>
        </w:rPr>
      </w:pPr>
    </w:p>
    <w:p w14:paraId="7B35A54B">
      <w:pPr>
        <w:spacing w:line="440" w:lineRule="exact"/>
        <w:rPr>
          <w:rFonts w:hint="eastAsia" w:ascii="宋体" w:hAnsi="宋体" w:eastAsia="宋体" w:cs="宋体"/>
          <w:color w:val="auto"/>
          <w:szCs w:val="21"/>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09C7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29" w:hRule="atLeast"/>
        </w:trPr>
        <w:tc>
          <w:tcPr>
            <w:tcW w:w="8528" w:type="dxa"/>
            <w:noWrap w:val="0"/>
            <w:vAlign w:val="center"/>
          </w:tcPr>
          <w:p w14:paraId="06D6B57B">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法定代表人身份证扫描件</w:t>
            </w:r>
          </w:p>
          <w:p w14:paraId="72EB119A">
            <w:pPr>
              <w:spacing w:line="440" w:lineRule="exact"/>
              <w:jc w:val="center"/>
              <w:rPr>
                <w:rFonts w:hint="eastAsia" w:ascii="宋体" w:hAnsi="宋体" w:eastAsia="宋体" w:cs="宋体"/>
                <w:color w:val="auto"/>
                <w:szCs w:val="21"/>
                <w:highlight w:val="none"/>
              </w:rPr>
            </w:pPr>
          </w:p>
        </w:tc>
      </w:tr>
    </w:tbl>
    <w:p w14:paraId="4B7D9AEE">
      <w:pPr>
        <w:spacing w:line="440" w:lineRule="exact"/>
        <w:rPr>
          <w:rFonts w:hint="eastAsia" w:ascii="宋体" w:hAnsi="宋体" w:eastAsia="宋体" w:cs="宋体"/>
          <w:color w:val="auto"/>
          <w:szCs w:val="21"/>
          <w:highlight w:val="none"/>
        </w:rPr>
      </w:pPr>
    </w:p>
    <w:p w14:paraId="76D01C50">
      <w:pPr>
        <w:spacing w:line="440" w:lineRule="exact"/>
        <w:rPr>
          <w:rFonts w:hint="eastAsia" w:ascii="宋体" w:hAnsi="宋体" w:eastAsia="宋体" w:cs="宋体"/>
          <w:color w:val="auto"/>
          <w:szCs w:val="21"/>
          <w:highlight w:val="none"/>
        </w:rPr>
      </w:pPr>
    </w:p>
    <w:p w14:paraId="147731CE">
      <w:pPr>
        <w:spacing w:line="440" w:lineRule="exact"/>
        <w:rPr>
          <w:rFonts w:hint="eastAsia" w:ascii="宋体" w:hAnsi="宋体" w:eastAsia="宋体" w:cs="宋体"/>
          <w:color w:val="auto"/>
          <w:sz w:val="20"/>
          <w:szCs w:val="20"/>
          <w:highlight w:val="none"/>
        </w:rPr>
      </w:pPr>
    </w:p>
    <w:p w14:paraId="0334AEEC">
      <w:pPr>
        <w:spacing w:line="440" w:lineRule="exact"/>
        <w:rPr>
          <w:rFonts w:hint="eastAsia" w:ascii="宋体" w:hAnsi="宋体" w:eastAsia="宋体" w:cs="宋体"/>
          <w:color w:val="auto"/>
          <w:sz w:val="20"/>
          <w:szCs w:val="20"/>
          <w:highlight w:val="none"/>
        </w:rPr>
      </w:pPr>
    </w:p>
    <w:p w14:paraId="4DE263CD">
      <w:pPr>
        <w:spacing w:line="440" w:lineRule="exact"/>
        <w:rPr>
          <w:rFonts w:hint="eastAsia" w:ascii="宋体" w:hAnsi="宋体" w:eastAsia="宋体" w:cs="宋体"/>
          <w:color w:val="auto"/>
          <w:sz w:val="20"/>
          <w:szCs w:val="20"/>
          <w:highlight w:val="none"/>
        </w:rPr>
      </w:pPr>
    </w:p>
    <w:p w14:paraId="74FC21EC">
      <w:pPr>
        <w:pStyle w:val="3"/>
        <w:numPr>
          <w:ilvl w:val="1"/>
          <w:numId w:val="0"/>
        </w:numPr>
        <w:jc w:val="center"/>
        <w:rPr>
          <w:rFonts w:hint="eastAsia" w:ascii="宋体" w:hAnsi="宋体" w:eastAsia="宋体" w:cs="宋体"/>
          <w:color w:val="auto"/>
          <w:sz w:val="28"/>
          <w:highlight w:val="none"/>
        </w:rPr>
      </w:pPr>
      <w:bookmarkStart w:id="1147" w:name="_Toc466298162"/>
      <w:bookmarkStart w:id="1148" w:name="_Toc202941490"/>
      <w:bookmarkStart w:id="1149" w:name="_Toc26203"/>
      <w:bookmarkStart w:id="1150" w:name="_Toc318989765"/>
      <w:bookmarkStart w:id="1151" w:name="_Toc441791190"/>
      <w:bookmarkStart w:id="1152" w:name="_Toc4123"/>
      <w:r>
        <w:rPr>
          <w:rFonts w:hint="eastAsia" w:ascii="宋体" w:hAnsi="宋体" w:eastAsia="宋体" w:cs="宋体"/>
          <w:color w:val="auto"/>
          <w:sz w:val="28"/>
          <w:highlight w:val="none"/>
        </w:rPr>
        <w:t>三、授权委托书</w:t>
      </w:r>
      <w:bookmarkEnd w:id="1147"/>
      <w:bookmarkEnd w:id="1148"/>
      <w:bookmarkEnd w:id="1149"/>
      <w:bookmarkEnd w:id="1150"/>
      <w:bookmarkEnd w:id="1151"/>
      <w:bookmarkEnd w:id="1152"/>
    </w:p>
    <w:p w14:paraId="7B82ACA3">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（供应商名称）的法定代表人，现委托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（姓名）为我方代理人。代理人根据授权，以我方名义签署、澄清、说明、补正、递交、撤回、修改</w:t>
      </w:r>
    </w:p>
    <w:p w14:paraId="59C5F1EC">
      <w:pPr>
        <w:topLinePunct/>
        <w:spacing w:line="440" w:lineRule="exact"/>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（项目名称）响应文件、签订合同和处理有关事宜，其法律后果由我方承担。</w:t>
      </w:r>
    </w:p>
    <w:p w14:paraId="78EAE411">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委托期限：</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1E02B75">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代理人无转委托权。</w:t>
      </w:r>
    </w:p>
    <w:p w14:paraId="15FA06FA">
      <w:pPr>
        <w:spacing w:line="440" w:lineRule="exact"/>
        <w:rPr>
          <w:rFonts w:hint="eastAsia" w:ascii="宋体" w:hAnsi="宋体" w:eastAsia="宋体" w:cs="宋体"/>
          <w:color w:val="auto"/>
          <w:szCs w:val="21"/>
          <w:highlight w:val="none"/>
        </w:rPr>
      </w:pPr>
    </w:p>
    <w:p w14:paraId="6C7BF284">
      <w:pPr>
        <w:spacing w:line="440" w:lineRule="exact"/>
        <w:rPr>
          <w:rFonts w:hint="eastAsia" w:ascii="宋体" w:hAnsi="宋体" w:eastAsia="宋体" w:cs="宋体"/>
          <w:color w:val="auto"/>
          <w:szCs w:val="21"/>
          <w:highlight w:val="none"/>
        </w:rPr>
      </w:pPr>
    </w:p>
    <w:p w14:paraId="477B50B6">
      <w:pPr>
        <w:spacing w:line="440" w:lineRule="exact"/>
        <w:rPr>
          <w:rFonts w:hint="eastAsia" w:ascii="宋体" w:hAnsi="宋体" w:eastAsia="宋体" w:cs="宋体"/>
          <w:color w:val="auto"/>
          <w:szCs w:val="21"/>
          <w:highlight w:val="none"/>
        </w:rPr>
      </w:pPr>
    </w:p>
    <w:p w14:paraId="74F4629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（单位电子签章）</w:t>
      </w:r>
    </w:p>
    <w:p w14:paraId="583BFCE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（电子签名或盖章）</w:t>
      </w:r>
    </w:p>
    <w:p w14:paraId="584986BF">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0138332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（电子签名或盖章）</w:t>
      </w:r>
    </w:p>
    <w:p w14:paraId="375555FA">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61097EFE">
      <w:pPr>
        <w:spacing w:line="44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25A0271">
      <w:pPr>
        <w:spacing w:line="440" w:lineRule="exact"/>
        <w:rPr>
          <w:rFonts w:hint="eastAsia" w:ascii="宋体" w:hAnsi="宋体" w:eastAsia="宋体" w:cs="宋体"/>
          <w:color w:val="auto"/>
          <w:szCs w:val="21"/>
          <w:highlight w:val="none"/>
        </w:rPr>
      </w:pPr>
    </w:p>
    <w:p w14:paraId="4CAFEFDD">
      <w:pPr>
        <w:pStyle w:val="14"/>
        <w:rPr>
          <w:rFonts w:hint="eastAsia" w:ascii="宋体" w:hAnsi="宋体" w:eastAsia="宋体" w:cs="宋体"/>
          <w:color w:val="auto"/>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2AAC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8528" w:type="dxa"/>
            <w:noWrap w:val="0"/>
            <w:vAlign w:val="center"/>
          </w:tcPr>
          <w:p w14:paraId="7B7C12D6">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委托代理人身份证扫描件</w:t>
            </w:r>
          </w:p>
          <w:p w14:paraId="4652030D">
            <w:pPr>
              <w:spacing w:line="440" w:lineRule="exact"/>
              <w:jc w:val="center"/>
              <w:rPr>
                <w:rFonts w:hint="eastAsia" w:ascii="宋体" w:hAnsi="宋体" w:eastAsia="宋体" w:cs="宋体"/>
                <w:color w:val="auto"/>
                <w:szCs w:val="21"/>
                <w:highlight w:val="none"/>
              </w:rPr>
            </w:pPr>
          </w:p>
        </w:tc>
      </w:tr>
    </w:tbl>
    <w:p w14:paraId="538BCF5B">
      <w:pPr>
        <w:spacing w:line="440" w:lineRule="exact"/>
        <w:rPr>
          <w:rFonts w:hint="eastAsia" w:ascii="宋体" w:hAnsi="宋体" w:eastAsia="宋体" w:cs="宋体"/>
          <w:color w:val="auto"/>
          <w:szCs w:val="21"/>
          <w:highlight w:val="none"/>
        </w:rPr>
      </w:pPr>
    </w:p>
    <w:p w14:paraId="2163205D">
      <w:pPr>
        <w:spacing w:line="440" w:lineRule="exact"/>
        <w:ind w:firstLine="2310" w:firstLineChars="1100"/>
        <w:rPr>
          <w:rFonts w:hint="eastAsia" w:ascii="宋体" w:hAnsi="宋体" w:eastAsia="宋体" w:cs="宋体"/>
          <w:color w:val="auto"/>
          <w:szCs w:val="21"/>
          <w:highlight w:val="none"/>
        </w:rPr>
      </w:pPr>
    </w:p>
    <w:p w14:paraId="38A4444D">
      <w:pPr>
        <w:spacing w:line="400" w:lineRule="exact"/>
        <w:rPr>
          <w:rFonts w:hint="eastAsia" w:ascii="宋体" w:hAnsi="宋体" w:eastAsia="宋体" w:cs="宋体"/>
          <w:color w:val="auto"/>
          <w:sz w:val="20"/>
          <w:szCs w:val="20"/>
          <w:highlight w:val="none"/>
        </w:rPr>
      </w:pPr>
    </w:p>
    <w:p w14:paraId="30574A14">
      <w:pPr>
        <w:rPr>
          <w:rFonts w:hint="eastAsia" w:ascii="宋体" w:hAnsi="宋体" w:eastAsia="宋体" w:cs="宋体"/>
          <w:color w:val="auto"/>
          <w:highlight w:val="none"/>
        </w:rPr>
      </w:pPr>
      <w:bookmarkStart w:id="1153" w:name="_Toc144974862"/>
    </w:p>
    <w:p w14:paraId="24B8DF40">
      <w:pPr>
        <w:rPr>
          <w:rFonts w:hint="eastAsia" w:ascii="宋体" w:hAnsi="宋体" w:eastAsia="宋体" w:cs="宋体"/>
          <w:color w:val="auto"/>
          <w:highlight w:val="none"/>
        </w:rPr>
      </w:pPr>
    </w:p>
    <w:bookmarkEnd w:id="1153"/>
    <w:p w14:paraId="5C38B42E">
      <w:pPr>
        <w:pStyle w:val="3"/>
        <w:numPr>
          <w:ilvl w:val="1"/>
          <w:numId w:val="0"/>
        </w:numPr>
        <w:jc w:val="center"/>
        <w:rPr>
          <w:rFonts w:hint="eastAsia" w:ascii="宋体" w:hAnsi="宋体" w:eastAsia="宋体" w:cs="宋体"/>
          <w:color w:val="auto"/>
          <w:sz w:val="28"/>
          <w:highlight w:val="none"/>
        </w:rPr>
      </w:pPr>
      <w:bookmarkStart w:id="1154" w:name="_Toc475624455"/>
      <w:bookmarkStart w:id="1155" w:name="_Toc25711"/>
      <w:bookmarkStart w:id="1156" w:name="_Toc21839"/>
      <w:r>
        <w:rPr>
          <w:rFonts w:hint="eastAsia" w:ascii="宋体" w:hAnsi="宋体" w:eastAsia="宋体" w:cs="宋体"/>
          <w:color w:val="auto"/>
          <w:sz w:val="28"/>
          <w:highlight w:val="none"/>
        </w:rPr>
        <w:t>四、</w:t>
      </w:r>
      <w:bookmarkEnd w:id="1154"/>
      <w:r>
        <w:rPr>
          <w:rFonts w:hint="eastAsia" w:ascii="宋体" w:hAnsi="宋体" w:eastAsia="宋体" w:cs="宋体"/>
          <w:color w:val="auto"/>
          <w:sz w:val="28"/>
          <w:highlight w:val="none"/>
        </w:rPr>
        <w:t>已标价工程量清单</w:t>
      </w:r>
      <w:bookmarkEnd w:id="1155"/>
      <w:bookmarkEnd w:id="1156"/>
    </w:p>
    <w:p w14:paraId="1F2B4222">
      <w:pPr>
        <w:pStyle w:val="3"/>
        <w:numPr>
          <w:ilvl w:val="1"/>
          <w:numId w:val="0"/>
        </w:numPr>
        <w:jc w:val="center"/>
        <w:rPr>
          <w:rFonts w:hint="eastAsia" w:ascii="宋体" w:hAnsi="宋体" w:eastAsia="宋体" w:cs="宋体"/>
          <w:color w:val="auto"/>
          <w:sz w:val="28"/>
          <w:highlight w:val="none"/>
        </w:rPr>
      </w:pPr>
    </w:p>
    <w:p w14:paraId="1C7912F8">
      <w:pPr>
        <w:spacing w:line="460" w:lineRule="exact"/>
        <w:ind w:firstLine="360" w:firstLineChars="150"/>
        <w:rPr>
          <w:rFonts w:hint="eastAsia" w:ascii="宋体" w:hAnsi="宋体" w:eastAsia="宋体" w:cs="宋体"/>
          <w:color w:val="auto"/>
          <w:sz w:val="24"/>
          <w:highlight w:val="none"/>
        </w:rPr>
      </w:pPr>
    </w:p>
    <w:p w14:paraId="55862891">
      <w:pPr>
        <w:spacing w:line="460" w:lineRule="exact"/>
        <w:rPr>
          <w:rFonts w:hint="eastAsia" w:ascii="宋体" w:hAnsi="宋体" w:eastAsia="宋体" w:cs="宋体"/>
          <w:color w:val="auto"/>
          <w:szCs w:val="21"/>
          <w:highlight w:val="none"/>
        </w:rPr>
      </w:pPr>
    </w:p>
    <w:p w14:paraId="2CA89B2C">
      <w:pPr>
        <w:spacing w:line="460" w:lineRule="exact"/>
        <w:rPr>
          <w:rFonts w:hint="eastAsia" w:ascii="宋体" w:hAnsi="宋体" w:eastAsia="宋体" w:cs="宋体"/>
          <w:color w:val="auto"/>
          <w:szCs w:val="21"/>
          <w:highlight w:val="none"/>
        </w:rPr>
      </w:pPr>
    </w:p>
    <w:p w14:paraId="64D8A3B8">
      <w:pPr>
        <w:spacing w:line="460" w:lineRule="exact"/>
        <w:rPr>
          <w:rFonts w:hint="eastAsia" w:ascii="宋体" w:hAnsi="宋体" w:eastAsia="宋体" w:cs="宋体"/>
          <w:color w:val="auto"/>
          <w:szCs w:val="21"/>
          <w:highlight w:val="none"/>
        </w:rPr>
      </w:pPr>
    </w:p>
    <w:p w14:paraId="3EBE57B8">
      <w:pPr>
        <w:spacing w:line="460" w:lineRule="exact"/>
        <w:rPr>
          <w:rFonts w:hint="eastAsia" w:ascii="宋体" w:hAnsi="宋体" w:eastAsia="宋体" w:cs="宋体"/>
          <w:color w:val="auto"/>
          <w:szCs w:val="21"/>
          <w:highlight w:val="none"/>
        </w:rPr>
      </w:pPr>
    </w:p>
    <w:p w14:paraId="1BCED1B8">
      <w:pPr>
        <w:spacing w:line="460" w:lineRule="exact"/>
        <w:rPr>
          <w:rFonts w:hint="eastAsia" w:ascii="宋体" w:hAnsi="宋体" w:eastAsia="宋体" w:cs="宋体"/>
          <w:color w:val="auto"/>
          <w:szCs w:val="21"/>
          <w:highlight w:val="none"/>
        </w:rPr>
      </w:pPr>
    </w:p>
    <w:p w14:paraId="4952104A">
      <w:pPr>
        <w:spacing w:line="460" w:lineRule="exact"/>
        <w:rPr>
          <w:rFonts w:hint="eastAsia" w:ascii="宋体" w:hAnsi="宋体" w:eastAsia="宋体" w:cs="宋体"/>
          <w:color w:val="auto"/>
          <w:szCs w:val="21"/>
          <w:highlight w:val="none"/>
        </w:rPr>
      </w:pPr>
    </w:p>
    <w:p w14:paraId="4352F4F5">
      <w:pPr>
        <w:spacing w:line="460" w:lineRule="exact"/>
        <w:rPr>
          <w:rFonts w:hint="eastAsia" w:ascii="宋体" w:hAnsi="宋体" w:eastAsia="宋体" w:cs="宋体"/>
          <w:color w:val="auto"/>
          <w:szCs w:val="21"/>
          <w:highlight w:val="none"/>
        </w:rPr>
      </w:pPr>
    </w:p>
    <w:p w14:paraId="3F119375">
      <w:pPr>
        <w:spacing w:line="460" w:lineRule="exact"/>
        <w:rPr>
          <w:rFonts w:hint="eastAsia" w:ascii="宋体" w:hAnsi="宋体" w:eastAsia="宋体" w:cs="宋体"/>
          <w:color w:val="auto"/>
          <w:szCs w:val="21"/>
          <w:highlight w:val="none"/>
        </w:rPr>
      </w:pPr>
    </w:p>
    <w:p w14:paraId="16348485">
      <w:pPr>
        <w:spacing w:line="460" w:lineRule="exact"/>
        <w:rPr>
          <w:rFonts w:hint="eastAsia" w:ascii="宋体" w:hAnsi="宋体" w:eastAsia="宋体" w:cs="宋体"/>
          <w:color w:val="auto"/>
          <w:szCs w:val="21"/>
          <w:highlight w:val="none"/>
        </w:rPr>
      </w:pPr>
    </w:p>
    <w:p w14:paraId="119AE7F5">
      <w:pPr>
        <w:spacing w:line="460" w:lineRule="exact"/>
        <w:rPr>
          <w:rFonts w:hint="eastAsia" w:ascii="宋体" w:hAnsi="宋体" w:eastAsia="宋体" w:cs="宋体"/>
          <w:color w:val="auto"/>
          <w:szCs w:val="21"/>
          <w:highlight w:val="none"/>
        </w:rPr>
      </w:pPr>
    </w:p>
    <w:p w14:paraId="6C0CB391">
      <w:pPr>
        <w:spacing w:line="460" w:lineRule="exact"/>
        <w:rPr>
          <w:rFonts w:hint="eastAsia" w:ascii="宋体" w:hAnsi="宋体" w:eastAsia="宋体" w:cs="宋体"/>
          <w:color w:val="auto"/>
          <w:szCs w:val="21"/>
          <w:highlight w:val="none"/>
        </w:rPr>
      </w:pPr>
    </w:p>
    <w:p w14:paraId="34B56567">
      <w:pPr>
        <w:spacing w:line="460" w:lineRule="exact"/>
        <w:rPr>
          <w:rFonts w:hint="eastAsia" w:ascii="宋体" w:hAnsi="宋体" w:eastAsia="宋体" w:cs="宋体"/>
          <w:color w:val="auto"/>
          <w:szCs w:val="21"/>
          <w:highlight w:val="none"/>
        </w:rPr>
      </w:pPr>
    </w:p>
    <w:p w14:paraId="3E284073">
      <w:pPr>
        <w:spacing w:line="460" w:lineRule="exact"/>
        <w:rPr>
          <w:rFonts w:hint="eastAsia" w:ascii="宋体" w:hAnsi="宋体" w:eastAsia="宋体" w:cs="宋体"/>
          <w:color w:val="auto"/>
          <w:szCs w:val="21"/>
          <w:highlight w:val="none"/>
        </w:rPr>
      </w:pPr>
    </w:p>
    <w:p w14:paraId="7B0001B0">
      <w:pPr>
        <w:spacing w:line="460" w:lineRule="exact"/>
        <w:rPr>
          <w:rFonts w:hint="eastAsia" w:ascii="宋体" w:hAnsi="宋体" w:eastAsia="宋体" w:cs="宋体"/>
          <w:color w:val="auto"/>
          <w:szCs w:val="21"/>
          <w:highlight w:val="none"/>
        </w:rPr>
      </w:pPr>
    </w:p>
    <w:p w14:paraId="457C9B71">
      <w:pPr>
        <w:spacing w:line="460" w:lineRule="exact"/>
        <w:rPr>
          <w:rFonts w:hint="eastAsia" w:ascii="宋体" w:hAnsi="宋体" w:eastAsia="宋体" w:cs="宋体"/>
          <w:color w:val="auto"/>
          <w:szCs w:val="21"/>
          <w:highlight w:val="none"/>
        </w:rPr>
      </w:pPr>
    </w:p>
    <w:p w14:paraId="70E7B7D9">
      <w:pPr>
        <w:spacing w:line="460" w:lineRule="exact"/>
        <w:rPr>
          <w:rFonts w:hint="eastAsia" w:ascii="宋体" w:hAnsi="宋体" w:eastAsia="宋体" w:cs="宋体"/>
          <w:color w:val="auto"/>
          <w:szCs w:val="21"/>
          <w:highlight w:val="none"/>
        </w:rPr>
      </w:pPr>
    </w:p>
    <w:p w14:paraId="18C3A7FA">
      <w:pPr>
        <w:spacing w:line="460" w:lineRule="exact"/>
        <w:rPr>
          <w:rFonts w:hint="eastAsia" w:ascii="宋体" w:hAnsi="宋体" w:eastAsia="宋体" w:cs="宋体"/>
          <w:color w:val="auto"/>
          <w:szCs w:val="21"/>
          <w:highlight w:val="none"/>
        </w:rPr>
      </w:pPr>
    </w:p>
    <w:p w14:paraId="49B5026A">
      <w:pPr>
        <w:spacing w:line="460" w:lineRule="exact"/>
        <w:rPr>
          <w:rFonts w:hint="eastAsia" w:ascii="宋体" w:hAnsi="宋体" w:eastAsia="宋体" w:cs="宋体"/>
          <w:color w:val="auto"/>
          <w:szCs w:val="21"/>
          <w:highlight w:val="none"/>
        </w:rPr>
      </w:pPr>
    </w:p>
    <w:p w14:paraId="0FD844D4">
      <w:pPr>
        <w:spacing w:line="460" w:lineRule="exact"/>
        <w:rPr>
          <w:rFonts w:hint="eastAsia" w:ascii="宋体" w:hAnsi="宋体" w:eastAsia="宋体" w:cs="宋体"/>
          <w:color w:val="auto"/>
          <w:szCs w:val="21"/>
          <w:highlight w:val="none"/>
        </w:rPr>
      </w:pPr>
    </w:p>
    <w:p w14:paraId="7042ABC3">
      <w:pPr>
        <w:spacing w:line="460" w:lineRule="exact"/>
        <w:rPr>
          <w:rFonts w:hint="eastAsia" w:ascii="宋体" w:hAnsi="宋体" w:eastAsia="宋体" w:cs="宋体"/>
          <w:color w:val="auto"/>
          <w:szCs w:val="21"/>
          <w:highlight w:val="none"/>
        </w:rPr>
      </w:pPr>
    </w:p>
    <w:p w14:paraId="78904B87">
      <w:pPr>
        <w:spacing w:line="460" w:lineRule="exact"/>
        <w:rPr>
          <w:rFonts w:hint="eastAsia" w:ascii="宋体" w:hAnsi="宋体" w:eastAsia="宋体" w:cs="宋体"/>
          <w:color w:val="auto"/>
          <w:szCs w:val="21"/>
          <w:highlight w:val="none"/>
        </w:rPr>
      </w:pPr>
    </w:p>
    <w:p w14:paraId="2C852AD4">
      <w:pPr>
        <w:spacing w:line="460" w:lineRule="exact"/>
        <w:rPr>
          <w:rFonts w:hint="eastAsia" w:ascii="宋体" w:hAnsi="宋体" w:eastAsia="宋体" w:cs="宋体"/>
          <w:color w:val="auto"/>
          <w:szCs w:val="21"/>
          <w:highlight w:val="none"/>
        </w:rPr>
      </w:pPr>
    </w:p>
    <w:p w14:paraId="7D6C222F">
      <w:pPr>
        <w:spacing w:line="460" w:lineRule="exact"/>
        <w:rPr>
          <w:rFonts w:hint="eastAsia" w:ascii="宋体" w:hAnsi="宋体" w:eastAsia="宋体" w:cs="宋体"/>
          <w:color w:val="auto"/>
          <w:szCs w:val="21"/>
          <w:highlight w:val="none"/>
        </w:rPr>
      </w:pPr>
    </w:p>
    <w:p w14:paraId="5F416088">
      <w:pPr>
        <w:spacing w:line="460" w:lineRule="exact"/>
        <w:rPr>
          <w:rFonts w:hint="eastAsia" w:ascii="宋体" w:hAnsi="宋体" w:eastAsia="宋体" w:cs="宋体"/>
          <w:color w:val="auto"/>
          <w:szCs w:val="21"/>
          <w:highlight w:val="none"/>
        </w:rPr>
      </w:pPr>
    </w:p>
    <w:p w14:paraId="783ADF10">
      <w:pPr>
        <w:pStyle w:val="3"/>
        <w:numPr>
          <w:ilvl w:val="1"/>
          <w:numId w:val="0"/>
        </w:numPr>
        <w:jc w:val="center"/>
        <w:rPr>
          <w:rFonts w:hint="eastAsia" w:ascii="宋体" w:hAnsi="宋体" w:eastAsia="宋体" w:cs="宋体"/>
          <w:color w:val="auto"/>
          <w:sz w:val="28"/>
          <w:highlight w:val="none"/>
        </w:rPr>
      </w:pPr>
      <w:bookmarkStart w:id="1157" w:name="_Toc22948"/>
      <w:bookmarkStart w:id="1158" w:name="_Toc5450"/>
      <w:bookmarkStart w:id="1159" w:name="_Toc475624456"/>
      <w:r>
        <w:rPr>
          <w:rFonts w:hint="eastAsia" w:ascii="宋体" w:hAnsi="宋体" w:eastAsia="宋体" w:cs="宋体"/>
          <w:color w:val="auto"/>
          <w:sz w:val="28"/>
          <w:highlight w:val="none"/>
        </w:rPr>
        <w:t>五、施工组织设计</w:t>
      </w:r>
      <w:bookmarkEnd w:id="1157"/>
      <w:bookmarkEnd w:id="1158"/>
      <w:bookmarkEnd w:id="1159"/>
    </w:p>
    <w:p w14:paraId="01F81ECE">
      <w:pPr>
        <w:pStyle w:val="3"/>
        <w:numPr>
          <w:ilvl w:val="1"/>
          <w:numId w:val="0"/>
        </w:numPr>
        <w:spacing w:before="0" w:after="0" w:line="360" w:lineRule="auto"/>
        <w:jc w:val="center"/>
        <w:rPr>
          <w:rFonts w:hint="eastAsia" w:ascii="宋体" w:hAnsi="宋体" w:eastAsia="宋体" w:cs="宋体"/>
          <w:color w:val="auto"/>
          <w:sz w:val="28"/>
          <w:highlight w:val="none"/>
        </w:rPr>
      </w:pPr>
      <w:bookmarkStart w:id="1160" w:name="_Toc475624457"/>
      <w:bookmarkStart w:id="1161" w:name="_Toc5603"/>
      <w:bookmarkStart w:id="1162" w:name="_Toc7110"/>
      <w:r>
        <w:rPr>
          <w:rFonts w:hint="eastAsia" w:ascii="宋体" w:hAnsi="宋体" w:eastAsia="宋体" w:cs="宋体"/>
          <w:color w:val="auto"/>
          <w:sz w:val="28"/>
          <w:highlight w:val="none"/>
        </w:rPr>
        <w:t>（格式自拟）</w:t>
      </w:r>
      <w:r>
        <w:rPr>
          <w:rFonts w:hint="eastAsia" w:ascii="宋体" w:hAnsi="宋体" w:eastAsia="宋体" w:cs="宋体"/>
          <w:color w:val="auto"/>
          <w:sz w:val="28"/>
          <w:highlight w:val="none"/>
        </w:rPr>
        <w:br w:type="page"/>
      </w:r>
      <w:r>
        <w:rPr>
          <w:rFonts w:hint="eastAsia" w:ascii="宋体" w:hAnsi="宋体" w:eastAsia="宋体" w:cs="宋体"/>
          <w:color w:val="auto"/>
          <w:sz w:val="28"/>
          <w:highlight w:val="none"/>
        </w:rPr>
        <w:t>六、项目管理机构</w:t>
      </w:r>
      <w:bookmarkEnd w:id="1160"/>
      <w:bookmarkEnd w:id="1161"/>
      <w:bookmarkEnd w:id="1162"/>
    </w:p>
    <w:p w14:paraId="01AD214C">
      <w:pPr>
        <w:pStyle w:val="5"/>
        <w:numPr>
          <w:ilvl w:val="3"/>
          <w:numId w:val="0"/>
        </w:numPr>
        <w:spacing w:before="0" w:after="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（一）项目管理机构组成表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1028"/>
        <w:gridCol w:w="1027"/>
        <w:gridCol w:w="1643"/>
        <w:gridCol w:w="1116"/>
        <w:gridCol w:w="1142"/>
        <w:gridCol w:w="1231"/>
        <w:gridCol w:w="1026"/>
      </w:tblGrid>
      <w:tr w14:paraId="52C0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vMerge w:val="restart"/>
            <w:noWrap w:val="0"/>
            <w:vAlign w:val="center"/>
          </w:tcPr>
          <w:p w14:paraId="69F09A9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028" w:type="dxa"/>
            <w:vMerge w:val="restart"/>
            <w:noWrap w:val="0"/>
            <w:vAlign w:val="center"/>
          </w:tcPr>
          <w:p w14:paraId="7872671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27" w:type="dxa"/>
            <w:vMerge w:val="restart"/>
            <w:noWrap w:val="0"/>
            <w:vAlign w:val="center"/>
          </w:tcPr>
          <w:p w14:paraId="31DBD93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5132" w:type="dxa"/>
            <w:gridSpan w:val="4"/>
            <w:noWrap w:val="0"/>
            <w:vAlign w:val="center"/>
          </w:tcPr>
          <w:p w14:paraId="1C50199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执业或职业资格证明</w:t>
            </w:r>
          </w:p>
        </w:tc>
        <w:tc>
          <w:tcPr>
            <w:tcW w:w="1026" w:type="dxa"/>
            <w:vMerge w:val="restart"/>
            <w:noWrap w:val="0"/>
            <w:vAlign w:val="center"/>
          </w:tcPr>
          <w:p w14:paraId="6BCA387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7B3F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vMerge w:val="continue"/>
            <w:noWrap w:val="0"/>
            <w:vAlign w:val="center"/>
          </w:tcPr>
          <w:p w14:paraId="774F1A7E">
            <w:pPr>
              <w:jc w:val="center"/>
              <w:rPr>
                <w:rFonts w:hint="eastAsia" w:ascii="宋体" w:hAnsi="宋体" w:eastAsia="宋体" w:cs="宋体"/>
                <w:color w:val="auto"/>
                <w:szCs w:val="21"/>
                <w:highlight w:val="none"/>
              </w:rPr>
            </w:pPr>
          </w:p>
        </w:tc>
        <w:tc>
          <w:tcPr>
            <w:tcW w:w="1028" w:type="dxa"/>
            <w:vMerge w:val="continue"/>
            <w:noWrap w:val="0"/>
            <w:vAlign w:val="center"/>
          </w:tcPr>
          <w:p w14:paraId="4903CC20">
            <w:pPr>
              <w:jc w:val="center"/>
              <w:rPr>
                <w:rFonts w:hint="eastAsia" w:ascii="宋体" w:hAnsi="宋体" w:eastAsia="宋体" w:cs="宋体"/>
                <w:color w:val="auto"/>
                <w:szCs w:val="21"/>
                <w:highlight w:val="none"/>
              </w:rPr>
            </w:pPr>
          </w:p>
        </w:tc>
        <w:tc>
          <w:tcPr>
            <w:tcW w:w="1027" w:type="dxa"/>
            <w:vMerge w:val="continue"/>
            <w:noWrap w:val="0"/>
            <w:vAlign w:val="center"/>
          </w:tcPr>
          <w:p w14:paraId="5EB70B39">
            <w:pPr>
              <w:jc w:val="center"/>
              <w:rPr>
                <w:rFonts w:hint="eastAsia" w:ascii="宋体" w:hAnsi="宋体" w:eastAsia="宋体" w:cs="宋体"/>
                <w:color w:val="auto"/>
                <w:szCs w:val="21"/>
                <w:highlight w:val="none"/>
              </w:rPr>
            </w:pPr>
          </w:p>
        </w:tc>
        <w:tc>
          <w:tcPr>
            <w:tcW w:w="1643" w:type="dxa"/>
            <w:noWrap w:val="0"/>
            <w:vAlign w:val="center"/>
          </w:tcPr>
          <w:p w14:paraId="3F1283C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证书名称</w:t>
            </w:r>
          </w:p>
        </w:tc>
        <w:tc>
          <w:tcPr>
            <w:tcW w:w="1116" w:type="dxa"/>
            <w:noWrap w:val="0"/>
            <w:vAlign w:val="center"/>
          </w:tcPr>
          <w:p w14:paraId="11955FE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1142" w:type="dxa"/>
            <w:noWrap w:val="0"/>
            <w:vAlign w:val="center"/>
          </w:tcPr>
          <w:p w14:paraId="3ABAEB0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证号</w:t>
            </w:r>
          </w:p>
        </w:tc>
        <w:tc>
          <w:tcPr>
            <w:tcW w:w="1231" w:type="dxa"/>
            <w:noWrap w:val="0"/>
            <w:vAlign w:val="center"/>
          </w:tcPr>
          <w:p w14:paraId="290C6FA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1026" w:type="dxa"/>
            <w:vMerge w:val="continue"/>
            <w:noWrap w:val="0"/>
            <w:vAlign w:val="center"/>
          </w:tcPr>
          <w:p w14:paraId="1D61484B">
            <w:pPr>
              <w:jc w:val="center"/>
              <w:rPr>
                <w:rFonts w:hint="eastAsia" w:ascii="宋体" w:hAnsi="宋体" w:eastAsia="宋体" w:cs="宋体"/>
                <w:color w:val="auto"/>
                <w:szCs w:val="21"/>
                <w:highlight w:val="none"/>
              </w:rPr>
            </w:pPr>
          </w:p>
        </w:tc>
      </w:tr>
      <w:tr w14:paraId="4978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1A8AC2FC">
            <w:pPr>
              <w:jc w:val="center"/>
              <w:rPr>
                <w:rFonts w:hint="eastAsia" w:ascii="宋体" w:hAnsi="宋体" w:eastAsia="宋体" w:cs="宋体"/>
                <w:color w:val="auto"/>
                <w:szCs w:val="21"/>
                <w:highlight w:val="none"/>
              </w:rPr>
            </w:pPr>
          </w:p>
        </w:tc>
        <w:tc>
          <w:tcPr>
            <w:tcW w:w="1028" w:type="dxa"/>
            <w:noWrap w:val="0"/>
            <w:vAlign w:val="center"/>
          </w:tcPr>
          <w:p w14:paraId="0C9D3A4B">
            <w:pPr>
              <w:jc w:val="center"/>
              <w:rPr>
                <w:rFonts w:hint="eastAsia" w:ascii="宋体" w:hAnsi="宋体" w:eastAsia="宋体" w:cs="宋体"/>
                <w:color w:val="auto"/>
                <w:szCs w:val="21"/>
                <w:highlight w:val="none"/>
              </w:rPr>
            </w:pPr>
          </w:p>
        </w:tc>
        <w:tc>
          <w:tcPr>
            <w:tcW w:w="1027" w:type="dxa"/>
            <w:noWrap w:val="0"/>
            <w:vAlign w:val="center"/>
          </w:tcPr>
          <w:p w14:paraId="538A5B01">
            <w:pPr>
              <w:jc w:val="center"/>
              <w:rPr>
                <w:rFonts w:hint="eastAsia" w:ascii="宋体" w:hAnsi="宋体" w:eastAsia="宋体" w:cs="宋体"/>
                <w:color w:val="auto"/>
                <w:szCs w:val="21"/>
                <w:highlight w:val="none"/>
              </w:rPr>
            </w:pPr>
          </w:p>
        </w:tc>
        <w:tc>
          <w:tcPr>
            <w:tcW w:w="1643" w:type="dxa"/>
            <w:noWrap w:val="0"/>
            <w:vAlign w:val="center"/>
          </w:tcPr>
          <w:p w14:paraId="3B3A564B">
            <w:pPr>
              <w:jc w:val="center"/>
              <w:rPr>
                <w:rFonts w:hint="eastAsia" w:ascii="宋体" w:hAnsi="宋体" w:eastAsia="宋体" w:cs="宋体"/>
                <w:color w:val="auto"/>
                <w:szCs w:val="21"/>
                <w:highlight w:val="none"/>
              </w:rPr>
            </w:pPr>
          </w:p>
        </w:tc>
        <w:tc>
          <w:tcPr>
            <w:tcW w:w="1116" w:type="dxa"/>
            <w:noWrap w:val="0"/>
            <w:vAlign w:val="center"/>
          </w:tcPr>
          <w:p w14:paraId="49310FFA">
            <w:pPr>
              <w:jc w:val="center"/>
              <w:rPr>
                <w:rFonts w:hint="eastAsia" w:ascii="宋体" w:hAnsi="宋体" w:eastAsia="宋体" w:cs="宋体"/>
                <w:color w:val="auto"/>
                <w:szCs w:val="21"/>
                <w:highlight w:val="none"/>
              </w:rPr>
            </w:pPr>
          </w:p>
        </w:tc>
        <w:tc>
          <w:tcPr>
            <w:tcW w:w="1142" w:type="dxa"/>
            <w:noWrap w:val="0"/>
            <w:vAlign w:val="center"/>
          </w:tcPr>
          <w:p w14:paraId="068D421F">
            <w:pPr>
              <w:jc w:val="center"/>
              <w:rPr>
                <w:rFonts w:hint="eastAsia" w:ascii="宋体" w:hAnsi="宋体" w:eastAsia="宋体" w:cs="宋体"/>
                <w:color w:val="auto"/>
                <w:szCs w:val="21"/>
                <w:highlight w:val="none"/>
              </w:rPr>
            </w:pPr>
          </w:p>
        </w:tc>
        <w:tc>
          <w:tcPr>
            <w:tcW w:w="1231" w:type="dxa"/>
            <w:noWrap w:val="0"/>
            <w:vAlign w:val="center"/>
          </w:tcPr>
          <w:p w14:paraId="04E39CDF">
            <w:pPr>
              <w:jc w:val="center"/>
              <w:rPr>
                <w:rFonts w:hint="eastAsia" w:ascii="宋体" w:hAnsi="宋体" w:eastAsia="宋体" w:cs="宋体"/>
                <w:color w:val="auto"/>
                <w:szCs w:val="21"/>
                <w:highlight w:val="none"/>
              </w:rPr>
            </w:pPr>
          </w:p>
        </w:tc>
        <w:tc>
          <w:tcPr>
            <w:tcW w:w="1026" w:type="dxa"/>
            <w:noWrap w:val="0"/>
            <w:vAlign w:val="center"/>
          </w:tcPr>
          <w:p w14:paraId="458799C0">
            <w:pPr>
              <w:jc w:val="center"/>
              <w:rPr>
                <w:rFonts w:hint="eastAsia" w:ascii="宋体" w:hAnsi="宋体" w:eastAsia="宋体" w:cs="宋体"/>
                <w:color w:val="auto"/>
                <w:szCs w:val="21"/>
                <w:highlight w:val="none"/>
              </w:rPr>
            </w:pPr>
          </w:p>
        </w:tc>
      </w:tr>
      <w:tr w14:paraId="1398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5731589F">
            <w:pPr>
              <w:jc w:val="center"/>
              <w:rPr>
                <w:rFonts w:hint="eastAsia" w:ascii="宋体" w:hAnsi="宋体" w:eastAsia="宋体" w:cs="宋体"/>
                <w:color w:val="auto"/>
                <w:szCs w:val="21"/>
                <w:highlight w:val="none"/>
              </w:rPr>
            </w:pPr>
          </w:p>
        </w:tc>
        <w:tc>
          <w:tcPr>
            <w:tcW w:w="1028" w:type="dxa"/>
            <w:noWrap w:val="0"/>
            <w:vAlign w:val="center"/>
          </w:tcPr>
          <w:p w14:paraId="73C49DD3">
            <w:pPr>
              <w:jc w:val="center"/>
              <w:rPr>
                <w:rFonts w:hint="eastAsia" w:ascii="宋体" w:hAnsi="宋体" w:eastAsia="宋体" w:cs="宋体"/>
                <w:color w:val="auto"/>
                <w:szCs w:val="21"/>
                <w:highlight w:val="none"/>
              </w:rPr>
            </w:pPr>
          </w:p>
        </w:tc>
        <w:tc>
          <w:tcPr>
            <w:tcW w:w="1027" w:type="dxa"/>
            <w:noWrap w:val="0"/>
            <w:vAlign w:val="center"/>
          </w:tcPr>
          <w:p w14:paraId="00C87BBB">
            <w:pPr>
              <w:jc w:val="center"/>
              <w:rPr>
                <w:rFonts w:hint="eastAsia" w:ascii="宋体" w:hAnsi="宋体" w:eastAsia="宋体" w:cs="宋体"/>
                <w:color w:val="auto"/>
                <w:szCs w:val="21"/>
                <w:highlight w:val="none"/>
              </w:rPr>
            </w:pPr>
          </w:p>
        </w:tc>
        <w:tc>
          <w:tcPr>
            <w:tcW w:w="1643" w:type="dxa"/>
            <w:noWrap w:val="0"/>
            <w:vAlign w:val="center"/>
          </w:tcPr>
          <w:p w14:paraId="40BCB932">
            <w:pPr>
              <w:jc w:val="center"/>
              <w:rPr>
                <w:rFonts w:hint="eastAsia" w:ascii="宋体" w:hAnsi="宋体" w:eastAsia="宋体" w:cs="宋体"/>
                <w:color w:val="auto"/>
                <w:szCs w:val="21"/>
                <w:highlight w:val="none"/>
              </w:rPr>
            </w:pPr>
          </w:p>
        </w:tc>
        <w:tc>
          <w:tcPr>
            <w:tcW w:w="1116" w:type="dxa"/>
            <w:noWrap w:val="0"/>
            <w:vAlign w:val="center"/>
          </w:tcPr>
          <w:p w14:paraId="7583751B">
            <w:pPr>
              <w:jc w:val="center"/>
              <w:rPr>
                <w:rFonts w:hint="eastAsia" w:ascii="宋体" w:hAnsi="宋体" w:eastAsia="宋体" w:cs="宋体"/>
                <w:color w:val="auto"/>
                <w:szCs w:val="21"/>
                <w:highlight w:val="none"/>
              </w:rPr>
            </w:pPr>
          </w:p>
        </w:tc>
        <w:tc>
          <w:tcPr>
            <w:tcW w:w="1142" w:type="dxa"/>
            <w:noWrap w:val="0"/>
            <w:vAlign w:val="center"/>
          </w:tcPr>
          <w:p w14:paraId="7F4295C7">
            <w:pPr>
              <w:jc w:val="center"/>
              <w:rPr>
                <w:rFonts w:hint="eastAsia" w:ascii="宋体" w:hAnsi="宋体" w:eastAsia="宋体" w:cs="宋体"/>
                <w:color w:val="auto"/>
                <w:szCs w:val="21"/>
                <w:highlight w:val="none"/>
              </w:rPr>
            </w:pPr>
          </w:p>
        </w:tc>
        <w:tc>
          <w:tcPr>
            <w:tcW w:w="1231" w:type="dxa"/>
            <w:noWrap w:val="0"/>
            <w:vAlign w:val="center"/>
          </w:tcPr>
          <w:p w14:paraId="2F23467F">
            <w:pPr>
              <w:jc w:val="center"/>
              <w:rPr>
                <w:rFonts w:hint="eastAsia" w:ascii="宋体" w:hAnsi="宋体" w:eastAsia="宋体" w:cs="宋体"/>
                <w:color w:val="auto"/>
                <w:szCs w:val="21"/>
                <w:highlight w:val="none"/>
              </w:rPr>
            </w:pPr>
          </w:p>
        </w:tc>
        <w:tc>
          <w:tcPr>
            <w:tcW w:w="1026" w:type="dxa"/>
            <w:noWrap w:val="0"/>
            <w:vAlign w:val="center"/>
          </w:tcPr>
          <w:p w14:paraId="40BA8246">
            <w:pPr>
              <w:jc w:val="center"/>
              <w:rPr>
                <w:rFonts w:hint="eastAsia" w:ascii="宋体" w:hAnsi="宋体" w:eastAsia="宋体" w:cs="宋体"/>
                <w:color w:val="auto"/>
                <w:szCs w:val="21"/>
                <w:highlight w:val="none"/>
              </w:rPr>
            </w:pPr>
          </w:p>
        </w:tc>
      </w:tr>
      <w:tr w14:paraId="0E95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17F5F4E1">
            <w:pPr>
              <w:jc w:val="center"/>
              <w:rPr>
                <w:rFonts w:hint="eastAsia" w:ascii="宋体" w:hAnsi="宋体" w:eastAsia="宋体" w:cs="宋体"/>
                <w:color w:val="auto"/>
                <w:szCs w:val="21"/>
                <w:highlight w:val="none"/>
              </w:rPr>
            </w:pPr>
          </w:p>
        </w:tc>
        <w:tc>
          <w:tcPr>
            <w:tcW w:w="1028" w:type="dxa"/>
            <w:noWrap w:val="0"/>
            <w:vAlign w:val="center"/>
          </w:tcPr>
          <w:p w14:paraId="3B30A843">
            <w:pPr>
              <w:jc w:val="center"/>
              <w:rPr>
                <w:rFonts w:hint="eastAsia" w:ascii="宋体" w:hAnsi="宋体" w:eastAsia="宋体" w:cs="宋体"/>
                <w:color w:val="auto"/>
                <w:szCs w:val="21"/>
                <w:highlight w:val="none"/>
              </w:rPr>
            </w:pPr>
          </w:p>
        </w:tc>
        <w:tc>
          <w:tcPr>
            <w:tcW w:w="1027" w:type="dxa"/>
            <w:noWrap w:val="0"/>
            <w:vAlign w:val="center"/>
          </w:tcPr>
          <w:p w14:paraId="66A3B7CC">
            <w:pPr>
              <w:jc w:val="center"/>
              <w:rPr>
                <w:rFonts w:hint="eastAsia" w:ascii="宋体" w:hAnsi="宋体" w:eastAsia="宋体" w:cs="宋体"/>
                <w:color w:val="auto"/>
                <w:szCs w:val="21"/>
                <w:highlight w:val="none"/>
              </w:rPr>
            </w:pPr>
          </w:p>
        </w:tc>
        <w:tc>
          <w:tcPr>
            <w:tcW w:w="1643" w:type="dxa"/>
            <w:noWrap w:val="0"/>
            <w:vAlign w:val="center"/>
          </w:tcPr>
          <w:p w14:paraId="655143C4">
            <w:pPr>
              <w:jc w:val="center"/>
              <w:rPr>
                <w:rFonts w:hint="eastAsia" w:ascii="宋体" w:hAnsi="宋体" w:eastAsia="宋体" w:cs="宋体"/>
                <w:color w:val="auto"/>
                <w:szCs w:val="21"/>
                <w:highlight w:val="none"/>
              </w:rPr>
            </w:pPr>
          </w:p>
        </w:tc>
        <w:tc>
          <w:tcPr>
            <w:tcW w:w="1116" w:type="dxa"/>
            <w:noWrap w:val="0"/>
            <w:vAlign w:val="center"/>
          </w:tcPr>
          <w:p w14:paraId="2F90F242">
            <w:pPr>
              <w:jc w:val="center"/>
              <w:rPr>
                <w:rFonts w:hint="eastAsia" w:ascii="宋体" w:hAnsi="宋体" w:eastAsia="宋体" w:cs="宋体"/>
                <w:color w:val="auto"/>
                <w:szCs w:val="21"/>
                <w:highlight w:val="none"/>
              </w:rPr>
            </w:pPr>
          </w:p>
        </w:tc>
        <w:tc>
          <w:tcPr>
            <w:tcW w:w="1142" w:type="dxa"/>
            <w:noWrap w:val="0"/>
            <w:vAlign w:val="center"/>
          </w:tcPr>
          <w:p w14:paraId="1880F77C">
            <w:pPr>
              <w:jc w:val="center"/>
              <w:rPr>
                <w:rFonts w:hint="eastAsia" w:ascii="宋体" w:hAnsi="宋体" w:eastAsia="宋体" w:cs="宋体"/>
                <w:color w:val="auto"/>
                <w:szCs w:val="21"/>
                <w:highlight w:val="none"/>
              </w:rPr>
            </w:pPr>
          </w:p>
        </w:tc>
        <w:tc>
          <w:tcPr>
            <w:tcW w:w="1231" w:type="dxa"/>
            <w:noWrap w:val="0"/>
            <w:vAlign w:val="center"/>
          </w:tcPr>
          <w:p w14:paraId="41F58FBE">
            <w:pPr>
              <w:jc w:val="center"/>
              <w:rPr>
                <w:rFonts w:hint="eastAsia" w:ascii="宋体" w:hAnsi="宋体" w:eastAsia="宋体" w:cs="宋体"/>
                <w:color w:val="auto"/>
                <w:szCs w:val="21"/>
                <w:highlight w:val="none"/>
              </w:rPr>
            </w:pPr>
          </w:p>
        </w:tc>
        <w:tc>
          <w:tcPr>
            <w:tcW w:w="1026" w:type="dxa"/>
            <w:noWrap w:val="0"/>
            <w:vAlign w:val="center"/>
          </w:tcPr>
          <w:p w14:paraId="14020918">
            <w:pPr>
              <w:jc w:val="center"/>
              <w:rPr>
                <w:rFonts w:hint="eastAsia" w:ascii="宋体" w:hAnsi="宋体" w:eastAsia="宋体" w:cs="宋体"/>
                <w:color w:val="auto"/>
                <w:szCs w:val="21"/>
                <w:highlight w:val="none"/>
              </w:rPr>
            </w:pPr>
          </w:p>
        </w:tc>
      </w:tr>
      <w:tr w14:paraId="2A72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394FCFB6">
            <w:pPr>
              <w:jc w:val="center"/>
              <w:rPr>
                <w:rFonts w:hint="eastAsia" w:ascii="宋体" w:hAnsi="宋体" w:eastAsia="宋体" w:cs="宋体"/>
                <w:color w:val="auto"/>
                <w:szCs w:val="21"/>
                <w:highlight w:val="none"/>
              </w:rPr>
            </w:pPr>
          </w:p>
        </w:tc>
        <w:tc>
          <w:tcPr>
            <w:tcW w:w="1028" w:type="dxa"/>
            <w:noWrap w:val="0"/>
            <w:vAlign w:val="center"/>
          </w:tcPr>
          <w:p w14:paraId="406A3DD0">
            <w:pPr>
              <w:jc w:val="center"/>
              <w:rPr>
                <w:rFonts w:hint="eastAsia" w:ascii="宋体" w:hAnsi="宋体" w:eastAsia="宋体" w:cs="宋体"/>
                <w:color w:val="auto"/>
                <w:szCs w:val="21"/>
                <w:highlight w:val="none"/>
              </w:rPr>
            </w:pPr>
          </w:p>
        </w:tc>
        <w:tc>
          <w:tcPr>
            <w:tcW w:w="1027" w:type="dxa"/>
            <w:noWrap w:val="0"/>
            <w:vAlign w:val="center"/>
          </w:tcPr>
          <w:p w14:paraId="4F768E25">
            <w:pPr>
              <w:jc w:val="center"/>
              <w:rPr>
                <w:rFonts w:hint="eastAsia" w:ascii="宋体" w:hAnsi="宋体" w:eastAsia="宋体" w:cs="宋体"/>
                <w:color w:val="auto"/>
                <w:szCs w:val="21"/>
                <w:highlight w:val="none"/>
              </w:rPr>
            </w:pPr>
          </w:p>
        </w:tc>
        <w:tc>
          <w:tcPr>
            <w:tcW w:w="1643" w:type="dxa"/>
            <w:noWrap w:val="0"/>
            <w:vAlign w:val="center"/>
          </w:tcPr>
          <w:p w14:paraId="328D9EAD">
            <w:pPr>
              <w:jc w:val="center"/>
              <w:rPr>
                <w:rFonts w:hint="eastAsia" w:ascii="宋体" w:hAnsi="宋体" w:eastAsia="宋体" w:cs="宋体"/>
                <w:color w:val="auto"/>
                <w:szCs w:val="21"/>
                <w:highlight w:val="none"/>
              </w:rPr>
            </w:pPr>
          </w:p>
        </w:tc>
        <w:tc>
          <w:tcPr>
            <w:tcW w:w="1116" w:type="dxa"/>
            <w:noWrap w:val="0"/>
            <w:vAlign w:val="center"/>
          </w:tcPr>
          <w:p w14:paraId="4DD3EA16">
            <w:pPr>
              <w:jc w:val="center"/>
              <w:rPr>
                <w:rFonts w:hint="eastAsia" w:ascii="宋体" w:hAnsi="宋体" w:eastAsia="宋体" w:cs="宋体"/>
                <w:color w:val="auto"/>
                <w:szCs w:val="21"/>
                <w:highlight w:val="none"/>
              </w:rPr>
            </w:pPr>
          </w:p>
        </w:tc>
        <w:tc>
          <w:tcPr>
            <w:tcW w:w="1142" w:type="dxa"/>
            <w:noWrap w:val="0"/>
            <w:vAlign w:val="center"/>
          </w:tcPr>
          <w:p w14:paraId="56CF0052">
            <w:pPr>
              <w:jc w:val="center"/>
              <w:rPr>
                <w:rFonts w:hint="eastAsia" w:ascii="宋体" w:hAnsi="宋体" w:eastAsia="宋体" w:cs="宋体"/>
                <w:color w:val="auto"/>
                <w:szCs w:val="21"/>
                <w:highlight w:val="none"/>
              </w:rPr>
            </w:pPr>
          </w:p>
        </w:tc>
        <w:tc>
          <w:tcPr>
            <w:tcW w:w="1231" w:type="dxa"/>
            <w:noWrap w:val="0"/>
            <w:vAlign w:val="center"/>
          </w:tcPr>
          <w:p w14:paraId="237BC1B7">
            <w:pPr>
              <w:jc w:val="center"/>
              <w:rPr>
                <w:rFonts w:hint="eastAsia" w:ascii="宋体" w:hAnsi="宋体" w:eastAsia="宋体" w:cs="宋体"/>
                <w:color w:val="auto"/>
                <w:szCs w:val="21"/>
                <w:highlight w:val="none"/>
              </w:rPr>
            </w:pPr>
          </w:p>
        </w:tc>
        <w:tc>
          <w:tcPr>
            <w:tcW w:w="1026" w:type="dxa"/>
            <w:noWrap w:val="0"/>
            <w:vAlign w:val="center"/>
          </w:tcPr>
          <w:p w14:paraId="675058E6">
            <w:pPr>
              <w:jc w:val="center"/>
              <w:rPr>
                <w:rFonts w:hint="eastAsia" w:ascii="宋体" w:hAnsi="宋体" w:eastAsia="宋体" w:cs="宋体"/>
                <w:color w:val="auto"/>
                <w:szCs w:val="21"/>
                <w:highlight w:val="none"/>
              </w:rPr>
            </w:pPr>
          </w:p>
        </w:tc>
      </w:tr>
      <w:tr w14:paraId="46BC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4A6624AA">
            <w:pPr>
              <w:jc w:val="center"/>
              <w:rPr>
                <w:rFonts w:hint="eastAsia" w:ascii="宋体" w:hAnsi="宋体" w:eastAsia="宋体" w:cs="宋体"/>
                <w:color w:val="auto"/>
                <w:sz w:val="24"/>
                <w:highlight w:val="none"/>
              </w:rPr>
            </w:pPr>
          </w:p>
        </w:tc>
        <w:tc>
          <w:tcPr>
            <w:tcW w:w="1028" w:type="dxa"/>
            <w:noWrap w:val="0"/>
            <w:vAlign w:val="center"/>
          </w:tcPr>
          <w:p w14:paraId="3353BE85">
            <w:pPr>
              <w:jc w:val="center"/>
              <w:rPr>
                <w:rFonts w:hint="eastAsia" w:ascii="宋体" w:hAnsi="宋体" w:eastAsia="宋体" w:cs="宋体"/>
                <w:color w:val="auto"/>
                <w:sz w:val="24"/>
                <w:highlight w:val="none"/>
              </w:rPr>
            </w:pPr>
          </w:p>
        </w:tc>
        <w:tc>
          <w:tcPr>
            <w:tcW w:w="1027" w:type="dxa"/>
            <w:noWrap w:val="0"/>
            <w:vAlign w:val="center"/>
          </w:tcPr>
          <w:p w14:paraId="1888439B">
            <w:pPr>
              <w:jc w:val="center"/>
              <w:rPr>
                <w:rFonts w:hint="eastAsia" w:ascii="宋体" w:hAnsi="宋体" w:eastAsia="宋体" w:cs="宋体"/>
                <w:color w:val="auto"/>
                <w:sz w:val="24"/>
                <w:highlight w:val="none"/>
              </w:rPr>
            </w:pPr>
          </w:p>
        </w:tc>
        <w:tc>
          <w:tcPr>
            <w:tcW w:w="1643" w:type="dxa"/>
            <w:noWrap w:val="0"/>
            <w:vAlign w:val="center"/>
          </w:tcPr>
          <w:p w14:paraId="642BD162">
            <w:pPr>
              <w:jc w:val="center"/>
              <w:rPr>
                <w:rFonts w:hint="eastAsia" w:ascii="宋体" w:hAnsi="宋体" w:eastAsia="宋体" w:cs="宋体"/>
                <w:color w:val="auto"/>
                <w:sz w:val="24"/>
                <w:highlight w:val="none"/>
              </w:rPr>
            </w:pPr>
          </w:p>
        </w:tc>
        <w:tc>
          <w:tcPr>
            <w:tcW w:w="1116" w:type="dxa"/>
            <w:noWrap w:val="0"/>
            <w:vAlign w:val="center"/>
          </w:tcPr>
          <w:p w14:paraId="6B9B3F67">
            <w:pPr>
              <w:jc w:val="center"/>
              <w:rPr>
                <w:rFonts w:hint="eastAsia" w:ascii="宋体" w:hAnsi="宋体" w:eastAsia="宋体" w:cs="宋体"/>
                <w:color w:val="auto"/>
                <w:sz w:val="24"/>
                <w:highlight w:val="none"/>
              </w:rPr>
            </w:pPr>
          </w:p>
        </w:tc>
        <w:tc>
          <w:tcPr>
            <w:tcW w:w="1142" w:type="dxa"/>
            <w:noWrap w:val="0"/>
            <w:vAlign w:val="center"/>
          </w:tcPr>
          <w:p w14:paraId="4297C253">
            <w:pPr>
              <w:jc w:val="center"/>
              <w:rPr>
                <w:rFonts w:hint="eastAsia" w:ascii="宋体" w:hAnsi="宋体" w:eastAsia="宋体" w:cs="宋体"/>
                <w:color w:val="auto"/>
                <w:sz w:val="24"/>
                <w:highlight w:val="none"/>
              </w:rPr>
            </w:pPr>
          </w:p>
        </w:tc>
        <w:tc>
          <w:tcPr>
            <w:tcW w:w="1231" w:type="dxa"/>
            <w:noWrap w:val="0"/>
            <w:vAlign w:val="center"/>
          </w:tcPr>
          <w:p w14:paraId="6CDFD56C">
            <w:pPr>
              <w:jc w:val="center"/>
              <w:rPr>
                <w:rFonts w:hint="eastAsia" w:ascii="宋体" w:hAnsi="宋体" w:eastAsia="宋体" w:cs="宋体"/>
                <w:color w:val="auto"/>
                <w:sz w:val="24"/>
                <w:highlight w:val="none"/>
              </w:rPr>
            </w:pPr>
          </w:p>
        </w:tc>
        <w:tc>
          <w:tcPr>
            <w:tcW w:w="1026" w:type="dxa"/>
            <w:noWrap w:val="0"/>
            <w:vAlign w:val="center"/>
          </w:tcPr>
          <w:p w14:paraId="29CC39C0">
            <w:pPr>
              <w:jc w:val="center"/>
              <w:rPr>
                <w:rFonts w:hint="eastAsia" w:ascii="宋体" w:hAnsi="宋体" w:eastAsia="宋体" w:cs="宋体"/>
                <w:color w:val="auto"/>
                <w:sz w:val="24"/>
                <w:highlight w:val="none"/>
              </w:rPr>
            </w:pPr>
          </w:p>
        </w:tc>
      </w:tr>
      <w:tr w14:paraId="1C7E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263E8BF1">
            <w:pPr>
              <w:jc w:val="center"/>
              <w:rPr>
                <w:rFonts w:hint="eastAsia" w:ascii="宋体" w:hAnsi="宋体" w:eastAsia="宋体" w:cs="宋体"/>
                <w:color w:val="auto"/>
                <w:sz w:val="24"/>
                <w:highlight w:val="none"/>
              </w:rPr>
            </w:pPr>
          </w:p>
        </w:tc>
        <w:tc>
          <w:tcPr>
            <w:tcW w:w="1028" w:type="dxa"/>
            <w:noWrap w:val="0"/>
            <w:vAlign w:val="center"/>
          </w:tcPr>
          <w:p w14:paraId="0824168D">
            <w:pPr>
              <w:jc w:val="center"/>
              <w:rPr>
                <w:rFonts w:hint="eastAsia" w:ascii="宋体" w:hAnsi="宋体" w:eastAsia="宋体" w:cs="宋体"/>
                <w:color w:val="auto"/>
                <w:sz w:val="24"/>
                <w:highlight w:val="none"/>
              </w:rPr>
            </w:pPr>
          </w:p>
        </w:tc>
        <w:tc>
          <w:tcPr>
            <w:tcW w:w="1027" w:type="dxa"/>
            <w:noWrap w:val="0"/>
            <w:vAlign w:val="center"/>
          </w:tcPr>
          <w:p w14:paraId="79E0D5E3">
            <w:pPr>
              <w:jc w:val="center"/>
              <w:rPr>
                <w:rFonts w:hint="eastAsia" w:ascii="宋体" w:hAnsi="宋体" w:eastAsia="宋体" w:cs="宋体"/>
                <w:color w:val="auto"/>
                <w:sz w:val="24"/>
                <w:highlight w:val="none"/>
              </w:rPr>
            </w:pPr>
          </w:p>
        </w:tc>
        <w:tc>
          <w:tcPr>
            <w:tcW w:w="1643" w:type="dxa"/>
            <w:noWrap w:val="0"/>
            <w:vAlign w:val="center"/>
          </w:tcPr>
          <w:p w14:paraId="2F6B6579">
            <w:pPr>
              <w:jc w:val="center"/>
              <w:rPr>
                <w:rFonts w:hint="eastAsia" w:ascii="宋体" w:hAnsi="宋体" w:eastAsia="宋体" w:cs="宋体"/>
                <w:color w:val="auto"/>
                <w:sz w:val="24"/>
                <w:highlight w:val="none"/>
              </w:rPr>
            </w:pPr>
          </w:p>
        </w:tc>
        <w:tc>
          <w:tcPr>
            <w:tcW w:w="1116" w:type="dxa"/>
            <w:noWrap w:val="0"/>
            <w:vAlign w:val="center"/>
          </w:tcPr>
          <w:p w14:paraId="3AC305B6">
            <w:pPr>
              <w:jc w:val="center"/>
              <w:rPr>
                <w:rFonts w:hint="eastAsia" w:ascii="宋体" w:hAnsi="宋体" w:eastAsia="宋体" w:cs="宋体"/>
                <w:color w:val="auto"/>
                <w:sz w:val="24"/>
                <w:highlight w:val="none"/>
              </w:rPr>
            </w:pPr>
          </w:p>
        </w:tc>
        <w:tc>
          <w:tcPr>
            <w:tcW w:w="1142" w:type="dxa"/>
            <w:noWrap w:val="0"/>
            <w:vAlign w:val="center"/>
          </w:tcPr>
          <w:p w14:paraId="684FBEA8">
            <w:pPr>
              <w:jc w:val="center"/>
              <w:rPr>
                <w:rFonts w:hint="eastAsia" w:ascii="宋体" w:hAnsi="宋体" w:eastAsia="宋体" w:cs="宋体"/>
                <w:color w:val="auto"/>
                <w:sz w:val="24"/>
                <w:highlight w:val="none"/>
              </w:rPr>
            </w:pPr>
          </w:p>
        </w:tc>
        <w:tc>
          <w:tcPr>
            <w:tcW w:w="1231" w:type="dxa"/>
            <w:noWrap w:val="0"/>
            <w:vAlign w:val="center"/>
          </w:tcPr>
          <w:p w14:paraId="7334736F">
            <w:pPr>
              <w:jc w:val="center"/>
              <w:rPr>
                <w:rFonts w:hint="eastAsia" w:ascii="宋体" w:hAnsi="宋体" w:eastAsia="宋体" w:cs="宋体"/>
                <w:color w:val="auto"/>
                <w:sz w:val="24"/>
                <w:highlight w:val="none"/>
              </w:rPr>
            </w:pPr>
          </w:p>
        </w:tc>
        <w:tc>
          <w:tcPr>
            <w:tcW w:w="1026" w:type="dxa"/>
            <w:noWrap w:val="0"/>
            <w:vAlign w:val="center"/>
          </w:tcPr>
          <w:p w14:paraId="40B2012E">
            <w:pPr>
              <w:jc w:val="center"/>
              <w:rPr>
                <w:rFonts w:hint="eastAsia" w:ascii="宋体" w:hAnsi="宋体" w:eastAsia="宋体" w:cs="宋体"/>
                <w:color w:val="auto"/>
                <w:sz w:val="24"/>
                <w:highlight w:val="none"/>
              </w:rPr>
            </w:pPr>
          </w:p>
        </w:tc>
      </w:tr>
      <w:tr w14:paraId="5A31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197EF8C9">
            <w:pPr>
              <w:jc w:val="center"/>
              <w:rPr>
                <w:rFonts w:hint="eastAsia" w:ascii="宋体" w:hAnsi="宋体" w:eastAsia="宋体" w:cs="宋体"/>
                <w:color w:val="auto"/>
                <w:sz w:val="24"/>
                <w:highlight w:val="none"/>
              </w:rPr>
            </w:pPr>
          </w:p>
        </w:tc>
        <w:tc>
          <w:tcPr>
            <w:tcW w:w="1028" w:type="dxa"/>
            <w:noWrap w:val="0"/>
            <w:vAlign w:val="center"/>
          </w:tcPr>
          <w:p w14:paraId="1280A607">
            <w:pPr>
              <w:jc w:val="center"/>
              <w:rPr>
                <w:rFonts w:hint="eastAsia" w:ascii="宋体" w:hAnsi="宋体" w:eastAsia="宋体" w:cs="宋体"/>
                <w:color w:val="auto"/>
                <w:sz w:val="24"/>
                <w:highlight w:val="none"/>
              </w:rPr>
            </w:pPr>
          </w:p>
        </w:tc>
        <w:tc>
          <w:tcPr>
            <w:tcW w:w="1027" w:type="dxa"/>
            <w:noWrap w:val="0"/>
            <w:vAlign w:val="center"/>
          </w:tcPr>
          <w:p w14:paraId="3C548240">
            <w:pPr>
              <w:jc w:val="center"/>
              <w:rPr>
                <w:rFonts w:hint="eastAsia" w:ascii="宋体" w:hAnsi="宋体" w:eastAsia="宋体" w:cs="宋体"/>
                <w:color w:val="auto"/>
                <w:sz w:val="24"/>
                <w:highlight w:val="none"/>
              </w:rPr>
            </w:pPr>
          </w:p>
        </w:tc>
        <w:tc>
          <w:tcPr>
            <w:tcW w:w="1643" w:type="dxa"/>
            <w:noWrap w:val="0"/>
            <w:vAlign w:val="center"/>
          </w:tcPr>
          <w:p w14:paraId="60F1B915">
            <w:pPr>
              <w:jc w:val="center"/>
              <w:rPr>
                <w:rFonts w:hint="eastAsia" w:ascii="宋体" w:hAnsi="宋体" w:eastAsia="宋体" w:cs="宋体"/>
                <w:color w:val="auto"/>
                <w:sz w:val="24"/>
                <w:highlight w:val="none"/>
              </w:rPr>
            </w:pPr>
          </w:p>
        </w:tc>
        <w:tc>
          <w:tcPr>
            <w:tcW w:w="1116" w:type="dxa"/>
            <w:noWrap w:val="0"/>
            <w:vAlign w:val="center"/>
          </w:tcPr>
          <w:p w14:paraId="59A6FD88">
            <w:pPr>
              <w:jc w:val="center"/>
              <w:rPr>
                <w:rFonts w:hint="eastAsia" w:ascii="宋体" w:hAnsi="宋体" w:eastAsia="宋体" w:cs="宋体"/>
                <w:color w:val="auto"/>
                <w:sz w:val="24"/>
                <w:highlight w:val="none"/>
              </w:rPr>
            </w:pPr>
          </w:p>
        </w:tc>
        <w:tc>
          <w:tcPr>
            <w:tcW w:w="1142" w:type="dxa"/>
            <w:noWrap w:val="0"/>
            <w:vAlign w:val="center"/>
          </w:tcPr>
          <w:p w14:paraId="733DF669">
            <w:pPr>
              <w:jc w:val="center"/>
              <w:rPr>
                <w:rFonts w:hint="eastAsia" w:ascii="宋体" w:hAnsi="宋体" w:eastAsia="宋体" w:cs="宋体"/>
                <w:color w:val="auto"/>
                <w:sz w:val="24"/>
                <w:highlight w:val="none"/>
              </w:rPr>
            </w:pPr>
          </w:p>
        </w:tc>
        <w:tc>
          <w:tcPr>
            <w:tcW w:w="1231" w:type="dxa"/>
            <w:noWrap w:val="0"/>
            <w:vAlign w:val="center"/>
          </w:tcPr>
          <w:p w14:paraId="751CA766">
            <w:pPr>
              <w:jc w:val="center"/>
              <w:rPr>
                <w:rFonts w:hint="eastAsia" w:ascii="宋体" w:hAnsi="宋体" w:eastAsia="宋体" w:cs="宋体"/>
                <w:color w:val="auto"/>
                <w:sz w:val="24"/>
                <w:highlight w:val="none"/>
              </w:rPr>
            </w:pPr>
          </w:p>
        </w:tc>
        <w:tc>
          <w:tcPr>
            <w:tcW w:w="1026" w:type="dxa"/>
            <w:noWrap w:val="0"/>
            <w:vAlign w:val="center"/>
          </w:tcPr>
          <w:p w14:paraId="391D772F">
            <w:pPr>
              <w:jc w:val="center"/>
              <w:rPr>
                <w:rFonts w:hint="eastAsia" w:ascii="宋体" w:hAnsi="宋体" w:eastAsia="宋体" w:cs="宋体"/>
                <w:color w:val="auto"/>
                <w:sz w:val="24"/>
                <w:highlight w:val="none"/>
              </w:rPr>
            </w:pPr>
          </w:p>
        </w:tc>
      </w:tr>
      <w:tr w14:paraId="775C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49D60857">
            <w:pPr>
              <w:jc w:val="center"/>
              <w:rPr>
                <w:rFonts w:hint="eastAsia" w:ascii="宋体" w:hAnsi="宋体" w:eastAsia="宋体" w:cs="宋体"/>
                <w:color w:val="auto"/>
                <w:sz w:val="24"/>
                <w:highlight w:val="none"/>
              </w:rPr>
            </w:pPr>
          </w:p>
        </w:tc>
        <w:tc>
          <w:tcPr>
            <w:tcW w:w="1028" w:type="dxa"/>
            <w:noWrap w:val="0"/>
            <w:vAlign w:val="center"/>
          </w:tcPr>
          <w:p w14:paraId="5873D90A">
            <w:pPr>
              <w:jc w:val="center"/>
              <w:rPr>
                <w:rFonts w:hint="eastAsia" w:ascii="宋体" w:hAnsi="宋体" w:eastAsia="宋体" w:cs="宋体"/>
                <w:color w:val="auto"/>
                <w:sz w:val="24"/>
                <w:highlight w:val="none"/>
              </w:rPr>
            </w:pPr>
          </w:p>
        </w:tc>
        <w:tc>
          <w:tcPr>
            <w:tcW w:w="1027" w:type="dxa"/>
            <w:noWrap w:val="0"/>
            <w:vAlign w:val="center"/>
          </w:tcPr>
          <w:p w14:paraId="39DE9DFC">
            <w:pPr>
              <w:jc w:val="center"/>
              <w:rPr>
                <w:rFonts w:hint="eastAsia" w:ascii="宋体" w:hAnsi="宋体" w:eastAsia="宋体" w:cs="宋体"/>
                <w:color w:val="auto"/>
                <w:sz w:val="24"/>
                <w:highlight w:val="none"/>
              </w:rPr>
            </w:pPr>
          </w:p>
        </w:tc>
        <w:tc>
          <w:tcPr>
            <w:tcW w:w="1643" w:type="dxa"/>
            <w:noWrap w:val="0"/>
            <w:vAlign w:val="center"/>
          </w:tcPr>
          <w:p w14:paraId="1B359235">
            <w:pPr>
              <w:jc w:val="center"/>
              <w:rPr>
                <w:rFonts w:hint="eastAsia" w:ascii="宋体" w:hAnsi="宋体" w:eastAsia="宋体" w:cs="宋体"/>
                <w:color w:val="auto"/>
                <w:sz w:val="24"/>
                <w:highlight w:val="none"/>
              </w:rPr>
            </w:pPr>
          </w:p>
        </w:tc>
        <w:tc>
          <w:tcPr>
            <w:tcW w:w="1116" w:type="dxa"/>
            <w:noWrap w:val="0"/>
            <w:vAlign w:val="center"/>
          </w:tcPr>
          <w:p w14:paraId="0478EF26">
            <w:pPr>
              <w:jc w:val="center"/>
              <w:rPr>
                <w:rFonts w:hint="eastAsia" w:ascii="宋体" w:hAnsi="宋体" w:eastAsia="宋体" w:cs="宋体"/>
                <w:color w:val="auto"/>
                <w:sz w:val="24"/>
                <w:highlight w:val="none"/>
              </w:rPr>
            </w:pPr>
          </w:p>
        </w:tc>
        <w:tc>
          <w:tcPr>
            <w:tcW w:w="1142" w:type="dxa"/>
            <w:noWrap w:val="0"/>
            <w:vAlign w:val="center"/>
          </w:tcPr>
          <w:p w14:paraId="748E3B31">
            <w:pPr>
              <w:jc w:val="center"/>
              <w:rPr>
                <w:rFonts w:hint="eastAsia" w:ascii="宋体" w:hAnsi="宋体" w:eastAsia="宋体" w:cs="宋体"/>
                <w:color w:val="auto"/>
                <w:sz w:val="24"/>
                <w:highlight w:val="none"/>
              </w:rPr>
            </w:pPr>
          </w:p>
        </w:tc>
        <w:tc>
          <w:tcPr>
            <w:tcW w:w="1231" w:type="dxa"/>
            <w:noWrap w:val="0"/>
            <w:vAlign w:val="center"/>
          </w:tcPr>
          <w:p w14:paraId="7E600AC0">
            <w:pPr>
              <w:jc w:val="center"/>
              <w:rPr>
                <w:rFonts w:hint="eastAsia" w:ascii="宋体" w:hAnsi="宋体" w:eastAsia="宋体" w:cs="宋体"/>
                <w:color w:val="auto"/>
                <w:sz w:val="24"/>
                <w:highlight w:val="none"/>
              </w:rPr>
            </w:pPr>
          </w:p>
        </w:tc>
        <w:tc>
          <w:tcPr>
            <w:tcW w:w="1026" w:type="dxa"/>
            <w:noWrap w:val="0"/>
            <w:vAlign w:val="center"/>
          </w:tcPr>
          <w:p w14:paraId="138DDAE4">
            <w:pPr>
              <w:jc w:val="center"/>
              <w:rPr>
                <w:rFonts w:hint="eastAsia" w:ascii="宋体" w:hAnsi="宋体" w:eastAsia="宋体" w:cs="宋体"/>
                <w:color w:val="auto"/>
                <w:sz w:val="24"/>
                <w:highlight w:val="none"/>
              </w:rPr>
            </w:pPr>
          </w:p>
        </w:tc>
      </w:tr>
      <w:tr w14:paraId="183D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3B12C7C8">
            <w:pPr>
              <w:jc w:val="center"/>
              <w:rPr>
                <w:rFonts w:hint="eastAsia" w:ascii="宋体" w:hAnsi="宋体" w:eastAsia="宋体" w:cs="宋体"/>
                <w:color w:val="auto"/>
                <w:sz w:val="22"/>
                <w:szCs w:val="21"/>
                <w:highlight w:val="none"/>
              </w:rPr>
            </w:pPr>
          </w:p>
        </w:tc>
        <w:tc>
          <w:tcPr>
            <w:tcW w:w="1028" w:type="dxa"/>
            <w:noWrap w:val="0"/>
            <w:vAlign w:val="center"/>
          </w:tcPr>
          <w:p w14:paraId="4347C53B">
            <w:pPr>
              <w:jc w:val="center"/>
              <w:rPr>
                <w:rFonts w:hint="eastAsia" w:ascii="宋体" w:hAnsi="宋体" w:eastAsia="宋体" w:cs="宋体"/>
                <w:color w:val="auto"/>
                <w:sz w:val="22"/>
                <w:szCs w:val="21"/>
                <w:highlight w:val="none"/>
              </w:rPr>
            </w:pPr>
          </w:p>
        </w:tc>
        <w:tc>
          <w:tcPr>
            <w:tcW w:w="1027" w:type="dxa"/>
            <w:noWrap w:val="0"/>
            <w:vAlign w:val="center"/>
          </w:tcPr>
          <w:p w14:paraId="3235FCAB">
            <w:pPr>
              <w:jc w:val="center"/>
              <w:rPr>
                <w:rFonts w:hint="eastAsia" w:ascii="宋体" w:hAnsi="宋体" w:eastAsia="宋体" w:cs="宋体"/>
                <w:color w:val="auto"/>
                <w:sz w:val="22"/>
                <w:szCs w:val="21"/>
                <w:highlight w:val="none"/>
              </w:rPr>
            </w:pPr>
          </w:p>
        </w:tc>
        <w:tc>
          <w:tcPr>
            <w:tcW w:w="1643" w:type="dxa"/>
            <w:noWrap w:val="0"/>
            <w:vAlign w:val="center"/>
          </w:tcPr>
          <w:p w14:paraId="55D2AE32">
            <w:pPr>
              <w:jc w:val="center"/>
              <w:rPr>
                <w:rFonts w:hint="eastAsia" w:ascii="宋体" w:hAnsi="宋体" w:eastAsia="宋体" w:cs="宋体"/>
                <w:color w:val="auto"/>
                <w:sz w:val="22"/>
                <w:szCs w:val="21"/>
                <w:highlight w:val="none"/>
              </w:rPr>
            </w:pPr>
          </w:p>
        </w:tc>
        <w:tc>
          <w:tcPr>
            <w:tcW w:w="1116" w:type="dxa"/>
            <w:noWrap w:val="0"/>
            <w:vAlign w:val="center"/>
          </w:tcPr>
          <w:p w14:paraId="59B4169A">
            <w:pPr>
              <w:jc w:val="center"/>
              <w:rPr>
                <w:rFonts w:hint="eastAsia" w:ascii="宋体" w:hAnsi="宋体" w:eastAsia="宋体" w:cs="宋体"/>
                <w:color w:val="auto"/>
                <w:sz w:val="22"/>
                <w:szCs w:val="21"/>
                <w:highlight w:val="none"/>
              </w:rPr>
            </w:pPr>
          </w:p>
        </w:tc>
        <w:tc>
          <w:tcPr>
            <w:tcW w:w="1142" w:type="dxa"/>
            <w:noWrap w:val="0"/>
            <w:vAlign w:val="center"/>
          </w:tcPr>
          <w:p w14:paraId="6F9FD0A9">
            <w:pPr>
              <w:jc w:val="center"/>
              <w:rPr>
                <w:rFonts w:hint="eastAsia" w:ascii="宋体" w:hAnsi="宋体" w:eastAsia="宋体" w:cs="宋体"/>
                <w:color w:val="auto"/>
                <w:sz w:val="22"/>
                <w:szCs w:val="21"/>
                <w:highlight w:val="none"/>
              </w:rPr>
            </w:pPr>
          </w:p>
        </w:tc>
        <w:tc>
          <w:tcPr>
            <w:tcW w:w="1231" w:type="dxa"/>
            <w:noWrap w:val="0"/>
            <w:vAlign w:val="center"/>
          </w:tcPr>
          <w:p w14:paraId="7F1099BC">
            <w:pPr>
              <w:jc w:val="center"/>
              <w:rPr>
                <w:rFonts w:hint="eastAsia" w:ascii="宋体" w:hAnsi="宋体" w:eastAsia="宋体" w:cs="宋体"/>
                <w:color w:val="auto"/>
                <w:sz w:val="22"/>
                <w:szCs w:val="21"/>
                <w:highlight w:val="none"/>
              </w:rPr>
            </w:pPr>
          </w:p>
        </w:tc>
        <w:tc>
          <w:tcPr>
            <w:tcW w:w="1026" w:type="dxa"/>
            <w:noWrap w:val="0"/>
            <w:vAlign w:val="center"/>
          </w:tcPr>
          <w:p w14:paraId="07FB6216">
            <w:pPr>
              <w:jc w:val="center"/>
              <w:rPr>
                <w:rFonts w:hint="eastAsia" w:ascii="宋体" w:hAnsi="宋体" w:eastAsia="宋体" w:cs="宋体"/>
                <w:color w:val="auto"/>
                <w:sz w:val="22"/>
                <w:szCs w:val="21"/>
                <w:highlight w:val="none"/>
              </w:rPr>
            </w:pPr>
          </w:p>
        </w:tc>
      </w:tr>
      <w:tr w14:paraId="161B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6D1B4E36">
            <w:pPr>
              <w:jc w:val="center"/>
              <w:rPr>
                <w:rFonts w:hint="eastAsia" w:ascii="宋体" w:hAnsi="宋体" w:eastAsia="宋体" w:cs="宋体"/>
                <w:color w:val="auto"/>
                <w:sz w:val="22"/>
                <w:szCs w:val="21"/>
                <w:highlight w:val="none"/>
              </w:rPr>
            </w:pPr>
          </w:p>
        </w:tc>
        <w:tc>
          <w:tcPr>
            <w:tcW w:w="1028" w:type="dxa"/>
            <w:noWrap w:val="0"/>
            <w:vAlign w:val="center"/>
          </w:tcPr>
          <w:p w14:paraId="32EBAA13">
            <w:pPr>
              <w:jc w:val="center"/>
              <w:rPr>
                <w:rFonts w:hint="eastAsia" w:ascii="宋体" w:hAnsi="宋体" w:eastAsia="宋体" w:cs="宋体"/>
                <w:color w:val="auto"/>
                <w:sz w:val="22"/>
                <w:szCs w:val="21"/>
                <w:highlight w:val="none"/>
              </w:rPr>
            </w:pPr>
          </w:p>
        </w:tc>
        <w:tc>
          <w:tcPr>
            <w:tcW w:w="1027" w:type="dxa"/>
            <w:noWrap w:val="0"/>
            <w:vAlign w:val="center"/>
          </w:tcPr>
          <w:p w14:paraId="5E5E4F0B">
            <w:pPr>
              <w:jc w:val="center"/>
              <w:rPr>
                <w:rFonts w:hint="eastAsia" w:ascii="宋体" w:hAnsi="宋体" w:eastAsia="宋体" w:cs="宋体"/>
                <w:color w:val="auto"/>
                <w:sz w:val="22"/>
                <w:szCs w:val="21"/>
                <w:highlight w:val="none"/>
              </w:rPr>
            </w:pPr>
          </w:p>
        </w:tc>
        <w:tc>
          <w:tcPr>
            <w:tcW w:w="1643" w:type="dxa"/>
            <w:noWrap w:val="0"/>
            <w:vAlign w:val="center"/>
          </w:tcPr>
          <w:p w14:paraId="1B626B31">
            <w:pPr>
              <w:jc w:val="center"/>
              <w:rPr>
                <w:rFonts w:hint="eastAsia" w:ascii="宋体" w:hAnsi="宋体" w:eastAsia="宋体" w:cs="宋体"/>
                <w:color w:val="auto"/>
                <w:sz w:val="22"/>
                <w:szCs w:val="21"/>
                <w:highlight w:val="none"/>
              </w:rPr>
            </w:pPr>
          </w:p>
        </w:tc>
        <w:tc>
          <w:tcPr>
            <w:tcW w:w="1116" w:type="dxa"/>
            <w:noWrap w:val="0"/>
            <w:vAlign w:val="center"/>
          </w:tcPr>
          <w:p w14:paraId="70C5A592">
            <w:pPr>
              <w:jc w:val="center"/>
              <w:rPr>
                <w:rFonts w:hint="eastAsia" w:ascii="宋体" w:hAnsi="宋体" w:eastAsia="宋体" w:cs="宋体"/>
                <w:color w:val="auto"/>
                <w:sz w:val="22"/>
                <w:szCs w:val="21"/>
                <w:highlight w:val="none"/>
              </w:rPr>
            </w:pPr>
          </w:p>
        </w:tc>
        <w:tc>
          <w:tcPr>
            <w:tcW w:w="1142" w:type="dxa"/>
            <w:noWrap w:val="0"/>
            <w:vAlign w:val="center"/>
          </w:tcPr>
          <w:p w14:paraId="35CAD426">
            <w:pPr>
              <w:jc w:val="center"/>
              <w:rPr>
                <w:rFonts w:hint="eastAsia" w:ascii="宋体" w:hAnsi="宋体" w:eastAsia="宋体" w:cs="宋体"/>
                <w:color w:val="auto"/>
                <w:sz w:val="22"/>
                <w:szCs w:val="21"/>
                <w:highlight w:val="none"/>
              </w:rPr>
            </w:pPr>
          </w:p>
        </w:tc>
        <w:tc>
          <w:tcPr>
            <w:tcW w:w="1231" w:type="dxa"/>
            <w:noWrap w:val="0"/>
            <w:vAlign w:val="center"/>
          </w:tcPr>
          <w:p w14:paraId="1FBF84F6">
            <w:pPr>
              <w:jc w:val="center"/>
              <w:rPr>
                <w:rFonts w:hint="eastAsia" w:ascii="宋体" w:hAnsi="宋体" w:eastAsia="宋体" w:cs="宋体"/>
                <w:color w:val="auto"/>
                <w:sz w:val="22"/>
                <w:szCs w:val="21"/>
                <w:highlight w:val="none"/>
              </w:rPr>
            </w:pPr>
          </w:p>
        </w:tc>
        <w:tc>
          <w:tcPr>
            <w:tcW w:w="1026" w:type="dxa"/>
            <w:noWrap w:val="0"/>
            <w:vAlign w:val="center"/>
          </w:tcPr>
          <w:p w14:paraId="353DFDC6">
            <w:pPr>
              <w:jc w:val="center"/>
              <w:rPr>
                <w:rFonts w:hint="eastAsia" w:ascii="宋体" w:hAnsi="宋体" w:eastAsia="宋体" w:cs="宋体"/>
                <w:color w:val="auto"/>
                <w:sz w:val="22"/>
                <w:szCs w:val="21"/>
                <w:highlight w:val="none"/>
              </w:rPr>
            </w:pPr>
          </w:p>
        </w:tc>
      </w:tr>
      <w:tr w14:paraId="34B1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4AEC988B">
            <w:pPr>
              <w:jc w:val="center"/>
              <w:rPr>
                <w:rFonts w:hint="eastAsia" w:ascii="宋体" w:hAnsi="宋体" w:eastAsia="宋体" w:cs="宋体"/>
                <w:color w:val="auto"/>
                <w:sz w:val="22"/>
                <w:szCs w:val="21"/>
                <w:highlight w:val="none"/>
              </w:rPr>
            </w:pPr>
          </w:p>
        </w:tc>
        <w:tc>
          <w:tcPr>
            <w:tcW w:w="1028" w:type="dxa"/>
            <w:noWrap w:val="0"/>
            <w:vAlign w:val="center"/>
          </w:tcPr>
          <w:p w14:paraId="1B5F6FE0">
            <w:pPr>
              <w:jc w:val="center"/>
              <w:rPr>
                <w:rFonts w:hint="eastAsia" w:ascii="宋体" w:hAnsi="宋体" w:eastAsia="宋体" w:cs="宋体"/>
                <w:color w:val="auto"/>
                <w:sz w:val="22"/>
                <w:szCs w:val="21"/>
                <w:highlight w:val="none"/>
              </w:rPr>
            </w:pPr>
          </w:p>
        </w:tc>
        <w:tc>
          <w:tcPr>
            <w:tcW w:w="1027" w:type="dxa"/>
            <w:noWrap w:val="0"/>
            <w:vAlign w:val="center"/>
          </w:tcPr>
          <w:p w14:paraId="656DA7B4">
            <w:pPr>
              <w:jc w:val="center"/>
              <w:rPr>
                <w:rFonts w:hint="eastAsia" w:ascii="宋体" w:hAnsi="宋体" w:eastAsia="宋体" w:cs="宋体"/>
                <w:color w:val="auto"/>
                <w:sz w:val="22"/>
                <w:szCs w:val="21"/>
                <w:highlight w:val="none"/>
              </w:rPr>
            </w:pPr>
          </w:p>
        </w:tc>
        <w:tc>
          <w:tcPr>
            <w:tcW w:w="1643" w:type="dxa"/>
            <w:noWrap w:val="0"/>
            <w:vAlign w:val="center"/>
          </w:tcPr>
          <w:p w14:paraId="73722C5B">
            <w:pPr>
              <w:jc w:val="center"/>
              <w:rPr>
                <w:rFonts w:hint="eastAsia" w:ascii="宋体" w:hAnsi="宋体" w:eastAsia="宋体" w:cs="宋体"/>
                <w:color w:val="auto"/>
                <w:sz w:val="22"/>
                <w:szCs w:val="21"/>
                <w:highlight w:val="none"/>
              </w:rPr>
            </w:pPr>
          </w:p>
        </w:tc>
        <w:tc>
          <w:tcPr>
            <w:tcW w:w="1116" w:type="dxa"/>
            <w:noWrap w:val="0"/>
            <w:vAlign w:val="center"/>
          </w:tcPr>
          <w:p w14:paraId="7A1BBE9B">
            <w:pPr>
              <w:jc w:val="center"/>
              <w:rPr>
                <w:rFonts w:hint="eastAsia" w:ascii="宋体" w:hAnsi="宋体" w:eastAsia="宋体" w:cs="宋体"/>
                <w:color w:val="auto"/>
                <w:sz w:val="22"/>
                <w:szCs w:val="21"/>
                <w:highlight w:val="none"/>
              </w:rPr>
            </w:pPr>
          </w:p>
        </w:tc>
        <w:tc>
          <w:tcPr>
            <w:tcW w:w="1142" w:type="dxa"/>
            <w:noWrap w:val="0"/>
            <w:vAlign w:val="center"/>
          </w:tcPr>
          <w:p w14:paraId="03623FB2">
            <w:pPr>
              <w:jc w:val="center"/>
              <w:rPr>
                <w:rFonts w:hint="eastAsia" w:ascii="宋体" w:hAnsi="宋体" w:eastAsia="宋体" w:cs="宋体"/>
                <w:color w:val="auto"/>
                <w:sz w:val="22"/>
                <w:szCs w:val="21"/>
                <w:highlight w:val="none"/>
              </w:rPr>
            </w:pPr>
          </w:p>
        </w:tc>
        <w:tc>
          <w:tcPr>
            <w:tcW w:w="1231" w:type="dxa"/>
            <w:noWrap w:val="0"/>
            <w:vAlign w:val="center"/>
          </w:tcPr>
          <w:p w14:paraId="5EE4D9E2">
            <w:pPr>
              <w:jc w:val="center"/>
              <w:rPr>
                <w:rFonts w:hint="eastAsia" w:ascii="宋体" w:hAnsi="宋体" w:eastAsia="宋体" w:cs="宋体"/>
                <w:color w:val="auto"/>
                <w:sz w:val="22"/>
                <w:szCs w:val="21"/>
                <w:highlight w:val="none"/>
              </w:rPr>
            </w:pPr>
          </w:p>
        </w:tc>
        <w:tc>
          <w:tcPr>
            <w:tcW w:w="1026" w:type="dxa"/>
            <w:noWrap w:val="0"/>
            <w:vAlign w:val="center"/>
          </w:tcPr>
          <w:p w14:paraId="23ADFF6A">
            <w:pPr>
              <w:jc w:val="center"/>
              <w:rPr>
                <w:rFonts w:hint="eastAsia" w:ascii="宋体" w:hAnsi="宋体" w:eastAsia="宋体" w:cs="宋体"/>
                <w:color w:val="auto"/>
                <w:sz w:val="22"/>
                <w:szCs w:val="21"/>
                <w:highlight w:val="none"/>
              </w:rPr>
            </w:pPr>
          </w:p>
        </w:tc>
      </w:tr>
      <w:tr w14:paraId="516F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57392B35">
            <w:pPr>
              <w:jc w:val="center"/>
              <w:rPr>
                <w:rFonts w:hint="eastAsia" w:ascii="宋体" w:hAnsi="宋体" w:eastAsia="宋体" w:cs="宋体"/>
                <w:color w:val="auto"/>
                <w:sz w:val="22"/>
                <w:szCs w:val="21"/>
                <w:highlight w:val="none"/>
              </w:rPr>
            </w:pPr>
          </w:p>
        </w:tc>
        <w:tc>
          <w:tcPr>
            <w:tcW w:w="1028" w:type="dxa"/>
            <w:noWrap w:val="0"/>
            <w:vAlign w:val="center"/>
          </w:tcPr>
          <w:p w14:paraId="7E7E9A1A">
            <w:pPr>
              <w:jc w:val="center"/>
              <w:rPr>
                <w:rFonts w:hint="eastAsia" w:ascii="宋体" w:hAnsi="宋体" w:eastAsia="宋体" w:cs="宋体"/>
                <w:color w:val="auto"/>
                <w:sz w:val="22"/>
                <w:szCs w:val="21"/>
                <w:highlight w:val="none"/>
              </w:rPr>
            </w:pPr>
          </w:p>
        </w:tc>
        <w:tc>
          <w:tcPr>
            <w:tcW w:w="1027" w:type="dxa"/>
            <w:noWrap w:val="0"/>
            <w:vAlign w:val="center"/>
          </w:tcPr>
          <w:p w14:paraId="5E45AFD6">
            <w:pPr>
              <w:jc w:val="center"/>
              <w:rPr>
                <w:rFonts w:hint="eastAsia" w:ascii="宋体" w:hAnsi="宋体" w:eastAsia="宋体" w:cs="宋体"/>
                <w:color w:val="auto"/>
                <w:sz w:val="22"/>
                <w:szCs w:val="21"/>
                <w:highlight w:val="none"/>
              </w:rPr>
            </w:pPr>
          </w:p>
        </w:tc>
        <w:tc>
          <w:tcPr>
            <w:tcW w:w="1643" w:type="dxa"/>
            <w:noWrap w:val="0"/>
            <w:vAlign w:val="center"/>
          </w:tcPr>
          <w:p w14:paraId="53164B26">
            <w:pPr>
              <w:jc w:val="center"/>
              <w:rPr>
                <w:rFonts w:hint="eastAsia" w:ascii="宋体" w:hAnsi="宋体" w:eastAsia="宋体" w:cs="宋体"/>
                <w:color w:val="auto"/>
                <w:sz w:val="22"/>
                <w:szCs w:val="21"/>
                <w:highlight w:val="none"/>
              </w:rPr>
            </w:pPr>
          </w:p>
        </w:tc>
        <w:tc>
          <w:tcPr>
            <w:tcW w:w="1116" w:type="dxa"/>
            <w:noWrap w:val="0"/>
            <w:vAlign w:val="center"/>
          </w:tcPr>
          <w:p w14:paraId="625B4D0D">
            <w:pPr>
              <w:jc w:val="center"/>
              <w:rPr>
                <w:rFonts w:hint="eastAsia" w:ascii="宋体" w:hAnsi="宋体" w:eastAsia="宋体" w:cs="宋体"/>
                <w:color w:val="auto"/>
                <w:sz w:val="22"/>
                <w:szCs w:val="21"/>
                <w:highlight w:val="none"/>
              </w:rPr>
            </w:pPr>
          </w:p>
        </w:tc>
        <w:tc>
          <w:tcPr>
            <w:tcW w:w="1142" w:type="dxa"/>
            <w:noWrap w:val="0"/>
            <w:vAlign w:val="center"/>
          </w:tcPr>
          <w:p w14:paraId="0C69F593">
            <w:pPr>
              <w:jc w:val="center"/>
              <w:rPr>
                <w:rFonts w:hint="eastAsia" w:ascii="宋体" w:hAnsi="宋体" w:eastAsia="宋体" w:cs="宋体"/>
                <w:color w:val="auto"/>
                <w:sz w:val="22"/>
                <w:szCs w:val="21"/>
                <w:highlight w:val="none"/>
              </w:rPr>
            </w:pPr>
          </w:p>
        </w:tc>
        <w:tc>
          <w:tcPr>
            <w:tcW w:w="1231" w:type="dxa"/>
            <w:noWrap w:val="0"/>
            <w:vAlign w:val="center"/>
          </w:tcPr>
          <w:p w14:paraId="09C2113B">
            <w:pPr>
              <w:jc w:val="center"/>
              <w:rPr>
                <w:rFonts w:hint="eastAsia" w:ascii="宋体" w:hAnsi="宋体" w:eastAsia="宋体" w:cs="宋体"/>
                <w:color w:val="auto"/>
                <w:sz w:val="22"/>
                <w:szCs w:val="21"/>
                <w:highlight w:val="none"/>
              </w:rPr>
            </w:pPr>
          </w:p>
        </w:tc>
        <w:tc>
          <w:tcPr>
            <w:tcW w:w="1026" w:type="dxa"/>
            <w:noWrap w:val="0"/>
            <w:vAlign w:val="center"/>
          </w:tcPr>
          <w:p w14:paraId="40B66C56">
            <w:pPr>
              <w:jc w:val="center"/>
              <w:rPr>
                <w:rFonts w:hint="eastAsia" w:ascii="宋体" w:hAnsi="宋体" w:eastAsia="宋体" w:cs="宋体"/>
                <w:color w:val="auto"/>
                <w:sz w:val="22"/>
                <w:szCs w:val="21"/>
                <w:highlight w:val="none"/>
              </w:rPr>
            </w:pPr>
          </w:p>
        </w:tc>
      </w:tr>
      <w:tr w14:paraId="545E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27" w:type="dxa"/>
            <w:noWrap w:val="0"/>
            <w:vAlign w:val="center"/>
          </w:tcPr>
          <w:p w14:paraId="4873F99A">
            <w:pPr>
              <w:jc w:val="center"/>
              <w:rPr>
                <w:rFonts w:hint="eastAsia" w:ascii="宋体" w:hAnsi="宋体" w:eastAsia="宋体" w:cs="宋体"/>
                <w:color w:val="auto"/>
                <w:sz w:val="22"/>
                <w:szCs w:val="21"/>
                <w:highlight w:val="none"/>
              </w:rPr>
            </w:pPr>
          </w:p>
        </w:tc>
        <w:tc>
          <w:tcPr>
            <w:tcW w:w="1028" w:type="dxa"/>
            <w:noWrap w:val="0"/>
            <w:vAlign w:val="center"/>
          </w:tcPr>
          <w:p w14:paraId="2005D2CF">
            <w:pPr>
              <w:jc w:val="center"/>
              <w:rPr>
                <w:rFonts w:hint="eastAsia" w:ascii="宋体" w:hAnsi="宋体" w:eastAsia="宋体" w:cs="宋体"/>
                <w:color w:val="auto"/>
                <w:sz w:val="22"/>
                <w:szCs w:val="21"/>
                <w:highlight w:val="none"/>
              </w:rPr>
            </w:pPr>
          </w:p>
        </w:tc>
        <w:tc>
          <w:tcPr>
            <w:tcW w:w="1027" w:type="dxa"/>
            <w:noWrap w:val="0"/>
            <w:vAlign w:val="center"/>
          </w:tcPr>
          <w:p w14:paraId="2A35EC61">
            <w:pPr>
              <w:jc w:val="center"/>
              <w:rPr>
                <w:rFonts w:hint="eastAsia" w:ascii="宋体" w:hAnsi="宋体" w:eastAsia="宋体" w:cs="宋体"/>
                <w:color w:val="auto"/>
                <w:sz w:val="22"/>
                <w:szCs w:val="21"/>
                <w:highlight w:val="none"/>
              </w:rPr>
            </w:pPr>
          </w:p>
        </w:tc>
        <w:tc>
          <w:tcPr>
            <w:tcW w:w="1643" w:type="dxa"/>
            <w:noWrap w:val="0"/>
            <w:vAlign w:val="center"/>
          </w:tcPr>
          <w:p w14:paraId="1DC179C1">
            <w:pPr>
              <w:jc w:val="center"/>
              <w:rPr>
                <w:rFonts w:hint="eastAsia" w:ascii="宋体" w:hAnsi="宋体" w:eastAsia="宋体" w:cs="宋体"/>
                <w:color w:val="auto"/>
                <w:sz w:val="22"/>
                <w:szCs w:val="21"/>
                <w:highlight w:val="none"/>
              </w:rPr>
            </w:pPr>
          </w:p>
        </w:tc>
        <w:tc>
          <w:tcPr>
            <w:tcW w:w="1116" w:type="dxa"/>
            <w:noWrap w:val="0"/>
            <w:vAlign w:val="center"/>
          </w:tcPr>
          <w:p w14:paraId="5186067F">
            <w:pPr>
              <w:jc w:val="center"/>
              <w:rPr>
                <w:rFonts w:hint="eastAsia" w:ascii="宋体" w:hAnsi="宋体" w:eastAsia="宋体" w:cs="宋体"/>
                <w:color w:val="auto"/>
                <w:sz w:val="22"/>
                <w:szCs w:val="21"/>
                <w:highlight w:val="none"/>
              </w:rPr>
            </w:pPr>
          </w:p>
        </w:tc>
        <w:tc>
          <w:tcPr>
            <w:tcW w:w="1142" w:type="dxa"/>
            <w:noWrap w:val="0"/>
            <w:vAlign w:val="center"/>
          </w:tcPr>
          <w:p w14:paraId="7B086BA9">
            <w:pPr>
              <w:jc w:val="center"/>
              <w:rPr>
                <w:rFonts w:hint="eastAsia" w:ascii="宋体" w:hAnsi="宋体" w:eastAsia="宋体" w:cs="宋体"/>
                <w:color w:val="auto"/>
                <w:sz w:val="22"/>
                <w:szCs w:val="21"/>
                <w:highlight w:val="none"/>
              </w:rPr>
            </w:pPr>
          </w:p>
        </w:tc>
        <w:tc>
          <w:tcPr>
            <w:tcW w:w="1231" w:type="dxa"/>
            <w:noWrap w:val="0"/>
            <w:vAlign w:val="center"/>
          </w:tcPr>
          <w:p w14:paraId="6A62CD0A">
            <w:pPr>
              <w:jc w:val="center"/>
              <w:rPr>
                <w:rFonts w:hint="eastAsia" w:ascii="宋体" w:hAnsi="宋体" w:eastAsia="宋体" w:cs="宋体"/>
                <w:color w:val="auto"/>
                <w:sz w:val="22"/>
                <w:szCs w:val="21"/>
                <w:highlight w:val="none"/>
              </w:rPr>
            </w:pPr>
          </w:p>
        </w:tc>
        <w:tc>
          <w:tcPr>
            <w:tcW w:w="1026" w:type="dxa"/>
            <w:noWrap w:val="0"/>
            <w:vAlign w:val="center"/>
          </w:tcPr>
          <w:p w14:paraId="459F1A6F">
            <w:pPr>
              <w:jc w:val="center"/>
              <w:rPr>
                <w:rFonts w:hint="eastAsia" w:ascii="宋体" w:hAnsi="宋体" w:eastAsia="宋体" w:cs="宋体"/>
                <w:color w:val="auto"/>
                <w:sz w:val="22"/>
                <w:szCs w:val="21"/>
                <w:highlight w:val="none"/>
              </w:rPr>
            </w:pPr>
          </w:p>
        </w:tc>
      </w:tr>
      <w:tr w14:paraId="00A5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27" w:type="dxa"/>
            <w:noWrap w:val="0"/>
            <w:vAlign w:val="center"/>
          </w:tcPr>
          <w:p w14:paraId="7D236A56">
            <w:pPr>
              <w:jc w:val="center"/>
              <w:rPr>
                <w:rFonts w:hint="eastAsia" w:ascii="宋体" w:hAnsi="宋体" w:eastAsia="宋体" w:cs="宋体"/>
                <w:color w:val="auto"/>
                <w:sz w:val="22"/>
                <w:szCs w:val="21"/>
                <w:highlight w:val="none"/>
              </w:rPr>
            </w:pPr>
          </w:p>
        </w:tc>
        <w:tc>
          <w:tcPr>
            <w:tcW w:w="1028" w:type="dxa"/>
            <w:noWrap w:val="0"/>
            <w:vAlign w:val="center"/>
          </w:tcPr>
          <w:p w14:paraId="102D8875">
            <w:pPr>
              <w:jc w:val="center"/>
              <w:rPr>
                <w:rFonts w:hint="eastAsia" w:ascii="宋体" w:hAnsi="宋体" w:eastAsia="宋体" w:cs="宋体"/>
                <w:color w:val="auto"/>
                <w:sz w:val="22"/>
                <w:szCs w:val="21"/>
                <w:highlight w:val="none"/>
              </w:rPr>
            </w:pPr>
          </w:p>
        </w:tc>
        <w:tc>
          <w:tcPr>
            <w:tcW w:w="1027" w:type="dxa"/>
            <w:noWrap w:val="0"/>
            <w:vAlign w:val="center"/>
          </w:tcPr>
          <w:p w14:paraId="49D0E603">
            <w:pPr>
              <w:jc w:val="center"/>
              <w:rPr>
                <w:rFonts w:hint="eastAsia" w:ascii="宋体" w:hAnsi="宋体" w:eastAsia="宋体" w:cs="宋体"/>
                <w:color w:val="auto"/>
                <w:sz w:val="22"/>
                <w:szCs w:val="21"/>
                <w:highlight w:val="none"/>
              </w:rPr>
            </w:pPr>
          </w:p>
        </w:tc>
        <w:tc>
          <w:tcPr>
            <w:tcW w:w="1643" w:type="dxa"/>
            <w:noWrap w:val="0"/>
            <w:vAlign w:val="center"/>
          </w:tcPr>
          <w:p w14:paraId="7471AB96">
            <w:pPr>
              <w:jc w:val="center"/>
              <w:rPr>
                <w:rFonts w:hint="eastAsia" w:ascii="宋体" w:hAnsi="宋体" w:eastAsia="宋体" w:cs="宋体"/>
                <w:color w:val="auto"/>
                <w:sz w:val="22"/>
                <w:szCs w:val="21"/>
                <w:highlight w:val="none"/>
              </w:rPr>
            </w:pPr>
          </w:p>
        </w:tc>
        <w:tc>
          <w:tcPr>
            <w:tcW w:w="1116" w:type="dxa"/>
            <w:noWrap w:val="0"/>
            <w:vAlign w:val="center"/>
          </w:tcPr>
          <w:p w14:paraId="4E7341DE">
            <w:pPr>
              <w:jc w:val="center"/>
              <w:rPr>
                <w:rFonts w:hint="eastAsia" w:ascii="宋体" w:hAnsi="宋体" w:eastAsia="宋体" w:cs="宋体"/>
                <w:color w:val="auto"/>
                <w:sz w:val="22"/>
                <w:szCs w:val="21"/>
                <w:highlight w:val="none"/>
              </w:rPr>
            </w:pPr>
          </w:p>
        </w:tc>
        <w:tc>
          <w:tcPr>
            <w:tcW w:w="1142" w:type="dxa"/>
            <w:noWrap w:val="0"/>
            <w:vAlign w:val="center"/>
          </w:tcPr>
          <w:p w14:paraId="38A06296">
            <w:pPr>
              <w:jc w:val="center"/>
              <w:rPr>
                <w:rFonts w:hint="eastAsia" w:ascii="宋体" w:hAnsi="宋体" w:eastAsia="宋体" w:cs="宋体"/>
                <w:color w:val="auto"/>
                <w:sz w:val="22"/>
                <w:szCs w:val="21"/>
                <w:highlight w:val="none"/>
              </w:rPr>
            </w:pPr>
          </w:p>
        </w:tc>
        <w:tc>
          <w:tcPr>
            <w:tcW w:w="1231" w:type="dxa"/>
            <w:noWrap w:val="0"/>
            <w:vAlign w:val="center"/>
          </w:tcPr>
          <w:p w14:paraId="00BABCD7">
            <w:pPr>
              <w:jc w:val="center"/>
              <w:rPr>
                <w:rFonts w:hint="eastAsia" w:ascii="宋体" w:hAnsi="宋体" w:eastAsia="宋体" w:cs="宋体"/>
                <w:color w:val="auto"/>
                <w:sz w:val="22"/>
                <w:szCs w:val="21"/>
                <w:highlight w:val="none"/>
              </w:rPr>
            </w:pPr>
          </w:p>
        </w:tc>
        <w:tc>
          <w:tcPr>
            <w:tcW w:w="1026" w:type="dxa"/>
            <w:noWrap w:val="0"/>
            <w:vAlign w:val="center"/>
          </w:tcPr>
          <w:p w14:paraId="4108E814">
            <w:pPr>
              <w:jc w:val="center"/>
              <w:rPr>
                <w:rFonts w:hint="eastAsia" w:ascii="宋体" w:hAnsi="宋体" w:eastAsia="宋体" w:cs="宋体"/>
                <w:color w:val="auto"/>
                <w:sz w:val="22"/>
                <w:szCs w:val="21"/>
                <w:highlight w:val="none"/>
              </w:rPr>
            </w:pPr>
          </w:p>
        </w:tc>
      </w:tr>
    </w:tbl>
    <w:p w14:paraId="21E476F1">
      <w:pPr>
        <w:ind w:left="0" w:leftChars="0" w:firstLine="0" w:firstLineChars="0"/>
        <w:rPr>
          <w:rFonts w:hint="eastAsia" w:ascii="宋体" w:hAnsi="宋体" w:eastAsia="宋体" w:cs="宋体"/>
          <w:color w:val="auto"/>
          <w:highlight w:val="none"/>
        </w:rPr>
      </w:pPr>
      <w:bookmarkStart w:id="1163" w:name="_Toc320473738"/>
    </w:p>
    <w:p w14:paraId="0CB0DFD4">
      <w:pPr>
        <w:pStyle w:val="5"/>
        <w:numPr>
          <w:ilvl w:val="3"/>
          <w:numId w:val="0"/>
        </w:numPr>
        <w:spacing w:before="0" w:after="0"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（二）主要人员简历表</w:t>
      </w:r>
      <w:bookmarkEnd w:id="1163"/>
    </w:p>
    <w:p w14:paraId="0B21B536">
      <w:pPr>
        <w:pStyle w:val="52"/>
        <w:spacing w:line="500" w:lineRule="exact"/>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附1：项目经理简历表</w:t>
      </w:r>
    </w:p>
    <w:p w14:paraId="030033BE">
      <w:pPr>
        <w:pStyle w:val="52"/>
        <w:spacing w:line="500" w:lineRule="exact"/>
        <w:ind w:firstLine="630" w:firstLineChars="30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项目经理应附建造师注册证书、安全生产考核合格证书、身份证及未担任其他在施建设工程项目项目经理的承诺书。</w:t>
      </w:r>
      <w:r>
        <w:rPr>
          <w:rFonts w:hint="eastAsia" w:hAnsi="宋体" w:cs="宋体"/>
          <w:color w:val="auto"/>
          <w:sz w:val="21"/>
          <w:szCs w:val="21"/>
          <w:highlight w:val="none"/>
          <w:lang w:val="en-US" w:eastAsia="zh-CN"/>
        </w:rPr>
        <w:t>其他人员</w:t>
      </w:r>
      <w:r>
        <w:rPr>
          <w:rFonts w:hint="eastAsia" w:ascii="宋体" w:hAnsi="宋体" w:eastAsia="宋体" w:cs="宋体"/>
          <w:color w:val="auto"/>
          <w:sz w:val="21"/>
          <w:szCs w:val="21"/>
          <w:highlight w:val="none"/>
        </w:rPr>
        <w:t>应附</w:t>
      </w:r>
      <w:r>
        <w:rPr>
          <w:rFonts w:hint="eastAsia" w:hAnsi="宋体" w:cs="宋体"/>
          <w:color w:val="auto"/>
          <w:sz w:val="21"/>
          <w:szCs w:val="21"/>
          <w:highlight w:val="none"/>
          <w:lang w:val="en-US" w:eastAsia="zh-CN"/>
        </w:rPr>
        <w:t>相关资格证书、身份证。</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780"/>
        <w:gridCol w:w="776"/>
        <w:gridCol w:w="1561"/>
        <w:gridCol w:w="1557"/>
        <w:gridCol w:w="779"/>
        <w:gridCol w:w="1071"/>
        <w:gridCol w:w="1267"/>
      </w:tblGrid>
      <w:tr w14:paraId="46FB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555" w:type="dxa"/>
            <w:noWrap w:val="0"/>
            <w:vAlign w:val="center"/>
          </w:tcPr>
          <w:p w14:paraId="4B863DFB">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姓 名</w:t>
            </w:r>
          </w:p>
        </w:tc>
        <w:tc>
          <w:tcPr>
            <w:tcW w:w="1556" w:type="dxa"/>
            <w:gridSpan w:val="2"/>
            <w:noWrap w:val="0"/>
            <w:vAlign w:val="center"/>
          </w:tcPr>
          <w:p w14:paraId="42E155CB">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561" w:type="dxa"/>
            <w:noWrap w:val="0"/>
            <w:vAlign w:val="center"/>
          </w:tcPr>
          <w:p w14:paraId="53214274">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龄</w:t>
            </w:r>
          </w:p>
        </w:tc>
        <w:tc>
          <w:tcPr>
            <w:tcW w:w="1557" w:type="dxa"/>
            <w:noWrap w:val="0"/>
            <w:vAlign w:val="center"/>
          </w:tcPr>
          <w:p w14:paraId="46B92BF6">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850" w:type="dxa"/>
            <w:gridSpan w:val="2"/>
            <w:noWrap w:val="0"/>
            <w:vAlign w:val="center"/>
          </w:tcPr>
          <w:p w14:paraId="50EF4726">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学 历</w:t>
            </w:r>
          </w:p>
        </w:tc>
        <w:tc>
          <w:tcPr>
            <w:tcW w:w="1267" w:type="dxa"/>
            <w:noWrap w:val="0"/>
            <w:vAlign w:val="center"/>
          </w:tcPr>
          <w:p w14:paraId="2AF0F4EB">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558B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555" w:type="dxa"/>
            <w:noWrap w:val="0"/>
            <w:vAlign w:val="center"/>
          </w:tcPr>
          <w:p w14:paraId="6C2DCA88">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职 称</w:t>
            </w:r>
          </w:p>
        </w:tc>
        <w:tc>
          <w:tcPr>
            <w:tcW w:w="1556" w:type="dxa"/>
            <w:gridSpan w:val="2"/>
            <w:noWrap w:val="0"/>
            <w:vAlign w:val="center"/>
          </w:tcPr>
          <w:p w14:paraId="61BACA80">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561" w:type="dxa"/>
            <w:noWrap w:val="0"/>
            <w:vAlign w:val="center"/>
          </w:tcPr>
          <w:p w14:paraId="46D25CD7">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职 务</w:t>
            </w:r>
          </w:p>
        </w:tc>
        <w:tc>
          <w:tcPr>
            <w:tcW w:w="1557" w:type="dxa"/>
            <w:noWrap w:val="0"/>
            <w:vAlign w:val="center"/>
          </w:tcPr>
          <w:p w14:paraId="60EDC829">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850" w:type="dxa"/>
            <w:gridSpan w:val="2"/>
            <w:noWrap w:val="0"/>
            <w:vAlign w:val="center"/>
          </w:tcPr>
          <w:p w14:paraId="34EBCBB2">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拟在本合同任职</w:t>
            </w:r>
          </w:p>
        </w:tc>
        <w:tc>
          <w:tcPr>
            <w:tcW w:w="1267" w:type="dxa"/>
            <w:noWrap w:val="0"/>
            <w:vAlign w:val="center"/>
          </w:tcPr>
          <w:p w14:paraId="6EC2DD16">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2B27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555" w:type="dxa"/>
            <w:noWrap w:val="0"/>
            <w:vAlign w:val="center"/>
          </w:tcPr>
          <w:p w14:paraId="2B6F8EF7">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毕业学校</w:t>
            </w:r>
          </w:p>
        </w:tc>
        <w:tc>
          <w:tcPr>
            <w:tcW w:w="7791" w:type="dxa"/>
            <w:gridSpan w:val="7"/>
            <w:noWrap w:val="0"/>
            <w:vAlign w:val="center"/>
          </w:tcPr>
          <w:p w14:paraId="132EF6FD">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年毕业于      学校       专业</w:t>
            </w:r>
          </w:p>
        </w:tc>
      </w:tr>
      <w:tr w14:paraId="2ABC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346" w:type="dxa"/>
            <w:gridSpan w:val="8"/>
            <w:noWrap w:val="0"/>
            <w:vAlign w:val="center"/>
          </w:tcPr>
          <w:p w14:paraId="6E673F8C">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主要工作经历</w:t>
            </w:r>
          </w:p>
        </w:tc>
      </w:tr>
      <w:tr w14:paraId="2205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335" w:type="dxa"/>
            <w:gridSpan w:val="2"/>
            <w:noWrap w:val="0"/>
            <w:vAlign w:val="center"/>
          </w:tcPr>
          <w:p w14:paraId="0BDA548A">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时 间</w:t>
            </w:r>
          </w:p>
        </w:tc>
        <w:tc>
          <w:tcPr>
            <w:tcW w:w="2337" w:type="dxa"/>
            <w:gridSpan w:val="2"/>
            <w:noWrap w:val="0"/>
            <w:vAlign w:val="center"/>
          </w:tcPr>
          <w:p w14:paraId="04D36C92">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参加过的类似项目</w:t>
            </w:r>
          </w:p>
        </w:tc>
        <w:tc>
          <w:tcPr>
            <w:tcW w:w="2336" w:type="dxa"/>
            <w:gridSpan w:val="2"/>
            <w:noWrap w:val="0"/>
            <w:vAlign w:val="center"/>
          </w:tcPr>
          <w:p w14:paraId="0160D02B">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担任职务</w:t>
            </w:r>
          </w:p>
        </w:tc>
        <w:tc>
          <w:tcPr>
            <w:tcW w:w="2338" w:type="dxa"/>
            <w:gridSpan w:val="2"/>
            <w:noWrap w:val="0"/>
            <w:vAlign w:val="center"/>
          </w:tcPr>
          <w:p w14:paraId="5BCAFCDA">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发包人及联系电话</w:t>
            </w:r>
          </w:p>
        </w:tc>
      </w:tr>
      <w:tr w14:paraId="28B7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678E6FF4">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7F0D240C">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2E5AA3B6">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5D9B73AF">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1E7F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31607542">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1E846264">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51850477">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437C7967">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2D1CB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5818A046">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441461A3">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311896EA">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7E028137">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5F31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4AD654ED">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78D10D65">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69EE65A3">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71E81245">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20A5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7F1E3893">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2BD91B94">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228EE1DB">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241A25B0">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544C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61161AEE">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20D299D4">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1F1288F3">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436E0B18">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5F5E2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109CA219">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6953F267">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35FEE677">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4F39969F">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14:paraId="4346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2335" w:type="dxa"/>
            <w:gridSpan w:val="2"/>
            <w:noWrap w:val="0"/>
            <w:vAlign w:val="center"/>
          </w:tcPr>
          <w:p w14:paraId="4D9019FB">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7" w:type="dxa"/>
            <w:gridSpan w:val="2"/>
            <w:noWrap w:val="0"/>
            <w:vAlign w:val="center"/>
          </w:tcPr>
          <w:p w14:paraId="7CF7E878">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6" w:type="dxa"/>
            <w:gridSpan w:val="2"/>
            <w:noWrap w:val="0"/>
            <w:vAlign w:val="center"/>
          </w:tcPr>
          <w:p w14:paraId="00FFE981">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2338" w:type="dxa"/>
            <w:gridSpan w:val="2"/>
            <w:noWrap w:val="0"/>
            <w:vAlign w:val="center"/>
          </w:tcPr>
          <w:p w14:paraId="55C6086C">
            <w:pPr>
              <w:autoSpaceDE w:val="0"/>
              <w:autoSpaceDN w:val="0"/>
              <w:adjustRightInd w:val="0"/>
              <w:spacing w:line="420" w:lineRule="exact"/>
              <w:jc w:val="center"/>
              <w:rPr>
                <w:rFonts w:hint="eastAsia" w:ascii="宋体" w:hAnsi="宋体" w:eastAsia="宋体" w:cs="宋体"/>
                <w:color w:val="auto"/>
                <w:kern w:val="0"/>
                <w:szCs w:val="21"/>
                <w:highlight w:val="none"/>
              </w:rPr>
            </w:pPr>
          </w:p>
        </w:tc>
      </w:tr>
    </w:tbl>
    <w:p w14:paraId="791177A0">
      <w:pPr>
        <w:spacing w:before="317" w:beforeLines="100" w:after="158" w:afterLines="50"/>
        <w:ind w:left="0" w:leftChars="0" w:firstLine="0" w:firstLineChars="0"/>
        <w:rPr>
          <w:rFonts w:hint="eastAsia" w:ascii="宋体" w:hAnsi="宋体" w:eastAsia="宋体" w:cs="宋体"/>
          <w:b/>
          <w:color w:val="auto"/>
          <w:sz w:val="24"/>
          <w:highlight w:val="none"/>
        </w:rPr>
      </w:pPr>
      <w:bookmarkStart w:id="1164" w:name="_Toc5437"/>
      <w:bookmarkStart w:id="1165" w:name="_Toc475624458"/>
    </w:p>
    <w:p w14:paraId="664AEABC">
      <w:pPr>
        <w:spacing w:before="317" w:beforeLines="100" w:after="158" w:afterLines="50"/>
        <w:ind w:left="0" w:leftChars="0" w:firstLine="0" w:firstLineChars="0"/>
        <w:rPr>
          <w:rFonts w:hint="eastAsia" w:ascii="宋体" w:hAnsi="宋体" w:eastAsia="宋体" w:cs="宋体"/>
          <w:b/>
          <w:color w:val="auto"/>
          <w:sz w:val="24"/>
          <w:highlight w:val="none"/>
        </w:rPr>
      </w:pPr>
    </w:p>
    <w:p w14:paraId="77CA752C">
      <w:pPr>
        <w:spacing w:before="317" w:beforeLines="100" w:after="158" w:afterLines="50"/>
        <w:ind w:left="0" w:leftChars="0" w:firstLine="0" w:firstLineChars="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附2：承诺书</w:t>
      </w:r>
    </w:p>
    <w:p w14:paraId="5086557A">
      <w:pPr>
        <w:spacing w:before="317" w:beforeLines="100" w:after="158" w:afterLines="5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项目经理无在建项目承诺书</w:t>
      </w:r>
    </w:p>
    <w:p w14:paraId="0143CCC3">
      <w:pPr>
        <w:spacing w:after="317" w:afterLines="100" w:line="6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（采购人名称）：</w:t>
      </w:r>
    </w:p>
    <w:p w14:paraId="67AAEF75">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我方在此声明，我方拟派往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（工程名称）（以下简称“本工程”）的项目经理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（项目经理姓名）现阶段没有担任任何在施建设工程项目的项目经理。</w:t>
      </w:r>
    </w:p>
    <w:p w14:paraId="40F34C36">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我方保证上述信息的真实和准确，并愿意承担因我方就此弄虚作假所引起的一切法律后果。</w:t>
      </w:r>
    </w:p>
    <w:p w14:paraId="373EF469">
      <w:pPr>
        <w:spacing w:line="600" w:lineRule="exact"/>
        <w:ind w:firstLine="420" w:firstLineChars="200"/>
        <w:rPr>
          <w:rFonts w:hint="eastAsia" w:ascii="宋体" w:hAnsi="宋体" w:eastAsia="宋体" w:cs="宋体"/>
          <w:color w:val="auto"/>
          <w:szCs w:val="21"/>
          <w:highlight w:val="none"/>
        </w:rPr>
      </w:pPr>
    </w:p>
    <w:p w14:paraId="760F9919">
      <w:pPr>
        <w:spacing w:line="600" w:lineRule="exact"/>
        <w:ind w:firstLine="420" w:firstLineChars="200"/>
        <w:rPr>
          <w:rFonts w:hint="eastAsia" w:ascii="宋体" w:hAnsi="宋体" w:eastAsia="宋体" w:cs="宋体"/>
          <w:color w:val="auto"/>
          <w:szCs w:val="21"/>
          <w:highlight w:val="none"/>
        </w:rPr>
      </w:pPr>
    </w:p>
    <w:p w14:paraId="6BB076B3">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3B3DCA88">
      <w:pPr>
        <w:spacing w:line="600" w:lineRule="exact"/>
        <w:ind w:firstLine="420" w:firstLineChars="200"/>
        <w:rPr>
          <w:rFonts w:hint="eastAsia" w:ascii="宋体" w:hAnsi="宋体" w:eastAsia="宋体" w:cs="宋体"/>
          <w:color w:val="auto"/>
          <w:szCs w:val="21"/>
          <w:highlight w:val="none"/>
        </w:rPr>
      </w:pPr>
    </w:p>
    <w:p w14:paraId="250515A0">
      <w:pPr>
        <w:spacing w:line="600" w:lineRule="exact"/>
        <w:ind w:firstLine="420" w:firstLineChars="200"/>
        <w:rPr>
          <w:rFonts w:hint="eastAsia" w:ascii="宋体" w:hAnsi="宋体" w:eastAsia="宋体" w:cs="宋体"/>
          <w:color w:val="auto"/>
          <w:szCs w:val="21"/>
          <w:highlight w:val="none"/>
        </w:rPr>
      </w:pPr>
    </w:p>
    <w:p w14:paraId="06E17601">
      <w:pPr>
        <w:spacing w:line="600" w:lineRule="exact"/>
        <w:ind w:firstLine="420" w:firstLineChars="200"/>
        <w:rPr>
          <w:rFonts w:hint="eastAsia" w:ascii="宋体" w:hAnsi="宋体" w:eastAsia="宋体" w:cs="宋体"/>
          <w:color w:val="auto"/>
          <w:szCs w:val="21"/>
          <w:highlight w:val="none"/>
        </w:rPr>
      </w:pPr>
    </w:p>
    <w:p w14:paraId="3822E417">
      <w:pPr>
        <w:spacing w:line="600" w:lineRule="exact"/>
        <w:ind w:firstLine="420" w:firstLineChars="200"/>
        <w:rPr>
          <w:rFonts w:hint="eastAsia" w:ascii="宋体" w:hAnsi="宋体" w:eastAsia="宋体" w:cs="宋体"/>
          <w:color w:val="auto"/>
          <w:szCs w:val="21"/>
          <w:highlight w:val="none"/>
        </w:rPr>
      </w:pPr>
    </w:p>
    <w:p w14:paraId="5C13042F">
      <w:pPr>
        <w:spacing w:line="600" w:lineRule="exact"/>
        <w:ind w:firstLine="420" w:firstLineChars="200"/>
        <w:rPr>
          <w:rFonts w:hint="eastAsia" w:ascii="宋体" w:hAnsi="宋体" w:eastAsia="宋体" w:cs="宋体"/>
          <w:color w:val="auto"/>
          <w:szCs w:val="21"/>
          <w:highlight w:val="none"/>
        </w:rPr>
      </w:pPr>
    </w:p>
    <w:p w14:paraId="7FF4027F">
      <w:pPr>
        <w:spacing w:line="600" w:lineRule="exact"/>
        <w:ind w:firstLine="420" w:firstLineChars="200"/>
        <w:rPr>
          <w:rFonts w:hint="eastAsia" w:ascii="宋体" w:hAnsi="宋体" w:eastAsia="宋体" w:cs="宋体"/>
          <w:color w:val="auto"/>
          <w:szCs w:val="21"/>
          <w:highlight w:val="none"/>
        </w:rPr>
      </w:pPr>
    </w:p>
    <w:p w14:paraId="59BDC9F1">
      <w:pPr>
        <w:spacing w:line="60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（单位电子签章）</w:t>
      </w:r>
    </w:p>
    <w:p w14:paraId="186CEF57">
      <w:pPr>
        <w:spacing w:line="60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（电子签名或盖章）</w:t>
      </w:r>
    </w:p>
    <w:p w14:paraId="03E1294A">
      <w:pPr>
        <w:spacing w:line="600" w:lineRule="exact"/>
        <w:jc w:val="right"/>
        <w:rPr>
          <w:rFonts w:hint="eastAsia" w:ascii="宋体" w:hAnsi="宋体" w:eastAsia="宋体" w:cs="宋体"/>
          <w:color w:val="auto"/>
          <w:szCs w:val="21"/>
          <w:highlight w:val="none"/>
        </w:rPr>
      </w:pPr>
    </w:p>
    <w:p w14:paraId="2F09D3EA">
      <w:pPr>
        <w:spacing w:line="60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327AC9C">
      <w:pPr>
        <w:jc w:val="center"/>
        <w:rPr>
          <w:rFonts w:hint="eastAsia" w:ascii="宋体" w:hAnsi="宋体" w:eastAsia="宋体" w:cs="宋体"/>
          <w:b/>
          <w:bCs/>
          <w:color w:val="auto"/>
          <w:sz w:val="28"/>
          <w:highlight w:val="none"/>
        </w:rPr>
      </w:pPr>
      <w:r>
        <w:rPr>
          <w:rFonts w:hint="eastAsia" w:ascii="宋体" w:hAnsi="宋体" w:eastAsia="宋体" w:cs="宋体"/>
          <w:color w:val="auto"/>
          <w:szCs w:val="21"/>
          <w:highlight w:val="none"/>
        </w:rPr>
        <w:br w:type="page"/>
      </w:r>
      <w:bookmarkStart w:id="1166" w:name="_Toc11835"/>
      <w:r>
        <w:rPr>
          <w:rFonts w:hint="eastAsia" w:ascii="宋体" w:hAnsi="宋体" w:eastAsia="宋体" w:cs="宋体"/>
          <w:b/>
          <w:bCs/>
          <w:color w:val="auto"/>
          <w:sz w:val="28"/>
          <w:highlight w:val="none"/>
        </w:rPr>
        <w:t>七、资格</w:t>
      </w:r>
      <w:bookmarkEnd w:id="1164"/>
      <w:bookmarkEnd w:id="1165"/>
      <w:r>
        <w:rPr>
          <w:rFonts w:hint="eastAsia" w:ascii="宋体" w:hAnsi="宋体" w:eastAsia="宋体" w:cs="宋体"/>
          <w:b/>
          <w:bCs/>
          <w:color w:val="auto"/>
          <w:sz w:val="28"/>
          <w:highlight w:val="none"/>
        </w:rPr>
        <w:t>证明材料</w:t>
      </w:r>
      <w:bookmarkEnd w:id="1166"/>
    </w:p>
    <w:p w14:paraId="7D7D5ABF">
      <w:pPr>
        <w:spacing w:before="317" w:beforeLines="100" w:after="158" w:afterLines="50"/>
        <w:rPr>
          <w:rFonts w:hint="eastAsia" w:ascii="宋体" w:hAnsi="宋体" w:eastAsia="宋体" w:cs="宋体"/>
          <w:b/>
          <w:color w:val="auto"/>
          <w:szCs w:val="21"/>
          <w:highlight w:val="none"/>
        </w:rPr>
      </w:pPr>
      <w:bookmarkStart w:id="1167" w:name="_Toc456185719"/>
      <w:r>
        <w:rPr>
          <w:rFonts w:hint="eastAsia" w:ascii="宋体" w:hAnsi="宋体" w:eastAsia="宋体" w:cs="宋体"/>
          <w:b/>
          <w:color w:val="auto"/>
          <w:szCs w:val="21"/>
          <w:highlight w:val="none"/>
        </w:rPr>
        <w:t>1、供应商基本情况表</w:t>
      </w:r>
      <w:bookmarkEnd w:id="1167"/>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3960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87C2E4A">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p>
        </w:tc>
        <w:tc>
          <w:tcPr>
            <w:tcW w:w="7020" w:type="dxa"/>
            <w:gridSpan w:val="9"/>
            <w:noWrap w:val="0"/>
            <w:vAlign w:val="center"/>
          </w:tcPr>
          <w:p w14:paraId="512593B9">
            <w:pPr>
              <w:jc w:val="center"/>
              <w:rPr>
                <w:rFonts w:hint="eastAsia" w:ascii="宋体" w:hAnsi="宋体" w:eastAsia="宋体" w:cs="宋体"/>
                <w:color w:val="auto"/>
                <w:szCs w:val="21"/>
                <w:highlight w:val="none"/>
              </w:rPr>
            </w:pPr>
          </w:p>
        </w:tc>
      </w:tr>
      <w:tr w14:paraId="6478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505127">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389" w:type="dxa"/>
            <w:gridSpan w:val="5"/>
            <w:noWrap w:val="0"/>
            <w:vAlign w:val="center"/>
          </w:tcPr>
          <w:p w14:paraId="51AD5A62">
            <w:pPr>
              <w:jc w:val="center"/>
              <w:rPr>
                <w:rFonts w:hint="eastAsia" w:ascii="宋体" w:hAnsi="宋体" w:eastAsia="宋体" w:cs="宋体"/>
                <w:color w:val="auto"/>
                <w:szCs w:val="21"/>
                <w:highlight w:val="none"/>
              </w:rPr>
            </w:pPr>
          </w:p>
        </w:tc>
        <w:tc>
          <w:tcPr>
            <w:tcW w:w="1246" w:type="dxa"/>
            <w:noWrap w:val="0"/>
            <w:vAlign w:val="center"/>
          </w:tcPr>
          <w:p w14:paraId="14333F8C">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2385" w:type="dxa"/>
            <w:gridSpan w:val="3"/>
            <w:noWrap w:val="0"/>
            <w:vAlign w:val="center"/>
          </w:tcPr>
          <w:p w14:paraId="649F3C0E">
            <w:pPr>
              <w:jc w:val="center"/>
              <w:rPr>
                <w:rFonts w:hint="eastAsia" w:ascii="宋体" w:hAnsi="宋体" w:eastAsia="宋体" w:cs="宋体"/>
                <w:color w:val="auto"/>
                <w:szCs w:val="21"/>
                <w:highlight w:val="none"/>
              </w:rPr>
            </w:pPr>
          </w:p>
        </w:tc>
      </w:tr>
      <w:tr w14:paraId="24C5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75318008">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p>
        </w:tc>
        <w:tc>
          <w:tcPr>
            <w:tcW w:w="897" w:type="dxa"/>
            <w:noWrap w:val="0"/>
            <w:vAlign w:val="center"/>
          </w:tcPr>
          <w:p w14:paraId="1A466A94">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tc>
        <w:tc>
          <w:tcPr>
            <w:tcW w:w="2492" w:type="dxa"/>
            <w:gridSpan w:val="4"/>
            <w:noWrap w:val="0"/>
            <w:vAlign w:val="center"/>
          </w:tcPr>
          <w:p w14:paraId="3B3D08A7">
            <w:pPr>
              <w:jc w:val="center"/>
              <w:rPr>
                <w:rFonts w:hint="eastAsia" w:ascii="宋体" w:hAnsi="宋体" w:eastAsia="宋体" w:cs="宋体"/>
                <w:color w:val="auto"/>
                <w:szCs w:val="21"/>
                <w:highlight w:val="none"/>
              </w:rPr>
            </w:pPr>
          </w:p>
        </w:tc>
        <w:tc>
          <w:tcPr>
            <w:tcW w:w="1246" w:type="dxa"/>
            <w:noWrap w:val="0"/>
            <w:vAlign w:val="center"/>
          </w:tcPr>
          <w:p w14:paraId="366BBCB2">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p>
        </w:tc>
        <w:tc>
          <w:tcPr>
            <w:tcW w:w="2385" w:type="dxa"/>
            <w:gridSpan w:val="3"/>
            <w:noWrap w:val="0"/>
            <w:vAlign w:val="center"/>
          </w:tcPr>
          <w:p w14:paraId="643A688B">
            <w:pPr>
              <w:jc w:val="center"/>
              <w:rPr>
                <w:rFonts w:hint="eastAsia" w:ascii="宋体" w:hAnsi="宋体" w:eastAsia="宋体" w:cs="宋体"/>
                <w:color w:val="auto"/>
                <w:szCs w:val="21"/>
                <w:highlight w:val="none"/>
              </w:rPr>
            </w:pPr>
          </w:p>
        </w:tc>
      </w:tr>
      <w:tr w14:paraId="0C87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66484D88">
            <w:pPr>
              <w:jc w:val="center"/>
              <w:rPr>
                <w:rFonts w:hint="eastAsia" w:ascii="宋体" w:hAnsi="宋体" w:eastAsia="宋体" w:cs="宋体"/>
                <w:color w:val="auto"/>
                <w:szCs w:val="21"/>
                <w:highlight w:val="none"/>
              </w:rPr>
            </w:pPr>
          </w:p>
        </w:tc>
        <w:tc>
          <w:tcPr>
            <w:tcW w:w="897" w:type="dxa"/>
            <w:noWrap w:val="0"/>
            <w:vAlign w:val="center"/>
          </w:tcPr>
          <w:p w14:paraId="691C01A8">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p>
        </w:tc>
        <w:tc>
          <w:tcPr>
            <w:tcW w:w="2492" w:type="dxa"/>
            <w:gridSpan w:val="4"/>
            <w:noWrap w:val="0"/>
            <w:vAlign w:val="center"/>
          </w:tcPr>
          <w:p w14:paraId="71E1FE27">
            <w:pPr>
              <w:jc w:val="center"/>
              <w:rPr>
                <w:rFonts w:hint="eastAsia" w:ascii="宋体" w:hAnsi="宋体" w:eastAsia="宋体" w:cs="宋体"/>
                <w:color w:val="auto"/>
                <w:szCs w:val="21"/>
                <w:highlight w:val="none"/>
              </w:rPr>
            </w:pPr>
          </w:p>
        </w:tc>
        <w:tc>
          <w:tcPr>
            <w:tcW w:w="1246" w:type="dxa"/>
            <w:noWrap w:val="0"/>
            <w:vAlign w:val="center"/>
          </w:tcPr>
          <w:p w14:paraId="2E3BDB53">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网  址</w:t>
            </w:r>
          </w:p>
        </w:tc>
        <w:tc>
          <w:tcPr>
            <w:tcW w:w="2385" w:type="dxa"/>
            <w:gridSpan w:val="3"/>
            <w:noWrap w:val="0"/>
            <w:vAlign w:val="center"/>
          </w:tcPr>
          <w:p w14:paraId="008CD33E">
            <w:pPr>
              <w:jc w:val="center"/>
              <w:rPr>
                <w:rFonts w:hint="eastAsia" w:ascii="宋体" w:hAnsi="宋体" w:eastAsia="宋体" w:cs="宋体"/>
                <w:color w:val="auto"/>
                <w:szCs w:val="21"/>
                <w:highlight w:val="none"/>
              </w:rPr>
            </w:pPr>
          </w:p>
        </w:tc>
      </w:tr>
      <w:tr w14:paraId="2203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E59283B">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组织结构</w:t>
            </w:r>
          </w:p>
        </w:tc>
        <w:tc>
          <w:tcPr>
            <w:tcW w:w="7020" w:type="dxa"/>
            <w:gridSpan w:val="9"/>
            <w:noWrap w:val="0"/>
            <w:vAlign w:val="center"/>
          </w:tcPr>
          <w:p w14:paraId="4852233D">
            <w:pPr>
              <w:jc w:val="center"/>
              <w:rPr>
                <w:rFonts w:hint="eastAsia" w:ascii="宋体" w:hAnsi="宋体" w:eastAsia="宋体" w:cs="宋体"/>
                <w:color w:val="auto"/>
                <w:szCs w:val="21"/>
                <w:highlight w:val="none"/>
              </w:rPr>
            </w:pPr>
          </w:p>
        </w:tc>
      </w:tr>
      <w:tr w14:paraId="6168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4DDD8D7">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897" w:type="dxa"/>
            <w:noWrap w:val="0"/>
            <w:vAlign w:val="center"/>
          </w:tcPr>
          <w:p w14:paraId="0E92B257">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21" w:type="dxa"/>
            <w:noWrap w:val="0"/>
            <w:vAlign w:val="center"/>
          </w:tcPr>
          <w:p w14:paraId="77CC5212">
            <w:pPr>
              <w:jc w:val="center"/>
              <w:rPr>
                <w:rFonts w:hint="eastAsia" w:ascii="宋体" w:hAnsi="宋体" w:eastAsia="宋体" w:cs="宋体"/>
                <w:color w:val="auto"/>
                <w:szCs w:val="21"/>
                <w:highlight w:val="none"/>
              </w:rPr>
            </w:pPr>
          </w:p>
        </w:tc>
        <w:tc>
          <w:tcPr>
            <w:tcW w:w="1276" w:type="dxa"/>
            <w:gridSpan w:val="2"/>
            <w:noWrap w:val="0"/>
            <w:vAlign w:val="center"/>
          </w:tcPr>
          <w:p w14:paraId="5D2EBF71">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701" w:type="dxa"/>
            <w:gridSpan w:val="3"/>
            <w:noWrap w:val="0"/>
            <w:vAlign w:val="center"/>
          </w:tcPr>
          <w:p w14:paraId="6E493398">
            <w:pPr>
              <w:jc w:val="center"/>
              <w:rPr>
                <w:rFonts w:hint="eastAsia" w:ascii="宋体" w:hAnsi="宋体" w:eastAsia="宋体" w:cs="宋体"/>
                <w:color w:val="auto"/>
                <w:szCs w:val="21"/>
                <w:highlight w:val="none"/>
              </w:rPr>
            </w:pPr>
          </w:p>
        </w:tc>
        <w:tc>
          <w:tcPr>
            <w:tcW w:w="709" w:type="dxa"/>
            <w:noWrap w:val="0"/>
            <w:vAlign w:val="center"/>
          </w:tcPr>
          <w:p w14:paraId="1D35D972">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1416" w:type="dxa"/>
            <w:noWrap w:val="0"/>
            <w:vAlign w:val="center"/>
          </w:tcPr>
          <w:p w14:paraId="21458A74">
            <w:pPr>
              <w:jc w:val="center"/>
              <w:rPr>
                <w:rFonts w:hint="eastAsia" w:ascii="宋体" w:hAnsi="宋体" w:eastAsia="宋体" w:cs="宋体"/>
                <w:color w:val="auto"/>
                <w:szCs w:val="21"/>
                <w:highlight w:val="none"/>
              </w:rPr>
            </w:pPr>
          </w:p>
        </w:tc>
      </w:tr>
      <w:tr w14:paraId="1DBDE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A008F03">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技术负责人</w:t>
            </w:r>
          </w:p>
        </w:tc>
        <w:tc>
          <w:tcPr>
            <w:tcW w:w="897" w:type="dxa"/>
            <w:noWrap w:val="0"/>
            <w:vAlign w:val="center"/>
          </w:tcPr>
          <w:p w14:paraId="1C6889F1">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21" w:type="dxa"/>
            <w:noWrap w:val="0"/>
            <w:vAlign w:val="center"/>
          </w:tcPr>
          <w:p w14:paraId="67E77C7D">
            <w:pPr>
              <w:jc w:val="center"/>
              <w:rPr>
                <w:rFonts w:hint="eastAsia" w:ascii="宋体" w:hAnsi="宋体" w:eastAsia="宋体" w:cs="宋体"/>
                <w:color w:val="auto"/>
                <w:szCs w:val="21"/>
                <w:highlight w:val="none"/>
              </w:rPr>
            </w:pPr>
          </w:p>
        </w:tc>
        <w:tc>
          <w:tcPr>
            <w:tcW w:w="1276" w:type="dxa"/>
            <w:gridSpan w:val="2"/>
            <w:noWrap w:val="0"/>
            <w:vAlign w:val="center"/>
          </w:tcPr>
          <w:p w14:paraId="3FBD080C">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1701" w:type="dxa"/>
            <w:gridSpan w:val="3"/>
            <w:noWrap w:val="0"/>
            <w:vAlign w:val="center"/>
          </w:tcPr>
          <w:p w14:paraId="090C910B">
            <w:pPr>
              <w:jc w:val="center"/>
              <w:rPr>
                <w:rFonts w:hint="eastAsia" w:ascii="宋体" w:hAnsi="宋体" w:eastAsia="宋体" w:cs="宋体"/>
                <w:color w:val="auto"/>
                <w:szCs w:val="21"/>
                <w:highlight w:val="none"/>
              </w:rPr>
            </w:pPr>
          </w:p>
        </w:tc>
        <w:tc>
          <w:tcPr>
            <w:tcW w:w="709" w:type="dxa"/>
            <w:noWrap w:val="0"/>
            <w:vAlign w:val="center"/>
          </w:tcPr>
          <w:p w14:paraId="602821F6">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1416" w:type="dxa"/>
            <w:noWrap w:val="0"/>
            <w:vAlign w:val="center"/>
          </w:tcPr>
          <w:p w14:paraId="2833667B">
            <w:pPr>
              <w:jc w:val="center"/>
              <w:rPr>
                <w:rFonts w:hint="eastAsia" w:ascii="宋体" w:hAnsi="宋体" w:eastAsia="宋体" w:cs="宋体"/>
                <w:color w:val="auto"/>
                <w:szCs w:val="21"/>
                <w:highlight w:val="none"/>
              </w:rPr>
            </w:pPr>
          </w:p>
        </w:tc>
      </w:tr>
      <w:tr w14:paraId="0A91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9BD010E">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p>
        </w:tc>
        <w:tc>
          <w:tcPr>
            <w:tcW w:w="1918" w:type="dxa"/>
            <w:gridSpan w:val="2"/>
            <w:noWrap w:val="0"/>
            <w:vAlign w:val="center"/>
          </w:tcPr>
          <w:p w14:paraId="08788112">
            <w:pPr>
              <w:jc w:val="center"/>
              <w:rPr>
                <w:rFonts w:hint="eastAsia" w:ascii="宋体" w:hAnsi="宋体" w:eastAsia="宋体" w:cs="宋体"/>
                <w:color w:val="auto"/>
                <w:szCs w:val="21"/>
                <w:highlight w:val="none"/>
              </w:rPr>
            </w:pPr>
          </w:p>
        </w:tc>
        <w:tc>
          <w:tcPr>
            <w:tcW w:w="5102" w:type="dxa"/>
            <w:gridSpan w:val="7"/>
            <w:noWrap w:val="0"/>
            <w:vAlign w:val="center"/>
          </w:tcPr>
          <w:p w14:paraId="2C5A3EC0">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r>
      <w:tr w14:paraId="5129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5820C56">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企业资质等级</w:t>
            </w:r>
          </w:p>
        </w:tc>
        <w:tc>
          <w:tcPr>
            <w:tcW w:w="1918" w:type="dxa"/>
            <w:gridSpan w:val="2"/>
            <w:noWrap w:val="0"/>
            <w:vAlign w:val="center"/>
          </w:tcPr>
          <w:p w14:paraId="2DC98E38">
            <w:pPr>
              <w:jc w:val="center"/>
              <w:rPr>
                <w:rFonts w:hint="eastAsia" w:ascii="宋体" w:hAnsi="宋体" w:eastAsia="宋体" w:cs="宋体"/>
                <w:color w:val="auto"/>
                <w:szCs w:val="21"/>
                <w:highlight w:val="none"/>
              </w:rPr>
            </w:pPr>
          </w:p>
        </w:tc>
        <w:tc>
          <w:tcPr>
            <w:tcW w:w="993" w:type="dxa"/>
            <w:vMerge w:val="restart"/>
            <w:noWrap w:val="0"/>
            <w:vAlign w:val="center"/>
          </w:tcPr>
          <w:p w14:paraId="0F1CEA0E">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其中</w:t>
            </w:r>
          </w:p>
        </w:tc>
        <w:tc>
          <w:tcPr>
            <w:tcW w:w="1984" w:type="dxa"/>
            <w:gridSpan w:val="4"/>
            <w:noWrap w:val="0"/>
            <w:vAlign w:val="center"/>
          </w:tcPr>
          <w:p w14:paraId="45D87EF3">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c>
          <w:tcPr>
            <w:tcW w:w="2125" w:type="dxa"/>
            <w:gridSpan w:val="2"/>
            <w:noWrap w:val="0"/>
            <w:vAlign w:val="center"/>
          </w:tcPr>
          <w:p w14:paraId="63F2A754">
            <w:pPr>
              <w:jc w:val="center"/>
              <w:rPr>
                <w:rFonts w:hint="eastAsia" w:ascii="宋体" w:hAnsi="宋体" w:eastAsia="宋体" w:cs="宋体"/>
                <w:color w:val="auto"/>
                <w:szCs w:val="21"/>
                <w:highlight w:val="none"/>
              </w:rPr>
            </w:pPr>
          </w:p>
        </w:tc>
      </w:tr>
      <w:tr w14:paraId="04AD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63C1E5FA">
            <w:pPr>
              <w:ind w:left="0" w:leftChars="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营业执照号</w:t>
            </w:r>
          </w:p>
        </w:tc>
        <w:tc>
          <w:tcPr>
            <w:tcW w:w="1918" w:type="dxa"/>
            <w:gridSpan w:val="2"/>
            <w:vMerge w:val="restart"/>
            <w:noWrap w:val="0"/>
            <w:vAlign w:val="center"/>
          </w:tcPr>
          <w:p w14:paraId="07FEA49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tc>
        <w:tc>
          <w:tcPr>
            <w:tcW w:w="993" w:type="dxa"/>
            <w:vMerge w:val="continue"/>
            <w:noWrap w:val="0"/>
            <w:vAlign w:val="center"/>
          </w:tcPr>
          <w:p w14:paraId="218FCBA2">
            <w:pPr>
              <w:jc w:val="center"/>
              <w:rPr>
                <w:rFonts w:hint="eastAsia" w:ascii="宋体" w:hAnsi="宋体" w:eastAsia="宋体" w:cs="宋体"/>
                <w:color w:val="auto"/>
                <w:szCs w:val="21"/>
                <w:highlight w:val="none"/>
              </w:rPr>
            </w:pPr>
          </w:p>
        </w:tc>
        <w:tc>
          <w:tcPr>
            <w:tcW w:w="1984" w:type="dxa"/>
            <w:gridSpan w:val="4"/>
            <w:noWrap w:val="0"/>
            <w:vAlign w:val="center"/>
          </w:tcPr>
          <w:p w14:paraId="082424C6">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高级职称人员</w:t>
            </w:r>
          </w:p>
        </w:tc>
        <w:tc>
          <w:tcPr>
            <w:tcW w:w="2125" w:type="dxa"/>
            <w:gridSpan w:val="2"/>
            <w:noWrap w:val="0"/>
            <w:vAlign w:val="center"/>
          </w:tcPr>
          <w:p w14:paraId="754AD9A6">
            <w:pPr>
              <w:jc w:val="center"/>
              <w:rPr>
                <w:rFonts w:hint="eastAsia" w:ascii="宋体" w:hAnsi="宋体" w:eastAsia="宋体" w:cs="宋体"/>
                <w:color w:val="auto"/>
                <w:szCs w:val="21"/>
                <w:highlight w:val="none"/>
              </w:rPr>
            </w:pPr>
          </w:p>
        </w:tc>
      </w:tr>
      <w:tr w14:paraId="21B6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485" w:type="dxa"/>
            <w:vMerge w:val="continue"/>
            <w:noWrap w:val="0"/>
            <w:vAlign w:val="center"/>
          </w:tcPr>
          <w:p w14:paraId="7EC2565F">
            <w:pPr>
              <w:rPr>
                <w:rFonts w:hint="eastAsia" w:ascii="宋体" w:hAnsi="宋体" w:eastAsia="宋体" w:cs="宋体"/>
                <w:color w:val="auto"/>
                <w:szCs w:val="21"/>
                <w:highlight w:val="none"/>
              </w:rPr>
            </w:pPr>
          </w:p>
        </w:tc>
        <w:tc>
          <w:tcPr>
            <w:tcW w:w="1918" w:type="dxa"/>
            <w:gridSpan w:val="2"/>
            <w:vMerge w:val="continue"/>
            <w:noWrap w:val="0"/>
            <w:vAlign w:val="center"/>
          </w:tcPr>
          <w:p w14:paraId="73582217">
            <w:pPr>
              <w:jc w:val="center"/>
              <w:rPr>
                <w:rFonts w:hint="eastAsia" w:ascii="宋体" w:hAnsi="宋体" w:eastAsia="宋体" w:cs="宋体"/>
                <w:color w:val="auto"/>
                <w:szCs w:val="21"/>
                <w:highlight w:val="none"/>
              </w:rPr>
            </w:pPr>
          </w:p>
        </w:tc>
        <w:tc>
          <w:tcPr>
            <w:tcW w:w="993" w:type="dxa"/>
            <w:vMerge w:val="continue"/>
            <w:noWrap w:val="0"/>
            <w:vAlign w:val="center"/>
          </w:tcPr>
          <w:p w14:paraId="44968DC2">
            <w:pPr>
              <w:jc w:val="center"/>
              <w:rPr>
                <w:rFonts w:hint="eastAsia" w:ascii="宋体" w:hAnsi="宋体" w:eastAsia="宋体" w:cs="宋体"/>
                <w:color w:val="auto"/>
                <w:szCs w:val="21"/>
                <w:highlight w:val="none"/>
              </w:rPr>
            </w:pPr>
          </w:p>
        </w:tc>
        <w:tc>
          <w:tcPr>
            <w:tcW w:w="1984" w:type="dxa"/>
            <w:gridSpan w:val="4"/>
            <w:vMerge w:val="restart"/>
            <w:noWrap w:val="0"/>
            <w:vAlign w:val="center"/>
          </w:tcPr>
          <w:p w14:paraId="6321708A">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中级职称人员</w:t>
            </w:r>
          </w:p>
        </w:tc>
        <w:tc>
          <w:tcPr>
            <w:tcW w:w="2125" w:type="dxa"/>
            <w:gridSpan w:val="2"/>
            <w:vMerge w:val="restart"/>
            <w:noWrap w:val="0"/>
            <w:vAlign w:val="center"/>
          </w:tcPr>
          <w:p w14:paraId="1812A264">
            <w:pPr>
              <w:jc w:val="center"/>
              <w:rPr>
                <w:rFonts w:hint="eastAsia" w:ascii="宋体" w:hAnsi="宋体" w:eastAsia="宋体" w:cs="宋体"/>
                <w:color w:val="auto"/>
                <w:szCs w:val="21"/>
                <w:highlight w:val="none"/>
              </w:rPr>
            </w:pPr>
          </w:p>
        </w:tc>
      </w:tr>
      <w:tr w14:paraId="2308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22DD42E">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安全生产许可证有效期</w:t>
            </w:r>
          </w:p>
        </w:tc>
        <w:tc>
          <w:tcPr>
            <w:tcW w:w="1918" w:type="dxa"/>
            <w:gridSpan w:val="2"/>
            <w:noWrap w:val="0"/>
            <w:vAlign w:val="center"/>
          </w:tcPr>
          <w:p w14:paraId="7756E82F">
            <w:pPr>
              <w:jc w:val="center"/>
              <w:rPr>
                <w:rFonts w:hint="eastAsia" w:ascii="宋体" w:hAnsi="宋体" w:eastAsia="宋体" w:cs="宋体"/>
                <w:color w:val="auto"/>
                <w:szCs w:val="21"/>
                <w:highlight w:val="none"/>
              </w:rPr>
            </w:pPr>
          </w:p>
        </w:tc>
        <w:tc>
          <w:tcPr>
            <w:tcW w:w="993" w:type="dxa"/>
            <w:vMerge w:val="continue"/>
            <w:noWrap w:val="0"/>
            <w:vAlign w:val="center"/>
          </w:tcPr>
          <w:p w14:paraId="6BBC7FE4">
            <w:pPr>
              <w:jc w:val="center"/>
              <w:rPr>
                <w:rFonts w:hint="eastAsia" w:ascii="宋体" w:hAnsi="宋体" w:eastAsia="宋体" w:cs="宋体"/>
                <w:color w:val="auto"/>
                <w:szCs w:val="21"/>
                <w:highlight w:val="none"/>
              </w:rPr>
            </w:pPr>
          </w:p>
        </w:tc>
        <w:tc>
          <w:tcPr>
            <w:tcW w:w="1984" w:type="dxa"/>
            <w:gridSpan w:val="4"/>
            <w:vMerge w:val="continue"/>
            <w:noWrap w:val="0"/>
            <w:vAlign w:val="center"/>
          </w:tcPr>
          <w:p w14:paraId="581D2C3F">
            <w:pPr>
              <w:jc w:val="center"/>
              <w:rPr>
                <w:rFonts w:hint="eastAsia" w:ascii="宋体" w:hAnsi="宋体" w:eastAsia="宋体" w:cs="宋体"/>
                <w:color w:val="auto"/>
                <w:szCs w:val="21"/>
                <w:highlight w:val="none"/>
              </w:rPr>
            </w:pPr>
          </w:p>
        </w:tc>
        <w:tc>
          <w:tcPr>
            <w:tcW w:w="2125" w:type="dxa"/>
            <w:gridSpan w:val="2"/>
            <w:vMerge w:val="continue"/>
            <w:noWrap w:val="0"/>
            <w:vAlign w:val="center"/>
          </w:tcPr>
          <w:p w14:paraId="4E771484">
            <w:pPr>
              <w:jc w:val="center"/>
              <w:rPr>
                <w:rFonts w:hint="eastAsia" w:ascii="宋体" w:hAnsi="宋体" w:eastAsia="宋体" w:cs="宋体"/>
                <w:color w:val="auto"/>
                <w:szCs w:val="21"/>
                <w:highlight w:val="none"/>
              </w:rPr>
            </w:pPr>
          </w:p>
        </w:tc>
      </w:tr>
      <w:tr w14:paraId="4C32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E23B003">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注册资金</w:t>
            </w:r>
          </w:p>
        </w:tc>
        <w:tc>
          <w:tcPr>
            <w:tcW w:w="1918" w:type="dxa"/>
            <w:gridSpan w:val="2"/>
            <w:noWrap w:val="0"/>
            <w:vAlign w:val="center"/>
          </w:tcPr>
          <w:p w14:paraId="5432EC27">
            <w:pPr>
              <w:jc w:val="center"/>
              <w:rPr>
                <w:rFonts w:hint="eastAsia" w:ascii="宋体" w:hAnsi="宋体" w:eastAsia="宋体" w:cs="宋体"/>
                <w:color w:val="auto"/>
                <w:szCs w:val="21"/>
                <w:highlight w:val="none"/>
              </w:rPr>
            </w:pPr>
          </w:p>
        </w:tc>
        <w:tc>
          <w:tcPr>
            <w:tcW w:w="993" w:type="dxa"/>
            <w:vMerge w:val="continue"/>
            <w:noWrap w:val="0"/>
            <w:vAlign w:val="center"/>
          </w:tcPr>
          <w:p w14:paraId="70BDF4C2">
            <w:pPr>
              <w:jc w:val="center"/>
              <w:rPr>
                <w:rFonts w:hint="eastAsia" w:ascii="宋体" w:hAnsi="宋体" w:eastAsia="宋体" w:cs="宋体"/>
                <w:color w:val="auto"/>
                <w:szCs w:val="21"/>
                <w:highlight w:val="none"/>
              </w:rPr>
            </w:pPr>
          </w:p>
        </w:tc>
        <w:tc>
          <w:tcPr>
            <w:tcW w:w="1984" w:type="dxa"/>
            <w:gridSpan w:val="4"/>
            <w:noWrap w:val="0"/>
            <w:vAlign w:val="center"/>
          </w:tcPr>
          <w:p w14:paraId="76965BE1">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初级职称人员</w:t>
            </w:r>
          </w:p>
        </w:tc>
        <w:tc>
          <w:tcPr>
            <w:tcW w:w="2125" w:type="dxa"/>
            <w:gridSpan w:val="2"/>
            <w:noWrap w:val="0"/>
            <w:vAlign w:val="center"/>
          </w:tcPr>
          <w:p w14:paraId="7D1B012E">
            <w:pPr>
              <w:jc w:val="center"/>
              <w:rPr>
                <w:rFonts w:hint="eastAsia" w:ascii="宋体" w:hAnsi="宋体" w:eastAsia="宋体" w:cs="宋体"/>
                <w:color w:val="auto"/>
                <w:szCs w:val="21"/>
                <w:highlight w:val="none"/>
              </w:rPr>
            </w:pPr>
          </w:p>
        </w:tc>
      </w:tr>
      <w:tr w14:paraId="336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1E5F8E0">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1918" w:type="dxa"/>
            <w:gridSpan w:val="2"/>
            <w:noWrap w:val="0"/>
            <w:vAlign w:val="center"/>
          </w:tcPr>
          <w:p w14:paraId="35E68D7C">
            <w:pPr>
              <w:jc w:val="center"/>
              <w:rPr>
                <w:rFonts w:hint="eastAsia" w:ascii="宋体" w:hAnsi="宋体" w:eastAsia="宋体" w:cs="宋体"/>
                <w:color w:val="auto"/>
                <w:szCs w:val="21"/>
                <w:highlight w:val="none"/>
              </w:rPr>
            </w:pPr>
          </w:p>
        </w:tc>
        <w:tc>
          <w:tcPr>
            <w:tcW w:w="993" w:type="dxa"/>
            <w:vMerge w:val="continue"/>
            <w:noWrap w:val="0"/>
            <w:vAlign w:val="center"/>
          </w:tcPr>
          <w:p w14:paraId="63DCEDD2">
            <w:pPr>
              <w:jc w:val="center"/>
              <w:rPr>
                <w:rFonts w:hint="eastAsia" w:ascii="宋体" w:hAnsi="宋体" w:eastAsia="宋体" w:cs="宋体"/>
                <w:color w:val="auto"/>
                <w:szCs w:val="21"/>
                <w:highlight w:val="none"/>
              </w:rPr>
            </w:pPr>
          </w:p>
        </w:tc>
        <w:tc>
          <w:tcPr>
            <w:tcW w:w="1984" w:type="dxa"/>
            <w:gridSpan w:val="4"/>
            <w:noWrap w:val="0"/>
            <w:vAlign w:val="center"/>
          </w:tcPr>
          <w:p w14:paraId="0BBBA437">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  工</w:t>
            </w:r>
          </w:p>
        </w:tc>
        <w:tc>
          <w:tcPr>
            <w:tcW w:w="2125" w:type="dxa"/>
            <w:gridSpan w:val="2"/>
            <w:noWrap w:val="0"/>
            <w:vAlign w:val="center"/>
          </w:tcPr>
          <w:p w14:paraId="22FFB8E7">
            <w:pPr>
              <w:jc w:val="center"/>
              <w:rPr>
                <w:rFonts w:hint="eastAsia" w:ascii="宋体" w:hAnsi="宋体" w:eastAsia="宋体" w:cs="宋体"/>
                <w:color w:val="auto"/>
                <w:szCs w:val="21"/>
                <w:highlight w:val="none"/>
              </w:rPr>
            </w:pPr>
          </w:p>
        </w:tc>
      </w:tr>
      <w:tr w14:paraId="3389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E58C0EA">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1918" w:type="dxa"/>
            <w:gridSpan w:val="2"/>
            <w:noWrap w:val="0"/>
            <w:vAlign w:val="center"/>
          </w:tcPr>
          <w:p w14:paraId="747E8D81">
            <w:pPr>
              <w:jc w:val="center"/>
              <w:rPr>
                <w:rFonts w:hint="eastAsia" w:ascii="宋体" w:hAnsi="宋体" w:eastAsia="宋体" w:cs="宋体"/>
                <w:color w:val="auto"/>
                <w:szCs w:val="21"/>
                <w:highlight w:val="none"/>
              </w:rPr>
            </w:pPr>
          </w:p>
        </w:tc>
        <w:tc>
          <w:tcPr>
            <w:tcW w:w="993" w:type="dxa"/>
            <w:vMerge w:val="continue"/>
            <w:noWrap w:val="0"/>
            <w:vAlign w:val="center"/>
          </w:tcPr>
          <w:p w14:paraId="46D8D78F">
            <w:pPr>
              <w:jc w:val="center"/>
              <w:rPr>
                <w:rFonts w:hint="eastAsia" w:ascii="宋体" w:hAnsi="宋体" w:eastAsia="宋体" w:cs="宋体"/>
                <w:color w:val="auto"/>
                <w:szCs w:val="21"/>
                <w:highlight w:val="none"/>
              </w:rPr>
            </w:pPr>
          </w:p>
        </w:tc>
        <w:tc>
          <w:tcPr>
            <w:tcW w:w="1984" w:type="dxa"/>
            <w:gridSpan w:val="4"/>
            <w:noWrap w:val="0"/>
            <w:vAlign w:val="center"/>
          </w:tcPr>
          <w:p w14:paraId="51812206">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拟派项目经理姓名</w:t>
            </w:r>
          </w:p>
        </w:tc>
        <w:tc>
          <w:tcPr>
            <w:tcW w:w="2125" w:type="dxa"/>
            <w:gridSpan w:val="2"/>
            <w:noWrap w:val="0"/>
            <w:vAlign w:val="center"/>
          </w:tcPr>
          <w:p w14:paraId="6A02721B">
            <w:pPr>
              <w:jc w:val="center"/>
              <w:rPr>
                <w:rFonts w:hint="eastAsia" w:ascii="宋体" w:hAnsi="宋体" w:eastAsia="宋体" w:cs="宋体"/>
                <w:color w:val="auto"/>
                <w:szCs w:val="21"/>
                <w:highlight w:val="none"/>
              </w:rPr>
            </w:pPr>
          </w:p>
        </w:tc>
      </w:tr>
      <w:tr w14:paraId="62A6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485" w:type="dxa"/>
            <w:noWrap w:val="0"/>
            <w:vAlign w:val="center"/>
          </w:tcPr>
          <w:p w14:paraId="431A6623">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经营范围</w:t>
            </w:r>
          </w:p>
        </w:tc>
        <w:tc>
          <w:tcPr>
            <w:tcW w:w="7020" w:type="dxa"/>
            <w:gridSpan w:val="9"/>
            <w:noWrap w:val="0"/>
            <w:vAlign w:val="center"/>
          </w:tcPr>
          <w:p w14:paraId="301C005C">
            <w:pPr>
              <w:jc w:val="center"/>
              <w:rPr>
                <w:rFonts w:hint="eastAsia" w:ascii="宋体" w:hAnsi="宋体" w:eastAsia="宋体" w:cs="宋体"/>
                <w:color w:val="auto"/>
                <w:szCs w:val="21"/>
                <w:highlight w:val="none"/>
              </w:rPr>
            </w:pPr>
          </w:p>
        </w:tc>
      </w:tr>
      <w:tr w14:paraId="582D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67295B9">
            <w:pPr>
              <w:ind w:left="0" w:leftChars="0" w:firstLine="0"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020" w:type="dxa"/>
            <w:gridSpan w:val="9"/>
            <w:noWrap w:val="0"/>
            <w:vAlign w:val="center"/>
          </w:tcPr>
          <w:p w14:paraId="4632526E">
            <w:pPr>
              <w:jc w:val="center"/>
              <w:rPr>
                <w:rFonts w:hint="eastAsia" w:ascii="宋体" w:hAnsi="宋体" w:eastAsia="宋体" w:cs="宋体"/>
                <w:color w:val="auto"/>
                <w:szCs w:val="21"/>
                <w:highlight w:val="none"/>
              </w:rPr>
            </w:pPr>
          </w:p>
        </w:tc>
      </w:tr>
    </w:tbl>
    <w:p w14:paraId="0C7687E8">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注：根据供应商须知第1.5.1项的要求在本表后附供应商营业执照、资质证书、安全生产许可证。</w:t>
      </w:r>
    </w:p>
    <w:p w14:paraId="38BA9C40">
      <w:pPr>
        <w:widowControl/>
        <w:spacing w:line="400" w:lineRule="exact"/>
        <w:rPr>
          <w:rFonts w:hint="eastAsia" w:ascii="宋体" w:hAnsi="宋体" w:eastAsia="宋体" w:cs="宋体"/>
          <w:b/>
          <w:bCs/>
          <w:color w:val="auto"/>
          <w:kern w:val="0"/>
          <w:highlight w:val="none"/>
          <w:lang w:bidi="ar"/>
        </w:rPr>
      </w:pPr>
      <w:r>
        <w:rPr>
          <w:rFonts w:hint="eastAsia" w:ascii="宋体" w:hAnsi="宋体" w:eastAsia="宋体" w:cs="宋体"/>
          <w:b/>
          <w:color w:val="auto"/>
          <w:szCs w:val="21"/>
          <w:highlight w:val="none"/>
        </w:rPr>
        <w:br w:type="page"/>
      </w:r>
      <w:r>
        <w:rPr>
          <w:rFonts w:hint="eastAsia" w:ascii="宋体" w:hAnsi="宋体" w:eastAsia="宋体" w:cs="宋体"/>
          <w:b/>
          <w:bCs/>
          <w:color w:val="auto"/>
          <w:kern w:val="0"/>
          <w:highlight w:val="none"/>
          <w:lang w:bidi="ar"/>
        </w:rPr>
        <w:t>附件：</w:t>
      </w:r>
    </w:p>
    <w:p w14:paraId="1233C19B">
      <w:pPr>
        <w:keepNext w:val="0"/>
        <w:keepLines w:val="0"/>
        <w:pageBreakBefore w:val="0"/>
        <w:widowControl/>
        <w:kinsoku/>
        <w:wordWrap/>
        <w:overflowPunct/>
        <w:topLinePunct w:val="0"/>
        <w:autoSpaceDE/>
        <w:autoSpaceDN/>
        <w:bidi w:val="0"/>
        <w:adjustRightInd/>
        <w:snapToGrid/>
        <w:spacing w:line="400" w:lineRule="exact"/>
        <w:jc w:val="center"/>
        <w:textAlignment w:val="auto"/>
        <w:outlineLvl w:val="1"/>
        <w:rPr>
          <w:rFonts w:hint="eastAsia" w:ascii="宋体" w:hAnsi="宋体" w:eastAsia="宋体" w:cs="宋体"/>
          <w:color w:val="auto"/>
          <w:kern w:val="0"/>
          <w:highlight w:val="none"/>
          <w:lang w:bidi="ar"/>
        </w:rPr>
      </w:pPr>
      <w:r>
        <w:rPr>
          <w:rFonts w:hint="eastAsia" w:ascii="宋体" w:hAnsi="宋体" w:eastAsia="宋体" w:cs="宋体"/>
          <w:b/>
          <w:bCs/>
          <w:color w:val="auto"/>
          <w:kern w:val="0"/>
          <w:highlight w:val="none"/>
          <w:lang w:bidi="ar"/>
        </w:rPr>
        <w:t>信阳市政府采购供应商信用承诺函</w:t>
      </w:r>
    </w:p>
    <w:p w14:paraId="0D2244A5">
      <w:pPr>
        <w:widowControl/>
        <w:spacing w:line="360" w:lineRule="auto"/>
        <w:ind w:firstLine="420" w:firstLineChars="200"/>
        <w:jc w:val="left"/>
        <w:rPr>
          <w:rFonts w:hint="eastAsia" w:ascii="宋体" w:hAnsi="宋体" w:eastAsia="宋体" w:cs="宋体"/>
          <w:color w:val="auto"/>
          <w:kern w:val="0"/>
          <w:highlight w:val="none"/>
          <w:lang w:bidi="ar"/>
        </w:rPr>
      </w:pPr>
    </w:p>
    <w:p w14:paraId="4D68D01F">
      <w:pPr>
        <w:widowControl/>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致</w:t>
      </w:r>
      <w:r>
        <w:rPr>
          <w:rFonts w:hint="eastAsia" w:ascii="宋体" w:hAnsi="宋体" w:eastAsia="宋体" w:cs="宋体"/>
          <w:color w:val="auto"/>
          <w:kern w:val="0"/>
          <w:highlight w:val="none"/>
          <w:u w:val="single"/>
          <w:lang w:bidi="ar"/>
        </w:rPr>
        <w:t xml:space="preserve">（采购人或采购代理机构）：         </w:t>
      </w:r>
      <w:r>
        <w:rPr>
          <w:rFonts w:hint="eastAsia" w:ascii="宋体" w:hAnsi="宋体" w:eastAsia="宋体" w:cs="宋体"/>
          <w:color w:val="auto"/>
          <w:kern w:val="0"/>
          <w:highlight w:val="none"/>
          <w:lang w:bidi="ar"/>
        </w:rPr>
        <w:t xml:space="preserve">      </w:t>
      </w:r>
    </w:p>
    <w:p w14:paraId="086C38D3">
      <w:pPr>
        <w:widowControl/>
        <w:spacing w:line="360" w:lineRule="auto"/>
        <w:ind w:firstLine="420" w:firstLineChars="200"/>
        <w:jc w:val="left"/>
        <w:rPr>
          <w:rFonts w:hint="eastAsia" w:ascii="宋体" w:hAnsi="宋体" w:eastAsia="宋体" w:cs="宋体"/>
          <w:color w:val="auto"/>
          <w:kern w:val="0"/>
          <w:highlight w:val="none"/>
          <w:u w:val="single"/>
          <w:lang w:bidi="ar"/>
        </w:rPr>
      </w:pPr>
      <w:r>
        <w:rPr>
          <w:rFonts w:hint="eastAsia" w:ascii="宋体" w:hAnsi="宋体" w:eastAsia="宋体" w:cs="宋体"/>
          <w:color w:val="auto"/>
          <w:kern w:val="0"/>
          <w:highlight w:val="none"/>
          <w:lang w:bidi="ar"/>
        </w:rPr>
        <w:t>单位名称（自然人姓名）</w:t>
      </w:r>
      <w:r>
        <w:rPr>
          <w:rFonts w:hint="eastAsia" w:ascii="宋体" w:hAnsi="宋体" w:eastAsia="宋体" w:cs="宋体"/>
          <w:color w:val="auto"/>
          <w:kern w:val="0"/>
          <w:highlight w:val="none"/>
          <w:u w:val="single"/>
          <w:lang w:bidi="ar"/>
        </w:rPr>
        <w:t xml:space="preserve">：  </w:t>
      </w:r>
      <w:r>
        <w:rPr>
          <w:rFonts w:hint="eastAsia" w:ascii="宋体" w:hAnsi="宋体" w:eastAsia="宋体" w:cs="宋体"/>
          <w:color w:val="auto"/>
          <w:kern w:val="0"/>
          <w:highlight w:val="none"/>
          <w:u w:val="single"/>
          <w:lang w:val="en-US" w:eastAsia="zh-CN" w:bidi="ar"/>
        </w:rPr>
        <w:t xml:space="preserve">          </w:t>
      </w:r>
      <w:r>
        <w:rPr>
          <w:rFonts w:hint="eastAsia" w:ascii="宋体" w:hAnsi="宋体" w:eastAsia="宋体" w:cs="宋体"/>
          <w:color w:val="auto"/>
          <w:kern w:val="0"/>
          <w:highlight w:val="none"/>
          <w:u w:val="single"/>
          <w:lang w:bidi="ar"/>
        </w:rPr>
        <w:t xml:space="preserve"> </w:t>
      </w:r>
    </w:p>
    <w:p w14:paraId="4094B390">
      <w:pPr>
        <w:widowControl/>
        <w:spacing w:line="360" w:lineRule="auto"/>
        <w:ind w:firstLine="420" w:firstLineChars="200"/>
        <w:jc w:val="left"/>
        <w:rPr>
          <w:rFonts w:hint="eastAsia" w:ascii="宋体" w:hAnsi="宋体" w:eastAsia="宋体" w:cs="宋体"/>
          <w:color w:val="auto"/>
          <w:kern w:val="0"/>
          <w:highlight w:val="none"/>
          <w:u w:val="single"/>
          <w:lang w:bidi="ar"/>
        </w:rPr>
      </w:pPr>
      <w:r>
        <w:rPr>
          <w:rFonts w:hint="eastAsia" w:ascii="宋体" w:hAnsi="宋体" w:eastAsia="宋体" w:cs="宋体"/>
          <w:color w:val="auto"/>
          <w:kern w:val="0"/>
          <w:highlight w:val="none"/>
          <w:lang w:bidi="ar"/>
        </w:rPr>
        <w:t>统一社会信用代码（身份证号码）</w:t>
      </w:r>
      <w:r>
        <w:rPr>
          <w:rFonts w:hint="eastAsia" w:ascii="宋体" w:hAnsi="宋体" w:eastAsia="宋体" w:cs="宋体"/>
          <w:color w:val="auto"/>
          <w:kern w:val="0"/>
          <w:highlight w:val="none"/>
          <w:u w:val="single"/>
          <w:lang w:bidi="ar"/>
        </w:rPr>
        <w:t xml:space="preserve">： </w:t>
      </w:r>
      <w:r>
        <w:rPr>
          <w:rFonts w:hint="eastAsia" w:ascii="宋体" w:hAnsi="宋体" w:eastAsia="宋体" w:cs="宋体"/>
          <w:color w:val="auto"/>
          <w:kern w:val="0"/>
          <w:highlight w:val="none"/>
          <w:u w:val="single"/>
          <w:lang w:val="en-US" w:eastAsia="zh-CN" w:bidi="ar"/>
        </w:rPr>
        <w:t xml:space="preserve">    </w:t>
      </w:r>
    </w:p>
    <w:p w14:paraId="33865EE3">
      <w:pPr>
        <w:widowControl/>
        <w:spacing w:line="360" w:lineRule="auto"/>
        <w:ind w:firstLine="420" w:firstLineChars="200"/>
        <w:jc w:val="left"/>
        <w:rPr>
          <w:rFonts w:hint="eastAsia" w:ascii="宋体" w:hAnsi="宋体" w:eastAsia="宋体" w:cs="宋体"/>
          <w:color w:val="auto"/>
          <w:kern w:val="0"/>
          <w:highlight w:val="none"/>
          <w:u w:val="single"/>
          <w:lang w:bidi="ar"/>
        </w:rPr>
      </w:pPr>
      <w:r>
        <w:rPr>
          <w:rFonts w:hint="eastAsia" w:ascii="宋体" w:hAnsi="宋体" w:eastAsia="宋体" w:cs="宋体"/>
          <w:color w:val="auto"/>
          <w:kern w:val="0"/>
          <w:highlight w:val="none"/>
          <w:lang w:bidi="ar"/>
        </w:rPr>
        <w:t>法定代表人（负责人）</w:t>
      </w:r>
      <w:r>
        <w:rPr>
          <w:rFonts w:hint="eastAsia" w:ascii="宋体" w:hAnsi="宋体" w:eastAsia="宋体" w:cs="宋体"/>
          <w:color w:val="auto"/>
          <w:kern w:val="0"/>
          <w:highlight w:val="none"/>
          <w:u w:val="single"/>
          <w:lang w:bidi="ar"/>
        </w:rPr>
        <w:t xml:space="preserve">： </w:t>
      </w:r>
      <w:r>
        <w:rPr>
          <w:rFonts w:hint="eastAsia" w:ascii="宋体" w:hAnsi="宋体" w:eastAsia="宋体" w:cs="宋体"/>
          <w:color w:val="auto"/>
          <w:kern w:val="0"/>
          <w:highlight w:val="none"/>
          <w:u w:val="single"/>
          <w:lang w:val="en-US" w:eastAsia="zh-CN" w:bidi="ar"/>
        </w:rPr>
        <w:t xml:space="preserve">            </w:t>
      </w:r>
      <w:r>
        <w:rPr>
          <w:rFonts w:hint="eastAsia" w:ascii="宋体" w:hAnsi="宋体" w:eastAsia="宋体" w:cs="宋体"/>
          <w:color w:val="auto"/>
          <w:kern w:val="0"/>
          <w:highlight w:val="none"/>
          <w:u w:val="single"/>
          <w:lang w:bidi="ar"/>
        </w:rPr>
        <w:t xml:space="preserve">  </w:t>
      </w:r>
    </w:p>
    <w:p w14:paraId="45823A37">
      <w:pPr>
        <w:widowControl/>
        <w:spacing w:line="360" w:lineRule="auto"/>
        <w:ind w:firstLine="420" w:firstLineChars="200"/>
        <w:jc w:val="left"/>
        <w:rPr>
          <w:rFonts w:hint="eastAsia" w:ascii="宋体" w:hAnsi="宋体" w:eastAsia="宋体" w:cs="宋体"/>
          <w:color w:val="auto"/>
          <w:kern w:val="0"/>
          <w:highlight w:val="none"/>
          <w:u w:val="single"/>
          <w:lang w:bidi="ar"/>
        </w:rPr>
      </w:pPr>
      <w:r>
        <w:rPr>
          <w:rFonts w:hint="eastAsia" w:ascii="宋体" w:hAnsi="宋体" w:eastAsia="宋体" w:cs="宋体"/>
          <w:color w:val="auto"/>
          <w:kern w:val="0"/>
          <w:highlight w:val="none"/>
          <w:lang w:bidi="ar"/>
        </w:rPr>
        <w:t>联系地址和电话</w:t>
      </w:r>
      <w:r>
        <w:rPr>
          <w:rFonts w:hint="eastAsia" w:ascii="宋体" w:hAnsi="宋体" w:eastAsia="宋体" w:cs="宋体"/>
          <w:color w:val="auto"/>
          <w:kern w:val="0"/>
          <w:highlight w:val="none"/>
          <w:u w:val="single"/>
          <w:lang w:bidi="ar"/>
        </w:rPr>
        <w:t xml:space="preserve">：       </w:t>
      </w:r>
      <w:r>
        <w:rPr>
          <w:rFonts w:hint="eastAsia" w:ascii="宋体" w:hAnsi="宋体" w:eastAsia="宋体" w:cs="宋体"/>
          <w:color w:val="auto"/>
          <w:kern w:val="0"/>
          <w:highlight w:val="none"/>
          <w:u w:val="single"/>
          <w:lang w:val="en-US" w:eastAsia="zh-CN" w:bidi="ar"/>
        </w:rPr>
        <w:t xml:space="preserve">       </w:t>
      </w:r>
      <w:r>
        <w:rPr>
          <w:rFonts w:hint="eastAsia" w:ascii="宋体" w:hAnsi="宋体" w:eastAsia="宋体" w:cs="宋体"/>
          <w:color w:val="auto"/>
          <w:kern w:val="0"/>
          <w:highlight w:val="none"/>
          <w:u w:val="single"/>
          <w:lang w:bidi="ar"/>
        </w:rPr>
        <w:t xml:space="preserve">       </w:t>
      </w:r>
    </w:p>
    <w:p w14:paraId="64B62CD8">
      <w:pPr>
        <w:widowControl/>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为维护公平、公正、公开的政府采购市场秩序，树立诚实守信的政府采购供应商形象，我单位（本人）自愿作出以下承诺：</w:t>
      </w:r>
    </w:p>
    <w:p w14:paraId="451EBF1D">
      <w:pPr>
        <w:widowControl/>
        <w:numPr>
          <w:ilvl w:val="0"/>
          <w:numId w:val="9"/>
        </w:numPr>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E0CECAE">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具有独立承担民事责任的能力；</w:t>
      </w:r>
    </w:p>
    <w:p w14:paraId="3A3ABEF6">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具有良好的商业信誉和健全的财务会计制度； </w:t>
      </w:r>
    </w:p>
    <w:p w14:paraId="3C2DC4F7">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具有履行合同所必需的设备和专业技术能力；</w:t>
      </w:r>
    </w:p>
    <w:p w14:paraId="3E12F74B">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有依法缴纳税收和社会保障资金的良好记录； </w:t>
      </w:r>
    </w:p>
    <w:p w14:paraId="32D0A10F">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参加政府采购活动前三年内，在经营活动中没有重大违法记录； </w:t>
      </w:r>
    </w:p>
    <w:p w14:paraId="196E6CD9">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未被列入经营异常名录或者严重违法失信名单、失信被执行人、税收违法黑名单、政府采购严重违法失信行为记录名单；</w:t>
      </w:r>
    </w:p>
    <w:p w14:paraId="6EE2AF91">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未被相关监管部门作出行政处罚且尚在处罚有效期内； </w:t>
      </w:r>
    </w:p>
    <w:p w14:paraId="492E5A17">
      <w:pPr>
        <w:widowControl/>
        <w:numPr>
          <w:ilvl w:val="0"/>
          <w:numId w:val="10"/>
        </w:numPr>
        <w:spacing w:line="360" w:lineRule="auto"/>
        <w:ind w:left="0"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未曾做出虚假采购承诺； </w:t>
      </w:r>
    </w:p>
    <w:p w14:paraId="785F2101">
      <w:pPr>
        <w:widowControl/>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（九）符合法律、行政法规规定的其他条件。</w:t>
      </w:r>
    </w:p>
    <w:p w14:paraId="587116A4">
      <w:pPr>
        <w:widowControl/>
        <w:numPr>
          <w:ilvl w:val="0"/>
          <w:numId w:val="9"/>
        </w:numPr>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34C1C602">
      <w:pPr>
        <w:widowControl/>
        <w:spacing w:line="360" w:lineRule="auto"/>
        <w:ind w:firstLine="420" w:firstLineChars="200"/>
        <w:jc w:val="left"/>
        <w:rPr>
          <w:rFonts w:hint="eastAsia" w:ascii="宋体" w:hAnsi="宋体" w:eastAsia="宋体" w:cs="宋体"/>
          <w:color w:val="auto"/>
          <w:kern w:val="0"/>
          <w:highlight w:val="none"/>
          <w:lang w:bidi="ar"/>
        </w:rPr>
      </w:pPr>
    </w:p>
    <w:p w14:paraId="2DAD3907">
      <w:pPr>
        <w:widowControl/>
        <w:spacing w:line="360" w:lineRule="auto"/>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val="en-US" w:eastAsia="zh-CN" w:bidi="ar"/>
        </w:rPr>
        <w:t xml:space="preserve">     </w:t>
      </w:r>
      <w:r>
        <w:rPr>
          <w:rFonts w:hint="eastAsia" w:ascii="宋体" w:hAnsi="宋体" w:eastAsia="宋体" w:cs="宋体"/>
          <w:color w:val="auto"/>
          <w:kern w:val="0"/>
          <w:highlight w:val="none"/>
          <w:lang w:bidi="ar"/>
        </w:rPr>
        <w:t>供应商（</w:t>
      </w:r>
      <w:r>
        <w:rPr>
          <w:rFonts w:hint="eastAsia" w:ascii="宋体" w:hAnsi="宋体" w:eastAsia="宋体" w:cs="宋体"/>
          <w:color w:val="auto"/>
          <w:kern w:val="0"/>
          <w:highlight w:val="none"/>
          <w:lang w:val="en-US" w:eastAsia="zh-CN" w:bidi="ar"/>
        </w:rPr>
        <w:t>单位电子签章</w:t>
      </w:r>
      <w:r>
        <w:rPr>
          <w:rFonts w:hint="eastAsia" w:ascii="宋体" w:hAnsi="宋体" w:eastAsia="宋体" w:cs="宋体"/>
          <w:color w:val="auto"/>
          <w:kern w:val="0"/>
          <w:highlight w:val="none"/>
          <w:lang w:bidi="ar"/>
        </w:rPr>
        <w:t>）：</w:t>
      </w:r>
    </w:p>
    <w:p w14:paraId="742D00BF">
      <w:pPr>
        <w:widowControl/>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 法定代表人、负责人、本人或授权代表（</w:t>
      </w:r>
      <w:r>
        <w:rPr>
          <w:rFonts w:hint="eastAsia" w:ascii="宋体" w:hAnsi="宋体" w:eastAsia="宋体" w:cs="宋体"/>
          <w:color w:val="auto"/>
          <w:kern w:val="0"/>
          <w:highlight w:val="none"/>
          <w:lang w:val="en-US" w:eastAsia="zh-CN" w:bidi="ar"/>
        </w:rPr>
        <w:t>电子签名或签字</w:t>
      </w:r>
      <w:r>
        <w:rPr>
          <w:rFonts w:hint="eastAsia" w:ascii="宋体" w:hAnsi="宋体" w:eastAsia="宋体" w:cs="宋体"/>
          <w:color w:val="auto"/>
          <w:kern w:val="0"/>
          <w:highlight w:val="none"/>
          <w:lang w:bidi="ar"/>
        </w:rPr>
        <w:t>）：</w:t>
      </w:r>
    </w:p>
    <w:p w14:paraId="7B51D0B6">
      <w:pPr>
        <w:widowControl/>
        <w:spacing w:line="360" w:lineRule="auto"/>
        <w:ind w:firstLine="420" w:firstLineChars="200"/>
        <w:jc w:val="left"/>
        <w:rPr>
          <w:rFonts w:hint="eastAsia" w:ascii="宋体" w:hAnsi="宋体" w:eastAsia="宋体" w:cs="宋体"/>
          <w:color w:val="auto"/>
          <w:kern w:val="0"/>
          <w:highlight w:val="none"/>
          <w:lang w:bidi="ar"/>
        </w:rPr>
      </w:pPr>
      <w:r>
        <w:rPr>
          <w:rFonts w:hint="eastAsia" w:ascii="宋体" w:hAnsi="宋体" w:eastAsia="宋体" w:cs="宋体"/>
          <w:color w:val="auto"/>
          <w:kern w:val="0"/>
          <w:highlight w:val="none"/>
          <w:lang w:bidi="ar"/>
        </w:rPr>
        <w:t xml:space="preserve"> 日期：  年  月  日</w:t>
      </w:r>
    </w:p>
    <w:p w14:paraId="70135C6B">
      <w:pPr>
        <w:widowControl/>
        <w:spacing w:line="360" w:lineRule="auto"/>
        <w:ind w:firstLine="422" w:firstLineChars="200"/>
        <w:jc w:val="left"/>
        <w:rPr>
          <w:rFonts w:hint="eastAsia" w:ascii="宋体" w:hAnsi="宋体" w:eastAsia="宋体" w:cs="宋体"/>
          <w:b/>
          <w:bCs/>
          <w:color w:val="auto"/>
          <w:kern w:val="0"/>
          <w:highlight w:val="none"/>
          <w:lang w:bidi="ar"/>
        </w:rPr>
      </w:pPr>
      <w:r>
        <w:rPr>
          <w:rFonts w:hint="eastAsia" w:ascii="宋体" w:hAnsi="宋体" w:eastAsia="宋体" w:cs="宋体"/>
          <w:b/>
          <w:bCs/>
          <w:color w:val="auto"/>
          <w:kern w:val="0"/>
          <w:highlight w:val="none"/>
          <w:lang w:bidi="ar"/>
        </w:rPr>
        <w:t xml:space="preserve"> 注：1、供应商须在响应文件中按此模板提供承诺函，未提供视为未实质性响应磋商文件要求，按无效投标处理。</w:t>
      </w:r>
    </w:p>
    <w:p w14:paraId="109B9D41">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kern w:val="0"/>
          <w:highlight w:val="none"/>
          <w:lang w:bidi="ar"/>
        </w:rPr>
        <w:t>2、供应商的法定代表人或者授权代表的签字或盖章应真实、有效，如由授权代表签字或盖章的，应提供“法定代表人授权书”。</w:t>
      </w:r>
    </w:p>
    <w:p w14:paraId="18757614">
      <w:pPr>
        <w:widowControl/>
        <w:adjustRightInd w:val="0"/>
        <w:snapToGrid w:val="0"/>
        <w:spacing w:line="560" w:lineRule="exact"/>
        <w:jc w:val="left"/>
        <w:rPr>
          <w:rFonts w:hint="eastAsia" w:ascii="宋体" w:hAnsi="宋体" w:eastAsia="宋体" w:cs="宋体"/>
          <w:b/>
          <w:color w:val="auto"/>
          <w:szCs w:val="21"/>
          <w:highlight w:val="none"/>
        </w:rPr>
      </w:pPr>
    </w:p>
    <w:p w14:paraId="23D564A1">
      <w:pPr>
        <w:pStyle w:val="3"/>
        <w:numPr>
          <w:ilvl w:val="1"/>
          <w:numId w:val="0"/>
        </w:numPr>
        <w:jc w:val="center"/>
        <w:rPr>
          <w:rFonts w:hint="eastAsia" w:ascii="宋体" w:hAnsi="宋体" w:eastAsia="宋体" w:cs="宋体"/>
          <w:color w:val="auto"/>
          <w:sz w:val="28"/>
          <w:szCs w:val="28"/>
          <w:highlight w:val="none"/>
        </w:rPr>
      </w:pPr>
      <w:bookmarkStart w:id="1168" w:name="_Toc475624464"/>
      <w:bookmarkStart w:id="1169" w:name="_Toc23603"/>
      <w:bookmarkStart w:id="1170" w:name="_Toc29238"/>
      <w:r>
        <w:rPr>
          <w:rFonts w:hint="eastAsia" w:ascii="宋体" w:hAnsi="宋体" w:eastAsia="宋体" w:cs="宋体"/>
          <w:color w:val="auto"/>
          <w:sz w:val="28"/>
          <w:szCs w:val="28"/>
          <w:highlight w:val="none"/>
        </w:rPr>
        <w:br w:type="page"/>
      </w:r>
      <w:r>
        <w:rPr>
          <w:rFonts w:hint="eastAsia" w:ascii="宋体" w:hAnsi="宋体" w:eastAsia="宋体" w:cs="宋体"/>
          <w:color w:val="auto"/>
          <w:sz w:val="28"/>
          <w:szCs w:val="28"/>
          <w:highlight w:val="none"/>
        </w:rPr>
        <w:t>八、其他材料</w:t>
      </w:r>
      <w:bookmarkEnd w:id="1168"/>
      <w:bookmarkEnd w:id="1169"/>
      <w:bookmarkEnd w:id="1170"/>
    </w:p>
    <w:p w14:paraId="76357B2D">
      <w:pPr>
        <w:spacing w:line="360" w:lineRule="auto"/>
        <w:jc w:val="center"/>
        <w:rPr>
          <w:rFonts w:hint="eastAsia" w:ascii="宋体" w:hAnsi="宋体" w:eastAsia="宋体" w:cs="宋体"/>
          <w:b/>
          <w:color w:val="auto"/>
          <w:szCs w:val="21"/>
          <w:highlight w:val="none"/>
        </w:rPr>
      </w:pPr>
      <w:bookmarkStart w:id="1171" w:name="_Toc457469585"/>
      <w:r>
        <w:rPr>
          <w:rFonts w:hint="eastAsia" w:ascii="宋体" w:hAnsi="宋体" w:eastAsia="宋体" w:cs="宋体"/>
          <w:b/>
          <w:color w:val="auto"/>
          <w:szCs w:val="21"/>
          <w:highlight w:val="none"/>
        </w:rPr>
        <w:t>1、反商业贿赂承诺书</w:t>
      </w:r>
      <w:bookmarkEnd w:id="1171"/>
    </w:p>
    <w:p w14:paraId="040BB38F">
      <w:pPr>
        <w:pStyle w:val="28"/>
        <w:ind w:firstLine="210"/>
        <w:rPr>
          <w:rFonts w:hint="eastAsia" w:ascii="宋体" w:hAnsi="宋体" w:eastAsia="宋体" w:cs="宋体"/>
          <w:color w:val="auto"/>
          <w:szCs w:val="21"/>
          <w:highlight w:val="none"/>
        </w:rPr>
      </w:pPr>
    </w:p>
    <w:p w14:paraId="79F512B6">
      <w:pPr>
        <w:autoSpaceDE w:val="0"/>
        <w:autoSpaceDN w:val="0"/>
        <w:adjustRightInd w:val="0"/>
        <w:spacing w:line="360" w:lineRule="auto"/>
        <w:ind w:firstLine="630" w:firstLineChars="3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我方承诺：</w:t>
      </w:r>
    </w:p>
    <w:p w14:paraId="74D1C63B">
      <w:pPr>
        <w:autoSpaceDE w:val="0"/>
        <w:autoSpaceDN w:val="0"/>
        <w:adjustRightInd w:val="0"/>
        <w:spacing w:line="360" w:lineRule="auto"/>
        <w:ind w:firstLine="630" w:firstLineChars="3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zh-CN"/>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zh-CN"/>
        </w:rPr>
        <w:t>（项目编号：  ）</w:t>
      </w:r>
      <w:r>
        <w:rPr>
          <w:rFonts w:hint="eastAsia" w:ascii="宋体" w:hAnsi="宋体" w:eastAsia="宋体" w:cs="宋体"/>
          <w:color w:val="auto"/>
          <w:szCs w:val="21"/>
          <w:highlight w:val="none"/>
          <w:lang w:val="zh-CN"/>
        </w:rPr>
        <w:t>磋商活动中，我方保证做到：</w:t>
      </w:r>
    </w:p>
    <w:p w14:paraId="4C6411BF">
      <w:pPr>
        <w:autoSpaceDE w:val="0"/>
        <w:autoSpaceDN w:val="0"/>
        <w:adjustRightInd w:val="0"/>
        <w:spacing w:line="360" w:lineRule="auto"/>
        <w:ind w:firstLine="630" w:firstLineChars="3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一、公平竞争参加本次磋商采购活动。</w:t>
      </w:r>
    </w:p>
    <w:p w14:paraId="1C9B331B">
      <w:pPr>
        <w:autoSpaceDE w:val="0"/>
        <w:autoSpaceDN w:val="0"/>
        <w:adjustRightInd w:val="0"/>
        <w:spacing w:line="360" w:lineRule="auto"/>
        <w:ind w:firstLine="630" w:firstLineChars="3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578ED3E2">
      <w:pPr>
        <w:autoSpaceDE w:val="0"/>
        <w:autoSpaceDN w:val="0"/>
        <w:adjustRightInd w:val="0"/>
        <w:spacing w:line="360" w:lineRule="auto"/>
        <w:ind w:firstLine="630" w:firstLineChars="3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三、若出现上述行为，我方及参与投标的工作人员愿意接受按照国家法律法规等有关规定给予的处罚。</w:t>
      </w:r>
    </w:p>
    <w:p w14:paraId="12EE3F2F">
      <w:pPr>
        <w:spacing w:line="360" w:lineRule="auto"/>
        <w:ind w:left="645"/>
        <w:outlineLvl w:val="0"/>
        <w:rPr>
          <w:rFonts w:hint="eastAsia" w:ascii="宋体" w:hAnsi="宋体" w:eastAsia="宋体" w:cs="宋体"/>
          <w:color w:val="auto"/>
          <w:szCs w:val="21"/>
          <w:highlight w:val="none"/>
        </w:rPr>
      </w:pPr>
    </w:p>
    <w:p w14:paraId="20D7E024">
      <w:pPr>
        <w:spacing w:line="360" w:lineRule="auto"/>
        <w:ind w:left="645"/>
        <w:outlineLvl w:val="0"/>
        <w:rPr>
          <w:rFonts w:hint="eastAsia" w:ascii="宋体" w:hAnsi="宋体" w:eastAsia="宋体" w:cs="宋体"/>
          <w:color w:val="auto"/>
          <w:szCs w:val="21"/>
          <w:highlight w:val="none"/>
        </w:rPr>
      </w:pPr>
    </w:p>
    <w:p w14:paraId="2E3C08A3">
      <w:pPr>
        <w:spacing w:line="360" w:lineRule="auto"/>
        <w:ind w:left="645"/>
        <w:outlineLvl w:val="0"/>
        <w:rPr>
          <w:rFonts w:hint="eastAsia" w:ascii="宋体" w:hAnsi="宋体" w:eastAsia="宋体" w:cs="宋体"/>
          <w:color w:val="auto"/>
          <w:szCs w:val="21"/>
          <w:highlight w:val="none"/>
        </w:rPr>
      </w:pPr>
    </w:p>
    <w:p w14:paraId="46BA661C">
      <w:pPr>
        <w:spacing w:line="360" w:lineRule="auto"/>
        <w:ind w:left="645"/>
        <w:outlineLvl w:val="0"/>
        <w:rPr>
          <w:rFonts w:hint="eastAsia" w:ascii="宋体" w:hAnsi="宋体" w:eastAsia="宋体" w:cs="宋体"/>
          <w:color w:val="auto"/>
          <w:szCs w:val="21"/>
          <w:highlight w:val="none"/>
        </w:rPr>
      </w:pPr>
    </w:p>
    <w:p w14:paraId="44D26D80">
      <w:pPr>
        <w:spacing w:line="360" w:lineRule="auto"/>
        <w:ind w:left="645"/>
        <w:outlineLvl w:val="0"/>
        <w:rPr>
          <w:rFonts w:hint="eastAsia" w:ascii="宋体" w:hAnsi="宋体" w:eastAsia="宋体" w:cs="宋体"/>
          <w:color w:val="auto"/>
          <w:szCs w:val="21"/>
          <w:highlight w:val="none"/>
        </w:rPr>
      </w:pPr>
    </w:p>
    <w:p w14:paraId="1474DFE4">
      <w:pPr>
        <w:spacing w:line="360" w:lineRule="auto"/>
        <w:ind w:left="645"/>
        <w:outlineLvl w:val="0"/>
        <w:rPr>
          <w:rFonts w:hint="eastAsia" w:ascii="宋体" w:hAnsi="宋体" w:eastAsia="宋体" w:cs="宋体"/>
          <w:color w:val="auto"/>
          <w:szCs w:val="21"/>
          <w:highlight w:val="none"/>
        </w:rPr>
      </w:pPr>
      <w:bookmarkStart w:id="1172" w:name="_Toc20561"/>
      <w:r>
        <w:rPr>
          <w:rFonts w:hint="eastAsia" w:ascii="宋体" w:hAnsi="宋体" w:eastAsia="宋体" w:cs="宋体"/>
          <w:color w:val="auto"/>
          <w:szCs w:val="21"/>
          <w:highlight w:val="none"/>
        </w:rPr>
        <w:t>供应商（单位电子签章）：</w:t>
      </w:r>
      <w:bookmarkEnd w:id="1172"/>
      <w:r>
        <w:rPr>
          <w:rFonts w:hint="eastAsia" w:ascii="宋体" w:hAnsi="宋体" w:eastAsia="宋体" w:cs="宋体"/>
          <w:color w:val="auto"/>
          <w:szCs w:val="21"/>
          <w:highlight w:val="none"/>
        </w:rPr>
        <w:t>　</w:t>
      </w:r>
    </w:p>
    <w:p w14:paraId="7F449DA6">
      <w:pPr>
        <w:spacing w:line="360" w:lineRule="auto"/>
        <w:ind w:left="645"/>
        <w:outlineLvl w:val="0"/>
        <w:rPr>
          <w:rFonts w:hint="eastAsia" w:ascii="宋体" w:hAnsi="宋体" w:eastAsia="宋体" w:cs="宋体"/>
          <w:color w:val="auto"/>
          <w:szCs w:val="21"/>
          <w:highlight w:val="none"/>
        </w:rPr>
      </w:pPr>
    </w:p>
    <w:p w14:paraId="3F915B1D">
      <w:pPr>
        <w:spacing w:line="360" w:lineRule="auto"/>
        <w:ind w:left="645"/>
        <w:outlineLvl w:val="0"/>
        <w:rPr>
          <w:rFonts w:hint="eastAsia" w:ascii="宋体" w:hAnsi="宋体" w:eastAsia="宋体" w:cs="宋体"/>
          <w:color w:val="auto"/>
          <w:szCs w:val="21"/>
          <w:highlight w:val="none"/>
        </w:rPr>
      </w:pPr>
      <w:bookmarkStart w:id="1173" w:name="_Toc5607"/>
      <w:r>
        <w:rPr>
          <w:rFonts w:hint="eastAsia" w:ascii="宋体" w:hAnsi="宋体" w:eastAsia="宋体" w:cs="宋体"/>
          <w:color w:val="auto"/>
          <w:szCs w:val="21"/>
          <w:highlight w:val="none"/>
        </w:rPr>
        <w:t>法人代表或授权代表（电子签名或盖章）：</w:t>
      </w:r>
      <w:bookmarkEnd w:id="1173"/>
    </w:p>
    <w:p w14:paraId="77627475">
      <w:pPr>
        <w:spacing w:line="360" w:lineRule="auto"/>
        <w:ind w:left="645"/>
        <w:outlineLvl w:val="0"/>
        <w:rPr>
          <w:rFonts w:hint="eastAsia" w:ascii="宋体" w:hAnsi="宋体" w:eastAsia="宋体" w:cs="宋体"/>
          <w:color w:val="auto"/>
          <w:szCs w:val="21"/>
          <w:highlight w:val="none"/>
        </w:rPr>
      </w:pPr>
    </w:p>
    <w:p w14:paraId="21E01EF8">
      <w:pPr>
        <w:spacing w:line="360" w:lineRule="auto"/>
        <w:ind w:left="645"/>
        <w:outlineLvl w:val="0"/>
        <w:rPr>
          <w:rFonts w:hint="eastAsia" w:ascii="宋体" w:hAnsi="宋体" w:eastAsia="宋体" w:cs="宋体"/>
          <w:color w:val="auto"/>
          <w:szCs w:val="21"/>
          <w:highlight w:val="none"/>
        </w:rPr>
      </w:pPr>
      <w:bookmarkStart w:id="1174" w:name="_Toc23777"/>
      <w:r>
        <w:rPr>
          <w:rFonts w:hint="eastAsia" w:ascii="宋体" w:hAnsi="宋体" w:eastAsia="宋体" w:cs="宋体"/>
          <w:color w:val="auto"/>
          <w:szCs w:val="21"/>
          <w:highlight w:val="none"/>
        </w:rPr>
        <w:t>日期：    年　　月　　日</w:t>
      </w:r>
      <w:bookmarkEnd w:id="1174"/>
    </w:p>
    <w:p w14:paraId="64A130E8">
      <w:pPr>
        <w:spacing w:line="360" w:lineRule="auto"/>
        <w:ind w:left="645"/>
        <w:outlineLvl w:val="0"/>
        <w:rPr>
          <w:rFonts w:hint="eastAsia" w:ascii="宋体" w:hAnsi="宋体" w:eastAsia="宋体" w:cs="宋体"/>
          <w:color w:val="auto"/>
          <w:szCs w:val="21"/>
          <w:highlight w:val="none"/>
        </w:rPr>
      </w:pPr>
    </w:p>
    <w:p w14:paraId="7BD18EC0">
      <w:pPr>
        <w:spacing w:line="360" w:lineRule="auto"/>
        <w:jc w:val="center"/>
        <w:rPr>
          <w:rFonts w:hint="eastAsia" w:ascii="宋体" w:hAnsi="宋体" w:eastAsia="宋体" w:cs="宋体"/>
          <w:color w:val="auto"/>
          <w:szCs w:val="21"/>
          <w:highlight w:val="none"/>
        </w:rPr>
      </w:pPr>
      <w:bookmarkStart w:id="1175" w:name="_Toc523494085"/>
      <w:bookmarkStart w:id="1176" w:name="_Toc525210051"/>
      <w:r>
        <w:rPr>
          <w:rFonts w:hint="eastAsia" w:ascii="宋体" w:hAnsi="宋体" w:eastAsia="宋体" w:cs="宋体"/>
          <w:b/>
          <w:color w:val="auto"/>
          <w:szCs w:val="21"/>
          <w:highlight w:val="none"/>
        </w:rPr>
        <w:br w:type="page"/>
      </w:r>
      <w:r>
        <w:rPr>
          <w:rFonts w:hint="eastAsia" w:ascii="宋体" w:hAnsi="宋体" w:eastAsia="宋体" w:cs="宋体"/>
          <w:b/>
          <w:color w:val="auto"/>
          <w:szCs w:val="21"/>
          <w:highlight w:val="none"/>
        </w:rPr>
        <w:t>2、</w:t>
      </w:r>
      <w:bookmarkEnd w:id="1175"/>
      <w:bookmarkEnd w:id="1176"/>
      <w:r>
        <w:rPr>
          <w:rFonts w:hint="eastAsia" w:ascii="宋体" w:hAnsi="宋体" w:eastAsia="宋体" w:cs="宋体"/>
          <w:b/>
          <w:color w:val="auto"/>
          <w:szCs w:val="21"/>
          <w:highlight w:val="none"/>
        </w:rPr>
        <w:t>中小企业声明函（工程）</w:t>
      </w:r>
    </w:p>
    <w:p w14:paraId="34965661">
      <w:pPr>
        <w:spacing w:line="400" w:lineRule="exact"/>
        <w:rPr>
          <w:rFonts w:hint="eastAsia" w:ascii="宋体" w:hAnsi="宋体" w:eastAsia="宋体" w:cs="宋体"/>
          <w:color w:val="auto"/>
          <w:szCs w:val="21"/>
          <w:highlight w:val="none"/>
        </w:rPr>
      </w:pPr>
    </w:p>
    <w:p w14:paraId="0645DA0F">
      <w:pPr>
        <w:pStyle w:val="7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（联合体）郑重声明，根据《政府采购促进中小企业发展管理办法》（财库﹝2020﹞46 号）的规定，本公司</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（联合体）参加</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（单位名称）的</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（项目名称）采购活动，工程的施工单位全部为符合政策要求的中小企业</w:t>
      </w:r>
      <w:r>
        <w:rPr>
          <w:rFonts w:hint="eastAsia" w:ascii="宋体" w:hAnsi="宋体" w:eastAsia="宋体" w:cs="宋体"/>
          <w:color w:val="auto"/>
          <w:szCs w:val="21"/>
          <w:highlight w:val="none"/>
          <w:lang w:val="en-US" w:eastAsia="zh-CN"/>
        </w:rPr>
        <w:t>承接</w:t>
      </w:r>
      <w:r>
        <w:rPr>
          <w:rFonts w:hint="eastAsia" w:ascii="宋体" w:hAnsi="宋体" w:eastAsia="宋体" w:cs="宋体"/>
          <w:color w:val="auto"/>
          <w:szCs w:val="21"/>
          <w:highlight w:val="none"/>
        </w:rPr>
        <w:t xml:space="preserve">。相关企业（含联合体中的中小企业、签订分包意向协议的中小企业）的具体情况如下： </w:t>
      </w:r>
    </w:p>
    <w:p w14:paraId="069D1FF8">
      <w:pPr>
        <w:pStyle w:val="71"/>
        <w:numPr>
          <w:ilvl w:val="0"/>
          <w:numId w:val="11"/>
        </w:num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（标的名称）</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（采购文件中明确的所属行业）</w:t>
      </w:r>
      <w:r>
        <w:rPr>
          <w:rFonts w:hint="eastAsia" w:ascii="宋体" w:hAnsi="宋体" w:eastAsia="宋体" w:cs="宋体"/>
          <w:color w:val="auto"/>
          <w:szCs w:val="21"/>
          <w:highlight w:val="none"/>
        </w:rPr>
        <w:t>；承建（承接）企业为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（中型企业、小型企业、微型企业）</w:t>
      </w:r>
      <w:r>
        <w:rPr>
          <w:rFonts w:hint="eastAsia" w:ascii="宋体" w:hAnsi="宋体" w:eastAsia="宋体" w:cs="宋体"/>
          <w:color w:val="auto"/>
          <w:szCs w:val="21"/>
          <w:highlight w:val="none"/>
        </w:rPr>
        <w:t>；</w:t>
      </w:r>
    </w:p>
    <w:p w14:paraId="731E7E41">
      <w:pPr>
        <w:pStyle w:val="71"/>
        <w:spacing w:line="360" w:lineRule="auto"/>
        <w:ind w:firstLine="420" w:firstLineChars="200"/>
        <w:rPr>
          <w:rFonts w:hint="eastAsia" w:ascii="宋体" w:hAnsi="宋体" w:eastAsia="宋体" w:cs="宋体"/>
          <w:color w:val="auto"/>
          <w:szCs w:val="21"/>
          <w:highlight w:val="none"/>
        </w:rPr>
      </w:pPr>
    </w:p>
    <w:p w14:paraId="2013A39B">
      <w:pPr>
        <w:pStyle w:val="71"/>
        <w:spacing w:line="360" w:lineRule="auto"/>
        <w:ind w:firstLine="420" w:firstLineChars="200"/>
        <w:rPr>
          <w:rFonts w:hint="eastAsia" w:ascii="宋体" w:hAnsi="宋体" w:eastAsia="宋体" w:cs="宋体"/>
          <w:color w:val="auto"/>
          <w:szCs w:val="21"/>
          <w:highlight w:val="none"/>
        </w:rPr>
      </w:pPr>
    </w:p>
    <w:p w14:paraId="2311417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以上企业，不属于大企业的分支机构，不存在控股股东 为大企业的情形，也不存在与大企业的负责人为同一人的情形。</w:t>
      </w:r>
    </w:p>
    <w:p w14:paraId="0B70E215">
      <w:pPr>
        <w:pStyle w:val="14"/>
        <w:spacing w:line="360" w:lineRule="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  本企业对上述声明内容的真实性负责。如有虚假，将依 法承担相应责任。</w:t>
      </w:r>
    </w:p>
    <w:p w14:paraId="4F93114A">
      <w:pPr>
        <w:pStyle w:val="52"/>
        <w:spacing w:line="360" w:lineRule="auto"/>
        <w:ind w:firstLine="2940" w:firstLineChars="1400"/>
        <w:rPr>
          <w:rFonts w:hint="eastAsia" w:ascii="宋体" w:hAnsi="宋体" w:eastAsia="宋体" w:cs="宋体"/>
          <w:color w:val="auto"/>
          <w:kern w:val="2"/>
          <w:sz w:val="21"/>
          <w:szCs w:val="21"/>
          <w:highlight w:val="none"/>
        </w:rPr>
      </w:pPr>
    </w:p>
    <w:p w14:paraId="6756B44D">
      <w:pPr>
        <w:pStyle w:val="52"/>
        <w:spacing w:line="360" w:lineRule="auto"/>
        <w:ind w:firstLine="2940" w:firstLineChars="1400"/>
        <w:rPr>
          <w:rFonts w:hint="eastAsia" w:ascii="宋体" w:hAnsi="宋体" w:eastAsia="宋体" w:cs="宋体"/>
          <w:color w:val="auto"/>
          <w:kern w:val="2"/>
          <w:sz w:val="21"/>
          <w:szCs w:val="21"/>
          <w:highlight w:val="none"/>
        </w:rPr>
      </w:pPr>
    </w:p>
    <w:p w14:paraId="196027F8">
      <w:pPr>
        <w:pStyle w:val="52"/>
        <w:spacing w:line="360" w:lineRule="auto"/>
        <w:ind w:firstLine="2940" w:firstLineChars="14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   企业名称（单位电子签章）：</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 xml:space="preserve">       </w:t>
      </w:r>
    </w:p>
    <w:p w14:paraId="304D782C">
      <w:pPr>
        <w:pStyle w:val="52"/>
        <w:spacing w:line="360" w:lineRule="auto"/>
        <w:ind w:firstLine="4830" w:firstLineChars="2300"/>
        <w:jc w:val="both"/>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rPr>
        <w:t>日期：</w:t>
      </w:r>
      <w:r>
        <w:rPr>
          <w:rFonts w:hint="eastAsia" w:ascii="宋体" w:hAnsi="宋体" w:eastAsia="宋体" w:cs="宋体"/>
          <w:color w:val="auto"/>
          <w:kern w:val="2"/>
          <w:sz w:val="21"/>
          <w:szCs w:val="21"/>
          <w:highlight w:val="none"/>
          <w:u w:val="single"/>
        </w:rPr>
        <w:t xml:space="preserve">                 </w:t>
      </w:r>
    </w:p>
    <w:p w14:paraId="0EB35FAF">
      <w:pPr>
        <w:rPr>
          <w:rFonts w:hint="eastAsia" w:ascii="宋体" w:hAnsi="宋体" w:eastAsia="宋体" w:cs="宋体"/>
          <w:color w:val="auto"/>
          <w:szCs w:val="21"/>
          <w:highlight w:val="none"/>
          <w:u w:val="single"/>
        </w:rPr>
      </w:pPr>
    </w:p>
    <w:p w14:paraId="3E08FB90">
      <w:pPr>
        <w:pStyle w:val="11"/>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从业人员、营业收入、资产总额填报上一年度数据，无上一年度数据的新成立企业可不填报。</w:t>
      </w:r>
    </w:p>
    <w:p w14:paraId="0E046906">
      <w:pPr>
        <w:pStyle w:val="11"/>
        <w:spacing w:line="360" w:lineRule="auto"/>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2、属于中小微企业的填写，不属于的无需填写此项内容</w:t>
      </w:r>
      <w:r>
        <w:rPr>
          <w:rFonts w:hint="eastAsia" w:ascii="宋体" w:hAnsi="宋体" w:eastAsia="宋体" w:cs="宋体"/>
          <w:color w:val="auto"/>
          <w:szCs w:val="21"/>
          <w:highlight w:val="none"/>
          <w:lang w:eastAsia="zh-CN"/>
        </w:rPr>
        <w:t>。</w:t>
      </w:r>
    </w:p>
    <w:p w14:paraId="523DB8DD">
      <w:pPr>
        <w:pStyle w:val="11"/>
        <w:spacing w:line="360" w:lineRule="auto"/>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3、所属行业：建筑业。</w:t>
      </w:r>
    </w:p>
    <w:p w14:paraId="09D25241">
      <w:pPr>
        <w:ind w:firstLine="422"/>
        <w:jc w:val="center"/>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bookmarkStart w:id="1177" w:name="_Toc525210052"/>
    </w:p>
    <w:p w14:paraId="687A3557">
      <w:pPr>
        <w:ind w:firstLine="422"/>
        <w:jc w:val="center"/>
        <w:outlineLvl w:val="2"/>
        <w:rPr>
          <w:rFonts w:hint="eastAsia" w:ascii="宋体" w:hAnsi="宋体" w:eastAsia="宋体" w:cs="宋体"/>
          <w:color w:val="auto"/>
          <w:szCs w:val="21"/>
          <w:highlight w:val="none"/>
        </w:rPr>
      </w:pPr>
      <w:r>
        <w:rPr>
          <w:rFonts w:hint="eastAsia" w:ascii="宋体" w:hAnsi="宋体" w:eastAsia="宋体" w:cs="宋体"/>
          <w:color w:val="auto"/>
          <w:highlight w:val="none"/>
        </w:rPr>
        <w:drawing>
          <wp:anchor distT="0" distB="0" distL="114300" distR="114300" simplePos="0" relativeHeight="251665408" behindDoc="0" locked="0" layoutInCell="1" allowOverlap="1">
            <wp:simplePos x="0" y="0"/>
            <wp:positionH relativeFrom="column">
              <wp:posOffset>-317500</wp:posOffset>
            </wp:positionH>
            <wp:positionV relativeFrom="paragraph">
              <wp:posOffset>8255</wp:posOffset>
            </wp:positionV>
            <wp:extent cx="6200140" cy="8126095"/>
            <wp:effectExtent l="0" t="0" r="2540" b="12065"/>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1"/>
                    <a:stretch>
                      <a:fillRect/>
                    </a:stretch>
                  </pic:blipFill>
                  <pic:spPr>
                    <a:xfrm>
                      <a:off x="0" y="0"/>
                      <a:ext cx="6200140" cy="8126095"/>
                    </a:xfrm>
                    <a:prstGeom prst="rect">
                      <a:avLst/>
                    </a:prstGeom>
                    <a:noFill/>
                    <a:ln>
                      <a:noFill/>
                    </a:ln>
                  </pic:spPr>
                </pic:pic>
              </a:graphicData>
            </a:graphic>
          </wp:anchor>
        </w:drawing>
      </w:r>
    </w:p>
    <w:p w14:paraId="096350D2">
      <w:pPr>
        <w:ind w:firstLine="422"/>
        <w:jc w:val="center"/>
        <w:outlineLvl w:val="2"/>
        <w:rPr>
          <w:rFonts w:hint="eastAsia" w:ascii="宋体" w:hAnsi="宋体" w:eastAsia="宋体" w:cs="宋体"/>
          <w:color w:val="auto"/>
          <w:szCs w:val="21"/>
          <w:highlight w:val="none"/>
        </w:rPr>
      </w:pPr>
    </w:p>
    <w:p w14:paraId="0D72BBA0">
      <w:pPr>
        <w:ind w:firstLine="422"/>
        <w:jc w:val="center"/>
        <w:outlineLvl w:val="2"/>
        <w:rPr>
          <w:rFonts w:hint="eastAsia" w:ascii="宋体" w:hAnsi="宋体" w:eastAsia="宋体" w:cs="宋体"/>
          <w:color w:val="auto"/>
          <w:szCs w:val="21"/>
          <w:highlight w:val="none"/>
        </w:rPr>
      </w:pPr>
    </w:p>
    <w:p w14:paraId="2C407FFB">
      <w:pPr>
        <w:ind w:firstLine="422"/>
        <w:jc w:val="center"/>
        <w:outlineLvl w:val="2"/>
        <w:rPr>
          <w:rFonts w:hint="eastAsia" w:ascii="宋体" w:hAnsi="宋体" w:eastAsia="宋体" w:cs="宋体"/>
          <w:color w:val="auto"/>
          <w:szCs w:val="21"/>
          <w:highlight w:val="none"/>
        </w:rPr>
      </w:pPr>
    </w:p>
    <w:p w14:paraId="02E1CFE8">
      <w:pPr>
        <w:ind w:firstLine="422"/>
        <w:jc w:val="center"/>
        <w:outlineLvl w:val="2"/>
        <w:rPr>
          <w:rFonts w:hint="eastAsia" w:ascii="宋体" w:hAnsi="宋体" w:eastAsia="宋体" w:cs="宋体"/>
          <w:color w:val="auto"/>
          <w:szCs w:val="21"/>
          <w:highlight w:val="none"/>
        </w:rPr>
      </w:pPr>
    </w:p>
    <w:p w14:paraId="6A9CC3BD">
      <w:pPr>
        <w:ind w:firstLine="422"/>
        <w:jc w:val="center"/>
        <w:outlineLvl w:val="2"/>
        <w:rPr>
          <w:rFonts w:hint="eastAsia" w:ascii="宋体" w:hAnsi="宋体" w:eastAsia="宋体" w:cs="宋体"/>
          <w:color w:val="auto"/>
          <w:szCs w:val="21"/>
          <w:highlight w:val="none"/>
        </w:rPr>
      </w:pPr>
    </w:p>
    <w:p w14:paraId="7DF86F71">
      <w:pPr>
        <w:ind w:firstLine="422"/>
        <w:jc w:val="center"/>
        <w:outlineLvl w:val="2"/>
        <w:rPr>
          <w:rFonts w:hint="eastAsia" w:ascii="宋体" w:hAnsi="宋体" w:eastAsia="宋体" w:cs="宋体"/>
          <w:color w:val="auto"/>
          <w:szCs w:val="21"/>
          <w:highlight w:val="none"/>
        </w:rPr>
      </w:pPr>
    </w:p>
    <w:p w14:paraId="1D9A467E">
      <w:pPr>
        <w:ind w:firstLine="422"/>
        <w:jc w:val="center"/>
        <w:outlineLvl w:val="2"/>
        <w:rPr>
          <w:rFonts w:hint="eastAsia" w:ascii="宋体" w:hAnsi="宋体" w:eastAsia="宋体" w:cs="宋体"/>
          <w:color w:val="auto"/>
          <w:szCs w:val="21"/>
          <w:highlight w:val="none"/>
        </w:rPr>
      </w:pPr>
    </w:p>
    <w:p w14:paraId="07E3DBF0">
      <w:pPr>
        <w:ind w:firstLine="422"/>
        <w:jc w:val="center"/>
        <w:outlineLvl w:val="2"/>
        <w:rPr>
          <w:rFonts w:hint="eastAsia" w:ascii="宋体" w:hAnsi="宋体" w:eastAsia="宋体" w:cs="宋体"/>
          <w:color w:val="auto"/>
          <w:szCs w:val="21"/>
          <w:highlight w:val="none"/>
        </w:rPr>
      </w:pPr>
    </w:p>
    <w:p w14:paraId="3FE5AF49">
      <w:pPr>
        <w:ind w:firstLine="422"/>
        <w:jc w:val="center"/>
        <w:outlineLvl w:val="2"/>
        <w:rPr>
          <w:rFonts w:hint="eastAsia" w:ascii="宋体" w:hAnsi="宋体" w:eastAsia="宋体" w:cs="宋体"/>
          <w:color w:val="auto"/>
          <w:szCs w:val="21"/>
          <w:highlight w:val="none"/>
        </w:rPr>
      </w:pPr>
    </w:p>
    <w:p w14:paraId="5195105E">
      <w:pPr>
        <w:ind w:firstLine="422"/>
        <w:jc w:val="center"/>
        <w:outlineLvl w:val="2"/>
        <w:rPr>
          <w:rFonts w:hint="eastAsia" w:ascii="宋体" w:hAnsi="宋体" w:eastAsia="宋体" w:cs="宋体"/>
          <w:color w:val="auto"/>
          <w:szCs w:val="21"/>
          <w:highlight w:val="none"/>
        </w:rPr>
      </w:pPr>
    </w:p>
    <w:p w14:paraId="3763EEEF">
      <w:pPr>
        <w:ind w:firstLine="422"/>
        <w:jc w:val="center"/>
        <w:outlineLvl w:val="2"/>
        <w:rPr>
          <w:rFonts w:hint="eastAsia" w:ascii="宋体" w:hAnsi="宋体" w:eastAsia="宋体" w:cs="宋体"/>
          <w:color w:val="auto"/>
          <w:szCs w:val="21"/>
          <w:highlight w:val="none"/>
        </w:rPr>
      </w:pPr>
    </w:p>
    <w:p w14:paraId="7B086A27">
      <w:pPr>
        <w:ind w:firstLine="422"/>
        <w:jc w:val="center"/>
        <w:outlineLvl w:val="2"/>
        <w:rPr>
          <w:rFonts w:hint="eastAsia" w:ascii="宋体" w:hAnsi="宋体" w:eastAsia="宋体" w:cs="宋体"/>
          <w:color w:val="auto"/>
          <w:szCs w:val="21"/>
          <w:highlight w:val="none"/>
        </w:rPr>
      </w:pPr>
    </w:p>
    <w:p w14:paraId="3AF4031D">
      <w:pPr>
        <w:ind w:firstLine="422"/>
        <w:jc w:val="center"/>
        <w:outlineLvl w:val="2"/>
        <w:rPr>
          <w:rFonts w:hint="eastAsia" w:ascii="宋体" w:hAnsi="宋体" w:eastAsia="宋体" w:cs="宋体"/>
          <w:color w:val="auto"/>
          <w:szCs w:val="21"/>
          <w:highlight w:val="none"/>
        </w:rPr>
      </w:pPr>
    </w:p>
    <w:p w14:paraId="64C8DC97">
      <w:pPr>
        <w:ind w:firstLine="422"/>
        <w:jc w:val="center"/>
        <w:outlineLvl w:val="2"/>
        <w:rPr>
          <w:rFonts w:hint="eastAsia" w:ascii="宋体" w:hAnsi="宋体" w:eastAsia="宋体" w:cs="宋体"/>
          <w:color w:val="auto"/>
          <w:szCs w:val="21"/>
          <w:highlight w:val="none"/>
        </w:rPr>
      </w:pPr>
    </w:p>
    <w:p w14:paraId="0C270715">
      <w:pPr>
        <w:ind w:firstLine="422"/>
        <w:jc w:val="center"/>
        <w:outlineLvl w:val="2"/>
        <w:rPr>
          <w:rFonts w:hint="eastAsia" w:ascii="宋体" w:hAnsi="宋体" w:eastAsia="宋体" w:cs="宋体"/>
          <w:color w:val="auto"/>
          <w:szCs w:val="21"/>
          <w:highlight w:val="none"/>
        </w:rPr>
      </w:pPr>
    </w:p>
    <w:p w14:paraId="73434DD7">
      <w:pPr>
        <w:ind w:firstLine="422"/>
        <w:jc w:val="center"/>
        <w:outlineLvl w:val="2"/>
        <w:rPr>
          <w:rFonts w:hint="eastAsia" w:ascii="宋体" w:hAnsi="宋体" w:eastAsia="宋体" w:cs="宋体"/>
          <w:color w:val="auto"/>
          <w:szCs w:val="21"/>
          <w:highlight w:val="none"/>
        </w:rPr>
      </w:pPr>
    </w:p>
    <w:p w14:paraId="78265908">
      <w:pPr>
        <w:ind w:firstLine="422"/>
        <w:jc w:val="center"/>
        <w:outlineLvl w:val="2"/>
        <w:rPr>
          <w:rFonts w:hint="eastAsia" w:ascii="宋体" w:hAnsi="宋体" w:eastAsia="宋体" w:cs="宋体"/>
          <w:color w:val="auto"/>
          <w:szCs w:val="21"/>
          <w:highlight w:val="none"/>
        </w:rPr>
      </w:pPr>
    </w:p>
    <w:p w14:paraId="07F29A48">
      <w:pPr>
        <w:ind w:firstLine="422"/>
        <w:jc w:val="center"/>
        <w:outlineLvl w:val="2"/>
        <w:rPr>
          <w:rFonts w:hint="eastAsia" w:ascii="宋体" w:hAnsi="宋体" w:eastAsia="宋体" w:cs="宋体"/>
          <w:color w:val="auto"/>
          <w:szCs w:val="21"/>
          <w:highlight w:val="none"/>
        </w:rPr>
      </w:pPr>
    </w:p>
    <w:p w14:paraId="74DB4BE5">
      <w:pPr>
        <w:ind w:firstLine="422"/>
        <w:jc w:val="center"/>
        <w:outlineLvl w:val="2"/>
        <w:rPr>
          <w:rFonts w:hint="eastAsia" w:ascii="宋体" w:hAnsi="宋体" w:eastAsia="宋体" w:cs="宋体"/>
          <w:color w:val="auto"/>
          <w:szCs w:val="21"/>
          <w:highlight w:val="none"/>
        </w:rPr>
      </w:pPr>
    </w:p>
    <w:p w14:paraId="670C6C95">
      <w:pPr>
        <w:ind w:firstLine="422"/>
        <w:jc w:val="center"/>
        <w:outlineLvl w:val="2"/>
        <w:rPr>
          <w:rFonts w:hint="eastAsia" w:ascii="宋体" w:hAnsi="宋体" w:eastAsia="宋体" w:cs="宋体"/>
          <w:color w:val="auto"/>
          <w:szCs w:val="21"/>
          <w:highlight w:val="none"/>
        </w:rPr>
      </w:pPr>
    </w:p>
    <w:p w14:paraId="2E11AFD7">
      <w:pPr>
        <w:ind w:firstLine="422"/>
        <w:jc w:val="center"/>
        <w:outlineLvl w:val="2"/>
        <w:rPr>
          <w:rFonts w:hint="eastAsia" w:ascii="宋体" w:hAnsi="宋体" w:eastAsia="宋体" w:cs="宋体"/>
          <w:color w:val="auto"/>
          <w:szCs w:val="21"/>
          <w:highlight w:val="none"/>
        </w:rPr>
      </w:pPr>
    </w:p>
    <w:p w14:paraId="4DA755B7">
      <w:pPr>
        <w:ind w:firstLine="422"/>
        <w:jc w:val="center"/>
        <w:outlineLvl w:val="2"/>
        <w:rPr>
          <w:rFonts w:hint="eastAsia" w:ascii="宋体" w:hAnsi="宋体" w:eastAsia="宋体" w:cs="宋体"/>
          <w:color w:val="auto"/>
          <w:szCs w:val="21"/>
          <w:highlight w:val="none"/>
        </w:rPr>
      </w:pPr>
      <w:r>
        <w:rPr>
          <w:rFonts w:hint="eastAsia" w:ascii="宋体" w:hAnsi="宋体" w:eastAsia="宋体" w:cs="宋体"/>
          <w:color w:val="auto"/>
          <w:highlight w:val="none"/>
        </w:rPr>
        <w:drawing>
          <wp:anchor distT="0" distB="0" distL="114300" distR="114300" simplePos="0" relativeHeight="251666432" behindDoc="0" locked="0" layoutInCell="1" allowOverlap="1">
            <wp:simplePos x="0" y="0"/>
            <wp:positionH relativeFrom="column">
              <wp:posOffset>-167005</wp:posOffset>
            </wp:positionH>
            <wp:positionV relativeFrom="paragraph">
              <wp:posOffset>71120</wp:posOffset>
            </wp:positionV>
            <wp:extent cx="5245100" cy="6876415"/>
            <wp:effectExtent l="0" t="0" r="12700" b="12065"/>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2"/>
                    <a:stretch>
                      <a:fillRect/>
                    </a:stretch>
                  </pic:blipFill>
                  <pic:spPr>
                    <a:xfrm>
                      <a:off x="0" y="0"/>
                      <a:ext cx="5245100" cy="6876415"/>
                    </a:xfrm>
                    <a:prstGeom prst="rect">
                      <a:avLst/>
                    </a:prstGeom>
                    <a:noFill/>
                    <a:ln>
                      <a:noFill/>
                    </a:ln>
                  </pic:spPr>
                </pic:pic>
              </a:graphicData>
            </a:graphic>
          </wp:anchor>
        </w:drawing>
      </w:r>
    </w:p>
    <w:p w14:paraId="7E921413">
      <w:pPr>
        <w:ind w:firstLine="422"/>
        <w:jc w:val="center"/>
        <w:outlineLvl w:val="2"/>
        <w:rPr>
          <w:rFonts w:hint="eastAsia" w:ascii="宋体" w:hAnsi="宋体" w:eastAsia="宋体" w:cs="宋体"/>
          <w:color w:val="auto"/>
          <w:szCs w:val="21"/>
          <w:highlight w:val="none"/>
        </w:rPr>
      </w:pPr>
    </w:p>
    <w:p w14:paraId="1C7B4D92">
      <w:pPr>
        <w:ind w:firstLine="422"/>
        <w:jc w:val="center"/>
        <w:outlineLvl w:val="2"/>
        <w:rPr>
          <w:rFonts w:hint="eastAsia" w:ascii="宋体" w:hAnsi="宋体" w:eastAsia="宋体" w:cs="宋体"/>
          <w:color w:val="auto"/>
          <w:szCs w:val="21"/>
          <w:highlight w:val="none"/>
        </w:rPr>
      </w:pPr>
    </w:p>
    <w:p w14:paraId="543E88CD">
      <w:pPr>
        <w:ind w:firstLine="422"/>
        <w:jc w:val="center"/>
        <w:outlineLvl w:val="2"/>
        <w:rPr>
          <w:rFonts w:hint="eastAsia" w:ascii="宋体" w:hAnsi="宋体" w:eastAsia="宋体" w:cs="宋体"/>
          <w:color w:val="auto"/>
          <w:szCs w:val="21"/>
          <w:highlight w:val="none"/>
        </w:rPr>
      </w:pPr>
    </w:p>
    <w:p w14:paraId="133BC2E0">
      <w:pPr>
        <w:ind w:firstLine="422"/>
        <w:jc w:val="center"/>
        <w:outlineLvl w:val="2"/>
        <w:rPr>
          <w:rFonts w:hint="eastAsia" w:ascii="宋体" w:hAnsi="宋体" w:eastAsia="宋体" w:cs="宋体"/>
          <w:color w:val="auto"/>
          <w:szCs w:val="21"/>
          <w:highlight w:val="none"/>
        </w:rPr>
      </w:pPr>
    </w:p>
    <w:p w14:paraId="155ED7B2">
      <w:pPr>
        <w:ind w:firstLine="422"/>
        <w:jc w:val="center"/>
        <w:outlineLvl w:val="2"/>
        <w:rPr>
          <w:rFonts w:hint="eastAsia" w:ascii="宋体" w:hAnsi="宋体" w:eastAsia="宋体" w:cs="宋体"/>
          <w:color w:val="auto"/>
          <w:szCs w:val="21"/>
          <w:highlight w:val="none"/>
        </w:rPr>
      </w:pPr>
    </w:p>
    <w:p w14:paraId="05097076">
      <w:pPr>
        <w:ind w:firstLine="422"/>
        <w:jc w:val="center"/>
        <w:outlineLvl w:val="2"/>
        <w:rPr>
          <w:rFonts w:hint="eastAsia" w:ascii="宋体" w:hAnsi="宋体" w:eastAsia="宋体" w:cs="宋体"/>
          <w:color w:val="auto"/>
          <w:szCs w:val="21"/>
          <w:highlight w:val="none"/>
        </w:rPr>
      </w:pPr>
    </w:p>
    <w:p w14:paraId="4BC2877D">
      <w:pPr>
        <w:ind w:firstLine="422"/>
        <w:jc w:val="center"/>
        <w:outlineLvl w:val="2"/>
        <w:rPr>
          <w:rFonts w:hint="eastAsia" w:ascii="宋体" w:hAnsi="宋体" w:eastAsia="宋体" w:cs="宋体"/>
          <w:color w:val="auto"/>
          <w:szCs w:val="21"/>
          <w:highlight w:val="none"/>
        </w:rPr>
      </w:pPr>
    </w:p>
    <w:p w14:paraId="5975100D">
      <w:pPr>
        <w:ind w:firstLine="422"/>
        <w:jc w:val="center"/>
        <w:outlineLvl w:val="2"/>
        <w:rPr>
          <w:rFonts w:hint="eastAsia" w:ascii="宋体" w:hAnsi="宋体" w:eastAsia="宋体" w:cs="宋体"/>
          <w:color w:val="auto"/>
          <w:szCs w:val="21"/>
          <w:highlight w:val="none"/>
        </w:rPr>
      </w:pPr>
    </w:p>
    <w:p w14:paraId="561FF5AA">
      <w:pPr>
        <w:ind w:firstLine="422"/>
        <w:jc w:val="center"/>
        <w:outlineLvl w:val="2"/>
        <w:rPr>
          <w:rFonts w:hint="eastAsia" w:ascii="宋体" w:hAnsi="宋体" w:eastAsia="宋体" w:cs="宋体"/>
          <w:color w:val="auto"/>
          <w:szCs w:val="21"/>
          <w:highlight w:val="none"/>
        </w:rPr>
      </w:pPr>
    </w:p>
    <w:p w14:paraId="5CA46447">
      <w:pPr>
        <w:ind w:firstLine="422"/>
        <w:jc w:val="center"/>
        <w:outlineLvl w:val="2"/>
        <w:rPr>
          <w:rFonts w:hint="eastAsia" w:ascii="宋体" w:hAnsi="宋体" w:eastAsia="宋体" w:cs="宋体"/>
          <w:color w:val="auto"/>
          <w:szCs w:val="21"/>
          <w:highlight w:val="none"/>
        </w:rPr>
      </w:pPr>
    </w:p>
    <w:p w14:paraId="64239D03">
      <w:pPr>
        <w:ind w:firstLine="422"/>
        <w:jc w:val="center"/>
        <w:outlineLvl w:val="2"/>
        <w:rPr>
          <w:rFonts w:hint="eastAsia" w:ascii="宋体" w:hAnsi="宋体" w:eastAsia="宋体" w:cs="宋体"/>
          <w:color w:val="auto"/>
          <w:szCs w:val="21"/>
          <w:highlight w:val="none"/>
        </w:rPr>
      </w:pPr>
    </w:p>
    <w:p w14:paraId="00AA7538">
      <w:pPr>
        <w:ind w:firstLine="422"/>
        <w:jc w:val="center"/>
        <w:outlineLvl w:val="2"/>
        <w:rPr>
          <w:rFonts w:hint="eastAsia" w:ascii="宋体" w:hAnsi="宋体" w:eastAsia="宋体" w:cs="宋体"/>
          <w:color w:val="auto"/>
          <w:szCs w:val="21"/>
          <w:highlight w:val="none"/>
        </w:rPr>
      </w:pPr>
    </w:p>
    <w:p w14:paraId="64EDAA23">
      <w:pPr>
        <w:ind w:firstLine="422"/>
        <w:jc w:val="center"/>
        <w:outlineLvl w:val="2"/>
        <w:rPr>
          <w:rFonts w:hint="eastAsia" w:ascii="宋体" w:hAnsi="宋体" w:eastAsia="宋体" w:cs="宋体"/>
          <w:color w:val="auto"/>
          <w:szCs w:val="21"/>
          <w:highlight w:val="none"/>
        </w:rPr>
      </w:pPr>
    </w:p>
    <w:p w14:paraId="49DD9FAC">
      <w:pPr>
        <w:ind w:firstLine="422"/>
        <w:jc w:val="center"/>
        <w:outlineLvl w:val="2"/>
        <w:rPr>
          <w:rFonts w:hint="eastAsia" w:ascii="宋体" w:hAnsi="宋体" w:eastAsia="宋体" w:cs="宋体"/>
          <w:color w:val="auto"/>
          <w:szCs w:val="21"/>
          <w:highlight w:val="none"/>
        </w:rPr>
      </w:pPr>
    </w:p>
    <w:p w14:paraId="2031281A">
      <w:pPr>
        <w:ind w:firstLine="422"/>
        <w:jc w:val="center"/>
        <w:outlineLvl w:val="2"/>
        <w:rPr>
          <w:rFonts w:hint="eastAsia" w:ascii="宋体" w:hAnsi="宋体" w:eastAsia="宋体" w:cs="宋体"/>
          <w:color w:val="auto"/>
          <w:szCs w:val="21"/>
          <w:highlight w:val="none"/>
        </w:rPr>
      </w:pPr>
    </w:p>
    <w:p w14:paraId="02D4A91A">
      <w:pPr>
        <w:ind w:firstLine="422"/>
        <w:jc w:val="center"/>
        <w:outlineLvl w:val="2"/>
        <w:rPr>
          <w:rFonts w:hint="eastAsia" w:ascii="宋体" w:hAnsi="宋体" w:eastAsia="宋体" w:cs="宋体"/>
          <w:color w:val="auto"/>
          <w:szCs w:val="21"/>
          <w:highlight w:val="none"/>
        </w:rPr>
      </w:pPr>
    </w:p>
    <w:p w14:paraId="65D208B4">
      <w:pPr>
        <w:ind w:firstLine="422"/>
        <w:jc w:val="center"/>
        <w:outlineLvl w:val="2"/>
        <w:rPr>
          <w:rFonts w:hint="eastAsia" w:ascii="宋体" w:hAnsi="宋体" w:eastAsia="宋体" w:cs="宋体"/>
          <w:color w:val="auto"/>
          <w:szCs w:val="21"/>
          <w:highlight w:val="none"/>
        </w:rPr>
      </w:pPr>
    </w:p>
    <w:p w14:paraId="3D17B8AC">
      <w:pPr>
        <w:ind w:firstLine="422"/>
        <w:jc w:val="center"/>
        <w:outlineLvl w:val="2"/>
        <w:rPr>
          <w:rFonts w:hint="eastAsia" w:ascii="宋体" w:hAnsi="宋体" w:eastAsia="宋体" w:cs="宋体"/>
          <w:color w:val="auto"/>
          <w:szCs w:val="21"/>
          <w:highlight w:val="none"/>
        </w:rPr>
      </w:pPr>
    </w:p>
    <w:p w14:paraId="39FC2549">
      <w:pPr>
        <w:ind w:firstLine="422"/>
        <w:jc w:val="center"/>
        <w:outlineLvl w:val="2"/>
        <w:rPr>
          <w:rFonts w:hint="eastAsia" w:ascii="宋体" w:hAnsi="宋体" w:eastAsia="宋体" w:cs="宋体"/>
          <w:color w:val="auto"/>
          <w:szCs w:val="21"/>
          <w:highlight w:val="none"/>
        </w:rPr>
      </w:pPr>
    </w:p>
    <w:p w14:paraId="1FC29D7C">
      <w:pPr>
        <w:ind w:firstLine="422"/>
        <w:jc w:val="center"/>
        <w:outlineLvl w:val="2"/>
        <w:rPr>
          <w:rFonts w:hint="eastAsia" w:ascii="宋体" w:hAnsi="宋体" w:eastAsia="宋体" w:cs="宋体"/>
          <w:color w:val="auto"/>
          <w:szCs w:val="21"/>
          <w:highlight w:val="none"/>
        </w:rPr>
      </w:pPr>
    </w:p>
    <w:p w14:paraId="678C2931">
      <w:pPr>
        <w:ind w:left="0" w:leftChars="0" w:firstLine="0" w:firstLineChars="0"/>
        <w:jc w:val="both"/>
        <w:outlineLvl w:val="2"/>
        <w:rPr>
          <w:rFonts w:hint="eastAsia" w:ascii="宋体" w:hAnsi="宋体" w:eastAsia="宋体" w:cs="宋体"/>
          <w:color w:val="auto"/>
          <w:szCs w:val="21"/>
          <w:highlight w:val="none"/>
        </w:rPr>
      </w:pPr>
    </w:p>
    <w:p w14:paraId="2CB113A8">
      <w:pPr>
        <w:ind w:firstLine="422"/>
        <w:jc w:val="center"/>
        <w:outlineLvl w:val="2"/>
        <w:rPr>
          <w:rFonts w:ascii="宋体" w:hAnsi="宋体"/>
          <w:b/>
        </w:rPr>
      </w:pPr>
      <w:r>
        <w:rPr>
          <w:rFonts w:hint="eastAsia" w:ascii="宋体" w:hAnsi="宋体" w:eastAsia="宋体" w:cs="宋体"/>
          <w:b/>
          <w:color w:val="auto"/>
          <w:szCs w:val="21"/>
          <w:highlight w:val="none"/>
        </w:rPr>
        <w:t>3、</w:t>
      </w:r>
      <w:r>
        <w:rPr>
          <w:rFonts w:hint="eastAsia" w:ascii="宋体" w:hAnsi="宋体"/>
          <w:b/>
        </w:rPr>
        <w:t>监狱企业证明</w:t>
      </w:r>
    </w:p>
    <w:p w14:paraId="7FD1D82C">
      <w:pPr>
        <w:ind w:firstLine="420"/>
        <w:jc w:val="center"/>
        <w:rPr>
          <w:rFonts w:ascii="宋体" w:hAnsi="宋体"/>
        </w:rPr>
      </w:pPr>
    </w:p>
    <w:p w14:paraId="20BC502A">
      <w:pPr>
        <w:ind w:firstLine="420"/>
        <w:jc w:val="center"/>
        <w:rPr>
          <w:rFonts w:ascii="宋体" w:hAnsi="宋体"/>
        </w:rPr>
      </w:pPr>
    </w:p>
    <w:p w14:paraId="4D8AF637">
      <w:pPr>
        <w:ind w:firstLine="420"/>
        <w:jc w:val="center"/>
        <w:rPr>
          <w:rFonts w:ascii="宋体" w:hAnsi="宋体"/>
        </w:rPr>
      </w:pPr>
      <w:r>
        <w:rPr>
          <w:rFonts w:hint="eastAsia" w:ascii="宋体" w:hAnsi="宋体"/>
        </w:rPr>
        <w:t>（注：符合条件的监狱企业请提供本函，不符合的不提供本函）</w:t>
      </w:r>
    </w:p>
    <w:p w14:paraId="1171C634">
      <w:pPr>
        <w:pStyle w:val="85"/>
        <w:snapToGrid w:val="0"/>
        <w:spacing w:before="120" w:beforeLines="50"/>
        <w:ind w:firstLine="560"/>
        <w:rPr>
          <w:rFonts w:hAnsi="宋体"/>
        </w:rPr>
      </w:pPr>
    </w:p>
    <w:p w14:paraId="019EA9F2">
      <w:pPr>
        <w:spacing w:line="520" w:lineRule="exact"/>
        <w:ind w:firstLine="420"/>
        <w:rPr>
          <w:rFonts w:ascii="宋体" w:hAnsi="宋体" w:cs="宋体"/>
        </w:rPr>
      </w:pPr>
      <w:r>
        <w:rPr>
          <w:rFonts w:hint="eastAsia" w:ascii="宋体" w:hAnsi="宋体" w:cs="宋体"/>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20%的价格扣除，但必须提供由省级以上监狱管理局、戒毒管理局（含新疆生产建设兵团）出具的属于监狱企业的证明文件，否则评审时不予价格扣除优惠。</w:t>
      </w:r>
    </w:p>
    <w:p w14:paraId="14B7244A">
      <w:pPr>
        <w:spacing w:line="520" w:lineRule="exact"/>
        <w:ind w:firstLine="420"/>
        <w:rPr>
          <w:rFonts w:ascii="宋体" w:hAnsi="宋体" w:cs="宋体"/>
        </w:rPr>
      </w:pPr>
      <w:r>
        <w:rPr>
          <w:rFonts w:hint="eastAsia" w:ascii="宋体" w:hAnsi="宋体" w:cs="宋体"/>
        </w:rPr>
        <w:t>注：在响应文件中附扫描件</w:t>
      </w:r>
    </w:p>
    <w:p w14:paraId="4B968031">
      <w:pPr>
        <w:spacing w:line="360" w:lineRule="auto"/>
        <w:jc w:val="center"/>
        <w:rPr>
          <w:rFonts w:hint="eastAsia" w:ascii="宋体" w:hAnsi="宋体" w:eastAsia="宋体" w:cs="宋体"/>
          <w:b/>
          <w:color w:val="auto"/>
          <w:szCs w:val="21"/>
          <w:highlight w:val="none"/>
        </w:rPr>
      </w:pPr>
    </w:p>
    <w:p w14:paraId="1BBA6D91">
      <w:pPr>
        <w:pStyle w:val="14"/>
        <w:rPr>
          <w:rFonts w:hint="eastAsia" w:ascii="宋体" w:hAnsi="宋体" w:eastAsia="宋体" w:cs="宋体"/>
          <w:b/>
          <w:color w:val="auto"/>
          <w:szCs w:val="21"/>
          <w:highlight w:val="none"/>
        </w:rPr>
      </w:pPr>
    </w:p>
    <w:p w14:paraId="49FB0DDD">
      <w:pPr>
        <w:pStyle w:val="45"/>
        <w:rPr>
          <w:rFonts w:hint="eastAsia" w:ascii="宋体" w:hAnsi="宋体" w:eastAsia="宋体" w:cs="宋体"/>
          <w:b/>
          <w:color w:val="auto"/>
          <w:szCs w:val="21"/>
          <w:highlight w:val="none"/>
        </w:rPr>
      </w:pPr>
    </w:p>
    <w:p w14:paraId="7F490A7A">
      <w:pPr>
        <w:pStyle w:val="48"/>
        <w:rPr>
          <w:rFonts w:hint="eastAsia" w:ascii="宋体" w:hAnsi="宋体" w:eastAsia="宋体" w:cs="宋体"/>
          <w:b/>
          <w:color w:val="auto"/>
          <w:szCs w:val="21"/>
          <w:highlight w:val="none"/>
        </w:rPr>
      </w:pPr>
    </w:p>
    <w:p w14:paraId="34F62D22">
      <w:pPr>
        <w:rPr>
          <w:rFonts w:hint="eastAsia" w:ascii="宋体" w:hAnsi="宋体" w:eastAsia="宋体" w:cs="宋体"/>
          <w:b/>
          <w:color w:val="auto"/>
          <w:szCs w:val="21"/>
          <w:highlight w:val="none"/>
        </w:rPr>
      </w:pPr>
    </w:p>
    <w:p w14:paraId="1BB994A6">
      <w:pPr>
        <w:pStyle w:val="14"/>
        <w:rPr>
          <w:rFonts w:hint="eastAsia" w:ascii="宋体" w:hAnsi="宋体" w:eastAsia="宋体" w:cs="宋体"/>
          <w:b/>
          <w:color w:val="auto"/>
          <w:szCs w:val="21"/>
          <w:highlight w:val="none"/>
        </w:rPr>
      </w:pPr>
    </w:p>
    <w:p w14:paraId="02BCCF57">
      <w:pPr>
        <w:pStyle w:val="45"/>
        <w:rPr>
          <w:rFonts w:hint="eastAsia" w:ascii="宋体" w:hAnsi="宋体" w:eastAsia="宋体" w:cs="宋体"/>
          <w:b/>
          <w:color w:val="auto"/>
          <w:szCs w:val="21"/>
          <w:highlight w:val="none"/>
        </w:rPr>
      </w:pPr>
    </w:p>
    <w:p w14:paraId="062F3340">
      <w:pPr>
        <w:pStyle w:val="48"/>
        <w:rPr>
          <w:rFonts w:hint="eastAsia" w:ascii="宋体" w:hAnsi="宋体" w:eastAsia="宋体" w:cs="宋体"/>
          <w:b/>
          <w:color w:val="auto"/>
          <w:szCs w:val="21"/>
          <w:highlight w:val="none"/>
        </w:rPr>
      </w:pPr>
    </w:p>
    <w:p w14:paraId="7F1C9E17">
      <w:pPr>
        <w:rPr>
          <w:rFonts w:hint="eastAsia" w:ascii="宋体" w:hAnsi="宋体" w:eastAsia="宋体" w:cs="宋体"/>
          <w:b/>
          <w:color w:val="auto"/>
          <w:szCs w:val="21"/>
          <w:highlight w:val="none"/>
        </w:rPr>
      </w:pPr>
    </w:p>
    <w:p w14:paraId="660392E0">
      <w:pPr>
        <w:pStyle w:val="14"/>
        <w:rPr>
          <w:rFonts w:hint="eastAsia" w:ascii="宋体" w:hAnsi="宋体" w:eastAsia="宋体" w:cs="宋体"/>
          <w:b/>
          <w:color w:val="auto"/>
          <w:szCs w:val="21"/>
          <w:highlight w:val="none"/>
        </w:rPr>
      </w:pPr>
    </w:p>
    <w:p w14:paraId="4F462E5F">
      <w:pPr>
        <w:pStyle w:val="45"/>
        <w:rPr>
          <w:rFonts w:hint="eastAsia" w:ascii="宋体" w:hAnsi="宋体" w:eastAsia="宋体" w:cs="宋体"/>
          <w:b/>
          <w:color w:val="auto"/>
          <w:szCs w:val="21"/>
          <w:highlight w:val="none"/>
        </w:rPr>
      </w:pPr>
    </w:p>
    <w:p w14:paraId="776B757D">
      <w:pPr>
        <w:pStyle w:val="48"/>
        <w:rPr>
          <w:rFonts w:hint="eastAsia" w:ascii="宋体" w:hAnsi="宋体" w:eastAsia="宋体" w:cs="宋体"/>
          <w:b/>
          <w:color w:val="auto"/>
          <w:szCs w:val="21"/>
          <w:highlight w:val="none"/>
        </w:rPr>
      </w:pPr>
    </w:p>
    <w:p w14:paraId="6E84ED86">
      <w:pPr>
        <w:rPr>
          <w:rFonts w:hint="eastAsia"/>
        </w:rPr>
      </w:pPr>
    </w:p>
    <w:p w14:paraId="19A43CA7">
      <w:pPr>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lang w:val="en-US" w:eastAsia="zh-CN"/>
        </w:rPr>
        <w:t>4、</w:t>
      </w:r>
      <w:r>
        <w:rPr>
          <w:rFonts w:hint="eastAsia" w:ascii="宋体" w:hAnsi="宋体" w:eastAsia="宋体" w:cs="宋体"/>
          <w:b/>
          <w:color w:val="auto"/>
          <w:szCs w:val="21"/>
          <w:highlight w:val="none"/>
        </w:rPr>
        <w:t>残疾人福利性单位声明函</w:t>
      </w:r>
      <w:bookmarkEnd w:id="1177"/>
    </w:p>
    <w:p w14:paraId="13F838E5">
      <w:pPr>
        <w:spacing w:line="360" w:lineRule="auto"/>
        <w:ind w:firstLine="420" w:firstLineChars="20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（属于残疾人福利企业的填写，不属于的无需填写此项内容）</w:t>
      </w:r>
    </w:p>
    <w:p w14:paraId="48D967A9">
      <w:pPr>
        <w:pStyle w:val="56"/>
        <w:rPr>
          <w:rFonts w:hint="eastAsia" w:ascii="宋体" w:hAnsi="宋体" w:eastAsia="宋体" w:cs="宋体"/>
          <w:color w:val="auto"/>
          <w:sz w:val="21"/>
          <w:szCs w:val="21"/>
          <w:highlight w:val="none"/>
        </w:rPr>
      </w:pPr>
    </w:p>
    <w:p w14:paraId="64CDCB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或者提供（其他残疾人福利性单位名称）制造的货物（不包括使用非残疾人福利性单位注册商标的货物）。货物的名称品牌型号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3E00D4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本单位对上述声明的真实性负责。如有虚假，将承担相应的法律责任。</w:t>
      </w:r>
    </w:p>
    <w:p w14:paraId="0A38F891">
      <w:pPr>
        <w:spacing w:line="360" w:lineRule="auto"/>
        <w:ind w:firstLine="420" w:firstLineChars="200"/>
        <w:rPr>
          <w:rFonts w:hint="eastAsia" w:ascii="宋体" w:hAnsi="宋体" w:eastAsia="宋体" w:cs="宋体"/>
          <w:color w:val="auto"/>
          <w:szCs w:val="21"/>
          <w:highlight w:val="none"/>
        </w:rPr>
      </w:pPr>
    </w:p>
    <w:p w14:paraId="5A76FD9F">
      <w:pPr>
        <w:spacing w:line="360" w:lineRule="auto"/>
        <w:ind w:firstLine="420" w:firstLineChars="200"/>
        <w:rPr>
          <w:rFonts w:hint="eastAsia" w:ascii="宋体" w:hAnsi="宋体" w:eastAsia="宋体" w:cs="宋体"/>
          <w:color w:val="auto"/>
          <w:szCs w:val="21"/>
          <w:highlight w:val="none"/>
        </w:rPr>
      </w:pPr>
    </w:p>
    <w:p w14:paraId="754287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供应商名称（单位电子签章）：</w:t>
      </w:r>
    </w:p>
    <w:p w14:paraId="11346FD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p w14:paraId="7F62821F">
      <w:pPr>
        <w:pStyle w:val="2"/>
        <w:numPr>
          <w:ilvl w:val="0"/>
          <w:numId w:val="0"/>
        </w:numPr>
        <w:ind w:left="425"/>
        <w:rPr>
          <w:rFonts w:hint="eastAsia" w:ascii="宋体" w:hAnsi="宋体" w:eastAsia="宋体" w:cs="宋体"/>
          <w:color w:val="auto"/>
          <w:kern w:val="0"/>
          <w:sz w:val="21"/>
          <w:szCs w:val="21"/>
          <w:highlight w:val="none"/>
        </w:rPr>
      </w:pPr>
    </w:p>
    <w:p w14:paraId="0477781C">
      <w:pPr>
        <w:spacing w:line="360" w:lineRule="auto"/>
        <w:jc w:val="center"/>
        <w:rPr>
          <w:rFonts w:hint="eastAsia" w:ascii="宋体" w:hAnsi="宋体" w:eastAsia="宋体" w:cs="宋体"/>
          <w:color w:val="auto"/>
          <w:szCs w:val="21"/>
          <w:highlight w:val="none"/>
        </w:rPr>
      </w:pPr>
    </w:p>
    <w:p w14:paraId="08B1B7DD">
      <w:pPr>
        <w:spacing w:line="360" w:lineRule="auto"/>
        <w:jc w:val="center"/>
        <w:rPr>
          <w:rFonts w:hint="eastAsia" w:ascii="宋体" w:hAnsi="宋体" w:eastAsia="宋体" w:cs="宋体"/>
          <w:color w:val="auto"/>
          <w:szCs w:val="21"/>
          <w:highlight w:val="none"/>
        </w:rPr>
      </w:pPr>
    </w:p>
    <w:p w14:paraId="33CA0CF7">
      <w:pPr>
        <w:spacing w:line="360" w:lineRule="auto"/>
        <w:jc w:val="center"/>
        <w:rPr>
          <w:rFonts w:hint="eastAsia" w:ascii="宋体" w:hAnsi="宋体" w:eastAsia="宋体" w:cs="宋体"/>
          <w:color w:val="auto"/>
          <w:szCs w:val="21"/>
          <w:highlight w:val="none"/>
        </w:rPr>
      </w:pPr>
    </w:p>
    <w:p w14:paraId="39C86EEF">
      <w:pPr>
        <w:spacing w:line="360" w:lineRule="auto"/>
        <w:jc w:val="center"/>
        <w:rPr>
          <w:rFonts w:hint="eastAsia" w:ascii="宋体" w:hAnsi="宋体" w:eastAsia="宋体" w:cs="宋体"/>
          <w:color w:val="auto"/>
          <w:szCs w:val="21"/>
          <w:highlight w:val="none"/>
        </w:rPr>
      </w:pPr>
    </w:p>
    <w:p w14:paraId="1C3C7E7C">
      <w:pPr>
        <w:spacing w:line="360" w:lineRule="auto"/>
        <w:jc w:val="center"/>
        <w:rPr>
          <w:rFonts w:hint="eastAsia" w:ascii="宋体" w:hAnsi="宋体" w:eastAsia="宋体" w:cs="宋体"/>
          <w:color w:val="auto"/>
          <w:szCs w:val="21"/>
          <w:highlight w:val="none"/>
        </w:rPr>
      </w:pPr>
    </w:p>
    <w:p w14:paraId="47D6167A">
      <w:pPr>
        <w:spacing w:line="360" w:lineRule="auto"/>
        <w:jc w:val="center"/>
        <w:rPr>
          <w:rFonts w:hint="eastAsia" w:ascii="宋体" w:hAnsi="宋体" w:eastAsia="宋体" w:cs="宋体"/>
          <w:color w:val="auto"/>
          <w:szCs w:val="21"/>
          <w:highlight w:val="none"/>
        </w:rPr>
      </w:pPr>
    </w:p>
    <w:p w14:paraId="70C843E6">
      <w:pPr>
        <w:spacing w:line="360" w:lineRule="auto"/>
        <w:jc w:val="center"/>
        <w:rPr>
          <w:rFonts w:hint="eastAsia" w:ascii="宋体" w:hAnsi="宋体" w:eastAsia="宋体" w:cs="宋体"/>
          <w:color w:val="auto"/>
          <w:szCs w:val="21"/>
          <w:highlight w:val="none"/>
        </w:rPr>
      </w:pPr>
    </w:p>
    <w:p w14:paraId="070926B5">
      <w:pPr>
        <w:spacing w:line="360" w:lineRule="auto"/>
        <w:jc w:val="center"/>
        <w:rPr>
          <w:rFonts w:hint="eastAsia" w:ascii="宋体" w:hAnsi="宋体" w:eastAsia="宋体" w:cs="宋体"/>
          <w:color w:val="auto"/>
          <w:szCs w:val="21"/>
          <w:highlight w:val="none"/>
        </w:rPr>
      </w:pPr>
    </w:p>
    <w:p w14:paraId="11F768B2">
      <w:pPr>
        <w:spacing w:line="360" w:lineRule="auto"/>
        <w:jc w:val="center"/>
        <w:rPr>
          <w:rFonts w:hint="eastAsia" w:ascii="宋体" w:hAnsi="宋体" w:eastAsia="宋体" w:cs="宋体"/>
          <w:color w:val="auto"/>
          <w:szCs w:val="21"/>
          <w:highlight w:val="none"/>
        </w:rPr>
      </w:pPr>
    </w:p>
    <w:p w14:paraId="0BE2E058">
      <w:pPr>
        <w:spacing w:line="360" w:lineRule="auto"/>
        <w:jc w:val="center"/>
        <w:rPr>
          <w:rFonts w:hint="eastAsia" w:ascii="宋体" w:hAnsi="宋体" w:eastAsia="宋体" w:cs="宋体"/>
          <w:color w:val="auto"/>
          <w:szCs w:val="21"/>
          <w:highlight w:val="none"/>
        </w:rPr>
      </w:pPr>
    </w:p>
    <w:p w14:paraId="08D3A55D">
      <w:pPr>
        <w:spacing w:line="360" w:lineRule="auto"/>
        <w:jc w:val="center"/>
        <w:rPr>
          <w:rFonts w:hint="eastAsia" w:ascii="宋体" w:hAnsi="宋体" w:eastAsia="宋体" w:cs="宋体"/>
          <w:color w:val="auto"/>
          <w:szCs w:val="21"/>
          <w:highlight w:val="none"/>
        </w:rPr>
      </w:pPr>
    </w:p>
    <w:p w14:paraId="0BDAF747">
      <w:pPr>
        <w:spacing w:line="360" w:lineRule="auto"/>
        <w:jc w:val="center"/>
        <w:rPr>
          <w:rFonts w:hint="eastAsia" w:ascii="宋体" w:hAnsi="宋体" w:eastAsia="宋体" w:cs="宋体"/>
          <w:color w:val="auto"/>
          <w:szCs w:val="21"/>
          <w:highlight w:val="none"/>
        </w:rPr>
      </w:pPr>
    </w:p>
    <w:p w14:paraId="0419EFF7">
      <w:pPr>
        <w:pStyle w:val="14"/>
        <w:rPr>
          <w:rFonts w:hint="eastAsia" w:ascii="宋体" w:hAnsi="宋体" w:eastAsia="宋体" w:cs="宋体"/>
          <w:color w:val="auto"/>
          <w:highlight w:val="none"/>
        </w:rPr>
      </w:pPr>
    </w:p>
    <w:p w14:paraId="0A7AD1A4">
      <w:pPr>
        <w:spacing w:line="360" w:lineRule="auto"/>
        <w:jc w:val="center"/>
        <w:rPr>
          <w:rFonts w:hint="eastAsia" w:ascii="宋体" w:hAnsi="宋体" w:eastAsia="宋体" w:cs="宋体"/>
          <w:color w:val="auto"/>
          <w:szCs w:val="21"/>
          <w:highlight w:val="none"/>
        </w:rPr>
      </w:pPr>
    </w:p>
    <w:p w14:paraId="3D71216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rPr>
        <w:t>、投标承诺函</w:t>
      </w:r>
    </w:p>
    <w:p w14:paraId="11AC6211">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shd w:val="clear" w:color="auto" w:fill="FFFFFF"/>
        </w:rPr>
        <w:t>致</w:t>
      </w:r>
      <w:r>
        <w:rPr>
          <w:rFonts w:hint="eastAsia" w:ascii="宋体" w:hAnsi="宋体" w:eastAsia="宋体" w:cs="宋体"/>
          <w:color w:val="auto"/>
          <w:sz w:val="21"/>
          <w:szCs w:val="21"/>
          <w:highlight w:val="none"/>
          <w:u w:val="single"/>
          <w:shd w:val="clear" w:color="auto" w:fill="FFFFFF"/>
        </w:rPr>
        <w:t>（采购人及采购代理机构）</w:t>
      </w:r>
      <w:r>
        <w:rPr>
          <w:rFonts w:hint="eastAsia" w:ascii="宋体" w:hAnsi="宋体" w:eastAsia="宋体" w:cs="宋体"/>
          <w:color w:val="auto"/>
          <w:spacing w:val="8"/>
          <w:sz w:val="21"/>
          <w:szCs w:val="21"/>
          <w:highlight w:val="none"/>
          <w:shd w:val="clear" w:color="auto" w:fill="FFFFFF"/>
        </w:rPr>
        <w:t>：</w:t>
      </w:r>
    </w:p>
    <w:p w14:paraId="6E917400">
      <w:pPr>
        <w:spacing w:line="360" w:lineRule="auto"/>
        <w:ind w:firstLine="452" w:firstLineChars="200"/>
        <w:rPr>
          <w:rFonts w:hint="eastAsia" w:ascii="宋体" w:hAnsi="宋体" w:eastAsia="宋体" w:cs="宋体"/>
          <w:color w:val="auto"/>
          <w:szCs w:val="21"/>
          <w:highlight w:val="none"/>
        </w:rPr>
      </w:pPr>
      <w:r>
        <w:rPr>
          <w:rFonts w:hint="eastAsia" w:ascii="宋体" w:hAnsi="宋体" w:eastAsia="宋体" w:cs="宋体"/>
          <w:color w:val="auto"/>
          <w:spacing w:val="8"/>
          <w:szCs w:val="21"/>
          <w:highlight w:val="none"/>
          <w:shd w:val="clear" w:color="auto" w:fill="FFFFFF"/>
        </w:rPr>
        <w:t>我</w:t>
      </w:r>
      <w:r>
        <w:rPr>
          <w:rFonts w:hint="eastAsia" w:ascii="宋体" w:hAnsi="宋体" w:eastAsia="宋体" w:cs="宋体"/>
          <w:color w:val="auto"/>
          <w:szCs w:val="21"/>
          <w:highlight w:val="none"/>
        </w:rPr>
        <w:t>公司作为本次采购项目的供应商，根据磋商文件要求，现郑重承诺如下：</w:t>
      </w:r>
    </w:p>
    <w:p w14:paraId="53A4E1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一、具备《中华人民共和国政府采购法》第二十二条第一款和本项目规定的条件：</w:t>
      </w:r>
    </w:p>
    <w:p w14:paraId="7AEA1D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（一）具有独立承担民事责任的能力； 　　</w:t>
      </w:r>
    </w:p>
    <w:p w14:paraId="726249A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（二）具有良好的商业信誉和健全的财务会计制度； 　</w:t>
      </w:r>
    </w:p>
    <w:p w14:paraId="153D6A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（三）具有履行合同所必需的设备和专业技术能力； 　　</w:t>
      </w:r>
    </w:p>
    <w:p w14:paraId="68EE5AC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（四）有依法缴纳税收和社会保障资金的良好记录； 　　</w:t>
      </w:r>
    </w:p>
    <w:p w14:paraId="7F0451A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（五）参加政府采购活动前三年内，在经营活动中没有重大违法记录；</w:t>
      </w:r>
    </w:p>
    <w:p w14:paraId="15CBBC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（六）法律、行政法规规定的其他条件；</w:t>
      </w:r>
    </w:p>
    <w:p w14:paraId="77821E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（七）根据采购项目提出的特殊条件。</w:t>
      </w:r>
    </w:p>
    <w:p w14:paraId="2B541C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完全接受和满足本项目磋商文件中规定的实质性要求，如对磋商文件有异议，已经在投标截止时间届满前依法进行维权救济，不存在对磋商文件有异议的同时又参加投标以求侥幸中标或者为实现其他非法目的的行为。</w:t>
      </w:r>
    </w:p>
    <w:p w14:paraId="3363A1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三、参加本次招标采购活动，不存在与单位负责人为同一人或者存在直接控股、管理关系的其他供应商参与同一合同项下的政府采购活动的行为。    </w:t>
      </w:r>
    </w:p>
    <w:p w14:paraId="42AF28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四、参加本次招标采购活动，不存在为采购项目提供整体设计、规范编制或者项目管理、监理、检测等服务的行为。</w:t>
      </w:r>
    </w:p>
    <w:p w14:paraId="18FDA8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五、参加本次招标采购活动，不存在和其他供应商在同一合同项下的采购项目中，同时委托同一个自然人、同一家庭的人员、同一单位的人员作为代理人的行为。</w:t>
      </w:r>
    </w:p>
    <w:p w14:paraId="5A27FE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六、供应商参加本次政府采购活动要求在近三年内供应商和其法定代表人没有行贿犯罪行为。</w:t>
      </w:r>
    </w:p>
    <w:p w14:paraId="3A8096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七、参加本次招标采购活动，不存在联合体投标。</w:t>
      </w:r>
    </w:p>
    <w:p w14:paraId="5848CFE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八、响应文件中提供的能够给予我公司带来优惠、好处的任何材料资料和技术、服务、商务等响应承诺情况都是真实的、有效的、合法的。</w:t>
      </w:r>
    </w:p>
    <w:p w14:paraId="089A3D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0D36FC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十、存在以下行为之一的愿意接受相关部门的处理：</w:t>
      </w:r>
    </w:p>
    <w:p w14:paraId="24F663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（一）投标有效期内撤销响应文件的；</w:t>
      </w:r>
    </w:p>
    <w:p w14:paraId="44A260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（二）在采购人确定成交人以前放弃中标候选资格的；</w:t>
      </w:r>
    </w:p>
    <w:p w14:paraId="252A31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（三）由于成交人的原因未能按照招标文件的规定与采购人签订合同；</w:t>
      </w:r>
    </w:p>
    <w:p w14:paraId="732DD2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）在响应文件中提供虚假材料谋取中标；</w:t>
      </w:r>
    </w:p>
    <w:p w14:paraId="4C8FB9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）与采购人、其他供应商或者采购代理机构恶意串通的；</w:t>
      </w:r>
    </w:p>
    <w:p w14:paraId="2DE244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）磋商有效期内，供应商在政府采购活动中有违法、违规、违纪行为。</w:t>
      </w:r>
    </w:p>
    <w:p w14:paraId="35C383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由此产生的一切法律后果和责任由我公司承担。我公司声明放弃对此提出任何异议和追索的权利。</w:t>
      </w:r>
    </w:p>
    <w:p w14:paraId="00117B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本公司对上述承诺的内容事项真实性负责。如经查实上述承诺的内容事项存在虚假，我公司愿意接受以提供虚假材料谋取中标追究法律责任。</w:t>
      </w:r>
    </w:p>
    <w:p w14:paraId="3C5609A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w:t>
      </w:r>
    </w:p>
    <w:p w14:paraId="55406D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（单位电子签章）</w:t>
      </w:r>
    </w:p>
    <w:p w14:paraId="05C3E0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法定代表人或授权代表：</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（电子签名或盖章）</w:t>
      </w:r>
    </w:p>
    <w:p w14:paraId="3EAB76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w:t>
      </w:r>
    </w:p>
    <w:p w14:paraId="141AE7B6">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highlight w:val="none"/>
        </w:rPr>
        <w:br w:type="page"/>
      </w:r>
      <w:r>
        <w:rPr>
          <w:rFonts w:hint="eastAsia" w:ascii="宋体" w:hAnsi="宋体" w:eastAsia="宋体" w:cs="宋体"/>
          <w:b/>
          <w:color w:val="auto"/>
          <w:highlight w:val="none"/>
          <w:lang w:val="en-US" w:eastAsia="zh-CN"/>
        </w:rPr>
        <w:t>6</w:t>
      </w:r>
      <w:r>
        <w:rPr>
          <w:rFonts w:hint="eastAsia" w:ascii="宋体" w:hAnsi="宋体" w:eastAsia="宋体" w:cs="宋体"/>
          <w:b/>
          <w:color w:val="auto"/>
          <w:highlight w:val="none"/>
        </w:rPr>
        <w:t>、采购代理服务费承诺函</w:t>
      </w:r>
    </w:p>
    <w:p w14:paraId="1B637002">
      <w:pPr>
        <w:pStyle w:val="26"/>
        <w:shd w:val="clear" w:color="auto" w:fill="FFFFFF"/>
        <w:spacing w:before="0" w:beforeAutospacing="0" w:after="0" w:afterAutospacing="0"/>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7024CB28">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致</w:t>
      </w:r>
      <w:r>
        <w:rPr>
          <w:rFonts w:hint="eastAsia" w:ascii="宋体" w:hAnsi="宋体" w:eastAsia="宋体" w:cs="宋体"/>
          <w:color w:val="auto"/>
          <w:spacing w:val="8"/>
          <w:sz w:val="21"/>
          <w:szCs w:val="21"/>
          <w:highlight w:val="none"/>
          <w:u w:val="single"/>
          <w:shd w:val="clear" w:color="auto" w:fill="FFFFFF"/>
        </w:rPr>
        <w:t>（采购人及采购代理机构） </w:t>
      </w:r>
      <w:r>
        <w:rPr>
          <w:rFonts w:hint="eastAsia" w:ascii="宋体" w:hAnsi="宋体" w:eastAsia="宋体" w:cs="宋体"/>
          <w:color w:val="auto"/>
          <w:spacing w:val="8"/>
          <w:sz w:val="21"/>
          <w:szCs w:val="21"/>
          <w:highlight w:val="none"/>
          <w:shd w:val="clear" w:color="auto" w:fill="FFFFFF"/>
        </w:rPr>
        <w:t>：</w:t>
      </w:r>
    </w:p>
    <w:p w14:paraId="79E2FC0A">
      <w:pPr>
        <w:pStyle w:val="26"/>
        <w:shd w:val="clear" w:color="auto" w:fill="FFFFFF"/>
        <w:spacing w:before="0" w:beforeAutospacing="0" w:after="0" w:afterAutospacing="0" w:line="360" w:lineRule="auto"/>
        <w:ind w:firstLine="480"/>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我们在贵公司组织的（项目名称：</w:t>
      </w:r>
      <w:r>
        <w:rPr>
          <w:rFonts w:hint="eastAsia" w:ascii="宋体" w:hAnsi="宋体" w:eastAsia="宋体" w:cs="宋体"/>
          <w:color w:val="auto"/>
          <w:spacing w:val="8"/>
          <w:sz w:val="21"/>
          <w:szCs w:val="21"/>
          <w:highlight w:val="none"/>
          <w:u w:val="single"/>
          <w:shd w:val="clear" w:color="auto" w:fill="FFFFFF"/>
        </w:rPr>
        <w:t xml:space="preserve">     </w:t>
      </w:r>
      <w:r>
        <w:rPr>
          <w:rFonts w:hint="eastAsia" w:ascii="宋体" w:hAnsi="宋体" w:eastAsia="宋体" w:cs="宋体"/>
          <w:color w:val="auto"/>
          <w:spacing w:val="8"/>
          <w:sz w:val="21"/>
          <w:szCs w:val="21"/>
          <w:highlight w:val="none"/>
          <w:shd w:val="clear" w:color="auto" w:fill="FFFFFF"/>
        </w:rPr>
        <w:t>，采购编号：</w:t>
      </w:r>
      <w:r>
        <w:rPr>
          <w:rFonts w:hint="eastAsia" w:ascii="宋体" w:hAnsi="宋体" w:eastAsia="宋体" w:cs="宋体"/>
          <w:color w:val="auto"/>
          <w:spacing w:val="8"/>
          <w:sz w:val="21"/>
          <w:szCs w:val="21"/>
          <w:highlight w:val="none"/>
          <w:u w:val="single"/>
          <w:shd w:val="clear" w:color="auto" w:fill="FFFFFF"/>
        </w:rPr>
        <w:t xml:space="preserve">     </w:t>
      </w:r>
      <w:r>
        <w:rPr>
          <w:rFonts w:hint="eastAsia" w:ascii="宋体" w:hAnsi="宋体" w:eastAsia="宋体" w:cs="宋体"/>
          <w:color w:val="auto"/>
          <w:spacing w:val="8"/>
          <w:sz w:val="21"/>
          <w:szCs w:val="21"/>
          <w:highlight w:val="none"/>
          <w:shd w:val="clear" w:color="auto" w:fill="FFFFFF"/>
        </w:rPr>
        <w:t>）招标采购中若获中标（成交），我们保证在中标(成交）结果公告发布后5个工作日内，按招标文件的规定，以支票、银行转账、汇票</w:t>
      </w:r>
      <w:r>
        <w:rPr>
          <w:rFonts w:hint="eastAsia" w:eastAsia="宋体" w:cs="宋体"/>
          <w:color w:val="auto"/>
          <w:spacing w:val="8"/>
          <w:sz w:val="21"/>
          <w:szCs w:val="21"/>
          <w:highlight w:val="none"/>
          <w:shd w:val="clear" w:color="auto" w:fill="FFFFFF"/>
          <w:lang w:val="en-US" w:eastAsia="zh-CN"/>
        </w:rPr>
        <w:t>等</w:t>
      </w:r>
      <w:r>
        <w:rPr>
          <w:rFonts w:hint="eastAsia" w:ascii="宋体" w:hAnsi="宋体" w:eastAsia="宋体" w:cs="宋体"/>
          <w:color w:val="auto"/>
          <w:spacing w:val="8"/>
          <w:sz w:val="21"/>
          <w:szCs w:val="21"/>
          <w:highlight w:val="none"/>
          <w:shd w:val="clear" w:color="auto" w:fill="FFFFFF"/>
        </w:rPr>
        <w:t>，向贵公司一次性支付招标代理服务费用。否则，由此产生的一切法律后果和责任由我公司承担。我公司声明放弃对此提出任何异议和追索的权利。</w:t>
      </w:r>
    </w:p>
    <w:p w14:paraId="3E7100F4">
      <w:pPr>
        <w:pStyle w:val="26"/>
        <w:shd w:val="clear" w:color="auto" w:fill="FFFFFF"/>
        <w:spacing w:before="0" w:beforeAutospacing="0" w:after="0" w:afterAutospacing="0" w:line="360" w:lineRule="auto"/>
        <w:ind w:firstLine="452" w:firstLineChars="200"/>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特此承诺。</w:t>
      </w:r>
    </w:p>
    <w:p w14:paraId="67DD8DAC">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13DDAE1A">
      <w:pPr>
        <w:pStyle w:val="26"/>
        <w:shd w:val="clear" w:color="auto" w:fill="FFFFFF"/>
        <w:spacing w:before="0" w:beforeAutospacing="0" w:after="0" w:afterAutospacing="0" w:line="360" w:lineRule="auto"/>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 </w:t>
      </w:r>
    </w:p>
    <w:p w14:paraId="7DAC0BBC">
      <w:pPr>
        <w:pStyle w:val="26"/>
        <w:shd w:val="clear" w:color="auto" w:fill="FFFFFF"/>
        <w:spacing w:before="0" w:beforeAutospacing="0" w:after="0" w:afterAutospacing="0" w:line="360" w:lineRule="auto"/>
        <w:ind w:firstLine="46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供应商名称：</w:t>
      </w:r>
      <w:r>
        <w:rPr>
          <w:rFonts w:hint="eastAsia" w:ascii="宋体" w:hAnsi="宋体" w:eastAsia="宋体" w:cs="宋体"/>
          <w:color w:val="auto"/>
          <w:spacing w:val="8"/>
          <w:sz w:val="21"/>
          <w:szCs w:val="21"/>
          <w:highlight w:val="none"/>
          <w:u w:val="single"/>
          <w:shd w:val="clear" w:color="auto" w:fill="FFFFFF"/>
        </w:rPr>
        <w:t>          </w:t>
      </w:r>
      <w:r>
        <w:rPr>
          <w:rFonts w:hint="eastAsia" w:ascii="宋体" w:hAnsi="宋体" w:eastAsia="宋体" w:cs="宋体"/>
          <w:color w:val="auto"/>
          <w:spacing w:val="8"/>
          <w:sz w:val="21"/>
          <w:szCs w:val="21"/>
          <w:highlight w:val="none"/>
          <w:shd w:val="clear" w:color="auto" w:fill="FFFFFF"/>
        </w:rPr>
        <w:t>（单位电子签章）</w:t>
      </w:r>
    </w:p>
    <w:p w14:paraId="64C4A259">
      <w:pPr>
        <w:pStyle w:val="26"/>
        <w:shd w:val="clear" w:color="auto" w:fill="FFFFFF"/>
        <w:spacing w:before="0" w:beforeAutospacing="0" w:after="0" w:afterAutospacing="0" w:line="360" w:lineRule="auto"/>
        <w:ind w:firstLine="465"/>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法定代表人或授权代表：</w:t>
      </w:r>
      <w:r>
        <w:rPr>
          <w:rFonts w:hint="eastAsia" w:ascii="宋体" w:hAnsi="宋体" w:eastAsia="宋体" w:cs="宋体"/>
          <w:color w:val="auto"/>
          <w:spacing w:val="8"/>
          <w:sz w:val="21"/>
          <w:szCs w:val="21"/>
          <w:highlight w:val="none"/>
          <w:u w:val="single"/>
          <w:shd w:val="clear" w:color="auto" w:fill="FFFFFF"/>
        </w:rPr>
        <w:t>      </w:t>
      </w:r>
      <w:r>
        <w:rPr>
          <w:rFonts w:hint="eastAsia" w:ascii="宋体" w:hAnsi="宋体" w:eastAsia="宋体" w:cs="宋体"/>
          <w:color w:val="auto"/>
          <w:spacing w:val="8"/>
          <w:sz w:val="21"/>
          <w:szCs w:val="21"/>
          <w:highlight w:val="none"/>
          <w:shd w:val="clear" w:color="auto" w:fill="FFFFFF"/>
        </w:rPr>
        <w:t>（电子签名或盖章）</w:t>
      </w:r>
    </w:p>
    <w:p w14:paraId="34093F46">
      <w:pPr>
        <w:pStyle w:val="26"/>
        <w:shd w:val="clear" w:color="auto" w:fill="FFFFFF"/>
        <w:spacing w:before="0" w:beforeAutospacing="0" w:after="0" w:afterAutospacing="0" w:line="360" w:lineRule="auto"/>
        <w:ind w:firstLine="480"/>
        <w:jc w:val="both"/>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shd w:val="clear" w:color="auto" w:fill="FFFFFF"/>
        </w:rPr>
        <w:t>日期：</w:t>
      </w:r>
      <w:r>
        <w:rPr>
          <w:rFonts w:hint="eastAsia" w:ascii="宋体" w:hAnsi="宋体" w:eastAsia="宋体" w:cs="宋体"/>
          <w:color w:val="auto"/>
          <w:spacing w:val="8"/>
          <w:sz w:val="21"/>
          <w:szCs w:val="21"/>
          <w:highlight w:val="none"/>
          <w:u w:val="single"/>
          <w:shd w:val="clear" w:color="auto" w:fill="FFFFFF"/>
        </w:rPr>
        <w:t>         </w:t>
      </w:r>
      <w:r>
        <w:rPr>
          <w:rFonts w:hint="eastAsia" w:ascii="宋体" w:hAnsi="宋体" w:eastAsia="宋体" w:cs="宋体"/>
          <w:color w:val="auto"/>
          <w:spacing w:val="8"/>
          <w:sz w:val="21"/>
          <w:szCs w:val="21"/>
          <w:highlight w:val="none"/>
          <w:u w:val="single"/>
          <w:shd w:val="clear" w:color="auto" w:fill="FFFFFF"/>
          <w:lang w:val="en-US" w:eastAsia="zh-CN"/>
        </w:rPr>
        <w:t xml:space="preserve"> </w:t>
      </w:r>
      <w:r>
        <w:rPr>
          <w:rFonts w:hint="eastAsia" w:ascii="宋体" w:hAnsi="宋体" w:eastAsia="宋体" w:cs="宋体"/>
          <w:color w:val="auto"/>
          <w:spacing w:val="8"/>
          <w:sz w:val="21"/>
          <w:szCs w:val="21"/>
          <w:highlight w:val="none"/>
          <w:u w:val="single"/>
          <w:shd w:val="clear" w:color="auto" w:fill="FFFFFF"/>
        </w:rPr>
        <w:t>   </w:t>
      </w:r>
    </w:p>
    <w:p w14:paraId="5424972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br w:type="page"/>
      </w: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、供应商认为需要的其它资料</w:t>
      </w:r>
    </w:p>
    <w:p w14:paraId="78B2B993">
      <w:pPr>
        <w:pStyle w:val="14"/>
        <w:rPr>
          <w:rFonts w:hint="eastAsia" w:ascii="宋体" w:hAnsi="宋体" w:eastAsia="宋体" w:cs="宋体"/>
          <w:color w:val="auto"/>
          <w:sz w:val="21"/>
          <w:szCs w:val="21"/>
          <w:highlight w:val="none"/>
        </w:rPr>
      </w:pPr>
    </w:p>
    <w:p w14:paraId="1A0786B1">
      <w:pPr>
        <w:jc w:val="cente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Cs w:val="21"/>
          <w:highlight w:val="none"/>
        </w:rPr>
        <w:t>河南省</w:t>
      </w:r>
      <w:r>
        <w:rPr>
          <w:rFonts w:hint="eastAsia" w:ascii="宋体" w:hAnsi="宋体" w:eastAsia="宋体" w:cs="宋体"/>
          <w:b/>
          <w:color w:val="auto"/>
          <w:szCs w:val="21"/>
          <w:highlight w:val="none"/>
          <w:lang w:val="en-US" w:eastAsia="zh-CN"/>
        </w:rPr>
        <w:t>罗山县</w:t>
      </w:r>
      <w:r>
        <w:rPr>
          <w:rFonts w:hint="eastAsia" w:ascii="宋体" w:hAnsi="宋体" w:eastAsia="宋体" w:cs="宋体"/>
          <w:b/>
          <w:color w:val="auto"/>
          <w:szCs w:val="21"/>
          <w:highlight w:val="none"/>
        </w:rPr>
        <w:t>政府采购合同融资政策告知函</w:t>
      </w:r>
    </w:p>
    <w:p w14:paraId="03E0E733">
      <w:pPr>
        <w:rPr>
          <w:rFonts w:hint="eastAsia" w:ascii="宋体" w:hAnsi="宋体" w:eastAsia="宋体" w:cs="宋体"/>
          <w:color w:val="auto"/>
          <w:szCs w:val="21"/>
          <w:highlight w:val="none"/>
        </w:rPr>
      </w:pPr>
    </w:p>
    <w:p w14:paraId="1D8C6F6D">
      <w:pPr>
        <w:spacing w:line="72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w:t>
      </w:r>
    </w:p>
    <w:p w14:paraId="29A8A252">
      <w:pPr>
        <w:spacing w:line="72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欢迎贵公司参与河南省</w:t>
      </w:r>
      <w:r>
        <w:rPr>
          <w:rFonts w:hint="eastAsia" w:ascii="宋体" w:hAnsi="宋体" w:eastAsia="宋体" w:cs="宋体"/>
          <w:color w:val="auto"/>
          <w:szCs w:val="21"/>
          <w:highlight w:val="none"/>
          <w:lang w:val="en-US" w:eastAsia="zh-CN"/>
        </w:rPr>
        <w:t>罗山县</w:t>
      </w:r>
      <w:r>
        <w:rPr>
          <w:rFonts w:hint="eastAsia" w:ascii="宋体" w:hAnsi="宋体" w:eastAsia="宋体" w:cs="宋体"/>
          <w:color w:val="auto"/>
          <w:szCs w:val="21"/>
          <w:highlight w:val="none"/>
        </w:rPr>
        <w:t>政府采购活动！</w:t>
      </w:r>
    </w:p>
    <w:p w14:paraId="38C83CFB">
      <w:pPr>
        <w:spacing w:line="72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E72448A">
      <w:pPr>
        <w:spacing w:line="72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贷款渠道和提供贷款的金融机构，可在河南省政府采购网“河南省政府采购合同融资平台”查询联系。政策解读网址：</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"http://www.hngp.gov.cn/henan/conte" </w:instrText>
      </w:r>
      <w:r>
        <w:rPr>
          <w:rFonts w:hint="eastAsia" w:ascii="宋体" w:hAnsi="宋体" w:eastAsia="宋体" w:cs="宋体"/>
          <w:color w:val="auto"/>
          <w:szCs w:val="21"/>
          <w:highlight w:val="none"/>
        </w:rPr>
        <w:fldChar w:fldCharType="separate"/>
      </w:r>
      <w:r>
        <w:rPr>
          <w:rStyle w:val="40"/>
          <w:rFonts w:hint="eastAsia" w:ascii="宋体" w:hAnsi="宋体" w:eastAsia="宋体" w:cs="宋体"/>
          <w:color w:val="auto"/>
          <w:szCs w:val="21"/>
          <w:highlight w:val="none"/>
        </w:rPr>
        <w:t>http://www.hngp.gov.cn/henan/conte</w:t>
      </w:r>
      <w:r>
        <w:rPr>
          <w:rFonts w:hint="eastAsia" w:ascii="宋体" w:hAnsi="宋体" w:eastAsia="宋体" w:cs="宋体"/>
          <w:color w:val="auto"/>
          <w:szCs w:val="21"/>
          <w:highlight w:val="none"/>
        </w:rPr>
        <w:fldChar w:fldCharType="end"/>
      </w:r>
    </w:p>
    <w:p w14:paraId="7E186CA8">
      <w:pPr>
        <w:spacing w:line="72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注：本项不需要放入响应文件中</w:t>
      </w:r>
    </w:p>
    <w:p w14:paraId="442322FC">
      <w:pPr>
        <w:pStyle w:val="56"/>
        <w:ind w:firstLine="0" w:firstLineChars="0"/>
        <w:rPr>
          <w:rFonts w:ascii="宋体" w:hAnsi="宋体" w:eastAsia="宋体" w:cs="宋体"/>
          <w:b/>
          <w:spacing w:val="-20"/>
          <w:sz w:val="44"/>
          <w:szCs w:val="44"/>
        </w:rPr>
      </w:pPr>
    </w:p>
    <w:sectPr>
      <w:headerReference r:id="rId9" w:type="first"/>
      <w:footerReference r:id="rId12" w:type="first"/>
      <w:headerReference r:id="rId7" w:type="default"/>
      <w:footerReference r:id="rId10" w:type="default"/>
      <w:headerReference r:id="rId8" w:type="even"/>
      <w:footerReference r:id="rId11"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2A37">
    <w:pPr>
      <w:pStyle w:val="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C29A">
    <w:pPr>
      <w:pStyle w:val="20"/>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39420" cy="152400"/>
              <wp:effectExtent l="0" t="0" r="0" b="0"/>
              <wp:wrapNone/>
              <wp:docPr id="860221163" name="Text Box 1041"/>
              <wp:cNvGraphicFramePr/>
              <a:graphic xmlns:a="http://schemas.openxmlformats.org/drawingml/2006/main">
                <a:graphicData uri="http://schemas.microsoft.com/office/word/2010/wordprocessingShape">
                  <wps:wsp>
                    <wps:cNvSpPr txBox="1">
                      <a:spLocks noChangeArrowheads="1"/>
                    </wps:cNvSpPr>
                    <wps:spPr bwMode="auto">
                      <a:xfrm>
                        <a:off x="0" y="0"/>
                        <a:ext cx="439420" cy="152400"/>
                      </a:xfrm>
                      <a:prstGeom prst="rect">
                        <a:avLst/>
                      </a:prstGeom>
                      <a:noFill/>
                      <a:ln>
                        <a:noFill/>
                      </a:ln>
                    </wps:spPr>
                    <wps:txbx>
                      <w:txbxContent>
                        <w:p w14:paraId="4B64752D">
                          <w:pPr>
                            <w:pStyle w:val="20"/>
                            <w:ind w:firstLine="360"/>
                          </w:pPr>
                          <w:r>
                            <w:fldChar w:fldCharType="begin"/>
                          </w:r>
                          <w:r>
                            <w:instrText xml:space="preserve"> PAGE  \* MERGEFORMAT </w:instrText>
                          </w:r>
                          <w:r>
                            <w:fldChar w:fldCharType="separate"/>
                          </w:r>
                          <w:r>
                            <w:t>49</w:t>
                          </w:r>
                          <w:r>
                            <w:fldChar w:fldCharType="end"/>
                          </w:r>
                        </w:p>
                      </w:txbxContent>
                    </wps:txbx>
                    <wps:bodyPr rot="0" vert="horz" wrap="square" lIns="0" tIns="0" rIns="0" bIns="0" anchor="t" anchorCtr="0" upright="1">
                      <a:spAutoFit/>
                    </wps:bodyPr>
                  </wps:wsp>
                </a:graphicData>
              </a:graphic>
            </wp:anchor>
          </w:drawing>
        </mc:Choice>
        <mc:Fallback>
          <w:pict>
            <v:shape id="Text Box 1041" o:spid="_x0000_s1026" o:spt="202" type="#_x0000_t202" style="position:absolute;left:0pt;margin-top:0pt;height:12pt;width:34.6pt;mso-position-horizontal:center;mso-position-horizontal-relative:margin;z-index:251660288;mso-width-relative:page;mso-height-relative:page;" filled="f" stroked="f" coordsize="21600,21600" o:gfxdata="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ZucQdEAAAADAQAADwAAAAAAAAABACAAAAAiAAAAZHJzL2Rvd25y&#10;ZXYueG1sUEsBAhQAFAAAAAgAh07iQFBq8a0FAgAADgQAAA4AAAAAAAAAAQAgAAAAIAEAAGRycy9l&#10;Mm9Eb2MueG1sUEsFBgAAAAAGAAYAWQEAAJcFAAAAAA==&#10;">
              <v:fill on="f" focussize="0,0"/>
              <v:stroke on="f"/>
              <v:imagedata o:title=""/>
              <o:lock v:ext="edit" aspectratio="f"/>
              <v:textbox inset="0mm,0mm,0mm,0mm" style="mso-fit-shape-to-text:t;">
                <w:txbxContent>
                  <w:p w14:paraId="4B64752D">
                    <w:pPr>
                      <w:pStyle w:val="20"/>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213C6FB2">
        <w:pPr>
          <w:pStyle w:val="20"/>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472D9497">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F5C37">
    <w:pPr>
      <w:pStyle w:val="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5E96">
    <w:pPr>
      <w:pStyle w:val="21"/>
      <w:pBdr>
        <w:bottom w:val="none" w:color="auto" w:sz="0" w:space="1"/>
      </w:pBdr>
      <w:bidi w:val="0"/>
      <w:ind w:left="0" w:leftChars="0" w:firstLine="0" w:firstLineChars="0"/>
      <w:jc w:val="left"/>
      <w:rPr>
        <w:rFonts w:hint="default"/>
        <w:b/>
        <w:bCs/>
        <w:sz w:val="24"/>
        <w:szCs w:val="24"/>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6722E">
    <w:pPr>
      <w:pStyle w:val="21"/>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D2DA">
    <w:pPr>
      <w:pStyle w:val="21"/>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F5624">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A8162"/>
    <w:multiLevelType w:val="singleLevel"/>
    <w:tmpl w:val="ACDA8162"/>
    <w:lvl w:ilvl="0" w:tentative="0">
      <w:start w:val="1"/>
      <w:numFmt w:val="decimal"/>
      <w:suff w:val="nothing"/>
      <w:lvlText w:val="%1、"/>
      <w:lvlJc w:val="left"/>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EDCA80A"/>
    <w:multiLevelType w:val="singleLevel"/>
    <w:tmpl w:val="DEDCA80A"/>
    <w:lvl w:ilvl="0" w:tentative="0">
      <w:start w:val="2"/>
      <w:numFmt w:val="chineseCounting"/>
      <w:suff w:val="nothing"/>
      <w:lvlText w:val="（%1）"/>
      <w:lvlJc w:val="left"/>
      <w:rPr>
        <w:rFonts w:hint="eastAsia"/>
      </w:rPr>
    </w:lvl>
  </w:abstractNum>
  <w:abstractNum w:abstractNumId="4">
    <w:nsid w:val="FFEFC674"/>
    <w:multiLevelType w:val="singleLevel"/>
    <w:tmpl w:val="FFEFC674"/>
    <w:lvl w:ilvl="0" w:tentative="0">
      <w:start w:val="1"/>
      <w:numFmt w:val="decimal"/>
      <w:suff w:val="nothing"/>
      <w:lvlText w:val="（%1）"/>
      <w:lvlJc w:val="left"/>
    </w:lvl>
  </w:abstractNum>
  <w:abstractNum w:abstractNumId="5">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0" w14:dist="0" w14:dir="0" w14:sx="0" w14:sy="0" w14:kx="0" w14:ky="0" w14:algn="none">
          <w14:srgbClr w14:val="000000"/>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06E359ED"/>
    <w:multiLevelType w:val="multilevel"/>
    <w:tmpl w:val="06E359E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4CBA64E"/>
    <w:multiLevelType w:val="singleLevel"/>
    <w:tmpl w:val="34CBA64E"/>
    <w:lvl w:ilvl="0" w:tentative="0">
      <w:start w:val="1"/>
      <w:numFmt w:val="chineseCounting"/>
      <w:suff w:val="space"/>
      <w:lvlText w:val="第%1节"/>
      <w:lvlJc w:val="left"/>
      <w:rPr>
        <w:rFonts w:hint="eastAsia"/>
      </w:rPr>
    </w:lvl>
  </w:abstractNum>
  <w:abstractNum w:abstractNumId="8">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9">
    <w:nsid w:val="62DF4E64"/>
    <w:multiLevelType w:val="multilevel"/>
    <w:tmpl w:val="62DF4E6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4A5DBB2"/>
    <w:multiLevelType w:val="singleLevel"/>
    <w:tmpl w:val="64A5DBB2"/>
    <w:lvl w:ilvl="0" w:tentative="0">
      <w:start w:val="1"/>
      <w:numFmt w:val="decimal"/>
      <w:suff w:val="space"/>
      <w:lvlText w:val="%1."/>
      <w:lvlJc w:val="left"/>
    </w:lvl>
  </w:abstractNum>
  <w:num w:numId="1">
    <w:abstractNumId w:val="5"/>
  </w:num>
  <w:num w:numId="2">
    <w:abstractNumId w:val="3"/>
  </w:num>
  <w:num w:numId="3">
    <w:abstractNumId w:val="10"/>
  </w:num>
  <w:num w:numId="4">
    <w:abstractNumId w:val="7"/>
  </w:num>
  <w:num w:numId="5">
    <w:abstractNumId w:val="2"/>
  </w:num>
  <w:num w:numId="6">
    <w:abstractNumId w:val="4"/>
  </w:num>
  <w:num w:numId="7">
    <w:abstractNumId w:val="6"/>
  </w:num>
  <w:num w:numId="8">
    <w:abstractNumId w:val="9"/>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wNTc5YWZkODk0ZjU4ZmRhMWMyNzZjMTcyZGZiZGMifQ=="/>
  </w:docVars>
  <w:rsids>
    <w:rsidRoot w:val="005F7F29"/>
    <w:rsid w:val="00007818"/>
    <w:rsid w:val="000207CE"/>
    <w:rsid w:val="00037C70"/>
    <w:rsid w:val="00070034"/>
    <w:rsid w:val="00090C3B"/>
    <w:rsid w:val="000B2138"/>
    <w:rsid w:val="000D4473"/>
    <w:rsid w:val="000E4995"/>
    <w:rsid w:val="000F4ABB"/>
    <w:rsid w:val="001012A7"/>
    <w:rsid w:val="00115114"/>
    <w:rsid w:val="00144E11"/>
    <w:rsid w:val="00146E8C"/>
    <w:rsid w:val="0015094F"/>
    <w:rsid w:val="00155351"/>
    <w:rsid w:val="00197FA8"/>
    <w:rsid w:val="001A1B7E"/>
    <w:rsid w:val="00207852"/>
    <w:rsid w:val="00216492"/>
    <w:rsid w:val="0027491C"/>
    <w:rsid w:val="00294A18"/>
    <w:rsid w:val="002A7BFE"/>
    <w:rsid w:val="002B047F"/>
    <w:rsid w:val="002C29D5"/>
    <w:rsid w:val="002F2062"/>
    <w:rsid w:val="00340787"/>
    <w:rsid w:val="0034188F"/>
    <w:rsid w:val="00344E47"/>
    <w:rsid w:val="003962CF"/>
    <w:rsid w:val="003A3624"/>
    <w:rsid w:val="003A567B"/>
    <w:rsid w:val="003B17DC"/>
    <w:rsid w:val="003B549C"/>
    <w:rsid w:val="003C0BFB"/>
    <w:rsid w:val="003C1D28"/>
    <w:rsid w:val="003D3D2F"/>
    <w:rsid w:val="003E631B"/>
    <w:rsid w:val="0048631C"/>
    <w:rsid w:val="00487EBB"/>
    <w:rsid w:val="0049496E"/>
    <w:rsid w:val="004B1EED"/>
    <w:rsid w:val="004E2611"/>
    <w:rsid w:val="004E318D"/>
    <w:rsid w:val="00506C08"/>
    <w:rsid w:val="005404E3"/>
    <w:rsid w:val="00557DFD"/>
    <w:rsid w:val="005873C2"/>
    <w:rsid w:val="005A2146"/>
    <w:rsid w:val="005C2551"/>
    <w:rsid w:val="005C6ADC"/>
    <w:rsid w:val="005E08D0"/>
    <w:rsid w:val="005F46D3"/>
    <w:rsid w:val="005F7F29"/>
    <w:rsid w:val="006B4F71"/>
    <w:rsid w:val="006C00FC"/>
    <w:rsid w:val="006C4BE3"/>
    <w:rsid w:val="006F735B"/>
    <w:rsid w:val="00700302"/>
    <w:rsid w:val="007306C8"/>
    <w:rsid w:val="00746EDC"/>
    <w:rsid w:val="007722FA"/>
    <w:rsid w:val="007B0927"/>
    <w:rsid w:val="007C5295"/>
    <w:rsid w:val="007F1BAB"/>
    <w:rsid w:val="008142D6"/>
    <w:rsid w:val="008D0A0C"/>
    <w:rsid w:val="008E4D0E"/>
    <w:rsid w:val="008F5DC8"/>
    <w:rsid w:val="008F6C18"/>
    <w:rsid w:val="00A11916"/>
    <w:rsid w:val="00A43156"/>
    <w:rsid w:val="00A57016"/>
    <w:rsid w:val="00A6528B"/>
    <w:rsid w:val="00B20DF2"/>
    <w:rsid w:val="00B24C30"/>
    <w:rsid w:val="00B3323C"/>
    <w:rsid w:val="00B83EE6"/>
    <w:rsid w:val="00BB2CC5"/>
    <w:rsid w:val="00BD1A50"/>
    <w:rsid w:val="00BD5AE6"/>
    <w:rsid w:val="00BF745E"/>
    <w:rsid w:val="00C142E8"/>
    <w:rsid w:val="00CB5A10"/>
    <w:rsid w:val="00CC248A"/>
    <w:rsid w:val="00CE5F5E"/>
    <w:rsid w:val="00CE759D"/>
    <w:rsid w:val="00CF58F9"/>
    <w:rsid w:val="00D0063A"/>
    <w:rsid w:val="00D139CD"/>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5679D0"/>
    <w:rsid w:val="01610122"/>
    <w:rsid w:val="01910A08"/>
    <w:rsid w:val="01D43121"/>
    <w:rsid w:val="01FB2793"/>
    <w:rsid w:val="02750329"/>
    <w:rsid w:val="02783976"/>
    <w:rsid w:val="02BE0A08"/>
    <w:rsid w:val="03303116"/>
    <w:rsid w:val="035017A2"/>
    <w:rsid w:val="03555A65"/>
    <w:rsid w:val="03627DF1"/>
    <w:rsid w:val="038A39B7"/>
    <w:rsid w:val="03B10EED"/>
    <w:rsid w:val="03D35138"/>
    <w:rsid w:val="041D053F"/>
    <w:rsid w:val="04246422"/>
    <w:rsid w:val="045A1585"/>
    <w:rsid w:val="04691D7B"/>
    <w:rsid w:val="04E715DC"/>
    <w:rsid w:val="052C61D4"/>
    <w:rsid w:val="05340028"/>
    <w:rsid w:val="05676E89"/>
    <w:rsid w:val="05CA273A"/>
    <w:rsid w:val="05ED01D7"/>
    <w:rsid w:val="05F17CC7"/>
    <w:rsid w:val="06092004"/>
    <w:rsid w:val="06426774"/>
    <w:rsid w:val="065B5A88"/>
    <w:rsid w:val="06654211"/>
    <w:rsid w:val="068A54ED"/>
    <w:rsid w:val="06A72A7B"/>
    <w:rsid w:val="06CA277E"/>
    <w:rsid w:val="06DF451E"/>
    <w:rsid w:val="074E68E3"/>
    <w:rsid w:val="07547B8E"/>
    <w:rsid w:val="075524D7"/>
    <w:rsid w:val="079F5DEC"/>
    <w:rsid w:val="0842480A"/>
    <w:rsid w:val="08943F23"/>
    <w:rsid w:val="08986B20"/>
    <w:rsid w:val="08FB2C0B"/>
    <w:rsid w:val="0920243A"/>
    <w:rsid w:val="09366A61"/>
    <w:rsid w:val="09AA6B0A"/>
    <w:rsid w:val="09B94F9F"/>
    <w:rsid w:val="09D41DD9"/>
    <w:rsid w:val="09E04896"/>
    <w:rsid w:val="0A157CFC"/>
    <w:rsid w:val="0A257920"/>
    <w:rsid w:val="0A8C6210"/>
    <w:rsid w:val="0A932B49"/>
    <w:rsid w:val="0A9B084E"/>
    <w:rsid w:val="0AE95411"/>
    <w:rsid w:val="0B043FF8"/>
    <w:rsid w:val="0B5331D2"/>
    <w:rsid w:val="0B6900CF"/>
    <w:rsid w:val="0B7079D4"/>
    <w:rsid w:val="0BE81B6C"/>
    <w:rsid w:val="0C3703FE"/>
    <w:rsid w:val="0CA27F6D"/>
    <w:rsid w:val="0D006A41"/>
    <w:rsid w:val="0D633294"/>
    <w:rsid w:val="0D6E60A1"/>
    <w:rsid w:val="0D7511DD"/>
    <w:rsid w:val="0DBE2B84"/>
    <w:rsid w:val="0E5B33B7"/>
    <w:rsid w:val="0E740E08"/>
    <w:rsid w:val="0EB6675E"/>
    <w:rsid w:val="0EE20AF5"/>
    <w:rsid w:val="0EEC54CF"/>
    <w:rsid w:val="0FC63F72"/>
    <w:rsid w:val="0FE4089C"/>
    <w:rsid w:val="10150A56"/>
    <w:rsid w:val="103D1288"/>
    <w:rsid w:val="104B4477"/>
    <w:rsid w:val="1096436D"/>
    <w:rsid w:val="10AC13BA"/>
    <w:rsid w:val="115E01DA"/>
    <w:rsid w:val="11B146B5"/>
    <w:rsid w:val="125A4E46"/>
    <w:rsid w:val="13141499"/>
    <w:rsid w:val="132D39FF"/>
    <w:rsid w:val="13953CC6"/>
    <w:rsid w:val="13CA424E"/>
    <w:rsid w:val="1426130E"/>
    <w:rsid w:val="148D1503"/>
    <w:rsid w:val="14A30806"/>
    <w:rsid w:val="14C03BFB"/>
    <w:rsid w:val="14F56B39"/>
    <w:rsid w:val="15207F84"/>
    <w:rsid w:val="15673B02"/>
    <w:rsid w:val="15775423"/>
    <w:rsid w:val="15963A31"/>
    <w:rsid w:val="15CC605B"/>
    <w:rsid w:val="160B6B83"/>
    <w:rsid w:val="16317A75"/>
    <w:rsid w:val="166B7ACC"/>
    <w:rsid w:val="174409AB"/>
    <w:rsid w:val="174D31CB"/>
    <w:rsid w:val="183A54FD"/>
    <w:rsid w:val="184049EC"/>
    <w:rsid w:val="184C5231"/>
    <w:rsid w:val="18892E95"/>
    <w:rsid w:val="18B01C50"/>
    <w:rsid w:val="18DE232D"/>
    <w:rsid w:val="191C10A7"/>
    <w:rsid w:val="199508EE"/>
    <w:rsid w:val="199C7AF2"/>
    <w:rsid w:val="19A90B8D"/>
    <w:rsid w:val="19C257AA"/>
    <w:rsid w:val="19C77265"/>
    <w:rsid w:val="19ED659F"/>
    <w:rsid w:val="19F966EA"/>
    <w:rsid w:val="1A5B79AD"/>
    <w:rsid w:val="1A620D3B"/>
    <w:rsid w:val="1A703458"/>
    <w:rsid w:val="1AA2382E"/>
    <w:rsid w:val="1AA2738A"/>
    <w:rsid w:val="1B39396A"/>
    <w:rsid w:val="1B8D1DE8"/>
    <w:rsid w:val="1BBB0703"/>
    <w:rsid w:val="1C883C6F"/>
    <w:rsid w:val="1CDE2AFB"/>
    <w:rsid w:val="1D7C13CA"/>
    <w:rsid w:val="1D8A7EF3"/>
    <w:rsid w:val="1F8654CC"/>
    <w:rsid w:val="20104D96"/>
    <w:rsid w:val="204D5FEA"/>
    <w:rsid w:val="206B4350"/>
    <w:rsid w:val="20EB5EB9"/>
    <w:rsid w:val="21076199"/>
    <w:rsid w:val="21823B1A"/>
    <w:rsid w:val="21CC0274"/>
    <w:rsid w:val="21D81A02"/>
    <w:rsid w:val="21FE759C"/>
    <w:rsid w:val="221A34A8"/>
    <w:rsid w:val="221F6070"/>
    <w:rsid w:val="222363F6"/>
    <w:rsid w:val="22904457"/>
    <w:rsid w:val="22E70B87"/>
    <w:rsid w:val="231F5A1C"/>
    <w:rsid w:val="23333275"/>
    <w:rsid w:val="237B0335"/>
    <w:rsid w:val="23A91789"/>
    <w:rsid w:val="23DB5305"/>
    <w:rsid w:val="241F68F2"/>
    <w:rsid w:val="24B34E27"/>
    <w:rsid w:val="24D26ABE"/>
    <w:rsid w:val="24F64D25"/>
    <w:rsid w:val="24FB7DC2"/>
    <w:rsid w:val="251175E6"/>
    <w:rsid w:val="254E083A"/>
    <w:rsid w:val="256C0CC0"/>
    <w:rsid w:val="25817846"/>
    <w:rsid w:val="25C65A51"/>
    <w:rsid w:val="261D1FBA"/>
    <w:rsid w:val="2636533A"/>
    <w:rsid w:val="265F0201"/>
    <w:rsid w:val="26DD1E76"/>
    <w:rsid w:val="26EF1618"/>
    <w:rsid w:val="26F23447"/>
    <w:rsid w:val="270E053D"/>
    <w:rsid w:val="27607E24"/>
    <w:rsid w:val="277125BE"/>
    <w:rsid w:val="27DC4546"/>
    <w:rsid w:val="27EE1E60"/>
    <w:rsid w:val="27F751B9"/>
    <w:rsid w:val="28456613"/>
    <w:rsid w:val="28461C9C"/>
    <w:rsid w:val="284E0B51"/>
    <w:rsid w:val="289B07D0"/>
    <w:rsid w:val="294207DB"/>
    <w:rsid w:val="297E036A"/>
    <w:rsid w:val="29960578"/>
    <w:rsid w:val="29EC23D0"/>
    <w:rsid w:val="2A04559B"/>
    <w:rsid w:val="2A133E00"/>
    <w:rsid w:val="2A264090"/>
    <w:rsid w:val="2A965577"/>
    <w:rsid w:val="2AAD6003"/>
    <w:rsid w:val="2AB90C99"/>
    <w:rsid w:val="2AC31382"/>
    <w:rsid w:val="2B471FB3"/>
    <w:rsid w:val="2B4F0E68"/>
    <w:rsid w:val="2B8A00F2"/>
    <w:rsid w:val="2CFD58D9"/>
    <w:rsid w:val="2D1759B5"/>
    <w:rsid w:val="2D8E640E"/>
    <w:rsid w:val="2EBA0CEE"/>
    <w:rsid w:val="2F633134"/>
    <w:rsid w:val="2F6D5D61"/>
    <w:rsid w:val="2F710BCC"/>
    <w:rsid w:val="2F7470EF"/>
    <w:rsid w:val="2F776BDF"/>
    <w:rsid w:val="2F7B222C"/>
    <w:rsid w:val="2FB256BE"/>
    <w:rsid w:val="2FE222AB"/>
    <w:rsid w:val="31055695"/>
    <w:rsid w:val="31266FA0"/>
    <w:rsid w:val="31397A57"/>
    <w:rsid w:val="3163566D"/>
    <w:rsid w:val="317A74AA"/>
    <w:rsid w:val="3186135C"/>
    <w:rsid w:val="31A41DB5"/>
    <w:rsid w:val="31BE0AF5"/>
    <w:rsid w:val="31E278F0"/>
    <w:rsid w:val="32764A7C"/>
    <w:rsid w:val="32955444"/>
    <w:rsid w:val="32A23ACC"/>
    <w:rsid w:val="32D12FC4"/>
    <w:rsid w:val="331309CD"/>
    <w:rsid w:val="33422219"/>
    <w:rsid w:val="339935C8"/>
    <w:rsid w:val="33F24A4C"/>
    <w:rsid w:val="35203BEE"/>
    <w:rsid w:val="353758FE"/>
    <w:rsid w:val="3571053A"/>
    <w:rsid w:val="35BC4B11"/>
    <w:rsid w:val="35BE7316"/>
    <w:rsid w:val="36147E72"/>
    <w:rsid w:val="364105D4"/>
    <w:rsid w:val="36453593"/>
    <w:rsid w:val="36E804B1"/>
    <w:rsid w:val="376E08C8"/>
    <w:rsid w:val="37BB320A"/>
    <w:rsid w:val="37C130EE"/>
    <w:rsid w:val="37E813AF"/>
    <w:rsid w:val="38DE1A7D"/>
    <w:rsid w:val="38EF77E6"/>
    <w:rsid w:val="393C086A"/>
    <w:rsid w:val="398E0DAD"/>
    <w:rsid w:val="39C80763"/>
    <w:rsid w:val="39F53C22"/>
    <w:rsid w:val="39F77406"/>
    <w:rsid w:val="3A190FBF"/>
    <w:rsid w:val="3A3000B7"/>
    <w:rsid w:val="3A4A73CA"/>
    <w:rsid w:val="3A5F6FFC"/>
    <w:rsid w:val="3A7601BF"/>
    <w:rsid w:val="3AC54CA3"/>
    <w:rsid w:val="3ACD1DA9"/>
    <w:rsid w:val="3AFD61EB"/>
    <w:rsid w:val="3B0532F1"/>
    <w:rsid w:val="3B7A1263"/>
    <w:rsid w:val="3BB6283D"/>
    <w:rsid w:val="3BC90451"/>
    <w:rsid w:val="3C6346EB"/>
    <w:rsid w:val="3C6A1712"/>
    <w:rsid w:val="3D393726"/>
    <w:rsid w:val="3D5D7415"/>
    <w:rsid w:val="3D654FA6"/>
    <w:rsid w:val="3D78424E"/>
    <w:rsid w:val="3D840E45"/>
    <w:rsid w:val="3DA36040"/>
    <w:rsid w:val="3DB17A70"/>
    <w:rsid w:val="3E157CEF"/>
    <w:rsid w:val="3E1B560E"/>
    <w:rsid w:val="3E1C2297"/>
    <w:rsid w:val="3E265A58"/>
    <w:rsid w:val="3E726EF0"/>
    <w:rsid w:val="3EE32283"/>
    <w:rsid w:val="3F5E1222"/>
    <w:rsid w:val="3F8C2233"/>
    <w:rsid w:val="3F9115F7"/>
    <w:rsid w:val="402C217F"/>
    <w:rsid w:val="406262D1"/>
    <w:rsid w:val="407E7DCE"/>
    <w:rsid w:val="408353E4"/>
    <w:rsid w:val="40FE4A6B"/>
    <w:rsid w:val="413C5593"/>
    <w:rsid w:val="413D380E"/>
    <w:rsid w:val="41523008"/>
    <w:rsid w:val="41CE369A"/>
    <w:rsid w:val="426E79CE"/>
    <w:rsid w:val="4281242F"/>
    <w:rsid w:val="42D72041"/>
    <w:rsid w:val="43A009B6"/>
    <w:rsid w:val="43AC4C52"/>
    <w:rsid w:val="43B14016"/>
    <w:rsid w:val="43B753A5"/>
    <w:rsid w:val="43D05124"/>
    <w:rsid w:val="446612A5"/>
    <w:rsid w:val="4486676E"/>
    <w:rsid w:val="44867251"/>
    <w:rsid w:val="449000D0"/>
    <w:rsid w:val="44E2484F"/>
    <w:rsid w:val="44FA379B"/>
    <w:rsid w:val="45243044"/>
    <w:rsid w:val="460567F2"/>
    <w:rsid w:val="46511AE0"/>
    <w:rsid w:val="468D09FE"/>
    <w:rsid w:val="46C4236C"/>
    <w:rsid w:val="46DD3374"/>
    <w:rsid w:val="47013507"/>
    <w:rsid w:val="470A0C21"/>
    <w:rsid w:val="47240FA3"/>
    <w:rsid w:val="47431429"/>
    <w:rsid w:val="47F72214"/>
    <w:rsid w:val="482E3EDE"/>
    <w:rsid w:val="48861F15"/>
    <w:rsid w:val="48A759E8"/>
    <w:rsid w:val="494A674B"/>
    <w:rsid w:val="497A560D"/>
    <w:rsid w:val="49930103"/>
    <w:rsid w:val="499D1F90"/>
    <w:rsid w:val="4A056E6A"/>
    <w:rsid w:val="4A233794"/>
    <w:rsid w:val="4A6C56A3"/>
    <w:rsid w:val="4A835FE1"/>
    <w:rsid w:val="4AD54A8E"/>
    <w:rsid w:val="4B06694B"/>
    <w:rsid w:val="4B1E3247"/>
    <w:rsid w:val="4B46598C"/>
    <w:rsid w:val="4B77411A"/>
    <w:rsid w:val="4B8E2E8F"/>
    <w:rsid w:val="4BDF36EB"/>
    <w:rsid w:val="4BEB6533"/>
    <w:rsid w:val="4C001FDF"/>
    <w:rsid w:val="4C4265BB"/>
    <w:rsid w:val="4C6836E0"/>
    <w:rsid w:val="4C746529"/>
    <w:rsid w:val="4C92075D"/>
    <w:rsid w:val="4C9A553A"/>
    <w:rsid w:val="4CBA2C20"/>
    <w:rsid w:val="4CBD1C7E"/>
    <w:rsid w:val="4D1756D7"/>
    <w:rsid w:val="4D294B06"/>
    <w:rsid w:val="4D92310A"/>
    <w:rsid w:val="4DD6155F"/>
    <w:rsid w:val="4DE1199C"/>
    <w:rsid w:val="4DE47862"/>
    <w:rsid w:val="4DF91468"/>
    <w:rsid w:val="4E10402F"/>
    <w:rsid w:val="4E125FF9"/>
    <w:rsid w:val="4E60700D"/>
    <w:rsid w:val="4E6879C7"/>
    <w:rsid w:val="4EB64BD7"/>
    <w:rsid w:val="4EE26A2D"/>
    <w:rsid w:val="4F495A4B"/>
    <w:rsid w:val="4F9E25EF"/>
    <w:rsid w:val="4FC60E49"/>
    <w:rsid w:val="4FF77255"/>
    <w:rsid w:val="500652B8"/>
    <w:rsid w:val="501C4C49"/>
    <w:rsid w:val="50C33A43"/>
    <w:rsid w:val="51383FC9"/>
    <w:rsid w:val="51656440"/>
    <w:rsid w:val="519D3E2C"/>
    <w:rsid w:val="51BF3DA2"/>
    <w:rsid w:val="51D140A4"/>
    <w:rsid w:val="5201085F"/>
    <w:rsid w:val="524D7AE6"/>
    <w:rsid w:val="52D65847"/>
    <w:rsid w:val="53004672"/>
    <w:rsid w:val="531E2D4A"/>
    <w:rsid w:val="533D01A8"/>
    <w:rsid w:val="53A544BD"/>
    <w:rsid w:val="53BF42FF"/>
    <w:rsid w:val="53E30ECE"/>
    <w:rsid w:val="53FB61BB"/>
    <w:rsid w:val="546442CC"/>
    <w:rsid w:val="54B0031A"/>
    <w:rsid w:val="54B03E76"/>
    <w:rsid w:val="54BE47E5"/>
    <w:rsid w:val="552D29FC"/>
    <w:rsid w:val="553F0929"/>
    <w:rsid w:val="5540344C"/>
    <w:rsid w:val="55744658"/>
    <w:rsid w:val="558A7637"/>
    <w:rsid w:val="55AC288F"/>
    <w:rsid w:val="55BE25C3"/>
    <w:rsid w:val="55CA0F67"/>
    <w:rsid w:val="55DE469A"/>
    <w:rsid w:val="55E859E8"/>
    <w:rsid w:val="561B7A15"/>
    <w:rsid w:val="564E7DEA"/>
    <w:rsid w:val="56D46542"/>
    <w:rsid w:val="575C5ED5"/>
    <w:rsid w:val="57825F9E"/>
    <w:rsid w:val="57DA59B5"/>
    <w:rsid w:val="5840354A"/>
    <w:rsid w:val="586631C9"/>
    <w:rsid w:val="58C15CEE"/>
    <w:rsid w:val="58DA7713"/>
    <w:rsid w:val="58F66846"/>
    <w:rsid w:val="59203E9B"/>
    <w:rsid w:val="59205A6E"/>
    <w:rsid w:val="59A0095D"/>
    <w:rsid w:val="59B3695A"/>
    <w:rsid w:val="5A5F4202"/>
    <w:rsid w:val="5A8570CB"/>
    <w:rsid w:val="5A867B53"/>
    <w:rsid w:val="5ABF3065"/>
    <w:rsid w:val="5AC84C04"/>
    <w:rsid w:val="5B5C6B06"/>
    <w:rsid w:val="5B6B183A"/>
    <w:rsid w:val="5B8F76D0"/>
    <w:rsid w:val="5BE014E5"/>
    <w:rsid w:val="5C643EC4"/>
    <w:rsid w:val="5C6D38AA"/>
    <w:rsid w:val="5CC81A75"/>
    <w:rsid w:val="5CD31049"/>
    <w:rsid w:val="5CFC5FEF"/>
    <w:rsid w:val="5D5E0913"/>
    <w:rsid w:val="5D635F29"/>
    <w:rsid w:val="5D820D5D"/>
    <w:rsid w:val="5D9A56C3"/>
    <w:rsid w:val="5E7F0A59"/>
    <w:rsid w:val="5F105200"/>
    <w:rsid w:val="5F1E2A64"/>
    <w:rsid w:val="5F325B27"/>
    <w:rsid w:val="5F3644B5"/>
    <w:rsid w:val="5F5C0E82"/>
    <w:rsid w:val="5FB52D33"/>
    <w:rsid w:val="5FCA6734"/>
    <w:rsid w:val="602C4A56"/>
    <w:rsid w:val="605B738C"/>
    <w:rsid w:val="606B6290"/>
    <w:rsid w:val="60765F74"/>
    <w:rsid w:val="6098238E"/>
    <w:rsid w:val="60A26D69"/>
    <w:rsid w:val="61261A91"/>
    <w:rsid w:val="616420B8"/>
    <w:rsid w:val="619C7408"/>
    <w:rsid w:val="61C96577"/>
    <w:rsid w:val="61FE0917"/>
    <w:rsid w:val="621023F8"/>
    <w:rsid w:val="62375AA1"/>
    <w:rsid w:val="62AD7C47"/>
    <w:rsid w:val="62DA4EE0"/>
    <w:rsid w:val="63A96660"/>
    <w:rsid w:val="63C5259B"/>
    <w:rsid w:val="64555BF0"/>
    <w:rsid w:val="650F6997"/>
    <w:rsid w:val="656E7B61"/>
    <w:rsid w:val="65817895"/>
    <w:rsid w:val="65E5075D"/>
    <w:rsid w:val="65FA450E"/>
    <w:rsid w:val="65FF2EBD"/>
    <w:rsid w:val="66012783"/>
    <w:rsid w:val="66401241"/>
    <w:rsid w:val="664310AC"/>
    <w:rsid w:val="667F4123"/>
    <w:rsid w:val="66B617C0"/>
    <w:rsid w:val="66BC3D6A"/>
    <w:rsid w:val="66D94689"/>
    <w:rsid w:val="66F45E44"/>
    <w:rsid w:val="670C211F"/>
    <w:rsid w:val="67386679"/>
    <w:rsid w:val="677133AF"/>
    <w:rsid w:val="67746F85"/>
    <w:rsid w:val="67DA3E79"/>
    <w:rsid w:val="683326BB"/>
    <w:rsid w:val="68A37B22"/>
    <w:rsid w:val="68CD2DF1"/>
    <w:rsid w:val="68E8706E"/>
    <w:rsid w:val="690F51B7"/>
    <w:rsid w:val="6990454A"/>
    <w:rsid w:val="699456BD"/>
    <w:rsid w:val="69AE5C87"/>
    <w:rsid w:val="69F83E9D"/>
    <w:rsid w:val="6B264A3A"/>
    <w:rsid w:val="6B272C8C"/>
    <w:rsid w:val="6B2D5D6A"/>
    <w:rsid w:val="6B431148"/>
    <w:rsid w:val="6C450EF0"/>
    <w:rsid w:val="6C4A1EAE"/>
    <w:rsid w:val="6C4C60CC"/>
    <w:rsid w:val="6C7672FB"/>
    <w:rsid w:val="6D0D5EB2"/>
    <w:rsid w:val="6D2A25C0"/>
    <w:rsid w:val="6D437B25"/>
    <w:rsid w:val="6D4F2026"/>
    <w:rsid w:val="6D605FE2"/>
    <w:rsid w:val="6D954FB7"/>
    <w:rsid w:val="6E056B89"/>
    <w:rsid w:val="6E3663FC"/>
    <w:rsid w:val="6E510020"/>
    <w:rsid w:val="6EEC1A58"/>
    <w:rsid w:val="6F9208F0"/>
    <w:rsid w:val="6FBD7CF3"/>
    <w:rsid w:val="707F3EC5"/>
    <w:rsid w:val="710B4301"/>
    <w:rsid w:val="711772FF"/>
    <w:rsid w:val="71453E6C"/>
    <w:rsid w:val="71A843FB"/>
    <w:rsid w:val="72A526E9"/>
    <w:rsid w:val="72AE2557"/>
    <w:rsid w:val="72B25F01"/>
    <w:rsid w:val="72CB03A1"/>
    <w:rsid w:val="72DD6345"/>
    <w:rsid w:val="734343DB"/>
    <w:rsid w:val="735E5441"/>
    <w:rsid w:val="73A6416D"/>
    <w:rsid w:val="73CD1EF7"/>
    <w:rsid w:val="73F90F3E"/>
    <w:rsid w:val="73FC3B5D"/>
    <w:rsid w:val="740B43FC"/>
    <w:rsid w:val="74554E1A"/>
    <w:rsid w:val="749B64FC"/>
    <w:rsid w:val="74B448CB"/>
    <w:rsid w:val="74F34CBF"/>
    <w:rsid w:val="75802AC1"/>
    <w:rsid w:val="758953D2"/>
    <w:rsid w:val="759C0E36"/>
    <w:rsid w:val="76380819"/>
    <w:rsid w:val="765863F0"/>
    <w:rsid w:val="76A2766B"/>
    <w:rsid w:val="76B92C06"/>
    <w:rsid w:val="76BD44A5"/>
    <w:rsid w:val="76F231C0"/>
    <w:rsid w:val="76FE3487"/>
    <w:rsid w:val="7702635B"/>
    <w:rsid w:val="7731279D"/>
    <w:rsid w:val="77370B62"/>
    <w:rsid w:val="77631821"/>
    <w:rsid w:val="776C7C79"/>
    <w:rsid w:val="7773713D"/>
    <w:rsid w:val="77A60EE7"/>
    <w:rsid w:val="77AE16A6"/>
    <w:rsid w:val="77C903B7"/>
    <w:rsid w:val="786F5C73"/>
    <w:rsid w:val="78970D25"/>
    <w:rsid w:val="78A70F68"/>
    <w:rsid w:val="78FF6FF6"/>
    <w:rsid w:val="799B65F3"/>
    <w:rsid w:val="79EE2BC7"/>
    <w:rsid w:val="7A044199"/>
    <w:rsid w:val="7A440A39"/>
    <w:rsid w:val="7A5E2EA2"/>
    <w:rsid w:val="7A664E53"/>
    <w:rsid w:val="7ACC00B3"/>
    <w:rsid w:val="7B064216"/>
    <w:rsid w:val="7B0E7B94"/>
    <w:rsid w:val="7B503B39"/>
    <w:rsid w:val="7B5829EE"/>
    <w:rsid w:val="7B71585E"/>
    <w:rsid w:val="7BDA3403"/>
    <w:rsid w:val="7C100811"/>
    <w:rsid w:val="7C6668FD"/>
    <w:rsid w:val="7C7F0171"/>
    <w:rsid w:val="7CCC5441"/>
    <w:rsid w:val="7D1B0177"/>
    <w:rsid w:val="7D575706"/>
    <w:rsid w:val="7D5E1E12"/>
    <w:rsid w:val="7D941096"/>
    <w:rsid w:val="7DBA10EA"/>
    <w:rsid w:val="7DF34C50"/>
    <w:rsid w:val="7E0557AD"/>
    <w:rsid w:val="7E9F0934"/>
    <w:rsid w:val="7F08472B"/>
    <w:rsid w:val="7F0C421B"/>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4"/>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spacing w:before="50" w:beforeLines="50" w:after="50" w:afterLines="50" w:line="560" w:lineRule="atLeast"/>
      <w:ind w:firstLine="480"/>
    </w:pPr>
    <w:rPr>
      <w:rFonts w:ascii="Tahoma" w:hAnsi="Tahoma"/>
      <w:sz w:val="28"/>
    </w:rPr>
  </w:style>
  <w:style w:type="paragraph" w:styleId="9">
    <w:name w:val="table of authorities"/>
    <w:basedOn w:val="1"/>
    <w:next w:val="1"/>
    <w:qFormat/>
    <w:uiPriority w:val="0"/>
    <w:pPr>
      <w:spacing w:line="240" w:lineRule="auto"/>
      <w:ind w:left="420" w:firstLine="0"/>
    </w:pPr>
    <w:rPr>
      <w:rFonts w:ascii="Calibri" w:eastAsia="宋体"/>
    </w:rPr>
  </w:style>
  <w:style w:type="paragraph" w:styleId="10">
    <w:name w:val="index 8"/>
    <w:basedOn w:val="1"/>
    <w:next w:val="1"/>
    <w:unhideWhenUsed/>
    <w:qFormat/>
    <w:uiPriority w:val="99"/>
    <w:pPr>
      <w:ind w:left="1400" w:leftChars="1400"/>
    </w:pPr>
  </w:style>
  <w:style w:type="paragraph" w:styleId="11">
    <w:name w:val="Normal Indent"/>
    <w:basedOn w:val="1"/>
    <w:qFormat/>
    <w:uiPriority w:val="0"/>
    <w:pPr>
      <w:ind w:firstLine="420"/>
    </w:pPr>
  </w:style>
  <w:style w:type="paragraph" w:styleId="12">
    <w:name w:val="annotation text"/>
    <w:basedOn w:val="1"/>
    <w:qFormat/>
    <w:uiPriority w:val="99"/>
    <w:pPr>
      <w:jc w:val="left"/>
    </w:pPr>
  </w:style>
  <w:style w:type="paragraph" w:styleId="13">
    <w:name w:val="Body Text 3"/>
    <w:basedOn w:val="1"/>
    <w:qFormat/>
    <w:uiPriority w:val="0"/>
    <w:rPr>
      <w:rFonts w:hAnsi="Times New Roman"/>
      <w:kern w:val="0"/>
      <w:sz w:val="24"/>
      <w:szCs w:val="20"/>
    </w:rPr>
  </w:style>
  <w:style w:type="paragraph" w:styleId="14">
    <w:name w:val="Body Text"/>
    <w:basedOn w:val="1"/>
    <w:qFormat/>
    <w:uiPriority w:val="0"/>
  </w:style>
  <w:style w:type="paragraph" w:styleId="15">
    <w:name w:val="Body Text Indent"/>
    <w:basedOn w:val="1"/>
    <w:next w:val="16"/>
    <w:qFormat/>
    <w:uiPriority w:val="0"/>
    <w:pPr>
      <w:spacing w:line="312" w:lineRule="auto"/>
      <w:ind w:firstLine="735" w:firstLineChars="245"/>
    </w:pPr>
  </w:style>
  <w:style w:type="paragraph" w:styleId="16">
    <w:name w:val="envelope return"/>
    <w:basedOn w:val="1"/>
    <w:unhideWhenUsed/>
    <w:qFormat/>
    <w:uiPriority w:val="99"/>
    <w:pPr>
      <w:snapToGrid w:val="0"/>
    </w:pPr>
    <w:rPr>
      <w:rFonts w:ascii="Arial" w:hAnsi="Arial"/>
    </w:rPr>
  </w:style>
  <w:style w:type="paragraph" w:styleId="17">
    <w:name w:val="List 2"/>
    <w:basedOn w:val="1"/>
    <w:qFormat/>
    <w:uiPriority w:val="0"/>
    <w:pPr>
      <w:ind w:left="100" w:leftChars="200" w:hanging="200" w:hangingChars="200"/>
    </w:pPr>
    <w:rPr>
      <w:szCs w:val="24"/>
    </w:rPr>
  </w:style>
  <w:style w:type="paragraph" w:styleId="18">
    <w:name w:val="toc 3"/>
    <w:basedOn w:val="1"/>
    <w:next w:val="1"/>
    <w:semiHidden/>
    <w:unhideWhenUsed/>
    <w:qFormat/>
    <w:uiPriority w:val="39"/>
    <w:pPr>
      <w:ind w:left="840" w:leftChars="400"/>
    </w:pPr>
  </w:style>
  <w:style w:type="paragraph" w:styleId="19">
    <w:name w:val="Date"/>
    <w:basedOn w:val="1"/>
    <w:next w:val="1"/>
    <w:qFormat/>
    <w:uiPriority w:val="0"/>
    <w:rPr>
      <w:rFonts w:ascii="楷体_GB2312" w:hAnsi="楷体_GB2312"/>
      <w:kern w:val="0"/>
      <w:sz w:val="24"/>
      <w:szCs w:val="20"/>
    </w:rPr>
  </w:style>
  <w:style w:type="paragraph" w:styleId="20">
    <w:name w:val="footer"/>
    <w:basedOn w:val="1"/>
    <w:next w:val="1"/>
    <w:link w:val="59"/>
    <w:unhideWhenUsed/>
    <w:qFormat/>
    <w:uiPriority w:val="99"/>
    <w:pPr>
      <w:tabs>
        <w:tab w:val="center" w:pos="4153"/>
        <w:tab w:val="right" w:pos="8306"/>
      </w:tabs>
      <w:snapToGrid w:val="0"/>
      <w:spacing w:line="240" w:lineRule="atLeast"/>
      <w:jc w:val="left"/>
    </w:pPr>
    <w:rPr>
      <w:sz w:val="18"/>
      <w:szCs w:val="18"/>
    </w:rPr>
  </w:style>
  <w:style w:type="paragraph" w:styleId="21">
    <w:name w:val="header"/>
    <w:basedOn w:val="1"/>
    <w:link w:val="58"/>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2">
    <w:name w:val="toc 1"/>
    <w:basedOn w:val="1"/>
    <w:next w:val="1"/>
    <w:qFormat/>
    <w:uiPriority w:val="39"/>
  </w:style>
  <w:style w:type="paragraph" w:styleId="23">
    <w:name w:val="footnote text"/>
    <w:basedOn w:val="1"/>
    <w:qFormat/>
    <w:uiPriority w:val="0"/>
    <w:pPr>
      <w:snapToGrid w:val="0"/>
      <w:jc w:val="left"/>
    </w:pPr>
    <w:rPr>
      <w:sz w:val="18"/>
      <w:szCs w:val="18"/>
    </w:rPr>
  </w:style>
  <w:style w:type="paragraph" w:styleId="24">
    <w:name w:val="toc 2"/>
    <w:basedOn w:val="1"/>
    <w:next w:val="1"/>
    <w:qFormat/>
    <w:uiPriority w:val="39"/>
    <w:pPr>
      <w:widowControl/>
      <w:spacing w:line="276" w:lineRule="auto"/>
      <w:ind w:left="220"/>
      <w:jc w:val="left"/>
    </w:pPr>
    <w:rPr>
      <w:rFonts w:ascii="Calibri" w:hAnsi="Calibri"/>
      <w:kern w:val="0"/>
      <w:sz w:val="22"/>
    </w:rPr>
  </w:style>
  <w:style w:type="paragraph" w:styleId="25">
    <w:name w:val="Body Text 2"/>
    <w:basedOn w:val="1"/>
    <w:next w:val="14"/>
    <w:qFormat/>
    <w:uiPriority w:val="0"/>
    <w:pPr>
      <w:spacing w:line="480" w:lineRule="auto"/>
    </w:pPr>
  </w:style>
  <w:style w:type="paragraph" w:styleId="26">
    <w:name w:val="Normal (Web)"/>
    <w:basedOn w:val="1"/>
    <w:qFormat/>
    <w:uiPriority w:val="0"/>
    <w:pPr>
      <w:widowControl/>
      <w:spacing w:beforeAutospacing="1" w:afterAutospacing="1"/>
      <w:jc w:val="left"/>
    </w:pPr>
    <w:rPr>
      <w:rFonts w:ascii="宋体" w:hAnsi="宋体" w:cs="宋体"/>
      <w:kern w:val="0"/>
      <w:sz w:val="24"/>
      <w:szCs w:val="24"/>
    </w:rPr>
  </w:style>
  <w:style w:type="paragraph" w:styleId="27">
    <w:name w:val="Title"/>
    <w:basedOn w:val="1"/>
    <w:next w:val="1"/>
    <w:qFormat/>
    <w:uiPriority w:val="0"/>
    <w:pPr>
      <w:jc w:val="center"/>
      <w:outlineLvl w:val="0"/>
    </w:pPr>
    <w:rPr>
      <w:rFonts w:ascii="Cambria" w:hAnsi="Cambria"/>
      <w:b/>
      <w:bCs/>
      <w:sz w:val="32"/>
      <w:szCs w:val="32"/>
    </w:rPr>
  </w:style>
  <w:style w:type="paragraph" w:styleId="28">
    <w:name w:val="Body Text First Indent"/>
    <w:basedOn w:val="14"/>
    <w:next w:val="1"/>
    <w:qFormat/>
    <w:uiPriority w:val="0"/>
    <w:pPr>
      <w:ind w:firstLine="420" w:firstLineChars="100"/>
    </w:pPr>
  </w:style>
  <w:style w:type="paragraph" w:styleId="29">
    <w:name w:val="Body Text First Indent 2"/>
    <w:basedOn w:val="15"/>
    <w:next w:val="1"/>
    <w:qFormat/>
    <w:uiPriority w:val="0"/>
    <w:pPr>
      <w:spacing w:line="240" w:lineRule="auto"/>
      <w:ind w:left="420" w:leftChars="200" w:firstLine="420" w:firstLineChars="200"/>
    </w:pPr>
  </w:style>
  <w:style w:type="table" w:styleId="31">
    <w:name w:val="Table Grid"/>
    <w:basedOn w:val="3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33">
    <w:name w:val="Strong"/>
    <w:basedOn w:val="32"/>
    <w:qFormat/>
    <w:uiPriority w:val="22"/>
    <w:rPr>
      <w:b/>
    </w:rPr>
  </w:style>
  <w:style w:type="character" w:styleId="34">
    <w:name w:val="page number"/>
    <w:basedOn w:val="32"/>
    <w:qFormat/>
    <w:uiPriority w:val="0"/>
  </w:style>
  <w:style w:type="character" w:styleId="35">
    <w:name w:val="FollowedHyperlink"/>
    <w:basedOn w:val="32"/>
    <w:semiHidden/>
    <w:unhideWhenUsed/>
    <w:qFormat/>
    <w:uiPriority w:val="99"/>
    <w:rPr>
      <w:color w:val="800080"/>
      <w:u w:val="none"/>
    </w:rPr>
  </w:style>
  <w:style w:type="character" w:styleId="36">
    <w:name w:val="HTML Definition"/>
    <w:basedOn w:val="32"/>
    <w:semiHidden/>
    <w:unhideWhenUsed/>
    <w:qFormat/>
    <w:uiPriority w:val="99"/>
  </w:style>
  <w:style w:type="character" w:styleId="37">
    <w:name w:val="HTML Typewriter"/>
    <w:basedOn w:val="32"/>
    <w:semiHidden/>
    <w:unhideWhenUsed/>
    <w:qFormat/>
    <w:uiPriority w:val="99"/>
    <w:rPr>
      <w:rFonts w:hint="default" w:ascii="monospace" w:hAnsi="monospace" w:eastAsia="monospace" w:cs="monospace"/>
      <w:sz w:val="20"/>
    </w:rPr>
  </w:style>
  <w:style w:type="character" w:styleId="38">
    <w:name w:val="HTML Acronym"/>
    <w:basedOn w:val="32"/>
    <w:semiHidden/>
    <w:unhideWhenUsed/>
    <w:qFormat/>
    <w:uiPriority w:val="99"/>
  </w:style>
  <w:style w:type="character" w:styleId="39">
    <w:name w:val="HTML Variable"/>
    <w:basedOn w:val="32"/>
    <w:semiHidden/>
    <w:unhideWhenUsed/>
    <w:qFormat/>
    <w:uiPriority w:val="99"/>
  </w:style>
  <w:style w:type="character" w:styleId="40">
    <w:name w:val="Hyperlink"/>
    <w:basedOn w:val="32"/>
    <w:semiHidden/>
    <w:unhideWhenUsed/>
    <w:qFormat/>
    <w:uiPriority w:val="99"/>
    <w:rPr>
      <w:color w:val="0000FF"/>
      <w:u w:val="none"/>
    </w:rPr>
  </w:style>
  <w:style w:type="character" w:styleId="41">
    <w:name w:val="HTML Code"/>
    <w:basedOn w:val="32"/>
    <w:semiHidden/>
    <w:unhideWhenUsed/>
    <w:qFormat/>
    <w:uiPriority w:val="99"/>
    <w:rPr>
      <w:rFonts w:hint="default" w:ascii="monospace" w:hAnsi="monospace" w:eastAsia="monospace" w:cs="monospace"/>
      <w:sz w:val="20"/>
    </w:rPr>
  </w:style>
  <w:style w:type="character" w:styleId="42">
    <w:name w:val="HTML Cite"/>
    <w:basedOn w:val="32"/>
    <w:semiHidden/>
    <w:unhideWhenUsed/>
    <w:qFormat/>
    <w:uiPriority w:val="99"/>
  </w:style>
  <w:style w:type="character" w:styleId="43">
    <w:name w:val="HTML Keyboard"/>
    <w:basedOn w:val="32"/>
    <w:semiHidden/>
    <w:unhideWhenUsed/>
    <w:qFormat/>
    <w:uiPriority w:val="99"/>
    <w:rPr>
      <w:rFonts w:ascii="monospace" w:hAnsi="monospace" w:eastAsia="monospace" w:cs="monospace"/>
      <w:sz w:val="20"/>
    </w:rPr>
  </w:style>
  <w:style w:type="character" w:styleId="44">
    <w:name w:val="HTML Sample"/>
    <w:basedOn w:val="32"/>
    <w:semiHidden/>
    <w:unhideWhenUsed/>
    <w:qFormat/>
    <w:uiPriority w:val="99"/>
    <w:rPr>
      <w:rFonts w:hint="default" w:ascii="monospace" w:hAnsi="monospace" w:eastAsia="monospace" w:cs="monospace"/>
    </w:rPr>
  </w:style>
  <w:style w:type="paragraph" w:customStyle="1" w:styleId="45">
    <w:name w:val="style4"/>
    <w:basedOn w:val="46"/>
    <w:next w:val="48"/>
    <w:qFormat/>
    <w:uiPriority w:val="0"/>
    <w:pPr>
      <w:widowControl/>
      <w:spacing w:beforeAutospacing="1" w:afterAutospacing="1"/>
      <w:jc w:val="left"/>
    </w:pPr>
    <w:rPr>
      <w:rFonts w:ascii="宋体" w:hAnsi="宋体" w:cs="宋体"/>
      <w:kern w:val="0"/>
      <w:sz w:val="18"/>
      <w:szCs w:val="18"/>
    </w:rPr>
  </w:style>
  <w:style w:type="paragraph" w:customStyle="1" w:styleId="46">
    <w:name w:val="Normal"/>
    <w:next w:val="47"/>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47">
    <w:name w:val="Body Text"/>
    <w:basedOn w:val="46"/>
    <w:next w:val="45"/>
    <w:qFormat/>
    <w:uiPriority w:val="0"/>
    <w:pPr>
      <w:spacing w:after="120"/>
    </w:pPr>
    <w:rPr>
      <w:kern w:val="0"/>
      <w:sz w:val="20"/>
      <w:szCs w:val="20"/>
    </w:rPr>
  </w:style>
  <w:style w:type="paragraph" w:customStyle="1" w:styleId="48">
    <w:name w:val="2"/>
    <w:basedOn w:val="15"/>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49">
    <w:name w:val="样式 正文首行缩进 2 + Arial"/>
    <w:basedOn w:val="1"/>
    <w:next w:val="1"/>
    <w:qFormat/>
    <w:uiPriority w:val="0"/>
    <w:pPr>
      <w:spacing w:after="120" w:line="320" w:lineRule="atLeast"/>
    </w:pPr>
    <w:rPr>
      <w:rFonts w:ascii="Arial" w:hAnsi="Arial"/>
      <w:kern w:val="0"/>
    </w:rPr>
  </w:style>
  <w:style w:type="paragraph" w:customStyle="1" w:styleId="50">
    <w:name w:val="正文1"/>
    <w:next w:val="51"/>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51">
    <w:name w:val="正文文本1"/>
    <w:basedOn w:val="50"/>
    <w:next w:val="45"/>
    <w:qFormat/>
    <w:uiPriority w:val="0"/>
    <w:pPr>
      <w:spacing w:after="120"/>
    </w:pPr>
    <w:rPr>
      <w:kern w:val="0"/>
      <w:sz w:val="20"/>
    </w:rPr>
  </w:style>
  <w:style w:type="paragraph" w:customStyle="1" w:styleId="5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3">
    <w:name w:val="表格文字"/>
    <w:basedOn w:val="1"/>
    <w:next w:val="14"/>
    <w:qFormat/>
    <w:uiPriority w:val="0"/>
    <w:pPr>
      <w:wordWrap w:val="0"/>
      <w:ind w:firstLine="0" w:firstLineChars="0"/>
    </w:pPr>
    <w:rPr>
      <w:sz w:val="18"/>
    </w:rPr>
  </w:style>
  <w:style w:type="paragraph" w:customStyle="1" w:styleId="5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5">
    <w:name w:val="正文_0"/>
    <w:next w:val="5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
    <w:name w:val="无间隔1"/>
    <w:basedOn w:val="55"/>
    <w:qFormat/>
    <w:uiPriority w:val="1"/>
    <w:pPr>
      <w:spacing w:line="400" w:lineRule="exact"/>
    </w:pPr>
  </w:style>
  <w:style w:type="table" w:customStyle="1" w:styleId="57">
    <w:name w:val="浅色底纹1"/>
    <w:basedOn w:val="30"/>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8">
    <w:name w:val="页眉 字符"/>
    <w:basedOn w:val="32"/>
    <w:link w:val="21"/>
    <w:semiHidden/>
    <w:qFormat/>
    <w:uiPriority w:val="99"/>
    <w:rPr>
      <w:kern w:val="2"/>
      <w:sz w:val="18"/>
      <w:szCs w:val="18"/>
    </w:rPr>
  </w:style>
  <w:style w:type="character" w:customStyle="1" w:styleId="59">
    <w:name w:val="页脚 字符"/>
    <w:basedOn w:val="32"/>
    <w:link w:val="20"/>
    <w:qFormat/>
    <w:uiPriority w:val="99"/>
    <w:rPr>
      <w:kern w:val="2"/>
      <w:sz w:val="18"/>
      <w:szCs w:val="18"/>
    </w:rPr>
  </w:style>
  <w:style w:type="paragraph" w:customStyle="1" w:styleId="60">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61">
    <w:name w:val="WPSOffice手动目录 1"/>
    <w:qFormat/>
    <w:uiPriority w:val="0"/>
    <w:rPr>
      <w:rFonts w:ascii="Times New Roman" w:hAnsi="Times New Roman" w:eastAsia="宋体" w:cs="Times New Roman"/>
      <w:lang w:val="en-US" w:eastAsia="zh-CN" w:bidi="ar-SA"/>
    </w:rPr>
  </w:style>
  <w:style w:type="paragraph" w:styleId="62">
    <w:name w:val="List Paragraph"/>
    <w:basedOn w:val="1"/>
    <w:qFormat/>
    <w:uiPriority w:val="0"/>
    <w:pPr>
      <w:ind w:firstLine="420"/>
    </w:pPr>
    <w:rPr>
      <w:szCs w:val="24"/>
    </w:rPr>
  </w:style>
  <w:style w:type="paragraph" w:customStyle="1" w:styleId="63">
    <w:name w:val="招标正文"/>
    <w:basedOn w:val="1"/>
    <w:qFormat/>
    <w:uiPriority w:val="0"/>
    <w:pPr>
      <w:spacing w:line="360" w:lineRule="auto"/>
      <w:ind w:firstLine="480"/>
    </w:pPr>
    <w:rPr>
      <w:rFonts w:ascii="宋体" w:hAnsi="宋体"/>
      <w:sz w:val="24"/>
      <w:szCs w:val="24"/>
    </w:rPr>
  </w:style>
  <w:style w:type="paragraph" w:customStyle="1" w:styleId="64">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5">
    <w:name w:val="BodyText1I2"/>
    <w:basedOn w:val="66"/>
    <w:next w:val="67"/>
    <w:qFormat/>
    <w:uiPriority w:val="0"/>
    <w:pPr>
      <w:ind w:firstLine="420"/>
    </w:pPr>
    <w:rPr>
      <w:rFonts w:ascii="Calibri" w:hAnsi="Calibri" w:eastAsia="楷体_GB2312"/>
      <w:kern w:val="44"/>
      <w:sz w:val="44"/>
    </w:rPr>
  </w:style>
  <w:style w:type="paragraph" w:customStyle="1" w:styleId="66">
    <w:name w:val="BodyTextIndent"/>
    <w:basedOn w:val="1"/>
    <w:qFormat/>
    <w:uiPriority w:val="0"/>
    <w:pPr>
      <w:spacing w:after="120"/>
      <w:ind w:left="420" w:leftChars="200"/>
    </w:pPr>
    <w:rPr>
      <w:rFonts w:ascii="Times New Roman" w:hAnsi="Times New Roman"/>
      <w:kern w:val="0"/>
      <w:sz w:val="20"/>
    </w:rPr>
  </w:style>
  <w:style w:type="paragraph" w:customStyle="1" w:styleId="67">
    <w:name w:val="UserStyle_136"/>
    <w:basedOn w:val="1"/>
    <w:next w:val="1"/>
    <w:qFormat/>
    <w:uiPriority w:val="0"/>
    <w:pPr>
      <w:spacing w:after="120" w:line="320" w:lineRule="atLeast"/>
    </w:pPr>
    <w:rPr>
      <w:rFonts w:ascii="Arial" w:hAnsi="Arial"/>
      <w:kern w:val="0"/>
    </w:rPr>
  </w:style>
  <w:style w:type="paragraph" w:customStyle="1" w:styleId="68">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9">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71">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2">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73">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74">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5">
    <w:name w:val="TOC 标题1"/>
    <w:basedOn w:val="2"/>
    <w:next w:val="1"/>
    <w:qFormat/>
    <w:uiPriority w:val="99"/>
    <w:pPr>
      <w:outlineLvl w:val="9"/>
    </w:pPr>
    <w:rPr>
      <w:rFonts w:ascii="Calibri" w:hAnsi="Calibri"/>
    </w:rPr>
  </w:style>
  <w:style w:type="paragraph" w:customStyle="1" w:styleId="76">
    <w:name w:val="Table Text"/>
    <w:basedOn w:val="1"/>
    <w:semiHidden/>
    <w:qFormat/>
    <w:uiPriority w:val="0"/>
    <w:rPr>
      <w:rFonts w:ascii="微软雅黑" w:hAnsi="微软雅黑" w:eastAsia="微软雅黑" w:cs="微软雅黑"/>
      <w:sz w:val="20"/>
      <w:szCs w:val="20"/>
      <w:lang w:eastAsia="en-US"/>
    </w:rPr>
  </w:style>
  <w:style w:type="table" w:customStyle="1" w:styleId="77">
    <w:name w:val="Table Normal"/>
    <w:semiHidden/>
    <w:unhideWhenUsed/>
    <w:qFormat/>
    <w:uiPriority w:val="0"/>
    <w:tblPr>
      <w:tblCellMar>
        <w:top w:w="0" w:type="dxa"/>
        <w:left w:w="0" w:type="dxa"/>
        <w:bottom w:w="0" w:type="dxa"/>
        <w:right w:w="0" w:type="dxa"/>
      </w:tblCellMar>
    </w:tblPr>
  </w:style>
  <w:style w:type="paragraph" w:customStyle="1" w:styleId="78">
    <w:name w:val="p0"/>
    <w:basedOn w:val="1"/>
    <w:qFormat/>
    <w:uiPriority w:val="0"/>
    <w:pPr>
      <w:widowControl/>
    </w:pPr>
    <w:rPr>
      <w:kern w:val="0"/>
      <w:sz w:val="21"/>
      <w:szCs w:val="21"/>
    </w:rPr>
  </w:style>
  <w:style w:type="paragraph" w:customStyle="1" w:styleId="79">
    <w:name w:val="列表段落1"/>
    <w:basedOn w:val="1"/>
    <w:qFormat/>
    <w:uiPriority w:val="34"/>
    <w:pPr>
      <w:ind w:firstLine="420" w:firstLineChars="200"/>
    </w:pPr>
    <w:rPr>
      <w:rFonts w:ascii="等线" w:hAnsi="等线" w:eastAsia="宋体" w:cs="Times New Roman"/>
    </w:rPr>
  </w:style>
  <w:style w:type="paragraph" w:customStyle="1" w:styleId="80">
    <w:name w:val="List Paragraph1"/>
    <w:basedOn w:val="1"/>
    <w:qFormat/>
    <w:uiPriority w:val="0"/>
    <w:pPr>
      <w:ind w:firstLine="420" w:firstLineChars="200"/>
    </w:pPr>
    <w:rPr>
      <w:rFonts w:ascii="Calibri" w:hAnsi="Calibri" w:eastAsia="宋体" w:cs="Times New Roman"/>
    </w:rPr>
  </w:style>
  <w:style w:type="paragraph" w:customStyle="1" w:styleId="81">
    <w:name w:val="Char Char10 Char Char Char Char"/>
    <w:basedOn w:val="1"/>
    <w:next w:val="82"/>
    <w:qFormat/>
    <w:uiPriority w:val="99"/>
  </w:style>
  <w:style w:type="paragraph" w:customStyle="1" w:styleId="82">
    <w:name w:val="xl87"/>
    <w:basedOn w:val="1"/>
    <w:next w:val="83"/>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000000"/>
      <w:kern w:val="0"/>
      <w:sz w:val="22"/>
    </w:rPr>
  </w:style>
  <w:style w:type="paragraph" w:customStyle="1" w:styleId="83">
    <w:name w:val="xl72"/>
    <w:basedOn w:val="1"/>
    <w:next w:val="19"/>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color w:val="000000"/>
      <w:kern w:val="0"/>
      <w:sz w:val="24"/>
      <w:szCs w:val="24"/>
    </w:rPr>
  </w:style>
  <w:style w:type="character" w:customStyle="1" w:styleId="84">
    <w:name w:val="标题 1 Char"/>
    <w:link w:val="2"/>
    <w:qFormat/>
    <w:uiPriority w:val="0"/>
    <w:rPr>
      <w:b/>
      <w:bCs/>
      <w:color w:val="000000"/>
      <w:sz w:val="32"/>
    </w:rPr>
  </w:style>
  <w:style w:type="paragraph" w:customStyle="1" w:styleId="85">
    <w:name w:val="纯文本1"/>
    <w:basedOn w:val="1"/>
    <w:qFormat/>
    <w:uiPriority w:val="99"/>
    <w:pPr>
      <w:spacing w:line="240" w:lineRule="auto"/>
      <w:ind w:firstLine="0" w:firstLineChars="0"/>
    </w:pPr>
    <w:rPr>
      <w:rFonts w:ascii="宋体" w:hAnsi="Courier New"/>
      <w:szCs w:val="21"/>
    </w:rPr>
  </w:style>
  <w:style w:type="paragraph" w:customStyle="1" w:styleId="8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7">
    <w:name w:val="列出段落1"/>
    <w:qFormat/>
    <w:uiPriority w:val="0"/>
    <w:pPr>
      <w:widowControl w:val="0"/>
      <w:suppressAutoHyphens/>
      <w:spacing w:after="200" w:line="276" w:lineRule="auto"/>
      <w:ind w:left="720"/>
    </w:pPr>
    <w:rPr>
      <w:rFonts w:ascii="Times New Roman" w:hAnsi="Times New Roman" w:eastAsia="宋体" w:cs="Times New Roman"/>
      <w:kern w:val="1"/>
      <w:sz w:val="22"/>
      <w:szCs w:val="22"/>
      <w:lang w:val="en-US" w:eastAsia="ar-SA"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262194-3374-4AEB-8008-6272CCE9ECF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59</Pages>
  <Words>3802</Words>
  <Characters>4155</Characters>
  <Lines>234</Lines>
  <Paragraphs>65</Paragraphs>
  <TotalTime>84</TotalTime>
  <ScaleCrop>false</ScaleCrop>
  <LinksUpToDate>false</LinksUpToDate>
  <CharactersWithSpaces>4227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2023-08-21T14:09:00Z</dcterms:created>
  <dc:creator>wxk</dc:creator>
  <cp:lastModifiedBy>Administrator</cp:lastModifiedBy>
  <cp:lastPrinted>2026-06-29T08:58:00Z</cp:lastPrinted>
  <dcterms:modified xsi:type="dcterms:W3CDTF">2026-07-06T01:46:07Z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9446457A450D4D9AB0CBDC8B48E08206_13</vt:lpwstr>
  </property>
  <property fmtid="{D5CDD505-2E9C-101B-9397-08002B2CF9AE}" pid="4" name="KSOTemplateDocerSaveRecord">
    <vt:lpwstr>eyJoZGlkIjoiNTMwNTc5YWZkODk0ZjU4ZmRhMWMyNzZjMTcyZGZiZGMiLCJ1c2VySWQiOiIyNzI5NTUxODkifQ==</vt:lpwstr>
  </property>
</Properties>
</file>