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B2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1"/>
          <w:szCs w:val="21"/>
          <w:highlight w:val="none"/>
          <w:lang w:val="en-US" w:eastAsia="zh-CN"/>
        </w:rPr>
      </w:pPr>
    </w:p>
    <w:p w14:paraId="54608C1F">
      <w:pPr>
        <w:pStyle w:val="26"/>
        <w:rPr>
          <w:rFonts w:hint="eastAsia"/>
          <w:color w:val="auto"/>
          <w:highlight w:val="none"/>
          <w:lang w:val="en-US" w:eastAsia="zh-CN"/>
        </w:rPr>
      </w:pPr>
    </w:p>
    <w:p w14:paraId="046E30D9">
      <w:pPr>
        <w:spacing w:line="600" w:lineRule="auto"/>
        <w:jc w:val="center"/>
        <w:rPr>
          <w:rFonts w:hint="eastAsia" w:ascii="宋体" w:hAnsi="宋体" w:eastAsia="宋体" w:cs="宋体"/>
          <w:color w:val="auto"/>
          <w:sz w:val="52"/>
          <w:szCs w:val="52"/>
          <w:highlight w:val="none"/>
          <w:lang w:eastAsia="zh-CN"/>
        </w:rPr>
      </w:pPr>
      <w:bookmarkStart w:id="0" w:name="_Toc144974478"/>
      <w:bookmarkStart w:id="1" w:name="_Toc152042286"/>
      <w:r>
        <w:rPr>
          <w:rFonts w:hint="eastAsia"/>
          <w:b/>
          <w:color w:val="auto"/>
          <w:spacing w:val="-20"/>
          <w:sz w:val="52"/>
          <w:szCs w:val="52"/>
          <w:highlight w:val="none"/>
          <w:u w:val="none"/>
          <w:lang w:val="en-US" w:eastAsia="zh-CN"/>
        </w:rPr>
        <w:t>国有信阳市南湾林场2026年贤山、震雷山林区生产道路修建工程项目</w:t>
      </w:r>
    </w:p>
    <w:p w14:paraId="11A25E9D">
      <w:pPr>
        <w:pStyle w:val="26"/>
        <w:rPr>
          <w:rFonts w:hint="eastAsia"/>
          <w:lang w:eastAsia="zh-CN"/>
        </w:rPr>
      </w:pPr>
    </w:p>
    <w:p w14:paraId="100BB70F">
      <w:pPr>
        <w:pStyle w:val="27"/>
        <w:rPr>
          <w:rFonts w:hint="eastAsia"/>
          <w:lang w:eastAsia="zh-CN"/>
        </w:rPr>
      </w:pPr>
    </w:p>
    <w:p w14:paraId="08257DEE">
      <w:pPr>
        <w:ind w:left="0" w:leftChars="0" w:firstLine="0" w:firstLineChars="0"/>
        <w:rPr>
          <w:rFonts w:hint="eastAsia"/>
          <w:lang w:eastAsia="zh-CN"/>
        </w:rPr>
      </w:pPr>
    </w:p>
    <w:p w14:paraId="20EB3F80">
      <w:pPr>
        <w:rPr>
          <w:rFonts w:hint="eastAsia"/>
          <w:lang w:eastAsia="zh-CN"/>
        </w:rPr>
      </w:pPr>
    </w:p>
    <w:p w14:paraId="2CCA1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p>
    <w:p w14:paraId="1EAF98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84"/>
          <w:szCs w:val="84"/>
          <w:highlight w:val="none"/>
          <w:lang w:val="en-US"/>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lang w:val="en-US"/>
        </w:rPr>
        <w:t xml:space="preserve"> </w:t>
      </w:r>
    </w:p>
    <w:p w14:paraId="0619EF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p>
    <w:p w14:paraId="3DB3DA80">
      <w:pPr>
        <w:jc w:val="center"/>
        <w:rPr>
          <w:rFonts w:hint="eastAsia" w:ascii="宋体" w:hAnsi="宋体" w:eastAsia="宋体" w:cs="宋体"/>
          <w:color w:val="auto"/>
          <w:sz w:val="24"/>
          <w:highlight w:val="none"/>
        </w:rPr>
      </w:pPr>
    </w:p>
    <w:p w14:paraId="057C877A">
      <w:pPr>
        <w:widowControl/>
        <w:spacing w:line="600" w:lineRule="auto"/>
        <w:ind w:left="0" w:leftChars="0" w:firstLine="0" w:firstLineChars="0"/>
        <w:rPr>
          <w:rFonts w:hint="eastAsia" w:ascii="宋体" w:hAnsi="宋体" w:eastAsia="宋体" w:cs="宋体"/>
          <w:b/>
          <w:bCs/>
          <w:color w:val="auto"/>
          <w:kern w:val="0"/>
          <w:sz w:val="32"/>
          <w:szCs w:val="32"/>
          <w:highlight w:val="none"/>
        </w:rPr>
      </w:pPr>
    </w:p>
    <w:p w14:paraId="092CCE0B">
      <w:pPr>
        <w:widowControl/>
        <w:spacing w:line="600" w:lineRule="auto"/>
        <w:ind w:left="0" w:leftChars="0" w:firstLine="0" w:firstLineChars="0"/>
        <w:rPr>
          <w:rFonts w:hint="eastAsia" w:ascii="宋体" w:hAnsi="宋体" w:eastAsia="宋体" w:cs="宋体"/>
          <w:b/>
          <w:bCs/>
          <w:color w:val="auto"/>
          <w:kern w:val="0"/>
          <w:sz w:val="32"/>
          <w:szCs w:val="32"/>
          <w:highlight w:val="none"/>
        </w:rPr>
      </w:pPr>
    </w:p>
    <w:p w14:paraId="5D2F0455">
      <w:pPr>
        <w:widowControl/>
        <w:spacing w:line="600" w:lineRule="auto"/>
        <w:ind w:left="0" w:leftChars="0" w:firstLine="0" w:firstLineChars="0"/>
        <w:rPr>
          <w:rFonts w:hint="eastAsia" w:ascii="宋体" w:hAnsi="宋体" w:eastAsia="宋体" w:cs="宋体"/>
          <w:b/>
          <w:bCs/>
          <w:color w:val="auto"/>
          <w:kern w:val="0"/>
          <w:sz w:val="32"/>
          <w:szCs w:val="32"/>
          <w:highlight w:val="none"/>
        </w:rPr>
      </w:pPr>
    </w:p>
    <w:p w14:paraId="109BF8CD">
      <w:pPr>
        <w:widowControl/>
        <w:spacing w:line="480" w:lineRule="auto"/>
        <w:ind w:left="0" w:leftChars="0" w:firstLine="2530" w:firstLineChars="9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采</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购</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人：</w:t>
      </w:r>
      <w:r>
        <w:rPr>
          <w:rFonts w:hint="eastAsia" w:ascii="宋体" w:hAnsi="宋体" w:cs="宋体"/>
          <w:b/>
          <w:bCs/>
          <w:color w:val="auto"/>
          <w:kern w:val="0"/>
          <w:sz w:val="28"/>
          <w:szCs w:val="28"/>
          <w:highlight w:val="none"/>
          <w:lang w:val="en-US" w:eastAsia="zh-CN"/>
        </w:rPr>
        <w:t>国有信阳市南湾林场</w:t>
      </w:r>
    </w:p>
    <w:p w14:paraId="5EF940B3">
      <w:pPr>
        <w:widowControl/>
        <w:spacing w:line="480" w:lineRule="auto"/>
        <w:ind w:left="0" w:leftChars="0" w:firstLine="2530" w:firstLineChars="900"/>
        <w:jc w:val="both"/>
        <w:rPr>
          <w:rFonts w:hint="eastAsia" w:ascii="宋体" w:hAnsi="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代理机构：</w:t>
      </w:r>
      <w:r>
        <w:rPr>
          <w:rFonts w:hint="eastAsia" w:ascii="宋体" w:hAnsi="宋体" w:cs="宋体"/>
          <w:b/>
          <w:bCs/>
          <w:color w:val="auto"/>
          <w:kern w:val="0"/>
          <w:sz w:val="28"/>
          <w:szCs w:val="28"/>
          <w:highlight w:val="none"/>
          <w:lang w:val="en-US" w:eastAsia="zh-CN"/>
        </w:rPr>
        <w:t xml:space="preserve">河南君光工程管理咨询有限公司 </w:t>
      </w:r>
    </w:p>
    <w:p w14:paraId="1B09918C">
      <w:pPr>
        <w:widowControl/>
        <w:spacing w:line="480" w:lineRule="auto"/>
        <w:ind w:left="0" w:leftChars="0" w:firstLine="2530" w:firstLineChars="900"/>
        <w:jc w:val="both"/>
        <w:rPr>
          <w:rFonts w:hint="eastAsia" w:ascii="宋体" w:hAnsi="宋体" w:eastAsia="宋体" w:cs="宋体"/>
          <w:bCs/>
          <w:color w:val="auto"/>
          <w:spacing w:val="14"/>
          <w:sz w:val="28"/>
          <w:szCs w:val="28"/>
          <w:highlight w:val="none"/>
        </w:rPr>
        <w:sectPr>
          <w:headerReference r:id="rId5" w:type="default"/>
          <w:footerReference r:id="rId6" w:type="default"/>
          <w:pgSz w:w="11850" w:h="16783"/>
          <w:pgMar w:top="1271" w:right="1119" w:bottom="1232" w:left="1271" w:header="850" w:footer="669" w:gutter="0"/>
          <w:pgNumType w:start="1"/>
          <w:cols w:space="720" w:num="1"/>
          <w:docGrid w:type="lines" w:linePitch="380" w:charSpace="0"/>
        </w:sectPr>
      </w:pPr>
      <w:r>
        <w:rPr>
          <w:rFonts w:hint="eastAsia" w:ascii="宋体" w:hAnsi="宋体" w:eastAsia="宋体" w:cs="宋体"/>
          <w:b/>
          <w:bCs/>
          <w:color w:val="auto"/>
          <w:kern w:val="0"/>
          <w:sz w:val="28"/>
          <w:szCs w:val="28"/>
          <w:highlight w:val="none"/>
          <w:lang w:val="en-US" w:eastAsia="zh-CN"/>
        </w:rPr>
        <w:t>日    期：</w:t>
      </w: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eastAsia="zh-CN"/>
        </w:rPr>
        <w:t>〇</w:t>
      </w: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年</w:t>
      </w:r>
      <w:r>
        <w:rPr>
          <w:rFonts w:hint="eastAsia" w:ascii="宋体" w:hAnsi="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月</w:t>
      </w:r>
    </w:p>
    <w:p w14:paraId="1433E3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b/>
          <w:bCs/>
          <w:sz w:val="32"/>
          <w:szCs w:val="32"/>
        </w:rPr>
        <w:t>致政府采购供应商和代理机构的一封信</w:t>
      </w:r>
    </w:p>
    <w:p w14:paraId="3A8DFA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尊敬的政府采购供应商、代理机构：</w:t>
      </w:r>
    </w:p>
    <w:p w14:paraId="7BB3A8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您好！非常感谢您一直以来对</w:t>
      </w:r>
      <w:r>
        <w:rPr>
          <w:rFonts w:hint="eastAsia" w:ascii="宋体" w:hAnsi="宋体" w:eastAsia="宋体" w:cs="宋体"/>
          <w:sz w:val="21"/>
          <w:szCs w:val="21"/>
          <w:lang w:eastAsia="zh-CN"/>
        </w:rPr>
        <w:t>信阳市</w:t>
      </w:r>
      <w:r>
        <w:rPr>
          <w:rFonts w:hint="eastAsia" w:ascii="宋体" w:hAnsi="宋体" w:eastAsia="宋体" w:cs="宋体"/>
          <w:sz w:val="21"/>
          <w:szCs w:val="21"/>
        </w:rPr>
        <w:t>政府采购活动的关心和支持！</w:t>
      </w:r>
    </w:p>
    <w:p w14:paraId="553F0B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近年来，</w:t>
      </w:r>
      <w:r>
        <w:rPr>
          <w:rFonts w:hint="eastAsia" w:ascii="宋体" w:hAnsi="宋体" w:eastAsia="宋体" w:cs="宋体"/>
          <w:sz w:val="21"/>
          <w:szCs w:val="21"/>
          <w:lang w:eastAsia="zh-CN"/>
        </w:rPr>
        <w:t>信阳</w:t>
      </w:r>
      <w:r>
        <w:rPr>
          <w:rFonts w:hint="eastAsia" w:ascii="宋体" w:hAnsi="宋体" w:eastAsia="宋体" w:cs="宋体"/>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081E8225">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EAE3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尽管做了一些工作，但我们深知，离贵公司的期望还有差距。恳请贵公司对我们的工作提出宝贵意见，并持续给予关注、支持和监督！</w:t>
      </w:r>
    </w:p>
    <w:p w14:paraId="1F41EF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eastAsia="zh-CN"/>
        </w:rPr>
        <w:t>凡涉及信阳市政府采购领域营商环境的任何问题，贵公司均可通过专线电话03</w:t>
      </w:r>
      <w:r>
        <w:rPr>
          <w:rFonts w:hint="eastAsia" w:ascii="宋体" w:hAnsi="宋体" w:eastAsia="宋体" w:cs="宋体"/>
          <w:sz w:val="21"/>
          <w:szCs w:val="21"/>
          <w:lang w:val="en-US" w:eastAsia="zh-CN"/>
        </w:rPr>
        <w:t>76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6699123</w:t>
      </w:r>
      <w:r>
        <w:rPr>
          <w:rFonts w:hint="eastAsia" w:ascii="宋体" w:hAnsi="宋体" w:eastAsia="宋体" w:cs="宋体"/>
          <w:sz w:val="21"/>
          <w:szCs w:val="21"/>
          <w:lang w:eastAsia="zh-CN"/>
        </w:rPr>
        <w:t>、电子邮箱</w:t>
      </w:r>
      <w:r>
        <w:rPr>
          <w:rFonts w:hint="eastAsia" w:ascii="宋体" w:hAnsi="宋体" w:eastAsia="宋体" w:cs="宋体"/>
          <w:sz w:val="21"/>
          <w:szCs w:val="21"/>
          <w:lang w:val="en-US" w:eastAsia="zh-CN"/>
        </w:rPr>
        <w:t>czyszb228</w:t>
      </w:r>
      <w:r>
        <w:rPr>
          <w:rFonts w:hint="eastAsia" w:ascii="宋体" w:hAnsi="宋体" w:eastAsia="宋体" w:cs="宋体"/>
          <w:sz w:val="21"/>
          <w:szCs w:val="21"/>
          <w:lang w:eastAsia="zh-CN"/>
        </w:rPr>
        <w:t>@163.com，与信阳市财政</w:t>
      </w:r>
      <w:r>
        <w:rPr>
          <w:rFonts w:hint="eastAsia" w:ascii="宋体" w:hAnsi="宋体" w:eastAsia="宋体" w:cs="宋体"/>
          <w:b w:val="0"/>
          <w:bCs w:val="0"/>
          <w:kern w:val="2"/>
          <w:sz w:val="21"/>
          <w:szCs w:val="21"/>
          <w:lang w:val="en-US" w:eastAsia="zh-CN" w:bidi="ar-SA"/>
        </w:rPr>
        <w:t>局优化营商环境办公室</w:t>
      </w:r>
      <w:r>
        <w:rPr>
          <w:rFonts w:hint="eastAsia" w:ascii="宋体" w:hAnsi="宋体" w:eastAsia="宋体" w:cs="宋体"/>
          <w:sz w:val="21"/>
          <w:szCs w:val="21"/>
          <w:lang w:eastAsia="zh-CN"/>
        </w:rPr>
        <w:t>随时沟通交流</w:t>
      </w:r>
      <w:r>
        <w:rPr>
          <w:rFonts w:hint="eastAsia" w:ascii="宋体" w:hAnsi="宋体" w:eastAsia="宋体" w:cs="宋体"/>
          <w:b w:val="0"/>
          <w:bCs w:val="0"/>
          <w:kern w:val="2"/>
          <w:sz w:val="21"/>
          <w:szCs w:val="21"/>
          <w:lang w:val="en-US" w:eastAsia="zh-CN" w:bidi="ar-SA"/>
        </w:rPr>
        <w:t>，我们将竭诚为各位供应商服务，全力解决贵公司遇到的困难。</w:t>
      </w:r>
    </w:p>
    <w:p w14:paraId="56F467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再次感谢贵公司对</w:t>
      </w:r>
      <w:r>
        <w:rPr>
          <w:rFonts w:hint="eastAsia" w:ascii="宋体" w:hAnsi="宋体" w:eastAsia="宋体" w:cs="宋体"/>
          <w:sz w:val="21"/>
          <w:szCs w:val="21"/>
          <w:lang w:eastAsia="zh-CN"/>
        </w:rPr>
        <w:t>信阳</w:t>
      </w:r>
      <w:r>
        <w:rPr>
          <w:rFonts w:hint="eastAsia" w:ascii="宋体" w:hAnsi="宋体" w:eastAsia="宋体" w:cs="宋体"/>
          <w:sz w:val="21"/>
          <w:szCs w:val="21"/>
        </w:rPr>
        <w:t>市政府采购工作的关心和支持！</w:t>
      </w:r>
      <w:r>
        <w:rPr>
          <w:rFonts w:hint="eastAsia" w:ascii="宋体" w:hAnsi="宋体" w:eastAsia="宋体" w:cs="宋体"/>
          <w:sz w:val="21"/>
          <w:szCs w:val="21"/>
          <w:lang w:eastAsia="zh-CN"/>
        </w:rPr>
        <w:t>让我们携起手来</w:t>
      </w:r>
      <w:r>
        <w:rPr>
          <w:rFonts w:hint="eastAsia" w:ascii="宋体" w:hAnsi="宋体" w:eastAsia="宋体" w:cs="宋体"/>
          <w:sz w:val="21"/>
          <w:szCs w:val="21"/>
        </w:rPr>
        <w:t>为“美好生活看信阳”做出财政贡献！</w:t>
      </w:r>
    </w:p>
    <w:p w14:paraId="5E5F17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205E651">
      <w:pPr>
        <w:keepNext w:val="0"/>
        <w:keepLines w:val="0"/>
        <w:pageBreakBefore w:val="0"/>
        <w:kinsoku/>
        <w:wordWrap/>
        <w:overflowPunct/>
        <w:topLinePunct w:val="0"/>
        <w:autoSpaceDE/>
        <w:autoSpaceDN/>
        <w:bidi w:val="0"/>
        <w:adjustRightInd/>
        <w:snapToGrid/>
        <w:spacing w:line="360" w:lineRule="auto"/>
        <w:ind w:firstLine="3990" w:firstLineChars="190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信阳市财政局</w:t>
      </w:r>
    </w:p>
    <w:p w14:paraId="53891BEA">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56E2145F">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3472D87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42B291F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2C3CB59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5BDFEFF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403FDAEA">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72B8983F">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2CD499F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737507D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28E62DBD">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6F6FE2E2">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5A710A7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5A82D91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4891944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2C6F364D">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3AED3C7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p>
    <w:p w14:paraId="25AB360F">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2"/>
          <w:highlight w:val="none"/>
        </w:rPr>
      </w:pPr>
      <w:r>
        <w:rPr>
          <w:rFonts w:hint="eastAsia" w:ascii="宋体" w:hAnsi="宋体" w:cs="宋体"/>
          <w:b/>
          <w:color w:val="auto"/>
          <w:sz w:val="32"/>
          <w:highlight w:val="none"/>
        </w:rPr>
        <w:t>目     录</w:t>
      </w:r>
      <w:bookmarkEnd w:id="0"/>
      <w:bookmarkEnd w:id="1"/>
      <w:bookmarkStart w:id="2" w:name="_Toc152042287"/>
      <w:bookmarkStart w:id="3" w:name="_Toc152045511"/>
      <w:bookmarkStart w:id="4" w:name="_Toc490667779"/>
      <w:bookmarkStart w:id="5" w:name="_Toc144974479"/>
    </w:p>
    <w:p w14:paraId="0F3029DB">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_Toc15712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lang w:val="en-US" w:eastAsia="zh-CN"/>
        </w:rPr>
        <w:t>第一章 竞争性磋商公告</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_Toc15712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6</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71A6ABB5">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_Toc16898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lang w:val="en-US" w:eastAsia="zh-CN"/>
        </w:rPr>
        <w:t>第二章 供应商须知</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_Toc16898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10</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054F38E5">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_Toc27631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rPr>
        <w:t>第三章</w:t>
      </w:r>
      <w:r>
        <w:rPr>
          <w:rFonts w:hint="eastAsia" w:ascii="宋体" w:hAnsi="宋体" w:eastAsia="宋体" w:cs="宋体"/>
          <w:color w:val="auto"/>
          <w:sz w:val="32"/>
          <w:szCs w:val="36"/>
          <w:highlight w:val="none"/>
          <w:lang w:val="en-US" w:eastAsia="zh-CN"/>
        </w:rPr>
        <w:t xml:space="preserve"> </w:t>
      </w:r>
      <w:r>
        <w:rPr>
          <w:rFonts w:hint="eastAsia" w:ascii="宋体" w:hAnsi="宋体" w:eastAsia="宋体" w:cs="宋体"/>
          <w:color w:val="auto"/>
          <w:sz w:val="32"/>
          <w:szCs w:val="36"/>
          <w:highlight w:val="none"/>
        </w:rPr>
        <w:t>评审办法（综合评分法）</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_Toc27631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24</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5EF95F6E">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_Toc1267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lang w:val="en-US" w:eastAsia="zh-CN"/>
        </w:rPr>
        <w:t>第四章 合同条款及格式</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_Toc1267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30</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5296AEA5">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_Toc25480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lang w:val="en-US" w:eastAsia="zh-CN"/>
        </w:rPr>
        <w:t>第五章 工程量清单</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_Toc25480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34</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0FBB79F2">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_Toc15390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rPr>
        <w:t>第六章</w:t>
      </w:r>
      <w:r>
        <w:rPr>
          <w:rFonts w:hint="eastAsia" w:ascii="宋体" w:hAnsi="宋体" w:eastAsia="宋体" w:cs="宋体"/>
          <w:color w:val="auto"/>
          <w:sz w:val="32"/>
          <w:szCs w:val="36"/>
          <w:highlight w:val="none"/>
          <w:lang w:val="en-US" w:eastAsia="zh-CN"/>
        </w:rPr>
        <w:t xml:space="preserve"> </w:t>
      </w:r>
      <w:r>
        <w:rPr>
          <w:rFonts w:hint="eastAsia" w:ascii="宋体" w:hAnsi="宋体" w:eastAsia="宋体" w:cs="宋体"/>
          <w:color w:val="auto"/>
          <w:sz w:val="32"/>
          <w:szCs w:val="36"/>
          <w:highlight w:val="none"/>
          <w:lang w:eastAsia="zh-CN"/>
        </w:rPr>
        <w:t>竞争性磋商响应文件格式</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_Toc15390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35</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5EA34CF1">
      <w:pPr>
        <w:pStyle w:val="20"/>
        <w:keepNext w:val="0"/>
        <w:keepLines w:val="0"/>
        <w:pageBreakBefore w:val="0"/>
        <w:widowControl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_Toc27469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6"/>
          <w:highlight w:val="none"/>
          <w:lang w:val="en-US" w:eastAsia="zh-CN"/>
        </w:rPr>
        <w:t xml:space="preserve">第七章 </w:t>
      </w:r>
      <w:r>
        <w:rPr>
          <w:rFonts w:hint="eastAsia" w:ascii="宋体" w:hAnsi="宋体" w:eastAsia="宋体" w:cs="宋体"/>
          <w:color w:val="auto"/>
          <w:sz w:val="32"/>
          <w:szCs w:val="36"/>
          <w:highlight w:val="none"/>
        </w:rPr>
        <w:t>河南省政府采购合同融资政策告知函</w:t>
      </w:r>
      <w:r>
        <w:rPr>
          <w:rFonts w:hint="eastAsia" w:ascii="宋体" w:hAnsi="宋体" w:eastAsia="宋体" w:cs="宋体"/>
          <w:color w:val="auto"/>
          <w:sz w:val="32"/>
          <w:szCs w:val="36"/>
          <w:highlight w:val="none"/>
        </w:rPr>
        <w:tab/>
      </w:r>
      <w:r>
        <w:rPr>
          <w:rFonts w:hint="eastAsia" w:ascii="宋体" w:hAnsi="宋体" w:eastAsia="宋体" w:cs="宋体"/>
          <w:color w:val="auto"/>
          <w:sz w:val="32"/>
          <w:szCs w:val="36"/>
          <w:highlight w:val="none"/>
        </w:rPr>
        <w:fldChar w:fldCharType="begin"/>
      </w:r>
      <w:r>
        <w:rPr>
          <w:rFonts w:hint="eastAsia" w:ascii="宋体" w:hAnsi="宋体" w:eastAsia="宋体" w:cs="宋体"/>
          <w:color w:val="auto"/>
          <w:sz w:val="32"/>
          <w:szCs w:val="36"/>
          <w:highlight w:val="none"/>
        </w:rPr>
        <w:instrText xml:space="preserve"> PAGEREF _Toc27469 \h </w:instrText>
      </w:r>
      <w:r>
        <w:rPr>
          <w:rFonts w:hint="eastAsia" w:ascii="宋体" w:hAnsi="宋体" w:eastAsia="宋体" w:cs="宋体"/>
          <w:color w:val="auto"/>
          <w:sz w:val="32"/>
          <w:szCs w:val="36"/>
          <w:highlight w:val="none"/>
        </w:rPr>
        <w:fldChar w:fldCharType="separate"/>
      </w:r>
      <w:r>
        <w:rPr>
          <w:rFonts w:hint="eastAsia" w:ascii="宋体" w:hAnsi="宋体" w:eastAsia="宋体" w:cs="宋体"/>
          <w:color w:val="auto"/>
          <w:sz w:val="32"/>
          <w:szCs w:val="36"/>
          <w:highlight w:val="none"/>
        </w:rPr>
        <w:t>58</w:t>
      </w:r>
      <w:r>
        <w:rPr>
          <w:rFonts w:hint="eastAsia" w:ascii="宋体" w:hAnsi="宋体" w:eastAsia="宋体" w:cs="宋体"/>
          <w:color w:val="auto"/>
          <w:sz w:val="32"/>
          <w:szCs w:val="36"/>
          <w:highlight w:val="none"/>
        </w:rPr>
        <w:fldChar w:fldCharType="end"/>
      </w:r>
      <w:r>
        <w:rPr>
          <w:rFonts w:hint="eastAsia" w:ascii="宋体" w:hAnsi="宋体" w:eastAsia="宋体" w:cs="宋体"/>
          <w:color w:val="auto"/>
          <w:sz w:val="32"/>
          <w:szCs w:val="32"/>
          <w:highlight w:val="none"/>
        </w:rPr>
        <w:fldChar w:fldCharType="end"/>
      </w:r>
    </w:p>
    <w:p w14:paraId="634C5B92">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fldChar w:fldCharType="end"/>
      </w:r>
    </w:p>
    <w:p w14:paraId="7B67D45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D148447">
      <w:pPr>
        <w:keepNext w:val="0"/>
        <w:keepLines w:val="0"/>
        <w:pageBreakBefore w:val="0"/>
        <w:kinsoku/>
        <w:wordWrap/>
        <w:overflowPunct/>
        <w:topLinePunct w:val="0"/>
        <w:autoSpaceDE/>
        <w:autoSpaceDN/>
        <w:bidi w:val="0"/>
        <w:adjustRightInd/>
        <w:snapToGrid/>
        <w:spacing w:line="240" w:lineRule="auto"/>
        <w:ind w:left="0" w:leftChars="0" w:firstLine="939" w:firstLineChars="200"/>
        <w:jc w:val="center"/>
        <w:textAlignment w:val="auto"/>
        <w:rPr>
          <w:rFonts w:hint="eastAsia" w:ascii="宋体" w:hAnsi="宋体" w:eastAsia="宋体" w:cs="宋体"/>
          <w:b/>
          <w:color w:val="auto"/>
          <w:spacing w:val="14"/>
          <w:sz w:val="44"/>
          <w:szCs w:val="44"/>
          <w:highlight w:val="none"/>
        </w:rPr>
      </w:pPr>
      <w:r>
        <w:rPr>
          <w:rFonts w:hint="eastAsia" w:ascii="宋体" w:hAnsi="宋体" w:eastAsia="宋体" w:cs="宋体"/>
          <w:b/>
          <w:color w:val="auto"/>
          <w:spacing w:val="14"/>
          <w:sz w:val="44"/>
          <w:szCs w:val="44"/>
          <w:highlight w:val="none"/>
        </w:rPr>
        <w:t>电子招投标特别提示</w:t>
      </w:r>
    </w:p>
    <w:p w14:paraId="5BB3CAA1">
      <w:pPr>
        <w:spacing w:line="400" w:lineRule="exact"/>
        <w:rPr>
          <w:rFonts w:hint="eastAsia" w:ascii="宋体" w:hAnsi="宋体" w:cs="宋体"/>
          <w:b/>
          <w:bCs/>
          <w:color w:val="auto"/>
          <w:sz w:val="24"/>
          <w:highlight w:val="none"/>
        </w:rPr>
      </w:pPr>
    </w:p>
    <w:p w14:paraId="4CF89166">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一、投标人（供应商）注册</w:t>
      </w:r>
    </w:p>
    <w:p w14:paraId="25C1E1B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凡有意参加本项目的投标人（供应商），请</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2AB68AAA">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二、办理CA数字证书</w:t>
      </w:r>
    </w:p>
    <w:p w14:paraId="1F1E09C2">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完成企业诚信库注册后，必须办理CA数字证书方可在网上办理招投标相关业务。</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根据信阳市公共资源交易网通知公告栏目中《关于信阳市公共资源交易平台数字证书（CA）互认系统正式上线运行的通知》要求，自行选择CA数字证书服务商，线上、线下办理CA数字证书。</w:t>
      </w:r>
    </w:p>
    <w:p w14:paraId="690CA811">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三、招标（采购）文件获取方式</w:t>
      </w:r>
    </w:p>
    <w:p w14:paraId="74CB3B9E">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投标人（供应商）凭CA数字证书</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）”网站下载中心栏目内下载或在招标文件领取页面下载）。</w:t>
      </w:r>
    </w:p>
    <w:p w14:paraId="7A493709">
      <w:pPr>
        <w:tabs>
          <w:tab w:val="left" w:pos="0"/>
        </w:tabs>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四、投标（响应）文件制作</w:t>
      </w:r>
    </w:p>
    <w:p w14:paraId="46270C39">
      <w:pPr>
        <w:tabs>
          <w:tab w:val="left" w:pos="0"/>
        </w:tabs>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投标（响应）文件应使用信阳市公共资源交易系统投标文件制作专用工具软件编制，投标（响应）文件格式为“*.XYTF”。</w:t>
      </w:r>
    </w:p>
    <w:p w14:paraId="44876A07">
      <w:pPr>
        <w:tabs>
          <w:tab w:val="left" w:pos="0"/>
        </w:tabs>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招标文件费用网上支付，支付成功后，方可上传电子投标（响应）文件。</w:t>
      </w:r>
      <w:r>
        <w:rPr>
          <w:rFonts w:hint="eastAsia" w:ascii="宋体" w:hAnsi="宋体" w:eastAsia="宋体" w:cs="宋体"/>
          <w:color w:val="auto"/>
          <w:sz w:val="21"/>
          <w:szCs w:val="21"/>
          <w:highlight w:val="none"/>
          <w:u w:val="single"/>
        </w:rPr>
        <w:t>（政府采购类项目不收取招标文件费用）</w:t>
      </w:r>
    </w:p>
    <w:p w14:paraId="7C9F896D">
      <w:pPr>
        <w:tabs>
          <w:tab w:val="left" w:pos="0"/>
        </w:tabs>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投标人（供应商）须在投标（响应）文件递交截止时间前制作并提交。</w:t>
      </w:r>
    </w:p>
    <w:p w14:paraId="3318EE70">
      <w:pPr>
        <w:pStyle w:val="11"/>
        <w:spacing w:line="3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double"/>
        </w:rPr>
        <w:t>五、投标（响应）文件的签字和盖章要求</w:t>
      </w:r>
    </w:p>
    <w:p w14:paraId="1E222E0A">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1、投标文件（响应）格式中所有要求投标人（供应商）加盖公章的地方都须加盖投标人（供应商）的 CA 印章。</w:t>
      </w:r>
    </w:p>
    <w:p w14:paraId="6981C00C">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2、投标文件（响应）格式中所有要求法定代表人或其委托代理人签字或盖章的地方</w:t>
      </w:r>
      <w:r>
        <w:rPr>
          <w:rFonts w:hint="eastAsia" w:ascii="宋体" w:hAnsi="宋体" w:eastAsia="宋体" w:cs="宋体"/>
          <w:b/>
          <w:bCs/>
          <w:color w:val="auto"/>
          <w:sz w:val="21"/>
          <w:szCs w:val="21"/>
          <w:highlight w:val="none"/>
        </w:rPr>
        <w:t>（不含授权委托书委托人签字）</w:t>
      </w:r>
      <w:r>
        <w:rPr>
          <w:rFonts w:hint="eastAsia" w:ascii="宋体" w:hAnsi="宋体" w:eastAsia="宋体" w:cs="宋体"/>
          <w:color w:val="auto"/>
          <w:sz w:val="21"/>
          <w:szCs w:val="21"/>
          <w:highlight w:val="none"/>
        </w:rPr>
        <w:t>都须加盖法定代表人</w:t>
      </w:r>
      <w:r>
        <w:rPr>
          <w:rFonts w:hint="eastAsia" w:ascii="宋体" w:hAnsi="宋体" w:eastAsia="宋体" w:cs="宋体"/>
          <w:b/>
          <w:bCs/>
          <w:color w:val="auto"/>
          <w:sz w:val="21"/>
          <w:szCs w:val="21"/>
          <w:highlight w:val="none"/>
        </w:rPr>
        <w:t>CA 印章。</w:t>
      </w:r>
    </w:p>
    <w:p w14:paraId="7023E89A">
      <w:pPr>
        <w:pStyle w:val="11"/>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六、投标文件份数</w:t>
      </w:r>
    </w:p>
    <w:p w14:paraId="7C9DB8A6">
      <w:pPr>
        <w:adjustRightInd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加密的电子投标（响应）文件壹份（*.XYTF 格式，在会员系统指定位置上传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73B7588">
      <w:pPr>
        <w:pStyle w:val="11"/>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七、投标（响应）文件的递交</w:t>
      </w:r>
    </w:p>
    <w:p w14:paraId="49ED0B82">
      <w:pPr>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1、电子投标（响应）文件的递交</w:t>
      </w:r>
    </w:p>
    <w:p w14:paraId="78964B4B">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133CBB2A">
      <w:pPr>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、除电子投标（响应）文件外，不再接受任何纸质文件、资料原件等。</w:t>
      </w:r>
    </w:p>
    <w:p w14:paraId="7102FED2">
      <w:pPr>
        <w:spacing w:line="360" w:lineRule="exac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八、澄清与变更</w:t>
      </w:r>
    </w:p>
    <w:p w14:paraId="46489AAA">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2E7234D7">
      <w:pPr>
        <w:widowControl/>
        <w:spacing w:line="360" w:lineRule="exact"/>
        <w:jc w:val="lef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 xml:space="preserve">九、其他注意事项 </w:t>
      </w:r>
    </w:p>
    <w:p w14:paraId="6E3B21AE">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14:paraId="79CB2DED">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2FCEC268">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14:paraId="0576CC5C">
      <w:pPr>
        <w:widowControl/>
        <w:spacing w:line="360" w:lineRule="exact"/>
        <w:jc w:val="left"/>
        <w:rPr>
          <w:rFonts w:hint="eastAsia" w:ascii="宋体" w:hAnsi="宋体" w:eastAsia="宋体" w:cs="宋体"/>
          <w:color w:val="auto"/>
          <w:sz w:val="21"/>
          <w:szCs w:val="21"/>
          <w:highlight w:val="none"/>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p>
    <w:p w14:paraId="5221E201">
      <w:pPr>
        <w:widowControl/>
        <w:spacing w:line="360" w:lineRule="exact"/>
        <w:jc w:val="lef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十、特别提醒</w:t>
      </w:r>
    </w:p>
    <w:p w14:paraId="5C48DE00">
      <w:pPr>
        <w:pStyle w:val="47"/>
        <w:tabs>
          <w:tab w:val="right" w:leader="dot" w:pos="9240"/>
        </w:tabs>
        <w:spacing w:line="48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招标（响应）文件与此内容不符的，以此内容为准。</w:t>
      </w:r>
    </w:p>
    <w:p w14:paraId="2EB71B06">
      <w:pPr>
        <w:pStyle w:val="47"/>
        <w:tabs>
          <w:tab w:val="right" w:leader="dot" w:pos="9240"/>
        </w:tabs>
        <w:spacing w:line="480" w:lineRule="auto"/>
        <w:ind w:firstLine="420" w:firstLineChars="200"/>
        <w:jc w:val="both"/>
        <w:rPr>
          <w:rFonts w:hint="eastAsia" w:ascii="宋体" w:hAnsi="宋体" w:eastAsia="宋体" w:cs="宋体"/>
          <w:color w:val="auto"/>
          <w:sz w:val="21"/>
          <w:szCs w:val="21"/>
          <w:highlight w:val="none"/>
        </w:rPr>
      </w:pPr>
    </w:p>
    <w:p w14:paraId="58242310">
      <w:pPr>
        <w:pStyle w:val="11"/>
        <w:rPr>
          <w:rFonts w:ascii="宋体" w:hAnsi="宋体"/>
          <w:color w:val="auto"/>
          <w:sz w:val="21"/>
          <w:szCs w:val="21"/>
          <w:highlight w:val="none"/>
        </w:rPr>
      </w:pPr>
    </w:p>
    <w:p w14:paraId="311C6918">
      <w:pPr>
        <w:pStyle w:val="11"/>
        <w:rPr>
          <w:rFonts w:ascii="宋体" w:hAnsi="宋体"/>
          <w:color w:val="auto"/>
          <w:sz w:val="24"/>
          <w:highlight w:val="none"/>
        </w:rPr>
      </w:pPr>
    </w:p>
    <w:p w14:paraId="382E8D2D">
      <w:pPr>
        <w:pStyle w:val="11"/>
        <w:rPr>
          <w:rFonts w:ascii="宋体" w:hAnsi="宋体"/>
          <w:color w:val="auto"/>
          <w:sz w:val="24"/>
          <w:highlight w:val="none"/>
        </w:rPr>
      </w:pPr>
    </w:p>
    <w:p w14:paraId="30EF7338">
      <w:pPr>
        <w:pStyle w:val="11"/>
        <w:rPr>
          <w:rFonts w:ascii="宋体" w:hAnsi="宋体"/>
          <w:color w:val="auto"/>
          <w:sz w:val="24"/>
          <w:highlight w:val="none"/>
        </w:rPr>
      </w:pPr>
    </w:p>
    <w:p w14:paraId="6056261F">
      <w:pPr>
        <w:pStyle w:val="11"/>
        <w:rPr>
          <w:rFonts w:ascii="宋体" w:hAnsi="宋体"/>
          <w:color w:val="auto"/>
          <w:sz w:val="24"/>
          <w:highlight w:val="none"/>
        </w:rPr>
      </w:pPr>
    </w:p>
    <w:p w14:paraId="440FCCD5">
      <w:pPr>
        <w:pStyle w:val="11"/>
        <w:rPr>
          <w:rFonts w:ascii="宋体" w:hAnsi="宋体"/>
          <w:color w:val="auto"/>
          <w:sz w:val="24"/>
          <w:highlight w:val="none"/>
        </w:rPr>
      </w:pPr>
    </w:p>
    <w:p w14:paraId="159C0A36">
      <w:pPr>
        <w:pStyle w:val="22"/>
        <w:tabs>
          <w:tab w:val="right" w:leader="underscore" w:pos="8296"/>
        </w:tabs>
        <w:spacing w:after="0" w:afterLines="0" w:line="360" w:lineRule="auto"/>
        <w:ind w:left="0" w:leftChars="0" w:firstLine="0" w:firstLineChars="0"/>
        <w:jc w:val="both"/>
        <w:outlineLvl w:val="0"/>
        <w:rPr>
          <w:rFonts w:hint="eastAsia" w:ascii="宋体" w:hAnsi="宋体" w:cs="宋体"/>
          <w:b/>
          <w:bCs/>
          <w:color w:val="auto"/>
          <w:sz w:val="32"/>
          <w:szCs w:val="32"/>
          <w:highlight w:val="none"/>
        </w:rPr>
      </w:pPr>
      <w:bookmarkStart w:id="6" w:name="_Toc30363"/>
    </w:p>
    <w:p w14:paraId="2F1CB8E5">
      <w:pPr>
        <w:rPr>
          <w:rFonts w:hint="eastAsia"/>
          <w:color w:val="auto"/>
          <w:highlight w:val="none"/>
          <w:lang w:val="en-US" w:eastAsia="zh-CN"/>
        </w:rPr>
      </w:pPr>
      <w:bookmarkStart w:id="7" w:name="_Toc15712"/>
      <w:r>
        <w:rPr>
          <w:rFonts w:hint="eastAsia"/>
          <w:color w:val="auto"/>
          <w:highlight w:val="none"/>
          <w:lang w:val="en-US" w:eastAsia="zh-CN"/>
        </w:rPr>
        <w:br w:type="page"/>
      </w:r>
    </w:p>
    <w:p w14:paraId="29502B11">
      <w:pPr>
        <w:pStyle w:val="2"/>
        <w:bidi w:val="0"/>
        <w:rPr>
          <w:rFonts w:hint="eastAsia"/>
          <w:color w:val="auto"/>
          <w:highlight w:val="none"/>
          <w:lang w:val="en-US" w:eastAsia="zh-CN"/>
        </w:rPr>
      </w:pPr>
      <w:r>
        <w:rPr>
          <w:rFonts w:hint="eastAsia"/>
          <w:color w:val="auto"/>
          <w:highlight w:val="none"/>
          <w:lang w:val="en-US" w:eastAsia="zh-CN"/>
        </w:rPr>
        <w:t xml:space="preserve">第一章 </w:t>
      </w:r>
      <w:bookmarkEnd w:id="2"/>
      <w:bookmarkEnd w:id="3"/>
      <w:bookmarkEnd w:id="4"/>
      <w:bookmarkEnd w:id="5"/>
      <w:bookmarkEnd w:id="6"/>
      <w:r>
        <w:rPr>
          <w:rFonts w:hint="eastAsia"/>
          <w:color w:val="auto"/>
          <w:highlight w:val="none"/>
          <w:lang w:val="en-US" w:eastAsia="zh-CN"/>
        </w:rPr>
        <w:t>竞争性磋商公告</w:t>
      </w:r>
      <w:bookmarkEnd w:id="7"/>
    </w:p>
    <w:p w14:paraId="557872F2">
      <w:pPr>
        <w:pStyle w:val="24"/>
        <w:widowControl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bookmarkStart w:id="8" w:name="OLE_LINK1"/>
      <w:bookmarkStart w:id="9" w:name="_Toc152045527"/>
      <w:bookmarkStart w:id="10" w:name="_Toc144974495"/>
      <w:bookmarkStart w:id="11" w:name="_Toc152042303"/>
      <w:r>
        <w:rPr>
          <w:rFonts w:hint="eastAsia" w:ascii="宋体" w:hAnsi="宋体" w:eastAsia="宋体" w:cs="宋体"/>
          <w:b/>
          <w:color w:val="auto"/>
          <w:sz w:val="21"/>
          <w:szCs w:val="21"/>
          <w:highlight w:val="none"/>
        </w:rPr>
        <w:t>项目概况</w:t>
      </w:r>
    </w:p>
    <w:p w14:paraId="720E87C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210" w:leftChars="10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single"/>
          <w:lang w:val="en-US" w:eastAsia="zh-CN"/>
        </w:rPr>
        <w:t>国有信阳市南湾林场2026年贤山、震雷山林区生产道路修建工程项目</w:t>
      </w:r>
      <w:r>
        <w:rPr>
          <w:rFonts w:hint="eastAsia" w:eastAsia="宋体" w:cs="宋体"/>
          <w:bCs/>
          <w:color w:val="auto"/>
          <w:sz w:val="21"/>
          <w:szCs w:val="21"/>
          <w:highlight w:val="none"/>
          <w:u w:val="none"/>
          <w:lang w:val="en-US" w:eastAsia="zh-CN"/>
        </w:rPr>
        <w:t>招标项目的潜在投标人应在</w:t>
      </w:r>
      <w:r>
        <w:rPr>
          <w:rFonts w:hint="eastAsia" w:ascii="宋体" w:hAnsi="宋体" w:eastAsia="宋体" w:cs="宋体"/>
          <w:bCs/>
          <w:color w:val="auto"/>
          <w:sz w:val="21"/>
          <w:szCs w:val="21"/>
          <w:highlight w:val="none"/>
          <w:u w:val="none"/>
        </w:rPr>
        <w:t>登</w:t>
      </w:r>
      <w:r>
        <w:rPr>
          <w:rFonts w:hint="eastAsia" w:ascii="宋体" w:hAnsi="宋体" w:eastAsia="宋体" w:cs="宋体"/>
          <w:bCs/>
          <w:color w:val="auto"/>
          <w:sz w:val="21"/>
          <w:szCs w:val="21"/>
          <w:highlight w:val="none"/>
        </w:rPr>
        <w:t>录“全国公共资源交易平台（河南省·信阳市）（https://ggzyjy.xinyang.gov.cn/）”网站，凭办理的企业身份认证锁（CA数字证书）登录会员系统进行网上投标；获取招标文件，并于</w:t>
      </w:r>
      <w:r>
        <w:rPr>
          <w:rFonts w:hint="eastAsia" w:eastAsia="宋体" w:cs="宋体"/>
          <w:bCs/>
          <w:color w:val="auto"/>
          <w:sz w:val="21"/>
          <w:szCs w:val="21"/>
          <w:highlight w:val="none"/>
          <w:lang w:eastAsia="zh-CN"/>
        </w:rPr>
        <w:t>2026</w:t>
      </w:r>
      <w:r>
        <w:rPr>
          <w:rFonts w:hint="eastAsia" w:ascii="宋体" w:hAnsi="宋体" w:eastAsia="宋体" w:cs="宋体"/>
          <w:bCs/>
          <w:color w:val="auto"/>
          <w:sz w:val="21"/>
          <w:szCs w:val="21"/>
          <w:highlight w:val="none"/>
        </w:rPr>
        <w:t>年</w:t>
      </w:r>
      <w:r>
        <w:rPr>
          <w:rFonts w:hint="eastAsia" w:eastAsia="宋体" w:cs="宋体"/>
          <w:bCs/>
          <w:color w:val="auto"/>
          <w:sz w:val="21"/>
          <w:szCs w:val="21"/>
          <w:highlight w:val="none"/>
          <w:lang w:val="en-US" w:eastAsia="zh-CN"/>
        </w:rPr>
        <w:t xml:space="preserve"> 6 </w:t>
      </w:r>
      <w:r>
        <w:rPr>
          <w:rFonts w:hint="eastAsia" w:ascii="宋体" w:hAnsi="宋体" w:eastAsia="宋体" w:cs="宋体"/>
          <w:bCs/>
          <w:color w:val="auto"/>
          <w:sz w:val="21"/>
          <w:szCs w:val="21"/>
          <w:highlight w:val="none"/>
        </w:rPr>
        <w:t>月</w:t>
      </w:r>
      <w:r>
        <w:rPr>
          <w:rFonts w:hint="eastAsia" w:eastAsia="宋体" w:cs="宋体"/>
          <w:bCs/>
          <w:color w:val="auto"/>
          <w:sz w:val="21"/>
          <w:szCs w:val="21"/>
          <w:highlight w:val="none"/>
          <w:lang w:val="en-US" w:eastAsia="zh-CN"/>
        </w:rPr>
        <w:t xml:space="preserve"> 18 </w:t>
      </w:r>
      <w:r>
        <w:rPr>
          <w:rFonts w:hint="eastAsia" w:ascii="宋体" w:hAnsi="宋体" w:eastAsia="宋体" w:cs="宋体"/>
          <w:bCs/>
          <w:color w:val="auto"/>
          <w:sz w:val="21"/>
          <w:szCs w:val="21"/>
          <w:highlight w:val="none"/>
        </w:rPr>
        <w:t>日09时</w:t>
      </w:r>
      <w:r>
        <w:rPr>
          <w:rFonts w:hint="eastAsia" w:eastAsia="宋体" w:cs="宋体"/>
          <w:bCs/>
          <w:color w:val="auto"/>
          <w:sz w:val="21"/>
          <w:szCs w:val="21"/>
          <w:highlight w:val="none"/>
          <w:lang w:val="en-US" w:eastAsia="zh-CN"/>
        </w:rPr>
        <w:t>00</w:t>
      </w:r>
      <w:r>
        <w:rPr>
          <w:rFonts w:hint="eastAsia" w:ascii="宋体" w:hAnsi="宋体" w:eastAsia="宋体" w:cs="宋体"/>
          <w:bCs/>
          <w:color w:val="auto"/>
          <w:sz w:val="21"/>
          <w:szCs w:val="21"/>
          <w:highlight w:val="none"/>
        </w:rPr>
        <w:t>分（北京时间）前递交响应文件。</w:t>
      </w:r>
    </w:p>
    <w:p w14:paraId="7E512164">
      <w:pPr>
        <w:pStyle w:val="24"/>
        <w:widowControl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19493C52">
      <w:pPr>
        <w:pStyle w:val="24"/>
        <w:widowControl w:val="0"/>
        <w:spacing w:before="0" w:beforeAutospacing="0" w:after="0" w:afterAutospacing="0" w:line="40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auto"/>
          <w:sz w:val="21"/>
          <w:szCs w:val="21"/>
          <w:highlight w:val="none"/>
          <w:lang w:val="en-US" w:eastAsia="zh-CN"/>
        </w:rPr>
        <w:t>：信财磋商采购-2026-21</w:t>
      </w:r>
    </w:p>
    <w:p w14:paraId="119CC1EB">
      <w:pPr>
        <w:pStyle w:val="24"/>
        <w:widowControl w:val="0"/>
        <w:spacing w:before="0" w:beforeAutospacing="0" w:after="0" w:afterAutospacing="0" w:line="400" w:lineRule="exact"/>
        <w:ind w:firstLine="420" w:firstLineChars="200"/>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国有信阳市南湾林场2026年贤山、震雷山林区生产道路修建工程项目</w:t>
      </w:r>
    </w:p>
    <w:p w14:paraId="21B66497">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320BB08B">
      <w:pPr>
        <w:pStyle w:val="24"/>
        <w:widowControl w:val="0"/>
        <w:spacing w:before="0" w:beforeAutospacing="0" w:after="0" w:afterAutospacing="0" w:line="400" w:lineRule="exact"/>
        <w:ind w:firstLine="420" w:firstLineChars="200"/>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1643274.87元</w:t>
      </w:r>
    </w:p>
    <w:p w14:paraId="57CB8FD9">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最高限价</w:t>
      </w:r>
      <w:r>
        <w:rPr>
          <w:rFonts w:hint="eastAsia" w:ascii="宋体" w:hAnsi="宋体" w:eastAsia="宋体" w:cs="宋体"/>
          <w:bCs/>
          <w:color w:val="auto"/>
          <w:sz w:val="21"/>
          <w:szCs w:val="21"/>
          <w:highlight w:val="none"/>
          <w:lang w:eastAsia="zh-CN"/>
        </w:rPr>
        <w:t>：</w:t>
      </w:r>
      <w:r>
        <w:rPr>
          <w:rFonts w:hint="eastAsia" w:eastAsia="宋体" w:cs="宋体"/>
          <w:bCs/>
          <w:color w:val="auto"/>
          <w:sz w:val="21"/>
          <w:szCs w:val="21"/>
          <w:highlight w:val="none"/>
          <w:lang w:val="en-US" w:eastAsia="zh-CN"/>
        </w:rPr>
        <w:t>1643274.87</w:t>
      </w:r>
      <w:r>
        <w:rPr>
          <w:rFonts w:hint="eastAsia" w:ascii="宋体" w:hAnsi="宋体" w:eastAsia="宋体" w:cs="宋体"/>
          <w:bCs/>
          <w:color w:val="auto"/>
          <w:sz w:val="21"/>
          <w:szCs w:val="21"/>
          <w:highlight w:val="none"/>
          <w:lang w:val="en-US" w:eastAsia="zh-CN"/>
        </w:rPr>
        <w:t>元</w:t>
      </w:r>
    </w:p>
    <w:tbl>
      <w:tblPr>
        <w:tblStyle w:val="29"/>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40"/>
        <w:gridCol w:w="2828"/>
        <w:gridCol w:w="1275"/>
        <w:gridCol w:w="1275"/>
        <w:gridCol w:w="1305"/>
        <w:gridCol w:w="1441"/>
      </w:tblGrid>
      <w:tr w14:paraId="71FC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58" w:type="dxa"/>
            <w:noWrap w:val="0"/>
            <w:vAlign w:val="center"/>
          </w:tcPr>
          <w:p w14:paraId="6121FFF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序号</w:t>
            </w:r>
          </w:p>
        </w:tc>
        <w:tc>
          <w:tcPr>
            <w:tcW w:w="1440" w:type="dxa"/>
            <w:noWrap w:val="0"/>
            <w:vAlign w:val="center"/>
          </w:tcPr>
          <w:p w14:paraId="064D76B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包号</w:t>
            </w:r>
          </w:p>
        </w:tc>
        <w:tc>
          <w:tcPr>
            <w:tcW w:w="2828" w:type="dxa"/>
            <w:noWrap w:val="0"/>
            <w:vAlign w:val="center"/>
          </w:tcPr>
          <w:p w14:paraId="4E52B0F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包名称</w:t>
            </w:r>
          </w:p>
        </w:tc>
        <w:tc>
          <w:tcPr>
            <w:tcW w:w="1275" w:type="dxa"/>
            <w:noWrap w:val="0"/>
            <w:vAlign w:val="center"/>
          </w:tcPr>
          <w:p w14:paraId="0EAFF62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包预算（元）</w:t>
            </w:r>
          </w:p>
        </w:tc>
        <w:tc>
          <w:tcPr>
            <w:tcW w:w="1275" w:type="dxa"/>
            <w:noWrap w:val="0"/>
            <w:vAlign w:val="center"/>
          </w:tcPr>
          <w:p w14:paraId="2EA63CB8">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包最高限价（元）</w:t>
            </w:r>
          </w:p>
        </w:tc>
        <w:tc>
          <w:tcPr>
            <w:tcW w:w="1305" w:type="dxa"/>
            <w:noWrap w:val="0"/>
            <w:vAlign w:val="center"/>
          </w:tcPr>
          <w:p w14:paraId="5902228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是否专门面向中小企业</w:t>
            </w:r>
          </w:p>
        </w:tc>
        <w:tc>
          <w:tcPr>
            <w:tcW w:w="1441" w:type="dxa"/>
            <w:noWrap w:val="0"/>
            <w:vAlign w:val="center"/>
          </w:tcPr>
          <w:p w14:paraId="3E84BE99">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采购预留金额（元）</w:t>
            </w:r>
          </w:p>
        </w:tc>
      </w:tr>
      <w:tr w14:paraId="5636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58" w:type="dxa"/>
            <w:noWrap w:val="0"/>
            <w:vAlign w:val="center"/>
          </w:tcPr>
          <w:p w14:paraId="614A234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1</w:t>
            </w:r>
          </w:p>
        </w:tc>
        <w:tc>
          <w:tcPr>
            <w:tcW w:w="1440" w:type="dxa"/>
            <w:noWrap w:val="0"/>
            <w:vAlign w:val="center"/>
          </w:tcPr>
          <w:p w14:paraId="40B776F6">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default" w:ascii="宋体" w:hAnsi="宋体" w:eastAsia="宋体" w:cs="宋体"/>
                <w:bCs/>
                <w:color w:val="auto"/>
                <w:sz w:val="20"/>
                <w:szCs w:val="20"/>
                <w:highlight w:val="none"/>
                <w:lang w:val="en-US" w:eastAsia="zh-CN"/>
              </w:rPr>
              <w:t>信财磋商采购-2026-21</w:t>
            </w:r>
            <w:r>
              <w:rPr>
                <w:rFonts w:hint="eastAsia" w:eastAsia="宋体" w:cs="宋体"/>
                <w:bCs/>
                <w:color w:val="auto"/>
                <w:sz w:val="20"/>
                <w:szCs w:val="20"/>
                <w:highlight w:val="none"/>
                <w:lang w:val="en-US" w:eastAsia="zh-CN"/>
              </w:rPr>
              <w:t>-1</w:t>
            </w:r>
          </w:p>
        </w:tc>
        <w:tc>
          <w:tcPr>
            <w:tcW w:w="2828" w:type="dxa"/>
            <w:noWrap w:val="0"/>
            <w:vAlign w:val="center"/>
          </w:tcPr>
          <w:p w14:paraId="563C106C">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eastAsia" w:eastAsia="宋体" w:cs="宋体"/>
                <w:bCs/>
                <w:color w:val="auto"/>
                <w:sz w:val="20"/>
                <w:szCs w:val="20"/>
                <w:highlight w:val="none"/>
                <w:lang w:val="en-US" w:eastAsia="zh-CN"/>
              </w:rPr>
              <w:t>国有信阳市南湾林场2026年贤山、震雷山林区生产道路修建工程项目</w:t>
            </w:r>
          </w:p>
        </w:tc>
        <w:tc>
          <w:tcPr>
            <w:tcW w:w="1275" w:type="dxa"/>
            <w:noWrap w:val="0"/>
            <w:vAlign w:val="center"/>
          </w:tcPr>
          <w:p w14:paraId="63B8FB0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eastAsia" w:eastAsia="宋体" w:cs="宋体"/>
                <w:bCs/>
                <w:color w:val="auto"/>
                <w:sz w:val="20"/>
                <w:szCs w:val="20"/>
                <w:highlight w:val="none"/>
                <w:lang w:val="en-US" w:eastAsia="zh-CN"/>
              </w:rPr>
              <w:t>1643274.87</w:t>
            </w:r>
          </w:p>
        </w:tc>
        <w:tc>
          <w:tcPr>
            <w:tcW w:w="1275" w:type="dxa"/>
            <w:noWrap w:val="0"/>
            <w:vAlign w:val="center"/>
          </w:tcPr>
          <w:p w14:paraId="3ABC5B5B">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eastAsia" w:eastAsia="宋体" w:cs="宋体"/>
                <w:bCs/>
                <w:color w:val="auto"/>
                <w:sz w:val="20"/>
                <w:szCs w:val="20"/>
                <w:highlight w:val="none"/>
                <w:lang w:val="en-US" w:eastAsia="zh-CN"/>
              </w:rPr>
              <w:t>1643274.87</w:t>
            </w:r>
          </w:p>
        </w:tc>
        <w:tc>
          <w:tcPr>
            <w:tcW w:w="1305" w:type="dxa"/>
            <w:noWrap w:val="0"/>
            <w:vAlign w:val="center"/>
          </w:tcPr>
          <w:p w14:paraId="2C3ABAE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eastAsia" w:eastAsia="宋体" w:cs="宋体"/>
                <w:bCs/>
                <w:color w:val="auto"/>
                <w:sz w:val="20"/>
                <w:szCs w:val="20"/>
                <w:highlight w:val="none"/>
                <w:lang w:val="en-US" w:eastAsia="zh-CN"/>
              </w:rPr>
              <w:t>是</w:t>
            </w:r>
          </w:p>
        </w:tc>
        <w:tc>
          <w:tcPr>
            <w:tcW w:w="1441" w:type="dxa"/>
            <w:noWrap w:val="0"/>
            <w:vAlign w:val="center"/>
          </w:tcPr>
          <w:p w14:paraId="7F4DE7C0">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default" w:ascii="宋体" w:hAnsi="宋体" w:eastAsia="宋体" w:cs="宋体"/>
                <w:bCs/>
                <w:color w:val="auto"/>
                <w:sz w:val="20"/>
                <w:szCs w:val="20"/>
                <w:highlight w:val="none"/>
                <w:lang w:val="en-US" w:eastAsia="zh-CN"/>
              </w:rPr>
            </w:pPr>
            <w:r>
              <w:rPr>
                <w:rFonts w:hint="eastAsia" w:eastAsia="宋体" w:cs="宋体"/>
                <w:bCs/>
                <w:color w:val="auto"/>
                <w:sz w:val="20"/>
                <w:szCs w:val="20"/>
                <w:highlight w:val="none"/>
                <w:lang w:val="en-US" w:eastAsia="zh-CN"/>
              </w:rPr>
              <w:t>1643274.87</w:t>
            </w:r>
          </w:p>
        </w:tc>
      </w:tr>
    </w:tbl>
    <w:p w14:paraId="15478119">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5、采购需求：</w:t>
      </w:r>
    </w:p>
    <w:p w14:paraId="261A0A60">
      <w:pPr>
        <w:pStyle w:val="24"/>
        <w:widowControl w:val="0"/>
        <w:spacing w:before="0" w:beforeAutospacing="0" w:after="0" w:afterAutospacing="0" w:line="40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5.1采购内容：</w:t>
      </w:r>
      <w:r>
        <w:rPr>
          <w:rFonts w:hint="eastAsia" w:eastAsia="宋体" w:cs="宋体"/>
          <w:bCs/>
          <w:color w:val="auto"/>
          <w:sz w:val="21"/>
          <w:szCs w:val="21"/>
          <w:highlight w:val="none"/>
          <w:lang w:val="en-US" w:eastAsia="zh-CN"/>
        </w:rPr>
        <w:t>工程量清单内所包含的全部内容</w:t>
      </w:r>
    </w:p>
    <w:p w14:paraId="3C51CC00">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w:t>
      </w:r>
      <w:r>
        <w:rPr>
          <w:rFonts w:hint="eastAsia" w:eastAsia="宋体" w:cs="宋体"/>
          <w:bCs/>
          <w:color w:val="auto"/>
          <w:sz w:val="21"/>
          <w:szCs w:val="21"/>
          <w:highlight w:val="none"/>
          <w:lang w:val="en-US" w:eastAsia="zh-CN"/>
        </w:rPr>
        <w:t>质量要求：合格，符合国家相关质量验收标准</w:t>
      </w:r>
      <w:r>
        <w:rPr>
          <w:rFonts w:hint="eastAsia" w:ascii="宋体" w:hAnsi="宋体" w:eastAsia="宋体" w:cs="宋体"/>
          <w:bCs/>
          <w:color w:val="auto"/>
          <w:sz w:val="21"/>
          <w:szCs w:val="21"/>
          <w:highlight w:val="none"/>
          <w:lang w:val="en-US" w:eastAsia="zh-CN"/>
        </w:rPr>
        <w:t>；</w:t>
      </w:r>
    </w:p>
    <w:p w14:paraId="096C0AA4">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5.3计划工期：</w:t>
      </w:r>
      <w:r>
        <w:rPr>
          <w:rFonts w:hint="eastAsia" w:eastAsia="宋体" w:cs="宋体"/>
          <w:bCs/>
          <w:color w:val="auto"/>
          <w:sz w:val="21"/>
          <w:szCs w:val="21"/>
          <w:highlight w:val="none"/>
          <w:lang w:val="en-US" w:eastAsia="zh-CN"/>
        </w:rPr>
        <w:t>90日历天</w:t>
      </w:r>
      <w:r>
        <w:rPr>
          <w:rFonts w:hint="eastAsia" w:ascii="宋体" w:hAnsi="宋体" w:eastAsia="宋体" w:cs="宋体"/>
          <w:bCs/>
          <w:color w:val="auto"/>
          <w:sz w:val="21"/>
          <w:szCs w:val="21"/>
          <w:highlight w:val="none"/>
          <w:lang w:val="en-US" w:eastAsia="zh-CN"/>
        </w:rPr>
        <w:t>；</w:t>
      </w:r>
    </w:p>
    <w:p w14:paraId="421BF628">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6.合同履行期限：</w:t>
      </w:r>
      <w:r>
        <w:rPr>
          <w:rFonts w:hint="eastAsia" w:eastAsia="宋体" w:cs="宋体"/>
          <w:bCs/>
          <w:color w:val="auto"/>
          <w:sz w:val="21"/>
          <w:szCs w:val="21"/>
          <w:highlight w:val="none"/>
          <w:lang w:val="en-US" w:eastAsia="zh-CN"/>
        </w:rPr>
        <w:t>90日历天</w:t>
      </w:r>
      <w:r>
        <w:rPr>
          <w:rFonts w:hint="eastAsia" w:ascii="宋体" w:hAnsi="宋体" w:eastAsia="宋体" w:cs="宋体"/>
          <w:bCs/>
          <w:color w:val="auto"/>
          <w:sz w:val="21"/>
          <w:szCs w:val="21"/>
          <w:highlight w:val="none"/>
          <w:lang w:val="en-US" w:eastAsia="zh-CN"/>
        </w:rPr>
        <w:t>；</w:t>
      </w:r>
    </w:p>
    <w:p w14:paraId="02B62B62">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7.本项目是否接受联合体投标：否</w:t>
      </w:r>
      <w:r>
        <w:rPr>
          <w:rFonts w:hint="eastAsia" w:eastAsia="宋体" w:cs="宋体"/>
          <w:bCs/>
          <w:color w:val="auto"/>
          <w:sz w:val="21"/>
          <w:szCs w:val="21"/>
          <w:highlight w:val="none"/>
          <w:lang w:val="en-US" w:eastAsia="zh-CN"/>
        </w:rPr>
        <w:t>；</w:t>
      </w:r>
    </w:p>
    <w:p w14:paraId="50A4CEC6">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8.是否接受进口产品：否</w:t>
      </w:r>
      <w:r>
        <w:rPr>
          <w:rFonts w:hint="eastAsia" w:eastAsia="宋体" w:cs="宋体"/>
          <w:bCs/>
          <w:color w:val="auto"/>
          <w:sz w:val="21"/>
          <w:szCs w:val="21"/>
          <w:highlight w:val="none"/>
          <w:lang w:val="en-US" w:eastAsia="zh-CN"/>
        </w:rPr>
        <w:t>；</w:t>
      </w:r>
    </w:p>
    <w:p w14:paraId="060A395E">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9.是否专门面向中小企业：是。</w:t>
      </w:r>
    </w:p>
    <w:p w14:paraId="5821BEA9">
      <w:pPr>
        <w:pStyle w:val="24"/>
        <w:widowControl w:val="0"/>
        <w:spacing w:before="0" w:beforeAutospacing="0" w:after="0" w:afterAutospacing="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6130C6CA">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1、满足《中华人民共和国政府采购法》第二十二条规定。</w:t>
      </w:r>
    </w:p>
    <w:p w14:paraId="5C1DB7C1">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2、落实政府采购政策满足的资格要求：本项目专门面向中小企业采购。参加本项目的中小企业须提供《中小企业声明函》 （格式详见招标文件内《中小企业声明函》样本），不符合要求的声明函或未提供的将视为不符合资格要求。</w:t>
      </w:r>
    </w:p>
    <w:p w14:paraId="72B809BC">
      <w:pPr>
        <w:pStyle w:val="24"/>
        <w:widowControl w:val="0"/>
        <w:numPr>
          <w:ilvl w:val="0"/>
          <w:numId w:val="1"/>
        </w:numPr>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本项目的特定资格要求：</w:t>
      </w:r>
    </w:p>
    <w:p w14:paraId="0A730D04">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3.1</w:t>
      </w:r>
      <w:r>
        <w:rPr>
          <w:rFonts w:hint="eastAsia" w:cs="宋体"/>
          <w:color w:val="auto"/>
          <w:kern w:val="2"/>
          <w:sz w:val="21"/>
          <w:szCs w:val="21"/>
          <w:highlight w:val="none"/>
          <w:lang w:val="en-US" w:eastAsia="zh-CN" w:bidi="ar-SA"/>
        </w:rPr>
        <w:t>供应商须具备建设行政主管部门核发的公路工程施工总承包叁级及以上资质或市政公用工程施工总承包叁级及以上资质</w:t>
      </w:r>
      <w:r>
        <w:rPr>
          <w:rFonts w:hint="eastAsia" w:ascii="宋体" w:hAnsi="宋体" w:cs="宋体" w:eastAsiaTheme="minorEastAsia"/>
          <w:color w:val="auto"/>
          <w:kern w:val="2"/>
          <w:sz w:val="21"/>
          <w:szCs w:val="21"/>
          <w:highlight w:val="none"/>
          <w:lang w:val="en-US" w:eastAsia="zh-CN" w:bidi="ar-SA"/>
        </w:rPr>
        <w:t>，且具有有效的企业安全生产许可证。</w:t>
      </w:r>
    </w:p>
    <w:p w14:paraId="30C5D39D">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3.2供应商拟派项目经理须具有</w:t>
      </w:r>
      <w:r>
        <w:rPr>
          <w:rFonts w:hint="eastAsia" w:cs="宋体"/>
          <w:color w:val="auto"/>
          <w:kern w:val="2"/>
          <w:sz w:val="21"/>
          <w:szCs w:val="21"/>
          <w:highlight w:val="none"/>
          <w:lang w:val="en-US" w:eastAsia="zh-CN" w:bidi="ar-SA"/>
        </w:rPr>
        <w:t>公路工程或市政公用工程专业贰级及以上注册建造师证书</w:t>
      </w:r>
      <w:r>
        <w:rPr>
          <w:rFonts w:hint="eastAsia" w:ascii="宋体" w:hAnsi="宋体" w:cs="宋体" w:eastAsiaTheme="minorEastAsia"/>
          <w:color w:val="auto"/>
          <w:kern w:val="2"/>
          <w:sz w:val="21"/>
          <w:szCs w:val="21"/>
          <w:highlight w:val="none"/>
          <w:lang w:val="en-US" w:eastAsia="zh-CN" w:bidi="ar-SA"/>
        </w:rPr>
        <w:t>（不含临时建造师），具备有效的安全生产考核合格证书且无在建工程。</w:t>
      </w:r>
    </w:p>
    <w:p w14:paraId="2918F954">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3</w:t>
      </w:r>
      <w:r>
        <w:rPr>
          <w:rFonts w:hint="eastAsia" w:ascii="宋体" w:hAnsi="宋体" w:cs="宋体" w:eastAsiaTheme="minorEastAsia"/>
          <w:color w:val="auto"/>
          <w:kern w:val="2"/>
          <w:sz w:val="21"/>
          <w:szCs w:val="21"/>
          <w:highlight w:val="none"/>
          <w:lang w:val="en-US" w:eastAsia="zh-CN" w:bidi="ar-SA"/>
        </w:rPr>
        <w:t>根据《关于在政府采购活动中查询及使用信用记录有关问题的通知》财库〔2016〕125号文件的规定，采购人及代理机构应对投标人进行信用记录查询，具体查询渠道为：“信用中国”网站（www.creditchina.gov.cn）查询“失信被执行人”和“重大税收违法失信主体”；中国政府采购网（www.ccgp.gov.cn）查询“政府采购严重违法失信行为记录名单”。为避免采购人核验错误，建议投标人提供“信用中国”网站（www.creditchina.gov.cn）查询“失信被执行人”和“重大税收违法失信主体”；中国政府采购网（www.ccgp.gov.cn）查询“政府采购严重违法失信行为记录名单”渠道查询自身信用记录，提供查询网页截图。</w:t>
      </w:r>
    </w:p>
    <w:p w14:paraId="2DCE7BB3">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4、其他说明：</w:t>
      </w:r>
    </w:p>
    <w:p w14:paraId="7882D5A4">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4.1单位负责人为同一人或者存在直接控股、管理关系的不同单位，不得同时参加同一合同项下的政府采购活动。（提供加盖投标人公章的“国家企业信用信息公示系统”中公示的公司基础信息包含股东及出资信息）。</w:t>
      </w:r>
    </w:p>
    <w:p w14:paraId="1F132A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4.2本项目</w:t>
      </w:r>
      <w:r>
        <w:rPr>
          <w:rFonts w:hint="eastAsia" w:ascii="宋体" w:hAnsi="宋体" w:cs="宋体" w:eastAsiaTheme="minorEastAsia"/>
          <w:b/>
          <w:bCs/>
          <w:color w:val="auto"/>
          <w:kern w:val="2"/>
          <w:sz w:val="21"/>
          <w:szCs w:val="21"/>
          <w:highlight w:val="none"/>
          <w:u w:val="single"/>
          <w:lang w:val="en-US" w:eastAsia="zh-CN" w:bidi="ar-SA"/>
        </w:rPr>
        <w:t xml:space="preserve"> 适用 </w:t>
      </w:r>
      <w:r>
        <w:rPr>
          <w:rFonts w:hint="eastAsia" w:ascii="宋体" w:hAnsi="宋体" w:cs="宋体" w:eastAsiaTheme="minorEastAsia"/>
          <w:color w:val="auto"/>
          <w:kern w:val="2"/>
          <w:sz w:val="21"/>
          <w:szCs w:val="21"/>
          <w:highlight w:val="none"/>
          <w:lang w:val="en-US" w:eastAsia="zh-CN" w:bidi="ar-SA"/>
        </w:rPr>
        <w:t>信用承诺（详见下述要求）。</w:t>
      </w:r>
    </w:p>
    <w:p w14:paraId="4FC4E11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（一）在本项目政府采购活动中，供应商在投标（响应）时，可对照资格要求进行自主核对，确定符合资格要求的，可按照规定提供相关承诺函（详见响应文件“七、 资格审查资料”附件），供应商只需在资格审查环节提供满足相应条件的书面承诺书，不再需要提供以下证明材料：</w:t>
      </w:r>
    </w:p>
    <w:p w14:paraId="32CA01D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①符合国家相关规定的财务状况报告（2024年度或2025年度财务审计报告或其基本开户银行出具的资信证明）；</w:t>
      </w:r>
    </w:p>
    <w:p w14:paraId="77E59E1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②依法缴纳税收的证明材料（提供开标前12个月内任意3个月纳税证明，新成立公司不足3个月的，按已缴纳月份提供。如依法免税的，须提供相关部门出具的证明文件）；</w:t>
      </w:r>
    </w:p>
    <w:p w14:paraId="60A218A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③依法缴纳社会保障资金的证明材料（提供开标前12个月内任意3个月缴纳社会保障证明，新成立公司不足3个月的，按已缴纳月份提供。如不需要缴纳社会保障资金的投标人，须提供相关部门出具的证明文件）；</w:t>
      </w:r>
    </w:p>
    <w:p w14:paraId="04561C4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④具备履行政府采购合同所必需的设备和专业技术能力的证明材料（</w:t>
      </w:r>
      <w:r>
        <w:rPr>
          <w:rFonts w:hint="eastAsia" w:ascii="宋体" w:hAnsi="宋体" w:eastAsia="宋体" w:cs="宋体"/>
          <w:color w:val="auto"/>
          <w:kern w:val="0"/>
          <w:szCs w:val="21"/>
          <w:highlight w:val="none"/>
          <w:lang w:val="en-US" w:eastAsia="zh-CN"/>
        </w:rPr>
        <w:t>供应商对该项内容进行承诺，并加盖本单位公章，同时提供履行合同的法定营业执照</w:t>
      </w:r>
      <w:r>
        <w:rPr>
          <w:rFonts w:hint="eastAsia" w:ascii="宋体" w:hAnsi="宋体" w:cs="宋体" w:eastAsiaTheme="minorEastAsia"/>
          <w:color w:val="auto"/>
          <w:kern w:val="2"/>
          <w:sz w:val="21"/>
          <w:szCs w:val="21"/>
          <w:highlight w:val="none"/>
          <w:lang w:val="en-US" w:eastAsia="zh-CN" w:bidi="ar-SA"/>
        </w:rPr>
        <w:t>）；</w:t>
      </w:r>
    </w:p>
    <w:p w14:paraId="53D6F0E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⑤参加政府采购活动前三年内在经营活动中没有重大违法记录的证明材料；（供应商自行作出承诺，并加盖本单位公章）；</w:t>
      </w:r>
    </w:p>
    <w:p w14:paraId="0E864EF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（二）投标人在中标后，应将上述由信用承诺函替代的证明材料提交采购人（采购代理机构）核验，经核验无误后，由采购人发出中标通知书。</w:t>
      </w:r>
    </w:p>
    <w:p w14:paraId="7EB73E93">
      <w:pPr>
        <w:pStyle w:val="55"/>
        <w:spacing w:line="400" w:lineRule="exact"/>
        <w:ind w:left="0" w:leftChars="0" w:firstLine="422"/>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2870C8C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1、时间：</w:t>
      </w:r>
      <w:r>
        <w:rPr>
          <w:rFonts w:hint="eastAsia" w:ascii="宋体" w:hAnsi="宋体" w:cs="宋体"/>
          <w:color w:val="auto"/>
          <w:kern w:val="0"/>
          <w:szCs w:val="21"/>
          <w:highlight w:val="none"/>
          <w:lang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6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8  </w:t>
      </w:r>
      <w:r>
        <w:rPr>
          <w:rFonts w:hint="eastAsia" w:ascii="宋体" w:hAnsi="宋体" w:cs="宋体"/>
          <w:color w:val="auto"/>
          <w:kern w:val="0"/>
          <w:szCs w:val="21"/>
          <w:highlight w:val="none"/>
        </w:rPr>
        <w:t>日00时00分至</w:t>
      </w:r>
      <w:r>
        <w:rPr>
          <w:rFonts w:hint="eastAsia" w:ascii="宋体" w:hAnsi="宋体" w:cs="宋体"/>
          <w:color w:val="auto"/>
          <w:kern w:val="0"/>
          <w:szCs w:val="21"/>
          <w:highlight w:val="none"/>
          <w:lang w:eastAsia="zh-CN"/>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6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12   </w:t>
      </w:r>
      <w:r>
        <w:rPr>
          <w:rFonts w:hint="eastAsia" w:ascii="宋体" w:hAnsi="宋体" w:cs="宋体"/>
          <w:color w:val="auto"/>
          <w:kern w:val="0"/>
          <w:szCs w:val="21"/>
          <w:highlight w:val="none"/>
        </w:rPr>
        <w:t>日23时59分（北京时间）</w:t>
      </w:r>
    </w:p>
    <w:p w14:paraId="388FEE4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2、地点：</w:t>
      </w:r>
      <w:r>
        <w:rPr>
          <w:rFonts w:hint="eastAsia" w:ascii="宋体" w:hAnsi="宋体" w:cs="宋体"/>
          <w:color w:val="auto"/>
          <w:kern w:val="2"/>
          <w:sz w:val="21"/>
          <w:szCs w:val="21"/>
          <w:highlight w:val="none"/>
          <w:lang w:val="en-US" w:eastAsia="zh-CN" w:bidi="ar-SA"/>
        </w:rPr>
        <w:t>登录</w:t>
      </w:r>
      <w:r>
        <w:rPr>
          <w:rFonts w:hint="eastAsia" w:ascii="宋体" w:hAnsi="宋体" w:cs="宋体" w:eastAsiaTheme="minorEastAsia"/>
          <w:color w:val="auto"/>
          <w:kern w:val="2"/>
          <w:sz w:val="21"/>
          <w:szCs w:val="21"/>
          <w:highlight w:val="none"/>
          <w:lang w:val="en-US" w:eastAsia="zh-CN" w:bidi="ar-SA"/>
        </w:rPr>
        <w:t>“全国公共资源交易平台（河南省·信阳市）（https://ggzyjy.xinyang.gov.cn/）”网站，凭办理的企业身份认证锁（CA数字证书）</w:t>
      </w:r>
      <w:r>
        <w:rPr>
          <w:rFonts w:hint="eastAsia" w:ascii="宋体" w:hAnsi="宋体" w:cs="宋体"/>
          <w:color w:val="auto"/>
          <w:kern w:val="2"/>
          <w:sz w:val="21"/>
          <w:szCs w:val="21"/>
          <w:highlight w:val="none"/>
          <w:lang w:val="en-US" w:eastAsia="zh-CN" w:bidi="ar-SA"/>
        </w:rPr>
        <w:t>登录</w:t>
      </w:r>
      <w:r>
        <w:rPr>
          <w:rFonts w:hint="eastAsia" w:ascii="宋体" w:hAnsi="宋体" w:cs="宋体" w:eastAsiaTheme="minorEastAsia"/>
          <w:color w:val="auto"/>
          <w:kern w:val="2"/>
          <w:sz w:val="21"/>
          <w:szCs w:val="21"/>
          <w:highlight w:val="none"/>
          <w:lang w:val="en-US" w:eastAsia="zh-CN" w:bidi="ar-SA"/>
        </w:rPr>
        <w:t>会员系统进行网上投标；</w:t>
      </w:r>
    </w:p>
    <w:p w14:paraId="310B9D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3、方式：</w:t>
      </w:r>
      <w:r>
        <w:rPr>
          <w:rFonts w:hint="eastAsia" w:ascii="宋体" w:hAnsi="宋体" w:cs="宋体"/>
          <w:color w:val="auto"/>
          <w:kern w:val="2"/>
          <w:sz w:val="21"/>
          <w:szCs w:val="21"/>
          <w:highlight w:val="none"/>
          <w:lang w:val="en-US" w:eastAsia="zh-CN" w:bidi="ar-SA"/>
        </w:rPr>
        <w:t>供应商</w:t>
      </w:r>
      <w:r>
        <w:rPr>
          <w:rFonts w:hint="eastAsia" w:ascii="宋体" w:hAnsi="宋体" w:cs="宋体" w:eastAsiaTheme="minorEastAsia"/>
          <w:color w:val="auto"/>
          <w:kern w:val="2"/>
          <w:sz w:val="21"/>
          <w:szCs w:val="21"/>
          <w:highlight w:val="none"/>
          <w:lang w:val="en-US" w:eastAsia="zh-CN" w:bidi="ar-SA"/>
        </w:rPr>
        <w:t>凭CA数字证书</w:t>
      </w:r>
      <w:r>
        <w:rPr>
          <w:rFonts w:hint="eastAsia" w:ascii="宋体" w:hAnsi="宋体" w:cs="宋体"/>
          <w:color w:val="auto"/>
          <w:kern w:val="2"/>
          <w:sz w:val="21"/>
          <w:szCs w:val="21"/>
          <w:highlight w:val="none"/>
          <w:lang w:val="en-US" w:eastAsia="zh-CN" w:bidi="ar-SA"/>
        </w:rPr>
        <w:t>登录</w:t>
      </w:r>
      <w:r>
        <w:rPr>
          <w:rFonts w:hint="eastAsia" w:ascii="宋体" w:hAnsi="宋体" w:cs="宋体" w:eastAsiaTheme="minorEastAsia"/>
          <w:color w:val="auto"/>
          <w:kern w:val="2"/>
          <w:sz w:val="21"/>
          <w:szCs w:val="21"/>
          <w:highlight w:val="none"/>
          <w:lang w:val="en-US" w:eastAsia="zh-CN" w:bidi="ar-SA"/>
        </w:rPr>
        <w:t>会员系统后，即可按网上提示免费下载</w:t>
      </w:r>
      <w:r>
        <w:rPr>
          <w:rFonts w:hint="eastAsia" w:ascii="宋体" w:hAnsi="宋体" w:cs="宋体"/>
          <w:color w:val="auto"/>
          <w:kern w:val="2"/>
          <w:sz w:val="21"/>
          <w:szCs w:val="21"/>
          <w:highlight w:val="none"/>
          <w:lang w:val="en-US" w:eastAsia="zh-CN" w:bidi="ar-SA"/>
        </w:rPr>
        <w:t>磋商</w:t>
      </w:r>
      <w:r>
        <w:rPr>
          <w:rFonts w:hint="eastAsia" w:ascii="宋体" w:hAnsi="宋体" w:cs="宋体" w:eastAsiaTheme="minorEastAsia"/>
          <w:color w:val="auto"/>
          <w:kern w:val="2"/>
          <w:sz w:val="21"/>
          <w:szCs w:val="21"/>
          <w:highlight w:val="none"/>
          <w:lang w:val="en-US" w:eastAsia="zh-CN" w:bidi="ar-SA"/>
        </w:rPr>
        <w:t>文件及资料（操作程序详见信阳市公共资源交易中心网站下载中心栏目里</w:t>
      </w:r>
      <w:r>
        <w:rPr>
          <w:rFonts w:hint="eastAsia" w:ascii="宋体" w:hAnsi="宋体" w:cs="宋体"/>
          <w:color w:val="auto"/>
          <w:kern w:val="2"/>
          <w:sz w:val="21"/>
          <w:szCs w:val="21"/>
          <w:highlight w:val="none"/>
          <w:lang w:val="en-US" w:eastAsia="zh-CN" w:bidi="ar-SA"/>
        </w:rPr>
        <w:t>供应商</w:t>
      </w:r>
      <w:r>
        <w:rPr>
          <w:rFonts w:hint="eastAsia" w:ascii="宋体" w:hAnsi="宋体" w:cs="宋体" w:eastAsiaTheme="minorEastAsia"/>
          <w:color w:val="auto"/>
          <w:kern w:val="2"/>
          <w:sz w:val="21"/>
          <w:szCs w:val="21"/>
          <w:highlight w:val="none"/>
          <w:lang w:val="en-US" w:eastAsia="zh-CN" w:bidi="ar-SA"/>
        </w:rPr>
        <w:t>操作手册）。</w:t>
      </w:r>
      <w:r>
        <w:rPr>
          <w:rFonts w:hint="eastAsia" w:ascii="宋体" w:hAnsi="宋体" w:cs="宋体"/>
          <w:color w:val="auto"/>
          <w:kern w:val="2"/>
          <w:sz w:val="21"/>
          <w:szCs w:val="21"/>
          <w:highlight w:val="none"/>
          <w:lang w:val="en-US" w:eastAsia="zh-CN" w:bidi="ar-SA"/>
        </w:rPr>
        <w:t>磋商</w:t>
      </w:r>
      <w:r>
        <w:rPr>
          <w:rFonts w:hint="eastAsia" w:ascii="宋体" w:hAnsi="宋体" w:cs="宋体" w:eastAsiaTheme="minorEastAsia"/>
          <w:color w:val="auto"/>
          <w:kern w:val="2"/>
          <w:sz w:val="21"/>
          <w:szCs w:val="21"/>
          <w:highlight w:val="none"/>
          <w:lang w:val="en-US" w:eastAsia="zh-CN" w:bidi="ar-SA"/>
        </w:rPr>
        <w:t>文件(*.XYZF格式)下载后需使用“信阳市投标文件制作工具软件”打开（该工具软件可在“全国公共资源交易平台（河南省·信阳市）（https://ggzyjy.xinyang.gov.cn/）”网站下载中心栏目内下载或在招标文件领取页面下载）。</w:t>
      </w:r>
    </w:p>
    <w:p w14:paraId="74BAEEC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4、售价：0元。</w:t>
      </w:r>
    </w:p>
    <w:p w14:paraId="41A3E7BF">
      <w:pPr>
        <w:widowControl/>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四、响应文件提交：</w:t>
      </w:r>
    </w:p>
    <w:p w14:paraId="6F2703C9">
      <w:pPr>
        <w:pStyle w:val="24"/>
        <w:widowControl w:val="0"/>
        <w:tabs>
          <w:tab w:val="left" w:pos="2400"/>
          <w:tab w:val="left" w:pos="3460"/>
          <w:tab w:val="left" w:pos="7689"/>
          <w:tab w:val="left" w:pos="7737"/>
        </w:tabs>
        <w:wordWrap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1、时间：</w:t>
      </w:r>
      <w:r>
        <w:rPr>
          <w:rFonts w:hint="eastAsia" w:eastAsia="宋体" w:cs="宋体"/>
          <w:bCs/>
          <w:color w:val="auto"/>
          <w:sz w:val="21"/>
          <w:szCs w:val="21"/>
          <w:highlight w:val="none"/>
          <w:lang w:val="en-US" w:eastAsia="zh-CN"/>
        </w:rPr>
        <w:t>2026</w:t>
      </w:r>
      <w:r>
        <w:rPr>
          <w:rFonts w:hint="eastAsia" w:ascii="宋体" w:hAnsi="宋体" w:eastAsia="宋体" w:cs="宋体"/>
          <w:color w:val="auto"/>
          <w:kern w:val="0"/>
          <w:sz w:val="21"/>
          <w:szCs w:val="21"/>
          <w:highlight w:val="none"/>
          <w:lang w:val="en-US" w:eastAsia="zh-CN" w:bidi="ar-SA"/>
        </w:rPr>
        <w:t>年</w:t>
      </w:r>
      <w:r>
        <w:rPr>
          <w:rFonts w:hint="eastAsia"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月</w:t>
      </w:r>
      <w:r>
        <w:rPr>
          <w:rFonts w:hint="eastAsia" w:eastAsia="宋体" w:cs="宋体"/>
          <w:color w:val="auto"/>
          <w:kern w:val="0"/>
          <w:sz w:val="21"/>
          <w:szCs w:val="21"/>
          <w:highlight w:val="none"/>
          <w:lang w:val="en-US" w:eastAsia="zh-CN" w:bidi="ar-SA"/>
        </w:rPr>
        <w:t xml:space="preserve"> 18  </w:t>
      </w:r>
      <w:r>
        <w:rPr>
          <w:rFonts w:hint="eastAsia" w:ascii="宋体" w:hAnsi="宋体" w:eastAsia="宋体" w:cs="宋体"/>
          <w:color w:val="auto"/>
          <w:kern w:val="0"/>
          <w:sz w:val="21"/>
          <w:szCs w:val="21"/>
          <w:highlight w:val="none"/>
          <w:lang w:val="en-US" w:eastAsia="zh-CN" w:bidi="ar-SA"/>
        </w:rPr>
        <w:t>日</w:t>
      </w:r>
      <w:r>
        <w:rPr>
          <w:rFonts w:hint="eastAsia" w:eastAsia="宋体" w:cs="宋体"/>
          <w:color w:val="auto"/>
          <w:kern w:val="0"/>
          <w:sz w:val="21"/>
          <w:szCs w:val="21"/>
          <w:highlight w:val="none"/>
          <w:lang w:val="en-US" w:eastAsia="zh-CN" w:bidi="ar-SA"/>
        </w:rPr>
        <w:t>09</w:t>
      </w:r>
      <w:r>
        <w:rPr>
          <w:rFonts w:hint="eastAsia" w:ascii="宋体" w:hAnsi="宋体" w:eastAsia="宋体" w:cs="宋体"/>
          <w:color w:val="auto"/>
          <w:kern w:val="0"/>
          <w:sz w:val="21"/>
          <w:szCs w:val="21"/>
          <w:highlight w:val="none"/>
          <w:lang w:val="en-US" w:eastAsia="zh-CN" w:bidi="ar-SA"/>
        </w:rPr>
        <w:t>时</w:t>
      </w:r>
      <w:r>
        <w:rPr>
          <w:rFonts w:hint="eastAsia" w:eastAsia="宋体" w:cs="宋体"/>
          <w:color w:val="auto"/>
          <w:kern w:val="0"/>
          <w:sz w:val="21"/>
          <w:szCs w:val="21"/>
          <w:highlight w:val="none"/>
          <w:lang w:val="en-US" w:eastAsia="zh-CN" w:bidi="ar-SA"/>
        </w:rPr>
        <w:t>00</w:t>
      </w:r>
      <w:r>
        <w:rPr>
          <w:rFonts w:hint="eastAsia" w:ascii="宋体" w:hAnsi="宋体" w:eastAsia="宋体" w:cs="宋体"/>
          <w:color w:val="auto"/>
          <w:kern w:val="0"/>
          <w:sz w:val="21"/>
          <w:szCs w:val="21"/>
          <w:highlight w:val="none"/>
          <w:lang w:val="en-US" w:eastAsia="zh-CN" w:bidi="ar-SA"/>
        </w:rPr>
        <w:t>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192FCA2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地点：</w:t>
      </w:r>
      <w:r>
        <w:rPr>
          <w:rFonts w:hint="eastAsia" w:ascii="宋体" w:hAnsi="宋体" w:cs="宋体"/>
          <w:color w:val="auto"/>
          <w:kern w:val="0"/>
          <w:szCs w:val="21"/>
          <w:highlight w:val="none"/>
        </w:rPr>
        <w:t>供应商必须在</w:t>
      </w:r>
      <w:r>
        <w:rPr>
          <w:rFonts w:hint="eastAsia" w:ascii="宋体" w:hAnsi="宋体" w:cs="宋体"/>
          <w:color w:val="auto"/>
          <w:kern w:val="0"/>
          <w:szCs w:val="21"/>
          <w:highlight w:val="none"/>
          <w:lang w:eastAsia="zh-CN"/>
        </w:rPr>
        <w:t>响应文件提交截止时间前</w:t>
      </w:r>
      <w:r>
        <w:rPr>
          <w:rFonts w:hint="eastAsia" w:ascii="宋体" w:hAnsi="宋体" w:cs="宋体"/>
          <w:color w:val="auto"/>
          <w:kern w:val="0"/>
          <w:szCs w:val="21"/>
          <w:highlight w:val="none"/>
        </w:rPr>
        <w:t>通过信阳市公共资源交易中心电子招投标系统上传加密的电子响应文件(*.XYTF格式)。注：加密电子响应文件逾期上传采购人不予受理。</w:t>
      </w:r>
    </w:p>
    <w:p w14:paraId="08E19B0D">
      <w:pPr>
        <w:widowControl/>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五、响应文件开启：</w:t>
      </w:r>
    </w:p>
    <w:p w14:paraId="36E8C1B4">
      <w:pPr>
        <w:pStyle w:val="24"/>
        <w:widowControl w:val="0"/>
        <w:tabs>
          <w:tab w:val="left" w:pos="2400"/>
          <w:tab w:val="left" w:pos="3460"/>
          <w:tab w:val="left" w:pos="7689"/>
          <w:tab w:val="left" w:pos="7737"/>
        </w:tabs>
        <w:wordWrap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1、时间：</w:t>
      </w:r>
      <w:r>
        <w:rPr>
          <w:rFonts w:hint="eastAsia" w:eastAsia="宋体" w:cs="宋体"/>
          <w:bCs/>
          <w:color w:val="auto"/>
          <w:sz w:val="21"/>
          <w:szCs w:val="21"/>
          <w:highlight w:val="none"/>
          <w:lang w:val="en-US" w:eastAsia="zh-CN"/>
        </w:rPr>
        <w:t>2026</w:t>
      </w:r>
      <w:r>
        <w:rPr>
          <w:rFonts w:hint="eastAsia" w:ascii="宋体" w:hAnsi="宋体" w:eastAsia="宋体" w:cs="宋体"/>
          <w:color w:val="auto"/>
          <w:kern w:val="0"/>
          <w:sz w:val="21"/>
          <w:szCs w:val="21"/>
          <w:highlight w:val="none"/>
          <w:lang w:val="en-US" w:eastAsia="zh-CN" w:bidi="ar-SA"/>
        </w:rPr>
        <w:t>年</w:t>
      </w:r>
      <w:r>
        <w:rPr>
          <w:rFonts w:hint="eastAsia"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月</w:t>
      </w:r>
      <w:r>
        <w:rPr>
          <w:rFonts w:hint="eastAsia" w:eastAsia="宋体" w:cs="宋体"/>
          <w:color w:val="auto"/>
          <w:kern w:val="0"/>
          <w:sz w:val="21"/>
          <w:szCs w:val="21"/>
          <w:highlight w:val="none"/>
          <w:lang w:val="en-US" w:eastAsia="zh-CN" w:bidi="ar-SA"/>
        </w:rPr>
        <w:t xml:space="preserve"> 18 </w:t>
      </w:r>
      <w:r>
        <w:rPr>
          <w:rFonts w:hint="eastAsia" w:ascii="宋体" w:hAnsi="宋体" w:eastAsia="宋体" w:cs="宋体"/>
          <w:color w:val="auto"/>
          <w:kern w:val="0"/>
          <w:sz w:val="21"/>
          <w:szCs w:val="21"/>
          <w:highlight w:val="none"/>
          <w:lang w:val="en-US" w:eastAsia="zh-CN" w:bidi="ar-SA"/>
        </w:rPr>
        <w:t>日</w:t>
      </w:r>
      <w:r>
        <w:rPr>
          <w:rFonts w:hint="eastAsia" w:eastAsia="宋体" w:cs="宋体"/>
          <w:color w:val="auto"/>
          <w:kern w:val="0"/>
          <w:sz w:val="21"/>
          <w:szCs w:val="21"/>
          <w:highlight w:val="none"/>
          <w:lang w:val="en-US" w:eastAsia="zh-CN" w:bidi="ar-SA"/>
        </w:rPr>
        <w:t>09</w:t>
      </w:r>
      <w:r>
        <w:rPr>
          <w:rFonts w:hint="eastAsia" w:ascii="宋体" w:hAnsi="宋体" w:eastAsia="宋体" w:cs="宋体"/>
          <w:bCs/>
          <w:color w:val="auto"/>
          <w:sz w:val="21"/>
          <w:szCs w:val="21"/>
          <w:highlight w:val="none"/>
        </w:rPr>
        <w:t>时</w:t>
      </w:r>
      <w:r>
        <w:rPr>
          <w:rFonts w:hint="eastAsia" w:eastAsia="宋体" w:cs="宋体"/>
          <w:color w:val="auto"/>
          <w:sz w:val="21"/>
          <w:szCs w:val="21"/>
          <w:highlight w:val="none"/>
          <w:lang w:val="en-US" w:eastAsia="zh-CN"/>
        </w:rPr>
        <w:t>00</w:t>
      </w:r>
      <w:r>
        <w:rPr>
          <w:rFonts w:hint="eastAsia" w:ascii="宋体" w:hAnsi="宋体" w:eastAsia="宋体" w:cs="宋体"/>
          <w:bCs/>
          <w:color w:val="auto"/>
          <w:sz w:val="21"/>
          <w:szCs w:val="21"/>
          <w:highlight w:val="none"/>
        </w:rPr>
        <w:t>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4465B28E">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2、地点：信阳市公共资源交易中心AI机器人开标虚拟</w:t>
      </w:r>
      <w:r>
        <w:rPr>
          <w:rFonts w:hint="eastAsia" w:ascii="宋体" w:hAnsi="宋体" w:cs="宋体"/>
          <w:color w:val="auto"/>
          <w:kern w:val="0"/>
          <w:szCs w:val="21"/>
          <w:highlight w:val="none"/>
          <w:lang w:val="en-US" w:eastAsia="zh-CN"/>
        </w:rPr>
        <w:t xml:space="preserve">  四 </w:t>
      </w:r>
      <w:r>
        <w:rPr>
          <w:rFonts w:hint="eastAsia" w:ascii="宋体" w:hAnsi="宋体" w:cs="宋体"/>
          <w:color w:val="auto"/>
          <w:kern w:val="0"/>
          <w:szCs w:val="21"/>
          <w:highlight w:val="none"/>
        </w:rPr>
        <w:t xml:space="preserve">厅。  </w:t>
      </w:r>
    </w:p>
    <w:p w14:paraId="1BBBFFF0">
      <w:pPr>
        <w:widowControl/>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14:paraId="1874ED29">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本次招标公告在</w:t>
      </w:r>
      <w:r>
        <w:rPr>
          <w:rFonts w:hint="eastAsia" w:ascii="宋体" w:hAnsi="宋体" w:cs="宋体"/>
          <w:color w:val="auto"/>
          <w:kern w:val="0"/>
          <w:szCs w:val="21"/>
          <w:highlight w:val="none"/>
          <w:lang w:val="en-US" w:eastAsia="zh-CN"/>
        </w:rPr>
        <w:t>《河南省政府采购网》、《全国公共资源交易平台（河南省·信阳市）》</w:t>
      </w:r>
      <w:r>
        <w:rPr>
          <w:rFonts w:hint="eastAsia" w:ascii="宋体" w:hAnsi="宋体" w:cs="宋体"/>
          <w:color w:val="auto"/>
          <w:kern w:val="0"/>
          <w:szCs w:val="21"/>
          <w:highlight w:val="none"/>
        </w:rPr>
        <w:t>网上发布</w:t>
      </w:r>
      <w:r>
        <w:rPr>
          <w:rFonts w:hint="eastAsia" w:ascii="宋体" w:hAnsi="宋体" w:cs="宋体"/>
          <w:color w:val="auto"/>
          <w:kern w:val="0"/>
          <w:szCs w:val="21"/>
          <w:highlight w:val="none"/>
          <w:lang w:eastAsia="zh-CN"/>
        </w:rPr>
        <w:t>，招标公告期限为五个工作日</w:t>
      </w:r>
      <w:r>
        <w:rPr>
          <w:rFonts w:hint="eastAsia" w:ascii="宋体" w:hAnsi="宋体" w:cs="宋体"/>
          <w:color w:val="auto"/>
          <w:kern w:val="0"/>
          <w:szCs w:val="21"/>
          <w:highlight w:val="none"/>
        </w:rPr>
        <w:t>。</w:t>
      </w:r>
    </w:p>
    <w:p w14:paraId="3001D77C">
      <w:pPr>
        <w:pStyle w:val="11"/>
        <w:spacing w:line="40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七、其他补充事宜：</w:t>
      </w:r>
    </w:p>
    <w:p w14:paraId="517F9FE6">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1、本项目采用“不见面开标”交易方式，不见面开标大厅网址为 </w:t>
      </w:r>
      <w:r>
        <w:rPr>
          <w:rFonts w:hint="eastAsia" w:ascii="宋体" w:hAnsi="宋体" w:cs="宋体"/>
          <w:color w:val="auto"/>
          <w:kern w:val="0"/>
          <w:szCs w:val="21"/>
          <w:highlight w:val="none"/>
          <w:lang w:val="en-US" w:eastAsia="zh-CN"/>
        </w:rPr>
        <w:fldChar w:fldCharType="begin"/>
      </w:r>
      <w:r>
        <w:rPr>
          <w:rFonts w:hint="eastAsia" w:ascii="宋体" w:hAnsi="宋体" w:cs="宋体"/>
          <w:color w:val="auto"/>
          <w:kern w:val="0"/>
          <w:szCs w:val="21"/>
          <w:highlight w:val="none"/>
          <w:lang w:val="en-US" w:eastAsia="zh-CN"/>
        </w:rPr>
        <w:instrText xml:space="preserve"> HYPERLINK "https://ggzyjy.xinyang.gov.cn/BidOpening/bidhall/xinyang/login.html，供应商无需寄送和递交非加密的电子响应文件，无需到现场参加开标会议，无需到达现场提交原件资料。" </w:instrText>
      </w:r>
      <w:r>
        <w:rPr>
          <w:rFonts w:hint="eastAsia" w:ascii="宋体" w:hAnsi="宋体" w:cs="宋体"/>
          <w:color w:val="auto"/>
          <w:kern w:val="0"/>
          <w:szCs w:val="21"/>
          <w:highlight w:val="none"/>
          <w:lang w:val="en-US" w:eastAsia="zh-CN"/>
        </w:rPr>
        <w:fldChar w:fldCharType="separate"/>
      </w:r>
      <w:r>
        <w:rPr>
          <w:rFonts w:hint="eastAsia" w:ascii="宋体" w:hAnsi="宋体" w:cs="宋体"/>
          <w:color w:val="auto"/>
          <w:kern w:val="0"/>
          <w:szCs w:val="21"/>
          <w:highlight w:val="none"/>
          <w:lang w:val="en-US" w:eastAsia="zh-CN"/>
        </w:rPr>
        <w:t>https://ggzyjy.xinyang.gov.cn/BidOpening，供应商无需寄送和递交非加密的电子响应文件，无需到现场参加开标会议，无需到达现场提交原件资料。</w:t>
      </w:r>
      <w:r>
        <w:rPr>
          <w:rFonts w:hint="eastAsia" w:ascii="宋体" w:hAnsi="宋体" w:cs="宋体"/>
          <w:color w:val="auto"/>
          <w:kern w:val="0"/>
          <w:szCs w:val="21"/>
          <w:highlight w:val="none"/>
          <w:lang w:val="en-US" w:eastAsia="zh-CN"/>
        </w:rPr>
        <w:fldChar w:fldCharType="end"/>
      </w:r>
    </w:p>
    <w:p w14:paraId="35360BFD">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2、供应商应当在投标截止时间前，使用供应商CA数字证书登录不见面开标大厅，在线签到并准时参加开标活动，并在规定时间内完成投标文件解密、答疑澄清等。</w:t>
      </w:r>
    </w:p>
    <w:p w14:paraId="0224D9D4">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3、逾期解密或者没有准时在线参加开标活动导致的一切后果供应商自行承担。</w:t>
      </w:r>
    </w:p>
    <w:p w14:paraId="77828181">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4、不见面开标服务的具体事宜，请查阅信阳市公共资源交易中心网站首页—下载中心—信阳市不见面开标大厅系统操作手册 。</w:t>
      </w:r>
    </w:p>
    <w:p w14:paraId="47C88C12">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3434EE93">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86C2E1A">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7、请供应商下载招标文件后及时关注系统业务菜单（“答疑澄清文件领取”，“控制价文件领取”）内该项目是否有新的答疑澄清文件或控制价文件。如有请直接下载，不再另行通知。</w:t>
      </w:r>
    </w:p>
    <w:p w14:paraId="108940AB">
      <w:pPr>
        <w:widowControl/>
        <w:spacing w:line="400" w:lineRule="exact"/>
        <w:ind w:left="0" w:leftChars="0"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8、监督部门信息</w:t>
      </w:r>
      <w:r>
        <w:rPr>
          <w:rFonts w:hint="default" w:ascii="宋体" w:hAnsi="宋体" w:cs="宋体"/>
          <w:color w:val="auto"/>
          <w:kern w:val="0"/>
          <w:szCs w:val="21"/>
          <w:highlight w:val="none"/>
          <w:lang w:val="en-US" w:eastAsia="zh-CN"/>
        </w:rPr>
        <w:br w:type="textWrapping"/>
      </w:r>
      <w:r>
        <w:rPr>
          <w:rFonts w:hint="default" w:ascii="宋体" w:hAnsi="宋体" w:cs="宋体"/>
          <w:color w:val="auto"/>
          <w:kern w:val="0"/>
          <w:szCs w:val="21"/>
          <w:highlight w:val="none"/>
          <w:lang w:val="en-US" w:eastAsia="zh-CN"/>
        </w:rPr>
        <w:t>监督机构：信阳市财政局政府采购科</w:t>
      </w:r>
      <w:r>
        <w:rPr>
          <w:rFonts w:hint="default" w:ascii="宋体" w:hAnsi="宋体" w:cs="宋体"/>
          <w:color w:val="auto"/>
          <w:kern w:val="0"/>
          <w:szCs w:val="21"/>
          <w:highlight w:val="none"/>
          <w:lang w:val="en-US" w:eastAsia="zh-CN"/>
        </w:rPr>
        <w:br w:type="textWrapping"/>
      </w:r>
      <w:r>
        <w:rPr>
          <w:rFonts w:hint="default" w:ascii="宋体" w:hAnsi="宋体" w:cs="宋体"/>
          <w:color w:val="auto"/>
          <w:kern w:val="0"/>
          <w:szCs w:val="21"/>
          <w:highlight w:val="none"/>
          <w:lang w:val="en-US" w:eastAsia="zh-CN"/>
        </w:rPr>
        <w:t>联系电话：0376-6699188</w:t>
      </w:r>
      <w:r>
        <w:rPr>
          <w:rFonts w:hint="default" w:ascii="宋体" w:hAnsi="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 xml:space="preserve">  9</w:t>
      </w:r>
      <w:r>
        <w:rPr>
          <w:rFonts w:hint="default" w:ascii="宋体" w:hAnsi="宋体" w:cs="宋体"/>
          <w:color w:val="auto"/>
          <w:kern w:val="0"/>
          <w:szCs w:val="21"/>
          <w:highlight w:val="none"/>
          <w:lang w:val="en-US" w:eastAsia="zh-CN"/>
        </w:rPr>
        <w:t>、本项目按照不高于《河南省招标代理服务收费指导意见》豫招协【2023】002号文件的规定收取代理费用，代理服务费金额为</w:t>
      </w:r>
      <w:r>
        <w:rPr>
          <w:rFonts w:hint="eastAsia" w:ascii="宋体" w:hAnsi="宋体" w:cs="宋体"/>
          <w:color w:val="auto"/>
          <w:kern w:val="0"/>
          <w:szCs w:val="21"/>
          <w:highlight w:val="none"/>
          <w:lang w:val="en-US" w:eastAsia="zh-CN"/>
        </w:rPr>
        <w:t>18432</w:t>
      </w:r>
      <w:r>
        <w:rPr>
          <w:rFonts w:hint="default" w:ascii="宋体" w:hAnsi="宋体" w:cs="宋体"/>
          <w:color w:val="auto"/>
          <w:kern w:val="0"/>
          <w:szCs w:val="21"/>
          <w:highlight w:val="none"/>
          <w:lang w:val="en-US" w:eastAsia="zh-CN"/>
        </w:rPr>
        <w:t>元。</w:t>
      </w:r>
    </w:p>
    <w:p w14:paraId="23B1913F">
      <w:pPr>
        <w:widowControl/>
        <w:spacing w:line="400" w:lineRule="exact"/>
        <w:ind w:firstLine="422" w:firstLineChars="200"/>
        <w:jc w:val="left"/>
        <w:rPr>
          <w:rFonts w:hint="eastAsia" w:ascii="宋体" w:hAnsi="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特别提示：</w:t>
      </w:r>
      <w:r>
        <w:rPr>
          <w:rFonts w:hint="eastAsia" w:ascii="宋体" w:hAnsi="宋体" w:cs="宋体"/>
          <w:color w:val="auto"/>
          <w:kern w:val="0"/>
          <w:szCs w:val="21"/>
          <w:highlight w:val="none"/>
          <w:lang w:val="en-US" w:eastAsia="zh-CN"/>
        </w:rPr>
        <w:t>供应商应当在投标截止时间前，使用供应商CA数字证书登录不见面开标大厅，在线签到并准时参加开标活动，并在规定时间内完成响应文件解密等。如有答疑澄清、二次报价等事项，系统会自动提醒，请供应商在开标当天时刻关注并刷新业务系统，在规定时间内完成答疑澄清、二次报价等事项，逾期后果自负。供应商在线签到时，应如实准确地填写授权委托人的联系电话，开标当天请务必保证电话保持畅通。</w:t>
      </w:r>
    </w:p>
    <w:p w14:paraId="3A2734FA">
      <w:pPr>
        <w:widowControl/>
        <w:spacing w:line="40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八、凡对本次招标提出询问，请按照以下方式联系：</w:t>
      </w:r>
    </w:p>
    <w:p w14:paraId="358C7A74">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1.采购人信息 </w:t>
      </w:r>
    </w:p>
    <w:p w14:paraId="4292CC67">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采 购 人：国有信阳市南湾林场 </w:t>
      </w:r>
    </w:p>
    <w:p w14:paraId="10A6D4E1">
      <w:pPr>
        <w:widowControl/>
        <w:spacing w:line="400" w:lineRule="exact"/>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地    址：信阳市浉河区茶韵路801号</w:t>
      </w:r>
    </w:p>
    <w:p w14:paraId="3AB21686">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 系 人：汪先生</w:t>
      </w:r>
    </w:p>
    <w:p w14:paraId="0B58A4C1">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电    话：0376-6396030</w:t>
      </w:r>
    </w:p>
    <w:p w14:paraId="6D020291">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2.采购代理机构信息 </w:t>
      </w:r>
    </w:p>
    <w:p w14:paraId="41F64655">
      <w:pPr>
        <w:widowControl/>
        <w:spacing w:line="400" w:lineRule="exact"/>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名    称：河南君光工程管理咨询有限公司 </w:t>
      </w:r>
    </w:p>
    <w:p w14:paraId="0A55971B">
      <w:pPr>
        <w:keepNext w:val="0"/>
        <w:keepLines w:val="0"/>
        <w:pageBreakBefore w:val="0"/>
        <w:widowControl/>
        <w:kinsoku/>
        <w:wordWrap/>
        <w:overflowPunct/>
        <w:topLinePunct w:val="0"/>
        <w:autoSpaceDE/>
        <w:autoSpaceDN/>
        <w:bidi w:val="0"/>
        <w:spacing w:line="351" w:lineRule="auto"/>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地    址：信阳市和谐广场4楼</w:t>
      </w:r>
    </w:p>
    <w:p w14:paraId="2DCA650D">
      <w:pPr>
        <w:keepNext w:val="0"/>
        <w:keepLines w:val="0"/>
        <w:pageBreakBefore w:val="0"/>
        <w:widowControl/>
        <w:kinsoku/>
        <w:wordWrap/>
        <w:overflowPunct/>
        <w:topLinePunct w:val="0"/>
        <w:autoSpaceDE/>
        <w:autoSpaceDN/>
        <w:bidi w:val="0"/>
        <w:spacing w:line="351" w:lineRule="auto"/>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 系 人：杨磊</w:t>
      </w:r>
    </w:p>
    <w:p w14:paraId="4FB51981">
      <w:pPr>
        <w:keepNext w:val="0"/>
        <w:keepLines w:val="0"/>
        <w:pageBreakBefore w:val="0"/>
        <w:widowControl/>
        <w:kinsoku/>
        <w:wordWrap/>
        <w:overflowPunct/>
        <w:topLinePunct w:val="0"/>
        <w:autoSpaceDE/>
        <w:autoSpaceDN/>
        <w:bidi w:val="0"/>
        <w:spacing w:line="351" w:lineRule="auto"/>
        <w:ind w:firstLine="420" w:firstLineChars="20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联系方式：17503761999</w:t>
      </w:r>
    </w:p>
    <w:p w14:paraId="65251FDD">
      <w:pPr>
        <w:keepNext w:val="0"/>
        <w:keepLines w:val="0"/>
        <w:pageBreakBefore w:val="0"/>
        <w:widowControl/>
        <w:kinsoku/>
        <w:wordWrap/>
        <w:overflowPunct/>
        <w:topLinePunct w:val="0"/>
        <w:autoSpaceDE/>
        <w:autoSpaceDN/>
        <w:bidi w:val="0"/>
        <w:spacing w:line="351"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项目联系方式</w:t>
      </w:r>
    </w:p>
    <w:p w14:paraId="533129BE">
      <w:pPr>
        <w:widowControl/>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 系 人：杨磊</w:t>
      </w:r>
    </w:p>
    <w:p w14:paraId="02653349">
      <w:pPr>
        <w:widowControl/>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联系方式：17503761999</w:t>
      </w:r>
    </w:p>
    <w:p w14:paraId="54AFF639">
      <w:pPr>
        <w:widowControl/>
        <w:spacing w:line="360" w:lineRule="auto"/>
        <w:ind w:firstLine="480"/>
        <w:jc w:val="left"/>
        <w:rPr>
          <w:rFonts w:hint="eastAsia" w:ascii="宋体" w:hAnsi="宋体" w:cs="宋体"/>
          <w:color w:val="auto"/>
          <w:kern w:val="0"/>
          <w:szCs w:val="21"/>
          <w:highlight w:val="none"/>
          <w:lang w:val="en-US" w:eastAsia="zh-CN"/>
        </w:rPr>
      </w:pPr>
    </w:p>
    <w:p w14:paraId="6A4D8B8C">
      <w:pPr>
        <w:widowControl/>
        <w:spacing w:line="360" w:lineRule="auto"/>
        <w:ind w:firstLine="480"/>
        <w:jc w:val="left"/>
        <w:rPr>
          <w:rFonts w:hint="eastAsia" w:ascii="宋体" w:hAnsi="宋体" w:cs="宋体"/>
          <w:color w:val="auto"/>
          <w:kern w:val="0"/>
          <w:szCs w:val="21"/>
          <w:highlight w:val="none"/>
        </w:rPr>
      </w:pPr>
    </w:p>
    <w:p w14:paraId="77788AF5">
      <w:pPr>
        <w:widowControl/>
        <w:spacing w:line="360" w:lineRule="auto"/>
        <w:jc w:val="left"/>
        <w:rPr>
          <w:rFonts w:hint="eastAsia" w:ascii="宋体" w:hAnsi="宋体" w:cs="宋体"/>
          <w:color w:val="auto"/>
          <w:kern w:val="0"/>
          <w:szCs w:val="21"/>
          <w:highlight w:val="none"/>
        </w:rPr>
      </w:pPr>
    </w:p>
    <w:bookmarkEnd w:id="8"/>
    <w:p w14:paraId="35B22EE0">
      <w:pPr>
        <w:widowControl/>
        <w:spacing w:line="360" w:lineRule="auto"/>
        <w:ind w:firstLine="2975" w:firstLineChars="926"/>
        <w:jc w:val="both"/>
        <w:rPr>
          <w:rFonts w:hint="eastAsia" w:ascii="宋体" w:hAnsi="宋体" w:cs="宋体"/>
          <w:b/>
          <w:bCs w:val="0"/>
          <w:color w:val="auto"/>
          <w:sz w:val="32"/>
          <w:highlight w:val="none"/>
        </w:rPr>
      </w:pPr>
      <w:bookmarkStart w:id="12" w:name="_Toc8890"/>
    </w:p>
    <w:p w14:paraId="3492A970">
      <w:pPr>
        <w:widowControl/>
        <w:spacing w:line="360" w:lineRule="auto"/>
        <w:ind w:firstLine="2975" w:firstLineChars="926"/>
        <w:jc w:val="both"/>
        <w:rPr>
          <w:rFonts w:hint="eastAsia" w:ascii="宋体" w:hAnsi="宋体" w:cs="宋体"/>
          <w:b/>
          <w:bCs w:val="0"/>
          <w:color w:val="auto"/>
          <w:sz w:val="32"/>
          <w:highlight w:val="none"/>
        </w:rPr>
      </w:pPr>
    </w:p>
    <w:p w14:paraId="718488AE">
      <w:pPr>
        <w:widowControl/>
        <w:spacing w:line="360" w:lineRule="auto"/>
        <w:ind w:firstLine="2975" w:firstLineChars="926"/>
        <w:jc w:val="both"/>
        <w:rPr>
          <w:rFonts w:hint="eastAsia" w:ascii="宋体" w:hAnsi="宋体" w:cs="宋体"/>
          <w:b/>
          <w:bCs w:val="0"/>
          <w:color w:val="auto"/>
          <w:sz w:val="32"/>
          <w:highlight w:val="none"/>
        </w:rPr>
        <w:sectPr>
          <w:headerReference r:id="rId7" w:type="default"/>
          <w:footerReference r:id="rId8" w:type="default"/>
          <w:pgSz w:w="11905" w:h="16838"/>
          <w:pgMar w:top="1440" w:right="1395"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p>
    <w:p w14:paraId="7E3798FC">
      <w:pPr>
        <w:pStyle w:val="2"/>
        <w:bidi w:val="0"/>
        <w:ind w:left="0" w:leftChars="0" w:firstLine="0" w:firstLineChars="0"/>
        <w:jc w:val="center"/>
        <w:rPr>
          <w:rFonts w:hint="eastAsia"/>
          <w:color w:val="auto"/>
          <w:highlight w:val="none"/>
          <w:lang w:val="en-US" w:eastAsia="zh-CN"/>
        </w:rPr>
      </w:pPr>
      <w:bookmarkStart w:id="13" w:name="_Toc16898"/>
      <w:r>
        <w:rPr>
          <w:rFonts w:hint="eastAsia"/>
          <w:color w:val="auto"/>
          <w:highlight w:val="none"/>
          <w:lang w:val="en-US" w:eastAsia="zh-CN"/>
        </w:rPr>
        <w:t>第二章 供应商须知</w:t>
      </w:r>
      <w:bookmarkEnd w:id="9"/>
      <w:bookmarkEnd w:id="10"/>
      <w:bookmarkEnd w:id="11"/>
      <w:bookmarkEnd w:id="12"/>
      <w:bookmarkEnd w:id="13"/>
    </w:p>
    <w:p w14:paraId="0786A8CF">
      <w:pPr>
        <w:pStyle w:val="62"/>
        <w:ind w:left="0" w:leftChars="0" w:firstLine="0" w:firstLineChars="0"/>
        <w:jc w:val="center"/>
        <w:rPr>
          <w:rFonts w:hint="eastAsia" w:ascii="宋体" w:hAnsi="宋体" w:eastAsia="宋体"/>
          <w:b/>
          <w:bCs/>
          <w:color w:val="auto"/>
          <w:highlight w:val="none"/>
        </w:rPr>
      </w:pPr>
      <w:bookmarkStart w:id="14" w:name="_Toc19476"/>
      <w:bookmarkStart w:id="15" w:name="_Toc455080107"/>
      <w:bookmarkStart w:id="16" w:name="_Toc21871"/>
      <w:bookmarkStart w:id="17" w:name="_Toc144974496"/>
      <w:bookmarkStart w:id="18" w:name="_Toc152042304"/>
      <w:bookmarkStart w:id="19" w:name="_Toc466298090"/>
      <w:bookmarkStart w:id="20" w:name="_Toc471"/>
      <w:bookmarkStart w:id="21" w:name="_Toc27072"/>
      <w:bookmarkStart w:id="22" w:name="_Toc152045528"/>
      <w:r>
        <w:rPr>
          <w:rFonts w:hint="eastAsia" w:ascii="宋体" w:hAnsi="宋体" w:eastAsia="宋体"/>
          <w:b/>
          <w:bCs/>
          <w:color w:val="auto"/>
          <w:highlight w:val="none"/>
        </w:rPr>
        <w:t>供应商须知前附表</w:t>
      </w:r>
      <w:bookmarkEnd w:id="14"/>
      <w:bookmarkEnd w:id="15"/>
      <w:bookmarkEnd w:id="16"/>
      <w:bookmarkEnd w:id="17"/>
      <w:bookmarkEnd w:id="18"/>
      <w:bookmarkEnd w:id="19"/>
      <w:bookmarkEnd w:id="20"/>
      <w:bookmarkEnd w:id="21"/>
      <w:bookmarkEnd w:id="22"/>
    </w:p>
    <w:tbl>
      <w:tblPr>
        <w:tblStyle w:val="28"/>
        <w:tblW w:w="9243" w:type="dxa"/>
        <w:tblInd w:w="108" w:type="dxa"/>
        <w:tblLayout w:type="fixed"/>
        <w:tblCellMar>
          <w:top w:w="0" w:type="dxa"/>
          <w:left w:w="108" w:type="dxa"/>
          <w:bottom w:w="0" w:type="dxa"/>
          <w:right w:w="108" w:type="dxa"/>
        </w:tblCellMar>
      </w:tblPr>
      <w:tblGrid>
        <w:gridCol w:w="1085"/>
        <w:gridCol w:w="2255"/>
        <w:gridCol w:w="5903"/>
      </w:tblGrid>
      <w:tr w14:paraId="3B52E44F">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6BFC0E1">
            <w:pPr>
              <w:adjustRightInd w:val="0"/>
              <w:spacing w:line="360" w:lineRule="auto"/>
              <w:ind w:left="0" w:leftChars="0" w:firstLine="0" w:firstLineChars="0"/>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2F10F37B">
            <w:pPr>
              <w:adjustRightInd w:val="0"/>
              <w:spacing w:line="360" w:lineRule="auto"/>
              <w:ind w:left="0" w:leftChars="0" w:firstLine="0" w:firstLineChars="0"/>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6A3D3C0">
            <w:pPr>
              <w:adjustRightInd w:val="0"/>
              <w:spacing w:line="360" w:lineRule="auto"/>
              <w:ind w:left="0" w:leftChars="0" w:firstLine="0" w:firstLineChars="0"/>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编  列  内  容</w:t>
            </w:r>
          </w:p>
        </w:tc>
      </w:tr>
      <w:tr w14:paraId="5DA8A9A3">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14:paraId="0F4CB371">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4DE5280C">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7B57EC7">
            <w:pPr>
              <w:pageBreakBefore w:val="0"/>
              <w:kinsoku/>
              <w:wordWrap/>
              <w:overflowPunct/>
              <w:topLinePunct w:val="0"/>
              <w:bidi w:val="0"/>
              <w:spacing w:line="40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采购人：国有信阳市南湾林场</w:t>
            </w:r>
          </w:p>
          <w:p w14:paraId="47631074">
            <w:pPr>
              <w:widowControl/>
              <w:spacing w:line="400" w:lineRule="exact"/>
              <w:ind w:left="0" w:leftChars="0" w:firstLine="0" w:firstLineChars="0"/>
              <w:jc w:val="left"/>
              <w:rPr>
                <w:rFonts w:hint="default" w:ascii="宋体" w:hAnsi="宋体" w:cs="宋体"/>
                <w:color w:val="auto"/>
                <w:kern w:val="0"/>
                <w:szCs w:val="21"/>
                <w:highlight w:val="none"/>
                <w:lang w:val="en-US" w:eastAsia="zh-CN"/>
              </w:rPr>
            </w:pPr>
            <w:r>
              <w:rPr>
                <w:rFonts w:hint="eastAsia" w:ascii="宋体" w:hAnsi="宋体" w:eastAsia="宋体" w:cs="宋体"/>
                <w:color w:val="auto"/>
                <w:szCs w:val="21"/>
                <w:highlight w:val="none"/>
                <w:lang w:val="en-US" w:eastAsia="zh-CN"/>
              </w:rPr>
              <w:t>地址：</w:t>
            </w:r>
            <w:r>
              <w:rPr>
                <w:rFonts w:hint="eastAsia" w:ascii="宋体" w:hAnsi="宋体" w:cs="宋体"/>
                <w:color w:val="auto"/>
                <w:kern w:val="0"/>
                <w:szCs w:val="21"/>
                <w:highlight w:val="none"/>
                <w:lang w:val="en-US" w:eastAsia="zh-CN"/>
              </w:rPr>
              <w:t>信阳市浉河区茶韵路801号</w:t>
            </w:r>
          </w:p>
          <w:p w14:paraId="59022125">
            <w:pPr>
              <w:widowControl/>
              <w:spacing w:line="400" w:lineRule="exact"/>
              <w:ind w:left="0" w:leftChars="0" w:firstLine="0" w:firstLineChars="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 系 人：汪先生</w:t>
            </w:r>
          </w:p>
          <w:p w14:paraId="43EF392F">
            <w:pPr>
              <w:widowControl/>
              <w:spacing w:line="400" w:lineRule="exact"/>
              <w:ind w:left="0" w:leftChars="0" w:firstLine="0" w:firstLineChars="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电    话：0376-6396030</w:t>
            </w:r>
          </w:p>
        </w:tc>
      </w:tr>
      <w:tr w14:paraId="3187927D">
        <w:tblPrEx>
          <w:tblCellMar>
            <w:top w:w="0" w:type="dxa"/>
            <w:left w:w="108" w:type="dxa"/>
            <w:bottom w:w="0" w:type="dxa"/>
            <w:right w:w="108" w:type="dxa"/>
          </w:tblCellMar>
        </w:tblPrEx>
        <w:trPr>
          <w:trHeight w:val="1768"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CF769E8">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4AA344F4">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1335D58">
            <w:pPr>
              <w:widowControl/>
              <w:spacing w:line="400" w:lineRule="exact"/>
              <w:ind w:left="0" w:leftChars="0" w:firstLine="0" w:firstLineChars="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名    称：河南君光工程管理咨询有限公司 </w:t>
            </w:r>
          </w:p>
          <w:p w14:paraId="0B1FE120">
            <w:pPr>
              <w:widowControl/>
              <w:spacing w:line="400" w:lineRule="exact"/>
              <w:ind w:left="0" w:leftChars="0" w:firstLine="0" w:firstLineChars="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地    址：信阳市和谐广场4楼</w:t>
            </w:r>
          </w:p>
          <w:p w14:paraId="40111E0F">
            <w:pPr>
              <w:widowControl/>
              <w:spacing w:line="400" w:lineRule="exact"/>
              <w:ind w:left="0" w:leftChars="0" w:firstLine="0" w:firstLineChars="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联 系 人：杨磊</w:t>
            </w:r>
          </w:p>
          <w:p w14:paraId="0FE4E926">
            <w:pPr>
              <w:widowControl/>
              <w:spacing w:line="400" w:lineRule="exact"/>
              <w:ind w:left="0" w:leftChars="0" w:firstLine="0" w:firstLineChars="0"/>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联系方式：17503761999</w:t>
            </w:r>
          </w:p>
        </w:tc>
      </w:tr>
      <w:tr w14:paraId="3FD3C506">
        <w:tblPrEx>
          <w:tblCellMar>
            <w:top w:w="0" w:type="dxa"/>
            <w:left w:w="108" w:type="dxa"/>
            <w:bottom w:w="0" w:type="dxa"/>
            <w:right w:w="108" w:type="dxa"/>
          </w:tblCellMar>
        </w:tblPrEx>
        <w:trPr>
          <w:trHeight w:val="1308"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3A5553ED">
            <w:pPr>
              <w:adjustRightInd w:val="0"/>
              <w:spacing w:line="360" w:lineRule="auto"/>
              <w:ind w:left="0" w:leftChars="0" w:firstLine="0" w:firstLineChars="0"/>
              <w:jc w:val="center"/>
              <w:textAlignment w:val="baseline"/>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1.2.3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9ACF45E">
            <w:pPr>
              <w:adjustRightInd w:val="0"/>
              <w:spacing w:line="360" w:lineRule="auto"/>
              <w:ind w:left="0" w:leftChars="0" w:firstLine="0" w:firstLineChars="0"/>
              <w:jc w:val="center"/>
              <w:textAlignment w:val="baseline"/>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监督单位</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4DA117E">
            <w:pPr>
              <w:pageBreakBefore w:val="0"/>
              <w:kinsoku/>
              <w:wordWrap/>
              <w:overflowPunct/>
              <w:topLinePunct w:val="0"/>
              <w:bidi w:val="0"/>
              <w:spacing w:line="400" w:lineRule="exact"/>
              <w:ind w:left="0" w:leftChars="0" w:firstLine="0"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监督单位：信阳市财政局政府采购科</w:t>
            </w:r>
          </w:p>
          <w:p w14:paraId="26257396">
            <w:pPr>
              <w:pageBreakBefore w:val="0"/>
              <w:kinsoku/>
              <w:wordWrap/>
              <w:overflowPunct/>
              <w:topLinePunct w:val="0"/>
              <w:bidi w:val="0"/>
              <w:spacing w:line="400" w:lineRule="exact"/>
              <w:ind w:left="0" w:leftChars="0" w:firstLine="0"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监督电话：</w:t>
            </w:r>
            <w:r>
              <w:rPr>
                <w:rFonts w:hint="default" w:ascii="宋体" w:hAnsi="宋体" w:cs="宋体"/>
                <w:color w:val="auto"/>
                <w:kern w:val="0"/>
                <w:szCs w:val="21"/>
                <w:highlight w:val="none"/>
                <w:lang w:val="en-US" w:eastAsia="zh-CN"/>
              </w:rPr>
              <w:t>0376-6699188</w:t>
            </w:r>
          </w:p>
        </w:tc>
      </w:tr>
      <w:tr w14:paraId="420FB48C">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9FB3166">
            <w:pPr>
              <w:adjustRightInd w:val="0"/>
              <w:spacing w:line="360" w:lineRule="auto"/>
              <w:ind w:left="0" w:leftChars="0" w:firstLine="0" w:firstLineChars="0"/>
              <w:jc w:val="center"/>
              <w:textAlignment w:val="baseline"/>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4</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239F8EF4">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604626C">
            <w:pPr>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国有信阳市南湾林场2026年贤山、震雷山林区生产道路修建工程项目</w:t>
            </w:r>
          </w:p>
        </w:tc>
      </w:tr>
      <w:tr w14:paraId="5ECBF7BE">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2B4BF3D">
            <w:pPr>
              <w:adjustRightIn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1.2.5</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5E3E3F6">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方式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6B842FB">
            <w:pPr>
              <w:pageBreakBefore w:val="0"/>
              <w:kinsoku/>
              <w:wordWrap/>
              <w:overflowPunct/>
              <w:topLinePunct w:val="0"/>
              <w:autoSpaceDE w:val="0"/>
              <w:autoSpaceDN w:val="0"/>
              <w:bidi w:val="0"/>
              <w:adjustRightInd w:val="0"/>
              <w:spacing w:line="400" w:lineRule="exact"/>
              <w:ind w:left="0" w:leftChars="0" w:firstLine="0" w:firstLineChars="0"/>
              <w:jc w:val="left"/>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SA"/>
              </w:rPr>
              <w:t>竞争性磋商</w:t>
            </w:r>
          </w:p>
        </w:tc>
      </w:tr>
      <w:tr w14:paraId="3D1758F3">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7329F09">
            <w:pPr>
              <w:adjustRightIn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1.2.6</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669BB99">
            <w:pPr>
              <w:adjustRightIn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资金来源</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161F487">
            <w:pPr>
              <w:pageBreakBefore w:val="0"/>
              <w:kinsoku/>
              <w:wordWrap/>
              <w:overflowPunct/>
              <w:topLinePunct w:val="0"/>
              <w:autoSpaceDE w:val="0"/>
              <w:autoSpaceDN w:val="0"/>
              <w:bidi w:val="0"/>
              <w:adjustRightInd w:val="0"/>
              <w:spacing w:line="400" w:lineRule="exact"/>
              <w:ind w:left="0" w:leftChars="0" w:firstLine="0" w:firstLineChars="0"/>
              <w:jc w:val="left"/>
              <w:rPr>
                <w:rFonts w:hint="default" w:ascii="宋体" w:hAnsi="宋体" w:eastAsia="宋体" w:cs="宋体"/>
                <w:color w:val="auto"/>
                <w:spacing w:val="1"/>
                <w:kern w:val="0"/>
                <w:sz w:val="21"/>
                <w:szCs w:val="21"/>
                <w:highlight w:val="none"/>
                <w:lang w:val="en-US" w:eastAsia="zh-CN" w:bidi="ar-SA"/>
              </w:rPr>
            </w:pPr>
            <w:r>
              <w:rPr>
                <w:rFonts w:hint="eastAsia" w:ascii="宋体" w:hAnsi="宋体"/>
                <w:color w:val="auto"/>
                <w:szCs w:val="21"/>
                <w:highlight w:val="none"/>
                <w:lang w:val="en-US" w:eastAsia="zh-CN"/>
              </w:rPr>
              <w:t>中央财政资金，已落实</w:t>
            </w:r>
          </w:p>
        </w:tc>
      </w:tr>
      <w:tr w14:paraId="0D671E8B">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8A3638D">
            <w:pPr>
              <w:adjustRightIn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1.2.7</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377BC8A">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预算价（</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lang w:eastAsia="zh-CN"/>
              </w:rPr>
              <w:t>）</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3771151">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预算价（最高限价）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1643274.87元</w:t>
            </w:r>
          </w:p>
          <w:p w14:paraId="48E171B0">
            <w:pPr>
              <w:pStyle w:val="48"/>
              <w:keepNext w:val="0"/>
              <w:keepLines w:val="0"/>
              <w:pageBreakBefore w:val="0"/>
              <w:widowControl w:val="0"/>
              <w:kinsoku/>
              <w:wordWrap/>
              <w:overflowPunct/>
              <w:topLinePunct w:val="0"/>
              <w:bidi w:val="0"/>
              <w:snapToGrid/>
              <w:spacing w:line="400" w:lineRule="exact"/>
              <w:ind w:firstLine="0" w:firstLineChars="0"/>
              <w:textAlignment w:val="auto"/>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r>
              <w:rPr>
                <w:rFonts w:hint="eastAsia" w:ascii="宋体" w:hAnsi="宋体" w:eastAsia="宋体" w:cs="宋体"/>
                <w:b w:val="0"/>
                <w:bCs w:val="0"/>
                <w:color w:val="auto"/>
                <w:kern w:val="0"/>
                <w:szCs w:val="21"/>
                <w:highlight w:val="none"/>
                <w:lang w:eastAsia="zh-CN"/>
              </w:rPr>
              <w:t>第一次</w:t>
            </w:r>
            <w:r>
              <w:rPr>
                <w:rFonts w:hint="eastAsia" w:ascii="宋体" w:hAnsi="宋体" w:eastAsia="宋体" w:cs="宋体"/>
                <w:b w:val="0"/>
                <w:bCs w:val="0"/>
                <w:color w:val="auto"/>
                <w:kern w:val="0"/>
                <w:szCs w:val="21"/>
                <w:highlight w:val="none"/>
              </w:rPr>
              <w:t>报价超过</w:t>
            </w:r>
            <w:r>
              <w:rPr>
                <w:rFonts w:hint="eastAsia" w:ascii="宋体" w:hAnsi="宋体" w:eastAsia="宋体" w:cs="宋体"/>
                <w:b w:val="0"/>
                <w:bCs w:val="0"/>
                <w:color w:val="auto"/>
                <w:kern w:val="0"/>
                <w:szCs w:val="21"/>
                <w:highlight w:val="none"/>
                <w:lang w:eastAsia="zh-CN"/>
              </w:rPr>
              <w:t>预算价</w:t>
            </w:r>
            <w:r>
              <w:rPr>
                <w:rFonts w:hint="eastAsia" w:ascii="宋体" w:hAnsi="宋体" w:eastAsia="宋体" w:cs="宋体"/>
                <w:b w:val="0"/>
                <w:bCs w:val="0"/>
                <w:color w:val="auto"/>
                <w:kern w:val="0"/>
                <w:sz w:val="21"/>
                <w:szCs w:val="21"/>
                <w:highlight w:val="none"/>
                <w:lang w:eastAsia="zh-CN"/>
              </w:rPr>
              <w:t>（最高限价）</w:t>
            </w:r>
            <w:r>
              <w:rPr>
                <w:rFonts w:hint="eastAsia" w:ascii="宋体" w:hAnsi="宋体" w:eastAsia="宋体" w:cs="宋体"/>
                <w:b w:val="0"/>
                <w:bCs w:val="0"/>
                <w:color w:val="auto"/>
                <w:kern w:val="0"/>
                <w:szCs w:val="21"/>
                <w:highlight w:val="none"/>
              </w:rPr>
              <w:t>按无效</w:t>
            </w:r>
            <w:r>
              <w:rPr>
                <w:rFonts w:hint="eastAsia" w:ascii="宋体" w:hAnsi="宋体" w:eastAsia="宋体" w:cs="宋体"/>
                <w:b w:val="0"/>
                <w:bCs w:val="0"/>
                <w:color w:val="auto"/>
                <w:kern w:val="0"/>
                <w:szCs w:val="21"/>
                <w:highlight w:val="none"/>
                <w:lang w:eastAsia="zh-CN"/>
              </w:rPr>
              <w:t>投标</w:t>
            </w:r>
            <w:r>
              <w:rPr>
                <w:rFonts w:hint="eastAsia" w:ascii="宋体" w:hAnsi="宋体" w:eastAsia="宋体" w:cs="宋体"/>
                <w:b w:val="0"/>
                <w:bCs w:val="0"/>
                <w:color w:val="auto"/>
                <w:kern w:val="0"/>
                <w:szCs w:val="21"/>
                <w:highlight w:val="none"/>
              </w:rPr>
              <w:t>处理</w:t>
            </w:r>
          </w:p>
        </w:tc>
      </w:tr>
      <w:tr w14:paraId="037B9147">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4DBDF33">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326B31C4">
            <w:pPr>
              <w:adjustRightInd w:val="0"/>
              <w:spacing w:line="360" w:lineRule="auto"/>
              <w:ind w:left="0" w:leftChars="0" w:firstLine="0" w:firstLineChars="0"/>
              <w:jc w:val="center"/>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磋商内容</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1320BA5">
            <w:pPr>
              <w:pageBreakBefore w:val="0"/>
              <w:kinsoku/>
              <w:wordWrap/>
              <w:overflowPunct/>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工程量清单及竞争性磋商文件所含全部内容</w:t>
            </w:r>
          </w:p>
        </w:tc>
      </w:tr>
      <w:tr w14:paraId="798E4A65">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0F28B49">
            <w:pPr>
              <w:adjustRightInd w:val="0"/>
              <w:spacing w:line="360" w:lineRule="auto"/>
              <w:ind w:left="0" w:leftChars="0" w:firstLine="0" w:firstLineChars="0"/>
              <w:jc w:val="center"/>
              <w:textAlignment w:val="baseline"/>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6F85C75">
            <w:pPr>
              <w:keepNext w:val="0"/>
              <w:keepLines w:val="0"/>
              <w:pageBreakBefore w:val="0"/>
              <w:kinsoku/>
              <w:wordWrap/>
              <w:overflowPunct/>
              <w:bidi w:val="0"/>
              <w:spacing w:line="360" w:lineRule="exact"/>
              <w:ind w:left="0" w:leftChars="0" w:firstLine="0" w:firstLineChars="0"/>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eastAsia="宋体" w:cs="宋体"/>
                <w:color w:val="auto"/>
                <w:szCs w:val="21"/>
                <w:highlight w:val="none"/>
              </w:rPr>
              <w:t>计划工期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3BB913C">
            <w:pPr>
              <w:pageBreakBefore w:val="0"/>
              <w:kinsoku/>
              <w:wordWrap/>
              <w:overflowPunct/>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90日历天</w:t>
            </w:r>
          </w:p>
        </w:tc>
      </w:tr>
      <w:tr w14:paraId="5E025892">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1308165">
            <w:pPr>
              <w:adjustRightInd w:val="0"/>
              <w:spacing w:line="360" w:lineRule="auto"/>
              <w:ind w:left="0" w:leftChars="0" w:firstLine="0" w:firstLineChars="0"/>
              <w:jc w:val="center"/>
              <w:textAlignment w:val="baseline"/>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1.4.3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573EC00F">
            <w:pPr>
              <w:keepNext w:val="0"/>
              <w:keepLines w:val="0"/>
              <w:pageBreakBefore w:val="0"/>
              <w:kinsoku/>
              <w:wordWrap/>
              <w:overflowPunct/>
              <w:bidi w:val="0"/>
              <w:spacing w:line="360" w:lineRule="exact"/>
              <w:ind w:left="0" w:leftChars="0" w:firstLine="0" w:firstLineChars="0"/>
              <w:jc w:val="center"/>
              <w:rPr>
                <w:rFonts w:hint="eastAsia" w:ascii="宋体" w:hAnsi="宋体" w:cs="宋体" w:eastAsiaTheme="minorEastAsia"/>
                <w:b/>
                <w:bCs/>
                <w:color w:val="auto"/>
                <w:kern w:val="2"/>
                <w:sz w:val="21"/>
                <w:szCs w:val="21"/>
                <w:highlight w:val="none"/>
                <w:lang w:val="en-US" w:eastAsia="zh-CN" w:bidi="ar-SA"/>
              </w:rPr>
            </w:pPr>
            <w:r>
              <w:rPr>
                <w:rFonts w:hint="eastAsia" w:ascii="宋体" w:hAnsi="宋体" w:eastAsia="宋体" w:cs="宋体"/>
                <w:color w:val="auto"/>
                <w:szCs w:val="21"/>
                <w:highlight w:val="none"/>
              </w:rPr>
              <w:t>质量要求</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1B06098">
            <w:pPr>
              <w:pageBreakBefore w:val="0"/>
              <w:kinsoku/>
              <w:wordWrap/>
              <w:overflowPunct/>
              <w:topLinePunct w:val="0"/>
              <w:bidi w:val="0"/>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合格，符合国家相关质量验收标准</w:t>
            </w:r>
          </w:p>
        </w:tc>
      </w:tr>
      <w:tr w14:paraId="026545D4">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4CFFB004">
            <w:pPr>
              <w:adjustRightIn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1.4.4</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5F38DDB">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付款方式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8E4BCD5">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双方签订合同时自行约定</w:t>
            </w:r>
          </w:p>
        </w:tc>
      </w:tr>
      <w:tr w14:paraId="2DF5C7D4">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14:paraId="79422CCF">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2467442">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D922094">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1、满足《中华人民共和国政府采购法》第二十二条规定。</w:t>
            </w:r>
          </w:p>
          <w:p w14:paraId="079D5812">
            <w:pPr>
              <w:pStyle w:val="24"/>
              <w:widowControl w:val="0"/>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2、落实政府采购政策满足的资格要求：本项目专门面向中小企业采购。参加本项目的中小企业须提供《中小企业声明函》 （格式详见招标文件内《中小企业声明函》样本），不符合要求的声明函或未提供的将视为不符合资格要求。</w:t>
            </w:r>
          </w:p>
          <w:p w14:paraId="0DEA39E2">
            <w:pPr>
              <w:pStyle w:val="24"/>
              <w:widowControl w:val="0"/>
              <w:numPr>
                <w:ilvl w:val="0"/>
                <w:numId w:val="1"/>
              </w:numPr>
              <w:spacing w:before="0" w:beforeAutospacing="0" w:after="0" w:afterAutospacing="0" w:line="40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本项目的特定资格要求：</w:t>
            </w:r>
          </w:p>
          <w:p w14:paraId="4C136F24">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3.1</w:t>
            </w:r>
            <w:r>
              <w:rPr>
                <w:rFonts w:hint="eastAsia" w:cs="宋体"/>
                <w:color w:val="auto"/>
                <w:kern w:val="2"/>
                <w:sz w:val="21"/>
                <w:szCs w:val="21"/>
                <w:highlight w:val="none"/>
                <w:lang w:val="en-US" w:eastAsia="zh-CN" w:bidi="ar-SA"/>
              </w:rPr>
              <w:t>供应商须具备建设行政主管部门核发的公路工程施工总承包叁级及以上资质或市政公用工程施工总承包叁级及以上资质</w:t>
            </w:r>
            <w:r>
              <w:rPr>
                <w:rFonts w:hint="eastAsia" w:ascii="宋体" w:hAnsi="宋体" w:cs="宋体" w:eastAsiaTheme="minorEastAsia"/>
                <w:color w:val="auto"/>
                <w:kern w:val="2"/>
                <w:sz w:val="21"/>
                <w:szCs w:val="21"/>
                <w:highlight w:val="none"/>
                <w:lang w:val="en-US" w:eastAsia="zh-CN" w:bidi="ar-SA"/>
              </w:rPr>
              <w:t>，且具有有效的企业安全生产许可证。</w:t>
            </w:r>
          </w:p>
          <w:p w14:paraId="50CBB29F">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3.2供应商拟派项目经理须具有</w:t>
            </w:r>
            <w:r>
              <w:rPr>
                <w:rFonts w:hint="eastAsia" w:cs="宋体"/>
                <w:color w:val="auto"/>
                <w:kern w:val="2"/>
                <w:sz w:val="21"/>
                <w:szCs w:val="21"/>
                <w:highlight w:val="none"/>
                <w:lang w:val="en-US" w:eastAsia="zh-CN" w:bidi="ar-SA"/>
              </w:rPr>
              <w:t>公路工程或市政公用工程专业贰级及以上注册建造师证书</w:t>
            </w:r>
            <w:r>
              <w:rPr>
                <w:rFonts w:hint="eastAsia" w:ascii="宋体" w:hAnsi="宋体" w:cs="宋体" w:eastAsiaTheme="minorEastAsia"/>
                <w:color w:val="auto"/>
                <w:kern w:val="2"/>
                <w:sz w:val="21"/>
                <w:szCs w:val="21"/>
                <w:highlight w:val="none"/>
                <w:lang w:val="en-US" w:eastAsia="zh-CN" w:bidi="ar-SA"/>
              </w:rPr>
              <w:t>（不含临时建造师），具备有效的安全生产考核合格证书且无在建工程。</w:t>
            </w:r>
          </w:p>
          <w:p w14:paraId="30E7F8DB">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3</w:t>
            </w:r>
            <w:r>
              <w:rPr>
                <w:rFonts w:hint="eastAsia" w:ascii="宋体" w:hAnsi="宋体" w:cs="宋体" w:eastAsiaTheme="minorEastAsia"/>
                <w:color w:val="auto"/>
                <w:kern w:val="2"/>
                <w:sz w:val="21"/>
                <w:szCs w:val="21"/>
                <w:highlight w:val="none"/>
                <w:lang w:val="en-US" w:eastAsia="zh-CN" w:bidi="ar-SA"/>
              </w:rPr>
              <w:t>根据《关于在政府采购活动中查询及使用信用记录有关问题的通知》财库〔2016〕125号文件的规定，采购人及代理机构应对投标人进行信用记录查询，具体查询渠道为：“信用中国”网站（www.creditchina.gov.cn）查询“失信被执行人”和“重大税收违法失信主体”；中国政府采购网（www.ccgp.gov.cn）查询“政府采购严重违法失信行为记录名单”。为避免采购人核验错误，建议投标人提供“信用中国”网站（www.creditchina.gov.cn）查询“失信被执行人”和“重大税收违法失信主体”；中国政府采购网（www.ccgp.gov.cn）查询“政府采购严重违法失信行为记录名单”渠道查询自身信用记录，提供查询网页截图。</w:t>
            </w:r>
          </w:p>
          <w:p w14:paraId="28580A12">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4、其他说明：</w:t>
            </w:r>
          </w:p>
          <w:p w14:paraId="0644E3F7">
            <w:pPr>
              <w:pStyle w:val="24"/>
              <w:widowControl w:val="0"/>
              <w:spacing w:before="0" w:beforeAutospacing="0" w:after="0" w:afterAutospacing="0" w:line="400" w:lineRule="exact"/>
              <w:ind w:firstLine="420" w:firstLineChars="20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4.1单位负责人为同一人或者存在直接控股、管理关系的不同单位，不得同时参加同一合同项下的政府采购活动。（提供加盖投标人公章的“国家企业信用信息公示系统”中公示的公司基础信息包含股东及出资信息）。</w:t>
            </w:r>
          </w:p>
          <w:p w14:paraId="3B8C349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4.2本项目</w:t>
            </w:r>
            <w:r>
              <w:rPr>
                <w:rFonts w:hint="eastAsia" w:ascii="宋体" w:hAnsi="宋体" w:cs="宋体" w:eastAsiaTheme="minorEastAsia"/>
                <w:b/>
                <w:bCs/>
                <w:color w:val="auto"/>
                <w:kern w:val="2"/>
                <w:sz w:val="21"/>
                <w:szCs w:val="21"/>
                <w:highlight w:val="none"/>
                <w:u w:val="single"/>
                <w:lang w:val="en-US" w:eastAsia="zh-CN" w:bidi="ar-SA"/>
              </w:rPr>
              <w:t xml:space="preserve"> 适用 </w:t>
            </w:r>
            <w:r>
              <w:rPr>
                <w:rFonts w:hint="eastAsia" w:ascii="宋体" w:hAnsi="宋体" w:cs="宋体" w:eastAsiaTheme="minorEastAsia"/>
                <w:color w:val="auto"/>
                <w:kern w:val="2"/>
                <w:sz w:val="21"/>
                <w:szCs w:val="21"/>
                <w:highlight w:val="none"/>
                <w:lang w:val="en-US" w:eastAsia="zh-CN" w:bidi="ar-SA"/>
              </w:rPr>
              <w:t>信用承诺（详见下述要求）。</w:t>
            </w:r>
          </w:p>
          <w:p w14:paraId="43F10B0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（一）在本项目政府采购活动中，供应商在投标（响应）时，可对照资格要求进行自主核对，确定符合资格要求的，可按照规定提供相关承诺函（详见响应文件“七、 资格审查资料”附件），供应商只需在资格审查环节提供满足相应条件的书面承诺书，不再需要提供以下证明材料：</w:t>
            </w:r>
          </w:p>
          <w:p w14:paraId="4475642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①符合国家相关规定的财务状况报告（2024年度或2025年度财务审计报告或其基本开户银行出具的资信证明）；</w:t>
            </w:r>
          </w:p>
          <w:p w14:paraId="1C077B2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②依法缴纳税收的证明材料（提供开标前12个月内任意3个月纳税证明，新成立公司不足3个月的，按已缴纳月份提供。如依法免税的，须提供相关部门出具的证明文件）；</w:t>
            </w:r>
          </w:p>
          <w:p w14:paraId="0782682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③依法缴纳社会保障资金的证明材料（提供开标前12个月内任意3个月缴纳社会保障证明，新成立公司不足3个月的，按已缴纳月份提供。如不需要缴纳社会保障资金的投标人，须提供相关部门出具的证明文件）；</w:t>
            </w:r>
          </w:p>
          <w:p w14:paraId="79A105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④具备履行政府采购合同所必需的设备和专业技术能力的证明材料（</w:t>
            </w:r>
            <w:r>
              <w:rPr>
                <w:rFonts w:hint="eastAsia" w:ascii="宋体" w:hAnsi="宋体" w:eastAsia="宋体" w:cs="宋体"/>
                <w:color w:val="auto"/>
                <w:kern w:val="0"/>
                <w:szCs w:val="21"/>
                <w:highlight w:val="none"/>
                <w:lang w:val="en-US" w:eastAsia="zh-CN"/>
              </w:rPr>
              <w:t>供应商对该项内容进行承诺，并加盖本单位公章，同时提供履行合同的法定营业执照</w:t>
            </w:r>
            <w:r>
              <w:rPr>
                <w:rFonts w:hint="eastAsia" w:ascii="宋体" w:hAnsi="宋体" w:cs="宋体" w:eastAsiaTheme="minorEastAsia"/>
                <w:color w:val="auto"/>
                <w:kern w:val="2"/>
                <w:sz w:val="21"/>
                <w:szCs w:val="21"/>
                <w:highlight w:val="none"/>
                <w:lang w:val="en-US" w:eastAsia="zh-CN" w:bidi="ar-SA"/>
              </w:rPr>
              <w:t>）；</w:t>
            </w:r>
          </w:p>
          <w:p w14:paraId="5F92021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⑤参加政府采购活动前三年内在经营活动中没有重大违法记录的证明材料；（供应商自行作出承诺，并加盖本单位公章）；</w:t>
            </w:r>
          </w:p>
          <w:p w14:paraId="55392C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eastAsiaTheme="minorEastAsia"/>
                <w:color w:val="auto"/>
                <w:kern w:val="2"/>
                <w:sz w:val="21"/>
                <w:szCs w:val="21"/>
                <w:highlight w:val="none"/>
                <w:lang w:val="en-US" w:eastAsia="zh-CN" w:bidi="ar-SA"/>
              </w:rPr>
              <w:t>（二）投标人在中标后，应将上述由信用承诺函替代的证明材料提交采购人（采购代理机构）核验，经核验无误后，由采购人发出中标通知书。</w:t>
            </w:r>
          </w:p>
        </w:tc>
      </w:tr>
      <w:tr w14:paraId="388857BA">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14880CB">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3D133489">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是否接受联合体</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D7434E0">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不接受</w:t>
            </w:r>
          </w:p>
        </w:tc>
      </w:tr>
      <w:tr w14:paraId="098C5779">
        <w:tblPrEx>
          <w:tblCellMar>
            <w:top w:w="0" w:type="dxa"/>
            <w:left w:w="108" w:type="dxa"/>
            <w:bottom w:w="0" w:type="dxa"/>
            <w:right w:w="108" w:type="dxa"/>
          </w:tblCellMar>
        </w:tblPrEx>
        <w:trPr>
          <w:trHeight w:val="56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D117CBA">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b w:val="0"/>
                <w:bCs w:val="0"/>
                <w:color w:val="auto"/>
                <w:szCs w:val="21"/>
                <w:highlight w:val="none"/>
              </w:rPr>
              <w:t>1.10</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49BF3585">
            <w:pPr>
              <w:adjustRightInd w:val="0"/>
              <w:spacing w:line="360" w:lineRule="auto"/>
              <w:ind w:left="0" w:leftChars="0" w:firstLine="0" w:firstLineChars="0"/>
              <w:jc w:val="center"/>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现场踏勘</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26F6C8C">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自行踏勘</w:t>
            </w:r>
          </w:p>
        </w:tc>
      </w:tr>
      <w:tr w14:paraId="45796185">
        <w:tblPrEx>
          <w:tblCellMar>
            <w:top w:w="0" w:type="dxa"/>
            <w:left w:w="108" w:type="dxa"/>
            <w:bottom w:w="0" w:type="dxa"/>
            <w:right w:w="108" w:type="dxa"/>
          </w:tblCellMar>
        </w:tblPrEx>
        <w:trPr>
          <w:trHeight w:val="564"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F7A5E2A">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5A9E741">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9506876">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不允许</w:t>
            </w:r>
          </w:p>
        </w:tc>
      </w:tr>
      <w:tr w14:paraId="08504079">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EC2ACEB">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5A1DB97">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构成磋商文件</w:t>
            </w:r>
          </w:p>
          <w:p w14:paraId="5EBAAFC0">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的其他材料</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DD240FC">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除磋商文件外，采购人在磋商期间发出的澄清、修改、补充、补遗和其它有效正式函件等内容均是磋商文件的组成部分</w:t>
            </w:r>
          </w:p>
        </w:tc>
      </w:tr>
      <w:tr w14:paraId="3507F481">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C0377C1">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4AAE8C54">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供应商提出问题的截止时间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F8CEE2B">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公告发布之日起7个工作日内</w:t>
            </w:r>
          </w:p>
        </w:tc>
      </w:tr>
      <w:tr w14:paraId="2E9C1F2B">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141E6EA">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545D724">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采购人澄清磋商文件的截止时间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B3FA783">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递交响应文件截止之日5天前</w:t>
            </w:r>
          </w:p>
        </w:tc>
      </w:tr>
      <w:tr w14:paraId="71B61D4D">
        <w:tblPrEx>
          <w:tblCellMar>
            <w:top w:w="0" w:type="dxa"/>
            <w:left w:w="108" w:type="dxa"/>
            <w:bottom w:w="0" w:type="dxa"/>
            <w:right w:w="108" w:type="dxa"/>
          </w:tblCellMar>
        </w:tblPrEx>
        <w:trPr>
          <w:trHeight w:val="1142"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FB6B092">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C91461D">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供应商确认收到磋商文件澄清的时间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49786A0">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在收到相应澄清文件后 24 小时内</w:t>
            </w:r>
          </w:p>
        </w:tc>
      </w:tr>
      <w:tr w14:paraId="0CC9BA3B">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14:paraId="45246ADF">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2.3.2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59D52980">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供应商确认收到磋商文件修改的时间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AD99537">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在收到相应修改文件后 24 小时内</w:t>
            </w:r>
          </w:p>
        </w:tc>
      </w:tr>
      <w:tr w14:paraId="02C853EC">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14:paraId="45C4EF2D">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3DECDC3E">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构成响应文件</w:t>
            </w:r>
          </w:p>
          <w:p w14:paraId="1C9BD84B">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的其他材料</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A00855C">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供应商认为需要提交的其他证明材料</w:t>
            </w:r>
          </w:p>
        </w:tc>
      </w:tr>
      <w:tr w14:paraId="41193E6C">
        <w:tblPrEx>
          <w:tblCellMar>
            <w:top w:w="0" w:type="dxa"/>
            <w:left w:w="108" w:type="dxa"/>
            <w:bottom w:w="0" w:type="dxa"/>
            <w:right w:w="108" w:type="dxa"/>
          </w:tblCellMar>
        </w:tblPrEx>
        <w:trPr>
          <w:trHeight w:val="70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182DA91">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3.3.1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6CECCBAD">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磋商有效期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0929FA7">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60日历天（响应文件截止之日起）</w:t>
            </w:r>
          </w:p>
        </w:tc>
      </w:tr>
      <w:tr w14:paraId="53120338">
        <w:tblPrEx>
          <w:tblCellMar>
            <w:top w:w="0" w:type="dxa"/>
            <w:left w:w="108" w:type="dxa"/>
            <w:bottom w:w="0" w:type="dxa"/>
            <w:right w:w="108" w:type="dxa"/>
          </w:tblCellMar>
        </w:tblPrEx>
        <w:trPr>
          <w:trHeight w:val="552"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575F32C">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rPr>
              <w:t>3.2.3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2ABFD7DA">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报价方式</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6CF8087">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自主报价</w:t>
            </w:r>
          </w:p>
        </w:tc>
      </w:tr>
      <w:tr w14:paraId="63B7D631">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14:paraId="11437294">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5CF3E2AC">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是否允许递交</w:t>
            </w:r>
          </w:p>
          <w:p w14:paraId="32657146">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备选磋商方案</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60E8783">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不允许</w:t>
            </w:r>
          </w:p>
        </w:tc>
      </w:tr>
      <w:tr w14:paraId="2ECE373D">
        <w:tblPrEx>
          <w:tblCellMar>
            <w:top w:w="0" w:type="dxa"/>
            <w:left w:w="108" w:type="dxa"/>
            <w:bottom w:w="0" w:type="dxa"/>
            <w:right w:w="108" w:type="dxa"/>
          </w:tblCellMar>
        </w:tblPrEx>
        <w:trPr>
          <w:trHeight w:val="166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80FB9E8">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3.7.3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B8FE76E">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电子响应文件</w:t>
            </w:r>
          </w:p>
          <w:p w14:paraId="6F6C92AC">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签字盖章要求</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98F7A6C">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（1）所有要求供应商加盖公章的地方都须加盖供应商的 CA 印章。</w:t>
            </w:r>
          </w:p>
          <w:p w14:paraId="50809305">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（2）所有要求法定代表人或其委托代理人签字的地方都须法定代表人或其委托代理人加盖CA印章或签字。</w:t>
            </w:r>
          </w:p>
          <w:p w14:paraId="1FF23C70">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000000"/>
                <w:sz w:val="21"/>
                <w:szCs w:val="21"/>
                <w:highlight w:val="none"/>
                <w:lang w:val="en-US" w:eastAsia="zh-CN"/>
              </w:rPr>
              <w:t>（3）工程量清单报价封面（扉页）的签字、盖章要求：已标价工程量清单封面（扉页）应加盖本单位造价工程师执业资格印章并签字。（如本单位没有造价人员，也可授权有编制造价能力的单位进行编制，并加盖被授权单位公章和造价人员执业资格印章并签字）。</w:t>
            </w:r>
          </w:p>
        </w:tc>
      </w:tr>
      <w:tr w14:paraId="59A3BB15">
        <w:tblPrEx>
          <w:tblCellMar>
            <w:top w:w="0" w:type="dxa"/>
            <w:left w:w="108" w:type="dxa"/>
            <w:bottom w:w="0" w:type="dxa"/>
            <w:right w:w="108" w:type="dxa"/>
          </w:tblCellMar>
        </w:tblPrEx>
        <w:trPr>
          <w:trHeight w:val="788"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6258A57E">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3.7.4</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14134D9">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响应文件份数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3FFA737">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加密的电子响应文件壹份（*.XYTF 格式，在会员系统指定位置上传）</w:t>
            </w:r>
          </w:p>
        </w:tc>
      </w:tr>
      <w:tr w14:paraId="6E5B87D9">
        <w:tblPrEx>
          <w:tblCellMar>
            <w:top w:w="0" w:type="dxa"/>
            <w:left w:w="108" w:type="dxa"/>
            <w:bottom w:w="0" w:type="dxa"/>
            <w:right w:w="108" w:type="dxa"/>
          </w:tblCellMar>
        </w:tblPrEx>
        <w:trPr>
          <w:trHeight w:val="35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38D5BA52">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4.2</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73E0235">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响应文件的递交</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DC59BAF">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1、电子响应文件的递交</w:t>
            </w:r>
          </w:p>
          <w:p w14:paraId="2140F6FD">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3E580EDE">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2、本项目采用“不见面开标”交易方式，不见面开标大厅网址为 </w:t>
            </w:r>
            <w:r>
              <w:rPr>
                <w:rFonts w:hint="eastAsia" w:ascii="宋体" w:hAnsi="宋体" w:eastAsia="宋体" w:cs="宋体"/>
                <w:color w:val="auto"/>
                <w:kern w:val="0"/>
                <w:sz w:val="21"/>
                <w:szCs w:val="21"/>
                <w:highlight w:val="none"/>
                <w:lang w:val="en-US" w:eastAsia="zh-CN"/>
              </w:rPr>
              <w:fldChar w:fldCharType="begin"/>
            </w:r>
            <w:r>
              <w:rPr>
                <w:rFonts w:hint="eastAsia" w:ascii="宋体" w:hAnsi="宋体" w:eastAsia="宋体" w:cs="宋体"/>
                <w:color w:val="auto"/>
                <w:kern w:val="0"/>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kern w:val="0"/>
                <w:sz w:val="21"/>
                <w:szCs w:val="21"/>
                <w:highlight w:val="none"/>
                <w:lang w:val="en-US" w:eastAsia="zh-CN"/>
              </w:rPr>
              <w:fldChar w:fldCharType="separate"/>
            </w:r>
            <w:r>
              <w:rPr>
                <w:rFonts w:hint="eastAsia" w:ascii="宋体" w:hAnsi="宋体" w:eastAsia="宋体" w:cs="宋体"/>
                <w:color w:val="auto"/>
                <w:kern w:val="0"/>
                <w:sz w:val="21"/>
                <w:szCs w:val="21"/>
                <w:highlight w:val="none"/>
                <w:lang w:val="en-US" w:eastAsia="zh-CN"/>
              </w:rPr>
              <w:t>https://ggzyjy.xinyang.gov.cn/BidOpening，供应商无需寄送和递交非加密的电子响应文件，无需到现场参加开标会议，无需到达现场提交原件资料。</w:t>
            </w:r>
            <w:r>
              <w:rPr>
                <w:rFonts w:hint="eastAsia" w:ascii="宋体" w:hAnsi="宋体" w:eastAsia="宋体" w:cs="宋体"/>
                <w:color w:val="auto"/>
                <w:kern w:val="0"/>
                <w:sz w:val="21"/>
                <w:szCs w:val="21"/>
                <w:highlight w:val="none"/>
                <w:lang w:val="en-US" w:eastAsia="zh-CN"/>
              </w:rPr>
              <w:fldChar w:fldCharType="end"/>
            </w:r>
          </w:p>
        </w:tc>
      </w:tr>
      <w:tr w14:paraId="6C159155">
        <w:tblPrEx>
          <w:tblCellMar>
            <w:top w:w="0" w:type="dxa"/>
            <w:left w:w="108" w:type="dxa"/>
            <w:bottom w:w="0" w:type="dxa"/>
            <w:right w:w="108" w:type="dxa"/>
          </w:tblCellMar>
        </w:tblPrEx>
        <w:trPr>
          <w:trHeight w:val="911"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783C23E2">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5.1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5D5755B3">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提交响应文件</w:t>
            </w:r>
          </w:p>
          <w:p w14:paraId="40C2B92E">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截止时间</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DFD9DB0">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2026年6月 18  日09时00分</w:t>
            </w:r>
          </w:p>
        </w:tc>
      </w:tr>
      <w:tr w14:paraId="588F471C">
        <w:tblPrEx>
          <w:tblCellMar>
            <w:top w:w="0" w:type="dxa"/>
            <w:left w:w="108" w:type="dxa"/>
            <w:bottom w:w="0" w:type="dxa"/>
            <w:right w:w="108" w:type="dxa"/>
          </w:tblCellMar>
        </w:tblPrEx>
        <w:trPr>
          <w:trHeight w:val="68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84FF6B6">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5.1.1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2F4FB9AD">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磋商时间和地点</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6895E46">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磋商时间：同响应文件提交截止时间</w:t>
            </w:r>
          </w:p>
          <w:p w14:paraId="0EA125B7">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磋商地点：同响应文件提交地点</w:t>
            </w:r>
          </w:p>
        </w:tc>
      </w:tr>
      <w:tr w14:paraId="3A8CE8DA">
        <w:tblPrEx>
          <w:tblCellMar>
            <w:top w:w="0" w:type="dxa"/>
            <w:left w:w="108" w:type="dxa"/>
            <w:bottom w:w="0" w:type="dxa"/>
            <w:right w:w="108" w:type="dxa"/>
          </w:tblCellMar>
        </w:tblPrEx>
        <w:trPr>
          <w:trHeight w:val="544"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73DA3A6">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6.1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7DCAF0C8">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磋商小组的组建</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22947B8">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磋商小组构成：3人，其中业主评委1人，技术、经济类专家2人；</w:t>
            </w:r>
          </w:p>
          <w:p w14:paraId="29E8B0C4">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专家确定方式：磋商前从政府采购专家库中随机抽取。</w:t>
            </w:r>
          </w:p>
        </w:tc>
      </w:tr>
      <w:tr w14:paraId="22B8E775">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5DCEA2D7">
            <w:pPr>
              <w:adjustRightIn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7.1</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0F9153DD">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是否授权磋商小组</w:t>
            </w:r>
          </w:p>
          <w:p w14:paraId="6E570E0A">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确定成交人</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63FD9411">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否；推荐的成交候选人数：3名</w:t>
            </w:r>
          </w:p>
        </w:tc>
      </w:tr>
      <w:tr w14:paraId="367AA348">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2C7FD020">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7.3</w:t>
            </w:r>
          </w:p>
        </w:tc>
        <w:tc>
          <w:tcPr>
            <w:tcW w:w="2255" w:type="dxa"/>
            <w:tcBorders>
              <w:top w:val="single" w:color="auto" w:sz="4" w:space="0"/>
              <w:left w:val="single" w:color="auto" w:sz="4" w:space="0"/>
              <w:bottom w:val="single" w:color="auto" w:sz="4" w:space="0"/>
              <w:right w:val="single" w:color="auto" w:sz="4" w:space="0"/>
            </w:tcBorders>
            <w:noWrap w:val="0"/>
            <w:vAlign w:val="center"/>
          </w:tcPr>
          <w:p w14:paraId="16EFD145">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履约保证金</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3972C52">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w:t>
            </w:r>
          </w:p>
        </w:tc>
      </w:tr>
      <w:tr w14:paraId="3D0E816D">
        <w:tblPrEx>
          <w:tblCellMar>
            <w:top w:w="0" w:type="dxa"/>
            <w:left w:w="108" w:type="dxa"/>
            <w:bottom w:w="0" w:type="dxa"/>
            <w:right w:w="108" w:type="dxa"/>
          </w:tblCellMar>
        </w:tblPrEx>
        <w:trPr>
          <w:trHeight w:val="538" w:hRule="atLeast"/>
        </w:trPr>
        <w:tc>
          <w:tcPr>
            <w:tcW w:w="9243" w:type="dxa"/>
            <w:gridSpan w:val="3"/>
            <w:tcBorders>
              <w:top w:val="single" w:color="auto" w:sz="4" w:space="0"/>
              <w:left w:val="single" w:color="auto" w:sz="4" w:space="0"/>
              <w:bottom w:val="single" w:color="auto" w:sz="4" w:space="0"/>
              <w:right w:val="single" w:color="auto" w:sz="4" w:space="0"/>
            </w:tcBorders>
            <w:noWrap w:val="0"/>
            <w:vAlign w:val="center"/>
          </w:tcPr>
          <w:p w14:paraId="5C0C506F">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7D376715">
        <w:tblPrEx>
          <w:tblCellMar>
            <w:top w:w="0" w:type="dxa"/>
            <w:left w:w="108" w:type="dxa"/>
            <w:bottom w:w="0" w:type="dxa"/>
            <w:right w:w="108" w:type="dxa"/>
          </w:tblCellMar>
        </w:tblPrEx>
        <w:trPr>
          <w:trHeight w:val="56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0728DB0E">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解释权</w:t>
            </w:r>
          </w:p>
        </w:tc>
        <w:tc>
          <w:tcPr>
            <w:tcW w:w="8158" w:type="dxa"/>
            <w:gridSpan w:val="2"/>
            <w:tcBorders>
              <w:top w:val="single" w:color="auto" w:sz="4" w:space="0"/>
              <w:left w:val="single" w:color="auto" w:sz="4" w:space="0"/>
              <w:bottom w:val="single" w:color="auto" w:sz="4" w:space="0"/>
              <w:right w:val="single" w:color="auto" w:sz="4" w:space="0"/>
            </w:tcBorders>
            <w:noWrap w:val="0"/>
            <w:vAlign w:val="center"/>
          </w:tcPr>
          <w:p w14:paraId="506495B4">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356533A">
        <w:tblPrEx>
          <w:tblCellMar>
            <w:top w:w="0" w:type="dxa"/>
            <w:left w:w="108" w:type="dxa"/>
            <w:bottom w:w="0" w:type="dxa"/>
            <w:right w:w="108" w:type="dxa"/>
          </w:tblCellMar>
        </w:tblPrEx>
        <w:trPr>
          <w:trHeight w:val="800" w:hRule="atLeast"/>
        </w:trPr>
        <w:tc>
          <w:tcPr>
            <w:tcW w:w="1085" w:type="dxa"/>
            <w:vMerge w:val="restart"/>
            <w:tcBorders>
              <w:top w:val="single" w:color="auto" w:sz="4" w:space="0"/>
              <w:left w:val="single" w:color="auto" w:sz="4" w:space="0"/>
              <w:right w:val="single" w:color="auto" w:sz="4" w:space="0"/>
            </w:tcBorders>
            <w:noWrap w:val="0"/>
            <w:vAlign w:val="center"/>
          </w:tcPr>
          <w:p w14:paraId="790A4CF9">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其他补充内容</w:t>
            </w:r>
          </w:p>
        </w:tc>
        <w:tc>
          <w:tcPr>
            <w:tcW w:w="8158" w:type="dxa"/>
            <w:gridSpan w:val="2"/>
            <w:tcBorders>
              <w:top w:val="single" w:color="auto" w:sz="4" w:space="0"/>
              <w:left w:val="single" w:color="auto" w:sz="4" w:space="0"/>
              <w:bottom w:val="single" w:color="auto" w:sz="4" w:space="0"/>
              <w:right w:val="single" w:color="auto" w:sz="4" w:space="0"/>
            </w:tcBorders>
            <w:noWrap w:val="0"/>
            <w:vAlign w:val="center"/>
          </w:tcPr>
          <w:p w14:paraId="300BDD13">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rPr>
              <w:t>标书雷同性分析：</w:t>
            </w:r>
            <w:r>
              <w:rPr>
                <w:rFonts w:hint="eastAsia" w:ascii="宋体" w:hAnsi="宋体" w:eastAsia="宋体" w:cs="宋体"/>
                <w:color w:val="auto"/>
                <w:spacing w:val="-6"/>
                <w:kern w:val="0"/>
                <w:sz w:val="21"/>
                <w:szCs w:val="21"/>
                <w:highlight w:val="none"/>
                <w:lang w:val="en-US" w:eastAsia="zh-CN"/>
              </w:rPr>
              <w:t>文件制作机器码、文件创建标识码有相同的按废标处理。</w:t>
            </w:r>
          </w:p>
        </w:tc>
      </w:tr>
      <w:tr w14:paraId="1F2DEBA1">
        <w:tblPrEx>
          <w:tblCellMar>
            <w:top w:w="0" w:type="dxa"/>
            <w:left w:w="108" w:type="dxa"/>
            <w:bottom w:w="0" w:type="dxa"/>
            <w:right w:w="108" w:type="dxa"/>
          </w:tblCellMar>
        </w:tblPrEx>
        <w:trPr>
          <w:trHeight w:val="800" w:hRule="atLeast"/>
        </w:trPr>
        <w:tc>
          <w:tcPr>
            <w:tcW w:w="1085" w:type="dxa"/>
            <w:vMerge w:val="continue"/>
            <w:tcBorders>
              <w:left w:val="single" w:color="auto" w:sz="4" w:space="0"/>
              <w:bottom w:val="single" w:color="auto" w:sz="4" w:space="0"/>
              <w:right w:val="single" w:color="auto" w:sz="4" w:space="0"/>
            </w:tcBorders>
            <w:noWrap w:val="0"/>
            <w:vAlign w:val="center"/>
          </w:tcPr>
          <w:p w14:paraId="73A23F2E">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bookmarkStart w:id="23" w:name="_Toc152045529"/>
            <w:bookmarkStart w:id="24" w:name="_Toc152042305"/>
            <w:bookmarkStart w:id="25" w:name="_Toc466298091"/>
            <w:bookmarkStart w:id="26" w:name="_Toc10694"/>
            <w:bookmarkStart w:id="27" w:name="_Toc144974497"/>
            <w:bookmarkStart w:id="28" w:name="_Toc455080108"/>
          </w:p>
        </w:tc>
        <w:tc>
          <w:tcPr>
            <w:tcW w:w="8158" w:type="dxa"/>
            <w:gridSpan w:val="2"/>
            <w:tcBorders>
              <w:top w:val="single" w:color="auto" w:sz="4" w:space="0"/>
              <w:left w:val="single" w:color="auto" w:sz="4" w:space="0"/>
              <w:bottom w:val="single" w:color="auto" w:sz="4" w:space="0"/>
              <w:right w:val="single" w:color="auto" w:sz="4" w:space="0"/>
            </w:tcBorders>
            <w:noWrap w:val="0"/>
            <w:vAlign w:val="center"/>
          </w:tcPr>
          <w:p w14:paraId="20C4522E">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1.代理费收费约定:本项目代理费由中标企业支付,供应商报价应当包含该项目代理服务费</w:t>
            </w:r>
            <w:r>
              <w:rPr>
                <w:rFonts w:hint="eastAsia" w:ascii="宋体" w:hAnsi="宋体" w:eastAsia="宋体" w:cs="宋体"/>
                <w:color w:val="auto"/>
                <w:kern w:val="0"/>
                <w:sz w:val="21"/>
                <w:szCs w:val="21"/>
                <w:highlight w:val="none"/>
                <w:lang w:val="en-US" w:eastAsia="zh-CN"/>
              </w:rPr>
              <w:t>；</w:t>
            </w:r>
          </w:p>
          <w:p w14:paraId="5CD47A90">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2.本项目代理服务费按不高于“豫招协[2023] 002 号”规定的收费标准收取，中标人领取中标通知时向采购代理机构一次性付清。本项目中标服务费的收取按差额定率累进法计算，单标段上限不超过10万元</w:t>
            </w:r>
            <w:r>
              <w:rPr>
                <w:rFonts w:hint="eastAsia" w:ascii="宋体" w:hAnsi="宋体" w:eastAsia="宋体" w:cs="宋体"/>
                <w:color w:val="auto"/>
                <w:kern w:val="0"/>
                <w:sz w:val="21"/>
                <w:szCs w:val="21"/>
                <w:highlight w:val="none"/>
                <w:lang w:val="en-US" w:eastAsia="zh-CN"/>
              </w:rPr>
              <w:t>；</w:t>
            </w:r>
          </w:p>
          <w:p w14:paraId="26C02C35">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3.收费标准:</w:t>
            </w:r>
          </w:p>
          <w:p w14:paraId="1458DEB3">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highlight w:val="none"/>
                <w:u w:val="none"/>
                <w:lang w:val="en-US" w:eastAsia="zh-CN"/>
              </w:rPr>
            </w:pPr>
            <w:r>
              <w:rPr>
                <w:rFonts w:hint="default" w:ascii="宋体" w:hAnsi="宋体" w:eastAsia="宋体" w:cs="宋体"/>
                <w:color w:val="auto"/>
                <w:kern w:val="0"/>
                <w:sz w:val="21"/>
                <w:szCs w:val="21"/>
                <w:highlight w:val="none"/>
                <w:lang w:val="en-US" w:eastAsia="zh-CN"/>
              </w:rPr>
              <w:t>预算金额的 100 万 (含) 以下部分费率</w:t>
            </w:r>
            <w:r>
              <w:rPr>
                <w:rFonts w:hint="default" w:ascii="宋体" w:hAnsi="宋体" w:eastAsia="宋体" w:cs="宋体"/>
                <w:color w:val="auto"/>
                <w:kern w:val="0"/>
                <w:sz w:val="21"/>
                <w:szCs w:val="21"/>
                <w:highlight w:val="none"/>
                <w:u w:val="none"/>
                <w:lang w:val="en-US" w:eastAsia="zh-CN"/>
              </w:rPr>
              <w:t>为</w:t>
            </w:r>
            <w:r>
              <w:rPr>
                <w:rFonts w:hint="eastAsia" w:ascii="宋体" w:hAnsi="宋体" w:eastAsia="宋体" w:cs="宋体"/>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u w:val="none"/>
                <w:lang w:val="en-US" w:eastAsia="zh-CN"/>
              </w:rPr>
              <w:t>；</w:t>
            </w:r>
          </w:p>
          <w:p w14:paraId="4E520A23">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u w:val="none"/>
                <w:lang w:val="en-US" w:eastAsia="zh-CN"/>
              </w:rPr>
            </w:pPr>
            <w:r>
              <w:rPr>
                <w:rFonts w:hint="default" w:ascii="宋体" w:hAnsi="宋体" w:eastAsia="宋体" w:cs="宋体"/>
                <w:color w:val="auto"/>
                <w:kern w:val="0"/>
                <w:sz w:val="21"/>
                <w:szCs w:val="21"/>
                <w:highlight w:val="none"/>
                <w:u w:val="none"/>
                <w:lang w:val="en-US" w:eastAsia="zh-CN"/>
              </w:rPr>
              <w:t>预算金额的 100 万以上- 500 万 (</w:t>
            </w:r>
            <w:r>
              <w:rPr>
                <w:rFonts w:hint="eastAsia" w:ascii="宋体" w:hAnsi="宋体" w:eastAsia="宋体" w:cs="宋体"/>
                <w:color w:val="auto"/>
                <w:kern w:val="0"/>
                <w:sz w:val="21"/>
                <w:szCs w:val="21"/>
                <w:highlight w:val="none"/>
                <w:u w:val="none"/>
                <w:lang w:val="en-US" w:eastAsia="zh-CN"/>
              </w:rPr>
              <w:t>含</w:t>
            </w:r>
            <w:r>
              <w:rPr>
                <w:rFonts w:hint="default" w:ascii="宋体" w:hAnsi="宋体" w:eastAsia="宋体" w:cs="宋体"/>
                <w:color w:val="auto"/>
                <w:kern w:val="0"/>
                <w:sz w:val="21"/>
                <w:szCs w:val="21"/>
                <w:highlight w:val="none"/>
                <w:u w:val="none"/>
                <w:lang w:val="en-US" w:eastAsia="zh-CN"/>
              </w:rPr>
              <w:t>) 部分费率为</w:t>
            </w:r>
            <w:r>
              <w:rPr>
                <w:rFonts w:hint="eastAsia" w:ascii="宋体" w:hAnsi="宋体" w:eastAsia="宋体" w:cs="宋体"/>
                <w:color w:val="auto"/>
                <w:kern w:val="0"/>
                <w:sz w:val="21"/>
                <w:szCs w:val="21"/>
                <w:highlight w:val="none"/>
                <w:u w:val="single"/>
                <w:lang w:val="en-US" w:eastAsia="zh-CN"/>
              </w:rPr>
              <w:t xml:space="preserve"> 1.0% </w:t>
            </w:r>
            <w:r>
              <w:rPr>
                <w:rFonts w:hint="eastAsia" w:ascii="宋体" w:hAnsi="宋体" w:eastAsia="宋体" w:cs="宋体"/>
                <w:color w:val="auto"/>
                <w:kern w:val="0"/>
                <w:sz w:val="21"/>
                <w:szCs w:val="21"/>
                <w:highlight w:val="none"/>
                <w:u w:val="none"/>
                <w:lang w:val="en-US" w:eastAsia="zh-CN"/>
              </w:rPr>
              <w:t>；</w:t>
            </w:r>
          </w:p>
          <w:p w14:paraId="797C5AF2">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u w:val="none"/>
                <w:lang w:val="en-US" w:eastAsia="zh-CN"/>
              </w:rPr>
            </w:pPr>
            <w:r>
              <w:rPr>
                <w:rFonts w:hint="default" w:ascii="宋体" w:hAnsi="宋体" w:eastAsia="宋体" w:cs="宋体"/>
                <w:color w:val="auto"/>
                <w:kern w:val="0"/>
                <w:sz w:val="21"/>
                <w:szCs w:val="21"/>
                <w:highlight w:val="none"/>
                <w:u w:val="none"/>
                <w:lang w:val="en-US" w:eastAsia="zh-CN"/>
              </w:rPr>
              <w:t>预算金额的 500 万以上-1000 万 (含) 部分费率为</w:t>
            </w:r>
            <w:r>
              <w:rPr>
                <w:rFonts w:hint="eastAsia" w:ascii="宋体" w:hAnsi="宋体" w:eastAsia="宋体" w:cs="宋体"/>
                <w:color w:val="auto"/>
                <w:kern w:val="0"/>
                <w:sz w:val="21"/>
                <w:szCs w:val="21"/>
                <w:highlight w:val="none"/>
                <w:u w:val="single"/>
                <w:lang w:val="en-US" w:eastAsia="zh-CN"/>
              </w:rPr>
              <w:t xml:space="preserve"> 0.7% </w:t>
            </w:r>
            <w:r>
              <w:rPr>
                <w:rFonts w:hint="eastAsia" w:ascii="宋体" w:hAnsi="宋体" w:eastAsia="宋体" w:cs="宋体"/>
                <w:color w:val="auto"/>
                <w:kern w:val="0"/>
                <w:sz w:val="21"/>
                <w:szCs w:val="21"/>
                <w:highlight w:val="none"/>
                <w:u w:val="none"/>
                <w:lang w:val="en-US" w:eastAsia="zh-CN"/>
              </w:rPr>
              <w:t>；</w:t>
            </w:r>
          </w:p>
          <w:p w14:paraId="4A31B9BE">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u w:val="none"/>
                <w:lang w:val="en-US" w:eastAsia="zh-CN"/>
              </w:rPr>
              <w:t>预算金额的 1000 万以上- 5000 万(含)部分费率为</w:t>
            </w:r>
            <w:r>
              <w:rPr>
                <w:rFonts w:hint="eastAsia" w:ascii="宋体" w:hAnsi="宋体" w:eastAsia="宋体" w:cs="宋体"/>
                <w:color w:val="auto"/>
                <w:kern w:val="0"/>
                <w:sz w:val="21"/>
                <w:szCs w:val="21"/>
                <w:highlight w:val="none"/>
                <w:u w:val="single"/>
                <w:lang w:val="en-US" w:eastAsia="zh-CN"/>
              </w:rPr>
              <w:t xml:space="preserve"> 0.4% </w:t>
            </w:r>
            <w:r>
              <w:rPr>
                <w:rFonts w:hint="eastAsia" w:ascii="宋体" w:hAnsi="宋体" w:eastAsia="宋体" w:cs="宋体"/>
                <w:color w:val="auto"/>
                <w:kern w:val="0"/>
                <w:sz w:val="21"/>
                <w:szCs w:val="21"/>
                <w:highlight w:val="none"/>
                <w:u w:val="none"/>
                <w:lang w:val="en-US" w:eastAsia="zh-CN"/>
              </w:rPr>
              <w:t>；</w:t>
            </w:r>
          </w:p>
        </w:tc>
      </w:tr>
      <w:tr w14:paraId="32B2C08E">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16B1EFC9">
            <w:pPr>
              <w:adjustRightInd w:val="0"/>
              <w:spacing w:line="360" w:lineRule="auto"/>
              <w:ind w:left="0" w:leftChars="0" w:firstLine="0" w:firstLineChars="0"/>
              <w:jc w:val="center"/>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开标程序</w:t>
            </w:r>
          </w:p>
        </w:tc>
        <w:tc>
          <w:tcPr>
            <w:tcW w:w="8158" w:type="dxa"/>
            <w:gridSpan w:val="2"/>
            <w:tcBorders>
              <w:top w:val="single" w:color="auto" w:sz="4" w:space="0"/>
              <w:left w:val="single" w:color="auto" w:sz="4" w:space="0"/>
              <w:bottom w:val="single" w:color="auto" w:sz="4" w:space="0"/>
              <w:right w:val="single" w:color="auto" w:sz="4" w:space="0"/>
            </w:tcBorders>
            <w:noWrap w:val="0"/>
            <w:vAlign w:val="center"/>
          </w:tcPr>
          <w:p w14:paraId="78EEE2B0">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各供应商应在投标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1DEABC6C">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加密电子响应文件逾期上传，采购人不予受理</w:t>
            </w:r>
          </w:p>
          <w:p w14:paraId="2F4878CA">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2.本项目采用“不见面开标”交易方式，不见面开标大厅网址为 https://ggzyjy.xinyang.gov.cn/BidOpening，供应商无需寄送和递交非加密的电子响应文件，无需到现场参加开标会议，无需到达现场提交原件资料。</w:t>
            </w:r>
          </w:p>
          <w:p w14:paraId="171EE62B">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供应商应当在投标截止时间前，使用供应商CA数字证书登录不见面开标大厅，在线签到并准时参加开标活动，并在规定时间内完成响应文件解密、答疑澄清等。</w:t>
            </w:r>
          </w:p>
          <w:p w14:paraId="53E05948">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逾期解密或者没有准时在线参加开标活动导致的一切后果供应商自行承担。</w:t>
            </w:r>
          </w:p>
          <w:p w14:paraId="2E71CE49">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不见面开标服务的具体事宜，请查阅信阳市公共资源交易中心网站首页—下载中心—信阳市不见面开标大厅系统操作手册 。</w:t>
            </w:r>
          </w:p>
          <w:p w14:paraId="3D229CDE">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特别提示：供应商在线签到时，应如实准确的填写授权委托人的联系电话，开标当天请务必保证电话保持畅通。</w:t>
            </w:r>
          </w:p>
          <w:p w14:paraId="38E1D212">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rPr>
              <w:t>3.供应商应当在投标截止时间前，使用供应商CA数字证书登录不见面开标大厅，在线签到并准时参加开标活动，并在规定时间内完成投标文件解密等。如有答疑澄清、二次报价等事项，系统会自动提醒，请供应商在开标当天时刻关注并刷新业务系统，在规定时间内完成答疑澄清、二次报价等事项，逾期后果自负。</w:t>
            </w:r>
          </w:p>
        </w:tc>
      </w:tr>
      <w:tr w14:paraId="60576C4F">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14:paraId="22691141">
            <w:pPr>
              <w:keepNext w:val="0"/>
              <w:keepLines w:val="0"/>
              <w:pageBreakBefore w:val="0"/>
              <w:widowControl/>
              <w:kinsoku/>
              <w:wordWrap w:val="0"/>
              <w:overflowPunct/>
              <w:topLinePunct/>
              <w:autoSpaceDE/>
              <w:autoSpaceDN/>
              <w:bidi w:val="0"/>
              <w:snapToGrid/>
              <w:spacing w:line="312" w:lineRule="auto"/>
              <w:ind w:left="0" w:leftChars="0" w:firstLine="0" w:firstLineChars="0"/>
              <w:jc w:val="both"/>
              <w:rPr>
                <w:rFonts w:hint="eastAsia" w:ascii="宋体" w:hAnsi="宋体" w:cs="宋体"/>
                <w:color w:val="auto"/>
                <w:szCs w:val="21"/>
                <w:highlight w:val="none"/>
                <w:lang w:val="en-US" w:eastAsia="zh-CN"/>
              </w:rPr>
            </w:pPr>
            <w:bookmarkStart w:id="29" w:name="_Toc26372"/>
            <w:bookmarkStart w:id="30" w:name="_Toc13854"/>
            <w:r>
              <w:rPr>
                <w:rFonts w:hint="eastAsia" w:ascii="宋体" w:hAnsi="宋体" w:eastAsia="宋体" w:cs="宋体"/>
                <w:color w:val="auto"/>
                <w:szCs w:val="21"/>
                <w:highlight w:val="none"/>
                <w:lang w:val="en-US" w:eastAsia="zh-CN"/>
              </w:rPr>
              <w:t>本项目所属行业</w:t>
            </w:r>
          </w:p>
        </w:tc>
        <w:tc>
          <w:tcPr>
            <w:tcW w:w="8158" w:type="dxa"/>
            <w:gridSpan w:val="2"/>
            <w:tcBorders>
              <w:top w:val="single" w:color="auto" w:sz="4" w:space="0"/>
              <w:left w:val="single" w:color="auto" w:sz="4" w:space="0"/>
              <w:bottom w:val="single" w:color="auto" w:sz="4" w:space="0"/>
              <w:right w:val="single" w:color="auto" w:sz="4" w:space="0"/>
            </w:tcBorders>
            <w:noWrap w:val="0"/>
            <w:vAlign w:val="center"/>
          </w:tcPr>
          <w:p w14:paraId="052270D5">
            <w:pPr>
              <w:keepNext w:val="0"/>
              <w:keepLines w:val="0"/>
              <w:pageBreakBefore w:val="0"/>
              <w:widowControl/>
              <w:kinsoku/>
              <w:wordWrap w:val="0"/>
              <w:overflowPunct/>
              <w:topLinePunct/>
              <w:autoSpaceDE/>
              <w:autoSpaceDN/>
              <w:bidi w:val="0"/>
              <w:snapToGrid/>
              <w:spacing w:line="312"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u w:val="none"/>
                <w:lang w:val="en-US" w:eastAsia="zh-CN"/>
              </w:rPr>
              <w:t>建筑业</w:t>
            </w:r>
            <w:r>
              <w:rPr>
                <w:rFonts w:hint="eastAsia" w:ascii="宋体" w:hAnsi="宋体" w:eastAsia="宋体" w:cs="宋体"/>
                <w:color w:val="auto"/>
                <w:kern w:val="0"/>
                <w:sz w:val="21"/>
                <w:szCs w:val="21"/>
                <w:highlight w:val="none"/>
                <w:lang w:val="en-US" w:eastAsia="zh-CN"/>
              </w:rPr>
              <w:t>（依据中小企业划型标准规定（工信部联企业〔2011〕300号）)</w:t>
            </w:r>
          </w:p>
        </w:tc>
      </w:tr>
    </w:tbl>
    <w:p w14:paraId="1793C7FE">
      <w:pPr>
        <w:pStyle w:val="62"/>
        <w:spacing w:before="0" w:beforeLines="0" w:line="360" w:lineRule="auto"/>
        <w:rPr>
          <w:rFonts w:hint="eastAsia" w:ascii="宋体" w:hAnsi="宋体" w:eastAsia="宋体"/>
          <w:color w:val="auto"/>
          <w:sz w:val="21"/>
          <w:szCs w:val="21"/>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bookmarkEnd w:id="23"/>
      <w:bookmarkEnd w:id="24"/>
      <w:bookmarkEnd w:id="25"/>
      <w:bookmarkEnd w:id="26"/>
      <w:bookmarkEnd w:id="27"/>
      <w:bookmarkEnd w:id="28"/>
      <w:bookmarkEnd w:id="29"/>
      <w:bookmarkEnd w:id="30"/>
    </w:p>
    <w:p w14:paraId="340F75CE">
      <w:pPr>
        <w:pStyle w:val="63"/>
        <w:spacing w:line="360" w:lineRule="auto"/>
        <w:outlineLvl w:val="0"/>
        <w:rPr>
          <w:rFonts w:hint="eastAsia" w:ascii="宋体" w:hAnsi="宋体" w:eastAsia="宋体"/>
          <w:b/>
          <w:bCs/>
          <w:color w:val="auto"/>
          <w:sz w:val="21"/>
          <w:szCs w:val="21"/>
          <w:highlight w:val="none"/>
        </w:rPr>
      </w:pPr>
      <w:bookmarkStart w:id="31" w:name="_Toc466298092"/>
      <w:bookmarkStart w:id="32" w:name="_Toc274409866"/>
      <w:bookmarkStart w:id="33" w:name="_Toc1172"/>
      <w:bookmarkStart w:id="34" w:name="_Toc21458"/>
      <w:bookmarkStart w:id="35" w:name="_Toc20827"/>
      <w:bookmarkStart w:id="36" w:name="_Toc318450675"/>
      <w:bookmarkStart w:id="37" w:name="_Toc455080109"/>
      <w:bookmarkStart w:id="38" w:name="_Toc1628"/>
      <w:bookmarkStart w:id="39" w:name="_Toc10273"/>
      <w:bookmarkStart w:id="40" w:name="_Toc490667828"/>
      <w:bookmarkStart w:id="41" w:name="_Toc15709"/>
      <w:bookmarkStart w:id="42" w:name="_Toc4012"/>
      <w:bookmarkStart w:id="43" w:name="_Toc455867769"/>
      <w:bookmarkStart w:id="44" w:name="_Toc6747"/>
      <w:bookmarkStart w:id="45" w:name="_Toc31404"/>
      <w:bookmarkStart w:id="46" w:name="_Toc658"/>
      <w:bookmarkStart w:id="47" w:name="_Toc21266"/>
      <w:bookmarkStart w:id="48" w:name="_Toc281380952"/>
      <w:bookmarkStart w:id="49" w:name="_Toc29023"/>
      <w:bookmarkStart w:id="50" w:name="_Toc152045531"/>
      <w:bookmarkStart w:id="51" w:name="_Toc144974499"/>
      <w:bookmarkStart w:id="52" w:name="_Toc152042307"/>
      <w:r>
        <w:rPr>
          <w:rFonts w:hint="eastAsia" w:ascii="宋体" w:hAnsi="宋体" w:eastAsia="宋体"/>
          <w:b/>
          <w:bCs/>
          <w:color w:val="auto"/>
          <w:sz w:val="21"/>
          <w:szCs w:val="21"/>
          <w:highlight w:val="none"/>
        </w:rPr>
        <w:t>1.1 适用范围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E71E2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14:paraId="4826623E">
      <w:pPr>
        <w:pStyle w:val="63"/>
        <w:tabs>
          <w:tab w:val="left" w:pos="7410"/>
        </w:tabs>
        <w:spacing w:line="360" w:lineRule="auto"/>
        <w:outlineLvl w:val="0"/>
        <w:rPr>
          <w:rFonts w:hint="eastAsia" w:ascii="宋体" w:hAnsi="宋体" w:eastAsia="宋体"/>
          <w:b/>
          <w:bCs/>
          <w:color w:val="auto"/>
          <w:sz w:val="21"/>
          <w:szCs w:val="21"/>
          <w:highlight w:val="none"/>
        </w:rPr>
      </w:pPr>
      <w:bookmarkStart w:id="53" w:name="_Toc10556"/>
      <w:bookmarkStart w:id="54" w:name="_Toc3336"/>
      <w:bookmarkStart w:id="55" w:name="_Toc455080110"/>
      <w:bookmarkStart w:id="56" w:name="_Toc30891"/>
      <w:bookmarkStart w:id="57" w:name="_Toc2929"/>
      <w:bookmarkStart w:id="58" w:name="_Toc24852"/>
      <w:bookmarkStart w:id="59" w:name="_Toc710"/>
      <w:bookmarkStart w:id="60" w:name="_Toc13618"/>
      <w:bookmarkStart w:id="61" w:name="_Toc466298093"/>
      <w:bookmarkStart w:id="62" w:name="_Toc281405468"/>
      <w:bookmarkStart w:id="63" w:name="_Toc490667829"/>
      <w:bookmarkStart w:id="64" w:name="_Toc32619"/>
      <w:bookmarkStart w:id="65" w:name="_Toc10269"/>
      <w:bookmarkStart w:id="66" w:name="_Toc25773"/>
      <w:bookmarkStart w:id="67" w:name="_Toc455867770"/>
      <w:bookmarkStart w:id="68" w:name="_Toc7237"/>
      <w:bookmarkStart w:id="69" w:name="_Toc274409867"/>
      <w:bookmarkStart w:id="70" w:name="_Toc13754"/>
      <w:bookmarkStart w:id="71" w:name="_Toc318450676"/>
      <w:r>
        <w:rPr>
          <w:rFonts w:hint="eastAsia" w:ascii="宋体" w:hAnsi="宋体" w:eastAsia="宋体"/>
          <w:b/>
          <w:bCs/>
          <w:color w:val="auto"/>
          <w:sz w:val="21"/>
          <w:szCs w:val="21"/>
          <w:highlight w:val="none"/>
        </w:rPr>
        <w:t>1.2 招标项目说明</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E0DF0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14:paraId="2CFF1B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14:paraId="2BFB3F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监督单位</w:t>
      </w:r>
      <w:r>
        <w:rPr>
          <w:rFonts w:hint="eastAsia" w:ascii="宋体" w:hAnsi="宋体" w:cs="宋体"/>
          <w:color w:val="auto"/>
          <w:szCs w:val="21"/>
          <w:highlight w:val="none"/>
        </w:rPr>
        <w:t>：见供应商须知前附表。</w:t>
      </w:r>
    </w:p>
    <w:p w14:paraId="156E86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本项目名称：见供应商须知前附表。</w:t>
      </w:r>
    </w:p>
    <w:p w14:paraId="0266E60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1.2.5本项目采购方式</w:t>
      </w:r>
      <w:r>
        <w:rPr>
          <w:rFonts w:hint="eastAsia" w:ascii="宋体" w:hAnsi="宋体" w:eastAsia="宋体" w:cs="宋体"/>
          <w:color w:val="auto"/>
          <w:szCs w:val="21"/>
          <w:highlight w:val="none"/>
        </w:rPr>
        <w:t>：见供应商须知前附表。</w:t>
      </w:r>
    </w:p>
    <w:p w14:paraId="4B7A987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1.2.6本项目资金来源：</w:t>
      </w:r>
      <w:r>
        <w:rPr>
          <w:rFonts w:hint="eastAsia" w:ascii="宋体" w:hAnsi="宋体" w:eastAsia="宋体" w:cs="宋体"/>
          <w:color w:val="auto"/>
          <w:szCs w:val="21"/>
          <w:highlight w:val="none"/>
        </w:rPr>
        <w:t>见供应商须知前附表。</w:t>
      </w:r>
    </w:p>
    <w:p w14:paraId="0920EAC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1.2.7本项目预算价（最高限价）</w:t>
      </w:r>
      <w:r>
        <w:rPr>
          <w:rFonts w:hint="eastAsia" w:ascii="宋体" w:hAnsi="宋体" w:eastAsia="宋体" w:cs="宋体"/>
          <w:color w:val="auto"/>
          <w:szCs w:val="21"/>
          <w:highlight w:val="none"/>
        </w:rPr>
        <w:t>：见供应商须知前附表。</w:t>
      </w:r>
    </w:p>
    <w:p w14:paraId="3194EAC1">
      <w:pPr>
        <w:pStyle w:val="63"/>
        <w:spacing w:line="360" w:lineRule="auto"/>
        <w:outlineLvl w:val="0"/>
        <w:rPr>
          <w:rFonts w:hint="eastAsia" w:ascii="宋体" w:hAnsi="宋体" w:eastAsia="宋体"/>
          <w:b/>
          <w:bCs/>
          <w:color w:val="auto"/>
          <w:sz w:val="21"/>
          <w:szCs w:val="21"/>
          <w:highlight w:val="none"/>
        </w:rPr>
      </w:pPr>
      <w:bookmarkStart w:id="72" w:name="_Toc274409868"/>
      <w:bookmarkStart w:id="73" w:name="_Toc22979"/>
      <w:bookmarkStart w:id="74" w:name="_Toc318450677"/>
      <w:bookmarkStart w:id="75" w:name="_Toc18960"/>
      <w:bookmarkStart w:id="76" w:name="_Toc281405469"/>
      <w:bookmarkStart w:id="77" w:name="_Toc3477"/>
      <w:bookmarkStart w:id="78" w:name="_Toc17146"/>
      <w:bookmarkStart w:id="79" w:name="_Toc32302"/>
      <w:bookmarkStart w:id="80" w:name="_Toc17016"/>
      <w:bookmarkStart w:id="81" w:name="_Toc455080111"/>
      <w:bookmarkStart w:id="82" w:name="_Toc455867771"/>
      <w:bookmarkStart w:id="83" w:name="_Toc4563"/>
      <w:bookmarkStart w:id="84" w:name="_Toc466298094"/>
      <w:bookmarkStart w:id="85" w:name="_Toc16931"/>
      <w:bookmarkStart w:id="86" w:name="_Toc4122"/>
      <w:bookmarkStart w:id="87" w:name="_Toc1373"/>
      <w:bookmarkStart w:id="88" w:name="_Toc9906"/>
      <w:bookmarkStart w:id="89" w:name="_Toc490667830"/>
      <w:bookmarkStart w:id="90" w:name="_Toc4952"/>
      <w:r>
        <w:rPr>
          <w:rFonts w:hint="eastAsia" w:ascii="宋体" w:hAnsi="宋体" w:eastAsia="宋体"/>
          <w:b/>
          <w:bCs/>
          <w:color w:val="auto"/>
          <w:sz w:val="21"/>
          <w:szCs w:val="21"/>
          <w:highlight w:val="none"/>
        </w:rPr>
        <w:t>1.3 定义及解释</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E4770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14:paraId="32675C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14:paraId="37877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14:paraId="60517E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1.3.4供应商：供应商是响应磋商文件、参加磋商竞争的中华人民共和国境内的法人、其它组织。</w:t>
      </w:r>
    </w:p>
    <w:p w14:paraId="63A7E1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1.3.5响应文件：指供应商根据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提交的所有文件。</w:t>
      </w:r>
    </w:p>
    <w:p w14:paraId="7B5DC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0E242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1.3.7偏离：响应文件的响应相对于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要求的偏差，该偏差优于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要求的为正偏离；劣于的，为负偏离。</w:t>
      </w:r>
    </w:p>
    <w:p w14:paraId="0516A5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1.3.8“日期”或“天”：指日历天。</w:t>
      </w:r>
    </w:p>
    <w:p w14:paraId="253958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14:paraId="499F1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中的标题或题名仅起引导作用，而不应视为对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内容的理解和解释。</w:t>
      </w:r>
    </w:p>
    <w:bookmarkEnd w:id="50"/>
    <w:bookmarkEnd w:id="51"/>
    <w:bookmarkEnd w:id="52"/>
    <w:p w14:paraId="43D30946">
      <w:pPr>
        <w:pStyle w:val="63"/>
        <w:spacing w:line="360" w:lineRule="auto"/>
        <w:outlineLvl w:val="0"/>
        <w:rPr>
          <w:rFonts w:hint="eastAsia" w:ascii="宋体" w:hAnsi="宋体" w:eastAsia="宋体"/>
          <w:b/>
          <w:bCs/>
          <w:color w:val="auto"/>
          <w:sz w:val="21"/>
          <w:szCs w:val="21"/>
          <w:highlight w:val="none"/>
        </w:rPr>
      </w:pPr>
      <w:bookmarkStart w:id="91" w:name="_Toc539"/>
      <w:bookmarkStart w:id="92" w:name="_Toc12752"/>
      <w:bookmarkStart w:id="93" w:name="_Toc318450678"/>
      <w:bookmarkStart w:id="94" w:name="_Toc19363"/>
      <w:bookmarkStart w:id="95" w:name="_Toc21766"/>
      <w:bookmarkStart w:id="96" w:name="_Toc32236"/>
      <w:bookmarkStart w:id="97" w:name="_Toc10894"/>
      <w:bookmarkStart w:id="98" w:name="_Toc14043"/>
      <w:bookmarkStart w:id="99" w:name="_Toc25840"/>
      <w:bookmarkStart w:id="100" w:name="_Toc152042308"/>
      <w:bookmarkStart w:id="101" w:name="_Toc455867772"/>
      <w:bookmarkStart w:id="102" w:name="_Toc455080112"/>
      <w:bookmarkStart w:id="103" w:name="_Toc490667831"/>
      <w:bookmarkStart w:id="104" w:name="_Toc27407"/>
      <w:bookmarkStart w:id="105" w:name="_Toc16470"/>
      <w:bookmarkStart w:id="106" w:name="_Toc466298095"/>
      <w:bookmarkStart w:id="107" w:name="_Toc152045532"/>
      <w:bookmarkStart w:id="108" w:name="_Toc17808"/>
      <w:bookmarkStart w:id="109" w:name="_Toc17908"/>
      <w:bookmarkStart w:id="110" w:name="_Toc144974500"/>
      <w:r>
        <w:rPr>
          <w:rFonts w:hint="eastAsia" w:ascii="宋体" w:hAnsi="宋体" w:eastAsia="宋体"/>
          <w:b/>
          <w:bCs/>
          <w:color w:val="auto"/>
          <w:sz w:val="21"/>
          <w:szCs w:val="21"/>
          <w:highlight w:val="none"/>
        </w:rPr>
        <w:t xml:space="preserve">1.4 </w:t>
      </w:r>
      <w:r>
        <w:rPr>
          <w:rFonts w:hint="eastAsia" w:ascii="宋体" w:hAnsi="宋体" w:eastAsia="宋体"/>
          <w:b/>
          <w:bCs/>
          <w:color w:val="auto"/>
          <w:sz w:val="21"/>
          <w:szCs w:val="21"/>
          <w:highlight w:val="none"/>
          <w:lang w:eastAsia="zh-CN"/>
        </w:rPr>
        <w:t>磋商内容、</w:t>
      </w:r>
      <w:r>
        <w:rPr>
          <w:rFonts w:hint="eastAsia" w:ascii="宋体" w:hAnsi="宋体" w:eastAsia="宋体"/>
          <w:b/>
          <w:bCs/>
          <w:color w:val="auto"/>
          <w:sz w:val="21"/>
          <w:szCs w:val="21"/>
          <w:highlight w:val="none"/>
          <w:lang w:val="en-US" w:eastAsia="zh-CN"/>
        </w:rPr>
        <w:t>计划工期</w:t>
      </w:r>
      <w:r>
        <w:rPr>
          <w:rFonts w:hint="eastAsia" w:ascii="宋体" w:hAnsi="宋体" w:eastAsia="宋体"/>
          <w:b/>
          <w:bCs/>
          <w:color w:val="auto"/>
          <w:sz w:val="21"/>
          <w:szCs w:val="21"/>
          <w:highlight w:val="none"/>
          <w:lang w:eastAsia="zh-CN"/>
        </w:rPr>
        <w:t>、</w:t>
      </w:r>
      <w:r>
        <w:rPr>
          <w:rFonts w:hint="eastAsia" w:ascii="宋体" w:hAnsi="宋体" w:eastAsia="宋体"/>
          <w:b/>
          <w:bCs/>
          <w:color w:val="auto"/>
          <w:sz w:val="21"/>
          <w:szCs w:val="21"/>
          <w:highlight w:val="none"/>
        </w:rPr>
        <w:t>质量要求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0133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本次</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：见供应商须知前附表。</w:t>
      </w:r>
    </w:p>
    <w:p w14:paraId="3CC9B1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本项目的计划工期：见供应商须知前附表。</w:t>
      </w:r>
    </w:p>
    <w:p w14:paraId="17FA2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1.4.3本项目的质量要求：见供应商须知前附表。</w:t>
      </w:r>
    </w:p>
    <w:p w14:paraId="44435CA1">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1.4.4付款方式：</w:t>
      </w:r>
      <w:r>
        <w:rPr>
          <w:rFonts w:hint="eastAsia" w:ascii="宋体" w:hAnsi="宋体" w:eastAsia="宋体" w:cs="宋体"/>
          <w:color w:val="auto"/>
          <w:szCs w:val="21"/>
          <w:highlight w:val="none"/>
        </w:rPr>
        <w:t>见供应商须知前附表。</w:t>
      </w:r>
    </w:p>
    <w:p w14:paraId="4F394F0B">
      <w:pPr>
        <w:pStyle w:val="63"/>
        <w:spacing w:line="360" w:lineRule="auto"/>
        <w:outlineLvl w:val="0"/>
        <w:rPr>
          <w:rFonts w:hint="eastAsia" w:ascii="宋体" w:hAnsi="宋体" w:eastAsia="宋体"/>
          <w:b/>
          <w:bCs/>
          <w:color w:val="auto"/>
          <w:sz w:val="21"/>
          <w:szCs w:val="21"/>
          <w:highlight w:val="none"/>
        </w:rPr>
      </w:pPr>
      <w:bookmarkStart w:id="111" w:name="_Toc152042310"/>
      <w:bookmarkStart w:id="112" w:name="_Toc152045534"/>
      <w:bookmarkStart w:id="113" w:name="_Toc318450679"/>
      <w:bookmarkStart w:id="114" w:name="_Toc144974502"/>
      <w:bookmarkStart w:id="115" w:name="_Toc22643"/>
      <w:bookmarkStart w:id="116" w:name="_Toc7209"/>
      <w:bookmarkStart w:id="117" w:name="_Toc4301"/>
      <w:bookmarkStart w:id="118" w:name="_Toc466298096"/>
      <w:bookmarkStart w:id="119" w:name="_Toc455867773"/>
      <w:bookmarkStart w:id="120" w:name="_Toc1602"/>
      <w:bookmarkStart w:id="121" w:name="_Toc4711"/>
      <w:bookmarkStart w:id="122" w:name="_Toc18689"/>
      <w:bookmarkStart w:id="123" w:name="_Toc5019"/>
      <w:bookmarkStart w:id="124" w:name="_Toc18004"/>
      <w:bookmarkStart w:id="125" w:name="_Toc11063"/>
      <w:bookmarkStart w:id="126" w:name="_Toc490667832"/>
      <w:bookmarkStart w:id="127" w:name="_Toc24702"/>
      <w:bookmarkStart w:id="128" w:name="_Toc32156"/>
      <w:bookmarkStart w:id="129" w:name="_Toc8783"/>
      <w:bookmarkStart w:id="130" w:name="_Toc455080113"/>
      <w:r>
        <w:rPr>
          <w:rFonts w:hint="eastAsia" w:ascii="宋体" w:hAnsi="宋体" w:eastAsia="宋体"/>
          <w:b/>
          <w:bCs/>
          <w:color w:val="auto"/>
          <w:sz w:val="21"/>
          <w:szCs w:val="21"/>
          <w:highlight w:val="none"/>
        </w:rPr>
        <w:t xml:space="preserve">1.5 </w:t>
      </w:r>
      <w:bookmarkEnd w:id="111"/>
      <w:bookmarkEnd w:id="112"/>
      <w:bookmarkEnd w:id="113"/>
      <w:bookmarkEnd w:id="114"/>
      <w:r>
        <w:rPr>
          <w:rFonts w:hint="eastAsia" w:ascii="宋体" w:hAnsi="宋体" w:eastAsia="宋体"/>
          <w:b/>
          <w:bCs/>
          <w:color w:val="auto"/>
          <w:sz w:val="21"/>
          <w:szCs w:val="21"/>
          <w:highlight w:val="none"/>
        </w:rPr>
        <w:t>供应商资质条件和能力</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6C4E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14:paraId="54E1FD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14:paraId="1346B868">
      <w:pPr>
        <w:pStyle w:val="63"/>
        <w:spacing w:line="360" w:lineRule="auto"/>
        <w:outlineLvl w:val="0"/>
        <w:rPr>
          <w:rFonts w:hint="eastAsia" w:ascii="宋体" w:hAnsi="宋体" w:eastAsia="宋体"/>
          <w:b/>
          <w:bCs/>
          <w:color w:val="auto"/>
          <w:sz w:val="21"/>
          <w:szCs w:val="21"/>
          <w:highlight w:val="none"/>
        </w:rPr>
      </w:pPr>
      <w:bookmarkStart w:id="131" w:name="_Toc19908"/>
      <w:bookmarkStart w:id="132" w:name="_Toc9505"/>
      <w:bookmarkStart w:id="133" w:name="_Toc152045535"/>
      <w:bookmarkStart w:id="134" w:name="_Toc12403"/>
      <w:bookmarkStart w:id="135" w:name="_Toc11905"/>
      <w:bookmarkStart w:id="136" w:name="_Toc981"/>
      <w:bookmarkStart w:id="137" w:name="_Toc16889"/>
      <w:bookmarkStart w:id="138" w:name="_Toc318450680"/>
      <w:bookmarkStart w:id="139" w:name="_Toc651"/>
      <w:bookmarkStart w:id="140" w:name="_Toc455080114"/>
      <w:bookmarkStart w:id="141" w:name="_Toc490667833"/>
      <w:bookmarkStart w:id="142" w:name="_Toc144974503"/>
      <w:bookmarkStart w:id="143" w:name="_Toc28135"/>
      <w:bookmarkStart w:id="144" w:name="_Toc31854"/>
      <w:bookmarkStart w:id="145" w:name="_Toc455867774"/>
      <w:bookmarkStart w:id="146" w:name="_Toc5162"/>
      <w:bookmarkStart w:id="147" w:name="_Toc32446"/>
      <w:bookmarkStart w:id="148" w:name="_Toc466298097"/>
      <w:bookmarkStart w:id="149" w:name="_Toc9173"/>
      <w:bookmarkStart w:id="150" w:name="_Toc152042311"/>
      <w:r>
        <w:rPr>
          <w:rFonts w:hint="eastAsia" w:ascii="宋体" w:hAnsi="宋体" w:eastAsia="宋体"/>
          <w:b/>
          <w:bCs/>
          <w:color w:val="auto"/>
          <w:sz w:val="21"/>
          <w:szCs w:val="21"/>
          <w:highlight w:val="none"/>
        </w:rPr>
        <w:t>1.6 费用承担</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F19BB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14:paraId="5383E222">
      <w:pPr>
        <w:pStyle w:val="63"/>
        <w:spacing w:line="360" w:lineRule="auto"/>
        <w:outlineLvl w:val="0"/>
        <w:rPr>
          <w:rFonts w:hint="eastAsia" w:ascii="宋体" w:hAnsi="宋体" w:eastAsia="宋体"/>
          <w:b/>
          <w:bCs/>
          <w:color w:val="auto"/>
          <w:sz w:val="21"/>
          <w:szCs w:val="21"/>
          <w:highlight w:val="none"/>
        </w:rPr>
      </w:pPr>
      <w:bookmarkStart w:id="151" w:name="_Toc22479"/>
      <w:bookmarkStart w:id="152" w:name="_Toc2622"/>
      <w:bookmarkStart w:id="153" w:name="_Toc455867775"/>
      <w:bookmarkStart w:id="154" w:name="_Toc22800"/>
      <w:bookmarkStart w:id="155" w:name="_Toc455080115"/>
      <w:bookmarkStart w:id="156" w:name="_Toc5402"/>
      <w:bookmarkStart w:id="157" w:name="_Toc152045536"/>
      <w:bookmarkStart w:id="158" w:name="_Toc32053"/>
      <w:bookmarkStart w:id="159" w:name="_Toc24601"/>
      <w:bookmarkStart w:id="160" w:name="_Toc466298098"/>
      <w:bookmarkStart w:id="161" w:name="_Toc152042312"/>
      <w:bookmarkStart w:id="162" w:name="_Toc490667834"/>
      <w:bookmarkStart w:id="163" w:name="_Toc22136"/>
      <w:bookmarkStart w:id="164" w:name="_Toc1879"/>
      <w:bookmarkStart w:id="165" w:name="_Toc8055"/>
      <w:bookmarkStart w:id="166" w:name="_Toc6014"/>
      <w:bookmarkStart w:id="167" w:name="_Toc144974504"/>
      <w:bookmarkStart w:id="168" w:name="_Toc19601"/>
      <w:bookmarkStart w:id="169" w:name="_Toc20145"/>
      <w:bookmarkStart w:id="170" w:name="_Toc318450681"/>
      <w:r>
        <w:rPr>
          <w:rFonts w:hint="eastAsia" w:ascii="宋体" w:hAnsi="宋体" w:eastAsia="宋体"/>
          <w:b/>
          <w:bCs/>
          <w:color w:val="auto"/>
          <w:sz w:val="21"/>
          <w:szCs w:val="21"/>
          <w:highlight w:val="none"/>
        </w:rPr>
        <w:t>1.7 保密</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97783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参与磋商活动的各方应对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和响应文件中的商业和技术等秘密保密，违者应对由此造成的后果承担法律责任。 </w:t>
      </w:r>
    </w:p>
    <w:p w14:paraId="6A3284AF">
      <w:pPr>
        <w:pStyle w:val="63"/>
        <w:spacing w:line="360" w:lineRule="auto"/>
        <w:outlineLvl w:val="0"/>
        <w:rPr>
          <w:rFonts w:hint="eastAsia" w:ascii="宋体" w:hAnsi="宋体" w:eastAsia="宋体"/>
          <w:b/>
          <w:bCs/>
          <w:color w:val="auto"/>
          <w:sz w:val="21"/>
          <w:szCs w:val="21"/>
          <w:highlight w:val="none"/>
        </w:rPr>
      </w:pPr>
      <w:bookmarkStart w:id="171" w:name="_Toc144974505"/>
      <w:bookmarkStart w:id="172" w:name="_Toc14775"/>
      <w:bookmarkStart w:id="173" w:name="_Toc3628"/>
      <w:bookmarkStart w:id="174" w:name="_Toc6615"/>
      <w:bookmarkStart w:id="175" w:name="_Toc455867776"/>
      <w:bookmarkStart w:id="176" w:name="_Toc466298099"/>
      <w:bookmarkStart w:id="177" w:name="_Toc490667835"/>
      <w:bookmarkStart w:id="178" w:name="_Toc13976"/>
      <w:bookmarkStart w:id="179" w:name="_Toc12038"/>
      <w:bookmarkStart w:id="180" w:name="_Toc15673"/>
      <w:bookmarkStart w:id="181" w:name="_Toc30583"/>
      <w:bookmarkStart w:id="182" w:name="_Toc455080116"/>
      <w:bookmarkStart w:id="183" w:name="_Toc318450682"/>
      <w:bookmarkStart w:id="184" w:name="_Toc152045537"/>
      <w:bookmarkStart w:id="185" w:name="_Toc30747"/>
      <w:bookmarkStart w:id="186" w:name="_Toc3944"/>
      <w:bookmarkStart w:id="187" w:name="_Toc152042313"/>
      <w:bookmarkStart w:id="188" w:name="_Toc21089"/>
      <w:bookmarkStart w:id="189" w:name="_Toc25517"/>
      <w:bookmarkStart w:id="190" w:name="_Toc7031"/>
      <w:r>
        <w:rPr>
          <w:rFonts w:hint="eastAsia" w:ascii="宋体" w:hAnsi="宋体" w:eastAsia="宋体"/>
          <w:b/>
          <w:bCs/>
          <w:color w:val="auto"/>
          <w:sz w:val="21"/>
          <w:szCs w:val="21"/>
          <w:highlight w:val="none"/>
        </w:rPr>
        <w:t>1.8 语言</w:t>
      </w:r>
      <w:bookmarkEnd w:id="171"/>
      <w:r>
        <w:rPr>
          <w:rFonts w:hint="eastAsia" w:ascii="宋体" w:hAnsi="宋体" w:eastAsia="宋体"/>
          <w:b/>
          <w:bCs/>
          <w:color w:val="auto"/>
          <w:sz w:val="21"/>
          <w:szCs w:val="21"/>
          <w:highlight w:val="none"/>
        </w:rPr>
        <w:t>文字</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CCBD1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2390B592">
      <w:pPr>
        <w:pStyle w:val="63"/>
        <w:spacing w:line="360" w:lineRule="auto"/>
        <w:outlineLvl w:val="0"/>
        <w:rPr>
          <w:rFonts w:hint="eastAsia" w:ascii="宋体" w:hAnsi="宋体" w:eastAsia="宋体"/>
          <w:b/>
          <w:bCs/>
          <w:color w:val="auto"/>
          <w:sz w:val="21"/>
          <w:szCs w:val="21"/>
          <w:highlight w:val="none"/>
        </w:rPr>
      </w:pPr>
      <w:bookmarkStart w:id="191" w:name="_Toc2702"/>
      <w:bookmarkStart w:id="192" w:name="_Toc490667836"/>
      <w:bookmarkStart w:id="193" w:name="_Toc18357"/>
      <w:bookmarkStart w:id="194" w:name="_Toc243"/>
      <w:bookmarkStart w:id="195" w:name="_Toc466298100"/>
      <w:bookmarkStart w:id="196" w:name="_Toc152045538"/>
      <w:bookmarkStart w:id="197" w:name="_Toc32507"/>
      <w:bookmarkStart w:id="198" w:name="_Toc152042314"/>
      <w:bookmarkStart w:id="199" w:name="_Toc4501"/>
      <w:bookmarkStart w:id="200" w:name="_Toc455867777"/>
      <w:bookmarkStart w:id="201" w:name="_Toc9446"/>
      <w:bookmarkStart w:id="202" w:name="_Toc318450683"/>
      <w:bookmarkStart w:id="203" w:name="_Toc22415"/>
      <w:bookmarkStart w:id="204" w:name="_Toc144974506"/>
      <w:bookmarkStart w:id="205" w:name="_Toc455080117"/>
      <w:bookmarkStart w:id="206" w:name="_Toc18575"/>
      <w:bookmarkStart w:id="207" w:name="_Toc14934"/>
      <w:bookmarkStart w:id="208" w:name="_Toc24337"/>
      <w:bookmarkStart w:id="209" w:name="_Toc22378"/>
      <w:bookmarkStart w:id="210" w:name="_Toc4237"/>
      <w:r>
        <w:rPr>
          <w:rFonts w:hint="eastAsia" w:ascii="宋体" w:hAnsi="宋体" w:eastAsia="宋体"/>
          <w:b/>
          <w:bCs/>
          <w:color w:val="auto"/>
          <w:sz w:val="21"/>
          <w:szCs w:val="21"/>
          <w:highlight w:val="none"/>
        </w:rPr>
        <w:t>1.9 计量单位</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07A3B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7F1F8FC">
      <w:pPr>
        <w:pStyle w:val="63"/>
        <w:spacing w:line="360" w:lineRule="auto"/>
        <w:outlineLvl w:val="0"/>
        <w:rPr>
          <w:rFonts w:hint="eastAsia" w:ascii="宋体" w:hAnsi="宋体" w:eastAsia="宋体"/>
          <w:b w:val="0"/>
          <w:bCs w:val="0"/>
          <w:color w:val="auto"/>
          <w:sz w:val="21"/>
          <w:szCs w:val="21"/>
          <w:highlight w:val="none"/>
          <w:lang w:eastAsia="zh-CN"/>
        </w:rPr>
      </w:pPr>
      <w:bookmarkStart w:id="211" w:name="_Toc152045540"/>
      <w:bookmarkStart w:id="212" w:name="_Toc455867778"/>
      <w:bookmarkStart w:id="213" w:name="_Toc455080118"/>
      <w:bookmarkStart w:id="214" w:name="_Toc2508"/>
      <w:bookmarkStart w:id="215" w:name="_Toc152042316"/>
      <w:bookmarkStart w:id="216" w:name="_Toc318450684"/>
      <w:bookmarkStart w:id="217" w:name="_Toc31195"/>
      <w:bookmarkStart w:id="218" w:name="_Toc13675"/>
      <w:bookmarkStart w:id="219" w:name="_Toc29845"/>
      <w:bookmarkStart w:id="220" w:name="_Toc466298101"/>
      <w:bookmarkStart w:id="221" w:name="_Toc19685"/>
      <w:bookmarkStart w:id="222" w:name="_Toc338"/>
      <w:bookmarkStart w:id="223" w:name="_Toc12027"/>
      <w:bookmarkStart w:id="224" w:name="_Toc284"/>
      <w:bookmarkStart w:id="225" w:name="_Toc144974508"/>
      <w:bookmarkStart w:id="226" w:name="_Toc27570"/>
      <w:bookmarkStart w:id="227" w:name="_Toc18589"/>
      <w:bookmarkStart w:id="228" w:name="_Toc490667837"/>
      <w:bookmarkStart w:id="229" w:name="_Toc24794"/>
      <w:bookmarkStart w:id="230" w:name="_Toc27281"/>
      <w:r>
        <w:rPr>
          <w:rFonts w:hint="eastAsia" w:ascii="宋体" w:hAnsi="宋体" w:eastAsia="宋体"/>
          <w:b/>
          <w:bCs/>
          <w:color w:val="auto"/>
          <w:sz w:val="21"/>
          <w:szCs w:val="21"/>
          <w:highlight w:val="none"/>
        </w:rPr>
        <w:t xml:space="preserve">1.10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宋体" w:hAnsi="宋体" w:eastAsia="宋体"/>
          <w:b/>
          <w:bCs/>
          <w:color w:val="auto"/>
          <w:sz w:val="21"/>
          <w:szCs w:val="21"/>
          <w:highlight w:val="none"/>
          <w:lang w:eastAsia="zh-CN"/>
        </w:rPr>
        <w:t>现场踏勘：</w:t>
      </w:r>
      <w:r>
        <w:rPr>
          <w:rFonts w:hint="eastAsia" w:ascii="宋体" w:hAnsi="宋体" w:eastAsia="宋体"/>
          <w:b w:val="0"/>
          <w:bCs w:val="0"/>
          <w:color w:val="auto"/>
          <w:sz w:val="21"/>
          <w:szCs w:val="21"/>
          <w:highlight w:val="none"/>
          <w:lang w:eastAsia="zh-CN"/>
        </w:rPr>
        <w:t>自行踏勘，与之相关的费用，供应商自行承担。</w:t>
      </w:r>
      <w:bookmarkEnd w:id="229"/>
      <w:bookmarkEnd w:id="230"/>
    </w:p>
    <w:p w14:paraId="400C1382">
      <w:pPr>
        <w:pStyle w:val="63"/>
        <w:spacing w:line="360" w:lineRule="auto"/>
        <w:outlineLvl w:val="0"/>
        <w:rPr>
          <w:rFonts w:hint="eastAsia" w:ascii="宋体" w:hAnsi="宋体" w:eastAsia="宋体"/>
          <w:b/>
          <w:bCs/>
          <w:color w:val="auto"/>
          <w:sz w:val="21"/>
          <w:szCs w:val="21"/>
          <w:highlight w:val="none"/>
        </w:rPr>
      </w:pPr>
      <w:bookmarkStart w:id="231" w:name="_Toc24262"/>
      <w:bookmarkStart w:id="232" w:name="_Toc12562"/>
      <w:bookmarkStart w:id="233" w:name="_Toc11744"/>
      <w:bookmarkStart w:id="234" w:name="_Toc23635"/>
      <w:bookmarkStart w:id="235" w:name="_Toc28073"/>
      <w:bookmarkStart w:id="236" w:name="_Toc31725"/>
      <w:bookmarkStart w:id="237" w:name="_Toc490667838"/>
      <w:bookmarkStart w:id="238" w:name="_Toc152042317"/>
      <w:bookmarkStart w:id="239" w:name="_Toc144974509"/>
      <w:bookmarkStart w:id="240" w:name="_Toc152045541"/>
      <w:bookmarkStart w:id="241" w:name="_Toc9182"/>
      <w:bookmarkStart w:id="242" w:name="_Toc455080119"/>
      <w:bookmarkStart w:id="243" w:name="_Toc3853"/>
      <w:bookmarkStart w:id="244" w:name="_Toc466298102"/>
      <w:bookmarkStart w:id="245" w:name="_Toc25208"/>
      <w:bookmarkStart w:id="246" w:name="_Toc455867779"/>
      <w:bookmarkStart w:id="247" w:name="_Toc23678"/>
      <w:bookmarkStart w:id="248" w:name="_Toc25079"/>
      <w:bookmarkStart w:id="249" w:name="_Toc318450685"/>
      <w:bookmarkStart w:id="250" w:name="_Toc32757"/>
      <w:r>
        <w:rPr>
          <w:rFonts w:hint="eastAsia" w:ascii="宋体" w:hAnsi="宋体" w:eastAsia="宋体"/>
          <w:b/>
          <w:bCs/>
          <w:color w:val="auto"/>
          <w:sz w:val="21"/>
          <w:szCs w:val="21"/>
          <w:highlight w:val="none"/>
        </w:rPr>
        <w:t>1.11分包</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56BF734">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51" w:name="_Toc144974510"/>
      <w:bookmarkStart w:id="252" w:name="_Toc152045542"/>
      <w:bookmarkStart w:id="253" w:name="_Toc152042318"/>
      <w:bookmarkStart w:id="254" w:name="_Toc455080120"/>
    </w:p>
    <w:bookmarkEnd w:id="251"/>
    <w:bookmarkEnd w:id="252"/>
    <w:bookmarkEnd w:id="253"/>
    <w:p w14:paraId="3771D99C">
      <w:pPr>
        <w:spacing w:line="360" w:lineRule="auto"/>
        <w:outlineLvl w:val="1"/>
        <w:rPr>
          <w:rFonts w:hint="eastAsia" w:ascii="宋体" w:hAnsi="宋体" w:eastAsia="宋体"/>
          <w:b/>
          <w:bCs/>
          <w:color w:val="auto"/>
          <w:szCs w:val="21"/>
          <w:highlight w:val="none"/>
          <w:lang w:eastAsia="zh-CN"/>
        </w:rPr>
      </w:pPr>
      <w:bookmarkStart w:id="255" w:name="_Toc12453"/>
      <w:bookmarkStart w:id="256" w:name="_Toc29816"/>
      <w:bookmarkStart w:id="257" w:name="_Toc22169"/>
      <w:r>
        <w:rPr>
          <w:rFonts w:hint="eastAsia" w:ascii="宋体" w:hAnsi="宋体"/>
          <w:b/>
          <w:bCs/>
          <w:color w:val="auto"/>
          <w:szCs w:val="21"/>
          <w:highlight w:val="none"/>
        </w:rPr>
        <w:t>2.</w:t>
      </w:r>
      <w:bookmarkEnd w:id="254"/>
      <w:bookmarkEnd w:id="255"/>
      <w:r>
        <w:rPr>
          <w:rFonts w:hint="eastAsia" w:ascii="宋体" w:hAnsi="宋体"/>
          <w:b/>
          <w:bCs/>
          <w:color w:val="auto"/>
          <w:szCs w:val="21"/>
          <w:highlight w:val="none"/>
          <w:lang w:eastAsia="zh-CN"/>
        </w:rPr>
        <w:t>竞争性磋商文件</w:t>
      </w:r>
      <w:bookmarkEnd w:id="256"/>
      <w:bookmarkEnd w:id="257"/>
    </w:p>
    <w:p w14:paraId="15CA6FEF">
      <w:pPr>
        <w:pStyle w:val="63"/>
        <w:spacing w:line="360" w:lineRule="auto"/>
        <w:outlineLvl w:val="0"/>
        <w:rPr>
          <w:rFonts w:hint="eastAsia" w:ascii="宋体" w:hAnsi="宋体" w:eastAsia="宋体"/>
          <w:b/>
          <w:bCs/>
          <w:color w:val="auto"/>
          <w:sz w:val="21"/>
          <w:szCs w:val="21"/>
          <w:highlight w:val="none"/>
        </w:rPr>
      </w:pPr>
      <w:bookmarkStart w:id="258" w:name="_Toc1008"/>
      <w:bookmarkStart w:id="259" w:name="_Toc23649"/>
      <w:bookmarkStart w:id="260" w:name="_Toc12640"/>
      <w:bookmarkStart w:id="261" w:name="_Toc152042319"/>
      <w:bookmarkStart w:id="262" w:name="_Toc32759"/>
      <w:bookmarkStart w:id="263" w:name="_Toc466298104"/>
      <w:bookmarkStart w:id="264" w:name="_Toc11599"/>
      <w:bookmarkStart w:id="265" w:name="_Toc20213"/>
      <w:bookmarkStart w:id="266" w:name="_Toc152045543"/>
      <w:bookmarkStart w:id="267" w:name="_Toc455080121"/>
      <w:bookmarkStart w:id="268" w:name="_Toc455867781"/>
      <w:bookmarkStart w:id="269" w:name="_Toc32711"/>
      <w:bookmarkStart w:id="270" w:name="_Toc9780"/>
      <w:bookmarkStart w:id="271" w:name="_Toc3982"/>
      <w:bookmarkStart w:id="272" w:name="_Toc318450687"/>
      <w:bookmarkStart w:id="273" w:name="_Toc7999"/>
      <w:bookmarkStart w:id="274" w:name="_Toc490667840"/>
      <w:bookmarkStart w:id="275" w:name="_Toc144974511"/>
      <w:bookmarkStart w:id="276" w:name="_Toc11567"/>
      <w:bookmarkStart w:id="277" w:name="_Toc12004"/>
      <w:r>
        <w:rPr>
          <w:rFonts w:hint="eastAsia" w:ascii="宋体" w:hAnsi="宋体" w:eastAsia="宋体"/>
          <w:b/>
          <w:bCs/>
          <w:color w:val="auto"/>
          <w:sz w:val="21"/>
          <w:szCs w:val="21"/>
          <w:highlight w:val="none"/>
        </w:rPr>
        <w:t>2.</w:t>
      </w:r>
      <w:r>
        <w:rPr>
          <w:rFonts w:hint="eastAsia" w:ascii="宋体" w:hAnsi="宋体" w:eastAsia="宋体"/>
          <w:b/>
          <w:bCs/>
          <w:color w:val="auto"/>
          <w:sz w:val="21"/>
          <w:szCs w:val="21"/>
          <w:highlight w:val="none"/>
          <w:lang w:val="en-US" w:eastAsia="zh-CN"/>
        </w:rPr>
        <w:t>1</w:t>
      </w: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EFF9D2A">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包括：</w:t>
      </w:r>
    </w:p>
    <w:p w14:paraId="52C98638">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_Toc24468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评审办法（综合评分法）</w:t>
      </w:r>
      <w:r>
        <w:rPr>
          <w:rFonts w:hint="eastAsia" w:ascii="宋体" w:hAnsi="宋体" w:cs="宋体"/>
          <w:color w:val="auto"/>
          <w:szCs w:val="21"/>
          <w:highlight w:val="none"/>
        </w:rPr>
        <w:fldChar w:fldCharType="end"/>
      </w:r>
    </w:p>
    <w:p w14:paraId="54BD8803">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_Toc4388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2)合同条款及格式</w:t>
      </w:r>
      <w:r>
        <w:rPr>
          <w:rFonts w:hint="eastAsia" w:ascii="宋体" w:hAnsi="宋体" w:cs="宋体"/>
          <w:color w:val="auto"/>
          <w:szCs w:val="21"/>
          <w:highlight w:val="none"/>
        </w:rPr>
        <w:fldChar w:fldCharType="end"/>
      </w:r>
    </w:p>
    <w:p w14:paraId="6A073ADE">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_Toc24168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3)工程量清单</w:t>
      </w:r>
      <w:r>
        <w:rPr>
          <w:rFonts w:hint="eastAsia" w:ascii="宋体" w:hAnsi="宋体" w:cs="宋体"/>
          <w:color w:val="auto"/>
          <w:szCs w:val="21"/>
          <w:highlight w:val="none"/>
        </w:rPr>
        <w:fldChar w:fldCharType="end"/>
      </w:r>
    </w:p>
    <w:p w14:paraId="4DB4F036">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_Toc29771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fldChar w:fldCharType="end"/>
      </w:r>
    </w:p>
    <w:p w14:paraId="5B3241CD">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_Toc27593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河南省政府采购合同融资政策告知函</w:t>
      </w:r>
      <w:r>
        <w:rPr>
          <w:rFonts w:hint="eastAsia" w:ascii="宋体" w:hAnsi="宋体" w:cs="宋体"/>
          <w:color w:val="auto"/>
          <w:szCs w:val="21"/>
          <w:highlight w:val="none"/>
        </w:rPr>
        <w:fldChar w:fldCharType="end"/>
      </w:r>
    </w:p>
    <w:p w14:paraId="403676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根据本章第2.2款和第2.3款对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所作的澄清、修改，构成</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的组成部分。</w:t>
      </w:r>
    </w:p>
    <w:p w14:paraId="40F48AA5">
      <w:pPr>
        <w:pStyle w:val="63"/>
        <w:spacing w:line="360" w:lineRule="auto"/>
        <w:outlineLvl w:val="0"/>
        <w:rPr>
          <w:rFonts w:hint="eastAsia" w:ascii="宋体" w:hAnsi="宋体" w:eastAsia="宋体"/>
          <w:b/>
          <w:bCs/>
          <w:color w:val="auto"/>
          <w:sz w:val="21"/>
          <w:szCs w:val="21"/>
          <w:highlight w:val="none"/>
        </w:rPr>
      </w:pPr>
      <w:bookmarkStart w:id="278" w:name="_Toc15658"/>
      <w:bookmarkStart w:id="279" w:name="_Toc17286"/>
      <w:bookmarkStart w:id="280" w:name="_Toc19748"/>
      <w:bookmarkStart w:id="281" w:name="_Toc144974514"/>
      <w:bookmarkStart w:id="282" w:name="_Toc152045546"/>
      <w:bookmarkStart w:id="283" w:name="_Toc152042322"/>
      <w:bookmarkStart w:id="284" w:name="_Toc455080124"/>
      <w:r>
        <w:rPr>
          <w:rFonts w:hint="eastAsia" w:ascii="宋体" w:hAnsi="宋体" w:eastAsia="宋体"/>
          <w:b/>
          <w:bCs/>
          <w:color w:val="auto"/>
          <w:sz w:val="21"/>
          <w:szCs w:val="21"/>
          <w:highlight w:val="none"/>
        </w:rPr>
        <w:t xml:space="preserve">2.2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的澄清</w:t>
      </w:r>
      <w:bookmarkEnd w:id="278"/>
      <w:bookmarkEnd w:id="279"/>
      <w:bookmarkEnd w:id="280"/>
    </w:p>
    <w:p w14:paraId="5A0C11E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2.2.1供应商应仔细阅读和检查</w:t>
      </w:r>
      <w:r>
        <w:rPr>
          <w:rFonts w:hint="eastAsia" w:ascii="宋体" w:hAnsi="宋体" w:cs="宋体"/>
          <w:color w:val="auto"/>
          <w:highlight w:val="none"/>
          <w:lang w:eastAsia="zh-CN"/>
        </w:rPr>
        <w:t>竞争性磋商文件</w:t>
      </w:r>
      <w:r>
        <w:rPr>
          <w:rFonts w:hint="eastAsia" w:ascii="宋体" w:hAnsi="宋体" w:cs="宋体"/>
          <w:color w:val="auto"/>
          <w:highlight w:val="none"/>
        </w:rPr>
        <w:t>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w:t>
      </w:r>
      <w:r>
        <w:rPr>
          <w:rFonts w:hint="eastAsia" w:ascii="宋体" w:hAnsi="宋体" w:cs="宋体"/>
          <w:color w:val="auto"/>
          <w:highlight w:val="none"/>
          <w:lang w:eastAsia="zh-CN"/>
        </w:rPr>
        <w:t>竞争性磋商文件</w:t>
      </w:r>
      <w:r>
        <w:rPr>
          <w:rFonts w:hint="eastAsia" w:ascii="宋体" w:hAnsi="宋体" w:cs="宋体"/>
          <w:color w:val="auto"/>
          <w:highlight w:val="none"/>
        </w:rPr>
        <w:t>予以澄清。</w:t>
      </w:r>
    </w:p>
    <w:p w14:paraId="5C0E4E7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2.2.2 </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14:paraId="0EB13E7F">
      <w:pPr>
        <w:spacing w:line="360" w:lineRule="auto"/>
        <w:ind w:firstLine="420" w:firstLineChars="200"/>
        <w:rPr>
          <w:rFonts w:hint="eastAsia"/>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14:paraId="52394504">
      <w:pPr>
        <w:pStyle w:val="63"/>
        <w:spacing w:line="360" w:lineRule="auto"/>
        <w:outlineLvl w:val="0"/>
        <w:rPr>
          <w:rFonts w:hint="eastAsia" w:ascii="宋体" w:hAnsi="宋体" w:eastAsia="宋体"/>
          <w:b/>
          <w:bCs/>
          <w:color w:val="auto"/>
          <w:sz w:val="21"/>
          <w:szCs w:val="21"/>
          <w:highlight w:val="none"/>
        </w:rPr>
      </w:pPr>
      <w:bookmarkStart w:id="285" w:name="_Toc26707"/>
      <w:bookmarkStart w:id="286" w:name="_Toc27734"/>
      <w:bookmarkStart w:id="287" w:name="_Toc8263"/>
      <w:r>
        <w:rPr>
          <w:rFonts w:hint="eastAsia" w:ascii="宋体" w:hAnsi="宋体" w:eastAsia="宋体"/>
          <w:b/>
          <w:bCs/>
          <w:color w:val="auto"/>
          <w:sz w:val="21"/>
          <w:szCs w:val="21"/>
          <w:highlight w:val="none"/>
        </w:rPr>
        <w:t xml:space="preserve">2.3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的修改</w:t>
      </w:r>
      <w:bookmarkEnd w:id="285"/>
      <w:bookmarkEnd w:id="286"/>
      <w:bookmarkEnd w:id="287"/>
    </w:p>
    <w:p w14:paraId="1A25A69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在响应文件递交截止时间5天前，采购人可以修改</w:t>
      </w:r>
      <w:r>
        <w:rPr>
          <w:rFonts w:hint="eastAsia" w:ascii="宋体" w:hAnsi="宋体" w:cs="宋体"/>
          <w:color w:val="auto"/>
          <w:highlight w:val="none"/>
          <w:lang w:eastAsia="zh-CN"/>
        </w:rPr>
        <w:t>竞争性磋商文件</w:t>
      </w:r>
      <w:r>
        <w:rPr>
          <w:rFonts w:hint="eastAsia" w:ascii="宋体" w:hAnsi="宋体" w:cs="宋体"/>
          <w:color w:val="auto"/>
          <w:highlight w:val="none"/>
        </w:rPr>
        <w:t>。如有修改，应在信阳市公共资源交易系统“变更公告”或“答疑文件”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14:paraId="73949B07">
      <w:pPr>
        <w:spacing w:line="360" w:lineRule="auto"/>
        <w:ind w:firstLine="420"/>
        <w:rPr>
          <w:rFonts w:hint="eastAsia" w:ascii="宋体" w:hAnsi="宋体"/>
          <w:color w:val="auto"/>
          <w:szCs w:val="21"/>
          <w:highlight w:val="none"/>
        </w:rPr>
      </w:pPr>
      <w:r>
        <w:rPr>
          <w:rFonts w:hint="eastAsia" w:ascii="宋体" w:hAnsi="宋体" w:cs="宋体"/>
          <w:color w:val="auto"/>
          <w:highlight w:val="none"/>
        </w:rPr>
        <w:t>2.3.2当</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的澄清、修改、补充等在同一内容的表述上不一致时，</w:t>
      </w:r>
      <w:r>
        <w:rPr>
          <w:rFonts w:hint="eastAsia" w:ascii="宋体" w:hAnsi="宋体"/>
          <w:color w:val="auto"/>
          <w:szCs w:val="21"/>
          <w:highlight w:val="none"/>
        </w:rPr>
        <w:t>以最后在信阳市公共资源交易系统发出的文件为准。</w:t>
      </w:r>
    </w:p>
    <w:p w14:paraId="46CABE5D">
      <w:pPr>
        <w:spacing w:line="360" w:lineRule="auto"/>
        <w:ind w:firstLine="420" w:firstLineChars="20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14:paraId="5E4276D3">
      <w:pPr>
        <w:pStyle w:val="62"/>
        <w:spacing w:before="0" w:beforeLines="0" w:line="360" w:lineRule="auto"/>
        <w:rPr>
          <w:rFonts w:hint="eastAsia" w:ascii="宋体" w:hAnsi="宋体" w:eastAsia="宋体"/>
          <w:b/>
          <w:bCs/>
          <w:color w:val="auto"/>
          <w:sz w:val="21"/>
          <w:szCs w:val="21"/>
          <w:highlight w:val="none"/>
        </w:rPr>
      </w:pPr>
      <w:bookmarkStart w:id="288" w:name="_Toc4666"/>
      <w:bookmarkStart w:id="289" w:name="_Toc29114"/>
      <w:bookmarkStart w:id="290" w:name="_Toc22931"/>
      <w:r>
        <w:rPr>
          <w:rFonts w:hint="eastAsia" w:ascii="宋体" w:hAnsi="宋体" w:eastAsia="宋体"/>
          <w:b/>
          <w:bCs/>
          <w:color w:val="auto"/>
          <w:sz w:val="21"/>
          <w:szCs w:val="21"/>
          <w:highlight w:val="none"/>
        </w:rPr>
        <w:t xml:space="preserve">3. </w:t>
      </w:r>
      <w:bookmarkEnd w:id="281"/>
      <w:bookmarkEnd w:id="282"/>
      <w:bookmarkEnd w:id="283"/>
      <w:r>
        <w:rPr>
          <w:rFonts w:hint="eastAsia" w:ascii="宋体" w:hAnsi="宋体" w:eastAsia="宋体"/>
          <w:b/>
          <w:bCs/>
          <w:color w:val="auto"/>
          <w:sz w:val="21"/>
          <w:szCs w:val="21"/>
          <w:highlight w:val="none"/>
        </w:rPr>
        <w:t>响应文件</w:t>
      </w:r>
      <w:bookmarkEnd w:id="284"/>
      <w:bookmarkEnd w:id="288"/>
      <w:bookmarkEnd w:id="289"/>
      <w:bookmarkEnd w:id="290"/>
    </w:p>
    <w:p w14:paraId="68B78095">
      <w:pPr>
        <w:pStyle w:val="63"/>
        <w:spacing w:line="360" w:lineRule="auto"/>
        <w:outlineLvl w:val="9"/>
        <w:rPr>
          <w:rFonts w:hint="eastAsia" w:ascii="宋体" w:hAnsi="宋体" w:eastAsia="宋体"/>
          <w:b/>
          <w:bCs/>
          <w:color w:val="auto"/>
          <w:sz w:val="21"/>
          <w:szCs w:val="21"/>
          <w:highlight w:val="none"/>
        </w:rPr>
      </w:pPr>
      <w:bookmarkStart w:id="291" w:name="_Toc152045547"/>
      <w:bookmarkStart w:id="292" w:name="_Toc16198"/>
      <w:bookmarkStart w:id="293" w:name="_Toc152042323"/>
      <w:bookmarkStart w:id="294" w:name="_Toc490667844"/>
      <w:bookmarkStart w:id="295" w:name="_Toc6788"/>
      <w:bookmarkStart w:id="296" w:name="_Toc27373"/>
      <w:bookmarkStart w:id="297" w:name="_Toc10096"/>
      <w:bookmarkStart w:id="298" w:name="_Toc144974515"/>
      <w:bookmarkStart w:id="299" w:name="_Toc15810"/>
      <w:bookmarkStart w:id="300" w:name="_Toc318450691"/>
      <w:bookmarkStart w:id="301" w:name="_Toc7321"/>
      <w:bookmarkStart w:id="302" w:name="_Toc9273"/>
      <w:bookmarkStart w:id="303" w:name="_Toc24440"/>
      <w:r>
        <w:rPr>
          <w:rFonts w:hint="eastAsia" w:ascii="宋体" w:hAnsi="宋体" w:eastAsia="宋体"/>
          <w:b/>
          <w:bCs/>
          <w:color w:val="auto"/>
          <w:sz w:val="21"/>
          <w:szCs w:val="21"/>
          <w:highlight w:val="none"/>
        </w:rPr>
        <w:t>3.1 响应文件的组成</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73DF17A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04" w:name="_Toc899"/>
      <w:bookmarkStart w:id="305" w:name="_Toc152045548"/>
      <w:bookmarkStart w:id="306" w:name="_Toc26291"/>
      <w:bookmarkStart w:id="307" w:name="_Toc318450692"/>
      <w:bookmarkStart w:id="308" w:name="_Toc279156232"/>
      <w:bookmarkStart w:id="309" w:name="_Toc152042324"/>
      <w:bookmarkStart w:id="310" w:name="_Toc144974516"/>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文件应包括下列内容</w:t>
      </w:r>
      <w:r>
        <w:rPr>
          <w:rFonts w:hint="eastAsia" w:ascii="宋体" w:hAnsi="宋体" w:eastAsia="宋体" w:cs="宋体"/>
          <w:b/>
          <w:bCs/>
          <w:color w:val="auto"/>
          <w:sz w:val="21"/>
          <w:szCs w:val="21"/>
          <w:highlight w:val="none"/>
        </w:rPr>
        <w:t>：</w:t>
      </w:r>
    </w:p>
    <w:p w14:paraId="66DE47FF">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磋商函及磋商函附录（第一轮报价）</w:t>
      </w:r>
    </w:p>
    <w:p w14:paraId="337BCD2B">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法定代表身份证明</w:t>
      </w:r>
    </w:p>
    <w:p w14:paraId="4BA74CD4">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授权委托书</w:t>
      </w:r>
    </w:p>
    <w:p w14:paraId="0F9EF096">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已标价工程量清单</w:t>
      </w:r>
    </w:p>
    <w:p w14:paraId="7153BC9D">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5）</w:t>
      </w:r>
      <w:r>
        <w:rPr>
          <w:rFonts w:hint="eastAsia" w:ascii="宋体" w:hAnsi="宋体" w:cs="宋体"/>
          <w:color w:val="auto"/>
          <w:highlight w:val="none"/>
          <w:lang w:eastAsia="zh-CN"/>
        </w:rPr>
        <w:t>施工组织设计</w:t>
      </w:r>
    </w:p>
    <w:p w14:paraId="0D7CDC84">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6）</w:t>
      </w:r>
      <w:r>
        <w:rPr>
          <w:rFonts w:hint="eastAsia" w:ascii="宋体" w:hAnsi="宋体" w:cs="宋体"/>
          <w:color w:val="auto"/>
          <w:highlight w:val="none"/>
          <w:lang w:eastAsia="zh-CN"/>
        </w:rPr>
        <w:t>项目管理机构</w:t>
      </w:r>
    </w:p>
    <w:p w14:paraId="4A23BB2A">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7）</w:t>
      </w:r>
      <w:r>
        <w:rPr>
          <w:rFonts w:hint="eastAsia" w:ascii="宋体" w:hAnsi="宋体" w:cs="宋体"/>
          <w:color w:val="auto"/>
          <w:highlight w:val="none"/>
          <w:lang w:eastAsia="zh-CN"/>
        </w:rPr>
        <w:t>资格证明材料</w:t>
      </w:r>
    </w:p>
    <w:p w14:paraId="01A5C8B0">
      <w:pPr>
        <w:spacing w:line="540" w:lineRule="exact"/>
        <w:ind w:firstLine="630" w:firstLineChars="300"/>
        <w:rPr>
          <w:rFonts w:hint="eastAsia" w:ascii="宋体" w:hAnsi="宋体" w:cs="宋体"/>
          <w:color w:val="auto"/>
          <w:highlight w:val="none"/>
          <w:lang w:eastAsia="zh-CN"/>
        </w:rPr>
      </w:pPr>
      <w:r>
        <w:rPr>
          <w:rFonts w:hint="eastAsia" w:ascii="宋体" w:hAnsi="宋体" w:cs="宋体"/>
          <w:color w:val="auto"/>
          <w:highlight w:val="none"/>
          <w:lang w:val="en-US" w:eastAsia="zh-CN"/>
        </w:rPr>
        <w:t>8)</w:t>
      </w:r>
      <w:r>
        <w:rPr>
          <w:rFonts w:hint="eastAsia" w:ascii="宋体" w:hAnsi="宋体" w:cs="宋体"/>
          <w:color w:val="auto"/>
          <w:highlight w:val="none"/>
          <w:lang w:eastAsia="zh-CN"/>
        </w:rPr>
        <w:t>其他材料</w:t>
      </w:r>
    </w:p>
    <w:p w14:paraId="5AFD951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3.2 磋商报价</w:t>
      </w:r>
      <w:bookmarkEnd w:id="304"/>
      <w:bookmarkEnd w:id="305"/>
      <w:bookmarkEnd w:id="306"/>
      <w:bookmarkEnd w:id="307"/>
      <w:bookmarkEnd w:id="308"/>
      <w:bookmarkEnd w:id="309"/>
      <w:bookmarkEnd w:id="310"/>
    </w:p>
    <w:p w14:paraId="0299C59F">
      <w:pPr>
        <w:tabs>
          <w:tab w:val="left" w:pos="0"/>
          <w:tab w:val="left" w:pos="1050"/>
        </w:tabs>
        <w:spacing w:line="440" w:lineRule="exact"/>
        <w:ind w:firstLine="365" w:firstLineChars="174"/>
        <w:rPr>
          <w:rFonts w:hint="eastAsia" w:ascii="宋体" w:hAnsi="宋体" w:cs="宋体"/>
          <w:color w:val="auto"/>
          <w:szCs w:val="21"/>
          <w:highlight w:val="none"/>
        </w:rPr>
      </w:pPr>
      <w:bookmarkStart w:id="311" w:name="_Toc12402"/>
      <w:bookmarkStart w:id="312" w:name="_Toc7105"/>
      <w:bookmarkStart w:id="313" w:name="_Toc6105"/>
      <w:bookmarkStart w:id="314" w:name="_Toc2425"/>
      <w:bookmarkStart w:id="315" w:name="_Toc318450693"/>
      <w:bookmarkStart w:id="316" w:name="_Toc25387"/>
      <w:bookmarkStart w:id="317" w:name="_Toc490667846"/>
      <w:bookmarkStart w:id="318" w:name="_Toc466298109"/>
      <w:bookmarkStart w:id="319" w:name="_Toc7910"/>
      <w:bookmarkStart w:id="320" w:name="_Toc21680"/>
      <w:bookmarkStart w:id="321" w:name="_Toc29133"/>
      <w:bookmarkStart w:id="322" w:name="_Toc3624"/>
      <w:bookmarkStart w:id="323" w:name="_Toc144974517"/>
      <w:bookmarkStart w:id="324" w:name="_Toc455080126"/>
      <w:bookmarkStart w:id="325" w:name="_Toc11968"/>
      <w:bookmarkStart w:id="326" w:name="_Toc455867786"/>
      <w:bookmarkStart w:id="327" w:name="_Toc152045549"/>
      <w:bookmarkStart w:id="328" w:name="_Toc21600"/>
      <w:bookmarkStart w:id="329" w:name="_Toc152042325"/>
      <w:r>
        <w:rPr>
          <w:rFonts w:hint="eastAsia" w:ascii="宋体" w:hAnsi="宋体" w:cs="宋体"/>
          <w:color w:val="auto"/>
          <w:szCs w:val="21"/>
          <w:highlight w:val="none"/>
        </w:rPr>
        <w:t>3.2.1本项目的磋商报价应按照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、补充通知、答疑纪要、现场情况、承包范围，并充分考虑</w:t>
      </w:r>
      <w:r>
        <w:rPr>
          <w:rFonts w:hint="eastAsia" w:ascii="宋体" w:hAnsi="宋体" w:cs="宋体"/>
          <w:color w:val="auto"/>
          <w:szCs w:val="21"/>
          <w:highlight w:val="none"/>
          <w:lang w:eastAsia="zh-CN"/>
        </w:rPr>
        <w:t>供货</w:t>
      </w:r>
      <w:r>
        <w:rPr>
          <w:rFonts w:hint="eastAsia" w:ascii="宋体" w:hAnsi="宋体" w:cs="宋体"/>
          <w:color w:val="auto"/>
          <w:szCs w:val="21"/>
          <w:highlight w:val="none"/>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的报价格式填报，第二次报价在磋商中填报，第二次报价（不得高于</w:t>
      </w:r>
      <w:r>
        <w:rPr>
          <w:rFonts w:hint="eastAsia" w:ascii="宋体" w:hAnsi="宋体" w:cs="宋体"/>
          <w:color w:val="auto"/>
          <w:szCs w:val="21"/>
          <w:highlight w:val="none"/>
          <w:lang w:eastAsia="zh-CN"/>
        </w:rPr>
        <w:t>第</w:t>
      </w:r>
      <w:r>
        <w:rPr>
          <w:rFonts w:hint="eastAsia" w:ascii="宋体" w:hAnsi="宋体" w:cs="宋体"/>
          <w:color w:val="auto"/>
          <w:szCs w:val="21"/>
          <w:highlight w:val="none"/>
        </w:rPr>
        <w:t>一次报价）即为最终报价</w:t>
      </w:r>
      <w:bookmarkEnd w:id="311"/>
      <w:r>
        <w:rPr>
          <w:rFonts w:hint="eastAsia" w:ascii="宋体" w:hAnsi="宋体" w:cs="宋体"/>
          <w:color w:val="auto"/>
          <w:szCs w:val="21"/>
          <w:highlight w:val="none"/>
        </w:rPr>
        <w:t>。</w:t>
      </w:r>
    </w:p>
    <w:p w14:paraId="7DBDA262">
      <w:pPr>
        <w:tabs>
          <w:tab w:val="left" w:pos="0"/>
          <w:tab w:val="left" w:pos="1050"/>
        </w:tabs>
        <w:spacing w:line="440" w:lineRule="exact"/>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3.2.2供应商应充分了解该项目的总体情况以及影响磋商报价的其它要素，考虑</w:t>
      </w:r>
      <w:r>
        <w:rPr>
          <w:rFonts w:hint="eastAsia" w:ascii="宋体" w:hAnsi="宋体" w:cs="宋体"/>
          <w:color w:val="auto"/>
          <w:szCs w:val="21"/>
          <w:highlight w:val="none"/>
          <w:lang w:eastAsia="zh-CN"/>
        </w:rPr>
        <w:t>供货期间</w:t>
      </w:r>
      <w:r>
        <w:rPr>
          <w:rFonts w:hint="eastAsia" w:ascii="宋体" w:hAnsi="宋体" w:cs="宋体"/>
          <w:color w:val="auto"/>
          <w:szCs w:val="21"/>
          <w:highlight w:val="none"/>
        </w:rPr>
        <w:t>的价格风险因素，成交价在合同实施期内不得调整，同时也不因市场价格变动而调整。</w:t>
      </w:r>
    </w:p>
    <w:p w14:paraId="670C2A21">
      <w:pPr>
        <w:tabs>
          <w:tab w:val="left" w:pos="0"/>
          <w:tab w:val="left" w:pos="1050"/>
        </w:tabs>
        <w:spacing w:line="440" w:lineRule="exact"/>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14:paraId="4335B489">
      <w:pPr>
        <w:tabs>
          <w:tab w:val="left" w:pos="0"/>
          <w:tab w:val="left" w:pos="1050"/>
        </w:tabs>
        <w:spacing w:line="440" w:lineRule="exact"/>
        <w:ind w:firstLine="365" w:firstLineChars="174"/>
        <w:rPr>
          <w:rFonts w:hint="eastAsia" w:ascii="宋体" w:hAnsi="宋体" w:cs="宋体"/>
          <w:b/>
          <w:bCs/>
          <w:color w:val="auto"/>
          <w:szCs w:val="21"/>
          <w:highlight w:val="none"/>
        </w:rPr>
      </w:pPr>
      <w:r>
        <w:rPr>
          <w:rFonts w:hint="eastAsia" w:ascii="宋体" w:hAnsi="宋体" w:cs="宋体"/>
          <w:b w:val="0"/>
          <w:bCs w:val="0"/>
          <w:color w:val="auto"/>
          <w:szCs w:val="21"/>
          <w:highlight w:val="none"/>
        </w:rPr>
        <w:t>3.2.4供应商的报价明显低于其他通过符合性审查供应商的报价，有可能影响</w:t>
      </w:r>
      <w:r>
        <w:rPr>
          <w:rFonts w:hint="eastAsia" w:ascii="宋体" w:hAnsi="宋体" w:cs="宋体"/>
          <w:b w:val="0"/>
          <w:bCs w:val="0"/>
          <w:color w:val="auto"/>
          <w:szCs w:val="21"/>
          <w:highlight w:val="none"/>
          <w:lang w:eastAsia="zh-CN"/>
        </w:rPr>
        <w:t>产品</w:t>
      </w:r>
      <w:r>
        <w:rPr>
          <w:rFonts w:hint="eastAsia" w:ascii="宋体" w:hAnsi="宋体" w:cs="宋体"/>
          <w:b w:val="0"/>
          <w:bCs w:val="0"/>
          <w:color w:val="auto"/>
          <w:szCs w:val="21"/>
          <w:highlight w:val="none"/>
        </w:rPr>
        <w:t>质量或者不能诚信履约的，磋商委员会应当要求其在磋商现场</w:t>
      </w:r>
      <w:r>
        <w:rPr>
          <w:rFonts w:hint="eastAsia" w:ascii="宋体" w:hAnsi="宋体" w:cs="宋体"/>
          <w:b w:val="0"/>
          <w:bCs w:val="0"/>
          <w:color w:val="auto"/>
          <w:kern w:val="0"/>
          <w:szCs w:val="21"/>
          <w:highlight w:val="none"/>
          <w:lang w:eastAsia="zh-CN"/>
        </w:rPr>
        <w:t>（或电子交易系统）</w:t>
      </w:r>
      <w:r>
        <w:rPr>
          <w:rFonts w:hint="eastAsia" w:ascii="宋体" w:hAnsi="宋体" w:cs="宋体"/>
          <w:b w:val="0"/>
          <w:bCs w:val="0"/>
          <w:color w:val="auto"/>
          <w:szCs w:val="21"/>
          <w:highlight w:val="none"/>
        </w:rPr>
        <w:t>合理的时间内提供书面说明</w:t>
      </w:r>
      <w:r>
        <w:rPr>
          <w:rFonts w:hint="eastAsia" w:ascii="宋体" w:hAnsi="宋体" w:cs="宋体"/>
          <w:b w:val="0"/>
          <w:bCs w:val="0"/>
          <w:color w:val="auto"/>
          <w:kern w:val="0"/>
          <w:szCs w:val="21"/>
          <w:highlight w:val="none"/>
          <w:lang w:eastAsia="zh-CN"/>
        </w:rPr>
        <w:t>（或电子澄清说明文件）</w:t>
      </w:r>
      <w:r>
        <w:rPr>
          <w:rFonts w:hint="eastAsia" w:ascii="宋体" w:hAnsi="宋体" w:cs="宋体"/>
          <w:b w:val="0"/>
          <w:bCs w:val="0"/>
          <w:color w:val="auto"/>
          <w:szCs w:val="21"/>
          <w:highlight w:val="none"/>
        </w:rPr>
        <w:t xml:space="preserve">，必要时提交相关证明材料；供应商不能证明其报价合理性的，磋商委员会应当将其作为无效投标处理。 </w:t>
      </w:r>
      <w:r>
        <w:rPr>
          <w:rFonts w:hint="eastAsia" w:ascii="宋体" w:hAnsi="宋体" w:cs="宋体"/>
          <w:b/>
          <w:bCs/>
          <w:color w:val="auto"/>
          <w:szCs w:val="21"/>
          <w:highlight w:val="none"/>
        </w:rPr>
        <w:t xml:space="preserve"> </w:t>
      </w:r>
    </w:p>
    <w:p w14:paraId="2F2C3F4C">
      <w:pPr>
        <w:pStyle w:val="2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3.3 磋商有效期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AB883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14:paraId="324202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36AD1053">
      <w:pPr>
        <w:pStyle w:val="63"/>
        <w:spacing w:line="360" w:lineRule="auto"/>
        <w:outlineLvl w:val="0"/>
        <w:rPr>
          <w:rFonts w:hint="eastAsia" w:ascii="宋体" w:hAnsi="宋体" w:eastAsia="宋体"/>
          <w:b/>
          <w:bCs/>
          <w:color w:val="auto"/>
          <w:sz w:val="21"/>
          <w:szCs w:val="21"/>
          <w:highlight w:val="none"/>
          <w:lang w:eastAsia="zh-CN"/>
        </w:rPr>
      </w:pPr>
      <w:bookmarkStart w:id="330" w:name="_Toc2505"/>
      <w:bookmarkStart w:id="331" w:name="_Toc152045550"/>
      <w:bookmarkStart w:id="332" w:name="_Toc7973"/>
      <w:bookmarkStart w:id="333" w:name="_Toc144974518"/>
      <w:bookmarkStart w:id="334" w:name="_Toc30697"/>
      <w:bookmarkStart w:id="335" w:name="_Toc7057"/>
      <w:bookmarkStart w:id="336" w:name="_Toc22634"/>
      <w:bookmarkStart w:id="337" w:name="_Toc8406"/>
      <w:bookmarkStart w:id="338" w:name="_Toc466298110"/>
      <w:bookmarkStart w:id="339" w:name="_Toc7618"/>
      <w:bookmarkStart w:id="340" w:name="_Toc455867787"/>
      <w:bookmarkStart w:id="341" w:name="_Toc10370"/>
      <w:bookmarkStart w:id="342" w:name="_Toc4165"/>
      <w:bookmarkStart w:id="343" w:name="_Toc318450694"/>
      <w:bookmarkStart w:id="344" w:name="_Toc455080127"/>
      <w:bookmarkStart w:id="345" w:name="_Toc152042326"/>
      <w:bookmarkStart w:id="346" w:name="_Toc490667847"/>
      <w:bookmarkStart w:id="347" w:name="_Toc3061"/>
      <w:bookmarkStart w:id="348" w:name="_Toc12709"/>
      <w:bookmarkStart w:id="349" w:name="_Toc13921"/>
      <w:r>
        <w:rPr>
          <w:rFonts w:hint="eastAsia" w:ascii="宋体" w:hAnsi="宋体" w:eastAsia="宋体"/>
          <w:b/>
          <w:bCs/>
          <w:color w:val="auto"/>
          <w:sz w:val="21"/>
          <w:szCs w:val="21"/>
          <w:highlight w:val="none"/>
        </w:rPr>
        <w:t>3.4 磋商保证金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144974520"/>
      <w:bookmarkStart w:id="351" w:name="_Toc152045552"/>
      <w:bookmarkStart w:id="352" w:name="_Toc318450695"/>
      <w:bookmarkStart w:id="353" w:name="_Toc152042328"/>
      <w:r>
        <w:rPr>
          <w:rFonts w:hint="eastAsia" w:ascii="宋体" w:hAnsi="宋体" w:eastAsia="宋体"/>
          <w:b/>
          <w:bCs/>
          <w:color w:val="auto"/>
          <w:sz w:val="21"/>
          <w:szCs w:val="21"/>
          <w:highlight w:val="none"/>
          <w:lang w:eastAsia="zh-CN"/>
        </w:rPr>
        <w:t>：无。</w:t>
      </w:r>
      <w:bookmarkEnd w:id="347"/>
      <w:bookmarkEnd w:id="348"/>
      <w:bookmarkEnd w:id="349"/>
    </w:p>
    <w:p w14:paraId="741426C4">
      <w:pPr>
        <w:pStyle w:val="63"/>
        <w:spacing w:line="360" w:lineRule="auto"/>
        <w:outlineLvl w:val="0"/>
        <w:rPr>
          <w:rFonts w:hint="eastAsia" w:ascii="宋体" w:hAnsi="宋体" w:eastAsia="宋体"/>
          <w:b/>
          <w:bCs/>
          <w:color w:val="auto"/>
          <w:sz w:val="21"/>
          <w:szCs w:val="21"/>
          <w:highlight w:val="none"/>
        </w:rPr>
      </w:pPr>
      <w:bookmarkStart w:id="354" w:name="_Toc490667848"/>
      <w:bookmarkStart w:id="355" w:name="_Toc2794"/>
      <w:bookmarkStart w:id="356" w:name="_Toc11077"/>
      <w:bookmarkStart w:id="357" w:name="_Toc466298111"/>
      <w:bookmarkStart w:id="358" w:name="_Toc13680"/>
      <w:bookmarkStart w:id="359" w:name="_Toc22384"/>
      <w:bookmarkStart w:id="360" w:name="_Toc455867788"/>
      <w:bookmarkStart w:id="361" w:name="_Toc28711"/>
      <w:bookmarkStart w:id="362" w:name="_Toc27579"/>
      <w:bookmarkStart w:id="363" w:name="_Toc15547"/>
      <w:bookmarkStart w:id="364" w:name="_Toc12503"/>
      <w:bookmarkStart w:id="365" w:name="_Toc22527"/>
      <w:bookmarkStart w:id="366" w:name="_Toc455080128"/>
      <w:bookmarkStart w:id="367" w:name="_Toc20328"/>
      <w:bookmarkStart w:id="368" w:name="_Toc16747"/>
      <w:bookmarkStart w:id="369" w:name="_Toc17153"/>
      <w:r>
        <w:rPr>
          <w:rFonts w:hint="eastAsia" w:ascii="宋体" w:hAnsi="宋体" w:eastAsia="宋体"/>
          <w:b/>
          <w:bCs/>
          <w:color w:val="auto"/>
          <w:sz w:val="21"/>
          <w:szCs w:val="21"/>
          <w:highlight w:val="none"/>
        </w:rPr>
        <w:t>3.5资格审查资料</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8434D1C">
      <w:pPr>
        <w:pStyle w:val="63"/>
        <w:spacing w:line="360" w:lineRule="auto"/>
        <w:ind w:firstLine="315" w:firstLineChars="150"/>
        <w:outlineLvl w:val="0"/>
        <w:rPr>
          <w:rFonts w:hint="eastAsia" w:ascii="宋体" w:hAnsi="宋体" w:eastAsia="宋体"/>
          <w:color w:val="auto"/>
          <w:kern w:val="2"/>
          <w:sz w:val="21"/>
          <w:szCs w:val="21"/>
          <w:highlight w:val="none"/>
          <w:lang w:val="en-US" w:eastAsia="zh-CN"/>
        </w:rPr>
      </w:pPr>
      <w:bookmarkStart w:id="370" w:name="_Toc26160"/>
      <w:bookmarkStart w:id="371" w:name="_Toc11828"/>
      <w:bookmarkStart w:id="372" w:name="_Toc4586"/>
      <w:bookmarkStart w:id="373" w:name="_Toc30442"/>
      <w:bookmarkStart w:id="374" w:name="_Toc455867789"/>
      <w:bookmarkStart w:id="375" w:name="_Toc455080129"/>
      <w:bookmarkStart w:id="376" w:name="_Toc318450696"/>
      <w:bookmarkStart w:id="377" w:name="_Toc152045553"/>
      <w:bookmarkStart w:id="378" w:name="_Toc3286"/>
      <w:bookmarkStart w:id="379" w:name="_Toc466298112"/>
      <w:bookmarkStart w:id="380" w:name="_Toc1228"/>
      <w:bookmarkStart w:id="381" w:name="_Toc5132"/>
      <w:bookmarkStart w:id="382" w:name="_Toc18915"/>
      <w:bookmarkStart w:id="383" w:name="_Toc9015"/>
      <w:bookmarkStart w:id="384" w:name="_Toc19724"/>
      <w:bookmarkStart w:id="385" w:name="_Toc152042329"/>
      <w:bookmarkStart w:id="386" w:name="_Toc26258"/>
      <w:bookmarkStart w:id="387" w:name="_Toc11694"/>
      <w:bookmarkStart w:id="388" w:name="_Toc144974521"/>
      <w:bookmarkStart w:id="389" w:name="_Toc490667849"/>
      <w:r>
        <w:rPr>
          <w:rFonts w:hint="eastAsia" w:ascii="宋体" w:hAnsi="宋体" w:eastAsia="宋体"/>
          <w:color w:val="auto"/>
          <w:kern w:val="2"/>
          <w:sz w:val="21"/>
          <w:szCs w:val="21"/>
          <w:highlight w:val="none"/>
          <w:lang w:val="en-US" w:eastAsia="zh-CN"/>
        </w:rPr>
        <w:t>按照第二章供应商须知表“供应商须知前附表”1.5.1要求，提供其他相关材料。</w:t>
      </w:r>
      <w:bookmarkEnd w:id="370"/>
      <w:bookmarkEnd w:id="371"/>
      <w:bookmarkEnd w:id="372"/>
    </w:p>
    <w:p w14:paraId="120AD1EB">
      <w:pPr>
        <w:pStyle w:val="63"/>
        <w:spacing w:line="360" w:lineRule="auto"/>
        <w:outlineLvl w:val="0"/>
        <w:rPr>
          <w:rFonts w:hint="eastAsia" w:ascii="宋体" w:hAnsi="宋体" w:eastAsia="宋体"/>
          <w:b/>
          <w:bCs/>
          <w:color w:val="auto"/>
          <w:sz w:val="21"/>
          <w:szCs w:val="21"/>
          <w:highlight w:val="none"/>
        </w:rPr>
      </w:pPr>
      <w:bookmarkStart w:id="390" w:name="_Toc30630"/>
      <w:bookmarkStart w:id="391" w:name="_Toc25463"/>
      <w:bookmarkStart w:id="392" w:name="_Toc24859"/>
      <w:r>
        <w:rPr>
          <w:rFonts w:hint="eastAsia" w:ascii="宋体" w:hAnsi="宋体" w:eastAsia="宋体"/>
          <w:b/>
          <w:bCs/>
          <w:color w:val="auto"/>
          <w:sz w:val="21"/>
          <w:szCs w:val="21"/>
          <w:highlight w:val="none"/>
        </w:rPr>
        <w:t>3.6 备选方案</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F2A0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14:paraId="6D383BD9">
      <w:pPr>
        <w:pStyle w:val="63"/>
        <w:spacing w:line="360" w:lineRule="auto"/>
        <w:outlineLvl w:val="0"/>
        <w:rPr>
          <w:rFonts w:hint="eastAsia" w:ascii="宋体" w:hAnsi="宋体" w:eastAsia="宋体"/>
          <w:b/>
          <w:bCs/>
          <w:color w:val="auto"/>
          <w:sz w:val="21"/>
          <w:szCs w:val="21"/>
          <w:highlight w:val="none"/>
        </w:rPr>
      </w:pPr>
      <w:bookmarkStart w:id="393" w:name="_Toc12541"/>
      <w:bookmarkStart w:id="394" w:name="_Toc455867790"/>
      <w:bookmarkStart w:id="395" w:name="_Toc466298113"/>
      <w:bookmarkStart w:id="396" w:name="_Toc490667850"/>
      <w:bookmarkStart w:id="397" w:name="_Toc17697"/>
      <w:bookmarkStart w:id="398" w:name="_Toc152042330"/>
      <w:bookmarkStart w:id="399" w:name="_Toc144974522"/>
      <w:bookmarkStart w:id="400" w:name="_Toc318450697"/>
      <w:bookmarkStart w:id="401" w:name="_Toc5700"/>
      <w:bookmarkStart w:id="402" w:name="_Toc7966"/>
      <w:bookmarkStart w:id="403" w:name="_Toc455080130"/>
      <w:bookmarkStart w:id="404" w:name="_Toc12275"/>
      <w:bookmarkStart w:id="405" w:name="_Toc18912"/>
      <w:bookmarkStart w:id="406" w:name="_Toc5516"/>
      <w:bookmarkStart w:id="407" w:name="_Toc7626"/>
      <w:bookmarkStart w:id="408" w:name="_Toc28656"/>
      <w:bookmarkStart w:id="409" w:name="_Toc6323"/>
      <w:bookmarkStart w:id="410" w:name="_Toc8460"/>
      <w:bookmarkStart w:id="411" w:name="_Toc152045554"/>
      <w:bookmarkStart w:id="412" w:name="_Toc25620"/>
      <w:r>
        <w:rPr>
          <w:rFonts w:hint="eastAsia" w:ascii="宋体" w:hAnsi="宋体" w:eastAsia="宋体"/>
          <w:b/>
          <w:bCs/>
          <w:color w:val="auto"/>
          <w:sz w:val="21"/>
          <w:szCs w:val="21"/>
          <w:highlight w:val="none"/>
        </w:rPr>
        <w:t>3.7 响应文件的编制</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7E6DE67">
      <w:pPr>
        <w:spacing w:line="360" w:lineRule="auto"/>
        <w:ind w:firstLine="422" w:firstLineChars="200"/>
        <w:rPr>
          <w:rFonts w:hint="eastAsia" w:ascii="宋体" w:hAnsi="宋体" w:cs="宋体"/>
          <w:b/>
          <w:bCs/>
          <w:color w:val="auto"/>
          <w:szCs w:val="21"/>
          <w:highlight w:val="none"/>
        </w:rPr>
      </w:pPr>
      <w:bookmarkStart w:id="413" w:name="_Toc455080131"/>
      <w:bookmarkStart w:id="414" w:name="_Toc144974523"/>
      <w:bookmarkStart w:id="415" w:name="_Toc152042331"/>
      <w:bookmarkStart w:id="416" w:name="_Toc152045555"/>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 xml:space="preserve"> 供应商</w:t>
      </w:r>
      <w:r>
        <w:rPr>
          <w:rFonts w:hint="eastAsia" w:ascii="宋体" w:hAnsi="宋体" w:cs="宋体"/>
          <w:b/>
          <w:bCs/>
          <w:color w:val="auto"/>
          <w:szCs w:val="21"/>
          <w:highlight w:val="none"/>
        </w:rPr>
        <w:t>通过“信阳市公共资源交易网（</w:t>
      </w:r>
      <w:r>
        <w:rPr>
          <w:rFonts w:hint="eastAsia" w:ascii="宋体" w:hAnsi="宋体" w:cs="宋体"/>
          <w:b/>
          <w:bCs/>
          <w:color w:val="auto"/>
          <w:szCs w:val="21"/>
          <w:highlight w:val="none"/>
          <w:lang w:eastAsia="zh-CN"/>
        </w:rPr>
        <w:t>https://ggzyjy.xinyang.gov.cn</w:t>
      </w:r>
      <w:r>
        <w:rPr>
          <w:rFonts w:hint="eastAsia" w:ascii="宋体" w:hAnsi="宋体" w:cs="宋体"/>
          <w:b/>
          <w:bCs/>
          <w:color w:val="auto"/>
          <w:szCs w:val="21"/>
          <w:highlight w:val="none"/>
        </w:rPr>
        <w:t>）”网站下载中心栏目内下载或</w:t>
      </w:r>
      <w:r>
        <w:rPr>
          <w:rFonts w:hint="eastAsia" w:ascii="宋体" w:hAnsi="宋体" w:cs="宋体"/>
          <w:b/>
          <w:bCs/>
          <w:color w:val="auto"/>
          <w:szCs w:val="21"/>
          <w:highlight w:val="none"/>
          <w:lang w:val="en-US" w:eastAsia="zh-CN"/>
        </w:rPr>
        <w:t>磋商</w:t>
      </w:r>
      <w:r>
        <w:rPr>
          <w:rFonts w:hint="eastAsia" w:ascii="宋体" w:hAnsi="宋体" w:cs="宋体"/>
          <w:b/>
          <w:bCs/>
          <w:color w:val="auto"/>
          <w:szCs w:val="21"/>
          <w:highlight w:val="none"/>
        </w:rPr>
        <w:t>文件领取页面下载“信阳市投标文件制作工具软件”。</w:t>
      </w:r>
    </w:p>
    <w:p w14:paraId="72DAEF1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使用“信阳市投标文件制作工具”软件制作生成加密版和非未加密的电子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文件，软件操作手册可在网站下载中心下载或打开软件后在右上角菜单内领取。</w:t>
      </w:r>
    </w:p>
    <w:p w14:paraId="19A0240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 xml:space="preserve"> 供应商</w:t>
      </w:r>
      <w:r>
        <w:rPr>
          <w:rFonts w:hint="eastAsia" w:ascii="宋体" w:hAnsi="宋体" w:cs="宋体"/>
          <w:b/>
          <w:bCs/>
          <w:color w:val="auto"/>
          <w:szCs w:val="21"/>
          <w:highlight w:val="none"/>
        </w:rPr>
        <w:t>在电子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文件制作完成后生成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文件时须加盖电子签章/签名。其他要求签字盖章的</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文件格式内容，如无法进行电子签章/签名，</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可将盖章/签名后的扫描件上传到电子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文件中。开标一览表报价将作为电子开标的唱标依据。</w:t>
      </w:r>
    </w:p>
    <w:p w14:paraId="68AC23F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 xml:space="preserve"> 磋商</w:t>
      </w:r>
      <w:r>
        <w:rPr>
          <w:rFonts w:hint="eastAsia" w:ascii="宋体" w:hAnsi="宋体" w:cs="宋体"/>
          <w:b/>
          <w:bCs/>
          <w:color w:val="auto"/>
          <w:szCs w:val="21"/>
          <w:highlight w:val="none"/>
        </w:rPr>
        <w:t>文件格式所要求包含的全部资料应全部制作在</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文件内，严格按照本项目</w:t>
      </w:r>
      <w:r>
        <w:rPr>
          <w:rFonts w:hint="eastAsia" w:ascii="宋体" w:hAnsi="宋体" w:cs="宋体"/>
          <w:b/>
          <w:bCs/>
          <w:color w:val="auto"/>
          <w:szCs w:val="21"/>
          <w:highlight w:val="none"/>
          <w:lang w:val="en-US" w:eastAsia="zh-CN"/>
        </w:rPr>
        <w:t>磋商</w:t>
      </w:r>
      <w:r>
        <w:rPr>
          <w:rFonts w:hint="eastAsia" w:ascii="宋体" w:hAnsi="宋体" w:cs="宋体"/>
          <w:b/>
          <w:bCs/>
          <w:color w:val="auto"/>
          <w:szCs w:val="21"/>
          <w:highlight w:val="none"/>
        </w:rPr>
        <w:t>文件所有格式如实填写（不涉及的内容除外），不应存在漏项或缺项，否则将存在</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文件被拒绝的风险。</w:t>
      </w:r>
    </w:p>
    <w:p w14:paraId="6C11059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.5</w:t>
      </w:r>
      <w:r>
        <w:rPr>
          <w:rFonts w:hint="eastAsia" w:ascii="宋体" w:hAnsi="宋体" w:cs="宋体"/>
          <w:b/>
          <w:bCs/>
          <w:color w:val="auto"/>
          <w:szCs w:val="21"/>
          <w:highlight w:val="none"/>
          <w:lang w:val="en-US" w:eastAsia="zh-CN"/>
        </w:rPr>
        <w:t xml:space="preserve"> 供应商</w:t>
      </w:r>
      <w:r>
        <w:rPr>
          <w:rFonts w:hint="eastAsia" w:ascii="宋体" w:hAnsi="宋体" w:cs="宋体"/>
          <w:b/>
          <w:bCs/>
          <w:color w:val="auto"/>
          <w:szCs w:val="21"/>
          <w:highlight w:val="none"/>
        </w:rPr>
        <w:t>编辑电子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文件时，最后一步生成电子</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文件（*.XYTF 格式和*.NXYTF格式）时，请使用本单位的企业 CA 数字证书。</w:t>
      </w:r>
    </w:p>
    <w:p w14:paraId="68F70492">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w:t>
      </w:r>
      <w:r>
        <w:rPr>
          <w:rFonts w:hint="eastAsia" w:ascii="宋体" w:hAnsi="宋体" w:cs="宋体"/>
          <w:b w:val="0"/>
          <w:bCs w:val="0"/>
          <w:color w:val="auto"/>
          <w:szCs w:val="21"/>
          <w:highlight w:val="none"/>
          <w:lang w:val="en-US" w:eastAsia="zh-CN"/>
        </w:rPr>
        <w:t xml:space="preserve">6 </w:t>
      </w:r>
      <w:r>
        <w:rPr>
          <w:rFonts w:hint="eastAsia" w:ascii="宋体" w:hAnsi="宋体" w:cs="宋体"/>
          <w:b w:val="0"/>
          <w:bCs w:val="0"/>
          <w:color w:val="auto"/>
          <w:szCs w:val="21"/>
          <w:highlight w:val="none"/>
        </w:rPr>
        <w:t>响应文件应按</w:t>
      </w:r>
      <w:r>
        <w:rPr>
          <w:rFonts w:hint="eastAsia" w:ascii="宋体" w:hAnsi="宋体" w:cs="宋体"/>
          <w:b w:val="0"/>
          <w:bCs w:val="0"/>
          <w:color w:val="auto"/>
          <w:szCs w:val="21"/>
          <w:highlight w:val="none"/>
          <w:lang w:eastAsia="zh-CN"/>
        </w:rPr>
        <w:t>第六章</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eastAsia="zh-CN"/>
        </w:rPr>
        <w:t>竞争性磋商响应文件格式</w:t>
      </w:r>
      <w:r>
        <w:rPr>
          <w:rFonts w:hint="eastAsia" w:ascii="宋体" w:hAnsi="宋体" w:cs="宋体"/>
          <w:b w:val="0"/>
          <w:bCs w:val="0"/>
          <w:color w:val="auto"/>
          <w:szCs w:val="21"/>
          <w:highlight w:val="none"/>
        </w:rPr>
        <w:t>”进行编写，如有必要，可以增加附页，作为响应文件的组成部分。其中，</w:t>
      </w:r>
      <w:r>
        <w:rPr>
          <w:rFonts w:hint="eastAsia" w:ascii="宋体" w:hAnsi="宋体" w:cs="宋体"/>
          <w:b w:val="0"/>
          <w:bCs w:val="0"/>
          <w:color w:val="auto"/>
          <w:szCs w:val="21"/>
          <w:highlight w:val="none"/>
          <w:lang w:eastAsia="zh-CN"/>
        </w:rPr>
        <w:t>响应函</w:t>
      </w:r>
      <w:r>
        <w:rPr>
          <w:rFonts w:hint="eastAsia" w:ascii="宋体" w:hAnsi="宋体" w:cs="宋体"/>
          <w:b w:val="0"/>
          <w:bCs w:val="0"/>
          <w:color w:val="auto"/>
          <w:szCs w:val="21"/>
          <w:highlight w:val="none"/>
        </w:rPr>
        <w:t>附录在满足</w:t>
      </w:r>
      <w:r>
        <w:rPr>
          <w:rFonts w:hint="eastAsia" w:ascii="宋体" w:hAnsi="宋体" w:cs="宋体"/>
          <w:b w:val="0"/>
          <w:bCs w:val="0"/>
          <w:color w:val="auto"/>
          <w:szCs w:val="21"/>
          <w:highlight w:val="none"/>
          <w:lang w:eastAsia="zh-CN"/>
        </w:rPr>
        <w:t>竞争性磋商文件</w:t>
      </w:r>
      <w:r>
        <w:rPr>
          <w:rFonts w:hint="eastAsia" w:ascii="宋体" w:hAnsi="宋体" w:cs="宋体"/>
          <w:b w:val="0"/>
          <w:bCs w:val="0"/>
          <w:color w:val="auto"/>
          <w:szCs w:val="21"/>
          <w:highlight w:val="none"/>
        </w:rPr>
        <w:t>实质性要求的基础上，可以提出比</w:t>
      </w:r>
      <w:r>
        <w:rPr>
          <w:rFonts w:hint="eastAsia" w:ascii="宋体" w:hAnsi="宋体" w:cs="宋体"/>
          <w:b w:val="0"/>
          <w:bCs w:val="0"/>
          <w:color w:val="auto"/>
          <w:szCs w:val="21"/>
          <w:highlight w:val="none"/>
          <w:lang w:eastAsia="zh-CN"/>
        </w:rPr>
        <w:t>竞争性磋商文件</w:t>
      </w:r>
      <w:r>
        <w:rPr>
          <w:rFonts w:hint="eastAsia" w:ascii="宋体" w:hAnsi="宋体" w:cs="宋体"/>
          <w:b w:val="0"/>
          <w:bCs w:val="0"/>
          <w:color w:val="auto"/>
          <w:szCs w:val="21"/>
          <w:highlight w:val="none"/>
        </w:rPr>
        <w:t>要求更有利于采购人的承诺。</w:t>
      </w:r>
    </w:p>
    <w:p w14:paraId="2328A28A">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3.7.</w:t>
      </w:r>
      <w:r>
        <w:rPr>
          <w:rFonts w:hint="eastAsia" w:ascii="宋体" w:hAnsi="宋体" w:cs="宋体"/>
          <w:b w:val="0"/>
          <w:bCs w:val="0"/>
          <w:color w:val="auto"/>
          <w:szCs w:val="21"/>
          <w:highlight w:val="none"/>
          <w:lang w:val="en-US" w:eastAsia="zh-CN"/>
        </w:rPr>
        <w:t xml:space="preserve">7 </w:t>
      </w:r>
      <w:r>
        <w:rPr>
          <w:rFonts w:hint="eastAsia" w:ascii="宋体" w:hAnsi="宋体" w:cs="宋体"/>
          <w:b w:val="0"/>
          <w:bCs w:val="0"/>
          <w:color w:val="auto"/>
          <w:szCs w:val="21"/>
          <w:highlight w:val="none"/>
        </w:rPr>
        <w:t>响应文件应当对</w:t>
      </w:r>
      <w:r>
        <w:rPr>
          <w:rFonts w:hint="eastAsia" w:ascii="宋体" w:hAnsi="宋体" w:cs="宋体"/>
          <w:b w:val="0"/>
          <w:bCs w:val="0"/>
          <w:color w:val="auto"/>
          <w:szCs w:val="21"/>
          <w:highlight w:val="none"/>
          <w:lang w:eastAsia="zh-CN"/>
        </w:rPr>
        <w:t>竞争性磋商文件</w:t>
      </w:r>
      <w:r>
        <w:rPr>
          <w:rFonts w:hint="eastAsia" w:ascii="宋体" w:hAnsi="宋体" w:cs="宋体"/>
          <w:b w:val="0"/>
          <w:bCs w:val="0"/>
          <w:color w:val="auto"/>
          <w:szCs w:val="21"/>
          <w:highlight w:val="none"/>
        </w:rPr>
        <w:t>有关计划工期、磋商有效期、质量要求、</w:t>
      </w:r>
      <w:r>
        <w:rPr>
          <w:rFonts w:hint="eastAsia" w:ascii="宋体" w:hAnsi="宋体" w:cs="宋体"/>
          <w:b w:val="0"/>
          <w:bCs w:val="0"/>
          <w:color w:val="auto"/>
          <w:szCs w:val="21"/>
          <w:highlight w:val="none"/>
          <w:lang w:eastAsia="zh-CN"/>
        </w:rPr>
        <w:t>磋商内容</w:t>
      </w:r>
      <w:r>
        <w:rPr>
          <w:rFonts w:hint="eastAsia" w:ascii="宋体" w:hAnsi="宋体" w:cs="宋体"/>
          <w:b w:val="0"/>
          <w:bCs w:val="0"/>
          <w:color w:val="auto"/>
          <w:szCs w:val="21"/>
          <w:highlight w:val="none"/>
        </w:rPr>
        <w:t>作出响应。</w:t>
      </w:r>
    </w:p>
    <w:p w14:paraId="2E84AF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 xml:space="preserve"> 响应</w:t>
      </w:r>
      <w:r>
        <w:rPr>
          <w:rFonts w:hint="eastAsia" w:ascii="宋体" w:hAnsi="宋体" w:cs="宋体"/>
          <w:color w:val="auto"/>
          <w:szCs w:val="21"/>
          <w:highlight w:val="none"/>
        </w:rPr>
        <w:t>文件应由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的法定代表人或其委托代理人签字且盖单位公章。委托代理人签字的，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文件应附法定代表人签署的授权委托书。签字或盖章的具体要求见</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须知前附表。</w:t>
      </w:r>
    </w:p>
    <w:p w14:paraId="1D0240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 xml:space="preserve"> 响应</w:t>
      </w:r>
      <w:r>
        <w:rPr>
          <w:rFonts w:hint="eastAsia" w:ascii="宋体" w:hAnsi="宋体" w:cs="宋体"/>
          <w:color w:val="auto"/>
          <w:szCs w:val="21"/>
          <w:highlight w:val="none"/>
        </w:rPr>
        <w:t>文件份数见</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须知前附表。</w:t>
      </w:r>
    </w:p>
    <w:p w14:paraId="154ACC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 xml:space="preserve"> 供应商</w:t>
      </w:r>
      <w:r>
        <w:rPr>
          <w:rFonts w:hint="eastAsia" w:ascii="宋体" w:hAnsi="宋体" w:cs="宋体"/>
          <w:color w:val="auto"/>
          <w:szCs w:val="21"/>
          <w:highlight w:val="none"/>
        </w:rPr>
        <w:t>应按照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文件的要求，规范、明确、准时的提交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文件。如果没有按照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文件的要求保证所提供全部资料的真实性，或没有对</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文件作出实质性响应，其风险应由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1ABA6280">
      <w:pPr>
        <w:pStyle w:val="62"/>
        <w:spacing w:before="0" w:beforeLines="0" w:line="360" w:lineRule="auto"/>
        <w:rPr>
          <w:rFonts w:hint="eastAsia" w:ascii="宋体" w:hAnsi="宋体" w:eastAsia="宋体"/>
          <w:b/>
          <w:bCs/>
          <w:color w:val="auto"/>
          <w:sz w:val="21"/>
          <w:szCs w:val="21"/>
          <w:highlight w:val="none"/>
        </w:rPr>
      </w:pPr>
      <w:bookmarkStart w:id="417" w:name="_Toc19433"/>
      <w:bookmarkStart w:id="418" w:name="_Toc30808"/>
      <w:bookmarkStart w:id="419" w:name="_Toc24540"/>
      <w:r>
        <w:rPr>
          <w:rFonts w:hint="eastAsia" w:ascii="宋体" w:hAnsi="宋体" w:eastAsia="宋体"/>
          <w:b/>
          <w:bCs/>
          <w:color w:val="auto"/>
          <w:sz w:val="21"/>
          <w:szCs w:val="21"/>
          <w:highlight w:val="none"/>
        </w:rPr>
        <w:t xml:space="preserve">4. </w:t>
      </w:r>
      <w:bookmarkEnd w:id="413"/>
      <w:bookmarkEnd w:id="414"/>
      <w:bookmarkEnd w:id="415"/>
      <w:bookmarkEnd w:id="416"/>
      <w:r>
        <w:rPr>
          <w:rFonts w:hint="eastAsia" w:ascii="宋体" w:hAnsi="宋体" w:eastAsia="宋体"/>
          <w:b/>
          <w:bCs/>
          <w:color w:val="auto"/>
          <w:sz w:val="21"/>
          <w:szCs w:val="21"/>
          <w:highlight w:val="none"/>
        </w:rPr>
        <w:t>磋商</w:t>
      </w:r>
      <w:bookmarkEnd w:id="417"/>
      <w:bookmarkEnd w:id="418"/>
      <w:bookmarkEnd w:id="419"/>
    </w:p>
    <w:p w14:paraId="6F73D8F6">
      <w:pPr>
        <w:spacing w:line="440" w:lineRule="exact"/>
        <w:ind w:firstLine="422" w:firstLineChars="200"/>
        <w:rPr>
          <w:rFonts w:hint="eastAsia" w:ascii="宋体" w:hAnsi="宋体"/>
          <w:b/>
          <w:bCs/>
          <w:color w:val="auto"/>
          <w:sz w:val="21"/>
          <w:szCs w:val="21"/>
          <w:highlight w:val="none"/>
          <w:lang w:eastAsia="zh-CN"/>
        </w:rPr>
      </w:pPr>
      <w:bookmarkStart w:id="420" w:name="_Toc22961"/>
      <w:bookmarkStart w:id="421" w:name="_Toc16962"/>
      <w:bookmarkStart w:id="422" w:name="_Toc31492"/>
      <w:bookmarkStart w:id="423" w:name="_Toc26583"/>
      <w:bookmarkStart w:id="424" w:name="_Toc152045556"/>
      <w:bookmarkStart w:id="425" w:name="_Toc11243"/>
      <w:bookmarkStart w:id="426" w:name="_Toc490667852"/>
      <w:bookmarkStart w:id="427" w:name="_Toc16344"/>
      <w:bookmarkStart w:id="428" w:name="_Toc26550"/>
      <w:bookmarkStart w:id="429" w:name="_Toc455080132"/>
      <w:bookmarkStart w:id="430" w:name="_Toc16783"/>
      <w:bookmarkStart w:id="431" w:name="_Toc152042332"/>
      <w:bookmarkStart w:id="432" w:name="_Toc318450699"/>
      <w:bookmarkStart w:id="433" w:name="_Toc466298115"/>
      <w:bookmarkStart w:id="434" w:name="_Toc144974524"/>
      <w:bookmarkStart w:id="435" w:name="_Toc18820"/>
      <w:bookmarkStart w:id="436" w:name="_Toc455867792"/>
      <w:bookmarkStart w:id="437" w:name="_Toc14911"/>
      <w:bookmarkStart w:id="438" w:name="_Toc12753"/>
      <w:bookmarkStart w:id="439" w:name="_Toc16463"/>
      <w:bookmarkStart w:id="440" w:name="_Toc18193"/>
      <w:bookmarkStart w:id="441" w:name="_Toc21145"/>
      <w:bookmarkStart w:id="442" w:name="_Toc30792"/>
      <w:bookmarkStart w:id="443" w:name="_Toc18582"/>
      <w:bookmarkStart w:id="444" w:name="_Toc490667857"/>
      <w:bookmarkStart w:id="445" w:name="_Toc30074"/>
      <w:bookmarkStart w:id="446" w:name="_Toc25911"/>
      <w:bookmarkStart w:id="447" w:name="_Toc455080137"/>
      <w:bookmarkStart w:id="448" w:name="_Toc152045561"/>
      <w:bookmarkStart w:id="449" w:name="_Toc747"/>
      <w:bookmarkStart w:id="450" w:name="_Toc3865"/>
      <w:bookmarkStart w:id="451" w:name="_Toc466298120"/>
      <w:bookmarkStart w:id="452" w:name="_Toc9328"/>
      <w:bookmarkStart w:id="453" w:name="_Toc144974529"/>
      <w:bookmarkStart w:id="454" w:name="_Toc11148"/>
      <w:bookmarkStart w:id="455" w:name="_Toc30965"/>
      <w:bookmarkStart w:id="456" w:name="_Toc318450704"/>
      <w:bookmarkStart w:id="457" w:name="_Toc455867797"/>
      <w:bookmarkStart w:id="458" w:name="_Toc152042337"/>
      <w:bookmarkStart w:id="459" w:name="_Toc17491"/>
      <w:r>
        <w:rPr>
          <w:rFonts w:hint="eastAsia" w:ascii="宋体" w:hAnsi="宋体"/>
          <w:b/>
          <w:bCs/>
          <w:color w:val="auto"/>
          <w:sz w:val="21"/>
          <w:szCs w:val="21"/>
          <w:highlight w:val="none"/>
        </w:rPr>
        <w:t>4.1 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b/>
          <w:bCs/>
          <w:color w:val="auto"/>
          <w:sz w:val="21"/>
          <w:szCs w:val="21"/>
          <w:highlight w:val="none"/>
          <w:lang w:eastAsia="zh-CN"/>
        </w:rPr>
        <w:t>上传</w:t>
      </w:r>
      <w:bookmarkEnd w:id="437"/>
      <w:bookmarkEnd w:id="438"/>
      <w:bookmarkEnd w:id="439"/>
      <w:bookmarkEnd w:id="440"/>
      <w:bookmarkEnd w:id="441"/>
    </w:p>
    <w:p w14:paraId="01BD26F7">
      <w:pPr>
        <w:spacing w:line="440" w:lineRule="exact"/>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4.1.1网上上传的电子响应文件应使用供应商数字证书认证并加密。</w:t>
      </w:r>
    </w:p>
    <w:p w14:paraId="4921B548">
      <w:pPr>
        <w:spacing w:line="440" w:lineRule="exact"/>
        <w:ind w:firstLine="422" w:firstLineChars="200"/>
        <w:rPr>
          <w:rFonts w:hint="eastAsia" w:ascii="宋体" w:hAnsi="宋体"/>
          <w:b/>
          <w:bCs/>
          <w:color w:val="auto"/>
          <w:sz w:val="21"/>
          <w:szCs w:val="21"/>
          <w:highlight w:val="none"/>
        </w:rPr>
      </w:pPr>
      <w:bookmarkStart w:id="460" w:name="_Toc21897"/>
      <w:bookmarkStart w:id="461" w:name="_Toc4767"/>
      <w:bookmarkStart w:id="462" w:name="_Toc466298116"/>
      <w:bookmarkStart w:id="463" w:name="_Toc16832"/>
      <w:bookmarkStart w:id="464" w:name="_Toc22446"/>
      <w:bookmarkStart w:id="465" w:name="_Toc28272"/>
      <w:bookmarkStart w:id="466" w:name="_Toc21072"/>
      <w:bookmarkStart w:id="467" w:name="_Toc25061"/>
      <w:bookmarkStart w:id="468" w:name="_Toc8754"/>
      <w:bookmarkStart w:id="469" w:name="_Toc455080133"/>
      <w:bookmarkStart w:id="470" w:name="_Toc152042333"/>
      <w:bookmarkStart w:id="471" w:name="_Toc7663"/>
      <w:bookmarkStart w:id="472" w:name="_Toc29494"/>
      <w:bookmarkStart w:id="473" w:name="_Toc20259"/>
      <w:bookmarkStart w:id="474" w:name="_Toc27132"/>
      <w:bookmarkStart w:id="475" w:name="_Toc462"/>
      <w:bookmarkStart w:id="476" w:name="_Toc318450700"/>
      <w:bookmarkStart w:id="477" w:name="_Toc144974525"/>
      <w:bookmarkStart w:id="478" w:name="_Toc29492"/>
      <w:bookmarkStart w:id="479" w:name="_Toc490667853"/>
      <w:bookmarkStart w:id="480" w:name="_Toc455867793"/>
      <w:bookmarkStart w:id="481" w:name="_Toc152045557"/>
      <w:r>
        <w:rPr>
          <w:rFonts w:hint="eastAsia" w:ascii="宋体" w:hAnsi="宋体"/>
          <w:b/>
          <w:bCs/>
          <w:color w:val="auto"/>
          <w:sz w:val="21"/>
          <w:szCs w:val="21"/>
          <w:highlight w:val="none"/>
        </w:rPr>
        <w:t>4.2 响应文件的递交</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2EAADC2F">
      <w:pPr>
        <w:spacing w:line="440" w:lineRule="exact"/>
        <w:ind w:firstLine="422" w:firstLineChars="200"/>
        <w:rPr>
          <w:rFonts w:hint="eastAsia" w:ascii="宋体" w:hAnsi="宋体"/>
          <w:b/>
          <w:bCs/>
          <w:color w:val="auto"/>
          <w:sz w:val="21"/>
          <w:szCs w:val="21"/>
          <w:highlight w:val="none"/>
        </w:rPr>
      </w:pPr>
      <w:bookmarkStart w:id="482" w:name="_Toc144974526"/>
      <w:bookmarkStart w:id="483" w:name="_Toc455080134"/>
      <w:bookmarkStart w:id="484" w:name="_Toc11817"/>
      <w:bookmarkStart w:id="485" w:name="_Toc30860"/>
      <w:bookmarkStart w:id="486" w:name="_Toc318450701"/>
      <w:bookmarkStart w:id="487" w:name="_Toc26684"/>
      <w:bookmarkStart w:id="488" w:name="_Toc19951"/>
      <w:bookmarkStart w:id="489" w:name="_Toc17161"/>
      <w:bookmarkStart w:id="490" w:name="_Toc152042334"/>
      <w:bookmarkStart w:id="491" w:name="_Toc2952"/>
      <w:bookmarkStart w:id="492" w:name="_Toc152045558"/>
      <w:bookmarkStart w:id="493" w:name="_Toc21890"/>
      <w:bookmarkStart w:id="494" w:name="_Toc490667854"/>
      <w:bookmarkStart w:id="495" w:name="_Toc466298117"/>
      <w:bookmarkStart w:id="496" w:name="_Toc455867794"/>
      <w:bookmarkStart w:id="497" w:name="_Toc5102"/>
      <w:bookmarkStart w:id="498" w:name="_Toc20281"/>
      <w:r>
        <w:rPr>
          <w:rFonts w:hint="eastAsia" w:ascii="宋体" w:hAnsi="宋体"/>
          <w:b/>
          <w:bCs/>
          <w:color w:val="auto"/>
          <w:sz w:val="21"/>
          <w:szCs w:val="21"/>
          <w:highlight w:val="none"/>
        </w:rPr>
        <w:t>4.2.1电子响应文件的递交</w:t>
      </w:r>
    </w:p>
    <w:p w14:paraId="333EBBE6">
      <w:pPr>
        <w:spacing w:line="440" w:lineRule="exact"/>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各供应商应在</w:t>
      </w:r>
      <w:r>
        <w:rPr>
          <w:rFonts w:hint="eastAsia" w:ascii="宋体" w:hAnsi="宋体"/>
          <w:b w:val="0"/>
          <w:bCs w:val="0"/>
          <w:color w:val="auto"/>
          <w:sz w:val="21"/>
          <w:szCs w:val="21"/>
          <w:highlight w:val="none"/>
          <w:lang w:eastAsia="zh-CN"/>
        </w:rPr>
        <w:t>响应文件提交截止时间前</w:t>
      </w:r>
      <w:r>
        <w:rPr>
          <w:rFonts w:hint="eastAsia" w:ascii="宋体" w:hAnsi="宋体"/>
          <w:b w:val="0"/>
          <w:bCs w:val="0"/>
          <w:color w:val="auto"/>
          <w:sz w:val="21"/>
          <w:szCs w:val="21"/>
          <w:highlight w:val="none"/>
        </w:rPr>
        <w:t>上传加密的电子响应文件（*.XYTF）到会员系统的指定位置。上传的电子响应文件应使用</w:t>
      </w:r>
      <w:r>
        <w:rPr>
          <w:rFonts w:hint="eastAsia" w:ascii="宋体" w:hAnsi="宋体"/>
          <w:b w:val="0"/>
          <w:bCs w:val="0"/>
          <w:color w:val="auto"/>
          <w:sz w:val="21"/>
          <w:szCs w:val="21"/>
          <w:highlight w:val="none"/>
          <w:lang w:eastAsia="zh-CN"/>
        </w:rPr>
        <w:t>供应商</w:t>
      </w:r>
      <w:r>
        <w:rPr>
          <w:rFonts w:hint="eastAsia" w:ascii="宋体" w:hAnsi="宋体"/>
          <w:b w:val="0"/>
          <w:bCs w:val="0"/>
          <w:color w:val="auto"/>
          <w:sz w:val="21"/>
          <w:szCs w:val="21"/>
          <w:highlight w:val="none"/>
        </w:rPr>
        <w:t>CA数字证书认证并加密。上传时必须得到交易系统“上传成功”的确认回复后方为上传成功。请供应商在上传前务必认真检查上传响应文件是否完整、正确。</w:t>
      </w:r>
    </w:p>
    <w:p w14:paraId="44E250B4">
      <w:pPr>
        <w:spacing w:line="440" w:lineRule="exact"/>
        <w:ind w:firstLine="422" w:firstLineChars="200"/>
        <w:rPr>
          <w:rFonts w:hint="eastAsia" w:ascii="宋体" w:hAnsi="宋体"/>
          <w:b/>
          <w:bCs/>
          <w:color w:val="auto"/>
          <w:sz w:val="21"/>
          <w:szCs w:val="21"/>
          <w:highlight w:val="none"/>
        </w:rPr>
      </w:pPr>
      <w:bookmarkStart w:id="499" w:name="_Toc26422"/>
      <w:bookmarkStart w:id="500" w:name="_Toc7800"/>
      <w:bookmarkStart w:id="501" w:name="_Toc31918"/>
      <w:bookmarkStart w:id="502" w:name="_Toc1790"/>
      <w:bookmarkStart w:id="503" w:name="_Toc31590"/>
      <w:r>
        <w:rPr>
          <w:rFonts w:hint="eastAsia" w:ascii="宋体" w:hAnsi="宋体"/>
          <w:b/>
          <w:bCs/>
          <w:color w:val="auto"/>
          <w:sz w:val="21"/>
          <w:szCs w:val="21"/>
          <w:highlight w:val="none"/>
        </w:rPr>
        <w:t>4.3 响应文件的修改与撤回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2062C6C9">
      <w:pPr>
        <w:spacing w:line="440" w:lineRule="exact"/>
        <w:ind w:firstLine="420" w:firstLineChars="200"/>
        <w:rPr>
          <w:rFonts w:hint="eastAsia" w:ascii="宋体" w:hAnsi="宋体"/>
          <w:b w:val="0"/>
          <w:bCs w:val="0"/>
          <w:color w:val="auto"/>
          <w:sz w:val="21"/>
          <w:szCs w:val="21"/>
          <w:highlight w:val="none"/>
        </w:rPr>
      </w:pPr>
      <w:bookmarkStart w:id="504" w:name="_Toc152045559"/>
      <w:bookmarkStart w:id="505" w:name="_Toc152042335"/>
      <w:bookmarkStart w:id="506" w:name="_Toc144974527"/>
      <w:bookmarkStart w:id="507" w:name="_Toc455080135"/>
      <w:r>
        <w:rPr>
          <w:rFonts w:hint="eastAsia" w:ascii="宋体" w:hAnsi="宋体"/>
          <w:b w:val="0"/>
          <w:bCs w:val="0"/>
          <w:color w:val="auto"/>
          <w:sz w:val="21"/>
          <w:szCs w:val="21"/>
          <w:highlight w:val="none"/>
        </w:rPr>
        <w:t>4.3.1 在第一章“</w:t>
      </w:r>
      <w:r>
        <w:rPr>
          <w:rFonts w:hint="eastAsia" w:ascii="宋体" w:hAnsi="宋体"/>
          <w:b w:val="0"/>
          <w:bCs w:val="0"/>
          <w:color w:val="auto"/>
          <w:sz w:val="21"/>
          <w:szCs w:val="21"/>
          <w:highlight w:val="none"/>
          <w:lang w:eastAsia="zh-CN"/>
        </w:rPr>
        <w:t>竞争性磋商公告</w:t>
      </w:r>
      <w:r>
        <w:rPr>
          <w:rFonts w:hint="eastAsia" w:ascii="宋体" w:hAnsi="宋体"/>
          <w:b w:val="0"/>
          <w:bCs w:val="0"/>
          <w:color w:val="auto"/>
          <w:sz w:val="21"/>
          <w:szCs w:val="21"/>
          <w:highlight w:val="none"/>
        </w:rPr>
        <w:t>”规定的</w:t>
      </w:r>
      <w:r>
        <w:rPr>
          <w:rFonts w:hint="eastAsia" w:ascii="宋体" w:hAnsi="宋体"/>
          <w:b w:val="0"/>
          <w:bCs w:val="0"/>
          <w:color w:val="auto"/>
          <w:sz w:val="21"/>
          <w:szCs w:val="21"/>
          <w:highlight w:val="none"/>
          <w:lang w:eastAsia="zh-CN"/>
        </w:rPr>
        <w:t>响应文件提交</w:t>
      </w:r>
      <w:r>
        <w:rPr>
          <w:rFonts w:hint="eastAsia" w:ascii="宋体" w:hAnsi="宋体"/>
          <w:b w:val="0"/>
          <w:bCs w:val="0"/>
          <w:color w:val="auto"/>
          <w:sz w:val="21"/>
          <w:szCs w:val="21"/>
          <w:highlight w:val="none"/>
        </w:rPr>
        <w:t>截止时间前，供应商可以多次修改或撤回已递交的响应文件，最终响应文件以</w:t>
      </w:r>
      <w:r>
        <w:rPr>
          <w:rFonts w:hint="eastAsia" w:ascii="宋体" w:hAnsi="宋体"/>
          <w:b w:val="0"/>
          <w:bCs w:val="0"/>
          <w:color w:val="auto"/>
          <w:sz w:val="21"/>
          <w:szCs w:val="21"/>
          <w:highlight w:val="none"/>
          <w:lang w:eastAsia="zh-CN"/>
        </w:rPr>
        <w:t>响应文件提交截止时间前</w:t>
      </w:r>
      <w:r>
        <w:rPr>
          <w:rFonts w:hint="eastAsia" w:ascii="宋体" w:hAnsi="宋体"/>
          <w:b w:val="0"/>
          <w:bCs w:val="0"/>
          <w:color w:val="auto"/>
          <w:sz w:val="21"/>
          <w:szCs w:val="21"/>
          <w:highlight w:val="none"/>
        </w:rPr>
        <w:t>完成上传至信阳市公共资源交易中心交易系统最后一份响应文件为准。</w:t>
      </w:r>
    </w:p>
    <w:p w14:paraId="71B5F5F3">
      <w:pPr>
        <w:spacing w:line="440" w:lineRule="exact"/>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4.3.2修改的响应文件应按照本章第3.7条、第4.2条规定进行编制和递交。</w:t>
      </w:r>
    </w:p>
    <w:bookmarkEnd w:id="504"/>
    <w:bookmarkEnd w:id="505"/>
    <w:bookmarkEnd w:id="506"/>
    <w:p w14:paraId="22FB29FC">
      <w:pPr>
        <w:spacing w:line="440" w:lineRule="exact"/>
        <w:ind w:firstLine="422" w:firstLineChars="200"/>
        <w:rPr>
          <w:rFonts w:hint="eastAsia" w:ascii="宋体" w:hAnsi="宋体"/>
          <w:b/>
          <w:bCs/>
          <w:color w:val="auto"/>
          <w:sz w:val="21"/>
          <w:szCs w:val="21"/>
          <w:highlight w:val="none"/>
        </w:rPr>
      </w:pPr>
      <w:bookmarkStart w:id="508" w:name="_Toc7296"/>
      <w:bookmarkStart w:id="509" w:name="_Toc22520"/>
      <w:bookmarkStart w:id="510" w:name="_Toc14969"/>
      <w:bookmarkStart w:id="511" w:name="_Toc8226"/>
      <w:bookmarkStart w:id="512" w:name="_Toc3162"/>
      <w:r>
        <w:rPr>
          <w:rFonts w:hint="eastAsia" w:ascii="宋体" w:hAnsi="宋体"/>
          <w:b/>
          <w:bCs/>
          <w:color w:val="auto"/>
          <w:sz w:val="21"/>
          <w:szCs w:val="21"/>
          <w:highlight w:val="none"/>
        </w:rPr>
        <w:t>5.磋商开始</w:t>
      </w:r>
      <w:bookmarkEnd w:id="507"/>
      <w:bookmarkEnd w:id="508"/>
      <w:bookmarkEnd w:id="509"/>
      <w:bookmarkEnd w:id="510"/>
      <w:bookmarkEnd w:id="511"/>
      <w:bookmarkEnd w:id="512"/>
      <w:bookmarkStart w:id="513" w:name="_Toc144974528"/>
      <w:bookmarkStart w:id="514" w:name="_Toc20660"/>
      <w:bookmarkStart w:id="515" w:name="_Toc152042336"/>
      <w:bookmarkStart w:id="516" w:name="_Toc455867796"/>
      <w:bookmarkStart w:id="517" w:name="_Toc455080136"/>
      <w:bookmarkStart w:id="518" w:name="_Toc26426"/>
      <w:bookmarkStart w:id="519" w:name="_Toc9969"/>
      <w:bookmarkStart w:id="520" w:name="_Toc490667856"/>
      <w:bookmarkStart w:id="521" w:name="_Toc25533"/>
      <w:bookmarkStart w:id="522" w:name="_Toc14"/>
      <w:bookmarkStart w:id="523" w:name="_Toc6763"/>
      <w:bookmarkStart w:id="524" w:name="_Toc16040"/>
      <w:bookmarkStart w:id="525" w:name="_Toc152045560"/>
      <w:bookmarkStart w:id="526" w:name="_Toc25809"/>
      <w:bookmarkStart w:id="527" w:name="_Toc466298119"/>
      <w:bookmarkStart w:id="528" w:name="_Toc20333"/>
      <w:bookmarkStart w:id="529" w:name="_Toc318450703"/>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14:paraId="4366D9F7">
      <w:pPr>
        <w:spacing w:line="440" w:lineRule="exact"/>
        <w:ind w:firstLine="422" w:firstLineChars="200"/>
        <w:rPr>
          <w:rFonts w:hint="eastAsia" w:ascii="宋体" w:hAnsi="宋体"/>
          <w:b/>
          <w:bCs/>
          <w:color w:val="auto"/>
          <w:sz w:val="21"/>
          <w:szCs w:val="21"/>
          <w:highlight w:val="none"/>
        </w:rPr>
      </w:pPr>
      <w:bookmarkStart w:id="530" w:name="_Toc22733"/>
      <w:bookmarkStart w:id="531" w:name="_Toc30643"/>
      <w:bookmarkStart w:id="532" w:name="_Toc291"/>
      <w:bookmarkStart w:id="533" w:name="_Toc31733"/>
      <w:r>
        <w:rPr>
          <w:rFonts w:hint="eastAsia" w:ascii="宋体" w:hAnsi="宋体"/>
          <w:b/>
          <w:bCs/>
          <w:color w:val="auto"/>
          <w:sz w:val="21"/>
          <w:szCs w:val="21"/>
          <w:highlight w:val="none"/>
        </w:rPr>
        <w:t>5.1 磋商时间和地点</w:t>
      </w:r>
      <w:bookmarkEnd w:id="530"/>
      <w:bookmarkEnd w:id="531"/>
      <w:bookmarkEnd w:id="532"/>
      <w:bookmarkEnd w:id="533"/>
    </w:p>
    <w:p w14:paraId="00842A80">
      <w:pPr>
        <w:spacing w:line="440" w:lineRule="exact"/>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5.1.1 采购人在本章规定的投标截止时间（</w:t>
      </w:r>
      <w:r>
        <w:rPr>
          <w:rFonts w:hint="eastAsia" w:ascii="宋体" w:hAnsi="宋体"/>
          <w:b/>
          <w:bCs/>
          <w:color w:val="auto"/>
          <w:sz w:val="21"/>
          <w:szCs w:val="21"/>
          <w:highlight w:val="none"/>
          <w:lang w:eastAsia="zh-CN"/>
        </w:rPr>
        <w:t>开标</w:t>
      </w:r>
      <w:r>
        <w:rPr>
          <w:rFonts w:hint="eastAsia" w:ascii="宋体" w:hAnsi="宋体"/>
          <w:b/>
          <w:bCs/>
          <w:color w:val="auto"/>
          <w:sz w:val="21"/>
          <w:szCs w:val="21"/>
          <w:highlight w:val="none"/>
        </w:rPr>
        <w:t>时间）和</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rPr>
        <w:t>须知前附表规定的地点开标。</w:t>
      </w:r>
    </w:p>
    <w:p w14:paraId="3FE0EF5F">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rPr>
        <w:t xml:space="preserve">5.1.2 </w:t>
      </w:r>
      <w:r>
        <w:rPr>
          <w:rFonts w:hint="eastAsia" w:ascii="宋体" w:hAnsi="宋体"/>
          <w:b/>
          <w:bCs/>
          <w:color w:val="auto"/>
          <w:sz w:val="21"/>
          <w:szCs w:val="21"/>
          <w:highlight w:val="none"/>
          <w:lang w:val="en-US" w:eastAsia="zh-CN"/>
        </w:rPr>
        <w:t xml:space="preserve">本项目采用“不见面开标”交易方式，不见面开标大厅网址为 </w:t>
      </w:r>
      <w:r>
        <w:rPr>
          <w:rFonts w:hint="eastAsia" w:ascii="宋体" w:hAnsi="宋体"/>
          <w:b/>
          <w:bCs/>
          <w:color w:val="auto"/>
          <w:sz w:val="21"/>
          <w:szCs w:val="21"/>
          <w:highlight w:val="none"/>
          <w:lang w:val="en-US" w:eastAsia="zh-CN"/>
        </w:rPr>
        <w:fldChar w:fldCharType="begin"/>
      </w:r>
      <w:r>
        <w:rPr>
          <w:rFonts w:hint="eastAsia" w:ascii="宋体" w:hAnsi="宋体"/>
          <w:b/>
          <w:bCs/>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highlight w:val="none"/>
          <w:lang w:val="en-US" w:eastAsia="zh-CN"/>
        </w:rPr>
        <w:fldChar w:fldCharType="separate"/>
      </w:r>
      <w:r>
        <w:rPr>
          <w:rFonts w:hint="eastAsia" w:ascii="宋体" w:hAnsi="宋体"/>
          <w:b/>
          <w:bCs/>
          <w:color w:val="auto"/>
          <w:sz w:val="21"/>
          <w:szCs w:val="21"/>
          <w:highlight w:val="none"/>
          <w:lang w:val="en-US" w:eastAsia="zh-CN"/>
        </w:rPr>
        <w:t>https://ggzyjy.xinyang.gov.cn/BidOpening，供应商无需寄送和递交</w:t>
      </w:r>
      <w:r>
        <w:rPr>
          <w:rFonts w:hint="eastAsia" w:ascii="宋体" w:hAnsi="宋体"/>
          <w:b/>
          <w:bCs/>
          <w:color w:val="auto"/>
          <w:sz w:val="21"/>
          <w:szCs w:val="21"/>
          <w:highlight w:val="none"/>
        </w:rPr>
        <w:t>非加密的电子</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lang w:val="en-US" w:eastAsia="zh-CN"/>
        </w:rPr>
        <w:t>无需到现场参加开标会议，无需到达现场提交原件资料。</w:t>
      </w:r>
      <w:r>
        <w:rPr>
          <w:rFonts w:hint="eastAsia" w:ascii="宋体" w:hAnsi="宋体"/>
          <w:b/>
          <w:bCs/>
          <w:color w:val="auto"/>
          <w:sz w:val="21"/>
          <w:szCs w:val="21"/>
          <w:highlight w:val="none"/>
          <w:lang w:val="en-US" w:eastAsia="zh-CN"/>
        </w:rPr>
        <w:fldChar w:fldCharType="end"/>
      </w:r>
    </w:p>
    <w:p w14:paraId="5577E2FD">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供应商应当在响应文件提交截止时间前，使用供应商CA数字证书登录不见面开标大厅，在线签到并准时参加开标活动，并在规定时间内完成响应文件解密、答疑澄清等。</w:t>
      </w:r>
    </w:p>
    <w:p w14:paraId="01C2490B">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B13EC77">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不见面开标服务的具体事宜，请查阅信阳市公共资源交易中心网站首页—下载中心—信阳市不见面开标大厅系统操作手册 。</w:t>
      </w:r>
    </w:p>
    <w:p w14:paraId="3C1475BD">
      <w:pPr>
        <w:spacing w:line="440" w:lineRule="exact"/>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开标</w:t>
      </w:r>
      <w:r>
        <w:rPr>
          <w:rFonts w:hint="eastAsia" w:ascii="宋体" w:hAnsi="宋体"/>
          <w:b/>
          <w:bCs/>
          <w:color w:val="auto"/>
          <w:sz w:val="21"/>
          <w:szCs w:val="21"/>
          <w:highlight w:val="none"/>
          <w:lang w:eastAsia="zh-CN"/>
        </w:rPr>
        <w:t>过程中</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rPr>
        <w:t>如有异议，须</w:t>
      </w:r>
      <w:r>
        <w:rPr>
          <w:rFonts w:hint="eastAsia" w:ascii="宋体" w:hAnsi="宋体"/>
          <w:b/>
          <w:bCs/>
          <w:color w:val="auto"/>
          <w:sz w:val="21"/>
          <w:szCs w:val="21"/>
          <w:highlight w:val="none"/>
          <w:lang w:eastAsia="zh-CN"/>
        </w:rPr>
        <w:t>在开标结束前</w:t>
      </w:r>
      <w:r>
        <w:rPr>
          <w:rFonts w:hint="eastAsia" w:ascii="宋体" w:hAnsi="宋体"/>
          <w:b/>
          <w:bCs/>
          <w:color w:val="auto"/>
          <w:sz w:val="21"/>
          <w:szCs w:val="21"/>
          <w:highlight w:val="none"/>
        </w:rPr>
        <w:t>通过系统提出，否则视同</w:t>
      </w:r>
      <w:r>
        <w:rPr>
          <w:rFonts w:hint="eastAsia" w:ascii="宋体" w:hAnsi="宋体"/>
          <w:b/>
          <w:bCs/>
          <w:color w:val="auto"/>
          <w:sz w:val="21"/>
          <w:szCs w:val="21"/>
          <w:highlight w:val="none"/>
          <w:lang w:eastAsia="zh-CN"/>
        </w:rPr>
        <w:t>认可</w:t>
      </w:r>
      <w:r>
        <w:rPr>
          <w:rFonts w:hint="eastAsia" w:ascii="宋体" w:hAnsi="宋体"/>
          <w:b/>
          <w:bCs/>
          <w:color w:val="auto"/>
          <w:sz w:val="21"/>
          <w:szCs w:val="21"/>
          <w:highlight w:val="none"/>
        </w:rPr>
        <w:t>开标记录</w:t>
      </w:r>
      <w:r>
        <w:rPr>
          <w:rFonts w:hint="eastAsia" w:ascii="宋体" w:hAnsi="宋体"/>
          <w:b/>
          <w:bCs/>
          <w:color w:val="auto"/>
          <w:sz w:val="21"/>
          <w:szCs w:val="21"/>
          <w:highlight w:val="none"/>
          <w:lang w:eastAsia="zh-CN"/>
        </w:rPr>
        <w:t>。开标结束后，</w:t>
      </w:r>
      <w:r>
        <w:rPr>
          <w:rFonts w:hint="eastAsia" w:ascii="宋体" w:hAnsi="宋体"/>
          <w:b/>
          <w:bCs/>
          <w:color w:val="auto"/>
          <w:sz w:val="21"/>
          <w:szCs w:val="21"/>
          <w:highlight w:val="none"/>
        </w:rPr>
        <w:t>对开标记录</w:t>
      </w:r>
      <w:r>
        <w:rPr>
          <w:rFonts w:hint="eastAsia" w:ascii="宋体" w:hAnsi="宋体"/>
          <w:b/>
          <w:bCs/>
          <w:color w:val="auto"/>
          <w:sz w:val="21"/>
          <w:szCs w:val="21"/>
          <w:highlight w:val="none"/>
          <w:lang w:eastAsia="zh-CN"/>
        </w:rPr>
        <w:t>的</w:t>
      </w:r>
      <w:r>
        <w:rPr>
          <w:rFonts w:hint="eastAsia" w:ascii="宋体" w:hAnsi="宋体"/>
          <w:b/>
          <w:bCs/>
          <w:color w:val="auto"/>
          <w:sz w:val="21"/>
          <w:szCs w:val="21"/>
          <w:highlight w:val="none"/>
        </w:rPr>
        <w:t>任何异议</w:t>
      </w:r>
      <w:r>
        <w:rPr>
          <w:rFonts w:hint="eastAsia" w:ascii="宋体" w:hAnsi="宋体"/>
          <w:b/>
          <w:bCs/>
          <w:color w:val="auto"/>
          <w:sz w:val="21"/>
          <w:szCs w:val="21"/>
          <w:highlight w:val="none"/>
          <w:lang w:eastAsia="zh-CN"/>
        </w:rPr>
        <w:t>不再接受</w:t>
      </w:r>
      <w:r>
        <w:rPr>
          <w:rFonts w:hint="eastAsia" w:ascii="宋体" w:hAnsi="宋体"/>
          <w:b/>
          <w:bCs/>
          <w:color w:val="auto"/>
          <w:sz w:val="21"/>
          <w:szCs w:val="21"/>
          <w:highlight w:val="none"/>
        </w:rPr>
        <w:t xml:space="preserve">。 </w:t>
      </w:r>
    </w:p>
    <w:p w14:paraId="02092775">
      <w:pPr>
        <w:pStyle w:val="63"/>
        <w:spacing w:line="360" w:lineRule="auto"/>
        <w:outlineLvl w:val="0"/>
        <w:rPr>
          <w:rFonts w:hint="eastAsia" w:ascii="宋体" w:hAnsi="宋体" w:eastAsia="宋体"/>
          <w:b/>
          <w:bCs/>
          <w:color w:val="auto"/>
          <w:sz w:val="21"/>
          <w:szCs w:val="21"/>
          <w:highlight w:val="none"/>
        </w:rPr>
      </w:pPr>
      <w:bookmarkStart w:id="534" w:name="_Toc19887"/>
      <w:bookmarkStart w:id="535" w:name="_Toc13188"/>
      <w:r>
        <w:rPr>
          <w:rFonts w:hint="eastAsia" w:ascii="宋体" w:hAnsi="宋体" w:eastAsia="宋体"/>
          <w:b/>
          <w:bCs/>
          <w:color w:val="auto"/>
          <w:sz w:val="21"/>
          <w:szCs w:val="21"/>
          <w:highlight w:val="none"/>
        </w:rPr>
        <w:t>5.2 磋商程序</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534"/>
      <w:bookmarkEnd w:id="535"/>
    </w:p>
    <w:p w14:paraId="1FBEC8EC">
      <w:pPr>
        <w:spacing w:line="360" w:lineRule="auto"/>
        <w:ind w:firstLine="420" w:firstLineChars="200"/>
        <w:rPr>
          <w:rFonts w:hint="eastAsia" w:ascii="宋体" w:hAnsi="宋体" w:cs="宋体"/>
          <w:color w:val="auto"/>
          <w:szCs w:val="21"/>
          <w:highlight w:val="none"/>
          <w:lang w:val="en-US" w:eastAsia="zh-CN"/>
        </w:rPr>
      </w:pPr>
      <w:bookmarkStart w:id="536" w:name="_Toc30403"/>
      <w:bookmarkStart w:id="537" w:name="_Toc152045562"/>
      <w:bookmarkStart w:id="538" w:name="_Toc144974530"/>
      <w:bookmarkStart w:id="539" w:name="_Toc152042338"/>
      <w:r>
        <w:rPr>
          <w:rFonts w:hint="eastAsia" w:ascii="宋体" w:hAnsi="宋体" w:cs="宋体"/>
          <w:color w:val="auto"/>
          <w:szCs w:val="21"/>
          <w:highlight w:val="none"/>
          <w:lang w:val="en-US" w:eastAsia="zh-CN"/>
        </w:rPr>
        <w:t>5.2.1磋商小组对竞争性磋商文件进行熟悉确认。</w:t>
      </w:r>
      <w:bookmarkEnd w:id="536"/>
    </w:p>
    <w:p w14:paraId="6A15C2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5.2.2磋商小组推选组长，讨论、通过磋商工作流程和磋商要点。</w:t>
      </w:r>
    </w:p>
    <w:p w14:paraId="10AAFE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资格评审审查：采购人依据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供应商进行审查，以确定磋商供应商是否具备参与磋商的资格。</w:t>
      </w:r>
    </w:p>
    <w:p w14:paraId="439151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符合性</w:t>
      </w:r>
      <w:r>
        <w:rPr>
          <w:rFonts w:hint="eastAsia" w:ascii="宋体" w:hAnsi="宋体" w:cs="宋体"/>
          <w:color w:val="auto"/>
          <w:szCs w:val="21"/>
          <w:highlight w:val="none"/>
        </w:rPr>
        <w:t>评审审查：磋商开始后，磋商小组依据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规定，对通过资格评审的供应商进行审查，以确定磋商供应商是否具备参与磋商的资格。</w:t>
      </w:r>
    </w:p>
    <w:p w14:paraId="21BA41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磋商小组对通过资格性和符合性审查的响应文件进行评估，确定与各竞标人磋商的具体内容。</w:t>
      </w:r>
    </w:p>
    <w:p w14:paraId="5978F0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5.2.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磋商过程中，磋商小组可以根据磋商情况实质性变动招标需求中的技术、服务要求以及合同草案条款，但不得变动</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中的其他内容。实质性变动的内容需经采购人(业主)代表确认。并以书面形式通知所有参加磋商的供应商，该变动是</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的有效组成部分。供应商应当按照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4773E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磋商小组对符合招标需求的供应商进行两轮报价；供应商只有通过资格评审</w:t>
      </w:r>
      <w:r>
        <w:rPr>
          <w:rFonts w:hint="eastAsia" w:ascii="宋体" w:hAnsi="宋体" w:cs="宋体"/>
          <w:color w:val="auto"/>
          <w:szCs w:val="21"/>
          <w:highlight w:val="none"/>
          <w:lang w:eastAsia="zh-CN"/>
        </w:rPr>
        <w:t>及符合性</w:t>
      </w:r>
      <w:r>
        <w:rPr>
          <w:rFonts w:hint="eastAsia" w:ascii="宋体" w:hAnsi="宋体" w:cs="宋体"/>
          <w:color w:val="auto"/>
          <w:szCs w:val="21"/>
          <w:highlight w:val="none"/>
        </w:rPr>
        <w:t>评审后方可进入下一轮报价，在规定的时间内同时提交报价，最终报价不得超过响应文件中报价。</w:t>
      </w:r>
    </w:p>
    <w:p w14:paraId="7CFB72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经磋商确定最终招标需求，由磋商小组采用综合评分法对通过初步评审的供应商的响应文件进行综合评分。</w:t>
      </w:r>
    </w:p>
    <w:p w14:paraId="6F28541D">
      <w:pPr>
        <w:pStyle w:val="62"/>
        <w:spacing w:before="0" w:beforeLines="0" w:line="360" w:lineRule="auto"/>
        <w:rPr>
          <w:rFonts w:hint="eastAsia" w:ascii="宋体" w:hAnsi="宋体" w:eastAsia="宋体"/>
          <w:b/>
          <w:bCs/>
          <w:color w:val="auto"/>
          <w:sz w:val="21"/>
          <w:szCs w:val="21"/>
          <w:highlight w:val="none"/>
        </w:rPr>
      </w:pPr>
      <w:bookmarkStart w:id="540" w:name="_Toc455080138"/>
      <w:bookmarkStart w:id="541" w:name="_Toc14039"/>
      <w:bookmarkStart w:id="542" w:name="_Toc19509"/>
      <w:bookmarkStart w:id="543" w:name="_Toc4770"/>
      <w:r>
        <w:rPr>
          <w:rFonts w:hint="eastAsia" w:ascii="宋体" w:hAnsi="宋体" w:eastAsia="宋体"/>
          <w:b/>
          <w:bCs/>
          <w:color w:val="auto"/>
          <w:sz w:val="21"/>
          <w:szCs w:val="21"/>
          <w:highlight w:val="none"/>
        </w:rPr>
        <w:t xml:space="preserve">6. </w:t>
      </w:r>
      <w:bookmarkEnd w:id="537"/>
      <w:bookmarkEnd w:id="538"/>
      <w:bookmarkEnd w:id="539"/>
      <w:r>
        <w:rPr>
          <w:rFonts w:hint="eastAsia" w:ascii="宋体" w:hAnsi="宋体" w:eastAsia="宋体"/>
          <w:b/>
          <w:bCs/>
          <w:color w:val="auto"/>
          <w:sz w:val="21"/>
          <w:szCs w:val="21"/>
          <w:highlight w:val="none"/>
        </w:rPr>
        <w:t>磋商</w:t>
      </w:r>
      <w:bookmarkEnd w:id="540"/>
      <w:r>
        <w:rPr>
          <w:rFonts w:hint="eastAsia" w:ascii="宋体" w:hAnsi="宋体" w:eastAsia="宋体"/>
          <w:b/>
          <w:bCs/>
          <w:color w:val="auto"/>
          <w:sz w:val="21"/>
          <w:szCs w:val="21"/>
          <w:highlight w:val="none"/>
        </w:rPr>
        <w:t>小组</w:t>
      </w:r>
      <w:bookmarkEnd w:id="541"/>
      <w:bookmarkEnd w:id="542"/>
      <w:bookmarkEnd w:id="543"/>
    </w:p>
    <w:p w14:paraId="1EC4A99A">
      <w:pPr>
        <w:pStyle w:val="63"/>
        <w:spacing w:line="360" w:lineRule="auto"/>
        <w:outlineLvl w:val="0"/>
        <w:rPr>
          <w:rFonts w:hint="eastAsia" w:ascii="宋体" w:hAnsi="宋体" w:eastAsia="宋体"/>
          <w:b/>
          <w:bCs/>
          <w:color w:val="auto"/>
          <w:sz w:val="21"/>
          <w:szCs w:val="21"/>
          <w:highlight w:val="none"/>
        </w:rPr>
      </w:pPr>
      <w:bookmarkStart w:id="544" w:name="_Toc26098"/>
      <w:bookmarkStart w:id="545" w:name="_Toc22250"/>
      <w:bookmarkStart w:id="546" w:name="_Toc9808"/>
      <w:bookmarkStart w:id="547" w:name="_Toc318450706"/>
      <w:bookmarkStart w:id="548" w:name="_Toc152042339"/>
      <w:bookmarkStart w:id="549" w:name="_Toc152045563"/>
      <w:bookmarkStart w:id="550" w:name="_Toc144974531"/>
      <w:bookmarkStart w:id="551" w:name="_Toc13978"/>
      <w:bookmarkStart w:id="552" w:name="_Toc490667859"/>
      <w:bookmarkStart w:id="553" w:name="_Toc1546"/>
      <w:bookmarkStart w:id="554" w:name="_Toc8725"/>
      <w:bookmarkStart w:id="555" w:name="_Toc23138"/>
      <w:bookmarkStart w:id="556" w:name="_Toc8157"/>
      <w:bookmarkStart w:id="557" w:name="_Toc18985"/>
      <w:bookmarkStart w:id="558" w:name="_Toc6195"/>
      <w:bookmarkStart w:id="559" w:name="_Toc12533"/>
      <w:bookmarkStart w:id="560" w:name="_Toc1574"/>
      <w:bookmarkStart w:id="561" w:name="_Toc466298122"/>
      <w:bookmarkStart w:id="562" w:name="_Toc455080139"/>
      <w:bookmarkStart w:id="563" w:name="_Toc455867799"/>
      <w:r>
        <w:rPr>
          <w:rFonts w:hint="eastAsia" w:ascii="宋体" w:hAnsi="宋体" w:eastAsia="宋体"/>
          <w:b/>
          <w:bCs/>
          <w:color w:val="auto"/>
          <w:sz w:val="21"/>
          <w:szCs w:val="21"/>
          <w:highlight w:val="none"/>
        </w:rPr>
        <w:t>6.1</w:t>
      </w:r>
      <w:bookmarkEnd w:id="544"/>
      <w:bookmarkEnd w:id="545"/>
      <w:bookmarkEnd w:id="546"/>
      <w:bookmarkEnd w:id="547"/>
      <w:bookmarkEnd w:id="548"/>
      <w:bookmarkEnd w:id="549"/>
      <w:bookmarkEnd w:id="550"/>
      <w:r>
        <w:rPr>
          <w:rFonts w:hint="eastAsia" w:ascii="宋体" w:hAnsi="宋体" w:eastAsia="宋体"/>
          <w:b/>
          <w:bCs/>
          <w:color w:val="auto"/>
          <w:sz w:val="21"/>
          <w:szCs w:val="21"/>
          <w:highlight w:val="none"/>
        </w:rPr>
        <w:t>磋商小组</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303F24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1E2D8B55">
      <w:pPr>
        <w:pStyle w:val="63"/>
        <w:tabs>
          <w:tab w:val="left" w:pos="2620"/>
        </w:tabs>
        <w:spacing w:line="360" w:lineRule="auto"/>
        <w:outlineLvl w:val="0"/>
        <w:rPr>
          <w:rFonts w:hint="eastAsia" w:ascii="宋体" w:hAnsi="宋体" w:eastAsia="宋体"/>
          <w:b/>
          <w:bCs/>
          <w:color w:val="auto"/>
          <w:sz w:val="21"/>
          <w:szCs w:val="21"/>
          <w:highlight w:val="none"/>
        </w:rPr>
      </w:pPr>
      <w:bookmarkStart w:id="564" w:name="_Toc8248"/>
      <w:bookmarkStart w:id="565" w:name="_Toc9532"/>
      <w:bookmarkStart w:id="566" w:name="_Toc152045564"/>
      <w:bookmarkStart w:id="567" w:name="_Toc8240"/>
      <w:bookmarkStart w:id="568" w:name="_Toc13368"/>
      <w:bookmarkStart w:id="569" w:name="_Toc22143"/>
      <w:bookmarkStart w:id="570" w:name="_Toc21102"/>
      <w:bookmarkStart w:id="571" w:name="_Toc27035"/>
      <w:bookmarkStart w:id="572" w:name="_Toc1315"/>
      <w:bookmarkStart w:id="573" w:name="_Toc318450707"/>
      <w:bookmarkStart w:id="574" w:name="_Toc21497"/>
      <w:bookmarkStart w:id="575" w:name="_Toc455080140"/>
      <w:bookmarkStart w:id="576" w:name="_Toc490667860"/>
      <w:bookmarkStart w:id="577" w:name="_Toc25721"/>
      <w:bookmarkStart w:id="578" w:name="_Toc4435"/>
      <w:bookmarkStart w:id="579" w:name="_Toc466298123"/>
      <w:bookmarkStart w:id="580" w:name="_Toc455867800"/>
      <w:bookmarkStart w:id="581" w:name="_Toc144974532"/>
      <w:bookmarkStart w:id="582" w:name="_Toc152042340"/>
      <w:bookmarkStart w:id="583" w:name="_Toc7286"/>
      <w:r>
        <w:rPr>
          <w:rFonts w:hint="eastAsia" w:ascii="宋体" w:hAnsi="宋体" w:eastAsia="宋体"/>
          <w:b/>
          <w:bCs/>
          <w:color w:val="auto"/>
          <w:sz w:val="21"/>
          <w:szCs w:val="21"/>
          <w:highlight w:val="none"/>
        </w:rPr>
        <w:t>6.2 磋商原则</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89196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76046BC5">
      <w:pPr>
        <w:pStyle w:val="63"/>
        <w:spacing w:line="360" w:lineRule="auto"/>
        <w:outlineLvl w:val="0"/>
        <w:rPr>
          <w:rFonts w:hint="eastAsia" w:ascii="宋体" w:hAnsi="宋体" w:eastAsia="宋体"/>
          <w:color w:val="auto"/>
          <w:sz w:val="21"/>
          <w:szCs w:val="21"/>
          <w:highlight w:val="none"/>
        </w:rPr>
      </w:pPr>
      <w:bookmarkStart w:id="584" w:name="_Toc15595"/>
      <w:bookmarkStart w:id="585" w:name="_Toc152042341"/>
      <w:bookmarkStart w:id="586" w:name="_Toc8705"/>
      <w:bookmarkStart w:id="587" w:name="_Toc152045565"/>
      <w:bookmarkStart w:id="588" w:name="_Toc16725"/>
      <w:bookmarkStart w:id="589" w:name="_Toc144974533"/>
      <w:bookmarkStart w:id="590" w:name="_Toc318450708"/>
      <w:bookmarkStart w:id="591" w:name="_Toc28734"/>
      <w:bookmarkStart w:id="592" w:name="_Toc455080141"/>
      <w:bookmarkStart w:id="593" w:name="_Toc20062"/>
      <w:bookmarkStart w:id="594" w:name="_Toc466298124"/>
      <w:bookmarkStart w:id="595" w:name="_Toc22294"/>
      <w:bookmarkStart w:id="596" w:name="_Toc490667861"/>
      <w:bookmarkStart w:id="597" w:name="_Toc3606"/>
      <w:bookmarkStart w:id="598" w:name="_Toc455867801"/>
      <w:bookmarkStart w:id="599" w:name="_Toc27036"/>
      <w:bookmarkStart w:id="600" w:name="_Toc23446"/>
      <w:bookmarkStart w:id="601" w:name="_Toc18756"/>
      <w:bookmarkStart w:id="602" w:name="_Toc7890"/>
      <w:bookmarkStart w:id="603" w:name="_Toc24358"/>
      <w:r>
        <w:rPr>
          <w:rFonts w:hint="eastAsia" w:ascii="宋体" w:hAnsi="宋体" w:eastAsia="宋体"/>
          <w:b/>
          <w:bCs/>
          <w:color w:val="auto"/>
          <w:sz w:val="21"/>
          <w:szCs w:val="21"/>
          <w:highlight w:val="none"/>
        </w:rPr>
        <w:t xml:space="preserve">6.3 </w:t>
      </w:r>
      <w:bookmarkEnd w:id="584"/>
      <w:bookmarkEnd w:id="585"/>
      <w:bookmarkEnd w:id="586"/>
      <w:bookmarkEnd w:id="587"/>
      <w:bookmarkEnd w:id="588"/>
      <w:bookmarkEnd w:id="589"/>
      <w:bookmarkEnd w:id="590"/>
      <w:r>
        <w:rPr>
          <w:rFonts w:hint="eastAsia" w:ascii="宋体" w:hAnsi="宋体" w:eastAsia="宋体"/>
          <w:b/>
          <w:bCs/>
          <w:color w:val="auto"/>
          <w:sz w:val="21"/>
          <w:szCs w:val="21"/>
          <w:highlight w:val="none"/>
        </w:rPr>
        <w:t>磋商</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6EABC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14:paraId="6E1CE9BD">
      <w:pPr>
        <w:pStyle w:val="62"/>
        <w:spacing w:before="0" w:beforeLines="0" w:line="360" w:lineRule="auto"/>
        <w:rPr>
          <w:rFonts w:hint="eastAsia" w:ascii="宋体" w:hAnsi="宋体" w:eastAsia="宋体"/>
          <w:b/>
          <w:bCs/>
          <w:color w:val="auto"/>
          <w:sz w:val="21"/>
          <w:szCs w:val="21"/>
          <w:highlight w:val="none"/>
        </w:rPr>
      </w:pPr>
      <w:bookmarkStart w:id="604" w:name="_Toc9522"/>
      <w:bookmarkStart w:id="605" w:name="_Toc152045566"/>
      <w:bookmarkStart w:id="606" w:name="_Toc152042342"/>
      <w:bookmarkStart w:id="607" w:name="_Toc8693"/>
      <w:bookmarkStart w:id="608" w:name="_Toc1380"/>
      <w:bookmarkStart w:id="609" w:name="_Toc455080142"/>
      <w:bookmarkStart w:id="610" w:name="_Toc144974534"/>
      <w:r>
        <w:rPr>
          <w:rFonts w:hint="eastAsia" w:ascii="宋体" w:hAnsi="宋体" w:eastAsia="宋体"/>
          <w:b/>
          <w:bCs/>
          <w:color w:val="auto"/>
          <w:sz w:val="21"/>
          <w:szCs w:val="21"/>
          <w:highlight w:val="none"/>
        </w:rPr>
        <w:t>7. 合同授予</w:t>
      </w:r>
      <w:bookmarkEnd w:id="604"/>
      <w:bookmarkEnd w:id="605"/>
      <w:bookmarkEnd w:id="606"/>
      <w:bookmarkEnd w:id="607"/>
      <w:bookmarkEnd w:id="608"/>
      <w:bookmarkEnd w:id="609"/>
      <w:bookmarkEnd w:id="610"/>
    </w:p>
    <w:p w14:paraId="6A75E70A">
      <w:pPr>
        <w:pStyle w:val="63"/>
        <w:spacing w:line="360" w:lineRule="auto"/>
        <w:outlineLvl w:val="0"/>
        <w:rPr>
          <w:rFonts w:hint="eastAsia" w:ascii="宋体" w:hAnsi="宋体" w:eastAsia="宋体"/>
          <w:b/>
          <w:bCs/>
          <w:color w:val="auto"/>
          <w:sz w:val="21"/>
          <w:szCs w:val="21"/>
          <w:highlight w:val="none"/>
        </w:rPr>
      </w:pPr>
      <w:bookmarkStart w:id="611" w:name="_Toc318450710"/>
      <w:bookmarkStart w:id="612" w:name="_Toc12725"/>
      <w:bookmarkStart w:id="613" w:name="_Toc14528"/>
      <w:bookmarkStart w:id="614" w:name="_Toc455080143"/>
      <w:bookmarkStart w:id="615" w:name="_Toc22461"/>
      <w:bookmarkStart w:id="616" w:name="_Toc152045567"/>
      <w:bookmarkStart w:id="617" w:name="_Toc466298126"/>
      <w:bookmarkStart w:id="618" w:name="_Toc25316"/>
      <w:bookmarkStart w:id="619" w:name="_Toc490667863"/>
      <w:bookmarkStart w:id="620" w:name="_Toc144974535"/>
      <w:bookmarkStart w:id="621" w:name="_Toc29664"/>
      <w:bookmarkStart w:id="622" w:name="_Toc20777"/>
      <w:bookmarkStart w:id="623" w:name="_Toc455867803"/>
      <w:bookmarkStart w:id="624" w:name="_Toc152042343"/>
      <w:bookmarkStart w:id="625" w:name="_Toc7358"/>
      <w:bookmarkStart w:id="626" w:name="_Toc15009"/>
      <w:bookmarkStart w:id="627" w:name="_Toc11409"/>
      <w:bookmarkStart w:id="628" w:name="_Toc29686"/>
      <w:bookmarkStart w:id="629" w:name="_Toc28919"/>
      <w:bookmarkStart w:id="630" w:name="_Toc17660"/>
      <w:r>
        <w:rPr>
          <w:rFonts w:hint="eastAsia" w:ascii="宋体" w:hAnsi="宋体" w:eastAsia="宋体"/>
          <w:b/>
          <w:bCs/>
          <w:color w:val="auto"/>
          <w:sz w:val="21"/>
          <w:szCs w:val="21"/>
          <w:highlight w:val="none"/>
        </w:rPr>
        <w:t>7.1 定标方式</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DF51219">
      <w:pPr>
        <w:spacing w:line="360" w:lineRule="auto"/>
        <w:ind w:firstLine="420" w:firstLineChars="200"/>
        <w:rPr>
          <w:rFonts w:hint="eastAsia" w:ascii="宋体" w:hAnsi="宋体" w:cs="宋体"/>
          <w:color w:val="auto"/>
          <w:szCs w:val="21"/>
          <w:highlight w:val="none"/>
        </w:rPr>
      </w:pPr>
      <w:bookmarkStart w:id="631" w:name="_Toc10868"/>
      <w:bookmarkStart w:id="632" w:name="_Toc28254"/>
      <w:bookmarkStart w:id="633" w:name="_Toc152042344"/>
      <w:bookmarkStart w:id="634" w:name="_Toc144974536"/>
      <w:bookmarkStart w:id="635" w:name="_Toc318450711"/>
      <w:bookmarkStart w:id="636" w:name="_Toc152045568"/>
      <w:bookmarkStart w:id="637" w:name="_Toc7066"/>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要求提交履约保证金，或者被查实存在影响成交结果的违法行为等情形，不符合成交条件的，采购人可以按照磋商小组提出的成交候选人名单排序依次确定其他成交候选人为成交人，也可以重新磋商。</w:t>
      </w:r>
    </w:p>
    <w:p w14:paraId="3919422C">
      <w:pPr>
        <w:pStyle w:val="63"/>
        <w:spacing w:line="360" w:lineRule="auto"/>
        <w:outlineLvl w:val="0"/>
        <w:rPr>
          <w:rFonts w:hint="eastAsia" w:ascii="宋体" w:hAnsi="宋体" w:eastAsia="宋体"/>
          <w:b/>
          <w:bCs/>
          <w:color w:val="auto"/>
          <w:sz w:val="21"/>
          <w:szCs w:val="21"/>
          <w:highlight w:val="none"/>
        </w:rPr>
      </w:pPr>
      <w:bookmarkStart w:id="638" w:name="_Toc16163"/>
      <w:bookmarkStart w:id="639" w:name="_Toc9775"/>
      <w:bookmarkStart w:id="640" w:name="_Toc455867804"/>
      <w:bookmarkStart w:id="641" w:name="_Toc466298127"/>
      <w:bookmarkStart w:id="642" w:name="_Toc15825"/>
      <w:bookmarkStart w:id="643" w:name="_Toc28177"/>
      <w:bookmarkStart w:id="644" w:name="_Toc11395"/>
      <w:bookmarkStart w:id="645" w:name="_Toc455080144"/>
      <w:bookmarkStart w:id="646" w:name="_Toc5428"/>
      <w:bookmarkStart w:id="647" w:name="_Toc4725"/>
      <w:bookmarkStart w:id="648" w:name="_Toc9897"/>
      <w:bookmarkStart w:id="649" w:name="_Toc490667864"/>
      <w:bookmarkStart w:id="650" w:name="_Toc5668"/>
      <w:r>
        <w:rPr>
          <w:rFonts w:hint="eastAsia" w:ascii="宋体" w:hAnsi="宋体" w:eastAsia="宋体"/>
          <w:b/>
          <w:bCs/>
          <w:color w:val="auto"/>
          <w:sz w:val="21"/>
          <w:szCs w:val="21"/>
          <w:highlight w:val="none"/>
        </w:rPr>
        <w:t>7.2 成交通知</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1F70B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在本章第3.3.1款规定的磋商有效期内，采购人以书面形式向成交人发出成交通知书，同时将成交结果通知未成交的供应商。</w:t>
      </w:r>
    </w:p>
    <w:p w14:paraId="08281ADD">
      <w:pPr>
        <w:pageBreakBefore w:val="0"/>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7.3 履约保证金</w:t>
      </w:r>
    </w:p>
    <w:p w14:paraId="73345DD5">
      <w:pPr>
        <w:pStyle w:val="63"/>
        <w:spacing w:line="360" w:lineRule="auto"/>
        <w:outlineLvl w:val="0"/>
        <w:rPr>
          <w:rFonts w:hint="eastAsia" w:ascii="宋体" w:hAnsi="宋体" w:eastAsia="宋体" w:cs="宋体"/>
          <w:b/>
          <w:bCs/>
          <w:color w:val="auto"/>
          <w:sz w:val="21"/>
          <w:szCs w:val="21"/>
          <w:highlight w:val="none"/>
          <w:lang w:val="en-US" w:eastAsia="zh-CN"/>
        </w:rPr>
      </w:pPr>
      <w:bookmarkStart w:id="651" w:name="_Toc1544"/>
      <w:bookmarkStart w:id="652" w:name="_Toc15454"/>
      <w:bookmarkStart w:id="653" w:name="_Toc26655"/>
      <w:bookmarkStart w:id="654" w:name="_Toc144974538"/>
      <w:bookmarkStart w:id="655" w:name="_Toc318450712"/>
      <w:bookmarkStart w:id="656" w:name="_Toc13147"/>
      <w:bookmarkStart w:id="657" w:name="_Toc26760"/>
      <w:bookmarkStart w:id="658" w:name="_Toc24026"/>
      <w:bookmarkStart w:id="659" w:name="_Toc12663"/>
      <w:bookmarkStart w:id="660" w:name="_Toc466298128"/>
      <w:bookmarkStart w:id="661" w:name="_Toc10082"/>
      <w:bookmarkStart w:id="662" w:name="_Toc21271"/>
      <w:bookmarkStart w:id="663" w:name="_Toc152045570"/>
      <w:bookmarkStart w:id="664" w:name="_Toc15458"/>
      <w:bookmarkStart w:id="665" w:name="_Toc26915"/>
      <w:bookmarkStart w:id="666" w:name="_Toc455080145"/>
      <w:bookmarkStart w:id="667" w:name="_Toc152042346"/>
      <w:bookmarkStart w:id="668" w:name="_Toc8886"/>
      <w:bookmarkStart w:id="669" w:name="_Toc490667865"/>
      <w:bookmarkStart w:id="670" w:name="_Toc455867805"/>
      <w:r>
        <w:rPr>
          <w:rFonts w:hint="eastAsia" w:ascii="宋体" w:hAnsi="宋体" w:eastAsia="宋体" w:cs="宋体"/>
          <w:b/>
          <w:bCs/>
          <w:color w:val="auto"/>
          <w:sz w:val="21"/>
          <w:szCs w:val="21"/>
          <w:highlight w:val="none"/>
          <w:lang w:val="en-US" w:eastAsia="zh-CN"/>
        </w:rPr>
        <w:t>免收履约保证金</w:t>
      </w:r>
      <w:bookmarkEnd w:id="651"/>
      <w:bookmarkEnd w:id="652"/>
    </w:p>
    <w:p w14:paraId="73CEF04F">
      <w:pPr>
        <w:pStyle w:val="63"/>
        <w:spacing w:line="360" w:lineRule="auto"/>
        <w:outlineLvl w:val="0"/>
        <w:rPr>
          <w:rFonts w:hint="eastAsia" w:ascii="宋体" w:hAnsi="宋体" w:eastAsia="宋体"/>
          <w:b/>
          <w:bCs/>
          <w:color w:val="auto"/>
          <w:sz w:val="21"/>
          <w:szCs w:val="21"/>
          <w:highlight w:val="none"/>
        </w:rPr>
      </w:pPr>
      <w:bookmarkStart w:id="671" w:name="_Toc9637"/>
      <w:bookmarkStart w:id="672" w:name="_Toc28"/>
      <w:r>
        <w:rPr>
          <w:rFonts w:hint="eastAsia" w:ascii="宋体" w:hAnsi="宋体" w:eastAsia="宋体"/>
          <w:b/>
          <w:bCs/>
          <w:color w:val="auto"/>
          <w:sz w:val="21"/>
          <w:szCs w:val="21"/>
          <w:highlight w:val="none"/>
        </w:rPr>
        <w:t>7.</w:t>
      </w:r>
      <w:r>
        <w:rPr>
          <w:rFonts w:hint="eastAsia" w:ascii="宋体" w:hAnsi="宋体" w:eastAsia="宋体"/>
          <w:b/>
          <w:bCs/>
          <w:color w:val="auto"/>
          <w:sz w:val="21"/>
          <w:szCs w:val="21"/>
          <w:highlight w:val="none"/>
          <w:lang w:val="en-US" w:eastAsia="zh-CN"/>
        </w:rPr>
        <w:t>4</w:t>
      </w:r>
      <w:r>
        <w:rPr>
          <w:rFonts w:hint="eastAsia" w:ascii="宋体" w:hAnsi="宋体" w:eastAsia="宋体"/>
          <w:b/>
          <w:bCs/>
          <w:color w:val="auto"/>
          <w:sz w:val="21"/>
          <w:szCs w:val="21"/>
          <w:highlight w:val="none"/>
        </w:rPr>
        <w:t xml:space="preserve"> 签订合同</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0F786C0">
      <w:pPr>
        <w:spacing w:line="360" w:lineRule="auto"/>
        <w:ind w:firstLine="420" w:firstLineChars="200"/>
        <w:rPr>
          <w:rFonts w:hint="eastAsia" w:ascii="宋体" w:hAnsi="宋体" w:cs="宋体"/>
          <w:color w:val="auto"/>
          <w:szCs w:val="21"/>
          <w:highlight w:val="none"/>
        </w:rPr>
      </w:pPr>
      <w:r>
        <w:rPr>
          <w:rFonts w:hint="eastAsia" w:ascii="宋体" w:hAnsi="宋体" w:cs="宋体"/>
          <w:b w:val="0"/>
          <w:bCs w:val="0"/>
          <w:color w:val="auto"/>
          <w:szCs w:val="21"/>
          <w:highlight w:val="none"/>
        </w:rPr>
        <w:t>7.</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.1采购人和成交人应当自成交通知书发出之日起</w:t>
      </w:r>
      <w:r>
        <w:rPr>
          <w:rFonts w:hint="eastAsia" w:ascii="宋体" w:hAnsi="宋体" w:cs="宋体"/>
          <w:b w:val="0"/>
          <w:bCs w:val="0"/>
          <w:color w:val="auto"/>
          <w:szCs w:val="21"/>
          <w:highlight w:val="none"/>
          <w:lang w:val="en-US" w:eastAsia="zh-CN"/>
        </w:rPr>
        <w:t>2-7</w:t>
      </w:r>
      <w:r>
        <w:rPr>
          <w:rFonts w:hint="eastAsia" w:ascii="宋体" w:hAnsi="宋体" w:cs="宋体"/>
          <w:b w:val="0"/>
          <w:bCs w:val="0"/>
          <w:color w:val="auto"/>
          <w:szCs w:val="21"/>
          <w:highlight w:val="none"/>
        </w:rPr>
        <w:t>天内，根据</w:t>
      </w:r>
      <w:r>
        <w:rPr>
          <w:rFonts w:hint="eastAsia" w:ascii="宋体" w:hAnsi="宋体" w:cs="宋体"/>
          <w:b w:val="0"/>
          <w:bCs w:val="0"/>
          <w:color w:val="auto"/>
          <w:szCs w:val="21"/>
          <w:highlight w:val="none"/>
          <w:lang w:eastAsia="zh-CN"/>
        </w:rPr>
        <w:t>竞争性磋商文件</w:t>
      </w:r>
      <w:r>
        <w:rPr>
          <w:rFonts w:hint="eastAsia" w:ascii="宋体" w:hAnsi="宋体" w:cs="宋体"/>
          <w:b w:val="0"/>
          <w:bCs w:val="0"/>
          <w:color w:val="auto"/>
          <w:szCs w:val="21"/>
          <w:highlight w:val="none"/>
        </w:rPr>
        <w:t>和成交人的响应文件订立书面合同。成交人无正当理由拒签合同的，采购人取消其成交资格，其磋商保证金不予</w:t>
      </w:r>
      <w:r>
        <w:rPr>
          <w:rFonts w:hint="eastAsia" w:ascii="宋体" w:hAnsi="宋体" w:cs="宋体"/>
          <w:color w:val="auto"/>
          <w:szCs w:val="21"/>
          <w:highlight w:val="none"/>
        </w:rPr>
        <w:t xml:space="preserve">退还；给采购人造成的损失超过磋商保证金数额的，成交人还应当对超过部分予以赔偿。 </w:t>
      </w:r>
    </w:p>
    <w:p w14:paraId="5DBC32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.2 发出成交通知书后，采购人无正当理由拒签合同的，采购人向成交人退还磋商保证金；给成交人造成损失的，还应当赔偿损失。 </w:t>
      </w:r>
      <w:bookmarkStart w:id="673" w:name="_Toc152042350"/>
      <w:bookmarkStart w:id="674" w:name="_Toc152045574"/>
      <w:bookmarkStart w:id="675" w:name="_Toc144974542"/>
    </w:p>
    <w:p w14:paraId="66DEA785">
      <w:pPr>
        <w:pStyle w:val="62"/>
        <w:spacing w:before="0" w:beforeLines="0" w:line="360" w:lineRule="auto"/>
        <w:rPr>
          <w:rFonts w:hint="eastAsia" w:ascii="宋体" w:hAnsi="宋体" w:eastAsia="宋体"/>
          <w:b/>
          <w:bCs/>
          <w:color w:val="auto"/>
          <w:sz w:val="21"/>
          <w:szCs w:val="21"/>
          <w:highlight w:val="none"/>
        </w:rPr>
      </w:pPr>
      <w:bookmarkStart w:id="676" w:name="_Toc455080146"/>
      <w:bookmarkStart w:id="677" w:name="_Toc16866"/>
      <w:bookmarkStart w:id="678" w:name="_Toc830"/>
      <w:bookmarkStart w:id="679" w:name="_Toc4258"/>
      <w:r>
        <w:rPr>
          <w:rFonts w:hint="eastAsia" w:ascii="宋体" w:hAnsi="宋体" w:eastAsia="宋体"/>
          <w:b/>
          <w:bCs/>
          <w:color w:val="auto"/>
          <w:sz w:val="21"/>
          <w:szCs w:val="21"/>
          <w:highlight w:val="none"/>
        </w:rPr>
        <w:t>8.重新招标</w:t>
      </w:r>
      <w:bookmarkEnd w:id="676"/>
      <w:bookmarkEnd w:id="677"/>
      <w:bookmarkEnd w:id="678"/>
      <w:bookmarkEnd w:id="679"/>
    </w:p>
    <w:p w14:paraId="7B00FE8C">
      <w:pPr>
        <w:spacing w:line="360" w:lineRule="auto"/>
        <w:rPr>
          <w:rFonts w:hint="eastAsia" w:ascii="宋体" w:hAnsi="宋体"/>
          <w:color w:val="auto"/>
          <w:szCs w:val="21"/>
          <w:highlight w:val="none"/>
        </w:rPr>
      </w:pPr>
      <w:bookmarkStart w:id="680" w:name="_Toc16556"/>
      <w:r>
        <w:rPr>
          <w:rFonts w:hint="eastAsia" w:ascii="宋体" w:hAnsi="宋体"/>
          <w:b/>
          <w:bCs/>
          <w:color w:val="auto"/>
          <w:szCs w:val="21"/>
          <w:highlight w:val="none"/>
        </w:rPr>
        <w:t>8.1 重新招标</w:t>
      </w:r>
      <w:bookmarkEnd w:id="680"/>
    </w:p>
    <w:p w14:paraId="32E038EF">
      <w:pPr>
        <w:spacing w:line="360" w:lineRule="auto"/>
        <w:ind w:firstLine="480"/>
        <w:rPr>
          <w:rFonts w:hint="eastAsia" w:ascii="宋体" w:hAnsi="宋体"/>
          <w:color w:val="auto"/>
          <w:szCs w:val="21"/>
          <w:highlight w:val="none"/>
        </w:rPr>
      </w:pPr>
      <w:bookmarkStart w:id="681" w:name="_Toc9985"/>
      <w:r>
        <w:rPr>
          <w:rFonts w:hint="eastAsia" w:ascii="宋体" w:hAnsi="宋体"/>
          <w:color w:val="auto"/>
          <w:szCs w:val="21"/>
          <w:highlight w:val="none"/>
        </w:rPr>
        <w:t>有下列情形之一的，采购人将重新招标：</w:t>
      </w:r>
      <w:bookmarkEnd w:id="681"/>
    </w:p>
    <w:p w14:paraId="02BBF6DA">
      <w:pPr>
        <w:spacing w:line="360" w:lineRule="auto"/>
        <w:rPr>
          <w:rFonts w:hint="eastAsia" w:ascii="宋体" w:hAnsi="宋体"/>
          <w:color w:val="auto"/>
          <w:szCs w:val="21"/>
          <w:highlight w:val="none"/>
        </w:rPr>
      </w:pPr>
      <w:bookmarkStart w:id="682" w:name="_Toc25063"/>
      <w:r>
        <w:rPr>
          <w:rFonts w:hint="eastAsia" w:ascii="宋体" w:hAnsi="宋体"/>
          <w:color w:val="auto"/>
          <w:szCs w:val="21"/>
          <w:highlight w:val="none"/>
        </w:rPr>
        <w:t xml:space="preserve">   （1）提交响应文件截止时间止，供应商少于</w:t>
      </w:r>
      <w:r>
        <w:rPr>
          <w:rFonts w:hint="eastAsia" w:ascii="宋体" w:hAnsi="宋体"/>
          <w:color w:val="auto"/>
          <w:szCs w:val="21"/>
          <w:highlight w:val="none"/>
          <w:lang w:val="en-US" w:eastAsia="zh-CN"/>
        </w:rPr>
        <w:t>3</w:t>
      </w:r>
      <w:r>
        <w:rPr>
          <w:rFonts w:hint="eastAsia" w:ascii="宋体" w:hAnsi="宋体"/>
          <w:color w:val="auto"/>
          <w:szCs w:val="21"/>
          <w:highlight w:val="none"/>
        </w:rPr>
        <w:t>个的；</w:t>
      </w:r>
      <w:bookmarkEnd w:id="682"/>
      <w:r>
        <w:rPr>
          <w:rFonts w:hint="eastAsia" w:ascii="宋体" w:hAnsi="宋体"/>
          <w:color w:val="auto"/>
          <w:szCs w:val="21"/>
          <w:highlight w:val="none"/>
        </w:rPr>
        <w:t xml:space="preserve"> </w:t>
      </w:r>
    </w:p>
    <w:p w14:paraId="6315C94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bookmarkStart w:id="683" w:name="_Toc17911"/>
      <w:r>
        <w:rPr>
          <w:rFonts w:hint="eastAsia" w:ascii="宋体" w:hAnsi="宋体"/>
          <w:color w:val="auto"/>
          <w:szCs w:val="21"/>
          <w:highlight w:val="none"/>
        </w:rPr>
        <w:t>（2）经磋商小组评审后否决所有响应文件的。</w:t>
      </w:r>
      <w:bookmarkEnd w:id="683"/>
    </w:p>
    <w:p w14:paraId="4AAE6DDA">
      <w:pPr>
        <w:pStyle w:val="62"/>
        <w:spacing w:before="0" w:beforeLines="0" w:line="360" w:lineRule="auto"/>
        <w:rPr>
          <w:rFonts w:hint="eastAsia" w:ascii="宋体" w:hAnsi="宋体" w:eastAsia="宋体"/>
          <w:b/>
          <w:bCs/>
          <w:color w:val="auto"/>
          <w:sz w:val="21"/>
          <w:szCs w:val="21"/>
          <w:highlight w:val="none"/>
        </w:rPr>
      </w:pPr>
      <w:bookmarkStart w:id="684" w:name="_Toc29402"/>
      <w:bookmarkStart w:id="685" w:name="_Toc9996"/>
      <w:bookmarkStart w:id="686" w:name="_Toc455080147"/>
      <w:bookmarkStart w:id="687" w:name="_Toc27326"/>
      <w:r>
        <w:rPr>
          <w:rFonts w:hint="eastAsia" w:ascii="宋体" w:hAnsi="宋体" w:eastAsia="宋体"/>
          <w:b/>
          <w:bCs/>
          <w:color w:val="auto"/>
          <w:sz w:val="21"/>
          <w:szCs w:val="21"/>
          <w:highlight w:val="none"/>
        </w:rPr>
        <w:t>9.纪律和监督</w:t>
      </w:r>
      <w:bookmarkEnd w:id="673"/>
      <w:bookmarkEnd w:id="674"/>
      <w:bookmarkEnd w:id="675"/>
      <w:bookmarkEnd w:id="684"/>
      <w:bookmarkEnd w:id="685"/>
      <w:bookmarkEnd w:id="686"/>
      <w:bookmarkEnd w:id="687"/>
    </w:p>
    <w:p w14:paraId="14F968A1">
      <w:pPr>
        <w:pStyle w:val="63"/>
        <w:spacing w:line="360" w:lineRule="auto"/>
        <w:outlineLvl w:val="0"/>
        <w:rPr>
          <w:rFonts w:hint="eastAsia" w:ascii="宋体" w:hAnsi="宋体" w:eastAsia="宋体"/>
          <w:b/>
          <w:bCs/>
          <w:color w:val="auto"/>
          <w:sz w:val="21"/>
          <w:szCs w:val="21"/>
          <w:highlight w:val="none"/>
        </w:rPr>
      </w:pPr>
      <w:bookmarkStart w:id="688" w:name="_Toc13970"/>
      <w:bookmarkStart w:id="689" w:name="_Toc455080148"/>
      <w:bookmarkStart w:id="690" w:name="_Toc19159"/>
      <w:bookmarkStart w:id="691" w:name="_Toc144974543"/>
      <w:bookmarkStart w:id="692" w:name="_Toc318450714"/>
      <w:bookmarkStart w:id="693" w:name="_Toc12992"/>
      <w:bookmarkStart w:id="694" w:name="_Toc27836"/>
      <w:bookmarkStart w:id="695" w:name="_Toc269"/>
      <w:bookmarkStart w:id="696" w:name="_Toc697"/>
      <w:bookmarkStart w:id="697" w:name="_Toc455867808"/>
      <w:bookmarkStart w:id="698" w:name="_Toc15592"/>
      <w:bookmarkStart w:id="699" w:name="_Toc1282"/>
      <w:bookmarkStart w:id="700" w:name="_Toc152042351"/>
      <w:bookmarkStart w:id="701" w:name="_Toc15769"/>
      <w:bookmarkStart w:id="702" w:name="_Toc19646"/>
      <w:bookmarkStart w:id="703" w:name="_Toc20009"/>
      <w:bookmarkStart w:id="704" w:name="_Toc466298131"/>
      <w:bookmarkStart w:id="705" w:name="_Toc24982"/>
      <w:bookmarkStart w:id="706" w:name="_Toc152045575"/>
      <w:bookmarkStart w:id="707" w:name="_Toc490667868"/>
      <w:r>
        <w:rPr>
          <w:rFonts w:hint="eastAsia" w:ascii="宋体" w:hAnsi="宋体" w:eastAsia="宋体"/>
          <w:b/>
          <w:bCs/>
          <w:color w:val="auto"/>
          <w:sz w:val="21"/>
          <w:szCs w:val="21"/>
          <w:highlight w:val="none"/>
        </w:rPr>
        <w:t>9.1 对</w:t>
      </w:r>
      <w:r>
        <w:rPr>
          <w:rFonts w:hint="eastAsia" w:ascii="宋体" w:hAnsi="宋体" w:eastAsia="宋体"/>
          <w:b/>
          <w:bCs/>
          <w:color w:val="auto"/>
          <w:sz w:val="21"/>
          <w:szCs w:val="21"/>
          <w:highlight w:val="none"/>
          <w:lang w:eastAsia="zh-CN"/>
        </w:rPr>
        <w:t>采购人</w:t>
      </w:r>
      <w:r>
        <w:rPr>
          <w:rFonts w:hint="eastAsia" w:ascii="宋体" w:hAnsi="宋体" w:eastAsia="宋体"/>
          <w:b/>
          <w:bCs/>
          <w:color w:val="auto"/>
          <w:sz w:val="21"/>
          <w:szCs w:val="21"/>
          <w:highlight w:val="none"/>
        </w:rPr>
        <w:t>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106751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采购人不得泄漏磋商活动中应当保密的情况和资料，不得与供应商串通损害国家利益、社会公共利益或者他人合法权益。</w:t>
      </w:r>
    </w:p>
    <w:p w14:paraId="4C6EAAFA">
      <w:pPr>
        <w:pStyle w:val="63"/>
        <w:spacing w:line="360" w:lineRule="auto"/>
        <w:outlineLvl w:val="0"/>
        <w:rPr>
          <w:rFonts w:hint="eastAsia" w:ascii="宋体" w:hAnsi="宋体" w:eastAsia="宋体"/>
          <w:color w:val="auto"/>
          <w:sz w:val="21"/>
          <w:szCs w:val="21"/>
          <w:highlight w:val="none"/>
        </w:rPr>
      </w:pPr>
      <w:bookmarkStart w:id="708" w:name="_Toc318450715"/>
      <w:bookmarkStart w:id="709" w:name="_Toc19167"/>
      <w:bookmarkStart w:id="710" w:name="_Toc490667869"/>
      <w:bookmarkStart w:id="711" w:name="_Toc144974544"/>
      <w:bookmarkStart w:id="712" w:name="_Toc3089"/>
      <w:bookmarkStart w:id="713" w:name="_Toc466298132"/>
      <w:bookmarkStart w:id="714" w:name="_Toc1743"/>
      <w:bookmarkStart w:id="715" w:name="_Toc18604"/>
      <w:bookmarkStart w:id="716" w:name="_Toc16152"/>
      <w:bookmarkStart w:id="717" w:name="_Toc20261"/>
      <w:bookmarkStart w:id="718" w:name="_Toc455080149"/>
      <w:bookmarkStart w:id="719" w:name="_Toc18204"/>
      <w:bookmarkStart w:id="720" w:name="_Toc152045576"/>
      <w:bookmarkStart w:id="721" w:name="_Toc21646"/>
      <w:bookmarkStart w:id="722" w:name="_Toc27698"/>
      <w:bookmarkStart w:id="723" w:name="_Toc17040"/>
      <w:bookmarkStart w:id="724" w:name="_Toc13564"/>
      <w:bookmarkStart w:id="725" w:name="_Toc152042352"/>
      <w:bookmarkStart w:id="726" w:name="_Toc7572"/>
      <w:bookmarkStart w:id="727" w:name="_Toc455867809"/>
      <w:r>
        <w:rPr>
          <w:rFonts w:hint="eastAsia" w:ascii="宋体" w:hAnsi="宋体" w:eastAsia="宋体"/>
          <w:b/>
          <w:bCs/>
          <w:color w:val="auto"/>
          <w:sz w:val="21"/>
          <w:szCs w:val="21"/>
          <w:highlight w:val="none"/>
        </w:rPr>
        <w:t>9.2 对供应商的纪律要求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44EEB0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27EDD55F">
      <w:pPr>
        <w:pStyle w:val="63"/>
        <w:spacing w:line="360" w:lineRule="auto"/>
        <w:outlineLvl w:val="0"/>
        <w:rPr>
          <w:rFonts w:hint="eastAsia" w:ascii="宋体" w:hAnsi="宋体" w:eastAsia="宋体"/>
          <w:b/>
          <w:bCs/>
          <w:color w:val="auto"/>
          <w:sz w:val="21"/>
          <w:szCs w:val="21"/>
          <w:highlight w:val="none"/>
        </w:rPr>
      </w:pPr>
      <w:bookmarkStart w:id="728" w:name="_Toc7107"/>
      <w:bookmarkStart w:id="729" w:name="_Toc152045577"/>
      <w:bookmarkStart w:id="730" w:name="_Toc31001"/>
      <w:bookmarkStart w:id="731" w:name="_Toc455080150"/>
      <w:bookmarkStart w:id="732" w:name="_Toc490667870"/>
      <w:bookmarkStart w:id="733" w:name="_Toc30153"/>
      <w:bookmarkStart w:id="734" w:name="_Toc32320"/>
      <w:bookmarkStart w:id="735" w:name="_Toc31916"/>
      <w:bookmarkStart w:id="736" w:name="_Toc19965"/>
      <w:bookmarkStart w:id="737" w:name="_Toc455867810"/>
      <w:bookmarkStart w:id="738" w:name="_Toc12177"/>
      <w:bookmarkStart w:id="739" w:name="_Toc25211"/>
      <w:bookmarkStart w:id="740" w:name="_Toc466298133"/>
      <w:bookmarkStart w:id="741" w:name="_Toc14696"/>
      <w:bookmarkStart w:id="742" w:name="_Toc144974545"/>
      <w:bookmarkStart w:id="743" w:name="_Toc25241"/>
      <w:bookmarkStart w:id="744" w:name="_Toc7439"/>
      <w:bookmarkStart w:id="745" w:name="_Toc152042353"/>
      <w:bookmarkStart w:id="746" w:name="_Toc318450716"/>
      <w:bookmarkStart w:id="747" w:name="_Toc28813"/>
      <w:r>
        <w:rPr>
          <w:rFonts w:hint="eastAsia" w:ascii="宋体" w:hAnsi="宋体" w:eastAsia="宋体"/>
          <w:b/>
          <w:bCs/>
          <w:color w:val="auto"/>
          <w:sz w:val="21"/>
          <w:szCs w:val="21"/>
          <w:highlight w:val="none"/>
        </w:rPr>
        <w:t>9.3 对磋商小组成员的纪律要求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6BAD88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A6F9539">
      <w:pPr>
        <w:pStyle w:val="63"/>
        <w:spacing w:line="360" w:lineRule="auto"/>
        <w:outlineLvl w:val="0"/>
        <w:rPr>
          <w:rFonts w:hint="eastAsia" w:ascii="宋体" w:hAnsi="宋体" w:eastAsia="宋体"/>
          <w:color w:val="auto"/>
          <w:sz w:val="21"/>
          <w:szCs w:val="21"/>
          <w:highlight w:val="none"/>
        </w:rPr>
      </w:pPr>
      <w:bookmarkStart w:id="748" w:name="_Toc20546"/>
      <w:bookmarkStart w:id="749" w:name="_Toc24"/>
      <w:bookmarkStart w:id="750" w:name="_Toc235"/>
      <w:bookmarkStart w:id="751" w:name="_Toc318450717"/>
      <w:bookmarkStart w:id="752" w:name="_Toc26462"/>
      <w:bookmarkStart w:id="753" w:name="_Toc23717"/>
      <w:bookmarkStart w:id="754" w:name="_Toc19485"/>
      <w:bookmarkStart w:id="755" w:name="_Toc490667871"/>
      <w:bookmarkStart w:id="756" w:name="_Toc152045578"/>
      <w:bookmarkStart w:id="757" w:name="_Toc25313"/>
      <w:bookmarkStart w:id="758" w:name="_Toc9063"/>
      <w:bookmarkStart w:id="759" w:name="_Toc27559"/>
      <w:bookmarkStart w:id="760" w:name="_Toc455867811"/>
      <w:bookmarkStart w:id="761" w:name="_Toc7368"/>
      <w:bookmarkStart w:id="762" w:name="_Toc455080151"/>
      <w:bookmarkStart w:id="763" w:name="_Toc466298134"/>
      <w:bookmarkStart w:id="764" w:name="_Toc1295"/>
      <w:bookmarkStart w:id="765" w:name="_Toc8716"/>
      <w:bookmarkStart w:id="766" w:name="_Toc152042354"/>
      <w:bookmarkStart w:id="767" w:name="_Toc144974546"/>
      <w:r>
        <w:rPr>
          <w:rFonts w:hint="eastAsia" w:ascii="宋体" w:hAnsi="宋体" w:eastAsia="宋体"/>
          <w:b/>
          <w:bCs/>
          <w:color w:val="auto"/>
          <w:sz w:val="21"/>
          <w:szCs w:val="21"/>
          <w:highlight w:val="none"/>
        </w:rPr>
        <w:t>9.4 对与评标活动有关的工作人员的纪律要求</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7958C7C5">
      <w:pPr>
        <w:spacing w:line="360" w:lineRule="auto"/>
        <w:ind w:firstLine="420" w:firstLineChars="200"/>
        <w:rPr>
          <w:rFonts w:hint="eastAsia" w:ascii="宋体" w:hAnsi="宋体" w:cs="宋体"/>
          <w:color w:val="auto"/>
          <w:szCs w:val="21"/>
          <w:highlight w:val="none"/>
        </w:rPr>
      </w:pPr>
      <w:bookmarkStart w:id="768" w:name="_Toc152042355"/>
      <w:r>
        <w:rPr>
          <w:rFonts w:hint="eastAsia" w:ascii="宋体" w:hAnsi="宋体" w:cs="宋体"/>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68"/>
    </w:p>
    <w:p w14:paraId="617C5DFB">
      <w:pPr>
        <w:pStyle w:val="63"/>
        <w:spacing w:line="360" w:lineRule="auto"/>
        <w:outlineLvl w:val="0"/>
        <w:rPr>
          <w:rFonts w:hint="eastAsia" w:ascii="宋体" w:hAnsi="宋体" w:eastAsia="宋体"/>
          <w:b/>
          <w:bCs/>
          <w:color w:val="auto"/>
          <w:sz w:val="21"/>
          <w:szCs w:val="21"/>
          <w:highlight w:val="none"/>
        </w:rPr>
      </w:pPr>
      <w:bookmarkStart w:id="769" w:name="_Toc455867812"/>
      <w:bookmarkStart w:id="770" w:name="_Toc490667872"/>
      <w:bookmarkStart w:id="771" w:name="_Toc318450718"/>
      <w:bookmarkStart w:id="772" w:name="_Toc32675"/>
      <w:bookmarkStart w:id="773" w:name="_Toc31010"/>
      <w:bookmarkStart w:id="774" w:name="_Toc1820"/>
      <w:bookmarkStart w:id="775" w:name="_Toc25751"/>
      <w:bookmarkStart w:id="776" w:name="_Toc152045579"/>
      <w:bookmarkStart w:id="777" w:name="_Toc12197"/>
      <w:bookmarkStart w:id="778" w:name="_Toc15960"/>
      <w:bookmarkStart w:id="779" w:name="_Toc6199"/>
      <w:bookmarkStart w:id="780" w:name="_Toc8074"/>
      <w:bookmarkStart w:id="781" w:name="_Toc17735"/>
      <w:bookmarkStart w:id="782" w:name="_Toc3303"/>
      <w:bookmarkStart w:id="783" w:name="_Toc5504"/>
      <w:bookmarkStart w:id="784" w:name="_Toc152042356"/>
      <w:bookmarkStart w:id="785" w:name="_Toc466298135"/>
      <w:bookmarkStart w:id="786" w:name="_Toc3617"/>
      <w:bookmarkStart w:id="787" w:name="_Toc455080152"/>
      <w:r>
        <w:rPr>
          <w:rFonts w:hint="eastAsia" w:ascii="宋体" w:hAnsi="宋体" w:eastAsia="宋体"/>
          <w:b/>
          <w:bCs/>
          <w:color w:val="auto"/>
          <w:sz w:val="21"/>
          <w:szCs w:val="21"/>
          <w:highlight w:val="none"/>
        </w:rPr>
        <w:t>9.5 投诉</w:t>
      </w:r>
      <w:bookmarkEnd w:id="767"/>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84EAA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bookmarkStart w:id="788" w:name="_Toc152042357"/>
      <w:bookmarkStart w:id="789" w:name="_Toc144974547"/>
      <w:bookmarkStart w:id="790" w:name="_Toc455080153"/>
      <w:bookmarkStart w:id="791" w:name="_Toc152045580"/>
      <w:bookmarkStart w:id="792" w:name="_Toc14221"/>
    </w:p>
    <w:p w14:paraId="335C39DA">
      <w:pPr>
        <w:spacing w:line="360" w:lineRule="auto"/>
        <w:ind w:firstLine="422" w:firstLineChars="200"/>
        <w:rPr>
          <w:rFonts w:hint="eastAsia" w:ascii="宋体" w:hAnsi="宋体" w:eastAsia="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10.需要补充的其</w:t>
      </w:r>
      <w:r>
        <w:rPr>
          <w:rFonts w:hint="eastAsia" w:ascii="宋体" w:hAnsi="宋体" w:eastAsia="宋体"/>
          <w:b/>
          <w:bCs/>
          <w:color w:val="auto"/>
          <w:sz w:val="21"/>
          <w:szCs w:val="21"/>
          <w:highlight w:val="none"/>
        </w:rPr>
        <w:t>他内容</w:t>
      </w:r>
      <w:bookmarkEnd w:id="788"/>
      <w:bookmarkEnd w:id="789"/>
      <w:bookmarkEnd w:id="790"/>
      <w:bookmarkEnd w:id="791"/>
      <w:bookmarkEnd w:id="792"/>
    </w:p>
    <w:p w14:paraId="3F9C824D">
      <w:pPr>
        <w:spacing w:line="360" w:lineRule="auto"/>
        <w:ind w:firstLine="420" w:firstLineChars="200"/>
        <w:outlineLvl w:val="0"/>
        <w:rPr>
          <w:rFonts w:hint="eastAsia" w:ascii="宋体" w:hAnsi="宋体" w:eastAsia="宋体" w:cs="宋体"/>
          <w:color w:val="auto"/>
          <w:szCs w:val="21"/>
          <w:highlight w:val="none"/>
        </w:rPr>
      </w:pPr>
      <w:bookmarkStart w:id="793" w:name="_Toc22486"/>
      <w:bookmarkStart w:id="794" w:name="_Toc490667874"/>
      <w:bookmarkStart w:id="795" w:name="_Toc14763"/>
      <w:bookmarkStart w:id="796" w:name="_Toc5176"/>
      <w:bookmarkStart w:id="797" w:name="_Toc4091"/>
      <w:bookmarkStart w:id="798" w:name="_Toc26015"/>
      <w:bookmarkStart w:id="799" w:name="_Toc17627"/>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需要补充的其他内容：见供应商须知前附表。</w:t>
      </w:r>
      <w:bookmarkEnd w:id="793"/>
      <w:bookmarkEnd w:id="794"/>
      <w:bookmarkEnd w:id="795"/>
      <w:bookmarkEnd w:id="796"/>
      <w:bookmarkEnd w:id="797"/>
      <w:bookmarkEnd w:id="798"/>
      <w:bookmarkEnd w:id="799"/>
    </w:p>
    <w:p w14:paraId="4F825BE3">
      <w:pPr>
        <w:pStyle w:val="62"/>
        <w:numPr>
          <w:ilvl w:val="1"/>
          <w:numId w:val="0"/>
        </w:numPr>
        <w:spacing w:before="0" w:beforeLines="0" w:line="360" w:lineRule="auto"/>
        <w:rPr>
          <w:rFonts w:hint="eastAsia" w:ascii="宋体" w:hAnsi="宋体" w:eastAsia="宋体"/>
          <w:b/>
          <w:bCs/>
          <w:color w:val="auto"/>
          <w:sz w:val="21"/>
          <w:szCs w:val="21"/>
          <w:highlight w:val="none"/>
        </w:rPr>
      </w:pPr>
    </w:p>
    <w:p w14:paraId="4591EA0E">
      <w:pPr>
        <w:outlineLvl w:val="0"/>
        <w:rPr>
          <w:rFonts w:hint="eastAsia" w:ascii="宋体" w:hAnsi="宋体" w:cs="宋体"/>
          <w:b/>
          <w:color w:val="auto"/>
          <w:kern w:val="44"/>
          <w:sz w:val="28"/>
          <w:szCs w:val="28"/>
          <w:highlight w:val="none"/>
        </w:rPr>
      </w:pPr>
      <w:bookmarkStart w:id="800" w:name="_Toc455867814"/>
      <w:bookmarkStart w:id="801" w:name="_Toc455080154"/>
      <w:bookmarkStart w:id="802" w:name="_Toc466298137"/>
      <w:bookmarkStart w:id="803" w:name="_Toc144974565"/>
      <w:bookmarkStart w:id="804" w:name="_Toc152045598"/>
      <w:bookmarkStart w:id="805" w:name="_Toc152042375"/>
    </w:p>
    <w:p w14:paraId="0ECCDA5E">
      <w:pPr>
        <w:jc w:val="both"/>
        <w:outlineLvl w:val="0"/>
        <w:rPr>
          <w:rFonts w:hint="eastAsia" w:ascii="宋体" w:hAnsi="宋体" w:cs="宋体"/>
          <w:b/>
          <w:color w:val="auto"/>
          <w:kern w:val="44"/>
          <w:sz w:val="32"/>
          <w:szCs w:val="32"/>
          <w:highlight w:val="none"/>
        </w:rPr>
      </w:pPr>
      <w:bookmarkStart w:id="806" w:name="_Toc6192"/>
    </w:p>
    <w:p w14:paraId="45048EAC">
      <w:pPr>
        <w:jc w:val="both"/>
        <w:outlineLvl w:val="0"/>
        <w:rPr>
          <w:rFonts w:hint="eastAsia" w:ascii="宋体" w:hAnsi="宋体" w:cs="宋体"/>
          <w:b/>
          <w:color w:val="auto"/>
          <w:kern w:val="44"/>
          <w:sz w:val="32"/>
          <w:szCs w:val="32"/>
          <w:highlight w:val="none"/>
        </w:rPr>
      </w:pPr>
    </w:p>
    <w:p w14:paraId="2EF514EC">
      <w:pPr>
        <w:jc w:val="both"/>
        <w:outlineLvl w:val="0"/>
        <w:rPr>
          <w:rFonts w:hint="eastAsia" w:ascii="宋体" w:hAnsi="宋体" w:cs="宋体"/>
          <w:b/>
          <w:color w:val="auto"/>
          <w:kern w:val="44"/>
          <w:sz w:val="32"/>
          <w:szCs w:val="32"/>
          <w:highlight w:val="none"/>
        </w:rPr>
      </w:pPr>
    </w:p>
    <w:p w14:paraId="50A5A7B1">
      <w:pPr>
        <w:jc w:val="center"/>
        <w:outlineLvl w:val="0"/>
        <w:rPr>
          <w:rFonts w:hint="eastAsia" w:ascii="宋体" w:hAnsi="宋体" w:cs="宋体"/>
          <w:b/>
          <w:color w:val="auto"/>
          <w:kern w:val="44"/>
          <w:sz w:val="32"/>
          <w:szCs w:val="32"/>
          <w:highlight w:val="none"/>
        </w:rPr>
        <w:sectPr>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3EA6A566">
      <w:pPr>
        <w:pStyle w:val="2"/>
        <w:bidi w:val="0"/>
        <w:rPr>
          <w:rFonts w:hint="eastAsia"/>
          <w:color w:val="auto"/>
          <w:highlight w:val="none"/>
        </w:rPr>
      </w:pPr>
      <w:bookmarkStart w:id="807" w:name="_Toc27631"/>
      <w:r>
        <w:rPr>
          <w:rFonts w:hint="eastAsia"/>
          <w:color w:val="auto"/>
          <w:highlight w:val="none"/>
        </w:rPr>
        <w:t>第三章  评审办法（综合评分法）</w:t>
      </w:r>
      <w:bookmarkEnd w:id="800"/>
      <w:bookmarkEnd w:id="801"/>
      <w:bookmarkEnd w:id="802"/>
      <w:bookmarkEnd w:id="806"/>
      <w:bookmarkEnd w:id="807"/>
    </w:p>
    <w:bookmarkEnd w:id="803"/>
    <w:bookmarkEnd w:id="804"/>
    <w:bookmarkEnd w:id="805"/>
    <w:p w14:paraId="2EA6E0EE">
      <w:pPr>
        <w:ind w:left="0" w:leftChars="0" w:firstLine="0" w:firstLineChars="0"/>
        <w:jc w:val="center"/>
        <w:outlineLvl w:val="1"/>
        <w:rPr>
          <w:rFonts w:hint="eastAsia" w:ascii="宋体" w:hAnsi="宋体" w:cs="宋体"/>
          <w:b/>
          <w:color w:val="auto"/>
          <w:kern w:val="44"/>
          <w:sz w:val="32"/>
          <w:szCs w:val="32"/>
          <w:highlight w:val="none"/>
        </w:rPr>
      </w:pPr>
      <w:bookmarkStart w:id="808" w:name="_Toc281405527"/>
      <w:bookmarkStart w:id="809" w:name="_Toc152045599"/>
      <w:bookmarkStart w:id="810" w:name="_Toc455867816"/>
      <w:bookmarkStart w:id="811" w:name="_Toc152042376"/>
      <w:bookmarkStart w:id="812" w:name="_Toc455080156"/>
      <w:bookmarkStart w:id="813" w:name="_Toc28069"/>
      <w:bookmarkStart w:id="814" w:name="_Toc466298139"/>
      <w:bookmarkStart w:id="815" w:name="_Toc3067"/>
      <w:bookmarkStart w:id="816" w:name="_Toc27806"/>
      <w:bookmarkStart w:id="817" w:name="_Toc22571"/>
      <w:bookmarkStart w:id="818" w:name="_Toc144974566"/>
      <w:bookmarkStart w:id="819" w:name="_Toc318450721"/>
      <w:r>
        <w:rPr>
          <w:rFonts w:hint="eastAsia" w:ascii="宋体" w:hAnsi="宋体" w:cs="宋体"/>
          <w:b/>
          <w:color w:val="auto"/>
          <w:kern w:val="44"/>
          <w:sz w:val="32"/>
          <w:szCs w:val="32"/>
          <w:highlight w:val="none"/>
        </w:rPr>
        <w:t>评审办法前附表</w:t>
      </w:r>
      <w:bookmarkEnd w:id="808"/>
      <w:bookmarkEnd w:id="809"/>
      <w:bookmarkEnd w:id="810"/>
      <w:bookmarkEnd w:id="811"/>
      <w:bookmarkEnd w:id="812"/>
      <w:bookmarkEnd w:id="813"/>
      <w:bookmarkEnd w:id="814"/>
      <w:bookmarkEnd w:id="815"/>
      <w:bookmarkEnd w:id="816"/>
      <w:bookmarkEnd w:id="817"/>
      <w:bookmarkEnd w:id="818"/>
      <w:bookmarkEnd w:id="819"/>
    </w:p>
    <w:tbl>
      <w:tblPr>
        <w:tblStyle w:val="28"/>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2590"/>
        <w:gridCol w:w="4916"/>
      </w:tblGrid>
      <w:tr w14:paraId="37CA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0"/>
            <w:vAlign w:val="center"/>
          </w:tcPr>
          <w:p w14:paraId="77E5F7C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590" w:type="dxa"/>
            <w:noWrap w:val="0"/>
            <w:vAlign w:val="center"/>
          </w:tcPr>
          <w:p w14:paraId="1A2670D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916" w:type="dxa"/>
            <w:noWrap w:val="0"/>
            <w:vAlign w:val="center"/>
          </w:tcPr>
          <w:p w14:paraId="25CB5DC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2628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restart"/>
            <w:noWrap w:val="0"/>
            <w:vAlign w:val="center"/>
          </w:tcPr>
          <w:p w14:paraId="6B9562A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235" w:type="dxa"/>
            <w:vMerge w:val="restart"/>
            <w:noWrap w:val="0"/>
            <w:vAlign w:val="center"/>
          </w:tcPr>
          <w:p w14:paraId="4495290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590" w:type="dxa"/>
            <w:noWrap w:val="0"/>
            <w:vAlign w:val="center"/>
          </w:tcPr>
          <w:p w14:paraId="7D0367C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符合《中华人民共和国政府采购法》第22条规定</w:t>
            </w:r>
          </w:p>
        </w:tc>
        <w:tc>
          <w:tcPr>
            <w:tcW w:w="4916" w:type="dxa"/>
            <w:noWrap w:val="0"/>
            <w:vAlign w:val="center"/>
          </w:tcPr>
          <w:p w14:paraId="4CE3D8D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22A9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538D691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589235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166232A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落实政府采购政策</w:t>
            </w:r>
          </w:p>
        </w:tc>
        <w:tc>
          <w:tcPr>
            <w:tcW w:w="4916" w:type="dxa"/>
            <w:noWrap w:val="0"/>
            <w:vAlign w:val="center"/>
          </w:tcPr>
          <w:p w14:paraId="526AD2A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3708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7F71D5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2A34B3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4A07395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特定资格要求</w:t>
            </w:r>
          </w:p>
        </w:tc>
        <w:tc>
          <w:tcPr>
            <w:tcW w:w="4916" w:type="dxa"/>
            <w:noWrap w:val="0"/>
            <w:vAlign w:val="center"/>
          </w:tcPr>
          <w:p w14:paraId="4120633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符合第二章“供应商须知”第1.5.1项规定</w:t>
            </w:r>
          </w:p>
        </w:tc>
      </w:tr>
      <w:tr w14:paraId="576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49BC22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60F1DE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17102A7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4916" w:type="dxa"/>
            <w:noWrap w:val="0"/>
            <w:vAlign w:val="center"/>
          </w:tcPr>
          <w:p w14:paraId="35E64DB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须知”第1.5.1项规定</w:t>
            </w:r>
          </w:p>
        </w:tc>
      </w:tr>
      <w:tr w14:paraId="479D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restart"/>
            <w:noWrap w:val="0"/>
            <w:vAlign w:val="center"/>
          </w:tcPr>
          <w:p w14:paraId="497E4D0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235" w:type="dxa"/>
            <w:vMerge w:val="restart"/>
            <w:noWrap w:val="0"/>
            <w:vAlign w:val="center"/>
          </w:tcPr>
          <w:p w14:paraId="0FC4A9E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符合性</w:t>
            </w:r>
          </w:p>
          <w:p w14:paraId="2686047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2590" w:type="dxa"/>
            <w:noWrap w:val="0"/>
            <w:vAlign w:val="center"/>
          </w:tcPr>
          <w:p w14:paraId="6585B55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供应商名称</w:t>
            </w:r>
          </w:p>
        </w:tc>
        <w:tc>
          <w:tcPr>
            <w:tcW w:w="4916" w:type="dxa"/>
            <w:noWrap w:val="0"/>
            <w:vAlign w:val="center"/>
          </w:tcPr>
          <w:p w14:paraId="06CAEC68">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与营业执照、资质证书、安全生产许可证一致</w:t>
            </w:r>
          </w:p>
        </w:tc>
      </w:tr>
      <w:tr w14:paraId="0557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0136C8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41F418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6A97CCC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签字盖章</w:t>
            </w:r>
          </w:p>
        </w:tc>
        <w:tc>
          <w:tcPr>
            <w:tcW w:w="4916" w:type="dxa"/>
            <w:noWrap w:val="0"/>
            <w:vAlign w:val="center"/>
          </w:tcPr>
          <w:p w14:paraId="07FD7F5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响应函签字盖章</w:t>
            </w:r>
            <w:r>
              <w:rPr>
                <w:rFonts w:hint="eastAsia" w:ascii="宋体" w:hAnsi="宋体" w:eastAsia="宋体" w:cs="宋体"/>
                <w:color w:val="auto"/>
                <w:sz w:val="21"/>
                <w:szCs w:val="21"/>
                <w:highlight w:val="none"/>
              </w:rPr>
              <w:t>的要求</w:t>
            </w:r>
          </w:p>
        </w:tc>
      </w:tr>
      <w:tr w14:paraId="45B9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795530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2583A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5CEA7DA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响应文件格式</w:t>
            </w:r>
          </w:p>
        </w:tc>
        <w:tc>
          <w:tcPr>
            <w:tcW w:w="4916" w:type="dxa"/>
            <w:noWrap w:val="0"/>
            <w:vAlign w:val="center"/>
          </w:tcPr>
          <w:p w14:paraId="49FD704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”的要求</w:t>
            </w:r>
          </w:p>
        </w:tc>
      </w:tr>
      <w:tr w14:paraId="4EE1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1E4DA4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6034D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4974640D">
            <w:pPr>
              <w:pageBreakBefore w:val="0"/>
              <w:kinsoku/>
              <w:wordWrap w:val="0"/>
              <w:overflowPunct/>
              <w:topLinePunct/>
              <w:autoSpaceDE/>
              <w:autoSpaceDN/>
              <w:bidi w:val="0"/>
              <w:spacing w:line="312"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报价唯一</w:t>
            </w:r>
          </w:p>
        </w:tc>
        <w:tc>
          <w:tcPr>
            <w:tcW w:w="4916" w:type="dxa"/>
            <w:noWrap w:val="0"/>
            <w:vAlign w:val="center"/>
          </w:tcPr>
          <w:p w14:paraId="5C976B13">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只能有一个有效报价（第一次报价）</w:t>
            </w:r>
          </w:p>
        </w:tc>
      </w:tr>
      <w:tr w14:paraId="295A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751202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167B463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7AB0298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内容</w:t>
            </w:r>
          </w:p>
        </w:tc>
        <w:tc>
          <w:tcPr>
            <w:tcW w:w="4916" w:type="dxa"/>
            <w:noWrap w:val="0"/>
            <w:vAlign w:val="center"/>
          </w:tcPr>
          <w:p w14:paraId="46ED67E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tc>
      </w:tr>
      <w:tr w14:paraId="2F27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64EF7A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3C9340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728CBC2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计划工期</w:t>
            </w:r>
          </w:p>
        </w:tc>
        <w:tc>
          <w:tcPr>
            <w:tcW w:w="4916" w:type="dxa"/>
            <w:noWrap w:val="0"/>
            <w:vAlign w:val="center"/>
          </w:tcPr>
          <w:p w14:paraId="743F1F7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符合第二章“供应商须知”第1.4.2项规定</w:t>
            </w:r>
          </w:p>
        </w:tc>
      </w:tr>
      <w:tr w14:paraId="00AA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1718DE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1F63B9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4C55113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质量要求</w:t>
            </w:r>
          </w:p>
        </w:tc>
        <w:tc>
          <w:tcPr>
            <w:tcW w:w="4916" w:type="dxa"/>
            <w:noWrap w:val="0"/>
            <w:vAlign w:val="center"/>
          </w:tcPr>
          <w:p w14:paraId="2D217E4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符合第二章“供应商须知”第1.4.3项规定</w:t>
            </w:r>
          </w:p>
        </w:tc>
      </w:tr>
      <w:tr w14:paraId="6557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43F994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3F5E21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28E896DF">
            <w:pPr>
              <w:keepNext w:val="0"/>
              <w:keepLines w:val="0"/>
              <w:pageBreakBefore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宋体"/>
                <w:color w:val="auto"/>
                <w:szCs w:val="21"/>
                <w:highlight w:val="none"/>
              </w:rPr>
            </w:pPr>
            <w:r>
              <w:rPr>
                <w:rFonts w:hint="eastAsia" w:ascii="宋体" w:hAnsi="宋体" w:eastAsia="宋体" w:cs="宋体"/>
                <w:color w:val="000000"/>
                <w:sz w:val="21"/>
                <w:szCs w:val="21"/>
              </w:rPr>
              <w:t>已标价工程量清单</w:t>
            </w:r>
          </w:p>
        </w:tc>
        <w:tc>
          <w:tcPr>
            <w:tcW w:w="4916" w:type="dxa"/>
            <w:noWrap w:val="0"/>
            <w:vAlign w:val="center"/>
          </w:tcPr>
          <w:p w14:paraId="39264A8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符合第五章“工程量清单”给出的范围及数量</w:t>
            </w:r>
          </w:p>
        </w:tc>
      </w:tr>
      <w:tr w14:paraId="104C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504052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6DA71D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2BEE175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4916" w:type="dxa"/>
            <w:noWrap w:val="0"/>
            <w:vAlign w:val="center"/>
          </w:tcPr>
          <w:p w14:paraId="52544B7D">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符合第二章“供应商须知”第3.3.1项规定</w:t>
            </w:r>
          </w:p>
        </w:tc>
      </w:tr>
      <w:tr w14:paraId="46C2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noWrap w:val="0"/>
            <w:vAlign w:val="center"/>
          </w:tcPr>
          <w:p w14:paraId="230A6C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235" w:type="dxa"/>
            <w:vMerge w:val="continue"/>
            <w:noWrap w:val="0"/>
            <w:vAlign w:val="center"/>
          </w:tcPr>
          <w:p w14:paraId="559A0A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590" w:type="dxa"/>
            <w:noWrap w:val="0"/>
            <w:vAlign w:val="center"/>
          </w:tcPr>
          <w:p w14:paraId="1E83F63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4916" w:type="dxa"/>
            <w:noWrap w:val="0"/>
            <w:vAlign w:val="center"/>
          </w:tcPr>
          <w:p w14:paraId="44D4F63F">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报价不超过</w:t>
            </w:r>
            <w:r>
              <w:rPr>
                <w:rFonts w:hint="eastAsia" w:ascii="宋体" w:hAnsi="宋体" w:eastAsia="宋体" w:cs="宋体"/>
                <w:color w:val="auto"/>
                <w:sz w:val="21"/>
                <w:szCs w:val="21"/>
                <w:highlight w:val="none"/>
                <w:lang w:eastAsia="zh-CN"/>
              </w:rPr>
              <w:t>预算价（最高限价）</w:t>
            </w:r>
          </w:p>
        </w:tc>
      </w:tr>
    </w:tbl>
    <w:p w14:paraId="72EC63CD">
      <w:pPr>
        <w:rPr>
          <w:color w:val="auto"/>
          <w:highlight w:val="none"/>
        </w:rPr>
      </w:pPr>
      <w:bookmarkStart w:id="820" w:name="_Toc281405528"/>
      <w:bookmarkStart w:id="821" w:name="_Toc144974567"/>
      <w:bookmarkStart w:id="822" w:name="_Toc152045600"/>
      <w:bookmarkStart w:id="823" w:name="_Toc152042377"/>
      <w:bookmarkStart w:id="824" w:name="_Toc318450722"/>
      <w:bookmarkStart w:id="825" w:name="_Toc31578"/>
    </w:p>
    <w:p w14:paraId="5E7FE46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28"/>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14"/>
        <w:gridCol w:w="1532"/>
        <w:gridCol w:w="4605"/>
        <w:gridCol w:w="1140"/>
      </w:tblGrid>
      <w:tr w14:paraId="3A3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91" w:type="dxa"/>
            <w:gridSpan w:val="2"/>
            <w:noWrap w:val="0"/>
            <w:vAlign w:val="center"/>
          </w:tcPr>
          <w:p w14:paraId="12405B06">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532" w:type="dxa"/>
            <w:noWrap w:val="0"/>
            <w:vAlign w:val="center"/>
          </w:tcPr>
          <w:p w14:paraId="071D58D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756837CB">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（100分）</w:t>
            </w:r>
          </w:p>
        </w:tc>
        <w:tc>
          <w:tcPr>
            <w:tcW w:w="5745" w:type="dxa"/>
            <w:gridSpan w:val="2"/>
            <w:noWrap w:val="0"/>
            <w:vAlign w:val="center"/>
          </w:tcPr>
          <w:p w14:paraId="42A74783">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商务标：</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w:t>
            </w:r>
          </w:p>
          <w:p w14:paraId="3989B4BA">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技术标：</w:t>
            </w:r>
            <w:r>
              <w:rPr>
                <w:rFonts w:hint="eastAsia" w:ascii="宋体" w:hAnsi="宋体" w:eastAsia="宋体" w:cs="宋体"/>
                <w:bCs/>
                <w:color w:val="auto"/>
                <w:szCs w:val="21"/>
                <w:highlight w:val="none"/>
                <w:lang w:val="en-US" w:eastAsia="zh-CN"/>
              </w:rPr>
              <w:t>53</w:t>
            </w:r>
            <w:r>
              <w:rPr>
                <w:rFonts w:hint="eastAsia" w:ascii="宋体" w:hAnsi="宋体" w:eastAsia="宋体" w:cs="宋体"/>
                <w:bCs/>
                <w:color w:val="auto"/>
                <w:szCs w:val="21"/>
                <w:highlight w:val="none"/>
              </w:rPr>
              <w:t>分</w:t>
            </w:r>
          </w:p>
          <w:p w14:paraId="6F4E047D">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综合标：</w:t>
            </w:r>
            <w:r>
              <w:rPr>
                <w:rFonts w:hint="eastAsia" w:ascii="宋体" w:hAnsi="宋体" w:eastAsia="宋体" w:cs="宋体"/>
                <w:bCs/>
                <w:color w:val="auto"/>
                <w:szCs w:val="21"/>
                <w:highlight w:val="none"/>
                <w:lang w:val="en-US" w:eastAsia="zh-CN"/>
              </w:rPr>
              <w:t>17</w:t>
            </w:r>
            <w:r>
              <w:rPr>
                <w:rFonts w:hint="eastAsia" w:ascii="宋体" w:hAnsi="宋体" w:eastAsia="宋体" w:cs="宋体"/>
                <w:bCs/>
                <w:color w:val="auto"/>
                <w:szCs w:val="21"/>
                <w:highlight w:val="none"/>
              </w:rPr>
              <w:t>分</w:t>
            </w:r>
          </w:p>
        </w:tc>
      </w:tr>
      <w:tr w14:paraId="2F23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91" w:type="dxa"/>
            <w:gridSpan w:val="2"/>
            <w:noWrap w:val="0"/>
            <w:vAlign w:val="center"/>
          </w:tcPr>
          <w:p w14:paraId="2D8F846A">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532" w:type="dxa"/>
            <w:noWrap w:val="0"/>
            <w:vAlign w:val="center"/>
          </w:tcPr>
          <w:p w14:paraId="1E02A5FE">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5745" w:type="dxa"/>
            <w:gridSpan w:val="2"/>
            <w:noWrap w:val="0"/>
            <w:vAlign w:val="center"/>
          </w:tcPr>
          <w:p w14:paraId="3605AA1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14:paraId="1B47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77" w:type="dxa"/>
            <w:noWrap w:val="0"/>
            <w:vAlign w:val="center"/>
          </w:tcPr>
          <w:p w14:paraId="19406A06">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014" w:type="dxa"/>
            <w:noWrap w:val="0"/>
            <w:vAlign w:val="center"/>
          </w:tcPr>
          <w:p w14:paraId="00314088">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w:t>
            </w:r>
          </w:p>
          <w:p w14:paraId="283C5A7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p>
        </w:tc>
        <w:tc>
          <w:tcPr>
            <w:tcW w:w="1532" w:type="dxa"/>
            <w:noWrap w:val="0"/>
            <w:vAlign w:val="center"/>
          </w:tcPr>
          <w:p w14:paraId="6045FB79">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517F6CB0">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磋商最终报价得分</w:t>
            </w:r>
          </w:p>
          <w:p w14:paraId="309EE2D8">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p>
          <w:p w14:paraId="21DEE78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5745" w:type="dxa"/>
            <w:gridSpan w:val="2"/>
            <w:noWrap w:val="0"/>
            <w:vAlign w:val="center"/>
          </w:tcPr>
          <w:p w14:paraId="5A6BB15A">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eastAsia="zh-CN"/>
              </w:rPr>
            </w:pPr>
            <w:bookmarkStart w:id="826" w:name="OLE_LINK6"/>
            <w:r>
              <w:rPr>
                <w:rFonts w:hint="eastAsia" w:ascii="宋体" w:hAnsi="宋体" w:eastAsia="宋体" w:cs="宋体"/>
                <w:color w:val="auto"/>
                <w:sz w:val="21"/>
                <w:szCs w:val="21"/>
                <w:highlight w:val="none"/>
                <w:lang w:eastAsia="zh-CN"/>
              </w:rPr>
              <w:t>价格分应当采用低价优先法计算，即满足磋商文件要求且最终磋商价格最低的磋商报价为磋商基准价，其价格分为满分</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。其他供应商的价格分统一按照下列公式计算：</w:t>
            </w:r>
          </w:p>
          <w:p w14:paraId="7868F63A">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磋商报价得分=(磋商基准价/</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lang w:eastAsia="zh-CN"/>
              </w:rPr>
              <w:t>磋商报价）×价格权重</w:t>
            </w:r>
          </w:p>
          <w:p w14:paraId="1C93FC48">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1.价格分计算保留小数点后二位</w:t>
            </w:r>
            <w:r>
              <w:rPr>
                <w:rFonts w:hint="eastAsia" w:ascii="宋体" w:hAnsi="宋体" w:eastAsia="宋体" w:cs="宋体"/>
                <w:color w:val="auto"/>
                <w:sz w:val="21"/>
                <w:szCs w:val="21"/>
                <w:highlight w:val="none"/>
                <w:lang w:eastAsia="zh-CN"/>
              </w:rPr>
              <w:t>；</w:t>
            </w:r>
          </w:p>
          <w:bookmarkEnd w:id="826"/>
          <w:p w14:paraId="27E1D39A">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2.磋商小组认为供应商的报价出现下列情形之一的，磋商小组应当启动异常低价投标响应审查程序：</w:t>
            </w:r>
          </w:p>
          <w:p w14:paraId="25E6ED02">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①投标（响应）报价低于全部通过符合性审查供应商投标（响应）报价平均值65%的，即投标（响应）报价&lt;全部通过符合性审查供应商投标（响应）报价平均值×65%；</w:t>
            </w:r>
          </w:p>
          <w:p w14:paraId="39FF74FE">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②投标（响应）报价低于通过符合性审查的次低报价供应商投标（响应）报价65%的，即投标（响应）报价&lt;通过符合性审查的次低报价供应商投标（响应）报价×65%；</w:t>
            </w:r>
          </w:p>
          <w:p w14:paraId="40DEA535">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③投标（响应）报价低于采购项目最高限价65%的，即投标（响应）报价&lt;采购项目最高限价×65%；</w:t>
            </w:r>
          </w:p>
          <w:p w14:paraId="4A68716E">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④磋商小组基于专业判断，认为供应商报价过低，有可能影响服务质量或者不能诚信履约的其他情形。</w:t>
            </w:r>
          </w:p>
          <w:p w14:paraId="3620DA92">
            <w:pPr>
              <w:pStyle w:val="11"/>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在评审过程中出现以上情况应当要求其在线上系统合理的时间内提供说明，并提交相关证明材料，供应商不能证明其报价合理性的，磋商小组应当将其作为无效标处理。</w:t>
            </w:r>
          </w:p>
        </w:tc>
      </w:tr>
      <w:tr w14:paraId="7CC7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restart"/>
            <w:noWrap w:val="0"/>
            <w:vAlign w:val="center"/>
          </w:tcPr>
          <w:p w14:paraId="084716FE">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2F9B25D8">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29660A62">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23251779">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3D933227">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6177F190">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45CCD70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014" w:type="dxa"/>
            <w:vMerge w:val="restart"/>
            <w:noWrap w:val="0"/>
            <w:vAlign w:val="center"/>
          </w:tcPr>
          <w:p w14:paraId="6409511A">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4C25629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07C6532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45410D4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086A22C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23C0873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rPr>
            </w:pPr>
          </w:p>
          <w:p w14:paraId="4A426F7C">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技术</w:t>
            </w:r>
            <w:r>
              <w:rPr>
                <w:rFonts w:hint="eastAsia" w:ascii="宋体" w:hAnsi="宋体" w:eastAsia="宋体" w:cs="宋体"/>
                <w:bCs/>
                <w:color w:val="auto"/>
                <w:szCs w:val="21"/>
                <w:highlight w:val="none"/>
                <w:lang w:val="en-US" w:eastAsia="zh-CN"/>
              </w:rPr>
              <w:t>标</w:t>
            </w:r>
          </w:p>
          <w:p w14:paraId="0F3A6DD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53</w:t>
            </w:r>
            <w:r>
              <w:rPr>
                <w:rFonts w:hint="eastAsia" w:ascii="宋体" w:hAnsi="宋体" w:eastAsia="宋体" w:cs="宋体"/>
                <w:bCs/>
                <w:color w:val="auto"/>
                <w:szCs w:val="21"/>
                <w:highlight w:val="none"/>
              </w:rPr>
              <w:t>分）</w:t>
            </w:r>
          </w:p>
        </w:tc>
        <w:tc>
          <w:tcPr>
            <w:tcW w:w="1532" w:type="dxa"/>
            <w:vMerge w:val="restart"/>
            <w:noWrap w:val="0"/>
            <w:vAlign w:val="center"/>
          </w:tcPr>
          <w:p w14:paraId="5DE24D5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084667F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718AD61C">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14153F1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55AC0CA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施工组织方案内容</w:t>
            </w:r>
          </w:p>
          <w:p w14:paraId="4B0A738C">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40分</w:t>
            </w:r>
            <w:r>
              <w:rPr>
                <w:rFonts w:hint="eastAsia" w:ascii="宋体" w:hAnsi="宋体" w:eastAsia="宋体" w:cs="宋体"/>
                <w:color w:val="auto"/>
                <w:szCs w:val="21"/>
                <w:highlight w:val="none"/>
                <w:lang w:eastAsia="zh-CN"/>
              </w:rPr>
              <w:t>）</w:t>
            </w:r>
          </w:p>
        </w:tc>
        <w:tc>
          <w:tcPr>
            <w:tcW w:w="4605" w:type="dxa"/>
            <w:noWrap w:val="0"/>
            <w:vAlign w:val="center"/>
          </w:tcPr>
          <w:p w14:paraId="32C0CAE9">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主要施工方案与技术措施</w:t>
            </w:r>
          </w:p>
        </w:tc>
        <w:tc>
          <w:tcPr>
            <w:tcW w:w="1140" w:type="dxa"/>
            <w:noWrap w:val="0"/>
            <w:vAlign w:val="center"/>
          </w:tcPr>
          <w:p w14:paraId="36B8370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434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63706CB9">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4816876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710E9F7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7E3878F4">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质量管理体系与措施</w:t>
            </w:r>
          </w:p>
        </w:tc>
        <w:tc>
          <w:tcPr>
            <w:tcW w:w="1140" w:type="dxa"/>
            <w:noWrap w:val="0"/>
            <w:vAlign w:val="center"/>
          </w:tcPr>
          <w:p w14:paraId="72607A2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735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63C5F729">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7EC61BBD">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2CC9DE6B">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61583EBE">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安全管理体系与措施</w:t>
            </w:r>
          </w:p>
        </w:tc>
        <w:tc>
          <w:tcPr>
            <w:tcW w:w="1140" w:type="dxa"/>
            <w:noWrap w:val="0"/>
            <w:vAlign w:val="center"/>
          </w:tcPr>
          <w:p w14:paraId="116F218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26A4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4864EBE0">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3899841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208A469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39EF78A2">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文明施工、环境保护管理体系及施工现场扬尘治理措施 </w:t>
            </w:r>
          </w:p>
        </w:tc>
        <w:tc>
          <w:tcPr>
            <w:tcW w:w="1140" w:type="dxa"/>
            <w:noWrap w:val="0"/>
            <w:vAlign w:val="center"/>
          </w:tcPr>
          <w:p w14:paraId="2F334C7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5F24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2EC8E418">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7D984AB2">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2209A93C">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3EA8E198">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工期保证措施</w:t>
            </w:r>
          </w:p>
        </w:tc>
        <w:tc>
          <w:tcPr>
            <w:tcW w:w="1140" w:type="dxa"/>
            <w:noWrap w:val="0"/>
            <w:vAlign w:val="center"/>
          </w:tcPr>
          <w:p w14:paraId="27ED792B">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2652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30B84AC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41545267">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4E2DF11F">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4264ACB7">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拟投入资源配备计划</w:t>
            </w:r>
          </w:p>
        </w:tc>
        <w:tc>
          <w:tcPr>
            <w:tcW w:w="1140" w:type="dxa"/>
            <w:noWrap w:val="0"/>
            <w:vAlign w:val="center"/>
          </w:tcPr>
          <w:p w14:paraId="43D99214">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4033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3442E506">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627C5FA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2CD28296">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6BAD65DC">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施工总平面布置图、施工进度表与网络计划图</w:t>
            </w:r>
          </w:p>
        </w:tc>
        <w:tc>
          <w:tcPr>
            <w:tcW w:w="1140" w:type="dxa"/>
            <w:noWrap w:val="0"/>
            <w:vAlign w:val="center"/>
          </w:tcPr>
          <w:p w14:paraId="59172436">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2E2F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Merge w:val="continue"/>
            <w:noWrap w:val="0"/>
            <w:vAlign w:val="center"/>
          </w:tcPr>
          <w:p w14:paraId="3933025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18FAD82A">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532" w:type="dxa"/>
            <w:vMerge w:val="continue"/>
            <w:noWrap w:val="0"/>
            <w:vAlign w:val="center"/>
          </w:tcPr>
          <w:p w14:paraId="2D6823AC">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4605" w:type="dxa"/>
            <w:noWrap w:val="0"/>
            <w:vAlign w:val="center"/>
          </w:tcPr>
          <w:p w14:paraId="30436AB9">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lang w:val="en-US" w:eastAsia="zh-CN"/>
              </w:rPr>
            </w:pPr>
            <w:r>
              <w:rPr>
                <w:rFonts w:hint="eastAsia" w:ascii="宋体" w:hAnsi="宋体" w:eastAsia="宋体" w:cs="宋体"/>
                <w:color w:val="auto"/>
                <w:highlight w:val="none"/>
                <w:lang w:val="en-US" w:eastAsia="zh-CN"/>
              </w:rPr>
              <w:t>风险管理措施</w:t>
            </w:r>
          </w:p>
        </w:tc>
        <w:tc>
          <w:tcPr>
            <w:tcW w:w="1140" w:type="dxa"/>
            <w:noWrap w:val="0"/>
            <w:vAlign w:val="center"/>
          </w:tcPr>
          <w:p w14:paraId="48E9A2B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r>
      <w:tr w14:paraId="3685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77" w:type="dxa"/>
            <w:vMerge w:val="continue"/>
            <w:noWrap w:val="0"/>
            <w:vAlign w:val="center"/>
          </w:tcPr>
          <w:p w14:paraId="16498D2A">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62605EBB">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p>
        </w:tc>
        <w:tc>
          <w:tcPr>
            <w:tcW w:w="7277" w:type="dxa"/>
            <w:gridSpan w:val="3"/>
            <w:noWrap w:val="0"/>
            <w:vAlign w:val="center"/>
          </w:tcPr>
          <w:p w14:paraId="56B28484">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说明：以上每项有则按所示分值得分，缺项经半数以上评委确认该项不得分。</w:t>
            </w:r>
          </w:p>
        </w:tc>
      </w:tr>
      <w:tr w14:paraId="6E32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977" w:type="dxa"/>
            <w:vMerge w:val="continue"/>
            <w:noWrap w:val="0"/>
            <w:vAlign w:val="center"/>
          </w:tcPr>
          <w:p w14:paraId="088EC04D">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443038ED">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p>
        </w:tc>
        <w:tc>
          <w:tcPr>
            <w:tcW w:w="1532" w:type="dxa"/>
            <w:vMerge w:val="restart"/>
            <w:noWrap w:val="0"/>
            <w:vAlign w:val="center"/>
          </w:tcPr>
          <w:p w14:paraId="723F2B03">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施工组织方案水平</w:t>
            </w:r>
          </w:p>
          <w:p w14:paraId="252979C8">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（8分）</w:t>
            </w:r>
          </w:p>
        </w:tc>
        <w:tc>
          <w:tcPr>
            <w:tcW w:w="4605" w:type="dxa"/>
            <w:noWrap w:val="0"/>
            <w:vAlign w:val="center"/>
          </w:tcPr>
          <w:p w14:paraId="0CC34159">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有关“施工组织”内容是否齐全、准确、清晰及表达的准确性、条理性等，</w:t>
            </w:r>
            <w:r>
              <w:rPr>
                <w:rFonts w:hint="eastAsia" w:ascii="宋体" w:hAnsi="宋体" w:eastAsia="宋体" w:cs="宋体"/>
                <w:color w:val="auto"/>
                <w:sz w:val="21"/>
                <w:szCs w:val="21"/>
                <w:highlight w:val="none"/>
                <w:lang w:val="en-US" w:eastAsia="zh-CN"/>
              </w:rPr>
              <w:t>方案内容</w:t>
            </w:r>
            <w:r>
              <w:rPr>
                <w:rFonts w:hint="eastAsia" w:ascii="宋体" w:hAnsi="宋体" w:eastAsia="宋体" w:cs="宋体"/>
                <w:color w:val="auto"/>
                <w:sz w:val="21"/>
                <w:szCs w:val="21"/>
                <w:highlight w:val="none"/>
                <w:lang w:eastAsia="zh-CN"/>
              </w:rPr>
              <w:t>设计全面、符合</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lang w:eastAsia="zh-CN"/>
              </w:rPr>
              <w:t>实际</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很强的</w:t>
            </w:r>
            <w:r>
              <w:rPr>
                <w:rFonts w:hint="eastAsia" w:ascii="宋体" w:hAnsi="宋体" w:eastAsia="宋体" w:cs="宋体"/>
                <w:color w:val="auto"/>
                <w:sz w:val="21"/>
                <w:szCs w:val="21"/>
                <w:highlight w:val="none"/>
                <w:lang w:eastAsia="zh-CN"/>
              </w:rPr>
              <w:t>可操作性，</w:t>
            </w:r>
            <w:r>
              <w:rPr>
                <w:rFonts w:hint="eastAsia" w:ascii="宋体" w:hAnsi="宋体" w:eastAsia="宋体" w:cs="宋体"/>
                <w:color w:val="auto"/>
                <w:sz w:val="21"/>
                <w:szCs w:val="21"/>
                <w:highlight w:val="none"/>
                <w:lang w:val="en-US" w:eastAsia="zh-CN"/>
              </w:rPr>
              <w:t>得5分；方案内容</w:t>
            </w: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eastAsia="zh-CN"/>
              </w:rPr>
              <w:t>全面、</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eastAsia="zh-CN"/>
              </w:rPr>
              <w:t>符合</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lang w:eastAsia="zh-CN"/>
              </w:rPr>
              <w:t>实际</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lang w:eastAsia="zh-CN"/>
              </w:rPr>
              <w:t>、具有可操作性设计，</w:t>
            </w:r>
            <w:r>
              <w:rPr>
                <w:rFonts w:hint="eastAsia" w:ascii="宋体" w:hAnsi="宋体" w:eastAsia="宋体" w:cs="宋体"/>
                <w:color w:val="auto"/>
                <w:sz w:val="21"/>
                <w:szCs w:val="21"/>
                <w:highlight w:val="none"/>
                <w:lang w:val="en-US" w:eastAsia="zh-CN"/>
              </w:rPr>
              <w:t>得3分；方案内容设计不够</w:t>
            </w:r>
            <w:r>
              <w:rPr>
                <w:rFonts w:hint="eastAsia" w:ascii="宋体" w:hAnsi="宋体" w:eastAsia="宋体" w:cs="宋体"/>
                <w:color w:val="auto"/>
                <w:sz w:val="21"/>
                <w:szCs w:val="21"/>
                <w:highlight w:val="none"/>
                <w:lang w:eastAsia="zh-CN"/>
              </w:rPr>
              <w:t>全面、</w:t>
            </w:r>
            <w:r>
              <w:rPr>
                <w:rFonts w:hint="eastAsia" w:ascii="宋体" w:hAnsi="宋体" w:eastAsia="宋体" w:cs="宋体"/>
                <w:color w:val="auto"/>
                <w:sz w:val="21"/>
                <w:szCs w:val="21"/>
                <w:highlight w:val="none"/>
                <w:lang w:val="en-US" w:eastAsia="zh-CN"/>
              </w:rPr>
              <w:t>不太</w:t>
            </w:r>
            <w:r>
              <w:rPr>
                <w:rFonts w:hint="eastAsia" w:ascii="宋体" w:hAnsi="宋体" w:eastAsia="宋体" w:cs="宋体"/>
                <w:color w:val="auto"/>
                <w:sz w:val="21"/>
                <w:szCs w:val="21"/>
                <w:highlight w:val="none"/>
                <w:lang w:eastAsia="zh-CN"/>
              </w:rPr>
              <w:t>符合实际</w:t>
            </w:r>
            <w:r>
              <w:rPr>
                <w:rFonts w:hint="eastAsia" w:ascii="宋体" w:hAnsi="宋体" w:eastAsia="宋体" w:cs="宋体"/>
                <w:color w:val="auto"/>
                <w:sz w:val="21"/>
                <w:szCs w:val="21"/>
                <w:highlight w:val="none"/>
                <w:lang w:val="en-US" w:eastAsia="zh-CN"/>
              </w:rPr>
              <w:t>情况</w:t>
            </w:r>
            <w:r>
              <w:rPr>
                <w:rFonts w:hint="eastAsia" w:ascii="宋体" w:hAnsi="宋体" w:eastAsia="宋体" w:cs="宋体"/>
                <w:color w:val="auto"/>
                <w:sz w:val="21"/>
                <w:szCs w:val="21"/>
                <w:highlight w:val="none"/>
                <w:lang w:eastAsia="zh-CN"/>
              </w:rPr>
              <w:t>、可操作性</w:t>
            </w:r>
            <w:r>
              <w:rPr>
                <w:rFonts w:hint="eastAsia" w:ascii="宋体" w:hAnsi="宋体" w:eastAsia="宋体" w:cs="宋体"/>
                <w:color w:val="auto"/>
                <w:sz w:val="21"/>
                <w:szCs w:val="21"/>
                <w:highlight w:val="none"/>
                <w:lang w:val="en-US" w:eastAsia="zh-CN"/>
              </w:rPr>
              <w:t>一般的，得1分</w:t>
            </w:r>
            <w:r>
              <w:rPr>
                <w:rFonts w:hint="eastAsia" w:ascii="宋体" w:hAnsi="宋体" w:eastAsia="宋体" w:cs="宋体"/>
                <w:color w:val="auto"/>
                <w:sz w:val="21"/>
                <w:szCs w:val="21"/>
                <w:highlight w:val="none"/>
                <w:lang w:eastAsia="zh-CN"/>
              </w:rPr>
              <w:t>。</w:t>
            </w:r>
          </w:p>
        </w:tc>
        <w:tc>
          <w:tcPr>
            <w:tcW w:w="1140" w:type="dxa"/>
            <w:noWrap w:val="0"/>
            <w:vAlign w:val="center"/>
          </w:tcPr>
          <w:p w14:paraId="7D51663B">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tc>
      </w:tr>
      <w:tr w14:paraId="322C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977" w:type="dxa"/>
            <w:vMerge w:val="continue"/>
            <w:noWrap w:val="0"/>
            <w:vAlign w:val="center"/>
          </w:tcPr>
          <w:p w14:paraId="491EC6E5">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34EDF373">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p>
        </w:tc>
        <w:tc>
          <w:tcPr>
            <w:tcW w:w="1532" w:type="dxa"/>
            <w:vMerge w:val="continue"/>
            <w:noWrap w:val="0"/>
            <w:vAlign w:val="center"/>
          </w:tcPr>
          <w:p w14:paraId="75A0C0BF">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4605" w:type="dxa"/>
            <w:noWrap w:val="0"/>
            <w:vAlign w:val="center"/>
          </w:tcPr>
          <w:p w14:paraId="22104382">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有关“施工组织”各项主要内容的措施是否稳妥、计划是否周密、流水段的划分、各项交叉作业是否科学、切合实际、合理等可行进行打分。</w:t>
            </w:r>
          </w:p>
          <w:p w14:paraId="3809E8F6">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编制完整详细且合理可行，得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70328382">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编制较完整、较合理可行，得1分；</w:t>
            </w:r>
          </w:p>
          <w:p w14:paraId="55F8C977">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编制不够完整、不够合理，可行性一般，得0.5分。</w:t>
            </w:r>
          </w:p>
        </w:tc>
        <w:tc>
          <w:tcPr>
            <w:tcW w:w="1140" w:type="dxa"/>
            <w:noWrap w:val="0"/>
            <w:vAlign w:val="center"/>
          </w:tcPr>
          <w:p w14:paraId="1FAF90D3">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lang w:eastAsia="zh-CN"/>
              </w:rPr>
              <w:t>分</w:t>
            </w:r>
          </w:p>
        </w:tc>
      </w:tr>
      <w:tr w14:paraId="462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7" w:type="dxa"/>
            <w:vMerge w:val="continue"/>
            <w:noWrap w:val="0"/>
            <w:vAlign w:val="center"/>
          </w:tcPr>
          <w:p w14:paraId="7E2D4E5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185429ED">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p>
        </w:tc>
        <w:tc>
          <w:tcPr>
            <w:tcW w:w="1532" w:type="dxa"/>
            <w:noWrap w:val="0"/>
            <w:vAlign w:val="center"/>
          </w:tcPr>
          <w:p w14:paraId="112E23BB">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组织机构及主要负责人（5分）</w:t>
            </w:r>
          </w:p>
        </w:tc>
        <w:tc>
          <w:tcPr>
            <w:tcW w:w="4605" w:type="dxa"/>
            <w:noWrap w:val="0"/>
            <w:vAlign w:val="center"/>
          </w:tcPr>
          <w:p w14:paraId="73B2CF96">
            <w:pPr>
              <w:pStyle w:val="54"/>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105" w:rightChars="5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机构设置健全得5分，缺项或不提供的不得分。</w:t>
            </w:r>
          </w:p>
          <w:p w14:paraId="759E6BA2">
            <w:pPr>
              <w:pStyle w:val="54"/>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105" w:rightChars="50" w:firstLine="0" w:firstLineChars="0"/>
              <w:jc w:val="left"/>
              <w:textAlignment w:val="auto"/>
              <w:rPr>
                <w:rFonts w:hint="eastAsia" w:ascii="宋体" w:hAnsi="宋体" w:eastAsia="宋体" w:cs="宋体"/>
                <w:color w:val="auto"/>
                <w:highlight w:val="none"/>
              </w:rPr>
            </w:pPr>
            <w:r>
              <w:rPr>
                <w:rFonts w:hint="eastAsia" w:ascii="宋体" w:hAnsi="宋体" w:eastAsia="宋体" w:cs="宋体"/>
                <w:b/>
                <w:bCs/>
                <w:color w:val="auto"/>
                <w:kern w:val="2"/>
                <w:sz w:val="21"/>
                <w:szCs w:val="21"/>
                <w:highlight w:val="none"/>
                <w:lang w:val="en-US" w:eastAsia="zh-CN" w:bidi="ar-SA"/>
              </w:rPr>
              <w:t>（注：投标文件内附施工员、资料员、材料员、安全员、质量员</w:t>
            </w:r>
            <w:r>
              <w:rPr>
                <w:rFonts w:hint="eastAsia"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提供有效期内的人员岗位证书、劳动合同和2026年1月以来连续三个月的社保证明材料））</w:t>
            </w:r>
          </w:p>
        </w:tc>
        <w:tc>
          <w:tcPr>
            <w:tcW w:w="1140" w:type="dxa"/>
            <w:noWrap w:val="0"/>
            <w:vAlign w:val="center"/>
          </w:tcPr>
          <w:p w14:paraId="02B4A657">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r>
      <w:tr w14:paraId="0EFD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977" w:type="dxa"/>
            <w:vMerge w:val="restart"/>
            <w:noWrap w:val="0"/>
            <w:vAlign w:val="center"/>
          </w:tcPr>
          <w:p w14:paraId="345AB423">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p w14:paraId="0940E346">
            <w:pPr>
              <w:pStyle w:val="26"/>
              <w:keepNext w:val="0"/>
              <w:keepLines w:val="0"/>
              <w:pageBreakBefore w:val="0"/>
              <w:kinsoku/>
              <w:wordWrap/>
              <w:overflowPunct/>
              <w:topLinePunct w:val="0"/>
              <w:autoSpaceDE/>
              <w:autoSpaceDN/>
              <w:bidi w:val="0"/>
              <w:adjustRightInd/>
              <w:spacing w:after="0" w:afterLines="0" w:line="240" w:lineRule="auto"/>
              <w:ind w:left="0" w:leftChars="0" w:firstLine="0" w:firstLineChars="0"/>
              <w:jc w:val="center"/>
              <w:textAlignment w:val="auto"/>
              <w:rPr>
                <w:rFonts w:hint="eastAsia" w:ascii="宋体" w:hAnsi="宋体" w:eastAsia="宋体" w:cs="宋体"/>
                <w:color w:val="auto"/>
                <w:szCs w:val="21"/>
                <w:highlight w:val="none"/>
              </w:rPr>
            </w:pPr>
          </w:p>
          <w:p w14:paraId="311A720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014" w:type="dxa"/>
            <w:vMerge w:val="restart"/>
            <w:noWrap w:val="0"/>
            <w:vAlign w:val="center"/>
          </w:tcPr>
          <w:p w14:paraId="59D4D659">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综合标 （</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tc>
        <w:tc>
          <w:tcPr>
            <w:tcW w:w="1532" w:type="dxa"/>
            <w:noWrap w:val="0"/>
            <w:vAlign w:val="center"/>
          </w:tcPr>
          <w:p w14:paraId="4CE07C0E">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企业业绩</w:t>
            </w:r>
          </w:p>
          <w:p w14:paraId="624311FC">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9分）</w:t>
            </w:r>
          </w:p>
        </w:tc>
        <w:tc>
          <w:tcPr>
            <w:tcW w:w="5745" w:type="dxa"/>
            <w:gridSpan w:val="2"/>
            <w:noWrap w:val="0"/>
            <w:vAlign w:val="center"/>
          </w:tcPr>
          <w:p w14:paraId="4FCD0AE0">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年1月1日（以合同签订日期为准）以来供应商承担过类似施工业绩的，每提供1项得3分，最多得9分（以施工合同、中标（成交）公示网上截图、中标（成交）通知书为评审依据，时间以合同签订时间为准，提供不全或不提供不得分）</w:t>
            </w:r>
          </w:p>
        </w:tc>
      </w:tr>
      <w:tr w14:paraId="4600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977" w:type="dxa"/>
            <w:vMerge w:val="continue"/>
            <w:noWrap w:val="0"/>
            <w:vAlign w:val="center"/>
          </w:tcPr>
          <w:p w14:paraId="22F3A5E1">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auto"/>
                <w:szCs w:val="21"/>
                <w:highlight w:val="none"/>
              </w:rPr>
            </w:pPr>
          </w:p>
        </w:tc>
        <w:tc>
          <w:tcPr>
            <w:tcW w:w="1014" w:type="dxa"/>
            <w:vMerge w:val="continue"/>
            <w:noWrap w:val="0"/>
            <w:vAlign w:val="center"/>
          </w:tcPr>
          <w:p w14:paraId="7AF1D865">
            <w:pPr>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ascii="宋体" w:hAnsi="宋体" w:eastAsia="宋体" w:cs="宋体"/>
                <w:color w:val="auto"/>
                <w:szCs w:val="21"/>
                <w:highlight w:val="none"/>
              </w:rPr>
            </w:pPr>
          </w:p>
        </w:tc>
        <w:tc>
          <w:tcPr>
            <w:tcW w:w="1532" w:type="dxa"/>
            <w:noWrap w:val="0"/>
            <w:vAlign w:val="center"/>
          </w:tcPr>
          <w:p w14:paraId="30462810">
            <w:pPr>
              <w:pStyle w:val="4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履职尽责承诺</w:t>
            </w:r>
          </w:p>
          <w:p w14:paraId="1ACBD9DB">
            <w:pPr>
              <w:pStyle w:val="4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（4分）</w:t>
            </w:r>
          </w:p>
        </w:tc>
        <w:tc>
          <w:tcPr>
            <w:tcW w:w="5745" w:type="dxa"/>
            <w:gridSpan w:val="2"/>
            <w:noWrap w:val="0"/>
            <w:vAlign w:val="center"/>
          </w:tcPr>
          <w:p w14:paraId="616B0885">
            <w:pPr>
              <w:keepNext w:val="0"/>
              <w:keepLines w:val="0"/>
              <w:pageBreakBefore w:val="0"/>
              <w:widowControl w:val="0"/>
              <w:kinsoku/>
              <w:overflowPunct/>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供应商履约保证的全面、详实、可行、合法有效等情况打，内容全面详实、合理、可行得4分，内容相较全面、相较合理、相较可行得2分，内容不全面、合理性差、可行性差得1分，内容不全面且不符合实际情况、不合理、不可行得0.5分，未提供履职尽责承诺不得分。</w:t>
            </w:r>
          </w:p>
        </w:tc>
      </w:tr>
      <w:tr w14:paraId="0502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77" w:type="dxa"/>
            <w:vMerge w:val="continue"/>
            <w:noWrap w:val="0"/>
            <w:vAlign w:val="center"/>
          </w:tcPr>
          <w:p w14:paraId="20B77255">
            <w:pPr>
              <w:keepNext w:val="0"/>
              <w:keepLines w:val="0"/>
              <w:pageBreakBefore w:val="0"/>
              <w:widowControl/>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szCs w:val="21"/>
                <w:highlight w:val="none"/>
              </w:rPr>
            </w:pPr>
          </w:p>
        </w:tc>
        <w:tc>
          <w:tcPr>
            <w:tcW w:w="1014" w:type="dxa"/>
            <w:vMerge w:val="continue"/>
            <w:noWrap w:val="0"/>
            <w:vAlign w:val="center"/>
          </w:tcPr>
          <w:p w14:paraId="03943348">
            <w:pPr>
              <w:keepNext w:val="0"/>
              <w:keepLines w:val="0"/>
              <w:pageBreakBefore w:val="0"/>
              <w:widowControl/>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auto"/>
                <w:szCs w:val="21"/>
                <w:highlight w:val="none"/>
              </w:rPr>
            </w:pPr>
          </w:p>
        </w:tc>
        <w:tc>
          <w:tcPr>
            <w:tcW w:w="1532" w:type="dxa"/>
            <w:noWrap w:val="0"/>
            <w:vAlign w:val="center"/>
          </w:tcPr>
          <w:p w14:paraId="3A3C15A2">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优惠承诺</w:t>
            </w:r>
          </w:p>
          <w:p w14:paraId="3B08F34A">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4分</w:t>
            </w:r>
            <w:r>
              <w:rPr>
                <w:rFonts w:hint="eastAsia" w:ascii="宋体" w:hAnsi="宋体" w:eastAsia="宋体" w:cs="宋体"/>
                <w:color w:val="auto"/>
                <w:highlight w:val="none"/>
                <w:lang w:eastAsia="zh-CN"/>
              </w:rPr>
              <w:t>）</w:t>
            </w:r>
          </w:p>
        </w:tc>
        <w:tc>
          <w:tcPr>
            <w:tcW w:w="5745" w:type="dxa"/>
            <w:gridSpan w:val="2"/>
            <w:noWrap w:val="0"/>
            <w:vAlign w:val="center"/>
          </w:tcPr>
          <w:p w14:paraId="45C76445">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color w:val="auto"/>
                <w:highlight w:val="none"/>
                <w:lang w:val="en-US" w:eastAsia="zh-CN"/>
              </w:rPr>
            </w:pPr>
            <w:r>
              <w:rPr>
                <w:rFonts w:hint="eastAsia" w:ascii="宋体" w:hAnsi="宋体" w:eastAsia="宋体" w:cs="宋体"/>
                <w:color w:val="auto"/>
                <w:highlight w:val="none"/>
                <w:lang w:val="en-US" w:eastAsia="zh-CN"/>
              </w:rPr>
              <w:t>磋商小组根据供应商提供的书面优惠承诺符合工程实际、确保依法依规，优惠合理，详实可行等情况，内容全面详实、合理、可行得4分，内容相较全面、相较合理、相较可行得2分，内容不全面、合理性差、可行性差得0.5分，无此项内容不得分。</w:t>
            </w:r>
          </w:p>
        </w:tc>
      </w:tr>
    </w:tbl>
    <w:p w14:paraId="123FDA25">
      <w:pPr>
        <w:pageBreakBefore w:val="0"/>
        <w:widowControl w:val="0"/>
        <w:numPr>
          <w:ilvl w:val="0"/>
          <w:numId w:val="2"/>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highlight w:val="none"/>
        </w:rPr>
      </w:pPr>
      <w:bookmarkStart w:id="827" w:name="_Toc31515"/>
      <w:bookmarkStart w:id="828" w:name="_Toc11806"/>
      <w:r>
        <w:rPr>
          <w:rFonts w:hint="eastAsia" w:ascii="宋体" w:hAnsi="宋体" w:eastAsia="宋体" w:cs="宋体"/>
          <w:b/>
          <w:bCs/>
          <w:color w:val="auto"/>
          <w:szCs w:val="21"/>
          <w:highlight w:val="none"/>
        </w:rPr>
        <w:t>评审方法</w:t>
      </w:r>
      <w:bookmarkEnd w:id="820"/>
      <w:bookmarkEnd w:id="821"/>
      <w:bookmarkEnd w:id="822"/>
      <w:bookmarkEnd w:id="823"/>
      <w:bookmarkEnd w:id="824"/>
      <w:bookmarkEnd w:id="825"/>
      <w:bookmarkEnd w:id="827"/>
      <w:bookmarkEnd w:id="828"/>
    </w:p>
    <w:p w14:paraId="421EF46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en-US"/>
        </w:rPr>
        <w:t>1.1</w:t>
      </w:r>
      <w:r>
        <w:rPr>
          <w:rFonts w:hint="eastAsia" w:ascii="宋体" w:hAnsi="宋体" w:eastAsia="宋体" w:cs="宋体"/>
          <w:color w:val="auto"/>
          <w:szCs w:val="21"/>
          <w:highlight w:val="none"/>
          <w:lang w:bidi="en-US"/>
        </w:rPr>
        <w:t>本次评审采用综合评分法。磋商小组对满足</w:t>
      </w:r>
      <w:r>
        <w:rPr>
          <w:rFonts w:hint="eastAsia" w:ascii="宋体" w:hAnsi="宋体" w:eastAsia="宋体" w:cs="宋体"/>
          <w:color w:val="auto"/>
          <w:szCs w:val="21"/>
          <w:highlight w:val="none"/>
          <w:lang w:eastAsia="zh-CN" w:bidi="en-US"/>
        </w:rPr>
        <w:t>竞争性磋商文件</w:t>
      </w:r>
      <w:r>
        <w:rPr>
          <w:rFonts w:hint="eastAsia" w:ascii="宋体" w:hAnsi="宋体" w:eastAsia="宋体" w:cs="宋体"/>
          <w:color w:val="auto"/>
          <w:szCs w:val="21"/>
          <w:highlight w:val="none"/>
          <w:lang w:bidi="en-US"/>
        </w:rPr>
        <w:t>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综合评分相等时，以报价得分高的优先；报价得分也相等的，由采购人自行确定。</w:t>
      </w:r>
      <w:bookmarkStart w:id="829" w:name="_Toc20837"/>
      <w:bookmarkStart w:id="830" w:name="_Toc29362"/>
      <w:bookmarkStart w:id="831" w:name="_Toc490667876"/>
      <w:bookmarkStart w:id="832" w:name="_Toc466298140"/>
      <w:bookmarkStart w:id="833" w:name="_Toc26131"/>
      <w:bookmarkStart w:id="834" w:name="_Toc152042378"/>
      <w:bookmarkStart w:id="835" w:name="_Toc455867817"/>
      <w:bookmarkStart w:id="836" w:name="_Toc455080157"/>
      <w:bookmarkStart w:id="837" w:name="_Toc318450723"/>
      <w:bookmarkStart w:id="838" w:name="_Toc144974568"/>
      <w:bookmarkStart w:id="839" w:name="_Toc24936"/>
      <w:bookmarkStart w:id="840" w:name="_Toc152045601"/>
      <w:bookmarkStart w:id="841" w:name="_Toc281405529"/>
      <w:bookmarkStart w:id="842" w:name="_Toc6612"/>
    </w:p>
    <w:p w14:paraId="631C40A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sz w:val="21"/>
          <w:szCs w:val="21"/>
          <w:highlight w:val="none"/>
        </w:rPr>
        <w:t>经评标委员会初步评审后有效投标不足3个的，评标委员会应予废标。</w:t>
      </w:r>
    </w:p>
    <w:p w14:paraId="5E4CF777">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评审标准</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Start w:id="843" w:name="_Toc144974569"/>
      <w:bookmarkStart w:id="844" w:name="_Toc11223"/>
      <w:bookmarkStart w:id="845" w:name="_Toc152042379"/>
      <w:bookmarkStart w:id="846" w:name="_Toc21120"/>
      <w:bookmarkStart w:id="847" w:name="_Toc152045602"/>
      <w:bookmarkStart w:id="848" w:name="_Toc455080158"/>
      <w:bookmarkStart w:id="849" w:name="_Toc318450724"/>
      <w:bookmarkStart w:id="850" w:name="_Toc25637"/>
      <w:bookmarkStart w:id="851" w:name="_Toc490667877"/>
      <w:bookmarkStart w:id="852" w:name="_Toc281405530"/>
      <w:bookmarkStart w:id="853" w:name="_Toc24558"/>
      <w:bookmarkStart w:id="854" w:name="_Toc19934"/>
      <w:bookmarkStart w:id="855" w:name="_Toc15813"/>
      <w:bookmarkStart w:id="856" w:name="_Toc466298141"/>
      <w:bookmarkStart w:id="857" w:name="_Toc31037"/>
      <w:bookmarkStart w:id="858" w:name="_Toc455867818"/>
      <w:bookmarkStart w:id="859" w:name="_Toc6711"/>
      <w:bookmarkStart w:id="860" w:name="_Toc2867"/>
    </w:p>
    <w:p w14:paraId="3DF7A574">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初步评审标准</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AA410B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15FD43F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性检查评审标准：见评审办法前附表。</w:t>
      </w:r>
    </w:p>
    <w:p w14:paraId="3BA94202">
      <w:pPr>
        <w:pStyle w:val="63"/>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highlight w:val="none"/>
        </w:rPr>
      </w:pPr>
      <w:bookmarkStart w:id="861" w:name="_Toc22439"/>
      <w:bookmarkStart w:id="862" w:name="_Toc25487"/>
      <w:bookmarkStart w:id="863" w:name="_Toc152042380"/>
      <w:bookmarkStart w:id="864" w:name="_Toc26179"/>
      <w:bookmarkStart w:id="865" w:name="_Toc12013"/>
      <w:bookmarkStart w:id="866" w:name="_Toc318450725"/>
      <w:bookmarkStart w:id="867" w:name="_Toc11061"/>
      <w:bookmarkStart w:id="868" w:name="_Toc144974570"/>
      <w:bookmarkStart w:id="869" w:name="_Toc455080159"/>
      <w:bookmarkStart w:id="870" w:name="_Toc12061"/>
      <w:bookmarkStart w:id="871" w:name="_Toc455867819"/>
      <w:bookmarkStart w:id="872" w:name="_Toc152045603"/>
      <w:bookmarkStart w:id="873" w:name="_Toc281405531"/>
      <w:bookmarkStart w:id="874" w:name="_Toc30189"/>
      <w:bookmarkStart w:id="875" w:name="_Toc466298142"/>
      <w:bookmarkStart w:id="876" w:name="_Toc21970"/>
      <w:bookmarkStart w:id="877" w:name="_Toc25492"/>
      <w:bookmarkStart w:id="878" w:name="_Toc7284"/>
      <w:bookmarkStart w:id="879" w:name="_Toc490667878"/>
      <w:bookmarkStart w:id="880" w:name="_Toc24825"/>
      <w:r>
        <w:rPr>
          <w:rFonts w:hint="eastAsia" w:ascii="宋体" w:hAnsi="宋体" w:eastAsia="宋体" w:cs="宋体"/>
          <w:b/>
          <w:bCs/>
          <w:color w:val="auto"/>
          <w:sz w:val="21"/>
          <w:szCs w:val="21"/>
          <w:highlight w:val="none"/>
        </w:rPr>
        <w:t>2.2 分值构成与评分标准</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747EF56B">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074D17E4">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04D797C7">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0F82B27D">
      <w:pPr>
        <w:pStyle w:val="62"/>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highlight w:val="none"/>
        </w:rPr>
      </w:pPr>
      <w:bookmarkStart w:id="881" w:name="_Toc466298143"/>
      <w:bookmarkStart w:id="882" w:name="_Toc24027"/>
      <w:bookmarkStart w:id="883" w:name="_Toc455867820"/>
      <w:bookmarkStart w:id="884" w:name="_Toc16479"/>
      <w:bookmarkStart w:id="885" w:name="_Toc455080160"/>
      <w:bookmarkStart w:id="886" w:name="_Toc18127"/>
      <w:bookmarkStart w:id="887" w:name="_Toc318450726"/>
      <w:bookmarkStart w:id="888" w:name="_Toc7582"/>
      <w:bookmarkStart w:id="889" w:name="_Toc17308"/>
      <w:bookmarkStart w:id="890" w:name="_Toc32314"/>
      <w:bookmarkStart w:id="891" w:name="_Toc29297"/>
      <w:bookmarkStart w:id="892" w:name="_Toc490667879"/>
      <w:bookmarkStart w:id="893" w:name="_Toc281405532"/>
      <w:r>
        <w:rPr>
          <w:rFonts w:hint="eastAsia" w:ascii="宋体" w:hAnsi="宋体" w:eastAsia="宋体" w:cs="宋体"/>
          <w:b/>
          <w:bCs/>
          <w:color w:val="auto"/>
          <w:sz w:val="21"/>
          <w:szCs w:val="21"/>
          <w:highlight w:val="none"/>
        </w:rPr>
        <w:t>3. 评审程序</w:t>
      </w:r>
      <w:bookmarkEnd w:id="881"/>
      <w:bookmarkEnd w:id="882"/>
      <w:bookmarkEnd w:id="883"/>
      <w:bookmarkEnd w:id="884"/>
      <w:bookmarkEnd w:id="885"/>
      <w:bookmarkEnd w:id="886"/>
      <w:bookmarkEnd w:id="887"/>
      <w:bookmarkEnd w:id="888"/>
      <w:bookmarkEnd w:id="889"/>
      <w:bookmarkEnd w:id="890"/>
      <w:bookmarkEnd w:id="891"/>
      <w:bookmarkEnd w:id="892"/>
      <w:bookmarkEnd w:id="893"/>
    </w:p>
    <w:p w14:paraId="029EB410">
      <w:pPr>
        <w:pStyle w:val="63"/>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highlight w:val="none"/>
        </w:rPr>
      </w:pPr>
      <w:bookmarkStart w:id="894" w:name="_Toc16892"/>
      <w:bookmarkStart w:id="895" w:name="_Toc18067"/>
      <w:bookmarkStart w:id="896" w:name="_Toc14633"/>
      <w:bookmarkStart w:id="897" w:name="_Toc455080161"/>
      <w:bookmarkStart w:id="898" w:name="_Toc2410"/>
      <w:bookmarkStart w:id="899" w:name="_Toc5427"/>
      <w:bookmarkStart w:id="900" w:name="_Toc29614"/>
      <w:bookmarkStart w:id="901" w:name="_Toc281405533"/>
      <w:bookmarkStart w:id="902" w:name="_Toc318450727"/>
      <w:bookmarkStart w:id="903" w:name="_Toc18886"/>
      <w:bookmarkStart w:id="904" w:name="_Toc9433"/>
      <w:bookmarkStart w:id="905" w:name="_Toc7602"/>
      <w:bookmarkStart w:id="906" w:name="_Toc30986"/>
      <w:bookmarkStart w:id="907" w:name="_Toc490667880"/>
      <w:bookmarkStart w:id="908" w:name="_Toc29092"/>
      <w:bookmarkStart w:id="909" w:name="_Toc466298144"/>
      <w:bookmarkStart w:id="910" w:name="_Toc455867821"/>
      <w:bookmarkStart w:id="911" w:name="_Toc7272"/>
      <w:r>
        <w:rPr>
          <w:rFonts w:hint="eastAsia" w:ascii="宋体" w:hAnsi="宋体" w:eastAsia="宋体" w:cs="宋体"/>
          <w:b/>
          <w:bCs/>
          <w:color w:val="auto"/>
          <w:sz w:val="21"/>
          <w:szCs w:val="21"/>
          <w:highlight w:val="none"/>
        </w:rPr>
        <w:t>3.1 初步评审</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4919442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bookmarkStart w:id="912" w:name="_Toc16964"/>
      <w:bookmarkStart w:id="913" w:name="_Toc21032"/>
      <w:bookmarkStart w:id="914" w:name="_Toc318450728"/>
      <w:bookmarkStart w:id="915" w:name="_Toc281405534"/>
      <w:bookmarkStart w:id="916" w:name="_Toc22101"/>
      <w:bookmarkStart w:id="917" w:name="_Toc26049"/>
      <w:bookmarkStart w:id="918" w:name="_Toc455867822"/>
      <w:bookmarkStart w:id="919" w:name="_Toc21570"/>
      <w:bookmarkStart w:id="920" w:name="_Toc466298145"/>
      <w:bookmarkStart w:id="921" w:name="_Toc7121"/>
      <w:bookmarkStart w:id="922" w:name="_Toc455080162"/>
      <w:bookmarkStart w:id="923" w:name="_Toc13386"/>
      <w:bookmarkStart w:id="924" w:name="_Toc490667881"/>
      <w:bookmarkStart w:id="925" w:name="_Toc26280"/>
      <w:bookmarkStart w:id="926" w:name="_Toc10692"/>
      <w:bookmarkStart w:id="927" w:name="_Toc12406"/>
      <w:r>
        <w:rPr>
          <w:rFonts w:hint="eastAsia" w:ascii="宋体" w:hAnsi="宋体" w:eastAsia="宋体" w:cs="宋体"/>
          <w:color w:val="auto"/>
          <w:sz w:val="21"/>
          <w:szCs w:val="21"/>
          <w:highlight w:val="none"/>
        </w:rPr>
        <w:t>3.1.1只有通过资格审查的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w:t>
      </w:r>
      <w:r>
        <w:rPr>
          <w:rFonts w:hint="eastAsia" w:ascii="宋体" w:hAnsi="宋体" w:eastAsia="宋体" w:cs="宋体"/>
          <w:color w:val="auto"/>
          <w:sz w:val="21"/>
          <w:szCs w:val="21"/>
          <w:highlight w:val="none"/>
          <w:lang w:eastAsia="zh-CN"/>
        </w:rPr>
        <w:t>符合性评审</w:t>
      </w:r>
      <w:r>
        <w:rPr>
          <w:rFonts w:hint="eastAsia" w:ascii="宋体" w:hAnsi="宋体" w:eastAsia="宋体" w:cs="宋体"/>
          <w:color w:val="auto"/>
          <w:sz w:val="21"/>
          <w:szCs w:val="21"/>
          <w:highlight w:val="none"/>
        </w:rPr>
        <w:t>。评标委员会依据</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规定的内容和标准对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eastAsia="zh-CN"/>
        </w:rPr>
        <w:t>符合性审查</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有一项不符合评审标准的，其投标做无效</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处理，不得进入详细评审。</w:t>
      </w:r>
    </w:p>
    <w:p w14:paraId="716A46E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5F828502">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）串通或弄虚作假或有其他违法行为的；</w:t>
      </w:r>
    </w:p>
    <w:p w14:paraId="765F1304">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）不按磋商小组要求澄清、说明或补正的；</w:t>
      </w:r>
    </w:p>
    <w:p w14:paraId="56C3CCDA">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）未按规定格式填写、内容不全或关键字迹模糊、无法辨认的；</w:t>
      </w:r>
    </w:p>
    <w:p w14:paraId="5BC76216">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）响应文件附有采购人不能接受的条件；</w:t>
      </w:r>
    </w:p>
    <w:p w14:paraId="0EE02BCF">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规定的其他实质性要求。</w:t>
      </w:r>
    </w:p>
    <w:p w14:paraId="0C027365">
      <w:pPr>
        <w:pStyle w:val="63"/>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highlight w:val="none"/>
        </w:rPr>
      </w:pPr>
      <w:bookmarkStart w:id="928" w:name="_Toc21372"/>
      <w:bookmarkStart w:id="929" w:name="_Toc13544"/>
      <w:r>
        <w:rPr>
          <w:rFonts w:hint="eastAsia" w:ascii="宋体" w:hAnsi="宋体" w:eastAsia="宋体" w:cs="宋体"/>
          <w:b/>
          <w:bCs/>
          <w:color w:val="auto"/>
          <w:sz w:val="21"/>
          <w:szCs w:val="21"/>
          <w:highlight w:val="none"/>
        </w:rPr>
        <w:t>3.2 详细评审</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22EA32D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34FC921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69CBCB8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14:paraId="4D40B05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中无界定或界定不清、前后不一致使磋商小组意见有分歧且又难以协商一致的问题，均由磋商小组予以表决，获半数以上同意的即为通过，未获半数同意的即为否决。</w:t>
      </w:r>
    </w:p>
    <w:p w14:paraId="15BFBB03">
      <w:pPr>
        <w:pStyle w:val="63"/>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highlight w:val="none"/>
        </w:rPr>
      </w:pPr>
      <w:bookmarkStart w:id="930" w:name="_Toc10153"/>
      <w:bookmarkStart w:id="931" w:name="_Toc8342"/>
      <w:bookmarkStart w:id="932" w:name="_Toc490667882"/>
      <w:bookmarkStart w:id="933" w:name="_Toc2657"/>
      <w:bookmarkStart w:id="934" w:name="_Toc24862"/>
      <w:bookmarkStart w:id="935" w:name="_Toc9684"/>
      <w:bookmarkStart w:id="936" w:name="_Toc466298146"/>
      <w:bookmarkStart w:id="937" w:name="_Toc281405535"/>
      <w:bookmarkStart w:id="938" w:name="_Toc28633"/>
      <w:bookmarkStart w:id="939" w:name="_Toc579"/>
      <w:bookmarkStart w:id="940" w:name="_Toc331"/>
      <w:bookmarkStart w:id="941" w:name="_Toc22084"/>
      <w:bookmarkStart w:id="942" w:name="_Toc455080163"/>
      <w:bookmarkStart w:id="943" w:name="_Toc8813"/>
      <w:bookmarkStart w:id="944" w:name="_Toc318450729"/>
      <w:bookmarkStart w:id="945" w:name="_Toc12374"/>
      <w:bookmarkStart w:id="946" w:name="_Toc455867823"/>
      <w:bookmarkStart w:id="947" w:name="_Toc11958"/>
      <w:r>
        <w:rPr>
          <w:rFonts w:hint="eastAsia" w:ascii="宋体" w:hAnsi="宋体" w:eastAsia="宋体" w:cs="宋体"/>
          <w:b/>
          <w:bCs/>
          <w:color w:val="auto"/>
          <w:sz w:val="21"/>
          <w:szCs w:val="21"/>
          <w:highlight w:val="none"/>
        </w:rPr>
        <w:t>3.3 响应文件的澄清和补正</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66646D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1EE3A8E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644EA89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72EDE11E">
      <w:pPr>
        <w:pStyle w:val="63"/>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highlight w:val="none"/>
        </w:rPr>
      </w:pPr>
      <w:bookmarkStart w:id="948" w:name="_Toc22682"/>
      <w:bookmarkStart w:id="949" w:name="_Toc22049"/>
      <w:bookmarkStart w:id="950" w:name="_Toc19938"/>
      <w:bookmarkStart w:id="951" w:name="_Toc26894"/>
      <w:bookmarkStart w:id="952" w:name="_Toc1857"/>
      <w:bookmarkStart w:id="953" w:name="_Toc318450730"/>
      <w:bookmarkStart w:id="954" w:name="_Toc281405536"/>
      <w:bookmarkStart w:id="955" w:name="_Toc455867824"/>
      <w:bookmarkStart w:id="956" w:name="_Toc19453"/>
      <w:bookmarkStart w:id="957" w:name="_Toc23469"/>
      <w:bookmarkStart w:id="958" w:name="_Toc30053"/>
      <w:bookmarkStart w:id="959" w:name="_Toc490667883"/>
      <w:bookmarkStart w:id="960" w:name="_Toc32183"/>
      <w:bookmarkStart w:id="961" w:name="_Toc466298147"/>
      <w:bookmarkStart w:id="962" w:name="_Toc5903"/>
      <w:bookmarkStart w:id="963" w:name="_Toc455080164"/>
      <w:bookmarkStart w:id="964" w:name="_Toc21058"/>
      <w:bookmarkStart w:id="965" w:name="_Toc22986"/>
      <w:r>
        <w:rPr>
          <w:rFonts w:hint="eastAsia" w:ascii="宋体" w:hAnsi="宋体" w:eastAsia="宋体" w:cs="宋体"/>
          <w:color w:val="auto"/>
          <w:sz w:val="21"/>
          <w:szCs w:val="21"/>
          <w:highlight w:val="none"/>
        </w:rPr>
        <w:t>3.4 评审结果</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22667E3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14:paraId="438A399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11178724">
      <w:pPr>
        <w:pStyle w:val="26"/>
        <w:rPr>
          <w:rFonts w:hint="eastAsia" w:ascii="宋体" w:hAnsi="宋体" w:cs="宋体"/>
          <w:bCs/>
          <w:color w:val="auto"/>
          <w:sz w:val="28"/>
          <w:szCs w:val="28"/>
          <w:highlight w:val="none"/>
        </w:rPr>
      </w:pPr>
      <w:bookmarkStart w:id="966" w:name="_Toc144974577"/>
      <w:bookmarkStart w:id="967" w:name="_Toc152045609"/>
      <w:bookmarkStart w:id="968" w:name="_Toc152042387"/>
      <w:bookmarkStart w:id="969" w:name="_Toc14024"/>
    </w:p>
    <w:p w14:paraId="613AEADC">
      <w:pPr>
        <w:pStyle w:val="27"/>
        <w:tabs>
          <w:tab w:val="left" w:pos="945"/>
          <w:tab w:val="left" w:pos="1155"/>
        </w:tabs>
        <w:rPr>
          <w:rFonts w:hint="eastAsia" w:ascii="宋体" w:hAnsi="宋体" w:cs="宋体"/>
          <w:bCs/>
          <w:color w:val="auto"/>
          <w:sz w:val="28"/>
          <w:szCs w:val="28"/>
          <w:highlight w:val="none"/>
        </w:rPr>
      </w:pPr>
    </w:p>
    <w:p w14:paraId="750DC934">
      <w:pPr>
        <w:rPr>
          <w:rFonts w:hint="eastAsia" w:ascii="宋体" w:hAnsi="宋体" w:cs="宋体"/>
          <w:bCs/>
          <w:color w:val="auto"/>
          <w:sz w:val="28"/>
          <w:szCs w:val="28"/>
          <w:highlight w:val="none"/>
        </w:rPr>
      </w:pPr>
    </w:p>
    <w:p w14:paraId="61821ED7">
      <w:pPr>
        <w:pStyle w:val="4"/>
        <w:pageBreakBefore w:val="0"/>
        <w:numPr>
          <w:ilvl w:val="0"/>
          <w:numId w:val="0"/>
        </w:numPr>
        <w:kinsoku/>
        <w:wordWrap/>
        <w:overflowPunct/>
        <w:topLinePunct w:val="0"/>
        <w:bidi w:val="0"/>
        <w:spacing w:line="400" w:lineRule="exact"/>
        <w:ind w:left="459" w:leftChars="0"/>
        <w:rPr>
          <w:rFonts w:hint="eastAsia" w:ascii="宋体" w:hAnsi="宋体" w:eastAsia="宋体" w:cs="宋体"/>
          <w:color w:val="auto"/>
          <w:sz w:val="21"/>
          <w:szCs w:val="21"/>
          <w:highlight w:val="none"/>
        </w:rPr>
        <w:sectPr>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1EE51444">
      <w:pPr>
        <w:keepNext/>
        <w:keepLines/>
        <w:pageBreakBefore w:val="0"/>
        <w:widowControl w:val="0"/>
        <w:kinsoku/>
        <w:wordWrap/>
        <w:overflowPunct/>
        <w:topLinePunct w:val="0"/>
        <w:bidi w:val="0"/>
        <w:spacing w:after="0" w:afterLines="0" w:line="400" w:lineRule="exact"/>
        <w:ind w:firstLine="422" w:firstLineChars="200"/>
        <w:jc w:val="left"/>
        <w:outlineLvl w:val="2"/>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附件：废标条件</w:t>
      </w:r>
    </w:p>
    <w:p w14:paraId="49424AF1">
      <w:pPr>
        <w:pageBreakBefore w:val="0"/>
        <w:kinsoku/>
        <w:wordWrap/>
        <w:overflowPunct/>
        <w:topLinePunct w:val="0"/>
        <w:bidi w:val="0"/>
        <w:spacing w:line="400" w:lineRule="exact"/>
        <w:ind w:firstLine="422" w:firstLineChars="20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废标条件</w:t>
      </w:r>
    </w:p>
    <w:p w14:paraId="0C90BAAA">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6F5C6322">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1.未通过第三章评标办法</w:t>
      </w:r>
      <w:r>
        <w:rPr>
          <w:rFonts w:hint="eastAsia" w:ascii="宋体" w:hAnsi="宋体" w:eastAsia="宋体" w:cs="宋体"/>
          <w:b/>
          <w:color w:val="000000"/>
          <w:sz w:val="21"/>
          <w:szCs w:val="21"/>
          <w:lang w:eastAsia="zh-CN"/>
        </w:rPr>
        <w:t>资格评审、符合性评审的</w:t>
      </w:r>
      <w:r>
        <w:rPr>
          <w:rFonts w:hint="eastAsia" w:ascii="宋体" w:hAnsi="宋体" w:eastAsia="宋体" w:cs="宋体"/>
          <w:b/>
          <w:color w:val="000000"/>
          <w:sz w:val="21"/>
          <w:szCs w:val="21"/>
        </w:rPr>
        <w:t xml:space="preserve">； </w:t>
      </w:r>
    </w:p>
    <w:p w14:paraId="43B5E666">
      <w:pPr>
        <w:pageBreakBefore w:val="0"/>
        <w:kinsoku/>
        <w:wordWrap/>
        <w:overflowPunct/>
        <w:topLinePunct w:val="0"/>
        <w:bidi w:val="0"/>
        <w:spacing w:line="400" w:lineRule="exact"/>
        <w:ind w:firstLine="211" w:firstLine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.不按评标委员会要求澄清、说明或补正的；</w:t>
      </w:r>
    </w:p>
    <w:p w14:paraId="0347D481">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.投标报价有算术性错误，投标人不接受修正价格的；</w:t>
      </w:r>
    </w:p>
    <w:p w14:paraId="7ABA74D1">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4</w:t>
      </w:r>
      <w:r>
        <w:rPr>
          <w:rFonts w:hint="eastAsia" w:ascii="宋体" w:hAnsi="宋体" w:eastAsia="宋体" w:cs="宋体"/>
          <w:b/>
          <w:color w:val="000000"/>
          <w:sz w:val="21"/>
          <w:szCs w:val="21"/>
        </w:rPr>
        <w:t>.以他人的名义投标、以行贿手段谋取中标或者以其他弄虚作假方式投标的；</w:t>
      </w:r>
    </w:p>
    <w:p w14:paraId="4D8020D0">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5</w:t>
      </w:r>
      <w:r>
        <w:rPr>
          <w:rFonts w:hint="eastAsia" w:ascii="宋体" w:hAnsi="宋体" w:eastAsia="宋体" w:cs="宋体"/>
          <w:b/>
          <w:color w:val="000000"/>
          <w:sz w:val="21"/>
          <w:szCs w:val="21"/>
        </w:rPr>
        <w:t>.属于串（围）标行为的；</w:t>
      </w:r>
    </w:p>
    <w:p w14:paraId="30A3CBE2">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6</w:t>
      </w:r>
      <w:r>
        <w:rPr>
          <w:rFonts w:hint="eastAsia" w:ascii="宋体" w:hAnsi="宋体" w:eastAsia="宋体" w:cs="宋体"/>
          <w:b/>
          <w:color w:val="000000"/>
          <w:sz w:val="21"/>
          <w:szCs w:val="21"/>
        </w:rPr>
        <w:t>.评标委员会认定投标人以低于成本报价竞标的；</w:t>
      </w:r>
    </w:p>
    <w:p w14:paraId="5F33ACF2">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7</w:t>
      </w:r>
      <w:r>
        <w:rPr>
          <w:rFonts w:hint="eastAsia" w:ascii="宋体" w:hAnsi="宋体" w:eastAsia="宋体" w:cs="宋体"/>
          <w:b/>
          <w:color w:val="000000"/>
          <w:sz w:val="21"/>
          <w:szCs w:val="21"/>
        </w:rPr>
        <w:t>．明显不符合技术规格、技术标准的要求；</w:t>
      </w:r>
    </w:p>
    <w:p w14:paraId="4BF7FE34">
      <w:pPr>
        <w:pageBreakBefore w:val="0"/>
        <w:kinsoku/>
        <w:wordWrap/>
        <w:overflowPunct/>
        <w:topLinePunct w:val="0"/>
        <w:bidi w:val="0"/>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8</w:t>
      </w:r>
      <w:r>
        <w:rPr>
          <w:rFonts w:hint="eastAsia" w:ascii="宋体" w:hAnsi="宋体" w:eastAsia="宋体" w:cs="宋体"/>
          <w:b/>
          <w:color w:val="000000"/>
          <w:sz w:val="21"/>
          <w:szCs w:val="21"/>
        </w:rPr>
        <w:t>.不具备招标文件中规定的资格要求的；</w:t>
      </w:r>
    </w:p>
    <w:p w14:paraId="005FCA04">
      <w:pPr>
        <w:pageBreakBefore w:val="0"/>
        <w:widowControl w:val="0"/>
        <w:kinsoku/>
        <w:wordWrap w:val="0"/>
        <w:overflowPunct/>
        <w:topLinePunct/>
        <w:autoSpaceDE/>
        <w:autoSpaceDN/>
        <w:bidi w:val="0"/>
        <w:spacing w:line="312" w:lineRule="auto"/>
        <w:ind w:firstLine="422" w:firstLineChars="200"/>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 xml:space="preserve"> 9.供应商存在下列情形之一的，其投标(响应)文件无效：</w:t>
      </w:r>
    </w:p>
    <w:p w14:paraId="134C0CFC">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(一)不同供应商的电子投标(响应)文件上传计算机的网卡MAC地址、CPU序列号和硬盘序列号等硬件信息相同的；</w:t>
      </w:r>
    </w:p>
    <w:p w14:paraId="36BCD630">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(二)不同供应商的投标(响应)文件由同一电子设备编制、打印加密或者上传；</w:t>
      </w:r>
    </w:p>
    <w:p w14:paraId="57448A0A">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(三)不同供应商的投标(响应)文件由同一电子设备打印、复印；</w:t>
      </w:r>
    </w:p>
    <w:p w14:paraId="243A80BA">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(四)不同供应商的投标(响应)文件由同一人送达或者分发，或者不同供应商联系人为同一人或不同联系人的联系电话一致的;</w:t>
      </w:r>
    </w:p>
    <w:p w14:paraId="68E83868">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(五)不同供应商的投标(响应)文件的内容存在两处以上细节错误一致；</w:t>
      </w:r>
    </w:p>
    <w:p w14:paraId="008B848C">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(六)不同供应商的法定代表人、委托代理人、项目经理、项目负责人等由同一个单位缴纳社会保险或者领取报酬的；</w:t>
      </w:r>
    </w:p>
    <w:p w14:paraId="7EB28175">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(七)不同供应商投标(响应)文件中法定代表人或者负责人签字出自同一人之手；</w:t>
      </w:r>
    </w:p>
    <w:p w14:paraId="112F8D39">
      <w:pPr>
        <w:pageBreakBefore w:val="0"/>
        <w:widowControl w:val="0"/>
        <w:kinsoku/>
        <w:wordWrap w:val="0"/>
        <w:overflowPunct/>
        <w:topLinePunct/>
        <w:autoSpaceDE/>
        <w:autoSpaceDN/>
        <w:bidi w:val="0"/>
        <w:spacing w:line="312" w:lineRule="auto"/>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(八)其它涉嫌串通的情形；</w:t>
      </w:r>
    </w:p>
    <w:p w14:paraId="4632BCDE">
      <w:pPr>
        <w:pageBreakBefore w:val="0"/>
        <w:widowControl w:val="0"/>
        <w:kinsoku/>
        <w:wordWrap w:val="0"/>
        <w:overflowPunct/>
        <w:topLinePunct/>
        <w:autoSpaceDE/>
        <w:autoSpaceDN/>
        <w:bidi w:val="0"/>
        <w:spacing w:line="312"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000000"/>
          <w:sz w:val="21"/>
          <w:szCs w:val="21"/>
          <w:lang w:val="en-US" w:eastAsia="zh-CN"/>
        </w:rPr>
        <w:t>10．不符合招标文件规定的其他实质性要求及相关法律、法规或规章规定可以废标的其他情形。</w:t>
      </w:r>
    </w:p>
    <w:p w14:paraId="4C78D4BA">
      <w:pPr>
        <w:pStyle w:val="27"/>
        <w:tabs>
          <w:tab w:val="left" w:pos="945"/>
          <w:tab w:val="left" w:pos="1155"/>
        </w:tabs>
        <w:rPr>
          <w:rFonts w:hint="eastAsia" w:ascii="宋体" w:hAnsi="宋体" w:cs="宋体"/>
          <w:bCs/>
          <w:color w:val="auto"/>
          <w:sz w:val="28"/>
          <w:szCs w:val="28"/>
          <w:highlight w:val="none"/>
        </w:rPr>
      </w:pPr>
    </w:p>
    <w:p w14:paraId="02740087">
      <w:pPr>
        <w:rPr>
          <w:rFonts w:hint="eastAsia" w:ascii="宋体" w:hAnsi="宋体" w:cs="宋体"/>
          <w:bCs/>
          <w:color w:val="auto"/>
          <w:sz w:val="28"/>
          <w:szCs w:val="28"/>
          <w:highlight w:val="none"/>
        </w:rPr>
      </w:pPr>
    </w:p>
    <w:p w14:paraId="4ADA08A5">
      <w:pPr>
        <w:pStyle w:val="26"/>
        <w:ind w:left="0" w:leftChars="0" w:firstLine="0" w:firstLineChars="0"/>
        <w:rPr>
          <w:rFonts w:hint="eastAsia" w:ascii="宋体" w:hAnsi="宋体" w:cs="宋体"/>
          <w:bCs/>
          <w:color w:val="auto"/>
          <w:sz w:val="28"/>
          <w:szCs w:val="28"/>
          <w:highlight w:val="none"/>
        </w:rPr>
      </w:pPr>
    </w:p>
    <w:bookmarkEnd w:id="966"/>
    <w:bookmarkEnd w:id="967"/>
    <w:bookmarkEnd w:id="968"/>
    <w:bookmarkEnd w:id="969"/>
    <w:p w14:paraId="432AD357">
      <w:pPr>
        <w:pStyle w:val="2"/>
        <w:bidi w:val="0"/>
        <w:rPr>
          <w:rFonts w:hint="eastAsia"/>
          <w:color w:val="auto"/>
          <w:highlight w:val="none"/>
          <w:lang w:val="en-US" w:eastAsia="zh-CN"/>
        </w:rPr>
      </w:pPr>
      <w:bookmarkStart w:id="970" w:name="_Toc1267"/>
      <w:bookmarkStart w:id="971" w:name="_Toc14158"/>
      <w:bookmarkStart w:id="972" w:name="_Toc152045786"/>
      <w:bookmarkStart w:id="973" w:name="_Toc152042575"/>
      <w:bookmarkStart w:id="974" w:name="_Toc144974855"/>
      <w:r>
        <w:rPr>
          <w:rFonts w:hint="eastAsia"/>
          <w:color w:val="auto"/>
          <w:highlight w:val="none"/>
          <w:lang w:val="en-US" w:eastAsia="zh-CN"/>
        </w:rPr>
        <w:t>第四章  合同条款及格式</w:t>
      </w:r>
      <w:bookmarkEnd w:id="970"/>
    </w:p>
    <w:bookmarkEnd w:id="971"/>
    <w:p w14:paraId="713761C7">
      <w:pPr>
        <w:pStyle w:val="3"/>
        <w:pageBreakBefore w:val="0"/>
        <w:numPr>
          <w:ilvl w:val="0"/>
          <w:numId w:val="0"/>
        </w:numPr>
        <w:kinsoku/>
        <w:wordWrap w:val="0"/>
        <w:overflowPunct/>
        <w:topLinePunct/>
        <w:autoSpaceDE/>
        <w:autoSpaceDN/>
        <w:bidi w:val="0"/>
        <w:spacing w:line="312" w:lineRule="auto"/>
        <w:ind w:left="459" w:leftChars="0"/>
        <w:jc w:val="center"/>
        <w:rPr>
          <w:rFonts w:hint="eastAsia" w:ascii="宋体" w:hAnsi="宋体" w:eastAsia="宋体" w:cs="宋体"/>
          <w:b w:val="0"/>
          <w:color w:val="auto"/>
          <w:sz w:val="21"/>
          <w:szCs w:val="21"/>
          <w:highlight w:val="none"/>
        </w:rPr>
      </w:pPr>
      <w:bookmarkStart w:id="975" w:name="_Toc31782"/>
      <w:bookmarkStart w:id="976" w:name="_Toc30627"/>
      <w:bookmarkStart w:id="977" w:name="_Toc9691"/>
      <w:bookmarkStart w:id="978" w:name="_Toc20551"/>
      <w:r>
        <w:rPr>
          <w:rFonts w:hint="eastAsia" w:ascii="宋体" w:hAnsi="宋体" w:eastAsia="宋体" w:cs="宋体"/>
          <w:color w:val="auto"/>
          <w:sz w:val="21"/>
          <w:szCs w:val="21"/>
          <w:highlight w:val="none"/>
        </w:rPr>
        <w:t>第一部分 合同协议书</w:t>
      </w:r>
      <w:bookmarkEnd w:id="975"/>
      <w:bookmarkEnd w:id="976"/>
      <w:bookmarkEnd w:id="977"/>
      <w:bookmarkEnd w:id="978"/>
    </w:p>
    <w:p w14:paraId="72889D63">
      <w:pPr>
        <w:pageBreakBefore w:val="0"/>
        <w:kinsoku/>
        <w:wordWrap w:val="0"/>
        <w:overflowPunct/>
        <w:topLinePunct/>
        <w:autoSpaceDE/>
        <w:autoSpaceDN/>
        <w:bidi w:val="0"/>
        <w:spacing w:line="312"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发包人（全称）：</w:t>
      </w:r>
      <w:r>
        <w:rPr>
          <w:rFonts w:hint="eastAsia" w:ascii="宋体" w:hAnsi="宋体" w:eastAsia="宋体" w:cs="宋体"/>
          <w:bCs/>
          <w:color w:val="auto"/>
          <w:szCs w:val="21"/>
          <w:highlight w:val="none"/>
          <w:u w:val="single"/>
        </w:rPr>
        <w:t>                       </w:t>
      </w:r>
    </w:p>
    <w:p w14:paraId="466978A9">
      <w:pPr>
        <w:pageBreakBefore w:val="0"/>
        <w:kinsoku/>
        <w:wordWrap w:val="0"/>
        <w:overflowPunct/>
        <w:topLinePunct/>
        <w:autoSpaceDE/>
        <w:autoSpaceDN/>
        <w:bidi w:val="0"/>
        <w:spacing w:line="312" w:lineRule="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承包人（全称）：</w:t>
      </w:r>
      <w:r>
        <w:rPr>
          <w:rFonts w:hint="eastAsia" w:ascii="宋体" w:hAnsi="宋体" w:eastAsia="宋体" w:cs="宋体"/>
          <w:bCs/>
          <w:color w:val="auto"/>
          <w:szCs w:val="21"/>
          <w:highlight w:val="none"/>
          <w:u w:val="single"/>
        </w:rPr>
        <w:t>                      </w:t>
      </w:r>
    </w:p>
    <w:p w14:paraId="1DE68E93">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中华人民共和国建筑法》及有关法律规定，遵循平等、自愿、公平和诚实信用的原则，双方就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工程施工及有关事项协商一致，共同达成如下协议：</w:t>
      </w:r>
    </w:p>
    <w:p w14:paraId="6602401B">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979" w:name="_Toc351203481"/>
      <w:r>
        <w:rPr>
          <w:rFonts w:hint="eastAsia" w:ascii="宋体" w:hAnsi="宋体" w:eastAsia="宋体" w:cs="宋体"/>
          <w:b w:val="0"/>
          <w:color w:val="auto"/>
          <w:sz w:val="21"/>
          <w:szCs w:val="21"/>
          <w:highlight w:val="none"/>
        </w:rPr>
        <w:t>一、工程概况</w:t>
      </w:r>
      <w:bookmarkEnd w:id="979"/>
    </w:p>
    <w:p w14:paraId="016D5209">
      <w:pPr>
        <w:pageBreakBefore w:val="0"/>
        <w:kinsoku/>
        <w:wordWrap w:val="0"/>
        <w:overflowPunct/>
        <w:topLinePunct/>
        <w:autoSpaceDE/>
        <w:autoSpaceDN/>
        <w:bidi w:val="0"/>
        <w:spacing w:line="312"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DBBA0B2">
      <w:pPr>
        <w:pageBreakBefore w:val="0"/>
        <w:kinsoku/>
        <w:wordWrap w:val="0"/>
        <w:overflowPunct/>
        <w:topLinePunct/>
        <w:autoSpaceDE/>
        <w:autoSpaceDN/>
        <w:bidi w:val="0"/>
        <w:spacing w:line="312"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8C60B44">
      <w:pPr>
        <w:pageBreakBefore w:val="0"/>
        <w:kinsoku/>
        <w:wordWrap w:val="0"/>
        <w:overflowPunct/>
        <w:topLinePunct/>
        <w:autoSpaceDE/>
        <w:autoSpaceDN/>
        <w:bidi w:val="0"/>
        <w:spacing w:line="312"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color w:val="auto"/>
          <w:szCs w:val="21"/>
          <w:highlight w:val="none"/>
          <w:u w:val="single"/>
        </w:rPr>
        <w:t xml:space="preserve">       </w:t>
      </w:r>
      <w:r>
        <w:rPr>
          <w:rFonts w:hint="eastAsia" w:ascii="宋体" w:hAnsi="宋体" w:eastAsia="宋体" w:cs="宋体"/>
          <w:bCs/>
          <w:color w:val="auto"/>
          <w:szCs w:val="21"/>
          <w:highlight w:val="none"/>
        </w:rPr>
        <w:t>。</w:t>
      </w:r>
    </w:p>
    <w:p w14:paraId="09435365">
      <w:pPr>
        <w:pageBreakBefore w:val="0"/>
        <w:kinsoku/>
        <w:wordWrap w:val="0"/>
        <w:overflowPunct/>
        <w:topLinePunct/>
        <w:autoSpaceDE/>
        <w:autoSpaceDN/>
        <w:bidi w:val="0"/>
        <w:spacing w:line="312"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rPr>
        <w:t xml:space="preserve">       </w:t>
      </w:r>
      <w:r>
        <w:rPr>
          <w:rFonts w:hint="eastAsia" w:ascii="宋体" w:hAnsi="宋体" w:eastAsia="宋体" w:cs="宋体"/>
          <w:bCs/>
          <w:color w:val="auto"/>
          <w:szCs w:val="21"/>
          <w:highlight w:val="none"/>
        </w:rPr>
        <w:t>。</w:t>
      </w:r>
    </w:p>
    <w:p w14:paraId="1E95B7BE">
      <w:pPr>
        <w:pageBreakBefore w:val="0"/>
        <w:kinsoku/>
        <w:wordWrap w:val="0"/>
        <w:overflowPunct/>
        <w:topLinePunct/>
        <w:autoSpaceDE/>
        <w:autoSpaceDN/>
        <w:bidi w:val="0"/>
        <w:spacing w:line="312"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color w:val="auto"/>
          <w:szCs w:val="21"/>
          <w:highlight w:val="none"/>
          <w:u w:val="single"/>
        </w:rPr>
        <w:t xml:space="preserve">       </w:t>
      </w:r>
      <w:r>
        <w:rPr>
          <w:rFonts w:hint="eastAsia" w:ascii="宋体" w:hAnsi="宋体" w:eastAsia="宋体" w:cs="宋体"/>
          <w:bCs/>
          <w:color w:val="auto"/>
          <w:szCs w:val="21"/>
          <w:highlight w:val="none"/>
        </w:rPr>
        <w:t>。</w:t>
      </w:r>
    </w:p>
    <w:p w14:paraId="0426B81F">
      <w:pPr>
        <w:pageBreakBefore w:val="0"/>
        <w:kinsoku/>
        <w:wordWrap w:val="0"/>
        <w:overflowPunct/>
        <w:topLinePunct/>
        <w:autoSpaceDE/>
        <w:autoSpaceDN/>
        <w:bidi w:val="0"/>
        <w:spacing w:line="312"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p>
    <w:p w14:paraId="2335605E">
      <w:pPr>
        <w:pageBreakBefore w:val="0"/>
        <w:kinsoku/>
        <w:wordWrap w:val="0"/>
        <w:overflowPunct/>
        <w:topLinePunct/>
        <w:autoSpaceDE/>
        <w:autoSpaceDN/>
        <w:bidi w:val="0"/>
        <w:spacing w:line="312"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p>
    <w:p w14:paraId="700ABB31">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980" w:name="_Toc351203482"/>
      <w:r>
        <w:rPr>
          <w:rFonts w:hint="eastAsia" w:ascii="宋体" w:hAnsi="宋体" w:eastAsia="宋体" w:cs="宋体"/>
          <w:b w:val="0"/>
          <w:color w:val="auto"/>
          <w:sz w:val="21"/>
          <w:szCs w:val="21"/>
          <w:highlight w:val="none"/>
        </w:rPr>
        <w:t>二、合同工期</w:t>
      </w:r>
      <w:bookmarkEnd w:id="980"/>
    </w:p>
    <w:p w14:paraId="6B9CFF51">
      <w:pPr>
        <w:pageBreakBefore w:val="0"/>
        <w:kinsoku/>
        <w:wordWrap w:val="0"/>
        <w:overflowPunct/>
        <w:topLinePunct/>
        <w:autoSpaceDE/>
        <w:autoSpaceDN/>
        <w:bidi w:val="0"/>
        <w:spacing w:line="312"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578D7663">
      <w:pPr>
        <w:pageBreakBefore w:val="0"/>
        <w:kinsoku/>
        <w:wordWrap w:val="0"/>
        <w:overflowPunct/>
        <w:topLinePunct/>
        <w:autoSpaceDE/>
        <w:autoSpaceDN/>
        <w:bidi w:val="0"/>
        <w:spacing w:line="312"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日。</w:t>
      </w:r>
    </w:p>
    <w:p w14:paraId="142B4999">
      <w:pPr>
        <w:pageBreakBefore w:val="0"/>
        <w:kinsoku/>
        <w:wordWrap w:val="0"/>
        <w:overflowPunct/>
        <w:topLinePunct/>
        <w:autoSpaceDE/>
        <w:autoSpaceDN/>
        <w:bidi w:val="0"/>
        <w:spacing w:line="312"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14:paraId="20A4D4D9">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981" w:name="_Toc351203483"/>
      <w:r>
        <w:rPr>
          <w:rFonts w:hint="eastAsia" w:ascii="宋体" w:hAnsi="宋体" w:eastAsia="宋体" w:cs="宋体"/>
          <w:b w:val="0"/>
          <w:color w:val="auto"/>
          <w:sz w:val="21"/>
          <w:szCs w:val="21"/>
          <w:highlight w:val="none"/>
        </w:rPr>
        <w:t>三、质量标准</w:t>
      </w:r>
      <w:bookmarkEnd w:id="981"/>
    </w:p>
    <w:p w14:paraId="3020863B">
      <w:pPr>
        <w:pageBreakBefore w:val="0"/>
        <w:kinsoku/>
        <w:wordWrap w:val="0"/>
        <w:overflowPunct/>
        <w:topLinePunct/>
        <w:autoSpaceDE/>
        <w:autoSpaceDN/>
        <w:bidi w:val="0"/>
        <w:spacing w:line="312"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标准。</w:t>
      </w:r>
    </w:p>
    <w:p w14:paraId="3DDD1273">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bookmarkStart w:id="982" w:name="_Toc351203484"/>
      <w:r>
        <w:rPr>
          <w:rFonts w:hint="eastAsia" w:ascii="宋体" w:hAnsi="宋体" w:eastAsia="宋体" w:cs="宋体"/>
          <w:b w:val="0"/>
          <w:color w:val="auto"/>
          <w:sz w:val="21"/>
          <w:szCs w:val="21"/>
          <w:highlight w:val="none"/>
        </w:rPr>
        <w:t>四、签约合同价与合同价格形式</w:t>
      </w:r>
      <w:bookmarkEnd w:id="982"/>
      <w:r>
        <w:rPr>
          <w:rFonts w:hint="eastAsia" w:ascii="宋体" w:hAnsi="宋体" w:eastAsia="宋体" w:cs="宋体"/>
          <w:b w:val="0"/>
          <w:color w:val="auto"/>
          <w:sz w:val="21"/>
          <w:szCs w:val="21"/>
          <w:highlight w:val="none"/>
        </w:rPr>
        <w:tab/>
      </w:r>
    </w:p>
    <w:p w14:paraId="6E9FD47B">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30A1DF84">
      <w:pPr>
        <w:pageBreakBefore w:val="0"/>
        <w:kinsoku/>
        <w:wordWrap w:val="0"/>
        <w:overflowPunct/>
        <w:topLinePunct/>
        <w:autoSpaceDE/>
        <w:autoSpaceDN/>
        <w:bidi w:val="0"/>
        <w:spacing w:line="312"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5679B021">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2F4AFCBE">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0C781812">
      <w:pPr>
        <w:pageBreakBefore w:val="0"/>
        <w:kinsoku/>
        <w:wordWrap w:val="0"/>
        <w:overflowPunct/>
        <w:topLinePunct/>
        <w:autoSpaceDE/>
        <w:autoSpaceDN/>
        <w:bidi w:val="0"/>
        <w:spacing w:line="312"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5DEC5E68">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26BAA70B">
      <w:pPr>
        <w:pageBreakBefore w:val="0"/>
        <w:kinsoku/>
        <w:wordWrap w:val="0"/>
        <w:overflowPunct/>
        <w:topLinePunct/>
        <w:autoSpaceDE/>
        <w:autoSpaceDN/>
        <w:bidi w:val="0"/>
        <w:spacing w:line="312"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2DDDB22">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561F1824">
      <w:pPr>
        <w:pageBreakBefore w:val="0"/>
        <w:kinsoku/>
        <w:wordWrap w:val="0"/>
        <w:overflowPunct/>
        <w:topLinePunct/>
        <w:autoSpaceDE/>
        <w:autoSpaceDN/>
        <w:bidi w:val="0"/>
        <w:spacing w:line="312"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7711F770">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253AC0A2">
      <w:pPr>
        <w:pageBreakBefore w:val="0"/>
        <w:kinsoku/>
        <w:wordWrap w:val="0"/>
        <w:overflowPunct/>
        <w:topLinePunct/>
        <w:autoSpaceDE/>
        <w:autoSpaceDN/>
        <w:bidi w:val="0"/>
        <w:spacing w:line="312"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1A1758E">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合同价格形式：</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固定单价</w:t>
      </w:r>
      <w:r>
        <w:rPr>
          <w:rFonts w:hint="eastAsia" w:ascii="宋体" w:hAnsi="宋体" w:eastAsia="宋体" w:cs="宋体"/>
          <w:bCs/>
          <w:color w:val="auto"/>
          <w:szCs w:val="21"/>
          <w:highlight w:val="none"/>
          <w:u w:val="single"/>
          <w:lang w:eastAsia="zh-CN"/>
        </w:rPr>
        <w:t xml:space="preserve">                  </w:t>
      </w:r>
      <w:r>
        <w:rPr>
          <w:rFonts w:hint="eastAsia" w:ascii="宋体" w:hAnsi="宋体" w:eastAsia="宋体" w:cs="宋体"/>
          <w:bCs/>
          <w:color w:val="auto"/>
          <w:szCs w:val="21"/>
          <w:highlight w:val="none"/>
          <w:lang w:eastAsia="zh-CN"/>
        </w:rPr>
        <w:t>。</w:t>
      </w:r>
    </w:p>
    <w:p w14:paraId="23B934FF">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付款方式：</w:t>
      </w:r>
      <w:bookmarkStart w:id="983" w:name="_Toc351203485"/>
      <w:r>
        <w:rPr>
          <w:rFonts w:hint="eastAsia" w:ascii="宋体" w:hAnsi="宋体" w:eastAsia="宋体" w:cs="宋体"/>
          <w:bCs/>
          <w:color w:val="auto"/>
          <w:szCs w:val="21"/>
          <w:highlight w:val="none"/>
          <w:u w:val="single"/>
          <w:lang w:val="en-US" w:eastAsia="zh-CN"/>
        </w:rPr>
        <w:t>/</w:t>
      </w:r>
      <w:r>
        <w:rPr>
          <w:rFonts w:hint="eastAsia" w:ascii="宋体" w:hAnsi="宋体" w:eastAsia="宋体" w:cs="宋体"/>
          <w:bCs/>
          <w:color w:val="auto"/>
          <w:szCs w:val="21"/>
          <w:highlight w:val="none"/>
          <w:lang w:eastAsia="zh-CN"/>
        </w:rPr>
        <w:t>。</w:t>
      </w:r>
    </w:p>
    <w:p w14:paraId="24C63E70">
      <w:pPr>
        <w:pageBreakBefore w:val="0"/>
        <w:kinsoku/>
        <w:wordWrap w:val="0"/>
        <w:overflowPunct/>
        <w:topLinePunct/>
        <w:autoSpaceDE/>
        <w:autoSpaceDN/>
        <w:bidi w:val="0"/>
        <w:spacing w:line="312" w:lineRule="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五、</w:t>
      </w:r>
      <w:bookmarkEnd w:id="983"/>
      <w:r>
        <w:rPr>
          <w:rFonts w:hint="eastAsia" w:ascii="宋体" w:hAnsi="宋体" w:eastAsia="宋体" w:cs="宋体"/>
          <w:b w:val="0"/>
          <w:bCs/>
          <w:color w:val="auto"/>
          <w:kern w:val="0"/>
          <w:sz w:val="21"/>
          <w:szCs w:val="21"/>
          <w:highlight w:val="none"/>
          <w:lang w:val="en-US" w:eastAsia="zh-CN" w:bidi="ar-SA"/>
        </w:rPr>
        <w:t>项目经理</w:t>
      </w:r>
    </w:p>
    <w:p w14:paraId="2695B749">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092674BE">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bookmarkStart w:id="984" w:name="_Toc351203486"/>
      <w:r>
        <w:rPr>
          <w:rFonts w:hint="eastAsia" w:ascii="宋体" w:hAnsi="宋体" w:eastAsia="宋体" w:cs="宋体"/>
          <w:b w:val="0"/>
          <w:color w:val="auto"/>
          <w:sz w:val="21"/>
          <w:szCs w:val="21"/>
          <w:highlight w:val="none"/>
        </w:rPr>
        <w:t>六、合同文件构成</w:t>
      </w:r>
      <w:bookmarkEnd w:id="984"/>
    </w:p>
    <w:p w14:paraId="05B2F556">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32EA6235">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14:paraId="3B2DF93D">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14:paraId="4B0D1ABC">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14:paraId="3E5E9E6C">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14:paraId="2BF3EB31">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40EA0FB2">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）已标价工程量清单或预算书；</w:t>
      </w:r>
    </w:p>
    <w:p w14:paraId="62B81A32">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）其他合同文件。</w:t>
      </w:r>
    </w:p>
    <w:p w14:paraId="055F4242">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3F8F55EB">
      <w:pPr>
        <w:pageBreakBefore w:val="0"/>
        <w:kinsoku/>
        <w:wordWrap w:val="0"/>
        <w:overflowPunct/>
        <w:topLinePunct/>
        <w:autoSpaceDE/>
        <w:autoSpaceDN/>
        <w:bidi w:val="0"/>
        <w:adjustRightInd w:val="0"/>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550458A">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color w:val="auto"/>
          <w:sz w:val="21"/>
          <w:szCs w:val="21"/>
          <w:highlight w:val="none"/>
        </w:rPr>
        <w:t xml:space="preserve"> </w:t>
      </w:r>
      <w:bookmarkStart w:id="985" w:name="_Toc351203487"/>
      <w:r>
        <w:rPr>
          <w:rFonts w:hint="eastAsia" w:ascii="宋体" w:hAnsi="宋体" w:eastAsia="宋体" w:cs="宋体"/>
          <w:b w:val="0"/>
          <w:color w:val="auto"/>
          <w:sz w:val="21"/>
          <w:szCs w:val="21"/>
          <w:highlight w:val="none"/>
        </w:rPr>
        <w:t>七、承诺</w:t>
      </w:r>
      <w:bookmarkEnd w:id="985"/>
    </w:p>
    <w:p w14:paraId="360A1DC0">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3E3A6BB2">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23907512">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0F71B420">
      <w:pPr>
        <w:pageBreakBefore w:val="0"/>
        <w:kinsoku/>
        <w:wordWrap w:val="0"/>
        <w:overflowPunct/>
        <w:topLinePunct/>
        <w:autoSpaceDE/>
        <w:autoSpaceDN/>
        <w:bidi w:val="0"/>
        <w:spacing w:line="312" w:lineRule="auto"/>
        <w:rPr>
          <w:rFonts w:hint="eastAsia" w:ascii="宋体" w:hAnsi="宋体" w:eastAsia="宋体" w:cs="宋体"/>
          <w:bCs/>
          <w:color w:val="auto"/>
          <w:szCs w:val="21"/>
          <w:highlight w:val="none"/>
        </w:rPr>
      </w:pPr>
      <w:bookmarkStart w:id="986" w:name="_Toc351203488"/>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八、词语含义</w:t>
      </w:r>
      <w:bookmarkEnd w:id="986"/>
    </w:p>
    <w:p w14:paraId="3FA8A85B">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204BEE9D">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r>
        <w:rPr>
          <w:rFonts w:hint="eastAsia" w:ascii="宋体" w:hAnsi="宋体" w:eastAsia="宋体" w:cs="宋体"/>
          <w:b w:val="0"/>
          <w:color w:val="auto"/>
          <w:sz w:val="21"/>
          <w:szCs w:val="21"/>
          <w:highlight w:val="none"/>
        </w:rPr>
        <w:t xml:space="preserve">  </w:t>
      </w:r>
      <w:bookmarkStart w:id="987" w:name="_Toc351203489"/>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rPr>
        <w:t>九、签订时间</w:t>
      </w:r>
      <w:bookmarkEnd w:id="987"/>
    </w:p>
    <w:p w14:paraId="7072B5D3">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42B67777">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 xml:space="preserve"> </w:t>
      </w:r>
      <w:bookmarkStart w:id="988" w:name="_Toc351203490"/>
      <w:r>
        <w:rPr>
          <w:rFonts w:hint="eastAsia" w:ascii="宋体" w:hAnsi="宋体" w:eastAsia="宋体" w:cs="宋体"/>
          <w:b w:val="0"/>
          <w:color w:val="auto"/>
          <w:sz w:val="21"/>
          <w:szCs w:val="21"/>
          <w:highlight w:val="none"/>
        </w:rPr>
        <w:t>十、签订地点</w:t>
      </w:r>
      <w:bookmarkEnd w:id="988"/>
    </w:p>
    <w:p w14:paraId="378A7FAE">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333D00EE">
      <w:pPr>
        <w:pageBreakBefore w:val="0"/>
        <w:numPr>
          <w:ilvl w:val="3"/>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989" w:name="_Toc351203491"/>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 w:val="0"/>
          <w:color w:val="auto"/>
          <w:sz w:val="21"/>
          <w:szCs w:val="21"/>
          <w:highlight w:val="none"/>
        </w:rPr>
        <w:t>十一、补充协议</w:t>
      </w:r>
      <w:bookmarkEnd w:id="989"/>
    </w:p>
    <w:p w14:paraId="35D31DBD">
      <w:pPr>
        <w:pageBreakBefore w:val="0"/>
        <w:kinsoku/>
        <w:wordWrap w:val="0"/>
        <w:overflowPunct/>
        <w:topLinePunct/>
        <w:autoSpaceDE/>
        <w:autoSpaceDN/>
        <w:bidi w:val="0"/>
        <w:spacing w:line="312"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72E1A433">
      <w:pPr>
        <w:pageBreakBefore w:val="0"/>
        <w:numPr>
          <w:ilvl w:val="3"/>
          <w:numId w:val="0"/>
        </w:numPr>
        <w:kinsoku/>
        <w:wordWrap w:val="0"/>
        <w:overflowPunct/>
        <w:topLinePunct/>
        <w:autoSpaceDE/>
        <w:autoSpaceDN/>
        <w:bidi w:val="0"/>
        <w:spacing w:before="0" w:beforeLines="0" w:after="0" w:afterLines="0" w:line="312" w:lineRule="auto"/>
        <w:ind w:firstLine="420" w:firstLineChars="200"/>
        <w:outlineLvl w:val="9"/>
        <w:rPr>
          <w:rFonts w:hint="eastAsia" w:ascii="宋体" w:hAnsi="宋体" w:eastAsia="宋体" w:cs="宋体"/>
          <w:bCs w:val="0"/>
          <w:color w:val="auto"/>
          <w:sz w:val="21"/>
          <w:szCs w:val="21"/>
          <w:highlight w:val="none"/>
        </w:rPr>
      </w:pPr>
      <w:bookmarkStart w:id="990" w:name="_Toc351203492"/>
      <w:r>
        <w:rPr>
          <w:rFonts w:hint="eastAsia" w:ascii="宋体" w:hAnsi="宋体" w:eastAsia="宋体" w:cs="宋体"/>
          <w:b w:val="0"/>
          <w:color w:val="auto"/>
          <w:sz w:val="21"/>
          <w:szCs w:val="21"/>
          <w:highlight w:val="none"/>
        </w:rPr>
        <w:t>十二、合同生效</w:t>
      </w:r>
      <w:bookmarkEnd w:id="990"/>
    </w:p>
    <w:p w14:paraId="55764180">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285426F2">
      <w:pPr>
        <w:pageBreakBefore w:val="0"/>
        <w:numPr>
          <w:ilvl w:val="3"/>
          <w:numId w:val="0"/>
        </w:numPr>
        <w:kinsoku/>
        <w:wordWrap w:val="0"/>
        <w:overflowPunct/>
        <w:topLinePunct/>
        <w:autoSpaceDE/>
        <w:autoSpaceDN/>
        <w:bidi w:val="0"/>
        <w:spacing w:before="0" w:beforeLines="0" w:after="0" w:afterLines="0" w:line="312" w:lineRule="auto"/>
        <w:ind w:firstLine="210" w:firstLineChars="100"/>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991" w:name="_Toc351203493"/>
      <w:r>
        <w:rPr>
          <w:rFonts w:hint="eastAsia" w:ascii="宋体" w:hAnsi="宋体" w:eastAsia="宋体" w:cs="宋体"/>
          <w:b w:val="0"/>
          <w:color w:val="auto"/>
          <w:sz w:val="21"/>
          <w:szCs w:val="21"/>
          <w:highlight w:val="none"/>
        </w:rPr>
        <w:t>十三、合同份数</w:t>
      </w:r>
      <w:bookmarkEnd w:id="991"/>
    </w:p>
    <w:p w14:paraId="74B1932A">
      <w:pPr>
        <w:pageBreakBefore w:val="0"/>
        <w:kinsoku/>
        <w:wordWrap w:val="0"/>
        <w:overflowPunct/>
        <w:topLinePunct/>
        <w:autoSpaceDE/>
        <w:autoSpaceDN/>
        <w:bidi w:val="0"/>
        <w:spacing w:line="312"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1F36805F">
      <w:pPr>
        <w:pStyle w:val="70"/>
        <w:rPr>
          <w:rFonts w:hint="eastAsia"/>
          <w:color w:val="auto"/>
          <w:highlight w:val="none"/>
        </w:rPr>
      </w:pPr>
    </w:p>
    <w:p w14:paraId="5FF583CD">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承包人：  (公章</w:t>
      </w:r>
      <w:r>
        <w:rPr>
          <w:rFonts w:hint="eastAsia" w:ascii="宋体" w:hAnsi="宋体" w:eastAsia="宋体" w:cs="宋体"/>
          <w:color w:val="auto"/>
          <w:szCs w:val="21"/>
          <w:highlight w:val="none"/>
          <w:lang w:eastAsia="zh-CN"/>
        </w:rPr>
        <w:t>）</w:t>
      </w:r>
    </w:p>
    <w:p w14:paraId="7FAE61AC">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14:paraId="5C9E4527">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376CF8EE">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0A264D0C">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u w:val="single"/>
        </w:rPr>
      </w:pPr>
    </w:p>
    <w:p w14:paraId="3F07005E">
      <w:pPr>
        <w:pageBreakBefore w:val="0"/>
        <w:tabs>
          <w:tab w:val="left" w:pos="4410"/>
        </w:tabs>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14692E02">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       </w:t>
      </w:r>
    </w:p>
    <w:p w14:paraId="3CC298AE">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5F36D8E7">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       </w:t>
      </w:r>
    </w:p>
    <w:p w14:paraId="6AB5C9C9">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p>
    <w:p w14:paraId="228ED702">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p>
    <w:p w14:paraId="46AF9DF0">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   </w:t>
      </w:r>
    </w:p>
    <w:p w14:paraId="0722C9EC">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电子信箱：</w:t>
      </w:r>
      <w:r>
        <w:rPr>
          <w:rFonts w:hint="eastAsia" w:ascii="宋体" w:hAnsi="宋体" w:eastAsia="宋体" w:cs="宋体"/>
          <w:color w:val="auto"/>
          <w:szCs w:val="21"/>
          <w:highlight w:val="none"/>
          <w:u w:val="single"/>
        </w:rPr>
        <w:t xml:space="preserve">   </w:t>
      </w:r>
    </w:p>
    <w:p w14:paraId="0A1C1C33">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5C4A103F">
      <w:pPr>
        <w:pageBreakBefore w:val="0"/>
        <w:kinsoku/>
        <w:wordWrap w:val="0"/>
        <w:overflowPunct/>
        <w:topLinePunct/>
        <w:autoSpaceDE/>
        <w:autoSpaceDN/>
        <w:bidi w:val="0"/>
        <w:spacing w:line="312" w:lineRule="auto"/>
        <w:ind w:firstLine="420" w:firstLineChars="200"/>
        <w:rPr>
          <w:rFonts w:hint="eastAsia" w:ascii="宋体" w:hAnsi="宋体" w:eastAsia="宋体" w:cs="宋体"/>
          <w:color w:val="auto"/>
          <w:highlight w:val="none"/>
          <w:lang w:val="en-US" w:eastAsia="zh-CN"/>
        </w:rPr>
        <w:sectPr>
          <w:headerReference r:id="rId10" w:type="first"/>
          <w:headerReference r:id="rId9" w:type="default"/>
          <w:footerReference r:id="rId11" w:type="default"/>
          <w:pgSz w:w="11905" w:h="16838"/>
          <w:pgMar w:top="1440" w:right="1406" w:bottom="1440" w:left="1406" w:header="1020" w:footer="1191" w:gutter="0"/>
          <w:pgBorders>
            <w:top w:val="none" w:sz="0" w:space="0"/>
            <w:left w:val="none" w:sz="0" w:space="0"/>
            <w:bottom w:val="none" w:sz="0" w:space="0"/>
            <w:right w:val="none" w:sz="0" w:space="0"/>
          </w:pgBorders>
          <w:pgNumType w:fmt="decimal"/>
          <w:cols w:space="720" w:num="1"/>
          <w:titlePg/>
          <w:rtlGutter w:val="0"/>
          <w:docGrid w:type="lines" w:linePitch="349" w:charSpace="0"/>
        </w:sect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14:paraId="527AC831">
      <w:pPr>
        <w:pStyle w:val="3"/>
        <w:pageBreakBefore w:val="0"/>
        <w:numPr>
          <w:ilvl w:val="1"/>
          <w:numId w:val="0"/>
        </w:numPr>
        <w:kinsoku/>
        <w:wordWrap w:val="0"/>
        <w:overflowPunct/>
        <w:topLinePunct/>
        <w:autoSpaceDE/>
        <w:autoSpaceDN/>
        <w:bidi w:val="0"/>
        <w:spacing w:line="312" w:lineRule="auto"/>
        <w:jc w:val="center"/>
        <w:rPr>
          <w:rFonts w:hint="eastAsia" w:ascii="宋体" w:hAnsi="宋体" w:eastAsia="宋体" w:cs="宋体"/>
          <w:color w:val="auto"/>
          <w:sz w:val="21"/>
          <w:szCs w:val="21"/>
          <w:highlight w:val="none"/>
        </w:rPr>
      </w:pPr>
      <w:bookmarkStart w:id="992" w:name="_Toc17372"/>
      <w:bookmarkStart w:id="993" w:name="_Toc5714"/>
      <w:r>
        <w:rPr>
          <w:rFonts w:hint="eastAsia" w:ascii="宋体" w:hAnsi="宋体" w:eastAsia="宋体" w:cs="宋体"/>
          <w:color w:val="auto"/>
          <w:sz w:val="21"/>
          <w:szCs w:val="21"/>
          <w:highlight w:val="none"/>
        </w:rPr>
        <w:t>第二节 通用合同条款</w:t>
      </w:r>
      <w:bookmarkEnd w:id="992"/>
      <w:bookmarkEnd w:id="993"/>
    </w:p>
    <w:p w14:paraId="38CEB13A">
      <w:pPr>
        <w:pageBreakBefore w:val="0"/>
        <w:kinsoku/>
        <w:wordWrap w:val="0"/>
        <w:overflowPunct/>
        <w:topLinePunct/>
        <w:autoSpaceDE/>
        <w:autoSpaceDN/>
        <w:bidi w:val="0"/>
        <w:spacing w:line="312" w:lineRule="auto"/>
        <w:ind w:firstLine="840" w:firstLineChars="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采用（GF—2017—0201）标准合同文件中通用合同条款（此处略）。</w:t>
      </w:r>
    </w:p>
    <w:p w14:paraId="3A849F95">
      <w:pPr>
        <w:pageBreakBefore w:val="0"/>
        <w:numPr>
          <w:ilvl w:val="2"/>
          <w:numId w:val="0"/>
        </w:numPr>
        <w:kinsoku/>
        <w:wordWrap w:val="0"/>
        <w:overflowPunct/>
        <w:topLinePunct/>
        <w:autoSpaceDE/>
        <w:autoSpaceDN/>
        <w:bidi w:val="0"/>
        <w:spacing w:before="0" w:beforeLines="0" w:after="0" w:afterLines="0" w:line="312" w:lineRule="auto"/>
        <w:outlineLvl w:val="9"/>
        <w:rPr>
          <w:rFonts w:hint="eastAsia" w:ascii="宋体" w:hAnsi="宋体" w:eastAsia="宋体" w:cs="宋体"/>
          <w:color w:val="auto"/>
          <w:sz w:val="21"/>
          <w:szCs w:val="21"/>
          <w:highlight w:val="none"/>
        </w:rPr>
      </w:pPr>
      <w:bookmarkStart w:id="994" w:name="_Toc14756"/>
    </w:p>
    <w:p w14:paraId="29961104">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139CCEF7">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11DC8A78">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745B0524">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78402F3F">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0941C4D1">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58F0B70E">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3D9C033E">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6D1E4728">
      <w:pPr>
        <w:pageBreakBefore w:val="0"/>
        <w:kinsoku/>
        <w:wordWrap w:val="0"/>
        <w:overflowPunct/>
        <w:topLinePunct/>
        <w:autoSpaceDE/>
        <w:autoSpaceDN/>
        <w:bidi w:val="0"/>
        <w:spacing w:line="312" w:lineRule="auto"/>
        <w:rPr>
          <w:rFonts w:hint="eastAsia" w:ascii="宋体" w:hAnsi="宋体" w:eastAsia="宋体" w:cs="宋体"/>
          <w:color w:val="auto"/>
          <w:szCs w:val="21"/>
          <w:highlight w:val="none"/>
        </w:rPr>
      </w:pPr>
    </w:p>
    <w:p w14:paraId="139DDFB9">
      <w:pPr>
        <w:pStyle w:val="3"/>
        <w:pageBreakBefore w:val="0"/>
        <w:numPr>
          <w:ilvl w:val="1"/>
          <w:numId w:val="0"/>
        </w:numPr>
        <w:kinsoku/>
        <w:wordWrap w:val="0"/>
        <w:overflowPunct/>
        <w:topLinePunct/>
        <w:autoSpaceDE/>
        <w:autoSpaceDN/>
        <w:bidi w:val="0"/>
        <w:spacing w:before="0" w:beforeLines="0" w:after="0" w:afterLines="0" w:line="312" w:lineRule="auto"/>
        <w:jc w:val="center"/>
        <w:rPr>
          <w:rFonts w:hint="eastAsia" w:ascii="宋体" w:hAnsi="宋体" w:eastAsia="宋体" w:cs="宋体"/>
          <w:color w:val="auto"/>
          <w:sz w:val="21"/>
          <w:szCs w:val="21"/>
          <w:highlight w:val="none"/>
        </w:rPr>
      </w:pPr>
      <w:bookmarkStart w:id="995" w:name="_Toc10551"/>
      <w:bookmarkStart w:id="996" w:name="_Toc11876"/>
      <w:bookmarkStart w:id="997" w:name="_Toc7434"/>
      <w:r>
        <w:rPr>
          <w:rFonts w:hint="eastAsia" w:ascii="宋体" w:hAnsi="宋体" w:eastAsia="宋体" w:cs="宋体"/>
          <w:color w:val="auto"/>
          <w:sz w:val="21"/>
          <w:szCs w:val="21"/>
          <w:highlight w:val="none"/>
        </w:rPr>
        <w:t>第三部分 专用合同条款</w:t>
      </w:r>
      <w:bookmarkEnd w:id="994"/>
      <w:bookmarkEnd w:id="995"/>
      <w:bookmarkEnd w:id="996"/>
      <w:bookmarkEnd w:id="997"/>
    </w:p>
    <w:p w14:paraId="1A97F6CA">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rPr>
      </w:pPr>
      <w:bookmarkStart w:id="998" w:name="_Toc1590"/>
      <w:bookmarkStart w:id="999" w:name="_Toc28481"/>
      <w:r>
        <w:rPr>
          <w:rFonts w:hint="eastAsia" w:ascii="宋体" w:hAnsi="宋体" w:eastAsia="宋体" w:cs="宋体"/>
          <w:color w:val="auto"/>
          <w:szCs w:val="21"/>
          <w:highlight w:val="none"/>
        </w:rPr>
        <w:t>采用（GF—2017—0201）标准合同文件中通用合同条款（此处略）。</w:t>
      </w:r>
    </w:p>
    <w:p w14:paraId="3FB9C9C2">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eastAsia="zh-CN"/>
        </w:rPr>
      </w:pPr>
    </w:p>
    <w:p w14:paraId="329A44EC">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eastAsia="zh-CN"/>
        </w:rPr>
      </w:pPr>
    </w:p>
    <w:p w14:paraId="001AA31E">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eastAsia="zh-CN"/>
        </w:rPr>
      </w:pPr>
    </w:p>
    <w:p w14:paraId="4DAD377B">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eastAsia="zh-CN"/>
        </w:rPr>
      </w:pPr>
    </w:p>
    <w:p w14:paraId="2696F6AA">
      <w:pPr>
        <w:widowControl/>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eastAsia="zh-CN"/>
        </w:rPr>
      </w:pPr>
    </w:p>
    <w:bookmarkEnd w:id="998"/>
    <w:bookmarkEnd w:id="999"/>
    <w:p w14:paraId="782F19CD">
      <w:pPr>
        <w:widowControl/>
        <w:kinsoku w:val="0"/>
        <w:autoSpaceDE w:val="0"/>
        <w:autoSpaceDN w:val="0"/>
        <w:adjustRightInd w:val="0"/>
        <w:snapToGrid w:val="0"/>
        <w:spacing w:before="101" w:line="224" w:lineRule="auto"/>
        <w:jc w:val="left"/>
        <w:textAlignment w:val="baseline"/>
        <w:outlineLvl w:val="1"/>
        <w:rPr>
          <w:rFonts w:hint="eastAsia" w:ascii="宋体" w:hAnsi="宋体" w:eastAsia="宋体" w:cs="宋体"/>
          <w:snapToGrid w:val="0"/>
          <w:color w:val="000000"/>
          <w:kern w:val="0"/>
          <w:szCs w:val="21"/>
          <w:u w:val="single"/>
          <w:lang w:eastAsia="zh-CN"/>
        </w:rPr>
      </w:pPr>
    </w:p>
    <w:p w14:paraId="7EF70EDB">
      <w:pPr>
        <w:widowControl/>
        <w:kinsoku w:val="0"/>
        <w:autoSpaceDE w:val="0"/>
        <w:autoSpaceDN w:val="0"/>
        <w:adjustRightInd w:val="0"/>
        <w:snapToGrid w:val="0"/>
        <w:spacing w:before="101" w:line="224" w:lineRule="auto"/>
        <w:jc w:val="left"/>
        <w:textAlignment w:val="baseline"/>
        <w:outlineLvl w:val="1"/>
        <w:rPr>
          <w:rFonts w:hint="eastAsia" w:ascii="宋体" w:hAnsi="宋体" w:eastAsia="宋体" w:cs="宋体"/>
          <w:snapToGrid w:val="0"/>
          <w:color w:val="000000"/>
          <w:kern w:val="0"/>
          <w:szCs w:val="21"/>
          <w:u w:val="single"/>
          <w:lang w:eastAsia="zh-CN"/>
        </w:rPr>
      </w:pPr>
    </w:p>
    <w:p w14:paraId="6A1A0EFC">
      <w:pPr>
        <w:pStyle w:val="19"/>
        <w:rPr>
          <w:rFonts w:hint="eastAsia" w:ascii="宋体" w:hAnsi="宋体" w:eastAsia="宋体" w:cs="宋体"/>
          <w:snapToGrid w:val="0"/>
          <w:color w:val="000000"/>
          <w:kern w:val="0"/>
          <w:szCs w:val="21"/>
          <w:u w:val="single"/>
          <w:lang w:eastAsia="zh-CN"/>
        </w:rPr>
      </w:pPr>
    </w:p>
    <w:p w14:paraId="4A80E3B7">
      <w:pPr>
        <w:pStyle w:val="19"/>
        <w:rPr>
          <w:rFonts w:hint="eastAsia" w:ascii="宋体" w:hAnsi="宋体" w:eastAsia="宋体" w:cs="宋体"/>
          <w:snapToGrid w:val="0"/>
          <w:color w:val="000000"/>
          <w:kern w:val="0"/>
          <w:szCs w:val="21"/>
          <w:u w:val="single"/>
          <w:lang w:eastAsia="zh-CN"/>
        </w:rPr>
      </w:pPr>
    </w:p>
    <w:p w14:paraId="61724993">
      <w:pPr>
        <w:pStyle w:val="27"/>
        <w:pageBreakBefore w:val="0"/>
        <w:numPr>
          <w:ilvl w:val="0"/>
          <w:numId w:val="0"/>
        </w:numPr>
        <w:tabs>
          <w:tab w:val="left" w:pos="945"/>
          <w:tab w:val="left" w:pos="1155"/>
        </w:tabs>
        <w:kinsoku/>
        <w:wordWrap w:val="0"/>
        <w:overflowPunct/>
        <w:topLinePunct/>
        <w:autoSpaceDE/>
        <w:autoSpaceDN/>
        <w:bidi w:val="0"/>
        <w:spacing w:line="312"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合同融资注意事项：1）供应商</w:t>
      </w:r>
      <w:r>
        <w:rPr>
          <w:rFonts w:hint="eastAsia" w:ascii="宋体" w:hAnsi="宋体" w:cs="宋体"/>
          <w:b/>
          <w:bCs/>
          <w:color w:val="auto"/>
          <w:sz w:val="21"/>
          <w:szCs w:val="21"/>
          <w:highlight w:val="none"/>
          <w:lang w:val="en-US" w:eastAsia="zh-CN"/>
        </w:rPr>
        <w:t>预</w:t>
      </w:r>
      <w:r>
        <w:rPr>
          <w:rFonts w:hint="eastAsia" w:ascii="宋体" w:hAnsi="宋体" w:eastAsia="宋体" w:cs="宋体"/>
          <w:b/>
          <w:bCs/>
          <w:color w:val="auto"/>
          <w:sz w:val="21"/>
          <w:szCs w:val="21"/>
          <w:highlight w:val="none"/>
          <w:lang w:val="en-US" w:eastAsia="zh-CN"/>
        </w:rPr>
        <w:t>进行合同融资的，在签订合同时，供应商的合同账号需为合同融资行指定的账户和账号。2）预进行合同融资的合同，采购人在合同备案时，需将备案系统中供应商</w:t>
      </w:r>
      <w:r>
        <w:rPr>
          <w:rFonts w:hint="eastAsia" w:ascii="宋体" w:hAnsi="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账户和账号修改为合同融资行指定的账户和账号，然后再提交合同备案。</w:t>
      </w:r>
    </w:p>
    <w:p w14:paraId="1C387A72">
      <w:pPr>
        <w:pStyle w:val="2"/>
        <w:bidi w:val="0"/>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br w:type="page"/>
      </w:r>
      <w:bookmarkStart w:id="1000" w:name="_Toc25480"/>
      <w:r>
        <w:rPr>
          <w:rFonts w:hint="eastAsia"/>
          <w:color w:val="auto"/>
          <w:highlight w:val="none"/>
          <w:lang w:val="en-US" w:eastAsia="zh-CN"/>
        </w:rPr>
        <w:t>第五章     工程量清单</w:t>
      </w:r>
      <w:bookmarkEnd w:id="1000"/>
    </w:p>
    <w:bookmarkEnd w:id="972"/>
    <w:bookmarkEnd w:id="973"/>
    <w:bookmarkEnd w:id="974"/>
    <w:p w14:paraId="02B95752">
      <w:pPr>
        <w:pStyle w:val="2"/>
        <w:bidi w:val="0"/>
        <w:rPr>
          <w:rFonts w:hint="eastAsia"/>
          <w:color w:val="auto"/>
          <w:highlight w:val="none"/>
          <w:lang w:eastAsia="zh-CN"/>
        </w:rPr>
      </w:pPr>
      <w:bookmarkStart w:id="1001" w:name="_Toc17700"/>
      <w:bookmarkStart w:id="1002" w:name="_Toc30184"/>
      <w:r>
        <w:rPr>
          <w:rFonts w:hint="eastAsia"/>
          <w:color w:val="auto"/>
          <w:highlight w:val="none"/>
          <w:lang w:eastAsia="zh-CN"/>
        </w:rPr>
        <w:t>工程量清单（另附）</w:t>
      </w:r>
      <w:bookmarkEnd w:id="1001"/>
      <w:bookmarkEnd w:id="1002"/>
    </w:p>
    <w:p w14:paraId="6629AA0C">
      <w:pPr>
        <w:ind w:left="0" w:leftChars="0" w:firstLine="0" w:firstLineChars="0"/>
        <w:rPr>
          <w:rFonts w:hint="eastAsia"/>
          <w:color w:val="auto"/>
          <w:highlight w:val="none"/>
        </w:rPr>
      </w:pPr>
    </w:p>
    <w:p w14:paraId="5D71D65B">
      <w:pPr>
        <w:rPr>
          <w:rFonts w:hint="eastAsia"/>
          <w:color w:val="auto"/>
          <w:highlight w:val="none"/>
        </w:rPr>
      </w:pPr>
      <w:r>
        <w:rPr>
          <w:rFonts w:hint="eastAsia"/>
          <w:color w:val="auto"/>
          <w:highlight w:val="none"/>
        </w:rPr>
        <w:br w:type="page"/>
      </w:r>
    </w:p>
    <w:p w14:paraId="781194FE">
      <w:pPr>
        <w:pStyle w:val="2"/>
        <w:bidi w:val="0"/>
        <w:rPr>
          <w:rFonts w:hint="eastAsia"/>
          <w:color w:val="auto"/>
          <w:highlight w:val="none"/>
          <w:lang w:eastAsia="zh-CN"/>
        </w:rPr>
      </w:pPr>
      <w:bookmarkStart w:id="1003" w:name="_Toc15390"/>
      <w:r>
        <w:rPr>
          <w:rFonts w:hint="eastAsia"/>
          <w:color w:val="auto"/>
          <w:highlight w:val="none"/>
        </w:rPr>
        <w:t xml:space="preserve">第六章  </w:t>
      </w:r>
      <w:r>
        <w:rPr>
          <w:rFonts w:hint="eastAsia"/>
          <w:color w:val="auto"/>
          <w:highlight w:val="none"/>
          <w:lang w:eastAsia="zh-CN"/>
        </w:rPr>
        <w:t>竞争性磋商响应文件格式</w:t>
      </w:r>
      <w:bookmarkEnd w:id="1003"/>
    </w:p>
    <w:p w14:paraId="4AC42725">
      <w:pPr>
        <w:spacing w:line="400" w:lineRule="exact"/>
        <w:rPr>
          <w:rFonts w:hint="eastAsia" w:ascii="宋体" w:hAnsi="宋体" w:cs="宋体"/>
          <w:color w:val="auto"/>
          <w:highlight w:val="none"/>
        </w:rPr>
      </w:pPr>
    </w:p>
    <w:p w14:paraId="6FA20F72">
      <w:pPr>
        <w:spacing w:line="440" w:lineRule="exact"/>
        <w:jc w:val="right"/>
        <w:rPr>
          <w:rFonts w:hint="eastAsia" w:ascii="宋体" w:hAnsi="宋体" w:cs="宋体"/>
          <w:color w:val="auto"/>
          <w:sz w:val="24"/>
          <w:highlight w:val="none"/>
          <w:bdr w:val="single" w:color="auto" w:sz="4" w:space="0"/>
        </w:rPr>
      </w:pPr>
    </w:p>
    <w:p w14:paraId="1B9C49BD">
      <w:pPr>
        <w:spacing w:line="440" w:lineRule="exact"/>
        <w:rPr>
          <w:rFonts w:hint="eastAsia" w:ascii="宋体" w:hAnsi="宋体" w:cs="宋体"/>
          <w:color w:val="auto"/>
          <w:sz w:val="24"/>
          <w:highlight w:val="none"/>
        </w:rPr>
      </w:pPr>
    </w:p>
    <w:p w14:paraId="39A3A74B">
      <w:pPr>
        <w:ind w:left="0" w:leftChars="0" w:firstLine="1506" w:firstLineChars="500"/>
        <w:jc w:val="both"/>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竞争性磋商</w:t>
      </w:r>
    </w:p>
    <w:p w14:paraId="15BDA4CF">
      <w:pPr>
        <w:jc w:val="center"/>
        <w:rPr>
          <w:rFonts w:hint="eastAsia" w:ascii="宋体" w:hAnsi="宋体" w:cs="宋体"/>
          <w:color w:val="auto"/>
          <w:sz w:val="28"/>
          <w:szCs w:val="28"/>
          <w:highlight w:val="none"/>
        </w:rPr>
      </w:pPr>
    </w:p>
    <w:p w14:paraId="283CFD35">
      <w:pPr>
        <w:jc w:val="center"/>
        <w:rPr>
          <w:rFonts w:hint="eastAsia" w:ascii="宋体" w:hAnsi="宋体" w:cs="宋体"/>
          <w:color w:val="auto"/>
          <w:sz w:val="28"/>
          <w:szCs w:val="28"/>
          <w:highlight w:val="none"/>
        </w:rPr>
      </w:pPr>
    </w:p>
    <w:p w14:paraId="476F626C">
      <w:pPr>
        <w:jc w:val="center"/>
        <w:rPr>
          <w:rFonts w:hint="eastAsia" w:ascii="宋体" w:hAnsi="宋体" w:cs="宋体"/>
          <w:b/>
          <w:bCs/>
          <w:color w:val="auto"/>
          <w:sz w:val="72"/>
          <w:szCs w:val="84"/>
          <w:highlight w:val="none"/>
        </w:rPr>
      </w:pPr>
    </w:p>
    <w:p w14:paraId="118251BB">
      <w:pPr>
        <w:spacing w:line="360" w:lineRule="auto"/>
        <w:ind w:left="0" w:leftChars="0" w:firstLine="0" w:firstLineChars="0"/>
        <w:jc w:val="center"/>
        <w:rPr>
          <w:rFonts w:hint="eastAsia" w:ascii="宋体" w:hAnsi="宋体" w:cs="宋体"/>
          <w:color w:val="auto"/>
          <w:sz w:val="72"/>
          <w:szCs w:val="84"/>
          <w:highlight w:val="none"/>
        </w:rPr>
      </w:pPr>
      <w:r>
        <w:rPr>
          <w:rFonts w:hint="eastAsia" w:ascii="宋体" w:hAnsi="宋体" w:cs="宋体"/>
          <w:b/>
          <w:bCs/>
          <w:color w:val="auto"/>
          <w:sz w:val="72"/>
          <w:szCs w:val="84"/>
          <w:highlight w:val="none"/>
        </w:rPr>
        <w:t>响 应 文 件</w:t>
      </w:r>
    </w:p>
    <w:p w14:paraId="7AFDD531">
      <w:pPr>
        <w:spacing w:line="400" w:lineRule="exact"/>
        <w:rPr>
          <w:rFonts w:hint="eastAsia" w:ascii="宋体" w:hAnsi="宋体" w:cs="宋体"/>
          <w:color w:val="auto"/>
          <w:sz w:val="28"/>
          <w:szCs w:val="28"/>
          <w:highlight w:val="none"/>
        </w:rPr>
      </w:pPr>
    </w:p>
    <w:p w14:paraId="291F0965">
      <w:pPr>
        <w:spacing w:line="400" w:lineRule="exact"/>
        <w:rPr>
          <w:rFonts w:hint="eastAsia" w:ascii="宋体" w:hAnsi="宋体" w:cs="宋体"/>
          <w:color w:val="auto"/>
          <w:sz w:val="28"/>
          <w:szCs w:val="28"/>
          <w:highlight w:val="none"/>
        </w:rPr>
      </w:pPr>
    </w:p>
    <w:p w14:paraId="5E39CC01">
      <w:pPr>
        <w:spacing w:line="400" w:lineRule="exact"/>
        <w:rPr>
          <w:rFonts w:hint="eastAsia" w:ascii="宋体" w:hAnsi="宋体" w:cs="宋体"/>
          <w:color w:val="auto"/>
          <w:sz w:val="28"/>
          <w:szCs w:val="28"/>
          <w:highlight w:val="none"/>
        </w:rPr>
      </w:pPr>
    </w:p>
    <w:p w14:paraId="66C8C478">
      <w:pPr>
        <w:spacing w:line="400" w:lineRule="exact"/>
        <w:rPr>
          <w:rFonts w:hint="eastAsia" w:ascii="宋体" w:hAnsi="宋体" w:cs="宋体"/>
          <w:color w:val="auto"/>
          <w:sz w:val="28"/>
          <w:szCs w:val="28"/>
          <w:highlight w:val="none"/>
        </w:rPr>
      </w:pPr>
    </w:p>
    <w:p w14:paraId="17C68076">
      <w:pPr>
        <w:spacing w:line="400" w:lineRule="exact"/>
        <w:rPr>
          <w:rFonts w:hint="eastAsia" w:ascii="宋体" w:hAnsi="宋体" w:cs="宋体"/>
          <w:color w:val="auto"/>
          <w:sz w:val="28"/>
          <w:szCs w:val="28"/>
          <w:highlight w:val="none"/>
        </w:rPr>
      </w:pPr>
    </w:p>
    <w:p w14:paraId="6E0BD33E">
      <w:pPr>
        <w:spacing w:line="400" w:lineRule="exact"/>
        <w:rPr>
          <w:rFonts w:hint="eastAsia" w:ascii="宋体" w:hAnsi="宋体" w:cs="宋体"/>
          <w:color w:val="auto"/>
          <w:sz w:val="28"/>
          <w:szCs w:val="28"/>
          <w:highlight w:val="none"/>
        </w:rPr>
      </w:pPr>
    </w:p>
    <w:p w14:paraId="0C85E5FD">
      <w:pPr>
        <w:spacing w:line="400" w:lineRule="exact"/>
        <w:rPr>
          <w:rFonts w:hint="eastAsia" w:ascii="宋体" w:hAnsi="宋体" w:cs="宋体"/>
          <w:color w:val="auto"/>
          <w:sz w:val="28"/>
          <w:szCs w:val="28"/>
          <w:highlight w:val="none"/>
        </w:rPr>
      </w:pPr>
    </w:p>
    <w:p w14:paraId="031D68AB">
      <w:pPr>
        <w:spacing w:line="400" w:lineRule="exact"/>
        <w:rPr>
          <w:rFonts w:hint="eastAsia" w:ascii="宋体" w:hAnsi="宋体" w:cs="宋体"/>
          <w:color w:val="auto"/>
          <w:sz w:val="28"/>
          <w:szCs w:val="28"/>
          <w:highlight w:val="none"/>
        </w:rPr>
      </w:pPr>
    </w:p>
    <w:p w14:paraId="5792138F">
      <w:pPr>
        <w:spacing w:line="400" w:lineRule="exact"/>
        <w:rPr>
          <w:rFonts w:hint="eastAsia" w:ascii="宋体" w:hAnsi="宋体" w:cs="宋体"/>
          <w:color w:val="auto"/>
          <w:sz w:val="28"/>
          <w:szCs w:val="28"/>
          <w:highlight w:val="none"/>
        </w:rPr>
      </w:pPr>
    </w:p>
    <w:p w14:paraId="39F0E8A5">
      <w:pPr>
        <w:pStyle w:val="11"/>
        <w:rPr>
          <w:rFonts w:hint="eastAsia" w:ascii="宋体" w:hAnsi="宋体" w:cs="宋体"/>
          <w:color w:val="auto"/>
          <w:sz w:val="28"/>
          <w:szCs w:val="28"/>
          <w:highlight w:val="none"/>
        </w:rPr>
      </w:pPr>
    </w:p>
    <w:p w14:paraId="42E97EB1">
      <w:pPr>
        <w:spacing w:line="400" w:lineRule="exact"/>
        <w:rPr>
          <w:rFonts w:hint="eastAsia" w:ascii="宋体" w:hAnsi="宋体" w:cs="宋体"/>
          <w:color w:val="auto"/>
          <w:sz w:val="28"/>
          <w:szCs w:val="28"/>
          <w:highlight w:val="none"/>
        </w:rPr>
      </w:pPr>
    </w:p>
    <w:p w14:paraId="19306CB3">
      <w:pPr>
        <w:spacing w:line="400" w:lineRule="exact"/>
        <w:rPr>
          <w:rFonts w:hint="eastAsia" w:ascii="宋体" w:hAnsi="宋体" w:cs="宋体"/>
          <w:color w:val="auto"/>
          <w:sz w:val="28"/>
          <w:szCs w:val="28"/>
          <w:highlight w:val="none"/>
        </w:rPr>
      </w:pPr>
    </w:p>
    <w:p w14:paraId="01DF335C">
      <w:pPr>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（单位电子签章）</w:t>
      </w:r>
    </w:p>
    <w:p w14:paraId="3C0E926C">
      <w:pPr>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（电子签名或盖章）</w:t>
      </w:r>
    </w:p>
    <w:p w14:paraId="2CA68B1E">
      <w:pPr>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C4FB04C">
      <w:pPr>
        <w:spacing w:line="400" w:lineRule="exact"/>
        <w:rPr>
          <w:rFonts w:hint="eastAsia" w:ascii="宋体" w:hAnsi="宋体" w:cs="宋体"/>
          <w:color w:val="auto"/>
          <w:sz w:val="22"/>
          <w:szCs w:val="28"/>
          <w:highlight w:val="none"/>
        </w:rPr>
      </w:pPr>
    </w:p>
    <w:p w14:paraId="71F07D16">
      <w:pPr>
        <w:pStyle w:val="62"/>
        <w:jc w:val="center"/>
        <w:rPr>
          <w:rFonts w:hint="eastAsia" w:ascii="宋体" w:hAnsi="宋体" w:eastAsia="宋体"/>
          <w:color w:val="auto"/>
          <w:sz w:val="32"/>
          <w:szCs w:val="32"/>
          <w:highlight w:val="none"/>
        </w:rPr>
      </w:pPr>
      <w:bookmarkStart w:id="1004" w:name="_Toc20198"/>
      <w:bookmarkStart w:id="1005" w:name="_Toc152042576"/>
      <w:bookmarkStart w:id="1006" w:name="_Toc152045787"/>
      <w:bookmarkStart w:id="1007" w:name="_Toc4085"/>
      <w:bookmarkStart w:id="1008" w:name="_Toc6765"/>
      <w:bookmarkStart w:id="1009" w:name="_Toc8978"/>
      <w:bookmarkStart w:id="1010" w:name="_Toc144974856"/>
      <w:bookmarkStart w:id="1011" w:name="_Toc466298157"/>
      <w:r>
        <w:rPr>
          <w:rFonts w:hint="eastAsia" w:ascii="宋体" w:hAnsi="宋体" w:eastAsia="宋体"/>
          <w:color w:val="auto"/>
          <w:sz w:val="32"/>
          <w:szCs w:val="32"/>
          <w:highlight w:val="none"/>
        </w:rPr>
        <w:t>目    录</w:t>
      </w:r>
      <w:bookmarkEnd w:id="1004"/>
      <w:bookmarkEnd w:id="1005"/>
      <w:bookmarkEnd w:id="1006"/>
      <w:bookmarkEnd w:id="1007"/>
      <w:bookmarkEnd w:id="1008"/>
      <w:bookmarkEnd w:id="1009"/>
      <w:bookmarkEnd w:id="1010"/>
      <w:bookmarkEnd w:id="1011"/>
    </w:p>
    <w:p w14:paraId="5547D511">
      <w:pPr>
        <w:spacing w:line="540" w:lineRule="exact"/>
        <w:rPr>
          <w:rFonts w:hint="eastAsia" w:ascii="宋体" w:hAnsi="宋体" w:cs="宋体"/>
          <w:color w:val="auto"/>
          <w:sz w:val="24"/>
          <w:szCs w:val="32"/>
          <w:highlight w:val="none"/>
        </w:rPr>
      </w:pPr>
    </w:p>
    <w:p w14:paraId="0CC60FFA">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一、磋商函及磋商函附录（第一轮报价）</w:t>
      </w:r>
    </w:p>
    <w:p w14:paraId="509AFC44">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二、法定代表身份证明</w:t>
      </w:r>
    </w:p>
    <w:p w14:paraId="12AC99B5">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三、授权委托书</w:t>
      </w:r>
    </w:p>
    <w:p w14:paraId="4C6F4EBA">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四、已标价工程量清单</w:t>
      </w:r>
    </w:p>
    <w:p w14:paraId="6B227BF2">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五、施工组织设计</w:t>
      </w:r>
    </w:p>
    <w:p w14:paraId="1633F3B1">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六、项目管理机构</w:t>
      </w:r>
    </w:p>
    <w:p w14:paraId="7FCD13BB">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七、资格证明材料</w:t>
      </w:r>
    </w:p>
    <w:p w14:paraId="131785A6">
      <w:pPr>
        <w:spacing w:line="540" w:lineRule="exact"/>
        <w:rPr>
          <w:rFonts w:hint="eastAsia" w:ascii="宋体" w:hAnsi="宋体" w:cs="宋体"/>
          <w:color w:val="auto"/>
          <w:highlight w:val="none"/>
          <w:lang w:eastAsia="zh-CN"/>
        </w:rPr>
      </w:pPr>
      <w:r>
        <w:rPr>
          <w:rFonts w:hint="eastAsia" w:ascii="宋体" w:hAnsi="宋体" w:cs="宋体"/>
          <w:color w:val="auto"/>
          <w:highlight w:val="none"/>
          <w:lang w:eastAsia="zh-CN"/>
        </w:rPr>
        <w:t>八、其他材料</w:t>
      </w:r>
    </w:p>
    <w:p w14:paraId="79321FDE">
      <w:pPr>
        <w:spacing w:line="540" w:lineRule="exact"/>
        <w:rPr>
          <w:rFonts w:hint="eastAsia" w:ascii="宋体" w:hAnsi="宋体" w:cs="宋体"/>
          <w:color w:val="auto"/>
          <w:highlight w:val="none"/>
        </w:rPr>
      </w:pPr>
    </w:p>
    <w:p w14:paraId="28B4EAB6">
      <w:pPr>
        <w:spacing w:line="540" w:lineRule="exact"/>
        <w:rPr>
          <w:rFonts w:hint="eastAsia" w:ascii="宋体" w:hAnsi="宋体" w:cs="宋体"/>
          <w:color w:val="auto"/>
          <w:highlight w:val="none"/>
        </w:rPr>
      </w:pPr>
    </w:p>
    <w:p w14:paraId="23E641B8">
      <w:pPr>
        <w:spacing w:line="540" w:lineRule="exact"/>
        <w:rPr>
          <w:rFonts w:hint="eastAsia" w:ascii="宋体" w:hAnsi="宋体" w:cs="宋体"/>
          <w:color w:val="auto"/>
          <w:highlight w:val="none"/>
        </w:rPr>
      </w:pPr>
    </w:p>
    <w:p w14:paraId="2FC5E123">
      <w:pPr>
        <w:spacing w:line="540" w:lineRule="exact"/>
        <w:rPr>
          <w:rFonts w:hint="eastAsia" w:ascii="宋体" w:hAnsi="宋体" w:cs="宋体"/>
          <w:color w:val="auto"/>
          <w:highlight w:val="none"/>
        </w:rPr>
      </w:pPr>
    </w:p>
    <w:p w14:paraId="35D0CD01">
      <w:pPr>
        <w:spacing w:line="540" w:lineRule="exact"/>
        <w:rPr>
          <w:rFonts w:hint="eastAsia" w:ascii="宋体" w:hAnsi="宋体" w:cs="宋体"/>
          <w:color w:val="auto"/>
          <w:highlight w:val="none"/>
        </w:rPr>
        <w:sectPr>
          <w:headerReference r:id="rId12" w:type="default"/>
          <w:footerReference r:id="rId13" w:type="default"/>
          <w:pgSz w:w="11905" w:h="16838"/>
          <w:pgMar w:top="1440" w:right="14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B247D9C">
      <w:pPr>
        <w:pStyle w:val="62"/>
        <w:numPr>
          <w:ilvl w:val="0"/>
          <w:numId w:val="3"/>
        </w:numPr>
        <w:jc w:val="center"/>
        <w:rPr>
          <w:rFonts w:hint="eastAsia" w:ascii="宋体" w:hAnsi="宋体" w:eastAsia="宋体" w:cs="宋体"/>
          <w:b/>
          <w:color w:val="auto"/>
          <w:szCs w:val="28"/>
          <w:highlight w:val="none"/>
        </w:rPr>
      </w:pPr>
      <w:bookmarkStart w:id="1012" w:name="_Toc2056"/>
      <w:bookmarkStart w:id="1013" w:name="_Toc12769"/>
      <w:r>
        <w:rPr>
          <w:rFonts w:hint="eastAsia" w:ascii="宋体" w:hAnsi="宋体" w:eastAsia="宋体" w:cs="宋体"/>
          <w:b/>
          <w:color w:val="auto"/>
          <w:szCs w:val="28"/>
          <w:highlight w:val="none"/>
        </w:rPr>
        <w:t>磋商函及磋商函附录</w:t>
      </w:r>
      <w:bookmarkEnd w:id="1012"/>
      <w:bookmarkEnd w:id="1013"/>
    </w:p>
    <w:p w14:paraId="1A2BC75D">
      <w:pPr>
        <w:pStyle w:val="63"/>
        <w:numPr>
          <w:ilvl w:val="0"/>
          <w:numId w:val="4"/>
        </w:numPr>
        <w:jc w:val="center"/>
        <w:outlineLvl w:val="0"/>
        <w:rPr>
          <w:rFonts w:hint="eastAsia" w:ascii="宋体" w:hAnsi="宋体" w:eastAsia="宋体" w:cs="宋体"/>
          <w:b/>
          <w:color w:val="auto"/>
          <w:szCs w:val="23"/>
          <w:highlight w:val="none"/>
        </w:rPr>
      </w:pPr>
      <w:bookmarkStart w:id="1014" w:name="_Toc490667892"/>
      <w:bookmarkStart w:id="1015" w:name="_Toc30581"/>
      <w:bookmarkStart w:id="1016" w:name="_Toc11078"/>
      <w:bookmarkStart w:id="1017" w:name="_Toc18705"/>
      <w:bookmarkStart w:id="1018" w:name="_Toc26262"/>
      <w:bookmarkStart w:id="1019" w:name="_Toc11855"/>
      <w:bookmarkStart w:id="1020" w:name="_Toc152045789"/>
      <w:bookmarkStart w:id="1021" w:name="_Toc152042578"/>
      <w:bookmarkStart w:id="1022" w:name="_Toc23888"/>
      <w:bookmarkStart w:id="1023" w:name="_Toc455080170"/>
      <w:bookmarkStart w:id="1024" w:name="_Toc8915"/>
      <w:bookmarkStart w:id="1025" w:name="_Toc6005"/>
      <w:bookmarkStart w:id="1026" w:name="_Toc318450744"/>
      <w:bookmarkStart w:id="1027" w:name="_Toc466298159"/>
      <w:bookmarkStart w:id="1028" w:name="_Toc455867830"/>
      <w:bookmarkStart w:id="1029" w:name="_Toc16901"/>
      <w:bookmarkStart w:id="1030" w:name="_Toc144974858"/>
      <w:bookmarkStart w:id="1031" w:name="_Toc17616"/>
      <w:r>
        <w:rPr>
          <w:rFonts w:hint="eastAsia" w:ascii="宋体" w:hAnsi="宋体" w:eastAsia="宋体" w:cs="宋体"/>
          <w:b/>
          <w:color w:val="auto"/>
          <w:szCs w:val="23"/>
          <w:highlight w:val="none"/>
        </w:rPr>
        <w:t>磋商函</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2EF8E467">
      <w:pPr>
        <w:pStyle w:val="15"/>
        <w:spacing w:line="420" w:lineRule="exact"/>
        <w:ind w:left="98" w:leftChars="0" w:hanging="98" w:hangingChars="47"/>
        <w:rPr>
          <w:rFonts w:hint="eastAsia" w:ascii="宋体" w:hAnsi="宋体" w:eastAsia="宋体" w:cs="宋体"/>
          <w:color w:val="auto"/>
          <w:szCs w:val="21"/>
          <w:highlight w:val="none"/>
        </w:rPr>
      </w:pPr>
      <w:bookmarkStart w:id="1032" w:name="_Toc466298160"/>
      <w:bookmarkStart w:id="1033" w:name="_Toc447888814"/>
      <w:bookmarkStart w:id="1034" w:name="_Toc490667893"/>
      <w:bookmarkStart w:id="1035" w:name="_Toc19056"/>
      <w:r>
        <w:rPr>
          <w:rFonts w:hint="eastAsia" w:ascii="宋体" w:hAnsi="宋体" w:eastAsia="宋体" w:cs="宋体"/>
          <w:color w:val="auto"/>
          <w:szCs w:val="21"/>
          <w:highlight w:val="none"/>
        </w:rPr>
        <w:t>致 ：</w:t>
      </w:r>
      <w:r>
        <w:rPr>
          <w:rFonts w:hint="eastAsia" w:ascii="宋体" w:hAnsi="宋体" w:eastAsia="宋体" w:cs="宋体"/>
          <w:color w:val="auto"/>
          <w:szCs w:val="21"/>
          <w:highlight w:val="none"/>
          <w:u w:val="single"/>
        </w:rPr>
        <w:t>（采购人）</w:t>
      </w:r>
    </w:p>
    <w:p w14:paraId="3809A1F5">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1．根据已收到的</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）的磋商总报价作为第一次磋商报价，按合同约定实施和完成本项目，并承担其任何质量缺陷等问题所造成的任何损失。</w:t>
      </w:r>
    </w:p>
    <w:p w14:paraId="337C881C">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已详细检查全部竞争性磋商文件包括澄清文件、补充通知（如有的话）及有关附件，并完全理解我方必须放弃提出含糊不清或误解的权力，愿按照磋商文件中的条款和要求按最后一次的报价做为最后报价。</w:t>
      </w:r>
    </w:p>
    <w:p w14:paraId="07137524">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3．我方在此承诺，我方若能成交，保证在施工期限内，全面履行竞争性磋商文件中规定的职责和义务。</w:t>
      </w:r>
    </w:p>
    <w:p w14:paraId="22F39716">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4．如果我方成交，我方保证按合同条款中规定的内容执行；我方保证质量达到国家及行业现行标准规范规定的合格要求，并按竞争性磋商文件和有关规定提交一切资料。</w:t>
      </w:r>
    </w:p>
    <w:p w14:paraId="75B59CCB">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．我方同意从响应文件递交截止日期起</w:t>
      </w:r>
      <w:r>
        <w:rPr>
          <w:rFonts w:hint="eastAsia" w:ascii="宋体" w:hAnsi="宋体" w:eastAsia="宋体" w:cs="宋体"/>
          <w:color w:val="auto"/>
          <w:szCs w:val="21"/>
          <w:highlight w:val="none"/>
          <w:u w:val="single"/>
        </w:rPr>
        <w:t xml:space="preserve">  60  </w:t>
      </w:r>
      <w:r>
        <w:rPr>
          <w:rFonts w:hint="eastAsia" w:ascii="宋体" w:hAnsi="宋体" w:eastAsia="宋体" w:cs="宋体"/>
          <w:color w:val="auto"/>
          <w:szCs w:val="21"/>
          <w:highlight w:val="none"/>
          <w:u w:val="none"/>
          <w:lang w:val="en-US" w:eastAsia="zh-CN"/>
        </w:rPr>
        <w:t>日历</w:t>
      </w:r>
      <w:r>
        <w:rPr>
          <w:rFonts w:hint="eastAsia" w:ascii="宋体" w:hAnsi="宋体" w:eastAsia="宋体" w:cs="宋体"/>
          <w:color w:val="auto"/>
          <w:szCs w:val="21"/>
          <w:highlight w:val="none"/>
        </w:rPr>
        <w:t>天内保持磋商响应文件有效，在此有效期内，我方将严格遵守磋商响应文件的承诺，本磋商响应文件对我方具有约束力，并可随时被接受成交。</w:t>
      </w:r>
    </w:p>
    <w:p w14:paraId="4E3CAA5C">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．除磋商响应文件所提交的资料外，我方同意随时接受贵方的检查、询问，并根据磋商需要补充贵方要求提交的资料。</w:t>
      </w:r>
    </w:p>
    <w:p w14:paraId="3065A940">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．如果我方成交后，我方没有任何正当理由而拒签合同，同时我方愿意补偿该项工作因我方延误所造成的经济损失。</w:t>
      </w:r>
    </w:p>
    <w:p w14:paraId="2425D3C3">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．我方愿接受合同条款中规定的合同价款计算和调整方式。</w:t>
      </w:r>
    </w:p>
    <w:p w14:paraId="621421B1">
      <w:pPr>
        <w:pStyle w:val="15"/>
        <w:spacing w:line="420" w:lineRule="exact"/>
        <w:ind w:left="1"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．除非另外达成协议并生效，贵方的成交通知书和本磋商响应文件将成为约束我方的合同文件组成部分。</w:t>
      </w:r>
    </w:p>
    <w:p w14:paraId="2FC97401">
      <w:pPr>
        <w:pStyle w:val="15"/>
        <w:spacing w:line="420" w:lineRule="exact"/>
        <w:ind w:left="1" w:leftChars="0" w:firstLine="420" w:firstLineChars="200"/>
        <w:rPr>
          <w:rFonts w:hint="eastAsia" w:ascii="宋体" w:hAnsi="宋体" w:eastAsia="宋体" w:cs="宋体"/>
          <w:color w:val="auto"/>
          <w:szCs w:val="21"/>
          <w:highlight w:val="none"/>
        </w:rPr>
      </w:pPr>
    </w:p>
    <w:p w14:paraId="1747A4D2">
      <w:pPr>
        <w:pStyle w:val="15"/>
        <w:spacing w:line="420" w:lineRule="exact"/>
        <w:ind w:left="1" w:leftChars="0" w:firstLine="420" w:firstLineChars="200"/>
        <w:rPr>
          <w:rFonts w:hint="eastAsia" w:ascii="宋体" w:hAnsi="宋体" w:eastAsia="宋体" w:cs="宋体"/>
          <w:color w:val="auto"/>
          <w:szCs w:val="21"/>
          <w:highlight w:val="none"/>
        </w:rPr>
      </w:pPr>
    </w:p>
    <w:p w14:paraId="7E804588">
      <w:pPr>
        <w:pStyle w:val="15"/>
        <w:spacing w:line="420" w:lineRule="exact"/>
        <w:ind w:left="1" w:leftChars="0" w:firstLine="420" w:firstLineChars="200"/>
        <w:rPr>
          <w:rFonts w:hint="eastAsia" w:ascii="宋体" w:hAnsi="宋体" w:eastAsia="宋体" w:cs="宋体"/>
          <w:color w:val="auto"/>
          <w:szCs w:val="21"/>
          <w:highlight w:val="none"/>
        </w:rPr>
      </w:pPr>
    </w:p>
    <w:p w14:paraId="1391CAAC">
      <w:pPr>
        <w:pStyle w:val="15"/>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szCs w:val="21"/>
          <w:highlight w:val="none"/>
        </w:rPr>
        <w:t>单位电子签章</w:t>
      </w:r>
      <w:r>
        <w:rPr>
          <w:rFonts w:hint="eastAsia" w:ascii="宋体" w:hAnsi="宋体"/>
          <w:color w:val="auto"/>
          <w:szCs w:val="21"/>
          <w:highlight w:val="none"/>
        </w:rPr>
        <w:t>）</w:t>
      </w:r>
    </w:p>
    <w:p w14:paraId="42BF732B">
      <w:pPr>
        <w:pStyle w:val="15"/>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（电子签名或盖章）</w:t>
      </w:r>
    </w:p>
    <w:p w14:paraId="10286436">
      <w:pPr>
        <w:pStyle w:val="15"/>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289D882D">
      <w:pPr>
        <w:pStyle w:val="15"/>
        <w:spacing w:line="420" w:lineRule="exact"/>
        <w:ind w:left="1" w:leftChars="0" w:firstLine="420" w:firstLineChars="200"/>
        <w:rPr>
          <w:rFonts w:hint="eastAsia" w:ascii="宋体" w:hAnsi="宋体" w:eastAsia="宋体" w:cs="宋体"/>
          <w:color w:val="auto"/>
          <w:szCs w:val="21"/>
          <w:highlight w:val="none"/>
        </w:rPr>
      </w:pPr>
    </w:p>
    <w:p w14:paraId="5E6D0A4B">
      <w:pPr>
        <w:pStyle w:val="3"/>
        <w:numPr>
          <w:ilvl w:val="1"/>
          <w:numId w:val="0"/>
        </w:numPr>
        <w:jc w:val="center"/>
        <w:rPr>
          <w:rFonts w:hint="eastAsia" w:ascii="宋体" w:hAnsi="宋体" w:eastAsia="宋体" w:cs="宋体"/>
          <w:color w:val="auto"/>
          <w:sz w:val="28"/>
          <w:szCs w:val="28"/>
          <w:highlight w:val="none"/>
        </w:rPr>
      </w:pPr>
      <w:bookmarkStart w:id="1036" w:name="_Toc6427"/>
      <w:bookmarkStart w:id="1037" w:name="_Toc28366"/>
      <w:bookmarkStart w:id="1038" w:name="_Toc11398"/>
      <w:r>
        <w:rPr>
          <w:rFonts w:hint="eastAsia" w:ascii="宋体" w:hAnsi="宋体" w:eastAsia="宋体" w:cs="宋体"/>
          <w:color w:val="auto"/>
          <w:sz w:val="28"/>
          <w:szCs w:val="28"/>
          <w:highlight w:val="none"/>
        </w:rPr>
        <w:t>（二）</w:t>
      </w:r>
      <w:bookmarkEnd w:id="1032"/>
      <w:bookmarkEnd w:id="1033"/>
      <w:r>
        <w:rPr>
          <w:rFonts w:hint="eastAsia" w:ascii="宋体" w:hAnsi="宋体" w:eastAsia="宋体" w:cs="宋体"/>
          <w:color w:val="auto"/>
          <w:sz w:val="28"/>
          <w:szCs w:val="28"/>
          <w:highlight w:val="none"/>
        </w:rPr>
        <w:t>磋商函附录</w:t>
      </w:r>
      <w:bookmarkEnd w:id="1034"/>
      <w:bookmarkEnd w:id="1035"/>
      <w:bookmarkEnd w:id="1036"/>
      <w:bookmarkEnd w:id="1037"/>
      <w:bookmarkEnd w:id="1038"/>
    </w:p>
    <w:tbl>
      <w:tblPr>
        <w:tblStyle w:val="28"/>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1492"/>
        <w:gridCol w:w="633"/>
        <w:gridCol w:w="441"/>
        <w:gridCol w:w="942"/>
        <w:gridCol w:w="734"/>
        <w:gridCol w:w="1871"/>
      </w:tblGrid>
      <w:tr w14:paraId="6F5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7045FE88">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工程名称</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5AC9B520">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r>
      <w:tr w14:paraId="029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5547CC2E">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供应商</w:t>
            </w:r>
            <w:r>
              <w:rPr>
                <w:rFonts w:hint="eastAsia" w:ascii="宋体" w:hAnsi="宋体"/>
                <w:color w:val="auto"/>
                <w:szCs w:val="21"/>
                <w:highlight w:val="none"/>
                <w:lang w:val="en-US" w:eastAsia="zh-CN"/>
              </w:rPr>
              <w:t>名称</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6026797D">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r>
      <w:tr w14:paraId="7103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2E56285C">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lang w:eastAsia="zh-CN"/>
              </w:rPr>
            </w:pPr>
            <w:r>
              <w:rPr>
                <w:rFonts w:hint="eastAsia" w:ascii="宋体" w:hAnsi="宋体"/>
                <w:color w:val="auto"/>
                <w:szCs w:val="21"/>
                <w:highlight w:val="none"/>
              </w:rPr>
              <w:t>磋商</w:t>
            </w:r>
            <w:r>
              <w:rPr>
                <w:rFonts w:hint="eastAsia" w:ascii="宋体" w:hAnsi="宋体"/>
                <w:color w:val="auto"/>
                <w:szCs w:val="21"/>
                <w:highlight w:val="none"/>
                <w:lang w:val="en-US" w:eastAsia="zh-CN"/>
              </w:rPr>
              <w:t>内容</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0C3B40B7">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r>
      <w:tr w14:paraId="697D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326" w:type="dxa"/>
            <w:vMerge w:val="restart"/>
            <w:tcBorders>
              <w:top w:val="single" w:color="auto" w:sz="4" w:space="0"/>
              <w:left w:val="single" w:color="auto" w:sz="4" w:space="0"/>
              <w:right w:val="single" w:color="auto" w:sz="4" w:space="0"/>
            </w:tcBorders>
            <w:noWrap w:val="0"/>
            <w:vAlign w:val="center"/>
          </w:tcPr>
          <w:p w14:paraId="6C035111">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投标总价</w:t>
            </w:r>
          </w:p>
        </w:tc>
        <w:tc>
          <w:tcPr>
            <w:tcW w:w="2566" w:type="dxa"/>
            <w:gridSpan w:val="3"/>
            <w:tcBorders>
              <w:top w:val="single" w:color="auto" w:sz="4" w:space="0"/>
              <w:left w:val="single" w:color="auto" w:sz="4" w:space="0"/>
              <w:bottom w:val="single" w:color="auto" w:sz="4" w:space="0"/>
              <w:right w:val="single" w:color="auto" w:sz="4" w:space="0"/>
            </w:tcBorders>
            <w:noWrap w:val="0"/>
            <w:vAlign w:val="center"/>
          </w:tcPr>
          <w:p w14:paraId="5DAC9B77">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（大写）</w:t>
            </w:r>
          </w:p>
        </w:tc>
        <w:tc>
          <w:tcPr>
            <w:tcW w:w="3547" w:type="dxa"/>
            <w:gridSpan w:val="3"/>
            <w:tcBorders>
              <w:top w:val="single" w:color="auto" w:sz="4" w:space="0"/>
              <w:left w:val="single" w:color="auto" w:sz="4" w:space="0"/>
              <w:bottom w:val="single" w:color="auto" w:sz="4" w:space="0"/>
              <w:right w:val="single" w:color="auto" w:sz="4" w:space="0"/>
            </w:tcBorders>
            <w:noWrap w:val="0"/>
            <w:vAlign w:val="center"/>
          </w:tcPr>
          <w:p w14:paraId="6D9FB858">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（小写）</w:t>
            </w:r>
          </w:p>
        </w:tc>
      </w:tr>
      <w:tr w14:paraId="7DA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326" w:type="dxa"/>
            <w:vMerge w:val="continue"/>
            <w:tcBorders>
              <w:left w:val="single" w:color="auto" w:sz="4" w:space="0"/>
              <w:bottom w:val="single" w:color="auto" w:sz="4" w:space="0"/>
              <w:right w:val="single" w:color="auto" w:sz="4" w:space="0"/>
            </w:tcBorders>
            <w:noWrap w:val="0"/>
            <w:vAlign w:val="center"/>
          </w:tcPr>
          <w:p w14:paraId="14BA8D48">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5029C2BD">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olor w:val="auto"/>
                <w:szCs w:val="21"/>
                <w:highlight w:val="none"/>
              </w:rPr>
            </w:pPr>
            <w:r>
              <w:rPr>
                <w:rFonts w:hint="eastAsia" w:ascii="宋体" w:hAnsi="宋体"/>
                <w:b/>
                <w:bCs/>
                <w:color w:val="auto"/>
                <w:szCs w:val="21"/>
                <w:highlight w:val="none"/>
              </w:rPr>
              <w:t>（供应商应在此填列第一次报价，但以供应商最后一次的磋商报价为成交价）</w:t>
            </w:r>
          </w:p>
        </w:tc>
      </w:tr>
      <w:tr w14:paraId="4F5E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6D13E15D">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项目经理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655E883">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noWrap w:val="0"/>
            <w:vAlign w:val="center"/>
          </w:tcPr>
          <w:p w14:paraId="28AEF20E">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级别</w:t>
            </w:r>
          </w:p>
        </w:tc>
        <w:tc>
          <w:tcPr>
            <w:tcW w:w="1383" w:type="dxa"/>
            <w:gridSpan w:val="2"/>
            <w:tcBorders>
              <w:top w:val="single" w:color="auto" w:sz="4" w:space="0"/>
              <w:left w:val="single" w:color="auto" w:sz="4" w:space="0"/>
              <w:bottom w:val="single" w:color="auto" w:sz="4" w:space="0"/>
              <w:right w:val="single" w:color="auto" w:sz="4" w:space="0"/>
            </w:tcBorders>
            <w:noWrap w:val="0"/>
            <w:vAlign w:val="center"/>
          </w:tcPr>
          <w:p w14:paraId="579D8538">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AB37382">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注册编号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674A920">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r>
      <w:tr w14:paraId="6499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3A3DD5FC">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质量</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0D600138">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p>
        </w:tc>
      </w:tr>
      <w:tr w14:paraId="3BED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02B8BEDA">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工期</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468D4D7F">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日历天</w:t>
            </w:r>
          </w:p>
        </w:tc>
      </w:tr>
      <w:tr w14:paraId="1DB2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326" w:type="dxa"/>
            <w:tcBorders>
              <w:top w:val="single" w:color="auto" w:sz="4" w:space="0"/>
              <w:left w:val="single" w:color="auto" w:sz="4" w:space="0"/>
              <w:bottom w:val="single" w:color="auto" w:sz="4" w:space="0"/>
              <w:right w:val="single" w:color="auto" w:sz="4" w:space="0"/>
            </w:tcBorders>
            <w:noWrap w:val="0"/>
            <w:vAlign w:val="center"/>
          </w:tcPr>
          <w:p w14:paraId="084AB119">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磋商有效期</w:t>
            </w:r>
          </w:p>
        </w:tc>
        <w:tc>
          <w:tcPr>
            <w:tcW w:w="6113" w:type="dxa"/>
            <w:gridSpan w:val="6"/>
            <w:tcBorders>
              <w:top w:val="single" w:color="auto" w:sz="4" w:space="0"/>
              <w:left w:val="single" w:color="auto" w:sz="4" w:space="0"/>
              <w:bottom w:val="single" w:color="auto" w:sz="4" w:space="0"/>
              <w:right w:val="single" w:color="auto" w:sz="4" w:space="0"/>
            </w:tcBorders>
            <w:noWrap w:val="0"/>
            <w:vAlign w:val="center"/>
          </w:tcPr>
          <w:p w14:paraId="626D5576">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olor w:val="auto"/>
                <w:szCs w:val="21"/>
                <w:highlight w:val="none"/>
              </w:rPr>
            </w:pPr>
            <w:r>
              <w:rPr>
                <w:rFonts w:hint="eastAsia" w:ascii="宋体" w:hAnsi="宋体"/>
                <w:color w:val="auto"/>
                <w:szCs w:val="21"/>
                <w:highlight w:val="none"/>
              </w:rPr>
              <w:t>60日历天（响应文件截止之日起）</w:t>
            </w:r>
          </w:p>
        </w:tc>
      </w:tr>
    </w:tbl>
    <w:p w14:paraId="12D00C07">
      <w:pPr>
        <w:rPr>
          <w:rFonts w:hint="eastAsia" w:ascii="宋体" w:hAnsi="宋体" w:eastAsia="宋体" w:cs="宋体"/>
          <w:color w:val="auto"/>
          <w:szCs w:val="21"/>
          <w:highlight w:val="none"/>
        </w:rPr>
      </w:pPr>
    </w:p>
    <w:p w14:paraId="57DBAC74">
      <w:pPr>
        <w:rPr>
          <w:rFonts w:hint="eastAsia" w:ascii="宋体" w:hAnsi="宋体" w:eastAsia="宋体" w:cs="宋体"/>
          <w:color w:val="auto"/>
          <w:szCs w:val="21"/>
          <w:highlight w:val="none"/>
        </w:rPr>
      </w:pPr>
    </w:p>
    <w:p w14:paraId="6092432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供应商法定代表人或其授权委托人(电子签名或盖章)</w:t>
      </w:r>
      <w:r>
        <w:rPr>
          <w:rFonts w:hint="eastAsia" w:ascii="宋体" w:hAnsi="宋体" w:eastAsia="宋体" w:cs="宋体"/>
          <w:color w:val="auto"/>
          <w:szCs w:val="21"/>
          <w:highlight w:val="none"/>
          <w:u w:val="single"/>
          <w:lang w:val="en-US" w:eastAsia="zh-CN"/>
        </w:rPr>
        <w:t xml:space="preserve">                 </w:t>
      </w:r>
    </w:p>
    <w:p w14:paraId="48B3D9F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供应商(单位电子签章):</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p>
    <w:p w14:paraId="171B9F11">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年   月   </w:t>
      </w:r>
      <w:bookmarkStart w:id="1039" w:name="_Toc152045791"/>
      <w:bookmarkStart w:id="1040" w:name="_Toc287367268"/>
      <w:bookmarkStart w:id="1041" w:name="_Toc144974860"/>
      <w:bookmarkStart w:id="1042" w:name="_Toc152042580"/>
      <w:r>
        <w:rPr>
          <w:rFonts w:hint="eastAsia" w:ascii="宋体" w:hAnsi="宋体" w:eastAsia="宋体" w:cs="宋体"/>
          <w:color w:val="auto"/>
          <w:szCs w:val="21"/>
          <w:highlight w:val="none"/>
        </w:rPr>
        <w:t>日</w:t>
      </w:r>
      <w:bookmarkStart w:id="1043" w:name="_Toc466298161"/>
      <w:bookmarkStart w:id="1044" w:name="_Toc2481"/>
      <w:bookmarkStart w:id="1045" w:name="_Toc31033"/>
    </w:p>
    <w:p w14:paraId="35CBB257">
      <w:pPr>
        <w:spacing w:line="360" w:lineRule="auto"/>
        <w:ind w:firstLine="210" w:firstLineChars="100"/>
        <w:jc w:val="center"/>
        <w:rPr>
          <w:rFonts w:hint="eastAsia" w:ascii="宋体" w:hAnsi="宋体" w:eastAsia="宋体" w:cs="宋体"/>
          <w:b/>
          <w:color w:val="auto"/>
          <w:sz w:val="28"/>
          <w:szCs w:val="40"/>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40"/>
          <w:highlight w:val="none"/>
        </w:rPr>
        <w:t>二、</w:t>
      </w:r>
      <w:bookmarkEnd w:id="1039"/>
      <w:bookmarkEnd w:id="1040"/>
      <w:bookmarkEnd w:id="1041"/>
      <w:bookmarkEnd w:id="1042"/>
      <w:r>
        <w:rPr>
          <w:rFonts w:hint="eastAsia" w:ascii="宋体" w:hAnsi="宋体" w:eastAsia="宋体" w:cs="宋体"/>
          <w:b/>
          <w:color w:val="auto"/>
          <w:sz w:val="28"/>
          <w:szCs w:val="40"/>
          <w:highlight w:val="none"/>
        </w:rPr>
        <w:t>法定代表身份证明</w:t>
      </w:r>
      <w:bookmarkEnd w:id="1043"/>
      <w:bookmarkEnd w:id="1044"/>
      <w:bookmarkEnd w:id="1045"/>
    </w:p>
    <w:p w14:paraId="4E568236">
      <w:pPr>
        <w:spacing w:line="440" w:lineRule="exact"/>
        <w:jc w:val="center"/>
        <w:rPr>
          <w:rFonts w:hint="eastAsia" w:ascii="宋体" w:hAnsi="宋体" w:eastAsia="宋体" w:cs="宋体"/>
          <w:color w:val="auto"/>
          <w:szCs w:val="21"/>
          <w:highlight w:val="none"/>
        </w:rPr>
      </w:pPr>
    </w:p>
    <w:p w14:paraId="7EF9551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1810E5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435FAB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4A5EEB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5D8067B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6A00A99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22091C3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（供应商名称）的法定代表人。</w:t>
      </w:r>
    </w:p>
    <w:p w14:paraId="3F583FF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2F350995">
      <w:pPr>
        <w:spacing w:line="440" w:lineRule="exact"/>
        <w:rPr>
          <w:rFonts w:hint="eastAsia" w:ascii="宋体" w:hAnsi="宋体" w:eastAsia="宋体" w:cs="宋体"/>
          <w:color w:val="auto"/>
          <w:szCs w:val="21"/>
          <w:highlight w:val="none"/>
        </w:rPr>
      </w:pPr>
    </w:p>
    <w:p w14:paraId="01794BAF">
      <w:pPr>
        <w:spacing w:line="440" w:lineRule="exact"/>
        <w:rPr>
          <w:rFonts w:hint="eastAsia" w:ascii="宋体" w:hAnsi="宋体" w:eastAsia="宋体" w:cs="宋体"/>
          <w:color w:val="auto"/>
          <w:szCs w:val="21"/>
          <w:highlight w:val="none"/>
        </w:rPr>
      </w:pPr>
    </w:p>
    <w:p w14:paraId="4D318709">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0BCC3971">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39ECFB64">
      <w:pPr>
        <w:spacing w:line="440" w:lineRule="exact"/>
        <w:rPr>
          <w:rFonts w:hint="eastAsia" w:ascii="宋体" w:hAnsi="宋体" w:eastAsia="宋体" w:cs="宋体"/>
          <w:color w:val="auto"/>
          <w:szCs w:val="21"/>
          <w:highlight w:val="none"/>
        </w:rPr>
      </w:pPr>
    </w:p>
    <w:p w14:paraId="3E5ACF49">
      <w:pPr>
        <w:spacing w:line="440" w:lineRule="exact"/>
        <w:rPr>
          <w:rFonts w:hint="eastAsia" w:ascii="宋体" w:hAnsi="宋体" w:eastAsia="宋体" w:cs="宋体"/>
          <w:color w:val="auto"/>
          <w:szCs w:val="21"/>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CA4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14:paraId="4AFEBB1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法定代表人身份证扫描件</w:t>
            </w:r>
          </w:p>
          <w:p w14:paraId="410F16F9">
            <w:pPr>
              <w:spacing w:line="440" w:lineRule="exact"/>
              <w:jc w:val="center"/>
              <w:rPr>
                <w:rFonts w:hint="eastAsia" w:ascii="宋体" w:hAnsi="宋体" w:eastAsia="宋体" w:cs="宋体"/>
                <w:color w:val="auto"/>
                <w:szCs w:val="21"/>
                <w:highlight w:val="none"/>
              </w:rPr>
            </w:pPr>
          </w:p>
        </w:tc>
      </w:tr>
    </w:tbl>
    <w:p w14:paraId="093D38FE">
      <w:pPr>
        <w:spacing w:line="440" w:lineRule="exact"/>
        <w:rPr>
          <w:rFonts w:hint="eastAsia" w:ascii="宋体" w:hAnsi="宋体" w:eastAsia="宋体" w:cs="宋体"/>
          <w:color w:val="auto"/>
          <w:szCs w:val="21"/>
          <w:highlight w:val="none"/>
        </w:rPr>
      </w:pPr>
    </w:p>
    <w:p w14:paraId="33C9BC7B">
      <w:pPr>
        <w:spacing w:line="440" w:lineRule="exact"/>
        <w:rPr>
          <w:rFonts w:hint="eastAsia" w:ascii="宋体" w:hAnsi="宋体" w:eastAsia="宋体" w:cs="宋体"/>
          <w:color w:val="auto"/>
          <w:szCs w:val="21"/>
          <w:highlight w:val="none"/>
        </w:rPr>
      </w:pPr>
    </w:p>
    <w:p w14:paraId="0000F1B6">
      <w:pPr>
        <w:spacing w:line="440" w:lineRule="exact"/>
        <w:rPr>
          <w:rFonts w:hint="eastAsia" w:ascii="宋体" w:hAnsi="宋体" w:eastAsia="宋体" w:cs="宋体"/>
          <w:color w:val="auto"/>
          <w:sz w:val="20"/>
          <w:szCs w:val="20"/>
          <w:highlight w:val="none"/>
        </w:rPr>
      </w:pPr>
    </w:p>
    <w:p w14:paraId="378DAE99">
      <w:pPr>
        <w:spacing w:line="440" w:lineRule="exact"/>
        <w:rPr>
          <w:rFonts w:hint="eastAsia" w:ascii="宋体" w:hAnsi="宋体" w:eastAsia="宋体" w:cs="宋体"/>
          <w:color w:val="auto"/>
          <w:sz w:val="20"/>
          <w:szCs w:val="20"/>
          <w:highlight w:val="none"/>
        </w:rPr>
      </w:pPr>
    </w:p>
    <w:p w14:paraId="5450B58F">
      <w:pPr>
        <w:spacing w:line="440" w:lineRule="exact"/>
        <w:rPr>
          <w:rFonts w:hint="eastAsia" w:ascii="宋体" w:hAnsi="宋体" w:eastAsia="宋体" w:cs="宋体"/>
          <w:color w:val="auto"/>
          <w:sz w:val="20"/>
          <w:szCs w:val="20"/>
          <w:highlight w:val="none"/>
        </w:rPr>
      </w:pPr>
    </w:p>
    <w:p w14:paraId="5BFA1BBE">
      <w:pPr>
        <w:pStyle w:val="3"/>
        <w:numPr>
          <w:ilvl w:val="1"/>
          <w:numId w:val="0"/>
        </w:numPr>
        <w:jc w:val="center"/>
        <w:rPr>
          <w:rFonts w:hint="eastAsia" w:ascii="宋体" w:hAnsi="宋体" w:eastAsia="宋体" w:cs="宋体"/>
          <w:color w:val="auto"/>
          <w:sz w:val="28"/>
          <w:highlight w:val="none"/>
        </w:rPr>
      </w:pPr>
      <w:bookmarkStart w:id="1046" w:name="_Toc6945"/>
      <w:bookmarkStart w:id="1047" w:name="_Toc466298162"/>
      <w:bookmarkStart w:id="1048" w:name="_Toc318989765"/>
      <w:bookmarkStart w:id="1049" w:name="_Toc202941490"/>
      <w:bookmarkStart w:id="1050" w:name="_Toc441791190"/>
      <w:bookmarkStart w:id="1051" w:name="_Toc26203"/>
      <w:bookmarkStart w:id="1052" w:name="_Toc4123"/>
      <w:bookmarkStart w:id="1053" w:name="_Toc15456"/>
      <w:r>
        <w:rPr>
          <w:rFonts w:hint="eastAsia" w:ascii="宋体" w:hAnsi="宋体" w:eastAsia="宋体" w:cs="宋体"/>
          <w:color w:val="auto"/>
          <w:sz w:val="28"/>
          <w:highlight w:val="none"/>
        </w:rPr>
        <w:t>三、授权委托书</w:t>
      </w:r>
      <w:bookmarkEnd w:id="1046"/>
      <w:bookmarkEnd w:id="1047"/>
      <w:bookmarkEnd w:id="1048"/>
      <w:bookmarkEnd w:id="1049"/>
      <w:bookmarkEnd w:id="1050"/>
      <w:bookmarkEnd w:id="1051"/>
      <w:bookmarkEnd w:id="1052"/>
      <w:bookmarkEnd w:id="1053"/>
    </w:p>
    <w:p w14:paraId="039F4ACA">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p>
    <w:p w14:paraId="719CAC0F">
      <w:pPr>
        <w:topLinePunct/>
        <w:spacing w:line="44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（项目名称）响应文件、签订合同和处理有关事宜，其法律后果由我方承担。</w:t>
      </w:r>
    </w:p>
    <w:p w14:paraId="35D7E0C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1C6101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36E0464">
      <w:pPr>
        <w:spacing w:line="440" w:lineRule="exact"/>
        <w:rPr>
          <w:rFonts w:hint="eastAsia" w:ascii="宋体" w:hAnsi="宋体" w:eastAsia="宋体" w:cs="宋体"/>
          <w:color w:val="auto"/>
          <w:szCs w:val="21"/>
          <w:highlight w:val="none"/>
        </w:rPr>
      </w:pPr>
    </w:p>
    <w:p w14:paraId="53AAA26D">
      <w:pPr>
        <w:spacing w:line="440" w:lineRule="exact"/>
        <w:rPr>
          <w:rFonts w:hint="eastAsia" w:ascii="宋体" w:hAnsi="宋体" w:eastAsia="宋体" w:cs="宋体"/>
          <w:color w:val="auto"/>
          <w:szCs w:val="21"/>
          <w:highlight w:val="none"/>
        </w:rPr>
      </w:pPr>
    </w:p>
    <w:p w14:paraId="5CBE66AF">
      <w:pPr>
        <w:spacing w:line="440" w:lineRule="exact"/>
        <w:rPr>
          <w:rFonts w:hint="eastAsia" w:ascii="宋体" w:hAnsi="宋体" w:eastAsia="宋体" w:cs="宋体"/>
          <w:color w:val="auto"/>
          <w:szCs w:val="21"/>
          <w:highlight w:val="none"/>
        </w:rPr>
      </w:pPr>
    </w:p>
    <w:p w14:paraId="122FD5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4255DDC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0E9921AB">
      <w:pPr>
        <w:spacing w:line="440" w:lineRule="exact"/>
        <w:ind w:firstLine="273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0DA57CF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576D334B">
      <w:pPr>
        <w:spacing w:line="440" w:lineRule="exact"/>
        <w:ind w:firstLine="2730" w:firstLineChars="1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09F601F4">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FE743B">
      <w:pPr>
        <w:spacing w:line="440" w:lineRule="exact"/>
        <w:rPr>
          <w:rFonts w:hint="eastAsia" w:ascii="宋体" w:hAnsi="宋体" w:eastAsia="宋体" w:cs="宋体"/>
          <w:color w:val="auto"/>
          <w:szCs w:val="21"/>
          <w:highlight w:val="none"/>
        </w:rPr>
      </w:pPr>
    </w:p>
    <w:p w14:paraId="331EB42E">
      <w:pPr>
        <w:pStyle w:val="11"/>
        <w:rPr>
          <w:rFonts w:hint="eastAsia" w:ascii="宋体" w:hAnsi="宋体" w:eastAsia="宋体" w:cs="宋体"/>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407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noWrap w:val="0"/>
            <w:vAlign w:val="center"/>
          </w:tcPr>
          <w:p w14:paraId="54F1824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委托代理人身份证扫描件</w:t>
            </w:r>
          </w:p>
          <w:p w14:paraId="4D56DA6D">
            <w:pPr>
              <w:spacing w:line="440" w:lineRule="exact"/>
              <w:jc w:val="center"/>
              <w:rPr>
                <w:rFonts w:hint="eastAsia" w:ascii="宋体" w:hAnsi="宋体" w:eastAsia="宋体" w:cs="宋体"/>
                <w:color w:val="auto"/>
                <w:szCs w:val="21"/>
                <w:highlight w:val="none"/>
              </w:rPr>
            </w:pPr>
          </w:p>
        </w:tc>
      </w:tr>
    </w:tbl>
    <w:p w14:paraId="6EF5226A">
      <w:pPr>
        <w:spacing w:line="440" w:lineRule="exact"/>
        <w:rPr>
          <w:rFonts w:hint="eastAsia" w:ascii="宋体" w:hAnsi="宋体" w:eastAsia="宋体" w:cs="宋体"/>
          <w:color w:val="auto"/>
          <w:szCs w:val="21"/>
          <w:highlight w:val="none"/>
        </w:rPr>
      </w:pPr>
    </w:p>
    <w:p w14:paraId="3EC3E7C6">
      <w:pPr>
        <w:spacing w:line="440" w:lineRule="exact"/>
        <w:ind w:firstLine="2310" w:firstLineChars="1100"/>
        <w:rPr>
          <w:rFonts w:hint="eastAsia" w:ascii="宋体" w:hAnsi="宋体" w:eastAsia="宋体" w:cs="宋体"/>
          <w:color w:val="auto"/>
          <w:szCs w:val="21"/>
          <w:highlight w:val="none"/>
        </w:rPr>
      </w:pPr>
    </w:p>
    <w:p w14:paraId="31C60C88">
      <w:pPr>
        <w:spacing w:line="400" w:lineRule="exact"/>
        <w:rPr>
          <w:rFonts w:hint="eastAsia" w:ascii="宋体" w:hAnsi="宋体" w:eastAsia="宋体" w:cs="宋体"/>
          <w:color w:val="auto"/>
          <w:sz w:val="20"/>
          <w:szCs w:val="20"/>
          <w:highlight w:val="none"/>
        </w:rPr>
      </w:pPr>
    </w:p>
    <w:p w14:paraId="0B1EFC37">
      <w:pPr>
        <w:rPr>
          <w:rFonts w:hint="eastAsia" w:ascii="宋体" w:hAnsi="宋体" w:eastAsia="宋体" w:cs="宋体"/>
          <w:color w:val="auto"/>
          <w:sz w:val="28"/>
          <w:highlight w:val="none"/>
        </w:rPr>
      </w:pPr>
      <w:bookmarkStart w:id="1054" w:name="_Toc475624455"/>
      <w:bookmarkStart w:id="1055" w:name="_Toc21839"/>
      <w:bookmarkStart w:id="1056" w:name="_Toc25711"/>
      <w:bookmarkStart w:id="1057" w:name="_Toc31731"/>
      <w:r>
        <w:rPr>
          <w:rFonts w:hint="eastAsia" w:ascii="宋体" w:hAnsi="宋体" w:eastAsia="宋体" w:cs="宋体"/>
          <w:color w:val="auto"/>
          <w:sz w:val="28"/>
          <w:highlight w:val="none"/>
        </w:rPr>
        <w:br w:type="page"/>
      </w:r>
    </w:p>
    <w:p w14:paraId="5C6D5EDE">
      <w:pPr>
        <w:pStyle w:val="3"/>
        <w:numPr>
          <w:ilvl w:val="1"/>
          <w:numId w:val="0"/>
        </w:numPr>
        <w:jc w:val="center"/>
        <w:rPr>
          <w:rFonts w:hint="eastAsia" w:ascii="宋体" w:hAnsi="宋体" w:eastAsia="宋体" w:cs="宋体"/>
          <w:color w:val="auto"/>
          <w:sz w:val="28"/>
          <w:highlight w:val="none"/>
        </w:rPr>
      </w:pPr>
      <w:bookmarkStart w:id="1058" w:name="_Toc21817"/>
      <w:r>
        <w:rPr>
          <w:rFonts w:hint="eastAsia" w:ascii="宋体" w:hAnsi="宋体" w:eastAsia="宋体" w:cs="宋体"/>
          <w:color w:val="auto"/>
          <w:sz w:val="28"/>
          <w:highlight w:val="none"/>
        </w:rPr>
        <w:t>四、</w:t>
      </w:r>
      <w:bookmarkEnd w:id="1054"/>
      <w:r>
        <w:rPr>
          <w:rFonts w:hint="eastAsia" w:ascii="宋体" w:hAnsi="宋体" w:eastAsia="宋体" w:cs="宋体"/>
          <w:color w:val="auto"/>
          <w:sz w:val="28"/>
          <w:highlight w:val="none"/>
        </w:rPr>
        <w:t>已标价工程量清单</w:t>
      </w:r>
      <w:bookmarkEnd w:id="1055"/>
      <w:bookmarkEnd w:id="1056"/>
      <w:bookmarkEnd w:id="1057"/>
      <w:bookmarkEnd w:id="1058"/>
    </w:p>
    <w:p w14:paraId="2B135B1C">
      <w:pPr>
        <w:pStyle w:val="3"/>
        <w:numPr>
          <w:ilvl w:val="1"/>
          <w:numId w:val="0"/>
        </w:numPr>
        <w:jc w:val="center"/>
        <w:rPr>
          <w:rFonts w:hint="eastAsia" w:ascii="宋体" w:hAnsi="宋体" w:eastAsia="宋体" w:cs="宋体"/>
          <w:color w:val="auto"/>
          <w:sz w:val="28"/>
          <w:highlight w:val="none"/>
        </w:rPr>
      </w:pPr>
    </w:p>
    <w:p w14:paraId="03163837">
      <w:pPr>
        <w:spacing w:line="460" w:lineRule="exact"/>
        <w:ind w:firstLine="360" w:firstLineChars="150"/>
        <w:rPr>
          <w:rFonts w:hint="eastAsia" w:ascii="宋体" w:hAnsi="宋体" w:eastAsia="宋体" w:cs="宋体"/>
          <w:color w:val="auto"/>
          <w:sz w:val="24"/>
          <w:highlight w:val="none"/>
        </w:rPr>
      </w:pPr>
    </w:p>
    <w:p w14:paraId="11436B71">
      <w:pPr>
        <w:spacing w:line="460" w:lineRule="exact"/>
        <w:rPr>
          <w:rFonts w:hint="eastAsia" w:ascii="宋体" w:hAnsi="宋体" w:eastAsia="宋体" w:cs="宋体"/>
          <w:color w:val="auto"/>
          <w:szCs w:val="21"/>
          <w:highlight w:val="none"/>
        </w:rPr>
      </w:pPr>
    </w:p>
    <w:p w14:paraId="17D5330A">
      <w:pPr>
        <w:spacing w:line="460" w:lineRule="exact"/>
        <w:rPr>
          <w:rFonts w:hint="eastAsia" w:ascii="宋体" w:hAnsi="宋体" w:eastAsia="宋体" w:cs="宋体"/>
          <w:color w:val="auto"/>
          <w:szCs w:val="21"/>
          <w:highlight w:val="none"/>
        </w:rPr>
      </w:pPr>
    </w:p>
    <w:p w14:paraId="19EBDA28">
      <w:pPr>
        <w:spacing w:line="460" w:lineRule="exact"/>
        <w:rPr>
          <w:rFonts w:hint="eastAsia" w:ascii="宋体" w:hAnsi="宋体" w:eastAsia="宋体" w:cs="宋体"/>
          <w:color w:val="auto"/>
          <w:szCs w:val="21"/>
          <w:highlight w:val="none"/>
        </w:rPr>
      </w:pPr>
    </w:p>
    <w:p w14:paraId="2E0A6457">
      <w:pPr>
        <w:spacing w:line="460" w:lineRule="exact"/>
        <w:rPr>
          <w:rFonts w:hint="eastAsia" w:ascii="宋体" w:hAnsi="宋体" w:eastAsia="宋体" w:cs="宋体"/>
          <w:color w:val="auto"/>
          <w:szCs w:val="21"/>
          <w:highlight w:val="none"/>
        </w:rPr>
      </w:pPr>
    </w:p>
    <w:p w14:paraId="0DA64FCF">
      <w:pPr>
        <w:spacing w:line="460" w:lineRule="exact"/>
        <w:rPr>
          <w:rFonts w:hint="eastAsia" w:ascii="宋体" w:hAnsi="宋体" w:eastAsia="宋体" w:cs="宋体"/>
          <w:color w:val="auto"/>
          <w:szCs w:val="21"/>
          <w:highlight w:val="none"/>
        </w:rPr>
      </w:pPr>
    </w:p>
    <w:p w14:paraId="74A00CF9">
      <w:pPr>
        <w:spacing w:line="460" w:lineRule="exact"/>
        <w:rPr>
          <w:rFonts w:hint="eastAsia" w:ascii="宋体" w:hAnsi="宋体" w:eastAsia="宋体" w:cs="宋体"/>
          <w:color w:val="auto"/>
          <w:szCs w:val="21"/>
          <w:highlight w:val="none"/>
        </w:rPr>
      </w:pPr>
    </w:p>
    <w:p w14:paraId="1FC4CC91">
      <w:pPr>
        <w:spacing w:line="460" w:lineRule="exact"/>
        <w:rPr>
          <w:rFonts w:hint="eastAsia" w:ascii="宋体" w:hAnsi="宋体" w:eastAsia="宋体" w:cs="宋体"/>
          <w:color w:val="auto"/>
          <w:szCs w:val="21"/>
          <w:highlight w:val="none"/>
        </w:rPr>
      </w:pPr>
    </w:p>
    <w:p w14:paraId="105EFE48">
      <w:pPr>
        <w:spacing w:line="460" w:lineRule="exact"/>
        <w:rPr>
          <w:rFonts w:hint="eastAsia" w:ascii="宋体" w:hAnsi="宋体" w:eastAsia="宋体" w:cs="宋体"/>
          <w:color w:val="auto"/>
          <w:szCs w:val="21"/>
          <w:highlight w:val="none"/>
        </w:rPr>
      </w:pPr>
    </w:p>
    <w:p w14:paraId="2F224D15">
      <w:pPr>
        <w:spacing w:line="460" w:lineRule="exact"/>
        <w:rPr>
          <w:rFonts w:hint="eastAsia" w:ascii="宋体" w:hAnsi="宋体" w:eastAsia="宋体" w:cs="宋体"/>
          <w:color w:val="auto"/>
          <w:szCs w:val="21"/>
          <w:highlight w:val="none"/>
        </w:rPr>
      </w:pPr>
    </w:p>
    <w:p w14:paraId="52A969FF">
      <w:pPr>
        <w:spacing w:line="460" w:lineRule="exact"/>
        <w:rPr>
          <w:rFonts w:hint="eastAsia" w:ascii="宋体" w:hAnsi="宋体" w:eastAsia="宋体" w:cs="宋体"/>
          <w:color w:val="auto"/>
          <w:szCs w:val="21"/>
          <w:highlight w:val="none"/>
        </w:rPr>
      </w:pPr>
    </w:p>
    <w:p w14:paraId="1755F6DE">
      <w:pPr>
        <w:spacing w:line="460" w:lineRule="exact"/>
        <w:rPr>
          <w:rFonts w:hint="eastAsia" w:ascii="宋体" w:hAnsi="宋体" w:eastAsia="宋体" w:cs="宋体"/>
          <w:color w:val="auto"/>
          <w:szCs w:val="21"/>
          <w:highlight w:val="none"/>
        </w:rPr>
      </w:pPr>
    </w:p>
    <w:p w14:paraId="64D5B41D">
      <w:pPr>
        <w:spacing w:line="460" w:lineRule="exact"/>
        <w:rPr>
          <w:rFonts w:hint="eastAsia" w:ascii="宋体" w:hAnsi="宋体" w:eastAsia="宋体" w:cs="宋体"/>
          <w:color w:val="auto"/>
          <w:szCs w:val="21"/>
          <w:highlight w:val="none"/>
        </w:rPr>
      </w:pPr>
    </w:p>
    <w:p w14:paraId="736E103F">
      <w:pPr>
        <w:spacing w:line="460" w:lineRule="exact"/>
        <w:rPr>
          <w:rFonts w:hint="eastAsia" w:ascii="宋体" w:hAnsi="宋体" w:eastAsia="宋体" w:cs="宋体"/>
          <w:color w:val="auto"/>
          <w:szCs w:val="21"/>
          <w:highlight w:val="none"/>
        </w:rPr>
      </w:pPr>
    </w:p>
    <w:p w14:paraId="739CE07E">
      <w:pPr>
        <w:spacing w:line="460" w:lineRule="exact"/>
        <w:rPr>
          <w:rFonts w:hint="eastAsia" w:ascii="宋体" w:hAnsi="宋体" w:eastAsia="宋体" w:cs="宋体"/>
          <w:color w:val="auto"/>
          <w:szCs w:val="21"/>
          <w:highlight w:val="none"/>
        </w:rPr>
      </w:pPr>
    </w:p>
    <w:p w14:paraId="60EEE871">
      <w:pPr>
        <w:spacing w:line="460" w:lineRule="exact"/>
        <w:rPr>
          <w:rFonts w:hint="eastAsia" w:ascii="宋体" w:hAnsi="宋体" w:eastAsia="宋体" w:cs="宋体"/>
          <w:color w:val="auto"/>
          <w:szCs w:val="21"/>
          <w:highlight w:val="none"/>
        </w:rPr>
      </w:pPr>
    </w:p>
    <w:p w14:paraId="6C43311E">
      <w:pPr>
        <w:spacing w:line="460" w:lineRule="exact"/>
        <w:rPr>
          <w:rFonts w:hint="eastAsia" w:ascii="宋体" w:hAnsi="宋体" w:eastAsia="宋体" w:cs="宋体"/>
          <w:color w:val="auto"/>
          <w:szCs w:val="21"/>
          <w:highlight w:val="none"/>
        </w:rPr>
      </w:pPr>
    </w:p>
    <w:p w14:paraId="14A6FD3B">
      <w:pPr>
        <w:spacing w:line="460" w:lineRule="exact"/>
        <w:rPr>
          <w:rFonts w:hint="eastAsia" w:ascii="宋体" w:hAnsi="宋体" w:eastAsia="宋体" w:cs="宋体"/>
          <w:color w:val="auto"/>
          <w:szCs w:val="21"/>
          <w:highlight w:val="none"/>
        </w:rPr>
      </w:pPr>
    </w:p>
    <w:p w14:paraId="2E389D9E">
      <w:pPr>
        <w:spacing w:line="460" w:lineRule="exact"/>
        <w:rPr>
          <w:rFonts w:hint="eastAsia" w:ascii="宋体" w:hAnsi="宋体" w:eastAsia="宋体" w:cs="宋体"/>
          <w:color w:val="auto"/>
          <w:szCs w:val="21"/>
          <w:highlight w:val="none"/>
        </w:rPr>
      </w:pPr>
    </w:p>
    <w:p w14:paraId="62921D77">
      <w:pPr>
        <w:spacing w:line="460" w:lineRule="exact"/>
        <w:rPr>
          <w:rFonts w:hint="eastAsia" w:ascii="宋体" w:hAnsi="宋体" w:eastAsia="宋体" w:cs="宋体"/>
          <w:color w:val="auto"/>
          <w:szCs w:val="21"/>
          <w:highlight w:val="none"/>
        </w:rPr>
      </w:pPr>
    </w:p>
    <w:p w14:paraId="599A20D7">
      <w:pPr>
        <w:spacing w:line="460" w:lineRule="exact"/>
        <w:rPr>
          <w:rFonts w:hint="eastAsia" w:ascii="宋体" w:hAnsi="宋体" w:eastAsia="宋体" w:cs="宋体"/>
          <w:color w:val="auto"/>
          <w:szCs w:val="21"/>
          <w:highlight w:val="none"/>
        </w:rPr>
      </w:pPr>
    </w:p>
    <w:p w14:paraId="55A811EA">
      <w:pPr>
        <w:spacing w:line="460" w:lineRule="exact"/>
        <w:rPr>
          <w:rFonts w:hint="eastAsia" w:ascii="宋体" w:hAnsi="宋体" w:eastAsia="宋体" w:cs="宋体"/>
          <w:color w:val="auto"/>
          <w:szCs w:val="21"/>
          <w:highlight w:val="none"/>
        </w:rPr>
      </w:pPr>
    </w:p>
    <w:p w14:paraId="7DDBF750">
      <w:pPr>
        <w:spacing w:line="460" w:lineRule="exact"/>
        <w:rPr>
          <w:rFonts w:hint="eastAsia" w:ascii="宋体" w:hAnsi="宋体" w:eastAsia="宋体" w:cs="宋体"/>
          <w:color w:val="auto"/>
          <w:szCs w:val="21"/>
          <w:highlight w:val="none"/>
        </w:rPr>
      </w:pPr>
    </w:p>
    <w:p w14:paraId="3E33DCDC">
      <w:pPr>
        <w:spacing w:line="460" w:lineRule="exact"/>
        <w:rPr>
          <w:rFonts w:hint="eastAsia" w:ascii="宋体" w:hAnsi="宋体" w:eastAsia="宋体" w:cs="宋体"/>
          <w:color w:val="auto"/>
          <w:szCs w:val="21"/>
          <w:highlight w:val="none"/>
        </w:rPr>
      </w:pPr>
    </w:p>
    <w:p w14:paraId="0769A61D">
      <w:pPr>
        <w:spacing w:line="460" w:lineRule="exact"/>
        <w:rPr>
          <w:rFonts w:hint="eastAsia" w:ascii="宋体" w:hAnsi="宋体" w:eastAsia="宋体" w:cs="宋体"/>
          <w:color w:val="auto"/>
          <w:szCs w:val="21"/>
          <w:highlight w:val="none"/>
        </w:rPr>
      </w:pPr>
    </w:p>
    <w:p w14:paraId="6DB637CF">
      <w:pPr>
        <w:rPr>
          <w:rFonts w:hint="eastAsia" w:ascii="宋体" w:hAnsi="宋体" w:eastAsia="宋体" w:cs="宋体"/>
          <w:color w:val="auto"/>
          <w:sz w:val="28"/>
          <w:highlight w:val="none"/>
        </w:rPr>
      </w:pPr>
      <w:bookmarkStart w:id="1059" w:name="_Toc5450"/>
      <w:bookmarkStart w:id="1060" w:name="_Toc22948"/>
      <w:bookmarkStart w:id="1061" w:name="_Toc475624456"/>
      <w:r>
        <w:rPr>
          <w:rFonts w:hint="eastAsia" w:ascii="宋体" w:hAnsi="宋体" w:eastAsia="宋体" w:cs="宋体"/>
          <w:color w:val="auto"/>
          <w:sz w:val="28"/>
          <w:highlight w:val="none"/>
        </w:rPr>
        <w:br w:type="page"/>
      </w:r>
    </w:p>
    <w:p w14:paraId="0FCA1B55">
      <w:pPr>
        <w:pStyle w:val="3"/>
        <w:numPr>
          <w:ilvl w:val="1"/>
          <w:numId w:val="0"/>
        </w:numPr>
        <w:jc w:val="center"/>
        <w:rPr>
          <w:rFonts w:hint="eastAsia" w:ascii="宋体" w:hAnsi="宋体" w:eastAsia="宋体" w:cs="宋体"/>
          <w:color w:val="auto"/>
          <w:sz w:val="28"/>
          <w:highlight w:val="none"/>
        </w:rPr>
      </w:pPr>
      <w:bookmarkStart w:id="1062" w:name="_Toc6514"/>
      <w:bookmarkStart w:id="1063" w:name="_Toc2172"/>
      <w:r>
        <w:rPr>
          <w:rFonts w:hint="eastAsia" w:ascii="宋体" w:hAnsi="宋体" w:eastAsia="宋体" w:cs="宋体"/>
          <w:color w:val="auto"/>
          <w:sz w:val="28"/>
          <w:highlight w:val="none"/>
        </w:rPr>
        <w:t>五、施工组织设计</w:t>
      </w:r>
      <w:bookmarkEnd w:id="1059"/>
      <w:bookmarkEnd w:id="1060"/>
      <w:bookmarkEnd w:id="1061"/>
      <w:bookmarkEnd w:id="1062"/>
      <w:bookmarkEnd w:id="1063"/>
    </w:p>
    <w:p w14:paraId="010FA793">
      <w:pPr>
        <w:pStyle w:val="3"/>
        <w:numPr>
          <w:ilvl w:val="1"/>
          <w:numId w:val="0"/>
        </w:numPr>
        <w:spacing w:before="0" w:after="0" w:line="360" w:lineRule="auto"/>
        <w:jc w:val="center"/>
        <w:rPr>
          <w:rFonts w:hint="eastAsia" w:ascii="宋体" w:hAnsi="宋体" w:eastAsia="宋体" w:cs="宋体"/>
          <w:color w:val="auto"/>
          <w:sz w:val="28"/>
          <w:highlight w:val="none"/>
        </w:rPr>
      </w:pPr>
      <w:bookmarkStart w:id="1064" w:name="_Toc9767"/>
      <w:bookmarkStart w:id="1065" w:name="_Toc27343"/>
      <w:bookmarkStart w:id="1066" w:name="_Toc475624457"/>
      <w:bookmarkStart w:id="1067" w:name="_Toc5603"/>
      <w:bookmarkStart w:id="1068" w:name="_Toc7110"/>
      <w:r>
        <w:rPr>
          <w:rFonts w:hint="eastAsia" w:ascii="宋体" w:hAnsi="宋体" w:eastAsia="宋体" w:cs="宋体"/>
          <w:color w:val="auto"/>
          <w:sz w:val="28"/>
          <w:highlight w:val="none"/>
        </w:rPr>
        <w:t>（格式自拟）</w:t>
      </w:r>
      <w:r>
        <w:rPr>
          <w:rFonts w:hint="eastAsia" w:ascii="宋体" w:hAnsi="宋体" w:eastAsia="宋体" w:cs="宋体"/>
          <w:color w:val="auto"/>
          <w:sz w:val="28"/>
          <w:highlight w:val="none"/>
        </w:rPr>
        <w:br w:type="page"/>
      </w:r>
      <w:r>
        <w:rPr>
          <w:rFonts w:hint="eastAsia" w:ascii="宋体" w:hAnsi="宋体" w:eastAsia="宋体" w:cs="宋体"/>
          <w:color w:val="auto"/>
          <w:sz w:val="28"/>
          <w:highlight w:val="none"/>
        </w:rPr>
        <w:t>六、项目管理机构</w:t>
      </w:r>
      <w:bookmarkEnd w:id="1064"/>
      <w:bookmarkEnd w:id="1065"/>
      <w:bookmarkEnd w:id="1066"/>
      <w:bookmarkEnd w:id="1067"/>
      <w:bookmarkEnd w:id="1068"/>
    </w:p>
    <w:p w14:paraId="359EB8C5">
      <w:pPr>
        <w:pStyle w:val="5"/>
        <w:numPr>
          <w:ilvl w:val="3"/>
          <w:numId w:val="0"/>
        </w:numPr>
        <w:spacing w:before="0"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（一）项目管理机构组成表</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75CB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7ECE99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28" w:type="dxa"/>
            <w:vMerge w:val="restart"/>
            <w:noWrap w:val="0"/>
            <w:vAlign w:val="center"/>
          </w:tcPr>
          <w:p w14:paraId="2E603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7" w:type="dxa"/>
            <w:vMerge w:val="restart"/>
            <w:noWrap w:val="0"/>
            <w:vAlign w:val="center"/>
          </w:tcPr>
          <w:p w14:paraId="5FF6F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132" w:type="dxa"/>
            <w:gridSpan w:val="4"/>
            <w:noWrap w:val="0"/>
            <w:vAlign w:val="center"/>
          </w:tcPr>
          <w:p w14:paraId="664993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1026" w:type="dxa"/>
            <w:vMerge w:val="restart"/>
            <w:noWrap w:val="0"/>
            <w:vAlign w:val="center"/>
          </w:tcPr>
          <w:p w14:paraId="534A3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80B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17952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8" w:type="dxa"/>
            <w:vMerge w:val="continue"/>
            <w:noWrap w:val="0"/>
            <w:vAlign w:val="center"/>
          </w:tcPr>
          <w:p w14:paraId="7DB76A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7" w:type="dxa"/>
            <w:vMerge w:val="continue"/>
            <w:noWrap w:val="0"/>
            <w:vAlign w:val="center"/>
          </w:tcPr>
          <w:p w14:paraId="44ACBA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643" w:type="dxa"/>
            <w:noWrap w:val="0"/>
            <w:vAlign w:val="center"/>
          </w:tcPr>
          <w:p w14:paraId="1F6E3A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1116" w:type="dxa"/>
            <w:noWrap w:val="0"/>
            <w:vAlign w:val="center"/>
          </w:tcPr>
          <w:p w14:paraId="2385A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142" w:type="dxa"/>
            <w:noWrap w:val="0"/>
            <w:vAlign w:val="center"/>
          </w:tcPr>
          <w:p w14:paraId="2AFAA4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231" w:type="dxa"/>
            <w:noWrap w:val="0"/>
            <w:vAlign w:val="center"/>
          </w:tcPr>
          <w:p w14:paraId="34A7C4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26" w:type="dxa"/>
            <w:vMerge w:val="continue"/>
            <w:noWrap w:val="0"/>
            <w:vAlign w:val="center"/>
          </w:tcPr>
          <w:p w14:paraId="5BC74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7773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2A1E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8" w:type="dxa"/>
            <w:noWrap w:val="0"/>
            <w:vAlign w:val="center"/>
          </w:tcPr>
          <w:p w14:paraId="1C046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7" w:type="dxa"/>
            <w:noWrap w:val="0"/>
            <w:vAlign w:val="center"/>
          </w:tcPr>
          <w:p w14:paraId="0A0850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643" w:type="dxa"/>
            <w:noWrap w:val="0"/>
            <w:vAlign w:val="center"/>
          </w:tcPr>
          <w:p w14:paraId="46AEE6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16" w:type="dxa"/>
            <w:noWrap w:val="0"/>
            <w:vAlign w:val="center"/>
          </w:tcPr>
          <w:p w14:paraId="616DF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42" w:type="dxa"/>
            <w:noWrap w:val="0"/>
            <w:vAlign w:val="center"/>
          </w:tcPr>
          <w:p w14:paraId="2041BC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31" w:type="dxa"/>
            <w:noWrap w:val="0"/>
            <w:vAlign w:val="center"/>
          </w:tcPr>
          <w:p w14:paraId="47B3F5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6" w:type="dxa"/>
            <w:noWrap w:val="0"/>
            <w:vAlign w:val="center"/>
          </w:tcPr>
          <w:p w14:paraId="7E605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2646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5442A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8" w:type="dxa"/>
            <w:noWrap w:val="0"/>
            <w:vAlign w:val="center"/>
          </w:tcPr>
          <w:p w14:paraId="07CB78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7" w:type="dxa"/>
            <w:noWrap w:val="0"/>
            <w:vAlign w:val="center"/>
          </w:tcPr>
          <w:p w14:paraId="4E9DA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643" w:type="dxa"/>
            <w:noWrap w:val="0"/>
            <w:vAlign w:val="center"/>
          </w:tcPr>
          <w:p w14:paraId="01ECB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16" w:type="dxa"/>
            <w:noWrap w:val="0"/>
            <w:vAlign w:val="center"/>
          </w:tcPr>
          <w:p w14:paraId="658CFB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42" w:type="dxa"/>
            <w:noWrap w:val="0"/>
            <w:vAlign w:val="center"/>
          </w:tcPr>
          <w:p w14:paraId="76F571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31" w:type="dxa"/>
            <w:noWrap w:val="0"/>
            <w:vAlign w:val="center"/>
          </w:tcPr>
          <w:p w14:paraId="13311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6" w:type="dxa"/>
            <w:noWrap w:val="0"/>
            <w:vAlign w:val="center"/>
          </w:tcPr>
          <w:p w14:paraId="4AF28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7EDB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81A18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8" w:type="dxa"/>
            <w:noWrap w:val="0"/>
            <w:vAlign w:val="center"/>
          </w:tcPr>
          <w:p w14:paraId="2D5002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7" w:type="dxa"/>
            <w:noWrap w:val="0"/>
            <w:vAlign w:val="center"/>
          </w:tcPr>
          <w:p w14:paraId="4E4B2D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643" w:type="dxa"/>
            <w:noWrap w:val="0"/>
            <w:vAlign w:val="center"/>
          </w:tcPr>
          <w:p w14:paraId="26231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16" w:type="dxa"/>
            <w:noWrap w:val="0"/>
            <w:vAlign w:val="center"/>
          </w:tcPr>
          <w:p w14:paraId="414C06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42" w:type="dxa"/>
            <w:noWrap w:val="0"/>
            <w:vAlign w:val="center"/>
          </w:tcPr>
          <w:p w14:paraId="4CECF8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31" w:type="dxa"/>
            <w:noWrap w:val="0"/>
            <w:vAlign w:val="center"/>
          </w:tcPr>
          <w:p w14:paraId="032236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6" w:type="dxa"/>
            <w:noWrap w:val="0"/>
            <w:vAlign w:val="center"/>
          </w:tcPr>
          <w:p w14:paraId="51149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43C4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E8EEF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8" w:type="dxa"/>
            <w:noWrap w:val="0"/>
            <w:vAlign w:val="center"/>
          </w:tcPr>
          <w:p w14:paraId="401B65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7" w:type="dxa"/>
            <w:noWrap w:val="0"/>
            <w:vAlign w:val="center"/>
          </w:tcPr>
          <w:p w14:paraId="3E80BD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643" w:type="dxa"/>
            <w:noWrap w:val="0"/>
            <w:vAlign w:val="center"/>
          </w:tcPr>
          <w:p w14:paraId="4287C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16" w:type="dxa"/>
            <w:noWrap w:val="0"/>
            <w:vAlign w:val="center"/>
          </w:tcPr>
          <w:p w14:paraId="68C95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142" w:type="dxa"/>
            <w:noWrap w:val="0"/>
            <w:vAlign w:val="center"/>
          </w:tcPr>
          <w:p w14:paraId="09434C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31" w:type="dxa"/>
            <w:noWrap w:val="0"/>
            <w:vAlign w:val="center"/>
          </w:tcPr>
          <w:p w14:paraId="330506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026" w:type="dxa"/>
            <w:noWrap w:val="0"/>
            <w:vAlign w:val="center"/>
          </w:tcPr>
          <w:p w14:paraId="56CB60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758D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8DA3E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8" w:type="dxa"/>
            <w:noWrap w:val="0"/>
            <w:vAlign w:val="center"/>
          </w:tcPr>
          <w:p w14:paraId="2BB78D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7" w:type="dxa"/>
            <w:noWrap w:val="0"/>
            <w:vAlign w:val="center"/>
          </w:tcPr>
          <w:p w14:paraId="0CD3B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643" w:type="dxa"/>
            <w:noWrap w:val="0"/>
            <w:vAlign w:val="center"/>
          </w:tcPr>
          <w:p w14:paraId="07C704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16" w:type="dxa"/>
            <w:noWrap w:val="0"/>
            <w:vAlign w:val="center"/>
          </w:tcPr>
          <w:p w14:paraId="1DD174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42" w:type="dxa"/>
            <w:noWrap w:val="0"/>
            <w:vAlign w:val="center"/>
          </w:tcPr>
          <w:p w14:paraId="4F1F9F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231" w:type="dxa"/>
            <w:noWrap w:val="0"/>
            <w:vAlign w:val="center"/>
          </w:tcPr>
          <w:p w14:paraId="1B6A46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6" w:type="dxa"/>
            <w:noWrap w:val="0"/>
            <w:vAlign w:val="center"/>
          </w:tcPr>
          <w:p w14:paraId="0477E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r>
      <w:tr w14:paraId="2FF4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98BA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8" w:type="dxa"/>
            <w:noWrap w:val="0"/>
            <w:vAlign w:val="center"/>
          </w:tcPr>
          <w:p w14:paraId="6C9A68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7" w:type="dxa"/>
            <w:noWrap w:val="0"/>
            <w:vAlign w:val="center"/>
          </w:tcPr>
          <w:p w14:paraId="75BDB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643" w:type="dxa"/>
            <w:noWrap w:val="0"/>
            <w:vAlign w:val="center"/>
          </w:tcPr>
          <w:p w14:paraId="3EB6B5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16" w:type="dxa"/>
            <w:noWrap w:val="0"/>
            <w:vAlign w:val="center"/>
          </w:tcPr>
          <w:p w14:paraId="7455E3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42" w:type="dxa"/>
            <w:noWrap w:val="0"/>
            <w:vAlign w:val="center"/>
          </w:tcPr>
          <w:p w14:paraId="4BD32A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231" w:type="dxa"/>
            <w:noWrap w:val="0"/>
            <w:vAlign w:val="center"/>
          </w:tcPr>
          <w:p w14:paraId="3E407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6" w:type="dxa"/>
            <w:noWrap w:val="0"/>
            <w:vAlign w:val="center"/>
          </w:tcPr>
          <w:p w14:paraId="3688B5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r>
      <w:tr w14:paraId="408E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6924F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8" w:type="dxa"/>
            <w:noWrap w:val="0"/>
            <w:vAlign w:val="center"/>
          </w:tcPr>
          <w:p w14:paraId="3CE26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7" w:type="dxa"/>
            <w:noWrap w:val="0"/>
            <w:vAlign w:val="center"/>
          </w:tcPr>
          <w:p w14:paraId="6C185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643" w:type="dxa"/>
            <w:noWrap w:val="0"/>
            <w:vAlign w:val="center"/>
          </w:tcPr>
          <w:p w14:paraId="45EF5D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16" w:type="dxa"/>
            <w:noWrap w:val="0"/>
            <w:vAlign w:val="center"/>
          </w:tcPr>
          <w:p w14:paraId="4138A0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42" w:type="dxa"/>
            <w:noWrap w:val="0"/>
            <w:vAlign w:val="center"/>
          </w:tcPr>
          <w:p w14:paraId="6C35C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231" w:type="dxa"/>
            <w:noWrap w:val="0"/>
            <w:vAlign w:val="center"/>
          </w:tcPr>
          <w:p w14:paraId="30E6C1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6" w:type="dxa"/>
            <w:noWrap w:val="0"/>
            <w:vAlign w:val="center"/>
          </w:tcPr>
          <w:p w14:paraId="0B9A4D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r>
      <w:tr w14:paraId="7E0F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3DDB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8" w:type="dxa"/>
            <w:noWrap w:val="0"/>
            <w:vAlign w:val="center"/>
          </w:tcPr>
          <w:p w14:paraId="0F576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7" w:type="dxa"/>
            <w:noWrap w:val="0"/>
            <w:vAlign w:val="center"/>
          </w:tcPr>
          <w:p w14:paraId="458E6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643" w:type="dxa"/>
            <w:noWrap w:val="0"/>
            <w:vAlign w:val="center"/>
          </w:tcPr>
          <w:p w14:paraId="75D85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16" w:type="dxa"/>
            <w:noWrap w:val="0"/>
            <w:vAlign w:val="center"/>
          </w:tcPr>
          <w:p w14:paraId="165602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142" w:type="dxa"/>
            <w:noWrap w:val="0"/>
            <w:vAlign w:val="center"/>
          </w:tcPr>
          <w:p w14:paraId="2EB993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231" w:type="dxa"/>
            <w:noWrap w:val="0"/>
            <w:vAlign w:val="center"/>
          </w:tcPr>
          <w:p w14:paraId="74D87B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c>
          <w:tcPr>
            <w:tcW w:w="1026" w:type="dxa"/>
            <w:noWrap w:val="0"/>
            <w:vAlign w:val="center"/>
          </w:tcPr>
          <w:p w14:paraId="59AB9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highlight w:val="none"/>
              </w:rPr>
            </w:pPr>
          </w:p>
        </w:tc>
      </w:tr>
      <w:tr w14:paraId="1920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F9A0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07FD2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13853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3977C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685502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18E92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63B32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4E80B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r w14:paraId="01AC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1911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05D2B6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039DC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342D1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1870F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4030A2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1D4C11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3BDBF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r w14:paraId="2233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3358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0280C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6B6A1E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5C6D7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574DE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718970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587F5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4F913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r w14:paraId="782F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913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6ED49B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712590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3B3BA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7F3E7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4EFAD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0DBAF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16F43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r w14:paraId="1F02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F6744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47983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576A6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0BDE0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024F6C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239AC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55CBC3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0A317B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r w14:paraId="3794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0E44D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8" w:type="dxa"/>
            <w:noWrap w:val="0"/>
            <w:vAlign w:val="center"/>
          </w:tcPr>
          <w:p w14:paraId="0B544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7" w:type="dxa"/>
            <w:noWrap w:val="0"/>
            <w:vAlign w:val="center"/>
          </w:tcPr>
          <w:p w14:paraId="6CB9EF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643" w:type="dxa"/>
            <w:noWrap w:val="0"/>
            <w:vAlign w:val="center"/>
          </w:tcPr>
          <w:p w14:paraId="488CA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16" w:type="dxa"/>
            <w:noWrap w:val="0"/>
            <w:vAlign w:val="center"/>
          </w:tcPr>
          <w:p w14:paraId="676CA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142" w:type="dxa"/>
            <w:noWrap w:val="0"/>
            <w:vAlign w:val="center"/>
          </w:tcPr>
          <w:p w14:paraId="1B7F86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231" w:type="dxa"/>
            <w:noWrap w:val="0"/>
            <w:vAlign w:val="center"/>
          </w:tcPr>
          <w:p w14:paraId="10757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c>
          <w:tcPr>
            <w:tcW w:w="1026" w:type="dxa"/>
            <w:noWrap w:val="0"/>
            <w:vAlign w:val="center"/>
          </w:tcPr>
          <w:p w14:paraId="0EC3F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2"/>
                <w:szCs w:val="21"/>
                <w:highlight w:val="none"/>
              </w:rPr>
            </w:pPr>
          </w:p>
        </w:tc>
      </w:tr>
    </w:tbl>
    <w:p w14:paraId="673EBE09">
      <w:pPr>
        <w:rPr>
          <w:rFonts w:hint="eastAsia" w:ascii="宋体" w:hAnsi="宋体" w:eastAsia="宋体" w:cs="宋体"/>
          <w:color w:val="auto"/>
          <w:highlight w:val="none"/>
        </w:rPr>
      </w:pPr>
      <w:bookmarkStart w:id="1069" w:name="_Toc320473738"/>
    </w:p>
    <w:p w14:paraId="2681C6BF">
      <w:pPr>
        <w:pStyle w:val="5"/>
        <w:numPr>
          <w:ilvl w:val="3"/>
          <w:numId w:val="0"/>
        </w:numPr>
        <w:spacing w:before="0"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（二）主要人员简历表</w:t>
      </w:r>
      <w:bookmarkEnd w:id="1069"/>
    </w:p>
    <w:p w14:paraId="558C0FE7">
      <w:pPr>
        <w:pStyle w:val="49"/>
        <w:spacing w:line="5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附1：项目经理简历表</w:t>
      </w:r>
    </w:p>
    <w:p w14:paraId="0E32C743">
      <w:pPr>
        <w:pStyle w:val="49"/>
        <w:spacing w:line="500" w:lineRule="exact"/>
        <w:ind w:firstLine="630" w:firstLineChars="3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项目经理应附建造师注册证书、安全生产考核合格证书、身份证及未担任其他在施建设工程项目项目经理的承诺书。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0124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7C2FC26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556" w:type="dxa"/>
            <w:gridSpan w:val="2"/>
            <w:noWrap w:val="0"/>
            <w:vAlign w:val="center"/>
          </w:tcPr>
          <w:p w14:paraId="72AA839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1561" w:type="dxa"/>
            <w:noWrap w:val="0"/>
            <w:vAlign w:val="center"/>
          </w:tcPr>
          <w:p w14:paraId="24ACD91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557" w:type="dxa"/>
            <w:noWrap w:val="0"/>
            <w:vAlign w:val="center"/>
          </w:tcPr>
          <w:p w14:paraId="78232E5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1850" w:type="dxa"/>
            <w:gridSpan w:val="2"/>
            <w:noWrap w:val="0"/>
            <w:vAlign w:val="center"/>
          </w:tcPr>
          <w:p w14:paraId="20A5025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267" w:type="dxa"/>
            <w:noWrap w:val="0"/>
            <w:vAlign w:val="center"/>
          </w:tcPr>
          <w:p w14:paraId="0EACBE4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3B5C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4322C4A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1556" w:type="dxa"/>
            <w:gridSpan w:val="2"/>
            <w:noWrap w:val="0"/>
            <w:vAlign w:val="center"/>
          </w:tcPr>
          <w:p w14:paraId="592A19D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1561" w:type="dxa"/>
            <w:noWrap w:val="0"/>
            <w:vAlign w:val="center"/>
          </w:tcPr>
          <w:p w14:paraId="45FE462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p>
        </w:tc>
        <w:tc>
          <w:tcPr>
            <w:tcW w:w="1557" w:type="dxa"/>
            <w:noWrap w:val="0"/>
            <w:vAlign w:val="center"/>
          </w:tcPr>
          <w:p w14:paraId="629B079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1850" w:type="dxa"/>
            <w:gridSpan w:val="2"/>
            <w:noWrap w:val="0"/>
            <w:vAlign w:val="center"/>
          </w:tcPr>
          <w:p w14:paraId="4832B3D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拟在本合同任职</w:t>
            </w:r>
          </w:p>
        </w:tc>
        <w:tc>
          <w:tcPr>
            <w:tcW w:w="1267" w:type="dxa"/>
            <w:noWrap w:val="0"/>
            <w:vAlign w:val="center"/>
          </w:tcPr>
          <w:p w14:paraId="22DE416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5C7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4CBFCDF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毕业学校</w:t>
            </w:r>
          </w:p>
        </w:tc>
        <w:tc>
          <w:tcPr>
            <w:tcW w:w="7791" w:type="dxa"/>
            <w:gridSpan w:val="7"/>
            <w:noWrap w:val="0"/>
            <w:vAlign w:val="center"/>
          </w:tcPr>
          <w:p w14:paraId="6F420C8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年毕业于      学校       专业</w:t>
            </w:r>
          </w:p>
        </w:tc>
      </w:tr>
      <w:tr w14:paraId="24E7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065E446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主要工作经历</w:t>
            </w:r>
          </w:p>
        </w:tc>
      </w:tr>
      <w:tr w14:paraId="6FA7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5576AF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 间</w:t>
            </w:r>
          </w:p>
        </w:tc>
        <w:tc>
          <w:tcPr>
            <w:tcW w:w="2337" w:type="dxa"/>
            <w:gridSpan w:val="2"/>
            <w:noWrap w:val="0"/>
            <w:vAlign w:val="center"/>
          </w:tcPr>
          <w:p w14:paraId="5FC2856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参加过的类似项目</w:t>
            </w:r>
          </w:p>
        </w:tc>
        <w:tc>
          <w:tcPr>
            <w:tcW w:w="2336" w:type="dxa"/>
            <w:gridSpan w:val="2"/>
            <w:noWrap w:val="0"/>
            <w:vAlign w:val="center"/>
          </w:tcPr>
          <w:p w14:paraId="167FC38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担任职务</w:t>
            </w:r>
          </w:p>
        </w:tc>
        <w:tc>
          <w:tcPr>
            <w:tcW w:w="2338" w:type="dxa"/>
            <w:gridSpan w:val="2"/>
            <w:noWrap w:val="0"/>
            <w:vAlign w:val="center"/>
          </w:tcPr>
          <w:p w14:paraId="5511B0B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发包人及联系电话</w:t>
            </w:r>
          </w:p>
        </w:tc>
      </w:tr>
      <w:tr w14:paraId="4D51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7BBCFC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2EA7D13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350E715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30FA5B4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785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9DA6D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5BA625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16B96AF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1A34022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27C6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B574C8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7D1932E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6C1623E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7AB2183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0BD3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DB4F7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14441141">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144F1D5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69B68B0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5503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6C48A2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3CC89B6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7F7F852C">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431B93C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6F4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21ECEBC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4D26340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14286CC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756545A3">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179C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22164D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4921354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48913B7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01E063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r w14:paraId="17C1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F86719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7" w:type="dxa"/>
            <w:gridSpan w:val="2"/>
            <w:noWrap w:val="0"/>
            <w:vAlign w:val="center"/>
          </w:tcPr>
          <w:p w14:paraId="61525D6D">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6" w:type="dxa"/>
            <w:gridSpan w:val="2"/>
            <w:noWrap w:val="0"/>
            <w:vAlign w:val="center"/>
          </w:tcPr>
          <w:p w14:paraId="77FC8E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c>
          <w:tcPr>
            <w:tcW w:w="2338" w:type="dxa"/>
            <w:gridSpan w:val="2"/>
            <w:noWrap w:val="0"/>
            <w:vAlign w:val="center"/>
          </w:tcPr>
          <w:p w14:paraId="00757F5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color w:val="auto"/>
                <w:kern w:val="0"/>
                <w:szCs w:val="21"/>
                <w:highlight w:val="none"/>
              </w:rPr>
            </w:pPr>
          </w:p>
        </w:tc>
      </w:tr>
    </w:tbl>
    <w:p w14:paraId="07C1F2D6">
      <w:pPr>
        <w:pStyle w:val="3"/>
        <w:numPr>
          <w:ilvl w:val="1"/>
          <w:numId w:val="0"/>
        </w:numPr>
        <w:rPr>
          <w:rFonts w:hint="eastAsia" w:ascii="宋体" w:hAnsi="宋体" w:eastAsia="宋体" w:cs="宋体"/>
          <w:color w:val="auto"/>
          <w:sz w:val="21"/>
          <w:szCs w:val="21"/>
          <w:highlight w:val="none"/>
        </w:rPr>
      </w:pPr>
      <w:bookmarkStart w:id="1070" w:name="_Toc475624458"/>
      <w:bookmarkStart w:id="1071" w:name="_Toc5437"/>
    </w:p>
    <w:p w14:paraId="3B9C073F">
      <w:pPr>
        <w:rPr>
          <w:rFonts w:hint="eastAsia" w:ascii="宋体" w:hAnsi="宋体" w:eastAsia="宋体" w:cs="宋体"/>
          <w:color w:val="auto"/>
          <w:szCs w:val="21"/>
          <w:highlight w:val="none"/>
        </w:rPr>
      </w:pPr>
    </w:p>
    <w:p w14:paraId="7EF5E25A">
      <w:pPr>
        <w:rPr>
          <w:rFonts w:hint="eastAsia" w:ascii="宋体" w:hAnsi="宋体" w:eastAsia="宋体" w:cs="宋体"/>
          <w:color w:val="auto"/>
          <w:szCs w:val="21"/>
          <w:highlight w:val="none"/>
        </w:rPr>
      </w:pPr>
    </w:p>
    <w:p w14:paraId="65E370FF">
      <w:pPr>
        <w:rPr>
          <w:rFonts w:hint="eastAsia" w:ascii="宋体" w:hAnsi="宋体" w:eastAsia="宋体" w:cs="宋体"/>
          <w:color w:val="auto"/>
          <w:szCs w:val="21"/>
          <w:highlight w:val="none"/>
        </w:rPr>
      </w:pPr>
    </w:p>
    <w:p w14:paraId="6324CE2B">
      <w:pPr>
        <w:spacing w:before="317" w:beforeLines="100" w:after="158" w:afterLine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附2：承诺书</w:t>
      </w:r>
    </w:p>
    <w:p w14:paraId="71C673D8">
      <w:pPr>
        <w:spacing w:before="317" w:beforeLines="100" w:after="158"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项目经理无在建项目承诺书</w:t>
      </w:r>
    </w:p>
    <w:p w14:paraId="3D890A4C">
      <w:pPr>
        <w:spacing w:after="317" w:afterLines="100" w:line="600" w:lineRule="exact"/>
        <w:rPr>
          <w:rFonts w:hint="eastAsia" w:ascii="宋体" w:hAnsi="宋体" w:eastAsia="宋体" w:cs="宋体"/>
          <w:color w:val="auto"/>
          <w:szCs w:val="21"/>
          <w:highlight w:val="none"/>
        </w:rPr>
      </w:pPr>
      <w:r>
        <w:rPr>
          <w:rFonts w:hint="eastAsia" w:ascii="宋体" w:hAnsi="宋体" w:cs="宋体"/>
          <w:color w:val="auto"/>
          <w:position w:val="-7"/>
          <w:szCs w:val="21"/>
          <w:highlight w:val="none"/>
          <w:u w:val="single"/>
          <w:lang w:val="en-US" w:eastAsia="zh-CN"/>
        </w:rPr>
        <w:t xml:space="preserve">              </w:t>
      </w:r>
      <w:r>
        <w:rPr>
          <w:rFonts w:hint="eastAsia" w:ascii="宋体" w:hAnsi="宋体" w:eastAsia="宋体" w:cs="宋体"/>
          <w:color w:val="auto"/>
          <w:szCs w:val="21"/>
          <w:highlight w:val="none"/>
        </w:rPr>
        <w:t>（采购人名称）：</w:t>
      </w:r>
    </w:p>
    <w:p w14:paraId="0055AC04">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我方在此声明，我方拟派往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（工程名称）（以下简称“本工程”）的项目经理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（项目经理姓名）现阶段没有担任任何在施建设工程项目的项目经理。</w:t>
      </w:r>
    </w:p>
    <w:p w14:paraId="1F4BC40B">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我方保证上述信息的真实和准确，并愿意承担因我方就此弄虚作假所引起的一切法律后果。</w:t>
      </w:r>
    </w:p>
    <w:p w14:paraId="3EAA28C8">
      <w:pPr>
        <w:spacing w:line="600" w:lineRule="exact"/>
        <w:ind w:firstLine="420" w:firstLineChars="200"/>
        <w:rPr>
          <w:rFonts w:hint="eastAsia" w:ascii="宋体" w:hAnsi="宋体" w:eastAsia="宋体" w:cs="宋体"/>
          <w:color w:val="auto"/>
          <w:szCs w:val="21"/>
          <w:highlight w:val="none"/>
        </w:rPr>
      </w:pPr>
    </w:p>
    <w:p w14:paraId="5914FCBA">
      <w:pPr>
        <w:spacing w:line="600" w:lineRule="exact"/>
        <w:ind w:firstLine="420" w:firstLineChars="200"/>
        <w:rPr>
          <w:rFonts w:hint="eastAsia" w:ascii="宋体" w:hAnsi="宋体" w:eastAsia="宋体" w:cs="宋体"/>
          <w:color w:val="auto"/>
          <w:szCs w:val="21"/>
          <w:highlight w:val="none"/>
        </w:rPr>
      </w:pPr>
    </w:p>
    <w:p w14:paraId="764707BF">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CE20E86">
      <w:pPr>
        <w:spacing w:line="600" w:lineRule="exact"/>
        <w:ind w:firstLine="420" w:firstLineChars="200"/>
        <w:rPr>
          <w:rFonts w:hint="eastAsia" w:ascii="宋体" w:hAnsi="宋体" w:eastAsia="宋体" w:cs="宋体"/>
          <w:color w:val="auto"/>
          <w:szCs w:val="21"/>
          <w:highlight w:val="none"/>
        </w:rPr>
      </w:pPr>
    </w:p>
    <w:p w14:paraId="15BE2775">
      <w:pPr>
        <w:spacing w:line="600" w:lineRule="exact"/>
        <w:ind w:firstLine="420" w:firstLineChars="200"/>
        <w:rPr>
          <w:rFonts w:hint="eastAsia" w:ascii="宋体" w:hAnsi="宋体" w:eastAsia="宋体" w:cs="宋体"/>
          <w:color w:val="auto"/>
          <w:szCs w:val="21"/>
          <w:highlight w:val="none"/>
        </w:rPr>
      </w:pPr>
    </w:p>
    <w:p w14:paraId="28F3D798">
      <w:pPr>
        <w:spacing w:line="600" w:lineRule="exact"/>
        <w:ind w:firstLine="420" w:firstLineChars="200"/>
        <w:rPr>
          <w:rFonts w:hint="eastAsia" w:ascii="宋体" w:hAnsi="宋体" w:eastAsia="宋体" w:cs="宋体"/>
          <w:color w:val="auto"/>
          <w:szCs w:val="21"/>
          <w:highlight w:val="none"/>
        </w:rPr>
      </w:pPr>
    </w:p>
    <w:p w14:paraId="6A859175">
      <w:pPr>
        <w:spacing w:line="600" w:lineRule="exact"/>
        <w:ind w:firstLine="420" w:firstLineChars="200"/>
        <w:rPr>
          <w:rFonts w:hint="eastAsia" w:ascii="宋体" w:hAnsi="宋体" w:eastAsia="宋体" w:cs="宋体"/>
          <w:color w:val="auto"/>
          <w:szCs w:val="21"/>
          <w:highlight w:val="none"/>
        </w:rPr>
      </w:pPr>
    </w:p>
    <w:p w14:paraId="3DF28FD1">
      <w:pPr>
        <w:spacing w:line="600" w:lineRule="exact"/>
        <w:ind w:firstLine="420" w:firstLineChars="200"/>
        <w:rPr>
          <w:rFonts w:hint="eastAsia" w:ascii="宋体" w:hAnsi="宋体" w:eastAsia="宋体" w:cs="宋体"/>
          <w:color w:val="auto"/>
          <w:szCs w:val="21"/>
          <w:highlight w:val="none"/>
        </w:rPr>
      </w:pPr>
    </w:p>
    <w:p w14:paraId="100BEC74">
      <w:pPr>
        <w:spacing w:line="600" w:lineRule="exact"/>
        <w:ind w:firstLine="420" w:firstLineChars="200"/>
        <w:rPr>
          <w:rFonts w:hint="eastAsia" w:ascii="宋体" w:hAnsi="宋体" w:eastAsia="宋体" w:cs="宋体"/>
          <w:color w:val="auto"/>
          <w:szCs w:val="21"/>
          <w:highlight w:val="none"/>
        </w:rPr>
      </w:pPr>
    </w:p>
    <w:p w14:paraId="31275333">
      <w:pPr>
        <w:spacing w:line="6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（单位电子签章）</w:t>
      </w:r>
    </w:p>
    <w:p w14:paraId="2758D3AF">
      <w:pPr>
        <w:spacing w:line="6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（电子签名或盖章）</w:t>
      </w:r>
    </w:p>
    <w:p w14:paraId="726BE3A9">
      <w:pPr>
        <w:spacing w:line="600" w:lineRule="exact"/>
        <w:jc w:val="right"/>
        <w:rPr>
          <w:rFonts w:hint="eastAsia" w:ascii="宋体" w:hAnsi="宋体" w:eastAsia="宋体" w:cs="宋体"/>
          <w:color w:val="auto"/>
          <w:szCs w:val="21"/>
          <w:highlight w:val="none"/>
        </w:rPr>
      </w:pPr>
    </w:p>
    <w:p w14:paraId="288A4694">
      <w:pPr>
        <w:spacing w:line="6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3B3ED7E">
      <w:pPr>
        <w:jc w:val="center"/>
        <w:rPr>
          <w:rFonts w:hint="eastAsia" w:ascii="宋体" w:hAnsi="宋体" w:eastAsia="宋体" w:cs="宋体"/>
          <w:b/>
          <w:bCs/>
          <w:color w:val="auto"/>
          <w:sz w:val="28"/>
          <w:highlight w:val="none"/>
        </w:rPr>
      </w:pPr>
      <w:r>
        <w:rPr>
          <w:rFonts w:hint="eastAsia" w:ascii="宋体" w:hAnsi="宋体" w:eastAsia="宋体" w:cs="宋体"/>
          <w:color w:val="auto"/>
          <w:szCs w:val="21"/>
          <w:highlight w:val="none"/>
        </w:rPr>
        <w:br w:type="page"/>
      </w:r>
      <w:bookmarkStart w:id="1072" w:name="_Toc11835"/>
      <w:r>
        <w:rPr>
          <w:rFonts w:hint="eastAsia" w:ascii="宋体" w:hAnsi="宋体" w:eastAsia="宋体" w:cs="宋体"/>
          <w:b/>
          <w:bCs/>
          <w:color w:val="auto"/>
          <w:sz w:val="28"/>
          <w:highlight w:val="none"/>
        </w:rPr>
        <w:t>七、资格</w:t>
      </w:r>
      <w:bookmarkEnd w:id="1070"/>
      <w:bookmarkEnd w:id="1071"/>
      <w:r>
        <w:rPr>
          <w:rFonts w:hint="eastAsia" w:ascii="宋体" w:hAnsi="宋体" w:eastAsia="宋体" w:cs="宋体"/>
          <w:b/>
          <w:bCs/>
          <w:color w:val="auto"/>
          <w:sz w:val="28"/>
          <w:highlight w:val="none"/>
        </w:rPr>
        <w:t>证明材料</w:t>
      </w:r>
      <w:bookmarkEnd w:id="107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690F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C5D36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020" w:type="dxa"/>
            <w:gridSpan w:val="9"/>
            <w:noWrap w:val="0"/>
            <w:vAlign w:val="center"/>
          </w:tcPr>
          <w:p w14:paraId="31038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1DD4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832A5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389" w:type="dxa"/>
            <w:gridSpan w:val="5"/>
            <w:noWrap w:val="0"/>
            <w:vAlign w:val="center"/>
          </w:tcPr>
          <w:p w14:paraId="387BB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46" w:type="dxa"/>
            <w:noWrap w:val="0"/>
            <w:vAlign w:val="center"/>
          </w:tcPr>
          <w:p w14:paraId="3F308B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85" w:type="dxa"/>
            <w:gridSpan w:val="3"/>
            <w:noWrap w:val="0"/>
            <w:vAlign w:val="center"/>
          </w:tcPr>
          <w:p w14:paraId="0F50F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2F67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65F540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7" w:type="dxa"/>
            <w:noWrap w:val="0"/>
            <w:vAlign w:val="center"/>
          </w:tcPr>
          <w:p w14:paraId="50FF6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92" w:type="dxa"/>
            <w:gridSpan w:val="4"/>
            <w:noWrap w:val="0"/>
            <w:vAlign w:val="center"/>
          </w:tcPr>
          <w:p w14:paraId="5352C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46" w:type="dxa"/>
            <w:noWrap w:val="0"/>
            <w:vAlign w:val="center"/>
          </w:tcPr>
          <w:p w14:paraId="381A2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385" w:type="dxa"/>
            <w:gridSpan w:val="3"/>
            <w:noWrap w:val="0"/>
            <w:vAlign w:val="center"/>
          </w:tcPr>
          <w:p w14:paraId="62D16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107D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3144B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897" w:type="dxa"/>
            <w:noWrap w:val="0"/>
            <w:vAlign w:val="center"/>
          </w:tcPr>
          <w:p w14:paraId="6BC53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492" w:type="dxa"/>
            <w:gridSpan w:val="4"/>
            <w:noWrap w:val="0"/>
            <w:vAlign w:val="center"/>
          </w:tcPr>
          <w:p w14:paraId="5C0B1B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46" w:type="dxa"/>
            <w:noWrap w:val="0"/>
            <w:vAlign w:val="center"/>
          </w:tcPr>
          <w:p w14:paraId="54478F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385" w:type="dxa"/>
            <w:gridSpan w:val="3"/>
            <w:noWrap w:val="0"/>
            <w:vAlign w:val="center"/>
          </w:tcPr>
          <w:p w14:paraId="0D679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5AE7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F885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7020" w:type="dxa"/>
            <w:gridSpan w:val="9"/>
            <w:noWrap w:val="0"/>
            <w:vAlign w:val="center"/>
          </w:tcPr>
          <w:p w14:paraId="427A94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56D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053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7" w:type="dxa"/>
            <w:noWrap w:val="0"/>
            <w:vAlign w:val="center"/>
          </w:tcPr>
          <w:p w14:paraId="03FD43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noWrap w:val="0"/>
            <w:vAlign w:val="center"/>
          </w:tcPr>
          <w:p w14:paraId="7DE3F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76" w:type="dxa"/>
            <w:gridSpan w:val="2"/>
            <w:noWrap w:val="0"/>
            <w:vAlign w:val="center"/>
          </w:tcPr>
          <w:p w14:paraId="2040D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701" w:type="dxa"/>
            <w:gridSpan w:val="3"/>
            <w:noWrap w:val="0"/>
            <w:vAlign w:val="center"/>
          </w:tcPr>
          <w:p w14:paraId="1FAB3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709" w:type="dxa"/>
            <w:noWrap w:val="0"/>
            <w:vAlign w:val="center"/>
          </w:tcPr>
          <w:p w14:paraId="46E98F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416" w:type="dxa"/>
            <w:noWrap w:val="0"/>
            <w:vAlign w:val="center"/>
          </w:tcPr>
          <w:p w14:paraId="68921C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18B1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F1FE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7" w:type="dxa"/>
            <w:noWrap w:val="0"/>
            <w:vAlign w:val="center"/>
          </w:tcPr>
          <w:p w14:paraId="4FD57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noWrap w:val="0"/>
            <w:vAlign w:val="center"/>
          </w:tcPr>
          <w:p w14:paraId="204D1D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276" w:type="dxa"/>
            <w:gridSpan w:val="2"/>
            <w:noWrap w:val="0"/>
            <w:vAlign w:val="center"/>
          </w:tcPr>
          <w:p w14:paraId="399D1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701" w:type="dxa"/>
            <w:gridSpan w:val="3"/>
            <w:noWrap w:val="0"/>
            <w:vAlign w:val="center"/>
          </w:tcPr>
          <w:p w14:paraId="24D51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709" w:type="dxa"/>
            <w:noWrap w:val="0"/>
            <w:vAlign w:val="center"/>
          </w:tcPr>
          <w:p w14:paraId="19693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416" w:type="dxa"/>
            <w:noWrap w:val="0"/>
            <w:vAlign w:val="center"/>
          </w:tcPr>
          <w:p w14:paraId="2B579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39B8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7073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918" w:type="dxa"/>
            <w:gridSpan w:val="2"/>
            <w:noWrap w:val="0"/>
            <w:vAlign w:val="center"/>
          </w:tcPr>
          <w:p w14:paraId="26EFB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5102" w:type="dxa"/>
            <w:gridSpan w:val="7"/>
            <w:noWrap w:val="0"/>
            <w:vAlign w:val="center"/>
          </w:tcPr>
          <w:p w14:paraId="6918BE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2482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B982F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918" w:type="dxa"/>
            <w:gridSpan w:val="2"/>
            <w:noWrap w:val="0"/>
            <w:vAlign w:val="center"/>
          </w:tcPr>
          <w:p w14:paraId="43844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restart"/>
            <w:noWrap w:val="0"/>
            <w:vAlign w:val="center"/>
          </w:tcPr>
          <w:p w14:paraId="6939A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984" w:type="dxa"/>
            <w:gridSpan w:val="4"/>
            <w:noWrap w:val="0"/>
            <w:vAlign w:val="center"/>
          </w:tcPr>
          <w:p w14:paraId="13F0E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125" w:type="dxa"/>
            <w:gridSpan w:val="2"/>
            <w:noWrap w:val="0"/>
            <w:vAlign w:val="center"/>
          </w:tcPr>
          <w:p w14:paraId="549273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6882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3A286C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918" w:type="dxa"/>
            <w:gridSpan w:val="2"/>
            <w:vMerge w:val="restart"/>
            <w:noWrap w:val="0"/>
            <w:vAlign w:val="center"/>
          </w:tcPr>
          <w:p w14:paraId="2E7ABD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993" w:type="dxa"/>
            <w:vMerge w:val="continue"/>
            <w:noWrap w:val="0"/>
            <w:vAlign w:val="center"/>
          </w:tcPr>
          <w:p w14:paraId="177A9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noWrap w:val="0"/>
            <w:vAlign w:val="center"/>
          </w:tcPr>
          <w:p w14:paraId="4FD8A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2125" w:type="dxa"/>
            <w:gridSpan w:val="2"/>
            <w:noWrap w:val="0"/>
            <w:vAlign w:val="center"/>
          </w:tcPr>
          <w:p w14:paraId="4DAA9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1FE6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85" w:type="dxa"/>
            <w:vMerge w:val="continue"/>
            <w:noWrap w:val="0"/>
            <w:vAlign w:val="center"/>
          </w:tcPr>
          <w:p w14:paraId="4305A0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p>
        </w:tc>
        <w:tc>
          <w:tcPr>
            <w:tcW w:w="1918" w:type="dxa"/>
            <w:gridSpan w:val="2"/>
            <w:vMerge w:val="continue"/>
            <w:noWrap w:val="0"/>
            <w:vAlign w:val="center"/>
          </w:tcPr>
          <w:p w14:paraId="69BB0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continue"/>
            <w:noWrap w:val="0"/>
            <w:vAlign w:val="center"/>
          </w:tcPr>
          <w:p w14:paraId="5A8E8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vMerge w:val="restart"/>
            <w:noWrap w:val="0"/>
            <w:vAlign w:val="center"/>
          </w:tcPr>
          <w:p w14:paraId="4E53C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2125" w:type="dxa"/>
            <w:gridSpan w:val="2"/>
            <w:vMerge w:val="restart"/>
            <w:noWrap w:val="0"/>
            <w:vAlign w:val="center"/>
          </w:tcPr>
          <w:p w14:paraId="357E37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759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704A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安全生产许可证有效期</w:t>
            </w:r>
          </w:p>
        </w:tc>
        <w:tc>
          <w:tcPr>
            <w:tcW w:w="1918" w:type="dxa"/>
            <w:gridSpan w:val="2"/>
            <w:noWrap w:val="0"/>
            <w:vAlign w:val="center"/>
          </w:tcPr>
          <w:p w14:paraId="2E820B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continue"/>
            <w:noWrap w:val="0"/>
            <w:vAlign w:val="center"/>
          </w:tcPr>
          <w:p w14:paraId="642EF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vMerge w:val="continue"/>
            <w:noWrap w:val="0"/>
            <w:vAlign w:val="center"/>
          </w:tcPr>
          <w:p w14:paraId="405BD9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2125" w:type="dxa"/>
            <w:gridSpan w:val="2"/>
            <w:vMerge w:val="continue"/>
            <w:noWrap w:val="0"/>
            <w:vAlign w:val="center"/>
          </w:tcPr>
          <w:p w14:paraId="39F4F4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21D8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A913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918" w:type="dxa"/>
            <w:gridSpan w:val="2"/>
            <w:noWrap w:val="0"/>
            <w:vAlign w:val="center"/>
          </w:tcPr>
          <w:p w14:paraId="554D47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continue"/>
            <w:noWrap w:val="0"/>
            <w:vAlign w:val="center"/>
          </w:tcPr>
          <w:p w14:paraId="34945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noWrap w:val="0"/>
            <w:vAlign w:val="center"/>
          </w:tcPr>
          <w:p w14:paraId="1F7DB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2125" w:type="dxa"/>
            <w:gridSpan w:val="2"/>
            <w:noWrap w:val="0"/>
            <w:vAlign w:val="center"/>
          </w:tcPr>
          <w:p w14:paraId="781EC2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7F50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922C9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18" w:type="dxa"/>
            <w:gridSpan w:val="2"/>
            <w:noWrap w:val="0"/>
            <w:vAlign w:val="center"/>
          </w:tcPr>
          <w:p w14:paraId="5D5AB7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continue"/>
            <w:noWrap w:val="0"/>
            <w:vAlign w:val="center"/>
          </w:tcPr>
          <w:p w14:paraId="30A04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noWrap w:val="0"/>
            <w:vAlign w:val="center"/>
          </w:tcPr>
          <w:p w14:paraId="7EBC6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  工</w:t>
            </w:r>
          </w:p>
        </w:tc>
        <w:tc>
          <w:tcPr>
            <w:tcW w:w="2125" w:type="dxa"/>
            <w:gridSpan w:val="2"/>
            <w:noWrap w:val="0"/>
            <w:vAlign w:val="center"/>
          </w:tcPr>
          <w:p w14:paraId="1451D9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0F52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81930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918" w:type="dxa"/>
            <w:gridSpan w:val="2"/>
            <w:noWrap w:val="0"/>
            <w:vAlign w:val="center"/>
          </w:tcPr>
          <w:p w14:paraId="381AB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993" w:type="dxa"/>
            <w:vMerge w:val="continue"/>
            <w:noWrap w:val="0"/>
            <w:vAlign w:val="center"/>
          </w:tcPr>
          <w:p w14:paraId="091070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c>
          <w:tcPr>
            <w:tcW w:w="1984" w:type="dxa"/>
            <w:gridSpan w:val="4"/>
            <w:noWrap w:val="0"/>
            <w:vAlign w:val="center"/>
          </w:tcPr>
          <w:p w14:paraId="1D576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拟派项目经理姓名</w:t>
            </w:r>
          </w:p>
        </w:tc>
        <w:tc>
          <w:tcPr>
            <w:tcW w:w="2125" w:type="dxa"/>
            <w:gridSpan w:val="2"/>
            <w:noWrap w:val="0"/>
            <w:vAlign w:val="center"/>
          </w:tcPr>
          <w:p w14:paraId="01F057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21F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68CD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020" w:type="dxa"/>
            <w:gridSpan w:val="9"/>
            <w:noWrap w:val="0"/>
            <w:vAlign w:val="center"/>
          </w:tcPr>
          <w:p w14:paraId="634800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r w14:paraId="43BE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8284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020" w:type="dxa"/>
            <w:gridSpan w:val="9"/>
            <w:noWrap w:val="0"/>
            <w:vAlign w:val="center"/>
          </w:tcPr>
          <w:p w14:paraId="42D043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p>
        </w:tc>
      </w:tr>
    </w:tbl>
    <w:p w14:paraId="6B8818C1">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根据供应商须知第1.5.1项的要求在本表后附</w:t>
      </w:r>
      <w:r>
        <w:rPr>
          <w:rFonts w:hint="eastAsia" w:ascii="宋体" w:hAnsi="宋体" w:eastAsia="宋体" w:cs="Times New Roman"/>
          <w:b/>
          <w:bCs/>
          <w:color w:val="auto"/>
          <w:sz w:val="21"/>
          <w:szCs w:val="21"/>
          <w:highlight w:val="none"/>
          <w:lang w:val="en-US" w:eastAsia="zh-CN"/>
        </w:rPr>
        <w:t>供应商信用承诺函</w:t>
      </w:r>
      <w:r>
        <w:rPr>
          <w:rFonts w:hint="eastAsia" w:ascii="宋体" w:hAnsi="宋体" w:eastAsia="宋体" w:cs="宋体"/>
          <w:color w:val="auto"/>
          <w:sz w:val="21"/>
          <w:szCs w:val="21"/>
          <w:highlight w:val="none"/>
        </w:rPr>
        <w:t>。</w:t>
      </w:r>
    </w:p>
    <w:p w14:paraId="5DF6457D">
      <w:pPr>
        <w:pStyle w:val="11"/>
        <w:numPr>
          <w:ilvl w:val="0"/>
          <w:numId w:val="2"/>
        </w:numPr>
        <w:spacing w:line="360" w:lineRule="auto"/>
        <w:ind w:left="0" w:leftChars="0"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本项目的特定资格要求（如有）：需提供相应的证明材料。</w:t>
      </w:r>
    </w:p>
    <w:p w14:paraId="2E20F4CC">
      <w:pPr>
        <w:pStyle w:val="12"/>
        <w:numPr>
          <w:ilvl w:val="0"/>
          <w:numId w:val="2"/>
        </w:numPr>
        <w:ind w:left="0" w:leftChars="0" w:firstLine="420" w:firstLineChars="200"/>
        <w:rPr>
          <w:rFonts w:hint="default"/>
          <w:color w:val="auto"/>
          <w:highlight w:val="none"/>
          <w:lang w:val="en-US" w:eastAsia="zh-CN"/>
        </w:rPr>
        <w:sectPr>
          <w:pgSz w:w="11905" w:h="16838"/>
          <w:pgMar w:top="1440" w:right="14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C1B8C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w:t>
      </w:r>
    </w:p>
    <w:p w14:paraId="337D2F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信阳市政府采购供应商信用承诺函</w:t>
      </w:r>
    </w:p>
    <w:p w14:paraId="0174B26C">
      <w:pPr>
        <w:keepNext w:val="0"/>
        <w:keepLines w:val="0"/>
        <w:pageBreakBefore w:val="0"/>
        <w:widowControl/>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493B97BE">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none"/>
          <w:lang w:val="en-US" w:eastAsia="zh-CN" w:bidi="ar"/>
        </w:rPr>
        <w:t>（采购人或采购代理机构）：</w:t>
      </w:r>
      <w:r>
        <w:rPr>
          <w:rFonts w:hint="eastAsia" w:ascii="宋体" w:hAnsi="宋体" w:eastAsia="宋体" w:cs="宋体"/>
          <w:color w:val="auto"/>
          <w:kern w:val="0"/>
          <w:sz w:val="21"/>
          <w:szCs w:val="21"/>
          <w:highlight w:val="none"/>
          <w:u w:val="single"/>
          <w:lang w:val="en-US" w:eastAsia="zh-CN" w:bidi="ar"/>
        </w:rPr>
        <w:t xml:space="preserve">                         </w:t>
      </w:r>
    </w:p>
    <w:p w14:paraId="6299AA20">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单位名称（自然人姓名）</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p>
    <w:p w14:paraId="66B5C997">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统一社会信用代码（身份证号码）</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p>
    <w:p w14:paraId="43CDE2DB">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法定代表人（负责人）</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p>
    <w:p w14:paraId="4230B21A">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联系地址和电话</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                                     </w:t>
      </w:r>
    </w:p>
    <w:p w14:paraId="77C942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为维护公平、公正、公开的政府采购市场秩序，树立诚实守信的政府采购供应商形象，我单位（本人）自愿作出以下承诺：</w:t>
      </w:r>
    </w:p>
    <w:p w14:paraId="0903EC8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80355C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具有独立承担民事责任的能力；</w:t>
      </w:r>
    </w:p>
    <w:p w14:paraId="755FBE19">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具有良好的商业信誉和健全的财务会计制度； </w:t>
      </w:r>
    </w:p>
    <w:p w14:paraId="6ABFCF2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具有履行合同所必需的设备和专业技术能力；</w:t>
      </w:r>
    </w:p>
    <w:p w14:paraId="62C60599">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有依法缴纳税收和社会保障资金的良好记录； </w:t>
      </w:r>
    </w:p>
    <w:p w14:paraId="27908890">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参加政府采购活动前三年内，在经营活动中没有重大违法记录； </w:t>
      </w:r>
    </w:p>
    <w:p w14:paraId="2EE0C20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未被列入经营异常名录或者严重违法失信名单、失信被执行人、重大税收违法案件当事人名单、政府采购严重违法失信行为记录名单；</w:t>
      </w:r>
    </w:p>
    <w:p w14:paraId="59B5D98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未被相关监管部门作出行政处罚且尚在处罚有效期内； </w:t>
      </w:r>
    </w:p>
    <w:p w14:paraId="75CF0BA4">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未曾做出虚假采购承诺； </w:t>
      </w:r>
    </w:p>
    <w:p w14:paraId="03213DF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（九）符合法律、行政法规规定的其他条件。</w:t>
      </w:r>
    </w:p>
    <w:p w14:paraId="7C19208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34D944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bookmarkStart w:id="1092" w:name="_GoBack"/>
      <w:bookmarkEnd w:id="1092"/>
    </w:p>
    <w:p w14:paraId="33068C4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供应商（公章）：</w:t>
      </w:r>
      <w:r>
        <w:rPr>
          <w:rFonts w:hint="eastAsia" w:ascii="宋体" w:hAnsi="宋体" w:eastAsia="宋体" w:cs="宋体"/>
          <w:color w:val="auto"/>
          <w:kern w:val="0"/>
          <w:sz w:val="21"/>
          <w:szCs w:val="21"/>
          <w:highlight w:val="none"/>
          <w:u w:val="single"/>
          <w:lang w:val="en-US" w:eastAsia="zh-CN" w:bidi="ar"/>
        </w:rPr>
        <w:t xml:space="preserve">                                       </w:t>
      </w:r>
    </w:p>
    <w:p w14:paraId="1BD6D3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法定代表人或授权代表（签字或盖章）：</w:t>
      </w:r>
      <w:r>
        <w:rPr>
          <w:rFonts w:hint="eastAsia" w:ascii="宋体" w:hAnsi="宋体" w:eastAsia="宋体" w:cs="宋体"/>
          <w:color w:val="auto"/>
          <w:kern w:val="0"/>
          <w:sz w:val="21"/>
          <w:szCs w:val="21"/>
          <w:highlight w:val="none"/>
          <w:u w:val="single"/>
          <w:lang w:val="en-US" w:eastAsia="zh-CN" w:bidi="ar"/>
        </w:rPr>
        <w:t xml:space="preserve">                   </w:t>
      </w:r>
    </w:p>
    <w:p w14:paraId="55AA0F4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     期：   年  月  日</w:t>
      </w:r>
    </w:p>
    <w:p w14:paraId="2960DE0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p>
    <w:p w14:paraId="4A805FB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1" w:firstLineChars="1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 注：1、供应商须在投标文件中按此模板提供承诺函，未提供视为未实质性响应招标文件要求，按无效投标处理。</w:t>
      </w:r>
    </w:p>
    <w:p w14:paraId="7865C1F6">
      <w:pPr>
        <w:widowControl/>
        <w:adjustRightInd w:val="0"/>
        <w:snapToGrid w:val="0"/>
        <w:spacing w:line="560" w:lineRule="exact"/>
        <w:jc w:val="left"/>
        <w:rPr>
          <w:rFonts w:hint="eastAsia" w:ascii="宋体" w:hAnsi="宋体" w:eastAsia="宋体" w:cs="宋体"/>
          <w:b/>
          <w:color w:val="auto"/>
          <w:szCs w:val="21"/>
          <w:highlight w:val="none"/>
        </w:rPr>
      </w:pPr>
      <w:r>
        <w:rPr>
          <w:rFonts w:hint="eastAsia" w:ascii="宋体" w:hAnsi="宋体" w:eastAsia="宋体" w:cs="宋体"/>
          <w:b/>
          <w:bCs/>
          <w:color w:val="auto"/>
          <w:kern w:val="0"/>
          <w:sz w:val="21"/>
          <w:szCs w:val="21"/>
          <w:highlight w:val="none"/>
          <w:lang w:val="en-US" w:eastAsia="zh-CN" w:bidi="ar"/>
        </w:rPr>
        <w:t>2、供应商的法定代表人或者授权代表的签字或盖章应真实、有效，如由授权代表签字或盖章的，应提供“法定代表人授权书”。</w:t>
      </w:r>
    </w:p>
    <w:p w14:paraId="3AC8EB68">
      <w:pPr>
        <w:pStyle w:val="3"/>
        <w:numPr>
          <w:ilvl w:val="1"/>
          <w:numId w:val="0"/>
        </w:numPr>
        <w:jc w:val="center"/>
        <w:rPr>
          <w:rFonts w:hint="eastAsia" w:ascii="宋体" w:hAnsi="宋体" w:eastAsia="宋体" w:cs="宋体"/>
          <w:color w:val="auto"/>
          <w:sz w:val="28"/>
          <w:szCs w:val="28"/>
          <w:highlight w:val="none"/>
        </w:rPr>
      </w:pPr>
      <w:bookmarkStart w:id="1073" w:name="_Toc23603"/>
      <w:bookmarkStart w:id="1074" w:name="_Toc29238"/>
      <w:bookmarkStart w:id="1075" w:name="_Toc475624464"/>
      <w:r>
        <w:rPr>
          <w:rFonts w:hint="eastAsia" w:ascii="宋体" w:hAnsi="宋体" w:eastAsia="宋体" w:cs="宋体"/>
          <w:color w:val="auto"/>
          <w:sz w:val="28"/>
          <w:szCs w:val="28"/>
          <w:highlight w:val="none"/>
        </w:rPr>
        <w:br w:type="page"/>
      </w:r>
      <w:bookmarkStart w:id="1076" w:name="_Toc8922"/>
      <w:bookmarkStart w:id="1077" w:name="_Toc11579"/>
      <w:r>
        <w:rPr>
          <w:rFonts w:hint="eastAsia" w:ascii="宋体" w:hAnsi="宋体" w:eastAsia="宋体" w:cs="宋体"/>
          <w:color w:val="auto"/>
          <w:sz w:val="28"/>
          <w:szCs w:val="28"/>
          <w:highlight w:val="none"/>
        </w:rPr>
        <w:t>八、其他材料</w:t>
      </w:r>
      <w:bookmarkEnd w:id="1073"/>
      <w:bookmarkEnd w:id="1074"/>
      <w:bookmarkEnd w:id="1075"/>
      <w:bookmarkEnd w:id="1076"/>
      <w:bookmarkEnd w:id="1077"/>
    </w:p>
    <w:p w14:paraId="1DE6FF70">
      <w:pPr>
        <w:bidi w:val="0"/>
        <w:spacing w:line="360" w:lineRule="auto"/>
        <w:jc w:val="center"/>
        <w:rPr>
          <w:rFonts w:hint="eastAsia" w:ascii="宋体" w:hAnsi="宋体" w:eastAsia="宋体" w:cs="宋体"/>
          <w:b/>
          <w:color w:val="auto"/>
          <w:sz w:val="21"/>
          <w:szCs w:val="21"/>
          <w:highlight w:val="none"/>
        </w:rPr>
      </w:pPr>
      <w:bookmarkStart w:id="1078" w:name="_Toc457469585"/>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承诺函</w:t>
      </w:r>
    </w:p>
    <w:p w14:paraId="4968AEA0">
      <w:pPr>
        <w:pStyle w:val="24"/>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u w:val="single"/>
          <w:shd w:val="clear" w:color="auto" w:fill="FFFFFF"/>
        </w:rPr>
        <w:t>（采购人及采购代理机构）</w:t>
      </w:r>
      <w:r>
        <w:rPr>
          <w:rFonts w:hint="eastAsia" w:ascii="宋体" w:hAnsi="宋体" w:eastAsia="宋体" w:cs="宋体"/>
          <w:color w:val="auto"/>
          <w:spacing w:val="8"/>
          <w:sz w:val="21"/>
          <w:szCs w:val="21"/>
          <w:highlight w:val="none"/>
          <w:shd w:val="clear" w:color="auto" w:fill="FFFFFF"/>
        </w:rPr>
        <w:t>：</w:t>
      </w:r>
    </w:p>
    <w:p w14:paraId="1179629A">
      <w:pPr>
        <w:bidi w:val="0"/>
        <w:spacing w:line="360" w:lineRule="auto"/>
        <w:ind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我</w:t>
      </w:r>
      <w:r>
        <w:rPr>
          <w:rFonts w:hint="eastAsia" w:ascii="宋体" w:hAnsi="宋体" w:eastAsia="宋体" w:cs="宋体"/>
          <w:color w:val="auto"/>
          <w:sz w:val="21"/>
          <w:szCs w:val="21"/>
          <w:highlight w:val="none"/>
        </w:rPr>
        <w:t>公司作为本次采购项目的供应商，根据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文件要求，现郑重承诺如下：</w:t>
      </w:r>
    </w:p>
    <w:p w14:paraId="1F45BFEC">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一、具备《中华人民共和国政府采购法》第二十二条第一款和本项目规定的条件：</w:t>
      </w:r>
    </w:p>
    <w:p w14:paraId="7C9CC52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 　　</w:t>
      </w:r>
    </w:p>
    <w:p w14:paraId="24D5F446">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 　</w:t>
      </w:r>
    </w:p>
    <w:p w14:paraId="3A548D0C">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 　　</w:t>
      </w:r>
    </w:p>
    <w:p w14:paraId="4149E200">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 　　</w:t>
      </w:r>
    </w:p>
    <w:p w14:paraId="323063A0">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029E742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7B1B429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（七）根据采购项目提出的特殊条件。</w:t>
      </w:r>
    </w:p>
    <w:p w14:paraId="4FB7D48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二、完全接受和满足本项目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文件中规定的实质性要求，如对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文件有异议，已经在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截止时间届满前依法进行维权救济，不存在对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文件有异议的同时又参加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以求侥幸中标或者为实现其他非法目的的行为。</w:t>
      </w:r>
    </w:p>
    <w:p w14:paraId="2388BC1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采购活动，不存在与单位负责人为同一人或者存在直接控股、管理关系的其他供应商参与同一合同项下的政府采购活动的行为。    </w:t>
      </w:r>
    </w:p>
    <w:p w14:paraId="39175DB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采购活动，不存在为采购项目提供整体设计、规范编制或者项目管理、监理、检测等服务的行为。</w:t>
      </w:r>
    </w:p>
    <w:p w14:paraId="3CA7CE67">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采购活动，不存在和其他供应商在同一合同项下的采购项目中，同时委托同一个自然人、同一家庭的人员、同一单位的人员作为代理人的行为。</w:t>
      </w:r>
    </w:p>
    <w:p w14:paraId="47E0588B">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六、供应商参加本次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采购活动要求在近三年内供应商和其法定代表人没有行贿犯罪行为。</w:t>
      </w:r>
    </w:p>
    <w:p w14:paraId="53FE9E1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采购活动，不存在联合体</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1C02F46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中提供的能够给予我公司带来优惠、好处的任何材料资料和技术、服务、商务等</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承诺情况都是真实的、有效的、合法的。</w:t>
      </w:r>
    </w:p>
    <w:p w14:paraId="61EA7D83">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972E6B0">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十、存在以下行为之一的愿意接受相关部门的处理：</w:t>
      </w:r>
    </w:p>
    <w:p w14:paraId="693B0F4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w:t>
      </w:r>
    </w:p>
    <w:p w14:paraId="0B64B53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（二）在采购人确定成交人以前放弃</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候选资格的；</w:t>
      </w:r>
    </w:p>
    <w:p w14:paraId="46FD0FE4">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（三）由于成交人的原因未能按照招标文件的规定与采购人签订合同；</w:t>
      </w:r>
    </w:p>
    <w:p w14:paraId="4972984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中提供虚假材料谋取中标；</w:t>
      </w:r>
    </w:p>
    <w:p w14:paraId="26A2A7E8">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）与采购人、其他供应商或者采购代理机构恶意串通的；</w:t>
      </w:r>
    </w:p>
    <w:p w14:paraId="69374395">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有效期内，供应商在政府采购活动中有违法、违规、违纪行为。</w:t>
      </w:r>
    </w:p>
    <w:p w14:paraId="4DBDC500">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由此产生的一切法律后果和责任由我公司承担。我公司声明放弃对此提出任何异议和追索的权利。</w:t>
      </w:r>
    </w:p>
    <w:p w14:paraId="581237EF">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本公司对上述承诺的内容事项真实性负责。如经查实上述承诺的内容事项存在虚假，我公司愿意接受以提供虚假材料谋取中标追究法律责任。</w:t>
      </w:r>
    </w:p>
    <w:p w14:paraId="3642BD5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5D29732">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（单位电子签章）</w:t>
      </w:r>
    </w:p>
    <w:p w14:paraId="2ECC17F5">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（电子签名或盖章）</w:t>
      </w:r>
    </w:p>
    <w:p w14:paraId="091C519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p>
    <w:p w14:paraId="3B0F2625">
      <w:pPr>
        <w:spacing w:line="360" w:lineRule="auto"/>
        <w:jc w:val="center"/>
        <w:rPr>
          <w:rFonts w:hint="eastAsia" w:ascii="宋体" w:hAnsi="宋体" w:eastAsia="宋体" w:cs="宋体"/>
          <w:b/>
          <w:color w:val="auto"/>
          <w:szCs w:val="21"/>
          <w:highlight w:val="none"/>
        </w:rPr>
      </w:pPr>
    </w:p>
    <w:p w14:paraId="42441A66">
      <w:pPr>
        <w:spacing w:line="360" w:lineRule="auto"/>
        <w:jc w:val="center"/>
        <w:rPr>
          <w:rFonts w:hint="eastAsia" w:ascii="宋体" w:hAnsi="宋体" w:eastAsia="宋体" w:cs="宋体"/>
          <w:b/>
          <w:color w:val="auto"/>
          <w:szCs w:val="21"/>
          <w:highlight w:val="none"/>
        </w:rPr>
      </w:pPr>
    </w:p>
    <w:p w14:paraId="7E5D3A75">
      <w:pPr>
        <w:spacing w:line="360" w:lineRule="auto"/>
        <w:jc w:val="center"/>
        <w:rPr>
          <w:rFonts w:hint="eastAsia" w:ascii="宋体" w:hAnsi="宋体" w:eastAsia="宋体" w:cs="宋体"/>
          <w:b/>
          <w:color w:val="auto"/>
          <w:szCs w:val="21"/>
          <w:highlight w:val="none"/>
        </w:rPr>
      </w:pPr>
    </w:p>
    <w:p w14:paraId="3C0835EA">
      <w:pPr>
        <w:spacing w:line="360" w:lineRule="auto"/>
        <w:jc w:val="center"/>
        <w:rPr>
          <w:rFonts w:hint="eastAsia" w:ascii="宋体" w:hAnsi="宋体" w:eastAsia="宋体" w:cs="宋体"/>
          <w:b/>
          <w:color w:val="auto"/>
          <w:szCs w:val="21"/>
          <w:highlight w:val="none"/>
        </w:rPr>
      </w:pPr>
    </w:p>
    <w:p w14:paraId="5E94CB99">
      <w:pPr>
        <w:spacing w:line="360" w:lineRule="auto"/>
        <w:jc w:val="center"/>
        <w:rPr>
          <w:rFonts w:hint="eastAsia" w:ascii="宋体" w:hAnsi="宋体" w:eastAsia="宋体" w:cs="宋体"/>
          <w:b/>
          <w:color w:val="auto"/>
          <w:szCs w:val="21"/>
          <w:highlight w:val="none"/>
        </w:rPr>
      </w:pPr>
    </w:p>
    <w:p w14:paraId="58CA78A2">
      <w:pPr>
        <w:spacing w:line="360" w:lineRule="auto"/>
        <w:jc w:val="center"/>
        <w:rPr>
          <w:rFonts w:hint="eastAsia" w:ascii="宋体" w:hAnsi="宋体" w:eastAsia="宋体" w:cs="宋体"/>
          <w:b/>
          <w:color w:val="auto"/>
          <w:szCs w:val="21"/>
          <w:highlight w:val="none"/>
        </w:rPr>
      </w:pPr>
    </w:p>
    <w:p w14:paraId="2DDBC336">
      <w:pPr>
        <w:spacing w:line="360" w:lineRule="auto"/>
        <w:jc w:val="center"/>
        <w:rPr>
          <w:rFonts w:hint="eastAsia" w:ascii="宋体" w:hAnsi="宋体" w:eastAsia="宋体" w:cs="宋体"/>
          <w:b/>
          <w:color w:val="auto"/>
          <w:szCs w:val="21"/>
          <w:highlight w:val="none"/>
        </w:rPr>
      </w:pPr>
    </w:p>
    <w:p w14:paraId="179C8EF2">
      <w:pPr>
        <w:spacing w:line="360" w:lineRule="auto"/>
        <w:jc w:val="center"/>
        <w:rPr>
          <w:rFonts w:hint="eastAsia" w:ascii="宋体" w:hAnsi="宋体" w:eastAsia="宋体" w:cs="宋体"/>
          <w:b/>
          <w:color w:val="auto"/>
          <w:szCs w:val="21"/>
          <w:highlight w:val="none"/>
        </w:rPr>
      </w:pPr>
    </w:p>
    <w:p w14:paraId="644BE641">
      <w:pPr>
        <w:spacing w:line="360" w:lineRule="auto"/>
        <w:jc w:val="center"/>
        <w:rPr>
          <w:rFonts w:hint="eastAsia" w:ascii="宋体" w:hAnsi="宋体" w:eastAsia="宋体" w:cs="宋体"/>
          <w:b/>
          <w:color w:val="auto"/>
          <w:szCs w:val="21"/>
          <w:highlight w:val="none"/>
        </w:rPr>
      </w:pPr>
    </w:p>
    <w:p w14:paraId="65467066">
      <w:pPr>
        <w:spacing w:line="360" w:lineRule="auto"/>
        <w:jc w:val="center"/>
        <w:rPr>
          <w:rFonts w:hint="eastAsia" w:ascii="宋体" w:hAnsi="宋体" w:eastAsia="宋体" w:cs="宋体"/>
          <w:b/>
          <w:color w:val="auto"/>
          <w:szCs w:val="21"/>
          <w:highlight w:val="none"/>
        </w:rPr>
      </w:pPr>
    </w:p>
    <w:p w14:paraId="4585488D">
      <w:pPr>
        <w:spacing w:line="360" w:lineRule="auto"/>
        <w:jc w:val="center"/>
        <w:rPr>
          <w:rFonts w:hint="eastAsia" w:ascii="宋体" w:hAnsi="宋体" w:eastAsia="宋体" w:cs="宋体"/>
          <w:b/>
          <w:color w:val="auto"/>
          <w:szCs w:val="21"/>
          <w:highlight w:val="none"/>
        </w:rPr>
      </w:pPr>
    </w:p>
    <w:p w14:paraId="54C7C0AB">
      <w:pPr>
        <w:spacing w:line="360" w:lineRule="auto"/>
        <w:jc w:val="center"/>
        <w:rPr>
          <w:rFonts w:hint="eastAsia" w:ascii="宋体" w:hAnsi="宋体" w:eastAsia="宋体" w:cs="宋体"/>
          <w:b/>
          <w:color w:val="auto"/>
          <w:szCs w:val="21"/>
          <w:highlight w:val="none"/>
        </w:rPr>
      </w:pPr>
    </w:p>
    <w:p w14:paraId="5A60A97B">
      <w:pPr>
        <w:spacing w:line="360" w:lineRule="auto"/>
        <w:jc w:val="center"/>
        <w:rPr>
          <w:rFonts w:hint="eastAsia" w:ascii="宋体" w:hAnsi="宋体" w:eastAsia="宋体" w:cs="宋体"/>
          <w:b/>
          <w:color w:val="auto"/>
          <w:szCs w:val="21"/>
          <w:highlight w:val="none"/>
        </w:rPr>
      </w:pPr>
    </w:p>
    <w:p w14:paraId="51971A7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、反商业贿赂承诺书</w:t>
      </w:r>
      <w:bookmarkEnd w:id="1078"/>
    </w:p>
    <w:p w14:paraId="6850F997">
      <w:pPr>
        <w:pStyle w:val="26"/>
        <w:ind w:firstLine="210"/>
        <w:rPr>
          <w:rFonts w:hint="eastAsia" w:ascii="宋体" w:hAnsi="宋体" w:eastAsia="宋体" w:cs="宋体"/>
          <w:color w:val="auto"/>
          <w:szCs w:val="21"/>
          <w:highlight w:val="none"/>
        </w:rPr>
      </w:pPr>
    </w:p>
    <w:p w14:paraId="1C36C5D6">
      <w:pPr>
        <w:autoSpaceDE w:val="0"/>
        <w:autoSpaceDN w:val="0"/>
        <w:adjustRightInd w:val="0"/>
        <w:spacing w:line="360" w:lineRule="auto"/>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我方承诺：</w:t>
      </w:r>
    </w:p>
    <w:p w14:paraId="1A57784F">
      <w:pPr>
        <w:autoSpaceDE w:val="0"/>
        <w:autoSpaceDN w:val="0"/>
        <w:adjustRightInd w:val="0"/>
        <w:spacing w:line="360" w:lineRule="auto"/>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（项目编号：  ）</w:t>
      </w:r>
      <w:r>
        <w:rPr>
          <w:rFonts w:hint="eastAsia" w:ascii="宋体" w:hAnsi="宋体" w:eastAsia="宋体" w:cs="宋体"/>
          <w:color w:val="auto"/>
          <w:szCs w:val="21"/>
          <w:highlight w:val="none"/>
          <w:lang w:val="zh-CN"/>
        </w:rPr>
        <w:t>磋商活动中，我方保证做到：</w:t>
      </w:r>
    </w:p>
    <w:p w14:paraId="3E496B7C">
      <w:pPr>
        <w:autoSpaceDE w:val="0"/>
        <w:autoSpaceDN w:val="0"/>
        <w:adjustRightInd w:val="0"/>
        <w:spacing w:line="360" w:lineRule="auto"/>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一、公平竞争参加本次磋商采购活动。</w:t>
      </w:r>
    </w:p>
    <w:p w14:paraId="3974C583">
      <w:pPr>
        <w:autoSpaceDE w:val="0"/>
        <w:autoSpaceDN w:val="0"/>
        <w:adjustRightInd w:val="0"/>
        <w:spacing w:line="360" w:lineRule="auto"/>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BFE31A0">
      <w:pPr>
        <w:autoSpaceDE w:val="0"/>
        <w:autoSpaceDN w:val="0"/>
        <w:adjustRightInd w:val="0"/>
        <w:spacing w:line="360" w:lineRule="auto"/>
        <w:ind w:firstLine="630" w:firstLineChars="3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三、若出现上述行为，我方及参与投标的工作人员愿意接受按照国家法律法规等有关规定给予的处罚。</w:t>
      </w:r>
    </w:p>
    <w:p w14:paraId="56265E45">
      <w:pPr>
        <w:spacing w:line="360" w:lineRule="auto"/>
        <w:ind w:left="645"/>
        <w:outlineLvl w:val="0"/>
        <w:rPr>
          <w:rFonts w:hint="eastAsia" w:ascii="宋体" w:hAnsi="宋体" w:eastAsia="宋体" w:cs="宋体"/>
          <w:color w:val="auto"/>
          <w:szCs w:val="21"/>
          <w:highlight w:val="none"/>
        </w:rPr>
      </w:pPr>
    </w:p>
    <w:p w14:paraId="559B4145">
      <w:pPr>
        <w:spacing w:line="360" w:lineRule="auto"/>
        <w:ind w:left="645"/>
        <w:outlineLvl w:val="0"/>
        <w:rPr>
          <w:rFonts w:hint="eastAsia" w:ascii="宋体" w:hAnsi="宋体" w:eastAsia="宋体" w:cs="宋体"/>
          <w:color w:val="auto"/>
          <w:szCs w:val="21"/>
          <w:highlight w:val="none"/>
        </w:rPr>
      </w:pPr>
    </w:p>
    <w:p w14:paraId="5AD384EF">
      <w:pPr>
        <w:spacing w:line="360" w:lineRule="auto"/>
        <w:ind w:left="645"/>
        <w:outlineLvl w:val="0"/>
        <w:rPr>
          <w:rFonts w:hint="eastAsia" w:ascii="宋体" w:hAnsi="宋体" w:eastAsia="宋体" w:cs="宋体"/>
          <w:color w:val="auto"/>
          <w:szCs w:val="21"/>
          <w:highlight w:val="none"/>
        </w:rPr>
      </w:pPr>
    </w:p>
    <w:p w14:paraId="021D95B9">
      <w:pPr>
        <w:spacing w:line="360" w:lineRule="auto"/>
        <w:ind w:left="645"/>
        <w:outlineLvl w:val="0"/>
        <w:rPr>
          <w:rFonts w:hint="eastAsia" w:ascii="宋体" w:hAnsi="宋体" w:eastAsia="宋体" w:cs="宋体"/>
          <w:color w:val="auto"/>
          <w:szCs w:val="21"/>
          <w:highlight w:val="none"/>
        </w:rPr>
      </w:pPr>
    </w:p>
    <w:p w14:paraId="7C26231A">
      <w:pPr>
        <w:spacing w:line="360" w:lineRule="auto"/>
        <w:ind w:left="645"/>
        <w:outlineLvl w:val="0"/>
        <w:rPr>
          <w:rFonts w:hint="eastAsia" w:ascii="宋体" w:hAnsi="宋体" w:eastAsia="宋体" w:cs="宋体"/>
          <w:color w:val="auto"/>
          <w:szCs w:val="21"/>
          <w:highlight w:val="none"/>
        </w:rPr>
      </w:pPr>
    </w:p>
    <w:p w14:paraId="347CF97A">
      <w:pPr>
        <w:spacing w:line="360" w:lineRule="auto"/>
        <w:ind w:left="645"/>
        <w:outlineLvl w:val="0"/>
        <w:rPr>
          <w:rFonts w:hint="eastAsia" w:ascii="宋体" w:hAnsi="宋体" w:eastAsia="宋体" w:cs="宋体"/>
          <w:color w:val="auto"/>
          <w:szCs w:val="21"/>
          <w:highlight w:val="none"/>
        </w:rPr>
      </w:pPr>
      <w:bookmarkStart w:id="1079" w:name="_Toc20561"/>
      <w:bookmarkStart w:id="1080" w:name="_Toc30586"/>
      <w:bookmarkStart w:id="1081" w:name="_Toc26171"/>
      <w:r>
        <w:rPr>
          <w:rFonts w:hint="eastAsia" w:ascii="宋体" w:hAnsi="宋体" w:eastAsia="宋体" w:cs="宋体"/>
          <w:color w:val="auto"/>
          <w:szCs w:val="21"/>
          <w:highlight w:val="none"/>
        </w:rPr>
        <w:t>供应商（单位电子签章）：</w:t>
      </w:r>
      <w:bookmarkEnd w:id="1079"/>
      <w:bookmarkEnd w:id="1080"/>
      <w:bookmarkEnd w:id="1081"/>
      <w:r>
        <w:rPr>
          <w:rFonts w:hint="eastAsia" w:ascii="宋体" w:hAnsi="宋体" w:eastAsia="宋体" w:cs="宋体"/>
          <w:color w:val="auto"/>
          <w:szCs w:val="21"/>
          <w:highlight w:val="none"/>
        </w:rPr>
        <w:t>　</w:t>
      </w:r>
    </w:p>
    <w:p w14:paraId="7EA56BD6">
      <w:pPr>
        <w:spacing w:line="360" w:lineRule="auto"/>
        <w:ind w:left="645"/>
        <w:outlineLvl w:val="0"/>
        <w:rPr>
          <w:rFonts w:hint="eastAsia" w:ascii="宋体" w:hAnsi="宋体" w:eastAsia="宋体" w:cs="宋体"/>
          <w:color w:val="auto"/>
          <w:szCs w:val="21"/>
          <w:highlight w:val="none"/>
        </w:rPr>
      </w:pPr>
    </w:p>
    <w:p w14:paraId="0A8F7D13">
      <w:pPr>
        <w:spacing w:line="360" w:lineRule="auto"/>
        <w:ind w:left="645"/>
        <w:outlineLvl w:val="0"/>
        <w:rPr>
          <w:rFonts w:hint="eastAsia" w:ascii="宋体" w:hAnsi="宋体" w:eastAsia="宋体" w:cs="宋体"/>
          <w:color w:val="auto"/>
          <w:szCs w:val="21"/>
          <w:highlight w:val="none"/>
        </w:rPr>
      </w:pPr>
      <w:bookmarkStart w:id="1082" w:name="_Toc5607"/>
      <w:bookmarkStart w:id="1083" w:name="_Toc10922"/>
      <w:bookmarkStart w:id="1084" w:name="_Toc16356"/>
      <w:r>
        <w:rPr>
          <w:rFonts w:hint="eastAsia" w:ascii="宋体" w:hAnsi="宋体" w:eastAsia="宋体" w:cs="宋体"/>
          <w:color w:val="auto"/>
          <w:szCs w:val="21"/>
          <w:highlight w:val="none"/>
        </w:rPr>
        <w:t>法人代表或授权代表（电子签名或盖章）：</w:t>
      </w:r>
      <w:bookmarkEnd w:id="1082"/>
      <w:bookmarkEnd w:id="1083"/>
      <w:bookmarkEnd w:id="1084"/>
    </w:p>
    <w:p w14:paraId="00E77E70">
      <w:pPr>
        <w:spacing w:line="360" w:lineRule="auto"/>
        <w:ind w:left="645"/>
        <w:outlineLvl w:val="0"/>
        <w:rPr>
          <w:rFonts w:hint="eastAsia" w:ascii="宋体" w:hAnsi="宋体" w:eastAsia="宋体" w:cs="宋体"/>
          <w:color w:val="auto"/>
          <w:szCs w:val="21"/>
          <w:highlight w:val="none"/>
        </w:rPr>
      </w:pPr>
    </w:p>
    <w:p w14:paraId="7734A2CA">
      <w:pPr>
        <w:spacing w:line="360" w:lineRule="auto"/>
        <w:ind w:left="645"/>
        <w:outlineLvl w:val="0"/>
        <w:rPr>
          <w:rFonts w:hint="eastAsia" w:ascii="宋体" w:hAnsi="宋体" w:eastAsia="宋体" w:cs="宋体"/>
          <w:color w:val="auto"/>
          <w:szCs w:val="21"/>
          <w:highlight w:val="none"/>
        </w:rPr>
      </w:pPr>
      <w:bookmarkStart w:id="1085" w:name="_Toc24691"/>
      <w:bookmarkStart w:id="1086" w:name="_Toc21393"/>
      <w:bookmarkStart w:id="1087" w:name="_Toc23777"/>
      <w:r>
        <w:rPr>
          <w:rFonts w:hint="eastAsia" w:ascii="宋体" w:hAnsi="宋体" w:eastAsia="宋体" w:cs="宋体"/>
          <w:color w:val="auto"/>
          <w:szCs w:val="21"/>
          <w:highlight w:val="none"/>
        </w:rPr>
        <w:t>日期：    年　　月　　日</w:t>
      </w:r>
      <w:bookmarkEnd w:id="1085"/>
      <w:bookmarkEnd w:id="1086"/>
      <w:bookmarkEnd w:id="1087"/>
    </w:p>
    <w:p w14:paraId="1D368F66">
      <w:pPr>
        <w:spacing w:line="360" w:lineRule="auto"/>
        <w:ind w:left="645"/>
        <w:outlineLvl w:val="0"/>
        <w:rPr>
          <w:rFonts w:hint="eastAsia" w:ascii="宋体" w:hAnsi="宋体" w:eastAsia="宋体" w:cs="宋体"/>
          <w:color w:val="auto"/>
          <w:szCs w:val="21"/>
          <w:highlight w:val="none"/>
        </w:rPr>
      </w:pPr>
    </w:p>
    <w:p w14:paraId="00C3E8EF">
      <w:pPr>
        <w:spacing w:line="360" w:lineRule="auto"/>
        <w:jc w:val="center"/>
        <w:rPr>
          <w:rFonts w:hint="eastAsia" w:ascii="宋体" w:hAnsi="宋体" w:eastAsia="宋体" w:cs="宋体"/>
          <w:color w:val="auto"/>
          <w:szCs w:val="21"/>
          <w:highlight w:val="none"/>
        </w:rPr>
      </w:pPr>
      <w:bookmarkStart w:id="1088" w:name="_Toc523494085"/>
      <w:bookmarkStart w:id="1089" w:name="_Toc525210051"/>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bookmarkEnd w:id="1088"/>
      <w:bookmarkEnd w:id="1089"/>
      <w:r>
        <w:rPr>
          <w:rFonts w:hint="eastAsia" w:ascii="宋体" w:hAnsi="宋体" w:eastAsia="宋体" w:cs="宋体"/>
          <w:b/>
          <w:color w:val="auto"/>
          <w:szCs w:val="21"/>
          <w:highlight w:val="none"/>
        </w:rPr>
        <w:t>中小企业声明函（工程、服务）</w:t>
      </w:r>
    </w:p>
    <w:p w14:paraId="2B1446C3">
      <w:pPr>
        <w:spacing w:line="400" w:lineRule="exact"/>
        <w:rPr>
          <w:rFonts w:hint="eastAsia" w:ascii="宋体" w:hAnsi="宋体" w:eastAsia="宋体" w:cs="宋体"/>
          <w:color w:val="auto"/>
          <w:szCs w:val="21"/>
          <w:highlight w:val="none"/>
        </w:rPr>
      </w:pPr>
    </w:p>
    <w:p w14:paraId="608D4106">
      <w:pPr>
        <w:pStyle w:val="6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本公司（联合体）郑重声明，根据《政府采购促进中小 企业发展管理办法》（财库﹝2020﹞46 号）的规定，本公司 </w:t>
      </w:r>
      <w:r>
        <w:rPr>
          <w:rFonts w:hint="eastAsia" w:ascii="宋体" w:hAnsi="宋体" w:eastAsia="宋体" w:cs="宋体"/>
          <w:color w:val="auto"/>
          <w:szCs w:val="21"/>
          <w:highlight w:val="none"/>
          <w:u w:val="none"/>
        </w:rPr>
        <w:t>（联合体）</w:t>
      </w:r>
      <w:r>
        <w:rPr>
          <w:rFonts w:hint="eastAsia" w:ascii="宋体" w:hAnsi="宋体" w:eastAsia="宋体" w:cs="宋体"/>
          <w:color w:val="auto"/>
          <w:szCs w:val="21"/>
          <w:highlight w:val="none"/>
        </w:rPr>
        <w:t>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 xml:space="preserve">采购活动，工程的施工单位全部为符合政策要求的中小企业（或者：服务 全部由符合政策要求的中小企业承接）。相关企业（含联合 体中的中小企业、签订分包意向协议的中小企业）的具体情 况如下： </w:t>
      </w:r>
    </w:p>
    <w:p w14:paraId="102C257C">
      <w:pPr>
        <w:pStyle w:val="61"/>
        <w:numPr>
          <w:ilvl w:val="0"/>
          <w:numId w:val="7"/>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 xml:space="preserve"> ，属于</w:t>
      </w:r>
      <w:r>
        <w:rPr>
          <w:rFonts w:hint="eastAsia" w:ascii="宋体" w:hAnsi="宋体" w:eastAsia="宋体" w:cs="宋体"/>
          <w:color w:val="auto"/>
          <w:szCs w:val="21"/>
          <w:highlight w:val="none"/>
          <w:u w:val="single"/>
          <w:lang w:val="en-US" w:eastAsia="zh-CN"/>
        </w:rPr>
        <w:t xml:space="preserve">      （采购文件中明确的所属行业） </w:t>
      </w:r>
      <w:r>
        <w:rPr>
          <w:rFonts w:hint="eastAsia" w:ascii="宋体" w:hAnsi="宋体" w:eastAsia="宋体" w:cs="宋体"/>
          <w:color w:val="auto"/>
          <w:szCs w:val="21"/>
          <w:highlight w:val="none"/>
        </w:rPr>
        <w:t>； 承建（承接）企业为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（中型企业、 小型企业、微型企业）</w:t>
      </w:r>
      <w:r>
        <w:rPr>
          <w:rFonts w:hint="eastAsia" w:ascii="宋体" w:hAnsi="宋体" w:eastAsia="宋体" w:cs="宋体"/>
          <w:color w:val="auto"/>
          <w:szCs w:val="21"/>
          <w:highlight w:val="none"/>
        </w:rPr>
        <w:t>；</w:t>
      </w:r>
    </w:p>
    <w:p w14:paraId="409A7D04">
      <w:pPr>
        <w:pStyle w:val="61"/>
        <w:numPr>
          <w:ilvl w:val="0"/>
          <w:numId w:val="7"/>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 承建（承接）企业为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w:t>
      </w:r>
      <w:r>
        <w:rPr>
          <w:rFonts w:hint="eastAsia" w:ascii="宋体" w:hAnsi="宋体" w:eastAsia="宋体" w:cs="宋体"/>
          <w:color w:val="auto"/>
          <w:szCs w:val="21"/>
          <w:highlight w:val="none"/>
          <w:u w:val="single"/>
        </w:rPr>
        <w:t>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（中型企业、 小型企业、微型企业）</w:t>
      </w:r>
      <w:r>
        <w:rPr>
          <w:rFonts w:hint="eastAsia" w:ascii="宋体" w:hAnsi="宋体" w:eastAsia="宋体" w:cs="宋体"/>
          <w:color w:val="auto"/>
          <w:szCs w:val="21"/>
          <w:highlight w:val="none"/>
        </w:rPr>
        <w:t>；</w:t>
      </w:r>
    </w:p>
    <w:p w14:paraId="19986997">
      <w:pPr>
        <w:pStyle w:val="61"/>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E257448">
      <w:pPr>
        <w:pStyle w:val="61"/>
        <w:spacing w:line="360" w:lineRule="auto"/>
        <w:ind w:firstLine="420" w:firstLineChars="200"/>
        <w:rPr>
          <w:rFonts w:hint="eastAsia" w:ascii="宋体" w:hAnsi="宋体" w:eastAsia="宋体" w:cs="宋体"/>
          <w:color w:val="auto"/>
          <w:szCs w:val="21"/>
          <w:highlight w:val="none"/>
        </w:rPr>
      </w:pPr>
    </w:p>
    <w:p w14:paraId="427D9BA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以上企业，不属于大企业的分支机构，不存在控股股东 为大企业的情形，也不存在与大企业的负责人为同一人的情形。</w:t>
      </w:r>
    </w:p>
    <w:p w14:paraId="53DA82B0">
      <w:pPr>
        <w:pStyle w:val="11"/>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本企业对上述声明内容的真实性负责。如有虚假，将依 法承担相应责任。</w:t>
      </w:r>
    </w:p>
    <w:p w14:paraId="339FA190">
      <w:pPr>
        <w:pStyle w:val="49"/>
        <w:spacing w:line="360" w:lineRule="auto"/>
        <w:ind w:firstLine="2940" w:firstLineChars="1400"/>
        <w:rPr>
          <w:rFonts w:hint="eastAsia" w:ascii="宋体" w:hAnsi="宋体" w:eastAsia="宋体" w:cs="宋体"/>
          <w:color w:val="auto"/>
          <w:kern w:val="2"/>
          <w:sz w:val="21"/>
          <w:szCs w:val="21"/>
          <w:highlight w:val="none"/>
        </w:rPr>
      </w:pPr>
    </w:p>
    <w:p w14:paraId="69ACC4DD">
      <w:pPr>
        <w:pStyle w:val="49"/>
        <w:spacing w:line="360" w:lineRule="auto"/>
        <w:ind w:firstLine="2940" w:firstLineChars="1400"/>
        <w:rPr>
          <w:rFonts w:hint="eastAsia" w:ascii="宋体" w:hAnsi="宋体" w:eastAsia="宋体" w:cs="宋体"/>
          <w:color w:val="auto"/>
          <w:kern w:val="2"/>
          <w:sz w:val="21"/>
          <w:szCs w:val="21"/>
          <w:highlight w:val="none"/>
        </w:rPr>
      </w:pPr>
    </w:p>
    <w:p w14:paraId="0F7D586D">
      <w:pPr>
        <w:pStyle w:val="49"/>
        <w:spacing w:line="360" w:lineRule="auto"/>
        <w:ind w:firstLine="2940" w:firstLineChars="14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企业名称（单位电子签章）：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p>
    <w:p w14:paraId="41843B16">
      <w:pPr>
        <w:pStyle w:val="49"/>
        <w:spacing w:line="360" w:lineRule="auto"/>
        <w:ind w:firstLine="4830" w:firstLineChars="23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rPr>
        <w:t>日期：</w:t>
      </w:r>
      <w:r>
        <w:rPr>
          <w:rFonts w:hint="eastAsia" w:ascii="宋体" w:hAnsi="宋体" w:eastAsia="宋体" w:cs="宋体"/>
          <w:color w:val="auto"/>
          <w:kern w:val="2"/>
          <w:sz w:val="21"/>
          <w:szCs w:val="21"/>
          <w:highlight w:val="none"/>
          <w:u w:val="single"/>
        </w:rPr>
        <w:t xml:space="preserve">                 </w:t>
      </w:r>
    </w:p>
    <w:p w14:paraId="292075E7">
      <w:pPr>
        <w:rPr>
          <w:rFonts w:hint="eastAsia" w:ascii="宋体" w:hAnsi="宋体" w:eastAsia="宋体" w:cs="宋体"/>
          <w:color w:val="auto"/>
          <w:szCs w:val="21"/>
          <w:highlight w:val="none"/>
          <w:u w:val="single"/>
        </w:rPr>
      </w:pPr>
    </w:p>
    <w:p w14:paraId="1E21C3BB">
      <w:pPr>
        <w:pStyle w:val="7"/>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从业人员、营业收入、资产总额填报上一年度数据，无上一年度数据的新成立企业可不填报。</w:t>
      </w:r>
    </w:p>
    <w:p w14:paraId="3C19276C">
      <w:pPr>
        <w:pStyle w:val="7"/>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2、属于中小微企业的填写，不属于的无需填写此项内容</w:t>
      </w:r>
    </w:p>
    <w:p w14:paraId="48D6FF65">
      <w:pPr>
        <w:spacing w:line="360" w:lineRule="auto"/>
        <w:ind w:left="0" w:leftChars="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drawing>
          <wp:inline distT="0" distB="0" distL="114300" distR="114300">
            <wp:extent cx="6200140" cy="8126095"/>
            <wp:effectExtent l="0" t="0" r="1016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6200140" cy="8126095"/>
                    </a:xfrm>
                    <a:prstGeom prst="rect">
                      <a:avLst/>
                    </a:prstGeom>
                    <a:noFill/>
                    <a:ln>
                      <a:noFill/>
                    </a:ln>
                  </pic:spPr>
                </pic:pic>
              </a:graphicData>
            </a:graphic>
          </wp:inline>
        </w:drawing>
      </w:r>
      <w:r>
        <w:rPr>
          <w:rFonts w:hint="eastAsia" w:ascii="宋体" w:hAnsi="宋体" w:eastAsia="宋体" w:cs="宋体"/>
          <w:color w:val="auto"/>
          <w:highlight w:val="none"/>
        </w:rPr>
        <w:drawing>
          <wp:inline distT="0" distB="0" distL="114300" distR="114300">
            <wp:extent cx="4808855" cy="6304915"/>
            <wp:effectExtent l="0" t="0" r="10795"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4808855" cy="6304915"/>
                    </a:xfrm>
                    <a:prstGeom prst="rect">
                      <a:avLst/>
                    </a:prstGeom>
                    <a:noFill/>
                    <a:ln>
                      <a:noFill/>
                    </a:ln>
                  </pic:spPr>
                </pic:pic>
              </a:graphicData>
            </a:graphic>
          </wp:inline>
        </w:drawing>
      </w:r>
      <w:r>
        <w:rPr>
          <w:rFonts w:hint="eastAsia" w:ascii="宋体" w:hAnsi="宋体" w:eastAsia="宋体" w:cs="宋体"/>
          <w:color w:val="auto"/>
          <w:szCs w:val="21"/>
          <w:highlight w:val="none"/>
        </w:rPr>
        <w:br w:type="page"/>
      </w:r>
      <w:bookmarkStart w:id="1090" w:name="_Toc525210052"/>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、残疾人福利性单位声明函</w:t>
      </w:r>
      <w:bookmarkEnd w:id="1090"/>
    </w:p>
    <w:p w14:paraId="360906AE">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（属于残疾人福利企业的填写，不属于的无需填写此项内容）</w:t>
      </w:r>
    </w:p>
    <w:p w14:paraId="5999C778">
      <w:pPr>
        <w:pStyle w:val="45"/>
        <w:rPr>
          <w:rFonts w:hint="eastAsia" w:ascii="宋体" w:hAnsi="宋体" w:eastAsia="宋体" w:cs="宋体"/>
          <w:color w:val="auto"/>
          <w:sz w:val="21"/>
          <w:szCs w:val="21"/>
          <w:highlight w:val="none"/>
        </w:rPr>
      </w:pPr>
    </w:p>
    <w:p w14:paraId="6BE678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31EF5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本单位对上述声明的真实性负责。如有虚假，将承担相应的法律责任。</w:t>
      </w:r>
    </w:p>
    <w:p w14:paraId="5273322B">
      <w:pPr>
        <w:spacing w:line="360" w:lineRule="auto"/>
        <w:ind w:firstLine="420" w:firstLineChars="200"/>
        <w:rPr>
          <w:rFonts w:hint="eastAsia" w:ascii="宋体" w:hAnsi="宋体" w:eastAsia="宋体" w:cs="宋体"/>
          <w:color w:val="auto"/>
          <w:szCs w:val="21"/>
          <w:highlight w:val="none"/>
        </w:rPr>
      </w:pPr>
    </w:p>
    <w:p w14:paraId="5AD9715E">
      <w:pPr>
        <w:spacing w:line="360" w:lineRule="auto"/>
        <w:ind w:firstLine="420" w:firstLineChars="200"/>
        <w:rPr>
          <w:rFonts w:hint="eastAsia" w:ascii="宋体" w:hAnsi="宋体" w:eastAsia="宋体" w:cs="宋体"/>
          <w:color w:val="auto"/>
          <w:szCs w:val="21"/>
          <w:highlight w:val="none"/>
        </w:rPr>
      </w:pPr>
    </w:p>
    <w:p w14:paraId="06EAD2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供应商名称（单位电子签章）：</w:t>
      </w:r>
    </w:p>
    <w:p w14:paraId="412939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7A02FFE5">
      <w:pPr>
        <w:pStyle w:val="2"/>
        <w:numPr>
          <w:ilvl w:val="0"/>
          <w:numId w:val="0"/>
        </w:numPr>
        <w:ind w:left="425"/>
        <w:rPr>
          <w:rFonts w:hint="eastAsia" w:ascii="宋体" w:hAnsi="宋体" w:eastAsia="宋体" w:cs="宋体"/>
          <w:color w:val="auto"/>
          <w:kern w:val="0"/>
          <w:sz w:val="21"/>
          <w:szCs w:val="21"/>
          <w:highlight w:val="none"/>
        </w:rPr>
      </w:pPr>
    </w:p>
    <w:p w14:paraId="5490F559">
      <w:pPr>
        <w:spacing w:line="360" w:lineRule="auto"/>
        <w:jc w:val="center"/>
        <w:rPr>
          <w:rFonts w:hint="eastAsia" w:ascii="宋体" w:hAnsi="宋体" w:eastAsia="宋体" w:cs="宋体"/>
          <w:color w:val="auto"/>
          <w:szCs w:val="21"/>
          <w:highlight w:val="none"/>
        </w:rPr>
      </w:pPr>
    </w:p>
    <w:p w14:paraId="5EE1BB71">
      <w:pPr>
        <w:spacing w:line="360" w:lineRule="auto"/>
        <w:jc w:val="center"/>
        <w:rPr>
          <w:rFonts w:hint="eastAsia" w:ascii="宋体" w:hAnsi="宋体" w:eastAsia="宋体" w:cs="宋体"/>
          <w:color w:val="auto"/>
          <w:szCs w:val="21"/>
          <w:highlight w:val="none"/>
        </w:rPr>
      </w:pPr>
    </w:p>
    <w:p w14:paraId="1A8DBD8B">
      <w:pPr>
        <w:spacing w:line="360" w:lineRule="auto"/>
        <w:jc w:val="center"/>
        <w:rPr>
          <w:rFonts w:hint="eastAsia" w:ascii="宋体" w:hAnsi="宋体" w:eastAsia="宋体" w:cs="宋体"/>
          <w:color w:val="auto"/>
          <w:szCs w:val="21"/>
          <w:highlight w:val="none"/>
        </w:rPr>
      </w:pPr>
    </w:p>
    <w:p w14:paraId="0A73D3C0">
      <w:pPr>
        <w:spacing w:line="360" w:lineRule="auto"/>
        <w:jc w:val="center"/>
        <w:rPr>
          <w:rFonts w:hint="eastAsia" w:ascii="宋体" w:hAnsi="宋体" w:eastAsia="宋体" w:cs="宋体"/>
          <w:color w:val="auto"/>
          <w:szCs w:val="21"/>
          <w:highlight w:val="none"/>
        </w:rPr>
      </w:pPr>
    </w:p>
    <w:p w14:paraId="54800364">
      <w:pPr>
        <w:spacing w:line="360" w:lineRule="auto"/>
        <w:jc w:val="center"/>
        <w:rPr>
          <w:rFonts w:hint="eastAsia" w:ascii="宋体" w:hAnsi="宋体" w:eastAsia="宋体" w:cs="宋体"/>
          <w:color w:val="auto"/>
          <w:szCs w:val="21"/>
          <w:highlight w:val="none"/>
        </w:rPr>
      </w:pPr>
    </w:p>
    <w:p w14:paraId="5B2A0894">
      <w:pPr>
        <w:spacing w:line="360" w:lineRule="auto"/>
        <w:jc w:val="center"/>
        <w:rPr>
          <w:rFonts w:hint="eastAsia" w:ascii="宋体" w:hAnsi="宋体" w:eastAsia="宋体" w:cs="宋体"/>
          <w:color w:val="auto"/>
          <w:szCs w:val="21"/>
          <w:highlight w:val="none"/>
        </w:rPr>
      </w:pPr>
    </w:p>
    <w:p w14:paraId="2D90A59A">
      <w:pPr>
        <w:spacing w:line="360" w:lineRule="auto"/>
        <w:jc w:val="center"/>
        <w:rPr>
          <w:rFonts w:hint="eastAsia" w:ascii="宋体" w:hAnsi="宋体" w:eastAsia="宋体" w:cs="宋体"/>
          <w:color w:val="auto"/>
          <w:szCs w:val="21"/>
          <w:highlight w:val="none"/>
        </w:rPr>
      </w:pPr>
    </w:p>
    <w:p w14:paraId="13514C95">
      <w:pPr>
        <w:spacing w:line="360" w:lineRule="auto"/>
        <w:jc w:val="center"/>
        <w:rPr>
          <w:rFonts w:hint="eastAsia" w:ascii="宋体" w:hAnsi="宋体" w:eastAsia="宋体" w:cs="宋体"/>
          <w:color w:val="auto"/>
          <w:szCs w:val="21"/>
          <w:highlight w:val="none"/>
        </w:rPr>
      </w:pPr>
    </w:p>
    <w:p w14:paraId="20CF4BF0">
      <w:pPr>
        <w:spacing w:line="360" w:lineRule="auto"/>
        <w:jc w:val="center"/>
        <w:rPr>
          <w:rFonts w:hint="eastAsia" w:ascii="宋体" w:hAnsi="宋体" w:eastAsia="宋体" w:cs="宋体"/>
          <w:color w:val="auto"/>
          <w:szCs w:val="21"/>
          <w:highlight w:val="none"/>
        </w:rPr>
      </w:pPr>
    </w:p>
    <w:p w14:paraId="671E1BE8">
      <w:pPr>
        <w:spacing w:line="360" w:lineRule="auto"/>
        <w:jc w:val="center"/>
        <w:rPr>
          <w:rFonts w:hint="eastAsia" w:ascii="宋体" w:hAnsi="宋体" w:eastAsia="宋体" w:cs="宋体"/>
          <w:color w:val="auto"/>
          <w:szCs w:val="21"/>
          <w:highlight w:val="none"/>
        </w:rPr>
      </w:pPr>
    </w:p>
    <w:p w14:paraId="347D094F">
      <w:pPr>
        <w:spacing w:line="360" w:lineRule="auto"/>
        <w:jc w:val="center"/>
        <w:rPr>
          <w:rFonts w:hint="eastAsia" w:ascii="宋体" w:hAnsi="宋体" w:eastAsia="宋体" w:cs="宋体"/>
          <w:color w:val="auto"/>
          <w:szCs w:val="21"/>
          <w:highlight w:val="none"/>
        </w:rPr>
      </w:pPr>
    </w:p>
    <w:p w14:paraId="77AC278B">
      <w:pPr>
        <w:pStyle w:val="11"/>
        <w:rPr>
          <w:rFonts w:hint="eastAsia" w:ascii="宋体" w:hAnsi="宋体" w:eastAsia="宋体" w:cs="宋体"/>
          <w:color w:val="auto"/>
          <w:highlight w:val="none"/>
        </w:rPr>
      </w:pPr>
    </w:p>
    <w:p w14:paraId="51B45D2F">
      <w:pPr>
        <w:spacing w:line="360" w:lineRule="auto"/>
        <w:jc w:val="center"/>
        <w:rPr>
          <w:rFonts w:hint="eastAsia" w:ascii="宋体" w:hAnsi="宋体" w:eastAsia="宋体" w:cs="宋体"/>
          <w:color w:val="auto"/>
          <w:szCs w:val="21"/>
          <w:highlight w:val="none"/>
        </w:rPr>
      </w:pPr>
    </w:p>
    <w:p w14:paraId="3CF3244D">
      <w:pPr>
        <w:spacing w:line="360" w:lineRule="auto"/>
        <w:jc w:val="center"/>
        <w:rPr>
          <w:rFonts w:hint="eastAsia" w:ascii="宋体" w:hAnsi="宋体" w:eastAsia="宋体" w:cs="宋体"/>
          <w:color w:val="auto"/>
          <w:szCs w:val="21"/>
          <w:highlight w:val="none"/>
        </w:rPr>
      </w:pPr>
    </w:p>
    <w:p w14:paraId="4A28F1B1">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87E291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highlight w:val="none"/>
        </w:rPr>
        <w:t>5、采购代理服务费承诺函</w:t>
      </w:r>
    </w:p>
    <w:p w14:paraId="756532C0">
      <w:pPr>
        <w:pStyle w:val="24"/>
        <w:shd w:val="clear" w:color="auto" w:fill="FFFFFF"/>
        <w:spacing w:before="0" w:beforeAutospacing="0" w:after="0" w:afterAutospacing="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6AF7FB79">
      <w:pPr>
        <w:pStyle w:val="24"/>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ascii="宋体" w:hAnsi="宋体" w:eastAsia="宋体" w:cs="宋体"/>
          <w:color w:val="auto"/>
          <w:spacing w:val="8"/>
          <w:sz w:val="21"/>
          <w:szCs w:val="21"/>
          <w:highlight w:val="none"/>
          <w:u w:val="single"/>
          <w:shd w:val="clear" w:color="auto" w:fill="FFFFFF"/>
        </w:rPr>
        <w:t>（采购人及采购代理机构） </w:t>
      </w:r>
      <w:r>
        <w:rPr>
          <w:rFonts w:hint="eastAsia" w:ascii="宋体" w:hAnsi="宋体" w:eastAsia="宋体" w:cs="宋体"/>
          <w:color w:val="auto"/>
          <w:spacing w:val="8"/>
          <w:sz w:val="21"/>
          <w:szCs w:val="21"/>
          <w:highlight w:val="none"/>
          <w:shd w:val="clear" w:color="auto" w:fill="FFFFFF"/>
        </w:rPr>
        <w:t>：</w:t>
      </w:r>
    </w:p>
    <w:p w14:paraId="69090289">
      <w:pPr>
        <w:pStyle w:val="24"/>
        <w:shd w:val="clear" w:color="auto" w:fill="FFFFFF"/>
        <w:spacing w:before="0" w:beforeAutospacing="0" w:after="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，采购编号：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采购中若获中标（成交），我们保证在中标(成交）结果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770D2AD6">
      <w:pPr>
        <w:pStyle w:val="24"/>
        <w:shd w:val="clear" w:color="auto" w:fill="FFFFFF"/>
        <w:spacing w:before="0" w:beforeAutospacing="0" w:after="0" w:afterAutospacing="0"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3AB05010">
      <w:pPr>
        <w:pStyle w:val="24"/>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5D4B2A7">
      <w:pPr>
        <w:pStyle w:val="24"/>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4F397241">
      <w:pPr>
        <w:pStyle w:val="24"/>
        <w:shd w:val="clear" w:color="auto" w:fill="FFFFFF"/>
        <w:spacing w:before="0" w:beforeAutospacing="0" w:after="0" w:afterAutospacing="0" w:line="360" w:lineRule="auto"/>
        <w:ind w:firstLine="46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供应商名称：</w:t>
      </w:r>
      <w:r>
        <w:rPr>
          <w:rFonts w:hint="eastAsia" w:ascii="宋体" w:hAnsi="宋体" w:eastAsia="宋体" w:cs="宋体"/>
          <w:color w:val="auto"/>
          <w:spacing w:val="8"/>
          <w:sz w:val="21"/>
          <w:szCs w:val="21"/>
          <w:highlight w:val="none"/>
          <w:u w:val="single"/>
          <w:shd w:val="clear" w:color="auto" w:fill="FFFFFF"/>
        </w:rPr>
        <w:t>          </w:t>
      </w:r>
      <w:r>
        <w:rPr>
          <w:rFonts w:hint="eastAsia" w:ascii="宋体" w:hAnsi="宋体" w:eastAsia="宋体" w:cs="宋体"/>
          <w:color w:val="auto"/>
          <w:spacing w:val="8"/>
          <w:sz w:val="21"/>
          <w:szCs w:val="21"/>
          <w:highlight w:val="none"/>
          <w:shd w:val="clear" w:color="auto" w:fill="FFFFFF"/>
        </w:rPr>
        <w:t>（单位电子签章）</w:t>
      </w:r>
    </w:p>
    <w:p w14:paraId="41CCB065">
      <w:pPr>
        <w:pStyle w:val="24"/>
        <w:shd w:val="clear" w:color="auto" w:fill="FFFFFF"/>
        <w:spacing w:before="0" w:beforeAutospacing="0" w:after="0" w:afterAutospacing="0" w:line="360" w:lineRule="auto"/>
        <w:ind w:firstLine="46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法定代表人或授权代表：</w:t>
      </w:r>
      <w:r>
        <w:rPr>
          <w:rFonts w:hint="eastAsia" w:ascii="宋体" w:hAnsi="宋体" w:eastAsia="宋体" w:cs="宋体"/>
          <w:color w:val="auto"/>
          <w:spacing w:val="8"/>
          <w:sz w:val="21"/>
          <w:szCs w:val="21"/>
          <w:highlight w:val="none"/>
          <w:u w:val="single"/>
          <w:shd w:val="clear" w:color="auto" w:fill="FFFFFF"/>
        </w:rPr>
        <w:t>      </w:t>
      </w:r>
      <w:r>
        <w:rPr>
          <w:rFonts w:hint="eastAsia" w:ascii="宋体" w:hAnsi="宋体" w:eastAsia="宋体" w:cs="宋体"/>
          <w:color w:val="auto"/>
          <w:spacing w:val="8"/>
          <w:sz w:val="21"/>
          <w:szCs w:val="21"/>
          <w:highlight w:val="none"/>
          <w:shd w:val="clear" w:color="auto" w:fill="FFFFFF"/>
        </w:rPr>
        <w:t>（电子签名或盖章）</w:t>
      </w:r>
    </w:p>
    <w:p w14:paraId="64161A61">
      <w:pPr>
        <w:pStyle w:val="24"/>
        <w:shd w:val="clear" w:color="auto" w:fill="FFFFFF"/>
        <w:spacing w:before="0" w:beforeAutospacing="0" w:after="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日期：</w:t>
      </w:r>
      <w:r>
        <w:rPr>
          <w:rFonts w:hint="eastAsia" w:ascii="宋体" w:hAnsi="宋体" w:eastAsia="宋体" w:cs="宋体"/>
          <w:color w:val="auto"/>
          <w:spacing w:val="8"/>
          <w:sz w:val="21"/>
          <w:szCs w:val="21"/>
          <w:highlight w:val="none"/>
          <w:u w:val="single"/>
          <w:shd w:val="clear" w:color="auto" w:fill="FFFFFF"/>
        </w:rPr>
        <w:t>              </w:t>
      </w:r>
    </w:p>
    <w:p w14:paraId="76D77AA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Cs w:val="21"/>
          <w:highlight w:val="none"/>
        </w:rPr>
        <w:t>6、供应商认为需要的其它资料</w:t>
      </w:r>
    </w:p>
    <w:p w14:paraId="4957ED3E">
      <w:pPr>
        <w:pStyle w:val="11"/>
        <w:rPr>
          <w:rFonts w:hint="eastAsia" w:ascii="宋体" w:hAnsi="宋体" w:eastAsia="宋体" w:cs="宋体"/>
          <w:color w:val="auto"/>
          <w:sz w:val="21"/>
          <w:szCs w:val="21"/>
          <w:highlight w:val="none"/>
        </w:rPr>
      </w:pPr>
    </w:p>
    <w:p w14:paraId="65119C53">
      <w:pPr>
        <w:numPr>
          <w:ilvl w:val="0"/>
          <w:numId w:val="0"/>
        </w:numPr>
        <w:ind w:leftChars="200"/>
        <w:jc w:val="center"/>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br w:type="page"/>
      </w:r>
      <w:bookmarkStart w:id="1091" w:name="_Toc27469"/>
      <w:r>
        <w:rPr>
          <w:rStyle w:val="68"/>
          <w:rFonts w:hint="eastAsia"/>
          <w:color w:val="auto"/>
          <w:highlight w:val="none"/>
          <w:lang w:val="en-US" w:eastAsia="zh-CN"/>
        </w:rPr>
        <w:t xml:space="preserve">第七章 </w:t>
      </w:r>
      <w:r>
        <w:rPr>
          <w:rStyle w:val="68"/>
          <w:rFonts w:hint="eastAsia"/>
          <w:color w:val="auto"/>
          <w:highlight w:val="none"/>
        </w:rPr>
        <w:t>河南省政府采购合同融资政策告知函</w:t>
      </w:r>
      <w:bookmarkEnd w:id="1091"/>
    </w:p>
    <w:p w14:paraId="2AFF4302">
      <w:pPr>
        <w:rPr>
          <w:rFonts w:hint="eastAsia" w:ascii="宋体" w:hAnsi="宋体" w:eastAsia="宋体" w:cs="宋体"/>
          <w:color w:val="auto"/>
          <w:sz w:val="21"/>
          <w:szCs w:val="21"/>
          <w:highlight w:val="none"/>
        </w:rPr>
      </w:pPr>
    </w:p>
    <w:p w14:paraId="65AF1B40">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2502DA3B">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欢迎贵公司参与河南省政府采购活动！</w:t>
      </w:r>
    </w:p>
    <w:p w14:paraId="7304D847">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ED4F18">
      <w:pPr>
        <w:spacing w:line="7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贷款渠道和提供贷款的金融机构，可在河南省政府采购网“河南省政府采购合同融资平台”查询联系。</w:t>
      </w:r>
      <w:r>
        <w:rPr>
          <w:rFonts w:hint="eastAsia" w:ascii="宋体" w:hAnsi="宋体" w:eastAsia="宋体" w:cs="宋体"/>
          <w:color w:val="auto"/>
          <w:sz w:val="21"/>
          <w:szCs w:val="21"/>
          <w:highlight w:val="none"/>
          <w:lang w:eastAsia="zh-CN"/>
        </w:rPr>
        <w:t>政策解读网址：</w:t>
      </w:r>
      <w:r>
        <w:rPr>
          <w:rFonts w:hint="eastAsia" w:ascii="宋体" w:hAnsi="宋体" w:eastAsia="宋体" w:cs="宋体"/>
          <w:color w:val="auto"/>
          <w:sz w:val="21"/>
          <w:szCs w:val="21"/>
          <w:highlight w:val="none"/>
        </w:rPr>
        <w:t>http://www.hngp.gov.cn/henan/conte</w:t>
      </w:r>
    </w:p>
    <w:p w14:paraId="4EB7E026">
      <w:pPr>
        <w:pStyle w:val="26"/>
        <w:ind w:firstLine="420" w:firstLineChars="200"/>
        <w:rPr>
          <w:rFonts w:hint="default"/>
          <w:color w:val="auto"/>
          <w:highlight w:val="none"/>
          <w:lang w:val="en-US" w:eastAsia="zh-CN"/>
        </w:rPr>
      </w:pPr>
      <w:r>
        <w:rPr>
          <w:rFonts w:hint="eastAsia"/>
          <w:color w:val="auto"/>
          <w:highlight w:val="none"/>
          <w:lang w:val="en-US" w:eastAsia="zh-CN"/>
        </w:rPr>
        <w:t>注：本章节无须在响应文件中提供。</w:t>
      </w:r>
    </w:p>
    <w:sectPr>
      <w:headerReference r:id="rId14" w:type="default"/>
      <w:footerReference r:id="rId15" w:type="default"/>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FB3B">
    <w:pPr>
      <w:pStyle w:val="18"/>
      <w:pBdr>
        <w:top w:val="none" w:color="auto" w:sz="0" w:space="1"/>
      </w:pBdr>
      <w:tabs>
        <w:tab w:val="center" w:pos="4845"/>
        <w:tab w:val="clear" w:pos="4153"/>
      </w:tabs>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3BEB">
    <w:pPr>
      <w:pStyle w:val="18"/>
      <w:ind w:left="0" w:leftChars="0" w:firstLine="0" w:firstLineChars="0"/>
      <w:rPr>
        <w:rFonts w:hint="eastAsia"/>
      </w:rPr>
    </w:pPr>
    <w:r>
      <w:rPr>
        <w:sz w:val="18"/>
      </w:rPr>
      <w:pict>
        <v:shape id="_x0000_s4114" o:spid="_x0000_s411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A5B2D4">
                <w:pPr>
                  <w:pStyle w:val="1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8046">
    <w:pPr>
      <w:pStyle w:val="18"/>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EF19">
    <w:pPr>
      <w:pStyle w:val="18"/>
      <w:rPr>
        <w:rFonts w:hint="eastAsia"/>
        <w:lang w:eastAsia="zh-CN"/>
      </w:rPr>
    </w:pPr>
    <w:r>
      <w:rPr>
        <w:sz w:val="18"/>
      </w:rPr>
      <w:pict>
        <v:shape id="_x0000_s4115" o:spid="_x0000_s411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15AFB0C">
                <w:pPr>
                  <w:pStyle w:val="18"/>
                </w:pPr>
                <w:r>
                  <w:fldChar w:fldCharType="begin"/>
                </w:r>
                <w:r>
                  <w:instrText xml:space="preserve"> PAGE  \* MERGEFORMAT </w:instrText>
                </w:r>
                <w:r>
                  <w:fldChar w:fldCharType="separate"/>
                </w:r>
                <w:r>
                  <w:t>33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DADD">
    <w:pPr>
      <w:pStyle w:val="18"/>
    </w:pPr>
    <w:r>
      <w:rPr>
        <w:sz w:val="18"/>
      </w:rPr>
      <w:pict>
        <v:shape id="_x0000_s4116" o:spid="_x0000_s411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327FA2C">
                <w:pPr>
                  <w:pStyle w:val="18"/>
                </w:pPr>
                <w:r>
                  <w:fldChar w:fldCharType="begin"/>
                </w:r>
                <w:r>
                  <w:instrText xml:space="preserve"> PAGE  \* MERGEFORMAT </w:instrText>
                </w:r>
                <w:r>
                  <w:fldChar w:fldCharType="separate"/>
                </w:r>
                <w:r>
                  <w:t>45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25E2">
    <w:pPr>
      <w:pStyle w:val="19"/>
      <w:pBdr>
        <w:bottom w:val="none" w:color="auto" w:sz="0" w:space="1"/>
      </w:pBdr>
      <w:ind w:left="0" w:leftChars="0"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6CF2">
    <w:pPr>
      <w:keepNext w:val="0"/>
      <w:keepLines w:val="0"/>
      <w:pageBreakBefore w:val="0"/>
      <w:widowControl w:val="0"/>
      <w:pBdr>
        <w:bottom w:val="none" w:color="auto" w:sz="0" w:space="0"/>
      </w:pBdr>
      <w:tabs>
        <w:tab w:val="left" w:pos="633"/>
        <w:tab w:val="right" w:pos="10335"/>
      </w:tabs>
      <w:kinsoku/>
      <w:wordWrap/>
      <w:overflowPunct/>
      <w:topLinePunct w:val="0"/>
      <w:bidi w:val="0"/>
      <w:adjustRightInd/>
      <w:snapToGrid/>
      <w:spacing w:line="240" w:lineRule="auto"/>
      <w:ind w:left="0" w:leftChars="0" w:firstLine="0" w:firstLineChars="0"/>
      <w:jc w:val="left"/>
      <w:textAlignment w:val="auto"/>
      <w:rPr>
        <w:rFonts w:hint="default" w:ascii="宋体" w:hAnsi="宋体" w:eastAsia="宋体" w:cs="宋体"/>
        <w:i/>
        <w:iCs/>
        <w:color w:val="auto"/>
        <w:sz w:val="21"/>
        <w:szCs w:val="21"/>
        <w:u w:val="single"/>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4D7B">
    <w:pPr>
      <w:pStyle w:val="19"/>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E0EE">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DC48">
    <w:pPr>
      <w:pStyle w:val="19"/>
      <w:keepNext w:val="0"/>
      <w:keepLines w:val="0"/>
      <w:pageBreakBefore w:val="0"/>
      <w:widowControl w:val="0"/>
      <w:pBdr>
        <w:bottom w:val="none" w:color="auto" w:sz="0" w:space="1"/>
      </w:pBdr>
      <w:kinsoku/>
      <w:wordWrap/>
      <w:overflowPunct/>
      <w:topLinePunct w:val="0"/>
      <w:bidi w:val="0"/>
      <w:adjustRightInd/>
      <w:snapToGrid w:val="0"/>
      <w:spacing w:line="240" w:lineRule="auto"/>
      <w:ind w:firstLine="0" w:firstLineChars="0"/>
      <w:jc w:val="left"/>
      <w:textAlignment w:val="auto"/>
      <w:rPr>
        <w:i/>
        <w:iCs/>
        <w:color w:val="0000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D3C">
    <w:pPr>
      <w:pStyle w:val="19"/>
      <w:pBdr>
        <w:bottom w:val="none" w:color="auto" w:sz="0" w:space="0"/>
      </w:pBdr>
      <w:ind w:left="0" w:leftChars="0"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B68B593"/>
    <w:multiLevelType w:val="singleLevel"/>
    <w:tmpl w:val="4B68B593"/>
    <w:lvl w:ilvl="0" w:tentative="0">
      <w:start w:val="3"/>
      <w:numFmt w:val="decimal"/>
      <w:suff w:val="nothing"/>
      <w:lvlText w:val="%1、"/>
      <w:lvlJc w:val="left"/>
    </w:lvl>
  </w:abstractNum>
  <w:abstractNum w:abstractNumId="5">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A5DBB2"/>
    <w:multiLevelType w:val="singleLevel"/>
    <w:tmpl w:val="64A5DBB2"/>
    <w:lvl w:ilvl="0" w:tentative="0">
      <w:start w:val="1"/>
      <w:numFmt w:val="decimal"/>
      <w:suff w:val="space"/>
      <w:lvlText w:val="%1."/>
      <w:lvlJc w:val="left"/>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zYmIzZGQ4OGE1ZTk2NmRlZTJlNDM1ZTkwNGUyOWQifQ=="/>
  </w:docVars>
  <w:rsids>
    <w:rsidRoot w:val="005F7F29"/>
    <w:rsid w:val="00037C70"/>
    <w:rsid w:val="00070034"/>
    <w:rsid w:val="000A20B9"/>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B4F71"/>
    <w:rsid w:val="006C4BE3"/>
    <w:rsid w:val="006F735B"/>
    <w:rsid w:val="007306C8"/>
    <w:rsid w:val="007B0927"/>
    <w:rsid w:val="007F1BAB"/>
    <w:rsid w:val="008142D6"/>
    <w:rsid w:val="008E4D0E"/>
    <w:rsid w:val="008F6C18"/>
    <w:rsid w:val="00A57016"/>
    <w:rsid w:val="00A6528B"/>
    <w:rsid w:val="00B20DF2"/>
    <w:rsid w:val="00B24C30"/>
    <w:rsid w:val="00B3323C"/>
    <w:rsid w:val="00B838FC"/>
    <w:rsid w:val="00B83EE6"/>
    <w:rsid w:val="00BB2CC5"/>
    <w:rsid w:val="00BD1A50"/>
    <w:rsid w:val="00BD5AE6"/>
    <w:rsid w:val="00BF745E"/>
    <w:rsid w:val="00CB5A10"/>
    <w:rsid w:val="00CE759D"/>
    <w:rsid w:val="00CF58F9"/>
    <w:rsid w:val="00D0063A"/>
    <w:rsid w:val="00D26B29"/>
    <w:rsid w:val="00DA206C"/>
    <w:rsid w:val="00E40930"/>
    <w:rsid w:val="00E60299"/>
    <w:rsid w:val="00E645F8"/>
    <w:rsid w:val="00E64D26"/>
    <w:rsid w:val="00E90D98"/>
    <w:rsid w:val="00EB6732"/>
    <w:rsid w:val="00FB40EA"/>
    <w:rsid w:val="00FD0BE9"/>
    <w:rsid w:val="010158D6"/>
    <w:rsid w:val="012D5CE7"/>
    <w:rsid w:val="013F518A"/>
    <w:rsid w:val="014324AF"/>
    <w:rsid w:val="01610122"/>
    <w:rsid w:val="01910A08"/>
    <w:rsid w:val="02750329"/>
    <w:rsid w:val="02783976"/>
    <w:rsid w:val="02BE0A08"/>
    <w:rsid w:val="02F81840"/>
    <w:rsid w:val="03075741"/>
    <w:rsid w:val="035017A2"/>
    <w:rsid w:val="03555A65"/>
    <w:rsid w:val="03B10EED"/>
    <w:rsid w:val="03D35138"/>
    <w:rsid w:val="043335A0"/>
    <w:rsid w:val="045A1585"/>
    <w:rsid w:val="04A07916"/>
    <w:rsid w:val="050D2A9B"/>
    <w:rsid w:val="051C3007"/>
    <w:rsid w:val="05340028"/>
    <w:rsid w:val="05676E89"/>
    <w:rsid w:val="05ED01D7"/>
    <w:rsid w:val="05F17CC7"/>
    <w:rsid w:val="06141C07"/>
    <w:rsid w:val="061C52D9"/>
    <w:rsid w:val="06426774"/>
    <w:rsid w:val="065B5A88"/>
    <w:rsid w:val="06654211"/>
    <w:rsid w:val="06A72A7B"/>
    <w:rsid w:val="06DA727B"/>
    <w:rsid w:val="06DF451E"/>
    <w:rsid w:val="06FF7D45"/>
    <w:rsid w:val="074E68E3"/>
    <w:rsid w:val="075524D7"/>
    <w:rsid w:val="079F5DEC"/>
    <w:rsid w:val="07D552EC"/>
    <w:rsid w:val="082C7F7A"/>
    <w:rsid w:val="0842480A"/>
    <w:rsid w:val="086B3B9F"/>
    <w:rsid w:val="08943F23"/>
    <w:rsid w:val="08986B20"/>
    <w:rsid w:val="08EB53A2"/>
    <w:rsid w:val="08FB2C0B"/>
    <w:rsid w:val="09366A61"/>
    <w:rsid w:val="09AA6B0A"/>
    <w:rsid w:val="09B94F9F"/>
    <w:rsid w:val="09D41DD9"/>
    <w:rsid w:val="09E04896"/>
    <w:rsid w:val="0A157CFC"/>
    <w:rsid w:val="0A3508E1"/>
    <w:rsid w:val="0A8C6210"/>
    <w:rsid w:val="0A932B49"/>
    <w:rsid w:val="0AE0030A"/>
    <w:rsid w:val="0AE95411"/>
    <w:rsid w:val="0B043FF8"/>
    <w:rsid w:val="0B5331D2"/>
    <w:rsid w:val="0BBB640F"/>
    <w:rsid w:val="0BCE2615"/>
    <w:rsid w:val="0BD13CD2"/>
    <w:rsid w:val="0C3703FE"/>
    <w:rsid w:val="0CA27F6D"/>
    <w:rsid w:val="0D006A41"/>
    <w:rsid w:val="0D133685"/>
    <w:rsid w:val="0D2301F1"/>
    <w:rsid w:val="0D6E60A1"/>
    <w:rsid w:val="0D7511DD"/>
    <w:rsid w:val="0DBE2B84"/>
    <w:rsid w:val="0DC766A4"/>
    <w:rsid w:val="0DD174E8"/>
    <w:rsid w:val="0E5B33B7"/>
    <w:rsid w:val="0EB6675E"/>
    <w:rsid w:val="0ED01708"/>
    <w:rsid w:val="0EE20AF5"/>
    <w:rsid w:val="0EEC54CF"/>
    <w:rsid w:val="0F2D61CB"/>
    <w:rsid w:val="0FC63F72"/>
    <w:rsid w:val="0FE4089C"/>
    <w:rsid w:val="1001144E"/>
    <w:rsid w:val="10150A56"/>
    <w:rsid w:val="104B4477"/>
    <w:rsid w:val="10D913F5"/>
    <w:rsid w:val="10FD643F"/>
    <w:rsid w:val="11244430"/>
    <w:rsid w:val="11B146B5"/>
    <w:rsid w:val="11FC1B46"/>
    <w:rsid w:val="12046D0E"/>
    <w:rsid w:val="120B0362"/>
    <w:rsid w:val="125A4E46"/>
    <w:rsid w:val="1288550F"/>
    <w:rsid w:val="13141499"/>
    <w:rsid w:val="13953CC6"/>
    <w:rsid w:val="13CA424E"/>
    <w:rsid w:val="13DA6030"/>
    <w:rsid w:val="145D7837"/>
    <w:rsid w:val="148D1503"/>
    <w:rsid w:val="14F56B39"/>
    <w:rsid w:val="1560771A"/>
    <w:rsid w:val="15673B02"/>
    <w:rsid w:val="15775423"/>
    <w:rsid w:val="15CC605B"/>
    <w:rsid w:val="160B6B83"/>
    <w:rsid w:val="16275E3E"/>
    <w:rsid w:val="166B7ACC"/>
    <w:rsid w:val="16785FCC"/>
    <w:rsid w:val="174409AB"/>
    <w:rsid w:val="174D31CB"/>
    <w:rsid w:val="17B42E94"/>
    <w:rsid w:val="183A54FD"/>
    <w:rsid w:val="18475E6C"/>
    <w:rsid w:val="184C5231"/>
    <w:rsid w:val="18892E95"/>
    <w:rsid w:val="18DE232D"/>
    <w:rsid w:val="18F653D4"/>
    <w:rsid w:val="1987072B"/>
    <w:rsid w:val="199C7AF2"/>
    <w:rsid w:val="19A90B8D"/>
    <w:rsid w:val="19C257AA"/>
    <w:rsid w:val="19C77265"/>
    <w:rsid w:val="19ED659F"/>
    <w:rsid w:val="1A620D3B"/>
    <w:rsid w:val="1A703458"/>
    <w:rsid w:val="1AA2382E"/>
    <w:rsid w:val="1AA2738A"/>
    <w:rsid w:val="1AF51BB0"/>
    <w:rsid w:val="1B2B3080"/>
    <w:rsid w:val="1B8D1DE8"/>
    <w:rsid w:val="1BBB0703"/>
    <w:rsid w:val="1CB011DF"/>
    <w:rsid w:val="1CCB7AC6"/>
    <w:rsid w:val="1CD529AF"/>
    <w:rsid w:val="1CFB1C45"/>
    <w:rsid w:val="1D8A7EF3"/>
    <w:rsid w:val="1DF71306"/>
    <w:rsid w:val="1E7C22A2"/>
    <w:rsid w:val="1E8F7C25"/>
    <w:rsid w:val="1EAB4536"/>
    <w:rsid w:val="1EB51D82"/>
    <w:rsid w:val="1EE130E7"/>
    <w:rsid w:val="1F8654CC"/>
    <w:rsid w:val="1FE15CF4"/>
    <w:rsid w:val="204D5FEA"/>
    <w:rsid w:val="208F6602"/>
    <w:rsid w:val="20A8455E"/>
    <w:rsid w:val="20C222A7"/>
    <w:rsid w:val="20EB5EB9"/>
    <w:rsid w:val="21076199"/>
    <w:rsid w:val="21505D92"/>
    <w:rsid w:val="219A0B1F"/>
    <w:rsid w:val="21BE7793"/>
    <w:rsid w:val="21CC0274"/>
    <w:rsid w:val="21FE759C"/>
    <w:rsid w:val="221A34A8"/>
    <w:rsid w:val="222363F6"/>
    <w:rsid w:val="23333275"/>
    <w:rsid w:val="237B0335"/>
    <w:rsid w:val="23A91789"/>
    <w:rsid w:val="241F68F2"/>
    <w:rsid w:val="2424750F"/>
    <w:rsid w:val="24D26ABE"/>
    <w:rsid w:val="24FB7DC2"/>
    <w:rsid w:val="251175E6"/>
    <w:rsid w:val="254E083A"/>
    <w:rsid w:val="256C0CC0"/>
    <w:rsid w:val="261D1FBA"/>
    <w:rsid w:val="26DD1E76"/>
    <w:rsid w:val="26F23447"/>
    <w:rsid w:val="27607E24"/>
    <w:rsid w:val="277125BE"/>
    <w:rsid w:val="27EE1E60"/>
    <w:rsid w:val="27F751B9"/>
    <w:rsid w:val="2820489B"/>
    <w:rsid w:val="28456613"/>
    <w:rsid w:val="284E0B51"/>
    <w:rsid w:val="28606A39"/>
    <w:rsid w:val="28C11323"/>
    <w:rsid w:val="28DC605B"/>
    <w:rsid w:val="294207DB"/>
    <w:rsid w:val="297E036A"/>
    <w:rsid w:val="29EC23D0"/>
    <w:rsid w:val="2A04559B"/>
    <w:rsid w:val="2A2240B0"/>
    <w:rsid w:val="2A264090"/>
    <w:rsid w:val="2A627FD1"/>
    <w:rsid w:val="2A694C28"/>
    <w:rsid w:val="2ABE160D"/>
    <w:rsid w:val="2AC31382"/>
    <w:rsid w:val="2B4F0E68"/>
    <w:rsid w:val="2B8A00F2"/>
    <w:rsid w:val="2BB13DB5"/>
    <w:rsid w:val="2C713D43"/>
    <w:rsid w:val="2CCB6CFD"/>
    <w:rsid w:val="2D1759B5"/>
    <w:rsid w:val="2D486D7F"/>
    <w:rsid w:val="2EA112B4"/>
    <w:rsid w:val="2F6D5D61"/>
    <w:rsid w:val="2F7470EF"/>
    <w:rsid w:val="2F776BDF"/>
    <w:rsid w:val="2F7B222C"/>
    <w:rsid w:val="2F8C4439"/>
    <w:rsid w:val="2FE222AB"/>
    <w:rsid w:val="311A6908"/>
    <w:rsid w:val="31397A57"/>
    <w:rsid w:val="3156550B"/>
    <w:rsid w:val="315C4E44"/>
    <w:rsid w:val="31717BEF"/>
    <w:rsid w:val="317A74AA"/>
    <w:rsid w:val="31A41DB5"/>
    <w:rsid w:val="31B01100"/>
    <w:rsid w:val="32955444"/>
    <w:rsid w:val="32A23ACC"/>
    <w:rsid w:val="32AA3440"/>
    <w:rsid w:val="331309CD"/>
    <w:rsid w:val="33422219"/>
    <w:rsid w:val="34823EFC"/>
    <w:rsid w:val="353758FE"/>
    <w:rsid w:val="357F4E3A"/>
    <w:rsid w:val="35BE7316"/>
    <w:rsid w:val="36147E72"/>
    <w:rsid w:val="36453593"/>
    <w:rsid w:val="367125DA"/>
    <w:rsid w:val="36946955"/>
    <w:rsid w:val="36C82256"/>
    <w:rsid w:val="36F01751"/>
    <w:rsid w:val="37405B09"/>
    <w:rsid w:val="37622416"/>
    <w:rsid w:val="376E08C8"/>
    <w:rsid w:val="37BB320A"/>
    <w:rsid w:val="37C130EE"/>
    <w:rsid w:val="37E813AF"/>
    <w:rsid w:val="38176BBC"/>
    <w:rsid w:val="38254774"/>
    <w:rsid w:val="382556DE"/>
    <w:rsid w:val="38491B35"/>
    <w:rsid w:val="38DE1A7D"/>
    <w:rsid w:val="38EF77E6"/>
    <w:rsid w:val="39331DC9"/>
    <w:rsid w:val="393C086A"/>
    <w:rsid w:val="398E0DAD"/>
    <w:rsid w:val="39A35D1E"/>
    <w:rsid w:val="39C80763"/>
    <w:rsid w:val="3A184B1B"/>
    <w:rsid w:val="3A3000B7"/>
    <w:rsid w:val="3A6D705B"/>
    <w:rsid w:val="3A7601BF"/>
    <w:rsid w:val="3AA06FEA"/>
    <w:rsid w:val="3AC058DE"/>
    <w:rsid w:val="3AC54CA3"/>
    <w:rsid w:val="3ACD1DA9"/>
    <w:rsid w:val="3AFD61EB"/>
    <w:rsid w:val="3B0532F1"/>
    <w:rsid w:val="3B7A1263"/>
    <w:rsid w:val="3BB6283D"/>
    <w:rsid w:val="3BFD15D3"/>
    <w:rsid w:val="3C067321"/>
    <w:rsid w:val="3D1433FF"/>
    <w:rsid w:val="3D393726"/>
    <w:rsid w:val="3D5D7415"/>
    <w:rsid w:val="3D654FA6"/>
    <w:rsid w:val="3D78424E"/>
    <w:rsid w:val="3D913BF0"/>
    <w:rsid w:val="3DB00E80"/>
    <w:rsid w:val="3DF6239A"/>
    <w:rsid w:val="3E157CEF"/>
    <w:rsid w:val="3E1C2297"/>
    <w:rsid w:val="3E265A58"/>
    <w:rsid w:val="3E726EF0"/>
    <w:rsid w:val="3F5E1222"/>
    <w:rsid w:val="3F7E18C4"/>
    <w:rsid w:val="3F8C2233"/>
    <w:rsid w:val="3F9115F7"/>
    <w:rsid w:val="3FBA7695"/>
    <w:rsid w:val="408353E4"/>
    <w:rsid w:val="40FE4A6B"/>
    <w:rsid w:val="413C5593"/>
    <w:rsid w:val="413D380E"/>
    <w:rsid w:val="418A27A2"/>
    <w:rsid w:val="41CE369A"/>
    <w:rsid w:val="426E79CE"/>
    <w:rsid w:val="4348426D"/>
    <w:rsid w:val="43AC4C52"/>
    <w:rsid w:val="43B14016"/>
    <w:rsid w:val="43B753A5"/>
    <w:rsid w:val="4486676E"/>
    <w:rsid w:val="44867251"/>
    <w:rsid w:val="449000D0"/>
    <w:rsid w:val="44975F5D"/>
    <w:rsid w:val="44E2484F"/>
    <w:rsid w:val="44FA379B"/>
    <w:rsid w:val="450C00E0"/>
    <w:rsid w:val="46511AE0"/>
    <w:rsid w:val="46DD3374"/>
    <w:rsid w:val="47013507"/>
    <w:rsid w:val="470A0C21"/>
    <w:rsid w:val="472E5983"/>
    <w:rsid w:val="47431429"/>
    <w:rsid w:val="47C02A7A"/>
    <w:rsid w:val="47E524E0"/>
    <w:rsid w:val="47F72214"/>
    <w:rsid w:val="484010AC"/>
    <w:rsid w:val="48497154"/>
    <w:rsid w:val="48861F15"/>
    <w:rsid w:val="48A759E8"/>
    <w:rsid w:val="48D875A2"/>
    <w:rsid w:val="497A560D"/>
    <w:rsid w:val="4A056E6A"/>
    <w:rsid w:val="4A233794"/>
    <w:rsid w:val="4A4A7ABE"/>
    <w:rsid w:val="4A835FE1"/>
    <w:rsid w:val="4AB968A9"/>
    <w:rsid w:val="4ABF5CA7"/>
    <w:rsid w:val="4AD54A8E"/>
    <w:rsid w:val="4AF45ABF"/>
    <w:rsid w:val="4AFA56FA"/>
    <w:rsid w:val="4B1E3247"/>
    <w:rsid w:val="4B46598C"/>
    <w:rsid w:val="4B5259DB"/>
    <w:rsid w:val="4B6A5A46"/>
    <w:rsid w:val="4B793AE0"/>
    <w:rsid w:val="4B8B2E6A"/>
    <w:rsid w:val="4B8E2E8F"/>
    <w:rsid w:val="4BDF36EB"/>
    <w:rsid w:val="4C001FDF"/>
    <w:rsid w:val="4C2E3839"/>
    <w:rsid w:val="4C6836E0"/>
    <w:rsid w:val="4C746529"/>
    <w:rsid w:val="4C92075D"/>
    <w:rsid w:val="4CB73AF6"/>
    <w:rsid w:val="4CBD1C7E"/>
    <w:rsid w:val="4D7E5D0E"/>
    <w:rsid w:val="4D92310A"/>
    <w:rsid w:val="4DD6155F"/>
    <w:rsid w:val="4DE1199C"/>
    <w:rsid w:val="4DE374C2"/>
    <w:rsid w:val="4DF652CD"/>
    <w:rsid w:val="4DF91468"/>
    <w:rsid w:val="4E10402F"/>
    <w:rsid w:val="4E125FF9"/>
    <w:rsid w:val="4E60700D"/>
    <w:rsid w:val="4E6879C7"/>
    <w:rsid w:val="4F1D07B2"/>
    <w:rsid w:val="4F495A4B"/>
    <w:rsid w:val="4FA135D6"/>
    <w:rsid w:val="4FF77255"/>
    <w:rsid w:val="50B52497"/>
    <w:rsid w:val="51383FC9"/>
    <w:rsid w:val="51612B99"/>
    <w:rsid w:val="51656440"/>
    <w:rsid w:val="519D3E2C"/>
    <w:rsid w:val="51AA13F6"/>
    <w:rsid w:val="51BF3DA2"/>
    <w:rsid w:val="51D140A4"/>
    <w:rsid w:val="526337A7"/>
    <w:rsid w:val="528C45CC"/>
    <w:rsid w:val="528D5C4E"/>
    <w:rsid w:val="52AC1621"/>
    <w:rsid w:val="52D65847"/>
    <w:rsid w:val="53004672"/>
    <w:rsid w:val="531E2D4A"/>
    <w:rsid w:val="534F5E70"/>
    <w:rsid w:val="537B019D"/>
    <w:rsid w:val="54097E64"/>
    <w:rsid w:val="54356EEC"/>
    <w:rsid w:val="54B0031A"/>
    <w:rsid w:val="54BE47E5"/>
    <w:rsid w:val="5540344C"/>
    <w:rsid w:val="555869E7"/>
    <w:rsid w:val="558A7637"/>
    <w:rsid w:val="55AC288F"/>
    <w:rsid w:val="55BE25C3"/>
    <w:rsid w:val="55CA0F67"/>
    <w:rsid w:val="55F73F77"/>
    <w:rsid w:val="5618784C"/>
    <w:rsid w:val="561B7A15"/>
    <w:rsid w:val="56640733"/>
    <w:rsid w:val="5693702F"/>
    <w:rsid w:val="56D46542"/>
    <w:rsid w:val="572959A2"/>
    <w:rsid w:val="575C5ED5"/>
    <w:rsid w:val="57825F9E"/>
    <w:rsid w:val="5840354A"/>
    <w:rsid w:val="586631C9"/>
    <w:rsid w:val="58C15CEE"/>
    <w:rsid w:val="58CE2FDC"/>
    <w:rsid w:val="58DA7713"/>
    <w:rsid w:val="59007E53"/>
    <w:rsid w:val="591F6046"/>
    <w:rsid w:val="59205A6E"/>
    <w:rsid w:val="594A4899"/>
    <w:rsid w:val="59A0095D"/>
    <w:rsid w:val="5A736072"/>
    <w:rsid w:val="5A8570CB"/>
    <w:rsid w:val="5ABF3065"/>
    <w:rsid w:val="5AC84C04"/>
    <w:rsid w:val="5B5C6B06"/>
    <w:rsid w:val="5B6C6973"/>
    <w:rsid w:val="5BE014E5"/>
    <w:rsid w:val="5C1E3DBB"/>
    <w:rsid w:val="5C643EC4"/>
    <w:rsid w:val="5C827108"/>
    <w:rsid w:val="5CD31049"/>
    <w:rsid w:val="5D1D518D"/>
    <w:rsid w:val="5D5E0913"/>
    <w:rsid w:val="5D635F29"/>
    <w:rsid w:val="5D9A56C3"/>
    <w:rsid w:val="5DEA03F9"/>
    <w:rsid w:val="5DEF4CAB"/>
    <w:rsid w:val="5EB8511B"/>
    <w:rsid w:val="5EEB4910"/>
    <w:rsid w:val="5F105200"/>
    <w:rsid w:val="5F2005A3"/>
    <w:rsid w:val="5F5C0E82"/>
    <w:rsid w:val="5FB52D33"/>
    <w:rsid w:val="5FCA6734"/>
    <w:rsid w:val="602C4A56"/>
    <w:rsid w:val="605B738C"/>
    <w:rsid w:val="60765F74"/>
    <w:rsid w:val="6098238E"/>
    <w:rsid w:val="60A26D69"/>
    <w:rsid w:val="61077514"/>
    <w:rsid w:val="61261A91"/>
    <w:rsid w:val="6162299C"/>
    <w:rsid w:val="6171498D"/>
    <w:rsid w:val="619268C2"/>
    <w:rsid w:val="61C96577"/>
    <w:rsid w:val="61FE0917"/>
    <w:rsid w:val="620F48D2"/>
    <w:rsid w:val="62270466"/>
    <w:rsid w:val="62AD7C47"/>
    <w:rsid w:val="63042377"/>
    <w:rsid w:val="63A96660"/>
    <w:rsid w:val="63C5259B"/>
    <w:rsid w:val="64013318"/>
    <w:rsid w:val="64555BF0"/>
    <w:rsid w:val="650F6997"/>
    <w:rsid w:val="65121E4D"/>
    <w:rsid w:val="655669E4"/>
    <w:rsid w:val="656E7B61"/>
    <w:rsid w:val="65817895"/>
    <w:rsid w:val="658A426F"/>
    <w:rsid w:val="65BE7424"/>
    <w:rsid w:val="65D56E97"/>
    <w:rsid w:val="65FE3969"/>
    <w:rsid w:val="66012783"/>
    <w:rsid w:val="6637769D"/>
    <w:rsid w:val="66B617C0"/>
    <w:rsid w:val="66BC3D6A"/>
    <w:rsid w:val="66D94689"/>
    <w:rsid w:val="66F27A29"/>
    <w:rsid w:val="66F45E44"/>
    <w:rsid w:val="67386679"/>
    <w:rsid w:val="674F19AC"/>
    <w:rsid w:val="67695B7A"/>
    <w:rsid w:val="67746F85"/>
    <w:rsid w:val="683D7DB8"/>
    <w:rsid w:val="68A37B22"/>
    <w:rsid w:val="68CD2DF1"/>
    <w:rsid w:val="68DC4EB2"/>
    <w:rsid w:val="68E24AEE"/>
    <w:rsid w:val="690F51B7"/>
    <w:rsid w:val="691305CC"/>
    <w:rsid w:val="691B590A"/>
    <w:rsid w:val="693144D5"/>
    <w:rsid w:val="699456BD"/>
    <w:rsid w:val="69DB412A"/>
    <w:rsid w:val="69F83E9D"/>
    <w:rsid w:val="6A697D2E"/>
    <w:rsid w:val="6AA9376B"/>
    <w:rsid w:val="6AAB3041"/>
    <w:rsid w:val="6AE91C23"/>
    <w:rsid w:val="6B264A3A"/>
    <w:rsid w:val="6B431148"/>
    <w:rsid w:val="6B87197D"/>
    <w:rsid w:val="6C450EF0"/>
    <w:rsid w:val="6C5842C8"/>
    <w:rsid w:val="6C7672FB"/>
    <w:rsid w:val="6CC14A1B"/>
    <w:rsid w:val="6D0D5EB2"/>
    <w:rsid w:val="6D2A25C0"/>
    <w:rsid w:val="6D452924"/>
    <w:rsid w:val="6D4F2026"/>
    <w:rsid w:val="6D605FE2"/>
    <w:rsid w:val="6D7831DC"/>
    <w:rsid w:val="6DC527E1"/>
    <w:rsid w:val="6E056B89"/>
    <w:rsid w:val="6E0E3640"/>
    <w:rsid w:val="6E26547D"/>
    <w:rsid w:val="6E3663FC"/>
    <w:rsid w:val="6E510020"/>
    <w:rsid w:val="6E771A2F"/>
    <w:rsid w:val="6EB20ABF"/>
    <w:rsid w:val="6EC151A6"/>
    <w:rsid w:val="6F0E098C"/>
    <w:rsid w:val="6F1676A6"/>
    <w:rsid w:val="6F273577"/>
    <w:rsid w:val="6F800003"/>
    <w:rsid w:val="6F991C7F"/>
    <w:rsid w:val="70567B70"/>
    <w:rsid w:val="707F3EC5"/>
    <w:rsid w:val="711772FF"/>
    <w:rsid w:val="71453E6C"/>
    <w:rsid w:val="7165418E"/>
    <w:rsid w:val="71A843FB"/>
    <w:rsid w:val="72A526E9"/>
    <w:rsid w:val="72B25F01"/>
    <w:rsid w:val="72CB03A1"/>
    <w:rsid w:val="72DD6345"/>
    <w:rsid w:val="72E476B5"/>
    <w:rsid w:val="731F2D71"/>
    <w:rsid w:val="734343DB"/>
    <w:rsid w:val="735E5441"/>
    <w:rsid w:val="7383095D"/>
    <w:rsid w:val="73CD1EF7"/>
    <w:rsid w:val="753561D8"/>
    <w:rsid w:val="75A8418E"/>
    <w:rsid w:val="760C05B4"/>
    <w:rsid w:val="765863F0"/>
    <w:rsid w:val="76780840"/>
    <w:rsid w:val="76BD44A5"/>
    <w:rsid w:val="76FE3487"/>
    <w:rsid w:val="7702635B"/>
    <w:rsid w:val="7731279D"/>
    <w:rsid w:val="77614A4C"/>
    <w:rsid w:val="77631821"/>
    <w:rsid w:val="7773713D"/>
    <w:rsid w:val="77C903B7"/>
    <w:rsid w:val="786F5C73"/>
    <w:rsid w:val="78970D25"/>
    <w:rsid w:val="78A70F68"/>
    <w:rsid w:val="78C55892"/>
    <w:rsid w:val="78FF6FF6"/>
    <w:rsid w:val="79867FA8"/>
    <w:rsid w:val="799B65F3"/>
    <w:rsid w:val="7A044199"/>
    <w:rsid w:val="7A3A5E0C"/>
    <w:rsid w:val="7A440A39"/>
    <w:rsid w:val="7A664E53"/>
    <w:rsid w:val="7B064216"/>
    <w:rsid w:val="7B194657"/>
    <w:rsid w:val="7B503B39"/>
    <w:rsid w:val="7B71585E"/>
    <w:rsid w:val="7BDA3403"/>
    <w:rsid w:val="7C4A4A2C"/>
    <w:rsid w:val="7CCC5441"/>
    <w:rsid w:val="7CE62058"/>
    <w:rsid w:val="7CE814B4"/>
    <w:rsid w:val="7D1B0177"/>
    <w:rsid w:val="7D2939A0"/>
    <w:rsid w:val="7D5E1E12"/>
    <w:rsid w:val="7DBA10EA"/>
    <w:rsid w:val="7DF34C50"/>
    <w:rsid w:val="7E0557AD"/>
    <w:rsid w:val="7E9F0934"/>
    <w:rsid w:val="7F10437A"/>
    <w:rsid w:val="7F6F01EE"/>
    <w:rsid w:val="7FB02B29"/>
    <w:rsid w:val="7FBB354B"/>
    <w:rsid w:val="7FF91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1">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autoRedefine/>
    <w:qFormat/>
    <w:uiPriority w:val="0"/>
    <w:pPr>
      <w:ind w:firstLine="420"/>
    </w:pPr>
    <w:rPr>
      <w:sz w:val="21"/>
    </w:rPr>
  </w:style>
  <w:style w:type="paragraph" w:styleId="8">
    <w:name w:val="caption"/>
    <w:basedOn w:val="1"/>
    <w:next w:val="1"/>
    <w:autoRedefine/>
    <w:qFormat/>
    <w:uiPriority w:val="0"/>
    <w:rPr>
      <w:rFonts w:ascii="Cambria" w:hAnsi="Cambria" w:eastAsia="黑体" w:cs="Cambria"/>
      <w:sz w:val="20"/>
      <w:szCs w:val="20"/>
    </w:rPr>
  </w:style>
  <w:style w:type="paragraph" w:styleId="9">
    <w:name w:val="annotation text"/>
    <w:basedOn w:val="1"/>
    <w:autoRedefine/>
    <w:qFormat/>
    <w:uiPriority w:val="99"/>
    <w:pPr>
      <w:jc w:val="left"/>
    </w:pPr>
  </w:style>
  <w:style w:type="paragraph" w:styleId="10">
    <w:name w:val="Body Text 3"/>
    <w:basedOn w:val="1"/>
    <w:autoRedefine/>
    <w:qFormat/>
    <w:uiPriority w:val="0"/>
    <w:rPr>
      <w:rFonts w:hAnsi="Times New Roman"/>
      <w:kern w:val="0"/>
      <w:sz w:val="24"/>
      <w:szCs w:val="20"/>
    </w:rPr>
  </w:style>
  <w:style w:type="paragraph" w:styleId="11">
    <w:name w:val="Body Text"/>
    <w:basedOn w:val="1"/>
    <w:next w:val="12"/>
    <w:autoRedefine/>
    <w:qFormat/>
    <w:uiPriority w:val="0"/>
    <w:pPr>
      <w:spacing w:after="120" w:afterLines="0" w:afterAutospacing="0"/>
    </w:pPr>
    <w:rPr>
      <w:sz w:val="21"/>
    </w:rPr>
  </w:style>
  <w:style w:type="paragraph" w:styleId="12">
    <w:name w:val="Body Text 2"/>
    <w:basedOn w:val="1"/>
    <w:next w:val="11"/>
    <w:autoRedefine/>
    <w:qFormat/>
    <w:uiPriority w:val="0"/>
    <w:pPr>
      <w:spacing w:after="120" w:afterLines="0" w:afterAutospacing="0" w:line="480" w:lineRule="auto"/>
    </w:pPr>
    <w:rPr>
      <w:sz w:val="21"/>
    </w:rPr>
  </w:style>
  <w:style w:type="paragraph" w:styleId="13">
    <w:name w:val="Body Text Indent"/>
    <w:basedOn w:val="1"/>
    <w:next w:val="14"/>
    <w:autoRedefine/>
    <w:qFormat/>
    <w:uiPriority w:val="0"/>
    <w:pPr>
      <w:spacing w:line="312" w:lineRule="auto"/>
      <w:ind w:firstLine="735" w:firstLineChars="245"/>
    </w:p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rPr>
      <w:sz w:val="21"/>
      <w:szCs w:val="24"/>
    </w:rPr>
  </w:style>
  <w:style w:type="paragraph" w:styleId="16">
    <w:name w:val="toc 3"/>
    <w:basedOn w:val="1"/>
    <w:next w:val="1"/>
    <w:autoRedefine/>
    <w:semiHidden/>
    <w:unhideWhenUsed/>
    <w:qFormat/>
    <w:uiPriority w:val="39"/>
    <w:pPr>
      <w:ind w:left="840" w:leftChars="400"/>
    </w:pPr>
  </w:style>
  <w:style w:type="paragraph" w:styleId="17">
    <w:name w:val="Date"/>
    <w:basedOn w:val="1"/>
    <w:next w:val="1"/>
    <w:autoRedefine/>
    <w:qFormat/>
    <w:uiPriority w:val="0"/>
    <w:rPr>
      <w:rFonts w:ascii="Times New Roman" w:hAnsi="Times New Roman"/>
      <w:kern w:val="0"/>
      <w:sz w:val="24"/>
      <w:szCs w:val="20"/>
    </w:rPr>
  </w:style>
  <w:style w:type="paragraph" w:styleId="18">
    <w:name w:val="footer"/>
    <w:basedOn w:val="1"/>
    <w:link w:val="44"/>
    <w:autoRedefine/>
    <w:unhideWhenUsed/>
    <w:qFormat/>
    <w:uiPriority w:val="99"/>
    <w:pPr>
      <w:tabs>
        <w:tab w:val="center" w:pos="4153"/>
        <w:tab w:val="right" w:pos="8306"/>
      </w:tabs>
      <w:snapToGrid w:val="0"/>
      <w:spacing w:line="240" w:lineRule="atLeast"/>
      <w:jc w:val="left"/>
    </w:pPr>
    <w:rPr>
      <w:sz w:val="18"/>
      <w:szCs w:val="18"/>
    </w:rPr>
  </w:style>
  <w:style w:type="paragraph" w:styleId="19">
    <w:name w:val="header"/>
    <w:basedOn w:val="1"/>
    <w:link w:val="43"/>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qFormat/>
    <w:uiPriority w:val="39"/>
  </w:style>
  <w:style w:type="paragraph" w:styleId="21">
    <w:name w:val="footnote text"/>
    <w:basedOn w:val="1"/>
    <w:autoRedefine/>
    <w:qFormat/>
    <w:uiPriority w:val="0"/>
    <w:pPr>
      <w:snapToGrid w:val="0"/>
      <w:jc w:val="left"/>
    </w:pPr>
    <w:rPr>
      <w:sz w:val="18"/>
      <w:szCs w:val="18"/>
    </w:rPr>
  </w:style>
  <w:style w:type="paragraph" w:styleId="22">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4">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5">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6">
    <w:name w:val="Body Text First Indent"/>
    <w:basedOn w:val="11"/>
    <w:next w:val="27"/>
    <w:autoRedefine/>
    <w:qFormat/>
    <w:uiPriority w:val="0"/>
    <w:pPr>
      <w:ind w:firstLine="420" w:firstLineChars="100"/>
    </w:pPr>
  </w:style>
  <w:style w:type="paragraph" w:styleId="27">
    <w:name w:val="Body Text First Indent 2"/>
    <w:basedOn w:val="13"/>
    <w:next w:val="1"/>
    <w:autoRedefine/>
    <w:qFormat/>
    <w:uiPriority w:val="0"/>
    <w:pPr>
      <w:spacing w:after="120" w:afterLines="0" w:line="240" w:lineRule="auto"/>
      <w:ind w:left="420" w:leftChars="200" w:firstLine="420" w:firstLineChars="200"/>
    </w:pPr>
  </w:style>
  <w:style w:type="table" w:styleId="29">
    <w:name w:val="Table Grid"/>
    <w:basedOn w:val="2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0">
    <w:name w:val="Light Shading"/>
    <w:basedOn w:val="28"/>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2">
    <w:name w:val="page number"/>
    <w:basedOn w:val="31"/>
    <w:autoRedefine/>
    <w:qFormat/>
    <w:uiPriority w:val="0"/>
  </w:style>
  <w:style w:type="character" w:styleId="33">
    <w:name w:val="FollowedHyperlink"/>
    <w:basedOn w:val="31"/>
    <w:autoRedefine/>
    <w:semiHidden/>
    <w:unhideWhenUsed/>
    <w:qFormat/>
    <w:uiPriority w:val="99"/>
    <w:rPr>
      <w:color w:val="5F5F5F"/>
      <w:u w:val="none"/>
    </w:rPr>
  </w:style>
  <w:style w:type="character" w:styleId="34">
    <w:name w:val="HTML Definition"/>
    <w:basedOn w:val="31"/>
    <w:autoRedefine/>
    <w:semiHidden/>
    <w:unhideWhenUsed/>
    <w:qFormat/>
    <w:uiPriority w:val="99"/>
  </w:style>
  <w:style w:type="character" w:styleId="35">
    <w:name w:val="HTML Typewriter"/>
    <w:basedOn w:val="31"/>
    <w:autoRedefine/>
    <w:semiHidden/>
    <w:unhideWhenUsed/>
    <w:qFormat/>
    <w:uiPriority w:val="99"/>
    <w:rPr>
      <w:rFonts w:hint="default" w:ascii="monospace" w:hAnsi="monospace" w:eastAsia="monospace" w:cs="monospace"/>
      <w:sz w:val="20"/>
    </w:rPr>
  </w:style>
  <w:style w:type="character" w:styleId="36">
    <w:name w:val="HTML Acronym"/>
    <w:basedOn w:val="31"/>
    <w:autoRedefine/>
    <w:semiHidden/>
    <w:unhideWhenUsed/>
    <w:qFormat/>
    <w:uiPriority w:val="99"/>
  </w:style>
  <w:style w:type="character" w:styleId="37">
    <w:name w:val="HTML Variable"/>
    <w:basedOn w:val="31"/>
    <w:autoRedefine/>
    <w:semiHidden/>
    <w:unhideWhenUsed/>
    <w:qFormat/>
    <w:uiPriority w:val="99"/>
  </w:style>
  <w:style w:type="character" w:styleId="38">
    <w:name w:val="Hyperlink"/>
    <w:basedOn w:val="31"/>
    <w:autoRedefine/>
    <w:semiHidden/>
    <w:unhideWhenUsed/>
    <w:qFormat/>
    <w:uiPriority w:val="99"/>
    <w:rPr>
      <w:color w:val="5F5F5F"/>
      <w:u w:val="none"/>
    </w:rPr>
  </w:style>
  <w:style w:type="character" w:styleId="39">
    <w:name w:val="HTML Code"/>
    <w:basedOn w:val="31"/>
    <w:autoRedefine/>
    <w:semiHidden/>
    <w:unhideWhenUsed/>
    <w:qFormat/>
    <w:uiPriority w:val="99"/>
    <w:rPr>
      <w:rFonts w:hint="default" w:ascii="monospace" w:hAnsi="monospace" w:eastAsia="monospace" w:cs="monospace"/>
      <w:sz w:val="20"/>
    </w:rPr>
  </w:style>
  <w:style w:type="character" w:styleId="40">
    <w:name w:val="HTML Cite"/>
    <w:basedOn w:val="31"/>
    <w:autoRedefine/>
    <w:semiHidden/>
    <w:unhideWhenUsed/>
    <w:qFormat/>
    <w:uiPriority w:val="99"/>
  </w:style>
  <w:style w:type="character" w:styleId="41">
    <w:name w:val="HTML Keyboard"/>
    <w:basedOn w:val="31"/>
    <w:autoRedefine/>
    <w:semiHidden/>
    <w:unhideWhenUsed/>
    <w:qFormat/>
    <w:uiPriority w:val="99"/>
    <w:rPr>
      <w:rFonts w:hint="default" w:ascii="monospace" w:hAnsi="monospace" w:eastAsia="monospace" w:cs="monospace"/>
      <w:sz w:val="20"/>
    </w:rPr>
  </w:style>
  <w:style w:type="character" w:styleId="42">
    <w:name w:val="HTML Sample"/>
    <w:basedOn w:val="31"/>
    <w:autoRedefine/>
    <w:semiHidden/>
    <w:unhideWhenUsed/>
    <w:qFormat/>
    <w:uiPriority w:val="99"/>
    <w:rPr>
      <w:rFonts w:ascii="monospace" w:hAnsi="monospace" w:eastAsia="monospace" w:cs="monospace"/>
    </w:rPr>
  </w:style>
  <w:style w:type="character" w:customStyle="1" w:styleId="43">
    <w:name w:val="页眉 Char"/>
    <w:basedOn w:val="31"/>
    <w:link w:val="19"/>
    <w:autoRedefine/>
    <w:semiHidden/>
    <w:qFormat/>
    <w:uiPriority w:val="99"/>
    <w:rPr>
      <w:kern w:val="2"/>
      <w:sz w:val="18"/>
      <w:szCs w:val="18"/>
    </w:rPr>
  </w:style>
  <w:style w:type="character" w:customStyle="1" w:styleId="44">
    <w:name w:val="页脚 Char"/>
    <w:basedOn w:val="31"/>
    <w:link w:val="18"/>
    <w:autoRedefine/>
    <w:qFormat/>
    <w:uiPriority w:val="99"/>
    <w:rPr>
      <w:kern w:val="2"/>
      <w:sz w:val="18"/>
      <w:szCs w:val="18"/>
    </w:rPr>
  </w:style>
  <w:style w:type="paragraph" w:customStyle="1" w:styleId="45">
    <w:name w:val="无间隔1"/>
    <w:basedOn w:val="1"/>
    <w:autoRedefine/>
    <w:qFormat/>
    <w:uiPriority w:val="1"/>
    <w:pPr>
      <w:spacing w:line="400" w:lineRule="exact"/>
    </w:pPr>
  </w:style>
  <w:style w:type="paragraph" w:customStyle="1" w:styleId="46">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styleId="48">
    <w:name w:val="List Paragraph"/>
    <w:basedOn w:val="1"/>
    <w:autoRedefine/>
    <w:qFormat/>
    <w:uiPriority w:val="0"/>
    <w:pPr>
      <w:ind w:firstLine="420" w:firstLineChars="200"/>
    </w:pPr>
    <w:rPr>
      <w:sz w:val="21"/>
      <w:szCs w:val="24"/>
    </w:rPr>
  </w:style>
  <w:style w:type="paragraph" w:customStyle="1" w:styleId="49">
    <w:name w:val="Default"/>
    <w:next w:val="5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Char Char10 Char Char Char Char"/>
    <w:basedOn w:val="1"/>
    <w:next w:val="51"/>
    <w:autoRedefine/>
    <w:qFormat/>
    <w:uiPriority w:val="0"/>
    <w:rPr>
      <w:rFonts w:ascii="Calibri" w:hAnsi="Calibri"/>
      <w:kern w:val="0"/>
    </w:rPr>
  </w:style>
  <w:style w:type="paragraph" w:customStyle="1" w:styleId="51">
    <w:name w:val="xl87"/>
    <w:basedOn w:val="1"/>
    <w:next w:val="52"/>
    <w:autoRedefine/>
    <w:qFormat/>
    <w:uiPriority w:val="0"/>
    <w:pPr>
      <w:widowControl/>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rPr>
  </w:style>
  <w:style w:type="paragraph" w:customStyle="1" w:styleId="52">
    <w:name w:val="xl72"/>
    <w:basedOn w:val="1"/>
    <w:next w:val="17"/>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rPr>
  </w:style>
  <w:style w:type="paragraph" w:customStyle="1" w:styleId="53">
    <w:name w:val="招标正文"/>
    <w:basedOn w:val="1"/>
    <w:autoRedefine/>
    <w:qFormat/>
    <w:uiPriority w:val="0"/>
    <w:pPr>
      <w:spacing w:line="360" w:lineRule="auto"/>
      <w:ind w:firstLine="480" w:firstLineChars="200"/>
    </w:pPr>
    <w:rPr>
      <w:rFonts w:ascii="宋体" w:hAnsi="宋体"/>
      <w:sz w:val="24"/>
      <w:szCs w:val="24"/>
    </w:rPr>
  </w:style>
  <w:style w:type="paragraph" w:customStyle="1" w:styleId="54">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5">
    <w:name w:val="BodyText1I2"/>
    <w:basedOn w:val="56"/>
    <w:next w:val="57"/>
    <w:autoRedefine/>
    <w:qFormat/>
    <w:uiPriority w:val="0"/>
    <w:pPr>
      <w:ind w:firstLine="420" w:firstLineChars="200"/>
    </w:pPr>
    <w:rPr>
      <w:rFonts w:ascii="Calibri" w:hAnsi="Calibri" w:eastAsia="楷体_GB2312"/>
      <w:kern w:val="44"/>
      <w:sz w:val="44"/>
    </w:rPr>
  </w:style>
  <w:style w:type="paragraph" w:customStyle="1" w:styleId="56">
    <w:name w:val="BodyTextIndent"/>
    <w:basedOn w:val="1"/>
    <w:autoRedefine/>
    <w:qFormat/>
    <w:uiPriority w:val="0"/>
    <w:pPr>
      <w:spacing w:after="120"/>
      <w:ind w:left="420" w:leftChars="200"/>
    </w:pPr>
    <w:rPr>
      <w:rFonts w:ascii="Times New Roman" w:hAnsi="Times New Roman"/>
      <w:kern w:val="0"/>
      <w:sz w:val="20"/>
    </w:rPr>
  </w:style>
  <w:style w:type="paragraph" w:customStyle="1" w:styleId="57">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58">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61">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63">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64">
    <w:name w:val="style4"/>
    <w:basedOn w:val="65"/>
    <w:next w:val="66"/>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65">
    <w:name w:val="正文_0"/>
    <w:next w:val="2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2"/>
    <w:next w:val="1"/>
    <w:autoRedefine/>
    <w:qFormat/>
    <w:uiPriority w:val="0"/>
    <w:pPr>
      <w:widowControl w:val="0"/>
      <w:jc w:val="both"/>
    </w:pPr>
    <w:rPr>
      <w:rFonts w:ascii="Times New Roman" w:hAnsi="Times New Roman" w:eastAsia="宋体" w:cs="Times New Roman"/>
      <w:sz w:val="21"/>
      <w:lang w:val="en-US" w:eastAsia="zh-CN" w:bidi="ar-SA"/>
    </w:rPr>
  </w:style>
  <w:style w:type="character" w:customStyle="1" w:styleId="67">
    <w:name w:val="hover18"/>
    <w:basedOn w:val="31"/>
    <w:autoRedefine/>
    <w:qFormat/>
    <w:uiPriority w:val="0"/>
  </w:style>
  <w:style w:type="character" w:customStyle="1" w:styleId="68">
    <w:name w:val="标题 1 Char"/>
    <w:link w:val="2"/>
    <w:autoRedefine/>
    <w:qFormat/>
    <w:uiPriority w:val="0"/>
    <w:rPr>
      <w:b/>
      <w:bCs/>
      <w:color w:val="000000"/>
      <w:sz w:val="32"/>
    </w:rPr>
  </w:style>
  <w:style w:type="paragraph" w:customStyle="1" w:styleId="69">
    <w:name w:val="正文文本首行缩进1"/>
    <w:basedOn w:val="11"/>
    <w:next w:val="1"/>
    <w:qFormat/>
    <w:uiPriority w:val="0"/>
    <w:pPr>
      <w:autoSpaceDE w:val="0"/>
      <w:autoSpaceDN w:val="0"/>
      <w:adjustRightInd w:val="0"/>
      <w:spacing w:line="360" w:lineRule="auto"/>
      <w:ind w:firstLine="420" w:firstLineChars="200"/>
    </w:pPr>
    <w:rPr>
      <w:rFonts w:ascii="Arial" w:hAnsi="Arial"/>
      <w:kern w:val="0"/>
      <w:sz w:val="20"/>
    </w:rPr>
  </w:style>
  <w:style w:type="paragraph" w:customStyle="1" w:styleId="70">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14" textRotate="1"/>
    <customShpInfo spid="_x0000_s4115" textRotate="1"/>
    <customShpInfo spid="_x0000_s411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Template>
  <Pages>59</Pages>
  <Words>25602</Words>
  <Characters>27322</Characters>
  <Lines>24</Lines>
  <Paragraphs>6</Paragraphs>
  <TotalTime>4</TotalTime>
  <ScaleCrop>false</ScaleCrop>
  <LinksUpToDate>false</LinksUpToDate>
  <CharactersWithSpaces>29761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I'm  燕子</cp:lastModifiedBy>
  <cp:lastPrinted>2026-05-26T04:05:00Z</cp:lastPrinted>
  <dcterms:modified xsi:type="dcterms:W3CDTF">2026-06-11T11:47:46Z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FEB62D7E49CE4A099FF50E97E8E081FE</vt:lpwstr>
  </property>
  <property fmtid="{D5CDD505-2E9C-101B-9397-08002B2CF9AE}" pid="4" name="KSOTemplateDocerSaveRecord">
    <vt:lpwstr>eyJoZGlkIjoiNDAzN2YwY2Y1MWJmZDJhZjI3YThkY2Q2NDc0ZjZhNjAiLCJ1c2VySWQiOiI0ODc4MzA2MjMifQ==</vt:lpwstr>
  </property>
</Properties>
</file>