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2E262B">
      <w:pPr>
        <w:jc w:val="center"/>
        <w:rPr>
          <w:rFonts w:hint="eastAsia" w:ascii="宋体" w:hAnsi="宋体" w:cs="宋体"/>
          <w:b/>
          <w:sz w:val="48"/>
          <w:szCs w:val="48"/>
          <w:lang w:eastAsia="zh-CN"/>
        </w:rPr>
      </w:pPr>
    </w:p>
    <w:p w14:paraId="3257CEC3">
      <w:pPr>
        <w:pStyle w:val="31"/>
        <w:ind w:left="2891" w:hanging="2891" w:hangingChars="600"/>
        <w:rPr>
          <w:rFonts w:hint="eastAsia" w:ascii="宋体" w:hAnsi="宋体" w:eastAsia="宋体" w:cs="宋体"/>
          <w:b/>
          <w:bCs/>
          <w:sz w:val="40"/>
          <w:szCs w:val="40"/>
        </w:rPr>
      </w:pPr>
      <w:r>
        <w:rPr>
          <w:rFonts w:hint="eastAsia" w:ascii="宋体" w:hAnsi="宋体" w:cs="宋体"/>
          <w:b/>
          <w:sz w:val="48"/>
          <w:szCs w:val="48"/>
          <w:lang w:eastAsia="zh-CN"/>
        </w:rPr>
        <w:t xml:space="preserve">信阳市中医院层流净化、医用气体设施及物流系统维保服务项目 </w:t>
      </w:r>
    </w:p>
    <w:p w14:paraId="1342482E">
      <w:pPr>
        <w:rPr>
          <w:rFonts w:hint="eastAsia" w:ascii="宋体" w:hAnsi="宋体" w:eastAsia="宋体" w:cs="宋体"/>
        </w:rPr>
      </w:pPr>
    </w:p>
    <w:p w14:paraId="7FD094AF">
      <w:pPr>
        <w:jc w:val="center"/>
        <w:rPr>
          <w:rFonts w:hint="eastAsia" w:ascii="宋体" w:hAnsi="宋体" w:eastAsia="宋体" w:cs="宋体"/>
          <w:b/>
          <w:sz w:val="72"/>
          <w:szCs w:val="144"/>
        </w:rPr>
      </w:pPr>
      <w:r>
        <w:rPr>
          <w:rFonts w:hint="eastAsia" w:ascii="宋体" w:hAnsi="宋体" w:eastAsia="宋体" w:cs="宋体"/>
          <w:b/>
          <w:sz w:val="72"/>
          <w:szCs w:val="144"/>
        </w:rPr>
        <w:t xml:space="preserve"> 竞争性磋商文件</w:t>
      </w:r>
    </w:p>
    <w:p w14:paraId="06D02C6A">
      <w:pPr>
        <w:pStyle w:val="32"/>
        <w:ind w:left="0" w:leftChars="0" w:firstLine="0" w:firstLineChars="0"/>
        <w:jc w:val="center"/>
        <w:rPr>
          <w:rFonts w:hint="eastAsia" w:ascii="宋体" w:hAnsi="宋体" w:eastAsia="宋体" w:cs="宋体"/>
        </w:rPr>
      </w:pPr>
    </w:p>
    <w:p w14:paraId="4A5B1570">
      <w:pPr>
        <w:pStyle w:val="32"/>
        <w:ind w:left="0" w:leftChars="0" w:firstLine="0" w:firstLineChars="0"/>
        <w:jc w:val="center"/>
        <w:rPr>
          <w:rFonts w:hint="default" w:ascii="宋体" w:hAnsi="宋体" w:eastAsia="宋体" w:cs="宋体"/>
          <w:b/>
          <w:bCs/>
          <w:sz w:val="28"/>
          <w:szCs w:val="21"/>
          <w:lang w:val="en-US" w:eastAsia="zh-CN"/>
        </w:rPr>
      </w:pPr>
      <w:r>
        <w:rPr>
          <w:rFonts w:hint="eastAsia" w:ascii="宋体" w:hAnsi="宋体" w:eastAsia="宋体" w:cs="宋体"/>
          <w:b/>
          <w:bCs/>
          <w:sz w:val="28"/>
          <w:szCs w:val="21"/>
        </w:rPr>
        <w:t>采购编号：信财磋商采购-202</w:t>
      </w:r>
      <w:r>
        <w:rPr>
          <w:rFonts w:hint="eastAsia" w:ascii="宋体" w:hAnsi="宋体" w:cs="宋体"/>
          <w:b/>
          <w:bCs/>
          <w:sz w:val="28"/>
          <w:szCs w:val="21"/>
          <w:lang w:val="en-US" w:eastAsia="zh-CN"/>
        </w:rPr>
        <w:t>6</w:t>
      </w:r>
      <w:r>
        <w:rPr>
          <w:rFonts w:hint="eastAsia" w:ascii="宋体" w:hAnsi="宋体" w:eastAsia="宋体" w:cs="宋体"/>
          <w:b/>
          <w:bCs/>
          <w:sz w:val="28"/>
          <w:szCs w:val="21"/>
        </w:rPr>
        <w:t>-</w:t>
      </w:r>
      <w:r>
        <w:rPr>
          <w:rFonts w:hint="eastAsia" w:ascii="宋体" w:hAnsi="宋体" w:cs="宋体"/>
          <w:b/>
          <w:bCs/>
          <w:sz w:val="28"/>
          <w:szCs w:val="21"/>
          <w:lang w:val="en-US" w:eastAsia="zh-CN"/>
        </w:rPr>
        <w:t>30</w:t>
      </w:r>
    </w:p>
    <w:p w14:paraId="07D3D731">
      <w:pPr>
        <w:pStyle w:val="31"/>
        <w:ind w:firstLine="210"/>
        <w:rPr>
          <w:rFonts w:hint="eastAsia" w:ascii="宋体" w:hAnsi="宋体" w:eastAsia="宋体" w:cs="宋体"/>
        </w:rPr>
      </w:pPr>
    </w:p>
    <w:p w14:paraId="14138233">
      <w:pPr>
        <w:pStyle w:val="31"/>
        <w:ind w:firstLine="321"/>
        <w:jc w:val="center"/>
        <w:rPr>
          <w:rFonts w:hint="eastAsia" w:ascii="宋体" w:hAnsi="宋体" w:eastAsia="宋体" w:cs="宋体"/>
        </w:rPr>
      </w:pPr>
    </w:p>
    <w:p w14:paraId="06B9F924">
      <w:pPr>
        <w:pStyle w:val="31"/>
        <w:ind w:firstLine="321"/>
        <w:jc w:val="center"/>
        <w:rPr>
          <w:rFonts w:hint="eastAsia" w:ascii="宋体" w:hAnsi="宋体" w:eastAsia="宋体" w:cs="宋体"/>
        </w:rPr>
      </w:pPr>
    </w:p>
    <w:p w14:paraId="5177CFD7">
      <w:pPr>
        <w:pStyle w:val="31"/>
        <w:ind w:firstLine="321"/>
        <w:jc w:val="center"/>
        <w:rPr>
          <w:rFonts w:hint="eastAsia" w:ascii="宋体" w:hAnsi="宋体" w:eastAsia="宋体" w:cs="宋体"/>
        </w:rPr>
      </w:pPr>
    </w:p>
    <w:p w14:paraId="0703C32E">
      <w:pPr>
        <w:pStyle w:val="31"/>
        <w:ind w:firstLine="321"/>
        <w:jc w:val="center"/>
        <w:rPr>
          <w:rFonts w:hint="eastAsia" w:ascii="宋体" w:hAnsi="宋体" w:eastAsia="宋体" w:cs="宋体"/>
        </w:rPr>
      </w:pPr>
    </w:p>
    <w:p w14:paraId="3EC0008F">
      <w:pPr>
        <w:pStyle w:val="31"/>
        <w:ind w:firstLine="321"/>
        <w:jc w:val="center"/>
        <w:rPr>
          <w:rFonts w:hint="eastAsia" w:ascii="宋体" w:hAnsi="宋体" w:eastAsia="宋体" w:cs="宋体"/>
        </w:rPr>
      </w:pPr>
    </w:p>
    <w:p w14:paraId="4B43EB8E">
      <w:pPr>
        <w:pStyle w:val="31"/>
        <w:ind w:firstLine="321"/>
        <w:jc w:val="center"/>
        <w:rPr>
          <w:rFonts w:hint="eastAsia" w:ascii="宋体" w:hAnsi="宋体" w:eastAsia="宋体" w:cs="宋体"/>
        </w:rPr>
      </w:pPr>
    </w:p>
    <w:p w14:paraId="357D4847">
      <w:pPr>
        <w:pStyle w:val="31"/>
        <w:ind w:firstLine="321"/>
        <w:jc w:val="center"/>
        <w:rPr>
          <w:rFonts w:hint="eastAsia" w:ascii="宋体" w:hAnsi="宋体" w:eastAsia="宋体" w:cs="宋体"/>
        </w:rPr>
      </w:pPr>
    </w:p>
    <w:p w14:paraId="66992A0F">
      <w:pPr>
        <w:pStyle w:val="31"/>
        <w:ind w:firstLine="321"/>
        <w:jc w:val="center"/>
        <w:rPr>
          <w:rFonts w:hint="eastAsia" w:ascii="宋体" w:hAnsi="宋体" w:eastAsia="宋体" w:cs="宋体"/>
        </w:rPr>
      </w:pPr>
    </w:p>
    <w:p w14:paraId="58297881">
      <w:pPr>
        <w:pStyle w:val="31"/>
        <w:ind w:firstLine="321"/>
        <w:jc w:val="center"/>
        <w:rPr>
          <w:rFonts w:hint="eastAsia" w:ascii="宋体" w:hAnsi="宋体" w:eastAsia="宋体" w:cs="宋体"/>
        </w:rPr>
      </w:pPr>
    </w:p>
    <w:p w14:paraId="0E9B0606">
      <w:pPr>
        <w:pStyle w:val="31"/>
        <w:ind w:firstLine="321"/>
        <w:jc w:val="center"/>
        <w:rPr>
          <w:rFonts w:hint="eastAsia" w:ascii="宋体" w:hAnsi="宋体" w:eastAsia="宋体" w:cs="宋体"/>
        </w:rPr>
      </w:pPr>
    </w:p>
    <w:p w14:paraId="1D2B99FA">
      <w:pPr>
        <w:pStyle w:val="31"/>
        <w:ind w:firstLine="210"/>
        <w:rPr>
          <w:rFonts w:hint="eastAsia" w:ascii="宋体" w:hAnsi="宋体" w:eastAsia="宋体" w:cs="宋体"/>
        </w:rPr>
      </w:pPr>
    </w:p>
    <w:p w14:paraId="7034FE77">
      <w:pPr>
        <w:jc w:val="center"/>
        <w:rPr>
          <w:rFonts w:hint="eastAsia" w:ascii="宋体" w:hAnsi="宋体" w:eastAsia="宋体" w:cs="宋体"/>
          <w:kern w:val="0"/>
          <w:sz w:val="24"/>
        </w:rPr>
      </w:pPr>
    </w:p>
    <w:p w14:paraId="5D40E8B8">
      <w:pPr>
        <w:pStyle w:val="31"/>
        <w:ind w:firstLine="240"/>
        <w:rPr>
          <w:rFonts w:hint="eastAsia" w:ascii="宋体" w:hAnsi="宋体" w:eastAsia="宋体" w:cs="宋体"/>
          <w:kern w:val="0"/>
          <w:sz w:val="24"/>
        </w:rPr>
      </w:pPr>
    </w:p>
    <w:p w14:paraId="7FE71AEF">
      <w:pPr>
        <w:pStyle w:val="31"/>
        <w:ind w:firstLine="240"/>
        <w:rPr>
          <w:rFonts w:hint="eastAsia" w:ascii="宋体" w:hAnsi="宋体" w:eastAsia="宋体" w:cs="宋体"/>
          <w:kern w:val="0"/>
          <w:sz w:val="24"/>
        </w:rPr>
      </w:pPr>
    </w:p>
    <w:p w14:paraId="43067CBB">
      <w:pPr>
        <w:pStyle w:val="31"/>
        <w:ind w:firstLine="240"/>
        <w:rPr>
          <w:rFonts w:hint="eastAsia" w:ascii="宋体" w:hAnsi="宋体" w:eastAsia="宋体" w:cs="宋体"/>
          <w:kern w:val="0"/>
          <w:sz w:val="24"/>
        </w:rPr>
      </w:pPr>
    </w:p>
    <w:p w14:paraId="2C081883">
      <w:pPr>
        <w:pStyle w:val="12"/>
        <w:rPr>
          <w:rFonts w:hint="eastAsia" w:ascii="宋体" w:hAnsi="宋体" w:eastAsia="宋体" w:cs="宋体"/>
        </w:rPr>
      </w:pPr>
    </w:p>
    <w:p w14:paraId="11C9CACB">
      <w:pPr>
        <w:pStyle w:val="31"/>
        <w:ind w:firstLine="0" w:firstLineChars="0"/>
        <w:rPr>
          <w:rFonts w:hint="eastAsia" w:ascii="宋体" w:hAnsi="宋体" w:eastAsia="宋体" w:cs="宋体"/>
          <w:sz w:val="24"/>
          <w:u w:val="single"/>
        </w:rPr>
      </w:pPr>
    </w:p>
    <w:p w14:paraId="3DB5A1CB">
      <w:pPr>
        <w:tabs>
          <w:tab w:val="left" w:pos="7560"/>
        </w:tabs>
        <w:autoSpaceDE w:val="0"/>
        <w:autoSpaceDN w:val="0"/>
        <w:adjustRightInd w:val="0"/>
        <w:spacing w:line="480" w:lineRule="auto"/>
        <w:jc w:val="left"/>
        <w:rPr>
          <w:rFonts w:hint="eastAsia" w:ascii="宋体" w:hAnsi="宋体" w:eastAsia="宋体" w:cs="宋体"/>
          <w:b/>
          <w:color w:val="000000"/>
          <w:spacing w:val="-20"/>
          <w:sz w:val="32"/>
          <w:szCs w:val="32"/>
          <w:lang w:val="zh-CN"/>
        </w:rPr>
      </w:pPr>
    </w:p>
    <w:p w14:paraId="02140E27">
      <w:pPr>
        <w:pStyle w:val="31"/>
        <w:rPr>
          <w:rFonts w:hint="eastAsia" w:ascii="宋体" w:hAnsi="宋体" w:eastAsia="宋体" w:cs="宋体"/>
          <w:lang w:val="zh-CN"/>
        </w:rPr>
      </w:pPr>
    </w:p>
    <w:p w14:paraId="6F73FA10">
      <w:pPr>
        <w:tabs>
          <w:tab w:val="left" w:pos="7560"/>
        </w:tabs>
        <w:autoSpaceDE w:val="0"/>
        <w:autoSpaceDN w:val="0"/>
        <w:adjustRightInd w:val="0"/>
        <w:spacing w:line="480" w:lineRule="auto"/>
        <w:ind w:firstLine="2250" w:firstLineChars="800"/>
        <w:jc w:val="both"/>
        <w:rPr>
          <w:rFonts w:hint="default" w:ascii="宋体" w:hAnsi="宋体" w:eastAsia="宋体" w:cs="宋体"/>
          <w:b/>
          <w:color w:val="000000"/>
          <w:spacing w:val="-20"/>
          <w:sz w:val="32"/>
          <w:szCs w:val="32"/>
          <w:lang w:val="en-US" w:eastAsia="zh-CN"/>
        </w:rPr>
      </w:pPr>
      <w:r>
        <w:rPr>
          <w:rFonts w:hint="eastAsia" w:ascii="宋体" w:hAnsi="宋体" w:eastAsia="宋体" w:cs="宋体"/>
          <w:b/>
          <w:color w:val="000000"/>
          <w:spacing w:val="-20"/>
          <w:sz w:val="32"/>
          <w:szCs w:val="32"/>
          <w:lang w:val="zh-CN"/>
        </w:rPr>
        <w:t>采</w:t>
      </w:r>
      <w:r>
        <w:rPr>
          <w:rFonts w:hint="eastAsia" w:ascii="宋体" w:hAnsi="宋体" w:eastAsia="宋体" w:cs="宋体"/>
          <w:b/>
          <w:color w:val="000000"/>
          <w:spacing w:val="-20"/>
          <w:sz w:val="32"/>
          <w:szCs w:val="32"/>
        </w:rPr>
        <w:t xml:space="preserve">    </w:t>
      </w:r>
      <w:r>
        <w:rPr>
          <w:rFonts w:hint="eastAsia" w:ascii="宋体" w:hAnsi="宋体" w:eastAsia="宋体" w:cs="宋体"/>
          <w:b/>
          <w:color w:val="000000"/>
          <w:spacing w:val="-20"/>
          <w:sz w:val="32"/>
          <w:szCs w:val="32"/>
          <w:lang w:val="zh-CN"/>
        </w:rPr>
        <w:t>购</w:t>
      </w:r>
      <w:r>
        <w:rPr>
          <w:rFonts w:hint="eastAsia" w:ascii="宋体" w:hAnsi="宋体" w:eastAsia="宋体" w:cs="宋体"/>
          <w:b/>
          <w:color w:val="000000"/>
          <w:spacing w:val="-20"/>
          <w:sz w:val="32"/>
          <w:szCs w:val="32"/>
        </w:rPr>
        <w:t xml:space="preserve">   </w:t>
      </w:r>
      <w:r>
        <w:rPr>
          <w:rFonts w:hint="eastAsia" w:ascii="宋体" w:hAnsi="宋体" w:eastAsia="宋体" w:cs="宋体"/>
          <w:b/>
          <w:color w:val="000000"/>
          <w:spacing w:val="-20"/>
          <w:sz w:val="32"/>
          <w:szCs w:val="32"/>
          <w:lang w:val="zh-CN"/>
        </w:rPr>
        <w:t>人：</w:t>
      </w:r>
      <w:r>
        <w:rPr>
          <w:rFonts w:hint="eastAsia" w:ascii="宋体" w:hAnsi="宋体" w:cs="宋体"/>
          <w:b/>
          <w:color w:val="000000"/>
          <w:spacing w:val="-20"/>
          <w:sz w:val="32"/>
          <w:szCs w:val="32"/>
          <w:lang w:val="en-US" w:eastAsia="zh-CN"/>
        </w:rPr>
        <w:t>信阳市中医院</w:t>
      </w:r>
    </w:p>
    <w:p w14:paraId="01493D9E">
      <w:pPr>
        <w:tabs>
          <w:tab w:val="left" w:pos="7560"/>
        </w:tabs>
        <w:autoSpaceDE w:val="0"/>
        <w:autoSpaceDN w:val="0"/>
        <w:adjustRightInd w:val="0"/>
        <w:spacing w:line="480" w:lineRule="auto"/>
        <w:ind w:firstLine="2250" w:firstLineChars="800"/>
        <w:jc w:val="left"/>
        <w:rPr>
          <w:rFonts w:hint="eastAsia" w:ascii="宋体" w:hAnsi="宋体" w:cs="宋体"/>
          <w:b/>
          <w:color w:val="000000"/>
          <w:spacing w:val="-20"/>
          <w:sz w:val="32"/>
          <w:szCs w:val="32"/>
          <w:lang w:val="en-US" w:eastAsia="zh-CN"/>
        </w:rPr>
      </w:pPr>
      <w:r>
        <w:rPr>
          <w:rFonts w:hint="eastAsia" w:ascii="宋体" w:hAnsi="宋体" w:eastAsia="宋体" w:cs="宋体"/>
          <w:b/>
          <w:color w:val="000000"/>
          <w:spacing w:val="-20"/>
          <w:sz w:val="32"/>
          <w:szCs w:val="32"/>
          <w:lang w:val="zh-CN"/>
        </w:rPr>
        <w:t>采购代理机构：</w:t>
      </w:r>
      <w:r>
        <w:rPr>
          <w:rFonts w:hint="eastAsia" w:ascii="宋体" w:hAnsi="宋体" w:cs="宋体"/>
          <w:b/>
          <w:color w:val="000000"/>
          <w:spacing w:val="-20"/>
          <w:sz w:val="32"/>
          <w:szCs w:val="32"/>
          <w:lang w:val="en-US" w:eastAsia="zh-CN"/>
        </w:rPr>
        <w:t>远瓴（北京）国际工程咨询有限公司</w:t>
      </w:r>
    </w:p>
    <w:p w14:paraId="046CB786">
      <w:pPr>
        <w:tabs>
          <w:tab w:val="left" w:pos="7560"/>
        </w:tabs>
        <w:autoSpaceDE w:val="0"/>
        <w:autoSpaceDN w:val="0"/>
        <w:adjustRightInd w:val="0"/>
        <w:spacing w:line="480" w:lineRule="auto"/>
        <w:ind w:firstLine="2250" w:firstLineChars="800"/>
        <w:jc w:val="left"/>
        <w:rPr>
          <w:rFonts w:hint="eastAsia" w:ascii="宋体" w:hAnsi="宋体" w:eastAsia="宋体" w:cs="宋体"/>
          <w:color w:val="000000"/>
        </w:rPr>
      </w:pPr>
      <w:r>
        <w:rPr>
          <w:rFonts w:hint="eastAsia" w:ascii="宋体" w:hAnsi="宋体" w:eastAsia="宋体" w:cs="宋体"/>
          <w:b/>
          <w:color w:val="000000"/>
          <w:spacing w:val="-20"/>
          <w:sz w:val="32"/>
          <w:szCs w:val="32"/>
        </w:rPr>
        <w:t xml:space="preserve">日         期：二 〇 二 </w:t>
      </w:r>
      <w:r>
        <w:rPr>
          <w:rFonts w:hint="eastAsia" w:ascii="宋体" w:hAnsi="宋体" w:cs="宋体"/>
          <w:b/>
          <w:color w:val="000000"/>
          <w:spacing w:val="-20"/>
          <w:sz w:val="32"/>
          <w:szCs w:val="32"/>
          <w:lang w:val="en-US" w:eastAsia="zh-CN"/>
        </w:rPr>
        <w:t xml:space="preserve">六 </w:t>
      </w:r>
      <w:r>
        <w:rPr>
          <w:rFonts w:hint="eastAsia" w:ascii="宋体" w:hAnsi="宋体" w:eastAsia="宋体" w:cs="宋体"/>
          <w:b/>
          <w:color w:val="000000"/>
          <w:spacing w:val="-20"/>
          <w:sz w:val="32"/>
          <w:szCs w:val="32"/>
        </w:rPr>
        <w:t xml:space="preserve">年 </w:t>
      </w:r>
      <w:r>
        <w:rPr>
          <w:rFonts w:hint="eastAsia" w:ascii="宋体" w:hAnsi="宋体" w:cs="宋体"/>
          <w:b/>
          <w:color w:val="000000"/>
          <w:spacing w:val="-20"/>
          <w:sz w:val="32"/>
          <w:szCs w:val="32"/>
          <w:lang w:val="en-US" w:eastAsia="zh-CN"/>
        </w:rPr>
        <w:t xml:space="preserve">七 </w:t>
      </w:r>
      <w:r>
        <w:rPr>
          <w:rFonts w:hint="eastAsia" w:ascii="宋体" w:hAnsi="宋体" w:eastAsia="宋体" w:cs="宋体"/>
          <w:b/>
          <w:color w:val="000000"/>
          <w:spacing w:val="-20"/>
          <w:sz w:val="32"/>
          <w:szCs w:val="32"/>
        </w:rPr>
        <w:t>月</w:t>
      </w:r>
    </w:p>
    <w:p w14:paraId="4D49009D">
      <w:pPr>
        <w:jc w:val="center"/>
        <w:rPr>
          <w:rFonts w:hint="eastAsia" w:ascii="宋体" w:hAnsi="宋体" w:eastAsia="宋体" w:cs="宋体"/>
          <w:b/>
          <w:sz w:val="32"/>
          <w:szCs w:val="32"/>
        </w:rPr>
        <w:sectPr>
          <w:headerReference r:id="rId3" w:type="first"/>
          <w:pgSz w:w="11906" w:h="16838"/>
          <w:pgMar w:top="1247" w:right="1247" w:bottom="1247" w:left="1247" w:header="680" w:footer="964" w:gutter="0"/>
          <w:pgBorders>
            <w:top w:val="none" w:sz="0" w:space="0"/>
            <w:left w:val="none" w:sz="0" w:space="0"/>
            <w:bottom w:val="none" w:sz="0" w:space="0"/>
            <w:right w:val="none" w:sz="0" w:space="0"/>
          </w:pgBorders>
          <w:cols w:space="720" w:num="1"/>
          <w:docGrid w:linePitch="312" w:charSpace="0"/>
        </w:sectPr>
      </w:pPr>
    </w:p>
    <w:p w14:paraId="6DB713C0">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outlineLvl w:val="9"/>
        <w:rPr>
          <w:rFonts w:hint="eastAsia" w:ascii="宋体" w:hAnsi="宋体" w:eastAsia="宋体" w:cs="宋体"/>
          <w:sz w:val="32"/>
          <w:szCs w:val="32"/>
        </w:rPr>
      </w:pPr>
      <w:bookmarkStart w:id="0" w:name="_Toc14488"/>
      <w:bookmarkStart w:id="1" w:name="_Toc22859"/>
      <w:r>
        <w:rPr>
          <w:rFonts w:hint="eastAsia" w:ascii="宋体" w:hAnsi="宋体" w:eastAsia="宋体" w:cs="宋体"/>
          <w:b/>
          <w:bCs/>
          <w:sz w:val="36"/>
          <w:szCs w:val="36"/>
        </w:rPr>
        <w:t>致政府采购供应商和代理机构的一封信</w:t>
      </w:r>
    </w:p>
    <w:p w14:paraId="3537F223">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尊敬的政府采购供应商、代理机构：</w:t>
      </w:r>
    </w:p>
    <w:p w14:paraId="2FA6A704">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您好！非常感谢您一直以来对信阳市政府采购活动的关心和支持！</w:t>
      </w:r>
    </w:p>
    <w:p w14:paraId="23104EB5">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近年来，信阳市财政局坚持以“服务企业、服务市场、服务基层”为出发点，以规范制度为抓手，以便民利企为目标，通过完善政府采购制度，优化政府采购流程，压缩办理时限，持续提升政府采购电子化水平，推进政府采购工作高效、规范、阳光运行。</w:t>
      </w:r>
    </w:p>
    <w:p w14:paraId="5D8F32F3">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为持续优化信阳市政府采购领域营商环境，信阳市财政局成立优化营商环境工作领导小组，定期召开优化营商环境调度会、推进会，党组成员带头解决重大问题，带头完成节点任务，带头落实惠企政策，以工作机制创新推进工作延伸。一是持续为各交易主体提供优质服务。在法律职权内明确采购人主体责任，减少审批事项；汇编印发政府采购相关政策规定和政府采购操作指南及流程图，方便各交易主体参与我市政府采购活动；启用“不见面开标评标”系统，实现招标采购的全流程电子化。二是落实惠企政策。免收招标文件费用、投标保证金、履约保证金，货物类、服务类政府采购项目免收质量保证金，工程类政府采购项目收取不超过合同金额3%的质量保证金，且不得以现金形式收取，建议采购人根据项目实际情况免收质量保证金；给予中小微企业价格扣除优惠，货物服务采购项目给予小微企业报价的15%-20%（工程项目为5%）扣除优惠，用扣除后的价格参与评审；鼓励采购人提高首付款或预付款比例，首付款或预付款支付比例原则上不低于合同金额的50%，对于中小微企业，首付款或预付款支付比例可提高至不低于合同金额的70%；加大政府采购合同融资政策宣传，推进政府采购合同融资，为中标企业开辟融资“绿色通道”。三是设置政府采购项目服务专员，提供全流程服务。信阳市财政局在每个部门预算科室设立一名政府采购项目服务专员，全流程为中标供应商服务。在政府采购项目中，遇到任何问题均可以和服务专员联系，如采购人不按照规定签订合同、不按照合同约定对项目履约验收、不按照合同约定付款等问题。</w:t>
      </w:r>
    </w:p>
    <w:p w14:paraId="0CF094EF">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尽管做了一些工作，但我们深知，离贵公司的期望还有差距。恳请贵公司对我们的工作提出宝贵意见，并持续给予关注、支持和监督！</w:t>
      </w:r>
    </w:p>
    <w:p w14:paraId="7C74ABE6">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凡涉及信阳市政府采购领域营商环境的任何问题，贵公司均可通过专线电话0376-6699123、电子邮箱czyszb228@163.com，与信阳市财政局优化营商环境办公室随时沟通交流，我们将竭诚为各位供应商服务，全力解决贵公司遇到的困难。</w:t>
      </w:r>
    </w:p>
    <w:p w14:paraId="3D4D3B4D">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再次感谢贵公司对信阳市政府采购工作的关心和支持！</w:t>
      </w:r>
    </w:p>
    <w:p w14:paraId="7B35FFAA">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jc w:val="both"/>
        <w:textAlignment w:val="auto"/>
        <w:outlineLvl w:val="9"/>
        <w:rPr>
          <w:rFonts w:hint="eastAsia" w:ascii="宋体" w:hAnsi="宋体" w:eastAsia="宋体" w:cs="宋体"/>
          <w:sz w:val="21"/>
          <w:szCs w:val="21"/>
        </w:rPr>
      </w:pPr>
    </w:p>
    <w:p w14:paraId="193AAE56">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jc w:val="both"/>
        <w:textAlignment w:val="auto"/>
        <w:outlineLvl w:val="9"/>
        <w:rPr>
          <w:rFonts w:hint="eastAsia" w:ascii="宋体" w:hAnsi="宋体" w:eastAsia="宋体" w:cs="宋体"/>
          <w:sz w:val="21"/>
          <w:szCs w:val="21"/>
        </w:rPr>
      </w:pPr>
    </w:p>
    <w:p w14:paraId="5F17D110">
      <w:pPr>
        <w:pStyle w:val="10"/>
        <w:jc w:val="right"/>
        <w:rPr>
          <w:rFonts w:hint="eastAsia" w:ascii="宋体" w:hAnsi="宋体" w:eastAsia="宋体" w:cs="宋体"/>
          <w:sz w:val="21"/>
          <w:szCs w:val="21"/>
        </w:rPr>
      </w:pPr>
      <w:r>
        <w:rPr>
          <w:rFonts w:hint="eastAsia" w:ascii="宋体" w:hAnsi="宋体" w:eastAsia="宋体" w:cs="宋体"/>
          <w:sz w:val="21"/>
          <w:szCs w:val="21"/>
        </w:rPr>
        <w:t>信阳市财政局</w:t>
      </w:r>
    </w:p>
    <w:p w14:paraId="695C100A">
      <w:pPr>
        <w:pStyle w:val="10"/>
        <w:jc w:val="center"/>
        <w:rPr>
          <w:rFonts w:hint="eastAsia" w:ascii="宋体" w:hAnsi="宋体" w:eastAsia="宋体" w:cs="宋体"/>
          <w:sz w:val="21"/>
          <w:szCs w:val="21"/>
        </w:rPr>
      </w:pPr>
    </w:p>
    <w:p w14:paraId="29BE7435">
      <w:pPr>
        <w:pStyle w:val="10"/>
        <w:jc w:val="center"/>
        <w:rPr>
          <w:rFonts w:hint="eastAsia" w:ascii="宋体" w:hAnsi="宋体" w:eastAsia="宋体" w:cs="宋体"/>
          <w:sz w:val="21"/>
          <w:szCs w:val="21"/>
        </w:rPr>
      </w:pPr>
    </w:p>
    <w:p w14:paraId="56B7D067">
      <w:pPr>
        <w:pStyle w:val="10"/>
        <w:jc w:val="center"/>
        <w:rPr>
          <w:rFonts w:hint="eastAsia" w:ascii="宋体" w:hAnsi="宋体" w:eastAsia="宋体" w:cs="宋体"/>
          <w:sz w:val="21"/>
          <w:szCs w:val="21"/>
        </w:rPr>
      </w:pPr>
    </w:p>
    <w:p w14:paraId="6C820D34">
      <w:pPr>
        <w:pStyle w:val="10"/>
        <w:jc w:val="center"/>
        <w:rPr>
          <w:rFonts w:hint="eastAsia" w:ascii="宋体" w:hAnsi="宋体" w:eastAsia="宋体" w:cs="宋体"/>
          <w:sz w:val="21"/>
          <w:szCs w:val="21"/>
        </w:rPr>
      </w:pPr>
    </w:p>
    <w:p w14:paraId="5272BF9D">
      <w:pPr>
        <w:pStyle w:val="10"/>
        <w:jc w:val="center"/>
        <w:rPr>
          <w:rFonts w:hint="eastAsia" w:ascii="宋体" w:hAnsi="宋体" w:eastAsia="宋体" w:cs="宋体"/>
          <w:sz w:val="21"/>
          <w:szCs w:val="21"/>
        </w:rPr>
      </w:pPr>
    </w:p>
    <w:p w14:paraId="10E107B3">
      <w:pPr>
        <w:pStyle w:val="10"/>
        <w:jc w:val="center"/>
        <w:rPr>
          <w:rFonts w:hint="eastAsia" w:ascii="宋体" w:hAnsi="宋体" w:eastAsia="宋体" w:cs="宋体"/>
          <w:sz w:val="21"/>
          <w:szCs w:val="21"/>
        </w:rPr>
      </w:pPr>
    </w:p>
    <w:p w14:paraId="7A9CC1C5">
      <w:pPr>
        <w:pStyle w:val="10"/>
        <w:jc w:val="center"/>
        <w:rPr>
          <w:rFonts w:hint="eastAsia" w:ascii="宋体" w:hAnsi="宋体" w:eastAsia="宋体" w:cs="宋体"/>
          <w:b/>
          <w:color w:val="000000"/>
          <w:sz w:val="32"/>
        </w:rPr>
      </w:pPr>
      <w:r>
        <w:rPr>
          <w:rFonts w:hint="eastAsia" w:ascii="宋体" w:hAnsi="宋体" w:eastAsia="宋体" w:cs="宋体"/>
          <w:b/>
          <w:color w:val="auto"/>
          <w:sz w:val="32"/>
        </w:rPr>
        <w:t>目     录</w:t>
      </w:r>
    </w:p>
    <w:p w14:paraId="50B60F2B">
      <w:pPr>
        <w:pStyle w:val="81"/>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Cs/>
          <w:sz w:val="24"/>
          <w:szCs w:val="24"/>
          <w:lang w:val="en-US" w:eastAsia="zh-CN"/>
        </w:rPr>
      </w:pPr>
      <w:r>
        <w:rPr>
          <w:rFonts w:hint="eastAsia" w:ascii="宋体" w:hAnsi="宋体" w:eastAsia="宋体" w:cs="宋体"/>
          <w:sz w:val="24"/>
          <w:szCs w:val="24"/>
          <w:lang w:val="en-US" w:eastAsia="zh-CN"/>
        </w:rPr>
        <w:t>第</w:t>
      </w:r>
      <w:r>
        <w:rPr>
          <w:rFonts w:hint="eastAsia" w:ascii="宋体" w:hAnsi="宋体" w:eastAsia="宋体" w:cs="宋体"/>
          <w:sz w:val="24"/>
          <w:szCs w:val="24"/>
        </w:rPr>
        <w:t xml:space="preserve">一章 </w:t>
      </w:r>
      <w:r>
        <w:rPr>
          <w:rFonts w:hint="eastAsia" w:ascii="宋体" w:hAnsi="宋体" w:eastAsia="宋体" w:cs="宋体"/>
          <w:sz w:val="24"/>
          <w:szCs w:val="24"/>
          <w:lang w:eastAsia="zh-CN"/>
        </w:rPr>
        <w:t>竞争性</w:t>
      </w:r>
      <w:r>
        <w:rPr>
          <w:rFonts w:hint="eastAsia" w:ascii="宋体" w:hAnsi="宋体" w:eastAsia="宋体" w:cs="宋体"/>
          <w:bCs/>
          <w:sz w:val="24"/>
          <w:szCs w:val="24"/>
        </w:rPr>
        <w:t>磋商公告</w:t>
      </w:r>
      <w:r>
        <w:rPr>
          <w:rFonts w:hint="eastAsia" w:ascii="宋体" w:hAnsi="宋体" w:eastAsia="宋体" w:cs="宋体"/>
          <w:bCs/>
          <w:sz w:val="24"/>
          <w:szCs w:val="24"/>
          <w:lang w:val="en-US" w:eastAsia="zh-CN"/>
        </w:rPr>
        <w:t>........................................................1</w:t>
      </w:r>
    </w:p>
    <w:p w14:paraId="71A54A09">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lang w:val="en-US"/>
        </w:rPr>
      </w:pPr>
      <w:r>
        <w:rPr>
          <w:rFonts w:hint="eastAsia" w:ascii="宋体" w:hAnsi="宋体" w:eastAsia="宋体" w:cs="宋体"/>
          <w:bCs/>
          <w:sz w:val="24"/>
          <w:szCs w:val="24"/>
        </w:rPr>
        <w:t>第二章 供应商须知</w:t>
      </w:r>
      <w:r>
        <w:rPr>
          <w:rFonts w:hint="eastAsia" w:ascii="宋体" w:hAnsi="宋体" w:eastAsia="宋体" w:cs="宋体"/>
          <w:bCs/>
          <w:sz w:val="24"/>
          <w:szCs w:val="24"/>
          <w:lang w:val="en-US" w:eastAsia="zh-CN"/>
        </w:rPr>
        <w:t>............................................................</w:t>
      </w:r>
      <w:r>
        <w:rPr>
          <w:rFonts w:hint="eastAsia" w:ascii="宋体" w:hAnsi="宋体" w:cs="宋体"/>
          <w:bCs/>
          <w:sz w:val="24"/>
          <w:szCs w:val="24"/>
          <w:lang w:val="en-US" w:eastAsia="zh-CN"/>
        </w:rPr>
        <w:t>6</w:t>
      </w:r>
    </w:p>
    <w:p w14:paraId="4875EAE3">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宋体" w:hAnsi="宋体" w:eastAsia="宋体" w:cs="宋体"/>
          <w:kern w:val="44"/>
          <w:sz w:val="24"/>
          <w:szCs w:val="24"/>
          <w:lang w:val="en-US"/>
        </w:rPr>
      </w:pPr>
      <w:r>
        <w:rPr>
          <w:rFonts w:hint="eastAsia" w:ascii="宋体" w:hAnsi="宋体" w:eastAsia="宋体" w:cs="宋体"/>
          <w:kern w:val="44"/>
          <w:sz w:val="24"/>
          <w:szCs w:val="24"/>
        </w:rPr>
        <w:t>第三章 评审办法（综合评分法）</w:t>
      </w:r>
      <w:r>
        <w:rPr>
          <w:rFonts w:hint="eastAsia" w:ascii="宋体" w:hAnsi="宋体" w:eastAsia="宋体" w:cs="宋体"/>
          <w:bCs/>
          <w:sz w:val="24"/>
          <w:szCs w:val="24"/>
          <w:lang w:val="en-US" w:eastAsia="zh-CN"/>
        </w:rPr>
        <w:t>...............................................2</w:t>
      </w:r>
      <w:r>
        <w:rPr>
          <w:rFonts w:hint="eastAsia" w:ascii="宋体" w:hAnsi="宋体" w:cs="宋体"/>
          <w:bCs/>
          <w:sz w:val="24"/>
          <w:szCs w:val="24"/>
          <w:lang w:val="en-US" w:eastAsia="zh-CN"/>
        </w:rPr>
        <w:t>3</w:t>
      </w:r>
    </w:p>
    <w:p w14:paraId="6DBCCB91">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宋体" w:hAnsi="宋体" w:eastAsia="宋体" w:cs="宋体"/>
          <w:bCs/>
          <w:sz w:val="24"/>
          <w:szCs w:val="24"/>
          <w:lang w:val="en-US"/>
        </w:rPr>
      </w:pPr>
      <w:r>
        <w:rPr>
          <w:rFonts w:hint="eastAsia" w:ascii="宋体" w:hAnsi="宋体" w:eastAsia="宋体" w:cs="宋体"/>
          <w:bCs/>
          <w:sz w:val="24"/>
          <w:szCs w:val="24"/>
        </w:rPr>
        <w:t>第四章 合同主要条款</w:t>
      </w:r>
      <w:r>
        <w:rPr>
          <w:rFonts w:hint="eastAsia" w:ascii="宋体" w:hAnsi="宋体" w:eastAsia="宋体" w:cs="宋体"/>
          <w:bCs/>
          <w:sz w:val="24"/>
          <w:szCs w:val="24"/>
          <w:lang w:eastAsia="zh-CN"/>
        </w:rPr>
        <w:t>及格式</w:t>
      </w:r>
      <w:r>
        <w:rPr>
          <w:rFonts w:hint="eastAsia" w:ascii="宋体" w:hAnsi="宋体" w:eastAsia="宋体" w:cs="宋体"/>
          <w:bCs/>
          <w:sz w:val="24"/>
          <w:szCs w:val="24"/>
          <w:lang w:val="en-US" w:eastAsia="zh-CN"/>
        </w:rPr>
        <w:t>...................................................</w:t>
      </w:r>
      <w:r>
        <w:rPr>
          <w:rFonts w:hint="eastAsia" w:ascii="宋体" w:hAnsi="宋体" w:cs="宋体"/>
          <w:bCs/>
          <w:sz w:val="24"/>
          <w:szCs w:val="24"/>
          <w:lang w:val="en-US" w:eastAsia="zh-CN"/>
        </w:rPr>
        <w:t>30</w:t>
      </w:r>
    </w:p>
    <w:p w14:paraId="2C2C2FBB">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宋体" w:hAnsi="宋体" w:eastAsia="宋体" w:cs="宋体"/>
          <w:bCs/>
          <w:sz w:val="24"/>
          <w:szCs w:val="24"/>
          <w:lang w:val="en-US"/>
        </w:rPr>
      </w:pPr>
      <w:r>
        <w:rPr>
          <w:rFonts w:hint="eastAsia" w:ascii="宋体" w:hAnsi="宋体" w:eastAsia="宋体" w:cs="宋体"/>
          <w:bCs/>
          <w:sz w:val="24"/>
          <w:szCs w:val="24"/>
        </w:rPr>
        <w:t xml:space="preserve">第五章 </w:t>
      </w:r>
      <w:r>
        <w:rPr>
          <w:rFonts w:hint="eastAsia" w:ascii="宋体" w:hAnsi="宋体" w:eastAsia="宋体" w:cs="宋体"/>
          <w:bCs/>
          <w:sz w:val="24"/>
          <w:szCs w:val="24"/>
          <w:lang w:eastAsia="zh-CN"/>
        </w:rPr>
        <w:t>采购</w:t>
      </w:r>
      <w:r>
        <w:rPr>
          <w:rFonts w:hint="eastAsia" w:ascii="宋体" w:hAnsi="宋体" w:eastAsia="宋体" w:cs="宋体"/>
          <w:bCs/>
          <w:sz w:val="24"/>
          <w:szCs w:val="24"/>
          <w:lang w:val="en-US" w:eastAsia="zh-CN"/>
        </w:rPr>
        <w:t>服务内容及要求...................................................</w:t>
      </w:r>
      <w:r>
        <w:rPr>
          <w:rFonts w:hint="eastAsia" w:ascii="宋体" w:hAnsi="宋体" w:cs="宋体"/>
          <w:bCs/>
          <w:sz w:val="24"/>
          <w:szCs w:val="24"/>
          <w:lang w:val="en-US" w:eastAsia="zh-CN"/>
        </w:rPr>
        <w:t>33</w:t>
      </w:r>
    </w:p>
    <w:p w14:paraId="0EFCCC8A">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宋体" w:hAnsi="宋体" w:eastAsia="宋体" w:cs="宋体"/>
          <w:bCs/>
          <w:sz w:val="24"/>
          <w:szCs w:val="24"/>
          <w:lang w:val="en-US" w:eastAsia="zh-CN"/>
        </w:rPr>
      </w:pPr>
      <w:r>
        <w:rPr>
          <w:rFonts w:hint="eastAsia" w:ascii="宋体" w:hAnsi="宋体" w:eastAsia="宋体" w:cs="宋体"/>
          <w:bCs/>
          <w:sz w:val="24"/>
          <w:szCs w:val="24"/>
        </w:rPr>
        <w:t xml:space="preserve">第六章 </w:t>
      </w:r>
      <w:r>
        <w:rPr>
          <w:rFonts w:hint="eastAsia" w:ascii="宋体" w:hAnsi="宋体" w:eastAsia="宋体" w:cs="宋体"/>
          <w:bCs/>
          <w:sz w:val="24"/>
          <w:szCs w:val="24"/>
          <w:lang w:eastAsia="zh-CN"/>
        </w:rPr>
        <w:t>竞争性磋商响应文件格式</w:t>
      </w:r>
      <w:r>
        <w:rPr>
          <w:rFonts w:hint="eastAsia" w:ascii="宋体" w:hAnsi="宋体" w:eastAsia="宋体" w:cs="宋体"/>
          <w:bCs/>
          <w:sz w:val="24"/>
          <w:szCs w:val="24"/>
          <w:lang w:val="en-US" w:eastAsia="zh-CN"/>
        </w:rPr>
        <w:t>...............................................</w:t>
      </w:r>
      <w:r>
        <w:rPr>
          <w:rFonts w:hint="eastAsia" w:ascii="宋体" w:hAnsi="宋体" w:cs="宋体"/>
          <w:bCs/>
          <w:sz w:val="24"/>
          <w:szCs w:val="24"/>
          <w:lang w:val="en-US" w:eastAsia="zh-CN"/>
        </w:rPr>
        <w:t>34</w:t>
      </w:r>
    </w:p>
    <w:p w14:paraId="3D858FFD">
      <w:pPr>
        <w:pStyle w:val="81"/>
        <w:keepNext w:val="0"/>
        <w:keepLines w:val="0"/>
        <w:pageBreakBefore w:val="0"/>
        <w:kinsoku/>
        <w:wordWrap/>
        <w:overflowPunct/>
        <w:topLinePunct w:val="0"/>
        <w:autoSpaceDE/>
        <w:autoSpaceDN/>
        <w:bidi w:val="0"/>
        <w:spacing w:line="410" w:lineRule="exact"/>
        <w:jc w:val="center"/>
        <w:textAlignment w:val="auto"/>
        <w:rPr>
          <w:rFonts w:hint="eastAsia" w:ascii="宋体" w:hAnsi="宋体" w:eastAsia="宋体" w:cs="宋体"/>
          <w:b/>
          <w:bCs/>
          <w:spacing w:val="14"/>
          <w:sz w:val="28"/>
          <w:szCs w:val="28"/>
        </w:rPr>
      </w:pPr>
    </w:p>
    <w:p w14:paraId="531E2F6F">
      <w:pPr>
        <w:pStyle w:val="81"/>
        <w:keepNext w:val="0"/>
        <w:keepLines w:val="0"/>
        <w:pageBreakBefore w:val="0"/>
        <w:kinsoku/>
        <w:wordWrap/>
        <w:overflowPunct/>
        <w:topLinePunct w:val="0"/>
        <w:autoSpaceDE/>
        <w:autoSpaceDN/>
        <w:bidi w:val="0"/>
        <w:spacing w:line="410" w:lineRule="exact"/>
        <w:jc w:val="center"/>
        <w:textAlignment w:val="auto"/>
        <w:rPr>
          <w:rFonts w:hint="eastAsia" w:ascii="宋体" w:hAnsi="宋体" w:eastAsia="宋体" w:cs="宋体"/>
          <w:b/>
          <w:bCs/>
          <w:spacing w:val="14"/>
          <w:sz w:val="28"/>
          <w:szCs w:val="28"/>
        </w:rPr>
      </w:pPr>
    </w:p>
    <w:p w14:paraId="40FB6FB2">
      <w:pPr>
        <w:pStyle w:val="81"/>
        <w:keepNext w:val="0"/>
        <w:keepLines w:val="0"/>
        <w:pageBreakBefore w:val="0"/>
        <w:kinsoku/>
        <w:wordWrap/>
        <w:overflowPunct/>
        <w:topLinePunct w:val="0"/>
        <w:autoSpaceDE/>
        <w:autoSpaceDN/>
        <w:bidi w:val="0"/>
        <w:spacing w:line="410" w:lineRule="exact"/>
        <w:jc w:val="center"/>
        <w:textAlignment w:val="auto"/>
        <w:rPr>
          <w:rFonts w:hint="eastAsia" w:ascii="宋体" w:hAnsi="宋体" w:eastAsia="宋体" w:cs="宋体"/>
          <w:b/>
          <w:bCs/>
          <w:spacing w:val="14"/>
          <w:sz w:val="28"/>
          <w:szCs w:val="28"/>
        </w:rPr>
      </w:pPr>
    </w:p>
    <w:p w14:paraId="01048003">
      <w:pPr>
        <w:pStyle w:val="81"/>
        <w:keepNext w:val="0"/>
        <w:keepLines w:val="0"/>
        <w:pageBreakBefore w:val="0"/>
        <w:kinsoku/>
        <w:wordWrap/>
        <w:overflowPunct/>
        <w:topLinePunct w:val="0"/>
        <w:autoSpaceDE/>
        <w:autoSpaceDN/>
        <w:bidi w:val="0"/>
        <w:spacing w:line="410" w:lineRule="exact"/>
        <w:jc w:val="center"/>
        <w:textAlignment w:val="auto"/>
        <w:rPr>
          <w:rFonts w:hint="eastAsia" w:ascii="宋体" w:hAnsi="宋体" w:eastAsia="宋体" w:cs="宋体"/>
          <w:b/>
          <w:bCs/>
          <w:spacing w:val="14"/>
          <w:sz w:val="28"/>
          <w:szCs w:val="28"/>
        </w:rPr>
      </w:pPr>
    </w:p>
    <w:p w14:paraId="7FA6B6F9">
      <w:pPr>
        <w:pStyle w:val="81"/>
        <w:keepNext w:val="0"/>
        <w:keepLines w:val="0"/>
        <w:pageBreakBefore w:val="0"/>
        <w:kinsoku/>
        <w:wordWrap/>
        <w:overflowPunct/>
        <w:topLinePunct w:val="0"/>
        <w:autoSpaceDE/>
        <w:autoSpaceDN/>
        <w:bidi w:val="0"/>
        <w:spacing w:line="410" w:lineRule="exact"/>
        <w:jc w:val="center"/>
        <w:textAlignment w:val="auto"/>
        <w:rPr>
          <w:rFonts w:hint="eastAsia" w:ascii="宋体" w:hAnsi="宋体" w:eastAsia="宋体" w:cs="宋体"/>
          <w:b/>
          <w:bCs/>
          <w:spacing w:val="14"/>
          <w:sz w:val="28"/>
          <w:szCs w:val="28"/>
        </w:rPr>
      </w:pPr>
    </w:p>
    <w:p w14:paraId="73248A42">
      <w:pPr>
        <w:pStyle w:val="81"/>
        <w:keepNext w:val="0"/>
        <w:keepLines w:val="0"/>
        <w:pageBreakBefore w:val="0"/>
        <w:kinsoku/>
        <w:wordWrap/>
        <w:overflowPunct/>
        <w:topLinePunct w:val="0"/>
        <w:autoSpaceDE/>
        <w:autoSpaceDN/>
        <w:bidi w:val="0"/>
        <w:spacing w:line="410" w:lineRule="exact"/>
        <w:jc w:val="center"/>
        <w:textAlignment w:val="auto"/>
        <w:rPr>
          <w:rFonts w:hint="eastAsia" w:ascii="宋体" w:hAnsi="宋体" w:eastAsia="宋体" w:cs="宋体"/>
          <w:b/>
          <w:bCs/>
          <w:spacing w:val="14"/>
          <w:sz w:val="28"/>
          <w:szCs w:val="28"/>
        </w:rPr>
      </w:pPr>
    </w:p>
    <w:p w14:paraId="5C3C2E63">
      <w:pPr>
        <w:rPr>
          <w:rFonts w:hint="eastAsia" w:ascii="宋体" w:hAnsi="宋体" w:eastAsia="宋体" w:cs="宋体"/>
          <w:b/>
          <w:bCs/>
          <w:spacing w:val="14"/>
          <w:sz w:val="28"/>
          <w:szCs w:val="28"/>
        </w:rPr>
      </w:pPr>
    </w:p>
    <w:p w14:paraId="6A83D4C1">
      <w:pPr>
        <w:pStyle w:val="31"/>
        <w:rPr>
          <w:rFonts w:hint="eastAsia" w:ascii="宋体" w:hAnsi="宋体" w:eastAsia="宋体" w:cs="宋体"/>
          <w:b/>
          <w:bCs/>
          <w:spacing w:val="14"/>
          <w:sz w:val="28"/>
          <w:szCs w:val="28"/>
        </w:rPr>
      </w:pPr>
    </w:p>
    <w:p w14:paraId="3697C741">
      <w:pPr>
        <w:rPr>
          <w:rFonts w:hint="eastAsia" w:ascii="宋体" w:hAnsi="宋体" w:eastAsia="宋体" w:cs="宋体"/>
          <w:b/>
          <w:bCs/>
          <w:spacing w:val="14"/>
          <w:sz w:val="28"/>
          <w:szCs w:val="28"/>
        </w:rPr>
      </w:pPr>
    </w:p>
    <w:p w14:paraId="5AE67B61">
      <w:pPr>
        <w:pStyle w:val="31"/>
        <w:rPr>
          <w:rFonts w:hint="eastAsia" w:ascii="宋体" w:hAnsi="宋体" w:eastAsia="宋体" w:cs="宋体"/>
          <w:b/>
          <w:bCs/>
          <w:spacing w:val="14"/>
          <w:sz w:val="28"/>
          <w:szCs w:val="28"/>
        </w:rPr>
      </w:pPr>
    </w:p>
    <w:p w14:paraId="53B88E80">
      <w:pPr>
        <w:rPr>
          <w:rFonts w:hint="eastAsia" w:ascii="宋体" w:hAnsi="宋体" w:eastAsia="宋体" w:cs="宋体"/>
          <w:b/>
          <w:bCs/>
          <w:spacing w:val="14"/>
          <w:sz w:val="28"/>
          <w:szCs w:val="28"/>
        </w:rPr>
      </w:pPr>
    </w:p>
    <w:p w14:paraId="72E7D772">
      <w:pPr>
        <w:pStyle w:val="31"/>
        <w:rPr>
          <w:rFonts w:hint="eastAsia" w:ascii="宋体" w:hAnsi="宋体" w:eastAsia="宋体" w:cs="宋体"/>
          <w:b/>
          <w:bCs/>
          <w:spacing w:val="14"/>
          <w:sz w:val="28"/>
          <w:szCs w:val="28"/>
        </w:rPr>
      </w:pPr>
    </w:p>
    <w:p w14:paraId="75388122">
      <w:pPr>
        <w:rPr>
          <w:rFonts w:hint="eastAsia" w:ascii="宋体" w:hAnsi="宋体" w:eastAsia="宋体" w:cs="宋体"/>
          <w:b/>
          <w:bCs/>
          <w:spacing w:val="14"/>
          <w:sz w:val="28"/>
          <w:szCs w:val="28"/>
        </w:rPr>
      </w:pPr>
    </w:p>
    <w:p w14:paraId="6B2FDA1A">
      <w:pPr>
        <w:pStyle w:val="31"/>
        <w:rPr>
          <w:rFonts w:hint="eastAsia" w:ascii="宋体" w:hAnsi="宋体" w:eastAsia="宋体" w:cs="宋体"/>
          <w:b/>
          <w:bCs/>
          <w:spacing w:val="14"/>
          <w:sz w:val="28"/>
          <w:szCs w:val="28"/>
        </w:rPr>
      </w:pPr>
    </w:p>
    <w:p w14:paraId="3392057B">
      <w:pPr>
        <w:rPr>
          <w:rFonts w:hint="eastAsia" w:ascii="宋体" w:hAnsi="宋体" w:eastAsia="宋体" w:cs="宋体"/>
          <w:b/>
          <w:bCs/>
          <w:spacing w:val="14"/>
          <w:sz w:val="28"/>
          <w:szCs w:val="28"/>
        </w:rPr>
      </w:pPr>
    </w:p>
    <w:p w14:paraId="21B60385">
      <w:pPr>
        <w:pStyle w:val="31"/>
        <w:rPr>
          <w:rFonts w:hint="eastAsia" w:ascii="宋体" w:hAnsi="宋体" w:eastAsia="宋体" w:cs="宋体"/>
          <w:b/>
          <w:bCs/>
          <w:spacing w:val="14"/>
          <w:sz w:val="28"/>
          <w:szCs w:val="28"/>
        </w:rPr>
      </w:pPr>
    </w:p>
    <w:p w14:paraId="28CDFB76">
      <w:pPr>
        <w:rPr>
          <w:rFonts w:hint="eastAsia" w:ascii="宋体" w:hAnsi="宋体" w:eastAsia="宋体" w:cs="宋体"/>
          <w:b/>
          <w:bCs/>
          <w:spacing w:val="14"/>
          <w:sz w:val="28"/>
          <w:szCs w:val="28"/>
        </w:rPr>
      </w:pPr>
    </w:p>
    <w:p w14:paraId="1BED14F9">
      <w:pPr>
        <w:pStyle w:val="31"/>
        <w:rPr>
          <w:rFonts w:hint="eastAsia" w:ascii="宋体" w:hAnsi="宋体" w:eastAsia="宋体" w:cs="宋体"/>
          <w:b/>
          <w:bCs/>
          <w:spacing w:val="14"/>
          <w:sz w:val="28"/>
          <w:szCs w:val="28"/>
        </w:rPr>
      </w:pPr>
    </w:p>
    <w:p w14:paraId="78BF428F">
      <w:pPr>
        <w:rPr>
          <w:rFonts w:hint="eastAsia" w:ascii="宋体" w:hAnsi="宋体" w:eastAsia="宋体" w:cs="宋体"/>
          <w:b/>
          <w:bCs/>
          <w:spacing w:val="14"/>
          <w:sz w:val="28"/>
          <w:szCs w:val="28"/>
        </w:rPr>
      </w:pPr>
    </w:p>
    <w:p w14:paraId="2DCF254C">
      <w:pPr>
        <w:pStyle w:val="31"/>
        <w:rPr>
          <w:rFonts w:hint="eastAsia" w:ascii="宋体" w:hAnsi="宋体" w:eastAsia="宋体" w:cs="宋体"/>
          <w:b/>
          <w:bCs/>
          <w:spacing w:val="14"/>
          <w:sz w:val="28"/>
          <w:szCs w:val="28"/>
        </w:rPr>
      </w:pPr>
    </w:p>
    <w:p w14:paraId="38C87D09">
      <w:pPr>
        <w:rPr>
          <w:rFonts w:hint="eastAsia" w:ascii="宋体" w:hAnsi="宋体" w:eastAsia="宋体" w:cs="宋体"/>
          <w:b/>
          <w:bCs/>
          <w:spacing w:val="14"/>
          <w:sz w:val="28"/>
          <w:szCs w:val="28"/>
        </w:rPr>
      </w:pPr>
    </w:p>
    <w:p w14:paraId="3DCB215C">
      <w:pPr>
        <w:pStyle w:val="31"/>
        <w:rPr>
          <w:rFonts w:hint="eastAsia" w:ascii="宋体" w:hAnsi="宋体" w:eastAsia="宋体" w:cs="宋体"/>
          <w:b/>
          <w:bCs/>
          <w:spacing w:val="14"/>
          <w:sz w:val="28"/>
          <w:szCs w:val="28"/>
        </w:rPr>
      </w:pPr>
    </w:p>
    <w:p w14:paraId="7FC1C651">
      <w:pPr>
        <w:rPr>
          <w:rFonts w:hint="eastAsia" w:ascii="宋体" w:hAnsi="宋体" w:eastAsia="宋体" w:cs="宋体"/>
          <w:b/>
          <w:bCs/>
          <w:spacing w:val="14"/>
          <w:sz w:val="28"/>
          <w:szCs w:val="28"/>
        </w:rPr>
      </w:pPr>
    </w:p>
    <w:p w14:paraId="3EF925D6">
      <w:pPr>
        <w:pStyle w:val="31"/>
        <w:rPr>
          <w:rFonts w:hint="eastAsia" w:ascii="宋体" w:hAnsi="宋体" w:eastAsia="宋体" w:cs="宋体"/>
          <w:b/>
          <w:bCs/>
          <w:spacing w:val="14"/>
          <w:sz w:val="28"/>
          <w:szCs w:val="28"/>
        </w:rPr>
      </w:pPr>
    </w:p>
    <w:p w14:paraId="0BE28692">
      <w:pPr>
        <w:rPr>
          <w:rFonts w:hint="eastAsia"/>
        </w:rPr>
      </w:pPr>
    </w:p>
    <w:p w14:paraId="10CEC385">
      <w:pPr>
        <w:pStyle w:val="81"/>
        <w:keepNext w:val="0"/>
        <w:keepLines w:val="0"/>
        <w:pageBreakBefore w:val="0"/>
        <w:kinsoku/>
        <w:wordWrap/>
        <w:overflowPunct/>
        <w:topLinePunct w:val="0"/>
        <w:autoSpaceDE/>
        <w:autoSpaceDN/>
        <w:bidi w:val="0"/>
        <w:spacing w:line="410" w:lineRule="exact"/>
        <w:jc w:val="center"/>
        <w:textAlignment w:val="auto"/>
        <w:rPr>
          <w:rFonts w:hint="eastAsia" w:ascii="宋体" w:hAnsi="宋体" w:eastAsia="宋体" w:cs="宋体"/>
          <w:b/>
          <w:bCs/>
          <w:spacing w:val="14"/>
          <w:sz w:val="28"/>
          <w:szCs w:val="28"/>
        </w:rPr>
      </w:pPr>
    </w:p>
    <w:p w14:paraId="0D224220">
      <w:pPr>
        <w:pStyle w:val="81"/>
        <w:keepNext w:val="0"/>
        <w:keepLines w:val="0"/>
        <w:pageBreakBefore w:val="0"/>
        <w:kinsoku/>
        <w:wordWrap/>
        <w:overflowPunct/>
        <w:topLinePunct w:val="0"/>
        <w:autoSpaceDE/>
        <w:autoSpaceDN/>
        <w:bidi w:val="0"/>
        <w:spacing w:line="410" w:lineRule="exact"/>
        <w:jc w:val="center"/>
        <w:textAlignment w:val="auto"/>
        <w:rPr>
          <w:rFonts w:hint="eastAsia" w:ascii="宋体" w:hAnsi="宋体" w:eastAsia="宋体" w:cs="宋体"/>
          <w:b/>
          <w:bCs/>
          <w:spacing w:val="14"/>
          <w:sz w:val="28"/>
          <w:szCs w:val="28"/>
        </w:rPr>
      </w:pPr>
    </w:p>
    <w:p w14:paraId="40D14600">
      <w:pPr>
        <w:pStyle w:val="81"/>
        <w:keepNext w:val="0"/>
        <w:keepLines w:val="0"/>
        <w:pageBreakBefore w:val="0"/>
        <w:kinsoku/>
        <w:wordWrap/>
        <w:overflowPunct/>
        <w:topLinePunct w:val="0"/>
        <w:autoSpaceDE/>
        <w:autoSpaceDN/>
        <w:bidi w:val="0"/>
        <w:spacing w:line="410" w:lineRule="exact"/>
        <w:jc w:val="center"/>
        <w:textAlignment w:val="auto"/>
        <w:rPr>
          <w:rFonts w:hint="eastAsia" w:ascii="宋体" w:hAnsi="宋体" w:eastAsia="宋体" w:cs="宋体"/>
          <w:b/>
          <w:bCs/>
          <w:spacing w:val="14"/>
          <w:sz w:val="28"/>
          <w:szCs w:val="28"/>
        </w:rPr>
      </w:pPr>
    </w:p>
    <w:p w14:paraId="1F9D7742">
      <w:pPr>
        <w:pStyle w:val="81"/>
        <w:keepNext w:val="0"/>
        <w:keepLines w:val="0"/>
        <w:pageBreakBefore w:val="0"/>
        <w:kinsoku/>
        <w:wordWrap/>
        <w:overflowPunct/>
        <w:topLinePunct w:val="0"/>
        <w:autoSpaceDE/>
        <w:autoSpaceDN/>
        <w:bidi w:val="0"/>
        <w:spacing w:line="410" w:lineRule="exact"/>
        <w:jc w:val="both"/>
        <w:textAlignment w:val="auto"/>
        <w:rPr>
          <w:rFonts w:hint="eastAsia" w:ascii="宋体" w:hAnsi="宋体" w:eastAsia="宋体" w:cs="宋体"/>
          <w:b/>
          <w:bCs/>
          <w:spacing w:val="14"/>
          <w:sz w:val="28"/>
          <w:szCs w:val="28"/>
        </w:rPr>
      </w:pPr>
    </w:p>
    <w:p w14:paraId="00171575">
      <w:pPr>
        <w:rPr>
          <w:rFonts w:hint="eastAsia" w:ascii="宋体" w:hAnsi="宋体" w:eastAsia="宋体" w:cs="宋体"/>
        </w:rPr>
      </w:pPr>
    </w:p>
    <w:p w14:paraId="395255B1">
      <w:pPr>
        <w:pStyle w:val="2"/>
        <w:keepLines w:val="0"/>
        <w:pageBreakBefore w:val="0"/>
        <w:widowControl w:val="0"/>
        <w:tabs>
          <w:tab w:val="center" w:pos="4252"/>
          <w:tab w:val="left" w:pos="6240"/>
        </w:tabs>
        <w:kinsoku/>
        <w:wordWrap/>
        <w:overflowPunct/>
        <w:topLinePunct w:val="0"/>
        <w:autoSpaceDE/>
        <w:autoSpaceDN/>
        <w:bidi w:val="0"/>
        <w:adjustRightInd w:val="0"/>
        <w:snapToGrid w:val="0"/>
        <w:spacing w:before="0" w:after="0" w:line="420" w:lineRule="exact"/>
        <w:jc w:val="center"/>
        <w:textAlignment w:val="auto"/>
        <w:rPr>
          <w:rFonts w:hint="eastAsia" w:ascii="宋体" w:hAnsi="宋体" w:eastAsia="宋体" w:cs="宋体"/>
          <w:kern w:val="2"/>
          <w:sz w:val="32"/>
          <w:szCs w:val="32"/>
        </w:rPr>
        <w:sectPr>
          <w:headerReference r:id="rId4" w:type="default"/>
          <w:footerReference r:id="rId5" w:type="default"/>
          <w:pgSz w:w="11906" w:h="16838"/>
          <w:pgMar w:top="1247" w:right="1247" w:bottom="1247" w:left="1247" w:header="680" w:footer="964" w:gutter="0"/>
          <w:pgBorders>
            <w:top w:val="none" w:sz="0" w:space="0"/>
            <w:left w:val="none" w:sz="0" w:space="0"/>
            <w:bottom w:val="none" w:sz="0" w:space="0"/>
            <w:right w:val="none" w:sz="0" w:space="0"/>
          </w:pgBorders>
          <w:pgNumType w:fmt="decimal" w:start="1"/>
          <w:cols w:space="720" w:num="1"/>
          <w:docGrid w:linePitch="312" w:charSpace="0"/>
        </w:sectPr>
      </w:pPr>
    </w:p>
    <w:p w14:paraId="21D43A42">
      <w:pPr>
        <w:pStyle w:val="2"/>
        <w:keepLines w:val="0"/>
        <w:pageBreakBefore w:val="0"/>
        <w:widowControl w:val="0"/>
        <w:tabs>
          <w:tab w:val="center" w:pos="4252"/>
          <w:tab w:val="left" w:pos="6240"/>
        </w:tabs>
        <w:kinsoku/>
        <w:wordWrap/>
        <w:overflowPunct/>
        <w:topLinePunct w:val="0"/>
        <w:autoSpaceDE/>
        <w:autoSpaceDN/>
        <w:bidi w:val="0"/>
        <w:adjustRightInd w:val="0"/>
        <w:snapToGrid w:val="0"/>
        <w:spacing w:before="0" w:after="0" w:line="420" w:lineRule="exact"/>
        <w:jc w:val="center"/>
        <w:textAlignment w:val="auto"/>
        <w:rPr>
          <w:rFonts w:hint="eastAsia" w:ascii="宋体" w:hAnsi="宋体" w:eastAsia="宋体" w:cs="宋体"/>
          <w:kern w:val="2"/>
          <w:sz w:val="32"/>
          <w:szCs w:val="32"/>
        </w:rPr>
      </w:pPr>
      <w:r>
        <w:rPr>
          <w:rFonts w:hint="eastAsia" w:ascii="宋体" w:hAnsi="宋体" w:eastAsia="宋体" w:cs="宋体"/>
          <w:kern w:val="2"/>
          <w:sz w:val="32"/>
          <w:szCs w:val="32"/>
        </w:rPr>
        <w:t>第一章 竞争性磋商公告</w:t>
      </w:r>
      <w:bookmarkEnd w:id="0"/>
    </w:p>
    <w:p w14:paraId="5D8704EE">
      <w:pPr>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szCs w:val="32"/>
        </w:rPr>
      </w:pPr>
      <w:r>
        <w:rPr>
          <w:rFonts w:hint="eastAsia" w:ascii="宋体" w:hAnsi="宋体" w:eastAsia="宋体" w:cs="宋体"/>
          <w:b/>
          <w:bCs/>
          <w:sz w:val="24"/>
          <w:szCs w:val="32"/>
        </w:rPr>
        <w:t>项目概况</w:t>
      </w:r>
    </w:p>
    <w:p w14:paraId="2E23774D">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FF0000"/>
          <w:sz w:val="24"/>
          <w:szCs w:val="32"/>
        </w:rPr>
      </w:pPr>
      <w:r>
        <w:rPr>
          <w:rFonts w:hint="eastAsia" w:ascii="宋体" w:hAnsi="宋体" w:cs="宋体"/>
          <w:sz w:val="24"/>
          <w:szCs w:val="32"/>
          <w:u w:val="single"/>
          <w:lang w:eastAsia="zh-CN"/>
        </w:rPr>
        <w:t>信阳市中医院层流净化、医用气体设施及物流系统维保服务项目</w:t>
      </w:r>
      <w:r>
        <w:rPr>
          <w:rFonts w:hint="eastAsia" w:ascii="宋体" w:hAnsi="宋体" w:eastAsia="宋体" w:cs="宋体"/>
          <w:sz w:val="24"/>
          <w:szCs w:val="32"/>
          <w:u w:val="single"/>
          <w:lang w:eastAsia="zh-CN"/>
        </w:rPr>
        <w:t xml:space="preserve"> </w:t>
      </w:r>
      <w:r>
        <w:rPr>
          <w:rFonts w:hint="eastAsia" w:ascii="宋体" w:hAnsi="宋体" w:eastAsia="宋体" w:cs="宋体"/>
          <w:sz w:val="24"/>
          <w:szCs w:val="32"/>
        </w:rPr>
        <w:t>的潜在供应商应</w:t>
      </w:r>
      <w:r>
        <w:rPr>
          <w:rFonts w:hint="eastAsia" w:ascii="宋体" w:hAnsi="宋体" w:eastAsia="宋体" w:cs="宋体"/>
          <w:sz w:val="24"/>
          <w:szCs w:val="32"/>
          <w:u w:val="single"/>
          <w:lang w:eastAsia="zh-CN"/>
        </w:rPr>
        <w:t>登录“全国公共资源交易平台（河南省·信阳市）（https://ggzyjy.xinyang.gov.cn/）”网站，凭办理的企业身份认证锁（CA数字证书）登录会员系统</w:t>
      </w:r>
      <w:r>
        <w:rPr>
          <w:rFonts w:hint="eastAsia" w:ascii="宋体" w:hAnsi="宋体" w:eastAsia="宋体" w:cs="宋体"/>
          <w:sz w:val="24"/>
          <w:szCs w:val="32"/>
        </w:rPr>
        <w:t>获取</w:t>
      </w:r>
      <w:r>
        <w:rPr>
          <w:rFonts w:hint="eastAsia" w:ascii="宋体" w:hAnsi="宋体" w:eastAsia="宋体" w:cs="宋体"/>
          <w:sz w:val="24"/>
          <w:szCs w:val="32"/>
          <w:lang w:eastAsia="zh-CN"/>
        </w:rPr>
        <w:t>竞</w:t>
      </w:r>
      <w:r>
        <w:rPr>
          <w:rFonts w:hint="eastAsia" w:ascii="宋体" w:hAnsi="宋体" w:eastAsia="宋体" w:cs="宋体"/>
          <w:color w:val="auto"/>
          <w:sz w:val="24"/>
          <w:szCs w:val="32"/>
          <w:lang w:eastAsia="zh-CN"/>
        </w:rPr>
        <w:t>争性磋商文件</w:t>
      </w:r>
      <w:r>
        <w:rPr>
          <w:rFonts w:hint="eastAsia" w:ascii="宋体" w:hAnsi="宋体" w:eastAsia="宋体" w:cs="宋体"/>
          <w:color w:val="auto"/>
          <w:sz w:val="24"/>
          <w:szCs w:val="32"/>
        </w:rPr>
        <w:t>，并于</w:t>
      </w:r>
      <w:r>
        <w:rPr>
          <w:rFonts w:hint="eastAsia" w:ascii="宋体" w:hAnsi="宋体" w:eastAsia="宋体" w:cs="宋体"/>
          <w:color w:val="auto"/>
          <w:sz w:val="24"/>
          <w:szCs w:val="32"/>
          <w:u w:val="single"/>
        </w:rPr>
        <w:t>202</w:t>
      </w:r>
      <w:r>
        <w:rPr>
          <w:rFonts w:hint="eastAsia" w:ascii="宋体" w:hAnsi="宋体" w:cs="宋体"/>
          <w:color w:val="auto"/>
          <w:sz w:val="24"/>
          <w:szCs w:val="32"/>
          <w:u w:val="single"/>
          <w:lang w:val="en-US" w:eastAsia="zh-CN"/>
        </w:rPr>
        <w:t>6</w:t>
      </w:r>
      <w:r>
        <w:rPr>
          <w:rFonts w:hint="eastAsia" w:ascii="宋体" w:hAnsi="宋体" w:eastAsia="宋体" w:cs="宋体"/>
          <w:color w:val="auto"/>
          <w:sz w:val="24"/>
          <w:szCs w:val="32"/>
          <w:u w:val="single"/>
        </w:rPr>
        <w:t>年</w:t>
      </w:r>
      <w:r>
        <w:rPr>
          <w:rFonts w:hint="eastAsia" w:ascii="宋体" w:hAnsi="宋体" w:cs="宋体"/>
          <w:color w:val="auto"/>
          <w:sz w:val="24"/>
          <w:szCs w:val="32"/>
          <w:u w:val="single"/>
          <w:lang w:val="en-US" w:eastAsia="zh-CN"/>
        </w:rPr>
        <w:t xml:space="preserve">7 </w:t>
      </w:r>
      <w:r>
        <w:rPr>
          <w:rFonts w:hint="eastAsia" w:ascii="宋体" w:hAnsi="宋体" w:eastAsia="宋体" w:cs="宋体"/>
          <w:color w:val="auto"/>
          <w:sz w:val="24"/>
          <w:szCs w:val="32"/>
          <w:u w:val="single"/>
        </w:rPr>
        <w:t>月</w:t>
      </w:r>
      <w:r>
        <w:rPr>
          <w:rFonts w:hint="eastAsia" w:ascii="宋体" w:hAnsi="宋体" w:cs="宋体"/>
          <w:color w:val="auto"/>
          <w:sz w:val="24"/>
          <w:szCs w:val="32"/>
          <w:u w:val="single"/>
          <w:lang w:val="en-US" w:eastAsia="zh-CN"/>
        </w:rPr>
        <w:t xml:space="preserve"> 24</w:t>
      </w:r>
      <w:r>
        <w:rPr>
          <w:rFonts w:hint="eastAsia" w:ascii="宋体" w:hAnsi="宋体" w:eastAsia="宋体" w:cs="宋体"/>
          <w:color w:val="auto"/>
          <w:sz w:val="24"/>
          <w:szCs w:val="32"/>
          <w:u w:val="single"/>
        </w:rPr>
        <w:t>日</w:t>
      </w:r>
      <w:r>
        <w:rPr>
          <w:rFonts w:hint="eastAsia" w:ascii="宋体" w:hAnsi="宋体" w:cs="宋体"/>
          <w:color w:val="auto"/>
          <w:sz w:val="24"/>
          <w:szCs w:val="32"/>
          <w:u w:val="single"/>
          <w:lang w:val="en-US" w:eastAsia="zh-CN"/>
        </w:rPr>
        <w:t>9</w:t>
      </w:r>
      <w:r>
        <w:rPr>
          <w:rFonts w:hint="eastAsia" w:ascii="宋体" w:hAnsi="宋体" w:eastAsia="宋体" w:cs="宋体"/>
          <w:color w:val="auto"/>
          <w:sz w:val="24"/>
          <w:szCs w:val="32"/>
          <w:u w:val="single"/>
          <w:lang w:val="en-US" w:eastAsia="zh-CN"/>
        </w:rPr>
        <w:t>时</w:t>
      </w:r>
      <w:r>
        <w:rPr>
          <w:rFonts w:hint="eastAsia" w:ascii="宋体" w:hAnsi="宋体" w:cs="宋体"/>
          <w:color w:val="auto"/>
          <w:sz w:val="24"/>
          <w:szCs w:val="32"/>
          <w:u w:val="single"/>
          <w:lang w:val="en-US" w:eastAsia="zh-CN"/>
        </w:rPr>
        <w:t>0</w:t>
      </w:r>
      <w:r>
        <w:rPr>
          <w:rFonts w:hint="eastAsia" w:ascii="宋体" w:hAnsi="宋体" w:eastAsia="宋体" w:cs="宋体"/>
          <w:color w:val="auto"/>
          <w:sz w:val="24"/>
          <w:szCs w:val="32"/>
          <w:u w:val="single"/>
        </w:rPr>
        <w:t>0分</w:t>
      </w:r>
      <w:r>
        <w:rPr>
          <w:rFonts w:hint="eastAsia" w:ascii="宋体" w:hAnsi="宋体" w:eastAsia="宋体" w:cs="宋体"/>
          <w:color w:val="auto"/>
          <w:sz w:val="24"/>
          <w:szCs w:val="32"/>
        </w:rPr>
        <w:t>（北京时间）前递交响应文件。</w:t>
      </w:r>
    </w:p>
    <w:p w14:paraId="4F0B4FF2">
      <w:pPr>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bCs/>
          <w:sz w:val="24"/>
          <w:szCs w:val="32"/>
        </w:rPr>
      </w:pPr>
      <w:r>
        <w:rPr>
          <w:rFonts w:hint="eastAsia" w:ascii="宋体" w:hAnsi="宋体" w:eastAsia="宋体" w:cs="宋体"/>
          <w:b/>
          <w:bCs/>
          <w:sz w:val="24"/>
          <w:szCs w:val="32"/>
        </w:rPr>
        <w:t>一、项目基本情况</w:t>
      </w:r>
    </w:p>
    <w:p w14:paraId="214AD537">
      <w:pPr>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sz w:val="24"/>
          <w:szCs w:val="32"/>
          <w:highlight w:val="none"/>
          <w:lang w:val="en-US" w:eastAsia="zh-CN"/>
        </w:rPr>
      </w:pPr>
      <w:r>
        <w:rPr>
          <w:rFonts w:hint="eastAsia" w:ascii="宋体" w:hAnsi="宋体" w:eastAsia="宋体" w:cs="宋体"/>
          <w:sz w:val="24"/>
          <w:szCs w:val="32"/>
        </w:rPr>
        <w:t>1</w:t>
      </w:r>
      <w:r>
        <w:rPr>
          <w:rFonts w:hint="eastAsia" w:ascii="宋体" w:hAnsi="宋体" w:eastAsia="宋体" w:cs="宋体"/>
          <w:sz w:val="24"/>
          <w:szCs w:val="32"/>
          <w:lang w:eastAsia="zh-CN"/>
        </w:rPr>
        <w:t>、</w:t>
      </w:r>
      <w:r>
        <w:rPr>
          <w:rFonts w:hint="eastAsia" w:ascii="宋体" w:hAnsi="宋体" w:eastAsia="宋体" w:cs="宋体"/>
          <w:sz w:val="24"/>
          <w:szCs w:val="32"/>
        </w:rPr>
        <w:t>项目编</w:t>
      </w:r>
      <w:r>
        <w:rPr>
          <w:rFonts w:hint="eastAsia" w:ascii="宋体" w:hAnsi="宋体" w:eastAsia="宋体" w:cs="宋体"/>
          <w:sz w:val="24"/>
          <w:szCs w:val="32"/>
          <w:highlight w:val="none"/>
        </w:rPr>
        <w:t>号：</w:t>
      </w:r>
      <w:r>
        <w:rPr>
          <w:rFonts w:hint="eastAsia" w:ascii="宋体" w:hAnsi="宋体" w:cs="宋体"/>
          <w:sz w:val="24"/>
          <w:szCs w:val="32"/>
          <w:highlight w:val="none"/>
          <w:lang w:val="zh-CN"/>
        </w:rPr>
        <w:t>信财磋商采购-202</w:t>
      </w:r>
      <w:r>
        <w:rPr>
          <w:rFonts w:hint="eastAsia" w:ascii="宋体" w:hAnsi="宋体" w:cs="宋体"/>
          <w:sz w:val="24"/>
          <w:szCs w:val="32"/>
          <w:highlight w:val="none"/>
          <w:lang w:val="en-US" w:eastAsia="zh-CN"/>
        </w:rPr>
        <w:t>6</w:t>
      </w:r>
      <w:r>
        <w:rPr>
          <w:rFonts w:hint="eastAsia" w:ascii="宋体" w:hAnsi="宋体" w:cs="宋体"/>
          <w:sz w:val="24"/>
          <w:szCs w:val="32"/>
          <w:highlight w:val="none"/>
          <w:lang w:val="zh-CN"/>
        </w:rPr>
        <w:t>-</w:t>
      </w:r>
      <w:r>
        <w:rPr>
          <w:rFonts w:hint="eastAsia" w:ascii="宋体" w:hAnsi="宋体" w:cs="宋体"/>
          <w:sz w:val="24"/>
          <w:szCs w:val="32"/>
          <w:highlight w:val="none"/>
          <w:lang w:val="en-US" w:eastAsia="zh-CN"/>
        </w:rPr>
        <w:t>30</w:t>
      </w:r>
    </w:p>
    <w:p w14:paraId="3F6F3F29">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32"/>
          <w:highlight w:val="none"/>
          <w:lang w:eastAsia="zh-CN"/>
        </w:rPr>
      </w:pPr>
      <w:r>
        <w:rPr>
          <w:rFonts w:hint="eastAsia" w:ascii="宋体" w:hAnsi="宋体" w:eastAsia="宋体" w:cs="宋体"/>
          <w:sz w:val="24"/>
          <w:szCs w:val="32"/>
          <w:highlight w:val="none"/>
        </w:rPr>
        <w:t>2</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rPr>
        <w:t>项目名称：</w:t>
      </w:r>
      <w:r>
        <w:rPr>
          <w:rFonts w:hint="eastAsia" w:ascii="宋体" w:hAnsi="宋体" w:cs="宋体"/>
          <w:sz w:val="24"/>
          <w:szCs w:val="32"/>
          <w:highlight w:val="none"/>
          <w:lang w:eastAsia="zh-CN"/>
        </w:rPr>
        <w:t>信阳市中医院层流净化、医用气体设施及物流系统维保服务项目</w:t>
      </w:r>
    </w:p>
    <w:p w14:paraId="0BFCE879">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3</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rPr>
        <w:t>采购方式：竞争性磋商</w:t>
      </w:r>
    </w:p>
    <w:p w14:paraId="129AC537">
      <w:pPr>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sz w:val="24"/>
          <w:szCs w:val="32"/>
          <w:highlight w:val="none"/>
          <w:lang w:val="en-US" w:eastAsia="zh-CN"/>
        </w:rPr>
      </w:pPr>
      <w:r>
        <w:rPr>
          <w:rFonts w:hint="eastAsia" w:ascii="宋体" w:hAnsi="宋体" w:eastAsia="宋体" w:cs="宋体"/>
          <w:sz w:val="24"/>
          <w:szCs w:val="32"/>
          <w:highlight w:val="none"/>
        </w:rPr>
        <w:t>4</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rPr>
        <w:t>预算金额：</w:t>
      </w:r>
      <w:r>
        <w:rPr>
          <w:rFonts w:hint="eastAsia" w:ascii="宋体" w:hAnsi="宋体" w:cs="宋体"/>
          <w:sz w:val="24"/>
          <w:szCs w:val="32"/>
          <w:highlight w:val="none"/>
          <w:lang w:val="en-US" w:eastAsia="zh-CN"/>
        </w:rPr>
        <w:t>1903578.00</w:t>
      </w:r>
      <w:r>
        <w:rPr>
          <w:rFonts w:hint="eastAsia" w:ascii="宋体" w:hAnsi="宋体" w:eastAsia="宋体" w:cs="宋体"/>
          <w:sz w:val="24"/>
          <w:szCs w:val="32"/>
          <w:highlight w:val="none"/>
        </w:rPr>
        <w:t>元</w:t>
      </w:r>
      <w:r>
        <w:rPr>
          <w:rFonts w:hint="eastAsia" w:ascii="宋体" w:hAnsi="宋体" w:cs="宋体"/>
          <w:sz w:val="24"/>
          <w:szCs w:val="32"/>
          <w:highlight w:val="none"/>
          <w:lang w:val="en-US" w:eastAsia="zh-CN"/>
        </w:rPr>
        <w:t>/年</w:t>
      </w:r>
      <w:r>
        <w:rPr>
          <w:rFonts w:hint="eastAsia" w:ascii="宋体" w:hAnsi="宋体" w:cs="宋体"/>
          <w:sz w:val="24"/>
          <w:szCs w:val="32"/>
          <w:highlight w:val="none"/>
          <w:lang w:eastAsia="zh-CN"/>
        </w:rPr>
        <w:t>（</w:t>
      </w:r>
      <w:r>
        <w:rPr>
          <w:rFonts w:hint="eastAsia" w:ascii="宋体" w:hAnsi="宋体" w:cs="宋体"/>
          <w:sz w:val="24"/>
          <w:szCs w:val="32"/>
          <w:highlight w:val="none"/>
          <w:lang w:val="en-US" w:eastAsia="zh-CN"/>
        </w:rPr>
        <w:t>包含代理服务费）</w:t>
      </w:r>
    </w:p>
    <w:p w14:paraId="1B1D1293">
      <w:pPr>
        <w:keepLines w:val="0"/>
        <w:pageBreakBefore w:val="0"/>
        <w:widowControl w:val="0"/>
        <w:kinsoku/>
        <w:wordWrap/>
        <w:overflowPunct/>
        <w:topLinePunct w:val="0"/>
        <w:autoSpaceDE/>
        <w:autoSpaceDN/>
        <w:bidi w:val="0"/>
        <w:spacing w:line="360" w:lineRule="auto"/>
        <w:ind w:firstLine="720" w:firstLineChars="300"/>
        <w:textAlignment w:val="auto"/>
        <w:rPr>
          <w:rFonts w:hint="eastAsia" w:ascii="宋体" w:hAnsi="宋体" w:eastAsia="宋体" w:cs="宋体"/>
          <w:sz w:val="24"/>
          <w:szCs w:val="32"/>
        </w:rPr>
      </w:pPr>
      <w:r>
        <w:rPr>
          <w:rFonts w:hint="eastAsia" w:ascii="宋体" w:hAnsi="宋体" w:eastAsia="宋体" w:cs="宋体"/>
          <w:sz w:val="24"/>
          <w:szCs w:val="32"/>
        </w:rPr>
        <w:t>最高限价：</w:t>
      </w:r>
      <w:r>
        <w:rPr>
          <w:rFonts w:hint="eastAsia" w:ascii="宋体" w:hAnsi="宋体" w:cs="宋体"/>
          <w:sz w:val="24"/>
          <w:szCs w:val="32"/>
          <w:lang w:val="en-US" w:eastAsia="zh-CN"/>
        </w:rPr>
        <w:t>1903578.00</w:t>
      </w:r>
      <w:r>
        <w:rPr>
          <w:rFonts w:hint="eastAsia" w:ascii="宋体" w:hAnsi="宋体" w:eastAsia="宋体" w:cs="宋体"/>
          <w:sz w:val="24"/>
          <w:szCs w:val="32"/>
        </w:rPr>
        <w:t>元</w:t>
      </w:r>
      <w:r>
        <w:rPr>
          <w:rFonts w:hint="eastAsia" w:ascii="宋体" w:hAnsi="宋体" w:cs="宋体"/>
          <w:sz w:val="24"/>
          <w:szCs w:val="32"/>
          <w:lang w:val="en-US" w:eastAsia="zh-CN"/>
        </w:rPr>
        <w:t>/年</w:t>
      </w:r>
      <w:r>
        <w:rPr>
          <w:rFonts w:hint="eastAsia" w:ascii="宋体" w:hAnsi="宋体" w:cs="宋体"/>
          <w:sz w:val="24"/>
          <w:szCs w:val="32"/>
          <w:highlight w:val="none"/>
          <w:lang w:eastAsia="zh-CN"/>
        </w:rPr>
        <w:t>（</w:t>
      </w:r>
      <w:r>
        <w:rPr>
          <w:rFonts w:hint="eastAsia" w:ascii="宋体" w:hAnsi="宋体" w:cs="宋体"/>
          <w:sz w:val="24"/>
          <w:szCs w:val="32"/>
          <w:highlight w:val="none"/>
          <w:lang w:val="en-US" w:eastAsia="zh-CN"/>
        </w:rPr>
        <w:t>包含代理服务费）</w:t>
      </w:r>
    </w:p>
    <w:tbl>
      <w:tblPr>
        <w:tblStyle w:val="34"/>
        <w:tblW w:w="95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760"/>
        <w:gridCol w:w="3870"/>
        <w:gridCol w:w="1530"/>
        <w:gridCol w:w="1915"/>
      </w:tblGrid>
      <w:tr w14:paraId="7B18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21E9B3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32"/>
                <w:vertAlign w:val="baseline"/>
                <w:lang w:val="en-US" w:eastAsia="zh-CN"/>
              </w:rPr>
            </w:pPr>
            <w:r>
              <w:rPr>
                <w:rFonts w:hint="eastAsia" w:ascii="宋体" w:hAnsi="宋体" w:eastAsia="宋体" w:cs="宋体"/>
                <w:b/>
                <w:bCs/>
                <w:sz w:val="24"/>
                <w:szCs w:val="32"/>
                <w:vertAlign w:val="baseline"/>
                <w:lang w:val="en-US" w:eastAsia="zh-CN"/>
              </w:rPr>
              <w:t>序号</w:t>
            </w:r>
          </w:p>
        </w:tc>
        <w:tc>
          <w:tcPr>
            <w:tcW w:w="1760" w:type="dxa"/>
            <w:noWrap w:val="0"/>
            <w:vAlign w:val="center"/>
          </w:tcPr>
          <w:p w14:paraId="0A71A1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32"/>
                <w:vertAlign w:val="baseline"/>
                <w:lang w:val="en-US" w:eastAsia="zh-CN"/>
              </w:rPr>
            </w:pPr>
            <w:r>
              <w:rPr>
                <w:rFonts w:hint="eastAsia" w:ascii="宋体" w:hAnsi="宋体" w:eastAsia="宋体" w:cs="宋体"/>
                <w:b/>
                <w:bCs/>
                <w:sz w:val="24"/>
                <w:szCs w:val="32"/>
                <w:vertAlign w:val="baseline"/>
                <w:lang w:val="en-US" w:eastAsia="zh-CN"/>
              </w:rPr>
              <w:t>包号</w:t>
            </w:r>
          </w:p>
        </w:tc>
        <w:tc>
          <w:tcPr>
            <w:tcW w:w="3870" w:type="dxa"/>
            <w:noWrap w:val="0"/>
            <w:vAlign w:val="center"/>
          </w:tcPr>
          <w:p w14:paraId="3ED51D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32"/>
                <w:vertAlign w:val="baseline"/>
                <w:lang w:val="en-US" w:eastAsia="zh-CN"/>
              </w:rPr>
            </w:pPr>
            <w:r>
              <w:rPr>
                <w:rFonts w:hint="eastAsia" w:ascii="宋体" w:hAnsi="宋体" w:eastAsia="宋体" w:cs="宋体"/>
                <w:b/>
                <w:bCs/>
                <w:sz w:val="24"/>
                <w:szCs w:val="32"/>
                <w:vertAlign w:val="baseline"/>
                <w:lang w:val="en-US" w:eastAsia="zh-CN"/>
              </w:rPr>
              <w:t>包名称</w:t>
            </w:r>
          </w:p>
        </w:tc>
        <w:tc>
          <w:tcPr>
            <w:tcW w:w="1530" w:type="dxa"/>
            <w:noWrap w:val="0"/>
            <w:vAlign w:val="center"/>
          </w:tcPr>
          <w:p w14:paraId="26EA16B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32"/>
                <w:vertAlign w:val="baseline"/>
                <w:lang w:val="en-US" w:eastAsia="zh-CN"/>
              </w:rPr>
            </w:pPr>
            <w:r>
              <w:rPr>
                <w:rFonts w:hint="eastAsia" w:ascii="宋体" w:hAnsi="宋体" w:eastAsia="宋体" w:cs="宋体"/>
                <w:b/>
                <w:bCs/>
                <w:color w:val="auto"/>
                <w:sz w:val="24"/>
                <w:szCs w:val="32"/>
                <w:vertAlign w:val="baseline"/>
                <w:lang w:val="en-US" w:eastAsia="zh-CN"/>
              </w:rPr>
              <w:t>包预算（元）</w:t>
            </w:r>
          </w:p>
        </w:tc>
        <w:tc>
          <w:tcPr>
            <w:tcW w:w="1915" w:type="dxa"/>
            <w:noWrap w:val="0"/>
            <w:vAlign w:val="center"/>
          </w:tcPr>
          <w:p w14:paraId="7E62BFE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32"/>
                <w:vertAlign w:val="baseline"/>
                <w:lang w:val="en-US" w:eastAsia="zh-CN"/>
              </w:rPr>
            </w:pPr>
            <w:r>
              <w:rPr>
                <w:rFonts w:hint="eastAsia" w:ascii="宋体" w:hAnsi="宋体" w:eastAsia="宋体" w:cs="宋体"/>
                <w:b/>
                <w:bCs/>
                <w:color w:val="auto"/>
                <w:sz w:val="24"/>
                <w:szCs w:val="32"/>
                <w:vertAlign w:val="baseline"/>
                <w:lang w:val="en-US" w:eastAsia="zh-CN"/>
              </w:rPr>
              <w:t>包最高限价（元）</w:t>
            </w:r>
          </w:p>
        </w:tc>
      </w:tr>
      <w:tr w14:paraId="6C53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519" w:type="dxa"/>
            <w:noWrap w:val="0"/>
            <w:vAlign w:val="center"/>
          </w:tcPr>
          <w:p w14:paraId="7C73137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32"/>
                <w:vertAlign w:val="baseline"/>
                <w:lang w:val="en-US" w:eastAsia="zh-CN"/>
              </w:rPr>
            </w:pPr>
            <w:r>
              <w:rPr>
                <w:rFonts w:hint="eastAsia" w:ascii="宋体" w:hAnsi="宋体" w:eastAsia="宋体" w:cs="宋体"/>
                <w:sz w:val="24"/>
                <w:szCs w:val="32"/>
                <w:vertAlign w:val="baseline"/>
                <w:lang w:val="en-US" w:eastAsia="zh-CN"/>
              </w:rPr>
              <w:t>1</w:t>
            </w:r>
          </w:p>
        </w:tc>
        <w:tc>
          <w:tcPr>
            <w:tcW w:w="1760" w:type="dxa"/>
            <w:noWrap w:val="0"/>
            <w:vAlign w:val="center"/>
          </w:tcPr>
          <w:p w14:paraId="109DD86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32"/>
                <w:vertAlign w:val="baseline"/>
                <w:lang w:val="en-US" w:eastAsia="zh-CN"/>
              </w:rPr>
            </w:pPr>
            <w:r>
              <w:rPr>
                <w:rFonts w:hint="eastAsia" w:ascii="宋体" w:hAnsi="宋体" w:cs="宋体"/>
                <w:sz w:val="24"/>
                <w:szCs w:val="32"/>
                <w:vertAlign w:val="baseline"/>
                <w:lang w:val="en-US" w:eastAsia="zh-CN"/>
              </w:rPr>
              <w:t>信财磋商采购-2026-30</w:t>
            </w:r>
          </w:p>
        </w:tc>
        <w:tc>
          <w:tcPr>
            <w:tcW w:w="3870" w:type="dxa"/>
            <w:noWrap w:val="0"/>
            <w:vAlign w:val="center"/>
          </w:tcPr>
          <w:p w14:paraId="5F54DCB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32"/>
                <w:vertAlign w:val="baseline"/>
                <w:lang w:val="en-US" w:eastAsia="zh-CN"/>
              </w:rPr>
            </w:pPr>
            <w:r>
              <w:rPr>
                <w:rFonts w:hint="eastAsia" w:ascii="宋体" w:hAnsi="宋体" w:cs="宋体"/>
                <w:sz w:val="24"/>
                <w:szCs w:val="32"/>
                <w:vertAlign w:val="baseline"/>
                <w:lang w:val="en-US" w:eastAsia="zh-CN"/>
              </w:rPr>
              <w:t>信阳市中医院层流净化、医用气体设施及物流系统维保服务项目</w:t>
            </w:r>
          </w:p>
        </w:tc>
        <w:tc>
          <w:tcPr>
            <w:tcW w:w="1530" w:type="dxa"/>
            <w:noWrap w:val="0"/>
            <w:vAlign w:val="center"/>
          </w:tcPr>
          <w:p w14:paraId="211963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32"/>
                <w:highlight w:val="none"/>
                <w:vertAlign w:val="baseline"/>
                <w:lang w:val="en-US" w:eastAsia="zh-CN"/>
              </w:rPr>
            </w:pPr>
            <w:r>
              <w:rPr>
                <w:rFonts w:hint="eastAsia" w:ascii="宋体" w:hAnsi="宋体" w:cs="宋体"/>
                <w:color w:val="auto"/>
                <w:sz w:val="24"/>
                <w:szCs w:val="32"/>
                <w:highlight w:val="none"/>
                <w:vertAlign w:val="baseline"/>
                <w:lang w:val="en-US" w:eastAsia="zh-CN"/>
              </w:rPr>
              <w:t>1903578.00/年</w:t>
            </w:r>
          </w:p>
        </w:tc>
        <w:tc>
          <w:tcPr>
            <w:tcW w:w="1915" w:type="dxa"/>
            <w:noWrap w:val="0"/>
            <w:vAlign w:val="center"/>
          </w:tcPr>
          <w:p w14:paraId="5D5EF5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32"/>
                <w:highlight w:val="none"/>
                <w:vertAlign w:val="baseline"/>
                <w:lang w:val="en-US" w:eastAsia="zh-CN"/>
              </w:rPr>
            </w:pPr>
            <w:r>
              <w:rPr>
                <w:rFonts w:hint="eastAsia" w:ascii="宋体" w:hAnsi="宋体" w:cs="宋体"/>
                <w:color w:val="auto"/>
                <w:sz w:val="24"/>
                <w:szCs w:val="32"/>
                <w:highlight w:val="none"/>
                <w:vertAlign w:val="baseline"/>
                <w:lang w:val="en-US" w:eastAsia="zh-CN"/>
              </w:rPr>
              <w:t>1903578.00/年</w:t>
            </w:r>
          </w:p>
        </w:tc>
      </w:tr>
    </w:tbl>
    <w:p w14:paraId="794387B2">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32"/>
        </w:rPr>
      </w:pPr>
      <w:r>
        <w:rPr>
          <w:rFonts w:hint="eastAsia" w:ascii="宋体" w:hAnsi="宋体" w:eastAsia="宋体" w:cs="宋体"/>
          <w:color w:val="auto"/>
          <w:sz w:val="24"/>
          <w:szCs w:val="32"/>
        </w:rPr>
        <w:t>5</w:t>
      </w:r>
      <w:r>
        <w:rPr>
          <w:rFonts w:hint="eastAsia" w:ascii="宋体" w:hAnsi="宋体" w:eastAsia="宋体" w:cs="宋体"/>
          <w:color w:val="auto"/>
          <w:sz w:val="24"/>
          <w:szCs w:val="32"/>
          <w:lang w:eastAsia="zh-CN"/>
        </w:rPr>
        <w:t>、</w:t>
      </w:r>
      <w:r>
        <w:rPr>
          <w:rFonts w:hint="eastAsia" w:ascii="宋体" w:hAnsi="宋体" w:eastAsia="宋体" w:cs="宋体"/>
          <w:color w:val="auto"/>
          <w:sz w:val="24"/>
          <w:szCs w:val="32"/>
        </w:rPr>
        <w:t>采购需求：（包括但不限于标的的名称、数量、简要技术需求或服务要求等）</w:t>
      </w:r>
    </w:p>
    <w:p w14:paraId="2EC829BF">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sz w:val="24"/>
          <w:szCs w:val="32"/>
          <w:highlight w:val="none"/>
          <w:lang w:val="en-US" w:eastAsia="zh-CN"/>
        </w:rPr>
      </w:pPr>
      <w:r>
        <w:rPr>
          <w:rFonts w:hint="eastAsia" w:ascii="宋体" w:hAnsi="宋体" w:eastAsia="宋体" w:cs="宋体"/>
          <w:b w:val="0"/>
          <w:bCs w:val="0"/>
          <w:color w:val="auto"/>
          <w:sz w:val="24"/>
          <w:szCs w:val="32"/>
          <w:highlight w:val="none"/>
          <w:lang w:val="en-US" w:eastAsia="zh-CN"/>
        </w:rPr>
        <w:t>5.1.本次采购共分为</w:t>
      </w:r>
      <w:r>
        <w:rPr>
          <w:rFonts w:hint="eastAsia" w:ascii="宋体" w:hAnsi="宋体" w:cs="宋体"/>
          <w:b w:val="0"/>
          <w:bCs w:val="0"/>
          <w:color w:val="auto"/>
          <w:sz w:val="24"/>
          <w:szCs w:val="32"/>
          <w:highlight w:val="none"/>
          <w:lang w:val="en-US" w:eastAsia="zh-CN"/>
        </w:rPr>
        <w:t>1</w:t>
      </w:r>
      <w:r>
        <w:rPr>
          <w:rFonts w:hint="eastAsia" w:ascii="宋体" w:hAnsi="宋体" w:eastAsia="宋体" w:cs="宋体"/>
          <w:b w:val="0"/>
          <w:bCs w:val="0"/>
          <w:color w:val="auto"/>
          <w:sz w:val="24"/>
          <w:szCs w:val="32"/>
          <w:highlight w:val="none"/>
          <w:lang w:val="en-US" w:eastAsia="zh-CN"/>
        </w:rPr>
        <w:t>个包，采购内容：</w:t>
      </w:r>
      <w:r>
        <w:rPr>
          <w:rFonts w:hint="eastAsia" w:ascii="宋体" w:hAnsi="宋体" w:cs="宋体"/>
          <w:b w:val="0"/>
          <w:bCs w:val="0"/>
          <w:color w:val="auto"/>
          <w:sz w:val="24"/>
          <w:szCs w:val="32"/>
          <w:highlight w:val="none"/>
          <w:lang w:val="en-US" w:eastAsia="zh-CN"/>
        </w:rPr>
        <w:t>信阳市中医院层流净化、医用气体设施及物流系统维保服务项目（详见磋商文件第五章采购服务内容及要求）；</w:t>
      </w:r>
    </w:p>
    <w:p w14:paraId="7D03BA04">
      <w:pPr>
        <w:keepNext w:val="0"/>
        <w:keepLines w:val="0"/>
        <w:pageBreakBefore w:val="0"/>
        <w:widowControl w:val="0"/>
        <w:kinsoku/>
        <w:wordWrap/>
        <w:overflowPunct/>
        <w:topLinePunct w:val="0"/>
        <w:autoSpaceDE/>
        <w:autoSpaceDN/>
        <w:bidi w:val="0"/>
        <w:adjustRightInd/>
        <w:snapToGrid/>
        <w:spacing w:line="360" w:lineRule="auto"/>
        <w:ind w:left="239" w:leftChars="114" w:firstLine="240" w:firstLineChars="100"/>
        <w:textAlignment w:val="auto"/>
        <w:rPr>
          <w:rFonts w:hint="eastAsia" w:ascii="宋体" w:hAnsi="宋体" w:eastAsia="宋体" w:cs="宋体"/>
          <w:b w:val="0"/>
          <w:bCs w:val="0"/>
          <w:color w:val="auto"/>
          <w:sz w:val="24"/>
          <w:szCs w:val="32"/>
          <w:highlight w:val="none"/>
          <w:lang w:val="en-US" w:eastAsia="zh-CN"/>
        </w:rPr>
      </w:pPr>
      <w:r>
        <w:rPr>
          <w:rFonts w:hint="eastAsia" w:ascii="宋体" w:hAnsi="宋体" w:eastAsia="宋体" w:cs="宋体"/>
          <w:b w:val="0"/>
          <w:bCs w:val="0"/>
          <w:color w:val="auto"/>
          <w:sz w:val="24"/>
          <w:szCs w:val="32"/>
          <w:highlight w:val="none"/>
          <w:lang w:val="en-US" w:eastAsia="zh-CN"/>
        </w:rPr>
        <w:t>5.2.服务期限：</w:t>
      </w:r>
      <w:r>
        <w:rPr>
          <w:rFonts w:hint="eastAsia" w:ascii="宋体" w:hAnsi="宋体" w:cs="宋体"/>
          <w:b w:val="0"/>
          <w:bCs w:val="0"/>
          <w:color w:val="auto"/>
          <w:sz w:val="24"/>
          <w:szCs w:val="32"/>
          <w:highlight w:val="none"/>
          <w:lang w:val="en-US" w:eastAsia="zh-CN"/>
        </w:rPr>
        <w:t>3年（根据服务质量，合同一年一签，供应商服务过程中质量要求不合格，采购方有权终止合同）</w:t>
      </w:r>
      <w:r>
        <w:rPr>
          <w:rFonts w:hint="eastAsia" w:ascii="宋体" w:hAnsi="宋体" w:eastAsia="宋体" w:cs="宋体"/>
          <w:b w:val="0"/>
          <w:bCs w:val="0"/>
          <w:color w:val="auto"/>
          <w:sz w:val="24"/>
          <w:szCs w:val="32"/>
          <w:highlight w:val="none"/>
          <w:lang w:val="en-US" w:eastAsia="zh-CN"/>
        </w:rPr>
        <w:t>；</w:t>
      </w:r>
    </w:p>
    <w:p w14:paraId="0EDDCB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sz w:val="24"/>
          <w:szCs w:val="32"/>
          <w:highlight w:val="none"/>
          <w:lang w:val="en-US" w:eastAsia="zh-CN"/>
        </w:rPr>
      </w:pPr>
      <w:r>
        <w:rPr>
          <w:rFonts w:hint="eastAsia" w:ascii="宋体" w:hAnsi="宋体" w:eastAsia="宋体" w:cs="宋体"/>
          <w:b w:val="0"/>
          <w:bCs w:val="0"/>
          <w:color w:val="auto"/>
          <w:sz w:val="24"/>
          <w:szCs w:val="32"/>
          <w:highlight w:val="none"/>
          <w:lang w:val="en-US" w:eastAsia="zh-CN"/>
        </w:rPr>
        <w:t>5.3.服务地点：按采购单位指定地点完成相关采购内容；</w:t>
      </w:r>
    </w:p>
    <w:p w14:paraId="0844DA0D">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cs="宋体"/>
          <w:b w:val="0"/>
          <w:bCs w:val="0"/>
          <w:color w:val="auto"/>
          <w:sz w:val="24"/>
          <w:szCs w:val="32"/>
          <w:highlight w:val="none"/>
          <w:lang w:val="en-US" w:eastAsia="zh-CN"/>
        </w:rPr>
      </w:pPr>
      <w:r>
        <w:rPr>
          <w:rFonts w:hint="eastAsia" w:ascii="宋体" w:hAnsi="宋体" w:eastAsia="宋体" w:cs="宋体"/>
          <w:b w:val="0"/>
          <w:bCs w:val="0"/>
          <w:color w:val="auto"/>
          <w:sz w:val="24"/>
          <w:szCs w:val="32"/>
          <w:highlight w:val="none"/>
        </w:rPr>
        <w:t>5.</w:t>
      </w:r>
      <w:r>
        <w:rPr>
          <w:rFonts w:hint="eastAsia" w:ascii="宋体" w:hAnsi="宋体" w:eastAsia="宋体" w:cs="宋体"/>
          <w:b w:val="0"/>
          <w:bCs w:val="0"/>
          <w:color w:val="auto"/>
          <w:sz w:val="24"/>
          <w:szCs w:val="32"/>
          <w:highlight w:val="none"/>
          <w:lang w:val="en-US" w:eastAsia="zh-CN"/>
        </w:rPr>
        <w:t>4</w:t>
      </w:r>
      <w:r>
        <w:rPr>
          <w:rFonts w:hint="eastAsia" w:ascii="宋体" w:hAnsi="宋体" w:eastAsia="宋体" w:cs="宋体"/>
          <w:b w:val="0"/>
          <w:bCs w:val="0"/>
          <w:color w:val="auto"/>
          <w:sz w:val="24"/>
          <w:szCs w:val="32"/>
          <w:highlight w:val="none"/>
        </w:rPr>
        <w:t>.质量要求：</w:t>
      </w:r>
      <w:r>
        <w:rPr>
          <w:rFonts w:hint="eastAsia" w:ascii="宋体" w:hAnsi="宋体" w:cs="宋体"/>
          <w:b w:val="0"/>
          <w:bCs w:val="0"/>
          <w:color w:val="auto"/>
          <w:sz w:val="24"/>
          <w:szCs w:val="32"/>
          <w:highlight w:val="none"/>
          <w:lang w:val="en-US" w:eastAsia="zh-CN"/>
        </w:rPr>
        <w:t>符合国家规范、规程和地方性法规及相关技术要求等规定；</w:t>
      </w:r>
    </w:p>
    <w:p w14:paraId="3CFA2855">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sz w:val="24"/>
          <w:szCs w:val="32"/>
          <w:highlight w:val="none"/>
          <w:lang w:val="en-US" w:eastAsia="zh-CN"/>
        </w:rPr>
      </w:pPr>
      <w:r>
        <w:rPr>
          <w:rFonts w:hint="eastAsia" w:ascii="宋体" w:hAnsi="宋体" w:eastAsia="宋体" w:cs="宋体"/>
          <w:b w:val="0"/>
          <w:bCs w:val="0"/>
          <w:color w:val="auto"/>
          <w:sz w:val="24"/>
          <w:szCs w:val="32"/>
          <w:highlight w:val="none"/>
          <w:lang w:val="en-US" w:eastAsia="zh-CN"/>
        </w:rPr>
        <w:t>5.5.资金来源及落实情况：</w:t>
      </w:r>
      <w:r>
        <w:rPr>
          <w:rFonts w:hint="eastAsia" w:ascii="宋体" w:hAnsi="宋体" w:cs="宋体"/>
          <w:b w:val="0"/>
          <w:bCs w:val="0"/>
          <w:color w:val="auto"/>
          <w:sz w:val="24"/>
          <w:szCs w:val="32"/>
          <w:highlight w:val="none"/>
          <w:lang w:val="en-US" w:eastAsia="zh-CN"/>
        </w:rPr>
        <w:t>自筹资金</w:t>
      </w:r>
      <w:r>
        <w:rPr>
          <w:rFonts w:hint="eastAsia" w:ascii="宋体" w:hAnsi="宋体" w:eastAsia="宋体" w:cs="宋体"/>
          <w:b w:val="0"/>
          <w:bCs w:val="0"/>
          <w:color w:val="auto"/>
          <w:sz w:val="24"/>
          <w:szCs w:val="32"/>
          <w:highlight w:val="none"/>
          <w:lang w:val="en-US" w:eastAsia="zh-CN"/>
        </w:rPr>
        <w:t>，已落实；</w:t>
      </w:r>
    </w:p>
    <w:p w14:paraId="701FBE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32"/>
          <w:highlight w:val="none"/>
          <w:lang w:val="en-US" w:eastAsia="zh-CN"/>
        </w:rPr>
      </w:pPr>
      <w:r>
        <w:rPr>
          <w:rFonts w:hint="eastAsia" w:ascii="宋体" w:hAnsi="宋体" w:eastAsia="宋体" w:cs="宋体"/>
          <w:b w:val="0"/>
          <w:bCs w:val="0"/>
          <w:color w:val="auto"/>
          <w:sz w:val="24"/>
          <w:szCs w:val="32"/>
          <w:highlight w:val="none"/>
          <w:lang w:val="en-US" w:eastAsia="zh-CN"/>
        </w:rPr>
        <w:t>5.6.标包划分：本项目共划分</w:t>
      </w:r>
      <w:r>
        <w:rPr>
          <w:rFonts w:hint="eastAsia" w:ascii="宋体" w:hAnsi="宋体" w:cs="宋体"/>
          <w:b w:val="0"/>
          <w:bCs w:val="0"/>
          <w:color w:val="auto"/>
          <w:sz w:val="24"/>
          <w:szCs w:val="32"/>
          <w:highlight w:val="none"/>
          <w:lang w:val="en-US" w:eastAsia="zh-CN"/>
        </w:rPr>
        <w:t>1</w:t>
      </w:r>
      <w:r>
        <w:rPr>
          <w:rFonts w:hint="eastAsia" w:ascii="宋体" w:hAnsi="宋体" w:eastAsia="宋体" w:cs="宋体"/>
          <w:b w:val="0"/>
          <w:bCs w:val="0"/>
          <w:color w:val="auto"/>
          <w:sz w:val="24"/>
          <w:szCs w:val="32"/>
          <w:highlight w:val="none"/>
          <w:lang w:val="en-US" w:eastAsia="zh-CN"/>
        </w:rPr>
        <w:t>个标包。</w:t>
      </w:r>
    </w:p>
    <w:p w14:paraId="43F152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32"/>
          <w:highlight w:val="none"/>
          <w:lang w:val="en-US" w:eastAsia="zh-CN"/>
        </w:rPr>
      </w:pPr>
      <w:r>
        <w:rPr>
          <w:rFonts w:hint="eastAsia" w:ascii="宋体" w:hAnsi="宋体" w:eastAsia="宋体" w:cs="宋体"/>
          <w:b w:val="0"/>
          <w:bCs w:val="0"/>
          <w:color w:val="auto"/>
          <w:sz w:val="24"/>
          <w:szCs w:val="32"/>
          <w:highlight w:val="none"/>
          <w:lang w:val="en-US" w:eastAsia="zh-CN"/>
        </w:rPr>
        <w:t>6、合同履行期限：同服务期限</w:t>
      </w:r>
    </w:p>
    <w:p w14:paraId="53BE3A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sz w:val="24"/>
          <w:szCs w:val="32"/>
          <w:highlight w:val="none"/>
          <w:lang w:val="en-US" w:eastAsia="zh-CN"/>
        </w:rPr>
      </w:pPr>
      <w:r>
        <w:rPr>
          <w:rFonts w:hint="eastAsia" w:ascii="宋体" w:hAnsi="宋体" w:eastAsia="宋体" w:cs="宋体"/>
          <w:b w:val="0"/>
          <w:bCs w:val="0"/>
          <w:color w:val="auto"/>
          <w:sz w:val="24"/>
          <w:szCs w:val="32"/>
          <w:highlight w:val="none"/>
          <w:lang w:val="en-US" w:eastAsia="zh-CN"/>
        </w:rPr>
        <w:t>7、本项目是否接受联合体投标：</w:t>
      </w:r>
      <w:r>
        <w:rPr>
          <w:rFonts w:hint="eastAsia" w:ascii="宋体" w:hAnsi="宋体" w:cs="宋体"/>
          <w:b w:val="0"/>
          <w:bCs w:val="0"/>
          <w:color w:val="auto"/>
          <w:sz w:val="24"/>
          <w:szCs w:val="32"/>
          <w:highlight w:val="none"/>
          <w:lang w:val="en-US" w:eastAsia="zh-CN"/>
        </w:rPr>
        <w:t>否</w:t>
      </w:r>
    </w:p>
    <w:p w14:paraId="331C21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32"/>
          <w:highlight w:val="none"/>
          <w:lang w:val="en-US" w:eastAsia="zh-CN"/>
        </w:rPr>
      </w:pPr>
      <w:r>
        <w:rPr>
          <w:rFonts w:hint="eastAsia" w:ascii="宋体" w:hAnsi="宋体" w:eastAsia="宋体" w:cs="宋体"/>
          <w:b w:val="0"/>
          <w:bCs w:val="0"/>
          <w:color w:val="auto"/>
          <w:sz w:val="24"/>
          <w:szCs w:val="32"/>
          <w:highlight w:val="none"/>
          <w:lang w:val="en-US" w:eastAsia="zh-CN"/>
        </w:rPr>
        <w:t>8、是否接受进口产品：否</w:t>
      </w:r>
    </w:p>
    <w:p w14:paraId="1CF39B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32"/>
          <w:highlight w:val="none"/>
          <w:lang w:val="en-US" w:eastAsia="zh-CN"/>
        </w:rPr>
      </w:pPr>
      <w:r>
        <w:rPr>
          <w:rFonts w:hint="eastAsia" w:ascii="宋体" w:hAnsi="宋体" w:eastAsia="宋体" w:cs="宋体"/>
          <w:b w:val="0"/>
          <w:bCs w:val="0"/>
          <w:color w:val="auto"/>
          <w:sz w:val="24"/>
          <w:szCs w:val="32"/>
          <w:highlight w:val="none"/>
          <w:lang w:val="en-US" w:eastAsia="zh-CN"/>
        </w:rPr>
        <w:t>9、是否专门面向中小企业：否</w:t>
      </w:r>
    </w:p>
    <w:p w14:paraId="331EC5AB">
      <w:pPr>
        <w:pStyle w:val="12"/>
        <w:rPr>
          <w:rFonts w:hint="default"/>
          <w:lang w:val="en-US" w:eastAsia="zh-CN"/>
        </w:rPr>
      </w:pPr>
      <w:r>
        <w:rPr>
          <w:rFonts w:hint="eastAsia" w:ascii="宋体" w:hAnsi="宋体" w:eastAsia="宋体" w:cs="宋体"/>
          <w:b w:val="0"/>
          <w:bCs w:val="0"/>
          <w:color w:val="auto"/>
          <w:sz w:val="24"/>
          <w:szCs w:val="32"/>
          <w:highlight w:val="none"/>
          <w:lang w:val="en-US" w:eastAsia="zh-CN"/>
        </w:rPr>
        <w:t xml:space="preserve">    </w:t>
      </w:r>
    </w:p>
    <w:p w14:paraId="7338C27D">
      <w:pPr>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bCs/>
          <w:sz w:val="24"/>
          <w:szCs w:val="32"/>
          <w:highlight w:val="none"/>
        </w:rPr>
      </w:pPr>
    </w:p>
    <w:p w14:paraId="6D6BAE90">
      <w:pPr>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bCs/>
          <w:sz w:val="24"/>
          <w:szCs w:val="32"/>
          <w:highlight w:val="none"/>
        </w:rPr>
      </w:pPr>
    </w:p>
    <w:p w14:paraId="3E99538B">
      <w:pPr>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bCs/>
          <w:sz w:val="24"/>
          <w:szCs w:val="32"/>
          <w:highlight w:val="none"/>
        </w:rPr>
      </w:pPr>
    </w:p>
    <w:p w14:paraId="1CA0B5C3">
      <w:pPr>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bCs/>
          <w:sz w:val="24"/>
          <w:szCs w:val="32"/>
          <w:highlight w:val="none"/>
          <w:lang w:eastAsia="zh-CN"/>
        </w:rPr>
      </w:pPr>
      <w:r>
        <w:rPr>
          <w:rFonts w:hint="eastAsia" w:ascii="宋体" w:hAnsi="宋体" w:eastAsia="宋体" w:cs="宋体"/>
          <w:b/>
          <w:bCs/>
          <w:sz w:val="24"/>
          <w:szCs w:val="32"/>
          <w:highlight w:val="none"/>
        </w:rPr>
        <w:t>二、申请人资格要求</w:t>
      </w:r>
      <w:r>
        <w:rPr>
          <w:rFonts w:hint="eastAsia" w:ascii="宋体" w:hAnsi="宋体" w:eastAsia="宋体" w:cs="宋体"/>
          <w:b/>
          <w:bCs/>
          <w:sz w:val="24"/>
          <w:szCs w:val="32"/>
          <w:highlight w:val="none"/>
          <w:lang w:eastAsia="zh-CN"/>
        </w:rPr>
        <w:t>：</w:t>
      </w:r>
    </w:p>
    <w:p w14:paraId="08E54C79">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1.满足《中华人民共和国政府采购法》第二十二条规定；</w:t>
      </w:r>
    </w:p>
    <w:p w14:paraId="52C8A9F0">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1.1具有独立承担民事责任的能力（提供有效的营业执照）；</w:t>
      </w:r>
    </w:p>
    <w:p w14:paraId="78351C31">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1.2符合国家相关规定的财务状况报告（2024年度和2025年度财务审计报告或其基本开户银行出具的资信证明）；</w:t>
      </w:r>
    </w:p>
    <w:p w14:paraId="320590BA">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1.3依法缴纳税收的证明材料（2025年</w:t>
      </w:r>
      <w:r>
        <w:rPr>
          <w:rFonts w:hint="eastAsia" w:ascii="宋体" w:hAnsi="宋体" w:cs="宋体"/>
          <w:sz w:val="24"/>
          <w:szCs w:val="32"/>
          <w:highlight w:val="none"/>
          <w:lang w:val="en-US" w:eastAsia="zh-CN"/>
        </w:rPr>
        <w:t>7</w:t>
      </w:r>
      <w:r>
        <w:rPr>
          <w:rFonts w:hint="eastAsia" w:ascii="宋体" w:hAnsi="宋体" w:eastAsia="宋体" w:cs="宋体"/>
          <w:sz w:val="24"/>
          <w:szCs w:val="32"/>
          <w:highlight w:val="none"/>
          <w:lang w:val="en-US" w:eastAsia="zh-CN"/>
        </w:rPr>
        <w:t>月1日以来任意3个月纳税证明，依法免税的供应商，应提供相应证明文件，新成立公司按实际月份提供）；</w:t>
      </w:r>
    </w:p>
    <w:p w14:paraId="598DDDAE">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1.4依法缴纳社会保障资金的证明材料（2025年</w:t>
      </w:r>
      <w:r>
        <w:rPr>
          <w:rFonts w:hint="eastAsia" w:ascii="宋体" w:hAnsi="宋体" w:cs="宋体"/>
          <w:sz w:val="24"/>
          <w:szCs w:val="32"/>
          <w:highlight w:val="none"/>
          <w:lang w:val="en-US" w:eastAsia="zh-CN"/>
        </w:rPr>
        <w:t>7</w:t>
      </w:r>
      <w:r>
        <w:rPr>
          <w:rFonts w:hint="eastAsia" w:ascii="宋体" w:hAnsi="宋体" w:eastAsia="宋体" w:cs="宋体"/>
          <w:sz w:val="24"/>
          <w:szCs w:val="32"/>
          <w:highlight w:val="none"/>
          <w:lang w:val="en-US" w:eastAsia="zh-CN"/>
        </w:rPr>
        <w:t>月1日以来任意3个月缴纳社会保障证明，不需要缴纳社会保障资金的供应商，应提供相应证明文件，新成立公司按实际月份提供）；</w:t>
      </w:r>
    </w:p>
    <w:p w14:paraId="25F21922">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1.5具备履行政府采购合同所必需的设备和专业技术能力的证明材料（提供承诺书）；</w:t>
      </w:r>
    </w:p>
    <w:p w14:paraId="18311680">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1.6参加政府采购活动前三年内在经营活动中没有重大违法记录的证明材料（提供承诺书）；</w:t>
      </w:r>
    </w:p>
    <w:p w14:paraId="241CB6AC">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2.落实政府采购政策满足的资格要求：</w:t>
      </w:r>
    </w:p>
    <w:p w14:paraId="591EE92E">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本项目为非专门面向中小企业采购的项目，该项目符合《政府采购促进中小企业发展管理办法》（财库【2020】46号）第六条第三款之规定（由于本项目涉及内容较多，安全、质量较为重要，单一面向中小企业采购，难以充分竞争保质保量，为保障项目的充分竞争性及保质保量的完成，本项目为非专门面向中小企业采购项目）。本项目落实节约能源、保护环境、扶持不发达地区和少数民族地区、促进中小微企业、监狱企业及残疾人福利性单位发展等政府采购政策。</w:t>
      </w:r>
    </w:p>
    <w:p w14:paraId="66D35F83">
      <w:pPr>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szCs w:val="32"/>
        </w:rPr>
      </w:pPr>
      <w:r>
        <w:rPr>
          <w:rFonts w:hint="eastAsia" w:ascii="宋体" w:hAnsi="宋体" w:eastAsia="宋体" w:cs="宋体"/>
          <w:b/>
          <w:bCs/>
          <w:sz w:val="24"/>
          <w:szCs w:val="32"/>
        </w:rPr>
        <w:t>3.本项目的特定资格要求</w:t>
      </w:r>
    </w:p>
    <w:p w14:paraId="6543AEED">
      <w:pPr>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cs="宋体"/>
          <w:sz w:val="24"/>
          <w:szCs w:val="32"/>
          <w:lang w:val="en-US" w:eastAsia="zh-CN"/>
        </w:rPr>
      </w:pPr>
      <w:r>
        <w:rPr>
          <w:rFonts w:hint="eastAsia" w:ascii="宋体" w:hAnsi="宋体" w:cs="宋体"/>
          <w:sz w:val="24"/>
          <w:szCs w:val="32"/>
          <w:lang w:val="en-US" w:eastAsia="zh-CN"/>
        </w:rPr>
        <w:t>3.1.供应商须同时具有建筑装修装饰工程专业承包二级及以上资质和建筑机电安装工程专业承包二级及以上资质，并具备有效的安全生产许可证。（提供相关证明证书文件）</w:t>
      </w:r>
    </w:p>
    <w:p w14:paraId="0DB5CF19">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cs="宋体"/>
          <w:sz w:val="24"/>
          <w:szCs w:val="32"/>
          <w:lang w:val="en-US" w:eastAsia="zh-CN"/>
        </w:rPr>
      </w:pPr>
      <w:r>
        <w:rPr>
          <w:rFonts w:hint="eastAsia" w:ascii="宋体" w:hAnsi="宋体" w:cs="宋体"/>
          <w:sz w:val="24"/>
          <w:szCs w:val="32"/>
          <w:lang w:val="en-US" w:eastAsia="zh-CN"/>
        </w:rPr>
        <w:t>3.2.供应商应具有医疗器械经营许可证或第二类医疗器械经营备案凭证（提供相关证明证书文件）</w:t>
      </w:r>
    </w:p>
    <w:p w14:paraId="3B85EFC9">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cs="宋体"/>
          <w:sz w:val="24"/>
          <w:szCs w:val="32"/>
          <w:lang w:val="en-US" w:eastAsia="zh-CN"/>
        </w:rPr>
      </w:pPr>
      <w:r>
        <w:rPr>
          <w:rFonts w:hint="eastAsia" w:ascii="宋体" w:hAnsi="宋体" w:cs="宋体"/>
          <w:sz w:val="24"/>
          <w:szCs w:val="32"/>
          <w:lang w:val="en-US" w:eastAsia="zh-CN"/>
        </w:rPr>
        <w:t>3.3.供应商应具有中华人民共和国特种设备生产许可证（承压类特种设备安装、修理、改造）工业管道安装GC2级及以上</w:t>
      </w:r>
    </w:p>
    <w:p w14:paraId="4F4CF27F">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cs="宋体"/>
          <w:sz w:val="24"/>
          <w:szCs w:val="32"/>
          <w:lang w:val="en-US" w:eastAsia="zh-CN"/>
        </w:rPr>
        <w:t>3.4.</w:t>
      </w:r>
      <w:r>
        <w:rPr>
          <w:rFonts w:hint="eastAsia" w:ascii="宋体" w:hAnsi="宋体" w:eastAsia="宋体" w:cs="宋体"/>
          <w:sz w:val="24"/>
          <w:szCs w:val="32"/>
        </w:rPr>
        <w:t>根据《关于在政府采购活动中查询及使用信用记录有关问题的通知》（财库【2016】125号）的规定，对列入失信被执行人、重大税收违法案件当事人名单</w:t>
      </w:r>
      <w:r>
        <w:rPr>
          <w:rFonts w:hint="eastAsia" w:ascii="宋体" w:hAnsi="宋体" w:eastAsia="宋体" w:cs="宋体"/>
          <w:color w:val="000000"/>
          <w:sz w:val="24"/>
          <w:szCs w:val="32"/>
        </w:rPr>
        <w:t>（税收违法黑名单/重大税收违法失信主体）</w:t>
      </w:r>
      <w:r>
        <w:rPr>
          <w:rFonts w:hint="eastAsia" w:ascii="宋体" w:hAnsi="宋体" w:eastAsia="宋体" w:cs="宋体"/>
          <w:sz w:val="24"/>
          <w:szCs w:val="32"/>
        </w:rPr>
        <w:t>、政府采购严重违法失信行为记录名单的供应商</w:t>
      </w:r>
      <w:r>
        <w:rPr>
          <w:rFonts w:hint="eastAsia" w:ascii="宋体" w:hAnsi="宋体" w:cs="宋体"/>
          <w:sz w:val="24"/>
          <w:szCs w:val="32"/>
          <w:lang w:val="en-US" w:eastAsia="zh-CN"/>
        </w:rPr>
        <w:t>及</w:t>
      </w:r>
      <w:r>
        <w:rPr>
          <w:rFonts w:hint="eastAsia" w:ascii="宋体" w:hAnsi="宋体" w:eastAsia="宋体" w:cs="宋体"/>
          <w:sz w:val="24"/>
          <w:szCs w:val="32"/>
        </w:rPr>
        <w:t>供应商</w:t>
      </w:r>
      <w:r>
        <w:rPr>
          <w:rFonts w:hint="eastAsia" w:ascii="宋体" w:hAnsi="宋体" w:cs="宋体"/>
          <w:sz w:val="24"/>
          <w:szCs w:val="32"/>
          <w:lang w:val="en-US" w:eastAsia="zh-CN"/>
        </w:rPr>
        <w:t>单位法定代表人</w:t>
      </w:r>
      <w:r>
        <w:rPr>
          <w:rFonts w:hint="eastAsia" w:ascii="宋体" w:hAnsi="宋体" w:eastAsia="宋体" w:cs="宋体"/>
          <w:sz w:val="24"/>
          <w:szCs w:val="32"/>
        </w:rPr>
        <w:t>，拒绝参与本项目政府采购活动；供应商应通过“信用中国”网站（www.creditchina.gov.cn）查询“失信被执行人”、“重大税收违法案件当事人名单（税收违法黑名单/重大税收违法失信主体）”，中国政府采购网（www.ccgp.gov.cn）查询“政府采购严重违法失信行为记录名单”，提供查询</w:t>
      </w:r>
      <w:r>
        <w:rPr>
          <w:rFonts w:hint="eastAsia" w:ascii="宋体" w:hAnsi="宋体" w:eastAsia="宋体" w:cs="宋体"/>
          <w:color w:val="auto"/>
          <w:sz w:val="24"/>
          <w:szCs w:val="32"/>
        </w:rPr>
        <w:t>网页截图</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查询截图须提供详细的查询时间，</w:t>
      </w:r>
      <w:r>
        <w:rPr>
          <w:rFonts w:hint="eastAsia" w:ascii="宋体" w:hAnsi="宋体" w:eastAsia="宋体" w:cs="宋体"/>
          <w:b w:val="0"/>
          <w:bCs w:val="0"/>
          <w:color w:val="auto"/>
          <w:sz w:val="24"/>
          <w:szCs w:val="24"/>
          <w:highlight w:val="none"/>
        </w:rPr>
        <w:t>查询</w:t>
      </w:r>
      <w:r>
        <w:rPr>
          <w:rFonts w:hint="eastAsia" w:ascii="宋体" w:hAnsi="宋体" w:eastAsia="宋体" w:cs="宋体"/>
          <w:b w:val="0"/>
          <w:bCs w:val="0"/>
          <w:color w:val="auto"/>
          <w:sz w:val="24"/>
          <w:szCs w:val="24"/>
          <w:highlight w:val="none"/>
          <w:lang w:val="en-US" w:eastAsia="zh-CN"/>
        </w:rPr>
        <w:t>时间</w:t>
      </w:r>
      <w:r>
        <w:rPr>
          <w:rFonts w:hint="eastAsia" w:ascii="宋体" w:hAnsi="宋体" w:eastAsia="宋体" w:cs="宋体"/>
          <w:b w:val="0"/>
          <w:bCs w:val="0"/>
          <w:color w:val="auto"/>
          <w:sz w:val="24"/>
          <w:szCs w:val="24"/>
          <w:highlight w:val="none"/>
        </w:rPr>
        <w:t>截点为：从公告发布之日起至投标截止之日止）</w:t>
      </w:r>
    </w:p>
    <w:p w14:paraId="5FEDF32F">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3.</w:t>
      </w:r>
      <w:r>
        <w:rPr>
          <w:rFonts w:hint="eastAsia" w:ascii="宋体" w:hAnsi="宋体" w:cs="宋体"/>
          <w:color w:val="auto"/>
          <w:sz w:val="24"/>
          <w:szCs w:val="32"/>
          <w:highlight w:val="none"/>
          <w:lang w:val="en-US" w:eastAsia="zh-CN"/>
        </w:rPr>
        <w:t>5</w:t>
      </w:r>
      <w:r>
        <w:rPr>
          <w:rFonts w:hint="eastAsia" w:ascii="宋体" w:hAnsi="宋体" w:eastAsia="宋体" w:cs="宋体"/>
          <w:color w:val="auto"/>
          <w:sz w:val="24"/>
          <w:szCs w:val="32"/>
          <w:highlight w:val="none"/>
        </w:rPr>
        <w:t>.单位负责人为同一人或者存在直接控股、管理关系的不同单位，不得同时参加同一合同项下的政府采购活动（提供加盖投标人公章的“国家企业信用信息公示系统”中公示的公司基础信息包含股东及出资信息</w:t>
      </w:r>
      <w:r>
        <w:rPr>
          <w:rFonts w:hint="eastAsia" w:ascii="宋体" w:hAnsi="宋体" w:cs="宋体"/>
          <w:color w:val="auto"/>
          <w:sz w:val="24"/>
          <w:szCs w:val="32"/>
          <w:highlight w:val="none"/>
          <w:lang w:eastAsia="zh-CN"/>
        </w:rPr>
        <w:t>、</w:t>
      </w:r>
      <w:r>
        <w:rPr>
          <w:rFonts w:hint="eastAsia" w:ascii="宋体" w:hAnsi="宋体" w:cs="宋体"/>
          <w:color w:val="auto"/>
          <w:sz w:val="24"/>
          <w:szCs w:val="32"/>
          <w:highlight w:val="none"/>
          <w:lang w:val="en-US" w:eastAsia="zh-CN"/>
        </w:rPr>
        <w:t>出资金额或比例</w:t>
      </w:r>
      <w:r>
        <w:rPr>
          <w:rFonts w:hint="eastAsia" w:ascii="宋体" w:hAnsi="宋体" w:eastAsia="宋体" w:cs="宋体"/>
          <w:color w:val="auto"/>
          <w:sz w:val="24"/>
          <w:szCs w:val="32"/>
          <w:highlight w:val="none"/>
        </w:rPr>
        <w:t>）。查询截图内需显示查询时间，查询时间必须是本项目招标公告发布时间之后，所提供查询截图内无显示查询时间或时间不符则视为无效投标。</w:t>
      </w:r>
    </w:p>
    <w:p w14:paraId="61F63230">
      <w:pPr>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rPr>
        <w:t>3.</w:t>
      </w:r>
      <w:r>
        <w:rPr>
          <w:rFonts w:hint="eastAsia" w:ascii="宋体" w:hAnsi="宋体" w:cs="宋体"/>
          <w:color w:val="auto"/>
          <w:sz w:val="24"/>
          <w:szCs w:val="32"/>
          <w:highlight w:val="none"/>
          <w:lang w:val="en-US" w:eastAsia="zh-CN"/>
        </w:rPr>
        <w:t>6</w:t>
      </w:r>
      <w:r>
        <w:rPr>
          <w:rFonts w:hint="eastAsia" w:ascii="宋体" w:hAnsi="宋体" w:eastAsia="宋体" w:cs="宋体"/>
          <w:color w:val="auto"/>
          <w:sz w:val="24"/>
          <w:szCs w:val="32"/>
          <w:highlight w:val="none"/>
        </w:rPr>
        <w:t>.本项目不允许联合体磋商，实行资格后审。</w:t>
      </w:r>
      <w:r>
        <w:rPr>
          <w:rFonts w:hint="eastAsia" w:ascii="宋体" w:hAnsi="宋体" w:cs="宋体"/>
          <w:color w:val="auto"/>
          <w:sz w:val="24"/>
          <w:szCs w:val="32"/>
          <w:highlight w:val="none"/>
          <w:lang w:eastAsia="zh-CN"/>
        </w:rPr>
        <w:t>（</w:t>
      </w:r>
      <w:r>
        <w:rPr>
          <w:rFonts w:hint="eastAsia" w:ascii="宋体" w:hAnsi="宋体" w:cs="宋体"/>
          <w:color w:val="auto"/>
          <w:sz w:val="24"/>
          <w:szCs w:val="32"/>
          <w:highlight w:val="none"/>
          <w:lang w:val="en-US" w:eastAsia="zh-CN"/>
        </w:rPr>
        <w:t>提供非联合体承诺书）</w:t>
      </w:r>
    </w:p>
    <w:p w14:paraId="32403FC7">
      <w:pPr>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三、获取采购文件</w:t>
      </w:r>
    </w:p>
    <w:p w14:paraId="7077D06D">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1.时间：202</w:t>
      </w:r>
      <w:r>
        <w:rPr>
          <w:rFonts w:hint="eastAsia" w:ascii="宋体" w:hAnsi="宋体" w:cs="宋体"/>
          <w:color w:val="auto"/>
          <w:sz w:val="24"/>
          <w:szCs w:val="32"/>
          <w:highlight w:val="none"/>
          <w:lang w:val="en-US" w:eastAsia="zh-CN"/>
        </w:rPr>
        <w:t>6</w:t>
      </w:r>
      <w:r>
        <w:rPr>
          <w:rFonts w:hint="eastAsia" w:ascii="宋体" w:hAnsi="宋体" w:eastAsia="宋体" w:cs="宋体"/>
          <w:color w:val="auto"/>
          <w:sz w:val="24"/>
          <w:szCs w:val="32"/>
          <w:highlight w:val="none"/>
        </w:rPr>
        <w:t>年</w:t>
      </w:r>
      <w:r>
        <w:rPr>
          <w:rFonts w:hint="eastAsia" w:ascii="宋体" w:hAnsi="宋体" w:cs="宋体"/>
          <w:color w:val="auto"/>
          <w:sz w:val="24"/>
          <w:szCs w:val="32"/>
          <w:highlight w:val="none"/>
          <w:lang w:val="en-US" w:eastAsia="zh-CN"/>
        </w:rPr>
        <w:t xml:space="preserve">7 </w:t>
      </w:r>
      <w:r>
        <w:rPr>
          <w:rFonts w:hint="eastAsia" w:ascii="宋体" w:hAnsi="宋体" w:eastAsia="宋体" w:cs="宋体"/>
          <w:color w:val="auto"/>
          <w:sz w:val="24"/>
          <w:szCs w:val="32"/>
          <w:highlight w:val="none"/>
        </w:rPr>
        <w:t>月</w:t>
      </w:r>
      <w:r>
        <w:rPr>
          <w:rFonts w:hint="eastAsia" w:ascii="宋体" w:hAnsi="宋体" w:cs="宋体"/>
          <w:color w:val="auto"/>
          <w:sz w:val="24"/>
          <w:szCs w:val="32"/>
          <w:highlight w:val="none"/>
          <w:lang w:val="en-US" w:eastAsia="zh-CN"/>
        </w:rPr>
        <w:t xml:space="preserve">14 </w:t>
      </w:r>
      <w:r>
        <w:rPr>
          <w:rFonts w:hint="eastAsia" w:ascii="宋体" w:hAnsi="宋体" w:eastAsia="宋体" w:cs="宋体"/>
          <w:color w:val="auto"/>
          <w:sz w:val="24"/>
          <w:szCs w:val="32"/>
          <w:highlight w:val="none"/>
        </w:rPr>
        <w:t>日至202</w:t>
      </w:r>
      <w:r>
        <w:rPr>
          <w:rFonts w:hint="eastAsia" w:ascii="宋体" w:hAnsi="宋体" w:cs="宋体"/>
          <w:color w:val="auto"/>
          <w:sz w:val="24"/>
          <w:szCs w:val="32"/>
          <w:highlight w:val="none"/>
          <w:lang w:val="en-US" w:eastAsia="zh-CN"/>
        </w:rPr>
        <w:t>6</w:t>
      </w:r>
      <w:r>
        <w:rPr>
          <w:rFonts w:hint="eastAsia" w:ascii="宋体" w:hAnsi="宋体" w:eastAsia="宋体" w:cs="宋体"/>
          <w:color w:val="auto"/>
          <w:sz w:val="24"/>
          <w:szCs w:val="32"/>
          <w:highlight w:val="none"/>
        </w:rPr>
        <w:t>年</w:t>
      </w:r>
      <w:r>
        <w:rPr>
          <w:rFonts w:hint="eastAsia" w:ascii="宋体" w:hAnsi="宋体" w:cs="宋体"/>
          <w:color w:val="auto"/>
          <w:sz w:val="24"/>
          <w:szCs w:val="32"/>
          <w:highlight w:val="none"/>
          <w:lang w:val="en-US" w:eastAsia="zh-CN"/>
        </w:rPr>
        <w:t xml:space="preserve">7 </w:t>
      </w:r>
      <w:r>
        <w:rPr>
          <w:rFonts w:hint="eastAsia" w:ascii="宋体" w:hAnsi="宋体" w:eastAsia="宋体" w:cs="宋体"/>
          <w:color w:val="auto"/>
          <w:sz w:val="24"/>
          <w:szCs w:val="32"/>
          <w:highlight w:val="none"/>
        </w:rPr>
        <w:t>月</w:t>
      </w:r>
      <w:r>
        <w:rPr>
          <w:rFonts w:hint="eastAsia" w:ascii="宋体" w:hAnsi="宋体" w:cs="宋体"/>
          <w:color w:val="auto"/>
          <w:sz w:val="24"/>
          <w:szCs w:val="32"/>
          <w:highlight w:val="none"/>
          <w:lang w:val="en-US" w:eastAsia="zh-CN"/>
        </w:rPr>
        <w:t xml:space="preserve"> 20</w:t>
      </w:r>
      <w:r>
        <w:rPr>
          <w:rFonts w:hint="eastAsia" w:ascii="宋体" w:hAnsi="宋体" w:eastAsia="宋体" w:cs="宋体"/>
          <w:color w:val="auto"/>
          <w:sz w:val="24"/>
          <w:szCs w:val="32"/>
          <w:highlight w:val="none"/>
        </w:rPr>
        <w:t>日，每天上午00:00至12:00，下午12:00至23:59（北京时间，法定节假日除外。）</w:t>
      </w:r>
    </w:p>
    <w:p w14:paraId="363A0C93">
      <w:pPr>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2.地点：</w:t>
      </w:r>
      <w:r>
        <w:rPr>
          <w:rFonts w:hint="eastAsia" w:ascii="宋体" w:hAnsi="宋体" w:eastAsia="宋体" w:cs="宋体"/>
          <w:color w:val="auto"/>
          <w:sz w:val="24"/>
          <w:szCs w:val="32"/>
          <w:highlight w:val="none"/>
          <w:lang w:eastAsia="zh-CN"/>
        </w:rPr>
        <w:t>登录“</w:t>
      </w:r>
      <w:r>
        <w:rPr>
          <w:rFonts w:hint="eastAsia" w:ascii="宋体" w:hAnsi="宋体" w:cs="宋体"/>
          <w:color w:val="auto"/>
          <w:sz w:val="24"/>
          <w:szCs w:val="32"/>
          <w:highlight w:val="none"/>
          <w:lang w:eastAsia="zh-CN"/>
        </w:rPr>
        <w:t>全国公共资源交易平台（河南省·信阳市）</w:t>
      </w:r>
      <w:r>
        <w:rPr>
          <w:rFonts w:hint="eastAsia" w:ascii="宋体" w:hAnsi="宋体" w:eastAsia="宋体" w:cs="宋体"/>
          <w:color w:val="auto"/>
          <w:sz w:val="24"/>
          <w:szCs w:val="32"/>
          <w:highlight w:val="none"/>
          <w:lang w:eastAsia="zh-CN"/>
        </w:rPr>
        <w:t>（</w:t>
      </w:r>
      <w:r>
        <w:rPr>
          <w:rFonts w:hint="eastAsia" w:ascii="宋体" w:hAnsi="宋体" w:cs="宋体"/>
          <w:color w:val="auto"/>
          <w:sz w:val="24"/>
          <w:szCs w:val="32"/>
          <w:highlight w:val="none"/>
          <w:lang w:eastAsia="zh-CN"/>
        </w:rPr>
        <w:t>https://ggzyjy.xinyang.gov.cn/</w:t>
      </w:r>
      <w:r>
        <w:rPr>
          <w:rFonts w:hint="eastAsia" w:ascii="宋体" w:hAnsi="宋体" w:eastAsia="宋体" w:cs="宋体"/>
          <w:color w:val="auto"/>
          <w:sz w:val="24"/>
          <w:szCs w:val="32"/>
          <w:highlight w:val="none"/>
          <w:lang w:eastAsia="zh-CN"/>
        </w:rPr>
        <w:t>）”网站，凭办理的企业身份认证锁（CA数字证书）登录会员系统获取</w:t>
      </w:r>
      <w:r>
        <w:rPr>
          <w:rFonts w:hint="eastAsia" w:ascii="宋体" w:hAnsi="宋体" w:eastAsia="宋体" w:cs="宋体"/>
          <w:color w:val="auto"/>
          <w:sz w:val="24"/>
          <w:szCs w:val="32"/>
          <w:highlight w:val="none"/>
          <w:lang w:val="en-US" w:eastAsia="zh-CN"/>
        </w:rPr>
        <w:t>采购</w:t>
      </w:r>
      <w:r>
        <w:rPr>
          <w:rFonts w:hint="eastAsia" w:ascii="宋体" w:hAnsi="宋体" w:eastAsia="宋体" w:cs="宋体"/>
          <w:color w:val="auto"/>
          <w:sz w:val="24"/>
          <w:szCs w:val="32"/>
          <w:highlight w:val="none"/>
          <w:lang w:eastAsia="zh-CN"/>
        </w:rPr>
        <w:t>文件</w:t>
      </w:r>
      <w:r>
        <w:rPr>
          <w:rFonts w:hint="eastAsia" w:ascii="宋体" w:hAnsi="宋体" w:eastAsia="宋体" w:cs="宋体"/>
          <w:color w:val="auto"/>
          <w:sz w:val="24"/>
          <w:szCs w:val="32"/>
          <w:highlight w:val="none"/>
        </w:rPr>
        <w:t>；</w:t>
      </w:r>
    </w:p>
    <w:p w14:paraId="74FE6AC9">
      <w:pPr>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rPr>
      </w:pPr>
      <w:r>
        <w:rPr>
          <w:rFonts w:hint="eastAsia" w:ascii="宋体" w:hAnsi="宋体" w:eastAsia="宋体" w:cs="宋体"/>
          <w:kern w:val="0"/>
          <w:sz w:val="24"/>
        </w:rPr>
        <w:t>3.方式：</w:t>
      </w:r>
    </w:p>
    <w:p w14:paraId="254BE623">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kern w:val="0"/>
          <w:sz w:val="24"/>
        </w:rPr>
      </w:pPr>
      <w:r>
        <w:rPr>
          <w:rFonts w:hint="eastAsia" w:ascii="宋体" w:hAnsi="宋体" w:eastAsia="宋体" w:cs="宋体"/>
          <w:kern w:val="0"/>
          <w:sz w:val="24"/>
        </w:rPr>
        <w:t>3.1.供应商注册：凡有意参加本项目的供应商，请登</w:t>
      </w:r>
      <w:r>
        <w:rPr>
          <w:rFonts w:hint="eastAsia" w:ascii="宋体" w:hAnsi="宋体" w:eastAsia="宋体" w:cs="宋体"/>
          <w:kern w:val="0"/>
          <w:sz w:val="24"/>
          <w:lang w:val="en-US" w:eastAsia="zh-CN"/>
        </w:rPr>
        <w:t>录</w:t>
      </w:r>
      <w:r>
        <w:rPr>
          <w:rFonts w:hint="eastAsia" w:ascii="宋体" w:hAnsi="宋体" w:eastAsia="宋体" w:cs="宋体"/>
          <w:kern w:val="0"/>
          <w:sz w:val="24"/>
        </w:rPr>
        <w:t>“全国公共资源交易平台（河南省·信阳市</w:t>
      </w:r>
      <w:r>
        <w:rPr>
          <w:rFonts w:hint="eastAsia" w:ascii="宋体" w:hAnsi="宋体" w:eastAsia="宋体" w:cs="宋体"/>
          <w:color w:val="auto"/>
          <w:kern w:val="0"/>
          <w:sz w:val="24"/>
        </w:rPr>
        <w:t>）（</w:t>
      </w:r>
      <w:r>
        <w:rPr>
          <w:rFonts w:hint="eastAsia" w:ascii="宋体" w:hAnsi="宋体" w:eastAsia="宋体" w:cs="宋体"/>
          <w:color w:val="auto"/>
          <w:sz w:val="24"/>
          <w:u w:val="none"/>
          <w:shd w:val="clear" w:color="auto" w:fill="FFFFFF"/>
        </w:rPr>
        <w:t>https://ggzyjy.xinyang.gov.cn</w:t>
      </w:r>
      <w:r>
        <w:rPr>
          <w:rFonts w:hint="eastAsia" w:ascii="宋体" w:hAnsi="宋体" w:eastAsia="宋体" w:cs="宋体"/>
          <w:color w:val="auto"/>
          <w:kern w:val="0"/>
          <w:sz w:val="24"/>
        </w:rPr>
        <w:t>）”网站</w:t>
      </w:r>
      <w:r>
        <w:rPr>
          <w:rFonts w:hint="eastAsia" w:ascii="宋体" w:hAnsi="宋体" w:eastAsia="宋体" w:cs="宋体"/>
          <w:kern w:val="0"/>
          <w:sz w:val="24"/>
        </w:rPr>
        <w:t>进行交易主体自主注册，按网站公告通知有关要求填报企业信息并上传有关原件扫描件至诚信库，不需携带原件到信阳市公共资源交易中心进行审核。供应商应对所上传材料的真实性、合法性、有效性负责，其上传信息将全部对外公示，接受社会监督；</w:t>
      </w:r>
    </w:p>
    <w:p w14:paraId="7C46CAB4">
      <w:pPr>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rPr>
      </w:pPr>
      <w:r>
        <w:rPr>
          <w:rFonts w:hint="eastAsia" w:ascii="宋体" w:hAnsi="宋体" w:eastAsia="宋体" w:cs="宋体"/>
          <w:kern w:val="0"/>
          <w:sz w:val="24"/>
        </w:rPr>
        <w:t>3.2.办理CA数字证书：完成企业诚信库注册后，必须办理CA数字证书方可在网上办理招投标相关业务。</w:t>
      </w:r>
      <w:r>
        <w:rPr>
          <w:rFonts w:hint="eastAsia" w:ascii="宋体" w:hAnsi="宋体" w:eastAsia="宋体" w:cs="宋体"/>
          <w:sz w:val="24"/>
        </w:rPr>
        <w:t>供应商</w:t>
      </w:r>
      <w:r>
        <w:rPr>
          <w:rFonts w:hint="eastAsia" w:ascii="宋体" w:hAnsi="宋体" w:eastAsia="宋体" w:cs="宋体"/>
          <w:kern w:val="0"/>
          <w:sz w:val="24"/>
        </w:rPr>
        <w:t>根据信阳市公共资源交易网通知公告栏目中《关于信阳市公共资源交易平台数字证书（CA）互认系统正式上线运行的通知》要求，自行选择CA数字证书服务商，线上、线下办理CA数字证书。</w:t>
      </w:r>
    </w:p>
    <w:p w14:paraId="1D3F670B">
      <w:pPr>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rPr>
      </w:pPr>
      <w:r>
        <w:rPr>
          <w:rFonts w:hint="eastAsia" w:ascii="宋体" w:hAnsi="宋体" w:eastAsia="宋体" w:cs="宋体"/>
          <w:kern w:val="0"/>
          <w:sz w:val="24"/>
        </w:rPr>
        <w:t>3.3.采购文件获取方式：供应商凭CA数字证书登</w:t>
      </w:r>
      <w:r>
        <w:rPr>
          <w:rFonts w:hint="eastAsia" w:ascii="宋体" w:hAnsi="宋体" w:eastAsia="宋体" w:cs="宋体"/>
          <w:kern w:val="0"/>
          <w:sz w:val="24"/>
          <w:lang w:val="en-US" w:eastAsia="zh-CN"/>
        </w:rPr>
        <w:t>录</w:t>
      </w:r>
      <w:r>
        <w:rPr>
          <w:rFonts w:hint="eastAsia" w:ascii="宋体" w:hAnsi="宋体" w:eastAsia="宋体" w:cs="宋体"/>
          <w:kern w:val="0"/>
          <w:sz w:val="24"/>
        </w:rPr>
        <w:t>会员系统后，即可按网上提示免费下载采购文件及资料（操作程序详见“全国公共资源交易平台（河南省·信阳市）（</w:t>
      </w:r>
      <w:r>
        <w:rPr>
          <w:rFonts w:hint="eastAsia" w:ascii="宋体" w:hAnsi="宋体" w:eastAsia="宋体" w:cs="宋体"/>
          <w:color w:val="auto"/>
          <w:sz w:val="24"/>
          <w:u w:val="none"/>
          <w:shd w:val="clear" w:color="auto" w:fill="FFFFFF"/>
        </w:rPr>
        <w:t>https://ggzyjy.xinyang.gov.cn</w:t>
      </w:r>
      <w:r>
        <w:rPr>
          <w:rFonts w:hint="eastAsia" w:ascii="宋体" w:hAnsi="宋体" w:eastAsia="宋体" w:cs="宋体"/>
          <w:color w:val="auto"/>
          <w:kern w:val="0"/>
          <w:sz w:val="24"/>
        </w:rPr>
        <w:t>）”</w:t>
      </w:r>
      <w:r>
        <w:rPr>
          <w:rFonts w:hint="eastAsia" w:ascii="宋体" w:hAnsi="宋体" w:eastAsia="宋体" w:cs="宋体"/>
          <w:kern w:val="0"/>
          <w:sz w:val="24"/>
        </w:rPr>
        <w:t>网站下载</w:t>
      </w:r>
      <w:r>
        <w:rPr>
          <w:rFonts w:hint="eastAsia" w:ascii="宋体" w:hAnsi="宋体" w:eastAsia="宋体" w:cs="宋体"/>
          <w:kern w:val="0"/>
          <w:sz w:val="24"/>
          <w:lang w:val="en-US" w:eastAsia="zh-CN"/>
        </w:rPr>
        <w:t>专区</w:t>
      </w:r>
      <w:r>
        <w:rPr>
          <w:rFonts w:hint="eastAsia" w:ascii="宋体" w:hAnsi="宋体" w:eastAsia="宋体" w:cs="宋体"/>
          <w:kern w:val="0"/>
          <w:sz w:val="24"/>
        </w:rPr>
        <w:t>栏目里供应商操作手册）。</w:t>
      </w:r>
      <w:r>
        <w:rPr>
          <w:rFonts w:hint="eastAsia" w:ascii="宋体" w:hAnsi="宋体" w:eastAsia="宋体" w:cs="宋体"/>
          <w:kern w:val="0"/>
          <w:sz w:val="24"/>
          <w:lang w:val="en-US" w:eastAsia="zh-CN"/>
        </w:rPr>
        <w:t>采购</w:t>
      </w:r>
      <w:r>
        <w:rPr>
          <w:rFonts w:hint="eastAsia" w:ascii="宋体" w:hAnsi="宋体" w:eastAsia="宋体" w:cs="宋体"/>
          <w:kern w:val="0"/>
          <w:sz w:val="24"/>
        </w:rPr>
        <w:t>文件(*.XYZF格式)下载后需使用“信阳市投标文件制作工具软件”打开（该工具软件可在“全国公共资源交易平台（河南省·信阳市）（</w:t>
      </w:r>
      <w:r>
        <w:rPr>
          <w:rFonts w:hint="eastAsia" w:ascii="宋体" w:hAnsi="宋体" w:eastAsia="宋体" w:cs="宋体"/>
          <w:color w:val="auto"/>
          <w:sz w:val="24"/>
          <w:u w:val="none"/>
          <w:shd w:val="clear" w:color="auto" w:fill="FFFFFF"/>
        </w:rPr>
        <w:t>https://ggzyjy.xinyang.gov.cn</w:t>
      </w:r>
      <w:r>
        <w:rPr>
          <w:rFonts w:hint="eastAsia" w:ascii="宋体" w:hAnsi="宋体" w:eastAsia="宋体" w:cs="宋体"/>
          <w:color w:val="auto"/>
          <w:kern w:val="0"/>
          <w:sz w:val="24"/>
        </w:rPr>
        <w:t>）”</w:t>
      </w:r>
      <w:r>
        <w:rPr>
          <w:rFonts w:hint="eastAsia" w:ascii="宋体" w:hAnsi="宋体" w:eastAsia="宋体" w:cs="宋体"/>
          <w:kern w:val="0"/>
          <w:sz w:val="24"/>
        </w:rPr>
        <w:t>网站下载</w:t>
      </w:r>
      <w:r>
        <w:rPr>
          <w:rFonts w:hint="eastAsia" w:ascii="宋体" w:hAnsi="宋体" w:eastAsia="宋体" w:cs="宋体"/>
          <w:kern w:val="0"/>
          <w:sz w:val="24"/>
          <w:lang w:val="en-US" w:eastAsia="zh-CN"/>
        </w:rPr>
        <w:t>专区</w:t>
      </w:r>
      <w:r>
        <w:rPr>
          <w:rFonts w:hint="eastAsia" w:ascii="宋体" w:hAnsi="宋体" w:eastAsia="宋体" w:cs="宋体"/>
          <w:kern w:val="0"/>
          <w:sz w:val="24"/>
        </w:rPr>
        <w:t>栏目内下载或在采购文件领取页面下载）；</w:t>
      </w:r>
    </w:p>
    <w:p w14:paraId="407FF15C">
      <w:pPr>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rPr>
      </w:pPr>
      <w:r>
        <w:rPr>
          <w:rFonts w:hint="eastAsia" w:ascii="宋体" w:hAnsi="宋体" w:eastAsia="宋体" w:cs="宋体"/>
          <w:kern w:val="0"/>
          <w:sz w:val="24"/>
        </w:rPr>
        <w:t>3.4.请供应商下载</w:t>
      </w:r>
      <w:r>
        <w:rPr>
          <w:rFonts w:hint="eastAsia" w:ascii="宋体" w:hAnsi="宋体" w:eastAsia="宋体" w:cs="宋体"/>
          <w:kern w:val="0"/>
          <w:sz w:val="24"/>
          <w:lang w:val="en-US" w:eastAsia="zh-CN"/>
        </w:rPr>
        <w:t>采购</w:t>
      </w:r>
      <w:r>
        <w:rPr>
          <w:rFonts w:hint="eastAsia" w:ascii="宋体" w:hAnsi="宋体" w:eastAsia="宋体" w:cs="宋体"/>
          <w:kern w:val="0"/>
          <w:sz w:val="24"/>
        </w:rPr>
        <w:t>文件后，及时关注系统业务菜单（“答疑澄清文件领取”、“控制价文件领取”）内该项目是否</w:t>
      </w:r>
      <w:r>
        <w:rPr>
          <w:rFonts w:hint="eastAsia" w:ascii="宋体" w:hAnsi="宋体" w:cs="宋体"/>
          <w:kern w:val="0"/>
          <w:sz w:val="24"/>
          <w:lang w:eastAsia="zh-CN"/>
        </w:rPr>
        <w:t>有</w:t>
      </w:r>
      <w:r>
        <w:rPr>
          <w:rFonts w:hint="eastAsia" w:ascii="宋体" w:hAnsi="宋体" w:eastAsia="宋体" w:cs="宋体"/>
          <w:kern w:val="0"/>
          <w:sz w:val="24"/>
        </w:rPr>
        <w:t>新的答疑澄清文件或控制价文件。如有请直接下载，不再另行通知。</w:t>
      </w:r>
    </w:p>
    <w:p w14:paraId="1B9E24C0">
      <w:pPr>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4.售价：0元。</w:t>
      </w:r>
    </w:p>
    <w:p w14:paraId="5E892765">
      <w:pPr>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bCs/>
          <w:sz w:val="24"/>
          <w:szCs w:val="32"/>
          <w:lang w:eastAsia="zh-CN"/>
        </w:rPr>
      </w:pPr>
      <w:r>
        <w:rPr>
          <w:rFonts w:hint="eastAsia" w:ascii="宋体" w:hAnsi="宋体" w:eastAsia="宋体" w:cs="宋体"/>
          <w:b/>
          <w:bCs/>
          <w:sz w:val="24"/>
          <w:szCs w:val="32"/>
        </w:rPr>
        <w:t>四、响应文件提交</w:t>
      </w:r>
      <w:r>
        <w:rPr>
          <w:rFonts w:hint="eastAsia" w:ascii="宋体" w:hAnsi="宋体" w:eastAsia="宋体" w:cs="宋体"/>
          <w:b/>
          <w:bCs/>
          <w:sz w:val="24"/>
          <w:szCs w:val="32"/>
          <w:lang w:eastAsia="zh-CN"/>
        </w:rPr>
        <w:t>：</w:t>
      </w:r>
    </w:p>
    <w:p w14:paraId="200583D3">
      <w:pPr>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1.</w:t>
      </w:r>
      <w:r>
        <w:rPr>
          <w:rFonts w:hint="eastAsia" w:ascii="宋体" w:hAnsi="宋体" w:eastAsia="宋体" w:cs="宋体"/>
          <w:color w:val="auto"/>
          <w:kern w:val="0"/>
          <w:sz w:val="24"/>
          <w:lang w:val="en-US" w:eastAsia="zh-CN"/>
        </w:rPr>
        <w:t>截止</w:t>
      </w:r>
      <w:r>
        <w:rPr>
          <w:rFonts w:hint="eastAsia" w:ascii="宋体" w:hAnsi="宋体" w:eastAsia="宋体" w:cs="宋体"/>
          <w:color w:val="auto"/>
          <w:kern w:val="0"/>
          <w:sz w:val="24"/>
        </w:rPr>
        <w:t>时间：</w:t>
      </w:r>
      <w:r>
        <w:rPr>
          <w:rFonts w:hint="eastAsia" w:ascii="宋体" w:hAnsi="宋体" w:cs="宋体"/>
          <w:color w:val="auto"/>
          <w:kern w:val="0"/>
          <w:sz w:val="24"/>
          <w:lang w:val="en-US" w:eastAsia="zh-CN"/>
        </w:rPr>
        <w:t>2026</w:t>
      </w:r>
      <w:r>
        <w:rPr>
          <w:rFonts w:hint="eastAsia" w:ascii="宋体" w:hAnsi="宋体" w:eastAsia="宋体" w:cs="宋体"/>
          <w:color w:val="auto"/>
          <w:kern w:val="0"/>
          <w:sz w:val="24"/>
        </w:rPr>
        <w:t>年</w:t>
      </w:r>
      <w:r>
        <w:rPr>
          <w:rFonts w:hint="eastAsia" w:ascii="宋体" w:hAnsi="宋体" w:cs="宋体"/>
          <w:color w:val="auto"/>
          <w:kern w:val="0"/>
          <w:sz w:val="24"/>
          <w:lang w:val="en-US" w:eastAsia="zh-CN"/>
        </w:rPr>
        <w:t xml:space="preserve"> 7</w:t>
      </w:r>
      <w:r>
        <w:rPr>
          <w:rFonts w:hint="eastAsia" w:ascii="宋体" w:hAnsi="宋体" w:eastAsia="宋体" w:cs="宋体"/>
          <w:color w:val="auto"/>
          <w:kern w:val="0"/>
          <w:sz w:val="24"/>
        </w:rPr>
        <w:t>月</w:t>
      </w:r>
      <w:r>
        <w:rPr>
          <w:rFonts w:hint="eastAsia" w:ascii="宋体" w:hAnsi="宋体" w:cs="宋体"/>
          <w:color w:val="auto"/>
          <w:kern w:val="0"/>
          <w:sz w:val="24"/>
          <w:lang w:val="en-US" w:eastAsia="zh-CN"/>
        </w:rPr>
        <w:t xml:space="preserve">24 </w:t>
      </w:r>
      <w:r>
        <w:rPr>
          <w:rFonts w:hint="eastAsia" w:ascii="宋体" w:hAnsi="宋体" w:eastAsia="宋体" w:cs="宋体"/>
          <w:color w:val="auto"/>
          <w:kern w:val="0"/>
          <w:sz w:val="24"/>
        </w:rPr>
        <w:t>日</w:t>
      </w:r>
      <w:r>
        <w:rPr>
          <w:rFonts w:hint="eastAsia" w:ascii="宋体" w:hAnsi="宋体" w:cs="宋体"/>
          <w:color w:val="auto"/>
          <w:kern w:val="0"/>
          <w:sz w:val="24"/>
          <w:lang w:val="en-US" w:eastAsia="zh-CN"/>
        </w:rPr>
        <w:t>9</w:t>
      </w:r>
      <w:r>
        <w:rPr>
          <w:rFonts w:hint="eastAsia" w:ascii="宋体" w:hAnsi="宋体" w:eastAsia="宋体" w:cs="宋体"/>
          <w:color w:val="auto"/>
          <w:kern w:val="0"/>
          <w:sz w:val="24"/>
        </w:rPr>
        <w:t>时</w:t>
      </w:r>
      <w:r>
        <w:rPr>
          <w:rFonts w:hint="eastAsia" w:ascii="宋体" w:hAnsi="宋体" w:cs="宋体"/>
          <w:color w:val="auto"/>
          <w:kern w:val="0"/>
          <w:sz w:val="24"/>
          <w:lang w:val="en-US" w:eastAsia="zh-CN"/>
        </w:rPr>
        <w:t>0</w:t>
      </w:r>
      <w:r>
        <w:rPr>
          <w:rFonts w:hint="eastAsia" w:ascii="宋体" w:hAnsi="宋体" w:eastAsia="宋体" w:cs="宋体"/>
          <w:color w:val="auto"/>
          <w:kern w:val="0"/>
          <w:sz w:val="24"/>
        </w:rPr>
        <w:t>0分（北京时间）</w:t>
      </w:r>
    </w:p>
    <w:p w14:paraId="76AF641D">
      <w:pPr>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2.地点：本项目为不见面开标项目，响应文件递交地点为“</w:t>
      </w:r>
      <w:r>
        <w:rPr>
          <w:rFonts w:hint="eastAsia" w:ascii="宋体" w:hAnsi="宋体" w:cs="宋体"/>
          <w:color w:val="auto"/>
          <w:kern w:val="0"/>
          <w:sz w:val="24"/>
          <w:lang w:eastAsia="zh-CN"/>
        </w:rPr>
        <w:t>全国公共资源交易平台（河南省·信阳市）</w:t>
      </w:r>
      <w:r>
        <w:rPr>
          <w:rFonts w:hint="eastAsia" w:ascii="宋体" w:hAnsi="宋体" w:eastAsia="宋体" w:cs="宋体"/>
          <w:color w:val="auto"/>
          <w:kern w:val="0"/>
          <w:sz w:val="24"/>
        </w:rPr>
        <w:t>（</w:t>
      </w:r>
      <w:r>
        <w:rPr>
          <w:rFonts w:hint="eastAsia" w:ascii="宋体" w:hAnsi="宋体" w:cs="宋体"/>
          <w:color w:val="auto"/>
          <w:kern w:val="0"/>
          <w:sz w:val="24"/>
          <w:lang w:eastAsia="zh-CN"/>
        </w:rPr>
        <w:t>https://ggzyjy.xinyang.gov.cn/</w:t>
      </w:r>
      <w:r>
        <w:rPr>
          <w:rFonts w:hint="eastAsia" w:ascii="宋体" w:hAnsi="宋体" w:eastAsia="宋体" w:cs="宋体"/>
          <w:color w:val="auto"/>
          <w:kern w:val="0"/>
          <w:sz w:val="24"/>
        </w:rPr>
        <w:t>）”电子招投标平台会员系统指定位置。</w:t>
      </w:r>
    </w:p>
    <w:p w14:paraId="645B0637">
      <w:pPr>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bCs/>
          <w:color w:val="auto"/>
          <w:sz w:val="24"/>
          <w:szCs w:val="32"/>
          <w:lang w:eastAsia="zh-CN"/>
        </w:rPr>
      </w:pPr>
      <w:r>
        <w:rPr>
          <w:rFonts w:hint="eastAsia" w:ascii="宋体" w:hAnsi="宋体" w:eastAsia="宋体" w:cs="宋体"/>
          <w:b/>
          <w:bCs/>
          <w:color w:val="auto"/>
          <w:sz w:val="24"/>
          <w:szCs w:val="32"/>
        </w:rPr>
        <w:t>五、响应文件开启</w:t>
      </w:r>
      <w:r>
        <w:rPr>
          <w:rFonts w:hint="eastAsia" w:ascii="宋体" w:hAnsi="宋体" w:eastAsia="宋体" w:cs="宋体"/>
          <w:b/>
          <w:bCs/>
          <w:color w:val="auto"/>
          <w:sz w:val="24"/>
          <w:szCs w:val="32"/>
          <w:lang w:eastAsia="zh-CN"/>
        </w:rPr>
        <w:t>：</w:t>
      </w:r>
    </w:p>
    <w:p w14:paraId="40935DCE">
      <w:pPr>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1.时间：</w:t>
      </w:r>
      <w:r>
        <w:rPr>
          <w:rFonts w:hint="eastAsia" w:ascii="宋体" w:hAnsi="宋体" w:cs="宋体"/>
          <w:color w:val="auto"/>
          <w:kern w:val="0"/>
          <w:sz w:val="24"/>
          <w:lang w:val="en-US" w:eastAsia="zh-CN"/>
        </w:rPr>
        <w:t>2026</w:t>
      </w:r>
      <w:r>
        <w:rPr>
          <w:rFonts w:hint="eastAsia" w:ascii="宋体" w:hAnsi="宋体" w:eastAsia="宋体" w:cs="宋体"/>
          <w:color w:val="auto"/>
          <w:kern w:val="0"/>
          <w:sz w:val="24"/>
        </w:rPr>
        <w:t>年</w:t>
      </w:r>
      <w:r>
        <w:rPr>
          <w:rFonts w:hint="eastAsia" w:ascii="宋体" w:hAnsi="宋体" w:cs="宋体"/>
          <w:color w:val="auto"/>
          <w:kern w:val="0"/>
          <w:sz w:val="24"/>
          <w:lang w:val="en-US" w:eastAsia="zh-CN"/>
        </w:rPr>
        <w:t xml:space="preserve"> 7</w:t>
      </w:r>
      <w:r>
        <w:rPr>
          <w:rFonts w:hint="eastAsia" w:ascii="宋体" w:hAnsi="宋体" w:eastAsia="宋体" w:cs="宋体"/>
          <w:color w:val="auto"/>
          <w:kern w:val="0"/>
          <w:sz w:val="24"/>
        </w:rPr>
        <w:t>月</w:t>
      </w:r>
      <w:r>
        <w:rPr>
          <w:rFonts w:hint="eastAsia" w:ascii="宋体" w:hAnsi="宋体" w:cs="宋体"/>
          <w:color w:val="auto"/>
          <w:kern w:val="0"/>
          <w:sz w:val="24"/>
          <w:lang w:val="en-US" w:eastAsia="zh-CN"/>
        </w:rPr>
        <w:t xml:space="preserve">24 </w:t>
      </w:r>
      <w:r>
        <w:rPr>
          <w:rFonts w:hint="eastAsia" w:ascii="宋体" w:hAnsi="宋体" w:eastAsia="宋体" w:cs="宋体"/>
          <w:color w:val="auto"/>
          <w:kern w:val="0"/>
          <w:sz w:val="24"/>
        </w:rPr>
        <w:t>日</w:t>
      </w:r>
      <w:r>
        <w:rPr>
          <w:rFonts w:hint="eastAsia" w:ascii="宋体" w:hAnsi="宋体" w:cs="宋体"/>
          <w:color w:val="auto"/>
          <w:kern w:val="0"/>
          <w:sz w:val="24"/>
          <w:lang w:val="en-US" w:eastAsia="zh-CN"/>
        </w:rPr>
        <w:t>9</w:t>
      </w:r>
      <w:r>
        <w:rPr>
          <w:rFonts w:hint="eastAsia" w:ascii="宋体" w:hAnsi="宋体" w:eastAsia="宋体" w:cs="宋体"/>
          <w:color w:val="auto"/>
          <w:kern w:val="0"/>
          <w:sz w:val="24"/>
        </w:rPr>
        <w:t>时</w:t>
      </w:r>
      <w:r>
        <w:rPr>
          <w:rFonts w:hint="eastAsia" w:ascii="宋体" w:hAnsi="宋体" w:cs="宋体"/>
          <w:color w:val="auto"/>
          <w:kern w:val="0"/>
          <w:sz w:val="24"/>
          <w:lang w:val="en-US" w:eastAsia="zh-CN"/>
        </w:rPr>
        <w:t>0</w:t>
      </w:r>
      <w:r>
        <w:rPr>
          <w:rFonts w:hint="eastAsia" w:ascii="宋体" w:hAnsi="宋体" w:eastAsia="宋体" w:cs="宋体"/>
          <w:color w:val="auto"/>
          <w:kern w:val="0"/>
          <w:sz w:val="24"/>
        </w:rPr>
        <w:t>0分（北京时间）</w:t>
      </w:r>
    </w:p>
    <w:p w14:paraId="4B7583BE">
      <w:pPr>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rPr>
      </w:pPr>
      <w:r>
        <w:rPr>
          <w:rFonts w:hint="eastAsia" w:ascii="宋体" w:hAnsi="宋体" w:eastAsia="宋体" w:cs="宋体"/>
          <w:color w:val="auto"/>
          <w:kern w:val="0"/>
          <w:sz w:val="24"/>
        </w:rPr>
        <w:t>2.地点：</w:t>
      </w:r>
      <w:r>
        <w:rPr>
          <w:rFonts w:hint="eastAsia" w:ascii="宋体" w:hAnsi="宋体" w:cs="宋体"/>
          <w:b w:val="0"/>
          <w:bCs w:val="0"/>
          <w:color w:val="auto"/>
          <w:sz w:val="24"/>
          <w:szCs w:val="32"/>
          <w:lang w:val="zh-CN" w:eastAsia="zh-CN"/>
        </w:rPr>
        <w:t>信阳市公共资源交易中心AI机器人开标虚拟</w:t>
      </w:r>
      <w:r>
        <w:rPr>
          <w:rFonts w:hint="eastAsia" w:ascii="宋体" w:hAnsi="宋体" w:cs="宋体"/>
          <w:b w:val="0"/>
          <w:bCs w:val="0"/>
          <w:color w:val="auto"/>
          <w:sz w:val="24"/>
          <w:szCs w:val="32"/>
          <w:lang w:val="en-US" w:eastAsia="zh-CN"/>
        </w:rPr>
        <w:t xml:space="preserve"> 三 </w:t>
      </w:r>
      <w:r>
        <w:rPr>
          <w:rFonts w:hint="eastAsia" w:ascii="宋体" w:hAnsi="宋体" w:cs="宋体"/>
          <w:b w:val="0"/>
          <w:bCs w:val="0"/>
          <w:color w:val="auto"/>
          <w:sz w:val="24"/>
          <w:szCs w:val="32"/>
          <w:lang w:val="zh-CN" w:eastAsia="zh-CN"/>
        </w:rPr>
        <w:t>厅</w:t>
      </w:r>
    </w:p>
    <w:p w14:paraId="1AD88CF1">
      <w:pPr>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bCs/>
          <w:sz w:val="24"/>
          <w:szCs w:val="32"/>
        </w:rPr>
      </w:pPr>
      <w:r>
        <w:rPr>
          <w:rFonts w:hint="eastAsia" w:ascii="宋体" w:hAnsi="宋体" w:eastAsia="宋体" w:cs="宋体"/>
          <w:b/>
          <w:bCs/>
          <w:sz w:val="24"/>
          <w:szCs w:val="32"/>
        </w:rPr>
        <w:t>六、发布公告的媒介及公告期限：</w:t>
      </w:r>
    </w:p>
    <w:p w14:paraId="46F779F3">
      <w:pPr>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rPr>
      </w:pPr>
      <w:r>
        <w:rPr>
          <w:rFonts w:hint="eastAsia" w:ascii="宋体" w:hAnsi="宋体" w:eastAsia="宋体" w:cs="宋体"/>
          <w:kern w:val="0"/>
          <w:sz w:val="24"/>
        </w:rPr>
        <w:t>本次</w:t>
      </w:r>
      <w:r>
        <w:rPr>
          <w:rFonts w:hint="eastAsia" w:ascii="宋体" w:hAnsi="宋体" w:eastAsia="宋体" w:cs="宋体"/>
          <w:kern w:val="0"/>
          <w:sz w:val="24"/>
          <w:lang w:val="en-US" w:eastAsia="zh-CN"/>
        </w:rPr>
        <w:t>磋商</w:t>
      </w:r>
      <w:r>
        <w:rPr>
          <w:rFonts w:hint="eastAsia" w:ascii="宋体" w:hAnsi="宋体" w:eastAsia="宋体" w:cs="宋体"/>
          <w:kern w:val="0"/>
          <w:sz w:val="24"/>
        </w:rPr>
        <w:t>公告在《</w:t>
      </w:r>
      <w:r>
        <w:rPr>
          <w:rFonts w:hint="eastAsia" w:ascii="宋体" w:hAnsi="宋体" w:cs="宋体"/>
          <w:kern w:val="0"/>
          <w:sz w:val="24"/>
          <w:lang w:eastAsia="zh-CN"/>
        </w:rPr>
        <w:t>全国公共资源交易平台（河南省·信阳市）</w:t>
      </w:r>
      <w:r>
        <w:rPr>
          <w:rFonts w:hint="eastAsia" w:ascii="宋体" w:hAnsi="宋体" w:eastAsia="宋体" w:cs="宋体"/>
          <w:kern w:val="0"/>
          <w:sz w:val="24"/>
        </w:rPr>
        <w:t>》</w:t>
      </w:r>
      <w:r>
        <w:rPr>
          <w:rFonts w:hint="eastAsia" w:ascii="宋体" w:hAnsi="宋体" w:cs="宋体"/>
          <w:kern w:val="0"/>
          <w:sz w:val="24"/>
          <w:lang w:val="en-US" w:eastAsia="zh-CN"/>
        </w:rPr>
        <w:t>和</w:t>
      </w:r>
      <w:r>
        <w:rPr>
          <w:rFonts w:hint="eastAsia" w:ascii="宋体" w:hAnsi="宋体" w:eastAsia="宋体" w:cs="宋体"/>
          <w:kern w:val="0"/>
          <w:sz w:val="24"/>
          <w:lang w:eastAsia="zh-CN"/>
        </w:rPr>
        <w:t>《河南省政府采购网》</w:t>
      </w:r>
      <w:r>
        <w:rPr>
          <w:rFonts w:hint="eastAsia" w:ascii="宋体" w:hAnsi="宋体" w:cs="宋体"/>
          <w:kern w:val="0"/>
          <w:sz w:val="24"/>
          <w:lang w:eastAsia="zh-CN"/>
        </w:rPr>
        <w:t>、《</w:t>
      </w:r>
      <w:r>
        <w:rPr>
          <w:rFonts w:hint="eastAsia" w:ascii="宋体" w:hAnsi="宋体" w:cs="宋体"/>
          <w:kern w:val="0"/>
          <w:sz w:val="24"/>
          <w:lang w:val="en-US" w:eastAsia="zh-CN"/>
        </w:rPr>
        <w:t>信阳市中医院官方网站》</w:t>
      </w:r>
      <w:r>
        <w:rPr>
          <w:rFonts w:hint="eastAsia" w:ascii="宋体" w:hAnsi="宋体" w:eastAsia="宋体" w:cs="宋体"/>
          <w:kern w:val="0"/>
          <w:sz w:val="24"/>
        </w:rPr>
        <w:t>网上发布</w:t>
      </w: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磋商</w:t>
      </w:r>
      <w:r>
        <w:rPr>
          <w:rFonts w:hint="eastAsia" w:ascii="宋体" w:hAnsi="宋体" w:eastAsia="宋体" w:cs="宋体"/>
          <w:kern w:val="0"/>
          <w:sz w:val="24"/>
          <w:lang w:eastAsia="zh-CN"/>
        </w:rPr>
        <w:t>公告期限为</w:t>
      </w:r>
      <w:r>
        <w:rPr>
          <w:rFonts w:hint="eastAsia" w:ascii="宋体" w:hAnsi="宋体" w:eastAsia="宋体" w:cs="宋体"/>
          <w:kern w:val="0"/>
          <w:sz w:val="24"/>
          <w:lang w:val="en-US" w:eastAsia="zh-CN"/>
        </w:rPr>
        <w:t>五</w:t>
      </w:r>
      <w:r>
        <w:rPr>
          <w:rFonts w:hint="eastAsia" w:ascii="宋体" w:hAnsi="宋体" w:eastAsia="宋体" w:cs="宋体"/>
          <w:kern w:val="0"/>
          <w:sz w:val="24"/>
          <w:lang w:eastAsia="zh-CN"/>
        </w:rPr>
        <w:t>个工作日</w:t>
      </w:r>
      <w:r>
        <w:rPr>
          <w:rFonts w:hint="eastAsia" w:ascii="宋体" w:hAnsi="宋体" w:eastAsia="宋体" w:cs="宋体"/>
          <w:kern w:val="0"/>
          <w:sz w:val="24"/>
        </w:rPr>
        <w:t>。</w:t>
      </w:r>
    </w:p>
    <w:p w14:paraId="2B3A893F">
      <w:pPr>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b/>
          <w:bCs/>
          <w:sz w:val="24"/>
          <w:szCs w:val="32"/>
          <w:lang w:val="zh-CN"/>
        </w:rPr>
      </w:pPr>
      <w:r>
        <w:rPr>
          <w:rFonts w:hint="eastAsia" w:ascii="宋体" w:hAnsi="宋体" w:eastAsia="宋体" w:cs="宋体"/>
          <w:b/>
          <w:bCs/>
          <w:sz w:val="24"/>
          <w:szCs w:val="32"/>
          <w:lang w:val="zh-CN"/>
        </w:rPr>
        <w:t>七、其他补充事宜：</w:t>
      </w:r>
    </w:p>
    <w:p w14:paraId="5B4326FE">
      <w:pPr>
        <w:keepLines w:val="0"/>
        <w:pageBreakBefore w:val="0"/>
        <w:widowControl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kern w:val="0"/>
          <w:sz w:val="24"/>
        </w:rPr>
      </w:pPr>
      <w:r>
        <w:rPr>
          <w:rFonts w:hint="eastAsia" w:ascii="宋体" w:hAnsi="宋体" w:eastAsia="宋体" w:cs="宋体"/>
          <w:kern w:val="0"/>
          <w:sz w:val="24"/>
        </w:rPr>
        <w:t>1.</w:t>
      </w:r>
      <w:r>
        <w:rPr>
          <w:rFonts w:hint="eastAsia" w:ascii="宋体" w:hAnsi="宋体" w:eastAsia="宋体" w:cs="宋体"/>
          <w:kern w:val="0"/>
          <w:sz w:val="24"/>
          <w:lang w:val="en-US" w:eastAsia="zh-CN"/>
        </w:rPr>
        <w:t>供应商</w:t>
      </w:r>
      <w:r>
        <w:rPr>
          <w:rFonts w:hint="eastAsia" w:ascii="宋体" w:hAnsi="宋体" w:eastAsia="宋体" w:cs="宋体"/>
          <w:kern w:val="0"/>
          <w:sz w:val="24"/>
        </w:rPr>
        <w:t>必须在</w:t>
      </w:r>
      <w:r>
        <w:rPr>
          <w:rFonts w:hint="eastAsia" w:ascii="宋体" w:hAnsi="宋体" w:eastAsia="宋体" w:cs="宋体"/>
          <w:kern w:val="0"/>
          <w:sz w:val="24"/>
          <w:lang w:val="en-US" w:eastAsia="zh-CN"/>
        </w:rPr>
        <w:t>响应文件提交</w:t>
      </w:r>
      <w:r>
        <w:rPr>
          <w:rFonts w:hint="eastAsia" w:ascii="宋体" w:hAnsi="宋体" w:eastAsia="宋体" w:cs="宋体"/>
          <w:kern w:val="0"/>
          <w:sz w:val="24"/>
        </w:rPr>
        <w:t>截止时间前通过信阳市市县一体化公共资源交易系统</w:t>
      </w:r>
      <w:r>
        <w:rPr>
          <w:rFonts w:hint="eastAsia" w:ascii="宋体" w:hAnsi="宋体" w:eastAsia="宋体" w:cs="宋体"/>
          <w:b w:val="0"/>
          <w:bCs w:val="0"/>
          <w:strike w:val="0"/>
          <w:dstrike w:val="0"/>
          <w:color w:val="auto"/>
          <w:sz w:val="24"/>
          <w:szCs w:val="32"/>
          <w:lang w:val="en-US" w:eastAsia="zh-CN"/>
        </w:rPr>
        <w:t>（https://ggzyjy.xinyang.gov.cn/TPBidder/memberLogin）</w:t>
      </w:r>
      <w:r>
        <w:rPr>
          <w:rFonts w:hint="eastAsia" w:ascii="宋体" w:hAnsi="宋体" w:eastAsia="宋体" w:cs="宋体"/>
          <w:b w:val="0"/>
          <w:bCs w:val="0"/>
          <w:color w:val="auto"/>
          <w:kern w:val="0"/>
          <w:sz w:val="24"/>
        </w:rPr>
        <w:t>上</w:t>
      </w:r>
      <w:r>
        <w:rPr>
          <w:rFonts w:hint="eastAsia" w:ascii="宋体" w:hAnsi="宋体" w:eastAsia="宋体" w:cs="宋体"/>
          <w:kern w:val="0"/>
          <w:sz w:val="24"/>
        </w:rPr>
        <w:t>传电子</w:t>
      </w:r>
      <w:r>
        <w:rPr>
          <w:rFonts w:hint="eastAsia" w:ascii="宋体" w:hAnsi="宋体" w:eastAsia="宋体" w:cs="宋体"/>
          <w:kern w:val="0"/>
          <w:sz w:val="24"/>
          <w:lang w:val="en-US" w:eastAsia="zh-CN"/>
        </w:rPr>
        <w:t>响应</w:t>
      </w:r>
      <w:r>
        <w:rPr>
          <w:rFonts w:hint="eastAsia" w:ascii="宋体" w:hAnsi="宋体" w:eastAsia="宋体" w:cs="宋体"/>
          <w:kern w:val="0"/>
          <w:sz w:val="24"/>
        </w:rPr>
        <w:t>文件(*.XYTF格式)。上传的电子</w:t>
      </w:r>
      <w:r>
        <w:rPr>
          <w:rFonts w:hint="eastAsia" w:ascii="宋体" w:hAnsi="宋体" w:eastAsia="宋体" w:cs="宋体"/>
          <w:kern w:val="0"/>
          <w:sz w:val="24"/>
          <w:lang w:val="en-US" w:eastAsia="zh-CN"/>
        </w:rPr>
        <w:t>响应</w:t>
      </w:r>
      <w:r>
        <w:rPr>
          <w:rFonts w:hint="eastAsia" w:ascii="宋体" w:hAnsi="宋体" w:eastAsia="宋体" w:cs="宋体"/>
          <w:kern w:val="0"/>
          <w:sz w:val="24"/>
        </w:rPr>
        <w:t>文件应使用</w:t>
      </w:r>
      <w:r>
        <w:rPr>
          <w:rFonts w:hint="eastAsia" w:ascii="宋体" w:hAnsi="宋体" w:eastAsia="宋体" w:cs="宋体"/>
          <w:kern w:val="0"/>
          <w:sz w:val="24"/>
          <w:lang w:val="en-US" w:eastAsia="zh-CN"/>
        </w:rPr>
        <w:t>供应商</w:t>
      </w:r>
      <w:r>
        <w:rPr>
          <w:rFonts w:hint="eastAsia" w:ascii="宋体" w:hAnsi="宋体" w:eastAsia="宋体" w:cs="宋体"/>
          <w:kern w:val="0"/>
          <w:sz w:val="24"/>
        </w:rPr>
        <w:t>CA数字证书认证并加密。</w:t>
      </w:r>
    </w:p>
    <w:p w14:paraId="3D9747BF">
      <w:pPr>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rPr>
      </w:pPr>
      <w:r>
        <w:rPr>
          <w:rFonts w:hint="eastAsia" w:ascii="宋体" w:hAnsi="宋体" w:eastAsia="宋体" w:cs="宋体"/>
          <w:kern w:val="0"/>
          <w:sz w:val="24"/>
        </w:rPr>
        <w:t>2.加密电子</w:t>
      </w:r>
      <w:r>
        <w:rPr>
          <w:rFonts w:hint="eastAsia" w:ascii="宋体" w:hAnsi="宋体" w:eastAsia="宋体" w:cs="宋体"/>
          <w:kern w:val="0"/>
          <w:sz w:val="24"/>
          <w:lang w:val="en-US" w:eastAsia="zh-CN"/>
        </w:rPr>
        <w:t>响应</w:t>
      </w:r>
      <w:r>
        <w:rPr>
          <w:rFonts w:hint="eastAsia" w:ascii="宋体" w:hAnsi="宋体" w:eastAsia="宋体" w:cs="宋体"/>
          <w:kern w:val="0"/>
          <w:sz w:val="24"/>
        </w:rPr>
        <w:t>文件逾期上传的，采购人不予受理。</w:t>
      </w:r>
    </w:p>
    <w:p w14:paraId="37649A30">
      <w:pPr>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rPr>
      </w:pPr>
      <w:r>
        <w:rPr>
          <w:rFonts w:hint="eastAsia" w:ascii="宋体" w:hAnsi="宋体" w:eastAsia="宋体" w:cs="宋体"/>
          <w:kern w:val="0"/>
          <w:sz w:val="24"/>
        </w:rPr>
        <w:t>3.本项目采用“不见面开标”交易方式，不见面开标大厅网址为</w:t>
      </w:r>
      <w:r>
        <w:rPr>
          <w:rFonts w:hint="eastAsia" w:ascii="宋体" w:hAnsi="宋体" w:eastAsia="宋体" w:cs="宋体"/>
          <w:kern w:val="0"/>
          <w:sz w:val="24"/>
          <w:lang w:val="en-US" w:eastAsia="zh-CN"/>
        </w:rPr>
        <w:t>https://ggzyjy.xinyang.gov.cn/BidOpening/bidhall/xinyang/login.html</w:t>
      </w:r>
      <w:r>
        <w:rPr>
          <w:rFonts w:hint="eastAsia" w:ascii="宋体" w:hAnsi="宋体" w:eastAsia="宋体" w:cs="宋体"/>
          <w:color w:val="auto"/>
          <w:kern w:val="0"/>
          <w:sz w:val="24"/>
          <w:u w:val="none"/>
        </w:rPr>
        <w:t>，</w:t>
      </w:r>
      <w:r>
        <w:rPr>
          <w:rFonts w:hint="eastAsia" w:ascii="宋体" w:hAnsi="宋体" w:eastAsia="宋体" w:cs="宋体"/>
          <w:kern w:val="0"/>
          <w:sz w:val="24"/>
          <w:lang w:val="en-US" w:eastAsia="zh-CN"/>
        </w:rPr>
        <w:t>供应商</w:t>
      </w:r>
      <w:r>
        <w:rPr>
          <w:rFonts w:hint="eastAsia" w:ascii="宋体" w:hAnsi="宋体" w:eastAsia="宋体" w:cs="宋体"/>
          <w:color w:val="auto"/>
          <w:kern w:val="0"/>
          <w:sz w:val="24"/>
          <w:u w:val="none"/>
        </w:rPr>
        <w:t>无需寄送和递交非加密的电子</w:t>
      </w:r>
      <w:r>
        <w:rPr>
          <w:rFonts w:hint="eastAsia" w:ascii="宋体" w:hAnsi="宋体" w:eastAsia="宋体" w:cs="宋体"/>
          <w:kern w:val="0"/>
          <w:sz w:val="24"/>
          <w:lang w:val="en-US" w:eastAsia="zh-CN"/>
        </w:rPr>
        <w:t>响应</w:t>
      </w:r>
      <w:r>
        <w:rPr>
          <w:rFonts w:hint="eastAsia" w:ascii="宋体" w:hAnsi="宋体" w:eastAsia="宋体" w:cs="宋体"/>
          <w:color w:val="auto"/>
          <w:kern w:val="0"/>
          <w:sz w:val="24"/>
          <w:u w:val="none"/>
        </w:rPr>
        <w:t>文件，无需到现场参加开标会议，无需到达现场提交原件资料。</w:t>
      </w:r>
    </w:p>
    <w:p w14:paraId="38D12EDB">
      <w:pPr>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rPr>
      </w:pPr>
      <w:r>
        <w:rPr>
          <w:rFonts w:hint="eastAsia" w:ascii="宋体" w:hAnsi="宋体" w:eastAsia="宋体" w:cs="宋体"/>
          <w:kern w:val="0"/>
          <w:sz w:val="24"/>
        </w:rPr>
        <w:t>4.</w:t>
      </w:r>
      <w:r>
        <w:rPr>
          <w:rFonts w:hint="eastAsia" w:ascii="宋体" w:hAnsi="宋体" w:eastAsia="宋体" w:cs="宋体"/>
          <w:kern w:val="0"/>
          <w:sz w:val="24"/>
          <w:lang w:val="en-US" w:eastAsia="zh-CN"/>
        </w:rPr>
        <w:t>供应商</w:t>
      </w:r>
      <w:r>
        <w:rPr>
          <w:rFonts w:hint="eastAsia" w:ascii="宋体" w:hAnsi="宋体" w:eastAsia="宋体" w:cs="宋体"/>
          <w:kern w:val="0"/>
          <w:sz w:val="24"/>
        </w:rPr>
        <w:t>应当在</w:t>
      </w:r>
      <w:r>
        <w:rPr>
          <w:rFonts w:hint="eastAsia" w:ascii="宋体" w:hAnsi="宋体" w:eastAsia="宋体" w:cs="宋体"/>
          <w:kern w:val="0"/>
          <w:sz w:val="24"/>
          <w:lang w:val="en-US" w:eastAsia="zh-CN"/>
        </w:rPr>
        <w:t>响应文件提交</w:t>
      </w:r>
      <w:r>
        <w:rPr>
          <w:rFonts w:hint="eastAsia" w:ascii="宋体" w:hAnsi="宋体" w:eastAsia="宋体" w:cs="宋体"/>
          <w:kern w:val="0"/>
          <w:sz w:val="24"/>
        </w:rPr>
        <w:t>截止时间前，使用</w:t>
      </w:r>
      <w:r>
        <w:rPr>
          <w:rFonts w:hint="eastAsia" w:ascii="宋体" w:hAnsi="宋体" w:eastAsia="宋体" w:cs="宋体"/>
          <w:kern w:val="0"/>
          <w:sz w:val="24"/>
          <w:lang w:val="en-US" w:eastAsia="zh-CN"/>
        </w:rPr>
        <w:t>供应商</w:t>
      </w:r>
      <w:r>
        <w:rPr>
          <w:rFonts w:hint="eastAsia" w:ascii="宋体" w:hAnsi="宋体" w:eastAsia="宋体" w:cs="宋体"/>
          <w:kern w:val="0"/>
          <w:sz w:val="24"/>
        </w:rPr>
        <w:t>CA数字证书登录不见面开标大厅，在线签到并准时参加开标活动，并在规定时间内完成电子</w:t>
      </w:r>
      <w:r>
        <w:rPr>
          <w:rFonts w:hint="eastAsia" w:ascii="宋体" w:hAnsi="宋体" w:eastAsia="宋体" w:cs="宋体"/>
          <w:kern w:val="0"/>
          <w:sz w:val="24"/>
          <w:lang w:val="en-US" w:eastAsia="zh-CN"/>
        </w:rPr>
        <w:t>响应</w:t>
      </w:r>
      <w:r>
        <w:rPr>
          <w:rFonts w:hint="eastAsia" w:ascii="宋体" w:hAnsi="宋体" w:eastAsia="宋体" w:cs="宋体"/>
          <w:kern w:val="0"/>
          <w:sz w:val="24"/>
        </w:rPr>
        <w:t>文件解密、答疑澄清等。</w:t>
      </w:r>
    </w:p>
    <w:p w14:paraId="4A70957D">
      <w:pPr>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rPr>
      </w:pPr>
      <w:r>
        <w:rPr>
          <w:rFonts w:hint="eastAsia" w:ascii="宋体" w:hAnsi="宋体" w:eastAsia="宋体" w:cs="宋体"/>
          <w:kern w:val="0"/>
          <w:sz w:val="24"/>
        </w:rPr>
        <w:t>5.逾期解密或者没有准时在线参加开标活动导致的一切后</w:t>
      </w:r>
      <w:r>
        <w:rPr>
          <w:rFonts w:hint="eastAsia" w:ascii="宋体" w:hAnsi="宋体" w:cs="宋体"/>
          <w:kern w:val="0"/>
          <w:sz w:val="24"/>
          <w:lang w:eastAsia="zh-CN"/>
        </w:rPr>
        <w:t>果由</w:t>
      </w:r>
      <w:r>
        <w:rPr>
          <w:rFonts w:hint="eastAsia" w:ascii="宋体" w:hAnsi="宋体" w:eastAsia="宋体" w:cs="宋体"/>
          <w:kern w:val="0"/>
          <w:sz w:val="24"/>
          <w:lang w:val="en-US" w:eastAsia="zh-CN"/>
        </w:rPr>
        <w:t>供应商</w:t>
      </w:r>
      <w:r>
        <w:rPr>
          <w:rFonts w:hint="eastAsia" w:ascii="宋体" w:hAnsi="宋体" w:eastAsia="宋体" w:cs="宋体"/>
          <w:kern w:val="0"/>
          <w:sz w:val="24"/>
        </w:rPr>
        <w:t>自行承担。</w:t>
      </w:r>
    </w:p>
    <w:p w14:paraId="36B9C40D">
      <w:pPr>
        <w:widowControl/>
        <w:snapToGrid w:val="0"/>
        <w:spacing w:line="360" w:lineRule="auto"/>
        <w:ind w:firstLine="420"/>
        <w:jc w:val="left"/>
        <w:outlineLvl w:val="9"/>
        <w:rPr>
          <w:rFonts w:hint="eastAsia" w:ascii="宋体" w:hAnsi="宋体" w:eastAsia="宋体" w:cs="宋体"/>
          <w:kern w:val="0"/>
          <w:sz w:val="24"/>
        </w:rPr>
      </w:pPr>
      <w:r>
        <w:rPr>
          <w:rFonts w:hint="eastAsia" w:ascii="宋体" w:hAnsi="宋体" w:eastAsia="宋体" w:cs="宋体"/>
          <w:kern w:val="0"/>
          <w:sz w:val="24"/>
        </w:rPr>
        <w:t>6.不见面开标服务的具体事宜，请查阅“全国公共资源交易平台（河南省·信阳市）”网站首页—下载</w:t>
      </w:r>
      <w:r>
        <w:rPr>
          <w:rFonts w:hint="eastAsia" w:ascii="宋体" w:hAnsi="宋体" w:eastAsia="宋体" w:cs="宋体"/>
          <w:kern w:val="0"/>
          <w:sz w:val="24"/>
          <w:lang w:val="en-US" w:eastAsia="zh-CN"/>
        </w:rPr>
        <w:t>专区</w:t>
      </w:r>
      <w:r>
        <w:rPr>
          <w:rFonts w:hint="eastAsia" w:ascii="宋体" w:hAnsi="宋体" w:eastAsia="宋体" w:cs="宋体"/>
          <w:kern w:val="0"/>
          <w:sz w:val="24"/>
        </w:rPr>
        <w:t>—信阳市不见面开标大厅系统操作手册 。</w:t>
      </w:r>
    </w:p>
    <w:p w14:paraId="645E709E">
      <w:pPr>
        <w:widowControl/>
        <w:snapToGrid w:val="0"/>
        <w:spacing w:line="360" w:lineRule="auto"/>
        <w:ind w:firstLine="420"/>
        <w:jc w:val="left"/>
        <w:outlineLvl w:val="9"/>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7、监督机构：信阳市财政局政府采购科</w:t>
      </w:r>
    </w:p>
    <w:p w14:paraId="2640DAD7">
      <w:pPr>
        <w:widowControl/>
        <w:snapToGrid w:val="0"/>
        <w:spacing w:line="360" w:lineRule="auto"/>
        <w:ind w:firstLine="420"/>
        <w:jc w:val="left"/>
        <w:outlineLvl w:val="9"/>
        <w:rPr>
          <w:rFonts w:hint="eastAsia" w:ascii="宋体" w:hAnsi="宋体" w:eastAsia="宋体" w:cs="宋体"/>
          <w:color w:val="auto"/>
          <w:kern w:val="0"/>
          <w:sz w:val="24"/>
          <w:szCs w:val="24"/>
          <w:lang w:val="en-US" w:eastAsia="zh-CN"/>
        </w:rPr>
      </w:pPr>
      <w:r>
        <w:rPr>
          <w:rFonts w:hint="eastAsia" w:ascii="宋体" w:hAnsi="宋体" w:eastAsia="宋体" w:cs="宋体"/>
          <w:color w:val="000000"/>
          <w:kern w:val="0"/>
          <w:sz w:val="24"/>
          <w:szCs w:val="24"/>
          <w:lang w:val="en-US" w:eastAsia="zh-CN"/>
        </w:rPr>
        <w:t>联系方式：0376-6699188</w:t>
      </w:r>
    </w:p>
    <w:p w14:paraId="2B56482C">
      <w:pPr>
        <w:widowControl/>
        <w:snapToGrid w:val="0"/>
        <w:spacing w:line="360" w:lineRule="auto"/>
        <w:ind w:firstLine="420"/>
        <w:jc w:val="left"/>
        <w:outlineLvl w:val="9"/>
        <w:rPr>
          <w:rFonts w:hint="eastAsia" w:ascii="宋体" w:hAnsi="宋体" w:eastAsia="宋体" w:cs="宋体"/>
          <w:color w:val="auto"/>
          <w:kern w:val="0"/>
          <w:sz w:val="24"/>
        </w:rPr>
      </w:pPr>
      <w:r>
        <w:rPr>
          <w:rFonts w:hint="eastAsia" w:ascii="宋体" w:hAnsi="宋体" w:eastAsia="宋体" w:cs="宋体"/>
          <w:color w:val="auto"/>
          <w:kern w:val="0"/>
          <w:sz w:val="24"/>
          <w:szCs w:val="24"/>
          <w:lang w:val="en-US" w:eastAsia="zh-CN"/>
        </w:rPr>
        <w:t>8、本项目代理服务费参照“豫招协〔2023〕002号”收费标准收取，收费金额为</w:t>
      </w:r>
      <w:r>
        <w:rPr>
          <w:rFonts w:hint="eastAsia" w:ascii="宋体" w:hAnsi="宋体" w:cs="宋体"/>
          <w:color w:val="auto"/>
          <w:kern w:val="0"/>
          <w:sz w:val="24"/>
          <w:szCs w:val="24"/>
          <w:lang w:val="en-US" w:eastAsia="zh-CN"/>
        </w:rPr>
        <w:t xml:space="preserve">27920.00 </w:t>
      </w:r>
      <w:bookmarkStart w:id="779" w:name="_GoBack"/>
      <w:bookmarkEnd w:id="779"/>
      <w:r>
        <w:rPr>
          <w:rFonts w:hint="eastAsia" w:ascii="宋体" w:hAnsi="宋体" w:cs="宋体"/>
          <w:color w:val="auto"/>
          <w:kern w:val="0"/>
          <w:sz w:val="24"/>
          <w:szCs w:val="24"/>
          <w:lang w:val="en-US" w:eastAsia="zh-CN"/>
        </w:rPr>
        <w:t xml:space="preserve"> </w:t>
      </w:r>
      <w:r>
        <w:rPr>
          <w:rFonts w:hint="eastAsia" w:ascii="宋体" w:hAnsi="宋体" w:eastAsia="宋体" w:cs="宋体"/>
          <w:color w:val="auto"/>
          <w:kern w:val="0"/>
          <w:sz w:val="24"/>
          <w:szCs w:val="24"/>
          <w:lang w:val="en-US" w:eastAsia="zh-CN"/>
        </w:rPr>
        <w:t>元。</w:t>
      </w:r>
    </w:p>
    <w:p w14:paraId="413444BE">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bCs/>
          <w:kern w:val="0"/>
          <w:sz w:val="24"/>
        </w:rPr>
      </w:pPr>
      <w:r>
        <w:rPr>
          <w:rFonts w:hint="eastAsia" w:ascii="宋体" w:hAnsi="宋体" w:eastAsia="宋体" w:cs="宋体"/>
          <w:b/>
          <w:bCs/>
          <w:kern w:val="0"/>
          <w:sz w:val="24"/>
        </w:rPr>
        <w:t>特别提示：</w:t>
      </w:r>
      <w:r>
        <w:rPr>
          <w:rFonts w:hint="eastAsia" w:ascii="宋体" w:hAnsi="宋体" w:eastAsia="宋体" w:cs="宋体"/>
          <w:b w:val="0"/>
          <w:bCs w:val="0"/>
          <w:color w:val="auto"/>
          <w:kern w:val="0"/>
          <w:sz w:val="24"/>
          <w:lang w:val="en-US" w:eastAsia="zh-CN"/>
        </w:rPr>
        <w:t>供应商</w:t>
      </w:r>
      <w:r>
        <w:rPr>
          <w:rFonts w:hint="eastAsia" w:ascii="宋体" w:hAnsi="宋体" w:eastAsia="宋体" w:cs="宋体"/>
          <w:b w:val="0"/>
          <w:bCs w:val="0"/>
          <w:kern w:val="0"/>
          <w:sz w:val="24"/>
        </w:rPr>
        <w:t>在线签到时，应如实准确</w:t>
      </w:r>
      <w:r>
        <w:rPr>
          <w:rFonts w:hint="eastAsia" w:ascii="宋体" w:hAnsi="宋体" w:cs="宋体"/>
          <w:b w:val="0"/>
          <w:bCs w:val="0"/>
          <w:kern w:val="0"/>
          <w:sz w:val="24"/>
          <w:lang w:eastAsia="zh-CN"/>
        </w:rPr>
        <w:t>地</w:t>
      </w:r>
      <w:r>
        <w:rPr>
          <w:rFonts w:hint="eastAsia" w:ascii="宋体" w:hAnsi="宋体" w:eastAsia="宋体" w:cs="宋体"/>
          <w:b w:val="0"/>
          <w:bCs w:val="0"/>
          <w:kern w:val="0"/>
          <w:sz w:val="24"/>
        </w:rPr>
        <w:t>填写授权委托人的联系电话，开标当天请务必保证电话保持畅通。</w:t>
      </w:r>
    </w:p>
    <w:p w14:paraId="2DDBD203">
      <w:pPr>
        <w:widowControl/>
        <w:snapToGrid w:val="0"/>
        <w:spacing w:line="360" w:lineRule="auto"/>
        <w:ind w:firstLine="420"/>
        <w:jc w:val="left"/>
        <w:outlineLvl w:val="9"/>
        <w:rPr>
          <w:rFonts w:hint="eastAsia" w:ascii="宋体" w:hAnsi="宋体" w:eastAsia="宋体" w:cs="宋体"/>
          <w:kern w:val="0"/>
          <w:sz w:val="24"/>
          <w:lang w:val="zh-CN"/>
        </w:rPr>
      </w:pPr>
      <w:r>
        <w:rPr>
          <w:rFonts w:hint="eastAsia" w:ascii="宋体" w:hAnsi="宋体" w:eastAsia="宋体" w:cs="宋体"/>
          <w:kern w:val="0"/>
          <w:sz w:val="24"/>
          <w:lang w:val="zh-CN"/>
        </w:rPr>
        <w:t>八、凡对本次采购提出询问，请按照以下方式联系</w:t>
      </w:r>
    </w:p>
    <w:p w14:paraId="6F56AD97">
      <w:pPr>
        <w:widowControl/>
        <w:snapToGrid w:val="0"/>
        <w:spacing w:line="360" w:lineRule="auto"/>
        <w:ind w:firstLine="420"/>
        <w:jc w:val="left"/>
        <w:outlineLvl w:val="9"/>
        <w:rPr>
          <w:rFonts w:hint="eastAsia" w:ascii="宋体" w:hAnsi="宋体" w:eastAsia="宋体" w:cs="宋体"/>
          <w:kern w:val="0"/>
          <w:sz w:val="24"/>
        </w:rPr>
      </w:pPr>
      <w:bookmarkStart w:id="2" w:name="_Toc27925"/>
      <w:r>
        <w:rPr>
          <w:rFonts w:hint="eastAsia" w:ascii="宋体" w:hAnsi="宋体" w:eastAsia="宋体" w:cs="宋体"/>
          <w:kern w:val="0"/>
          <w:sz w:val="24"/>
        </w:rPr>
        <w:t xml:space="preserve">1.采购人信息 </w:t>
      </w:r>
    </w:p>
    <w:p w14:paraId="390F598A">
      <w:pPr>
        <w:widowControl/>
        <w:snapToGrid w:val="0"/>
        <w:spacing w:line="360" w:lineRule="auto"/>
        <w:ind w:firstLine="420"/>
        <w:jc w:val="left"/>
        <w:outlineLvl w:val="9"/>
        <w:rPr>
          <w:rFonts w:hint="eastAsia" w:ascii="宋体" w:hAnsi="宋体" w:eastAsia="宋体" w:cs="宋体"/>
          <w:kern w:val="0"/>
          <w:sz w:val="24"/>
        </w:rPr>
      </w:pPr>
      <w:r>
        <w:rPr>
          <w:rFonts w:hint="eastAsia" w:ascii="宋体" w:hAnsi="宋体" w:eastAsia="宋体" w:cs="宋体"/>
          <w:kern w:val="0"/>
          <w:sz w:val="24"/>
        </w:rPr>
        <w:t xml:space="preserve">采购人：信阳市中医院 </w:t>
      </w:r>
    </w:p>
    <w:p w14:paraId="4BA90B1B">
      <w:pPr>
        <w:widowControl/>
        <w:snapToGrid w:val="0"/>
        <w:spacing w:line="360" w:lineRule="auto"/>
        <w:ind w:firstLine="420"/>
        <w:jc w:val="left"/>
        <w:outlineLvl w:val="9"/>
        <w:rPr>
          <w:rFonts w:hint="eastAsia" w:ascii="宋体" w:hAnsi="宋体" w:eastAsia="宋体" w:cs="宋体"/>
          <w:kern w:val="0"/>
          <w:sz w:val="24"/>
        </w:rPr>
      </w:pPr>
      <w:r>
        <w:rPr>
          <w:rFonts w:hint="eastAsia" w:ascii="宋体" w:hAnsi="宋体" w:eastAsia="宋体" w:cs="宋体"/>
          <w:kern w:val="0"/>
          <w:sz w:val="24"/>
        </w:rPr>
        <w:t xml:space="preserve">地    址：河南省信阳市解放路58号 </w:t>
      </w:r>
    </w:p>
    <w:p w14:paraId="0FF3764C">
      <w:pPr>
        <w:widowControl/>
        <w:snapToGrid w:val="0"/>
        <w:spacing w:line="360" w:lineRule="auto"/>
        <w:ind w:firstLine="420"/>
        <w:jc w:val="left"/>
        <w:outlineLvl w:val="9"/>
        <w:rPr>
          <w:rFonts w:hint="eastAsia" w:ascii="宋体" w:hAnsi="宋体" w:eastAsia="宋体" w:cs="宋体"/>
          <w:kern w:val="0"/>
          <w:sz w:val="24"/>
        </w:rPr>
      </w:pPr>
      <w:r>
        <w:rPr>
          <w:rFonts w:hint="eastAsia" w:ascii="宋体" w:hAnsi="宋体" w:eastAsia="宋体" w:cs="宋体"/>
          <w:kern w:val="0"/>
          <w:sz w:val="24"/>
        </w:rPr>
        <w:t>联 系 人： 鲍先生</w:t>
      </w:r>
    </w:p>
    <w:p w14:paraId="6FB32545">
      <w:pPr>
        <w:widowControl/>
        <w:snapToGrid w:val="0"/>
        <w:spacing w:line="360" w:lineRule="auto"/>
        <w:ind w:firstLine="420"/>
        <w:jc w:val="left"/>
        <w:outlineLvl w:val="9"/>
        <w:rPr>
          <w:rFonts w:hint="eastAsia" w:ascii="宋体" w:hAnsi="宋体" w:eastAsia="宋体" w:cs="宋体"/>
          <w:kern w:val="0"/>
          <w:sz w:val="24"/>
        </w:rPr>
      </w:pPr>
      <w:r>
        <w:rPr>
          <w:rFonts w:hint="eastAsia" w:ascii="宋体" w:hAnsi="宋体" w:eastAsia="宋体" w:cs="宋体"/>
          <w:kern w:val="0"/>
          <w:sz w:val="24"/>
        </w:rPr>
        <w:t>电    话： 0376-6285995</w:t>
      </w:r>
    </w:p>
    <w:p w14:paraId="4FE75A00">
      <w:pPr>
        <w:widowControl/>
        <w:snapToGrid w:val="0"/>
        <w:spacing w:line="360" w:lineRule="auto"/>
        <w:ind w:firstLine="420"/>
        <w:jc w:val="left"/>
        <w:outlineLvl w:val="9"/>
        <w:rPr>
          <w:rFonts w:hint="eastAsia" w:ascii="宋体" w:hAnsi="宋体" w:eastAsia="宋体" w:cs="宋体"/>
          <w:kern w:val="0"/>
          <w:sz w:val="24"/>
        </w:rPr>
      </w:pPr>
      <w:r>
        <w:rPr>
          <w:rFonts w:hint="eastAsia" w:ascii="宋体" w:hAnsi="宋体" w:eastAsia="宋体" w:cs="宋体"/>
          <w:kern w:val="0"/>
          <w:sz w:val="24"/>
        </w:rPr>
        <w:t xml:space="preserve">2.采购代理机构信息 </w:t>
      </w:r>
    </w:p>
    <w:p w14:paraId="63BFCE1A">
      <w:pPr>
        <w:widowControl/>
        <w:snapToGrid w:val="0"/>
        <w:spacing w:line="360" w:lineRule="auto"/>
        <w:ind w:firstLine="420"/>
        <w:jc w:val="left"/>
        <w:outlineLvl w:val="9"/>
        <w:rPr>
          <w:rFonts w:hint="eastAsia" w:ascii="宋体" w:hAnsi="宋体" w:eastAsia="宋体" w:cs="宋体"/>
          <w:kern w:val="0"/>
          <w:sz w:val="24"/>
        </w:rPr>
      </w:pPr>
      <w:r>
        <w:rPr>
          <w:rFonts w:hint="eastAsia" w:ascii="宋体" w:hAnsi="宋体" w:eastAsia="宋体" w:cs="宋体"/>
          <w:kern w:val="0"/>
          <w:sz w:val="24"/>
        </w:rPr>
        <w:t xml:space="preserve">代理机构：远瓴（北京）国际工程咨询有限公司 </w:t>
      </w:r>
    </w:p>
    <w:p w14:paraId="29DD657A">
      <w:pPr>
        <w:widowControl/>
        <w:snapToGrid w:val="0"/>
        <w:spacing w:line="360" w:lineRule="auto"/>
        <w:ind w:firstLine="420"/>
        <w:jc w:val="left"/>
        <w:outlineLvl w:val="9"/>
        <w:rPr>
          <w:rFonts w:hint="eastAsia" w:ascii="宋体" w:hAnsi="宋体" w:eastAsia="宋体" w:cs="宋体"/>
          <w:kern w:val="0"/>
          <w:sz w:val="24"/>
        </w:rPr>
      </w:pPr>
      <w:r>
        <w:rPr>
          <w:rFonts w:hint="eastAsia" w:ascii="宋体" w:hAnsi="宋体" w:eastAsia="宋体" w:cs="宋体"/>
          <w:kern w:val="0"/>
          <w:sz w:val="24"/>
        </w:rPr>
        <w:t>地    址：河南省信阳市羊山新区新七大道59号前程大厦三楼</w:t>
      </w:r>
    </w:p>
    <w:p w14:paraId="34A99575">
      <w:pPr>
        <w:widowControl/>
        <w:snapToGrid w:val="0"/>
        <w:spacing w:line="360" w:lineRule="auto"/>
        <w:ind w:firstLine="420"/>
        <w:jc w:val="left"/>
        <w:outlineLvl w:val="9"/>
        <w:rPr>
          <w:rFonts w:hint="eastAsia" w:ascii="宋体" w:hAnsi="宋体" w:eastAsia="宋体" w:cs="宋体"/>
          <w:kern w:val="0"/>
          <w:sz w:val="24"/>
        </w:rPr>
      </w:pPr>
      <w:r>
        <w:rPr>
          <w:rFonts w:hint="eastAsia" w:ascii="宋体" w:hAnsi="宋体" w:eastAsia="宋体" w:cs="宋体"/>
          <w:kern w:val="0"/>
          <w:sz w:val="24"/>
        </w:rPr>
        <w:t>联 系 人： 李宽忠</w:t>
      </w:r>
    </w:p>
    <w:p w14:paraId="29F0387F">
      <w:pPr>
        <w:widowControl/>
        <w:snapToGrid w:val="0"/>
        <w:spacing w:line="360" w:lineRule="auto"/>
        <w:ind w:firstLine="420"/>
        <w:jc w:val="left"/>
        <w:outlineLvl w:val="9"/>
        <w:rPr>
          <w:rFonts w:hint="eastAsia" w:ascii="宋体" w:hAnsi="宋体" w:eastAsia="宋体" w:cs="宋体"/>
          <w:kern w:val="0"/>
          <w:sz w:val="24"/>
        </w:rPr>
      </w:pPr>
      <w:r>
        <w:rPr>
          <w:rFonts w:hint="eastAsia" w:ascii="宋体" w:hAnsi="宋体" w:eastAsia="宋体" w:cs="宋体"/>
          <w:kern w:val="0"/>
          <w:sz w:val="24"/>
        </w:rPr>
        <w:t xml:space="preserve">电    话：19836979668 </w:t>
      </w:r>
    </w:p>
    <w:p w14:paraId="44D250C2">
      <w:pPr>
        <w:widowControl/>
        <w:snapToGrid w:val="0"/>
        <w:spacing w:line="360" w:lineRule="auto"/>
        <w:ind w:firstLine="420"/>
        <w:jc w:val="left"/>
        <w:outlineLvl w:val="9"/>
        <w:rPr>
          <w:rFonts w:hint="eastAsia" w:ascii="宋体" w:hAnsi="宋体" w:eastAsia="宋体" w:cs="宋体"/>
          <w:kern w:val="0"/>
          <w:sz w:val="24"/>
        </w:rPr>
      </w:pPr>
      <w:r>
        <w:rPr>
          <w:rFonts w:hint="eastAsia" w:ascii="宋体" w:hAnsi="宋体" w:eastAsia="宋体" w:cs="宋体"/>
          <w:kern w:val="0"/>
          <w:sz w:val="24"/>
        </w:rPr>
        <w:t xml:space="preserve">3.项目联系方式 </w:t>
      </w:r>
    </w:p>
    <w:p w14:paraId="0FE7D657">
      <w:pPr>
        <w:widowControl/>
        <w:snapToGrid w:val="0"/>
        <w:spacing w:line="360" w:lineRule="auto"/>
        <w:ind w:firstLine="420"/>
        <w:jc w:val="left"/>
        <w:outlineLvl w:val="9"/>
        <w:rPr>
          <w:rFonts w:hint="eastAsia" w:ascii="宋体" w:hAnsi="宋体" w:eastAsia="宋体" w:cs="宋体"/>
          <w:kern w:val="0"/>
          <w:sz w:val="24"/>
        </w:rPr>
      </w:pPr>
      <w:r>
        <w:rPr>
          <w:rFonts w:hint="eastAsia" w:ascii="宋体" w:hAnsi="宋体" w:eastAsia="宋体" w:cs="宋体"/>
          <w:kern w:val="0"/>
          <w:sz w:val="24"/>
        </w:rPr>
        <w:t xml:space="preserve">联 系 人：李宽忠 </w:t>
      </w:r>
    </w:p>
    <w:p w14:paraId="3C78AC02">
      <w:pPr>
        <w:widowControl/>
        <w:snapToGrid w:val="0"/>
        <w:spacing w:line="360" w:lineRule="auto"/>
        <w:ind w:firstLine="420"/>
        <w:jc w:val="left"/>
        <w:outlineLvl w:val="9"/>
        <w:rPr>
          <w:rFonts w:hint="eastAsia" w:ascii="宋体" w:hAnsi="宋体" w:eastAsia="宋体" w:cs="宋体"/>
          <w:kern w:val="0"/>
          <w:sz w:val="24"/>
        </w:rPr>
      </w:pPr>
      <w:r>
        <w:rPr>
          <w:rFonts w:hint="eastAsia" w:ascii="宋体" w:hAnsi="宋体" w:eastAsia="宋体" w:cs="宋体"/>
          <w:kern w:val="0"/>
          <w:sz w:val="24"/>
        </w:rPr>
        <w:t xml:space="preserve">电    话：19836979668 </w:t>
      </w:r>
    </w:p>
    <w:p w14:paraId="14469E47">
      <w:pPr>
        <w:pStyle w:val="12"/>
        <w:rPr>
          <w:rFonts w:hint="eastAsia" w:ascii="宋体" w:hAnsi="宋体" w:eastAsia="宋体" w:cs="宋体"/>
          <w:kern w:val="0"/>
          <w:sz w:val="24"/>
          <w:szCs w:val="24"/>
          <w:highlight w:val="none"/>
        </w:rPr>
      </w:pPr>
    </w:p>
    <w:p w14:paraId="3613AE77">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eastAsia" w:ascii="宋体" w:hAnsi="宋体" w:eastAsia="宋体" w:cs="宋体"/>
          <w:b/>
          <w:color w:val="auto"/>
          <w:sz w:val="32"/>
          <w:szCs w:val="32"/>
          <w:highlight w:val="none"/>
          <w:lang w:eastAsia="zh-CN"/>
        </w:rPr>
      </w:pPr>
    </w:p>
    <w:p w14:paraId="126F47AF">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eastAsia" w:ascii="宋体" w:hAnsi="宋体" w:eastAsia="宋体" w:cs="宋体"/>
          <w:b/>
          <w:color w:val="auto"/>
          <w:sz w:val="32"/>
          <w:szCs w:val="32"/>
          <w:highlight w:val="none"/>
          <w:lang w:eastAsia="zh-CN"/>
        </w:rPr>
      </w:pPr>
    </w:p>
    <w:p w14:paraId="6CC6B458">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eastAsia" w:ascii="宋体" w:hAnsi="宋体" w:eastAsia="宋体" w:cs="宋体"/>
          <w:b/>
          <w:color w:val="auto"/>
          <w:sz w:val="32"/>
          <w:szCs w:val="32"/>
          <w:highlight w:val="none"/>
          <w:lang w:eastAsia="zh-CN"/>
        </w:rPr>
      </w:pPr>
    </w:p>
    <w:p w14:paraId="1F022DC6">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eastAsia" w:ascii="宋体" w:hAnsi="宋体" w:eastAsia="宋体" w:cs="宋体"/>
          <w:b/>
          <w:color w:val="auto"/>
          <w:sz w:val="32"/>
          <w:szCs w:val="32"/>
          <w:highlight w:val="none"/>
          <w:lang w:eastAsia="zh-CN"/>
        </w:rPr>
      </w:pPr>
    </w:p>
    <w:p w14:paraId="43A0BCA6">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eastAsia" w:ascii="宋体" w:hAnsi="宋体" w:eastAsia="宋体" w:cs="宋体"/>
          <w:b/>
          <w:color w:val="auto"/>
          <w:sz w:val="32"/>
          <w:szCs w:val="32"/>
          <w:highlight w:val="none"/>
          <w:lang w:eastAsia="zh-CN"/>
        </w:rPr>
      </w:pPr>
    </w:p>
    <w:p w14:paraId="33086413">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eastAsia" w:ascii="宋体" w:hAnsi="宋体" w:eastAsia="宋体" w:cs="宋体"/>
          <w:b/>
          <w:color w:val="auto"/>
          <w:sz w:val="32"/>
          <w:szCs w:val="32"/>
          <w:highlight w:val="none"/>
          <w:lang w:eastAsia="zh-CN"/>
        </w:rPr>
      </w:pPr>
    </w:p>
    <w:p w14:paraId="07576560">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eastAsia" w:ascii="宋体" w:hAnsi="宋体" w:eastAsia="宋体" w:cs="宋体"/>
          <w:b/>
          <w:color w:val="auto"/>
          <w:sz w:val="32"/>
          <w:szCs w:val="32"/>
          <w:highlight w:val="none"/>
          <w:lang w:eastAsia="zh-CN"/>
        </w:rPr>
      </w:pPr>
    </w:p>
    <w:p w14:paraId="27B037B0">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eastAsia" w:ascii="宋体" w:hAnsi="宋体" w:eastAsia="宋体" w:cs="宋体"/>
          <w:b/>
          <w:color w:val="auto"/>
          <w:sz w:val="32"/>
          <w:szCs w:val="32"/>
          <w:highlight w:val="none"/>
          <w:lang w:eastAsia="zh-CN"/>
        </w:rPr>
      </w:pPr>
    </w:p>
    <w:p w14:paraId="1DEBF0FE">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eastAsia" w:ascii="宋体" w:hAnsi="宋体" w:eastAsia="宋体" w:cs="宋体"/>
          <w:b/>
          <w:color w:val="auto"/>
          <w:sz w:val="32"/>
          <w:szCs w:val="32"/>
          <w:highlight w:val="none"/>
          <w:lang w:eastAsia="zh-CN"/>
        </w:rPr>
      </w:pPr>
    </w:p>
    <w:p w14:paraId="0ED44ED1">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 xml:space="preserve">第二章 </w:t>
      </w:r>
      <w:bookmarkEnd w:id="1"/>
      <w:bookmarkEnd w:id="2"/>
      <w:bookmarkStart w:id="3" w:name="_Toc232478028"/>
      <w:bookmarkStart w:id="4" w:name="_Toc112924988"/>
      <w:bookmarkStart w:id="5" w:name="_Toc135466704"/>
      <w:bookmarkStart w:id="6" w:name="_Toc122529944"/>
      <w:bookmarkStart w:id="7" w:name="_Toc10269"/>
      <w:r>
        <w:rPr>
          <w:rFonts w:hint="eastAsia" w:ascii="宋体" w:hAnsi="宋体" w:eastAsia="宋体" w:cs="宋体"/>
          <w:b/>
          <w:color w:val="auto"/>
          <w:sz w:val="32"/>
          <w:szCs w:val="32"/>
          <w:highlight w:val="none"/>
          <w:lang w:eastAsia="zh-CN"/>
        </w:rPr>
        <w:t>供应商须知</w:t>
      </w:r>
      <w:bookmarkStart w:id="8" w:name="_Toc29957"/>
    </w:p>
    <w:bookmarkEnd w:id="3"/>
    <w:bookmarkEnd w:id="4"/>
    <w:bookmarkEnd w:id="5"/>
    <w:bookmarkEnd w:id="6"/>
    <w:bookmarkEnd w:id="7"/>
    <w:bookmarkEnd w:id="8"/>
    <w:p w14:paraId="4D39767E">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color w:val="auto"/>
          <w:sz w:val="28"/>
          <w:szCs w:val="28"/>
          <w:highlight w:val="none"/>
          <w:lang w:eastAsia="zh-CN"/>
        </w:rPr>
      </w:pPr>
      <w:bookmarkStart w:id="9" w:name="_Toc466298090"/>
      <w:bookmarkStart w:id="10" w:name="_Toc455080107"/>
      <w:bookmarkStart w:id="11" w:name="_Toc144974496"/>
      <w:bookmarkStart w:id="12" w:name="_Toc152042304"/>
      <w:bookmarkStart w:id="13" w:name="_Toc27072"/>
      <w:bookmarkStart w:id="14" w:name="_Toc471"/>
      <w:bookmarkStart w:id="15" w:name="_Toc152045528"/>
      <w:r>
        <w:rPr>
          <w:rFonts w:hint="eastAsia" w:ascii="宋体" w:hAnsi="宋体" w:eastAsia="宋体" w:cs="宋体"/>
          <w:b/>
          <w:color w:val="auto"/>
          <w:sz w:val="28"/>
          <w:szCs w:val="28"/>
          <w:highlight w:val="none"/>
          <w:lang w:eastAsia="zh-CN"/>
        </w:rPr>
        <w:t>供应商须知前附表</w:t>
      </w:r>
      <w:bookmarkEnd w:id="9"/>
      <w:bookmarkEnd w:id="10"/>
      <w:bookmarkEnd w:id="11"/>
      <w:bookmarkEnd w:id="12"/>
      <w:bookmarkEnd w:id="13"/>
      <w:bookmarkEnd w:id="14"/>
      <w:bookmarkEnd w:id="15"/>
    </w:p>
    <w:tbl>
      <w:tblPr>
        <w:tblStyle w:val="33"/>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827"/>
        <w:gridCol w:w="6942"/>
      </w:tblGrid>
      <w:tr w14:paraId="448FD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94" w:type="dxa"/>
            <w:noWrap w:val="0"/>
            <w:vAlign w:val="center"/>
          </w:tcPr>
          <w:p w14:paraId="33659702">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条款号</w:t>
            </w:r>
          </w:p>
        </w:tc>
        <w:tc>
          <w:tcPr>
            <w:tcW w:w="1827" w:type="dxa"/>
            <w:noWrap w:val="0"/>
            <w:vAlign w:val="center"/>
          </w:tcPr>
          <w:p w14:paraId="60C2425A">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条 款 名 称</w:t>
            </w:r>
          </w:p>
        </w:tc>
        <w:tc>
          <w:tcPr>
            <w:tcW w:w="6942" w:type="dxa"/>
            <w:noWrap w:val="0"/>
            <w:vAlign w:val="center"/>
          </w:tcPr>
          <w:p w14:paraId="59813E7A">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编 列 内 容</w:t>
            </w:r>
          </w:p>
        </w:tc>
      </w:tr>
      <w:tr w14:paraId="24A4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994" w:type="dxa"/>
            <w:noWrap w:val="0"/>
            <w:vAlign w:val="center"/>
          </w:tcPr>
          <w:p w14:paraId="6A92141F">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1.2.1</w:t>
            </w:r>
          </w:p>
        </w:tc>
        <w:tc>
          <w:tcPr>
            <w:tcW w:w="1827" w:type="dxa"/>
            <w:noWrap w:val="0"/>
            <w:vAlign w:val="center"/>
          </w:tcPr>
          <w:p w14:paraId="64F2D4A8">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采购人</w:t>
            </w:r>
          </w:p>
        </w:tc>
        <w:tc>
          <w:tcPr>
            <w:tcW w:w="6942" w:type="dxa"/>
            <w:noWrap w:val="0"/>
            <w:vAlign w:val="center"/>
          </w:tcPr>
          <w:p w14:paraId="19E2BAB1">
            <w:pPr>
              <w:pageBreakBefore w:val="0"/>
              <w:kinsoku/>
              <w:wordWrap/>
              <w:overflowPunct/>
              <w:topLinePunct w:val="0"/>
              <w:bidi w:val="0"/>
              <w:spacing w:line="40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采购人信息 </w:t>
            </w:r>
          </w:p>
          <w:p w14:paraId="3A547BA2">
            <w:pPr>
              <w:pageBreakBefore w:val="0"/>
              <w:kinsoku/>
              <w:wordWrap/>
              <w:overflowPunct/>
              <w:topLinePunct w:val="0"/>
              <w:bidi w:val="0"/>
              <w:spacing w:line="40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采购人：信阳市中医院 </w:t>
            </w:r>
          </w:p>
          <w:p w14:paraId="67B09A02">
            <w:pPr>
              <w:pageBreakBefore w:val="0"/>
              <w:kinsoku/>
              <w:wordWrap/>
              <w:overflowPunct/>
              <w:topLinePunct w:val="0"/>
              <w:bidi w:val="0"/>
              <w:spacing w:line="40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地    址：河南省信阳市解放路58号 </w:t>
            </w:r>
          </w:p>
          <w:p w14:paraId="5778D211">
            <w:pPr>
              <w:pageBreakBefore w:val="0"/>
              <w:kinsoku/>
              <w:wordWrap/>
              <w:overflowPunct/>
              <w:topLinePunct w:val="0"/>
              <w:bidi w:val="0"/>
              <w:spacing w:line="40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联 系 人： 鲍先生</w:t>
            </w:r>
          </w:p>
          <w:p w14:paraId="2634B57A">
            <w:pPr>
              <w:pageBreakBefore w:val="0"/>
              <w:kinsoku/>
              <w:wordWrap/>
              <w:overflowPunct/>
              <w:topLinePunct w:val="0"/>
              <w:bidi w:val="0"/>
              <w:spacing w:line="400" w:lineRule="exac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电    话： 0376-6285995</w:t>
            </w:r>
          </w:p>
        </w:tc>
      </w:tr>
      <w:tr w14:paraId="6B57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94" w:type="dxa"/>
            <w:noWrap w:val="0"/>
            <w:vAlign w:val="center"/>
          </w:tcPr>
          <w:p w14:paraId="2E1D4BCA">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1.2.2</w:t>
            </w:r>
          </w:p>
        </w:tc>
        <w:tc>
          <w:tcPr>
            <w:tcW w:w="1827" w:type="dxa"/>
            <w:noWrap w:val="0"/>
            <w:vAlign w:val="center"/>
          </w:tcPr>
          <w:p w14:paraId="7497A100">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采购代理机构</w:t>
            </w:r>
          </w:p>
        </w:tc>
        <w:tc>
          <w:tcPr>
            <w:tcW w:w="6942" w:type="dxa"/>
            <w:noWrap w:val="0"/>
            <w:vAlign w:val="center"/>
          </w:tcPr>
          <w:p w14:paraId="6B0E5925">
            <w:pPr>
              <w:pageBreakBefore w:val="0"/>
              <w:kinsoku/>
              <w:wordWrap/>
              <w:overflowPunct/>
              <w:topLinePunct w:val="0"/>
              <w:bidi w:val="0"/>
              <w:spacing w:line="40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采购代理机构信息 </w:t>
            </w:r>
          </w:p>
          <w:p w14:paraId="4B498787">
            <w:pPr>
              <w:pageBreakBefore w:val="0"/>
              <w:kinsoku/>
              <w:wordWrap/>
              <w:overflowPunct/>
              <w:topLinePunct w:val="0"/>
              <w:bidi w:val="0"/>
              <w:spacing w:line="40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代理机构：远瓴（北京）国际工程咨询有限公司 </w:t>
            </w:r>
          </w:p>
          <w:p w14:paraId="034D54E2">
            <w:pPr>
              <w:pageBreakBefore w:val="0"/>
              <w:kinsoku/>
              <w:wordWrap/>
              <w:overflowPunct/>
              <w:topLinePunct w:val="0"/>
              <w:bidi w:val="0"/>
              <w:spacing w:line="40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地    址：河南省信阳市羊山新区新七大道59号前程大厦三楼</w:t>
            </w:r>
          </w:p>
          <w:p w14:paraId="6141CC2A">
            <w:pPr>
              <w:pageBreakBefore w:val="0"/>
              <w:kinsoku/>
              <w:wordWrap/>
              <w:overflowPunct/>
              <w:topLinePunct w:val="0"/>
              <w:bidi w:val="0"/>
              <w:spacing w:line="40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联 系 人： 李宽忠</w:t>
            </w:r>
          </w:p>
          <w:p w14:paraId="16568D98">
            <w:pPr>
              <w:pageBreakBefore w:val="0"/>
              <w:kinsoku/>
              <w:wordWrap/>
              <w:overflowPunct/>
              <w:topLinePunct w:val="0"/>
              <w:bidi w:val="0"/>
              <w:spacing w:line="400" w:lineRule="exac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 xml:space="preserve">电    话：19836979668 </w:t>
            </w:r>
          </w:p>
        </w:tc>
      </w:tr>
      <w:tr w14:paraId="50DB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94" w:type="dxa"/>
            <w:noWrap w:val="0"/>
            <w:vAlign w:val="center"/>
          </w:tcPr>
          <w:p w14:paraId="42A796CA">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1.2.3</w:t>
            </w:r>
          </w:p>
        </w:tc>
        <w:tc>
          <w:tcPr>
            <w:tcW w:w="1827" w:type="dxa"/>
            <w:noWrap w:val="0"/>
            <w:vAlign w:val="center"/>
          </w:tcPr>
          <w:p w14:paraId="1656AE26">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项目名称</w:t>
            </w:r>
          </w:p>
        </w:tc>
        <w:tc>
          <w:tcPr>
            <w:tcW w:w="6942" w:type="dxa"/>
            <w:noWrap w:val="0"/>
            <w:vAlign w:val="center"/>
          </w:tcPr>
          <w:p w14:paraId="49BF5589">
            <w:pPr>
              <w:pStyle w:val="15"/>
              <w:pageBreakBefore w:val="0"/>
              <w:kinsoku/>
              <w:wordWrap/>
              <w:overflowPunct/>
              <w:topLinePunct w:val="0"/>
              <w:bidi w:val="0"/>
              <w:spacing w:line="400" w:lineRule="exact"/>
              <w:ind w:left="0" w:leftChars="0" w:firstLine="0" w:firstLineChars="0"/>
              <w:jc w:val="both"/>
              <w:rPr>
                <w:rFonts w:hint="eastAsia" w:ascii="宋体" w:hAnsi="宋体" w:eastAsia="宋体" w:cs="宋体"/>
                <w:color w:val="000000"/>
                <w:sz w:val="24"/>
                <w:szCs w:val="24"/>
                <w:lang w:val="en-US"/>
              </w:rPr>
            </w:pPr>
            <w:r>
              <w:rPr>
                <w:rFonts w:hint="eastAsia" w:ascii="宋体" w:hAnsi="宋体" w:cs="宋体"/>
                <w:color w:val="000000"/>
                <w:sz w:val="24"/>
                <w:szCs w:val="24"/>
                <w:lang w:val="en-US" w:eastAsia="zh-CN"/>
              </w:rPr>
              <w:t>信阳市中医院层流净化、医用气体设施及物流系统维保服务项目</w:t>
            </w:r>
            <w:r>
              <w:rPr>
                <w:rFonts w:hint="eastAsia" w:ascii="宋体" w:hAnsi="宋体" w:eastAsia="宋体" w:cs="宋体"/>
                <w:color w:val="000000"/>
                <w:sz w:val="24"/>
                <w:szCs w:val="24"/>
                <w:lang w:val="en-US" w:eastAsia="zh-CN"/>
              </w:rPr>
              <w:t xml:space="preserve"> </w:t>
            </w:r>
          </w:p>
        </w:tc>
      </w:tr>
      <w:tr w14:paraId="7EDB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94" w:type="dxa"/>
            <w:noWrap w:val="0"/>
            <w:vAlign w:val="center"/>
          </w:tcPr>
          <w:p w14:paraId="5559894C">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1.2.4</w:t>
            </w:r>
          </w:p>
        </w:tc>
        <w:tc>
          <w:tcPr>
            <w:tcW w:w="1827" w:type="dxa"/>
            <w:noWrap w:val="0"/>
            <w:vAlign w:val="center"/>
          </w:tcPr>
          <w:p w14:paraId="5EDE7878">
            <w:pPr>
              <w:pageBreakBefore w:val="0"/>
              <w:kinsoku/>
              <w:wordWrap/>
              <w:overflowPunct/>
              <w:topLinePunct w:val="0"/>
              <w:autoSpaceDE w:val="0"/>
              <w:autoSpaceDN w:val="0"/>
              <w:bidi w:val="0"/>
              <w:adjustRightInd w:val="0"/>
              <w:spacing w:line="400" w:lineRule="exact"/>
              <w:ind w:right="35"/>
              <w:jc w:val="center"/>
              <w:rPr>
                <w:rFonts w:hint="eastAsia" w:ascii="宋体" w:hAnsi="宋体" w:eastAsia="宋体" w:cs="宋体"/>
                <w:color w:val="000000"/>
                <w:spacing w:val="1"/>
                <w:kern w:val="0"/>
                <w:sz w:val="24"/>
                <w:szCs w:val="24"/>
              </w:rPr>
            </w:pPr>
            <w:r>
              <w:rPr>
                <w:rFonts w:hint="eastAsia" w:ascii="宋体" w:hAnsi="宋体" w:eastAsia="宋体" w:cs="宋体"/>
                <w:color w:val="000000"/>
                <w:spacing w:val="1"/>
                <w:kern w:val="0"/>
                <w:sz w:val="24"/>
                <w:szCs w:val="24"/>
                <w:lang w:eastAsia="zh-CN"/>
              </w:rPr>
              <w:t>采购</w:t>
            </w:r>
            <w:r>
              <w:rPr>
                <w:rFonts w:hint="eastAsia" w:ascii="宋体" w:hAnsi="宋体" w:eastAsia="宋体" w:cs="宋体"/>
                <w:color w:val="000000"/>
                <w:spacing w:val="1"/>
                <w:kern w:val="0"/>
                <w:sz w:val="24"/>
                <w:szCs w:val="24"/>
              </w:rPr>
              <w:t>方式</w:t>
            </w:r>
          </w:p>
        </w:tc>
        <w:tc>
          <w:tcPr>
            <w:tcW w:w="6942" w:type="dxa"/>
            <w:noWrap w:val="0"/>
            <w:vAlign w:val="center"/>
          </w:tcPr>
          <w:p w14:paraId="481833D6">
            <w:pPr>
              <w:pageBreakBefore w:val="0"/>
              <w:kinsoku/>
              <w:wordWrap/>
              <w:overflowPunct/>
              <w:topLinePunct w:val="0"/>
              <w:autoSpaceDE w:val="0"/>
              <w:autoSpaceDN w:val="0"/>
              <w:bidi w:val="0"/>
              <w:adjustRightInd w:val="0"/>
              <w:spacing w:line="400" w:lineRule="exact"/>
              <w:jc w:val="left"/>
              <w:rPr>
                <w:rFonts w:hint="eastAsia" w:ascii="宋体" w:hAnsi="宋体" w:eastAsia="宋体" w:cs="宋体"/>
                <w:color w:val="000000"/>
                <w:spacing w:val="1"/>
                <w:kern w:val="0"/>
                <w:sz w:val="24"/>
                <w:szCs w:val="24"/>
                <w:lang w:val="en-US" w:eastAsia="zh-CN"/>
              </w:rPr>
            </w:pPr>
            <w:r>
              <w:rPr>
                <w:rFonts w:hint="eastAsia" w:ascii="宋体" w:hAnsi="宋体" w:eastAsia="宋体" w:cs="宋体"/>
                <w:color w:val="000000"/>
                <w:spacing w:val="1"/>
                <w:kern w:val="0"/>
                <w:sz w:val="24"/>
                <w:szCs w:val="24"/>
                <w:lang w:val="en-US" w:eastAsia="zh-CN"/>
              </w:rPr>
              <w:t>竞争性磋商</w:t>
            </w:r>
          </w:p>
        </w:tc>
      </w:tr>
      <w:tr w14:paraId="02FF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94" w:type="dxa"/>
            <w:noWrap w:val="0"/>
            <w:vAlign w:val="center"/>
          </w:tcPr>
          <w:p w14:paraId="3A383964">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1.2.5</w:t>
            </w:r>
          </w:p>
        </w:tc>
        <w:tc>
          <w:tcPr>
            <w:tcW w:w="1827" w:type="dxa"/>
            <w:noWrap w:val="0"/>
            <w:vAlign w:val="center"/>
          </w:tcPr>
          <w:p w14:paraId="5673A954">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lang w:eastAsia="zh-CN"/>
              </w:rPr>
              <w:t>预算价（</w:t>
            </w:r>
            <w:r>
              <w:rPr>
                <w:rFonts w:hint="eastAsia" w:ascii="宋体" w:hAnsi="宋体" w:eastAsia="宋体" w:cs="宋体"/>
                <w:b w:val="0"/>
                <w:bCs w:val="0"/>
                <w:color w:val="000000"/>
                <w:kern w:val="0"/>
                <w:sz w:val="24"/>
                <w:szCs w:val="24"/>
                <w:lang w:val="en-US" w:eastAsia="zh-CN"/>
              </w:rPr>
              <w:t>最高限价</w:t>
            </w:r>
            <w:r>
              <w:rPr>
                <w:rFonts w:hint="eastAsia" w:ascii="宋体" w:hAnsi="宋体" w:eastAsia="宋体" w:cs="宋体"/>
                <w:b w:val="0"/>
                <w:bCs w:val="0"/>
                <w:color w:val="000000"/>
                <w:kern w:val="0"/>
                <w:sz w:val="24"/>
                <w:szCs w:val="24"/>
                <w:lang w:eastAsia="zh-CN"/>
              </w:rPr>
              <w:t>）</w:t>
            </w:r>
          </w:p>
        </w:tc>
        <w:tc>
          <w:tcPr>
            <w:tcW w:w="6942" w:type="dxa"/>
            <w:noWrap w:val="0"/>
            <w:vAlign w:val="center"/>
          </w:tcPr>
          <w:p w14:paraId="55F83C47">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预算价（最高限价）：</w:t>
            </w:r>
            <w:r>
              <w:rPr>
                <w:rFonts w:hint="eastAsia" w:ascii="宋体" w:hAnsi="宋体" w:cs="宋体"/>
                <w:sz w:val="24"/>
                <w:szCs w:val="32"/>
                <w:highlight w:val="none"/>
                <w:lang w:val="en-US" w:eastAsia="zh-CN"/>
              </w:rPr>
              <w:t>1903578.00</w:t>
            </w:r>
            <w:r>
              <w:rPr>
                <w:rFonts w:hint="eastAsia" w:ascii="宋体" w:hAnsi="宋体" w:eastAsia="宋体" w:cs="宋体"/>
                <w:sz w:val="24"/>
                <w:szCs w:val="32"/>
                <w:highlight w:val="none"/>
              </w:rPr>
              <w:t>元</w:t>
            </w:r>
            <w:r>
              <w:rPr>
                <w:rFonts w:hint="eastAsia" w:ascii="宋体" w:hAnsi="宋体" w:cs="宋体"/>
                <w:sz w:val="24"/>
                <w:szCs w:val="32"/>
                <w:highlight w:val="none"/>
                <w:lang w:val="en-US" w:eastAsia="zh-CN"/>
              </w:rPr>
              <w:t>/年</w:t>
            </w:r>
            <w:r>
              <w:rPr>
                <w:rFonts w:hint="eastAsia" w:ascii="宋体" w:hAnsi="宋体" w:cs="宋体"/>
                <w:sz w:val="24"/>
                <w:szCs w:val="32"/>
                <w:highlight w:val="none"/>
                <w:lang w:eastAsia="zh-CN"/>
              </w:rPr>
              <w:t>（</w:t>
            </w:r>
            <w:r>
              <w:rPr>
                <w:rFonts w:hint="eastAsia" w:ascii="宋体" w:hAnsi="宋体" w:cs="宋体"/>
                <w:sz w:val="24"/>
                <w:szCs w:val="32"/>
                <w:highlight w:val="none"/>
                <w:lang w:val="en-US" w:eastAsia="zh-CN"/>
              </w:rPr>
              <w:t>包含代理服务费）</w:t>
            </w:r>
          </w:p>
          <w:p w14:paraId="0D9E35E8">
            <w:pPr>
              <w:pStyle w:val="31"/>
              <w:ind w:left="0" w:leftChars="0" w:firstLine="0" w:firstLineChars="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lang w:val="en-US" w:eastAsia="zh-CN"/>
              </w:rPr>
              <w:t>注：供应商报价超过预算价（最高限价）按无效标处理</w:t>
            </w:r>
            <w:r>
              <w:rPr>
                <w:rFonts w:hint="eastAsia" w:ascii="宋体" w:hAnsi="宋体" w:eastAsia="宋体" w:cs="宋体"/>
                <w:b w:val="0"/>
                <w:bCs w:val="0"/>
                <w:color w:val="000000"/>
                <w:kern w:val="0"/>
                <w:sz w:val="24"/>
                <w:szCs w:val="24"/>
              </w:rPr>
              <w:t>；</w:t>
            </w:r>
          </w:p>
        </w:tc>
      </w:tr>
      <w:tr w14:paraId="7511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94" w:type="dxa"/>
            <w:noWrap w:val="0"/>
            <w:vAlign w:val="center"/>
          </w:tcPr>
          <w:p w14:paraId="6FC14A54">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1.2.6</w:t>
            </w:r>
          </w:p>
        </w:tc>
        <w:tc>
          <w:tcPr>
            <w:tcW w:w="1827" w:type="dxa"/>
            <w:noWrap w:val="0"/>
            <w:vAlign w:val="center"/>
          </w:tcPr>
          <w:p w14:paraId="2E89BF8E">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资金来源</w:t>
            </w:r>
          </w:p>
        </w:tc>
        <w:tc>
          <w:tcPr>
            <w:tcW w:w="6942" w:type="dxa"/>
            <w:noWrap w:val="0"/>
            <w:vAlign w:val="center"/>
          </w:tcPr>
          <w:p w14:paraId="0250DFB4">
            <w:pPr>
              <w:pStyle w:val="54"/>
              <w:pageBreakBefore w:val="0"/>
              <w:kinsoku/>
              <w:wordWrap/>
              <w:overflowPunct/>
              <w:topLinePunct w:val="0"/>
              <w:bidi w:val="0"/>
              <w:spacing w:line="400" w:lineRule="exact"/>
              <w:jc w:val="both"/>
              <w:rPr>
                <w:rFonts w:hint="default"/>
                <w:lang w:val="en-US" w:eastAsia="zh-CN"/>
              </w:rPr>
            </w:pPr>
            <w:r>
              <w:rPr>
                <w:rFonts w:hint="eastAsia"/>
                <w:lang w:val="en-US" w:eastAsia="zh-CN"/>
              </w:rPr>
              <w:t>自筹资金，已落实</w:t>
            </w:r>
          </w:p>
        </w:tc>
      </w:tr>
      <w:tr w14:paraId="07DB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noWrap w:val="0"/>
            <w:vAlign w:val="center"/>
          </w:tcPr>
          <w:p w14:paraId="1D709D8F">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strike w:val="0"/>
                <w:dstrike w:val="0"/>
                <w:color w:val="000000"/>
                <w:kern w:val="0"/>
                <w:sz w:val="24"/>
                <w:szCs w:val="24"/>
                <w:lang w:val="en-US" w:eastAsia="zh-CN"/>
              </w:rPr>
            </w:pPr>
            <w:r>
              <w:rPr>
                <w:rFonts w:hint="eastAsia" w:ascii="宋体" w:hAnsi="宋体" w:eastAsia="宋体" w:cs="宋体"/>
                <w:strike w:val="0"/>
                <w:dstrike w:val="0"/>
                <w:color w:val="000000"/>
                <w:kern w:val="0"/>
                <w:sz w:val="24"/>
                <w:szCs w:val="24"/>
                <w:lang w:val="en-US" w:eastAsia="zh-CN"/>
              </w:rPr>
              <w:t>1.2.7</w:t>
            </w:r>
          </w:p>
        </w:tc>
        <w:tc>
          <w:tcPr>
            <w:tcW w:w="1827" w:type="dxa"/>
            <w:noWrap w:val="0"/>
            <w:vAlign w:val="center"/>
          </w:tcPr>
          <w:p w14:paraId="562AFED0">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b w:val="0"/>
                <w:bCs w:val="0"/>
                <w:strike w:val="0"/>
                <w:dstrike w:val="0"/>
                <w:color w:val="auto"/>
                <w:kern w:val="0"/>
                <w:sz w:val="24"/>
                <w:szCs w:val="24"/>
              </w:rPr>
            </w:pPr>
            <w:r>
              <w:rPr>
                <w:rFonts w:hint="eastAsia" w:ascii="宋体" w:hAnsi="宋体" w:eastAsia="宋体" w:cs="宋体"/>
                <w:b w:val="0"/>
                <w:bCs w:val="0"/>
                <w:strike w:val="0"/>
                <w:dstrike w:val="0"/>
                <w:color w:val="auto"/>
                <w:kern w:val="0"/>
                <w:sz w:val="24"/>
                <w:szCs w:val="24"/>
              </w:rPr>
              <w:t>出资比例</w:t>
            </w:r>
          </w:p>
        </w:tc>
        <w:tc>
          <w:tcPr>
            <w:tcW w:w="6942" w:type="dxa"/>
            <w:noWrap w:val="0"/>
            <w:vAlign w:val="center"/>
          </w:tcPr>
          <w:p w14:paraId="0EBDD401">
            <w:pPr>
              <w:pStyle w:val="54"/>
              <w:pageBreakBefore w:val="0"/>
              <w:kinsoku/>
              <w:wordWrap/>
              <w:overflowPunct/>
              <w:topLinePunct w:val="0"/>
              <w:bidi w:val="0"/>
              <w:spacing w:line="400" w:lineRule="exact"/>
              <w:jc w:val="both"/>
              <w:rPr>
                <w:rFonts w:hint="eastAsia" w:ascii="宋体" w:hAnsi="宋体" w:eastAsia="宋体" w:cs="宋体"/>
                <w:b w:val="0"/>
                <w:bCs w:val="0"/>
                <w:strike w:val="0"/>
                <w:dstrike w:val="0"/>
                <w:color w:val="auto"/>
                <w:sz w:val="24"/>
                <w:szCs w:val="24"/>
                <w:lang w:val="en-US" w:eastAsia="zh-CN"/>
              </w:rPr>
            </w:pPr>
            <w:r>
              <w:rPr>
                <w:rFonts w:hint="eastAsia" w:ascii="宋体" w:hAnsi="宋体" w:eastAsia="宋体" w:cs="宋体"/>
                <w:b w:val="0"/>
                <w:bCs w:val="0"/>
                <w:strike w:val="0"/>
                <w:dstrike w:val="0"/>
                <w:color w:val="auto"/>
                <w:sz w:val="24"/>
                <w:szCs w:val="24"/>
                <w:lang w:val="en-US" w:eastAsia="zh-CN"/>
              </w:rPr>
              <w:t>100%</w:t>
            </w:r>
          </w:p>
        </w:tc>
      </w:tr>
      <w:tr w14:paraId="7042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94" w:type="dxa"/>
            <w:noWrap w:val="0"/>
            <w:vAlign w:val="center"/>
          </w:tcPr>
          <w:p w14:paraId="11D0C22E">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1.4.1</w:t>
            </w:r>
          </w:p>
        </w:tc>
        <w:tc>
          <w:tcPr>
            <w:tcW w:w="1827" w:type="dxa"/>
            <w:noWrap w:val="0"/>
            <w:vAlign w:val="center"/>
          </w:tcPr>
          <w:p w14:paraId="6B487D07">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lang w:eastAsia="zh-CN"/>
              </w:rPr>
              <w:t>磋商内容</w:t>
            </w:r>
          </w:p>
        </w:tc>
        <w:tc>
          <w:tcPr>
            <w:tcW w:w="6942" w:type="dxa"/>
            <w:noWrap w:val="0"/>
            <w:vAlign w:val="center"/>
          </w:tcPr>
          <w:p w14:paraId="1F282179">
            <w:pPr>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b w:val="0"/>
                <w:bCs w:val="0"/>
                <w:color w:val="auto"/>
                <w:sz w:val="24"/>
                <w:szCs w:val="24"/>
              </w:rPr>
            </w:pPr>
            <w:r>
              <w:rPr>
                <w:rFonts w:hint="eastAsia" w:ascii="宋体" w:hAnsi="宋体" w:cs="宋体"/>
                <w:b w:val="0"/>
                <w:bCs w:val="0"/>
                <w:color w:val="auto"/>
                <w:sz w:val="24"/>
                <w:szCs w:val="32"/>
                <w:highlight w:val="none"/>
                <w:lang w:val="en-US" w:eastAsia="zh-CN"/>
              </w:rPr>
              <w:t>信阳市中医院层流净化、医用气体设施及物流系统维保服务项目（详见磋商文件第五章采购服务内容及要求）</w:t>
            </w:r>
            <w:r>
              <w:rPr>
                <w:rFonts w:hint="eastAsia" w:ascii="宋体" w:hAnsi="宋体" w:eastAsia="宋体" w:cs="宋体"/>
                <w:b w:val="0"/>
                <w:bCs w:val="0"/>
                <w:color w:val="auto"/>
                <w:sz w:val="24"/>
                <w:szCs w:val="32"/>
                <w:highlight w:val="none"/>
                <w:lang w:val="en-US" w:eastAsia="zh-CN"/>
              </w:rPr>
              <w:t>；</w:t>
            </w:r>
          </w:p>
        </w:tc>
      </w:tr>
      <w:tr w14:paraId="32D0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94" w:type="dxa"/>
            <w:noWrap w:val="0"/>
            <w:vAlign w:val="center"/>
          </w:tcPr>
          <w:p w14:paraId="5A3D07AF">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1.4.2</w:t>
            </w:r>
          </w:p>
        </w:tc>
        <w:tc>
          <w:tcPr>
            <w:tcW w:w="1827" w:type="dxa"/>
            <w:noWrap w:val="0"/>
            <w:vAlign w:val="center"/>
          </w:tcPr>
          <w:p w14:paraId="27A622CF">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服务期限</w:t>
            </w:r>
          </w:p>
        </w:tc>
        <w:tc>
          <w:tcPr>
            <w:tcW w:w="6942" w:type="dxa"/>
            <w:noWrap w:val="0"/>
            <w:vAlign w:val="center"/>
          </w:tcPr>
          <w:p w14:paraId="357C7C9A">
            <w:pPr>
              <w:pStyle w:val="15"/>
              <w:pageBreakBefore w:val="0"/>
              <w:kinsoku/>
              <w:wordWrap/>
              <w:overflowPunct/>
              <w:topLinePunct w:val="0"/>
              <w:bidi w:val="0"/>
              <w:spacing w:line="400" w:lineRule="exact"/>
              <w:ind w:left="0" w:leftChars="0" w:firstLine="0" w:firstLineChars="0"/>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3年（根据服务质量，合同一年一签，供应商服务过程中质量要求不合格，采购方有权终止合同）；</w:t>
            </w:r>
          </w:p>
        </w:tc>
      </w:tr>
      <w:tr w14:paraId="1CB6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noWrap w:val="0"/>
            <w:vAlign w:val="center"/>
          </w:tcPr>
          <w:p w14:paraId="49ECB0AA">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1.4.3</w:t>
            </w:r>
          </w:p>
        </w:tc>
        <w:tc>
          <w:tcPr>
            <w:tcW w:w="1827" w:type="dxa"/>
            <w:noWrap w:val="0"/>
            <w:vAlign w:val="center"/>
          </w:tcPr>
          <w:p w14:paraId="6DF4120B">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质量要求</w:t>
            </w:r>
          </w:p>
        </w:tc>
        <w:tc>
          <w:tcPr>
            <w:tcW w:w="6942" w:type="dxa"/>
            <w:noWrap w:val="0"/>
            <w:vAlign w:val="center"/>
          </w:tcPr>
          <w:p w14:paraId="7B65D294">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val="0"/>
                <w:bCs w:val="0"/>
                <w:color w:val="auto"/>
                <w:sz w:val="24"/>
                <w:szCs w:val="24"/>
              </w:rPr>
            </w:pPr>
            <w:r>
              <w:rPr>
                <w:rFonts w:hint="eastAsia" w:ascii="宋体" w:hAnsi="宋体" w:eastAsia="宋体" w:cs="宋体"/>
                <w:color w:val="auto"/>
                <w:sz w:val="24"/>
                <w:szCs w:val="24"/>
                <w:lang w:val="en-US" w:eastAsia="zh-CN"/>
              </w:rPr>
              <w:t>符合国家规范、规程和地方性法规及相关技术要求等规定；</w:t>
            </w:r>
          </w:p>
        </w:tc>
      </w:tr>
      <w:tr w14:paraId="2804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noWrap w:val="0"/>
            <w:vAlign w:val="center"/>
          </w:tcPr>
          <w:p w14:paraId="388F0CD7">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1.4.4</w:t>
            </w:r>
          </w:p>
        </w:tc>
        <w:tc>
          <w:tcPr>
            <w:tcW w:w="1827" w:type="dxa"/>
            <w:noWrap w:val="0"/>
            <w:vAlign w:val="center"/>
          </w:tcPr>
          <w:p w14:paraId="7DBCDEF3">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rPr>
              <w:t>付款方式</w:t>
            </w:r>
          </w:p>
        </w:tc>
        <w:tc>
          <w:tcPr>
            <w:tcW w:w="6942" w:type="dxa"/>
            <w:noWrap w:val="0"/>
            <w:vAlign w:val="center"/>
          </w:tcPr>
          <w:p w14:paraId="02EAB4FA">
            <w:pPr>
              <w:pStyle w:val="54"/>
              <w:pageBreakBefore w:val="0"/>
              <w:kinsoku/>
              <w:wordWrap/>
              <w:overflowPunct/>
              <w:topLinePunct w:val="0"/>
              <w:bidi w:val="0"/>
              <w:spacing w:line="400" w:lineRule="exac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highlight w:val="none"/>
              </w:rPr>
              <w:t>严格按照采购人要求执行</w:t>
            </w:r>
            <w:r>
              <w:rPr>
                <w:rFonts w:hint="eastAsia" w:ascii="宋体" w:hAnsi="宋体" w:eastAsia="宋体" w:cs="宋体"/>
                <w:b w:val="0"/>
                <w:bCs w:val="0"/>
                <w:color w:val="auto"/>
                <w:sz w:val="24"/>
                <w:highlight w:val="none"/>
                <w:lang w:val="en-US" w:eastAsia="zh-CN"/>
              </w:rPr>
              <w:t>，</w:t>
            </w:r>
            <w:r>
              <w:rPr>
                <w:rFonts w:hint="eastAsia" w:ascii="宋体" w:hAnsi="宋体" w:eastAsia="宋体" w:cs="宋体"/>
                <w:b w:val="0"/>
                <w:bCs w:val="0"/>
                <w:color w:val="auto"/>
                <w:sz w:val="24"/>
                <w:highlight w:val="none"/>
                <w:lang w:eastAsia="zh-CN"/>
              </w:rPr>
              <w:t>最终以合同签订的付款方式为准</w:t>
            </w: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kern w:val="2"/>
                <w:sz w:val="24"/>
                <w:szCs w:val="24"/>
                <w:highlight w:val="none"/>
                <w:lang w:val="en-US" w:eastAsia="zh-CN" w:bidi="ar-SA"/>
              </w:rPr>
              <w:t>（不允许设置履约保证金、质量保证金）</w:t>
            </w:r>
          </w:p>
        </w:tc>
      </w:tr>
      <w:tr w14:paraId="7D27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noWrap w:val="0"/>
            <w:vAlign w:val="center"/>
          </w:tcPr>
          <w:p w14:paraId="2D545BD7">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1.4.5</w:t>
            </w:r>
          </w:p>
        </w:tc>
        <w:tc>
          <w:tcPr>
            <w:tcW w:w="1827" w:type="dxa"/>
            <w:noWrap w:val="0"/>
            <w:vAlign w:val="center"/>
          </w:tcPr>
          <w:p w14:paraId="015E818D">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服务地点</w:t>
            </w:r>
          </w:p>
        </w:tc>
        <w:tc>
          <w:tcPr>
            <w:tcW w:w="6942" w:type="dxa"/>
            <w:noWrap w:val="0"/>
            <w:vAlign w:val="center"/>
          </w:tcPr>
          <w:p w14:paraId="4FB335D9">
            <w:pPr>
              <w:pStyle w:val="54"/>
              <w:pageBreakBefore w:val="0"/>
              <w:kinsoku/>
              <w:wordWrap/>
              <w:overflowPunct/>
              <w:topLinePunct w:val="0"/>
              <w:bidi w:val="0"/>
              <w:spacing w:line="400" w:lineRule="exac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按采购单位指定地点完成相关采购内容</w:t>
            </w:r>
          </w:p>
        </w:tc>
      </w:tr>
      <w:tr w14:paraId="6ADA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994" w:type="dxa"/>
            <w:tcBorders>
              <w:top w:val="single" w:color="auto" w:sz="4" w:space="0"/>
            </w:tcBorders>
            <w:noWrap w:val="0"/>
            <w:vAlign w:val="center"/>
          </w:tcPr>
          <w:p w14:paraId="2117DB8B">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1.5.1</w:t>
            </w:r>
          </w:p>
        </w:tc>
        <w:tc>
          <w:tcPr>
            <w:tcW w:w="1827" w:type="dxa"/>
            <w:tcBorders>
              <w:top w:val="single" w:color="auto" w:sz="4" w:space="0"/>
            </w:tcBorders>
            <w:noWrap w:val="0"/>
            <w:vAlign w:val="center"/>
          </w:tcPr>
          <w:p w14:paraId="1083B7DF">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供应商资质条件及能力要求</w:t>
            </w:r>
          </w:p>
        </w:tc>
        <w:tc>
          <w:tcPr>
            <w:tcW w:w="6942" w:type="dxa"/>
            <w:tcBorders>
              <w:top w:val="single" w:color="auto" w:sz="4" w:space="0"/>
            </w:tcBorders>
            <w:noWrap w:val="0"/>
            <w:vAlign w:val="center"/>
          </w:tcPr>
          <w:p w14:paraId="0096E52F">
            <w:pPr>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1.满足《中华人民共和国政府采购法》第二十二条规定；</w:t>
            </w:r>
          </w:p>
          <w:p w14:paraId="411BFA57">
            <w:pPr>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1.1具有独立承担民事责任的能力（提供有效的营业执照）；</w:t>
            </w:r>
          </w:p>
          <w:p w14:paraId="7747A2DA">
            <w:pPr>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1.2符合国家相关规定的财务状况报告（2024年度和2025年度财务审计报告或其基本开户银行出具的资信证明）；</w:t>
            </w:r>
          </w:p>
          <w:p w14:paraId="14D1AE73">
            <w:pPr>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1.3依法缴纳税收的证明材料（2025年7月1日以来任意3个月纳税证明，依法免税的供应商，应提供相应证明文件，新成立公司按实际月份提供）；</w:t>
            </w:r>
          </w:p>
          <w:p w14:paraId="19CDF0C8">
            <w:pPr>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1.4依法缴纳社会保障资金的证明材料（2025年7月1日以来任意3个月缴纳社会保障证明，不需要缴纳社会保障资金的供应商，应提供相应证明文件，新成立公司按实际月份提供）；</w:t>
            </w:r>
          </w:p>
          <w:p w14:paraId="276440B5">
            <w:pPr>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1.5具备履行政府采购合同所必需的设备和专业技术能力的证明材料（提供承诺书）；</w:t>
            </w:r>
          </w:p>
          <w:p w14:paraId="02BFC805">
            <w:pPr>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1.6参加政府采购活动前三年内在经营活动中没有重大违法记录的证明材料（提供承诺书）；</w:t>
            </w:r>
          </w:p>
          <w:p w14:paraId="3A8C666C">
            <w:pPr>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2.落实政府采购政策满足的资格要求：</w:t>
            </w:r>
          </w:p>
          <w:p w14:paraId="5CAA0255">
            <w:pPr>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为非专门面向中小企业采购的项目，该项目符合《政府采购促进中小企业发展管理办法》（财库【2020】46号）第六条第三款之规定（由于本项目涉及内容较多，安全、质量较为重要，单一面向中小企业采购，难以充分竞争保质保量，为保障项目的充分竞争性及保质保量的完成，本项目为非专门面向中小企业采购项目）。本项目落实节约能源、保护环境、扶持不发达地区和少数民族地区、促进中小微企业、监狱企业及残疾人福利性单位发展等政府采购政策。</w:t>
            </w:r>
          </w:p>
          <w:p w14:paraId="15CE5DD8">
            <w:pPr>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3.本项目的特定资格要求</w:t>
            </w:r>
          </w:p>
          <w:p w14:paraId="61BB977A">
            <w:pPr>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3.1.供应商须同时具有建筑装修装饰工程专业承包二级及以上资质和建筑机电安装工程专业承包二级及以上资质，并具备有效的安全生产许可证。（提供相关证明证书文件）</w:t>
            </w:r>
          </w:p>
          <w:p w14:paraId="7F3AAFB0">
            <w:pPr>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3.2.供应商应具有医疗器械经营许可证或第二类医疗器械经营备案凭证（提供相关证明证书文件）</w:t>
            </w:r>
          </w:p>
          <w:p w14:paraId="0D7E62D9">
            <w:pPr>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3.3.供应商应具有中华人民共和国特种设备生产许可证（承压类特种设备安装、修理、改造）工业管道安装GC2级及以上</w:t>
            </w:r>
          </w:p>
          <w:p w14:paraId="38DB7146">
            <w:pPr>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根据《关于在政府采购活动中查询及使用信用记录有关问题的通知》（财库【2016】125号）的规定，对列入失信被执行人、重大税收违法案件当事人名单（税收违法黑名单/重大税收违法失信主体）、政府采购严重违法失信行为记录名单的供应商及供应商单位法定代表人，拒绝参与本项目政府采购活动；供应商应通过“信用中国”网站（www.creditchina.gov.cn）查询“失信被执行人”、“重大税收违法案件当事人名单（税收违法黑名单/重大税收违法失信主体）”，中国政府采购网（www.ccgp.gov.cn）查询“政府采购严重违法失信行为记录名单”，提供查询网页截图；查询截图须提供详细的查询时间，查询时间截点为：从公告发布之日起至投标截止之日止）</w:t>
            </w:r>
          </w:p>
          <w:p w14:paraId="1914AC49">
            <w:pPr>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单位负责人为同一人或者存在直接控股、管理关系的不同单位，不得同时参加同一合同项下的政府采购活动（提供加盖投标人公章的“国家企业信用信息公示系统”中公示的公司基础信息包含股东及出资信息、出资金额或比例）。查询截图内需显示查询时间，查询时间必须是本项目招标公告发布时间之后，所提供查询截图内无显示查询时间或时间不符则视为无效投标。</w:t>
            </w:r>
          </w:p>
          <w:p w14:paraId="3C6C6372">
            <w:pPr>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.本项目不允许联合体磋商，实行资格后审。（提供非联合体承诺书）</w:t>
            </w:r>
          </w:p>
        </w:tc>
      </w:tr>
      <w:tr w14:paraId="525E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3CFE0EE7">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1.5.2</w:t>
            </w:r>
          </w:p>
        </w:tc>
        <w:tc>
          <w:tcPr>
            <w:tcW w:w="1827" w:type="dxa"/>
            <w:tcBorders>
              <w:top w:val="single" w:color="auto" w:sz="4" w:space="0"/>
            </w:tcBorders>
            <w:noWrap w:val="0"/>
            <w:vAlign w:val="center"/>
          </w:tcPr>
          <w:p w14:paraId="1D534331">
            <w:pPr>
              <w:pageBreakBefore w:val="0"/>
              <w:kinsoku/>
              <w:wordWrap/>
              <w:overflowPunct/>
              <w:topLinePunct w:val="0"/>
              <w:bidi w:val="0"/>
              <w:spacing w:line="400" w:lineRule="exac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是否接受联合体</w:t>
            </w:r>
          </w:p>
        </w:tc>
        <w:tc>
          <w:tcPr>
            <w:tcW w:w="6942" w:type="dxa"/>
            <w:tcBorders>
              <w:top w:val="single" w:color="auto" w:sz="4" w:space="0"/>
            </w:tcBorders>
            <w:noWrap w:val="0"/>
            <w:vAlign w:val="center"/>
          </w:tcPr>
          <w:p w14:paraId="5350A9E8">
            <w:pPr>
              <w:pageBreakBefore w:val="0"/>
              <w:kinsoku/>
              <w:wordWrap/>
              <w:overflowPunct/>
              <w:topLinePunct w:val="0"/>
              <w:bidi w:val="0"/>
              <w:spacing w:line="400" w:lineRule="exact"/>
              <w:rPr>
                <w:rFonts w:hint="eastAsia" w:ascii="宋体" w:hAnsi="宋体" w:eastAsia="宋体" w:cs="宋体"/>
                <w:color w:val="auto"/>
                <w:sz w:val="24"/>
                <w:szCs w:val="24"/>
                <w:lang w:val="en-US" w:eastAsia="zh-CN"/>
              </w:rPr>
            </w:pPr>
            <w:r>
              <w:rPr>
                <w:rFonts w:hint="eastAsia" w:ascii="宋体" w:hAnsi="宋体" w:cs="宋体"/>
                <w:color w:val="000000"/>
                <w:szCs w:val="21"/>
                <w:lang w:val="en-US" w:eastAsia="zh-CN"/>
              </w:rPr>
              <w:t>否</w:t>
            </w:r>
          </w:p>
        </w:tc>
      </w:tr>
      <w:tr w14:paraId="5D01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76B6142A">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1.10</w:t>
            </w:r>
          </w:p>
        </w:tc>
        <w:tc>
          <w:tcPr>
            <w:tcW w:w="1827" w:type="dxa"/>
            <w:tcBorders>
              <w:top w:val="single" w:color="auto" w:sz="4" w:space="0"/>
            </w:tcBorders>
            <w:noWrap w:val="0"/>
            <w:vAlign w:val="center"/>
          </w:tcPr>
          <w:p w14:paraId="3A95B4D0">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现场踏勘</w:t>
            </w:r>
          </w:p>
        </w:tc>
        <w:tc>
          <w:tcPr>
            <w:tcW w:w="6942" w:type="dxa"/>
            <w:tcBorders>
              <w:top w:val="single" w:color="auto" w:sz="4" w:space="0"/>
            </w:tcBorders>
            <w:noWrap w:val="0"/>
            <w:vAlign w:val="center"/>
          </w:tcPr>
          <w:p w14:paraId="0308CA98">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自行踏勘</w:t>
            </w:r>
          </w:p>
        </w:tc>
      </w:tr>
      <w:tr w14:paraId="40DB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3D89CE5E">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2.1</w:t>
            </w:r>
          </w:p>
        </w:tc>
        <w:tc>
          <w:tcPr>
            <w:tcW w:w="1827" w:type="dxa"/>
            <w:tcBorders>
              <w:top w:val="single" w:color="auto" w:sz="4" w:space="0"/>
            </w:tcBorders>
            <w:noWrap w:val="0"/>
            <w:vAlign w:val="center"/>
          </w:tcPr>
          <w:p w14:paraId="20783EAA">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构成磋商文件</w:t>
            </w:r>
          </w:p>
          <w:p w14:paraId="5A4BBC41">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的其他材料</w:t>
            </w:r>
          </w:p>
        </w:tc>
        <w:tc>
          <w:tcPr>
            <w:tcW w:w="6942" w:type="dxa"/>
            <w:tcBorders>
              <w:top w:val="single" w:color="auto" w:sz="4" w:space="0"/>
            </w:tcBorders>
            <w:noWrap w:val="0"/>
            <w:vAlign w:val="center"/>
          </w:tcPr>
          <w:p w14:paraId="245B1E16">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除磋商文件外，采购人在磋商期间发出的澄清、修改、补充、补遗和其他有效正式函件等内容均是磋商文件的组成部分</w:t>
            </w:r>
          </w:p>
        </w:tc>
      </w:tr>
      <w:tr w14:paraId="29B9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7737939B">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2.2.1</w:t>
            </w:r>
          </w:p>
        </w:tc>
        <w:tc>
          <w:tcPr>
            <w:tcW w:w="1827" w:type="dxa"/>
            <w:tcBorders>
              <w:top w:val="single" w:color="auto" w:sz="4" w:space="0"/>
            </w:tcBorders>
            <w:noWrap w:val="0"/>
            <w:vAlign w:val="center"/>
          </w:tcPr>
          <w:p w14:paraId="4B7952D8">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供应商提出问题的截止时间</w:t>
            </w:r>
          </w:p>
        </w:tc>
        <w:tc>
          <w:tcPr>
            <w:tcW w:w="6942" w:type="dxa"/>
            <w:tcBorders>
              <w:top w:val="single" w:color="auto" w:sz="4" w:space="0"/>
            </w:tcBorders>
            <w:noWrap w:val="0"/>
            <w:vAlign w:val="center"/>
          </w:tcPr>
          <w:p w14:paraId="084D78F3">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公告发布之日起7个工作日内</w:t>
            </w:r>
          </w:p>
        </w:tc>
      </w:tr>
      <w:tr w14:paraId="3BA1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48FC15A0">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2.2.2</w:t>
            </w:r>
          </w:p>
        </w:tc>
        <w:tc>
          <w:tcPr>
            <w:tcW w:w="1827" w:type="dxa"/>
            <w:tcBorders>
              <w:top w:val="single" w:color="auto" w:sz="4" w:space="0"/>
            </w:tcBorders>
            <w:noWrap w:val="0"/>
            <w:vAlign w:val="center"/>
          </w:tcPr>
          <w:p w14:paraId="531CF893">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采购人澄清磋商文件的截止时间</w:t>
            </w:r>
          </w:p>
        </w:tc>
        <w:tc>
          <w:tcPr>
            <w:tcW w:w="6942" w:type="dxa"/>
            <w:tcBorders>
              <w:top w:val="single" w:color="auto" w:sz="4" w:space="0"/>
            </w:tcBorders>
            <w:noWrap w:val="0"/>
            <w:vAlign w:val="center"/>
          </w:tcPr>
          <w:p w14:paraId="6EBC0D8C">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递交响应文件截止之日5天前</w:t>
            </w:r>
          </w:p>
        </w:tc>
      </w:tr>
      <w:tr w14:paraId="129D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7A41D1DF">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2.2.3</w:t>
            </w:r>
          </w:p>
        </w:tc>
        <w:tc>
          <w:tcPr>
            <w:tcW w:w="1827" w:type="dxa"/>
            <w:tcBorders>
              <w:top w:val="single" w:color="auto" w:sz="4" w:space="0"/>
            </w:tcBorders>
            <w:noWrap w:val="0"/>
            <w:vAlign w:val="center"/>
          </w:tcPr>
          <w:p w14:paraId="65D70F1E">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供应商确认收到磋商文件澄清的时间</w:t>
            </w:r>
          </w:p>
        </w:tc>
        <w:tc>
          <w:tcPr>
            <w:tcW w:w="6942" w:type="dxa"/>
            <w:tcBorders>
              <w:top w:val="single" w:color="auto" w:sz="4" w:space="0"/>
            </w:tcBorders>
            <w:noWrap w:val="0"/>
            <w:vAlign w:val="center"/>
          </w:tcPr>
          <w:p w14:paraId="394BF8F5">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在收到相应澄清文件后 24 小时内</w:t>
            </w:r>
          </w:p>
        </w:tc>
      </w:tr>
      <w:tr w14:paraId="39D6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00E55716">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2.3.2</w:t>
            </w:r>
          </w:p>
        </w:tc>
        <w:tc>
          <w:tcPr>
            <w:tcW w:w="1827" w:type="dxa"/>
            <w:tcBorders>
              <w:top w:val="single" w:color="auto" w:sz="4" w:space="0"/>
            </w:tcBorders>
            <w:noWrap w:val="0"/>
            <w:vAlign w:val="center"/>
          </w:tcPr>
          <w:p w14:paraId="3276A881">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供应商确认收到磋商文件修改的时间</w:t>
            </w:r>
          </w:p>
        </w:tc>
        <w:tc>
          <w:tcPr>
            <w:tcW w:w="6942" w:type="dxa"/>
            <w:tcBorders>
              <w:top w:val="single" w:color="auto" w:sz="4" w:space="0"/>
            </w:tcBorders>
            <w:noWrap w:val="0"/>
            <w:vAlign w:val="center"/>
          </w:tcPr>
          <w:p w14:paraId="5DA7C668">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在收到相应修改文件后 24 小时内</w:t>
            </w:r>
          </w:p>
        </w:tc>
      </w:tr>
      <w:tr w14:paraId="4B1D3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3562E182">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3.1</w:t>
            </w:r>
          </w:p>
        </w:tc>
        <w:tc>
          <w:tcPr>
            <w:tcW w:w="1827" w:type="dxa"/>
            <w:tcBorders>
              <w:top w:val="single" w:color="auto" w:sz="4" w:space="0"/>
            </w:tcBorders>
            <w:noWrap w:val="0"/>
            <w:vAlign w:val="center"/>
          </w:tcPr>
          <w:p w14:paraId="6F5DC8B7">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构成响应文件</w:t>
            </w:r>
          </w:p>
          <w:p w14:paraId="09E18B26">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的其他材料</w:t>
            </w:r>
          </w:p>
        </w:tc>
        <w:tc>
          <w:tcPr>
            <w:tcW w:w="6942" w:type="dxa"/>
            <w:tcBorders>
              <w:top w:val="single" w:color="auto" w:sz="4" w:space="0"/>
            </w:tcBorders>
            <w:noWrap w:val="0"/>
            <w:vAlign w:val="center"/>
          </w:tcPr>
          <w:p w14:paraId="14C95246">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供应商认为需要提交的其他证明材料</w:t>
            </w:r>
          </w:p>
        </w:tc>
      </w:tr>
      <w:tr w14:paraId="7359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5E8B5A9F">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3.3.1</w:t>
            </w:r>
          </w:p>
        </w:tc>
        <w:tc>
          <w:tcPr>
            <w:tcW w:w="1827" w:type="dxa"/>
            <w:tcBorders>
              <w:top w:val="single" w:color="auto" w:sz="4" w:space="0"/>
            </w:tcBorders>
            <w:noWrap w:val="0"/>
            <w:vAlign w:val="center"/>
          </w:tcPr>
          <w:p w14:paraId="2DFFF98B">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磋商有效期</w:t>
            </w:r>
          </w:p>
        </w:tc>
        <w:tc>
          <w:tcPr>
            <w:tcW w:w="6942" w:type="dxa"/>
            <w:tcBorders>
              <w:top w:val="single" w:color="auto" w:sz="4" w:space="0"/>
            </w:tcBorders>
            <w:noWrap w:val="0"/>
            <w:vAlign w:val="center"/>
          </w:tcPr>
          <w:p w14:paraId="4B67B130">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60日历天（响应文件截止之日起）</w:t>
            </w:r>
          </w:p>
        </w:tc>
      </w:tr>
      <w:tr w14:paraId="2F06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0F358AF5">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3.2.3</w:t>
            </w:r>
          </w:p>
        </w:tc>
        <w:tc>
          <w:tcPr>
            <w:tcW w:w="1827" w:type="dxa"/>
            <w:tcBorders>
              <w:top w:val="single" w:color="auto" w:sz="4" w:space="0"/>
            </w:tcBorders>
            <w:noWrap w:val="0"/>
            <w:vAlign w:val="center"/>
          </w:tcPr>
          <w:p w14:paraId="05574154">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报价方式</w:t>
            </w:r>
          </w:p>
        </w:tc>
        <w:tc>
          <w:tcPr>
            <w:tcW w:w="6942" w:type="dxa"/>
            <w:tcBorders>
              <w:top w:val="single" w:color="auto" w:sz="4" w:space="0"/>
            </w:tcBorders>
            <w:noWrap w:val="0"/>
            <w:vAlign w:val="center"/>
          </w:tcPr>
          <w:p w14:paraId="239ACE0A">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自主报价</w:t>
            </w:r>
          </w:p>
        </w:tc>
      </w:tr>
      <w:tr w14:paraId="341A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4E512A00">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3.6</w:t>
            </w:r>
          </w:p>
        </w:tc>
        <w:tc>
          <w:tcPr>
            <w:tcW w:w="1827" w:type="dxa"/>
            <w:tcBorders>
              <w:top w:val="single" w:color="auto" w:sz="4" w:space="0"/>
            </w:tcBorders>
            <w:noWrap w:val="0"/>
            <w:vAlign w:val="center"/>
          </w:tcPr>
          <w:p w14:paraId="214A5E1B">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是否允许递交</w:t>
            </w:r>
          </w:p>
          <w:p w14:paraId="698D05A5">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备选磋商方案</w:t>
            </w:r>
          </w:p>
        </w:tc>
        <w:tc>
          <w:tcPr>
            <w:tcW w:w="6942" w:type="dxa"/>
            <w:tcBorders>
              <w:top w:val="single" w:color="auto" w:sz="4" w:space="0"/>
            </w:tcBorders>
            <w:noWrap w:val="0"/>
            <w:vAlign w:val="center"/>
          </w:tcPr>
          <w:p w14:paraId="0F3E55C3">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否</w:t>
            </w:r>
          </w:p>
        </w:tc>
      </w:tr>
      <w:tr w14:paraId="5D04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6F1C78F8">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3.7.3</w:t>
            </w:r>
          </w:p>
        </w:tc>
        <w:tc>
          <w:tcPr>
            <w:tcW w:w="1827" w:type="dxa"/>
            <w:tcBorders>
              <w:top w:val="single" w:color="auto" w:sz="4" w:space="0"/>
            </w:tcBorders>
            <w:noWrap w:val="0"/>
            <w:vAlign w:val="center"/>
          </w:tcPr>
          <w:p w14:paraId="43DCC1EE">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电子响应文件</w:t>
            </w:r>
          </w:p>
          <w:p w14:paraId="001956E9">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签字盖章要求</w:t>
            </w:r>
          </w:p>
        </w:tc>
        <w:tc>
          <w:tcPr>
            <w:tcW w:w="6942" w:type="dxa"/>
            <w:tcBorders>
              <w:top w:val="single" w:color="auto" w:sz="4" w:space="0"/>
            </w:tcBorders>
            <w:noWrap w:val="0"/>
            <w:vAlign w:val="center"/>
          </w:tcPr>
          <w:p w14:paraId="7B990431">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（1）签字和盖章的要求应符合“</w:t>
            </w:r>
            <w:r>
              <w:rPr>
                <w:rFonts w:hint="eastAsia" w:ascii="宋体" w:hAnsi="宋体" w:eastAsia="宋体" w:cs="宋体"/>
                <w:b w:val="0"/>
                <w:bCs w:val="0"/>
                <w:color w:val="auto"/>
                <w:sz w:val="24"/>
                <w:szCs w:val="24"/>
              </w:rPr>
              <w:t>第六章</w:t>
            </w:r>
            <w:r>
              <w:rPr>
                <w:rFonts w:hint="eastAsia" w:ascii="宋体" w:hAnsi="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lang w:val="en-US" w:eastAsia="zh-CN"/>
              </w:rPr>
              <w:t>竞争性磋商</w:t>
            </w:r>
            <w:r>
              <w:rPr>
                <w:rFonts w:hint="eastAsia" w:ascii="宋体" w:hAnsi="宋体" w:eastAsia="宋体" w:cs="宋体"/>
                <w:b w:val="0"/>
                <w:bCs w:val="0"/>
                <w:color w:val="auto"/>
                <w:sz w:val="24"/>
                <w:szCs w:val="24"/>
              </w:rPr>
              <w:t>响应文件格式</w:t>
            </w:r>
            <w:r>
              <w:rPr>
                <w:rFonts w:hint="eastAsia" w:ascii="宋体" w:hAnsi="宋体" w:eastAsia="宋体" w:cs="宋体"/>
                <w:color w:val="000000"/>
                <w:kern w:val="0"/>
                <w:sz w:val="24"/>
                <w:szCs w:val="24"/>
                <w:lang w:val="en-US" w:eastAsia="zh-CN" w:bidi="ar-SA"/>
              </w:rPr>
              <w:t>”相应要求，按相应要求进行电子签章签名（包括单位电子签章、个人电子签名（含个人电子签章））。</w:t>
            </w:r>
          </w:p>
          <w:p w14:paraId="36B1DC26">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（2）若有委托代理人单独签字或签章的，且委托代理人没有CA锁，则响应文件需上传有手写签名或签章的扫描件或在电子系统内使用手写签名。</w:t>
            </w:r>
          </w:p>
        </w:tc>
      </w:tr>
      <w:tr w14:paraId="47C9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03C404C9">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3.7.4</w:t>
            </w:r>
          </w:p>
        </w:tc>
        <w:tc>
          <w:tcPr>
            <w:tcW w:w="1827" w:type="dxa"/>
            <w:tcBorders>
              <w:top w:val="single" w:color="auto" w:sz="4" w:space="0"/>
            </w:tcBorders>
            <w:noWrap w:val="0"/>
            <w:vAlign w:val="center"/>
          </w:tcPr>
          <w:p w14:paraId="4729FFDB">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响应文件份数</w:t>
            </w:r>
          </w:p>
        </w:tc>
        <w:tc>
          <w:tcPr>
            <w:tcW w:w="6942" w:type="dxa"/>
            <w:tcBorders>
              <w:top w:val="single" w:color="auto" w:sz="4" w:space="0"/>
            </w:tcBorders>
            <w:noWrap w:val="0"/>
            <w:vAlign w:val="center"/>
          </w:tcPr>
          <w:p w14:paraId="037C359C">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加密的电子响应文件壹份（*.XYTF 格式，在会员系统指定位置上传）</w:t>
            </w:r>
          </w:p>
        </w:tc>
      </w:tr>
      <w:tr w14:paraId="0E81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509C8ECE">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4.2</w:t>
            </w:r>
          </w:p>
        </w:tc>
        <w:tc>
          <w:tcPr>
            <w:tcW w:w="1827" w:type="dxa"/>
            <w:tcBorders>
              <w:top w:val="single" w:color="auto" w:sz="4" w:space="0"/>
            </w:tcBorders>
            <w:noWrap w:val="0"/>
            <w:vAlign w:val="center"/>
          </w:tcPr>
          <w:p w14:paraId="7ED9535D">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响应文件的递交</w:t>
            </w:r>
          </w:p>
        </w:tc>
        <w:tc>
          <w:tcPr>
            <w:tcW w:w="6942" w:type="dxa"/>
            <w:tcBorders>
              <w:top w:val="single" w:color="auto" w:sz="4" w:space="0"/>
            </w:tcBorders>
            <w:noWrap w:val="0"/>
            <w:vAlign w:val="center"/>
          </w:tcPr>
          <w:p w14:paraId="4F073C82">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1、电子响应文件的递交</w:t>
            </w:r>
          </w:p>
          <w:p w14:paraId="43985D56">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各供应商应在响应文件提交截止时间前上传加密的电子响应文件（*.XYTF）到会员系统的指定位置。上传时必须得到交易系统“上传成功”的确认回复后方为上传成功。请供应商在上传前务必认真检查上传响应文件是否完整、正确。</w:t>
            </w:r>
          </w:p>
          <w:p w14:paraId="142FC191">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2、本项目采用“不见面开标”交易方式，不见面开标大厅网址</w:t>
            </w:r>
            <w:r>
              <w:rPr>
                <w:rFonts w:hint="eastAsia" w:ascii="宋体" w:hAnsi="宋体" w:eastAsia="宋体" w:cs="宋体"/>
                <w:kern w:val="0"/>
                <w:sz w:val="24"/>
                <w:lang w:val="en-US" w:eastAsia="zh-CN"/>
              </w:rPr>
              <w:t>https://ggzyjy.xinyang.gov.cn/BidOpening/bidhall/xinyang/login.html</w:t>
            </w:r>
            <w:r>
              <w:rPr>
                <w:rFonts w:hint="eastAsia" w:ascii="宋体" w:hAnsi="宋体" w:eastAsia="宋体" w:cs="宋体"/>
                <w:color w:val="000000"/>
                <w:kern w:val="0"/>
                <w:sz w:val="24"/>
                <w:szCs w:val="24"/>
                <w:u w:val="none"/>
                <w:lang w:val="en-US" w:eastAsia="zh-CN" w:bidi="ar-SA"/>
              </w:rPr>
              <w:t>，供应商无需寄送和递交非加密的电子响应文件，无需到现场参加开标会议，无需到达现场提交原件资料。</w:t>
            </w:r>
          </w:p>
        </w:tc>
      </w:tr>
      <w:tr w14:paraId="336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64559E0C">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5.1</w:t>
            </w:r>
          </w:p>
        </w:tc>
        <w:tc>
          <w:tcPr>
            <w:tcW w:w="1827" w:type="dxa"/>
            <w:tcBorders>
              <w:top w:val="single" w:color="auto" w:sz="4" w:space="0"/>
            </w:tcBorders>
            <w:noWrap w:val="0"/>
            <w:vAlign w:val="center"/>
          </w:tcPr>
          <w:p w14:paraId="0EB56528">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提交响应文件</w:t>
            </w:r>
          </w:p>
          <w:p w14:paraId="1907280D">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截止时间（响应文件递交截止时间）</w:t>
            </w:r>
          </w:p>
        </w:tc>
        <w:tc>
          <w:tcPr>
            <w:tcW w:w="6942" w:type="dxa"/>
            <w:tcBorders>
              <w:top w:val="single" w:color="auto" w:sz="4" w:space="0"/>
            </w:tcBorders>
            <w:noWrap w:val="0"/>
            <w:vAlign w:val="center"/>
          </w:tcPr>
          <w:p w14:paraId="571ADC42">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 xml:space="preserve"> </w:t>
            </w:r>
            <w:r>
              <w:rPr>
                <w:rFonts w:hint="eastAsia" w:ascii="宋体" w:hAnsi="宋体" w:cs="宋体"/>
                <w:color w:val="auto"/>
                <w:kern w:val="0"/>
                <w:sz w:val="24"/>
                <w:lang w:val="en-US" w:eastAsia="zh-CN"/>
              </w:rPr>
              <w:t>2026</w:t>
            </w:r>
            <w:r>
              <w:rPr>
                <w:rFonts w:hint="eastAsia" w:ascii="宋体" w:hAnsi="宋体" w:eastAsia="宋体" w:cs="宋体"/>
                <w:color w:val="auto"/>
                <w:kern w:val="0"/>
                <w:sz w:val="24"/>
              </w:rPr>
              <w:t>年</w:t>
            </w:r>
            <w:r>
              <w:rPr>
                <w:rFonts w:hint="eastAsia" w:ascii="宋体" w:hAnsi="宋体" w:cs="宋体"/>
                <w:color w:val="auto"/>
                <w:kern w:val="0"/>
                <w:sz w:val="24"/>
                <w:lang w:val="en-US" w:eastAsia="zh-CN"/>
              </w:rPr>
              <w:t xml:space="preserve"> 7</w:t>
            </w:r>
            <w:r>
              <w:rPr>
                <w:rFonts w:hint="eastAsia" w:ascii="宋体" w:hAnsi="宋体" w:eastAsia="宋体" w:cs="宋体"/>
                <w:color w:val="auto"/>
                <w:kern w:val="0"/>
                <w:sz w:val="24"/>
              </w:rPr>
              <w:t>月</w:t>
            </w:r>
            <w:r>
              <w:rPr>
                <w:rFonts w:hint="eastAsia" w:ascii="宋体" w:hAnsi="宋体" w:cs="宋体"/>
                <w:color w:val="auto"/>
                <w:kern w:val="0"/>
                <w:sz w:val="24"/>
                <w:lang w:val="en-US" w:eastAsia="zh-CN"/>
              </w:rPr>
              <w:t xml:space="preserve">24 </w:t>
            </w:r>
            <w:r>
              <w:rPr>
                <w:rFonts w:hint="eastAsia" w:ascii="宋体" w:hAnsi="宋体" w:eastAsia="宋体" w:cs="宋体"/>
                <w:color w:val="auto"/>
                <w:kern w:val="0"/>
                <w:sz w:val="24"/>
              </w:rPr>
              <w:t>日</w:t>
            </w:r>
            <w:r>
              <w:rPr>
                <w:rFonts w:hint="eastAsia" w:ascii="宋体" w:hAnsi="宋体" w:cs="宋体"/>
                <w:color w:val="auto"/>
                <w:kern w:val="0"/>
                <w:sz w:val="24"/>
                <w:szCs w:val="24"/>
                <w:lang w:val="en-US" w:eastAsia="zh-CN" w:bidi="ar-SA"/>
              </w:rPr>
              <w:t>9</w:t>
            </w:r>
            <w:r>
              <w:rPr>
                <w:rFonts w:hint="eastAsia" w:ascii="宋体" w:hAnsi="宋体" w:eastAsia="宋体" w:cs="宋体"/>
                <w:color w:val="auto"/>
                <w:kern w:val="0"/>
                <w:sz w:val="24"/>
                <w:szCs w:val="24"/>
                <w:lang w:val="en-US" w:eastAsia="zh-CN" w:bidi="ar-SA"/>
              </w:rPr>
              <w:t>时</w:t>
            </w:r>
            <w:r>
              <w:rPr>
                <w:rFonts w:hint="eastAsia" w:ascii="宋体" w:hAnsi="宋体" w:cs="宋体"/>
                <w:color w:val="auto"/>
                <w:kern w:val="0"/>
                <w:sz w:val="24"/>
                <w:szCs w:val="24"/>
                <w:lang w:val="en-US" w:eastAsia="zh-CN" w:bidi="ar-SA"/>
              </w:rPr>
              <w:t>0</w:t>
            </w:r>
            <w:r>
              <w:rPr>
                <w:rFonts w:hint="eastAsia" w:ascii="宋体" w:hAnsi="宋体" w:eastAsia="宋体" w:cs="宋体"/>
                <w:color w:val="auto"/>
                <w:kern w:val="0"/>
                <w:sz w:val="24"/>
                <w:szCs w:val="24"/>
                <w:lang w:val="en-US" w:eastAsia="zh-CN" w:bidi="ar-SA"/>
              </w:rPr>
              <w:t>0分</w:t>
            </w:r>
          </w:p>
        </w:tc>
      </w:tr>
      <w:tr w14:paraId="6A6C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7F65E21A">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5.1.1</w:t>
            </w:r>
          </w:p>
        </w:tc>
        <w:tc>
          <w:tcPr>
            <w:tcW w:w="1827" w:type="dxa"/>
            <w:tcBorders>
              <w:top w:val="single" w:color="auto" w:sz="4" w:space="0"/>
            </w:tcBorders>
            <w:noWrap w:val="0"/>
            <w:vAlign w:val="center"/>
          </w:tcPr>
          <w:p w14:paraId="535866FD">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磋商时间和地点</w:t>
            </w:r>
          </w:p>
        </w:tc>
        <w:tc>
          <w:tcPr>
            <w:tcW w:w="6942" w:type="dxa"/>
            <w:tcBorders>
              <w:top w:val="single" w:color="auto" w:sz="4" w:space="0"/>
            </w:tcBorders>
            <w:noWrap w:val="0"/>
            <w:vAlign w:val="center"/>
          </w:tcPr>
          <w:p w14:paraId="2022C7FB">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磋商时间：同响应文件提交截止时间</w:t>
            </w:r>
          </w:p>
          <w:p w14:paraId="49F35A75">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磋商地点：</w:t>
            </w:r>
            <w:r>
              <w:rPr>
                <w:rFonts w:hint="eastAsia" w:ascii="宋体" w:hAnsi="宋体" w:cs="宋体"/>
                <w:b w:val="0"/>
                <w:bCs w:val="0"/>
                <w:color w:val="auto"/>
                <w:sz w:val="24"/>
                <w:szCs w:val="32"/>
                <w:lang w:val="zh-CN" w:eastAsia="zh-CN"/>
              </w:rPr>
              <w:t>信阳市公共资源交易中心AI机器人开标虚拟</w:t>
            </w:r>
            <w:r>
              <w:rPr>
                <w:rFonts w:hint="eastAsia" w:ascii="宋体" w:hAnsi="宋体" w:cs="宋体"/>
                <w:b w:val="0"/>
                <w:bCs w:val="0"/>
                <w:color w:val="auto"/>
                <w:sz w:val="24"/>
                <w:szCs w:val="32"/>
                <w:lang w:val="en-US" w:eastAsia="zh-CN"/>
              </w:rPr>
              <w:t xml:space="preserve">  三 </w:t>
            </w:r>
            <w:r>
              <w:rPr>
                <w:rFonts w:hint="eastAsia" w:ascii="宋体" w:hAnsi="宋体" w:cs="宋体"/>
                <w:b w:val="0"/>
                <w:bCs w:val="0"/>
                <w:color w:val="auto"/>
                <w:sz w:val="24"/>
                <w:szCs w:val="32"/>
                <w:lang w:val="zh-CN" w:eastAsia="zh-CN"/>
              </w:rPr>
              <w:t>厅</w:t>
            </w:r>
          </w:p>
        </w:tc>
      </w:tr>
      <w:tr w14:paraId="759B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4EFAD896">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6.1</w:t>
            </w:r>
          </w:p>
        </w:tc>
        <w:tc>
          <w:tcPr>
            <w:tcW w:w="1827" w:type="dxa"/>
            <w:tcBorders>
              <w:top w:val="single" w:color="auto" w:sz="4" w:space="0"/>
            </w:tcBorders>
            <w:noWrap w:val="0"/>
            <w:vAlign w:val="center"/>
          </w:tcPr>
          <w:p w14:paraId="03496565">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磋商小组的组建</w:t>
            </w:r>
          </w:p>
        </w:tc>
        <w:tc>
          <w:tcPr>
            <w:tcW w:w="6942" w:type="dxa"/>
            <w:tcBorders>
              <w:top w:val="single" w:color="auto" w:sz="4" w:space="0"/>
            </w:tcBorders>
            <w:noWrap w:val="0"/>
            <w:vAlign w:val="center"/>
          </w:tcPr>
          <w:p w14:paraId="0ACDB5C0">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磋商小组构成：</w:t>
            </w:r>
            <w:r>
              <w:rPr>
                <w:rFonts w:hint="eastAsia" w:ascii="宋体" w:hAnsi="宋体" w:eastAsia="宋体" w:cs="宋体"/>
                <w:color w:val="000000"/>
                <w:kern w:val="0"/>
                <w:sz w:val="24"/>
                <w:szCs w:val="24"/>
                <w:highlight w:val="none"/>
                <w:u w:val="single"/>
                <w:lang w:val="en-US" w:eastAsia="zh-CN" w:bidi="ar-SA"/>
              </w:rPr>
              <w:t>3</w:t>
            </w:r>
            <w:r>
              <w:rPr>
                <w:rFonts w:hint="eastAsia" w:ascii="宋体" w:hAnsi="宋体" w:eastAsia="宋体" w:cs="宋体"/>
                <w:color w:val="000000"/>
                <w:kern w:val="0"/>
                <w:sz w:val="24"/>
                <w:szCs w:val="24"/>
                <w:highlight w:val="none"/>
                <w:lang w:val="en-US" w:eastAsia="zh-CN" w:bidi="ar-SA"/>
              </w:rPr>
              <w:t>人，其中业主评委</w:t>
            </w:r>
            <w:r>
              <w:rPr>
                <w:rFonts w:hint="eastAsia" w:ascii="宋体" w:hAnsi="宋体" w:eastAsia="宋体" w:cs="宋体"/>
                <w:color w:val="000000"/>
                <w:kern w:val="0"/>
                <w:sz w:val="24"/>
                <w:szCs w:val="24"/>
                <w:highlight w:val="none"/>
                <w:u w:val="single"/>
                <w:lang w:val="en-US" w:eastAsia="zh-CN" w:bidi="ar-SA"/>
              </w:rPr>
              <w:t>1</w:t>
            </w:r>
            <w:r>
              <w:rPr>
                <w:rFonts w:hint="eastAsia" w:ascii="宋体" w:hAnsi="宋体" w:eastAsia="宋体" w:cs="宋体"/>
                <w:color w:val="000000"/>
                <w:kern w:val="0"/>
                <w:sz w:val="24"/>
                <w:szCs w:val="24"/>
                <w:highlight w:val="none"/>
                <w:lang w:val="en-US" w:eastAsia="zh-CN" w:bidi="ar-SA"/>
              </w:rPr>
              <w:t>人，技术、经济类专家</w:t>
            </w:r>
            <w:r>
              <w:rPr>
                <w:rFonts w:hint="eastAsia" w:ascii="宋体" w:hAnsi="宋体" w:eastAsia="宋体" w:cs="宋体"/>
                <w:color w:val="000000"/>
                <w:kern w:val="0"/>
                <w:sz w:val="24"/>
                <w:szCs w:val="24"/>
                <w:highlight w:val="none"/>
                <w:u w:val="single"/>
                <w:lang w:val="en-US" w:eastAsia="zh-CN" w:bidi="ar-SA"/>
              </w:rPr>
              <w:t>2</w:t>
            </w:r>
            <w:r>
              <w:rPr>
                <w:rFonts w:hint="eastAsia" w:ascii="宋体" w:hAnsi="宋体" w:eastAsia="宋体" w:cs="宋体"/>
                <w:color w:val="000000"/>
                <w:kern w:val="0"/>
                <w:sz w:val="24"/>
                <w:szCs w:val="24"/>
                <w:highlight w:val="none"/>
                <w:lang w:val="en-US" w:eastAsia="zh-CN" w:bidi="ar-SA"/>
              </w:rPr>
              <w:t>人；</w:t>
            </w:r>
          </w:p>
          <w:p w14:paraId="39F4F658">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专家确定方式：磋商前从政府采购专家库中随机抽取。</w:t>
            </w:r>
          </w:p>
        </w:tc>
      </w:tr>
      <w:tr w14:paraId="10CD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2FFFCD94">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7.1</w:t>
            </w:r>
          </w:p>
        </w:tc>
        <w:tc>
          <w:tcPr>
            <w:tcW w:w="1827" w:type="dxa"/>
            <w:tcBorders>
              <w:top w:val="single" w:color="auto" w:sz="4" w:space="0"/>
            </w:tcBorders>
            <w:noWrap w:val="0"/>
            <w:vAlign w:val="center"/>
          </w:tcPr>
          <w:p w14:paraId="653F26DF">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是否授权磋商小组确定成交人</w:t>
            </w:r>
          </w:p>
        </w:tc>
        <w:tc>
          <w:tcPr>
            <w:tcW w:w="6942" w:type="dxa"/>
            <w:tcBorders>
              <w:top w:val="single" w:color="auto" w:sz="4" w:space="0"/>
            </w:tcBorders>
            <w:noWrap w:val="0"/>
            <w:vAlign w:val="center"/>
          </w:tcPr>
          <w:p w14:paraId="6352F7A6">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否；推荐的成交候选人数：3名</w:t>
            </w:r>
          </w:p>
        </w:tc>
      </w:tr>
      <w:tr w14:paraId="0964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3212E5B5">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7.3</w:t>
            </w:r>
          </w:p>
        </w:tc>
        <w:tc>
          <w:tcPr>
            <w:tcW w:w="1827" w:type="dxa"/>
            <w:tcBorders>
              <w:top w:val="single" w:color="auto" w:sz="4" w:space="0"/>
            </w:tcBorders>
            <w:noWrap w:val="0"/>
            <w:vAlign w:val="center"/>
          </w:tcPr>
          <w:p w14:paraId="30F37ECA">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履约保证金</w:t>
            </w:r>
          </w:p>
        </w:tc>
        <w:tc>
          <w:tcPr>
            <w:tcW w:w="6942" w:type="dxa"/>
            <w:tcBorders>
              <w:top w:val="single" w:color="auto" w:sz="4" w:space="0"/>
            </w:tcBorders>
            <w:noWrap w:val="0"/>
            <w:vAlign w:val="center"/>
          </w:tcPr>
          <w:p w14:paraId="2F2A1820">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无</w:t>
            </w:r>
          </w:p>
        </w:tc>
      </w:tr>
      <w:tr w14:paraId="4F5E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4A1DF1A8">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7.4</w:t>
            </w:r>
          </w:p>
        </w:tc>
        <w:tc>
          <w:tcPr>
            <w:tcW w:w="1827" w:type="dxa"/>
            <w:tcBorders>
              <w:top w:val="single" w:color="auto" w:sz="4" w:space="0"/>
            </w:tcBorders>
            <w:noWrap w:val="0"/>
            <w:vAlign w:val="center"/>
          </w:tcPr>
          <w:p w14:paraId="24833A04">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磋商保证金</w:t>
            </w:r>
          </w:p>
        </w:tc>
        <w:tc>
          <w:tcPr>
            <w:tcW w:w="6942" w:type="dxa"/>
            <w:tcBorders>
              <w:top w:val="single" w:color="auto" w:sz="4" w:space="0"/>
            </w:tcBorders>
            <w:noWrap w:val="0"/>
            <w:vAlign w:val="center"/>
          </w:tcPr>
          <w:p w14:paraId="0421DBC6">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根据《河南省财政厅发布关于优化政府采购营商环境有关问题的通知》豫财购【2019】4 号文，本项目不收取磋商保证金，响应文件中附投标承诺函及采购代理服务费承诺函。</w:t>
            </w:r>
          </w:p>
        </w:tc>
      </w:tr>
      <w:tr w14:paraId="2A8E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79BFA948">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7.5</w:t>
            </w:r>
          </w:p>
        </w:tc>
        <w:tc>
          <w:tcPr>
            <w:tcW w:w="1827" w:type="dxa"/>
            <w:tcBorders>
              <w:top w:val="single" w:color="auto" w:sz="4" w:space="0"/>
            </w:tcBorders>
            <w:noWrap w:val="0"/>
            <w:vAlign w:val="center"/>
          </w:tcPr>
          <w:p w14:paraId="68301A30">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采购标的所属行业</w:t>
            </w:r>
          </w:p>
        </w:tc>
        <w:tc>
          <w:tcPr>
            <w:tcW w:w="6942" w:type="dxa"/>
            <w:tcBorders>
              <w:top w:val="single" w:color="auto" w:sz="4" w:space="0"/>
            </w:tcBorders>
            <w:noWrap w:val="0"/>
            <w:vAlign w:val="center"/>
          </w:tcPr>
          <w:p w14:paraId="50B6FE3D">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本采购项目中采购标的均属于：其他未列明行业；</w:t>
            </w:r>
          </w:p>
          <w:p w14:paraId="27FC5746">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注：供应商结合本项目采购标的所属行业按照“国家统计局《统计上大中小微型企业划分标准》”（详见磋商文件“</w:t>
            </w:r>
            <w:r>
              <w:rPr>
                <w:rFonts w:hint="eastAsia" w:ascii="宋体" w:hAnsi="宋体" w:eastAsia="宋体" w:cs="宋体"/>
                <w:b w:val="0"/>
                <w:bCs w:val="0"/>
                <w:color w:val="auto"/>
                <w:sz w:val="24"/>
                <w:szCs w:val="24"/>
              </w:rPr>
              <w:t>第六章</w:t>
            </w:r>
            <w:r>
              <w:rPr>
                <w:rFonts w:hint="eastAsia" w:ascii="宋体" w:hAnsi="宋体" w:eastAsia="宋体" w:cs="宋体"/>
                <w:b w:val="0"/>
                <w:bCs w:val="0"/>
                <w:color w:val="auto"/>
                <w:sz w:val="24"/>
                <w:szCs w:val="24"/>
                <w:lang w:val="en-US" w:eastAsia="zh-CN"/>
              </w:rPr>
              <w:t xml:space="preserve"> 竞争性磋商</w:t>
            </w:r>
            <w:r>
              <w:rPr>
                <w:rFonts w:hint="eastAsia" w:ascii="宋体" w:hAnsi="宋体" w:eastAsia="宋体" w:cs="宋体"/>
                <w:b w:val="0"/>
                <w:bCs w:val="0"/>
                <w:color w:val="auto"/>
                <w:sz w:val="24"/>
                <w:szCs w:val="24"/>
              </w:rPr>
              <w:t>响应文件格式</w:t>
            </w:r>
            <w:r>
              <w:rPr>
                <w:rFonts w:hint="eastAsia" w:ascii="宋体" w:hAnsi="宋体" w:eastAsia="宋体" w:cs="宋体"/>
                <w:color w:val="000000"/>
                <w:kern w:val="0"/>
                <w:sz w:val="24"/>
                <w:szCs w:val="24"/>
                <w:lang w:val="en-US" w:eastAsia="zh-CN" w:bidi="ar-SA"/>
              </w:rPr>
              <w:t>”“3、中小企业声明函”附件内容）填写《中小企业声明函》。</w:t>
            </w:r>
          </w:p>
        </w:tc>
      </w:tr>
      <w:tr w14:paraId="5C24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4C6627AB">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7.6</w:t>
            </w:r>
          </w:p>
        </w:tc>
        <w:tc>
          <w:tcPr>
            <w:tcW w:w="1827" w:type="dxa"/>
            <w:tcBorders>
              <w:top w:val="single" w:color="auto" w:sz="4" w:space="0"/>
            </w:tcBorders>
            <w:noWrap w:val="0"/>
            <w:vAlign w:val="center"/>
          </w:tcPr>
          <w:p w14:paraId="24AC8138">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本项目是否专门面向中小企业采购</w:t>
            </w:r>
          </w:p>
        </w:tc>
        <w:tc>
          <w:tcPr>
            <w:tcW w:w="6942" w:type="dxa"/>
            <w:tcBorders>
              <w:top w:val="single" w:color="auto" w:sz="4" w:space="0"/>
            </w:tcBorders>
            <w:noWrap w:val="0"/>
            <w:vAlign w:val="center"/>
          </w:tcPr>
          <w:p w14:paraId="563608C6">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b/>
                <w:sz w:val="24"/>
              </w:rPr>
            </w:pPr>
            <w:r>
              <w:rPr>
                <w:rFonts w:hint="eastAsia" w:ascii="宋体" w:hAnsi="宋体" w:eastAsia="宋体" w:cs="宋体"/>
                <w:b/>
                <w:sz w:val="24"/>
              </w:rPr>
              <w:t>□是 / ☑否；</w:t>
            </w:r>
          </w:p>
          <w:p w14:paraId="654DD35C">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sz w:val="24"/>
                <w:szCs w:val="32"/>
              </w:rPr>
              <w:t>本项目为非专门面向中小企业采购的项目，该项目符合《政府采购促进中小企业发展管理办法》（财库【2020】46号）第六条第三款之规定（由于本项目涉及内容较多，安全、质量较为重要，单一面向中小企业采购，难以充分竞争保质保量，为保障项目的充分竞争性及保质保量的完成，本项目为非专门面向中小企业采购项目）。本项目落实节约能源、保护环境、扶持不发达地区和少数民族地区、促进中小微企业、监狱企业及残疾人福利性单位发展等政府采购政策。</w:t>
            </w:r>
          </w:p>
        </w:tc>
      </w:tr>
      <w:tr w14:paraId="51EE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tcBorders>
              <w:top w:val="single" w:color="auto" w:sz="4" w:space="0"/>
            </w:tcBorders>
            <w:noWrap w:val="0"/>
            <w:vAlign w:val="center"/>
          </w:tcPr>
          <w:p w14:paraId="5FF09B00">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7.7</w:t>
            </w:r>
          </w:p>
        </w:tc>
        <w:tc>
          <w:tcPr>
            <w:tcW w:w="1827" w:type="dxa"/>
            <w:tcBorders>
              <w:top w:val="single" w:color="auto" w:sz="4" w:space="0"/>
            </w:tcBorders>
            <w:noWrap w:val="0"/>
            <w:vAlign w:val="center"/>
          </w:tcPr>
          <w:p w14:paraId="6A31CC10">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成交原则</w:t>
            </w:r>
          </w:p>
        </w:tc>
        <w:tc>
          <w:tcPr>
            <w:tcW w:w="6942" w:type="dxa"/>
            <w:tcBorders>
              <w:top w:val="single" w:color="auto" w:sz="4" w:space="0"/>
            </w:tcBorders>
            <w:noWrap w:val="0"/>
            <w:vAlign w:val="center"/>
          </w:tcPr>
          <w:p w14:paraId="50ADE359">
            <w:pPr>
              <w:keepLines w:val="0"/>
              <w:pageBreakBefore w:val="0"/>
              <w:widowControl w:val="0"/>
              <w:kinsoku/>
              <w:wordWrap/>
              <w:overflowPunct/>
              <w:topLinePunct w:val="0"/>
              <w:autoSpaceDE/>
              <w:autoSpaceDN/>
              <w:bidi w:val="0"/>
              <w:spacing w:line="420" w:lineRule="exact"/>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通过资格评审、符合</w:t>
            </w:r>
            <w:r>
              <w:rPr>
                <w:rFonts w:hint="eastAsia" w:ascii="宋体" w:hAnsi="宋体" w:cs="宋体"/>
                <w:color w:val="000000"/>
                <w:kern w:val="0"/>
                <w:sz w:val="24"/>
                <w:szCs w:val="24"/>
                <w:lang w:val="en-US" w:eastAsia="zh-CN" w:bidi="ar-SA"/>
              </w:rPr>
              <w:t>性</w:t>
            </w:r>
            <w:r>
              <w:rPr>
                <w:rFonts w:hint="eastAsia" w:ascii="宋体" w:hAnsi="宋体" w:eastAsia="宋体" w:cs="宋体"/>
                <w:color w:val="000000"/>
                <w:kern w:val="0"/>
                <w:sz w:val="24"/>
                <w:szCs w:val="24"/>
                <w:lang w:val="en-US" w:eastAsia="zh-CN" w:bidi="ar-SA"/>
              </w:rPr>
              <w:t>评审的供应商进行二次报价（最终报价），磋商确定最终提交报价的供应商后，由磋商小组采用综合评分法对提交最后报价的供应商的响应文件和最后报价进行综合评分，满足采购文件全部实质性要求且按评审因素的量化指标评审得分最高的供应商为第一成交候选人。（供应商的排名按顺序从高到低排列；得分相同的，按报价由低到高顺序排列；得分且报价相同的，按技术指标优劣顺序排列。）</w:t>
            </w:r>
          </w:p>
        </w:tc>
      </w:tr>
      <w:tr w14:paraId="5E3B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763" w:type="dxa"/>
            <w:gridSpan w:val="3"/>
            <w:noWrap w:val="0"/>
            <w:vAlign w:val="center"/>
          </w:tcPr>
          <w:p w14:paraId="0F98EA05">
            <w:pPr>
              <w:spacing w:line="440" w:lineRule="exact"/>
              <w:jc w:val="center"/>
              <w:rPr>
                <w:rFonts w:hint="eastAsia" w:ascii="宋体" w:hAnsi="宋体" w:eastAsia="宋体" w:cs="宋体"/>
                <w:b w:val="0"/>
                <w:bCs w:val="0"/>
                <w:kern w:val="0"/>
                <w:sz w:val="24"/>
                <w:lang w:val="en-US" w:eastAsia="zh-CN"/>
              </w:rPr>
            </w:pPr>
            <w:r>
              <w:rPr>
                <w:rFonts w:hint="eastAsia" w:ascii="宋体" w:hAnsi="宋体" w:eastAsia="宋体" w:cs="宋体"/>
                <w:b w:val="0"/>
                <w:bCs w:val="0"/>
                <w:kern w:val="0"/>
                <w:sz w:val="24"/>
                <w:lang w:val="en-US" w:eastAsia="zh-CN"/>
              </w:rPr>
              <w:t>需要补充的其他内容</w:t>
            </w:r>
          </w:p>
        </w:tc>
      </w:tr>
      <w:tr w14:paraId="6D26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94" w:type="dxa"/>
            <w:noWrap w:val="0"/>
            <w:vAlign w:val="center"/>
          </w:tcPr>
          <w:p w14:paraId="06DF55EB">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解释权</w:t>
            </w:r>
          </w:p>
        </w:tc>
        <w:tc>
          <w:tcPr>
            <w:tcW w:w="8769" w:type="dxa"/>
            <w:gridSpan w:val="2"/>
            <w:noWrap w:val="0"/>
            <w:vAlign w:val="center"/>
          </w:tcPr>
          <w:p w14:paraId="4F2869AA">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构成本磋商文件的各个组成文件应互为解释，互为说明；如有不明确或不一致，按竞争性磋商公告、供应商须知、评审办法、竞争性磋商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68F7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94" w:type="dxa"/>
            <w:noWrap w:val="0"/>
            <w:vAlign w:val="center"/>
          </w:tcPr>
          <w:p w14:paraId="58ECCA08">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其他补充内容</w:t>
            </w:r>
          </w:p>
        </w:tc>
        <w:tc>
          <w:tcPr>
            <w:tcW w:w="8769" w:type="dxa"/>
            <w:gridSpan w:val="2"/>
            <w:noWrap w:val="0"/>
            <w:vAlign w:val="center"/>
          </w:tcPr>
          <w:p w14:paraId="2DDBB049">
            <w:pPr>
              <w:pStyle w:val="72"/>
              <w:adjustRightInd w:val="0"/>
              <w:snapToGrid w:val="0"/>
              <w:spacing w:line="360" w:lineRule="auto"/>
              <w:rPr>
                <w:rFonts w:hint="eastAsia" w:ascii="宋体" w:hAnsi="宋体" w:eastAsia="宋体" w:cs="宋体"/>
                <w:b/>
                <w:spacing w:val="11"/>
                <w:sz w:val="24"/>
                <w:szCs w:val="24"/>
                <w:u w:val="single"/>
              </w:rPr>
            </w:pPr>
            <w:r>
              <w:rPr>
                <w:rFonts w:hint="eastAsia" w:ascii="宋体" w:hAnsi="宋体" w:eastAsia="宋体" w:cs="宋体"/>
                <w:b/>
                <w:spacing w:val="11"/>
                <w:sz w:val="24"/>
                <w:szCs w:val="24"/>
                <w:u w:val="single"/>
              </w:rPr>
              <w:t>标书雷同性分析</w:t>
            </w:r>
          </w:p>
          <w:p w14:paraId="6F9E37FB">
            <w:pPr>
              <w:pStyle w:val="72"/>
              <w:adjustRightInd w:val="0"/>
              <w:snapToGrid w:val="0"/>
              <w:spacing w:line="360" w:lineRule="auto"/>
              <w:rPr>
                <w:rFonts w:hint="eastAsia" w:ascii="宋体" w:hAnsi="宋体" w:eastAsia="宋体" w:cs="宋体"/>
                <w:bCs/>
                <w:spacing w:val="11"/>
                <w:sz w:val="24"/>
                <w:szCs w:val="24"/>
              </w:rPr>
            </w:pPr>
            <w:r>
              <w:rPr>
                <w:rFonts w:hint="eastAsia" w:ascii="宋体" w:hAnsi="宋体" w:eastAsia="宋体" w:cs="宋体"/>
                <w:bCs/>
                <w:spacing w:val="11"/>
                <w:sz w:val="24"/>
                <w:szCs w:val="24"/>
              </w:rPr>
              <w:t>文件制作机器码、文件创建标识码有相同的按废标处理。</w:t>
            </w:r>
          </w:p>
          <w:p w14:paraId="2EBB9571">
            <w:pPr>
              <w:pStyle w:val="72"/>
              <w:adjustRightInd w:val="0"/>
              <w:snapToGrid w:val="0"/>
              <w:spacing w:line="360" w:lineRule="auto"/>
              <w:rPr>
                <w:rFonts w:hint="eastAsia" w:ascii="宋体" w:hAnsi="宋体" w:eastAsia="宋体" w:cs="宋体"/>
                <w:b/>
                <w:spacing w:val="11"/>
                <w:sz w:val="24"/>
                <w:szCs w:val="24"/>
                <w:u w:val="single"/>
              </w:rPr>
            </w:pPr>
            <w:r>
              <w:rPr>
                <w:rFonts w:hint="eastAsia" w:ascii="宋体" w:hAnsi="宋体" w:eastAsia="宋体" w:cs="宋体"/>
                <w:b/>
                <w:spacing w:val="11"/>
                <w:sz w:val="24"/>
                <w:szCs w:val="24"/>
                <w:u w:val="single"/>
                <w:lang w:val="en-US" w:eastAsia="zh-CN"/>
              </w:rPr>
              <w:t>其他</w:t>
            </w:r>
            <w:r>
              <w:rPr>
                <w:rFonts w:hint="eastAsia" w:ascii="宋体" w:hAnsi="宋体" w:eastAsia="宋体" w:cs="宋体"/>
                <w:b/>
                <w:spacing w:val="11"/>
                <w:sz w:val="24"/>
                <w:szCs w:val="24"/>
                <w:u w:val="single"/>
              </w:rPr>
              <w:t>规定废标情形</w:t>
            </w:r>
          </w:p>
          <w:p w14:paraId="277E9560">
            <w:pPr>
              <w:pStyle w:val="72"/>
              <w:adjustRightInd w:val="0"/>
              <w:snapToGrid w:val="0"/>
              <w:spacing w:line="360" w:lineRule="auto"/>
              <w:rPr>
                <w:rFonts w:hint="eastAsia" w:ascii="宋体" w:hAnsi="宋体" w:eastAsia="宋体" w:cs="宋体"/>
                <w:bCs/>
                <w:spacing w:val="11"/>
                <w:sz w:val="24"/>
                <w:szCs w:val="24"/>
              </w:rPr>
            </w:pPr>
            <w:r>
              <w:rPr>
                <w:rFonts w:hint="eastAsia" w:ascii="宋体" w:hAnsi="宋体" w:eastAsia="宋体" w:cs="宋体"/>
                <w:bCs/>
                <w:spacing w:val="11"/>
                <w:sz w:val="24"/>
                <w:szCs w:val="24"/>
              </w:rPr>
              <w:t xml:space="preserve">根据信财购〔2022〕7 号文（信阳市财政局关于严禁在政府采购活动中串标围标促进投标企业诚实守信的通知）除政府采购法律法规规定的恶意串通、视同串通投标情形外，参与同一个标段(包)的供应商存在下列情形之一的，其响应文件将会判定为无效： </w:t>
            </w:r>
          </w:p>
          <w:p w14:paraId="31C1EACE">
            <w:pPr>
              <w:pStyle w:val="72"/>
              <w:adjustRightInd w:val="0"/>
              <w:snapToGrid w:val="0"/>
              <w:spacing w:line="360" w:lineRule="auto"/>
              <w:rPr>
                <w:rFonts w:hint="eastAsia" w:ascii="宋体" w:hAnsi="宋体" w:eastAsia="宋体" w:cs="宋体"/>
                <w:bCs/>
                <w:spacing w:val="11"/>
                <w:sz w:val="24"/>
                <w:szCs w:val="24"/>
              </w:rPr>
            </w:pPr>
            <w:r>
              <w:rPr>
                <w:rFonts w:hint="eastAsia" w:ascii="宋体" w:hAnsi="宋体" w:eastAsia="宋体" w:cs="宋体"/>
                <w:bCs/>
                <w:spacing w:val="11"/>
                <w:sz w:val="24"/>
                <w:szCs w:val="24"/>
              </w:rPr>
              <w:t xml:space="preserve">（一）不同供应商的电子响应文件上传计算机的网卡MAC 地址、CPU 序列号和硬盘序列号等硬件信息相同的； </w:t>
            </w:r>
          </w:p>
          <w:p w14:paraId="6F1569F5">
            <w:pPr>
              <w:pStyle w:val="72"/>
              <w:adjustRightInd w:val="0"/>
              <w:snapToGrid w:val="0"/>
              <w:spacing w:line="360" w:lineRule="auto"/>
              <w:rPr>
                <w:rFonts w:hint="eastAsia" w:ascii="宋体" w:hAnsi="宋体" w:eastAsia="宋体" w:cs="宋体"/>
                <w:bCs/>
                <w:spacing w:val="11"/>
                <w:sz w:val="24"/>
                <w:szCs w:val="24"/>
              </w:rPr>
            </w:pPr>
            <w:r>
              <w:rPr>
                <w:rFonts w:hint="eastAsia" w:ascii="宋体" w:hAnsi="宋体" w:eastAsia="宋体" w:cs="宋体"/>
                <w:bCs/>
                <w:spacing w:val="11"/>
                <w:sz w:val="24"/>
                <w:szCs w:val="24"/>
              </w:rPr>
              <w:t xml:space="preserve">（二）不同供应商的响应文件由同一电子设备编制、打印加密或者上传； </w:t>
            </w:r>
          </w:p>
          <w:p w14:paraId="5E29E24B">
            <w:pPr>
              <w:pStyle w:val="72"/>
              <w:adjustRightInd w:val="0"/>
              <w:snapToGrid w:val="0"/>
              <w:spacing w:line="360" w:lineRule="auto"/>
              <w:rPr>
                <w:rFonts w:hint="eastAsia" w:ascii="宋体" w:hAnsi="宋体" w:eastAsia="宋体" w:cs="宋体"/>
                <w:bCs/>
                <w:spacing w:val="11"/>
                <w:sz w:val="24"/>
                <w:szCs w:val="24"/>
              </w:rPr>
            </w:pPr>
            <w:r>
              <w:rPr>
                <w:rFonts w:hint="eastAsia" w:ascii="宋体" w:hAnsi="宋体" w:eastAsia="宋体" w:cs="宋体"/>
                <w:bCs/>
                <w:spacing w:val="11"/>
                <w:sz w:val="24"/>
                <w:szCs w:val="24"/>
              </w:rPr>
              <w:t>（三）不同供应商的响应文件由同一电子设备打印、复印，且无法合理解释的；</w:t>
            </w:r>
          </w:p>
          <w:p w14:paraId="43DA3E6F">
            <w:pPr>
              <w:pStyle w:val="72"/>
              <w:adjustRightInd w:val="0"/>
              <w:snapToGrid w:val="0"/>
              <w:spacing w:line="360" w:lineRule="auto"/>
              <w:rPr>
                <w:rFonts w:hint="eastAsia" w:ascii="宋体" w:hAnsi="宋体" w:eastAsia="宋体" w:cs="宋体"/>
                <w:bCs/>
                <w:spacing w:val="11"/>
                <w:sz w:val="24"/>
                <w:szCs w:val="24"/>
              </w:rPr>
            </w:pPr>
            <w:r>
              <w:rPr>
                <w:rFonts w:hint="eastAsia" w:ascii="宋体" w:hAnsi="宋体" w:eastAsia="宋体" w:cs="宋体"/>
                <w:bCs/>
                <w:spacing w:val="11"/>
                <w:sz w:val="24"/>
                <w:szCs w:val="24"/>
              </w:rPr>
              <w:t xml:space="preserve">（四）不同供应商的响应文件由同一人送达或者分发，或者不同供应商联系人为同一人或不同联系人的联系电话一致的； </w:t>
            </w:r>
          </w:p>
          <w:p w14:paraId="5875CD6D">
            <w:pPr>
              <w:pStyle w:val="72"/>
              <w:adjustRightInd w:val="0"/>
              <w:snapToGrid w:val="0"/>
              <w:spacing w:line="360" w:lineRule="auto"/>
              <w:rPr>
                <w:rFonts w:hint="eastAsia" w:ascii="宋体" w:hAnsi="宋体" w:eastAsia="宋体" w:cs="宋体"/>
                <w:bCs/>
                <w:spacing w:val="11"/>
                <w:sz w:val="24"/>
                <w:szCs w:val="24"/>
              </w:rPr>
            </w:pPr>
            <w:r>
              <w:rPr>
                <w:rFonts w:hint="eastAsia" w:ascii="宋体" w:hAnsi="宋体" w:eastAsia="宋体" w:cs="宋体"/>
                <w:bCs/>
                <w:spacing w:val="11"/>
                <w:sz w:val="24"/>
                <w:szCs w:val="24"/>
              </w:rPr>
              <w:t xml:space="preserve">（五）不同供应商的响应文件的内容存在两处以上细节错误一致，且无法合理解释的； </w:t>
            </w:r>
          </w:p>
          <w:p w14:paraId="44F3E334">
            <w:pPr>
              <w:pStyle w:val="72"/>
              <w:adjustRightInd w:val="0"/>
              <w:snapToGrid w:val="0"/>
              <w:spacing w:line="360" w:lineRule="auto"/>
              <w:rPr>
                <w:rFonts w:hint="eastAsia" w:ascii="宋体" w:hAnsi="宋体" w:eastAsia="宋体" w:cs="宋体"/>
                <w:bCs/>
                <w:spacing w:val="11"/>
                <w:sz w:val="24"/>
                <w:szCs w:val="24"/>
              </w:rPr>
            </w:pPr>
            <w:r>
              <w:rPr>
                <w:rFonts w:hint="eastAsia" w:ascii="宋体" w:hAnsi="宋体" w:eastAsia="宋体" w:cs="宋体"/>
                <w:bCs/>
                <w:spacing w:val="11"/>
                <w:sz w:val="24"/>
                <w:szCs w:val="24"/>
              </w:rPr>
              <w:t xml:space="preserve">（六）不同供应商的法定代表人、委托代理人、项目经理、项目负责人等由同一个单位缴纳社会保险或者领取报酬的； </w:t>
            </w:r>
          </w:p>
          <w:p w14:paraId="389CF762">
            <w:pPr>
              <w:pStyle w:val="72"/>
              <w:adjustRightInd w:val="0"/>
              <w:snapToGrid w:val="0"/>
              <w:spacing w:line="360" w:lineRule="auto"/>
              <w:rPr>
                <w:rFonts w:hint="eastAsia" w:ascii="宋体" w:hAnsi="宋体" w:eastAsia="宋体" w:cs="宋体"/>
                <w:bCs/>
                <w:spacing w:val="11"/>
                <w:sz w:val="24"/>
                <w:szCs w:val="24"/>
              </w:rPr>
            </w:pPr>
            <w:r>
              <w:rPr>
                <w:rFonts w:hint="eastAsia" w:ascii="宋体" w:hAnsi="宋体" w:eastAsia="宋体" w:cs="宋体"/>
                <w:bCs/>
                <w:spacing w:val="11"/>
                <w:sz w:val="24"/>
                <w:szCs w:val="24"/>
              </w:rPr>
              <w:t xml:space="preserve">（七）不同供应商响应文件中法定代表人或者负责人签字出自同一人之手； </w:t>
            </w:r>
          </w:p>
          <w:p w14:paraId="69DB010E">
            <w:pPr>
              <w:pageBreakBefore w:val="0"/>
              <w:kinsoku/>
              <w:wordWrap/>
              <w:overflowPunct/>
              <w:topLinePunct w:val="0"/>
              <w:autoSpaceDE w:val="0"/>
              <w:autoSpaceDN w:val="0"/>
              <w:bidi w:val="0"/>
              <w:adjustRightInd w:val="0"/>
              <w:spacing w:line="400" w:lineRule="exact"/>
              <w:jc w:val="both"/>
              <w:rPr>
                <w:rFonts w:hint="eastAsia" w:ascii="宋体" w:hAnsi="宋体" w:eastAsia="宋体" w:cs="宋体"/>
                <w:color w:val="000000"/>
                <w:kern w:val="0"/>
                <w:sz w:val="24"/>
                <w:szCs w:val="24"/>
                <w:lang w:val="en-US" w:eastAsia="zh-CN" w:bidi="ar-SA"/>
              </w:rPr>
            </w:pPr>
            <w:r>
              <w:rPr>
                <w:rFonts w:hint="eastAsia" w:ascii="宋体" w:hAnsi="宋体" w:eastAsia="宋体" w:cs="宋体"/>
                <w:bCs/>
                <w:spacing w:val="11"/>
                <w:kern w:val="0"/>
                <w:sz w:val="24"/>
              </w:rPr>
              <w:t>（八）其</w:t>
            </w:r>
            <w:r>
              <w:rPr>
                <w:rFonts w:hint="eastAsia" w:ascii="宋体" w:hAnsi="宋体" w:eastAsia="宋体" w:cs="宋体"/>
                <w:bCs/>
                <w:spacing w:val="11"/>
                <w:kern w:val="0"/>
                <w:sz w:val="24"/>
                <w:lang w:val="en-US" w:eastAsia="zh-CN"/>
              </w:rPr>
              <w:t>他</w:t>
            </w:r>
            <w:r>
              <w:rPr>
                <w:rFonts w:hint="eastAsia" w:ascii="宋体" w:hAnsi="宋体" w:eastAsia="宋体" w:cs="宋体"/>
                <w:bCs/>
                <w:spacing w:val="11"/>
                <w:kern w:val="0"/>
                <w:sz w:val="24"/>
              </w:rPr>
              <w:t>涉嫌串通的情形。</w:t>
            </w:r>
          </w:p>
        </w:tc>
      </w:tr>
      <w:tr w14:paraId="555A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94" w:type="dxa"/>
            <w:noWrap w:val="0"/>
            <w:vAlign w:val="center"/>
          </w:tcPr>
          <w:p w14:paraId="6BC52BB4">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采购代理服务费</w:t>
            </w:r>
          </w:p>
        </w:tc>
        <w:tc>
          <w:tcPr>
            <w:tcW w:w="8769" w:type="dxa"/>
            <w:gridSpan w:val="2"/>
            <w:noWrap w:val="0"/>
            <w:vAlign w:val="center"/>
          </w:tcPr>
          <w:p w14:paraId="547E86BE">
            <w:pPr>
              <w:spacing w:beforeLines="20" w:line="312"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代理费收费约定：</w:t>
            </w:r>
          </w:p>
          <w:p w14:paraId="3B552165">
            <w:pPr>
              <w:spacing w:beforeLines="20" w:line="312"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1.本项目代理费由中标企业支付，供应商报价应当包含该项目代理服务费。</w:t>
            </w:r>
          </w:p>
          <w:p w14:paraId="633D628C">
            <w:pPr>
              <w:spacing w:beforeLines="20" w:line="312"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2.本项目参照《河南省招标代理服务收费指导意见》豫招协【2023】002号文件的规定收取代理费用，由中标人在领取中标通知书前向招标代理机构支付。备注：不执行不足1万按1万收取标准</w:t>
            </w:r>
          </w:p>
          <w:p w14:paraId="3199B2DA">
            <w:pPr>
              <w:spacing w:beforeLines="20" w:line="312"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3.收费标准：</w:t>
            </w:r>
          </w:p>
          <w:p w14:paraId="01F95E8A">
            <w:pPr>
              <w:spacing w:beforeLines="20" w:line="312"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本项目中标服务费的收取按差额定率累进法计算</w:t>
            </w:r>
          </w:p>
          <w:p w14:paraId="328F19B1">
            <w:pPr>
              <w:spacing w:beforeLines="20" w:line="312"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中标金额的100万（含）以下部分费率为1.7%；</w:t>
            </w:r>
          </w:p>
          <w:p w14:paraId="3A1471C8">
            <w:pPr>
              <w:spacing w:beforeLines="20" w:line="312"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中标金额的100万以上－500万（含）部分费率为1.2%；</w:t>
            </w:r>
          </w:p>
          <w:p w14:paraId="6CF0DC09">
            <w:pPr>
              <w:spacing w:beforeLines="20" w:line="312" w:lineRule="auto"/>
              <w:jc w:val="left"/>
              <w:rPr>
                <w:rFonts w:hint="eastAsia" w:ascii="宋体" w:hAnsi="宋体" w:eastAsia="宋体" w:cs="宋体"/>
                <w:bCs/>
                <w:color w:val="auto"/>
                <w:spacing w:val="11"/>
                <w:kern w:val="0"/>
                <w:sz w:val="24"/>
              </w:rPr>
            </w:pPr>
            <w:r>
              <w:rPr>
                <w:rFonts w:hint="eastAsia" w:ascii="宋体" w:hAnsi="宋体" w:eastAsia="宋体" w:cs="宋体"/>
                <w:color w:val="auto"/>
                <w:sz w:val="24"/>
                <w:szCs w:val="24"/>
                <w:lang w:val="en-US" w:eastAsia="zh-CN"/>
              </w:rPr>
              <w:t>中标金额的500万以上－1000万（含）部分费率为0.7%。</w:t>
            </w:r>
          </w:p>
        </w:tc>
      </w:tr>
      <w:tr w14:paraId="6F63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763" w:type="dxa"/>
            <w:gridSpan w:val="3"/>
            <w:noWrap w:val="0"/>
            <w:vAlign w:val="center"/>
          </w:tcPr>
          <w:p w14:paraId="7203228D">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未尽事宜，按政府采购相关法律法规及国家有关规定执行。</w:t>
            </w:r>
          </w:p>
          <w:p w14:paraId="31ADE73F">
            <w:pPr>
              <w:pageBreakBefore w:val="0"/>
              <w:kinsoku/>
              <w:wordWrap/>
              <w:overflowPunct/>
              <w:topLinePunct w:val="0"/>
              <w:autoSpaceDE w:val="0"/>
              <w:autoSpaceDN w:val="0"/>
              <w:bidi w:val="0"/>
              <w:adjustRightInd w:val="0"/>
              <w:spacing w:line="400" w:lineRule="exact"/>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（采购文件未尽事宜以合同签订为准）</w:t>
            </w:r>
          </w:p>
        </w:tc>
      </w:tr>
    </w:tbl>
    <w:p w14:paraId="43460932">
      <w:pPr>
        <w:rPr>
          <w:rFonts w:hint="eastAsia" w:ascii="宋体" w:hAnsi="宋体" w:eastAsia="宋体" w:cs="宋体"/>
        </w:rPr>
      </w:pPr>
    </w:p>
    <w:p w14:paraId="4665ADA4">
      <w:pPr>
        <w:pStyle w:val="88"/>
        <w:pageBreakBefore w:val="0"/>
        <w:kinsoku/>
        <w:wordWrap/>
        <w:overflowPunct/>
        <w:topLinePunct w:val="0"/>
        <w:autoSpaceDE/>
        <w:autoSpaceDN/>
        <w:bidi w:val="0"/>
        <w:adjustRightInd/>
        <w:snapToGrid/>
        <w:spacing w:before="0" w:beforeLines="0" w:line="460" w:lineRule="exac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1. 总则</w:t>
      </w:r>
    </w:p>
    <w:p w14:paraId="039DBBF2">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16" w:name="_Toc455867769"/>
      <w:bookmarkStart w:id="17" w:name="_Toc20827"/>
      <w:bookmarkStart w:id="18" w:name="_Toc15709"/>
      <w:bookmarkStart w:id="19" w:name="_Toc6747"/>
      <w:bookmarkStart w:id="20" w:name="_Toc31404"/>
      <w:bookmarkStart w:id="21" w:name="_Toc455080109"/>
      <w:bookmarkStart w:id="22" w:name="_Toc318450675"/>
      <w:bookmarkStart w:id="23" w:name="_Toc490667828"/>
      <w:bookmarkStart w:id="24" w:name="_Toc21266"/>
      <w:bookmarkStart w:id="25" w:name="_Toc29023"/>
      <w:bookmarkStart w:id="26" w:name="_Toc658"/>
      <w:bookmarkStart w:id="27" w:name="_Toc281380952"/>
      <w:bookmarkStart w:id="28" w:name="_Toc10273"/>
      <w:bookmarkStart w:id="29" w:name="_Toc21458"/>
      <w:bookmarkStart w:id="30" w:name="_Toc1172"/>
      <w:bookmarkStart w:id="31" w:name="_Toc466298092"/>
      <w:bookmarkStart w:id="32" w:name="_Toc274409866"/>
      <w:r>
        <w:rPr>
          <w:rFonts w:hint="eastAsia" w:ascii="宋体" w:hAnsi="宋体" w:eastAsia="宋体" w:cs="宋体"/>
          <w:b/>
          <w:bCs/>
          <w:color w:val="auto"/>
          <w:sz w:val="24"/>
          <w:szCs w:val="24"/>
        </w:rPr>
        <w:t>1.1 适用范围</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3C9C4C51">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1.1.1根据《中华人民共和国政府采购法》</w:t>
      </w:r>
      <w:r>
        <w:rPr>
          <w:rFonts w:hint="eastAsia" w:ascii="宋体" w:hAnsi="宋体" w:eastAsia="宋体" w:cs="宋体"/>
          <w:sz w:val="24"/>
        </w:rPr>
        <w:t>《</w:t>
      </w:r>
      <w:r>
        <w:rPr>
          <w:rFonts w:hint="eastAsia" w:ascii="宋体" w:hAnsi="宋体" w:eastAsia="宋体" w:cs="宋体"/>
          <w:color w:val="auto"/>
          <w:sz w:val="24"/>
          <w:szCs w:val="24"/>
        </w:rPr>
        <w:t>中华人民共和国</w:t>
      </w:r>
      <w:r>
        <w:rPr>
          <w:rFonts w:hint="eastAsia" w:ascii="宋体" w:hAnsi="宋体" w:eastAsia="宋体" w:cs="宋体"/>
          <w:sz w:val="24"/>
        </w:rPr>
        <w:t>政府采购法实施条例》、《政府采购竞争性磋商采购方式管理暂行办法》《政府采购质疑和投诉办法》</w:t>
      </w:r>
      <w:r>
        <w:rPr>
          <w:rFonts w:hint="eastAsia" w:ascii="宋体" w:hAnsi="宋体" w:eastAsia="宋体" w:cs="宋体"/>
          <w:color w:val="auto"/>
          <w:kern w:val="0"/>
          <w:sz w:val="24"/>
          <w:lang w:val="zh-CN"/>
        </w:rPr>
        <w:t>《中华人民共和国民法典》</w:t>
      </w:r>
      <w:r>
        <w:rPr>
          <w:rFonts w:hint="eastAsia" w:ascii="宋体" w:hAnsi="宋体" w:eastAsia="宋体" w:cs="宋体"/>
          <w:color w:val="auto"/>
          <w:sz w:val="24"/>
          <w:szCs w:val="24"/>
        </w:rPr>
        <w:t>等有关</w:t>
      </w:r>
      <w:r>
        <w:rPr>
          <w:rFonts w:hint="eastAsia" w:ascii="宋体" w:hAnsi="宋体" w:cs="宋体"/>
          <w:color w:val="auto"/>
          <w:sz w:val="24"/>
          <w:szCs w:val="24"/>
          <w:lang w:eastAsia="zh-CN"/>
        </w:rPr>
        <w:t>法律法规</w:t>
      </w:r>
      <w:r>
        <w:rPr>
          <w:rFonts w:hint="eastAsia" w:ascii="宋体" w:hAnsi="宋体" w:eastAsia="宋体" w:cs="宋体"/>
          <w:color w:val="auto"/>
          <w:sz w:val="24"/>
          <w:szCs w:val="24"/>
        </w:rPr>
        <w:t>和规章的规定，编制本项目磋商文件。</w:t>
      </w:r>
    </w:p>
    <w:p w14:paraId="295125B7">
      <w:pPr>
        <w:pStyle w:val="89"/>
        <w:pageBreakBefore w:val="0"/>
        <w:tabs>
          <w:tab w:val="left" w:pos="7410"/>
        </w:tabs>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33" w:name="_Toc30891"/>
      <w:bookmarkStart w:id="34" w:name="_Toc7237"/>
      <w:bookmarkStart w:id="35" w:name="_Toc25773"/>
      <w:bookmarkStart w:id="36" w:name="_Toc10556"/>
      <w:bookmarkStart w:id="37" w:name="_Toc281405468"/>
      <w:bookmarkStart w:id="38" w:name="_Toc710"/>
      <w:bookmarkStart w:id="39" w:name="_Toc490667829"/>
      <w:bookmarkStart w:id="40" w:name="_Toc24852"/>
      <w:bookmarkStart w:id="41" w:name="_Toc455867770"/>
      <w:bookmarkStart w:id="42" w:name="_Toc3336"/>
      <w:bookmarkStart w:id="43" w:name="_Toc32619"/>
      <w:bookmarkStart w:id="44" w:name="_Toc318450676"/>
      <w:bookmarkStart w:id="45" w:name="_Toc466298093"/>
      <w:bookmarkStart w:id="46" w:name="_Toc2929"/>
      <w:bookmarkStart w:id="47" w:name="_Toc274409867"/>
      <w:bookmarkStart w:id="48" w:name="_Toc455080110"/>
      <w:r>
        <w:rPr>
          <w:rFonts w:hint="eastAsia" w:ascii="宋体" w:hAnsi="宋体" w:eastAsia="宋体" w:cs="宋体"/>
          <w:b/>
          <w:bCs/>
          <w:color w:val="auto"/>
          <w:sz w:val="24"/>
          <w:szCs w:val="24"/>
        </w:rPr>
        <w:t xml:space="preserve">1.2 </w:t>
      </w:r>
      <w:r>
        <w:rPr>
          <w:rFonts w:hint="eastAsia" w:ascii="宋体" w:hAnsi="宋体" w:eastAsia="宋体" w:cs="宋体"/>
          <w:b/>
          <w:bCs/>
          <w:color w:val="auto"/>
          <w:sz w:val="24"/>
          <w:szCs w:val="24"/>
          <w:lang w:val="en-US" w:eastAsia="zh-CN"/>
        </w:rPr>
        <w:t>采购</w:t>
      </w:r>
      <w:r>
        <w:rPr>
          <w:rFonts w:hint="eastAsia" w:ascii="宋体" w:hAnsi="宋体" w:eastAsia="宋体" w:cs="宋体"/>
          <w:b/>
          <w:bCs/>
          <w:color w:val="auto"/>
          <w:sz w:val="24"/>
          <w:szCs w:val="24"/>
        </w:rPr>
        <w:t>项目说明</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5D6184DB">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1.2.1 本项目采购人：见供应商须知前附表。</w:t>
      </w:r>
    </w:p>
    <w:p w14:paraId="6A6A1EF8">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1.2.2 本项目采购代理机构：见供应商须知前附表。</w:t>
      </w:r>
    </w:p>
    <w:p w14:paraId="60B0ED9F">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1.2.3 本项目名称：见供应商须知前附表。</w:t>
      </w:r>
    </w:p>
    <w:p w14:paraId="39286D84">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1.2.4本项目采购方式</w:t>
      </w:r>
      <w:r>
        <w:rPr>
          <w:rFonts w:hint="eastAsia" w:ascii="宋体" w:hAnsi="宋体" w:eastAsia="宋体" w:cs="宋体"/>
          <w:color w:val="auto"/>
          <w:sz w:val="24"/>
          <w:szCs w:val="24"/>
        </w:rPr>
        <w:t>：见供应商须知前附表。</w:t>
      </w:r>
    </w:p>
    <w:p w14:paraId="57A88B0E">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1.2.5本项目预算价（最高限价）及最高投标限价</w:t>
      </w:r>
      <w:r>
        <w:rPr>
          <w:rFonts w:hint="eastAsia" w:ascii="宋体" w:hAnsi="宋体" w:eastAsia="宋体" w:cs="宋体"/>
          <w:color w:val="auto"/>
          <w:sz w:val="24"/>
          <w:szCs w:val="24"/>
        </w:rPr>
        <w:t>：见供应商须知前附表。</w:t>
      </w:r>
    </w:p>
    <w:p w14:paraId="369C1598">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49" w:name="_Toc455867771"/>
      <w:bookmarkStart w:id="50" w:name="_Toc318450677"/>
      <w:bookmarkStart w:id="51" w:name="_Toc3477"/>
      <w:bookmarkStart w:id="52" w:name="_Toc490667830"/>
      <w:bookmarkStart w:id="53" w:name="_Toc455080111"/>
      <w:bookmarkStart w:id="54" w:name="_Toc4122"/>
      <w:bookmarkStart w:id="55" w:name="_Toc4563"/>
      <w:bookmarkStart w:id="56" w:name="_Toc17016"/>
      <w:bookmarkStart w:id="57" w:name="_Toc274409868"/>
      <w:bookmarkStart w:id="58" w:name="_Toc1373"/>
      <w:bookmarkStart w:id="59" w:name="_Toc466298094"/>
      <w:bookmarkStart w:id="60" w:name="_Toc22979"/>
      <w:bookmarkStart w:id="61" w:name="_Toc17146"/>
      <w:bookmarkStart w:id="62" w:name="_Toc4952"/>
      <w:bookmarkStart w:id="63" w:name="_Toc16931"/>
      <w:bookmarkStart w:id="64" w:name="_Toc18960"/>
      <w:bookmarkStart w:id="65" w:name="_Toc281405469"/>
      <w:r>
        <w:rPr>
          <w:rFonts w:hint="eastAsia" w:ascii="宋体" w:hAnsi="宋体" w:eastAsia="宋体" w:cs="宋体"/>
          <w:b/>
          <w:bCs/>
          <w:color w:val="auto"/>
          <w:sz w:val="24"/>
          <w:szCs w:val="24"/>
        </w:rPr>
        <w:t>1.3 定义及解释</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2BAFAE4C">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1.3.1采购人：</w:t>
      </w:r>
      <w:r>
        <w:rPr>
          <w:rFonts w:hint="eastAsia" w:ascii="宋体" w:hAnsi="宋体" w:eastAsia="宋体" w:cs="宋体"/>
          <w:color w:val="auto"/>
          <w:sz w:val="24"/>
          <w:szCs w:val="24"/>
          <w:lang w:val="en-US" w:eastAsia="zh-CN"/>
        </w:rPr>
        <w:t>是指</w:t>
      </w:r>
      <w:r>
        <w:rPr>
          <w:rFonts w:hint="eastAsia" w:ascii="宋体" w:hAnsi="宋体" w:cs="宋体"/>
          <w:color w:val="auto"/>
          <w:sz w:val="24"/>
          <w:szCs w:val="24"/>
          <w:lang w:val="en-US" w:eastAsia="zh-CN"/>
        </w:rPr>
        <w:t>信阳市中医院</w:t>
      </w:r>
      <w:r>
        <w:rPr>
          <w:rFonts w:hint="eastAsia" w:ascii="宋体" w:hAnsi="宋体" w:eastAsia="宋体" w:cs="宋体"/>
          <w:color w:val="auto"/>
          <w:sz w:val="24"/>
          <w:szCs w:val="24"/>
        </w:rPr>
        <w:t>。</w:t>
      </w:r>
    </w:p>
    <w:p w14:paraId="4592246F">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1.3.2采购代理机构：受采购人委托组织</w:t>
      </w:r>
      <w:r>
        <w:rPr>
          <w:rFonts w:hint="eastAsia" w:ascii="宋体" w:hAnsi="宋体" w:eastAsia="宋体" w:cs="宋体"/>
          <w:color w:val="auto"/>
          <w:sz w:val="24"/>
          <w:szCs w:val="24"/>
          <w:lang w:val="en-US" w:eastAsia="zh-CN"/>
        </w:rPr>
        <w:t>采购</w:t>
      </w:r>
      <w:r>
        <w:rPr>
          <w:rFonts w:hint="eastAsia" w:ascii="宋体" w:hAnsi="宋体" w:eastAsia="宋体" w:cs="宋体"/>
          <w:color w:val="auto"/>
          <w:sz w:val="24"/>
          <w:szCs w:val="24"/>
        </w:rPr>
        <w:t>活动的社会中介组织</w:t>
      </w:r>
      <w:r>
        <w:rPr>
          <w:rFonts w:hint="eastAsia" w:ascii="宋体" w:hAnsi="宋体" w:eastAsia="宋体" w:cs="宋体"/>
          <w:color w:val="auto"/>
          <w:sz w:val="24"/>
          <w:szCs w:val="24"/>
          <w:lang w:eastAsia="zh-CN"/>
        </w:rPr>
        <w:t>（</w:t>
      </w:r>
      <w:r>
        <w:rPr>
          <w:rFonts w:hint="eastAsia" w:ascii="宋体" w:hAnsi="宋体" w:cs="宋体"/>
          <w:color w:val="auto"/>
          <w:sz w:val="24"/>
          <w:szCs w:val="24"/>
          <w:lang w:val="zh-CN" w:eastAsia="zh-CN"/>
        </w:rPr>
        <w:t>远瓴（北京）国际工程咨询有限公司</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p w14:paraId="7BBB6818">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1.3.3</w:t>
      </w:r>
      <w:r>
        <w:rPr>
          <w:rFonts w:hint="eastAsia" w:ascii="宋体" w:hAnsi="宋体" w:eastAsia="宋体" w:cs="宋体"/>
          <w:color w:val="auto"/>
          <w:sz w:val="24"/>
          <w:szCs w:val="24"/>
          <w:lang w:val="zh-CN"/>
        </w:rPr>
        <w:t xml:space="preserve"> “服务”系指</w:t>
      </w:r>
      <w:r>
        <w:rPr>
          <w:rFonts w:hint="eastAsia" w:ascii="宋体" w:hAnsi="宋体" w:eastAsia="宋体" w:cs="宋体"/>
          <w:color w:val="auto"/>
          <w:sz w:val="24"/>
          <w:szCs w:val="24"/>
          <w:lang w:val="en-US" w:eastAsia="zh-CN"/>
        </w:rPr>
        <w:t>采购</w:t>
      </w:r>
      <w:r>
        <w:rPr>
          <w:rFonts w:hint="eastAsia" w:ascii="宋体" w:hAnsi="宋体" w:eastAsia="宋体" w:cs="宋体"/>
          <w:color w:val="auto"/>
          <w:sz w:val="24"/>
          <w:szCs w:val="24"/>
          <w:lang w:val="zh-CN"/>
        </w:rPr>
        <w:t>文件规定卖方须承担的本项目服务、技术协助以及其他类似的伴随义务。</w:t>
      </w:r>
    </w:p>
    <w:p w14:paraId="05CE31BE">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1.3.4供应商：供应商是响应磋商文件、参加磋商竞争的中华人民共和国境内的法人、</w:t>
      </w:r>
      <w:r>
        <w:rPr>
          <w:rFonts w:hint="eastAsia" w:ascii="宋体" w:hAnsi="宋体" w:eastAsia="宋体" w:cs="宋体"/>
          <w:color w:val="auto"/>
          <w:sz w:val="24"/>
          <w:szCs w:val="24"/>
          <w:lang w:val="en-US" w:eastAsia="zh-CN"/>
        </w:rPr>
        <w:t>其他</w:t>
      </w:r>
      <w:r>
        <w:rPr>
          <w:rFonts w:hint="eastAsia" w:ascii="宋体" w:hAnsi="宋体" w:eastAsia="宋体" w:cs="宋体"/>
          <w:color w:val="auto"/>
          <w:sz w:val="24"/>
          <w:szCs w:val="24"/>
        </w:rPr>
        <w:t>组织。</w:t>
      </w:r>
    </w:p>
    <w:p w14:paraId="49DECE84">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1.3.5响应文件：指供应商根据</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提交的所有文件。</w:t>
      </w:r>
    </w:p>
    <w:p w14:paraId="4FB6767A">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1.3.6磋商小组：依据</w:t>
      </w:r>
      <w:r>
        <w:rPr>
          <w:rFonts w:hint="eastAsia" w:ascii="宋体" w:hAnsi="宋体" w:eastAsia="宋体" w:cs="宋体"/>
          <w:color w:val="auto"/>
          <w:sz w:val="24"/>
          <w:szCs w:val="24"/>
          <w:lang w:bidi="en-US"/>
        </w:rPr>
        <w:t>《中华人民共和国政府采购法》及有关</w:t>
      </w:r>
      <w:r>
        <w:rPr>
          <w:rFonts w:hint="eastAsia" w:ascii="宋体" w:hAnsi="宋体" w:cs="宋体"/>
          <w:color w:val="auto"/>
          <w:sz w:val="24"/>
          <w:szCs w:val="24"/>
          <w:lang w:eastAsia="zh-CN" w:bidi="en-US"/>
        </w:rPr>
        <w:t>法律法规</w:t>
      </w:r>
      <w:r>
        <w:rPr>
          <w:rFonts w:hint="eastAsia" w:ascii="宋体" w:hAnsi="宋体" w:eastAsia="宋体" w:cs="宋体"/>
          <w:color w:val="auto"/>
          <w:sz w:val="24"/>
          <w:szCs w:val="24"/>
          <w:lang w:bidi="en-US"/>
        </w:rPr>
        <w:t>的规定依法组建的专门负责本次</w:t>
      </w:r>
      <w:r>
        <w:rPr>
          <w:rFonts w:hint="eastAsia" w:ascii="宋体" w:hAnsi="宋体" w:eastAsia="宋体" w:cs="宋体"/>
          <w:color w:val="auto"/>
          <w:sz w:val="24"/>
          <w:szCs w:val="24"/>
          <w:lang w:val="en-US" w:eastAsia="zh-CN" w:bidi="en-US"/>
        </w:rPr>
        <w:t>评审</w:t>
      </w:r>
      <w:r>
        <w:rPr>
          <w:rFonts w:hint="eastAsia" w:ascii="宋体" w:hAnsi="宋体" w:eastAsia="宋体" w:cs="宋体"/>
          <w:color w:val="auto"/>
          <w:sz w:val="24"/>
          <w:szCs w:val="24"/>
          <w:lang w:bidi="en-US"/>
        </w:rPr>
        <w:t>工作的临时机构</w:t>
      </w:r>
      <w:r>
        <w:rPr>
          <w:rFonts w:hint="eastAsia" w:ascii="宋体" w:hAnsi="宋体" w:eastAsia="宋体" w:cs="宋体"/>
          <w:color w:val="auto"/>
          <w:sz w:val="24"/>
          <w:szCs w:val="24"/>
        </w:rPr>
        <w:t>。</w:t>
      </w:r>
    </w:p>
    <w:p w14:paraId="39FD50C1">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1.3.7偏离：响应文件的响应相对于</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要求的偏差，该偏差优于</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要求的为正偏离；劣于的，为负偏离。</w:t>
      </w:r>
    </w:p>
    <w:p w14:paraId="132F0743">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1.3.8“日期”或“天”：指日历天。</w:t>
      </w:r>
    </w:p>
    <w:p w14:paraId="02EC075A">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1.3.9合同：指依据本次采购结果签订的协议或合约文件。</w:t>
      </w:r>
    </w:p>
    <w:p w14:paraId="7BE034A3">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1.3.10</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中的标题或题名仅起引导作用，而不应视为对</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内容的理解和解释。</w:t>
      </w:r>
    </w:p>
    <w:p w14:paraId="0B9EEEBB">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66" w:name="_Toc10894"/>
      <w:bookmarkStart w:id="67" w:name="_Toc466298095"/>
      <w:bookmarkStart w:id="68" w:name="_Toc17908"/>
      <w:bookmarkStart w:id="69" w:name="_Toc455080112"/>
      <w:bookmarkStart w:id="70" w:name="_Toc19363"/>
      <w:bookmarkStart w:id="71" w:name="_Toc318450678"/>
      <w:bookmarkStart w:id="72" w:name="_Toc27407"/>
      <w:bookmarkStart w:id="73" w:name="_Toc144974500"/>
      <w:bookmarkStart w:id="74" w:name="_Toc490667831"/>
      <w:bookmarkStart w:id="75" w:name="_Toc152042308"/>
      <w:bookmarkStart w:id="76" w:name="_Toc152045532"/>
      <w:bookmarkStart w:id="77" w:name="_Toc14043"/>
      <w:bookmarkStart w:id="78" w:name="_Toc17808"/>
      <w:bookmarkStart w:id="79" w:name="_Toc21766"/>
      <w:bookmarkStart w:id="80" w:name="_Toc12752"/>
      <w:bookmarkStart w:id="81" w:name="_Toc16470"/>
      <w:bookmarkStart w:id="82" w:name="_Toc455867772"/>
      <w:bookmarkStart w:id="83" w:name="_Toc32236"/>
      <w:r>
        <w:rPr>
          <w:rFonts w:hint="eastAsia" w:ascii="宋体" w:hAnsi="宋体" w:eastAsia="宋体" w:cs="宋体"/>
          <w:b/>
          <w:bCs/>
          <w:color w:val="auto"/>
          <w:sz w:val="24"/>
          <w:szCs w:val="24"/>
        </w:rPr>
        <w:t xml:space="preserve">1.4 </w:t>
      </w:r>
      <w:r>
        <w:rPr>
          <w:rFonts w:hint="eastAsia" w:ascii="宋体" w:hAnsi="宋体" w:eastAsia="宋体" w:cs="宋体"/>
          <w:b/>
          <w:bCs/>
          <w:color w:val="auto"/>
          <w:sz w:val="24"/>
          <w:szCs w:val="24"/>
          <w:lang w:eastAsia="zh-CN"/>
        </w:rPr>
        <w:t>磋商内容、服务期限</w:t>
      </w:r>
      <w:r>
        <w:rPr>
          <w:rFonts w:hint="eastAsia" w:ascii="宋体" w:hAnsi="宋体" w:eastAsia="宋体" w:cs="宋体"/>
          <w:b/>
          <w:bCs/>
          <w:color w:val="auto"/>
          <w:sz w:val="24"/>
          <w:szCs w:val="24"/>
        </w:rPr>
        <w:t>和质量要求</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5CBCB18B">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1.4.1 本次</w:t>
      </w:r>
      <w:r>
        <w:rPr>
          <w:rFonts w:hint="eastAsia" w:ascii="宋体" w:hAnsi="宋体" w:eastAsia="宋体" w:cs="宋体"/>
          <w:color w:val="auto"/>
          <w:sz w:val="24"/>
          <w:szCs w:val="24"/>
          <w:lang w:eastAsia="zh-CN"/>
        </w:rPr>
        <w:t>磋商内容</w:t>
      </w:r>
      <w:r>
        <w:rPr>
          <w:rFonts w:hint="eastAsia" w:ascii="宋体" w:hAnsi="宋体" w:eastAsia="宋体" w:cs="宋体"/>
          <w:color w:val="auto"/>
          <w:sz w:val="24"/>
          <w:szCs w:val="24"/>
        </w:rPr>
        <w:t>：见供应商须知前附表。</w:t>
      </w:r>
    </w:p>
    <w:p w14:paraId="0FC9BFF1">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1.4.2 本项目的</w:t>
      </w:r>
      <w:r>
        <w:rPr>
          <w:rFonts w:hint="eastAsia" w:ascii="宋体" w:hAnsi="宋体" w:eastAsia="宋体" w:cs="宋体"/>
          <w:color w:val="auto"/>
          <w:sz w:val="24"/>
          <w:szCs w:val="24"/>
          <w:lang w:val="en-US" w:eastAsia="zh-CN"/>
        </w:rPr>
        <w:t>服务期限</w:t>
      </w:r>
      <w:r>
        <w:rPr>
          <w:rFonts w:hint="eastAsia" w:ascii="宋体" w:hAnsi="宋体" w:eastAsia="宋体" w:cs="宋体"/>
          <w:color w:val="auto"/>
          <w:sz w:val="24"/>
          <w:szCs w:val="24"/>
        </w:rPr>
        <w:t>：见供应商须知前附表。</w:t>
      </w:r>
    </w:p>
    <w:p w14:paraId="779CAF6D">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1.4.</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本项目的质量要求：见供应商须知前附表。</w:t>
      </w:r>
    </w:p>
    <w:p w14:paraId="534E3FF6">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1.4.4付款方式：</w:t>
      </w:r>
      <w:r>
        <w:rPr>
          <w:rFonts w:hint="eastAsia" w:ascii="宋体" w:hAnsi="宋体" w:eastAsia="宋体" w:cs="宋体"/>
          <w:color w:val="auto"/>
          <w:sz w:val="24"/>
          <w:szCs w:val="24"/>
        </w:rPr>
        <w:t>见供应商须知前附表。</w:t>
      </w:r>
    </w:p>
    <w:p w14:paraId="50FA36DC">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1.4.5服务地点：</w:t>
      </w:r>
      <w:r>
        <w:rPr>
          <w:rFonts w:hint="eastAsia" w:ascii="宋体" w:hAnsi="宋体" w:eastAsia="宋体" w:cs="宋体"/>
          <w:color w:val="auto"/>
          <w:sz w:val="24"/>
          <w:szCs w:val="24"/>
        </w:rPr>
        <w:t>见供应商须知前附表</w:t>
      </w:r>
      <w:r>
        <w:rPr>
          <w:rFonts w:hint="eastAsia" w:ascii="宋体" w:hAnsi="宋体" w:eastAsia="宋体" w:cs="宋体"/>
          <w:color w:val="auto"/>
          <w:sz w:val="24"/>
          <w:szCs w:val="24"/>
          <w:lang w:eastAsia="zh-CN"/>
        </w:rPr>
        <w:t>。</w:t>
      </w:r>
    </w:p>
    <w:p w14:paraId="37EDB67F">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84" w:name="_Toc318450679"/>
      <w:bookmarkStart w:id="85" w:name="_Toc144974502"/>
      <w:bookmarkStart w:id="86" w:name="_Toc152045534"/>
      <w:bookmarkStart w:id="87" w:name="_Toc152042310"/>
      <w:bookmarkStart w:id="88" w:name="_Toc4301"/>
      <w:bookmarkStart w:id="89" w:name="_Toc1602"/>
      <w:bookmarkStart w:id="90" w:name="_Toc18004"/>
      <w:bookmarkStart w:id="91" w:name="_Toc22643"/>
      <w:bookmarkStart w:id="92" w:name="_Toc18689"/>
      <w:bookmarkStart w:id="93" w:name="_Toc466298096"/>
      <w:bookmarkStart w:id="94" w:name="_Toc455080113"/>
      <w:bookmarkStart w:id="95" w:name="_Toc490667832"/>
      <w:bookmarkStart w:id="96" w:name="_Toc4711"/>
      <w:bookmarkStart w:id="97" w:name="_Toc32156"/>
      <w:bookmarkStart w:id="98" w:name="_Toc11063"/>
      <w:bookmarkStart w:id="99" w:name="_Toc455867773"/>
      <w:bookmarkStart w:id="100" w:name="_Toc5019"/>
      <w:bookmarkStart w:id="101" w:name="_Toc7209"/>
      <w:r>
        <w:rPr>
          <w:rFonts w:hint="eastAsia" w:ascii="宋体" w:hAnsi="宋体" w:eastAsia="宋体" w:cs="宋体"/>
          <w:b/>
          <w:bCs/>
          <w:color w:val="auto"/>
          <w:sz w:val="24"/>
          <w:szCs w:val="24"/>
        </w:rPr>
        <w:t xml:space="preserve">1.5 </w:t>
      </w:r>
      <w:bookmarkEnd w:id="84"/>
      <w:bookmarkEnd w:id="85"/>
      <w:bookmarkEnd w:id="86"/>
      <w:bookmarkEnd w:id="87"/>
      <w:r>
        <w:rPr>
          <w:rFonts w:hint="eastAsia" w:ascii="宋体" w:hAnsi="宋体" w:eastAsia="宋体" w:cs="宋体"/>
          <w:b/>
          <w:bCs/>
          <w:color w:val="auto"/>
          <w:sz w:val="24"/>
          <w:szCs w:val="24"/>
        </w:rPr>
        <w:t>供应商资质条件和能力</w:t>
      </w:r>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29DC6904">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1.5.1供应商资质及能力要求：见供应商须知前附表。</w:t>
      </w:r>
    </w:p>
    <w:p w14:paraId="328F8AA8">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1.5.2是否接受联合体：见供应商须知前附表。</w:t>
      </w:r>
    </w:p>
    <w:p w14:paraId="122C57C5">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102" w:name="_Toc144974503"/>
      <w:bookmarkStart w:id="103" w:name="_Toc9505"/>
      <w:bookmarkStart w:id="104" w:name="_Toc152042311"/>
      <w:bookmarkStart w:id="105" w:name="_Toc31854"/>
      <w:bookmarkStart w:id="106" w:name="_Toc152045535"/>
      <w:bookmarkStart w:id="107" w:name="_Toc32446"/>
      <w:bookmarkStart w:id="108" w:name="_Toc318450680"/>
      <w:bookmarkStart w:id="109" w:name="_Toc5162"/>
      <w:bookmarkStart w:id="110" w:name="_Toc490667833"/>
      <w:bookmarkStart w:id="111" w:name="_Toc28135"/>
      <w:bookmarkStart w:id="112" w:name="_Toc466298097"/>
      <w:bookmarkStart w:id="113" w:name="_Toc981"/>
      <w:bookmarkStart w:id="114" w:name="_Toc455080114"/>
      <w:bookmarkStart w:id="115" w:name="_Toc455867774"/>
      <w:bookmarkStart w:id="116" w:name="_Toc12403"/>
      <w:bookmarkStart w:id="117" w:name="_Toc651"/>
      <w:bookmarkStart w:id="118" w:name="_Toc11905"/>
      <w:bookmarkStart w:id="119" w:name="_Toc16889"/>
      <w:r>
        <w:rPr>
          <w:rFonts w:hint="eastAsia" w:ascii="宋体" w:hAnsi="宋体" w:eastAsia="宋体" w:cs="宋体"/>
          <w:b/>
          <w:bCs/>
          <w:color w:val="auto"/>
          <w:sz w:val="24"/>
          <w:szCs w:val="24"/>
        </w:rPr>
        <w:t>1.6 费用承担</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7D510569">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供应商准备和参加磋商活动发生的费用自理，不论磋商的结果如何，采购人和采购代理机构在任何情况下均无义务和责任承担这些费用。</w:t>
      </w:r>
    </w:p>
    <w:p w14:paraId="1B2C3630">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120" w:name="_Toc152045536"/>
      <w:bookmarkStart w:id="121" w:name="_Toc144974504"/>
      <w:bookmarkStart w:id="122" w:name="_Toc455867775"/>
      <w:bookmarkStart w:id="123" w:name="_Toc490667834"/>
      <w:bookmarkStart w:id="124" w:name="_Toc466298098"/>
      <w:bookmarkStart w:id="125" w:name="_Toc6014"/>
      <w:bookmarkStart w:id="126" w:name="_Toc8055"/>
      <w:bookmarkStart w:id="127" w:name="_Toc24601"/>
      <w:bookmarkStart w:id="128" w:name="_Toc318450681"/>
      <w:bookmarkStart w:id="129" w:name="_Toc22136"/>
      <w:bookmarkStart w:id="130" w:name="_Toc1879"/>
      <w:bookmarkStart w:id="131" w:name="_Toc152042312"/>
      <w:bookmarkStart w:id="132" w:name="_Toc455080115"/>
      <w:bookmarkStart w:id="133" w:name="_Toc22800"/>
      <w:bookmarkStart w:id="134" w:name="_Toc32053"/>
      <w:bookmarkStart w:id="135" w:name="_Toc20145"/>
      <w:bookmarkStart w:id="136" w:name="_Toc5402"/>
      <w:bookmarkStart w:id="137" w:name="_Toc2622"/>
      <w:r>
        <w:rPr>
          <w:rFonts w:hint="eastAsia" w:ascii="宋体" w:hAnsi="宋体" w:eastAsia="宋体" w:cs="宋体"/>
          <w:b/>
          <w:bCs/>
          <w:color w:val="auto"/>
          <w:sz w:val="24"/>
          <w:szCs w:val="24"/>
        </w:rPr>
        <w:t>1.7 保密</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585D1E40">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参与磋商活动的各方应对</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 xml:space="preserve">和响应文件中的商业和技术等秘密保密，违者应对由此造成的后果承担法律责任。 </w:t>
      </w:r>
    </w:p>
    <w:p w14:paraId="15BC00CA">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138" w:name="_Toc144974505"/>
      <w:bookmarkStart w:id="139" w:name="_Toc15673"/>
      <w:bookmarkStart w:id="140" w:name="_Toc21089"/>
      <w:bookmarkStart w:id="141" w:name="_Toc25517"/>
      <w:bookmarkStart w:id="142" w:name="_Toc7031"/>
      <w:bookmarkStart w:id="143" w:name="_Toc3628"/>
      <w:bookmarkStart w:id="144" w:name="_Toc152042313"/>
      <w:bookmarkStart w:id="145" w:name="_Toc455867776"/>
      <w:bookmarkStart w:id="146" w:name="_Toc455080116"/>
      <w:bookmarkStart w:id="147" w:name="_Toc30747"/>
      <w:bookmarkStart w:id="148" w:name="_Toc152045537"/>
      <w:bookmarkStart w:id="149" w:name="_Toc6615"/>
      <w:bookmarkStart w:id="150" w:name="_Toc30583"/>
      <w:bookmarkStart w:id="151" w:name="_Toc466298099"/>
      <w:bookmarkStart w:id="152" w:name="_Toc318450682"/>
      <w:bookmarkStart w:id="153" w:name="_Toc490667835"/>
      <w:bookmarkStart w:id="154" w:name="_Toc14775"/>
      <w:bookmarkStart w:id="155" w:name="_Toc13976"/>
      <w:r>
        <w:rPr>
          <w:rFonts w:hint="eastAsia" w:ascii="宋体" w:hAnsi="宋体" w:eastAsia="宋体" w:cs="宋体"/>
          <w:b/>
          <w:bCs/>
          <w:color w:val="auto"/>
          <w:sz w:val="24"/>
          <w:szCs w:val="24"/>
        </w:rPr>
        <w:t>1.8 语言</w:t>
      </w:r>
      <w:bookmarkEnd w:id="138"/>
      <w:r>
        <w:rPr>
          <w:rFonts w:hint="eastAsia" w:ascii="宋体" w:hAnsi="宋体" w:eastAsia="宋体" w:cs="宋体"/>
          <w:b/>
          <w:bCs/>
          <w:color w:val="auto"/>
          <w:sz w:val="24"/>
          <w:szCs w:val="24"/>
        </w:rPr>
        <w:t>文字</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46E457A6">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除专用术语外，与磋商有关的语言均使用中文。必要时专用术语应附有中文注释，</w:t>
      </w:r>
      <w:r>
        <w:rPr>
          <w:rFonts w:hint="eastAsia" w:ascii="宋体" w:hAnsi="宋体" w:eastAsia="宋体" w:cs="宋体"/>
          <w:color w:val="auto"/>
          <w:sz w:val="24"/>
          <w:szCs w:val="24"/>
          <w:lang w:bidi="en-US"/>
        </w:rPr>
        <w:t>对不同文字文本响应文件的解释发生异议的，以中文文本为准。</w:t>
      </w:r>
    </w:p>
    <w:p w14:paraId="1B4C352F">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156" w:name="_Toc4237"/>
      <w:bookmarkStart w:id="157" w:name="_Toc466298100"/>
      <w:bookmarkStart w:id="158" w:name="_Toc22378"/>
      <w:bookmarkStart w:id="159" w:name="_Toc18357"/>
      <w:bookmarkStart w:id="160" w:name="_Toc455080117"/>
      <w:bookmarkStart w:id="161" w:name="_Toc2702"/>
      <w:bookmarkStart w:id="162" w:name="_Toc490667836"/>
      <w:bookmarkStart w:id="163" w:name="_Toc455867777"/>
      <w:bookmarkStart w:id="164" w:name="_Toc318450683"/>
      <w:bookmarkStart w:id="165" w:name="_Toc4501"/>
      <w:bookmarkStart w:id="166" w:name="_Toc32507"/>
      <w:bookmarkStart w:id="167" w:name="_Toc22415"/>
      <w:bookmarkStart w:id="168" w:name="_Toc9446"/>
      <w:bookmarkStart w:id="169" w:name="_Toc24337"/>
      <w:bookmarkStart w:id="170" w:name="_Toc152045538"/>
      <w:bookmarkStart w:id="171" w:name="_Toc14934"/>
      <w:bookmarkStart w:id="172" w:name="_Toc152042314"/>
      <w:bookmarkStart w:id="173" w:name="_Toc144974506"/>
      <w:r>
        <w:rPr>
          <w:rFonts w:hint="eastAsia" w:ascii="宋体" w:hAnsi="宋体" w:eastAsia="宋体" w:cs="宋体"/>
          <w:b/>
          <w:bCs/>
          <w:color w:val="auto"/>
          <w:sz w:val="24"/>
          <w:szCs w:val="24"/>
        </w:rPr>
        <w:t>1.9 计量单位</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7976EADB">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所有计量均采用中华人民共和国法定计量单位。</w:t>
      </w:r>
    </w:p>
    <w:p w14:paraId="1E88F415">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val="0"/>
          <w:bCs w:val="0"/>
          <w:color w:val="auto"/>
          <w:sz w:val="24"/>
          <w:szCs w:val="24"/>
          <w:lang w:eastAsia="zh-CN"/>
        </w:rPr>
      </w:pPr>
      <w:bookmarkStart w:id="174" w:name="_Toc12027"/>
      <w:bookmarkStart w:id="175" w:name="_Toc318450684"/>
      <w:bookmarkStart w:id="176" w:name="_Toc19685"/>
      <w:bookmarkStart w:id="177" w:name="_Toc2508"/>
      <w:bookmarkStart w:id="178" w:name="_Toc338"/>
      <w:bookmarkStart w:id="179" w:name="_Toc13675"/>
      <w:bookmarkStart w:id="180" w:name="_Toc29845"/>
      <w:bookmarkStart w:id="181" w:name="_Toc152045540"/>
      <w:bookmarkStart w:id="182" w:name="_Toc27570"/>
      <w:bookmarkStart w:id="183" w:name="_Toc490667837"/>
      <w:bookmarkStart w:id="184" w:name="_Toc284"/>
      <w:bookmarkStart w:id="185" w:name="_Toc455867778"/>
      <w:bookmarkStart w:id="186" w:name="_Toc144974508"/>
      <w:bookmarkStart w:id="187" w:name="_Toc466298101"/>
      <w:bookmarkStart w:id="188" w:name="_Toc18589"/>
      <w:bookmarkStart w:id="189" w:name="_Toc152042316"/>
      <w:bookmarkStart w:id="190" w:name="_Toc31195"/>
      <w:bookmarkStart w:id="191" w:name="_Toc455080118"/>
      <w:r>
        <w:rPr>
          <w:rFonts w:hint="eastAsia" w:ascii="宋体" w:hAnsi="宋体" w:eastAsia="宋体" w:cs="宋体"/>
          <w:b/>
          <w:bCs/>
          <w:color w:val="auto"/>
          <w:sz w:val="24"/>
          <w:szCs w:val="24"/>
        </w:rPr>
        <w:t xml:space="preserve">1.10 </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Fonts w:hint="eastAsia" w:ascii="宋体" w:hAnsi="宋体" w:eastAsia="宋体" w:cs="宋体"/>
          <w:b/>
          <w:bCs/>
          <w:color w:val="auto"/>
          <w:sz w:val="24"/>
          <w:szCs w:val="24"/>
          <w:lang w:eastAsia="zh-CN"/>
        </w:rPr>
        <w:t>现场踏勘：</w:t>
      </w:r>
      <w:r>
        <w:rPr>
          <w:rFonts w:hint="eastAsia" w:ascii="宋体" w:hAnsi="宋体" w:eastAsia="宋体" w:cs="宋体"/>
          <w:b w:val="0"/>
          <w:bCs w:val="0"/>
          <w:color w:val="auto"/>
          <w:sz w:val="24"/>
          <w:szCs w:val="24"/>
          <w:lang w:eastAsia="zh-CN"/>
        </w:rPr>
        <w:t>自行踏勘，与之相关的费用，由供应商自行承担。</w:t>
      </w:r>
    </w:p>
    <w:p w14:paraId="1C5AFFAD">
      <w:pPr>
        <w:pageBreakBefore w:val="0"/>
        <w:kinsoku/>
        <w:wordWrap/>
        <w:overflowPunct/>
        <w:topLinePunct w:val="0"/>
        <w:autoSpaceDE/>
        <w:autoSpaceDN/>
        <w:bidi w:val="0"/>
        <w:adjustRightInd/>
        <w:snapToGrid/>
        <w:spacing w:line="450" w:lineRule="exact"/>
        <w:textAlignment w:val="auto"/>
        <w:outlineLvl w:val="1"/>
        <w:rPr>
          <w:rFonts w:hint="eastAsia" w:ascii="宋体" w:hAnsi="宋体" w:eastAsia="宋体" w:cs="宋体"/>
          <w:b/>
          <w:bCs/>
          <w:color w:val="auto"/>
          <w:sz w:val="24"/>
          <w:szCs w:val="24"/>
          <w:lang w:eastAsia="zh-CN"/>
        </w:rPr>
      </w:pPr>
      <w:bookmarkStart w:id="192" w:name="_Toc12453"/>
      <w:r>
        <w:rPr>
          <w:rFonts w:hint="eastAsia" w:ascii="宋体" w:hAnsi="宋体" w:eastAsia="宋体" w:cs="宋体"/>
          <w:b/>
          <w:bCs/>
          <w:color w:val="auto"/>
          <w:sz w:val="24"/>
          <w:szCs w:val="24"/>
        </w:rPr>
        <w:t>2.</w:t>
      </w:r>
      <w:bookmarkEnd w:id="192"/>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lang w:eastAsia="zh-CN"/>
        </w:rPr>
        <w:t>竞争性磋商文件</w:t>
      </w:r>
    </w:p>
    <w:p w14:paraId="727B3798">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193" w:name="_Toc11599"/>
      <w:bookmarkStart w:id="194" w:name="_Toc1008"/>
      <w:bookmarkStart w:id="195" w:name="_Toc455080121"/>
      <w:bookmarkStart w:id="196" w:name="_Toc466298104"/>
      <w:bookmarkStart w:id="197" w:name="_Toc12004"/>
      <w:bookmarkStart w:id="198" w:name="_Toc3982"/>
      <w:bookmarkStart w:id="199" w:name="_Toc455867781"/>
      <w:bookmarkStart w:id="200" w:name="_Toc12640"/>
      <w:bookmarkStart w:id="201" w:name="_Toc32711"/>
      <w:bookmarkStart w:id="202" w:name="_Toc318450687"/>
      <w:bookmarkStart w:id="203" w:name="_Toc23649"/>
      <w:bookmarkStart w:id="204" w:name="_Toc152045543"/>
      <w:bookmarkStart w:id="205" w:name="_Toc11567"/>
      <w:bookmarkStart w:id="206" w:name="_Toc144974511"/>
      <w:bookmarkStart w:id="207" w:name="_Toc490667840"/>
      <w:bookmarkStart w:id="208" w:name="_Toc7999"/>
      <w:bookmarkStart w:id="209" w:name="_Toc9780"/>
      <w:bookmarkStart w:id="210" w:name="_Toc152042319"/>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 xml:space="preserve"> </w:t>
      </w:r>
      <w:r>
        <w:rPr>
          <w:rFonts w:hint="eastAsia" w:ascii="宋体" w:hAnsi="宋体" w:eastAsia="宋体" w:cs="宋体"/>
          <w:b/>
          <w:bCs/>
          <w:color w:val="auto"/>
          <w:sz w:val="24"/>
          <w:szCs w:val="24"/>
          <w:lang w:eastAsia="zh-CN"/>
        </w:rPr>
        <w:t>竞争性磋商文件</w:t>
      </w:r>
      <w:r>
        <w:rPr>
          <w:rFonts w:hint="eastAsia" w:ascii="宋体" w:hAnsi="宋体" w:eastAsia="宋体" w:cs="宋体"/>
          <w:b/>
          <w:bCs/>
          <w:color w:val="auto"/>
          <w:sz w:val="24"/>
          <w:szCs w:val="24"/>
        </w:rPr>
        <w:t>的组成</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02502C10">
      <w:pPr>
        <w:pageBreakBefore w:val="0"/>
        <w:kinsoku/>
        <w:wordWrap/>
        <w:overflowPunct/>
        <w:topLinePunct w:val="0"/>
        <w:autoSpaceDE/>
        <w:autoSpaceDN/>
        <w:bidi w:val="0"/>
        <w:adjustRightInd/>
        <w:snapToGrid/>
        <w:spacing w:line="45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本</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包括：</w:t>
      </w:r>
    </w:p>
    <w:p w14:paraId="0DFBBFBA">
      <w:pPr>
        <w:pageBreakBefore w:val="0"/>
        <w:kinsoku/>
        <w:wordWrap/>
        <w:overflowPunct/>
        <w:topLinePunct w:val="0"/>
        <w:autoSpaceDE/>
        <w:autoSpaceDN/>
        <w:bidi w:val="0"/>
        <w:adjustRightInd/>
        <w:snapToGrid/>
        <w:spacing w:line="450" w:lineRule="exact"/>
        <w:ind w:firstLine="410" w:firstLineChars="17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竞争性磋商公告</w:t>
      </w:r>
      <w:r>
        <w:rPr>
          <w:rFonts w:hint="eastAsia" w:ascii="宋体" w:hAnsi="宋体" w:eastAsia="宋体" w:cs="宋体"/>
          <w:color w:val="auto"/>
          <w:sz w:val="24"/>
          <w:szCs w:val="24"/>
        </w:rPr>
        <w:t>；</w:t>
      </w:r>
    </w:p>
    <w:p w14:paraId="1CCCBE07">
      <w:pPr>
        <w:pageBreakBefore w:val="0"/>
        <w:kinsoku/>
        <w:wordWrap/>
        <w:overflowPunct/>
        <w:topLinePunct w:val="0"/>
        <w:autoSpaceDE/>
        <w:autoSpaceDN/>
        <w:bidi w:val="0"/>
        <w:adjustRightInd/>
        <w:snapToGrid/>
        <w:spacing w:line="450" w:lineRule="exact"/>
        <w:ind w:firstLine="410" w:firstLineChars="17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（2）供应商须知；</w:t>
      </w:r>
    </w:p>
    <w:p w14:paraId="507019E3">
      <w:pPr>
        <w:pageBreakBefore w:val="0"/>
        <w:kinsoku/>
        <w:wordWrap/>
        <w:overflowPunct/>
        <w:topLinePunct w:val="0"/>
        <w:autoSpaceDE/>
        <w:autoSpaceDN/>
        <w:bidi w:val="0"/>
        <w:adjustRightInd/>
        <w:snapToGrid/>
        <w:spacing w:line="450" w:lineRule="exact"/>
        <w:ind w:firstLine="410" w:firstLineChars="17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（3）评审办法；</w:t>
      </w:r>
    </w:p>
    <w:p w14:paraId="0BB6DD19">
      <w:pPr>
        <w:pageBreakBefore w:val="0"/>
        <w:kinsoku/>
        <w:wordWrap/>
        <w:overflowPunct/>
        <w:topLinePunct w:val="0"/>
        <w:autoSpaceDE/>
        <w:autoSpaceDN/>
        <w:bidi w:val="0"/>
        <w:adjustRightInd/>
        <w:snapToGrid/>
        <w:spacing w:line="450" w:lineRule="exact"/>
        <w:ind w:firstLine="410" w:firstLineChars="17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（4）合同主要条款</w:t>
      </w:r>
      <w:r>
        <w:rPr>
          <w:rFonts w:hint="eastAsia" w:ascii="宋体" w:hAnsi="宋体" w:eastAsia="宋体" w:cs="宋体"/>
          <w:color w:val="auto"/>
          <w:sz w:val="24"/>
          <w:szCs w:val="24"/>
          <w:lang w:eastAsia="zh-CN"/>
        </w:rPr>
        <w:t>及格式</w:t>
      </w:r>
      <w:r>
        <w:rPr>
          <w:rFonts w:hint="eastAsia" w:ascii="宋体" w:hAnsi="宋体" w:eastAsia="宋体" w:cs="宋体"/>
          <w:color w:val="auto"/>
          <w:sz w:val="24"/>
          <w:szCs w:val="24"/>
        </w:rPr>
        <w:t>；</w:t>
      </w:r>
    </w:p>
    <w:p w14:paraId="0A902CD8">
      <w:pPr>
        <w:pageBreakBefore w:val="0"/>
        <w:kinsoku/>
        <w:wordWrap/>
        <w:overflowPunct/>
        <w:topLinePunct w:val="0"/>
        <w:autoSpaceDE/>
        <w:autoSpaceDN/>
        <w:bidi w:val="0"/>
        <w:adjustRightInd/>
        <w:snapToGrid/>
        <w:spacing w:line="450" w:lineRule="exact"/>
        <w:ind w:firstLine="410" w:firstLineChars="17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lang w:val="en-US" w:eastAsia="zh-CN"/>
        </w:rPr>
        <w:t>服务内容及要求</w:t>
      </w:r>
      <w:r>
        <w:rPr>
          <w:rFonts w:hint="eastAsia" w:ascii="宋体" w:hAnsi="宋体" w:eastAsia="宋体" w:cs="宋体"/>
          <w:color w:val="auto"/>
          <w:sz w:val="24"/>
          <w:szCs w:val="24"/>
        </w:rPr>
        <w:t>；</w:t>
      </w:r>
    </w:p>
    <w:p w14:paraId="234CDA48">
      <w:pPr>
        <w:pageBreakBefore w:val="0"/>
        <w:kinsoku/>
        <w:wordWrap/>
        <w:overflowPunct/>
        <w:topLinePunct w:val="0"/>
        <w:autoSpaceDE/>
        <w:autoSpaceDN/>
        <w:bidi w:val="0"/>
        <w:adjustRightInd/>
        <w:snapToGrid/>
        <w:spacing w:line="450" w:lineRule="exact"/>
        <w:ind w:firstLine="410" w:firstLineChars="171"/>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（6）</w:t>
      </w:r>
      <w:r>
        <w:rPr>
          <w:rFonts w:hint="eastAsia" w:ascii="宋体" w:hAnsi="宋体" w:eastAsia="宋体" w:cs="宋体"/>
          <w:color w:val="auto"/>
          <w:sz w:val="24"/>
          <w:szCs w:val="24"/>
          <w:lang w:eastAsia="zh-CN"/>
        </w:rPr>
        <w:t>竞争性磋商响应文件格式</w:t>
      </w:r>
      <w:r>
        <w:rPr>
          <w:rFonts w:hint="eastAsia" w:ascii="宋体" w:hAnsi="宋体" w:eastAsia="宋体" w:cs="宋体"/>
          <w:color w:val="auto"/>
          <w:sz w:val="24"/>
          <w:szCs w:val="24"/>
        </w:rPr>
        <w:t>；</w:t>
      </w:r>
    </w:p>
    <w:p w14:paraId="1FFC6930">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根据本章第2.2款和第2.3款对</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所作的澄清、修改，构成</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的组成部分。</w:t>
      </w:r>
    </w:p>
    <w:p w14:paraId="4A206832">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211" w:name="_Toc15658"/>
      <w:r>
        <w:rPr>
          <w:rFonts w:hint="eastAsia" w:ascii="宋体" w:hAnsi="宋体" w:eastAsia="宋体" w:cs="宋体"/>
          <w:b/>
          <w:bCs/>
          <w:color w:val="auto"/>
          <w:sz w:val="24"/>
          <w:szCs w:val="24"/>
        </w:rPr>
        <w:t xml:space="preserve">2.2 </w:t>
      </w:r>
      <w:r>
        <w:rPr>
          <w:rFonts w:hint="eastAsia" w:ascii="宋体" w:hAnsi="宋体" w:eastAsia="宋体" w:cs="宋体"/>
          <w:b/>
          <w:bCs/>
          <w:color w:val="auto"/>
          <w:sz w:val="24"/>
          <w:szCs w:val="24"/>
          <w:lang w:eastAsia="zh-CN"/>
        </w:rPr>
        <w:t>竞争性磋商文件</w:t>
      </w:r>
      <w:r>
        <w:rPr>
          <w:rFonts w:hint="eastAsia" w:ascii="宋体" w:hAnsi="宋体" w:eastAsia="宋体" w:cs="宋体"/>
          <w:b/>
          <w:bCs/>
          <w:color w:val="auto"/>
          <w:sz w:val="24"/>
          <w:szCs w:val="24"/>
        </w:rPr>
        <w:t>的澄清</w:t>
      </w:r>
      <w:bookmarkEnd w:id="211"/>
    </w:p>
    <w:p w14:paraId="531AF5C5">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2.2.1供应商应仔细阅读和检查</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的全部内容。如发现缺页或附件不全，应及时向采购人提出，以便补齐。如有疑问，应在供应商须知前附表规定的时间前以书面形式（包括信函、电报、传真等可以有形表现所载内容的形式，下同），要求采购人对</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予以澄清。</w:t>
      </w:r>
    </w:p>
    <w:p w14:paraId="57E5D5C7">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2.2.2 </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的澄清将在供应商须知前附表规定的</w:t>
      </w:r>
      <w:r>
        <w:rPr>
          <w:rFonts w:hint="eastAsia" w:ascii="宋体" w:hAnsi="宋体" w:eastAsia="宋体" w:cs="宋体"/>
          <w:b w:val="0"/>
          <w:bCs w:val="0"/>
          <w:sz w:val="24"/>
          <w:szCs w:val="32"/>
          <w:lang w:val="en-US" w:eastAsia="zh-CN"/>
        </w:rPr>
        <w:t>提交响应文件</w:t>
      </w:r>
      <w:r>
        <w:rPr>
          <w:rFonts w:hint="eastAsia" w:ascii="宋体" w:hAnsi="宋体" w:eastAsia="宋体" w:cs="宋体"/>
          <w:color w:val="auto"/>
          <w:sz w:val="24"/>
          <w:szCs w:val="24"/>
        </w:rPr>
        <w:t>截止时间5天前在</w:t>
      </w:r>
      <w:r>
        <w:rPr>
          <w:rFonts w:hint="eastAsia" w:ascii="宋体" w:hAnsi="宋体" w:cs="宋体"/>
          <w:kern w:val="0"/>
          <w:sz w:val="24"/>
          <w:lang w:val="en-US" w:eastAsia="zh-CN"/>
        </w:rPr>
        <w:t>信阳市</w:t>
      </w:r>
      <w:r>
        <w:rPr>
          <w:rFonts w:hint="eastAsia" w:ascii="宋体" w:hAnsi="宋体" w:eastAsia="宋体" w:cs="宋体"/>
          <w:kern w:val="0"/>
          <w:sz w:val="24"/>
        </w:rPr>
        <w:t>公共资源交易系统</w:t>
      </w:r>
      <w:r>
        <w:rPr>
          <w:rFonts w:hint="eastAsia" w:ascii="宋体" w:hAnsi="宋体" w:eastAsia="宋体" w:cs="宋体"/>
          <w:color w:val="auto"/>
          <w:sz w:val="24"/>
          <w:szCs w:val="24"/>
        </w:rPr>
        <w:t>“变更公告”或“答疑文件”将澄清内容予以发布，但不指明澄清问题的来源。如果澄清的内容可能影响响应文件编制且发出的时间距</w:t>
      </w:r>
      <w:r>
        <w:rPr>
          <w:rFonts w:hint="eastAsia" w:ascii="宋体" w:hAnsi="宋体" w:eastAsia="宋体" w:cs="宋体"/>
          <w:b w:val="0"/>
          <w:bCs w:val="0"/>
          <w:sz w:val="24"/>
          <w:szCs w:val="32"/>
          <w:lang w:val="en-US" w:eastAsia="zh-CN"/>
        </w:rPr>
        <w:t>提交响应文件</w:t>
      </w:r>
      <w:r>
        <w:rPr>
          <w:rFonts w:hint="eastAsia" w:ascii="宋体" w:hAnsi="宋体" w:eastAsia="宋体" w:cs="宋体"/>
          <w:color w:val="auto"/>
          <w:sz w:val="24"/>
          <w:szCs w:val="24"/>
        </w:rPr>
        <w:t>截止时间不足5天，相应延长</w:t>
      </w:r>
      <w:r>
        <w:rPr>
          <w:rFonts w:hint="eastAsia" w:ascii="宋体" w:hAnsi="宋体" w:eastAsia="宋体" w:cs="宋体"/>
          <w:b w:val="0"/>
          <w:bCs w:val="0"/>
          <w:sz w:val="24"/>
          <w:szCs w:val="32"/>
          <w:lang w:val="en-US" w:eastAsia="zh-CN"/>
        </w:rPr>
        <w:t>提交响应文件</w:t>
      </w:r>
      <w:r>
        <w:rPr>
          <w:rFonts w:hint="eastAsia" w:ascii="宋体" w:hAnsi="宋体" w:eastAsia="宋体" w:cs="宋体"/>
          <w:color w:val="auto"/>
          <w:sz w:val="24"/>
          <w:szCs w:val="24"/>
        </w:rPr>
        <w:t>截止时间。</w:t>
      </w:r>
    </w:p>
    <w:p w14:paraId="0150BED7">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2.2.3供应商应在</w:t>
      </w:r>
      <w:r>
        <w:rPr>
          <w:rFonts w:hint="eastAsia" w:ascii="宋体" w:hAnsi="宋体" w:eastAsia="宋体" w:cs="宋体"/>
          <w:b w:val="0"/>
          <w:bCs w:val="0"/>
          <w:sz w:val="24"/>
          <w:szCs w:val="32"/>
          <w:lang w:val="en-US" w:eastAsia="zh-CN"/>
        </w:rPr>
        <w:t>提交响应文件</w:t>
      </w:r>
      <w:r>
        <w:rPr>
          <w:rFonts w:hint="eastAsia" w:ascii="宋体" w:hAnsi="宋体" w:eastAsia="宋体" w:cs="宋体"/>
          <w:color w:val="auto"/>
          <w:sz w:val="24"/>
          <w:szCs w:val="24"/>
        </w:rPr>
        <w:t>截止时间前及时查看澄清内容，因供应商未及时查看而造成的后果自负。</w:t>
      </w:r>
    </w:p>
    <w:p w14:paraId="028FD551">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212" w:name="_Toc8263"/>
      <w:r>
        <w:rPr>
          <w:rFonts w:hint="eastAsia" w:ascii="宋体" w:hAnsi="宋体" w:eastAsia="宋体" w:cs="宋体"/>
          <w:b/>
          <w:bCs/>
          <w:color w:val="auto"/>
          <w:sz w:val="24"/>
          <w:szCs w:val="24"/>
        </w:rPr>
        <w:t xml:space="preserve">2.3 </w:t>
      </w:r>
      <w:r>
        <w:rPr>
          <w:rFonts w:hint="eastAsia" w:ascii="宋体" w:hAnsi="宋体" w:eastAsia="宋体" w:cs="宋体"/>
          <w:b/>
          <w:bCs/>
          <w:color w:val="auto"/>
          <w:sz w:val="24"/>
          <w:szCs w:val="24"/>
          <w:lang w:eastAsia="zh-CN"/>
        </w:rPr>
        <w:t>竞争性磋商文件</w:t>
      </w:r>
      <w:r>
        <w:rPr>
          <w:rFonts w:hint="eastAsia" w:ascii="宋体" w:hAnsi="宋体" w:eastAsia="宋体" w:cs="宋体"/>
          <w:b/>
          <w:bCs/>
          <w:color w:val="auto"/>
          <w:sz w:val="24"/>
          <w:szCs w:val="24"/>
        </w:rPr>
        <w:t>的修改</w:t>
      </w:r>
      <w:bookmarkEnd w:id="212"/>
    </w:p>
    <w:p w14:paraId="01228921">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2.3.1 在</w:t>
      </w:r>
      <w:r>
        <w:rPr>
          <w:rFonts w:hint="eastAsia" w:ascii="宋体" w:hAnsi="宋体" w:eastAsia="宋体" w:cs="宋体"/>
          <w:b w:val="0"/>
          <w:bCs w:val="0"/>
          <w:sz w:val="24"/>
          <w:szCs w:val="32"/>
          <w:lang w:val="en-US" w:eastAsia="zh-CN"/>
        </w:rPr>
        <w:t>提交响应文件</w:t>
      </w:r>
      <w:r>
        <w:rPr>
          <w:rFonts w:hint="eastAsia" w:ascii="宋体" w:hAnsi="宋体" w:eastAsia="宋体" w:cs="宋体"/>
          <w:color w:val="auto"/>
          <w:sz w:val="24"/>
          <w:szCs w:val="24"/>
          <w:lang w:eastAsia="zh-CN"/>
        </w:rPr>
        <w:t>截止时间5天前，采购人可以修改竞争性磋商文件。如有修改，应在</w:t>
      </w:r>
      <w:r>
        <w:rPr>
          <w:rFonts w:hint="eastAsia" w:ascii="宋体" w:hAnsi="宋体" w:cs="宋体"/>
          <w:color w:val="auto"/>
          <w:sz w:val="24"/>
          <w:szCs w:val="24"/>
          <w:lang w:val="en-US" w:eastAsia="zh-CN"/>
        </w:rPr>
        <w:t>信阳市</w:t>
      </w:r>
      <w:r>
        <w:rPr>
          <w:rFonts w:hint="eastAsia" w:ascii="宋体" w:hAnsi="宋体" w:eastAsia="宋体" w:cs="宋体"/>
          <w:kern w:val="0"/>
          <w:sz w:val="24"/>
        </w:rPr>
        <w:t>公共资源交易系统</w:t>
      </w:r>
      <w:r>
        <w:rPr>
          <w:rFonts w:hint="eastAsia" w:ascii="宋体" w:hAnsi="宋体" w:eastAsia="宋体" w:cs="宋体"/>
          <w:color w:val="auto"/>
          <w:sz w:val="24"/>
          <w:szCs w:val="24"/>
          <w:lang w:eastAsia="zh-CN"/>
        </w:rPr>
        <w:t>“变更公告”或“答疑文件”将修改内容予以发布。如果修改的内容可能影响响应文件编制且发出的时间距</w:t>
      </w:r>
      <w:r>
        <w:rPr>
          <w:rFonts w:hint="eastAsia" w:ascii="宋体" w:hAnsi="宋体" w:eastAsia="宋体" w:cs="宋体"/>
          <w:b w:val="0"/>
          <w:bCs w:val="0"/>
          <w:sz w:val="24"/>
          <w:szCs w:val="32"/>
          <w:lang w:val="en-US" w:eastAsia="zh-CN"/>
        </w:rPr>
        <w:t>提交响应文件</w:t>
      </w:r>
      <w:r>
        <w:rPr>
          <w:rFonts w:hint="eastAsia" w:ascii="宋体" w:hAnsi="宋体" w:eastAsia="宋体" w:cs="宋体"/>
          <w:color w:val="auto"/>
          <w:sz w:val="24"/>
          <w:szCs w:val="24"/>
          <w:lang w:eastAsia="zh-CN"/>
        </w:rPr>
        <w:t>截止时间不足5天，相应延长</w:t>
      </w:r>
      <w:r>
        <w:rPr>
          <w:rFonts w:hint="eastAsia" w:ascii="宋体" w:hAnsi="宋体" w:eastAsia="宋体" w:cs="宋体"/>
          <w:b w:val="0"/>
          <w:bCs w:val="0"/>
          <w:sz w:val="24"/>
          <w:szCs w:val="32"/>
          <w:lang w:val="en-US" w:eastAsia="zh-CN"/>
        </w:rPr>
        <w:t>提交响应文件</w:t>
      </w:r>
      <w:r>
        <w:rPr>
          <w:rFonts w:hint="eastAsia" w:ascii="宋体" w:hAnsi="宋体" w:eastAsia="宋体" w:cs="宋体"/>
          <w:color w:val="auto"/>
          <w:sz w:val="24"/>
          <w:szCs w:val="24"/>
          <w:lang w:eastAsia="zh-CN"/>
        </w:rPr>
        <w:t>截止时间。</w:t>
      </w:r>
    </w:p>
    <w:p w14:paraId="5D234ED9">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2.3.2当竞争性磋商文件的澄清、修改、补充等在同一内容的表述上不一致时，以最后在</w:t>
      </w:r>
      <w:r>
        <w:rPr>
          <w:rFonts w:hint="eastAsia" w:ascii="宋体" w:hAnsi="宋体" w:cs="宋体"/>
          <w:kern w:val="0"/>
          <w:sz w:val="24"/>
          <w:lang w:val="en-US" w:eastAsia="zh-CN"/>
        </w:rPr>
        <w:t>信阳市</w:t>
      </w:r>
      <w:r>
        <w:rPr>
          <w:rFonts w:hint="eastAsia" w:ascii="宋体" w:hAnsi="宋体" w:eastAsia="宋体" w:cs="宋体"/>
          <w:kern w:val="0"/>
          <w:sz w:val="24"/>
        </w:rPr>
        <w:t>公共资源交易系统</w:t>
      </w:r>
      <w:r>
        <w:rPr>
          <w:rFonts w:hint="eastAsia" w:ascii="宋体" w:hAnsi="宋体" w:eastAsia="宋体" w:cs="宋体"/>
          <w:color w:val="auto"/>
          <w:sz w:val="24"/>
          <w:szCs w:val="24"/>
          <w:lang w:eastAsia="zh-CN"/>
        </w:rPr>
        <w:t>发出的文件为准。</w:t>
      </w:r>
    </w:p>
    <w:p w14:paraId="0E0AC0F2">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2.3.3供应商应在响应文件递交截止时间前及时查看修改内容，因供应商未及时查看而造成的后果自负。</w:t>
      </w:r>
    </w:p>
    <w:p w14:paraId="4F1BA3C7">
      <w:pPr>
        <w:pStyle w:val="88"/>
        <w:pageBreakBefore w:val="0"/>
        <w:kinsoku/>
        <w:wordWrap/>
        <w:overflowPunct/>
        <w:topLinePunct w:val="0"/>
        <w:autoSpaceDE/>
        <w:autoSpaceDN/>
        <w:bidi w:val="0"/>
        <w:adjustRightInd/>
        <w:snapToGrid/>
        <w:spacing w:before="0" w:beforeLines="0" w:line="450" w:lineRule="exact"/>
        <w:textAlignment w:val="auto"/>
        <w:rPr>
          <w:rFonts w:hint="eastAsia" w:ascii="宋体" w:hAnsi="宋体" w:eastAsia="宋体" w:cs="宋体"/>
          <w:b/>
          <w:bCs/>
          <w:color w:val="auto"/>
          <w:sz w:val="24"/>
          <w:szCs w:val="24"/>
        </w:rPr>
      </w:pPr>
      <w:bookmarkStart w:id="213" w:name="_Toc4666"/>
      <w:r>
        <w:rPr>
          <w:rFonts w:hint="eastAsia" w:ascii="宋体" w:hAnsi="宋体" w:eastAsia="宋体" w:cs="宋体"/>
          <w:b/>
          <w:bCs/>
          <w:color w:val="auto"/>
          <w:sz w:val="24"/>
          <w:szCs w:val="24"/>
        </w:rPr>
        <w:t>3. 响应文件</w:t>
      </w:r>
      <w:bookmarkEnd w:id="213"/>
    </w:p>
    <w:p w14:paraId="1F6B25A7">
      <w:pPr>
        <w:pStyle w:val="89"/>
        <w:pageBreakBefore w:val="0"/>
        <w:kinsoku/>
        <w:wordWrap/>
        <w:overflowPunct/>
        <w:topLinePunct w:val="0"/>
        <w:autoSpaceDE/>
        <w:autoSpaceDN/>
        <w:bidi w:val="0"/>
        <w:adjustRightInd/>
        <w:snapToGrid/>
        <w:spacing w:line="450" w:lineRule="exact"/>
        <w:textAlignment w:val="auto"/>
        <w:outlineLvl w:val="9"/>
        <w:rPr>
          <w:rFonts w:hint="eastAsia" w:ascii="宋体" w:hAnsi="宋体" w:eastAsia="宋体" w:cs="宋体"/>
          <w:b/>
          <w:bCs/>
          <w:color w:val="auto"/>
          <w:sz w:val="24"/>
          <w:szCs w:val="24"/>
        </w:rPr>
      </w:pPr>
      <w:bookmarkStart w:id="214" w:name="_Toc10096"/>
      <w:bookmarkStart w:id="215" w:name="_Toc144974515"/>
      <w:bookmarkStart w:id="216" w:name="_Toc152042323"/>
      <w:bookmarkStart w:id="217" w:name="_Toc15810"/>
      <w:bookmarkStart w:id="218" w:name="_Toc16198"/>
      <w:bookmarkStart w:id="219" w:name="_Toc152045547"/>
      <w:bookmarkStart w:id="220" w:name="_Toc24440"/>
      <w:bookmarkStart w:id="221" w:name="_Toc27373"/>
      <w:bookmarkStart w:id="222" w:name="_Toc490667844"/>
      <w:bookmarkStart w:id="223" w:name="_Toc318450691"/>
      <w:bookmarkStart w:id="224" w:name="_Toc9273"/>
      <w:r>
        <w:rPr>
          <w:rFonts w:hint="eastAsia" w:ascii="宋体" w:hAnsi="宋体" w:eastAsia="宋体" w:cs="宋体"/>
          <w:b/>
          <w:bCs/>
          <w:color w:val="auto"/>
          <w:sz w:val="24"/>
          <w:szCs w:val="24"/>
        </w:rPr>
        <w:t>3.1 响应文件的组成</w:t>
      </w:r>
      <w:bookmarkEnd w:id="214"/>
      <w:bookmarkEnd w:id="215"/>
      <w:bookmarkEnd w:id="216"/>
      <w:bookmarkEnd w:id="217"/>
      <w:bookmarkEnd w:id="218"/>
      <w:bookmarkEnd w:id="219"/>
      <w:bookmarkEnd w:id="220"/>
      <w:bookmarkEnd w:id="221"/>
      <w:bookmarkEnd w:id="222"/>
      <w:bookmarkEnd w:id="223"/>
      <w:bookmarkEnd w:id="224"/>
    </w:p>
    <w:p w14:paraId="42499E01">
      <w:pPr>
        <w:pageBreakBefore w:val="0"/>
        <w:widowControl/>
        <w:kinsoku/>
        <w:wordWrap/>
        <w:overflowPunct/>
        <w:topLinePunct w:val="0"/>
        <w:autoSpaceDE/>
        <w:autoSpaceDN/>
        <w:bidi w:val="0"/>
        <w:adjustRightInd/>
        <w:snapToGrid/>
        <w:spacing w:line="450" w:lineRule="exact"/>
        <w:ind w:left="0" w:leftChars="0" w:firstLine="480" w:firstLineChars="200"/>
        <w:jc w:val="left"/>
        <w:textAlignment w:val="auto"/>
        <w:rPr>
          <w:rFonts w:hint="eastAsia" w:ascii="宋体" w:hAnsi="宋体" w:eastAsia="宋体" w:cs="宋体"/>
          <w:color w:val="auto"/>
          <w:sz w:val="24"/>
          <w:szCs w:val="24"/>
        </w:rPr>
      </w:pPr>
      <w:bookmarkStart w:id="225" w:name="_Toc899"/>
      <w:bookmarkStart w:id="226" w:name="_Toc318450692"/>
      <w:bookmarkStart w:id="227" w:name="_Toc144974516"/>
      <w:bookmarkStart w:id="228" w:name="_Toc26291"/>
      <w:bookmarkStart w:id="229" w:name="_Toc279156232"/>
      <w:bookmarkStart w:id="230" w:name="_Toc152045548"/>
      <w:bookmarkStart w:id="231" w:name="_Toc152042324"/>
      <w:r>
        <w:rPr>
          <w:rFonts w:hint="eastAsia" w:ascii="宋体" w:hAnsi="宋体" w:eastAsia="宋体" w:cs="宋体"/>
          <w:color w:val="auto"/>
          <w:sz w:val="24"/>
          <w:szCs w:val="24"/>
          <w:lang w:eastAsia="zh-CN"/>
        </w:rPr>
        <w:t>响应</w:t>
      </w:r>
      <w:r>
        <w:rPr>
          <w:rFonts w:hint="eastAsia" w:ascii="宋体" w:hAnsi="宋体" w:eastAsia="宋体" w:cs="宋体"/>
          <w:color w:val="auto"/>
          <w:sz w:val="24"/>
          <w:szCs w:val="24"/>
        </w:rPr>
        <w:t>文件应包括下列内容</w:t>
      </w:r>
      <w:r>
        <w:rPr>
          <w:rFonts w:hint="eastAsia" w:ascii="宋体" w:hAnsi="宋体" w:eastAsia="宋体" w:cs="宋体"/>
          <w:b/>
          <w:bCs/>
          <w:color w:val="auto"/>
          <w:sz w:val="24"/>
          <w:szCs w:val="24"/>
        </w:rPr>
        <w:t>：</w:t>
      </w:r>
    </w:p>
    <w:p w14:paraId="7AE5710C">
      <w:pPr>
        <w:pStyle w:val="31"/>
        <w:pageBreakBefore w:val="0"/>
        <w:kinsoku/>
        <w:wordWrap/>
        <w:overflowPunct/>
        <w:topLinePunct w:val="0"/>
        <w:autoSpaceDE/>
        <w:autoSpaceDN/>
        <w:bidi w:val="0"/>
        <w:adjustRightInd/>
        <w:snapToGrid/>
        <w:spacing w:after="0" w:afterLines="0" w:line="450" w:lineRule="exact"/>
        <w:ind w:left="0" w:leftChars="0"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lang w:eastAsia="zh-CN"/>
        </w:rPr>
        <w:t>响应函</w:t>
      </w:r>
      <w:r>
        <w:rPr>
          <w:rFonts w:hint="eastAsia" w:ascii="宋体" w:hAnsi="宋体" w:eastAsia="宋体" w:cs="宋体"/>
          <w:bCs/>
          <w:color w:val="auto"/>
          <w:sz w:val="24"/>
          <w:szCs w:val="24"/>
        </w:rPr>
        <w:t>及</w:t>
      </w:r>
      <w:r>
        <w:rPr>
          <w:rFonts w:hint="eastAsia" w:ascii="宋体" w:hAnsi="宋体" w:eastAsia="宋体" w:cs="宋体"/>
          <w:bCs/>
          <w:color w:val="auto"/>
          <w:sz w:val="24"/>
          <w:szCs w:val="24"/>
          <w:lang w:eastAsia="zh-CN"/>
        </w:rPr>
        <w:t>响应函附录</w:t>
      </w:r>
      <w:r>
        <w:rPr>
          <w:rFonts w:hint="eastAsia" w:ascii="宋体" w:hAnsi="宋体" w:eastAsia="宋体" w:cs="宋体"/>
          <w:bCs/>
          <w:color w:val="auto"/>
          <w:sz w:val="24"/>
          <w:szCs w:val="24"/>
        </w:rPr>
        <w:t xml:space="preserve"> </w:t>
      </w:r>
    </w:p>
    <w:p w14:paraId="347BEFF1">
      <w:pPr>
        <w:pStyle w:val="31"/>
        <w:pageBreakBefore w:val="0"/>
        <w:kinsoku/>
        <w:wordWrap/>
        <w:overflowPunct/>
        <w:topLinePunct w:val="0"/>
        <w:autoSpaceDE/>
        <w:autoSpaceDN/>
        <w:bidi w:val="0"/>
        <w:adjustRightInd/>
        <w:snapToGrid/>
        <w:spacing w:after="0" w:afterLines="0" w:line="450" w:lineRule="exact"/>
        <w:ind w:left="0" w:leftChars="0"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rPr>
        <w:t>法定代表人身份证明</w:t>
      </w:r>
    </w:p>
    <w:p w14:paraId="3E569BF2">
      <w:pPr>
        <w:pStyle w:val="31"/>
        <w:pageBreakBefore w:val="0"/>
        <w:kinsoku/>
        <w:wordWrap/>
        <w:overflowPunct/>
        <w:topLinePunct w:val="0"/>
        <w:autoSpaceDE/>
        <w:autoSpaceDN/>
        <w:bidi w:val="0"/>
        <w:adjustRightInd/>
        <w:snapToGrid/>
        <w:spacing w:after="0" w:afterLines="0" w:line="450" w:lineRule="exact"/>
        <w:ind w:left="0" w:leftChars="0"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授权委托书</w:t>
      </w:r>
    </w:p>
    <w:p w14:paraId="4218BD84">
      <w:pPr>
        <w:pStyle w:val="31"/>
        <w:pageBreakBefore w:val="0"/>
        <w:kinsoku/>
        <w:wordWrap/>
        <w:overflowPunct/>
        <w:topLinePunct w:val="0"/>
        <w:autoSpaceDE/>
        <w:autoSpaceDN/>
        <w:bidi w:val="0"/>
        <w:adjustRightInd/>
        <w:snapToGrid/>
        <w:spacing w:after="0" w:afterLines="0" w:line="450" w:lineRule="exact"/>
        <w:ind w:left="0" w:leftChars="0" w:firstLine="480" w:firstLineChars="20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4）商务及技术偏差表</w:t>
      </w:r>
    </w:p>
    <w:p w14:paraId="5B79BF33">
      <w:pPr>
        <w:pStyle w:val="31"/>
        <w:pageBreakBefore w:val="0"/>
        <w:kinsoku/>
        <w:wordWrap/>
        <w:overflowPunct/>
        <w:topLinePunct w:val="0"/>
        <w:autoSpaceDE/>
        <w:autoSpaceDN/>
        <w:bidi w:val="0"/>
        <w:adjustRightInd/>
        <w:snapToGrid/>
        <w:spacing w:after="0" w:afterLines="0" w:line="450" w:lineRule="exact"/>
        <w:ind w:left="0" w:leftChars="0" w:firstLine="480" w:firstLineChars="200"/>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5）技术方案</w:t>
      </w:r>
    </w:p>
    <w:p w14:paraId="36A72A3B">
      <w:pPr>
        <w:pStyle w:val="31"/>
        <w:pageBreakBefore w:val="0"/>
        <w:kinsoku/>
        <w:wordWrap/>
        <w:overflowPunct/>
        <w:topLinePunct w:val="0"/>
        <w:autoSpaceDE/>
        <w:autoSpaceDN/>
        <w:bidi w:val="0"/>
        <w:adjustRightInd/>
        <w:snapToGrid/>
        <w:spacing w:after="0" w:afterLines="0" w:line="450" w:lineRule="exact"/>
        <w:ind w:left="0" w:leftChars="0" w:firstLine="480" w:firstLineChars="20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w:t>
      </w:r>
      <w:r>
        <w:rPr>
          <w:rFonts w:hint="eastAsia" w:ascii="宋体" w:hAnsi="宋体" w:eastAsia="宋体" w:cs="宋体"/>
          <w:b w:val="0"/>
          <w:bCs/>
          <w:color w:val="000000"/>
          <w:sz w:val="24"/>
          <w:szCs w:val="24"/>
          <w:lang w:val="en-US" w:eastAsia="zh-CN"/>
        </w:rPr>
        <w:t>项目服务组织机构</w:t>
      </w:r>
    </w:p>
    <w:p w14:paraId="2B3B0002">
      <w:pPr>
        <w:pStyle w:val="31"/>
        <w:pageBreakBefore w:val="0"/>
        <w:kinsoku/>
        <w:wordWrap/>
        <w:overflowPunct/>
        <w:topLinePunct w:val="0"/>
        <w:autoSpaceDE/>
        <w:autoSpaceDN/>
        <w:bidi w:val="0"/>
        <w:adjustRightInd/>
        <w:snapToGrid/>
        <w:spacing w:after="0" w:afterLines="0" w:line="450" w:lineRule="exact"/>
        <w:ind w:left="0" w:leftChars="0"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7）</w:t>
      </w:r>
      <w:r>
        <w:rPr>
          <w:rFonts w:hint="eastAsia" w:ascii="宋体" w:hAnsi="宋体" w:eastAsia="宋体" w:cs="宋体"/>
          <w:bCs/>
          <w:color w:val="auto"/>
          <w:sz w:val="24"/>
          <w:szCs w:val="24"/>
        </w:rPr>
        <w:t>资格审查资料</w:t>
      </w:r>
    </w:p>
    <w:p w14:paraId="52F57DE5">
      <w:pPr>
        <w:pStyle w:val="31"/>
        <w:pageBreakBefore w:val="0"/>
        <w:kinsoku/>
        <w:wordWrap/>
        <w:overflowPunct/>
        <w:topLinePunct w:val="0"/>
        <w:autoSpaceDE/>
        <w:autoSpaceDN/>
        <w:bidi w:val="0"/>
        <w:adjustRightInd/>
        <w:snapToGrid/>
        <w:spacing w:after="0" w:afterLines="0" w:line="450" w:lineRule="exact"/>
        <w:ind w:left="0" w:leftChars="0"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8）</w:t>
      </w:r>
      <w:r>
        <w:rPr>
          <w:rFonts w:hint="eastAsia" w:ascii="宋体" w:hAnsi="宋体" w:eastAsia="宋体" w:cs="宋体"/>
          <w:bCs/>
          <w:color w:val="auto"/>
          <w:sz w:val="24"/>
          <w:szCs w:val="24"/>
        </w:rPr>
        <w:t>中小企业声明函</w:t>
      </w:r>
    </w:p>
    <w:p w14:paraId="4391A2E2">
      <w:pPr>
        <w:pStyle w:val="31"/>
        <w:pageBreakBefore w:val="0"/>
        <w:kinsoku/>
        <w:wordWrap/>
        <w:overflowPunct/>
        <w:topLinePunct w:val="0"/>
        <w:autoSpaceDE/>
        <w:autoSpaceDN/>
        <w:bidi w:val="0"/>
        <w:adjustRightInd/>
        <w:snapToGrid/>
        <w:spacing w:after="0" w:afterLines="0" w:line="450" w:lineRule="exact"/>
        <w:ind w:left="0" w:leftChars="0"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9</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残疾人福利性单位声明函</w:t>
      </w:r>
    </w:p>
    <w:p w14:paraId="09EEC22B">
      <w:pPr>
        <w:pStyle w:val="31"/>
        <w:pageBreakBefore w:val="0"/>
        <w:kinsoku/>
        <w:wordWrap/>
        <w:overflowPunct/>
        <w:topLinePunct w:val="0"/>
        <w:autoSpaceDE/>
        <w:autoSpaceDN/>
        <w:bidi w:val="0"/>
        <w:adjustRightInd/>
        <w:snapToGrid/>
        <w:spacing w:after="0" w:afterLines="0" w:line="450" w:lineRule="exact"/>
        <w:ind w:left="0" w:leftChars="0" w:firstLine="480" w:firstLineChars="200"/>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10</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监狱企业证明文件</w:t>
      </w:r>
    </w:p>
    <w:p w14:paraId="090A2325">
      <w:pPr>
        <w:pStyle w:val="31"/>
        <w:pageBreakBefore w:val="0"/>
        <w:kinsoku/>
        <w:wordWrap/>
        <w:overflowPunct/>
        <w:topLinePunct w:val="0"/>
        <w:autoSpaceDE/>
        <w:autoSpaceDN/>
        <w:bidi w:val="0"/>
        <w:adjustRightInd/>
        <w:snapToGrid/>
        <w:spacing w:after="0" w:afterLines="0" w:line="450" w:lineRule="exact"/>
        <w:ind w:left="0" w:leftChars="0"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11</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反商业贿赂承诺书</w:t>
      </w:r>
    </w:p>
    <w:p w14:paraId="23F0B3D4">
      <w:pPr>
        <w:pStyle w:val="31"/>
        <w:pageBreakBefore w:val="0"/>
        <w:kinsoku/>
        <w:wordWrap/>
        <w:overflowPunct/>
        <w:topLinePunct w:val="0"/>
        <w:autoSpaceDE/>
        <w:autoSpaceDN/>
        <w:bidi w:val="0"/>
        <w:adjustRightInd/>
        <w:snapToGrid/>
        <w:spacing w:after="0" w:afterLines="0" w:line="450" w:lineRule="exact"/>
        <w:ind w:left="0" w:leftChars="0"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12</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其他材料</w:t>
      </w:r>
    </w:p>
    <w:p w14:paraId="481B11BF">
      <w:pPr>
        <w:pStyle w:val="31"/>
        <w:pageBreakBefore w:val="0"/>
        <w:kinsoku/>
        <w:wordWrap/>
        <w:overflowPunct/>
        <w:topLinePunct w:val="0"/>
        <w:autoSpaceDE/>
        <w:autoSpaceDN/>
        <w:bidi w:val="0"/>
        <w:adjustRightInd/>
        <w:snapToGrid/>
        <w:spacing w:after="0" w:afterLines="0" w:line="450" w:lineRule="exact"/>
        <w:ind w:left="0" w:leftChars="0" w:firstLine="0" w:firstLineChars="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3.2 磋商报价</w:t>
      </w:r>
      <w:bookmarkEnd w:id="225"/>
      <w:bookmarkEnd w:id="226"/>
      <w:bookmarkEnd w:id="227"/>
      <w:bookmarkEnd w:id="228"/>
      <w:bookmarkEnd w:id="229"/>
      <w:bookmarkEnd w:id="230"/>
      <w:bookmarkEnd w:id="231"/>
    </w:p>
    <w:p w14:paraId="23CDB17B">
      <w:pPr>
        <w:pageBreakBefore w:val="0"/>
        <w:tabs>
          <w:tab w:val="left" w:pos="0"/>
          <w:tab w:val="left" w:pos="1050"/>
        </w:tabs>
        <w:kinsoku/>
        <w:wordWrap/>
        <w:overflowPunct/>
        <w:topLinePunct w:val="0"/>
        <w:autoSpaceDE/>
        <w:autoSpaceDN/>
        <w:bidi w:val="0"/>
        <w:adjustRightInd/>
        <w:snapToGrid/>
        <w:spacing w:line="450" w:lineRule="exact"/>
        <w:ind w:firstLine="417" w:firstLineChars="174"/>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3.2.1本项目的磋商报价应</w:t>
      </w:r>
      <w:r>
        <w:rPr>
          <w:rFonts w:hint="eastAsia" w:ascii="宋体" w:hAnsi="宋体" w:eastAsia="宋体" w:cs="宋体"/>
          <w:color w:val="auto"/>
          <w:sz w:val="24"/>
          <w:szCs w:val="24"/>
          <w:lang w:eastAsia="zh-CN"/>
        </w:rPr>
        <w:t>包括</w:t>
      </w:r>
      <w:r>
        <w:rPr>
          <w:rFonts w:hint="eastAsia" w:ascii="宋体" w:hAnsi="宋体" w:eastAsia="宋体" w:cs="宋体"/>
          <w:color w:val="auto"/>
          <w:sz w:val="24"/>
          <w:szCs w:val="24"/>
          <w:lang w:val="en-US" w:eastAsia="zh-CN"/>
        </w:rPr>
        <w:t>完成采购全部内容的费用、相关税款等与采购项目相关</w:t>
      </w:r>
      <w:r>
        <w:rPr>
          <w:rFonts w:hint="eastAsia" w:ascii="宋体" w:hAnsi="宋体" w:cs="宋体"/>
          <w:color w:val="auto"/>
          <w:sz w:val="24"/>
          <w:szCs w:val="24"/>
          <w:lang w:val="en-US" w:eastAsia="zh-CN"/>
        </w:rPr>
        <w:t>必需的</w:t>
      </w:r>
      <w:r>
        <w:rPr>
          <w:rFonts w:hint="eastAsia" w:ascii="宋体" w:hAnsi="宋体" w:eastAsia="宋体" w:cs="宋体"/>
          <w:color w:val="auto"/>
          <w:sz w:val="24"/>
          <w:szCs w:val="24"/>
          <w:lang w:val="en-US" w:eastAsia="zh-CN"/>
        </w:rPr>
        <w:t>款项及一切不可预见的费用，采购人不接受任何选择价。</w:t>
      </w:r>
    </w:p>
    <w:p w14:paraId="678CE113">
      <w:pPr>
        <w:pageBreakBefore w:val="0"/>
        <w:tabs>
          <w:tab w:val="left" w:pos="0"/>
          <w:tab w:val="left" w:pos="1050"/>
        </w:tabs>
        <w:kinsoku/>
        <w:wordWrap/>
        <w:overflowPunct/>
        <w:topLinePunct w:val="0"/>
        <w:autoSpaceDE/>
        <w:autoSpaceDN/>
        <w:bidi w:val="0"/>
        <w:adjustRightInd/>
        <w:snapToGrid/>
        <w:spacing w:line="450" w:lineRule="exact"/>
        <w:ind w:firstLine="417" w:firstLineChars="174"/>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3.2.2供应商应充分了解该项目的总体情况以及影响磋商报价的</w:t>
      </w:r>
      <w:r>
        <w:rPr>
          <w:rFonts w:hint="eastAsia" w:ascii="宋体" w:hAnsi="宋体" w:eastAsia="宋体" w:cs="宋体"/>
          <w:color w:val="auto"/>
          <w:sz w:val="24"/>
          <w:szCs w:val="24"/>
          <w:lang w:val="en-US" w:eastAsia="zh-CN"/>
        </w:rPr>
        <w:t>其他</w:t>
      </w:r>
      <w:r>
        <w:rPr>
          <w:rFonts w:hint="eastAsia" w:ascii="宋体" w:hAnsi="宋体" w:eastAsia="宋体" w:cs="宋体"/>
          <w:color w:val="auto"/>
          <w:sz w:val="24"/>
          <w:szCs w:val="24"/>
        </w:rPr>
        <w:t>要素，考虑</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lang w:eastAsia="zh-CN"/>
        </w:rPr>
        <w:t>期间</w:t>
      </w:r>
      <w:r>
        <w:rPr>
          <w:rFonts w:hint="eastAsia" w:ascii="宋体" w:hAnsi="宋体" w:eastAsia="宋体" w:cs="宋体"/>
          <w:color w:val="auto"/>
          <w:sz w:val="24"/>
          <w:szCs w:val="24"/>
        </w:rPr>
        <w:t>的价格风险因素，成交价在合同实施期内不得调整，同时也不因市场价格变动而调整。</w:t>
      </w:r>
    </w:p>
    <w:p w14:paraId="1EA45E22">
      <w:pPr>
        <w:pageBreakBefore w:val="0"/>
        <w:tabs>
          <w:tab w:val="left" w:pos="0"/>
          <w:tab w:val="left" w:pos="1050"/>
        </w:tabs>
        <w:kinsoku/>
        <w:wordWrap/>
        <w:overflowPunct/>
        <w:topLinePunct w:val="0"/>
        <w:autoSpaceDE/>
        <w:autoSpaceDN/>
        <w:bidi w:val="0"/>
        <w:adjustRightInd/>
        <w:snapToGrid/>
        <w:spacing w:line="450" w:lineRule="exact"/>
        <w:ind w:firstLine="417" w:firstLineChars="174"/>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3.2.3 响应报价表中的大写金额和小写金额不一致的，以大写金额为准。</w:t>
      </w:r>
    </w:p>
    <w:p w14:paraId="4BF11AF8">
      <w:pPr>
        <w:pageBreakBefore w:val="0"/>
        <w:tabs>
          <w:tab w:val="left" w:pos="0"/>
          <w:tab w:val="left" w:pos="1050"/>
        </w:tabs>
        <w:kinsoku/>
        <w:wordWrap/>
        <w:overflowPunct/>
        <w:topLinePunct w:val="0"/>
        <w:autoSpaceDE/>
        <w:autoSpaceDN/>
        <w:bidi w:val="0"/>
        <w:adjustRightInd/>
        <w:snapToGrid/>
        <w:spacing w:line="450" w:lineRule="exact"/>
        <w:ind w:firstLine="417" w:firstLineChars="174"/>
        <w:textAlignment w:val="auto"/>
        <w:rPr>
          <w:rFonts w:hint="eastAsia" w:ascii="宋体" w:hAnsi="宋体" w:eastAsia="宋体" w:cs="宋体"/>
          <w:b/>
          <w:bCs/>
          <w:color w:val="auto"/>
          <w:sz w:val="24"/>
          <w:szCs w:val="24"/>
        </w:rPr>
      </w:pPr>
      <w:r>
        <w:rPr>
          <w:rFonts w:hint="eastAsia" w:ascii="宋体" w:hAnsi="宋体" w:eastAsia="宋体" w:cs="宋体"/>
          <w:b w:val="0"/>
          <w:bCs w:val="0"/>
          <w:color w:val="auto"/>
          <w:sz w:val="24"/>
          <w:szCs w:val="24"/>
        </w:rPr>
        <w:t>3.2.4供应商的报价明显低于其他通过符合性审查供应商的报价，有可能影响</w:t>
      </w:r>
      <w:r>
        <w:rPr>
          <w:rFonts w:hint="eastAsia" w:ascii="宋体" w:hAnsi="宋体" w:eastAsia="宋体" w:cs="宋体"/>
          <w:b w:val="0"/>
          <w:bCs w:val="0"/>
          <w:color w:val="auto"/>
          <w:sz w:val="24"/>
          <w:szCs w:val="24"/>
          <w:lang w:val="en-US" w:eastAsia="zh-CN"/>
        </w:rPr>
        <w:t>服务</w:t>
      </w:r>
      <w:r>
        <w:rPr>
          <w:rFonts w:hint="eastAsia" w:ascii="宋体" w:hAnsi="宋体" w:eastAsia="宋体" w:cs="宋体"/>
          <w:b w:val="0"/>
          <w:bCs w:val="0"/>
          <w:color w:val="auto"/>
          <w:sz w:val="24"/>
          <w:szCs w:val="24"/>
        </w:rPr>
        <w:t>质量或者不能诚信履约的，磋商</w:t>
      </w:r>
      <w:r>
        <w:rPr>
          <w:rFonts w:hint="eastAsia" w:ascii="宋体" w:hAnsi="宋体" w:eastAsia="宋体" w:cs="宋体"/>
          <w:b w:val="0"/>
          <w:bCs w:val="0"/>
          <w:color w:val="auto"/>
          <w:sz w:val="24"/>
          <w:szCs w:val="24"/>
          <w:lang w:val="en-US" w:eastAsia="zh-CN"/>
        </w:rPr>
        <w:t>小组</w:t>
      </w:r>
      <w:r>
        <w:rPr>
          <w:rFonts w:hint="eastAsia" w:ascii="宋体" w:hAnsi="宋体" w:eastAsia="宋体" w:cs="宋体"/>
          <w:b w:val="0"/>
          <w:bCs w:val="0"/>
          <w:color w:val="auto"/>
          <w:sz w:val="24"/>
          <w:szCs w:val="24"/>
        </w:rPr>
        <w:t>应当要求其在磋商现场</w:t>
      </w:r>
      <w:r>
        <w:rPr>
          <w:rFonts w:hint="eastAsia" w:ascii="宋体" w:hAnsi="宋体" w:eastAsia="宋体" w:cs="宋体"/>
          <w:b w:val="0"/>
          <w:bCs w:val="0"/>
          <w:color w:val="auto"/>
          <w:kern w:val="0"/>
          <w:sz w:val="24"/>
          <w:szCs w:val="24"/>
          <w:lang w:eastAsia="zh-CN"/>
        </w:rPr>
        <w:t>（或电子交易系统）</w:t>
      </w:r>
      <w:r>
        <w:rPr>
          <w:rFonts w:hint="eastAsia" w:ascii="宋体" w:hAnsi="宋体" w:eastAsia="宋体" w:cs="宋体"/>
          <w:b w:val="0"/>
          <w:bCs w:val="0"/>
          <w:color w:val="auto"/>
          <w:sz w:val="24"/>
          <w:szCs w:val="24"/>
        </w:rPr>
        <w:t>合理的时间内提供书面说明</w:t>
      </w:r>
      <w:r>
        <w:rPr>
          <w:rFonts w:hint="eastAsia" w:ascii="宋体" w:hAnsi="宋体" w:eastAsia="宋体" w:cs="宋体"/>
          <w:b w:val="0"/>
          <w:bCs w:val="0"/>
          <w:color w:val="auto"/>
          <w:kern w:val="0"/>
          <w:sz w:val="24"/>
          <w:szCs w:val="24"/>
          <w:lang w:eastAsia="zh-CN"/>
        </w:rPr>
        <w:t>（或电子澄清说明文件）</w:t>
      </w:r>
      <w:r>
        <w:rPr>
          <w:rFonts w:hint="eastAsia" w:ascii="宋体" w:hAnsi="宋体" w:eastAsia="宋体" w:cs="宋体"/>
          <w:b w:val="0"/>
          <w:bCs w:val="0"/>
          <w:color w:val="auto"/>
          <w:sz w:val="24"/>
          <w:szCs w:val="24"/>
        </w:rPr>
        <w:t>，必要时提交相关证明材料；供应商不能证明其报价合理性的，磋商</w:t>
      </w:r>
      <w:r>
        <w:rPr>
          <w:rFonts w:hint="eastAsia" w:ascii="宋体" w:hAnsi="宋体" w:eastAsia="宋体" w:cs="宋体"/>
          <w:b w:val="0"/>
          <w:bCs w:val="0"/>
          <w:color w:val="auto"/>
          <w:sz w:val="24"/>
          <w:szCs w:val="24"/>
          <w:lang w:val="en-US" w:eastAsia="zh-CN"/>
        </w:rPr>
        <w:t>小组</w:t>
      </w:r>
      <w:r>
        <w:rPr>
          <w:rFonts w:hint="eastAsia" w:ascii="宋体" w:hAnsi="宋体" w:eastAsia="宋体" w:cs="宋体"/>
          <w:b w:val="0"/>
          <w:bCs w:val="0"/>
          <w:color w:val="auto"/>
          <w:sz w:val="24"/>
          <w:szCs w:val="24"/>
        </w:rPr>
        <w:t xml:space="preserve">应当将其作为无效投标处理。 </w:t>
      </w:r>
      <w:r>
        <w:rPr>
          <w:rFonts w:hint="eastAsia" w:ascii="宋体" w:hAnsi="宋体" w:eastAsia="宋体" w:cs="宋体"/>
          <w:b/>
          <w:bCs/>
          <w:color w:val="auto"/>
          <w:sz w:val="24"/>
          <w:szCs w:val="24"/>
        </w:rPr>
        <w:t xml:space="preserve"> </w:t>
      </w:r>
    </w:p>
    <w:p w14:paraId="59B80E52">
      <w:pPr>
        <w:pageBreakBefore w:val="0"/>
        <w:kinsoku/>
        <w:wordWrap/>
        <w:overflowPunct/>
        <w:topLinePunct w:val="0"/>
        <w:autoSpaceDE/>
        <w:autoSpaceDN/>
        <w:bidi w:val="0"/>
        <w:adjustRightInd/>
        <w:snapToGrid/>
        <w:spacing w:line="450" w:lineRule="exact"/>
        <w:ind w:firstLine="482" w:firstLineChars="200"/>
        <w:textAlignment w:val="auto"/>
        <w:rPr>
          <w:rFonts w:hint="eastAsia" w:ascii="宋体" w:hAnsi="宋体" w:eastAsia="宋体" w:cs="宋体"/>
          <w:color w:val="auto"/>
          <w:sz w:val="24"/>
          <w:szCs w:val="24"/>
          <w:lang w:val="zh-CN"/>
        </w:rPr>
      </w:pPr>
      <w:r>
        <w:rPr>
          <w:rFonts w:hint="eastAsia" w:ascii="宋体" w:hAnsi="宋体" w:eastAsia="宋体" w:cs="宋体"/>
          <w:b/>
          <w:bCs/>
          <w:color w:val="auto"/>
          <w:sz w:val="24"/>
          <w:szCs w:val="24"/>
          <w:lang w:val="en-US" w:eastAsia="zh-CN"/>
        </w:rPr>
        <w:t>3.2.5</w:t>
      </w:r>
      <w:r>
        <w:rPr>
          <w:rFonts w:hint="eastAsia" w:ascii="宋体" w:hAnsi="宋体" w:eastAsia="宋体" w:cs="宋体"/>
          <w:b/>
          <w:bCs/>
          <w:color w:val="auto"/>
          <w:sz w:val="24"/>
          <w:szCs w:val="24"/>
        </w:rPr>
        <w:t xml:space="preserve"> </w:t>
      </w:r>
      <w:r>
        <w:rPr>
          <w:rFonts w:hint="eastAsia" w:ascii="宋体" w:hAnsi="宋体" w:eastAsia="宋体" w:cs="宋体"/>
          <w:b/>
          <w:bCs/>
          <w:color w:val="auto"/>
          <w:sz w:val="24"/>
          <w:szCs w:val="24"/>
          <w:lang w:val="zh-CN"/>
        </w:rPr>
        <w:t>小型微型企业认定及</w:t>
      </w:r>
      <w:r>
        <w:rPr>
          <w:rFonts w:hint="eastAsia" w:ascii="宋体" w:hAnsi="宋体" w:eastAsia="宋体" w:cs="宋体"/>
          <w:b/>
          <w:bCs/>
          <w:color w:val="auto"/>
          <w:sz w:val="24"/>
          <w:szCs w:val="24"/>
          <w:lang w:val="en-US" w:eastAsia="zh-CN"/>
        </w:rPr>
        <w:t>评审</w:t>
      </w:r>
      <w:r>
        <w:rPr>
          <w:rFonts w:hint="eastAsia" w:ascii="宋体" w:hAnsi="宋体" w:eastAsia="宋体" w:cs="宋体"/>
          <w:b/>
          <w:bCs/>
          <w:color w:val="auto"/>
          <w:sz w:val="24"/>
          <w:szCs w:val="24"/>
          <w:lang w:val="zh-CN"/>
        </w:rPr>
        <w:t>价格评审（</w:t>
      </w:r>
      <w:r>
        <w:rPr>
          <w:rFonts w:hint="eastAsia" w:ascii="宋体" w:hAnsi="宋体" w:eastAsia="宋体" w:cs="宋体"/>
          <w:b/>
          <w:bCs/>
          <w:color w:val="auto"/>
          <w:sz w:val="24"/>
          <w:szCs w:val="24"/>
          <w:lang w:val="en-US" w:eastAsia="zh-CN"/>
        </w:rPr>
        <w:t>本项目非专门面向中小企业，适用</w:t>
      </w:r>
      <w:r>
        <w:rPr>
          <w:rFonts w:hint="eastAsia" w:ascii="宋体" w:hAnsi="宋体" w:eastAsia="宋体" w:cs="宋体"/>
          <w:b/>
          <w:bCs/>
          <w:color w:val="auto"/>
          <w:sz w:val="24"/>
          <w:szCs w:val="24"/>
          <w:lang w:val="zh-CN"/>
        </w:rPr>
        <w:t>）</w:t>
      </w:r>
    </w:p>
    <w:tbl>
      <w:tblPr>
        <w:tblStyle w:val="33"/>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561"/>
        <w:gridCol w:w="1492"/>
        <w:gridCol w:w="2273"/>
        <w:gridCol w:w="2094"/>
      </w:tblGrid>
      <w:tr w14:paraId="7C835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91" w:type="dxa"/>
            <w:noWrap w:val="0"/>
            <w:vAlign w:val="center"/>
          </w:tcPr>
          <w:p w14:paraId="51EC02D1">
            <w:pPr>
              <w:pageBreakBefore w:val="0"/>
              <w:kinsoku/>
              <w:wordWrap/>
              <w:overflowPunct/>
              <w:topLinePunct w:val="0"/>
              <w:autoSpaceDE/>
              <w:autoSpaceDN/>
              <w:bidi w:val="0"/>
              <w:adjustRightInd/>
              <w:snapToGrid/>
              <w:spacing w:line="450" w:lineRule="exact"/>
              <w:ind w:left="0" w:leftChars="0"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内容</w:t>
            </w:r>
          </w:p>
        </w:tc>
        <w:tc>
          <w:tcPr>
            <w:tcW w:w="1561" w:type="dxa"/>
            <w:noWrap w:val="0"/>
            <w:vAlign w:val="center"/>
          </w:tcPr>
          <w:p w14:paraId="6C797EEC">
            <w:pPr>
              <w:pageBreakBefore w:val="0"/>
              <w:kinsoku/>
              <w:wordWrap/>
              <w:overflowPunct/>
              <w:topLinePunct w:val="0"/>
              <w:autoSpaceDE/>
              <w:autoSpaceDN/>
              <w:bidi w:val="0"/>
              <w:adjustRightInd/>
              <w:snapToGrid/>
              <w:spacing w:line="450" w:lineRule="exac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大型企业</w:t>
            </w:r>
          </w:p>
        </w:tc>
        <w:tc>
          <w:tcPr>
            <w:tcW w:w="1492" w:type="dxa"/>
            <w:noWrap w:val="0"/>
            <w:vAlign w:val="center"/>
          </w:tcPr>
          <w:p w14:paraId="1D5D27A7">
            <w:pPr>
              <w:pageBreakBefore w:val="0"/>
              <w:kinsoku/>
              <w:wordWrap/>
              <w:overflowPunct/>
              <w:topLinePunct w:val="0"/>
              <w:autoSpaceDE/>
              <w:autoSpaceDN/>
              <w:bidi w:val="0"/>
              <w:adjustRightInd/>
              <w:snapToGrid/>
              <w:spacing w:line="450" w:lineRule="exac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中型企业</w:t>
            </w:r>
          </w:p>
        </w:tc>
        <w:tc>
          <w:tcPr>
            <w:tcW w:w="2273" w:type="dxa"/>
            <w:noWrap w:val="0"/>
            <w:vAlign w:val="center"/>
          </w:tcPr>
          <w:p w14:paraId="34EB6217">
            <w:pPr>
              <w:pageBreakBefore w:val="0"/>
              <w:kinsoku/>
              <w:wordWrap/>
              <w:overflowPunct/>
              <w:topLinePunct w:val="0"/>
              <w:autoSpaceDE/>
              <w:autoSpaceDN/>
              <w:bidi w:val="0"/>
              <w:adjustRightInd/>
              <w:snapToGrid/>
              <w:spacing w:line="450" w:lineRule="exac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小型企业</w:t>
            </w:r>
          </w:p>
        </w:tc>
        <w:tc>
          <w:tcPr>
            <w:tcW w:w="2094" w:type="dxa"/>
            <w:noWrap w:val="0"/>
            <w:vAlign w:val="center"/>
          </w:tcPr>
          <w:p w14:paraId="1D1A981D">
            <w:pPr>
              <w:pageBreakBefore w:val="0"/>
              <w:kinsoku/>
              <w:wordWrap/>
              <w:overflowPunct/>
              <w:topLinePunct w:val="0"/>
              <w:autoSpaceDE/>
              <w:autoSpaceDN/>
              <w:bidi w:val="0"/>
              <w:adjustRightInd/>
              <w:snapToGrid/>
              <w:spacing w:line="450" w:lineRule="exac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微型企业</w:t>
            </w:r>
          </w:p>
        </w:tc>
      </w:tr>
      <w:tr w14:paraId="5E17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591" w:type="dxa"/>
            <w:noWrap w:val="0"/>
            <w:vAlign w:val="center"/>
          </w:tcPr>
          <w:p w14:paraId="3C085807">
            <w:pPr>
              <w:pageBreakBefore w:val="0"/>
              <w:kinsoku/>
              <w:wordWrap/>
              <w:overflowPunct/>
              <w:topLinePunct w:val="0"/>
              <w:autoSpaceDE/>
              <w:autoSpaceDN/>
              <w:bidi w:val="0"/>
              <w:adjustRightInd/>
              <w:snapToGrid/>
              <w:spacing w:line="450" w:lineRule="exact"/>
              <w:jc w:val="center"/>
              <w:textAlignment w:val="auto"/>
              <w:rPr>
                <w:rFonts w:hint="eastAsia" w:ascii="宋体" w:hAnsi="宋体" w:eastAsia="宋体" w:cs="宋体"/>
                <w:color w:val="auto"/>
                <w:sz w:val="24"/>
                <w:szCs w:val="24"/>
                <w:lang w:val="zh-CN"/>
              </w:rPr>
            </w:pPr>
            <w:r>
              <w:rPr>
                <w:rFonts w:hint="eastAsia" w:ascii="宋体" w:hAnsi="宋体" w:eastAsia="宋体" w:cs="宋体"/>
                <w:color w:val="auto"/>
                <w:sz w:val="24"/>
                <w:lang w:val="zh-CN"/>
              </w:rPr>
              <w:t>价格=</w:t>
            </w:r>
          </w:p>
        </w:tc>
        <w:tc>
          <w:tcPr>
            <w:tcW w:w="1561" w:type="dxa"/>
            <w:noWrap w:val="0"/>
            <w:vAlign w:val="center"/>
          </w:tcPr>
          <w:p w14:paraId="1D385764">
            <w:pPr>
              <w:pageBreakBefore w:val="0"/>
              <w:kinsoku/>
              <w:wordWrap/>
              <w:overflowPunct/>
              <w:topLinePunct w:val="0"/>
              <w:autoSpaceDE/>
              <w:autoSpaceDN/>
              <w:bidi w:val="0"/>
              <w:adjustRightInd/>
              <w:snapToGrid/>
              <w:spacing w:line="450" w:lineRule="exact"/>
              <w:jc w:val="center"/>
              <w:textAlignment w:val="auto"/>
              <w:rPr>
                <w:rFonts w:hint="eastAsia" w:ascii="宋体" w:hAnsi="宋体" w:eastAsia="宋体" w:cs="宋体"/>
                <w:color w:val="auto"/>
                <w:sz w:val="24"/>
                <w:szCs w:val="24"/>
                <w:lang w:val="zh-CN"/>
              </w:rPr>
            </w:pPr>
            <w:r>
              <w:rPr>
                <w:rFonts w:hint="eastAsia" w:ascii="宋体" w:hAnsi="宋体" w:eastAsia="宋体" w:cs="宋体"/>
                <w:color w:val="auto"/>
                <w:sz w:val="24"/>
                <w:lang w:val="zh-CN"/>
              </w:rPr>
              <w:t>报价</w:t>
            </w:r>
          </w:p>
        </w:tc>
        <w:tc>
          <w:tcPr>
            <w:tcW w:w="1492" w:type="dxa"/>
            <w:noWrap w:val="0"/>
            <w:vAlign w:val="center"/>
          </w:tcPr>
          <w:p w14:paraId="26B6DE59">
            <w:pPr>
              <w:pageBreakBefore w:val="0"/>
              <w:kinsoku/>
              <w:wordWrap/>
              <w:overflowPunct/>
              <w:topLinePunct w:val="0"/>
              <w:autoSpaceDE/>
              <w:autoSpaceDN/>
              <w:bidi w:val="0"/>
              <w:adjustRightInd/>
              <w:snapToGrid/>
              <w:spacing w:line="450" w:lineRule="exact"/>
              <w:jc w:val="center"/>
              <w:textAlignment w:val="auto"/>
              <w:rPr>
                <w:rFonts w:hint="eastAsia" w:ascii="宋体" w:hAnsi="宋体" w:eastAsia="宋体" w:cs="宋体"/>
                <w:color w:val="auto"/>
                <w:sz w:val="24"/>
                <w:szCs w:val="24"/>
                <w:lang w:val="zh-CN"/>
              </w:rPr>
            </w:pPr>
            <w:r>
              <w:rPr>
                <w:rFonts w:hint="eastAsia" w:ascii="宋体" w:hAnsi="宋体" w:eastAsia="宋体" w:cs="宋体"/>
                <w:color w:val="auto"/>
                <w:sz w:val="24"/>
                <w:lang w:val="zh-CN"/>
              </w:rPr>
              <w:t>报价</w:t>
            </w:r>
          </w:p>
        </w:tc>
        <w:tc>
          <w:tcPr>
            <w:tcW w:w="2273" w:type="dxa"/>
            <w:noWrap w:val="0"/>
            <w:vAlign w:val="center"/>
          </w:tcPr>
          <w:p w14:paraId="07B2DFBB">
            <w:pPr>
              <w:pageBreakBefore w:val="0"/>
              <w:kinsoku/>
              <w:wordWrap/>
              <w:overflowPunct/>
              <w:topLinePunct w:val="0"/>
              <w:autoSpaceDE/>
              <w:autoSpaceDN/>
              <w:bidi w:val="0"/>
              <w:adjustRightInd/>
              <w:snapToGrid/>
              <w:spacing w:line="450" w:lineRule="exact"/>
              <w:jc w:val="center"/>
              <w:textAlignment w:val="auto"/>
              <w:rPr>
                <w:rFonts w:hint="eastAsia" w:ascii="宋体" w:hAnsi="宋体" w:eastAsia="宋体" w:cs="宋体"/>
                <w:color w:val="auto"/>
                <w:sz w:val="24"/>
                <w:szCs w:val="24"/>
                <w:lang w:val="zh-CN"/>
              </w:rPr>
            </w:pPr>
            <w:r>
              <w:rPr>
                <w:rFonts w:hint="eastAsia" w:ascii="宋体" w:hAnsi="宋体" w:eastAsia="宋体" w:cs="宋体"/>
                <w:color w:val="auto"/>
                <w:sz w:val="24"/>
                <w:lang w:val="zh-CN"/>
              </w:rPr>
              <w:t>报价×（1-</w:t>
            </w:r>
            <w:r>
              <w:rPr>
                <w:rFonts w:hint="eastAsia" w:ascii="宋体" w:hAnsi="宋体" w:eastAsia="宋体" w:cs="宋体"/>
                <w:color w:val="auto"/>
                <w:sz w:val="24"/>
                <w:lang w:val="en-US" w:eastAsia="zh-CN"/>
              </w:rPr>
              <w:t>20</w:t>
            </w:r>
            <w:r>
              <w:rPr>
                <w:rFonts w:hint="eastAsia" w:ascii="宋体" w:hAnsi="宋体" w:eastAsia="宋体" w:cs="宋体"/>
                <w:color w:val="auto"/>
                <w:sz w:val="24"/>
                <w:lang w:val="zh-CN"/>
              </w:rPr>
              <w:t>%）</w:t>
            </w:r>
          </w:p>
        </w:tc>
        <w:tc>
          <w:tcPr>
            <w:tcW w:w="2094" w:type="dxa"/>
            <w:noWrap w:val="0"/>
            <w:vAlign w:val="center"/>
          </w:tcPr>
          <w:p w14:paraId="470A84A6">
            <w:pPr>
              <w:pageBreakBefore w:val="0"/>
              <w:kinsoku/>
              <w:wordWrap/>
              <w:overflowPunct/>
              <w:topLinePunct w:val="0"/>
              <w:autoSpaceDE/>
              <w:autoSpaceDN/>
              <w:bidi w:val="0"/>
              <w:adjustRightInd/>
              <w:snapToGrid/>
              <w:spacing w:line="450" w:lineRule="exact"/>
              <w:jc w:val="center"/>
              <w:textAlignment w:val="auto"/>
              <w:rPr>
                <w:rFonts w:hint="eastAsia" w:ascii="宋体" w:hAnsi="宋体" w:eastAsia="宋体" w:cs="宋体"/>
                <w:color w:val="auto"/>
                <w:sz w:val="24"/>
                <w:szCs w:val="24"/>
                <w:lang w:val="zh-CN"/>
              </w:rPr>
            </w:pPr>
            <w:r>
              <w:rPr>
                <w:rFonts w:hint="eastAsia" w:ascii="宋体" w:hAnsi="宋体" w:eastAsia="宋体" w:cs="宋体"/>
                <w:color w:val="auto"/>
                <w:sz w:val="24"/>
                <w:lang w:val="zh-CN"/>
              </w:rPr>
              <w:t>报价×（1-</w:t>
            </w:r>
            <w:r>
              <w:rPr>
                <w:rFonts w:hint="eastAsia" w:ascii="宋体" w:hAnsi="宋体" w:eastAsia="宋体" w:cs="宋体"/>
                <w:color w:val="auto"/>
                <w:sz w:val="24"/>
                <w:lang w:val="en-US" w:eastAsia="zh-CN"/>
              </w:rPr>
              <w:t>20</w:t>
            </w:r>
            <w:r>
              <w:rPr>
                <w:rFonts w:hint="eastAsia" w:ascii="宋体" w:hAnsi="宋体" w:eastAsia="宋体" w:cs="宋体"/>
                <w:color w:val="auto"/>
                <w:sz w:val="24"/>
                <w:lang w:val="zh-CN"/>
              </w:rPr>
              <w:t>%）</w:t>
            </w:r>
          </w:p>
        </w:tc>
      </w:tr>
    </w:tbl>
    <w:p w14:paraId="5BBC4FFD">
      <w:pPr>
        <w:pageBreakBefore w:val="0"/>
        <w:kinsoku/>
        <w:wordWrap/>
        <w:overflowPunct/>
        <w:topLinePunct w:val="0"/>
        <w:autoSpaceDE/>
        <w:autoSpaceDN/>
        <w:bidi w:val="0"/>
        <w:adjustRightInd/>
        <w:snapToGrid/>
        <w:spacing w:line="45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zh-CN"/>
        </w:rPr>
        <w:t>根据《政府采购促进中小企业发展管理办法》（财库[20</w:t>
      </w:r>
      <w:r>
        <w:rPr>
          <w:rFonts w:hint="eastAsia" w:ascii="宋体" w:hAnsi="宋体" w:eastAsia="宋体" w:cs="宋体"/>
          <w:color w:val="auto"/>
          <w:sz w:val="24"/>
          <w:szCs w:val="24"/>
        </w:rPr>
        <w:t>20</w:t>
      </w:r>
      <w:r>
        <w:rPr>
          <w:rFonts w:hint="eastAsia" w:ascii="宋体" w:hAnsi="宋体" w:eastAsia="宋体" w:cs="宋体"/>
          <w:color w:val="auto"/>
          <w:sz w:val="24"/>
          <w:szCs w:val="24"/>
          <w:lang w:val="zh-CN"/>
        </w:rPr>
        <w:t>]</w:t>
      </w:r>
      <w:r>
        <w:rPr>
          <w:rFonts w:hint="eastAsia" w:ascii="宋体" w:hAnsi="宋体" w:eastAsia="宋体" w:cs="宋体"/>
          <w:color w:val="auto"/>
          <w:sz w:val="24"/>
          <w:szCs w:val="24"/>
        </w:rPr>
        <w:t>46</w:t>
      </w:r>
      <w:r>
        <w:rPr>
          <w:rFonts w:hint="eastAsia" w:ascii="宋体" w:hAnsi="宋体" w:eastAsia="宋体" w:cs="宋体"/>
          <w:color w:val="auto"/>
          <w:sz w:val="24"/>
          <w:szCs w:val="24"/>
          <w:lang w:val="zh-CN"/>
        </w:rPr>
        <w:t>号）的规定、《工业和信息化部、国家统计局、国家发展和改革委员会、财政部关于印发中小企业划型标准规定的通知》（工信部联企业[</w:t>
      </w:r>
      <w:r>
        <w:rPr>
          <w:rFonts w:hint="eastAsia" w:ascii="宋体" w:hAnsi="宋体" w:eastAsia="宋体" w:cs="宋体"/>
          <w:color w:val="auto"/>
          <w:sz w:val="24"/>
          <w:szCs w:val="24"/>
        </w:rPr>
        <w:t>20</w:t>
      </w:r>
      <w:r>
        <w:rPr>
          <w:rFonts w:hint="eastAsia" w:ascii="宋体" w:hAnsi="宋体" w:eastAsia="宋体" w:cs="宋体"/>
          <w:color w:val="auto"/>
          <w:sz w:val="24"/>
          <w:szCs w:val="24"/>
          <w:lang w:val="zh-CN"/>
        </w:rPr>
        <w:t>11]300号）、</w:t>
      </w:r>
      <w:r>
        <w:rPr>
          <w:rFonts w:hint="eastAsia" w:ascii="宋体" w:hAnsi="宋体" w:eastAsia="宋体" w:cs="宋体"/>
          <w:b w:val="0"/>
          <w:bCs w:val="0"/>
          <w:i w:val="0"/>
          <w:iCs w:val="0"/>
          <w:caps w:val="0"/>
          <w:color w:val="auto"/>
          <w:spacing w:val="0"/>
          <w:sz w:val="24"/>
          <w:szCs w:val="24"/>
          <w:shd w:val="clear" w:color="auto" w:fill="FFFFFF"/>
          <w:lang w:eastAsia="zh-CN"/>
        </w:rPr>
        <w:t>财政部《</w:t>
      </w:r>
      <w:r>
        <w:rPr>
          <w:rFonts w:hint="eastAsia" w:ascii="宋体" w:hAnsi="宋体" w:eastAsia="宋体" w:cs="宋体"/>
          <w:b w:val="0"/>
          <w:bCs w:val="0"/>
          <w:i w:val="0"/>
          <w:iCs w:val="0"/>
          <w:caps w:val="0"/>
          <w:color w:val="auto"/>
          <w:spacing w:val="0"/>
          <w:sz w:val="24"/>
          <w:szCs w:val="24"/>
          <w:shd w:val="clear" w:color="auto" w:fill="FFFFFF"/>
        </w:rPr>
        <w:t>关于进一步加大政府采购支持中小企业力度的通知</w:t>
      </w:r>
      <w:r>
        <w:rPr>
          <w:rFonts w:hint="eastAsia" w:ascii="宋体" w:hAnsi="宋体" w:eastAsia="宋体" w:cs="宋体"/>
          <w:b w:val="0"/>
          <w:bCs w:val="0"/>
          <w:i w:val="0"/>
          <w:iCs w:val="0"/>
          <w:caps w:val="0"/>
          <w:color w:val="auto"/>
          <w:spacing w:val="0"/>
          <w:sz w:val="24"/>
          <w:szCs w:val="24"/>
          <w:shd w:val="clear" w:color="auto" w:fill="FFFFFF"/>
          <w:lang w:eastAsia="zh-CN"/>
        </w:rPr>
        <w:t>》</w:t>
      </w:r>
      <w:r>
        <w:rPr>
          <w:rFonts w:hint="eastAsia" w:ascii="宋体" w:hAnsi="宋体" w:eastAsia="宋体" w:cs="宋体"/>
          <w:b w:val="0"/>
          <w:bCs w:val="0"/>
          <w:i w:val="0"/>
          <w:iCs w:val="0"/>
          <w:caps w:val="0"/>
          <w:color w:val="auto"/>
          <w:spacing w:val="0"/>
          <w:sz w:val="24"/>
          <w:szCs w:val="24"/>
          <w:shd w:val="clear" w:color="auto" w:fill="FFFFFF"/>
        </w:rPr>
        <w:t>（财库〔202</w:t>
      </w:r>
      <w:r>
        <w:rPr>
          <w:rFonts w:hint="eastAsia" w:ascii="宋体" w:hAnsi="宋体" w:eastAsia="宋体" w:cs="宋体"/>
          <w:b w:val="0"/>
          <w:bCs w:val="0"/>
          <w:i w:val="0"/>
          <w:iCs w:val="0"/>
          <w:caps w:val="0"/>
          <w:color w:val="auto"/>
          <w:spacing w:val="0"/>
          <w:sz w:val="24"/>
          <w:szCs w:val="24"/>
          <w:shd w:val="clear" w:color="auto" w:fill="FFFFFF"/>
          <w:lang w:val="en-US" w:eastAsia="zh-CN"/>
        </w:rPr>
        <w:t>2</w:t>
      </w:r>
      <w:r>
        <w:rPr>
          <w:rFonts w:hint="eastAsia" w:ascii="宋体" w:hAnsi="宋体" w:eastAsia="宋体" w:cs="宋体"/>
          <w:b w:val="0"/>
          <w:bCs w:val="0"/>
          <w:i w:val="0"/>
          <w:iCs w:val="0"/>
          <w:caps w:val="0"/>
          <w:color w:val="auto"/>
          <w:spacing w:val="0"/>
          <w:sz w:val="24"/>
          <w:szCs w:val="24"/>
          <w:shd w:val="clear" w:color="auto" w:fill="FFFFFF"/>
        </w:rPr>
        <w:t>〕</w:t>
      </w:r>
      <w:r>
        <w:rPr>
          <w:rFonts w:hint="eastAsia" w:ascii="宋体" w:hAnsi="宋体" w:eastAsia="宋体" w:cs="宋体"/>
          <w:b w:val="0"/>
          <w:bCs w:val="0"/>
          <w:i w:val="0"/>
          <w:iCs w:val="0"/>
          <w:caps w:val="0"/>
          <w:color w:val="auto"/>
          <w:spacing w:val="0"/>
          <w:sz w:val="24"/>
          <w:szCs w:val="24"/>
          <w:shd w:val="clear" w:color="auto" w:fill="FFFFFF"/>
          <w:lang w:val="en-US" w:eastAsia="zh-CN"/>
        </w:rPr>
        <w:t>19</w:t>
      </w:r>
      <w:r>
        <w:rPr>
          <w:rFonts w:hint="eastAsia" w:ascii="宋体" w:hAnsi="宋体" w:eastAsia="宋体" w:cs="宋体"/>
          <w:b w:val="0"/>
          <w:bCs w:val="0"/>
          <w:i w:val="0"/>
          <w:iCs w:val="0"/>
          <w:caps w:val="0"/>
          <w:color w:val="auto"/>
          <w:spacing w:val="0"/>
          <w:sz w:val="24"/>
          <w:szCs w:val="24"/>
          <w:shd w:val="clear" w:color="auto" w:fill="FFFFFF"/>
        </w:rPr>
        <w:t>号）</w:t>
      </w:r>
      <w:r>
        <w:rPr>
          <w:rFonts w:hint="eastAsia" w:ascii="宋体" w:hAnsi="宋体" w:eastAsia="宋体" w:cs="宋体"/>
          <w:color w:val="auto"/>
          <w:sz w:val="24"/>
          <w:szCs w:val="24"/>
          <w:lang w:val="zh-CN"/>
        </w:rPr>
        <w:t>，对</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lang w:val="zh-CN"/>
        </w:rPr>
        <w:t>采购项目，对小型和微型企业的价格给予</w:t>
      </w: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lang w:val="zh-CN"/>
        </w:rPr>
        <w:t>的扣除，用扣除后的价格参与评审。</w:t>
      </w:r>
      <w:r>
        <w:rPr>
          <w:rFonts w:hint="eastAsia" w:ascii="宋体" w:hAnsi="宋体" w:eastAsia="宋体" w:cs="宋体"/>
          <w:i w:val="0"/>
          <w:iCs w:val="0"/>
          <w:caps w:val="0"/>
          <w:color w:val="auto"/>
          <w:spacing w:val="0"/>
          <w:sz w:val="24"/>
          <w:szCs w:val="24"/>
          <w:shd w:val="clear" w:color="auto" w:fill="FFFFFF"/>
        </w:rPr>
        <w:t>大中型企业与小微企业组成联合体</w:t>
      </w:r>
      <w:r>
        <w:rPr>
          <w:rFonts w:hint="eastAsia" w:ascii="宋体" w:hAnsi="宋体" w:eastAsia="宋体" w:cs="宋体"/>
          <w:i w:val="0"/>
          <w:iCs w:val="0"/>
          <w:caps w:val="0"/>
          <w:color w:val="auto"/>
          <w:spacing w:val="0"/>
          <w:sz w:val="24"/>
          <w:szCs w:val="24"/>
          <w:shd w:val="clear" w:color="auto" w:fill="FFFFFF"/>
          <w:lang w:eastAsia="zh-CN"/>
        </w:rPr>
        <w:t>，</w:t>
      </w:r>
      <w:r>
        <w:rPr>
          <w:rFonts w:hint="eastAsia" w:ascii="宋体" w:hAnsi="宋体" w:eastAsia="宋体" w:cs="宋体"/>
          <w:color w:val="auto"/>
          <w:sz w:val="24"/>
          <w:szCs w:val="24"/>
          <w:lang w:val="zh-CN"/>
        </w:rPr>
        <w:t>给予</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val="zh-CN"/>
        </w:rPr>
        <w:t>的扣除。</w:t>
      </w:r>
      <w:r>
        <w:rPr>
          <w:rFonts w:hint="eastAsia" w:ascii="宋体" w:hAnsi="宋体" w:eastAsia="宋体" w:cs="宋体"/>
          <w:color w:val="auto"/>
          <w:sz w:val="24"/>
          <w:szCs w:val="24"/>
          <w:lang w:val="zh-CN" w:eastAsia="zh-CN"/>
        </w:rPr>
        <w:t>对于中型企业的价格不予扣除。</w:t>
      </w:r>
    </w:p>
    <w:p w14:paraId="2EE7D9C8">
      <w:pPr>
        <w:pageBreakBefore w:val="0"/>
        <w:kinsoku/>
        <w:wordWrap/>
        <w:overflowPunct/>
        <w:topLinePunct w:val="0"/>
        <w:autoSpaceDE/>
        <w:autoSpaceDN/>
        <w:bidi w:val="0"/>
        <w:adjustRightInd/>
        <w:snapToGrid/>
        <w:spacing w:line="45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必须提供由省级以上监狱管理局、戒毒管理局（含新疆生产建设兵团）出具的属于监狱企业的证明文件，否则评审时不予价格扣除优惠。</w:t>
      </w:r>
    </w:p>
    <w:p w14:paraId="33B3BE67">
      <w:pPr>
        <w:pageBreakBefore w:val="0"/>
        <w:kinsoku/>
        <w:wordWrap/>
        <w:overflowPunct/>
        <w:topLinePunct w:val="0"/>
        <w:autoSpaceDE/>
        <w:autoSpaceDN/>
        <w:bidi w:val="0"/>
        <w:adjustRightInd/>
        <w:snapToGrid/>
        <w:spacing w:line="45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根据财库(2017)141号文件规定</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在政府</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活动中</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残疾人福利性单位视同小型、微型企业</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享受预留份额、评审中价格扣除等促进中小企业发展的政府采购政策。残疾人福利性单位属于小型、微型企业的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不重复享受政策。符合条件的残疾人福利性单位在参加政府采购活动时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应当提供《残疾人福利性单位声明函》(见</w:t>
      </w:r>
      <w:r>
        <w:rPr>
          <w:rFonts w:hint="eastAsia" w:ascii="宋体" w:hAnsi="宋体" w:eastAsia="宋体" w:cs="宋体"/>
          <w:b w:val="0"/>
          <w:bCs w:val="0"/>
          <w:color w:val="auto"/>
          <w:sz w:val="24"/>
          <w:szCs w:val="24"/>
        </w:rPr>
        <w:t>第六章“</w:t>
      </w:r>
      <w:r>
        <w:rPr>
          <w:rFonts w:hint="eastAsia" w:ascii="宋体" w:hAnsi="宋体" w:eastAsia="宋体" w:cs="宋体"/>
          <w:b w:val="0"/>
          <w:bCs w:val="0"/>
          <w:color w:val="auto"/>
          <w:sz w:val="24"/>
          <w:szCs w:val="24"/>
          <w:lang w:val="en-US" w:eastAsia="zh-CN"/>
        </w:rPr>
        <w:t>竞争性磋商</w:t>
      </w:r>
      <w:r>
        <w:rPr>
          <w:rFonts w:hint="eastAsia" w:ascii="宋体" w:hAnsi="宋体" w:eastAsia="宋体" w:cs="宋体"/>
          <w:b w:val="0"/>
          <w:bCs w:val="0"/>
          <w:color w:val="auto"/>
          <w:sz w:val="24"/>
          <w:szCs w:val="24"/>
        </w:rPr>
        <w:t>响应文件格式”</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并对声明的真实性负责。</w:t>
      </w:r>
    </w:p>
    <w:p w14:paraId="57B2E335">
      <w:pPr>
        <w:pStyle w:val="12"/>
        <w:ind w:firstLine="48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评标委员会认为投标人的报价明显低于其他通过符合性审查投标人的报价（依据关于推动解决政府采购异常低价问题的通知财库【2026】2号文），有可能影响产品质量或者不能诚信履约的（建议结合投标人提供的产品或服务响应采购需求的程度判断及关于推动解决政府采购异常低价问题的通知财库【2026】2号文），应当要求其在评标现场合理的时间内提供书面说明，必要时提交相关证明材料；投标人不能证明其报价合理性的，评标委员会应当将其作为无效投标处理：</w:t>
      </w:r>
    </w:p>
    <w:p w14:paraId="4F5947F8">
      <w:pPr>
        <w:pStyle w:val="49"/>
        <w:ind w:firstLine="480"/>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 xml:space="preserve">采购人应当在采购文件中明确，政府采购评审中出现下列情形之一的，评审委员会应当启动异常低价投标（响应）审查程序： </w:t>
      </w:r>
    </w:p>
    <w:p w14:paraId="08E065F3">
      <w:pPr>
        <w:pStyle w:val="49"/>
        <w:ind w:firstLine="480"/>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 xml:space="preserve">1.投标（响应）报价低于全部通过符合性审查供应商投标（响应）报价平均值50%的，即投标（响应）报价&lt;全部通过符合性审查供应商投标（响应）报价平均值×50%； </w:t>
      </w:r>
    </w:p>
    <w:p w14:paraId="75F0C01F">
      <w:pPr>
        <w:pStyle w:val="49"/>
        <w:ind w:firstLine="480"/>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 xml:space="preserve">2.投标（响应）报价低于通过符合性审查的次低报价供应商投标（响应）报价50%的，即投标（响应）报价&lt;通过符合性审查的次低报价供应商投标（响应）报价×50%； </w:t>
      </w:r>
    </w:p>
    <w:p w14:paraId="13E07C02">
      <w:pPr>
        <w:pStyle w:val="49"/>
        <w:ind w:firstLine="480"/>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 xml:space="preserve">3.投标（响应）报价低于采购项目最高限价45%的，即投标（响应）报价&lt;采购项目最高限价×45%； </w:t>
      </w:r>
    </w:p>
    <w:p w14:paraId="07183F1F">
      <w:pPr>
        <w:pStyle w:val="49"/>
        <w:ind w:firstLine="480"/>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 xml:space="preserve">4.评审委员会基于专业判断，认为供应商报价过低，有可能影响产品质量或者不能诚信履约的其他情形。 </w:t>
      </w:r>
    </w:p>
    <w:p w14:paraId="6FA58D47">
      <w:pPr>
        <w:pStyle w:val="49"/>
        <w:ind w:firstLine="480"/>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 xml:space="preserve">采购人可以结合具体项目实际情况，提高上述第1项至第3项中启动异常低价投标（响应）审查的数值标准，但是最高不得超过65%。 </w:t>
      </w:r>
    </w:p>
    <w:p w14:paraId="42DC77B2">
      <w:pPr>
        <w:pStyle w:val="49"/>
        <w:ind w:firstLine="480"/>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 xml:space="preserve">相关法律法规对供应商报价有规定的，从其规定。 </w:t>
      </w:r>
    </w:p>
    <w:p w14:paraId="71C28C73">
      <w:pPr>
        <w:pStyle w:val="49"/>
        <w:ind w:firstLine="720" w:firstLineChars="300"/>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 xml:space="preserve">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 </w:t>
      </w:r>
    </w:p>
    <w:p w14:paraId="5AF1D8D6">
      <w:pPr>
        <w:pStyle w:val="49"/>
        <w:ind w:firstLine="480"/>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3A0D91A">
      <w:pPr>
        <w:pageBreakBefore w:val="0"/>
        <w:kinsoku/>
        <w:wordWrap/>
        <w:overflowPunct/>
        <w:topLinePunct w:val="0"/>
        <w:autoSpaceDE/>
        <w:autoSpaceDN/>
        <w:bidi w:val="0"/>
        <w:adjustRightInd/>
        <w:snapToGrid/>
        <w:spacing w:line="45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 xml:space="preserve"> 磋商有效期</w:t>
      </w:r>
    </w:p>
    <w:p w14:paraId="250CD07F">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 在供应商须知前附表规定的磋商有效期内，供应商不得要求撤销或修改其响应文件。</w:t>
      </w:r>
    </w:p>
    <w:p w14:paraId="15DB1C08">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.2出现特殊情况需要延长磋商有效期的，采购人以书面形式通知所有供应商延长磋商有效期。供应商同意延长的，但不得要求或被允许修改或撤销其响应文件；供应商拒绝延长的，其响应文件失效。 </w:t>
      </w:r>
      <w:bookmarkStart w:id="232" w:name="_Toc4165"/>
      <w:bookmarkStart w:id="233" w:name="_Toc10370"/>
      <w:bookmarkStart w:id="234" w:name="_Toc152045550"/>
      <w:bookmarkStart w:id="235" w:name="_Toc7057"/>
      <w:bookmarkStart w:id="236" w:name="_Toc7973"/>
      <w:bookmarkStart w:id="237" w:name="_Toc144974518"/>
      <w:bookmarkStart w:id="238" w:name="_Toc7618"/>
      <w:bookmarkStart w:id="239" w:name="_Toc22634"/>
      <w:bookmarkStart w:id="240" w:name="_Toc318450694"/>
      <w:bookmarkStart w:id="241" w:name="_Toc455080127"/>
      <w:bookmarkStart w:id="242" w:name="_Toc30697"/>
      <w:bookmarkStart w:id="243" w:name="_Toc466298110"/>
      <w:bookmarkStart w:id="244" w:name="_Toc455867787"/>
      <w:bookmarkStart w:id="245" w:name="_Toc8406"/>
      <w:bookmarkStart w:id="246" w:name="_Toc490667847"/>
      <w:bookmarkStart w:id="247" w:name="_Toc152042326"/>
      <w:bookmarkStart w:id="248" w:name="_Toc2505"/>
      <w:bookmarkStart w:id="249" w:name="_Toc13921"/>
    </w:p>
    <w:p w14:paraId="4D584CD2">
      <w:pPr>
        <w:pageBreakBefore w:val="0"/>
        <w:kinsoku/>
        <w:wordWrap/>
        <w:overflowPunct/>
        <w:topLinePunct w:val="0"/>
        <w:autoSpaceDE/>
        <w:autoSpaceDN/>
        <w:bidi w:val="0"/>
        <w:adjustRightInd/>
        <w:snapToGrid/>
        <w:spacing w:line="450" w:lineRule="exact"/>
        <w:ind w:firstLine="482"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3.</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 xml:space="preserve"> 磋商保证金</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Start w:id="250" w:name="_Toc318450695"/>
      <w:bookmarkStart w:id="251" w:name="_Toc152045552"/>
      <w:bookmarkStart w:id="252" w:name="_Toc152042328"/>
      <w:bookmarkStart w:id="253" w:name="_Toc144974520"/>
      <w:r>
        <w:rPr>
          <w:rFonts w:hint="eastAsia" w:ascii="宋体" w:hAnsi="宋体" w:eastAsia="宋体" w:cs="宋体"/>
          <w:b/>
          <w:bCs/>
          <w:color w:val="auto"/>
          <w:sz w:val="24"/>
          <w:szCs w:val="24"/>
          <w:lang w:eastAsia="zh-CN"/>
        </w:rPr>
        <w:t>：无。</w:t>
      </w:r>
      <w:bookmarkEnd w:id="249"/>
      <w:bookmarkStart w:id="254" w:name="_Toc16747"/>
      <w:bookmarkStart w:id="255" w:name="_Toc22527"/>
      <w:bookmarkStart w:id="256" w:name="_Toc455867788"/>
      <w:bookmarkStart w:id="257" w:name="_Toc15547"/>
      <w:bookmarkStart w:id="258" w:name="_Toc13680"/>
      <w:bookmarkStart w:id="259" w:name="_Toc455080128"/>
      <w:bookmarkStart w:id="260" w:name="_Toc20328"/>
      <w:bookmarkStart w:id="261" w:name="_Toc490667848"/>
      <w:bookmarkStart w:id="262" w:name="_Toc466298111"/>
      <w:bookmarkStart w:id="263" w:name="_Toc2794"/>
      <w:bookmarkStart w:id="264" w:name="_Toc17153"/>
      <w:bookmarkStart w:id="265" w:name="_Toc27579"/>
      <w:bookmarkStart w:id="266" w:name="_Toc22384"/>
      <w:bookmarkStart w:id="267" w:name="_Toc11077"/>
    </w:p>
    <w:p w14:paraId="4215628A">
      <w:pPr>
        <w:pageBreakBefore w:val="0"/>
        <w:kinsoku/>
        <w:wordWrap/>
        <w:overflowPunct/>
        <w:topLinePunct w:val="0"/>
        <w:autoSpaceDE/>
        <w:autoSpaceDN/>
        <w:bidi w:val="0"/>
        <w:adjustRightInd/>
        <w:snapToGrid/>
        <w:spacing w:line="45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w:t>
      </w: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资格审查资料</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Start w:id="268" w:name="_Toc4586"/>
      <w:bookmarkStart w:id="269" w:name="_Toc490667849"/>
      <w:bookmarkStart w:id="270" w:name="_Toc144974521"/>
      <w:bookmarkStart w:id="271" w:name="_Toc152042329"/>
      <w:bookmarkStart w:id="272" w:name="_Toc30442"/>
      <w:bookmarkStart w:id="273" w:name="_Toc318450696"/>
      <w:bookmarkStart w:id="274" w:name="_Toc19724"/>
      <w:bookmarkStart w:id="275" w:name="_Toc455867789"/>
      <w:bookmarkStart w:id="276" w:name="_Toc5132"/>
      <w:bookmarkStart w:id="277" w:name="_Toc9015"/>
      <w:bookmarkStart w:id="278" w:name="_Toc1228"/>
      <w:bookmarkStart w:id="279" w:name="_Toc26258"/>
      <w:bookmarkStart w:id="280" w:name="_Toc152045553"/>
      <w:bookmarkStart w:id="281" w:name="_Toc11694"/>
      <w:bookmarkStart w:id="282" w:name="_Toc3286"/>
      <w:bookmarkStart w:id="283" w:name="_Toc18915"/>
      <w:bookmarkStart w:id="284" w:name="_Toc466298112"/>
      <w:bookmarkStart w:id="285" w:name="_Toc455080129"/>
    </w:p>
    <w:p w14:paraId="279F5A0B">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按照第二章供应商须知表“供应商须知前附表”1.5.1要求，提供相关材料。</w:t>
      </w:r>
      <w:bookmarkEnd w:id="268"/>
      <w:bookmarkStart w:id="286" w:name="_Toc24859"/>
    </w:p>
    <w:p w14:paraId="4F005FA2">
      <w:pPr>
        <w:pageBreakBefore w:val="0"/>
        <w:kinsoku/>
        <w:wordWrap/>
        <w:overflowPunct/>
        <w:topLinePunct w:val="0"/>
        <w:autoSpaceDE/>
        <w:autoSpaceDN/>
        <w:bidi w:val="0"/>
        <w:adjustRightInd/>
        <w:snapToGrid/>
        <w:spacing w:line="45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w:t>
      </w: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备选方案</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0F51AF33">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除供应商须知前附表另有规定外，供应商不得递交备选磋商方案。</w:t>
      </w:r>
      <w:bookmarkStart w:id="287" w:name="_Toc152045554"/>
      <w:bookmarkStart w:id="288" w:name="_Toc7626"/>
      <w:bookmarkStart w:id="289" w:name="_Toc466298113"/>
      <w:bookmarkStart w:id="290" w:name="_Toc144974522"/>
      <w:bookmarkStart w:id="291" w:name="_Toc6323"/>
      <w:bookmarkStart w:id="292" w:name="_Toc12541"/>
      <w:bookmarkStart w:id="293" w:name="_Toc490667850"/>
      <w:bookmarkStart w:id="294" w:name="_Toc5516"/>
      <w:bookmarkStart w:id="295" w:name="_Toc12275"/>
      <w:bookmarkStart w:id="296" w:name="_Toc455080130"/>
      <w:bookmarkStart w:id="297" w:name="_Toc17697"/>
      <w:bookmarkStart w:id="298" w:name="_Toc25620"/>
      <w:bookmarkStart w:id="299" w:name="_Toc318450697"/>
      <w:bookmarkStart w:id="300" w:name="_Toc7966"/>
      <w:bookmarkStart w:id="301" w:name="_Toc152042330"/>
      <w:bookmarkStart w:id="302" w:name="_Toc28656"/>
      <w:bookmarkStart w:id="303" w:name="_Toc455867790"/>
      <w:bookmarkStart w:id="304" w:name="_Toc18912"/>
    </w:p>
    <w:p w14:paraId="1DBE7891">
      <w:pPr>
        <w:pageBreakBefore w:val="0"/>
        <w:kinsoku/>
        <w:wordWrap/>
        <w:overflowPunct/>
        <w:topLinePunct w:val="0"/>
        <w:autoSpaceDE/>
        <w:autoSpaceDN/>
        <w:bidi w:val="0"/>
        <w:adjustRightInd/>
        <w:snapToGrid/>
        <w:spacing w:line="45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w:t>
      </w:r>
      <w:r>
        <w:rPr>
          <w:rFonts w:hint="eastAsia" w:ascii="宋体" w:hAnsi="宋体" w:eastAsia="宋体" w:cs="宋体"/>
          <w:b/>
          <w:bCs/>
          <w:color w:val="auto"/>
          <w:sz w:val="24"/>
          <w:szCs w:val="24"/>
          <w:lang w:val="en-US" w:eastAsia="zh-CN"/>
        </w:rPr>
        <w:t>7</w:t>
      </w:r>
      <w:r>
        <w:rPr>
          <w:rFonts w:hint="eastAsia" w:ascii="宋体" w:hAnsi="宋体" w:eastAsia="宋体" w:cs="宋体"/>
          <w:b/>
          <w:bCs/>
          <w:color w:val="auto"/>
          <w:sz w:val="24"/>
          <w:szCs w:val="24"/>
        </w:rPr>
        <w:t xml:space="preserve"> 响应文件的编制</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Start w:id="305" w:name="_Toc152042331"/>
      <w:bookmarkStart w:id="306" w:name="_Toc455080131"/>
      <w:bookmarkStart w:id="307" w:name="_Toc144974523"/>
      <w:bookmarkStart w:id="308" w:name="_Toc152045555"/>
    </w:p>
    <w:p w14:paraId="1F836ED4">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3.7</w:t>
      </w:r>
      <w:r>
        <w:rPr>
          <w:rFonts w:hint="eastAsia" w:ascii="宋体" w:hAnsi="宋体" w:eastAsia="宋体" w:cs="宋体"/>
          <w:b w:val="0"/>
          <w:bCs w:val="0"/>
          <w:color w:val="auto"/>
          <w:sz w:val="24"/>
          <w:szCs w:val="24"/>
        </w:rPr>
        <w:t>.1 供应商通过“全国公共资源交易平台（河南省·信阳市）（</w:t>
      </w:r>
      <w:r>
        <w:rPr>
          <w:rFonts w:hint="eastAsia" w:ascii="宋体" w:hAnsi="宋体" w:eastAsia="宋体" w:cs="宋体"/>
          <w:b w:val="0"/>
          <w:bCs w:val="0"/>
          <w:color w:val="auto"/>
          <w:sz w:val="24"/>
          <w:szCs w:val="24"/>
          <w:u w:val="none"/>
        </w:rPr>
        <w:t>https://ggzyjy.xinyang.gov.cn</w:t>
      </w:r>
      <w:r>
        <w:rPr>
          <w:rFonts w:hint="eastAsia" w:ascii="宋体" w:hAnsi="宋体" w:eastAsia="宋体" w:cs="宋体"/>
          <w:b w:val="0"/>
          <w:bCs w:val="0"/>
          <w:color w:val="auto"/>
          <w:sz w:val="24"/>
          <w:szCs w:val="24"/>
        </w:rPr>
        <w:t>）”网站下载</w:t>
      </w:r>
      <w:r>
        <w:rPr>
          <w:rFonts w:hint="eastAsia" w:ascii="宋体" w:hAnsi="宋体" w:eastAsia="宋体" w:cs="宋体"/>
          <w:b w:val="0"/>
          <w:bCs w:val="0"/>
          <w:color w:val="auto"/>
          <w:sz w:val="24"/>
          <w:szCs w:val="24"/>
          <w:lang w:val="en-US" w:eastAsia="zh-CN"/>
        </w:rPr>
        <w:t>专区</w:t>
      </w:r>
      <w:r>
        <w:rPr>
          <w:rFonts w:hint="eastAsia" w:ascii="宋体" w:hAnsi="宋体" w:eastAsia="宋体" w:cs="宋体"/>
          <w:b w:val="0"/>
          <w:bCs w:val="0"/>
          <w:color w:val="auto"/>
          <w:sz w:val="24"/>
          <w:szCs w:val="24"/>
        </w:rPr>
        <w:t>栏目内下载或采购文件领取页面下载“信阳市投标文件制作工具软件”，响应文件应按第六章“</w:t>
      </w:r>
      <w:r>
        <w:rPr>
          <w:rFonts w:hint="eastAsia" w:ascii="宋体" w:hAnsi="宋体" w:eastAsia="宋体" w:cs="宋体"/>
          <w:b w:val="0"/>
          <w:bCs w:val="0"/>
          <w:color w:val="auto"/>
          <w:sz w:val="24"/>
          <w:szCs w:val="24"/>
          <w:lang w:val="en-US" w:eastAsia="zh-CN"/>
        </w:rPr>
        <w:t>竞争性磋商</w:t>
      </w:r>
      <w:r>
        <w:rPr>
          <w:rFonts w:hint="eastAsia" w:ascii="宋体" w:hAnsi="宋体" w:eastAsia="宋体" w:cs="宋体"/>
          <w:b w:val="0"/>
          <w:bCs w:val="0"/>
          <w:color w:val="auto"/>
          <w:sz w:val="24"/>
          <w:szCs w:val="24"/>
        </w:rPr>
        <w:t>响应文件格式”使用“信阳市投标文件制作工具”软件制作生成加密版和非未加密的电子响应文件（软件操作手册可在网站下载</w:t>
      </w:r>
      <w:r>
        <w:rPr>
          <w:rFonts w:hint="eastAsia" w:ascii="宋体" w:hAnsi="宋体" w:eastAsia="宋体" w:cs="宋体"/>
          <w:b w:val="0"/>
          <w:bCs w:val="0"/>
          <w:color w:val="auto"/>
          <w:sz w:val="24"/>
          <w:szCs w:val="24"/>
          <w:lang w:val="en-US" w:eastAsia="zh-CN"/>
        </w:rPr>
        <w:t>专区</w:t>
      </w:r>
      <w:r>
        <w:rPr>
          <w:rFonts w:hint="eastAsia" w:ascii="宋体" w:hAnsi="宋体" w:eastAsia="宋体" w:cs="宋体"/>
          <w:b w:val="0"/>
          <w:bCs w:val="0"/>
          <w:color w:val="auto"/>
          <w:sz w:val="24"/>
          <w:szCs w:val="24"/>
        </w:rPr>
        <w:t>下载或打开软件后在右上角菜单内领取）。</w:t>
      </w:r>
    </w:p>
    <w:p w14:paraId="6057A791">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3.7</w:t>
      </w:r>
      <w:r>
        <w:rPr>
          <w:rFonts w:hint="eastAsia" w:ascii="宋体" w:hAnsi="宋体" w:eastAsia="宋体" w:cs="宋体"/>
          <w:b w:val="0"/>
          <w:bCs w:val="0"/>
          <w:color w:val="auto"/>
          <w:sz w:val="24"/>
          <w:szCs w:val="24"/>
        </w:rPr>
        <w:t>.2 响应文件应当对磋商文件有关</w:t>
      </w:r>
      <w:r>
        <w:rPr>
          <w:rFonts w:hint="eastAsia" w:ascii="宋体" w:hAnsi="宋体" w:eastAsia="宋体" w:cs="宋体"/>
          <w:b w:val="0"/>
          <w:bCs w:val="0"/>
          <w:color w:val="auto"/>
          <w:sz w:val="24"/>
          <w:szCs w:val="24"/>
          <w:lang w:val="en-US" w:eastAsia="zh-CN"/>
        </w:rPr>
        <w:t>服务期限</w:t>
      </w:r>
      <w:r>
        <w:rPr>
          <w:rFonts w:hint="eastAsia" w:ascii="宋体" w:hAnsi="宋体" w:eastAsia="宋体" w:cs="宋体"/>
          <w:b w:val="0"/>
          <w:bCs w:val="0"/>
          <w:color w:val="auto"/>
          <w:sz w:val="24"/>
          <w:szCs w:val="24"/>
        </w:rPr>
        <w:t>、磋商有效期、质量要求等实质性内容作出响应。其中，报价函附录在满足磋商文件实质性要求的基础上，可以提出比磋商文件要求更有利于采购人的承诺。</w:t>
      </w:r>
    </w:p>
    <w:p w14:paraId="35C276FA">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3.7</w:t>
      </w:r>
      <w:r>
        <w:rPr>
          <w:rFonts w:hint="eastAsia" w:ascii="宋体" w:hAnsi="宋体" w:eastAsia="宋体" w:cs="宋体"/>
          <w:b w:val="0"/>
          <w:bCs w:val="0"/>
          <w:color w:val="auto"/>
          <w:sz w:val="24"/>
          <w:szCs w:val="24"/>
        </w:rPr>
        <w:t>.3 电子响应文件签字或盖章的具体要求见供应商须知前附表。如委托代理人电子签章的，电子响应文件应附法定代表人签署的授权委托书。</w:t>
      </w:r>
    </w:p>
    <w:p w14:paraId="7B87AFE3">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3.7</w:t>
      </w:r>
      <w:r>
        <w:rPr>
          <w:rFonts w:hint="eastAsia" w:ascii="宋体" w:hAnsi="宋体" w:eastAsia="宋体" w:cs="宋体"/>
          <w:b w:val="0"/>
          <w:bCs w:val="0"/>
          <w:color w:val="auto"/>
          <w:sz w:val="24"/>
          <w:szCs w:val="24"/>
        </w:rPr>
        <w:t>.4 供应商在电子响应文件制作完成后生成响应文件时须加盖电子签章/签名。签字和盖章的要求见“第二章 供应商须知前附表”。</w:t>
      </w:r>
    </w:p>
    <w:p w14:paraId="36838B88">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3.7</w:t>
      </w:r>
      <w:r>
        <w:rPr>
          <w:rFonts w:hint="eastAsia" w:ascii="宋体" w:hAnsi="宋体" w:eastAsia="宋体" w:cs="宋体"/>
          <w:b w:val="0"/>
          <w:bCs w:val="0"/>
          <w:color w:val="auto"/>
          <w:sz w:val="24"/>
          <w:szCs w:val="24"/>
        </w:rPr>
        <w:t>.5开标一览表报价将作为电子开标的唱标依据。</w:t>
      </w:r>
    </w:p>
    <w:p w14:paraId="3F780067">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3.7</w:t>
      </w:r>
      <w:r>
        <w:rPr>
          <w:rFonts w:hint="eastAsia" w:ascii="宋体" w:hAnsi="宋体" w:eastAsia="宋体" w:cs="宋体"/>
          <w:b w:val="0"/>
          <w:bCs w:val="0"/>
          <w:color w:val="auto"/>
          <w:sz w:val="24"/>
          <w:szCs w:val="24"/>
        </w:rPr>
        <w:t xml:space="preserve">.6磋商文件格式所要求包含的全部资料应全部制作在电子响应文件内，严格按照本项目磋商文件所有格式如实填写（不涉及的内容除外），不应存在漏项或缺项，否则将存在响应文件被拒绝的风险。 </w:t>
      </w:r>
    </w:p>
    <w:p w14:paraId="270F5E92">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b w:val="0"/>
          <w:bCs w:val="0"/>
          <w:color w:val="auto"/>
          <w:sz w:val="24"/>
          <w:szCs w:val="24"/>
          <w:lang w:val="en-US" w:eastAsia="zh-CN"/>
        </w:rPr>
        <w:t>3.7</w:t>
      </w:r>
      <w:r>
        <w:rPr>
          <w:rFonts w:hint="eastAsia" w:ascii="宋体" w:hAnsi="宋体" w:eastAsia="宋体" w:cs="宋体"/>
          <w:b w:val="0"/>
          <w:bCs w:val="0"/>
          <w:color w:val="auto"/>
          <w:sz w:val="24"/>
          <w:szCs w:val="24"/>
        </w:rPr>
        <w:t xml:space="preserve">.7供应商编辑电子响应文件时，最后一步生成电子响应文件（*.XYTF 格式）时，请使用本单位的企业 CA 数字证书。 </w:t>
      </w:r>
    </w:p>
    <w:p w14:paraId="3BB355CB">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highlight w:val="white"/>
        </w:rPr>
        <w:t>电子响应文件</w:t>
      </w:r>
      <w:r>
        <w:rPr>
          <w:rFonts w:hint="eastAsia" w:ascii="宋体" w:hAnsi="宋体" w:eastAsia="宋体" w:cs="宋体"/>
          <w:color w:val="auto"/>
          <w:sz w:val="24"/>
          <w:szCs w:val="24"/>
        </w:rPr>
        <w:t>签字或盖章的具体要求见供应商须知前附表。供应商须在</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递交截止时间前制作并提交。</w:t>
      </w:r>
    </w:p>
    <w:p w14:paraId="4375753A">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 xml:space="preserve"> 响应文件份数见供应商须知前附表。</w:t>
      </w:r>
    </w:p>
    <w:p w14:paraId="5339A605">
      <w:pPr>
        <w:pStyle w:val="88"/>
        <w:pageBreakBefore w:val="0"/>
        <w:kinsoku/>
        <w:wordWrap/>
        <w:overflowPunct/>
        <w:topLinePunct w:val="0"/>
        <w:autoSpaceDE/>
        <w:autoSpaceDN/>
        <w:bidi w:val="0"/>
        <w:adjustRightInd/>
        <w:snapToGrid/>
        <w:spacing w:before="0" w:beforeLines="0" w:line="450" w:lineRule="exact"/>
        <w:textAlignment w:val="auto"/>
        <w:rPr>
          <w:rFonts w:hint="eastAsia" w:ascii="宋体" w:hAnsi="宋体" w:eastAsia="宋体" w:cs="宋体"/>
          <w:b/>
          <w:bCs/>
          <w:color w:val="auto"/>
          <w:sz w:val="24"/>
          <w:szCs w:val="24"/>
        </w:rPr>
      </w:pPr>
      <w:bookmarkStart w:id="309" w:name="_Toc19433"/>
      <w:r>
        <w:rPr>
          <w:rFonts w:hint="eastAsia" w:ascii="宋体" w:hAnsi="宋体" w:eastAsia="宋体" w:cs="宋体"/>
          <w:b/>
          <w:bCs/>
          <w:color w:val="auto"/>
          <w:sz w:val="24"/>
          <w:szCs w:val="24"/>
        </w:rPr>
        <w:t xml:space="preserve">4. </w:t>
      </w:r>
      <w:bookmarkEnd w:id="305"/>
      <w:bookmarkEnd w:id="306"/>
      <w:bookmarkEnd w:id="307"/>
      <w:bookmarkEnd w:id="308"/>
      <w:r>
        <w:rPr>
          <w:rFonts w:hint="eastAsia" w:ascii="宋体" w:hAnsi="宋体" w:eastAsia="宋体" w:cs="宋体"/>
          <w:b/>
          <w:bCs/>
          <w:color w:val="auto"/>
          <w:sz w:val="24"/>
          <w:szCs w:val="24"/>
        </w:rPr>
        <w:t>磋商</w:t>
      </w:r>
      <w:bookmarkEnd w:id="309"/>
    </w:p>
    <w:p w14:paraId="5E140DCD">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lang w:eastAsia="zh-CN"/>
        </w:rPr>
      </w:pPr>
      <w:bookmarkStart w:id="310" w:name="_Toc26583"/>
      <w:bookmarkStart w:id="311" w:name="_Toc144974524"/>
      <w:bookmarkStart w:id="312" w:name="_Toc455080132"/>
      <w:bookmarkStart w:id="313" w:name="_Toc455867792"/>
      <w:bookmarkStart w:id="314" w:name="_Toc26550"/>
      <w:bookmarkStart w:id="315" w:name="_Toc11243"/>
      <w:bookmarkStart w:id="316" w:name="_Toc16783"/>
      <w:bookmarkStart w:id="317" w:name="_Toc152042332"/>
      <w:bookmarkStart w:id="318" w:name="_Toc18820"/>
      <w:bookmarkStart w:id="319" w:name="_Toc490667852"/>
      <w:bookmarkStart w:id="320" w:name="_Toc22961"/>
      <w:bookmarkStart w:id="321" w:name="_Toc318450699"/>
      <w:bookmarkStart w:id="322" w:name="_Toc16962"/>
      <w:bookmarkStart w:id="323" w:name="_Toc466298115"/>
      <w:bookmarkStart w:id="324" w:name="_Toc31492"/>
      <w:bookmarkStart w:id="325" w:name="_Toc152045556"/>
      <w:bookmarkStart w:id="326" w:name="_Toc16344"/>
      <w:bookmarkStart w:id="327" w:name="_Toc21145"/>
      <w:r>
        <w:rPr>
          <w:rFonts w:hint="eastAsia" w:ascii="宋体" w:hAnsi="宋体" w:eastAsia="宋体" w:cs="宋体"/>
          <w:b/>
          <w:bCs/>
          <w:color w:val="auto"/>
          <w:sz w:val="24"/>
          <w:szCs w:val="24"/>
        </w:rPr>
        <w:t>4.1 响应文件的</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Pr>
          <w:rFonts w:hint="eastAsia" w:ascii="宋体" w:hAnsi="宋体" w:eastAsia="宋体" w:cs="宋体"/>
          <w:b/>
          <w:bCs/>
          <w:color w:val="auto"/>
          <w:sz w:val="24"/>
          <w:szCs w:val="24"/>
          <w:lang w:eastAsia="zh-CN"/>
        </w:rPr>
        <w:t>上传</w:t>
      </w:r>
      <w:bookmarkEnd w:id="327"/>
    </w:p>
    <w:p w14:paraId="3479BD0F">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4.1.1网上上传的电子响应文件应使用供应商数字证书认证并加密。</w:t>
      </w:r>
    </w:p>
    <w:p w14:paraId="22ECBB8D">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328" w:name="_Toc28272"/>
      <w:bookmarkStart w:id="329" w:name="_Toc152042333"/>
      <w:bookmarkStart w:id="330" w:name="_Toc144974525"/>
      <w:bookmarkStart w:id="331" w:name="_Toc20259"/>
      <w:bookmarkStart w:id="332" w:name="_Toc4767"/>
      <w:bookmarkStart w:id="333" w:name="_Toc318450700"/>
      <w:bookmarkStart w:id="334" w:name="_Toc7663"/>
      <w:bookmarkStart w:id="335" w:name="_Toc16832"/>
      <w:bookmarkStart w:id="336" w:name="_Toc8754"/>
      <w:bookmarkStart w:id="337" w:name="_Toc462"/>
      <w:bookmarkStart w:id="338" w:name="_Toc27132"/>
      <w:bookmarkStart w:id="339" w:name="_Toc21897"/>
      <w:bookmarkStart w:id="340" w:name="_Toc466298116"/>
      <w:bookmarkStart w:id="341" w:name="_Toc455080133"/>
      <w:bookmarkStart w:id="342" w:name="_Toc455867793"/>
      <w:bookmarkStart w:id="343" w:name="_Toc21072"/>
      <w:bookmarkStart w:id="344" w:name="_Toc490667853"/>
      <w:bookmarkStart w:id="345" w:name="_Toc152045557"/>
      <w:r>
        <w:rPr>
          <w:rFonts w:hint="eastAsia" w:ascii="宋体" w:hAnsi="宋体" w:eastAsia="宋体" w:cs="宋体"/>
          <w:b/>
          <w:bCs/>
          <w:color w:val="auto"/>
          <w:sz w:val="24"/>
          <w:szCs w:val="24"/>
        </w:rPr>
        <w:t>4.2 响应文件的递交</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34893B47">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highlight w:val="white"/>
        </w:rPr>
      </w:pPr>
      <w:bookmarkStart w:id="346" w:name="_Toc21890"/>
      <w:bookmarkStart w:id="347" w:name="_Toc20281"/>
      <w:bookmarkStart w:id="348" w:name="_Toc152042334"/>
      <w:bookmarkStart w:id="349" w:name="_Toc490667854"/>
      <w:bookmarkStart w:id="350" w:name="_Toc455867794"/>
      <w:bookmarkStart w:id="351" w:name="_Toc466298117"/>
      <w:bookmarkStart w:id="352" w:name="_Toc11817"/>
      <w:bookmarkStart w:id="353" w:name="_Toc26684"/>
      <w:bookmarkStart w:id="354" w:name="_Toc455080134"/>
      <w:bookmarkStart w:id="355" w:name="_Toc318450701"/>
      <w:bookmarkStart w:id="356" w:name="_Toc144974526"/>
      <w:bookmarkStart w:id="357" w:name="_Toc152045558"/>
      <w:bookmarkStart w:id="358" w:name="_Toc5102"/>
      <w:bookmarkStart w:id="359" w:name="_Toc17161"/>
      <w:bookmarkStart w:id="360" w:name="_Toc2952"/>
      <w:bookmarkStart w:id="361" w:name="_Toc19951"/>
      <w:bookmarkStart w:id="362" w:name="_Toc30860"/>
      <w:r>
        <w:rPr>
          <w:rFonts w:hint="eastAsia" w:ascii="宋体" w:hAnsi="宋体" w:eastAsia="宋体" w:cs="宋体"/>
          <w:color w:val="auto"/>
          <w:sz w:val="24"/>
          <w:szCs w:val="24"/>
          <w:highlight w:val="white"/>
        </w:rPr>
        <w:t>4.2.1电子响应文件的递交</w:t>
      </w:r>
    </w:p>
    <w:p w14:paraId="65715EEA">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rPr>
        <w:t>各供应商应在</w:t>
      </w:r>
      <w:r>
        <w:rPr>
          <w:rFonts w:hint="eastAsia" w:ascii="宋体" w:hAnsi="宋体" w:eastAsia="宋体" w:cs="宋体"/>
          <w:color w:val="auto"/>
          <w:sz w:val="24"/>
          <w:szCs w:val="24"/>
          <w:highlight w:val="white"/>
          <w:lang w:eastAsia="zh-CN"/>
        </w:rPr>
        <w:t>响应文件提交截止时间前</w:t>
      </w:r>
      <w:r>
        <w:rPr>
          <w:rFonts w:hint="eastAsia" w:ascii="宋体" w:hAnsi="宋体" w:eastAsia="宋体" w:cs="宋体"/>
          <w:color w:val="auto"/>
          <w:sz w:val="24"/>
          <w:szCs w:val="24"/>
          <w:highlight w:val="white"/>
        </w:rPr>
        <w:t>上传加密的电子响应文件（*.XYTF）到会员系统的指定位置。上传的电子响应文件应使用</w:t>
      </w:r>
      <w:r>
        <w:rPr>
          <w:rFonts w:hint="eastAsia" w:ascii="宋体" w:hAnsi="宋体" w:eastAsia="宋体" w:cs="宋体"/>
          <w:color w:val="auto"/>
          <w:sz w:val="24"/>
          <w:szCs w:val="24"/>
          <w:highlight w:val="white"/>
          <w:lang w:eastAsia="zh-CN"/>
        </w:rPr>
        <w:t>供应商</w:t>
      </w:r>
      <w:r>
        <w:rPr>
          <w:rFonts w:hint="eastAsia" w:ascii="宋体" w:hAnsi="宋体" w:eastAsia="宋体" w:cs="宋体"/>
          <w:color w:val="auto"/>
          <w:sz w:val="24"/>
          <w:szCs w:val="24"/>
          <w:highlight w:val="white"/>
        </w:rPr>
        <w:t>CA数字证书认证并加密。上传时必须得到交易系统“上传成功”的确认回复后方为上传成功。请供应商在上传前务必认真检查上传响应文件是否完整、正确。</w:t>
      </w:r>
    </w:p>
    <w:p w14:paraId="02F369D4">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363" w:name="_Toc1790"/>
      <w:r>
        <w:rPr>
          <w:rFonts w:hint="eastAsia" w:ascii="宋体" w:hAnsi="宋体" w:eastAsia="宋体" w:cs="宋体"/>
          <w:b/>
          <w:bCs/>
          <w:color w:val="auto"/>
          <w:sz w:val="24"/>
          <w:szCs w:val="24"/>
        </w:rPr>
        <w:t>4.3 响应文件的修改与撤回</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5F2B357F">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bookmarkStart w:id="364" w:name="_Toc144974527"/>
      <w:bookmarkStart w:id="365" w:name="_Toc152045559"/>
      <w:bookmarkStart w:id="366" w:name="_Toc152042335"/>
      <w:bookmarkStart w:id="367" w:name="_Toc455080135"/>
      <w:r>
        <w:rPr>
          <w:rFonts w:hint="eastAsia" w:ascii="宋体" w:hAnsi="宋体" w:eastAsia="宋体" w:cs="宋体"/>
          <w:color w:val="auto"/>
          <w:sz w:val="24"/>
          <w:szCs w:val="24"/>
        </w:rPr>
        <w:t>4.3.1 在第一章“</w:t>
      </w:r>
      <w:r>
        <w:rPr>
          <w:rFonts w:hint="eastAsia" w:ascii="宋体" w:hAnsi="宋体" w:eastAsia="宋体" w:cs="宋体"/>
          <w:color w:val="auto"/>
          <w:sz w:val="24"/>
          <w:szCs w:val="24"/>
          <w:lang w:eastAsia="zh-CN"/>
        </w:rPr>
        <w:t>竞争性磋商公告</w:t>
      </w:r>
      <w:r>
        <w:rPr>
          <w:rFonts w:hint="eastAsia" w:ascii="宋体" w:hAnsi="宋体" w:eastAsia="宋体" w:cs="宋体"/>
          <w:color w:val="auto"/>
          <w:sz w:val="24"/>
          <w:szCs w:val="24"/>
        </w:rPr>
        <w:t>”规定的</w:t>
      </w:r>
      <w:r>
        <w:rPr>
          <w:rFonts w:hint="eastAsia" w:ascii="宋体" w:hAnsi="宋体" w:eastAsia="宋体" w:cs="宋体"/>
          <w:color w:val="auto"/>
          <w:sz w:val="24"/>
          <w:szCs w:val="24"/>
          <w:lang w:eastAsia="zh-CN"/>
        </w:rPr>
        <w:t>响应文件提交</w:t>
      </w:r>
      <w:r>
        <w:rPr>
          <w:rFonts w:hint="eastAsia" w:ascii="宋体" w:hAnsi="宋体" w:eastAsia="宋体" w:cs="宋体"/>
          <w:color w:val="auto"/>
          <w:sz w:val="24"/>
          <w:szCs w:val="24"/>
        </w:rPr>
        <w:t>截止时间前，供应商可以多次修改或撤回已递交的响应文件，最终响应文件以</w:t>
      </w:r>
      <w:r>
        <w:rPr>
          <w:rFonts w:hint="eastAsia" w:ascii="宋体" w:hAnsi="宋体" w:eastAsia="宋体" w:cs="宋体"/>
          <w:color w:val="auto"/>
          <w:sz w:val="24"/>
          <w:szCs w:val="24"/>
          <w:lang w:eastAsia="zh-CN"/>
        </w:rPr>
        <w:t>响应文件提交截止时间前</w:t>
      </w:r>
      <w:r>
        <w:rPr>
          <w:rFonts w:hint="eastAsia" w:ascii="宋体" w:hAnsi="宋体" w:eastAsia="宋体" w:cs="宋体"/>
          <w:color w:val="auto"/>
          <w:sz w:val="24"/>
          <w:szCs w:val="24"/>
        </w:rPr>
        <w:t>完成上传至信阳市公共资源交易中心交易系统最后一份响应文件为准。</w:t>
      </w:r>
    </w:p>
    <w:p w14:paraId="34C29264">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4.3.2修改的响应文件应按照本章第3.</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条、第4.2条规定进行编制和递交。</w:t>
      </w:r>
    </w:p>
    <w:bookmarkEnd w:id="364"/>
    <w:bookmarkEnd w:id="365"/>
    <w:bookmarkEnd w:id="366"/>
    <w:p w14:paraId="0773936B">
      <w:pPr>
        <w:pageBreakBefore w:val="0"/>
        <w:kinsoku/>
        <w:wordWrap/>
        <w:overflowPunct/>
        <w:topLinePunct w:val="0"/>
        <w:autoSpaceDE/>
        <w:autoSpaceDN/>
        <w:bidi w:val="0"/>
        <w:adjustRightInd/>
        <w:snapToGrid/>
        <w:spacing w:line="450" w:lineRule="exact"/>
        <w:textAlignment w:val="auto"/>
        <w:outlineLvl w:val="1"/>
        <w:rPr>
          <w:rFonts w:hint="eastAsia" w:ascii="宋体" w:hAnsi="宋体" w:eastAsia="宋体" w:cs="宋体"/>
          <w:b/>
          <w:bCs/>
          <w:color w:val="auto"/>
          <w:sz w:val="24"/>
          <w:szCs w:val="24"/>
        </w:rPr>
      </w:pPr>
      <w:bookmarkStart w:id="368" w:name="_Toc14969"/>
      <w:r>
        <w:rPr>
          <w:rFonts w:hint="eastAsia" w:ascii="宋体" w:hAnsi="宋体" w:eastAsia="宋体" w:cs="宋体"/>
          <w:b/>
          <w:bCs/>
          <w:color w:val="auto"/>
          <w:sz w:val="24"/>
          <w:szCs w:val="24"/>
        </w:rPr>
        <w:t>5.</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磋商开始</w:t>
      </w:r>
      <w:bookmarkEnd w:id="367"/>
      <w:bookmarkEnd w:id="368"/>
      <w:bookmarkStart w:id="369" w:name="_Toc20333"/>
      <w:bookmarkStart w:id="370" w:name="_Toc25533"/>
      <w:bookmarkStart w:id="371" w:name="_Toc144974528"/>
      <w:bookmarkStart w:id="372" w:name="_Toc455080136"/>
      <w:bookmarkStart w:id="373" w:name="_Toc455867796"/>
      <w:bookmarkStart w:id="374" w:name="_Toc152042336"/>
      <w:bookmarkStart w:id="375" w:name="_Toc14"/>
      <w:bookmarkStart w:id="376" w:name="_Toc26426"/>
      <w:bookmarkStart w:id="377" w:name="_Toc318450703"/>
      <w:bookmarkStart w:id="378" w:name="_Toc6763"/>
      <w:bookmarkStart w:id="379" w:name="_Toc490667856"/>
      <w:bookmarkStart w:id="380" w:name="_Toc152045560"/>
      <w:bookmarkStart w:id="381" w:name="_Toc20660"/>
      <w:bookmarkStart w:id="382" w:name="_Toc466298119"/>
      <w:bookmarkStart w:id="383" w:name="_Toc9969"/>
      <w:bookmarkStart w:id="384" w:name="_Toc16040"/>
      <w:bookmarkStart w:id="385" w:name="_Toc25809"/>
    </w:p>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14:paraId="5307ABA0">
      <w:pPr>
        <w:pageBreakBefore w:val="0"/>
        <w:kinsoku/>
        <w:wordWrap/>
        <w:overflowPunct/>
        <w:topLinePunct w:val="0"/>
        <w:autoSpaceDE/>
        <w:autoSpaceDN/>
        <w:bidi w:val="0"/>
        <w:adjustRightInd/>
        <w:snapToGrid/>
        <w:spacing w:line="450" w:lineRule="exact"/>
        <w:textAlignment w:val="auto"/>
        <w:rPr>
          <w:rFonts w:hint="eastAsia" w:ascii="宋体" w:hAnsi="宋体" w:eastAsia="宋体" w:cs="宋体"/>
          <w:b/>
          <w:bCs/>
          <w:color w:val="auto"/>
          <w:sz w:val="24"/>
          <w:szCs w:val="24"/>
        </w:rPr>
      </w:pPr>
      <w:bookmarkStart w:id="386" w:name="_Toc490667857"/>
      <w:bookmarkStart w:id="387" w:name="_Toc747"/>
      <w:bookmarkStart w:id="388" w:name="_Toc318450704"/>
      <w:bookmarkStart w:id="389" w:name="_Toc9328"/>
      <w:bookmarkStart w:id="390" w:name="_Toc30792"/>
      <w:bookmarkStart w:id="391" w:name="_Toc144974529"/>
      <w:bookmarkStart w:id="392" w:name="_Toc466298120"/>
      <w:bookmarkStart w:id="393" w:name="_Toc11148"/>
      <w:bookmarkStart w:id="394" w:name="_Toc30965"/>
      <w:bookmarkStart w:id="395" w:name="_Toc25911"/>
      <w:bookmarkStart w:id="396" w:name="_Toc455080137"/>
      <w:bookmarkStart w:id="397" w:name="_Toc455867797"/>
      <w:bookmarkStart w:id="398" w:name="_Toc30074"/>
      <w:bookmarkStart w:id="399" w:name="_Toc152045561"/>
      <w:bookmarkStart w:id="400" w:name="_Toc152042337"/>
      <w:bookmarkStart w:id="401" w:name="_Toc17491"/>
      <w:bookmarkStart w:id="402" w:name="_Toc18582"/>
      <w:bookmarkStart w:id="403" w:name="_Toc3865"/>
      <w:r>
        <w:rPr>
          <w:rFonts w:hint="eastAsia" w:ascii="宋体" w:hAnsi="宋体" w:eastAsia="宋体" w:cs="宋体"/>
          <w:b/>
          <w:bCs/>
          <w:color w:val="auto"/>
          <w:sz w:val="24"/>
          <w:szCs w:val="24"/>
        </w:rPr>
        <w:t>5.1 磋商时间和地点</w:t>
      </w:r>
    </w:p>
    <w:p w14:paraId="00B91FAA">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5.1.1 采购人在本章规定的</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截止时间（</w:t>
      </w:r>
      <w:r>
        <w:rPr>
          <w:rFonts w:hint="eastAsia" w:ascii="宋体" w:hAnsi="宋体" w:eastAsia="宋体" w:cs="宋体"/>
          <w:color w:val="auto"/>
          <w:sz w:val="24"/>
          <w:szCs w:val="24"/>
          <w:lang w:eastAsia="zh-CN"/>
        </w:rPr>
        <w:t>开标</w:t>
      </w:r>
      <w:r>
        <w:rPr>
          <w:rFonts w:hint="eastAsia" w:ascii="宋体" w:hAnsi="宋体" w:eastAsia="宋体" w:cs="宋体"/>
          <w:color w:val="auto"/>
          <w:sz w:val="24"/>
          <w:szCs w:val="24"/>
        </w:rPr>
        <w:t>时间）</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提交响应文件截止时间</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和</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须知前附表规定的地点开标。</w:t>
      </w:r>
    </w:p>
    <w:p w14:paraId="6E420A0F">
      <w:pPr>
        <w:pageBreakBefore w:val="0"/>
        <w:kinsoku/>
        <w:wordWrap/>
        <w:overflowPunct/>
        <w:topLinePunct w:val="0"/>
        <w:autoSpaceDE/>
        <w:autoSpaceDN/>
        <w:bidi w:val="0"/>
        <w:adjustRightInd/>
        <w:snapToGrid/>
        <w:spacing w:line="45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5.1.2 本项目采用“不见面开标”交易方式，不见面开标大厅网址为</w:t>
      </w:r>
      <w:r>
        <w:rPr>
          <w:rFonts w:hint="eastAsia" w:ascii="宋体" w:hAnsi="宋体" w:eastAsia="宋体" w:cs="宋体"/>
          <w:b/>
          <w:bCs/>
          <w:color w:val="auto"/>
          <w:sz w:val="24"/>
          <w:szCs w:val="24"/>
          <w:lang w:val="en-US" w:eastAsia="zh-CN"/>
        </w:rPr>
        <w:t>https://ggzyjy.xinyang.gov.cn/BidOpening/bidhall/xinyang/login.html</w:t>
      </w:r>
      <w:r>
        <w:rPr>
          <w:rFonts w:hint="eastAsia" w:ascii="宋体" w:hAnsi="宋体" w:eastAsia="宋体" w:cs="宋体"/>
          <w:b/>
          <w:bCs/>
          <w:color w:val="auto"/>
          <w:sz w:val="24"/>
          <w:szCs w:val="24"/>
        </w:rPr>
        <w:t>，供应商无需寄送和递交非加密的电子磋商响应文件，无需到现场参加磋商会议，无需到达现场提交原件资料。</w:t>
      </w:r>
    </w:p>
    <w:p w14:paraId="6ED6E795">
      <w:pPr>
        <w:pageBreakBefore w:val="0"/>
        <w:kinsoku/>
        <w:wordWrap/>
        <w:overflowPunct/>
        <w:topLinePunct w:val="0"/>
        <w:autoSpaceDE/>
        <w:autoSpaceDN/>
        <w:bidi w:val="0"/>
        <w:adjustRightInd/>
        <w:snapToGrid/>
        <w:spacing w:line="45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供应商应当在磋商截止时间前，使用供应商CA数字证书登录不见面开标大厅，在线签到并准时参加磋商活动，并在规定时间内完成磋商响应文件解密、答疑澄清等。</w:t>
      </w:r>
    </w:p>
    <w:p w14:paraId="0EE6CA8A">
      <w:pPr>
        <w:pageBreakBefore w:val="0"/>
        <w:kinsoku/>
        <w:wordWrap/>
        <w:overflowPunct/>
        <w:topLinePunct w:val="0"/>
        <w:autoSpaceDE/>
        <w:autoSpaceDN/>
        <w:bidi w:val="0"/>
        <w:adjustRightInd/>
        <w:snapToGrid/>
        <w:spacing w:line="45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需在解密开始后10分钟内完成解密（当供应商过多时，解密时间可以适当延长）。在响应文件解密过程中，因供应商原因（如供应商准备不到位、电脑网络问题等），造成无法及时解密的，将被退回响应文件。</w:t>
      </w:r>
    </w:p>
    <w:p w14:paraId="6972EF7A">
      <w:pPr>
        <w:pageBreakBefore w:val="0"/>
        <w:kinsoku/>
        <w:wordWrap/>
        <w:overflowPunct/>
        <w:topLinePunct w:val="0"/>
        <w:autoSpaceDE/>
        <w:autoSpaceDN/>
        <w:bidi w:val="0"/>
        <w:adjustRightInd/>
        <w:snapToGrid/>
        <w:spacing w:line="45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不见面开标服务的具体事宜，请查阅信阳市公共资源交易中心网站首页—下载</w:t>
      </w:r>
      <w:r>
        <w:rPr>
          <w:rFonts w:hint="eastAsia" w:ascii="宋体" w:hAnsi="宋体" w:eastAsia="宋体" w:cs="宋体"/>
          <w:b/>
          <w:bCs/>
          <w:color w:val="auto"/>
          <w:sz w:val="24"/>
          <w:szCs w:val="24"/>
          <w:lang w:val="en-US" w:eastAsia="zh-CN"/>
        </w:rPr>
        <w:t>专区</w:t>
      </w:r>
      <w:r>
        <w:rPr>
          <w:rFonts w:hint="eastAsia" w:ascii="宋体" w:hAnsi="宋体" w:eastAsia="宋体" w:cs="宋体"/>
          <w:b/>
          <w:bCs/>
          <w:color w:val="auto"/>
          <w:sz w:val="24"/>
          <w:szCs w:val="24"/>
        </w:rPr>
        <w:t>—信阳市不见面开标大厅系统操作手册 。（https://ggzyjy.xinyang.gov.cn/jyzn/003003/20200727/08340a93-5f32-4377-a758-267707b3c1f1.html）</w:t>
      </w:r>
    </w:p>
    <w:p w14:paraId="5438C9AA">
      <w:pPr>
        <w:pageBreakBefore w:val="0"/>
        <w:kinsoku/>
        <w:wordWrap/>
        <w:overflowPunct/>
        <w:topLinePunct w:val="0"/>
        <w:autoSpaceDE/>
        <w:autoSpaceDN/>
        <w:bidi w:val="0"/>
        <w:adjustRightInd/>
        <w:snapToGrid/>
        <w:spacing w:line="45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开标过程中，供应商如有异议，须在开标结束前通过系统提出，否则视同认可开标记录。开标结束后，对开标记录的任何异议不再接受。</w:t>
      </w:r>
    </w:p>
    <w:p w14:paraId="1120F8F9">
      <w:pPr>
        <w:pageBreakBefore w:val="0"/>
        <w:kinsoku/>
        <w:wordWrap/>
        <w:overflowPunct/>
        <w:topLinePunct w:val="0"/>
        <w:autoSpaceDE/>
        <w:autoSpaceDN/>
        <w:bidi w:val="0"/>
        <w:adjustRightInd/>
        <w:snapToGrid/>
        <w:spacing w:line="45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特别提示：供应商在线签到时，应如实准确</w:t>
      </w:r>
      <w:r>
        <w:rPr>
          <w:rFonts w:hint="eastAsia" w:ascii="宋体" w:hAnsi="宋体" w:cs="宋体"/>
          <w:b/>
          <w:bCs/>
          <w:color w:val="auto"/>
          <w:sz w:val="24"/>
          <w:szCs w:val="24"/>
          <w:lang w:eastAsia="zh-CN"/>
        </w:rPr>
        <w:t>地</w:t>
      </w:r>
      <w:r>
        <w:rPr>
          <w:rFonts w:hint="eastAsia" w:ascii="宋体" w:hAnsi="宋体" w:eastAsia="宋体" w:cs="宋体"/>
          <w:b/>
          <w:bCs/>
          <w:color w:val="auto"/>
          <w:sz w:val="24"/>
          <w:szCs w:val="24"/>
        </w:rPr>
        <w:t>填写授权委托人的联系电话，磋商当天请务必保证电话保持畅通。</w:t>
      </w:r>
    </w:p>
    <w:p w14:paraId="5FCC4259">
      <w:pPr>
        <w:pageBreakBefore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eastAsia="宋体" w:cs="宋体"/>
          <w:b/>
          <w:bCs/>
          <w:color w:val="auto"/>
          <w:sz w:val="24"/>
          <w:szCs w:val="24"/>
        </w:rPr>
      </w:pPr>
      <w:r>
        <w:rPr>
          <w:rFonts w:hint="eastAsia" w:ascii="宋体" w:hAnsi="宋体" w:eastAsia="宋体" w:cs="宋体"/>
        </w:rPr>
        <w:drawing>
          <wp:inline distT="0" distB="0" distL="114300" distR="114300">
            <wp:extent cx="3934460" cy="3888105"/>
            <wp:effectExtent l="0" t="0" r="8890" b="1714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3934460" cy="3888105"/>
                    </a:xfrm>
                    <a:prstGeom prst="rect">
                      <a:avLst/>
                    </a:prstGeom>
                    <a:noFill/>
                    <a:ln>
                      <a:noFill/>
                    </a:ln>
                  </pic:spPr>
                </pic:pic>
              </a:graphicData>
            </a:graphic>
          </wp:inline>
        </w:drawing>
      </w:r>
    </w:p>
    <w:p w14:paraId="0F0F1DDF">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r>
        <w:rPr>
          <w:rFonts w:hint="eastAsia" w:ascii="宋体" w:hAnsi="宋体" w:eastAsia="宋体" w:cs="宋体"/>
          <w:b/>
          <w:bCs/>
          <w:color w:val="auto"/>
          <w:sz w:val="24"/>
          <w:szCs w:val="24"/>
        </w:rPr>
        <w:t>5.2 磋商程序</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7A2268DC">
      <w:pPr>
        <w:pStyle w:val="89"/>
        <w:pageBreakBefore w:val="0"/>
        <w:kinsoku/>
        <w:wordWrap/>
        <w:overflowPunct/>
        <w:topLinePunct w:val="0"/>
        <w:autoSpaceDE/>
        <w:autoSpaceDN/>
        <w:bidi w:val="0"/>
        <w:adjustRightInd/>
        <w:snapToGrid/>
        <w:spacing w:line="450" w:lineRule="exact"/>
        <w:ind w:left="0" w:leftChars="0" w:firstLine="480" w:firstLineChars="200"/>
        <w:textAlignment w:val="auto"/>
        <w:outlineLvl w:val="0"/>
        <w:rPr>
          <w:rFonts w:hint="eastAsia" w:ascii="宋体" w:hAnsi="宋体" w:eastAsia="宋体" w:cs="宋体"/>
          <w:b/>
          <w:bCs/>
          <w:color w:val="auto"/>
          <w:sz w:val="24"/>
          <w:szCs w:val="24"/>
          <w:lang w:val="en-US" w:eastAsia="zh-CN"/>
        </w:rPr>
      </w:pPr>
      <w:bookmarkStart w:id="404" w:name="_Toc30403"/>
      <w:r>
        <w:rPr>
          <w:rFonts w:hint="eastAsia" w:ascii="宋体" w:hAnsi="宋体" w:eastAsia="宋体" w:cs="宋体"/>
          <w:color w:val="auto"/>
          <w:sz w:val="24"/>
          <w:szCs w:val="24"/>
          <w:lang w:val="en-US" w:eastAsia="zh-CN"/>
        </w:rPr>
        <w:t>5.2.1磋商小组对竞争性磋商文件进行熟悉确认。</w:t>
      </w:r>
      <w:bookmarkEnd w:id="404"/>
    </w:p>
    <w:p w14:paraId="5B2FD0F0">
      <w:pPr>
        <w:pageBreakBefore w:val="0"/>
        <w:kinsoku/>
        <w:wordWrap/>
        <w:overflowPunct/>
        <w:topLinePunct w:val="0"/>
        <w:autoSpaceDE/>
        <w:autoSpaceDN/>
        <w:bidi w:val="0"/>
        <w:adjustRightInd/>
        <w:snapToGrid/>
        <w:spacing w:line="45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5.2.2磋商小组推选组长，讨论、通过磋商工作流程和磋商要点。</w:t>
      </w:r>
    </w:p>
    <w:p w14:paraId="637EF466">
      <w:pPr>
        <w:pageBreakBefore w:val="0"/>
        <w:kinsoku/>
        <w:wordWrap/>
        <w:overflowPunct/>
        <w:topLinePunct w:val="0"/>
        <w:autoSpaceDE/>
        <w:autoSpaceDN/>
        <w:bidi w:val="0"/>
        <w:adjustRightInd/>
        <w:snapToGrid/>
        <w:spacing w:line="45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资格评审审查：采购</w:t>
      </w:r>
      <w:r>
        <w:rPr>
          <w:rFonts w:hint="eastAsia" w:ascii="宋体" w:hAnsi="宋体" w:cs="宋体"/>
          <w:color w:val="auto"/>
          <w:sz w:val="24"/>
          <w:szCs w:val="24"/>
          <w:lang w:val="en-US" w:eastAsia="zh-CN"/>
        </w:rPr>
        <w:t>代理机构</w:t>
      </w:r>
      <w:r>
        <w:rPr>
          <w:rFonts w:hint="eastAsia" w:ascii="宋体" w:hAnsi="宋体" w:eastAsia="宋体" w:cs="宋体"/>
          <w:color w:val="auto"/>
          <w:sz w:val="24"/>
          <w:szCs w:val="24"/>
        </w:rPr>
        <w:t>依据</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规定，</w:t>
      </w:r>
      <w:r>
        <w:rPr>
          <w:rFonts w:hint="eastAsia" w:ascii="宋体" w:hAnsi="宋体" w:eastAsia="宋体" w:cs="宋体"/>
          <w:color w:val="auto"/>
          <w:sz w:val="24"/>
          <w:szCs w:val="24"/>
          <w:lang w:eastAsia="zh-CN"/>
        </w:rPr>
        <w:t>对</w:t>
      </w:r>
      <w:r>
        <w:rPr>
          <w:rFonts w:hint="eastAsia" w:ascii="宋体" w:hAnsi="宋体" w:eastAsia="宋体" w:cs="宋体"/>
          <w:color w:val="auto"/>
          <w:sz w:val="24"/>
          <w:szCs w:val="24"/>
        </w:rPr>
        <w:t>供应商进行审查，以确定磋商供应商是否具备参与磋商的资格。</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供应商提供资格证明材料不全或者不清晰无法辨识的一律视为不通过资格评审）</w:t>
      </w:r>
    </w:p>
    <w:p w14:paraId="2EFAB018">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符合性</w:t>
      </w:r>
      <w:r>
        <w:rPr>
          <w:rFonts w:hint="eastAsia" w:ascii="宋体" w:hAnsi="宋体" w:eastAsia="宋体" w:cs="宋体"/>
          <w:color w:val="auto"/>
          <w:sz w:val="24"/>
          <w:szCs w:val="24"/>
        </w:rPr>
        <w:t>评审审查：磋商开始后，磋商小组依据</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规定，对通过资格评审的供应商进行审查，以确定磋商供应商是否具备参与磋商的资格。</w:t>
      </w:r>
    </w:p>
    <w:p w14:paraId="4A99823D">
      <w:pPr>
        <w:pageBreakBefore w:val="0"/>
        <w:kinsoku/>
        <w:wordWrap/>
        <w:overflowPunct/>
        <w:topLinePunct w:val="0"/>
        <w:autoSpaceDE/>
        <w:autoSpaceDN/>
        <w:bidi w:val="0"/>
        <w:adjustRightInd/>
        <w:snapToGrid/>
        <w:spacing w:line="450" w:lineRule="exact"/>
        <w:ind w:firstLine="540" w:firstLineChars="225"/>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磋商小组对通过资格性和符合性审查的响应文件进行评估，确定与各</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rPr>
        <w:t>磋商的具体内容。</w:t>
      </w:r>
    </w:p>
    <w:p w14:paraId="471A84E8">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5.2.</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磋商过程中，磋商小组可以根据磋商情况实质性变动</w:t>
      </w:r>
      <w:r>
        <w:rPr>
          <w:rFonts w:hint="eastAsia" w:ascii="宋体" w:hAnsi="宋体" w:eastAsia="宋体" w:cs="宋体"/>
          <w:color w:val="auto"/>
          <w:sz w:val="24"/>
          <w:szCs w:val="24"/>
          <w:lang w:val="en-US" w:eastAsia="zh-CN"/>
        </w:rPr>
        <w:t>采购</w:t>
      </w:r>
      <w:r>
        <w:rPr>
          <w:rFonts w:hint="eastAsia" w:ascii="宋体" w:hAnsi="宋体" w:eastAsia="宋体" w:cs="宋体"/>
          <w:color w:val="auto"/>
          <w:sz w:val="24"/>
          <w:szCs w:val="24"/>
        </w:rPr>
        <w:t>需求中的技术、服务要求以及合同草案条款，但不得变动</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中的其他内容。实质性变动的内容需经采购人(业主)代表确认。并以书面形式通知所有参加磋商的供应商，该变动是</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的有效组成部分。供应商应当按照</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的变动情况和磋商小组的要求重新提交响应文件并由其法定代表人或其授权代表签字或者加盖公章。由授权代表签字的应当附法定代表人授权书。供应商为自然人的应当由本人签字并附身份证。供应商应根据磋商小组的要求，以书面形式在规定时间内做出响应，未做出响应的响应文件将被视为无效竞标。若磋商小组没有实质性变动</w:t>
      </w:r>
      <w:r>
        <w:rPr>
          <w:rFonts w:hint="eastAsia" w:ascii="宋体" w:hAnsi="宋体" w:eastAsia="宋体" w:cs="宋体"/>
          <w:color w:val="auto"/>
          <w:sz w:val="24"/>
          <w:szCs w:val="24"/>
          <w:lang w:val="en-US" w:eastAsia="zh-CN"/>
        </w:rPr>
        <w:t>采购</w:t>
      </w:r>
      <w:r>
        <w:rPr>
          <w:rFonts w:hint="eastAsia" w:ascii="宋体" w:hAnsi="宋体" w:eastAsia="宋体" w:cs="宋体"/>
          <w:color w:val="auto"/>
          <w:sz w:val="24"/>
          <w:szCs w:val="24"/>
        </w:rPr>
        <w:t>需求中的技术、服务要求以及合同草案条款，则供应商的最后报价不得高于首次报价，否则按废标处理。</w:t>
      </w:r>
    </w:p>
    <w:p w14:paraId="531B8D7E">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磋商小组对符合</w:t>
      </w:r>
      <w:r>
        <w:rPr>
          <w:rFonts w:hint="eastAsia" w:ascii="宋体" w:hAnsi="宋体" w:eastAsia="宋体" w:cs="宋体"/>
          <w:color w:val="auto"/>
          <w:sz w:val="24"/>
          <w:szCs w:val="24"/>
          <w:lang w:val="en-US" w:eastAsia="zh-CN"/>
        </w:rPr>
        <w:t>采购</w:t>
      </w:r>
      <w:r>
        <w:rPr>
          <w:rFonts w:hint="eastAsia" w:ascii="宋体" w:hAnsi="宋体" w:eastAsia="宋体" w:cs="宋体"/>
          <w:color w:val="auto"/>
          <w:sz w:val="24"/>
          <w:szCs w:val="24"/>
        </w:rPr>
        <w:t>需求的供应商进行两轮报价；供应商只有通过资格评审</w:t>
      </w:r>
      <w:r>
        <w:rPr>
          <w:rFonts w:hint="eastAsia" w:ascii="宋体" w:hAnsi="宋体" w:eastAsia="宋体" w:cs="宋体"/>
          <w:color w:val="auto"/>
          <w:sz w:val="24"/>
          <w:szCs w:val="24"/>
          <w:lang w:eastAsia="zh-CN"/>
        </w:rPr>
        <w:t>及符合性</w:t>
      </w:r>
      <w:r>
        <w:rPr>
          <w:rFonts w:hint="eastAsia" w:ascii="宋体" w:hAnsi="宋体" w:eastAsia="宋体" w:cs="宋体"/>
          <w:color w:val="auto"/>
          <w:sz w:val="24"/>
          <w:szCs w:val="24"/>
        </w:rPr>
        <w:t>评审后方可进入下一轮报价，在规定的时间内同时提交报价，最终报价不得超过响应文件中报价</w:t>
      </w:r>
      <w:r>
        <w:rPr>
          <w:rFonts w:hint="eastAsia" w:ascii="宋体" w:hAnsi="宋体" w:eastAsia="宋体" w:cs="宋体"/>
          <w:color w:val="auto"/>
          <w:sz w:val="24"/>
          <w:szCs w:val="24"/>
          <w:lang w:eastAsia="zh-CN"/>
        </w:rPr>
        <w:t>，</w:t>
      </w:r>
      <w:r>
        <w:rPr>
          <w:rFonts w:hint="eastAsia" w:ascii="宋体" w:hAnsi="宋体" w:eastAsia="宋体" w:cs="宋体"/>
          <w:bCs/>
          <w:color w:val="auto"/>
          <w:kern w:val="0"/>
          <w:sz w:val="24"/>
        </w:rPr>
        <w:t>否则按废标处理。</w:t>
      </w:r>
      <w:r>
        <w:rPr>
          <w:rFonts w:hint="eastAsia" w:ascii="宋体" w:hAnsi="宋体" w:eastAsia="宋体" w:cs="宋体"/>
          <w:b/>
          <w:color w:val="auto"/>
          <w:kern w:val="0"/>
          <w:sz w:val="24"/>
        </w:rPr>
        <w:t xml:space="preserve">（“不见面开标线上二次报价操作手册”详见：https://ggzyjy.xinyang.gov.cn/jyzn/003003/20200727/08340a93-5f32-4377-a758-267707b3c1f1.html） </w:t>
      </w:r>
      <w:r>
        <w:rPr>
          <w:rFonts w:hint="eastAsia" w:ascii="宋体" w:hAnsi="宋体" w:eastAsia="宋体" w:cs="宋体"/>
          <w:b/>
          <w:color w:val="auto"/>
          <w:kern w:val="0"/>
          <w:sz w:val="24"/>
          <w:lang w:eastAsia="zh-CN"/>
        </w:rPr>
        <w:t>（</w:t>
      </w:r>
      <w:r>
        <w:rPr>
          <w:rFonts w:hint="eastAsia" w:ascii="宋体" w:hAnsi="宋体" w:eastAsia="宋体" w:cs="宋体"/>
          <w:b/>
          <w:kern w:val="0"/>
          <w:sz w:val="24"/>
          <w:u w:val="single"/>
          <w:lang w:val="en-US" w:eastAsia="zh-CN"/>
        </w:rPr>
        <w:t>根据信阳市公共资源交易中心“关于评审过程中二次报价、在线答疑澄清等不再电话提醒的通知”</w:t>
      </w:r>
      <w:r>
        <w:rPr>
          <w:rFonts w:hint="eastAsia" w:ascii="宋体" w:hAnsi="宋体" w:eastAsia="宋体" w:cs="宋体"/>
          <w:b/>
          <w:kern w:val="0"/>
          <w:sz w:val="24"/>
          <w:lang w:val="en-US" w:eastAsia="zh-CN"/>
        </w:rPr>
        <w:t>要求</w:t>
      </w:r>
      <w:r>
        <w:rPr>
          <w:rFonts w:hint="eastAsia" w:ascii="宋体" w:hAnsi="宋体" w:eastAsia="宋体" w:cs="宋体"/>
          <w:b/>
          <w:kern w:val="0"/>
          <w:sz w:val="24"/>
          <w:u w:val="single"/>
          <w:lang w:val="en-US" w:eastAsia="zh-CN"/>
        </w:rPr>
        <w:t>“在评审过程中涉及二次报价、在线答疑澄清等不再进行电话提醒。供应商在评审过程中应当时刻关注评审进程，在短信提醒需要二次报价、在线答疑澄清时在规定时间内进行相关操作，未在规定时间内操作造成的一切后果由供应商自行承担。”</w:t>
      </w:r>
      <w:r>
        <w:rPr>
          <w:rFonts w:hint="eastAsia" w:ascii="宋体" w:hAnsi="宋体" w:eastAsia="宋体" w:cs="宋体"/>
          <w:b/>
          <w:kern w:val="0"/>
          <w:sz w:val="24"/>
          <w:lang w:eastAsia="zh-CN"/>
        </w:rPr>
        <w:t>）</w:t>
      </w:r>
    </w:p>
    <w:p w14:paraId="0A1D454E">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经磋商确定最终</w:t>
      </w:r>
      <w:r>
        <w:rPr>
          <w:rFonts w:hint="eastAsia" w:ascii="宋体" w:hAnsi="宋体" w:eastAsia="宋体" w:cs="宋体"/>
          <w:color w:val="auto"/>
          <w:sz w:val="24"/>
          <w:szCs w:val="24"/>
          <w:lang w:val="en-US" w:eastAsia="zh-CN"/>
        </w:rPr>
        <w:t>采购</w:t>
      </w:r>
      <w:r>
        <w:rPr>
          <w:rFonts w:hint="eastAsia" w:ascii="宋体" w:hAnsi="宋体" w:eastAsia="宋体" w:cs="宋体"/>
          <w:color w:val="auto"/>
          <w:sz w:val="24"/>
          <w:szCs w:val="24"/>
        </w:rPr>
        <w:t>需求，由磋商小组采用综合评分法对通过初步评审的供应商的响应文件进行综合评分。</w:t>
      </w:r>
    </w:p>
    <w:p w14:paraId="2FDCD313">
      <w:pPr>
        <w:pStyle w:val="88"/>
        <w:pageBreakBefore w:val="0"/>
        <w:kinsoku/>
        <w:wordWrap/>
        <w:overflowPunct/>
        <w:topLinePunct w:val="0"/>
        <w:autoSpaceDE/>
        <w:autoSpaceDN/>
        <w:bidi w:val="0"/>
        <w:adjustRightInd/>
        <w:snapToGrid/>
        <w:spacing w:before="0" w:beforeLines="0" w:line="450" w:lineRule="exact"/>
        <w:textAlignment w:val="auto"/>
        <w:rPr>
          <w:rFonts w:hint="eastAsia" w:ascii="宋体" w:hAnsi="宋体" w:eastAsia="宋体" w:cs="宋体"/>
          <w:b/>
          <w:bCs/>
          <w:color w:val="auto"/>
          <w:sz w:val="24"/>
          <w:szCs w:val="24"/>
        </w:rPr>
      </w:pPr>
      <w:bookmarkStart w:id="405" w:name="_Toc455080138"/>
      <w:bookmarkStart w:id="406" w:name="_Toc14039"/>
      <w:r>
        <w:rPr>
          <w:rFonts w:hint="eastAsia" w:ascii="宋体" w:hAnsi="宋体" w:eastAsia="宋体" w:cs="宋体"/>
          <w:b/>
          <w:bCs/>
          <w:color w:val="auto"/>
          <w:sz w:val="24"/>
          <w:szCs w:val="24"/>
        </w:rPr>
        <w:t>6. 磋商</w:t>
      </w:r>
      <w:bookmarkEnd w:id="405"/>
      <w:r>
        <w:rPr>
          <w:rFonts w:hint="eastAsia" w:ascii="宋体" w:hAnsi="宋体" w:eastAsia="宋体" w:cs="宋体"/>
          <w:b/>
          <w:bCs/>
          <w:color w:val="auto"/>
          <w:sz w:val="24"/>
          <w:szCs w:val="24"/>
        </w:rPr>
        <w:t>小组</w:t>
      </w:r>
      <w:bookmarkEnd w:id="406"/>
    </w:p>
    <w:p w14:paraId="2701DEDC">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407" w:name="_Toc26098"/>
      <w:bookmarkStart w:id="408" w:name="_Toc144974531"/>
      <w:bookmarkStart w:id="409" w:name="_Toc318450706"/>
      <w:bookmarkStart w:id="410" w:name="_Toc152042339"/>
      <w:bookmarkStart w:id="411" w:name="_Toc152045563"/>
      <w:bookmarkStart w:id="412" w:name="_Toc9808"/>
      <w:bookmarkStart w:id="413" w:name="_Toc22250"/>
      <w:bookmarkStart w:id="414" w:name="_Toc8725"/>
      <w:bookmarkStart w:id="415" w:name="_Toc1574"/>
      <w:bookmarkStart w:id="416" w:name="_Toc455080139"/>
      <w:bookmarkStart w:id="417" w:name="_Toc18985"/>
      <w:bookmarkStart w:id="418" w:name="_Toc1546"/>
      <w:bookmarkStart w:id="419" w:name="_Toc490667859"/>
      <w:bookmarkStart w:id="420" w:name="_Toc23138"/>
      <w:bookmarkStart w:id="421" w:name="_Toc455867799"/>
      <w:bookmarkStart w:id="422" w:name="_Toc466298122"/>
      <w:bookmarkStart w:id="423" w:name="_Toc8157"/>
      <w:bookmarkStart w:id="424" w:name="_Toc13978"/>
      <w:r>
        <w:rPr>
          <w:rFonts w:hint="eastAsia" w:ascii="宋体" w:hAnsi="宋体" w:eastAsia="宋体" w:cs="宋体"/>
          <w:b/>
          <w:bCs/>
          <w:color w:val="auto"/>
          <w:sz w:val="24"/>
          <w:szCs w:val="24"/>
        </w:rPr>
        <w:t>6.1</w:t>
      </w:r>
      <w:bookmarkEnd w:id="407"/>
      <w:bookmarkEnd w:id="408"/>
      <w:bookmarkEnd w:id="409"/>
      <w:bookmarkEnd w:id="410"/>
      <w:bookmarkEnd w:id="411"/>
      <w:bookmarkEnd w:id="412"/>
      <w:bookmarkEnd w:id="413"/>
      <w:r>
        <w:rPr>
          <w:rFonts w:hint="eastAsia" w:ascii="宋体" w:hAnsi="宋体" w:eastAsia="宋体" w:cs="宋体"/>
          <w:b/>
          <w:bCs/>
          <w:color w:val="auto"/>
          <w:sz w:val="24"/>
          <w:szCs w:val="24"/>
        </w:rPr>
        <w:t>磋商小组</w:t>
      </w:r>
      <w:bookmarkEnd w:id="414"/>
      <w:bookmarkEnd w:id="415"/>
      <w:bookmarkEnd w:id="416"/>
      <w:bookmarkEnd w:id="417"/>
      <w:bookmarkEnd w:id="418"/>
      <w:bookmarkEnd w:id="419"/>
      <w:bookmarkEnd w:id="420"/>
      <w:bookmarkEnd w:id="421"/>
      <w:bookmarkEnd w:id="422"/>
      <w:bookmarkEnd w:id="423"/>
      <w:bookmarkEnd w:id="424"/>
    </w:p>
    <w:p w14:paraId="16C71CAA">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磋商由采购人依法组建的磋商小组负责。磋商小组由采购人代表以及有关技术、经济等方面的专家组成。磋商小组成员人数以及技术、经济等方面专家的确定方式见供应商须知前附表。</w:t>
      </w:r>
    </w:p>
    <w:p w14:paraId="0707BD30">
      <w:pPr>
        <w:pStyle w:val="89"/>
        <w:pageBreakBefore w:val="0"/>
        <w:tabs>
          <w:tab w:val="left" w:pos="2620"/>
        </w:tabs>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425" w:name="_Toc8248"/>
      <w:bookmarkStart w:id="426" w:name="_Toc22143"/>
      <w:bookmarkStart w:id="427" w:name="_Toc490667860"/>
      <w:bookmarkStart w:id="428" w:name="_Toc7286"/>
      <w:bookmarkStart w:id="429" w:name="_Toc13368"/>
      <w:bookmarkStart w:id="430" w:name="_Toc21102"/>
      <w:bookmarkStart w:id="431" w:name="_Toc144974532"/>
      <w:bookmarkStart w:id="432" w:name="_Toc27035"/>
      <w:bookmarkStart w:id="433" w:name="_Toc455080140"/>
      <w:bookmarkStart w:id="434" w:name="_Toc318450707"/>
      <w:bookmarkStart w:id="435" w:name="_Toc9532"/>
      <w:bookmarkStart w:id="436" w:name="_Toc466298123"/>
      <w:bookmarkStart w:id="437" w:name="_Toc152042340"/>
      <w:bookmarkStart w:id="438" w:name="_Toc25721"/>
      <w:bookmarkStart w:id="439" w:name="_Toc8240"/>
      <w:bookmarkStart w:id="440" w:name="_Toc455867800"/>
      <w:bookmarkStart w:id="441" w:name="_Toc4435"/>
      <w:bookmarkStart w:id="442" w:name="_Toc152045564"/>
      <w:r>
        <w:rPr>
          <w:rFonts w:hint="eastAsia" w:ascii="宋体" w:hAnsi="宋体" w:eastAsia="宋体" w:cs="宋体"/>
          <w:b/>
          <w:bCs/>
          <w:color w:val="auto"/>
          <w:sz w:val="24"/>
          <w:szCs w:val="24"/>
        </w:rPr>
        <w:t>6.2 磋商原则</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787BD453">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磋商活动遵循公平、公正、科学和择优的原则。</w:t>
      </w:r>
    </w:p>
    <w:p w14:paraId="3174BAEF">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color w:val="auto"/>
          <w:sz w:val="24"/>
          <w:szCs w:val="24"/>
        </w:rPr>
      </w:pPr>
      <w:bookmarkStart w:id="443" w:name="_Toc152045565"/>
      <w:bookmarkStart w:id="444" w:name="_Toc16725"/>
      <w:bookmarkStart w:id="445" w:name="_Toc144974533"/>
      <w:bookmarkStart w:id="446" w:name="_Toc8705"/>
      <w:bookmarkStart w:id="447" w:name="_Toc152042341"/>
      <w:bookmarkStart w:id="448" w:name="_Toc318450708"/>
      <w:bookmarkStart w:id="449" w:name="_Toc15595"/>
      <w:bookmarkStart w:id="450" w:name="_Toc24358"/>
      <w:bookmarkStart w:id="451" w:name="_Toc490667861"/>
      <w:bookmarkStart w:id="452" w:name="_Toc28734"/>
      <w:bookmarkStart w:id="453" w:name="_Toc20062"/>
      <w:bookmarkStart w:id="454" w:name="_Toc466298124"/>
      <w:bookmarkStart w:id="455" w:name="_Toc18756"/>
      <w:bookmarkStart w:id="456" w:name="_Toc3606"/>
      <w:bookmarkStart w:id="457" w:name="_Toc7890"/>
      <w:bookmarkStart w:id="458" w:name="_Toc455867801"/>
      <w:bookmarkStart w:id="459" w:name="_Toc27036"/>
      <w:bookmarkStart w:id="460" w:name="_Toc455080141"/>
      <w:r>
        <w:rPr>
          <w:rFonts w:hint="eastAsia" w:ascii="宋体" w:hAnsi="宋体" w:eastAsia="宋体" w:cs="宋体"/>
          <w:b/>
          <w:bCs/>
          <w:color w:val="auto"/>
          <w:sz w:val="24"/>
          <w:szCs w:val="24"/>
        </w:rPr>
        <w:t xml:space="preserve">6.3 </w:t>
      </w:r>
      <w:bookmarkEnd w:id="443"/>
      <w:bookmarkEnd w:id="444"/>
      <w:bookmarkEnd w:id="445"/>
      <w:bookmarkEnd w:id="446"/>
      <w:bookmarkEnd w:id="447"/>
      <w:bookmarkEnd w:id="448"/>
      <w:bookmarkEnd w:id="449"/>
      <w:r>
        <w:rPr>
          <w:rFonts w:hint="eastAsia" w:ascii="宋体" w:hAnsi="宋体" w:eastAsia="宋体" w:cs="宋体"/>
          <w:b/>
          <w:bCs/>
          <w:color w:val="auto"/>
          <w:sz w:val="24"/>
          <w:szCs w:val="24"/>
        </w:rPr>
        <w:t>磋商</w:t>
      </w:r>
      <w:bookmarkEnd w:id="450"/>
      <w:bookmarkEnd w:id="451"/>
      <w:bookmarkEnd w:id="452"/>
      <w:bookmarkEnd w:id="453"/>
      <w:bookmarkEnd w:id="454"/>
      <w:bookmarkEnd w:id="455"/>
      <w:bookmarkEnd w:id="456"/>
      <w:bookmarkEnd w:id="457"/>
      <w:bookmarkEnd w:id="458"/>
      <w:bookmarkEnd w:id="459"/>
      <w:bookmarkEnd w:id="460"/>
    </w:p>
    <w:p w14:paraId="0D8E5A1A">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磋商小组按照第三章“评审办法”规定的方法、评审因素、标准和程序对响应文件进行评审。第三章“评审办法”没有规定的方法、评审因素和标准，不作为</w:t>
      </w:r>
      <w:r>
        <w:rPr>
          <w:rFonts w:hint="eastAsia" w:ascii="宋体" w:hAnsi="宋体" w:eastAsia="宋体" w:cs="宋体"/>
          <w:color w:val="auto"/>
          <w:sz w:val="24"/>
          <w:szCs w:val="24"/>
          <w:lang w:val="en-US" w:eastAsia="zh-CN"/>
        </w:rPr>
        <w:t>评审</w:t>
      </w:r>
      <w:r>
        <w:rPr>
          <w:rFonts w:hint="eastAsia" w:ascii="宋体" w:hAnsi="宋体" w:eastAsia="宋体" w:cs="宋体"/>
          <w:color w:val="auto"/>
          <w:sz w:val="24"/>
          <w:szCs w:val="24"/>
        </w:rPr>
        <w:t>依据。</w:t>
      </w:r>
    </w:p>
    <w:p w14:paraId="03E474BB">
      <w:pPr>
        <w:pStyle w:val="88"/>
        <w:pageBreakBefore w:val="0"/>
        <w:kinsoku/>
        <w:wordWrap/>
        <w:overflowPunct/>
        <w:topLinePunct w:val="0"/>
        <w:autoSpaceDE/>
        <w:autoSpaceDN/>
        <w:bidi w:val="0"/>
        <w:adjustRightInd/>
        <w:snapToGrid/>
        <w:spacing w:before="0" w:beforeLines="0" w:line="450" w:lineRule="exact"/>
        <w:textAlignment w:val="auto"/>
        <w:rPr>
          <w:rFonts w:hint="eastAsia" w:ascii="宋体" w:hAnsi="宋体" w:eastAsia="宋体" w:cs="宋体"/>
          <w:b/>
          <w:bCs/>
          <w:color w:val="auto"/>
          <w:sz w:val="24"/>
          <w:szCs w:val="24"/>
        </w:rPr>
      </w:pPr>
      <w:bookmarkStart w:id="461" w:name="_Toc455080142"/>
      <w:bookmarkStart w:id="462" w:name="_Toc144974534"/>
      <w:bookmarkStart w:id="463" w:name="_Toc152045566"/>
      <w:bookmarkStart w:id="464" w:name="_Toc9522"/>
      <w:bookmarkStart w:id="465" w:name="_Toc152042342"/>
      <w:r>
        <w:rPr>
          <w:rFonts w:hint="eastAsia" w:ascii="宋体" w:hAnsi="宋体" w:eastAsia="宋体" w:cs="宋体"/>
          <w:b/>
          <w:bCs/>
          <w:color w:val="auto"/>
          <w:sz w:val="24"/>
          <w:szCs w:val="24"/>
        </w:rPr>
        <w:t>7. 合同授予</w:t>
      </w:r>
      <w:bookmarkEnd w:id="461"/>
      <w:bookmarkEnd w:id="462"/>
      <w:bookmarkEnd w:id="463"/>
      <w:bookmarkEnd w:id="464"/>
      <w:bookmarkEnd w:id="465"/>
    </w:p>
    <w:p w14:paraId="6C6F7322">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466" w:name="_Toc455080143"/>
      <w:bookmarkStart w:id="467" w:name="_Toc14528"/>
      <w:bookmarkStart w:id="468" w:name="_Toc20777"/>
      <w:bookmarkStart w:id="469" w:name="_Toc22461"/>
      <w:bookmarkStart w:id="470" w:name="_Toc11409"/>
      <w:bookmarkStart w:id="471" w:name="_Toc152042343"/>
      <w:bookmarkStart w:id="472" w:name="_Toc28919"/>
      <w:bookmarkStart w:id="473" w:name="_Toc490667863"/>
      <w:bookmarkStart w:id="474" w:name="_Toc318450710"/>
      <w:bookmarkStart w:id="475" w:name="_Toc17660"/>
      <w:bookmarkStart w:id="476" w:name="_Toc466298126"/>
      <w:bookmarkStart w:id="477" w:name="_Toc29664"/>
      <w:bookmarkStart w:id="478" w:name="_Toc25316"/>
      <w:bookmarkStart w:id="479" w:name="_Toc7358"/>
      <w:bookmarkStart w:id="480" w:name="_Toc152045567"/>
      <w:bookmarkStart w:id="481" w:name="_Toc29686"/>
      <w:bookmarkStart w:id="482" w:name="_Toc455867803"/>
      <w:bookmarkStart w:id="483" w:name="_Toc144974535"/>
      <w:r>
        <w:rPr>
          <w:rFonts w:hint="eastAsia" w:ascii="宋体" w:hAnsi="宋体" w:eastAsia="宋体" w:cs="宋体"/>
          <w:b/>
          <w:bCs/>
          <w:color w:val="auto"/>
          <w:sz w:val="24"/>
          <w:szCs w:val="24"/>
        </w:rPr>
        <w:t xml:space="preserve">7.1 </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Pr>
          <w:rFonts w:hint="eastAsia" w:ascii="宋体" w:hAnsi="宋体" w:eastAsia="宋体" w:cs="宋体"/>
          <w:b/>
          <w:bCs/>
          <w:color w:val="auto"/>
          <w:sz w:val="24"/>
          <w:szCs w:val="24"/>
          <w:lang w:val="en-US" w:eastAsia="zh-CN"/>
        </w:rPr>
        <w:t>确定成交</w:t>
      </w:r>
      <w:r>
        <w:rPr>
          <w:rFonts w:hint="eastAsia" w:ascii="宋体" w:hAnsi="宋体" w:eastAsia="宋体" w:cs="宋体"/>
          <w:b/>
          <w:bCs/>
          <w:color w:val="auto"/>
          <w:sz w:val="24"/>
          <w:szCs w:val="24"/>
        </w:rPr>
        <w:t>方式</w:t>
      </w:r>
    </w:p>
    <w:p w14:paraId="339722CE">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lang w:eastAsia="zh-CN"/>
        </w:rPr>
      </w:pPr>
      <w:bookmarkStart w:id="484" w:name="_Toc28254"/>
      <w:bookmarkStart w:id="485" w:name="_Toc7066"/>
      <w:bookmarkStart w:id="486" w:name="_Toc152042344"/>
      <w:bookmarkStart w:id="487" w:name="_Toc318450711"/>
      <w:bookmarkStart w:id="488" w:name="_Toc10868"/>
      <w:bookmarkStart w:id="489" w:name="_Toc144974536"/>
      <w:bookmarkStart w:id="490" w:name="_Toc152045568"/>
      <w:r>
        <w:rPr>
          <w:rFonts w:hint="eastAsia" w:ascii="宋体" w:hAnsi="宋体" w:eastAsia="宋体" w:cs="宋体"/>
          <w:color w:val="auto"/>
          <w:sz w:val="24"/>
          <w:szCs w:val="24"/>
        </w:rPr>
        <w:t>除供应商须知前附表规定磋商小组直接确定成交人外，采购人依据磋商小组推荐的成交候选人确定成交人，磋商小组推荐成交候选人的人数见供应商须知前附表。采购人将依序确定排名第一的供应商为成交人，若第一成交候选人放弃成交、因不可抗力不能履行合同，或者被查实存在影响成交结果的违法行为等情形，不符合成交条件的，采购人可以按照磋商小组提出的成交候选人名单排序依次确定其他成交候选人为成交人，也可以重新磋商。</w:t>
      </w:r>
    </w:p>
    <w:p w14:paraId="01B0D64C">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491" w:name="_Toc455867804"/>
      <w:bookmarkStart w:id="492" w:name="_Toc466298127"/>
      <w:bookmarkStart w:id="493" w:name="_Toc5668"/>
      <w:bookmarkStart w:id="494" w:name="_Toc28177"/>
      <w:bookmarkStart w:id="495" w:name="_Toc5428"/>
      <w:bookmarkStart w:id="496" w:name="_Toc9897"/>
      <w:bookmarkStart w:id="497" w:name="_Toc15825"/>
      <w:bookmarkStart w:id="498" w:name="_Toc9775"/>
      <w:bookmarkStart w:id="499" w:name="_Toc490667864"/>
      <w:bookmarkStart w:id="500" w:name="_Toc455080144"/>
      <w:bookmarkStart w:id="501" w:name="_Toc16163"/>
      <w:r>
        <w:rPr>
          <w:rFonts w:hint="eastAsia" w:ascii="宋体" w:hAnsi="宋体" w:eastAsia="宋体" w:cs="宋体"/>
          <w:b/>
          <w:bCs/>
          <w:color w:val="auto"/>
          <w:sz w:val="24"/>
          <w:szCs w:val="24"/>
        </w:rPr>
        <w:t>7.2 成交通知</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72FDEC9C">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采购代理机构应当在</w:t>
      </w:r>
      <w:r>
        <w:rPr>
          <w:rFonts w:hint="eastAsia" w:ascii="宋体" w:hAnsi="宋体" w:eastAsia="宋体" w:cs="宋体"/>
          <w:color w:val="auto"/>
          <w:sz w:val="24"/>
          <w:szCs w:val="24"/>
          <w:highlight w:val="none"/>
          <w:lang w:val="en-US" w:eastAsia="zh-CN"/>
        </w:rPr>
        <w:t>评审结束后2个工作日内</w:t>
      </w:r>
      <w:r>
        <w:rPr>
          <w:rFonts w:hint="eastAsia" w:ascii="宋体" w:hAnsi="宋体" w:eastAsia="宋体" w:cs="宋体"/>
          <w:color w:val="auto"/>
          <w:sz w:val="24"/>
          <w:szCs w:val="24"/>
          <w:lang w:val="en-US" w:eastAsia="zh-CN"/>
        </w:rPr>
        <w:t>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现压缩为评审结束当天确定评审结果</w:t>
      </w:r>
      <w:r>
        <w:rPr>
          <w:rFonts w:hint="eastAsia" w:ascii="宋体" w:hAnsi="宋体" w:eastAsia="宋体" w:cs="宋体"/>
          <w:color w:val="auto"/>
          <w:sz w:val="24"/>
          <w:szCs w:val="24"/>
          <w:lang w:eastAsia="zh-CN"/>
        </w:rPr>
        <w:t>）</w:t>
      </w:r>
    </w:p>
    <w:p w14:paraId="4C688FDE">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采购人应当在成交人确定后 2 个工作日内（现压缩为1个工作日内），在公告发布的同一媒介上公告成交结果，同时向成交供应商发出成交通知书，并将磋商文件随成交结果同时公告，公告期限1个工作日。竞争性磋商结果将在磋商公告发布的同一媒介上公示。</w:t>
      </w:r>
    </w:p>
    <w:p w14:paraId="15436E14">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成交通知书是合同文件的组成部分。</w:t>
      </w:r>
    </w:p>
    <w:p w14:paraId="6CEE8CD7">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在本章第3.</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款规定的磋商有效期内，采购人以书面形式</w:t>
      </w:r>
      <w:r>
        <w:rPr>
          <w:rFonts w:hint="eastAsia" w:ascii="宋体" w:hAnsi="宋体" w:eastAsia="宋体" w:cs="宋体"/>
          <w:bCs/>
          <w:color w:val="000000"/>
          <w:sz w:val="24"/>
          <w:szCs w:val="24"/>
          <w:lang w:eastAsia="zh-CN"/>
        </w:rPr>
        <w:t>或在线</w:t>
      </w:r>
      <w:r>
        <w:rPr>
          <w:rFonts w:hint="eastAsia" w:ascii="宋体" w:hAnsi="宋体" w:eastAsia="宋体" w:cs="宋体"/>
          <w:color w:val="auto"/>
          <w:sz w:val="24"/>
          <w:szCs w:val="24"/>
        </w:rPr>
        <w:t>向成交人发出成交通知书，同时将成交结果通知未成交的供应商。</w:t>
      </w:r>
      <w:r>
        <w:rPr>
          <w:rFonts w:hint="eastAsia" w:ascii="宋体" w:hAnsi="宋体" w:eastAsia="宋体" w:cs="宋体"/>
          <w:color w:val="auto"/>
          <w:sz w:val="24"/>
          <w:szCs w:val="24"/>
          <w:lang w:eastAsia="zh-CN"/>
        </w:rPr>
        <w:t>（</w:t>
      </w:r>
      <w:r>
        <w:rPr>
          <w:rFonts w:hint="eastAsia" w:ascii="宋体" w:hAnsi="宋体" w:eastAsia="宋体" w:cs="宋体"/>
          <w:kern w:val="0"/>
          <w:sz w:val="24"/>
          <w:lang w:val="en-US" w:eastAsia="zh-CN"/>
        </w:rPr>
        <w:t>结果公告发布当天发出成交通知书</w:t>
      </w:r>
      <w:r>
        <w:rPr>
          <w:rFonts w:hint="eastAsia" w:ascii="宋体" w:hAnsi="宋体" w:eastAsia="宋体" w:cs="宋体"/>
          <w:color w:val="auto"/>
          <w:sz w:val="24"/>
          <w:szCs w:val="24"/>
          <w:lang w:eastAsia="zh-CN"/>
        </w:rPr>
        <w:t>）</w:t>
      </w:r>
    </w:p>
    <w:p w14:paraId="05A3A65A">
      <w:pPr>
        <w:pageBreakBefore w:val="0"/>
        <w:kinsoku/>
        <w:wordWrap/>
        <w:overflowPunct/>
        <w:topLinePunct w:val="0"/>
        <w:autoSpaceDE/>
        <w:autoSpaceDN/>
        <w:bidi w:val="0"/>
        <w:adjustRightInd/>
        <w:snapToGrid/>
        <w:spacing w:line="450" w:lineRule="exac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7.3 履约保证金</w:t>
      </w:r>
    </w:p>
    <w:p w14:paraId="1440D1EF">
      <w:pPr>
        <w:pageBreakBefore w:val="0"/>
        <w:kinsoku/>
        <w:wordWrap/>
        <w:overflowPunct/>
        <w:topLinePunct w:val="0"/>
        <w:autoSpaceDE/>
        <w:autoSpaceDN/>
        <w:bidi w:val="0"/>
        <w:adjustRightInd/>
        <w:snapToGrid/>
        <w:spacing w:line="450" w:lineRule="exact"/>
        <w:ind w:left="0" w:leftChars="0" w:firstLine="482" w:firstLineChars="200"/>
        <w:textAlignment w:val="auto"/>
        <w:rPr>
          <w:rFonts w:hint="eastAsia" w:ascii="宋体" w:hAnsi="宋体" w:eastAsia="宋体" w:cs="宋体"/>
          <w:b/>
          <w:bCs/>
          <w:color w:val="auto"/>
          <w:sz w:val="24"/>
          <w:szCs w:val="24"/>
          <w:lang w:val="en-US" w:eastAsia="zh-CN"/>
        </w:rPr>
      </w:pPr>
      <w:bookmarkStart w:id="502" w:name="_Toc152042346"/>
      <w:bookmarkStart w:id="503" w:name="_Toc15458"/>
      <w:bookmarkStart w:id="504" w:name="_Toc10082"/>
      <w:bookmarkStart w:id="505" w:name="_Toc24026"/>
      <w:bookmarkStart w:id="506" w:name="_Toc21271"/>
      <w:bookmarkStart w:id="507" w:name="_Toc144974538"/>
      <w:bookmarkStart w:id="508" w:name="_Toc455080145"/>
      <w:bookmarkStart w:id="509" w:name="_Toc13147"/>
      <w:bookmarkStart w:id="510" w:name="_Toc26655"/>
      <w:bookmarkStart w:id="511" w:name="_Toc8886"/>
      <w:bookmarkStart w:id="512" w:name="_Toc12663"/>
      <w:bookmarkStart w:id="513" w:name="_Toc490667865"/>
      <w:bookmarkStart w:id="514" w:name="_Toc26760"/>
      <w:bookmarkStart w:id="515" w:name="_Toc455867805"/>
      <w:bookmarkStart w:id="516" w:name="_Toc152045570"/>
      <w:bookmarkStart w:id="517" w:name="_Toc318450712"/>
      <w:bookmarkStart w:id="518" w:name="_Toc26915"/>
      <w:bookmarkStart w:id="519" w:name="_Toc466298128"/>
      <w:r>
        <w:rPr>
          <w:rFonts w:hint="eastAsia" w:ascii="宋体" w:hAnsi="宋体" w:eastAsia="宋体" w:cs="宋体"/>
          <w:b/>
          <w:bCs/>
          <w:color w:val="auto"/>
          <w:sz w:val="24"/>
          <w:szCs w:val="24"/>
          <w:lang w:val="en-US" w:eastAsia="zh-CN"/>
        </w:rPr>
        <w:t>免收履约保证金</w:t>
      </w:r>
    </w:p>
    <w:p w14:paraId="6FFAA36B">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r>
        <w:rPr>
          <w:rFonts w:hint="eastAsia" w:ascii="宋体" w:hAnsi="宋体" w:eastAsia="宋体" w:cs="宋体"/>
          <w:b/>
          <w:bCs/>
          <w:color w:val="auto"/>
          <w:sz w:val="24"/>
          <w:szCs w:val="24"/>
        </w:rPr>
        <w:t>7.</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 xml:space="preserve"> 签订合同</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278B78E5">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.1</w:t>
      </w:r>
      <w:r>
        <w:rPr>
          <w:rFonts w:hint="eastAsia" w:ascii="宋体" w:hAnsi="宋体" w:eastAsia="宋体" w:cs="宋体"/>
          <w:bCs/>
          <w:color w:val="auto"/>
          <w:sz w:val="24"/>
          <w:szCs w:val="24"/>
          <w:lang w:eastAsia="zh-CN"/>
        </w:rPr>
        <w:t>采购人</w:t>
      </w:r>
      <w:r>
        <w:rPr>
          <w:rFonts w:hint="eastAsia" w:ascii="宋体" w:hAnsi="宋体" w:eastAsia="宋体" w:cs="宋体"/>
          <w:bCs/>
          <w:color w:val="auto"/>
          <w:sz w:val="24"/>
          <w:szCs w:val="24"/>
        </w:rPr>
        <w:t>和</w:t>
      </w:r>
      <w:r>
        <w:rPr>
          <w:rFonts w:hint="eastAsia" w:ascii="宋体" w:hAnsi="宋体" w:eastAsia="宋体" w:cs="宋体"/>
          <w:bCs/>
          <w:color w:val="auto"/>
          <w:sz w:val="24"/>
          <w:szCs w:val="24"/>
          <w:lang w:val="en-US" w:eastAsia="zh-CN"/>
        </w:rPr>
        <w:t>成交</w:t>
      </w:r>
      <w:r>
        <w:rPr>
          <w:rFonts w:hint="eastAsia" w:ascii="宋体" w:hAnsi="宋体" w:eastAsia="宋体" w:cs="宋体"/>
          <w:bCs/>
          <w:color w:val="auto"/>
          <w:sz w:val="24"/>
          <w:szCs w:val="24"/>
        </w:rPr>
        <w:t>人应当自</w:t>
      </w:r>
      <w:r>
        <w:rPr>
          <w:rFonts w:hint="eastAsia" w:ascii="宋体" w:hAnsi="宋体" w:eastAsia="宋体" w:cs="宋体"/>
          <w:bCs/>
          <w:color w:val="auto"/>
          <w:sz w:val="24"/>
          <w:szCs w:val="24"/>
          <w:lang w:val="en-US" w:eastAsia="zh-CN"/>
        </w:rPr>
        <w:t>成交</w:t>
      </w:r>
      <w:r>
        <w:rPr>
          <w:rFonts w:hint="eastAsia" w:ascii="宋体" w:hAnsi="宋体" w:eastAsia="宋体" w:cs="宋体"/>
          <w:bCs/>
          <w:color w:val="auto"/>
          <w:sz w:val="24"/>
          <w:szCs w:val="24"/>
        </w:rPr>
        <w:t>通知书发出之日起</w:t>
      </w:r>
      <w:r>
        <w:rPr>
          <w:rFonts w:hint="eastAsia" w:ascii="宋体" w:hAnsi="宋体" w:eastAsia="宋体" w:cs="宋体"/>
          <w:bCs/>
          <w:color w:val="auto"/>
          <w:sz w:val="24"/>
          <w:szCs w:val="24"/>
          <w:lang w:val="en-US" w:eastAsia="zh-CN"/>
        </w:rPr>
        <w:t>30日</w:t>
      </w:r>
      <w:r>
        <w:rPr>
          <w:rFonts w:hint="eastAsia" w:ascii="宋体" w:hAnsi="宋体" w:eastAsia="宋体" w:cs="宋体"/>
          <w:bCs/>
          <w:color w:val="auto"/>
          <w:sz w:val="24"/>
          <w:szCs w:val="24"/>
        </w:rPr>
        <w:t>内</w:t>
      </w:r>
      <w:r>
        <w:rPr>
          <w:rFonts w:hint="eastAsia" w:ascii="宋体" w:hAnsi="宋体" w:eastAsia="宋体" w:cs="宋体"/>
          <w:bCs/>
          <w:color w:val="000000"/>
          <w:sz w:val="24"/>
          <w:szCs w:val="24"/>
          <w:lang w:eastAsia="zh-CN"/>
        </w:rPr>
        <w:t>（</w:t>
      </w:r>
      <w:r>
        <w:rPr>
          <w:rFonts w:hint="eastAsia" w:ascii="宋体" w:hAnsi="宋体" w:eastAsia="宋体" w:cs="宋体"/>
          <w:bCs/>
          <w:color w:val="000000"/>
          <w:sz w:val="24"/>
          <w:szCs w:val="24"/>
          <w:lang w:val="en-US" w:eastAsia="zh-CN"/>
        </w:rPr>
        <w:t>现压缩为成交通知书发出之日起1个工作日内签订合同</w:t>
      </w:r>
      <w:r>
        <w:rPr>
          <w:rFonts w:hint="eastAsia" w:ascii="宋体" w:hAnsi="宋体" w:eastAsia="宋体" w:cs="宋体"/>
          <w:bCs/>
          <w:color w:val="000000"/>
          <w:sz w:val="24"/>
          <w:szCs w:val="24"/>
          <w:lang w:eastAsia="zh-CN"/>
        </w:rPr>
        <w:t>）</w:t>
      </w:r>
      <w:r>
        <w:rPr>
          <w:rFonts w:hint="eastAsia" w:ascii="宋体" w:hAnsi="宋体" w:eastAsia="宋体" w:cs="宋体"/>
          <w:bCs/>
          <w:color w:val="auto"/>
          <w:sz w:val="24"/>
          <w:szCs w:val="24"/>
        </w:rPr>
        <w:t>，根据</w:t>
      </w:r>
      <w:r>
        <w:rPr>
          <w:rFonts w:hint="eastAsia" w:ascii="宋体" w:hAnsi="宋体" w:eastAsia="宋体" w:cs="宋体"/>
          <w:bCs/>
          <w:color w:val="auto"/>
          <w:sz w:val="24"/>
          <w:szCs w:val="24"/>
          <w:lang w:val="en-US" w:eastAsia="zh-CN"/>
        </w:rPr>
        <w:t>采购</w:t>
      </w:r>
      <w:r>
        <w:rPr>
          <w:rFonts w:hint="eastAsia" w:ascii="宋体" w:hAnsi="宋体" w:eastAsia="宋体" w:cs="宋体"/>
          <w:bCs/>
          <w:color w:val="auto"/>
          <w:sz w:val="24"/>
          <w:szCs w:val="24"/>
        </w:rPr>
        <w:t>文件和</w:t>
      </w:r>
      <w:r>
        <w:rPr>
          <w:rFonts w:hint="eastAsia" w:ascii="宋体" w:hAnsi="宋体" w:eastAsia="宋体" w:cs="宋体"/>
          <w:bCs/>
          <w:color w:val="auto"/>
          <w:sz w:val="24"/>
          <w:szCs w:val="24"/>
          <w:lang w:val="en-US" w:eastAsia="zh-CN"/>
        </w:rPr>
        <w:t>成交</w:t>
      </w:r>
      <w:r>
        <w:rPr>
          <w:rFonts w:hint="eastAsia" w:ascii="宋体" w:hAnsi="宋体" w:eastAsia="宋体" w:cs="宋体"/>
          <w:bCs/>
          <w:color w:val="auto"/>
          <w:sz w:val="24"/>
          <w:szCs w:val="24"/>
        </w:rPr>
        <w:t>人的</w:t>
      </w:r>
      <w:r>
        <w:rPr>
          <w:rFonts w:hint="eastAsia" w:ascii="宋体" w:hAnsi="宋体" w:eastAsia="宋体" w:cs="宋体"/>
          <w:bCs/>
          <w:color w:val="auto"/>
          <w:sz w:val="24"/>
          <w:szCs w:val="24"/>
          <w:lang w:val="en-US" w:eastAsia="zh-CN"/>
        </w:rPr>
        <w:t>响应</w:t>
      </w:r>
      <w:r>
        <w:rPr>
          <w:rFonts w:hint="eastAsia" w:ascii="宋体" w:hAnsi="宋体" w:eastAsia="宋体" w:cs="宋体"/>
          <w:bCs/>
          <w:color w:val="auto"/>
          <w:sz w:val="24"/>
          <w:szCs w:val="24"/>
        </w:rPr>
        <w:t>文件订立书面合同。</w:t>
      </w:r>
      <w:r>
        <w:rPr>
          <w:rFonts w:hint="eastAsia" w:ascii="宋体" w:hAnsi="宋体" w:eastAsia="宋体" w:cs="宋体"/>
          <w:color w:val="auto"/>
          <w:sz w:val="24"/>
          <w:szCs w:val="24"/>
        </w:rPr>
        <w:t>成交人无正当理由拒签合同的，采购人取消其成交资格</w:t>
      </w:r>
      <w:r>
        <w:rPr>
          <w:rFonts w:hint="eastAsia" w:ascii="宋体" w:hAnsi="宋体" w:eastAsia="宋体" w:cs="宋体"/>
          <w:color w:val="auto"/>
          <w:sz w:val="24"/>
          <w:szCs w:val="24"/>
          <w:lang w:eastAsia="zh-CN"/>
        </w:rPr>
        <w:t>，</w:t>
      </w:r>
      <w:r>
        <w:rPr>
          <w:rFonts w:hint="eastAsia" w:ascii="宋体" w:hAnsi="宋体" w:eastAsia="宋体" w:cs="宋体"/>
          <w:bCs/>
          <w:color w:val="000000"/>
          <w:sz w:val="24"/>
          <w:szCs w:val="24"/>
          <w:lang w:eastAsia="zh-CN"/>
        </w:rPr>
        <w:t>采购人可</w:t>
      </w:r>
      <w:r>
        <w:rPr>
          <w:rFonts w:hint="eastAsia" w:ascii="宋体" w:hAnsi="宋体" w:eastAsia="宋体" w:cs="宋体"/>
          <w:bCs/>
          <w:color w:val="000000"/>
          <w:sz w:val="24"/>
          <w:szCs w:val="24"/>
          <w:lang w:val="en-US" w:eastAsia="zh-CN"/>
        </w:rPr>
        <w:t>按照评审报告提出的成交候选供应商由高到低的原则确定</w:t>
      </w:r>
      <w:r>
        <w:rPr>
          <w:rFonts w:hint="eastAsia" w:ascii="宋体" w:hAnsi="宋体" w:eastAsia="宋体" w:cs="宋体"/>
          <w:bCs/>
          <w:color w:val="000000"/>
          <w:sz w:val="24"/>
          <w:szCs w:val="24"/>
          <w:lang w:eastAsia="zh-CN"/>
        </w:rPr>
        <w:t>下一个</w:t>
      </w:r>
      <w:r>
        <w:rPr>
          <w:rFonts w:hint="eastAsia" w:ascii="宋体" w:hAnsi="宋体" w:eastAsia="宋体" w:cs="宋体"/>
          <w:bCs/>
          <w:color w:val="000000"/>
          <w:sz w:val="24"/>
          <w:szCs w:val="24"/>
          <w:lang w:val="en-US" w:eastAsia="zh-CN"/>
        </w:rPr>
        <w:t>评审</w:t>
      </w:r>
      <w:r>
        <w:rPr>
          <w:rFonts w:hint="eastAsia" w:ascii="宋体" w:hAnsi="宋体" w:eastAsia="宋体" w:cs="宋体"/>
          <w:bCs/>
          <w:color w:val="000000"/>
          <w:sz w:val="24"/>
          <w:szCs w:val="24"/>
          <w:lang w:eastAsia="zh-CN"/>
        </w:rPr>
        <w:t>得分高的</w:t>
      </w:r>
      <w:r>
        <w:rPr>
          <w:rFonts w:hint="eastAsia" w:ascii="宋体" w:hAnsi="宋体" w:eastAsia="宋体" w:cs="宋体"/>
          <w:bCs/>
          <w:color w:val="000000"/>
          <w:sz w:val="24"/>
          <w:szCs w:val="24"/>
          <w:lang w:val="en-US" w:eastAsia="zh-CN"/>
        </w:rPr>
        <w:t>成交候选供应商作为成交供应商并签订政府采购合同</w:t>
      </w:r>
      <w:r>
        <w:rPr>
          <w:rFonts w:hint="eastAsia" w:ascii="宋体" w:hAnsi="宋体" w:eastAsia="宋体" w:cs="宋体"/>
          <w:bCs/>
          <w:color w:val="000000"/>
          <w:sz w:val="24"/>
          <w:szCs w:val="24"/>
          <w:lang w:eastAsia="zh-CN"/>
        </w:rPr>
        <w:t>或重新</w:t>
      </w:r>
      <w:r>
        <w:rPr>
          <w:rFonts w:hint="eastAsia" w:ascii="宋体" w:hAnsi="宋体" w:eastAsia="宋体" w:cs="宋体"/>
          <w:bCs/>
          <w:color w:val="000000"/>
          <w:sz w:val="24"/>
          <w:szCs w:val="24"/>
          <w:lang w:val="en-US" w:eastAsia="zh-CN"/>
        </w:rPr>
        <w:t>开展采购活动</w:t>
      </w:r>
      <w:r>
        <w:rPr>
          <w:rFonts w:hint="eastAsia" w:ascii="宋体" w:hAnsi="宋体" w:eastAsia="宋体" w:cs="宋体"/>
          <w:bCs/>
          <w:color w:val="000000"/>
          <w:sz w:val="24"/>
          <w:szCs w:val="24"/>
          <w:lang w:eastAsia="zh-CN"/>
        </w:rPr>
        <w:t>。</w:t>
      </w:r>
      <w:r>
        <w:rPr>
          <w:rFonts w:hint="eastAsia" w:ascii="宋体" w:hAnsi="宋体" w:eastAsia="宋体" w:cs="宋体"/>
          <w:bCs/>
          <w:color w:val="000000"/>
          <w:sz w:val="24"/>
          <w:szCs w:val="24"/>
          <w:lang w:val="en-US" w:eastAsia="zh-CN"/>
        </w:rPr>
        <w:t>拒绝签订政府采购合同的成交供应商不得参加对该项目重新开展的采购活动。</w:t>
      </w:r>
      <w:r>
        <w:rPr>
          <w:rFonts w:hint="eastAsia" w:ascii="宋体" w:hAnsi="宋体" w:eastAsia="宋体" w:cs="宋体"/>
          <w:color w:val="auto"/>
          <w:sz w:val="24"/>
          <w:szCs w:val="24"/>
        </w:rPr>
        <w:t>给采购人</w:t>
      </w:r>
      <w:r>
        <w:rPr>
          <w:rFonts w:hint="eastAsia" w:ascii="宋体" w:hAnsi="宋体" w:cs="宋体"/>
          <w:color w:val="auto"/>
          <w:sz w:val="24"/>
          <w:szCs w:val="24"/>
          <w:lang w:eastAsia="zh-CN"/>
        </w:rPr>
        <w:t>造成</w:t>
      </w:r>
      <w:r>
        <w:rPr>
          <w:rFonts w:hint="eastAsia" w:ascii="宋体" w:hAnsi="宋体" w:eastAsia="宋体" w:cs="宋体"/>
          <w:color w:val="auto"/>
          <w:sz w:val="24"/>
          <w:szCs w:val="24"/>
        </w:rPr>
        <w:t xml:space="preserve">损失的，成交人还应当予以赔偿。 </w:t>
      </w:r>
    </w:p>
    <w:p w14:paraId="55397E03">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.2 发出成交通知书后，采购人无正当理由拒签合同的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给成交人造成损失的，还应当赔偿损失。 </w:t>
      </w:r>
    </w:p>
    <w:p w14:paraId="4A1238B1">
      <w:pPr>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
          <w:bCs/>
          <w:color w:val="auto"/>
          <w:sz w:val="24"/>
          <w:szCs w:val="24"/>
        </w:rPr>
      </w:pPr>
      <w:bookmarkStart w:id="520" w:name="_Toc455080146"/>
      <w:bookmarkStart w:id="521" w:name="_Toc16866"/>
      <w:r>
        <w:rPr>
          <w:rFonts w:hint="eastAsia" w:ascii="宋体" w:hAnsi="宋体" w:eastAsia="宋体" w:cs="宋体"/>
          <w:sz w:val="24"/>
          <w:szCs w:val="32"/>
          <w:lang w:val="en-US" w:eastAsia="zh-CN"/>
        </w:rPr>
        <w:t>7.4.3</w:t>
      </w:r>
      <w:r>
        <w:rPr>
          <w:rFonts w:hint="eastAsia" w:ascii="宋体" w:hAnsi="宋体" w:eastAsia="宋体" w:cs="宋体"/>
          <w:sz w:val="24"/>
          <w:szCs w:val="32"/>
        </w:rPr>
        <w:t>依据《中华人民共和国政府采购法实施条例》第五十条规定，采购人应当自政府采购合同签订之日起2个工作日内</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压缩为签订合同后1个工作日内进行合同备案</w:t>
      </w:r>
      <w:r>
        <w:rPr>
          <w:rFonts w:hint="eastAsia" w:ascii="宋体" w:hAnsi="宋体" w:eastAsia="宋体" w:cs="宋体"/>
          <w:sz w:val="24"/>
          <w:szCs w:val="32"/>
          <w:lang w:eastAsia="zh-CN"/>
        </w:rPr>
        <w:t>）</w:t>
      </w:r>
      <w:r>
        <w:rPr>
          <w:rFonts w:hint="eastAsia" w:ascii="宋体" w:hAnsi="宋体" w:eastAsia="宋体" w:cs="宋体"/>
          <w:sz w:val="24"/>
          <w:szCs w:val="32"/>
        </w:rPr>
        <w:t>，将政府采购合同在省级以上人民政府财务部门指定的媒体上公告，但政府采购合同中涉及国家秘密、商业秘密的内容除外。</w:t>
      </w:r>
    </w:p>
    <w:p w14:paraId="1FF074E3">
      <w:pPr>
        <w:pStyle w:val="88"/>
        <w:pageBreakBefore w:val="0"/>
        <w:kinsoku/>
        <w:wordWrap/>
        <w:overflowPunct/>
        <w:topLinePunct w:val="0"/>
        <w:autoSpaceDE/>
        <w:autoSpaceDN/>
        <w:bidi w:val="0"/>
        <w:adjustRightInd/>
        <w:snapToGrid/>
        <w:spacing w:before="0" w:beforeLines="0" w:line="45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8.</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重新</w:t>
      </w:r>
      <w:r>
        <w:rPr>
          <w:rFonts w:hint="eastAsia" w:ascii="宋体" w:hAnsi="宋体" w:eastAsia="宋体" w:cs="宋体"/>
          <w:b/>
          <w:bCs/>
          <w:color w:val="auto"/>
          <w:sz w:val="24"/>
          <w:szCs w:val="24"/>
          <w:lang w:val="en-US" w:eastAsia="zh-CN"/>
        </w:rPr>
        <w:t>采购</w:t>
      </w:r>
      <w:bookmarkEnd w:id="520"/>
      <w:bookmarkEnd w:id="521"/>
    </w:p>
    <w:p w14:paraId="73077C35">
      <w:pPr>
        <w:pageBreakBefore w:val="0"/>
        <w:kinsoku/>
        <w:wordWrap/>
        <w:overflowPunct/>
        <w:topLinePunct w:val="0"/>
        <w:autoSpaceDE/>
        <w:autoSpaceDN/>
        <w:bidi w:val="0"/>
        <w:adjustRightInd/>
        <w:snapToGrid/>
        <w:spacing w:line="450" w:lineRule="exact"/>
        <w:textAlignment w:val="auto"/>
        <w:rPr>
          <w:rFonts w:hint="eastAsia" w:ascii="宋体" w:hAnsi="宋体" w:eastAsia="宋体" w:cs="宋体"/>
          <w:color w:val="auto"/>
          <w:sz w:val="24"/>
          <w:szCs w:val="24"/>
        </w:rPr>
      </w:pPr>
      <w:bookmarkStart w:id="522" w:name="_Toc16556"/>
      <w:r>
        <w:rPr>
          <w:rFonts w:hint="eastAsia" w:ascii="宋体" w:hAnsi="宋体" w:eastAsia="宋体" w:cs="宋体"/>
          <w:b/>
          <w:bCs/>
          <w:color w:val="auto"/>
          <w:sz w:val="24"/>
          <w:szCs w:val="24"/>
        </w:rPr>
        <w:t>8.1 重新</w:t>
      </w:r>
      <w:bookmarkEnd w:id="522"/>
      <w:r>
        <w:rPr>
          <w:rFonts w:hint="eastAsia" w:ascii="宋体" w:hAnsi="宋体" w:eastAsia="宋体" w:cs="宋体"/>
          <w:b/>
          <w:bCs/>
          <w:color w:val="auto"/>
          <w:sz w:val="24"/>
          <w:szCs w:val="24"/>
          <w:lang w:val="en-US" w:eastAsia="zh-CN"/>
        </w:rPr>
        <w:t>采购</w:t>
      </w:r>
    </w:p>
    <w:p w14:paraId="52472CF1">
      <w:pPr>
        <w:pageBreakBefore w:val="0"/>
        <w:kinsoku/>
        <w:wordWrap/>
        <w:overflowPunct/>
        <w:topLinePunct w:val="0"/>
        <w:autoSpaceDE/>
        <w:autoSpaceDN/>
        <w:bidi w:val="0"/>
        <w:adjustRightInd/>
        <w:snapToGrid/>
        <w:spacing w:line="450" w:lineRule="exact"/>
        <w:ind w:firstLine="480"/>
        <w:textAlignment w:val="auto"/>
        <w:rPr>
          <w:rFonts w:hint="eastAsia" w:ascii="宋体" w:hAnsi="宋体" w:eastAsia="宋体" w:cs="宋体"/>
          <w:color w:val="auto"/>
          <w:sz w:val="24"/>
          <w:szCs w:val="24"/>
        </w:rPr>
      </w:pPr>
      <w:bookmarkStart w:id="523" w:name="_Toc9985"/>
      <w:r>
        <w:rPr>
          <w:rFonts w:hint="eastAsia" w:ascii="宋体" w:hAnsi="宋体" w:eastAsia="宋体" w:cs="宋体"/>
          <w:color w:val="auto"/>
          <w:sz w:val="24"/>
          <w:szCs w:val="24"/>
        </w:rPr>
        <w:t>有下列情形之一的，采购人将重新</w:t>
      </w:r>
      <w:r>
        <w:rPr>
          <w:rFonts w:hint="eastAsia" w:ascii="宋体" w:hAnsi="宋体" w:eastAsia="宋体" w:cs="宋体"/>
          <w:color w:val="auto"/>
          <w:sz w:val="24"/>
          <w:szCs w:val="24"/>
          <w:lang w:val="en-US" w:eastAsia="zh-CN"/>
        </w:rPr>
        <w:t>采购</w:t>
      </w:r>
      <w:r>
        <w:rPr>
          <w:rFonts w:hint="eastAsia" w:ascii="宋体" w:hAnsi="宋体" w:eastAsia="宋体" w:cs="宋体"/>
          <w:color w:val="auto"/>
          <w:sz w:val="24"/>
          <w:szCs w:val="24"/>
        </w:rPr>
        <w:t>：</w:t>
      </w:r>
      <w:bookmarkEnd w:id="523"/>
    </w:p>
    <w:p w14:paraId="52FD1C09">
      <w:pPr>
        <w:pageBreakBefore w:val="0"/>
        <w:kinsoku/>
        <w:wordWrap/>
        <w:overflowPunct/>
        <w:topLinePunct w:val="0"/>
        <w:autoSpaceDE/>
        <w:autoSpaceDN/>
        <w:bidi w:val="0"/>
        <w:adjustRightInd/>
        <w:snapToGrid/>
        <w:spacing w:line="450" w:lineRule="exact"/>
        <w:textAlignment w:val="auto"/>
        <w:rPr>
          <w:rFonts w:hint="eastAsia" w:ascii="宋体" w:hAnsi="宋体" w:eastAsia="宋体" w:cs="宋体"/>
          <w:color w:val="auto"/>
          <w:sz w:val="24"/>
          <w:szCs w:val="24"/>
        </w:rPr>
      </w:pPr>
      <w:bookmarkStart w:id="524" w:name="_Toc25063"/>
      <w:r>
        <w:rPr>
          <w:rFonts w:hint="eastAsia" w:ascii="宋体" w:hAnsi="宋体" w:eastAsia="宋体" w:cs="宋体"/>
          <w:color w:val="auto"/>
          <w:sz w:val="24"/>
          <w:szCs w:val="24"/>
        </w:rPr>
        <w:t xml:space="preserve">   （1）提交响应文件截止时间止，供应商少于</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个的；</w:t>
      </w:r>
      <w:bookmarkEnd w:id="524"/>
      <w:r>
        <w:rPr>
          <w:rFonts w:hint="eastAsia" w:ascii="宋体" w:hAnsi="宋体" w:eastAsia="宋体" w:cs="宋体"/>
          <w:color w:val="auto"/>
          <w:sz w:val="24"/>
          <w:szCs w:val="24"/>
        </w:rPr>
        <w:t xml:space="preserve"> </w:t>
      </w:r>
    </w:p>
    <w:p w14:paraId="12619E1B">
      <w:pPr>
        <w:pageBreakBefore w:val="0"/>
        <w:kinsoku/>
        <w:wordWrap/>
        <w:overflowPunct/>
        <w:topLinePunct w:val="0"/>
        <w:autoSpaceDE/>
        <w:autoSpaceDN/>
        <w:bidi w:val="0"/>
        <w:adjustRightInd/>
        <w:snapToGrid/>
        <w:spacing w:line="45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bookmarkStart w:id="525" w:name="_Toc17911"/>
      <w:r>
        <w:rPr>
          <w:rFonts w:hint="eastAsia" w:ascii="宋体" w:hAnsi="宋体" w:eastAsia="宋体" w:cs="宋体"/>
          <w:color w:val="auto"/>
          <w:sz w:val="24"/>
          <w:szCs w:val="24"/>
        </w:rPr>
        <w:t>（2）经磋商小组评审后否决所有响应文件的。</w:t>
      </w:r>
      <w:bookmarkEnd w:id="525"/>
    </w:p>
    <w:p w14:paraId="4B3C4329">
      <w:pPr>
        <w:pageBreakBefore w:val="0"/>
        <w:kinsoku/>
        <w:wordWrap/>
        <w:overflowPunct/>
        <w:topLinePunct w:val="0"/>
        <w:autoSpaceDE/>
        <w:autoSpaceDN/>
        <w:bidi w:val="0"/>
        <w:adjustRightInd/>
        <w:snapToGrid/>
        <w:spacing w:line="450" w:lineRule="exac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备注：就《财政部关于印发&lt;政府采购竞争性磋商采购方式管理暂行办法&gt;的通知》（财库〔2014〕214号）有关问题补充通知：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536F7EBE">
      <w:pPr>
        <w:pStyle w:val="88"/>
        <w:pageBreakBefore w:val="0"/>
        <w:kinsoku/>
        <w:wordWrap/>
        <w:overflowPunct/>
        <w:topLinePunct w:val="0"/>
        <w:autoSpaceDE/>
        <w:autoSpaceDN/>
        <w:bidi w:val="0"/>
        <w:adjustRightInd/>
        <w:snapToGrid/>
        <w:spacing w:before="0" w:beforeLines="0" w:line="450" w:lineRule="exact"/>
        <w:textAlignment w:val="auto"/>
        <w:rPr>
          <w:rFonts w:hint="eastAsia" w:ascii="宋体" w:hAnsi="宋体" w:eastAsia="宋体" w:cs="宋体"/>
          <w:b/>
          <w:bCs/>
          <w:color w:val="auto"/>
          <w:sz w:val="24"/>
          <w:szCs w:val="24"/>
        </w:rPr>
      </w:pPr>
      <w:bookmarkStart w:id="526" w:name="_Toc455080147"/>
      <w:bookmarkStart w:id="527" w:name="_Toc9996"/>
      <w:r>
        <w:rPr>
          <w:rFonts w:hint="eastAsia" w:ascii="宋体" w:hAnsi="宋体" w:eastAsia="宋体" w:cs="宋体"/>
          <w:b/>
          <w:bCs/>
          <w:color w:val="auto"/>
          <w:sz w:val="24"/>
          <w:szCs w:val="24"/>
        </w:rPr>
        <w:t>9.</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纪律和监督</w:t>
      </w:r>
      <w:bookmarkEnd w:id="526"/>
      <w:bookmarkEnd w:id="527"/>
    </w:p>
    <w:p w14:paraId="712D5EE9">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528" w:name="_Toc15592"/>
      <w:bookmarkStart w:id="529" w:name="_Toc15769"/>
      <w:bookmarkStart w:id="530" w:name="_Toc490667868"/>
      <w:bookmarkStart w:id="531" w:name="_Toc455867808"/>
      <w:bookmarkStart w:id="532" w:name="_Toc144974543"/>
      <w:bookmarkStart w:id="533" w:name="_Toc697"/>
      <w:bookmarkStart w:id="534" w:name="_Toc152042351"/>
      <w:bookmarkStart w:id="535" w:name="_Toc13970"/>
      <w:bookmarkStart w:id="536" w:name="_Toc1282"/>
      <w:bookmarkStart w:id="537" w:name="_Toc269"/>
      <w:bookmarkStart w:id="538" w:name="_Toc12992"/>
      <w:bookmarkStart w:id="539" w:name="_Toc455080148"/>
      <w:bookmarkStart w:id="540" w:name="_Toc466298131"/>
      <w:bookmarkStart w:id="541" w:name="_Toc20009"/>
      <w:bookmarkStart w:id="542" w:name="_Toc152045575"/>
      <w:bookmarkStart w:id="543" w:name="_Toc27836"/>
      <w:bookmarkStart w:id="544" w:name="_Toc19159"/>
      <w:bookmarkStart w:id="545" w:name="_Toc318450714"/>
      <w:r>
        <w:rPr>
          <w:rFonts w:hint="eastAsia" w:ascii="宋体" w:hAnsi="宋体" w:eastAsia="宋体" w:cs="宋体"/>
          <w:b/>
          <w:bCs/>
          <w:color w:val="auto"/>
          <w:sz w:val="24"/>
          <w:szCs w:val="24"/>
        </w:rPr>
        <w:t>9.1 对</w:t>
      </w:r>
      <w:r>
        <w:rPr>
          <w:rFonts w:hint="eastAsia" w:ascii="宋体" w:hAnsi="宋体" w:eastAsia="宋体" w:cs="宋体"/>
          <w:b/>
          <w:bCs/>
          <w:color w:val="auto"/>
          <w:sz w:val="24"/>
          <w:szCs w:val="24"/>
          <w:lang w:eastAsia="zh-CN"/>
        </w:rPr>
        <w:t>采购人</w:t>
      </w:r>
      <w:r>
        <w:rPr>
          <w:rFonts w:hint="eastAsia" w:ascii="宋体" w:hAnsi="宋体" w:eastAsia="宋体" w:cs="宋体"/>
          <w:b/>
          <w:bCs/>
          <w:color w:val="auto"/>
          <w:sz w:val="24"/>
          <w:szCs w:val="24"/>
        </w:rPr>
        <w:t>的纪律要求</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21B4B606">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w:t>
      </w:r>
      <w:r>
        <w:rPr>
          <w:rFonts w:hint="eastAsia" w:ascii="宋体" w:hAnsi="宋体" w:cs="宋体"/>
          <w:color w:val="auto"/>
          <w:sz w:val="24"/>
          <w:szCs w:val="24"/>
          <w:lang w:eastAsia="zh-CN"/>
        </w:rPr>
        <w:t>不得泄露</w:t>
      </w:r>
      <w:r>
        <w:rPr>
          <w:rFonts w:hint="eastAsia" w:ascii="宋体" w:hAnsi="宋体" w:eastAsia="宋体" w:cs="宋体"/>
          <w:color w:val="auto"/>
          <w:sz w:val="24"/>
          <w:szCs w:val="24"/>
        </w:rPr>
        <w:t>磋商活动中应当保密的情况和资料，不得与供应商串通损害国家利益、社会公共利益或者他人合法权益。</w:t>
      </w:r>
    </w:p>
    <w:p w14:paraId="3B81EA31">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color w:val="auto"/>
          <w:sz w:val="24"/>
          <w:szCs w:val="24"/>
        </w:rPr>
      </w:pPr>
      <w:bookmarkStart w:id="546" w:name="_Toc17040"/>
      <w:bookmarkStart w:id="547" w:name="_Toc455080149"/>
      <w:bookmarkStart w:id="548" w:name="_Toc19167"/>
      <w:bookmarkStart w:id="549" w:name="_Toc18204"/>
      <w:bookmarkStart w:id="550" w:name="_Toc18604"/>
      <w:bookmarkStart w:id="551" w:name="_Toc27698"/>
      <w:bookmarkStart w:id="552" w:name="_Toc152042352"/>
      <w:bookmarkStart w:id="553" w:name="_Toc21646"/>
      <w:bookmarkStart w:id="554" w:name="_Toc20261"/>
      <w:bookmarkStart w:id="555" w:name="_Toc152045576"/>
      <w:bookmarkStart w:id="556" w:name="_Toc144974544"/>
      <w:bookmarkStart w:id="557" w:name="_Toc466298132"/>
      <w:bookmarkStart w:id="558" w:name="_Toc490667869"/>
      <w:bookmarkStart w:id="559" w:name="_Toc7572"/>
      <w:bookmarkStart w:id="560" w:name="_Toc3089"/>
      <w:bookmarkStart w:id="561" w:name="_Toc318450715"/>
      <w:bookmarkStart w:id="562" w:name="_Toc1743"/>
      <w:bookmarkStart w:id="563" w:name="_Toc455867809"/>
      <w:r>
        <w:rPr>
          <w:rFonts w:hint="eastAsia" w:ascii="宋体" w:hAnsi="宋体" w:eastAsia="宋体" w:cs="宋体"/>
          <w:b/>
          <w:bCs/>
          <w:color w:val="auto"/>
          <w:sz w:val="24"/>
          <w:szCs w:val="24"/>
        </w:rPr>
        <w:t>9.2 对供应商的纪律要求</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66B5B864">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供应商不得相互串通或者与采购人串通，不得向采购人或者</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小组行贿谋取成交，不得以他人名义或者以其他方式弄虚作假骗取成交；供应商不得以任何方式干扰、影响评审工作。</w:t>
      </w:r>
    </w:p>
    <w:p w14:paraId="62B9A8C7">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564" w:name="_Toc455080150"/>
      <w:bookmarkStart w:id="565" w:name="_Toc318450716"/>
      <w:bookmarkStart w:id="566" w:name="_Toc490667870"/>
      <w:bookmarkStart w:id="567" w:name="_Toc25241"/>
      <w:bookmarkStart w:id="568" w:name="_Toc152045577"/>
      <w:bookmarkStart w:id="569" w:name="_Toc12177"/>
      <w:bookmarkStart w:id="570" w:name="_Toc30153"/>
      <w:bookmarkStart w:id="571" w:name="_Toc25211"/>
      <w:bookmarkStart w:id="572" w:name="_Toc7107"/>
      <w:bookmarkStart w:id="573" w:name="_Toc144974545"/>
      <w:bookmarkStart w:id="574" w:name="_Toc31001"/>
      <w:bookmarkStart w:id="575" w:name="_Toc19965"/>
      <w:bookmarkStart w:id="576" w:name="_Toc466298133"/>
      <w:bookmarkStart w:id="577" w:name="_Toc152042353"/>
      <w:bookmarkStart w:id="578" w:name="_Toc7439"/>
      <w:bookmarkStart w:id="579" w:name="_Toc455867810"/>
      <w:bookmarkStart w:id="580" w:name="_Toc32320"/>
      <w:bookmarkStart w:id="581" w:name="_Toc28813"/>
      <w:r>
        <w:rPr>
          <w:rFonts w:hint="eastAsia" w:ascii="宋体" w:hAnsi="宋体" w:eastAsia="宋体" w:cs="宋体"/>
          <w:b/>
          <w:bCs/>
          <w:color w:val="auto"/>
          <w:sz w:val="24"/>
          <w:szCs w:val="24"/>
        </w:rPr>
        <w:t>9.3 对磋商小组成员的纪律要求</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7567613B">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磋商小组成员不得收受他人的财物或者其他好处，</w:t>
      </w:r>
      <w:r>
        <w:rPr>
          <w:rFonts w:hint="eastAsia" w:ascii="宋体" w:hAnsi="宋体" w:cs="宋体"/>
          <w:color w:val="auto"/>
          <w:sz w:val="24"/>
          <w:szCs w:val="24"/>
          <w:lang w:eastAsia="zh-CN"/>
        </w:rPr>
        <w:t>不得向他人透露对</w:t>
      </w:r>
      <w:r>
        <w:rPr>
          <w:rFonts w:hint="eastAsia" w:ascii="宋体" w:hAnsi="宋体" w:eastAsia="宋体" w:cs="宋体"/>
          <w:color w:val="auto"/>
          <w:sz w:val="24"/>
          <w:szCs w:val="24"/>
        </w:rPr>
        <w:t>响应文件的评审和比较、成交候选人的推荐情况以及</w:t>
      </w:r>
      <w:r>
        <w:rPr>
          <w:rFonts w:hint="eastAsia" w:ascii="宋体" w:hAnsi="宋体" w:eastAsia="宋体" w:cs="宋体"/>
          <w:color w:val="auto"/>
          <w:sz w:val="24"/>
          <w:szCs w:val="24"/>
          <w:lang w:val="en-US" w:eastAsia="zh-CN"/>
        </w:rPr>
        <w:t>评审</w:t>
      </w:r>
      <w:r>
        <w:rPr>
          <w:rFonts w:hint="eastAsia" w:ascii="宋体" w:hAnsi="宋体" w:eastAsia="宋体" w:cs="宋体"/>
          <w:color w:val="auto"/>
          <w:sz w:val="24"/>
          <w:szCs w:val="24"/>
        </w:rPr>
        <w:t>有关的其他情况。在磋商活动中，磋商小组成员不得擅离职守，影响</w:t>
      </w:r>
      <w:r>
        <w:rPr>
          <w:rFonts w:hint="eastAsia" w:ascii="宋体" w:hAnsi="宋体" w:eastAsia="宋体" w:cs="宋体"/>
          <w:color w:val="auto"/>
          <w:sz w:val="24"/>
          <w:szCs w:val="24"/>
          <w:lang w:val="en-US" w:eastAsia="zh-CN"/>
        </w:rPr>
        <w:t>评审</w:t>
      </w:r>
      <w:r>
        <w:rPr>
          <w:rFonts w:hint="eastAsia" w:ascii="宋体" w:hAnsi="宋体" w:eastAsia="宋体" w:cs="宋体"/>
          <w:color w:val="auto"/>
          <w:sz w:val="24"/>
          <w:szCs w:val="24"/>
        </w:rPr>
        <w:t>程序正常进行，不得使用第三章“评审办法”没有规定的评审因素和标准进行</w:t>
      </w:r>
      <w:r>
        <w:rPr>
          <w:rFonts w:hint="eastAsia" w:ascii="宋体" w:hAnsi="宋体" w:eastAsia="宋体" w:cs="宋体"/>
          <w:color w:val="auto"/>
          <w:sz w:val="24"/>
          <w:szCs w:val="24"/>
          <w:lang w:val="en-US" w:eastAsia="zh-CN"/>
        </w:rPr>
        <w:t>评审</w:t>
      </w:r>
      <w:r>
        <w:rPr>
          <w:rFonts w:hint="eastAsia" w:ascii="宋体" w:hAnsi="宋体" w:eastAsia="宋体" w:cs="宋体"/>
          <w:color w:val="auto"/>
          <w:sz w:val="24"/>
          <w:szCs w:val="24"/>
        </w:rPr>
        <w:t>。</w:t>
      </w:r>
    </w:p>
    <w:p w14:paraId="77CBEF4B">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color w:val="auto"/>
          <w:sz w:val="24"/>
          <w:szCs w:val="24"/>
        </w:rPr>
      </w:pPr>
      <w:bookmarkStart w:id="582" w:name="_Toc455867811"/>
      <w:bookmarkStart w:id="583" w:name="_Toc27559"/>
      <w:bookmarkStart w:id="584" w:name="_Toc235"/>
      <w:bookmarkStart w:id="585" w:name="_Toc318450717"/>
      <w:bookmarkStart w:id="586" w:name="_Toc9063"/>
      <w:bookmarkStart w:id="587" w:name="_Toc152042354"/>
      <w:bookmarkStart w:id="588" w:name="_Toc466298134"/>
      <w:bookmarkStart w:id="589" w:name="_Toc19485"/>
      <w:bookmarkStart w:id="590" w:name="_Toc26462"/>
      <w:bookmarkStart w:id="591" w:name="_Toc490667871"/>
      <w:bookmarkStart w:id="592" w:name="_Toc24"/>
      <w:bookmarkStart w:id="593" w:name="_Toc20546"/>
      <w:bookmarkStart w:id="594" w:name="_Toc455080151"/>
      <w:bookmarkStart w:id="595" w:name="_Toc23717"/>
      <w:bookmarkStart w:id="596" w:name="_Toc1295"/>
      <w:bookmarkStart w:id="597" w:name="_Toc152045578"/>
      <w:bookmarkStart w:id="598" w:name="_Toc7368"/>
      <w:bookmarkStart w:id="599" w:name="_Toc144974546"/>
      <w:r>
        <w:rPr>
          <w:rFonts w:hint="eastAsia" w:ascii="宋体" w:hAnsi="宋体" w:eastAsia="宋体" w:cs="宋体"/>
          <w:b/>
          <w:bCs/>
          <w:color w:val="auto"/>
          <w:sz w:val="24"/>
          <w:szCs w:val="24"/>
        </w:rPr>
        <w:t>9.4 对与</w:t>
      </w:r>
      <w:r>
        <w:rPr>
          <w:rFonts w:hint="eastAsia" w:ascii="宋体" w:hAnsi="宋体" w:eastAsia="宋体" w:cs="宋体"/>
          <w:b/>
          <w:bCs/>
          <w:color w:val="auto"/>
          <w:sz w:val="24"/>
          <w:szCs w:val="24"/>
          <w:lang w:val="en-US" w:eastAsia="zh-CN"/>
        </w:rPr>
        <w:t>评审</w:t>
      </w:r>
      <w:r>
        <w:rPr>
          <w:rFonts w:hint="eastAsia" w:ascii="宋体" w:hAnsi="宋体" w:eastAsia="宋体" w:cs="宋体"/>
          <w:b/>
          <w:bCs/>
          <w:color w:val="auto"/>
          <w:sz w:val="24"/>
          <w:szCs w:val="24"/>
        </w:rPr>
        <w:t>活动有关的工作人员的纪律要求</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6829A1D1">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bookmarkStart w:id="600" w:name="_Toc152042355"/>
      <w:r>
        <w:rPr>
          <w:rFonts w:hint="eastAsia" w:ascii="宋体" w:hAnsi="宋体" w:eastAsia="宋体" w:cs="宋体"/>
          <w:color w:val="auto"/>
          <w:sz w:val="24"/>
          <w:szCs w:val="24"/>
          <w:lang w:val="en-US" w:eastAsia="zh-CN"/>
        </w:rPr>
        <w:t>参</w:t>
      </w:r>
      <w:r>
        <w:rPr>
          <w:rFonts w:hint="eastAsia" w:ascii="宋体" w:hAnsi="宋体" w:eastAsia="宋体" w:cs="宋体"/>
          <w:color w:val="auto"/>
          <w:sz w:val="24"/>
          <w:szCs w:val="24"/>
        </w:rPr>
        <w:t>与</w:t>
      </w:r>
      <w:r>
        <w:rPr>
          <w:rFonts w:hint="eastAsia" w:ascii="宋体" w:hAnsi="宋体" w:eastAsia="宋体" w:cs="宋体"/>
          <w:color w:val="auto"/>
          <w:sz w:val="24"/>
          <w:szCs w:val="24"/>
          <w:lang w:val="en-US" w:eastAsia="zh-CN"/>
        </w:rPr>
        <w:t>评审</w:t>
      </w:r>
      <w:r>
        <w:rPr>
          <w:rFonts w:hint="eastAsia" w:ascii="宋体" w:hAnsi="宋体" w:eastAsia="宋体" w:cs="宋体"/>
          <w:color w:val="auto"/>
          <w:sz w:val="24"/>
          <w:szCs w:val="24"/>
        </w:rPr>
        <w:t>活动有关的工作人员不得收受他人的财物或者其他好处，</w:t>
      </w:r>
      <w:r>
        <w:rPr>
          <w:rFonts w:hint="eastAsia" w:ascii="宋体" w:hAnsi="宋体" w:cs="宋体"/>
          <w:color w:val="auto"/>
          <w:sz w:val="24"/>
          <w:szCs w:val="24"/>
          <w:lang w:eastAsia="zh-CN"/>
        </w:rPr>
        <w:t>不得向他人透露对</w:t>
      </w:r>
      <w:r>
        <w:rPr>
          <w:rFonts w:hint="eastAsia" w:ascii="宋体" w:hAnsi="宋体" w:eastAsia="宋体" w:cs="宋体"/>
          <w:color w:val="auto"/>
          <w:sz w:val="24"/>
          <w:szCs w:val="24"/>
        </w:rPr>
        <w:t>响应文件的评审和比较、成交候选人的推荐情况以及</w:t>
      </w:r>
      <w:r>
        <w:rPr>
          <w:rFonts w:hint="eastAsia" w:ascii="宋体" w:hAnsi="宋体" w:eastAsia="宋体" w:cs="宋体"/>
          <w:color w:val="auto"/>
          <w:sz w:val="24"/>
          <w:szCs w:val="24"/>
          <w:lang w:val="en-US" w:eastAsia="zh-CN"/>
        </w:rPr>
        <w:t>评审</w:t>
      </w:r>
      <w:r>
        <w:rPr>
          <w:rFonts w:hint="eastAsia" w:ascii="宋体" w:hAnsi="宋体" w:eastAsia="宋体" w:cs="宋体"/>
          <w:color w:val="auto"/>
          <w:sz w:val="24"/>
          <w:szCs w:val="24"/>
        </w:rPr>
        <w:t>有关的其他情况。在</w:t>
      </w:r>
      <w:r>
        <w:rPr>
          <w:rFonts w:hint="eastAsia" w:ascii="宋体" w:hAnsi="宋体" w:eastAsia="宋体" w:cs="宋体"/>
          <w:color w:val="auto"/>
          <w:sz w:val="24"/>
          <w:szCs w:val="24"/>
          <w:lang w:val="en-US" w:eastAsia="zh-CN"/>
        </w:rPr>
        <w:t>评审</w:t>
      </w:r>
      <w:r>
        <w:rPr>
          <w:rFonts w:hint="eastAsia" w:ascii="宋体" w:hAnsi="宋体" w:eastAsia="宋体" w:cs="宋体"/>
          <w:color w:val="auto"/>
          <w:sz w:val="24"/>
          <w:szCs w:val="24"/>
        </w:rPr>
        <w:t>活动中，与</w:t>
      </w:r>
      <w:r>
        <w:rPr>
          <w:rFonts w:hint="eastAsia" w:ascii="宋体" w:hAnsi="宋体" w:eastAsia="宋体" w:cs="宋体"/>
          <w:color w:val="auto"/>
          <w:sz w:val="24"/>
          <w:szCs w:val="24"/>
          <w:lang w:val="en-US" w:eastAsia="zh-CN"/>
        </w:rPr>
        <w:t>评审</w:t>
      </w:r>
      <w:r>
        <w:rPr>
          <w:rFonts w:hint="eastAsia" w:ascii="宋体" w:hAnsi="宋体" w:eastAsia="宋体" w:cs="宋体"/>
          <w:color w:val="auto"/>
          <w:sz w:val="24"/>
          <w:szCs w:val="24"/>
        </w:rPr>
        <w:t>活动有关的工作人员不得擅离职守，影响</w:t>
      </w:r>
      <w:r>
        <w:rPr>
          <w:rFonts w:hint="eastAsia" w:ascii="宋体" w:hAnsi="宋体" w:eastAsia="宋体" w:cs="宋体"/>
          <w:color w:val="auto"/>
          <w:sz w:val="24"/>
          <w:szCs w:val="24"/>
          <w:lang w:val="en-US" w:eastAsia="zh-CN"/>
        </w:rPr>
        <w:t>评审</w:t>
      </w:r>
      <w:r>
        <w:rPr>
          <w:rFonts w:hint="eastAsia" w:ascii="宋体" w:hAnsi="宋体" w:eastAsia="宋体" w:cs="宋体"/>
          <w:color w:val="auto"/>
          <w:sz w:val="24"/>
          <w:szCs w:val="24"/>
        </w:rPr>
        <w:t>程序正常进行。</w:t>
      </w:r>
      <w:bookmarkEnd w:id="600"/>
    </w:p>
    <w:p w14:paraId="59C9DC2E">
      <w:pPr>
        <w:pStyle w:val="89"/>
        <w:pageBreakBefore w:val="0"/>
        <w:kinsoku/>
        <w:wordWrap/>
        <w:overflowPunct/>
        <w:topLinePunct w:val="0"/>
        <w:autoSpaceDE/>
        <w:autoSpaceDN/>
        <w:bidi w:val="0"/>
        <w:adjustRightInd/>
        <w:snapToGrid/>
        <w:spacing w:line="450" w:lineRule="exact"/>
        <w:textAlignment w:val="auto"/>
        <w:outlineLvl w:val="0"/>
        <w:rPr>
          <w:rFonts w:hint="eastAsia" w:ascii="宋体" w:hAnsi="宋体" w:eastAsia="宋体" w:cs="宋体"/>
          <w:b/>
          <w:bCs/>
          <w:color w:val="auto"/>
          <w:sz w:val="24"/>
          <w:szCs w:val="24"/>
        </w:rPr>
      </w:pPr>
      <w:bookmarkStart w:id="601" w:name="_Toc3617"/>
      <w:bookmarkStart w:id="602" w:name="_Toc6199"/>
      <w:bookmarkStart w:id="603" w:name="_Toc1820"/>
      <w:bookmarkStart w:id="604" w:name="_Toc31010"/>
      <w:bookmarkStart w:id="605" w:name="_Toc17735"/>
      <w:bookmarkStart w:id="606" w:name="_Toc5504"/>
      <w:bookmarkStart w:id="607" w:name="_Toc152045579"/>
      <w:bookmarkStart w:id="608" w:name="_Toc318450718"/>
      <w:bookmarkStart w:id="609" w:name="_Toc32675"/>
      <w:bookmarkStart w:id="610" w:name="_Toc455080152"/>
      <w:bookmarkStart w:id="611" w:name="_Toc466298135"/>
      <w:bookmarkStart w:id="612" w:name="_Toc3303"/>
      <w:bookmarkStart w:id="613" w:name="_Toc25751"/>
      <w:bookmarkStart w:id="614" w:name="_Toc152042356"/>
      <w:bookmarkStart w:id="615" w:name="_Toc490667872"/>
      <w:bookmarkStart w:id="616" w:name="_Toc8074"/>
      <w:bookmarkStart w:id="617" w:name="_Toc455867812"/>
      <w:r>
        <w:rPr>
          <w:rFonts w:hint="eastAsia" w:ascii="宋体" w:hAnsi="宋体" w:eastAsia="宋体" w:cs="宋体"/>
          <w:b/>
          <w:bCs/>
          <w:color w:val="auto"/>
          <w:sz w:val="24"/>
          <w:szCs w:val="24"/>
        </w:rPr>
        <w:t>9.5 投诉</w:t>
      </w:r>
      <w:bookmarkEnd w:id="599"/>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1B3E1674">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供应商和其他利害关系人认为本次磋商活动违反</w:t>
      </w:r>
      <w:r>
        <w:rPr>
          <w:rFonts w:hint="eastAsia" w:ascii="宋体" w:hAnsi="宋体" w:cs="宋体"/>
          <w:color w:val="auto"/>
          <w:sz w:val="24"/>
          <w:szCs w:val="24"/>
          <w:lang w:eastAsia="zh-CN"/>
        </w:rPr>
        <w:t>法律法规</w:t>
      </w:r>
      <w:r>
        <w:rPr>
          <w:rFonts w:hint="eastAsia" w:ascii="宋体" w:hAnsi="宋体" w:eastAsia="宋体" w:cs="宋体"/>
          <w:color w:val="auto"/>
          <w:sz w:val="24"/>
          <w:szCs w:val="24"/>
        </w:rPr>
        <w:t>和规章规定的，有权向有关行政监督部门投诉。</w:t>
      </w:r>
    </w:p>
    <w:p w14:paraId="27C16F9E">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rPr>
      </w:pPr>
      <w:bookmarkStart w:id="618" w:name="_Toc14221"/>
      <w:bookmarkStart w:id="619" w:name="_Toc455080153"/>
      <w:bookmarkStart w:id="620" w:name="_Toc152045580"/>
      <w:bookmarkStart w:id="621" w:name="_Toc144974547"/>
      <w:bookmarkStart w:id="622" w:name="_Toc152042357"/>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rPr>
        <w:t>对采购文件、采购过程、成交结果的质疑，可以在知道或者应知其权益受到损害之日起7个工作日内，以书面形式一次性向采购人或采购</w:t>
      </w:r>
      <w:r>
        <w:rPr>
          <w:rFonts w:hint="eastAsia" w:ascii="宋体" w:hAnsi="宋体" w:eastAsia="宋体" w:cs="宋体"/>
          <w:color w:val="auto"/>
          <w:sz w:val="24"/>
          <w:szCs w:val="24"/>
          <w:lang w:eastAsia="zh-CN"/>
        </w:rPr>
        <w:t>代理</w:t>
      </w:r>
      <w:r>
        <w:rPr>
          <w:rFonts w:hint="eastAsia" w:ascii="宋体" w:hAnsi="宋体" w:eastAsia="宋体" w:cs="宋体"/>
          <w:color w:val="auto"/>
          <w:sz w:val="24"/>
          <w:szCs w:val="24"/>
        </w:rPr>
        <w:t>机构提出质疑。采购人或采购</w:t>
      </w:r>
      <w:r>
        <w:rPr>
          <w:rFonts w:hint="eastAsia" w:ascii="宋体" w:hAnsi="宋体" w:eastAsia="宋体" w:cs="宋体"/>
          <w:color w:val="auto"/>
          <w:sz w:val="24"/>
          <w:szCs w:val="24"/>
          <w:lang w:eastAsia="zh-CN"/>
        </w:rPr>
        <w:t>代理</w:t>
      </w:r>
      <w:r>
        <w:rPr>
          <w:rFonts w:hint="eastAsia" w:ascii="宋体" w:hAnsi="宋体" w:eastAsia="宋体" w:cs="宋体"/>
          <w:color w:val="auto"/>
          <w:sz w:val="24"/>
          <w:szCs w:val="24"/>
        </w:rPr>
        <w:t>机构不接受</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rPr>
        <w:t>对同一采购环节的多次质疑。</w:t>
      </w:r>
    </w:p>
    <w:p w14:paraId="7E267972">
      <w:pPr>
        <w:pStyle w:val="88"/>
        <w:pageBreakBefore w:val="0"/>
        <w:kinsoku/>
        <w:wordWrap/>
        <w:overflowPunct/>
        <w:topLinePunct w:val="0"/>
        <w:autoSpaceDE/>
        <w:autoSpaceDN/>
        <w:bidi w:val="0"/>
        <w:adjustRightInd/>
        <w:snapToGrid/>
        <w:spacing w:before="0" w:beforeLines="0" w:line="45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10. 需要补充的其他内容</w:t>
      </w:r>
      <w:bookmarkEnd w:id="618"/>
      <w:bookmarkEnd w:id="619"/>
      <w:bookmarkEnd w:id="620"/>
      <w:bookmarkEnd w:id="621"/>
      <w:bookmarkEnd w:id="622"/>
    </w:p>
    <w:p w14:paraId="15F9DF4C">
      <w:pPr>
        <w:pageBreakBefore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1其他</w:t>
      </w:r>
      <w:r>
        <w:rPr>
          <w:rFonts w:hint="eastAsia" w:ascii="宋体" w:hAnsi="宋体" w:eastAsia="宋体" w:cs="宋体"/>
          <w:color w:val="auto"/>
          <w:sz w:val="24"/>
          <w:szCs w:val="24"/>
          <w:lang w:eastAsia="zh-CN"/>
        </w:rPr>
        <w:t>未尽事宜，按国家有关</w:t>
      </w:r>
      <w:r>
        <w:rPr>
          <w:rFonts w:hint="eastAsia" w:ascii="宋体" w:hAnsi="宋体" w:cs="宋体"/>
          <w:color w:val="auto"/>
          <w:sz w:val="24"/>
          <w:szCs w:val="24"/>
          <w:lang w:eastAsia="zh-CN"/>
        </w:rPr>
        <w:t>法律法规</w:t>
      </w:r>
      <w:r>
        <w:rPr>
          <w:rFonts w:hint="eastAsia" w:ascii="宋体" w:hAnsi="宋体" w:eastAsia="宋体" w:cs="宋体"/>
          <w:color w:val="auto"/>
          <w:sz w:val="24"/>
          <w:szCs w:val="24"/>
          <w:lang w:eastAsia="zh-CN"/>
        </w:rPr>
        <w:t>执行。</w:t>
      </w:r>
    </w:p>
    <w:p w14:paraId="78172E4E">
      <w:pPr>
        <w:rPr>
          <w:rFonts w:hint="eastAsia"/>
        </w:rPr>
      </w:pPr>
    </w:p>
    <w:p w14:paraId="049178D5">
      <w:pPr>
        <w:rPr>
          <w:rFonts w:hint="eastAsia"/>
        </w:rPr>
      </w:pPr>
    </w:p>
    <w:p w14:paraId="6F5C023B">
      <w:pPr>
        <w:widowControl/>
        <w:spacing w:line="470" w:lineRule="exact"/>
        <w:jc w:val="both"/>
        <w:rPr>
          <w:rFonts w:hint="eastAsia" w:ascii="宋体" w:hAnsi="宋体" w:eastAsia="宋体" w:cs="宋体"/>
          <w:b/>
          <w:bCs/>
          <w:kern w:val="0"/>
          <w:sz w:val="24"/>
          <w:lang w:val="en-US" w:eastAsia="zh-CN"/>
        </w:rPr>
      </w:pPr>
      <w:r>
        <w:rPr>
          <w:rFonts w:hint="eastAsia" w:ascii="宋体" w:hAnsi="宋体" w:cs="宋体"/>
          <w:b/>
          <w:bCs/>
          <w:kern w:val="0"/>
          <w:sz w:val="24"/>
          <w:lang w:val="en-US" w:eastAsia="zh-CN"/>
        </w:rPr>
        <w:t>附件：</w:t>
      </w:r>
    </w:p>
    <w:p w14:paraId="31226A9F">
      <w:pPr>
        <w:widowControl/>
        <w:spacing w:line="470" w:lineRule="exact"/>
        <w:jc w:val="center"/>
        <w:rPr>
          <w:rFonts w:hint="eastAsia" w:ascii="宋体" w:hAnsi="宋体" w:cs="宋体"/>
          <w:b/>
          <w:bCs/>
          <w:kern w:val="0"/>
          <w:sz w:val="24"/>
        </w:rPr>
      </w:pPr>
      <w:r>
        <w:rPr>
          <w:rFonts w:hint="eastAsia" w:ascii="宋体" w:hAnsi="宋体" w:cs="宋体"/>
          <w:b/>
          <w:bCs/>
          <w:kern w:val="0"/>
          <w:sz w:val="24"/>
          <w:lang w:val="en-US" w:eastAsia="zh-CN"/>
        </w:rPr>
        <w:t>河南省政府采购合同融资政策告知函</w:t>
      </w:r>
    </w:p>
    <w:p w14:paraId="0D7AC147">
      <w:pPr>
        <w:widowControl/>
        <w:spacing w:line="480" w:lineRule="auto"/>
        <w:ind w:firstLine="480" w:firstLineChars="200"/>
        <w:jc w:val="left"/>
        <w:rPr>
          <w:rFonts w:hint="eastAsia" w:ascii="宋体" w:hAnsi="宋体" w:cs="宋体"/>
          <w:kern w:val="0"/>
          <w:sz w:val="24"/>
        </w:rPr>
      </w:pPr>
    </w:p>
    <w:p w14:paraId="39FA740B">
      <w:pPr>
        <w:widowControl/>
        <w:spacing w:line="480" w:lineRule="auto"/>
        <w:ind w:firstLine="480" w:firstLineChars="200"/>
        <w:jc w:val="left"/>
        <w:rPr>
          <w:rFonts w:hint="eastAsia" w:ascii="宋体" w:hAnsi="宋体" w:eastAsia="宋体" w:cs="宋体"/>
          <w:b w:val="0"/>
          <w:bCs w:val="0"/>
          <w:kern w:val="0"/>
          <w:sz w:val="24"/>
          <w:lang w:val="en-US" w:eastAsia="zh-CN"/>
        </w:rPr>
      </w:pPr>
      <w:r>
        <w:rPr>
          <w:rFonts w:hint="eastAsia" w:ascii="宋体" w:hAnsi="宋体" w:eastAsia="宋体" w:cs="宋体"/>
          <w:b w:val="0"/>
          <w:bCs w:val="0"/>
          <w:kern w:val="0"/>
          <w:sz w:val="24"/>
          <w:lang w:val="en-US" w:eastAsia="zh-CN"/>
        </w:rPr>
        <w:t>各供应商：</w:t>
      </w:r>
    </w:p>
    <w:p w14:paraId="40C69EAC">
      <w:pPr>
        <w:widowControl/>
        <w:spacing w:line="480" w:lineRule="auto"/>
        <w:ind w:firstLine="480" w:firstLineChars="200"/>
        <w:jc w:val="left"/>
        <w:rPr>
          <w:rFonts w:hint="eastAsia" w:ascii="宋体" w:hAnsi="宋体" w:eastAsia="宋体" w:cs="宋体"/>
          <w:b w:val="0"/>
          <w:bCs w:val="0"/>
          <w:kern w:val="0"/>
          <w:sz w:val="24"/>
          <w:lang w:val="en-US" w:eastAsia="zh-CN"/>
        </w:rPr>
      </w:pPr>
      <w:r>
        <w:rPr>
          <w:rFonts w:hint="eastAsia" w:ascii="宋体" w:hAnsi="宋体" w:eastAsia="宋体" w:cs="宋体"/>
          <w:b w:val="0"/>
          <w:bCs w:val="0"/>
          <w:kern w:val="0"/>
          <w:sz w:val="24"/>
          <w:lang w:val="en-US" w:eastAsia="zh-CN"/>
        </w:rPr>
        <w:t>欢迎贵公司参与河南省政府采购活动！</w:t>
      </w:r>
    </w:p>
    <w:p w14:paraId="3F1786D9">
      <w:pPr>
        <w:widowControl/>
        <w:spacing w:line="480" w:lineRule="auto"/>
        <w:ind w:firstLine="480" w:firstLineChars="200"/>
        <w:jc w:val="left"/>
        <w:rPr>
          <w:rFonts w:hint="eastAsia" w:ascii="宋体" w:hAnsi="宋体" w:eastAsia="宋体" w:cs="宋体"/>
          <w:b w:val="0"/>
          <w:bCs w:val="0"/>
          <w:kern w:val="0"/>
          <w:sz w:val="24"/>
          <w:lang w:val="en-US" w:eastAsia="zh-CN"/>
        </w:rPr>
      </w:pPr>
      <w:r>
        <w:rPr>
          <w:rFonts w:hint="eastAsia" w:ascii="宋体" w:hAnsi="宋体" w:eastAsia="宋体" w:cs="宋体"/>
          <w:b w:val="0"/>
          <w:bCs w:val="0"/>
          <w:kern w:val="0"/>
          <w:sz w:val="24"/>
          <w:lang w:val="en-US" w:eastAsia="zh-CN"/>
        </w:rPr>
        <w:t>政府采购合同融资是信阳市财政局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河南省财政厅关于印发深入推进政府采购合同融资工作实施方案的通知》（豫财办[2020]33 号）等规定，按照双方自愿的原则提供便捷、优惠的贷款服务。</w:t>
      </w:r>
    </w:p>
    <w:p w14:paraId="0A42F9FD">
      <w:pPr>
        <w:widowControl/>
        <w:spacing w:line="480" w:lineRule="auto"/>
        <w:ind w:firstLine="480" w:firstLineChars="200"/>
        <w:jc w:val="left"/>
        <w:rPr>
          <w:rFonts w:hint="eastAsia" w:ascii="宋体" w:hAnsi="宋体" w:eastAsia="宋体" w:cs="宋体"/>
          <w:b w:val="0"/>
          <w:bCs w:val="0"/>
          <w:color w:val="FF0000"/>
          <w:kern w:val="0"/>
          <w:sz w:val="24"/>
          <w:lang w:val="en-US" w:eastAsia="zh-CN"/>
        </w:rPr>
      </w:pPr>
      <w:r>
        <w:rPr>
          <w:rFonts w:hint="eastAsia" w:ascii="宋体" w:hAnsi="宋体" w:eastAsia="宋体" w:cs="宋体"/>
          <w:b w:val="0"/>
          <w:bCs w:val="0"/>
          <w:kern w:val="0"/>
          <w:sz w:val="24"/>
          <w:lang w:val="en-US" w:eastAsia="zh-CN"/>
        </w:rPr>
        <w:t>贷款渠道和提供贷款的金融机构，可在河南省政府采购网“河南省政府采购合同融资平台”查询联系。</w:t>
      </w:r>
    </w:p>
    <w:p w14:paraId="0F9C7C48">
      <w:pPr>
        <w:widowControl/>
        <w:spacing w:line="480" w:lineRule="auto"/>
        <w:ind w:left="479" w:leftChars="228" w:firstLine="0" w:firstLineChars="0"/>
        <w:jc w:val="left"/>
        <w:rPr>
          <w:rFonts w:hint="eastAsia" w:ascii="宋体" w:hAnsi="宋体" w:cs="宋体"/>
          <w:b w:val="0"/>
          <w:bCs w:val="0"/>
          <w:kern w:val="0"/>
          <w:sz w:val="24"/>
        </w:rPr>
      </w:pPr>
      <w:r>
        <w:rPr>
          <w:rFonts w:hint="eastAsia" w:ascii="宋体" w:hAnsi="宋体" w:eastAsia="宋体" w:cs="宋体"/>
          <w:b w:val="0"/>
          <w:bCs w:val="0"/>
          <w:color w:val="auto"/>
          <w:kern w:val="0"/>
          <w:sz w:val="24"/>
          <w:lang w:val="en-US" w:eastAsia="zh-CN"/>
        </w:rPr>
        <w:t>政策解读：</w:t>
      </w:r>
      <w:r>
        <w:rPr>
          <w:rFonts w:hint="eastAsia" w:ascii="宋体" w:hAnsi="宋体" w:cs="宋体"/>
          <w:b w:val="0"/>
          <w:bCs w:val="0"/>
          <w:kern w:val="0"/>
          <w:sz w:val="24"/>
        </w:rPr>
        <w:t>https://zfcg.henan.gov.cn/xygh/egp/jd/rzjg/rzjgxx/ShowPicListNew.html</w:t>
      </w:r>
    </w:p>
    <w:p w14:paraId="4CA9BAB2">
      <w:pPr>
        <w:pStyle w:val="7"/>
        <w:rPr>
          <w:rFonts w:hint="eastAsia" w:ascii="宋体" w:hAnsi="宋体" w:eastAsia="宋体" w:cs="宋体"/>
        </w:rPr>
      </w:pPr>
    </w:p>
    <w:p w14:paraId="565C8632">
      <w:pPr>
        <w:rPr>
          <w:rFonts w:hint="eastAsia" w:ascii="宋体" w:hAnsi="宋体" w:eastAsia="宋体" w:cs="宋体"/>
        </w:rPr>
      </w:pPr>
    </w:p>
    <w:p w14:paraId="31521D98">
      <w:pPr>
        <w:pStyle w:val="55"/>
        <w:rPr>
          <w:rFonts w:hint="eastAsia" w:ascii="宋体" w:hAnsi="宋体" w:eastAsia="宋体" w:cs="宋体"/>
        </w:rPr>
      </w:pPr>
    </w:p>
    <w:p w14:paraId="0CC4EE2A">
      <w:pPr>
        <w:pStyle w:val="7"/>
        <w:rPr>
          <w:rFonts w:hint="eastAsia" w:ascii="宋体" w:hAnsi="宋体" w:eastAsia="宋体" w:cs="宋体"/>
        </w:rPr>
      </w:pPr>
    </w:p>
    <w:p w14:paraId="56251A9C">
      <w:pPr>
        <w:rPr>
          <w:rFonts w:hint="eastAsia" w:ascii="宋体" w:hAnsi="宋体" w:eastAsia="宋体" w:cs="宋体"/>
        </w:rPr>
      </w:pPr>
    </w:p>
    <w:p w14:paraId="4984DA13">
      <w:pPr>
        <w:pStyle w:val="55"/>
        <w:rPr>
          <w:rFonts w:hint="eastAsia" w:ascii="宋体" w:hAnsi="宋体" w:eastAsia="宋体" w:cs="宋体"/>
        </w:rPr>
      </w:pPr>
    </w:p>
    <w:p w14:paraId="114D7755">
      <w:pPr>
        <w:pStyle w:val="7"/>
        <w:rPr>
          <w:rFonts w:hint="eastAsia" w:ascii="宋体" w:hAnsi="宋体" w:eastAsia="宋体" w:cs="宋体"/>
        </w:rPr>
      </w:pPr>
    </w:p>
    <w:p w14:paraId="406A3CFD">
      <w:pPr>
        <w:rPr>
          <w:rFonts w:hint="eastAsia" w:ascii="宋体" w:hAnsi="宋体" w:eastAsia="宋体" w:cs="宋体"/>
        </w:rPr>
      </w:pPr>
    </w:p>
    <w:p w14:paraId="4B4A699E">
      <w:pPr>
        <w:pStyle w:val="55"/>
        <w:rPr>
          <w:rFonts w:hint="eastAsia" w:ascii="宋体" w:hAnsi="宋体" w:eastAsia="宋体" w:cs="宋体"/>
        </w:rPr>
      </w:pPr>
    </w:p>
    <w:p w14:paraId="78897F1A">
      <w:pPr>
        <w:pStyle w:val="7"/>
        <w:rPr>
          <w:rFonts w:hint="eastAsia" w:ascii="宋体" w:hAnsi="宋体" w:eastAsia="宋体" w:cs="宋体"/>
        </w:rPr>
      </w:pPr>
    </w:p>
    <w:p w14:paraId="4646B2D4">
      <w:pPr>
        <w:rPr>
          <w:rFonts w:hint="eastAsia" w:ascii="宋体" w:hAnsi="宋体" w:eastAsia="宋体" w:cs="宋体"/>
        </w:rPr>
      </w:pPr>
    </w:p>
    <w:p w14:paraId="0A314C10">
      <w:pPr>
        <w:pStyle w:val="12"/>
        <w:rPr>
          <w:rFonts w:hint="eastAsia" w:ascii="宋体" w:hAnsi="宋体" w:eastAsia="宋体" w:cs="宋体"/>
        </w:rPr>
      </w:pPr>
    </w:p>
    <w:p w14:paraId="0361D7EE">
      <w:pPr>
        <w:pStyle w:val="49"/>
        <w:rPr>
          <w:rFonts w:hint="eastAsia" w:ascii="宋体" w:hAnsi="宋体" w:eastAsia="宋体" w:cs="宋体"/>
        </w:rPr>
      </w:pPr>
    </w:p>
    <w:p w14:paraId="5E45CA2C">
      <w:pPr>
        <w:rPr>
          <w:rFonts w:hint="eastAsia" w:ascii="宋体" w:hAnsi="宋体" w:eastAsia="宋体" w:cs="宋体"/>
        </w:rPr>
      </w:pPr>
    </w:p>
    <w:p w14:paraId="66BC6AA6">
      <w:pPr>
        <w:pStyle w:val="12"/>
        <w:rPr>
          <w:rFonts w:hint="eastAsia"/>
        </w:rPr>
      </w:pPr>
    </w:p>
    <w:p w14:paraId="3D4F89CA">
      <w:pPr>
        <w:pStyle w:val="55"/>
        <w:rPr>
          <w:rFonts w:hint="eastAsia"/>
        </w:rPr>
      </w:pPr>
    </w:p>
    <w:p w14:paraId="0B686915">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 xml:space="preserve">第三章 </w:t>
      </w:r>
      <w:bookmarkStart w:id="623" w:name="_Toc381018330"/>
      <w:bookmarkStart w:id="624" w:name="_Toc363053524"/>
      <w:bookmarkStart w:id="625" w:name="_Toc374358909"/>
      <w:bookmarkStart w:id="626" w:name="_Toc11095"/>
      <w:bookmarkStart w:id="627" w:name="_Toc381964639"/>
      <w:bookmarkStart w:id="628" w:name="_Toc381964731"/>
      <w:r>
        <w:rPr>
          <w:rFonts w:hint="eastAsia" w:ascii="宋体" w:hAnsi="宋体" w:eastAsia="宋体" w:cs="宋体"/>
          <w:b/>
          <w:color w:val="auto"/>
          <w:sz w:val="32"/>
          <w:szCs w:val="32"/>
          <w:highlight w:val="none"/>
          <w:lang w:eastAsia="zh-CN"/>
        </w:rPr>
        <w:t>评审办法（综合评分法）</w:t>
      </w:r>
    </w:p>
    <w:p w14:paraId="7F202A62">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lang w:val="en-US" w:eastAsia="zh-CN"/>
        </w:rPr>
      </w:pPr>
      <w:r>
        <w:rPr>
          <w:rFonts w:hint="eastAsia" w:ascii="宋体" w:hAnsi="宋体" w:eastAsia="宋体" w:cs="宋体"/>
          <w:b/>
          <w:color w:val="auto"/>
          <w:sz w:val="28"/>
          <w:szCs w:val="28"/>
          <w:highlight w:val="none"/>
          <w:lang w:eastAsia="zh-CN"/>
        </w:rPr>
        <w:t>评审办法前附表</w:t>
      </w:r>
    </w:p>
    <w:tbl>
      <w:tblPr>
        <w:tblStyle w:val="33"/>
        <w:tblpPr w:leftFromText="180" w:rightFromText="180" w:vertAnchor="text" w:horzAnchor="page" w:tblpX="1066" w:tblpY="522"/>
        <w:tblOverlap w:val="never"/>
        <w:tblW w:w="97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189"/>
        <w:gridCol w:w="1665"/>
        <w:gridCol w:w="5887"/>
      </w:tblGrid>
      <w:tr w14:paraId="7D44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1" w:type="dxa"/>
            <w:gridSpan w:val="2"/>
            <w:noWrap w:val="0"/>
            <w:vAlign w:val="center"/>
          </w:tcPr>
          <w:p w14:paraId="38931DD7">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4"/>
                <w:szCs w:val="32"/>
              </w:rPr>
            </w:pPr>
            <w:r>
              <w:rPr>
                <w:rFonts w:hint="eastAsia" w:ascii="宋体" w:hAnsi="宋体" w:eastAsia="宋体" w:cs="宋体"/>
                <w:b/>
                <w:bCs/>
                <w:sz w:val="24"/>
                <w:szCs w:val="32"/>
              </w:rPr>
              <w:t>条款号</w:t>
            </w:r>
          </w:p>
        </w:tc>
        <w:tc>
          <w:tcPr>
            <w:tcW w:w="1665" w:type="dxa"/>
            <w:noWrap w:val="0"/>
            <w:vAlign w:val="center"/>
          </w:tcPr>
          <w:p w14:paraId="06B0B6D2">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4"/>
                <w:szCs w:val="32"/>
              </w:rPr>
            </w:pPr>
            <w:r>
              <w:rPr>
                <w:rFonts w:hint="eastAsia" w:ascii="宋体" w:hAnsi="宋体" w:eastAsia="宋体" w:cs="宋体"/>
                <w:b/>
                <w:bCs/>
                <w:sz w:val="24"/>
                <w:szCs w:val="32"/>
              </w:rPr>
              <w:t>评审因素</w:t>
            </w:r>
          </w:p>
        </w:tc>
        <w:tc>
          <w:tcPr>
            <w:tcW w:w="5887" w:type="dxa"/>
            <w:noWrap w:val="0"/>
            <w:vAlign w:val="center"/>
          </w:tcPr>
          <w:p w14:paraId="0980331B">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4"/>
                <w:szCs w:val="32"/>
              </w:rPr>
            </w:pPr>
            <w:r>
              <w:rPr>
                <w:rFonts w:hint="eastAsia" w:ascii="宋体" w:hAnsi="宋体" w:eastAsia="宋体" w:cs="宋体"/>
                <w:b/>
                <w:bCs/>
                <w:sz w:val="24"/>
                <w:szCs w:val="32"/>
              </w:rPr>
              <w:t>评审标准</w:t>
            </w:r>
          </w:p>
        </w:tc>
      </w:tr>
      <w:tr w14:paraId="1A20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2" w:type="dxa"/>
            <w:vMerge w:val="restart"/>
            <w:noWrap w:val="0"/>
            <w:vAlign w:val="center"/>
          </w:tcPr>
          <w:p w14:paraId="2AF0213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2.1.1</w:t>
            </w:r>
          </w:p>
        </w:tc>
        <w:tc>
          <w:tcPr>
            <w:tcW w:w="1189" w:type="dxa"/>
            <w:vMerge w:val="restart"/>
            <w:noWrap w:val="0"/>
            <w:vAlign w:val="center"/>
          </w:tcPr>
          <w:p w14:paraId="058E54D3">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资格评审</w:t>
            </w:r>
          </w:p>
          <w:p w14:paraId="7DE8768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标  准</w:t>
            </w:r>
          </w:p>
        </w:tc>
        <w:tc>
          <w:tcPr>
            <w:tcW w:w="1665" w:type="dxa"/>
            <w:noWrap w:val="0"/>
            <w:vAlign w:val="center"/>
          </w:tcPr>
          <w:p w14:paraId="51DDA6C9">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rPr>
              <w:t>符合《中华人民共和国政府采购法》第22条规定</w:t>
            </w:r>
          </w:p>
        </w:tc>
        <w:tc>
          <w:tcPr>
            <w:tcW w:w="5887" w:type="dxa"/>
            <w:noWrap w:val="0"/>
            <w:vAlign w:val="center"/>
          </w:tcPr>
          <w:p w14:paraId="564184C7">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符合第二章“供应商须知</w:t>
            </w:r>
            <w:r>
              <w:rPr>
                <w:rFonts w:hint="eastAsia" w:ascii="宋体" w:hAnsi="宋体" w:eastAsia="宋体" w:cs="宋体"/>
                <w:color w:val="auto"/>
                <w:sz w:val="24"/>
                <w:szCs w:val="24"/>
                <w:lang w:eastAsia="zh-CN"/>
              </w:rPr>
              <w:t>前附表</w:t>
            </w:r>
            <w:r>
              <w:rPr>
                <w:rFonts w:hint="eastAsia" w:ascii="宋体" w:hAnsi="宋体" w:eastAsia="宋体" w:cs="宋体"/>
                <w:color w:val="auto"/>
                <w:sz w:val="24"/>
                <w:szCs w:val="24"/>
              </w:rPr>
              <w:t>”第1.5.1项规定</w:t>
            </w:r>
          </w:p>
        </w:tc>
      </w:tr>
      <w:tr w14:paraId="2B48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2" w:type="dxa"/>
            <w:vMerge w:val="continue"/>
            <w:noWrap w:val="0"/>
            <w:vAlign w:val="center"/>
          </w:tcPr>
          <w:p w14:paraId="02C72D3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b/>
                <w:bCs/>
                <w:color w:val="auto"/>
                <w:sz w:val="24"/>
                <w:szCs w:val="24"/>
              </w:rPr>
            </w:pPr>
          </w:p>
        </w:tc>
        <w:tc>
          <w:tcPr>
            <w:tcW w:w="1189" w:type="dxa"/>
            <w:vMerge w:val="continue"/>
            <w:noWrap w:val="0"/>
            <w:vAlign w:val="center"/>
          </w:tcPr>
          <w:p w14:paraId="6321879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b/>
                <w:bCs/>
                <w:color w:val="auto"/>
                <w:sz w:val="24"/>
                <w:szCs w:val="24"/>
              </w:rPr>
            </w:pPr>
          </w:p>
        </w:tc>
        <w:tc>
          <w:tcPr>
            <w:tcW w:w="1665" w:type="dxa"/>
            <w:noWrap w:val="0"/>
            <w:vAlign w:val="center"/>
          </w:tcPr>
          <w:p w14:paraId="5EC8DA72">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特定资格要求</w:t>
            </w:r>
          </w:p>
        </w:tc>
        <w:tc>
          <w:tcPr>
            <w:tcW w:w="5887" w:type="dxa"/>
            <w:noWrap w:val="0"/>
            <w:vAlign w:val="center"/>
          </w:tcPr>
          <w:p w14:paraId="462115C5">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rPr>
              <w:t>符合第二章“供应商须知前附表”第1.5.1项规定</w:t>
            </w:r>
          </w:p>
        </w:tc>
      </w:tr>
      <w:tr w14:paraId="212E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2" w:type="dxa"/>
            <w:vMerge w:val="continue"/>
            <w:noWrap w:val="0"/>
            <w:vAlign w:val="center"/>
          </w:tcPr>
          <w:p w14:paraId="083131E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b/>
                <w:bCs/>
                <w:color w:val="auto"/>
                <w:sz w:val="24"/>
                <w:szCs w:val="24"/>
              </w:rPr>
            </w:pPr>
          </w:p>
        </w:tc>
        <w:tc>
          <w:tcPr>
            <w:tcW w:w="1189" w:type="dxa"/>
            <w:vMerge w:val="continue"/>
            <w:noWrap w:val="0"/>
            <w:vAlign w:val="center"/>
          </w:tcPr>
          <w:p w14:paraId="495E4B3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b/>
                <w:bCs/>
                <w:color w:val="auto"/>
                <w:sz w:val="24"/>
                <w:szCs w:val="24"/>
              </w:rPr>
            </w:pPr>
          </w:p>
        </w:tc>
        <w:tc>
          <w:tcPr>
            <w:tcW w:w="1665" w:type="dxa"/>
            <w:noWrap w:val="0"/>
            <w:vAlign w:val="center"/>
          </w:tcPr>
          <w:p w14:paraId="0E9CCDA8">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rPr>
              <w:t>其他要求</w:t>
            </w:r>
          </w:p>
        </w:tc>
        <w:tc>
          <w:tcPr>
            <w:tcW w:w="5887" w:type="dxa"/>
            <w:noWrap w:val="0"/>
            <w:vAlign w:val="center"/>
          </w:tcPr>
          <w:p w14:paraId="1B06EBD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符合第二章“</w:t>
            </w:r>
            <w:r>
              <w:rPr>
                <w:rFonts w:hint="eastAsia" w:ascii="宋体" w:hAnsi="宋体" w:eastAsia="宋体" w:cs="宋体"/>
                <w:color w:val="auto"/>
                <w:kern w:val="0"/>
                <w:sz w:val="24"/>
                <w:szCs w:val="24"/>
                <w:lang w:eastAsia="zh-CN"/>
              </w:rPr>
              <w:t>供应商</w:t>
            </w:r>
            <w:r>
              <w:rPr>
                <w:rFonts w:hint="eastAsia" w:ascii="宋体" w:hAnsi="宋体" w:eastAsia="宋体" w:cs="宋体"/>
                <w:color w:val="auto"/>
                <w:kern w:val="0"/>
                <w:sz w:val="24"/>
                <w:szCs w:val="24"/>
              </w:rPr>
              <w:t>须知</w:t>
            </w:r>
            <w:r>
              <w:rPr>
                <w:rFonts w:hint="eastAsia" w:ascii="宋体" w:hAnsi="宋体" w:eastAsia="宋体" w:cs="宋体"/>
                <w:color w:val="auto"/>
                <w:kern w:val="0"/>
                <w:sz w:val="24"/>
                <w:szCs w:val="24"/>
                <w:lang w:eastAsia="zh-CN"/>
              </w:rPr>
              <w:t>前附表</w:t>
            </w:r>
            <w:r>
              <w:rPr>
                <w:rFonts w:hint="eastAsia" w:ascii="宋体" w:hAnsi="宋体" w:eastAsia="宋体" w:cs="宋体"/>
                <w:color w:val="auto"/>
                <w:kern w:val="0"/>
                <w:sz w:val="24"/>
                <w:szCs w:val="24"/>
              </w:rPr>
              <w:t>”第1.5.1项规定</w:t>
            </w:r>
          </w:p>
        </w:tc>
      </w:tr>
      <w:tr w14:paraId="561C5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2" w:type="dxa"/>
            <w:vMerge w:val="restart"/>
            <w:noWrap w:val="0"/>
            <w:vAlign w:val="center"/>
          </w:tcPr>
          <w:p w14:paraId="78007A62">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2.1.</w:t>
            </w:r>
            <w:r>
              <w:rPr>
                <w:rFonts w:hint="eastAsia" w:ascii="宋体" w:hAnsi="宋体" w:eastAsia="宋体" w:cs="宋体"/>
                <w:b/>
                <w:bCs/>
                <w:color w:val="auto"/>
                <w:sz w:val="24"/>
                <w:szCs w:val="24"/>
                <w:lang w:val="en-US" w:eastAsia="zh-CN"/>
              </w:rPr>
              <w:t>2</w:t>
            </w:r>
          </w:p>
        </w:tc>
        <w:tc>
          <w:tcPr>
            <w:tcW w:w="1189" w:type="dxa"/>
            <w:vMerge w:val="restart"/>
            <w:noWrap w:val="0"/>
            <w:vAlign w:val="center"/>
          </w:tcPr>
          <w:p w14:paraId="2B92233A">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符合性</w:t>
            </w:r>
          </w:p>
          <w:p w14:paraId="61C20FA5">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评审标准</w:t>
            </w:r>
          </w:p>
        </w:tc>
        <w:tc>
          <w:tcPr>
            <w:tcW w:w="1665" w:type="dxa"/>
            <w:noWrap w:val="0"/>
            <w:vAlign w:val="center"/>
          </w:tcPr>
          <w:p w14:paraId="2F0E8EB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rPr>
            </w:pPr>
            <w:r>
              <w:rPr>
                <w:rFonts w:hint="eastAsia" w:ascii="宋体" w:hAnsi="宋体" w:eastAsia="宋体" w:cs="宋体"/>
                <w:sz w:val="24"/>
                <w:szCs w:val="32"/>
              </w:rPr>
              <w:t>是否存在严重失信主体</w:t>
            </w:r>
          </w:p>
        </w:tc>
        <w:tc>
          <w:tcPr>
            <w:tcW w:w="5887" w:type="dxa"/>
            <w:noWrap w:val="0"/>
            <w:vAlign w:val="center"/>
          </w:tcPr>
          <w:p w14:paraId="454E2B65">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32"/>
              </w:rPr>
            </w:pPr>
            <w:r>
              <w:rPr>
                <w:rFonts w:hint="eastAsia" w:ascii="宋体" w:hAnsi="宋体" w:eastAsia="宋体" w:cs="宋体"/>
                <w:sz w:val="24"/>
                <w:szCs w:val="32"/>
              </w:rPr>
              <w:t>根据《关于在政府采购活动中查询及使用信用记录有关问题的通知》（财库【2016】125号）的规定，对列入失信被执行人、重大税收违法案件当事人名单（税收违法黑名单/重大税收违法失信主体）、政府采购严重违法失信行为记录名单的供应商及供应商单位法定代表人，拒绝参与本项目政府采购活动；供应商应通过“信用中国”网站（www.creditchina.gov.cn）查询“失信被执行人”、“重大税收违法案件当事人名单（税收违法黑名单/重大税收违法失信主体）”，中国政府采购网（www.ccgp.gov.cn）查询“政府采购严重违法失信行为记录名单”，提供查询网页截图；查询截图须提供详细的查询时间，查询时间截点为：从公告发布之日起至投标截止之日止）</w:t>
            </w:r>
          </w:p>
        </w:tc>
      </w:tr>
      <w:tr w14:paraId="4464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2" w:type="dxa"/>
            <w:vMerge w:val="continue"/>
            <w:noWrap w:val="0"/>
            <w:vAlign w:val="center"/>
          </w:tcPr>
          <w:p w14:paraId="14C4EECC">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eastAsia="zh-CN"/>
              </w:rPr>
            </w:pPr>
          </w:p>
        </w:tc>
        <w:tc>
          <w:tcPr>
            <w:tcW w:w="1189" w:type="dxa"/>
            <w:vMerge w:val="continue"/>
            <w:noWrap w:val="0"/>
            <w:vAlign w:val="center"/>
          </w:tcPr>
          <w:p w14:paraId="4950FC3C">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color w:val="auto"/>
                <w:sz w:val="24"/>
                <w:szCs w:val="24"/>
              </w:rPr>
            </w:pPr>
          </w:p>
        </w:tc>
        <w:tc>
          <w:tcPr>
            <w:tcW w:w="1665" w:type="dxa"/>
            <w:noWrap w:val="0"/>
            <w:vAlign w:val="center"/>
          </w:tcPr>
          <w:p w14:paraId="19879CB0">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rPr>
              <w:t>供应商名称</w:t>
            </w:r>
          </w:p>
        </w:tc>
        <w:tc>
          <w:tcPr>
            <w:tcW w:w="5887" w:type="dxa"/>
            <w:noWrap w:val="0"/>
            <w:vAlign w:val="center"/>
          </w:tcPr>
          <w:p w14:paraId="477B31FF">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rPr>
              <w:t>与营业执照</w:t>
            </w:r>
            <w:r>
              <w:rPr>
                <w:rFonts w:hint="eastAsia" w:ascii="宋体" w:hAnsi="宋体" w:cs="宋体"/>
                <w:sz w:val="24"/>
                <w:szCs w:val="32"/>
                <w:lang w:eastAsia="zh-CN"/>
              </w:rPr>
              <w:t>、</w:t>
            </w:r>
            <w:r>
              <w:rPr>
                <w:rFonts w:hint="eastAsia" w:ascii="宋体" w:hAnsi="宋体" w:cs="宋体"/>
                <w:sz w:val="24"/>
                <w:szCs w:val="32"/>
                <w:lang w:val="en-US" w:eastAsia="zh-CN"/>
              </w:rPr>
              <w:t>资质证书</w:t>
            </w:r>
            <w:r>
              <w:rPr>
                <w:rFonts w:hint="eastAsia" w:ascii="宋体" w:hAnsi="宋体" w:eastAsia="宋体" w:cs="宋体"/>
                <w:sz w:val="24"/>
                <w:szCs w:val="32"/>
              </w:rPr>
              <w:t>一致</w:t>
            </w:r>
          </w:p>
        </w:tc>
      </w:tr>
      <w:tr w14:paraId="0B35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2" w:type="dxa"/>
            <w:vMerge w:val="continue"/>
            <w:noWrap w:val="0"/>
            <w:vAlign w:val="center"/>
          </w:tcPr>
          <w:p w14:paraId="42D0C8B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4"/>
                <w:szCs w:val="24"/>
              </w:rPr>
            </w:pPr>
          </w:p>
        </w:tc>
        <w:tc>
          <w:tcPr>
            <w:tcW w:w="1189" w:type="dxa"/>
            <w:vMerge w:val="continue"/>
            <w:noWrap w:val="0"/>
            <w:vAlign w:val="center"/>
          </w:tcPr>
          <w:p w14:paraId="111E058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4"/>
                <w:szCs w:val="24"/>
              </w:rPr>
            </w:pPr>
          </w:p>
        </w:tc>
        <w:tc>
          <w:tcPr>
            <w:tcW w:w="1665" w:type="dxa"/>
            <w:noWrap w:val="0"/>
            <w:vAlign w:val="center"/>
          </w:tcPr>
          <w:p w14:paraId="13E503B0">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eastAsia="zh-CN"/>
              </w:rPr>
              <w:t>响应</w:t>
            </w:r>
            <w:r>
              <w:rPr>
                <w:rFonts w:hint="eastAsia" w:ascii="宋体" w:hAnsi="宋体" w:eastAsia="宋体" w:cs="宋体"/>
                <w:sz w:val="24"/>
                <w:szCs w:val="32"/>
                <w:lang w:val="en-US" w:eastAsia="zh-CN"/>
              </w:rPr>
              <w:t>文件</w:t>
            </w:r>
            <w:r>
              <w:rPr>
                <w:rFonts w:hint="eastAsia" w:ascii="宋体" w:hAnsi="宋体" w:eastAsia="宋体" w:cs="宋体"/>
                <w:sz w:val="24"/>
                <w:szCs w:val="32"/>
              </w:rPr>
              <w:t>签字盖章</w:t>
            </w:r>
          </w:p>
        </w:tc>
        <w:tc>
          <w:tcPr>
            <w:tcW w:w="5887" w:type="dxa"/>
            <w:noWrap w:val="0"/>
            <w:vAlign w:val="center"/>
          </w:tcPr>
          <w:p w14:paraId="6A7D626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符合采购文件的规定要求</w:t>
            </w:r>
          </w:p>
        </w:tc>
      </w:tr>
      <w:tr w14:paraId="4944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2" w:type="dxa"/>
            <w:vMerge w:val="continue"/>
            <w:noWrap w:val="0"/>
            <w:vAlign w:val="center"/>
          </w:tcPr>
          <w:p w14:paraId="7EAB684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4"/>
                <w:szCs w:val="24"/>
              </w:rPr>
            </w:pPr>
          </w:p>
        </w:tc>
        <w:tc>
          <w:tcPr>
            <w:tcW w:w="1189" w:type="dxa"/>
            <w:vMerge w:val="continue"/>
            <w:noWrap w:val="0"/>
            <w:vAlign w:val="center"/>
          </w:tcPr>
          <w:p w14:paraId="5869445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4"/>
                <w:szCs w:val="24"/>
              </w:rPr>
            </w:pPr>
          </w:p>
        </w:tc>
        <w:tc>
          <w:tcPr>
            <w:tcW w:w="1665" w:type="dxa"/>
            <w:noWrap w:val="0"/>
            <w:vAlign w:val="center"/>
          </w:tcPr>
          <w:p w14:paraId="0E2353E4">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rPr>
              <w:t>响应文件格式</w:t>
            </w:r>
          </w:p>
        </w:tc>
        <w:tc>
          <w:tcPr>
            <w:tcW w:w="5887" w:type="dxa"/>
            <w:noWrap w:val="0"/>
            <w:vAlign w:val="center"/>
          </w:tcPr>
          <w:p w14:paraId="5FB627B1">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rPr>
              <w:t>符合</w:t>
            </w:r>
            <w:r>
              <w:rPr>
                <w:rFonts w:hint="eastAsia" w:ascii="宋体" w:hAnsi="宋体" w:eastAsia="宋体" w:cs="宋体"/>
                <w:sz w:val="24"/>
                <w:szCs w:val="32"/>
                <w:lang w:eastAsia="zh-CN"/>
              </w:rPr>
              <w:t>第六章</w:t>
            </w:r>
            <w:r>
              <w:rPr>
                <w:rFonts w:hint="eastAsia" w:ascii="宋体" w:hAnsi="宋体" w:eastAsia="宋体" w:cs="宋体"/>
                <w:sz w:val="24"/>
                <w:szCs w:val="32"/>
              </w:rPr>
              <w:t>“</w:t>
            </w:r>
            <w:r>
              <w:rPr>
                <w:rFonts w:hint="eastAsia" w:ascii="宋体" w:hAnsi="宋体" w:eastAsia="宋体" w:cs="宋体"/>
                <w:sz w:val="24"/>
                <w:szCs w:val="32"/>
                <w:lang w:eastAsia="zh-CN"/>
              </w:rPr>
              <w:t>竞争性磋商响应文件格式</w:t>
            </w:r>
            <w:r>
              <w:rPr>
                <w:rFonts w:hint="eastAsia" w:ascii="宋体" w:hAnsi="宋体" w:eastAsia="宋体" w:cs="宋体"/>
                <w:sz w:val="24"/>
                <w:szCs w:val="32"/>
              </w:rPr>
              <w:t>”的要求</w:t>
            </w:r>
          </w:p>
        </w:tc>
      </w:tr>
      <w:tr w14:paraId="4B616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2" w:type="dxa"/>
            <w:vMerge w:val="continue"/>
            <w:noWrap w:val="0"/>
            <w:vAlign w:val="center"/>
          </w:tcPr>
          <w:p w14:paraId="09036BBB">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rPr>
            </w:pPr>
          </w:p>
        </w:tc>
        <w:tc>
          <w:tcPr>
            <w:tcW w:w="1189" w:type="dxa"/>
            <w:vMerge w:val="continue"/>
            <w:noWrap w:val="0"/>
            <w:vAlign w:val="center"/>
          </w:tcPr>
          <w:p w14:paraId="4C960E38">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4"/>
                <w:szCs w:val="24"/>
              </w:rPr>
            </w:pPr>
          </w:p>
        </w:tc>
        <w:tc>
          <w:tcPr>
            <w:tcW w:w="1665" w:type="dxa"/>
            <w:noWrap w:val="0"/>
            <w:vAlign w:val="center"/>
          </w:tcPr>
          <w:p w14:paraId="2AFA1589">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rPr>
            </w:pPr>
            <w:r>
              <w:rPr>
                <w:rFonts w:hint="eastAsia" w:ascii="宋体" w:hAnsi="宋体" w:eastAsia="宋体" w:cs="宋体"/>
                <w:sz w:val="24"/>
                <w:szCs w:val="32"/>
              </w:rPr>
              <w:t>响应内容</w:t>
            </w:r>
          </w:p>
        </w:tc>
        <w:tc>
          <w:tcPr>
            <w:tcW w:w="5887" w:type="dxa"/>
            <w:noWrap w:val="0"/>
            <w:vAlign w:val="center"/>
          </w:tcPr>
          <w:p w14:paraId="59376EB5">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rPr>
            </w:pPr>
            <w:r>
              <w:rPr>
                <w:rFonts w:hint="eastAsia" w:ascii="宋体" w:hAnsi="宋体" w:eastAsia="宋体" w:cs="宋体"/>
                <w:sz w:val="24"/>
                <w:szCs w:val="32"/>
              </w:rPr>
              <w:t>符合第二章“供应商须知</w:t>
            </w:r>
            <w:r>
              <w:rPr>
                <w:rFonts w:hint="eastAsia" w:ascii="宋体" w:hAnsi="宋体" w:eastAsia="宋体" w:cs="宋体"/>
                <w:sz w:val="24"/>
                <w:szCs w:val="32"/>
                <w:lang w:eastAsia="zh-CN"/>
              </w:rPr>
              <w:t>前附表</w:t>
            </w:r>
            <w:r>
              <w:rPr>
                <w:rFonts w:hint="eastAsia" w:ascii="宋体" w:hAnsi="宋体" w:eastAsia="宋体" w:cs="宋体"/>
                <w:sz w:val="24"/>
                <w:szCs w:val="32"/>
              </w:rPr>
              <w:t>”第1.4.1项规定</w:t>
            </w:r>
          </w:p>
        </w:tc>
      </w:tr>
      <w:tr w14:paraId="4CBF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2" w:type="dxa"/>
            <w:vMerge w:val="continue"/>
            <w:noWrap w:val="0"/>
            <w:vAlign w:val="center"/>
          </w:tcPr>
          <w:p w14:paraId="67940ED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4"/>
                <w:szCs w:val="24"/>
              </w:rPr>
            </w:pPr>
          </w:p>
        </w:tc>
        <w:tc>
          <w:tcPr>
            <w:tcW w:w="1189" w:type="dxa"/>
            <w:vMerge w:val="continue"/>
            <w:noWrap w:val="0"/>
            <w:vAlign w:val="center"/>
          </w:tcPr>
          <w:p w14:paraId="61F3C41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4"/>
                <w:szCs w:val="24"/>
              </w:rPr>
            </w:pPr>
          </w:p>
        </w:tc>
        <w:tc>
          <w:tcPr>
            <w:tcW w:w="1665" w:type="dxa"/>
            <w:noWrap w:val="0"/>
            <w:vAlign w:val="center"/>
          </w:tcPr>
          <w:p w14:paraId="1FA38C7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服务期限</w:t>
            </w:r>
          </w:p>
        </w:tc>
        <w:tc>
          <w:tcPr>
            <w:tcW w:w="5887" w:type="dxa"/>
            <w:noWrap w:val="0"/>
            <w:vAlign w:val="center"/>
          </w:tcPr>
          <w:p w14:paraId="70EB9FD5">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rPr>
            </w:pPr>
            <w:r>
              <w:rPr>
                <w:rFonts w:hint="eastAsia" w:ascii="宋体" w:hAnsi="宋体" w:eastAsia="宋体" w:cs="宋体"/>
                <w:sz w:val="24"/>
                <w:szCs w:val="32"/>
              </w:rPr>
              <w:t>符合第二章“供应商须知</w:t>
            </w:r>
            <w:r>
              <w:rPr>
                <w:rFonts w:hint="eastAsia" w:ascii="宋体" w:hAnsi="宋体" w:eastAsia="宋体" w:cs="宋体"/>
                <w:sz w:val="24"/>
                <w:szCs w:val="32"/>
                <w:lang w:eastAsia="zh-CN"/>
              </w:rPr>
              <w:t>前附表</w:t>
            </w:r>
            <w:r>
              <w:rPr>
                <w:rFonts w:hint="eastAsia" w:ascii="宋体" w:hAnsi="宋体" w:eastAsia="宋体" w:cs="宋体"/>
                <w:sz w:val="24"/>
                <w:szCs w:val="32"/>
              </w:rPr>
              <w:t>”第1.4.2项规定</w:t>
            </w:r>
          </w:p>
        </w:tc>
      </w:tr>
      <w:tr w14:paraId="5725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2" w:type="dxa"/>
            <w:vMerge w:val="continue"/>
            <w:noWrap w:val="0"/>
            <w:vAlign w:val="center"/>
          </w:tcPr>
          <w:p w14:paraId="0A62FFF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4"/>
                <w:szCs w:val="24"/>
              </w:rPr>
            </w:pPr>
          </w:p>
        </w:tc>
        <w:tc>
          <w:tcPr>
            <w:tcW w:w="1189" w:type="dxa"/>
            <w:vMerge w:val="continue"/>
            <w:noWrap w:val="0"/>
            <w:vAlign w:val="center"/>
          </w:tcPr>
          <w:p w14:paraId="5341EF0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4"/>
                <w:szCs w:val="24"/>
              </w:rPr>
            </w:pPr>
          </w:p>
        </w:tc>
        <w:tc>
          <w:tcPr>
            <w:tcW w:w="1665" w:type="dxa"/>
            <w:noWrap w:val="0"/>
            <w:vAlign w:val="center"/>
          </w:tcPr>
          <w:p w14:paraId="08A63EA9">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rPr>
              <w:t>质量要求</w:t>
            </w:r>
          </w:p>
        </w:tc>
        <w:tc>
          <w:tcPr>
            <w:tcW w:w="5887" w:type="dxa"/>
            <w:noWrap w:val="0"/>
            <w:vAlign w:val="center"/>
          </w:tcPr>
          <w:p w14:paraId="7A0EE5CC">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rPr>
              <w:t>符合第二章“供应商须知</w:t>
            </w:r>
            <w:r>
              <w:rPr>
                <w:rFonts w:hint="eastAsia" w:ascii="宋体" w:hAnsi="宋体" w:eastAsia="宋体" w:cs="宋体"/>
                <w:sz w:val="24"/>
                <w:szCs w:val="32"/>
                <w:lang w:eastAsia="zh-CN"/>
              </w:rPr>
              <w:t>前附表</w:t>
            </w:r>
            <w:r>
              <w:rPr>
                <w:rFonts w:hint="eastAsia" w:ascii="宋体" w:hAnsi="宋体" w:eastAsia="宋体" w:cs="宋体"/>
                <w:sz w:val="24"/>
                <w:szCs w:val="32"/>
              </w:rPr>
              <w:t>”第1.4.</w:t>
            </w:r>
            <w:r>
              <w:rPr>
                <w:rFonts w:hint="eastAsia" w:ascii="宋体" w:hAnsi="宋体" w:eastAsia="宋体" w:cs="宋体"/>
                <w:sz w:val="24"/>
                <w:szCs w:val="32"/>
                <w:lang w:val="en-US" w:eastAsia="zh-CN"/>
              </w:rPr>
              <w:t>3</w:t>
            </w:r>
            <w:r>
              <w:rPr>
                <w:rFonts w:hint="eastAsia" w:ascii="宋体" w:hAnsi="宋体" w:eastAsia="宋体" w:cs="宋体"/>
                <w:sz w:val="24"/>
                <w:szCs w:val="32"/>
              </w:rPr>
              <w:t>项规定</w:t>
            </w:r>
          </w:p>
        </w:tc>
      </w:tr>
      <w:tr w14:paraId="7E4B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2" w:type="dxa"/>
            <w:vMerge w:val="continue"/>
            <w:noWrap w:val="0"/>
            <w:vAlign w:val="center"/>
          </w:tcPr>
          <w:p w14:paraId="0B27EBF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4"/>
                <w:szCs w:val="24"/>
              </w:rPr>
            </w:pPr>
          </w:p>
        </w:tc>
        <w:tc>
          <w:tcPr>
            <w:tcW w:w="1189" w:type="dxa"/>
            <w:vMerge w:val="continue"/>
            <w:noWrap w:val="0"/>
            <w:vAlign w:val="center"/>
          </w:tcPr>
          <w:p w14:paraId="0134E5D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4"/>
                <w:szCs w:val="24"/>
              </w:rPr>
            </w:pPr>
          </w:p>
        </w:tc>
        <w:tc>
          <w:tcPr>
            <w:tcW w:w="1665" w:type="dxa"/>
            <w:noWrap w:val="0"/>
            <w:vAlign w:val="center"/>
          </w:tcPr>
          <w:p w14:paraId="62ED9DE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rPr>
            </w:pPr>
            <w:r>
              <w:rPr>
                <w:rFonts w:hint="eastAsia" w:ascii="宋体" w:hAnsi="宋体" w:eastAsia="宋体" w:cs="宋体"/>
                <w:sz w:val="24"/>
                <w:szCs w:val="32"/>
              </w:rPr>
              <w:t>磋商有效期</w:t>
            </w:r>
          </w:p>
        </w:tc>
        <w:tc>
          <w:tcPr>
            <w:tcW w:w="5887" w:type="dxa"/>
            <w:noWrap w:val="0"/>
            <w:vAlign w:val="center"/>
          </w:tcPr>
          <w:p w14:paraId="20C21D7B">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rPr>
            </w:pPr>
            <w:r>
              <w:rPr>
                <w:rFonts w:hint="eastAsia" w:ascii="宋体" w:hAnsi="宋体" w:eastAsia="宋体" w:cs="宋体"/>
                <w:sz w:val="24"/>
                <w:szCs w:val="32"/>
              </w:rPr>
              <w:t>符合第二章“供应商须知</w:t>
            </w:r>
            <w:r>
              <w:rPr>
                <w:rFonts w:hint="eastAsia" w:ascii="宋体" w:hAnsi="宋体" w:eastAsia="宋体" w:cs="宋体"/>
                <w:sz w:val="24"/>
                <w:szCs w:val="32"/>
                <w:lang w:eastAsia="zh-CN"/>
              </w:rPr>
              <w:t>前附表</w:t>
            </w:r>
            <w:r>
              <w:rPr>
                <w:rFonts w:hint="eastAsia" w:ascii="宋体" w:hAnsi="宋体" w:eastAsia="宋体" w:cs="宋体"/>
                <w:sz w:val="24"/>
                <w:szCs w:val="32"/>
              </w:rPr>
              <w:t>”第3.3.1项规定</w:t>
            </w:r>
          </w:p>
        </w:tc>
      </w:tr>
      <w:tr w14:paraId="7DB6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2" w:type="dxa"/>
            <w:vMerge w:val="continue"/>
            <w:noWrap w:val="0"/>
            <w:vAlign w:val="center"/>
          </w:tcPr>
          <w:p w14:paraId="3C0CD83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4"/>
                <w:szCs w:val="24"/>
              </w:rPr>
            </w:pPr>
          </w:p>
        </w:tc>
        <w:tc>
          <w:tcPr>
            <w:tcW w:w="1189" w:type="dxa"/>
            <w:vMerge w:val="continue"/>
            <w:noWrap w:val="0"/>
            <w:vAlign w:val="center"/>
          </w:tcPr>
          <w:p w14:paraId="09858F7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4"/>
                <w:szCs w:val="24"/>
              </w:rPr>
            </w:pPr>
          </w:p>
        </w:tc>
        <w:tc>
          <w:tcPr>
            <w:tcW w:w="1665" w:type="dxa"/>
            <w:noWrap w:val="0"/>
            <w:vAlign w:val="center"/>
          </w:tcPr>
          <w:p w14:paraId="3DE9CAB7">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rPr>
            </w:pPr>
            <w:r>
              <w:rPr>
                <w:rFonts w:hint="eastAsia" w:ascii="宋体" w:hAnsi="宋体" w:eastAsia="宋体" w:cs="宋体"/>
                <w:sz w:val="24"/>
                <w:szCs w:val="32"/>
              </w:rPr>
              <w:t>磋商报价</w:t>
            </w:r>
          </w:p>
        </w:tc>
        <w:tc>
          <w:tcPr>
            <w:tcW w:w="5887" w:type="dxa"/>
            <w:noWrap w:val="0"/>
            <w:vAlign w:val="center"/>
          </w:tcPr>
          <w:p w14:paraId="547FA20C">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32"/>
              </w:rPr>
            </w:pPr>
            <w:r>
              <w:rPr>
                <w:rFonts w:hint="eastAsia" w:ascii="宋体" w:hAnsi="宋体" w:eastAsia="宋体" w:cs="宋体"/>
                <w:sz w:val="24"/>
                <w:szCs w:val="32"/>
              </w:rPr>
              <w:t>报价不超过</w:t>
            </w:r>
            <w:r>
              <w:rPr>
                <w:rFonts w:hint="eastAsia" w:ascii="宋体" w:hAnsi="宋体" w:eastAsia="宋体" w:cs="宋体"/>
                <w:b w:val="0"/>
                <w:bCs w:val="0"/>
                <w:color w:val="000000"/>
                <w:kern w:val="0"/>
                <w:sz w:val="24"/>
                <w:szCs w:val="24"/>
                <w:lang w:eastAsia="zh-CN"/>
              </w:rPr>
              <w:t>预算价（</w:t>
            </w:r>
            <w:r>
              <w:rPr>
                <w:rFonts w:hint="eastAsia" w:ascii="宋体" w:hAnsi="宋体" w:eastAsia="宋体" w:cs="宋体"/>
                <w:b w:val="0"/>
                <w:bCs w:val="0"/>
                <w:color w:val="000000"/>
                <w:kern w:val="0"/>
                <w:sz w:val="24"/>
                <w:szCs w:val="24"/>
                <w:lang w:val="en-US" w:eastAsia="zh-CN"/>
              </w:rPr>
              <w:t>最高限价</w:t>
            </w:r>
            <w:r>
              <w:rPr>
                <w:rFonts w:hint="eastAsia" w:ascii="宋体" w:hAnsi="宋体" w:eastAsia="宋体" w:cs="宋体"/>
                <w:b w:val="0"/>
                <w:bCs w:val="0"/>
                <w:color w:val="000000"/>
                <w:kern w:val="0"/>
                <w:sz w:val="24"/>
                <w:szCs w:val="24"/>
                <w:lang w:eastAsia="zh-CN"/>
              </w:rPr>
              <w:t>）</w:t>
            </w:r>
          </w:p>
        </w:tc>
      </w:tr>
      <w:tr w14:paraId="4CE2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1" w:type="dxa"/>
            <w:gridSpan w:val="2"/>
            <w:noWrap w:val="0"/>
            <w:vAlign w:val="center"/>
          </w:tcPr>
          <w:p w14:paraId="2F2C3FB3">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4"/>
                <w:szCs w:val="32"/>
                <w:lang w:eastAsia="zh-CN"/>
              </w:rPr>
            </w:pPr>
            <w:r>
              <w:rPr>
                <w:rFonts w:hint="eastAsia" w:ascii="宋体" w:hAnsi="宋体" w:eastAsia="宋体" w:cs="宋体"/>
                <w:b/>
                <w:bCs/>
                <w:sz w:val="24"/>
                <w:szCs w:val="32"/>
              </w:rPr>
              <w:t>2.2</w:t>
            </w:r>
          </w:p>
        </w:tc>
        <w:tc>
          <w:tcPr>
            <w:tcW w:w="1665" w:type="dxa"/>
            <w:noWrap w:val="0"/>
            <w:vAlign w:val="center"/>
          </w:tcPr>
          <w:p w14:paraId="2F7177A7">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4"/>
                <w:szCs w:val="32"/>
              </w:rPr>
            </w:pPr>
            <w:r>
              <w:rPr>
                <w:rFonts w:hint="eastAsia" w:ascii="宋体" w:hAnsi="宋体" w:eastAsia="宋体" w:cs="宋体"/>
                <w:b/>
                <w:bCs/>
                <w:sz w:val="24"/>
                <w:szCs w:val="32"/>
              </w:rPr>
              <w:t>分值构成</w:t>
            </w:r>
          </w:p>
          <w:p w14:paraId="33B8288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4"/>
                <w:szCs w:val="32"/>
              </w:rPr>
            </w:pPr>
            <w:r>
              <w:rPr>
                <w:rFonts w:hint="eastAsia" w:ascii="宋体" w:hAnsi="宋体" w:eastAsia="宋体" w:cs="宋体"/>
                <w:b/>
                <w:bCs/>
                <w:sz w:val="24"/>
                <w:szCs w:val="32"/>
              </w:rPr>
              <w:t>（100分）</w:t>
            </w:r>
          </w:p>
        </w:tc>
        <w:tc>
          <w:tcPr>
            <w:tcW w:w="5887" w:type="dxa"/>
            <w:noWrap w:val="0"/>
            <w:vAlign w:val="center"/>
          </w:tcPr>
          <w:p w14:paraId="53E9D09C">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4"/>
                <w:szCs w:val="32"/>
              </w:rPr>
            </w:pPr>
            <w:r>
              <w:rPr>
                <w:rFonts w:hint="eastAsia" w:ascii="宋体" w:hAnsi="宋体" w:eastAsia="宋体" w:cs="宋体"/>
                <w:b/>
                <w:bCs/>
                <w:sz w:val="24"/>
                <w:szCs w:val="32"/>
                <w:lang w:eastAsia="zh-CN"/>
              </w:rPr>
              <w:t>商务部分</w:t>
            </w:r>
            <w:r>
              <w:rPr>
                <w:rFonts w:hint="eastAsia" w:ascii="宋体" w:hAnsi="宋体" w:eastAsia="宋体" w:cs="宋体"/>
                <w:b/>
                <w:bCs/>
                <w:sz w:val="24"/>
                <w:szCs w:val="32"/>
              </w:rPr>
              <w:t>：</w:t>
            </w:r>
            <w:r>
              <w:rPr>
                <w:rFonts w:hint="eastAsia" w:ascii="宋体" w:hAnsi="宋体" w:cs="宋体"/>
                <w:b/>
                <w:bCs/>
                <w:sz w:val="24"/>
                <w:szCs w:val="32"/>
                <w:lang w:val="en-US" w:eastAsia="zh-CN"/>
              </w:rPr>
              <w:t>10</w:t>
            </w:r>
            <w:r>
              <w:rPr>
                <w:rFonts w:hint="eastAsia" w:ascii="宋体" w:hAnsi="宋体" w:eastAsia="宋体" w:cs="宋体"/>
                <w:b/>
                <w:bCs/>
                <w:sz w:val="24"/>
                <w:szCs w:val="32"/>
              </w:rPr>
              <w:t>分</w:t>
            </w:r>
          </w:p>
          <w:p w14:paraId="174A62A3">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技术部分：</w:t>
            </w:r>
            <w:r>
              <w:rPr>
                <w:rFonts w:hint="eastAsia" w:ascii="宋体" w:hAnsi="宋体" w:cs="宋体"/>
                <w:b/>
                <w:bCs/>
                <w:sz w:val="24"/>
                <w:szCs w:val="32"/>
                <w:highlight w:val="none"/>
                <w:lang w:val="en-US" w:eastAsia="zh-CN"/>
              </w:rPr>
              <w:t>45</w:t>
            </w:r>
            <w:r>
              <w:rPr>
                <w:rFonts w:hint="eastAsia" w:ascii="宋体" w:hAnsi="宋体" w:eastAsia="宋体" w:cs="宋体"/>
                <w:b/>
                <w:bCs/>
                <w:sz w:val="24"/>
                <w:szCs w:val="32"/>
                <w:highlight w:val="none"/>
              </w:rPr>
              <w:t>分</w:t>
            </w:r>
          </w:p>
          <w:p w14:paraId="100D2EFC">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24"/>
                <w:szCs w:val="32"/>
              </w:rPr>
            </w:pPr>
            <w:r>
              <w:rPr>
                <w:rFonts w:hint="eastAsia" w:ascii="宋体" w:hAnsi="宋体" w:eastAsia="宋体" w:cs="宋体"/>
                <w:b/>
                <w:bCs/>
                <w:sz w:val="24"/>
                <w:szCs w:val="32"/>
                <w:highlight w:val="none"/>
              </w:rPr>
              <w:t>综合部分：</w:t>
            </w:r>
            <w:r>
              <w:rPr>
                <w:rFonts w:hint="eastAsia" w:ascii="宋体" w:hAnsi="宋体" w:cs="宋体"/>
                <w:b/>
                <w:bCs/>
                <w:sz w:val="24"/>
                <w:szCs w:val="32"/>
                <w:highlight w:val="none"/>
                <w:lang w:val="en-US" w:eastAsia="zh-CN"/>
              </w:rPr>
              <w:t>45</w:t>
            </w:r>
            <w:r>
              <w:rPr>
                <w:rFonts w:hint="eastAsia" w:ascii="宋体" w:hAnsi="宋体" w:eastAsia="宋体" w:cs="宋体"/>
                <w:b/>
                <w:bCs/>
                <w:sz w:val="24"/>
                <w:szCs w:val="32"/>
                <w:highlight w:val="none"/>
              </w:rPr>
              <w:t>分</w:t>
            </w:r>
          </w:p>
        </w:tc>
      </w:tr>
      <w:tr w14:paraId="1CCA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1" w:type="dxa"/>
            <w:gridSpan w:val="2"/>
            <w:noWrap w:val="0"/>
            <w:vAlign w:val="center"/>
          </w:tcPr>
          <w:p w14:paraId="09C5463C">
            <w:pPr>
              <w:keepNext w:val="0"/>
              <w:keepLines w:val="0"/>
              <w:pageBreakBefore w:val="0"/>
              <w:widowControl w:val="0"/>
              <w:kinsoku/>
              <w:wordWrap/>
              <w:overflowPunct/>
              <w:topLinePunct w:val="0"/>
              <w:autoSpaceDE/>
              <w:autoSpaceDN/>
              <w:bidi w:val="0"/>
              <w:adjustRightInd/>
              <w:snapToGrid/>
              <w:spacing w:line="440" w:lineRule="exact"/>
              <w:ind w:left="0" w:leftChars="0" w:firstLine="12" w:firstLineChars="5"/>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条款号</w:t>
            </w:r>
          </w:p>
        </w:tc>
        <w:tc>
          <w:tcPr>
            <w:tcW w:w="1665" w:type="dxa"/>
            <w:noWrap w:val="0"/>
            <w:vAlign w:val="center"/>
          </w:tcPr>
          <w:p w14:paraId="2C6A4D8B">
            <w:pPr>
              <w:keepNext w:val="0"/>
              <w:keepLines w:val="0"/>
              <w:pageBreakBefore w:val="0"/>
              <w:widowControl w:val="0"/>
              <w:kinsoku/>
              <w:wordWrap/>
              <w:overflowPunct/>
              <w:topLinePunct w:val="0"/>
              <w:autoSpaceDE/>
              <w:autoSpaceDN/>
              <w:bidi w:val="0"/>
              <w:adjustRightInd/>
              <w:snapToGrid/>
              <w:spacing w:line="440" w:lineRule="exact"/>
              <w:ind w:left="0" w:leftChars="0" w:firstLine="12" w:firstLineChars="5"/>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评分因素</w:t>
            </w:r>
          </w:p>
        </w:tc>
        <w:tc>
          <w:tcPr>
            <w:tcW w:w="5887" w:type="dxa"/>
            <w:noWrap w:val="0"/>
            <w:vAlign w:val="center"/>
          </w:tcPr>
          <w:p w14:paraId="20A0A1FE">
            <w:pPr>
              <w:keepNext w:val="0"/>
              <w:keepLines w:val="0"/>
              <w:pageBreakBefore w:val="0"/>
              <w:widowControl w:val="0"/>
              <w:kinsoku/>
              <w:wordWrap/>
              <w:overflowPunct/>
              <w:topLinePunct w:val="0"/>
              <w:autoSpaceDE/>
              <w:autoSpaceDN/>
              <w:bidi w:val="0"/>
              <w:adjustRightInd/>
              <w:snapToGrid/>
              <w:spacing w:line="440" w:lineRule="exact"/>
              <w:ind w:left="0" w:leftChars="0" w:firstLine="12" w:firstLineChars="5"/>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评分标准</w:t>
            </w:r>
          </w:p>
        </w:tc>
      </w:tr>
      <w:tr w14:paraId="46C4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2" w:type="dxa"/>
            <w:noWrap w:val="0"/>
            <w:vAlign w:val="center"/>
          </w:tcPr>
          <w:p w14:paraId="4D2CA79C">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2.2（1）</w:t>
            </w:r>
          </w:p>
        </w:tc>
        <w:tc>
          <w:tcPr>
            <w:tcW w:w="1189" w:type="dxa"/>
            <w:noWrap w:val="0"/>
            <w:vAlign w:val="center"/>
          </w:tcPr>
          <w:p w14:paraId="5CCF857D">
            <w:pPr>
              <w:keepNext w:val="0"/>
              <w:keepLines w:val="0"/>
              <w:pageBreakBefore w:val="0"/>
              <w:widowControl w:val="0"/>
              <w:kinsoku/>
              <w:wordWrap/>
              <w:overflowPunct/>
              <w:topLinePunct w:val="0"/>
              <w:autoSpaceDE/>
              <w:autoSpaceDN/>
              <w:bidi w:val="0"/>
              <w:adjustRightInd/>
              <w:snapToGrid/>
              <w:spacing w:line="440" w:lineRule="exact"/>
              <w:ind w:left="0" w:leftChars="0" w:firstLine="12" w:firstLineChars="5"/>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商务</w:t>
            </w:r>
            <w:r>
              <w:rPr>
                <w:rFonts w:hint="eastAsia" w:ascii="宋体" w:hAnsi="宋体" w:eastAsia="宋体" w:cs="宋体"/>
                <w:b/>
                <w:bCs/>
                <w:color w:val="auto"/>
                <w:sz w:val="24"/>
                <w:szCs w:val="24"/>
                <w:lang w:val="en-US" w:eastAsia="zh-CN"/>
              </w:rPr>
              <w:t>部分</w:t>
            </w:r>
            <w:r>
              <w:rPr>
                <w:rFonts w:hint="eastAsia" w:ascii="宋体" w:hAnsi="宋体" w:cs="宋体"/>
                <w:b/>
                <w:bCs/>
                <w:color w:val="auto"/>
                <w:sz w:val="24"/>
                <w:szCs w:val="24"/>
                <w:lang w:val="en-US" w:eastAsia="zh-CN"/>
              </w:rPr>
              <w:t>10</w:t>
            </w:r>
            <w:r>
              <w:rPr>
                <w:rFonts w:hint="eastAsia" w:ascii="宋体" w:hAnsi="宋体" w:eastAsia="宋体" w:cs="宋体"/>
                <w:b/>
                <w:bCs/>
                <w:color w:val="auto"/>
                <w:sz w:val="24"/>
                <w:szCs w:val="24"/>
              </w:rPr>
              <w:t>分</w:t>
            </w:r>
          </w:p>
        </w:tc>
        <w:tc>
          <w:tcPr>
            <w:tcW w:w="1665" w:type="dxa"/>
            <w:noWrap w:val="0"/>
            <w:vAlign w:val="center"/>
          </w:tcPr>
          <w:p w14:paraId="3C61F040">
            <w:pPr>
              <w:keepNext w:val="0"/>
              <w:keepLines w:val="0"/>
              <w:pageBreakBefore w:val="0"/>
              <w:widowControl w:val="0"/>
              <w:kinsoku/>
              <w:wordWrap/>
              <w:overflowPunct/>
              <w:topLinePunct w:val="0"/>
              <w:autoSpaceDE/>
              <w:autoSpaceDN/>
              <w:bidi w:val="0"/>
              <w:adjustRightInd/>
              <w:snapToGrid/>
              <w:spacing w:line="440" w:lineRule="exact"/>
              <w:ind w:left="0" w:leftChars="0" w:firstLine="12" w:firstLineChars="5"/>
              <w:jc w:val="center"/>
              <w:textAlignment w:val="auto"/>
              <w:rPr>
                <w:rFonts w:hint="eastAsia" w:ascii="宋体" w:hAnsi="宋体" w:eastAsia="宋体" w:cs="宋体"/>
                <w:b/>
                <w:bCs/>
                <w:color w:val="auto"/>
                <w:sz w:val="24"/>
                <w:szCs w:val="24"/>
              </w:rPr>
            </w:pPr>
          </w:p>
          <w:p w14:paraId="76AD0827">
            <w:pPr>
              <w:keepNext w:val="0"/>
              <w:keepLines w:val="0"/>
              <w:pageBreakBefore w:val="0"/>
              <w:widowControl w:val="0"/>
              <w:kinsoku/>
              <w:wordWrap/>
              <w:overflowPunct/>
              <w:topLinePunct w:val="0"/>
              <w:autoSpaceDE/>
              <w:autoSpaceDN/>
              <w:bidi w:val="0"/>
              <w:adjustRightInd/>
              <w:snapToGrid/>
              <w:spacing w:line="440" w:lineRule="exact"/>
              <w:ind w:left="0" w:leftChars="0" w:firstLine="12" w:firstLineChars="5"/>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磋商最终报价得分</w:t>
            </w:r>
          </w:p>
          <w:p w14:paraId="398F5212">
            <w:pPr>
              <w:keepNext w:val="0"/>
              <w:keepLines w:val="0"/>
              <w:pageBreakBefore w:val="0"/>
              <w:widowControl w:val="0"/>
              <w:kinsoku/>
              <w:wordWrap/>
              <w:overflowPunct/>
              <w:topLinePunct w:val="0"/>
              <w:autoSpaceDE/>
              <w:autoSpaceDN/>
              <w:bidi w:val="0"/>
              <w:adjustRightInd/>
              <w:snapToGrid/>
              <w:spacing w:line="440" w:lineRule="exact"/>
              <w:ind w:left="0" w:leftChars="0" w:firstLine="12" w:firstLineChars="5"/>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w:t>
            </w:r>
            <w:r>
              <w:rPr>
                <w:rFonts w:hint="eastAsia" w:ascii="宋体" w:hAnsi="宋体" w:cs="宋体"/>
                <w:b/>
                <w:bCs/>
                <w:color w:val="auto"/>
                <w:sz w:val="24"/>
                <w:szCs w:val="24"/>
                <w:lang w:val="en-US" w:eastAsia="zh-CN"/>
              </w:rPr>
              <w:t>10</w:t>
            </w:r>
            <w:r>
              <w:rPr>
                <w:rFonts w:hint="eastAsia" w:ascii="宋体" w:hAnsi="宋体" w:eastAsia="宋体" w:cs="宋体"/>
                <w:b/>
                <w:bCs/>
                <w:color w:val="auto"/>
                <w:sz w:val="24"/>
                <w:szCs w:val="24"/>
              </w:rPr>
              <w:t>分）</w:t>
            </w:r>
          </w:p>
          <w:p w14:paraId="47E70FE1">
            <w:pPr>
              <w:keepNext w:val="0"/>
              <w:keepLines w:val="0"/>
              <w:pageBreakBefore w:val="0"/>
              <w:widowControl w:val="0"/>
              <w:kinsoku/>
              <w:wordWrap/>
              <w:overflowPunct/>
              <w:topLinePunct w:val="0"/>
              <w:autoSpaceDE/>
              <w:autoSpaceDN/>
              <w:bidi w:val="0"/>
              <w:adjustRightInd/>
              <w:snapToGrid/>
              <w:spacing w:line="440" w:lineRule="exact"/>
              <w:ind w:left="0" w:leftChars="0" w:firstLine="12" w:firstLineChars="5"/>
              <w:jc w:val="center"/>
              <w:textAlignment w:val="auto"/>
              <w:rPr>
                <w:rFonts w:hint="eastAsia" w:ascii="宋体" w:hAnsi="宋体" w:eastAsia="宋体" w:cs="宋体"/>
                <w:b/>
                <w:bCs/>
                <w:color w:val="auto"/>
                <w:sz w:val="24"/>
                <w:szCs w:val="24"/>
              </w:rPr>
            </w:pPr>
          </w:p>
        </w:tc>
        <w:tc>
          <w:tcPr>
            <w:tcW w:w="5887" w:type="dxa"/>
            <w:noWrap w:val="0"/>
            <w:vAlign w:val="center"/>
          </w:tcPr>
          <w:p w14:paraId="4A61542C">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所有竞争性磋商供应商的报价均不得高于</w:t>
            </w:r>
            <w:r>
              <w:rPr>
                <w:rFonts w:hint="eastAsia" w:ascii="宋体" w:hAnsi="宋体" w:eastAsia="宋体" w:cs="宋体"/>
                <w:b w:val="0"/>
                <w:bCs w:val="0"/>
                <w:color w:val="000000"/>
                <w:kern w:val="0"/>
                <w:sz w:val="24"/>
                <w:szCs w:val="24"/>
                <w:lang w:eastAsia="zh-CN"/>
              </w:rPr>
              <w:t>预算价（</w:t>
            </w:r>
            <w:r>
              <w:rPr>
                <w:rFonts w:hint="eastAsia" w:ascii="宋体" w:hAnsi="宋体" w:eastAsia="宋体" w:cs="宋体"/>
                <w:b w:val="0"/>
                <w:bCs w:val="0"/>
                <w:color w:val="000000"/>
                <w:kern w:val="0"/>
                <w:sz w:val="24"/>
                <w:szCs w:val="24"/>
                <w:lang w:val="en-US" w:eastAsia="zh-CN"/>
              </w:rPr>
              <w:t>最高限价</w:t>
            </w:r>
            <w:r>
              <w:rPr>
                <w:rFonts w:hint="eastAsia" w:ascii="宋体" w:hAnsi="宋体" w:eastAsia="宋体" w:cs="宋体"/>
                <w:b w:val="0"/>
                <w:bCs w:val="0"/>
                <w:color w:val="000000"/>
                <w:kern w:val="0"/>
                <w:sz w:val="24"/>
                <w:szCs w:val="24"/>
                <w:lang w:eastAsia="zh-CN"/>
              </w:rPr>
              <w:t>）</w:t>
            </w:r>
            <w:r>
              <w:rPr>
                <w:rFonts w:hint="eastAsia" w:ascii="宋体" w:hAnsi="宋体" w:eastAsia="宋体" w:cs="宋体"/>
                <w:sz w:val="24"/>
                <w:szCs w:val="24"/>
                <w:lang w:val="en-US" w:eastAsia="zh-CN"/>
              </w:rPr>
              <w:t>，否则按无效标处理。且以二次报价（最终报价）参与磋商报价评审。价格分统一采用低价优先法计算，即满足磋商文件要求且最终报价最低的磋商报价为磋商基准价，其价格分为满分（</w:t>
            </w:r>
            <w:r>
              <w:rPr>
                <w:rFonts w:hint="eastAsia" w:ascii="宋体" w:hAnsi="宋体" w:cs="宋体"/>
                <w:sz w:val="24"/>
                <w:szCs w:val="24"/>
                <w:lang w:val="en-US" w:eastAsia="zh-CN"/>
              </w:rPr>
              <w:t>10</w:t>
            </w:r>
            <w:r>
              <w:rPr>
                <w:rFonts w:hint="eastAsia" w:ascii="宋体" w:hAnsi="宋体" w:eastAsia="宋体" w:cs="宋体"/>
                <w:sz w:val="24"/>
                <w:szCs w:val="24"/>
                <w:lang w:val="en-US" w:eastAsia="zh-CN"/>
              </w:rPr>
              <w:t>分），其他供应商的价格分统一按照下列公式计算:</w:t>
            </w:r>
          </w:p>
          <w:p w14:paraId="2DA7FE4F">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最后磋商报价得分=(磋商基准价/最后磋商报价)×100×1</w:t>
            </w:r>
            <w:r>
              <w:rPr>
                <w:rFonts w:hint="eastAsia" w:ascii="宋体" w:hAnsi="宋体" w:cs="宋体"/>
                <w:b/>
                <w:bCs/>
                <w:sz w:val="24"/>
                <w:szCs w:val="24"/>
                <w:lang w:val="en-US" w:eastAsia="zh-CN"/>
              </w:rPr>
              <w:t>0</w:t>
            </w:r>
            <w:r>
              <w:rPr>
                <w:rFonts w:hint="eastAsia" w:ascii="宋体" w:hAnsi="宋体" w:eastAsia="宋体" w:cs="宋体"/>
                <w:b/>
                <w:bCs/>
                <w:sz w:val="24"/>
                <w:szCs w:val="24"/>
                <w:lang w:val="en-US" w:eastAsia="zh-CN"/>
              </w:rPr>
              <w:t>%</w:t>
            </w:r>
          </w:p>
          <w:p w14:paraId="5BA5E5B5">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注：</w:t>
            </w:r>
            <w:r>
              <w:rPr>
                <w:rFonts w:hint="eastAsia" w:ascii="宋体" w:hAnsi="宋体" w:eastAsia="宋体" w:cs="宋体"/>
                <w:sz w:val="24"/>
                <w:szCs w:val="24"/>
                <w:lang w:val="en-US" w:eastAsia="zh-CN"/>
              </w:rPr>
              <w:t>1.</w:t>
            </w:r>
            <w:r>
              <w:rPr>
                <w:rFonts w:hint="eastAsia" w:ascii="宋体" w:hAnsi="宋体" w:eastAsia="宋体" w:cs="宋体"/>
                <w:sz w:val="24"/>
                <w:szCs w:val="24"/>
              </w:rPr>
              <w:t>价格分计算保留小数点后两位。</w:t>
            </w:r>
          </w:p>
          <w:p w14:paraId="7D5F680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2.优惠政策：</w:t>
            </w:r>
            <w:r>
              <w:rPr>
                <w:rFonts w:hint="eastAsia" w:ascii="宋体" w:hAnsi="宋体" w:eastAsia="宋体" w:cs="宋体"/>
                <w:sz w:val="24"/>
                <w:szCs w:val="24"/>
                <w:lang w:val="zh-CN" w:eastAsia="zh-CN"/>
              </w:rPr>
              <w:t>对</w:t>
            </w:r>
            <w:r>
              <w:rPr>
                <w:rFonts w:hint="eastAsia" w:ascii="宋体" w:hAnsi="宋体" w:eastAsia="宋体" w:cs="宋体"/>
                <w:sz w:val="24"/>
                <w:szCs w:val="24"/>
                <w:lang w:val="en-US" w:eastAsia="zh-CN"/>
              </w:rPr>
              <w:t>符合</w:t>
            </w:r>
            <w:r>
              <w:rPr>
                <w:rFonts w:hint="eastAsia" w:ascii="宋体" w:hAnsi="宋体" w:eastAsia="宋体" w:cs="宋体"/>
                <w:sz w:val="24"/>
                <w:szCs w:val="24"/>
                <w:lang w:val="zh-CN" w:eastAsia="zh-CN"/>
              </w:rPr>
              <w:t>小型和微型企业、监狱企业、残疾人福利性等</w:t>
            </w:r>
            <w:r>
              <w:rPr>
                <w:rFonts w:hint="eastAsia" w:ascii="宋体" w:hAnsi="宋体" w:eastAsia="宋体" w:cs="宋体"/>
                <w:sz w:val="24"/>
                <w:szCs w:val="24"/>
              </w:rPr>
              <w:t>政策扶持规定的</w:t>
            </w:r>
            <w:r>
              <w:rPr>
                <w:rFonts w:hint="eastAsia" w:ascii="宋体" w:hAnsi="宋体" w:eastAsia="宋体" w:cs="宋体"/>
                <w:sz w:val="24"/>
                <w:szCs w:val="24"/>
                <w:lang w:val="en-US" w:eastAsia="zh-CN"/>
              </w:rPr>
              <w:t>供应商</w:t>
            </w:r>
            <w:r>
              <w:rPr>
                <w:rFonts w:hint="eastAsia" w:ascii="宋体" w:hAnsi="宋体" w:eastAsia="宋体" w:cs="宋体"/>
                <w:sz w:val="24"/>
                <w:szCs w:val="24"/>
                <w:lang w:val="zh-CN" w:eastAsia="zh-CN"/>
              </w:rPr>
              <w:t>最终报价给予</w:t>
            </w:r>
            <w:r>
              <w:rPr>
                <w:rFonts w:hint="eastAsia" w:ascii="宋体" w:hAnsi="宋体" w:eastAsia="宋体" w:cs="宋体"/>
                <w:sz w:val="24"/>
                <w:szCs w:val="24"/>
                <w:lang w:val="en-US" w:eastAsia="zh-CN"/>
              </w:rPr>
              <w:t>20%的扣除</w:t>
            </w:r>
            <w:r>
              <w:rPr>
                <w:rFonts w:hint="eastAsia" w:ascii="宋体" w:hAnsi="宋体" w:eastAsia="宋体" w:cs="宋体"/>
                <w:sz w:val="24"/>
                <w:szCs w:val="24"/>
                <w:lang w:val="zh-CN" w:eastAsia="zh-CN"/>
              </w:rPr>
              <w:t>，用扣除后的价格参与评审。</w:t>
            </w:r>
            <w:r>
              <w:rPr>
                <w:rFonts w:hint="eastAsia" w:ascii="宋体" w:hAnsi="宋体" w:eastAsia="宋体" w:cs="宋体"/>
                <w:sz w:val="24"/>
                <w:szCs w:val="24"/>
                <w:lang w:val="en-US" w:eastAsia="zh-CN"/>
              </w:rPr>
              <w:t>同时符合</w:t>
            </w:r>
            <w:r>
              <w:rPr>
                <w:rFonts w:hint="eastAsia" w:ascii="宋体" w:hAnsi="宋体" w:eastAsia="宋体" w:cs="宋体"/>
                <w:sz w:val="24"/>
                <w:szCs w:val="24"/>
              </w:rPr>
              <w:t>小微企业、监狱企业、残疾人福利单位政策扶持规定的，不重复享受政策。</w:t>
            </w:r>
          </w:p>
          <w:p w14:paraId="721B158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享受优惠政策参加评审的供应商报价=小型（微型）企业</w:t>
            </w:r>
            <w:r>
              <w:rPr>
                <w:rFonts w:hint="eastAsia" w:ascii="宋体" w:hAnsi="宋体" w:eastAsia="宋体" w:cs="宋体"/>
                <w:sz w:val="24"/>
                <w:szCs w:val="24"/>
                <w:lang w:val="en-US" w:eastAsia="zh-CN"/>
              </w:rPr>
              <w:t>最终</w:t>
            </w:r>
            <w:r>
              <w:rPr>
                <w:rFonts w:hint="eastAsia" w:ascii="宋体" w:hAnsi="宋体" w:eastAsia="宋体" w:cs="宋体"/>
                <w:sz w:val="24"/>
                <w:szCs w:val="24"/>
              </w:rPr>
              <w:t>报价×（1-</w:t>
            </w:r>
            <w:r>
              <w:rPr>
                <w:rFonts w:hint="eastAsia" w:ascii="宋体" w:hAnsi="宋体" w:eastAsia="宋体" w:cs="宋体"/>
                <w:sz w:val="24"/>
                <w:szCs w:val="24"/>
                <w:lang w:val="en-US" w:eastAsia="zh-CN"/>
              </w:rPr>
              <w:t>20</w:t>
            </w:r>
            <w:r>
              <w:rPr>
                <w:rFonts w:hint="eastAsia" w:ascii="宋体" w:hAnsi="宋体" w:eastAsia="宋体" w:cs="宋体"/>
                <w:sz w:val="24"/>
                <w:szCs w:val="24"/>
              </w:rPr>
              <w:t>%）</w:t>
            </w:r>
          </w:p>
          <w:p w14:paraId="26099FB5">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3.根据《关于推动解决政府采购异常低价问题的通知》，采购评审中出现下列情形之一的，评审委员会应当启动异常低价投标（响应）审查程序：</w:t>
            </w:r>
          </w:p>
          <w:p w14:paraId="421A963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评标委员会认为投标人的报价明显低于其他通过符合性审查投标人的报价（依据关于推动解决政府采购异常低价问题的通知财库【2026】2号文），有可能影响产品质量或者不能诚信履约的（建议结合投标人提供的产品或服务响应采购需求的程度判断及关于推动解决政府采购异常低价问题的通知财库【2026】2号文），应当要求其在评标现场合理的时间内提供书面说明，必要时提交相关证明材料；投标人不能证明其报价合理性的，评标委员会应当将其作为无效投标处理：</w:t>
            </w:r>
          </w:p>
          <w:p w14:paraId="4854205C">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采购人应当在采购文件中明确，政府采购评审中出现下列情形之一的，评审委员会应当启动异常低价投标（响应）审查程序： </w:t>
            </w:r>
          </w:p>
          <w:p w14:paraId="7A3DF01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1.投标（响应）报价低于全部通过符合性审查供应商投标（响应）报价平均值50%的，即投标（响应）报价&lt;全部通过符合性审查供应商投标（响应）报价平均值×50%； </w:t>
            </w:r>
          </w:p>
          <w:p w14:paraId="2AFE39E0">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2.投标（响应）报价低于通过符合性审查的次低报价供应商投标（响应）报价50%的，即投标（响应）报价&lt;通过符合性审查的次低报价供应商投标（响应）报价×50%； </w:t>
            </w:r>
          </w:p>
          <w:p w14:paraId="35821AA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3.投标（响应）报价低于采购项目最高限价45%的，即投标（响应）报价&lt;采购项目最高限价×45%； </w:t>
            </w:r>
          </w:p>
          <w:p w14:paraId="1FAB8E5D">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4.评审委员会基于专业判断，认为供应商报价过低，有可能影响产品质量或者不能诚信履约的其他情形。 </w:t>
            </w:r>
          </w:p>
          <w:p w14:paraId="55A0B0DF">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采购人可以结合具体项目实际情况，提高上述第1项至第3项中启动异常低价投标（响应）审查的数值标准，但是最高不得超过65%。 </w:t>
            </w:r>
          </w:p>
          <w:p w14:paraId="10ACBA41">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相关法律法规对供应商报价有规定的，从其规定。 </w:t>
            </w:r>
          </w:p>
          <w:p w14:paraId="14438E6C">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 </w:t>
            </w:r>
          </w:p>
          <w:p w14:paraId="1301C7B3">
            <w:pPr>
              <w:keepNext w:val="0"/>
              <w:keepLines w:val="0"/>
              <w:pageBreakBefore w:val="0"/>
              <w:kinsoku/>
              <w:wordWrap/>
              <w:overflowPunct/>
              <w:topLinePunct w:val="0"/>
              <w:autoSpaceDE/>
              <w:autoSpaceDN/>
              <w:bidi w:val="0"/>
              <w:adjustRightInd/>
              <w:snapToGrid/>
              <w:spacing w:line="440" w:lineRule="exact"/>
              <w:textAlignment w:val="auto"/>
              <w:rPr>
                <w:rFonts w:hint="default" w:ascii="宋体" w:hAnsi="宋体" w:eastAsia="宋体" w:cs="宋体"/>
                <w:color w:val="auto"/>
                <w:sz w:val="24"/>
                <w:szCs w:val="24"/>
                <w:lang w:val="en-US" w:eastAsia="zh-CN"/>
              </w:rPr>
            </w:pPr>
            <w:r>
              <w:rPr>
                <w:rFonts w:hint="eastAsia" w:ascii="宋体" w:hAnsi="宋体" w:eastAsia="宋体" w:cs="宋体"/>
                <w:b w:val="0"/>
                <w:bCs w:val="0"/>
                <w:sz w:val="24"/>
                <w:szCs w:val="24"/>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r>
              <w:rPr>
                <w:rFonts w:hint="eastAsia" w:ascii="宋体" w:hAnsi="宋体" w:cs="宋体"/>
                <w:b w:val="0"/>
                <w:bCs w:val="0"/>
                <w:sz w:val="24"/>
                <w:szCs w:val="24"/>
                <w:lang w:val="en-US" w:eastAsia="zh-CN"/>
              </w:rPr>
              <w:t>。</w:t>
            </w:r>
          </w:p>
        </w:tc>
      </w:tr>
      <w:tr w14:paraId="2653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6" w:hRule="atLeast"/>
        </w:trPr>
        <w:tc>
          <w:tcPr>
            <w:tcW w:w="1002" w:type="dxa"/>
            <w:vMerge w:val="restart"/>
            <w:noWrap w:val="0"/>
            <w:vAlign w:val="center"/>
          </w:tcPr>
          <w:p w14:paraId="1C466451">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2.2（2）</w:t>
            </w:r>
          </w:p>
        </w:tc>
        <w:tc>
          <w:tcPr>
            <w:tcW w:w="1189" w:type="dxa"/>
            <w:vMerge w:val="restart"/>
            <w:noWrap w:val="0"/>
            <w:vAlign w:val="center"/>
          </w:tcPr>
          <w:p w14:paraId="2A1623CF">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技术部分（</w:t>
            </w:r>
            <w:r>
              <w:rPr>
                <w:rFonts w:hint="eastAsia" w:ascii="宋体" w:hAnsi="宋体" w:cs="宋体"/>
                <w:b/>
                <w:bCs/>
                <w:color w:val="auto"/>
                <w:sz w:val="24"/>
                <w:szCs w:val="24"/>
                <w:lang w:val="en-US" w:eastAsia="zh-CN"/>
              </w:rPr>
              <w:t>45</w:t>
            </w:r>
            <w:r>
              <w:rPr>
                <w:rFonts w:hint="eastAsia" w:ascii="宋体" w:hAnsi="宋体" w:eastAsia="宋体" w:cs="宋体"/>
                <w:b/>
                <w:bCs/>
                <w:color w:val="auto"/>
                <w:sz w:val="24"/>
                <w:szCs w:val="24"/>
                <w:highlight w:val="none"/>
              </w:rPr>
              <w:t>分</w:t>
            </w:r>
            <w:r>
              <w:rPr>
                <w:rFonts w:hint="eastAsia" w:ascii="宋体" w:hAnsi="宋体" w:eastAsia="宋体" w:cs="宋体"/>
                <w:b/>
                <w:bCs/>
                <w:color w:val="auto"/>
                <w:sz w:val="24"/>
                <w:szCs w:val="24"/>
              </w:rPr>
              <w:t>）</w:t>
            </w:r>
          </w:p>
        </w:tc>
        <w:tc>
          <w:tcPr>
            <w:tcW w:w="1665" w:type="dxa"/>
            <w:noWrap w:val="0"/>
            <w:vAlign w:val="center"/>
          </w:tcPr>
          <w:p w14:paraId="519B7527">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采购服务内容及要求</w:t>
            </w:r>
          </w:p>
          <w:p w14:paraId="60152139">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（10分）</w:t>
            </w:r>
          </w:p>
        </w:tc>
        <w:tc>
          <w:tcPr>
            <w:tcW w:w="5887" w:type="dxa"/>
            <w:noWrap w:val="0"/>
            <w:vAlign w:val="center"/>
          </w:tcPr>
          <w:p w14:paraId="44072776">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供应商</w:t>
            </w:r>
            <w:r>
              <w:rPr>
                <w:rFonts w:hint="eastAsia" w:ascii="宋体" w:hAnsi="宋体" w:cs="宋体"/>
                <w:kern w:val="2"/>
                <w:sz w:val="24"/>
                <w:szCs w:val="24"/>
                <w:highlight w:val="none"/>
                <w:lang w:val="en-US" w:eastAsia="zh-CN" w:bidi="ar-SA"/>
              </w:rPr>
              <w:t>完全满足招标文件第五章</w:t>
            </w:r>
            <w:r>
              <w:rPr>
                <w:rFonts w:hint="eastAsia" w:ascii="宋体" w:hAnsi="宋体" w:eastAsia="宋体" w:cs="宋体"/>
                <w:kern w:val="2"/>
                <w:sz w:val="24"/>
                <w:szCs w:val="24"/>
                <w:highlight w:val="none"/>
                <w:lang w:val="en-US" w:eastAsia="zh-CN" w:bidi="ar-SA"/>
              </w:rPr>
              <w:t>服务内容及要求的得10分，有一项指标不满足</w:t>
            </w:r>
            <w:r>
              <w:rPr>
                <w:rFonts w:hint="eastAsia" w:ascii="宋体" w:hAnsi="宋体" w:cs="宋体"/>
                <w:kern w:val="2"/>
                <w:sz w:val="24"/>
                <w:szCs w:val="24"/>
                <w:highlight w:val="none"/>
                <w:lang w:val="en-US" w:eastAsia="zh-CN" w:bidi="ar-SA"/>
              </w:rPr>
              <w:t>的不得分。（供应商须提供完整的承诺方案）</w:t>
            </w:r>
            <w:r>
              <w:rPr>
                <w:rFonts w:hint="eastAsia" w:ascii="宋体" w:hAnsi="宋体" w:eastAsia="宋体" w:cs="宋体"/>
                <w:kern w:val="2"/>
                <w:sz w:val="24"/>
                <w:szCs w:val="24"/>
                <w:highlight w:val="none"/>
                <w:lang w:val="en-US" w:eastAsia="zh-CN" w:bidi="ar-SA"/>
              </w:rPr>
              <w:t xml:space="preserve"> </w:t>
            </w:r>
          </w:p>
          <w:p w14:paraId="02DE3D52">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注：对于虚假填写、错填或漏填导致的后果，由供应商自己承担。</w:t>
            </w:r>
          </w:p>
        </w:tc>
      </w:tr>
      <w:tr w14:paraId="533C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002" w:type="dxa"/>
            <w:vMerge w:val="continue"/>
            <w:noWrap w:val="0"/>
            <w:vAlign w:val="center"/>
          </w:tcPr>
          <w:p w14:paraId="5832DD23">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b/>
                <w:bCs/>
                <w:color w:val="auto"/>
                <w:sz w:val="24"/>
                <w:szCs w:val="24"/>
              </w:rPr>
            </w:pPr>
          </w:p>
        </w:tc>
        <w:tc>
          <w:tcPr>
            <w:tcW w:w="1189" w:type="dxa"/>
            <w:vMerge w:val="continue"/>
            <w:noWrap w:val="0"/>
            <w:vAlign w:val="center"/>
          </w:tcPr>
          <w:p w14:paraId="414E3220">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b/>
                <w:bCs/>
                <w:color w:val="auto"/>
                <w:sz w:val="24"/>
                <w:szCs w:val="24"/>
              </w:rPr>
            </w:pPr>
          </w:p>
        </w:tc>
        <w:tc>
          <w:tcPr>
            <w:tcW w:w="1665" w:type="dxa"/>
            <w:noWrap w:val="0"/>
            <w:vAlign w:val="center"/>
          </w:tcPr>
          <w:p w14:paraId="6DA2678E">
            <w:pPr>
              <w:pStyle w:val="68"/>
              <w:spacing w:line="360" w:lineRule="auto"/>
              <w:ind w:left="0" w:leftChars="0" w:firstLine="0" w:firstLineChars="0"/>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组织机构和人员配备及班制安排</w:t>
            </w:r>
            <w:r>
              <w:rPr>
                <w:rFonts w:hint="eastAsia" w:ascii="宋体" w:hAnsi="宋体" w:cs="宋体"/>
                <w:b/>
                <w:bCs/>
                <w:kern w:val="2"/>
                <w:sz w:val="24"/>
                <w:szCs w:val="24"/>
                <w:highlight w:val="none"/>
                <w:lang w:val="en-US" w:eastAsia="zh-CN" w:bidi="ar-SA"/>
              </w:rPr>
              <w:t>和岗位职责及工作内容安排</w:t>
            </w:r>
            <w:r>
              <w:rPr>
                <w:rFonts w:hint="eastAsia" w:ascii="宋体" w:hAnsi="宋体" w:eastAsia="宋体" w:cs="宋体"/>
                <w:b/>
                <w:bCs/>
                <w:kern w:val="2"/>
                <w:sz w:val="24"/>
                <w:szCs w:val="24"/>
                <w:highlight w:val="none"/>
                <w:lang w:val="en-US" w:eastAsia="zh-CN" w:bidi="ar-SA"/>
              </w:rPr>
              <w:t>（</w:t>
            </w:r>
            <w:r>
              <w:rPr>
                <w:rFonts w:hint="eastAsia" w:ascii="宋体" w:hAnsi="宋体" w:cs="宋体"/>
                <w:b/>
                <w:bCs/>
                <w:kern w:val="2"/>
                <w:sz w:val="24"/>
                <w:szCs w:val="24"/>
                <w:highlight w:val="none"/>
                <w:lang w:val="en-US" w:eastAsia="zh-CN" w:bidi="ar-SA"/>
              </w:rPr>
              <w:t>10</w:t>
            </w:r>
            <w:r>
              <w:rPr>
                <w:rFonts w:hint="eastAsia" w:ascii="宋体" w:hAnsi="宋体" w:eastAsia="宋体" w:cs="宋体"/>
                <w:b/>
                <w:bCs/>
                <w:kern w:val="2"/>
                <w:sz w:val="24"/>
                <w:szCs w:val="24"/>
                <w:highlight w:val="none"/>
                <w:lang w:val="en-US" w:eastAsia="zh-CN" w:bidi="ar-SA"/>
              </w:rPr>
              <w:t>分）</w:t>
            </w:r>
          </w:p>
        </w:tc>
        <w:tc>
          <w:tcPr>
            <w:tcW w:w="5887" w:type="dxa"/>
            <w:noWrap w:val="0"/>
            <w:vAlign w:val="center"/>
          </w:tcPr>
          <w:p w14:paraId="3CEC17D6">
            <w:pPr>
              <w:pStyle w:val="68"/>
              <w:spacing w:line="360" w:lineRule="auto"/>
              <w:ind w:left="0" w:leftChars="0" w:right="0" w:rightChars="0" w:firstLine="0" w:firstLineChars="0"/>
              <w:jc w:val="both"/>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对本项目组织机构和人员配备及班制安排和岗位职责及工作内容安排全面，原则合理。得</w:t>
            </w:r>
            <w:r>
              <w:rPr>
                <w:rFonts w:hint="eastAsia" w:ascii="宋体" w:hAnsi="宋体" w:cs="宋体"/>
                <w:kern w:val="2"/>
                <w:sz w:val="24"/>
                <w:szCs w:val="24"/>
                <w:highlight w:val="none"/>
                <w:lang w:val="en-US" w:eastAsia="zh-CN" w:bidi="ar-SA"/>
              </w:rPr>
              <w:t>10</w:t>
            </w:r>
            <w:r>
              <w:rPr>
                <w:rFonts w:hint="eastAsia" w:ascii="宋体" w:hAnsi="宋体" w:eastAsia="宋体" w:cs="宋体"/>
                <w:kern w:val="2"/>
                <w:sz w:val="24"/>
                <w:szCs w:val="24"/>
                <w:highlight w:val="none"/>
                <w:lang w:val="en-US" w:eastAsia="zh-CN" w:bidi="ar-SA"/>
              </w:rPr>
              <w:t>分，缺项不得分。</w:t>
            </w:r>
          </w:p>
        </w:tc>
      </w:tr>
      <w:tr w14:paraId="2BCB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002" w:type="dxa"/>
            <w:vMerge w:val="continue"/>
            <w:noWrap w:val="0"/>
            <w:vAlign w:val="center"/>
          </w:tcPr>
          <w:p w14:paraId="621986F7">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b/>
                <w:bCs/>
                <w:color w:val="auto"/>
                <w:sz w:val="24"/>
                <w:szCs w:val="24"/>
              </w:rPr>
            </w:pPr>
          </w:p>
        </w:tc>
        <w:tc>
          <w:tcPr>
            <w:tcW w:w="1189" w:type="dxa"/>
            <w:vMerge w:val="continue"/>
            <w:noWrap w:val="0"/>
            <w:vAlign w:val="center"/>
          </w:tcPr>
          <w:p w14:paraId="21872751">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b/>
                <w:bCs/>
                <w:color w:val="auto"/>
                <w:sz w:val="24"/>
                <w:szCs w:val="24"/>
              </w:rPr>
            </w:pPr>
          </w:p>
        </w:tc>
        <w:tc>
          <w:tcPr>
            <w:tcW w:w="1665" w:type="dxa"/>
            <w:noWrap w:val="0"/>
            <w:vAlign w:val="center"/>
          </w:tcPr>
          <w:p w14:paraId="4C7FD599">
            <w:pPr>
              <w:pStyle w:val="68"/>
              <w:spacing w:line="360" w:lineRule="auto"/>
              <w:ind w:left="0" w:leftChars="0" w:firstLine="0" w:firstLineChars="0"/>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服务工具、设施、材料、备品备件等是否配置充分、先进（10分）</w:t>
            </w:r>
          </w:p>
        </w:tc>
        <w:tc>
          <w:tcPr>
            <w:tcW w:w="5887" w:type="dxa"/>
            <w:noWrap w:val="0"/>
            <w:vAlign w:val="center"/>
          </w:tcPr>
          <w:p w14:paraId="6697CC93">
            <w:pPr>
              <w:pStyle w:val="68"/>
              <w:spacing w:line="360" w:lineRule="auto"/>
              <w:ind w:left="0" w:leftChars="0" w:right="0" w:rightChars="0" w:firstLine="0" w:firstLineChars="0"/>
              <w:jc w:val="both"/>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对服务工具、设施、材料、备品备件等是否配置充分、先进制定的工作方案科学、合理，工作思路完整、规范、符合实际、切实可行，能够较好地体现任务要求得10分，缺项不得分。</w:t>
            </w:r>
          </w:p>
        </w:tc>
      </w:tr>
      <w:tr w14:paraId="7606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002" w:type="dxa"/>
            <w:vMerge w:val="continue"/>
            <w:noWrap w:val="0"/>
            <w:vAlign w:val="center"/>
          </w:tcPr>
          <w:p w14:paraId="0C92F580">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b/>
                <w:bCs/>
                <w:color w:val="auto"/>
                <w:sz w:val="24"/>
                <w:szCs w:val="24"/>
              </w:rPr>
            </w:pPr>
          </w:p>
        </w:tc>
        <w:tc>
          <w:tcPr>
            <w:tcW w:w="1189" w:type="dxa"/>
            <w:vMerge w:val="continue"/>
            <w:noWrap w:val="0"/>
            <w:vAlign w:val="center"/>
          </w:tcPr>
          <w:p w14:paraId="160F50A7">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b/>
                <w:bCs/>
                <w:color w:val="auto"/>
                <w:sz w:val="24"/>
                <w:szCs w:val="24"/>
              </w:rPr>
            </w:pPr>
          </w:p>
        </w:tc>
        <w:tc>
          <w:tcPr>
            <w:tcW w:w="1665" w:type="dxa"/>
            <w:noWrap w:val="0"/>
            <w:vAlign w:val="center"/>
          </w:tcPr>
          <w:p w14:paraId="1A662ABC">
            <w:pPr>
              <w:pStyle w:val="68"/>
              <w:spacing w:line="360" w:lineRule="auto"/>
              <w:ind w:left="0" w:leftChars="0" w:right="0" w:rightChars="0" w:firstLine="0" w:firstLineChars="0"/>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安全管理工作计划与目标（</w:t>
            </w:r>
            <w:r>
              <w:rPr>
                <w:rFonts w:hint="eastAsia" w:ascii="宋体" w:hAnsi="宋体" w:cs="宋体"/>
                <w:b/>
                <w:bCs/>
                <w:kern w:val="2"/>
                <w:sz w:val="24"/>
                <w:szCs w:val="24"/>
                <w:highlight w:val="none"/>
                <w:lang w:val="en-US" w:eastAsia="zh-CN" w:bidi="ar-SA"/>
              </w:rPr>
              <w:t>5</w:t>
            </w:r>
            <w:r>
              <w:rPr>
                <w:rFonts w:hint="eastAsia" w:ascii="宋体" w:hAnsi="宋体" w:eastAsia="宋体" w:cs="宋体"/>
                <w:b/>
                <w:bCs/>
                <w:kern w:val="2"/>
                <w:sz w:val="24"/>
                <w:szCs w:val="24"/>
                <w:highlight w:val="none"/>
                <w:lang w:val="en-US" w:eastAsia="zh-CN" w:bidi="ar-SA"/>
              </w:rPr>
              <w:t>分）</w:t>
            </w:r>
          </w:p>
        </w:tc>
        <w:tc>
          <w:tcPr>
            <w:tcW w:w="5887" w:type="dxa"/>
            <w:noWrap w:val="0"/>
            <w:vAlign w:val="center"/>
          </w:tcPr>
          <w:p w14:paraId="6B65B0BA">
            <w:pPr>
              <w:pStyle w:val="68"/>
              <w:spacing w:line="360" w:lineRule="auto"/>
              <w:ind w:left="0" w:leftChars="0" w:right="0" w:rightChars="0" w:firstLine="0" w:firstLineChars="0"/>
              <w:jc w:val="both"/>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对安全管理工作计划与目标进行安排，安排详细、完善、合理、切实可行。优得</w:t>
            </w:r>
            <w:r>
              <w:rPr>
                <w:rFonts w:hint="eastAsia" w:ascii="宋体" w:hAnsi="宋体" w:cs="宋体"/>
                <w:kern w:val="2"/>
                <w:sz w:val="24"/>
                <w:szCs w:val="24"/>
                <w:highlight w:val="none"/>
                <w:lang w:val="en-US" w:eastAsia="zh-CN" w:bidi="ar-SA"/>
              </w:rPr>
              <w:t>5</w:t>
            </w:r>
            <w:r>
              <w:rPr>
                <w:rFonts w:hint="eastAsia" w:ascii="宋体" w:hAnsi="宋体" w:eastAsia="宋体" w:cs="宋体"/>
                <w:kern w:val="2"/>
                <w:sz w:val="24"/>
                <w:szCs w:val="24"/>
                <w:highlight w:val="none"/>
                <w:lang w:val="en-US" w:eastAsia="zh-CN" w:bidi="ar-SA"/>
              </w:rPr>
              <w:t>分，良得</w:t>
            </w:r>
            <w:r>
              <w:rPr>
                <w:rFonts w:hint="eastAsia" w:ascii="宋体" w:hAnsi="宋体" w:cs="宋体"/>
                <w:kern w:val="2"/>
                <w:sz w:val="24"/>
                <w:szCs w:val="24"/>
                <w:highlight w:val="none"/>
                <w:lang w:val="en-US" w:eastAsia="zh-CN" w:bidi="ar-SA"/>
              </w:rPr>
              <w:t>3</w:t>
            </w:r>
            <w:r>
              <w:rPr>
                <w:rFonts w:hint="eastAsia" w:ascii="宋体" w:hAnsi="宋体" w:eastAsia="宋体" w:cs="宋体"/>
                <w:kern w:val="2"/>
                <w:sz w:val="24"/>
                <w:szCs w:val="24"/>
                <w:highlight w:val="none"/>
                <w:lang w:val="en-US" w:eastAsia="zh-CN" w:bidi="ar-SA"/>
              </w:rPr>
              <w:t>分，一般得1分，缺项不得分。</w:t>
            </w:r>
          </w:p>
        </w:tc>
      </w:tr>
      <w:tr w14:paraId="296D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002" w:type="dxa"/>
            <w:vMerge w:val="continue"/>
            <w:noWrap w:val="0"/>
            <w:vAlign w:val="center"/>
          </w:tcPr>
          <w:p w14:paraId="47B2ED23">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b/>
                <w:bCs/>
                <w:color w:val="auto"/>
                <w:sz w:val="24"/>
                <w:szCs w:val="24"/>
              </w:rPr>
            </w:pPr>
          </w:p>
        </w:tc>
        <w:tc>
          <w:tcPr>
            <w:tcW w:w="1189" w:type="dxa"/>
            <w:vMerge w:val="continue"/>
            <w:noWrap w:val="0"/>
            <w:vAlign w:val="center"/>
          </w:tcPr>
          <w:p w14:paraId="5207F1F6">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b/>
                <w:bCs/>
                <w:color w:val="auto"/>
                <w:sz w:val="24"/>
                <w:szCs w:val="24"/>
              </w:rPr>
            </w:pPr>
          </w:p>
        </w:tc>
        <w:tc>
          <w:tcPr>
            <w:tcW w:w="1665" w:type="dxa"/>
            <w:noWrap w:val="0"/>
            <w:vAlign w:val="center"/>
          </w:tcPr>
          <w:p w14:paraId="535CEDDB">
            <w:pPr>
              <w:pStyle w:val="68"/>
              <w:spacing w:line="360" w:lineRule="auto"/>
              <w:ind w:left="0" w:leftChars="0" w:right="0" w:rightChars="0" w:firstLine="0" w:firstLineChars="0"/>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维修保养等工作的实施方案</w:t>
            </w:r>
            <w:r>
              <w:rPr>
                <w:rFonts w:hint="eastAsia" w:ascii="宋体" w:hAnsi="宋体" w:cs="宋体"/>
                <w:b/>
                <w:bCs/>
                <w:kern w:val="2"/>
                <w:sz w:val="24"/>
                <w:szCs w:val="24"/>
                <w:highlight w:val="none"/>
                <w:lang w:val="en-US" w:eastAsia="zh-CN" w:bidi="ar-SA"/>
              </w:rPr>
              <w:t>及重点难点分析</w:t>
            </w:r>
            <w:r>
              <w:rPr>
                <w:rFonts w:hint="eastAsia" w:ascii="宋体" w:hAnsi="宋体" w:eastAsia="宋体" w:cs="宋体"/>
                <w:b/>
                <w:bCs/>
                <w:kern w:val="2"/>
                <w:sz w:val="24"/>
                <w:szCs w:val="24"/>
                <w:highlight w:val="none"/>
                <w:lang w:val="en-US" w:eastAsia="zh-CN" w:bidi="ar-SA"/>
              </w:rPr>
              <w:t>（</w:t>
            </w:r>
            <w:r>
              <w:rPr>
                <w:rFonts w:hint="eastAsia" w:ascii="宋体" w:hAnsi="宋体" w:cs="宋体"/>
                <w:b/>
                <w:bCs/>
                <w:kern w:val="2"/>
                <w:sz w:val="24"/>
                <w:szCs w:val="24"/>
                <w:highlight w:val="none"/>
                <w:lang w:val="en-US" w:eastAsia="zh-CN" w:bidi="ar-SA"/>
              </w:rPr>
              <w:t>5</w:t>
            </w:r>
            <w:r>
              <w:rPr>
                <w:rFonts w:hint="eastAsia" w:ascii="宋体" w:hAnsi="宋体" w:eastAsia="宋体" w:cs="宋体"/>
                <w:b/>
                <w:bCs/>
                <w:kern w:val="2"/>
                <w:sz w:val="24"/>
                <w:szCs w:val="24"/>
                <w:highlight w:val="none"/>
                <w:lang w:val="en-US" w:eastAsia="zh-CN" w:bidi="ar-SA"/>
              </w:rPr>
              <w:t>分）</w:t>
            </w:r>
          </w:p>
        </w:tc>
        <w:tc>
          <w:tcPr>
            <w:tcW w:w="5887" w:type="dxa"/>
            <w:noWrap w:val="0"/>
            <w:vAlign w:val="center"/>
          </w:tcPr>
          <w:p w14:paraId="7FE8738C">
            <w:pPr>
              <w:pStyle w:val="68"/>
              <w:spacing w:line="360" w:lineRule="auto"/>
              <w:ind w:left="0" w:leftChars="0" w:right="0" w:rightChars="0" w:firstLine="0" w:firstLineChars="0"/>
              <w:jc w:val="both"/>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对</w:t>
            </w:r>
            <w:r>
              <w:rPr>
                <w:rFonts w:hint="eastAsia" w:ascii="宋体" w:hAnsi="宋体" w:eastAsia="宋体" w:cs="宋体"/>
                <w:kern w:val="2"/>
                <w:sz w:val="24"/>
                <w:szCs w:val="24"/>
                <w:highlight w:val="none"/>
                <w:lang w:val="en-US" w:eastAsia="zh-CN" w:bidi="ar-SA"/>
              </w:rPr>
              <w:t>维修保养等工作的实施方案及重点难点分析内容完整，章节清晰合理，表述准确的得。优得</w:t>
            </w:r>
            <w:r>
              <w:rPr>
                <w:rFonts w:hint="eastAsia" w:ascii="宋体" w:hAnsi="宋体" w:cs="宋体"/>
                <w:kern w:val="2"/>
                <w:sz w:val="24"/>
                <w:szCs w:val="24"/>
                <w:highlight w:val="none"/>
                <w:lang w:val="en-US" w:eastAsia="zh-CN" w:bidi="ar-SA"/>
              </w:rPr>
              <w:t>5</w:t>
            </w:r>
            <w:r>
              <w:rPr>
                <w:rFonts w:hint="eastAsia" w:ascii="宋体" w:hAnsi="宋体" w:eastAsia="宋体" w:cs="宋体"/>
                <w:kern w:val="2"/>
                <w:sz w:val="24"/>
                <w:szCs w:val="24"/>
                <w:highlight w:val="none"/>
                <w:lang w:val="en-US" w:eastAsia="zh-CN" w:bidi="ar-SA"/>
              </w:rPr>
              <w:t>分，良得</w:t>
            </w:r>
            <w:r>
              <w:rPr>
                <w:rFonts w:hint="eastAsia" w:ascii="宋体" w:hAnsi="宋体" w:cs="宋体"/>
                <w:kern w:val="2"/>
                <w:sz w:val="24"/>
                <w:szCs w:val="24"/>
                <w:highlight w:val="none"/>
                <w:lang w:val="en-US" w:eastAsia="zh-CN" w:bidi="ar-SA"/>
              </w:rPr>
              <w:t>3</w:t>
            </w:r>
            <w:r>
              <w:rPr>
                <w:rFonts w:hint="eastAsia" w:ascii="宋体" w:hAnsi="宋体" w:eastAsia="宋体" w:cs="宋体"/>
                <w:kern w:val="2"/>
                <w:sz w:val="24"/>
                <w:szCs w:val="24"/>
                <w:highlight w:val="none"/>
                <w:lang w:val="en-US" w:eastAsia="zh-CN" w:bidi="ar-SA"/>
              </w:rPr>
              <w:t>分，一般得1分，缺项不得分。</w:t>
            </w:r>
          </w:p>
        </w:tc>
      </w:tr>
      <w:tr w14:paraId="0935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trPr>
        <w:tc>
          <w:tcPr>
            <w:tcW w:w="1002" w:type="dxa"/>
            <w:vMerge w:val="continue"/>
            <w:noWrap w:val="0"/>
            <w:vAlign w:val="center"/>
          </w:tcPr>
          <w:p w14:paraId="3802383D">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b/>
                <w:bCs/>
                <w:color w:val="auto"/>
                <w:sz w:val="24"/>
                <w:szCs w:val="24"/>
              </w:rPr>
            </w:pPr>
          </w:p>
        </w:tc>
        <w:tc>
          <w:tcPr>
            <w:tcW w:w="1189" w:type="dxa"/>
            <w:vMerge w:val="continue"/>
            <w:noWrap w:val="0"/>
            <w:vAlign w:val="center"/>
          </w:tcPr>
          <w:p w14:paraId="57F6BC7E">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b/>
                <w:bCs/>
                <w:color w:val="auto"/>
                <w:sz w:val="24"/>
                <w:szCs w:val="24"/>
              </w:rPr>
            </w:pPr>
          </w:p>
        </w:tc>
        <w:tc>
          <w:tcPr>
            <w:tcW w:w="1665" w:type="dxa"/>
            <w:noWrap w:val="0"/>
            <w:vAlign w:val="center"/>
          </w:tcPr>
          <w:p w14:paraId="781DB760">
            <w:pPr>
              <w:pStyle w:val="68"/>
              <w:spacing w:line="360" w:lineRule="auto"/>
              <w:ind w:left="0" w:leftChars="0" w:right="0" w:righ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应急处置预案</w:t>
            </w:r>
            <w:r>
              <w:rPr>
                <w:rFonts w:hint="eastAsia" w:ascii="宋体" w:hAnsi="宋体" w:cs="宋体"/>
                <w:b/>
                <w:bCs/>
                <w:kern w:val="2"/>
                <w:sz w:val="24"/>
                <w:szCs w:val="24"/>
                <w:lang w:val="en-US" w:eastAsia="zh-CN" w:bidi="ar-SA"/>
              </w:rPr>
              <w:t>及维保及年检技术方案</w:t>
            </w:r>
            <w:r>
              <w:rPr>
                <w:rFonts w:hint="eastAsia" w:ascii="宋体" w:hAnsi="宋体" w:eastAsia="宋体" w:cs="宋体"/>
                <w:b/>
                <w:bCs/>
                <w:kern w:val="2"/>
                <w:sz w:val="24"/>
                <w:szCs w:val="24"/>
                <w:lang w:val="en-US" w:eastAsia="zh-CN" w:bidi="ar-SA"/>
              </w:rPr>
              <w:t>（</w:t>
            </w:r>
            <w:r>
              <w:rPr>
                <w:rFonts w:hint="eastAsia" w:ascii="宋体" w:hAnsi="宋体" w:cs="宋体"/>
                <w:b/>
                <w:bCs/>
                <w:kern w:val="2"/>
                <w:sz w:val="24"/>
                <w:szCs w:val="24"/>
                <w:lang w:val="en-US" w:eastAsia="zh-CN" w:bidi="ar-SA"/>
              </w:rPr>
              <w:t>5</w:t>
            </w:r>
            <w:r>
              <w:rPr>
                <w:rFonts w:hint="eastAsia" w:ascii="宋体" w:hAnsi="宋体" w:eastAsia="宋体" w:cs="宋体"/>
                <w:b/>
                <w:bCs/>
                <w:kern w:val="2"/>
                <w:sz w:val="24"/>
                <w:szCs w:val="24"/>
                <w:lang w:val="en-US" w:eastAsia="zh-CN" w:bidi="ar-SA"/>
              </w:rPr>
              <w:t>分）</w:t>
            </w:r>
          </w:p>
        </w:tc>
        <w:tc>
          <w:tcPr>
            <w:tcW w:w="5887" w:type="dxa"/>
            <w:noWrap w:val="0"/>
            <w:vAlign w:val="center"/>
          </w:tcPr>
          <w:p w14:paraId="2B22A613">
            <w:pPr>
              <w:pStyle w:val="68"/>
              <w:spacing w:line="360" w:lineRule="auto"/>
              <w:ind w:left="0" w:leftChars="0" w:right="0" w:rightChars="0" w:firstLine="0" w:firstLineChars="0"/>
              <w:jc w:val="both"/>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对</w:t>
            </w:r>
            <w:r>
              <w:rPr>
                <w:rFonts w:hint="eastAsia" w:ascii="宋体" w:hAnsi="宋体" w:eastAsia="宋体" w:cs="宋体"/>
                <w:kern w:val="2"/>
                <w:sz w:val="24"/>
                <w:szCs w:val="24"/>
                <w:lang w:val="en-US" w:eastAsia="zh-CN" w:bidi="ar-SA"/>
              </w:rPr>
              <w:t>应急处置预案及维保及年检技术方案完整，章节清晰合理，表述准确的得。优得</w:t>
            </w:r>
            <w:r>
              <w:rPr>
                <w:rFonts w:hint="eastAsia" w:ascii="宋体" w:hAnsi="宋体" w:cs="宋体"/>
                <w:kern w:val="2"/>
                <w:sz w:val="24"/>
                <w:szCs w:val="24"/>
                <w:lang w:val="en-US" w:eastAsia="zh-CN" w:bidi="ar-SA"/>
              </w:rPr>
              <w:t>5</w:t>
            </w:r>
            <w:r>
              <w:rPr>
                <w:rFonts w:hint="eastAsia" w:ascii="宋体" w:hAnsi="宋体" w:eastAsia="宋体" w:cs="宋体"/>
                <w:kern w:val="2"/>
                <w:sz w:val="24"/>
                <w:szCs w:val="24"/>
                <w:lang w:val="en-US" w:eastAsia="zh-CN" w:bidi="ar-SA"/>
              </w:rPr>
              <w:t>分，良得</w:t>
            </w: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分，一般得</w:t>
            </w:r>
            <w:r>
              <w:rPr>
                <w:rFonts w:hint="eastAsia" w:ascii="宋体" w:hAnsi="宋体" w:cs="宋体"/>
                <w:kern w:val="2"/>
                <w:sz w:val="24"/>
                <w:szCs w:val="24"/>
                <w:lang w:val="en-US" w:eastAsia="zh-CN" w:bidi="ar-SA"/>
              </w:rPr>
              <w:t>1</w:t>
            </w:r>
            <w:r>
              <w:rPr>
                <w:rFonts w:hint="eastAsia" w:ascii="宋体" w:hAnsi="宋体" w:eastAsia="宋体" w:cs="宋体"/>
                <w:kern w:val="2"/>
                <w:sz w:val="24"/>
                <w:szCs w:val="24"/>
                <w:lang w:val="en-US" w:eastAsia="zh-CN" w:bidi="ar-SA"/>
              </w:rPr>
              <w:t>分，缺项不得分。</w:t>
            </w:r>
          </w:p>
        </w:tc>
      </w:tr>
      <w:tr w14:paraId="345E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atLeast"/>
        </w:trPr>
        <w:tc>
          <w:tcPr>
            <w:tcW w:w="1002" w:type="dxa"/>
            <w:vMerge w:val="restart"/>
            <w:noWrap w:val="0"/>
            <w:vAlign w:val="center"/>
          </w:tcPr>
          <w:p w14:paraId="45A7D675">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（3）</w:t>
            </w:r>
          </w:p>
        </w:tc>
        <w:tc>
          <w:tcPr>
            <w:tcW w:w="1189" w:type="dxa"/>
            <w:vMerge w:val="restart"/>
            <w:noWrap w:val="0"/>
            <w:vAlign w:val="center"/>
          </w:tcPr>
          <w:p w14:paraId="62E32990">
            <w:pPr>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综合</w:t>
            </w:r>
            <w:r>
              <w:rPr>
                <w:rFonts w:hint="eastAsia" w:ascii="宋体" w:hAnsi="宋体" w:eastAsia="宋体" w:cs="宋体"/>
                <w:b/>
                <w:bCs/>
                <w:color w:val="auto"/>
                <w:sz w:val="24"/>
                <w:szCs w:val="24"/>
                <w:highlight w:val="none"/>
                <w:lang w:val="en-US" w:eastAsia="zh-CN"/>
              </w:rPr>
              <w:t>部分</w:t>
            </w:r>
            <w:r>
              <w:rPr>
                <w:rFonts w:hint="eastAsia" w:ascii="宋体" w:hAnsi="宋体" w:eastAsia="宋体" w:cs="宋体"/>
                <w:b/>
                <w:bCs/>
                <w:color w:val="auto"/>
                <w:sz w:val="24"/>
                <w:szCs w:val="24"/>
                <w:highlight w:val="none"/>
              </w:rPr>
              <w:t xml:space="preserve"> （</w:t>
            </w:r>
            <w:r>
              <w:rPr>
                <w:rFonts w:hint="eastAsia" w:ascii="宋体" w:hAnsi="宋体" w:cs="宋体"/>
                <w:b/>
                <w:bCs/>
                <w:color w:val="auto"/>
                <w:sz w:val="24"/>
                <w:szCs w:val="24"/>
                <w:highlight w:val="none"/>
                <w:lang w:val="en-US" w:eastAsia="zh-CN"/>
              </w:rPr>
              <w:t>45</w:t>
            </w:r>
            <w:r>
              <w:rPr>
                <w:rFonts w:hint="eastAsia" w:ascii="宋体" w:hAnsi="宋体" w:eastAsia="宋体" w:cs="宋体"/>
                <w:b/>
                <w:bCs/>
                <w:color w:val="auto"/>
                <w:sz w:val="24"/>
                <w:szCs w:val="24"/>
                <w:highlight w:val="none"/>
              </w:rPr>
              <w:t>分）</w:t>
            </w:r>
          </w:p>
        </w:tc>
        <w:tc>
          <w:tcPr>
            <w:tcW w:w="1665" w:type="dxa"/>
            <w:noWrap w:val="0"/>
            <w:vAlign w:val="center"/>
          </w:tcPr>
          <w:p w14:paraId="4DAE3F6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业绩（</w:t>
            </w:r>
            <w:r>
              <w:rPr>
                <w:rFonts w:hint="eastAsia" w:ascii="宋体" w:hAnsi="宋体" w:cs="宋体"/>
                <w:b/>
                <w:bCs/>
                <w:kern w:val="2"/>
                <w:sz w:val="24"/>
                <w:szCs w:val="24"/>
                <w:highlight w:val="none"/>
                <w:lang w:val="en-US" w:eastAsia="zh-CN" w:bidi="ar-SA"/>
              </w:rPr>
              <w:t>1</w:t>
            </w:r>
            <w:r>
              <w:rPr>
                <w:rFonts w:hint="eastAsia" w:ascii="宋体" w:hAnsi="宋体" w:eastAsia="宋体" w:cs="宋体"/>
                <w:b/>
                <w:bCs/>
                <w:kern w:val="2"/>
                <w:sz w:val="24"/>
                <w:szCs w:val="24"/>
                <w:highlight w:val="none"/>
                <w:lang w:val="en-US" w:eastAsia="zh-CN" w:bidi="ar-SA"/>
              </w:rPr>
              <w:t>5分）</w:t>
            </w:r>
          </w:p>
        </w:tc>
        <w:tc>
          <w:tcPr>
            <w:tcW w:w="5887" w:type="dxa"/>
            <w:noWrap w:val="0"/>
            <w:vAlign w:val="center"/>
          </w:tcPr>
          <w:p w14:paraId="1BE4D62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202</w:t>
            </w:r>
            <w:r>
              <w:rPr>
                <w:rFonts w:hint="eastAsia" w:ascii="宋体" w:hAnsi="宋体" w:cs="宋体"/>
                <w:kern w:val="2"/>
                <w:sz w:val="24"/>
                <w:szCs w:val="24"/>
                <w:highlight w:val="none"/>
                <w:lang w:val="en-US" w:eastAsia="zh-CN" w:bidi="ar-SA"/>
              </w:rPr>
              <w:t>3</w:t>
            </w:r>
            <w:r>
              <w:rPr>
                <w:rFonts w:hint="eastAsia" w:ascii="宋体" w:hAnsi="宋体" w:eastAsia="宋体" w:cs="宋体"/>
                <w:kern w:val="2"/>
                <w:sz w:val="24"/>
                <w:szCs w:val="24"/>
                <w:highlight w:val="none"/>
                <w:lang w:val="en-US" w:eastAsia="zh-CN" w:bidi="ar-SA"/>
              </w:rPr>
              <w:t>年以来供应商承担</w:t>
            </w:r>
            <w:r>
              <w:rPr>
                <w:rFonts w:hint="eastAsia" w:ascii="宋体" w:hAnsi="宋体" w:cs="宋体"/>
                <w:kern w:val="2"/>
                <w:sz w:val="24"/>
                <w:szCs w:val="24"/>
                <w:highlight w:val="none"/>
                <w:lang w:val="en-US" w:eastAsia="zh-CN" w:bidi="ar-SA"/>
              </w:rPr>
              <w:t>的类似项目业绩（项目业绩须包含：层流净化或医用气体设施建设或物流系统维保服务）</w:t>
            </w:r>
            <w:r>
              <w:rPr>
                <w:rFonts w:hint="eastAsia" w:ascii="宋体" w:hAnsi="宋体" w:eastAsia="宋体" w:cs="宋体"/>
                <w:kern w:val="2"/>
                <w:sz w:val="24"/>
                <w:szCs w:val="24"/>
                <w:highlight w:val="none"/>
                <w:lang w:val="en-US" w:eastAsia="zh-CN" w:bidi="ar-SA"/>
              </w:rPr>
              <w:t>每个得</w:t>
            </w:r>
            <w:r>
              <w:rPr>
                <w:rFonts w:hint="eastAsia" w:ascii="宋体" w:hAnsi="宋体" w:cs="宋体"/>
                <w:kern w:val="2"/>
                <w:sz w:val="24"/>
                <w:szCs w:val="24"/>
                <w:highlight w:val="none"/>
                <w:lang w:val="en-US" w:eastAsia="zh-CN" w:bidi="ar-SA"/>
              </w:rPr>
              <w:t>3</w:t>
            </w:r>
            <w:r>
              <w:rPr>
                <w:rFonts w:hint="eastAsia" w:ascii="宋体" w:hAnsi="宋体" w:eastAsia="宋体" w:cs="宋体"/>
                <w:kern w:val="2"/>
                <w:sz w:val="24"/>
                <w:szCs w:val="24"/>
                <w:highlight w:val="none"/>
                <w:lang w:val="en-US" w:eastAsia="zh-CN" w:bidi="ar-SA"/>
              </w:rPr>
              <w:t>分，最多得</w:t>
            </w:r>
            <w:r>
              <w:rPr>
                <w:rFonts w:hint="eastAsia" w:ascii="宋体" w:hAnsi="宋体" w:cs="宋体"/>
                <w:kern w:val="2"/>
                <w:sz w:val="24"/>
                <w:szCs w:val="24"/>
                <w:highlight w:val="none"/>
                <w:lang w:val="en-US" w:eastAsia="zh-CN" w:bidi="ar-SA"/>
              </w:rPr>
              <w:t>1</w:t>
            </w:r>
            <w:r>
              <w:rPr>
                <w:rFonts w:hint="eastAsia" w:ascii="宋体" w:hAnsi="宋体" w:eastAsia="宋体" w:cs="宋体"/>
                <w:kern w:val="2"/>
                <w:sz w:val="24"/>
                <w:szCs w:val="24"/>
                <w:highlight w:val="none"/>
                <w:lang w:val="en-US" w:eastAsia="zh-CN" w:bidi="ar-SA"/>
              </w:rPr>
              <w:t>5分。（业绩时间以合同签订时间为准，提供中标通知书、包含关键信息的合同页、中标公示截图扫描件，编制在响应文件内，否则不得分</w:t>
            </w:r>
            <w:r>
              <w:rPr>
                <w:rFonts w:hint="eastAsia" w:ascii="宋体" w:hAnsi="宋体" w:cs="宋体"/>
                <w:kern w:val="2"/>
                <w:sz w:val="24"/>
                <w:szCs w:val="24"/>
                <w:highlight w:val="none"/>
                <w:lang w:val="en-US" w:eastAsia="zh-CN" w:bidi="ar-SA"/>
              </w:rPr>
              <w:t>（提供不全不清晰者此项不得分</w:t>
            </w:r>
            <w:r>
              <w:rPr>
                <w:rFonts w:hint="eastAsia" w:ascii="宋体" w:hAnsi="宋体" w:eastAsia="宋体" w:cs="宋体"/>
                <w:kern w:val="2"/>
                <w:sz w:val="24"/>
                <w:szCs w:val="24"/>
                <w:highlight w:val="none"/>
                <w:lang w:val="en-US" w:eastAsia="zh-CN" w:bidi="ar-SA"/>
              </w:rPr>
              <w:t>）</w:t>
            </w:r>
          </w:p>
        </w:tc>
      </w:tr>
      <w:tr w14:paraId="2D14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0" w:hRule="atLeast"/>
        </w:trPr>
        <w:tc>
          <w:tcPr>
            <w:tcW w:w="1002" w:type="dxa"/>
            <w:vMerge w:val="continue"/>
            <w:noWrap w:val="0"/>
            <w:vAlign w:val="center"/>
          </w:tcPr>
          <w:p w14:paraId="2EA8BF2E">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color w:val="auto"/>
                <w:sz w:val="24"/>
                <w:szCs w:val="24"/>
              </w:rPr>
            </w:pPr>
          </w:p>
        </w:tc>
        <w:tc>
          <w:tcPr>
            <w:tcW w:w="1189" w:type="dxa"/>
            <w:vMerge w:val="continue"/>
            <w:noWrap w:val="0"/>
            <w:vAlign w:val="center"/>
          </w:tcPr>
          <w:p w14:paraId="227470BB">
            <w:pPr>
              <w:keepNext w:val="0"/>
              <w:keepLines w:val="0"/>
              <w:pageBreakBefore w:val="0"/>
              <w:widowControl w:val="0"/>
              <w:kinsoku/>
              <w:wordWrap/>
              <w:overflowPunct/>
              <w:topLinePunct w:val="0"/>
              <w:autoSpaceDE/>
              <w:autoSpaceDN/>
              <w:bidi w:val="0"/>
              <w:adjustRightInd/>
              <w:snapToGrid/>
              <w:spacing w:line="440" w:lineRule="exact"/>
              <w:ind w:left="0" w:leftChars="0"/>
              <w:jc w:val="left"/>
              <w:textAlignment w:val="auto"/>
              <w:rPr>
                <w:rFonts w:hint="eastAsia" w:ascii="宋体" w:hAnsi="宋体" w:eastAsia="宋体" w:cs="宋体"/>
                <w:color w:val="auto"/>
                <w:sz w:val="24"/>
                <w:szCs w:val="24"/>
              </w:rPr>
            </w:pPr>
          </w:p>
        </w:tc>
        <w:tc>
          <w:tcPr>
            <w:tcW w:w="1665" w:type="dxa"/>
            <w:noWrap w:val="0"/>
            <w:vAlign w:val="center"/>
          </w:tcPr>
          <w:p w14:paraId="64FA2CA2">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企业实力</w:t>
            </w:r>
          </w:p>
          <w:p w14:paraId="69841DF1">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（1</w:t>
            </w:r>
            <w:r>
              <w:rPr>
                <w:rFonts w:hint="eastAsia" w:ascii="宋体" w:hAnsi="宋体" w:cs="宋体"/>
                <w:b/>
                <w:bCs/>
                <w:kern w:val="2"/>
                <w:sz w:val="24"/>
                <w:szCs w:val="24"/>
                <w:highlight w:val="none"/>
                <w:lang w:val="en-US" w:eastAsia="zh-CN" w:bidi="ar-SA"/>
              </w:rPr>
              <w:t>6</w:t>
            </w:r>
            <w:r>
              <w:rPr>
                <w:rFonts w:hint="eastAsia" w:ascii="宋体" w:hAnsi="宋体" w:eastAsia="宋体" w:cs="宋体"/>
                <w:b/>
                <w:bCs/>
                <w:kern w:val="2"/>
                <w:sz w:val="24"/>
                <w:szCs w:val="24"/>
                <w:highlight w:val="none"/>
                <w:lang w:val="en-US" w:eastAsia="zh-CN" w:bidi="ar-SA"/>
              </w:rPr>
              <w:t>分）</w:t>
            </w:r>
          </w:p>
        </w:tc>
        <w:tc>
          <w:tcPr>
            <w:tcW w:w="5887" w:type="dxa"/>
            <w:noWrap w:val="0"/>
            <w:vAlign w:val="center"/>
          </w:tcPr>
          <w:p w14:paraId="4A5A8D5F">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1、投标人具有有效期内的 GB/T27922 五星售后服务认证证书，投标文件提供认证证书扫描件及国家认证认可监督管理委员会官网查询截图，得 </w:t>
            </w:r>
            <w:r>
              <w:rPr>
                <w:rFonts w:hint="eastAsia" w:ascii="宋体" w:hAnsi="宋体" w:cs="宋体"/>
                <w:kern w:val="2"/>
                <w:sz w:val="24"/>
                <w:szCs w:val="24"/>
                <w:highlight w:val="none"/>
                <w:lang w:val="en-US" w:eastAsia="zh-CN" w:bidi="ar-SA"/>
              </w:rPr>
              <w:t>4</w:t>
            </w:r>
            <w:r>
              <w:rPr>
                <w:rFonts w:hint="eastAsia" w:ascii="宋体" w:hAnsi="宋体" w:eastAsia="宋体" w:cs="宋体"/>
                <w:kern w:val="2"/>
                <w:sz w:val="24"/>
                <w:szCs w:val="24"/>
                <w:highlight w:val="none"/>
                <w:lang w:val="en-US" w:eastAsia="zh-CN" w:bidi="ar-SA"/>
              </w:rPr>
              <w:t xml:space="preserve"> 分。</w:t>
            </w:r>
          </w:p>
          <w:p w14:paraId="380D5986">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2、投标人应同时具有： ISO9001 质量管理体系认证证书； ISO14001 环境管理体系认证证书；GB/T45001 职业健康管理体系认证证书</w:t>
            </w:r>
            <w:r>
              <w:rPr>
                <w:rFonts w:hint="eastAsia" w:ascii="宋体" w:hAnsi="宋体" w:cs="宋体"/>
                <w:kern w:val="2"/>
                <w:sz w:val="24"/>
                <w:szCs w:val="24"/>
                <w:highlight w:val="none"/>
                <w:lang w:val="en-US" w:eastAsia="zh-CN" w:bidi="ar-SA"/>
              </w:rPr>
              <w:t>（以上三体系认证证书</w:t>
            </w:r>
            <w:r>
              <w:rPr>
                <w:rFonts w:hint="eastAsia" w:ascii="宋体" w:hAnsi="宋体" w:eastAsia="宋体" w:cs="宋体"/>
                <w:kern w:val="2"/>
                <w:sz w:val="24"/>
                <w:szCs w:val="24"/>
                <w:highlight w:val="none"/>
                <w:lang w:val="en-US" w:eastAsia="zh-CN" w:bidi="ar-SA"/>
              </w:rPr>
              <w:t>覆盖范围需包含净化工程</w:t>
            </w:r>
            <w:r>
              <w:rPr>
                <w:rFonts w:hint="eastAsia" w:ascii="宋体" w:hAnsi="宋体" w:cs="宋体"/>
                <w:kern w:val="2"/>
                <w:sz w:val="24"/>
                <w:szCs w:val="24"/>
                <w:highlight w:val="none"/>
                <w:lang w:val="en-US" w:eastAsia="zh-CN" w:bidi="ar-SA"/>
              </w:rPr>
              <w:t>）</w:t>
            </w:r>
            <w:r>
              <w:rPr>
                <w:rFonts w:hint="eastAsia" w:ascii="宋体" w:hAnsi="宋体" w:eastAsia="宋体" w:cs="宋体"/>
                <w:kern w:val="2"/>
                <w:sz w:val="24"/>
                <w:szCs w:val="24"/>
                <w:highlight w:val="none"/>
                <w:lang w:val="en-US" w:eastAsia="zh-CN" w:bidi="ar-SA"/>
              </w:rPr>
              <w:t xml:space="preserve">，ISO13485 医疗器械质量管理体系认证证书；缺一项不得分。全部满足得 </w:t>
            </w:r>
            <w:r>
              <w:rPr>
                <w:rFonts w:hint="eastAsia" w:ascii="宋体" w:hAnsi="宋体" w:cs="宋体"/>
                <w:kern w:val="2"/>
                <w:sz w:val="24"/>
                <w:szCs w:val="24"/>
                <w:highlight w:val="none"/>
                <w:lang w:val="en-US" w:eastAsia="zh-CN" w:bidi="ar-SA"/>
              </w:rPr>
              <w:t>8</w:t>
            </w:r>
            <w:r>
              <w:rPr>
                <w:rFonts w:hint="eastAsia" w:ascii="宋体" w:hAnsi="宋体" w:eastAsia="宋体" w:cs="宋体"/>
                <w:kern w:val="2"/>
                <w:sz w:val="24"/>
                <w:szCs w:val="24"/>
                <w:highlight w:val="none"/>
                <w:lang w:val="en-US" w:eastAsia="zh-CN" w:bidi="ar-SA"/>
              </w:rPr>
              <w:t xml:space="preserve"> 分。</w:t>
            </w:r>
          </w:p>
          <w:p w14:paraId="0012DD8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w:t>
            </w:r>
            <w:r>
              <w:rPr>
                <w:rFonts w:hint="eastAsia" w:ascii="宋体" w:hAnsi="宋体" w:cs="宋体"/>
                <w:kern w:val="2"/>
                <w:sz w:val="24"/>
                <w:szCs w:val="24"/>
                <w:highlight w:val="none"/>
                <w:lang w:val="en-US" w:eastAsia="zh-CN" w:bidi="ar-SA"/>
              </w:rPr>
              <w:t>投标人2023年以来获得省级及以上工程质量奖</w:t>
            </w:r>
            <w:r>
              <w:rPr>
                <w:rFonts w:hint="eastAsia" w:ascii="宋体" w:hAnsi="宋体" w:eastAsia="宋体" w:cs="宋体"/>
                <w:kern w:val="2"/>
                <w:sz w:val="24"/>
                <w:szCs w:val="24"/>
                <w:highlight w:val="none"/>
                <w:lang w:val="en-US" w:eastAsia="zh-CN" w:bidi="ar-SA"/>
              </w:rPr>
              <w:t xml:space="preserve">。得 </w:t>
            </w:r>
            <w:r>
              <w:rPr>
                <w:rFonts w:hint="eastAsia" w:ascii="宋体" w:hAnsi="宋体" w:cs="宋体"/>
                <w:kern w:val="2"/>
                <w:sz w:val="24"/>
                <w:szCs w:val="24"/>
                <w:highlight w:val="none"/>
                <w:lang w:val="en-US" w:eastAsia="zh-CN" w:bidi="ar-SA"/>
              </w:rPr>
              <w:t>4</w:t>
            </w:r>
            <w:r>
              <w:rPr>
                <w:rFonts w:hint="eastAsia" w:ascii="宋体" w:hAnsi="宋体" w:eastAsia="宋体" w:cs="宋体"/>
                <w:kern w:val="2"/>
                <w:sz w:val="24"/>
                <w:szCs w:val="24"/>
                <w:highlight w:val="none"/>
                <w:lang w:val="en-US" w:eastAsia="zh-CN" w:bidi="ar-SA"/>
              </w:rPr>
              <w:t>分，</w:t>
            </w:r>
            <w:r>
              <w:rPr>
                <w:rFonts w:hint="eastAsia" w:ascii="宋体" w:hAnsi="宋体" w:cs="宋体"/>
                <w:kern w:val="2"/>
                <w:sz w:val="24"/>
                <w:szCs w:val="24"/>
                <w:highlight w:val="none"/>
                <w:lang w:val="en-US" w:eastAsia="zh-CN" w:bidi="ar-SA"/>
              </w:rPr>
              <w:t>提供相关获奖证书、红头文件和获奖项目施工合同，以获奖证书颁发时间为准，未提供或提供不全</w:t>
            </w:r>
            <w:r>
              <w:rPr>
                <w:rFonts w:hint="eastAsia" w:ascii="宋体" w:hAnsi="宋体" w:eastAsia="宋体" w:cs="宋体"/>
                <w:kern w:val="2"/>
                <w:sz w:val="24"/>
                <w:szCs w:val="24"/>
                <w:highlight w:val="none"/>
                <w:lang w:val="en-US" w:eastAsia="zh-CN" w:bidi="ar-SA"/>
              </w:rPr>
              <w:t>不得分。</w:t>
            </w:r>
          </w:p>
        </w:tc>
      </w:tr>
      <w:tr w14:paraId="7075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1" w:hRule="atLeast"/>
        </w:trPr>
        <w:tc>
          <w:tcPr>
            <w:tcW w:w="1002" w:type="dxa"/>
            <w:vMerge w:val="continue"/>
            <w:noWrap w:val="0"/>
            <w:vAlign w:val="center"/>
          </w:tcPr>
          <w:p w14:paraId="64D8279D">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宋体" w:hAnsi="宋体" w:eastAsia="宋体" w:cs="宋体"/>
                <w:color w:val="auto"/>
                <w:sz w:val="24"/>
                <w:szCs w:val="24"/>
              </w:rPr>
            </w:pPr>
          </w:p>
        </w:tc>
        <w:tc>
          <w:tcPr>
            <w:tcW w:w="1189" w:type="dxa"/>
            <w:vMerge w:val="continue"/>
            <w:noWrap w:val="0"/>
            <w:vAlign w:val="center"/>
          </w:tcPr>
          <w:p w14:paraId="52224457">
            <w:pPr>
              <w:keepNext w:val="0"/>
              <w:keepLines w:val="0"/>
              <w:pageBreakBefore w:val="0"/>
              <w:widowControl w:val="0"/>
              <w:kinsoku/>
              <w:wordWrap/>
              <w:overflowPunct/>
              <w:topLinePunct w:val="0"/>
              <w:autoSpaceDE/>
              <w:autoSpaceDN/>
              <w:bidi w:val="0"/>
              <w:adjustRightInd/>
              <w:snapToGrid/>
              <w:spacing w:line="440" w:lineRule="exact"/>
              <w:ind w:left="0" w:leftChars="0"/>
              <w:jc w:val="left"/>
              <w:textAlignment w:val="auto"/>
              <w:rPr>
                <w:rFonts w:hint="eastAsia" w:ascii="宋体" w:hAnsi="宋体" w:eastAsia="宋体" w:cs="宋体"/>
                <w:color w:val="auto"/>
                <w:sz w:val="24"/>
                <w:szCs w:val="24"/>
              </w:rPr>
            </w:pPr>
          </w:p>
        </w:tc>
        <w:tc>
          <w:tcPr>
            <w:tcW w:w="1665" w:type="dxa"/>
            <w:noWrap w:val="0"/>
            <w:vAlign w:val="center"/>
          </w:tcPr>
          <w:p w14:paraId="4C4CA2A0">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人员配备（</w:t>
            </w:r>
            <w:r>
              <w:rPr>
                <w:rFonts w:hint="eastAsia" w:ascii="宋体" w:hAnsi="宋体" w:cs="宋体"/>
                <w:b/>
                <w:bCs/>
                <w:kern w:val="2"/>
                <w:sz w:val="24"/>
                <w:szCs w:val="24"/>
                <w:lang w:val="en-US" w:eastAsia="zh-CN" w:bidi="ar-SA"/>
              </w:rPr>
              <w:t>14</w:t>
            </w:r>
            <w:r>
              <w:rPr>
                <w:rFonts w:hint="eastAsia" w:ascii="宋体" w:hAnsi="宋体" w:eastAsia="宋体" w:cs="宋体"/>
                <w:b/>
                <w:bCs/>
                <w:kern w:val="2"/>
                <w:sz w:val="24"/>
                <w:szCs w:val="24"/>
                <w:lang w:val="en-US" w:eastAsia="zh-CN" w:bidi="ar-SA"/>
              </w:rPr>
              <w:t>分）</w:t>
            </w:r>
          </w:p>
        </w:tc>
        <w:tc>
          <w:tcPr>
            <w:tcW w:w="5887" w:type="dxa"/>
            <w:noWrap w:val="0"/>
            <w:vAlign w:val="center"/>
          </w:tcPr>
          <w:p w14:paraId="06300ACC">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在满足采购内容实质性人员配备的基础上，增加本项目人员具有特种设备作业人员证（压力容器操作证R1）1人、特种设备安全管理证（代号A）1人、特种作业操作人员证（制冷与空调作业）</w:t>
            </w:r>
            <w:r>
              <w:rPr>
                <w:rFonts w:hint="eastAsia" w:ascii="宋体" w:hAnsi="宋体" w:cs="宋体"/>
                <w:kern w:val="2"/>
                <w:sz w:val="24"/>
                <w:szCs w:val="24"/>
                <w:lang w:val="en-US" w:eastAsia="zh-CN" w:bidi="ar-SA"/>
              </w:rPr>
              <w:t>2</w:t>
            </w:r>
            <w:r>
              <w:rPr>
                <w:rFonts w:hint="eastAsia" w:ascii="宋体" w:hAnsi="宋体" w:eastAsia="宋体" w:cs="宋体"/>
                <w:kern w:val="2"/>
                <w:sz w:val="24"/>
                <w:szCs w:val="24"/>
                <w:lang w:val="en-US" w:eastAsia="zh-CN" w:bidi="ar-SA"/>
              </w:rPr>
              <w:t>人、特种作业操作人员证（低压电工作业）1人、特种作业操作人员证（焊接与热切割作业）1人、特种作业操作人员证（高处安装、维护、拆除作业）</w:t>
            </w:r>
            <w:r>
              <w:rPr>
                <w:rFonts w:hint="eastAsia" w:ascii="宋体" w:hAnsi="宋体" w:cs="宋体"/>
                <w:kern w:val="2"/>
                <w:sz w:val="24"/>
                <w:szCs w:val="24"/>
                <w:lang w:val="en-US" w:eastAsia="zh-CN" w:bidi="ar-SA"/>
              </w:rPr>
              <w:t>1</w:t>
            </w:r>
            <w:r>
              <w:rPr>
                <w:rFonts w:hint="eastAsia" w:ascii="宋体" w:hAnsi="宋体" w:eastAsia="宋体" w:cs="宋体"/>
                <w:kern w:val="2"/>
                <w:sz w:val="24"/>
                <w:szCs w:val="24"/>
                <w:lang w:val="en-US" w:eastAsia="zh-CN" w:bidi="ar-SA"/>
              </w:rPr>
              <w:t>人，每提供一人得</w:t>
            </w:r>
            <w:r>
              <w:rPr>
                <w:rFonts w:hint="eastAsia" w:ascii="宋体" w:hAnsi="宋体" w:cs="宋体"/>
                <w:kern w:val="2"/>
                <w:sz w:val="24"/>
                <w:szCs w:val="24"/>
                <w:lang w:val="en-US" w:eastAsia="zh-CN" w:bidi="ar-SA"/>
              </w:rPr>
              <w:t>2</w:t>
            </w:r>
            <w:r>
              <w:rPr>
                <w:rFonts w:hint="eastAsia" w:ascii="宋体" w:hAnsi="宋体" w:eastAsia="宋体" w:cs="宋体"/>
                <w:kern w:val="2"/>
                <w:sz w:val="24"/>
                <w:szCs w:val="24"/>
                <w:lang w:val="en-US" w:eastAsia="zh-CN" w:bidi="ar-SA"/>
              </w:rPr>
              <w:t>分，本项最高得 1</w:t>
            </w:r>
            <w:r>
              <w:rPr>
                <w:rFonts w:hint="eastAsia" w:ascii="宋体" w:hAnsi="宋体" w:cs="宋体"/>
                <w:kern w:val="2"/>
                <w:sz w:val="24"/>
                <w:szCs w:val="24"/>
                <w:lang w:val="en-US" w:eastAsia="zh-CN" w:bidi="ar-SA"/>
              </w:rPr>
              <w:t>4</w:t>
            </w:r>
            <w:r>
              <w:rPr>
                <w:rFonts w:hint="eastAsia" w:ascii="宋体" w:hAnsi="宋体" w:eastAsia="宋体" w:cs="宋体"/>
                <w:kern w:val="2"/>
                <w:sz w:val="24"/>
                <w:szCs w:val="24"/>
                <w:lang w:val="en-US" w:eastAsia="zh-CN" w:bidi="ar-SA"/>
              </w:rPr>
              <w:t>分。注：应提供证书原件扫描件，并提供供应商为其缴纳的2026年1月以来连续3个月以上的社保证明。。</w:t>
            </w:r>
          </w:p>
        </w:tc>
      </w:tr>
      <w:tr w14:paraId="08D4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43" w:type="dxa"/>
            <w:gridSpan w:val="4"/>
            <w:noWrap w:val="0"/>
            <w:vAlign w:val="center"/>
          </w:tcPr>
          <w:p w14:paraId="0A66AED7">
            <w:pPr>
              <w:rPr>
                <w:rFonts w:hint="eastAsia" w:ascii="宋体" w:hAnsi="宋体" w:eastAsia="宋体" w:cs="宋体"/>
                <w:b/>
                <w:bCs/>
                <w:sz w:val="24"/>
                <w:szCs w:val="32"/>
                <w:lang w:val="en-US" w:eastAsia="zh-CN"/>
              </w:rPr>
            </w:pPr>
            <w:r>
              <w:rPr>
                <w:rFonts w:hint="eastAsia" w:ascii="宋体" w:hAnsi="宋体" w:eastAsia="宋体" w:cs="宋体"/>
                <w:b/>
                <w:bCs/>
                <w:sz w:val="24"/>
                <w:szCs w:val="32"/>
              </w:rPr>
              <w:t>注：</w:t>
            </w:r>
            <w:r>
              <w:rPr>
                <w:rFonts w:hint="eastAsia" w:ascii="宋体" w:hAnsi="宋体" w:eastAsia="宋体" w:cs="宋体"/>
                <w:b/>
                <w:bCs/>
                <w:sz w:val="24"/>
                <w:szCs w:val="32"/>
                <w:lang w:val="en-US" w:eastAsia="zh-CN"/>
              </w:rPr>
              <w:t>1.供应商编制响应文件时，涉及营业执照、资质、业绩、获奖、人员、财务、社保、纳税、各类证书等内容，须扫描编制在响应文件内。评委评审只需依法对响应文件进行评审，</w:t>
            </w:r>
            <w:r>
              <w:rPr>
                <w:rFonts w:hint="eastAsia" w:ascii="宋体" w:hAnsi="宋体" w:eastAsia="宋体" w:cs="宋体"/>
                <w:b/>
                <w:bCs/>
                <w:sz w:val="24"/>
                <w:szCs w:val="32"/>
                <w:u w:val="thick"/>
                <w:lang w:val="en-US" w:eastAsia="zh-CN"/>
              </w:rPr>
              <w:t>并以响应文件的响应为唯一评审依据，不再比对主体信用信息。</w:t>
            </w:r>
          </w:p>
          <w:p w14:paraId="5832B536">
            <w:pPr>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2.电子响应文件中的扫描件，每张一般控制在500kb内,生成的加密电子响应文件一般不要超过50MB。</w:t>
            </w:r>
          </w:p>
          <w:p w14:paraId="0A031BC1">
            <w:pPr>
              <w:rPr>
                <w:rFonts w:hint="eastAsia" w:ascii="宋体" w:hAnsi="宋体" w:eastAsia="宋体" w:cs="宋体"/>
                <w:color w:val="auto"/>
                <w:kern w:val="2"/>
                <w:sz w:val="24"/>
                <w:szCs w:val="24"/>
                <w:lang w:val="en-US" w:eastAsia="zh-CN" w:bidi="ar-SA"/>
              </w:rPr>
            </w:pPr>
            <w:r>
              <w:rPr>
                <w:rFonts w:hint="eastAsia" w:ascii="宋体" w:hAnsi="宋体" w:eastAsia="宋体" w:cs="宋体"/>
                <w:b/>
                <w:bCs/>
                <w:sz w:val="24"/>
                <w:szCs w:val="32"/>
                <w:u w:val="none"/>
                <w:lang w:val="en-US" w:eastAsia="zh-CN"/>
              </w:rPr>
              <w:t>3.</w:t>
            </w:r>
            <w:r>
              <w:rPr>
                <w:rFonts w:hint="eastAsia" w:ascii="宋体" w:hAnsi="宋体" w:eastAsia="宋体" w:cs="宋体"/>
                <w:b/>
                <w:bCs/>
                <w:sz w:val="24"/>
                <w:szCs w:val="32"/>
              </w:rPr>
              <w:t>评分分值及计算结果精确到小数点后</w:t>
            </w:r>
            <w:r>
              <w:rPr>
                <w:rFonts w:hint="eastAsia" w:ascii="宋体" w:hAnsi="宋体" w:eastAsia="宋体" w:cs="宋体"/>
                <w:b/>
                <w:bCs/>
                <w:sz w:val="24"/>
                <w:szCs w:val="32"/>
                <w:lang w:eastAsia="zh-CN"/>
              </w:rPr>
              <w:t>两位</w:t>
            </w:r>
            <w:r>
              <w:rPr>
                <w:rFonts w:hint="eastAsia" w:ascii="宋体" w:hAnsi="宋体" w:eastAsia="宋体" w:cs="宋体"/>
                <w:b/>
                <w:bCs/>
                <w:sz w:val="24"/>
                <w:szCs w:val="32"/>
              </w:rPr>
              <w:t xml:space="preserve">，第三位四舍五入。 </w:t>
            </w:r>
          </w:p>
        </w:tc>
      </w:tr>
      <w:bookmarkEnd w:id="623"/>
      <w:bookmarkEnd w:id="624"/>
      <w:bookmarkEnd w:id="625"/>
      <w:bookmarkEnd w:id="626"/>
      <w:bookmarkEnd w:id="627"/>
      <w:bookmarkEnd w:id="628"/>
    </w:tbl>
    <w:p w14:paraId="6185E662">
      <w:pPr>
        <w:pageBreakBefore w:val="0"/>
        <w:widowControl w:val="0"/>
        <w:numPr>
          <w:ilvl w:val="0"/>
          <w:numId w:val="0"/>
        </w:numPr>
        <w:kinsoku/>
        <w:wordWrap/>
        <w:overflowPunct/>
        <w:topLinePunct w:val="0"/>
        <w:autoSpaceDE/>
        <w:autoSpaceDN/>
        <w:bidi w:val="0"/>
        <w:adjustRightInd/>
        <w:snapToGrid/>
        <w:spacing w:line="420" w:lineRule="exact"/>
        <w:textAlignment w:val="auto"/>
        <w:outlineLvl w:val="1"/>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评审方法</w:t>
      </w:r>
    </w:p>
    <w:p w14:paraId="23884773">
      <w:pPr>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bidi="en-US"/>
        </w:rPr>
        <w:t>1.1</w:t>
      </w:r>
      <w:r>
        <w:rPr>
          <w:rFonts w:hint="eastAsia" w:ascii="宋体" w:hAnsi="宋体" w:eastAsia="宋体" w:cs="宋体"/>
          <w:color w:val="auto"/>
          <w:sz w:val="24"/>
          <w:szCs w:val="24"/>
          <w:lang w:bidi="en-US"/>
        </w:rPr>
        <w:t>本次评审采用综合评分法。磋商小组对满足</w:t>
      </w:r>
      <w:r>
        <w:rPr>
          <w:rFonts w:hint="eastAsia" w:ascii="宋体" w:hAnsi="宋体" w:eastAsia="宋体" w:cs="宋体"/>
          <w:color w:val="auto"/>
          <w:sz w:val="24"/>
          <w:szCs w:val="24"/>
          <w:lang w:eastAsia="zh-CN" w:bidi="en-US"/>
        </w:rPr>
        <w:t>竞争性磋商文件</w:t>
      </w:r>
      <w:r>
        <w:rPr>
          <w:rFonts w:hint="eastAsia" w:ascii="宋体" w:hAnsi="宋体" w:eastAsia="宋体" w:cs="宋体"/>
          <w:color w:val="auto"/>
          <w:sz w:val="24"/>
          <w:szCs w:val="24"/>
          <w:lang w:bidi="en-US"/>
        </w:rPr>
        <w:t>实质性要求的响应文件</w:t>
      </w:r>
      <w:r>
        <w:rPr>
          <w:rFonts w:hint="eastAsia" w:ascii="宋体" w:hAnsi="宋体" w:eastAsia="宋体" w:cs="宋体"/>
          <w:color w:val="auto"/>
          <w:sz w:val="24"/>
          <w:szCs w:val="24"/>
        </w:rPr>
        <w:t>，按照本章规定的评分标准进行打分，并按得分由高到低顺序推荐成交候选人，</w:t>
      </w:r>
      <w:r>
        <w:rPr>
          <w:rFonts w:hint="eastAsia" w:ascii="宋体" w:hAnsi="宋体" w:eastAsia="宋体" w:cs="宋体"/>
          <w:color w:val="auto"/>
          <w:kern w:val="0"/>
          <w:sz w:val="24"/>
          <w:szCs w:val="24"/>
        </w:rPr>
        <w:t>综合评</w:t>
      </w:r>
      <w:r>
        <w:rPr>
          <w:rFonts w:hint="eastAsia" w:ascii="宋体" w:hAnsi="宋体" w:eastAsia="宋体" w:cs="宋体"/>
          <w:color w:val="auto"/>
          <w:sz w:val="24"/>
          <w:szCs w:val="24"/>
        </w:rPr>
        <w:t>分相等时，以报价得分高的优先；报价得分也相等的，</w:t>
      </w:r>
      <w:r>
        <w:rPr>
          <w:rFonts w:hint="eastAsia" w:ascii="宋体" w:hAnsi="宋体" w:eastAsia="宋体" w:cs="宋体"/>
          <w:color w:val="auto"/>
          <w:sz w:val="24"/>
          <w:szCs w:val="24"/>
          <w:lang w:val="en-US" w:eastAsia="zh-CN"/>
        </w:rPr>
        <w:t>按技术指标优劣顺序排列，报价得分和技术指标相等的，</w:t>
      </w:r>
      <w:r>
        <w:rPr>
          <w:rFonts w:hint="eastAsia" w:ascii="宋体" w:hAnsi="宋体" w:eastAsia="宋体" w:cs="宋体"/>
          <w:color w:val="auto"/>
          <w:sz w:val="24"/>
          <w:szCs w:val="24"/>
        </w:rPr>
        <w:t>由采购人自行确定。</w:t>
      </w:r>
      <w:bookmarkStart w:id="629" w:name="_Toc455867817"/>
      <w:bookmarkStart w:id="630" w:name="_Toc466298140"/>
      <w:bookmarkStart w:id="631" w:name="_Toc490667876"/>
      <w:bookmarkStart w:id="632" w:name="_Toc152045601"/>
      <w:bookmarkStart w:id="633" w:name="_Toc144974568"/>
      <w:bookmarkStart w:id="634" w:name="_Toc281405529"/>
      <w:bookmarkStart w:id="635" w:name="_Toc24936"/>
      <w:bookmarkStart w:id="636" w:name="_Toc152042378"/>
      <w:bookmarkStart w:id="637" w:name="_Toc318450723"/>
      <w:bookmarkStart w:id="638" w:name="_Toc20837"/>
      <w:bookmarkStart w:id="639" w:name="_Toc29362"/>
      <w:bookmarkStart w:id="640" w:name="_Toc6612"/>
      <w:bookmarkStart w:id="641" w:name="_Toc455080157"/>
      <w:bookmarkStart w:id="642" w:name="_Toc26131"/>
    </w:p>
    <w:p w14:paraId="4C8AAF57">
      <w:pPr>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评审标准</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Start w:id="643" w:name="_Toc281405530"/>
      <w:bookmarkStart w:id="644" w:name="_Toc21120"/>
      <w:bookmarkStart w:id="645" w:name="_Toc2867"/>
      <w:bookmarkStart w:id="646" w:name="_Toc466298141"/>
      <w:bookmarkStart w:id="647" w:name="_Toc15813"/>
      <w:bookmarkStart w:id="648" w:name="_Toc455080158"/>
      <w:bookmarkStart w:id="649" w:name="_Toc25637"/>
      <w:bookmarkStart w:id="650" w:name="_Toc152045602"/>
      <w:bookmarkStart w:id="651" w:name="_Toc490667877"/>
      <w:bookmarkStart w:id="652" w:name="_Toc11223"/>
      <w:bookmarkStart w:id="653" w:name="_Toc24558"/>
      <w:bookmarkStart w:id="654" w:name="_Toc455867818"/>
      <w:bookmarkStart w:id="655" w:name="_Toc152042379"/>
      <w:bookmarkStart w:id="656" w:name="_Toc19934"/>
      <w:bookmarkStart w:id="657" w:name="_Toc6711"/>
      <w:bookmarkStart w:id="658" w:name="_Toc318450724"/>
      <w:bookmarkStart w:id="659" w:name="_Toc31037"/>
      <w:bookmarkStart w:id="660" w:name="_Toc144974569"/>
    </w:p>
    <w:p w14:paraId="1E421D5C">
      <w:pPr>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2.1 初步评审标准</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5C02779C">
      <w:pPr>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2.1.1 资格检查评审标准：见评审办法前附表。</w:t>
      </w:r>
    </w:p>
    <w:p w14:paraId="29FFBD32">
      <w:pPr>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符合</w:t>
      </w:r>
      <w:r>
        <w:rPr>
          <w:rFonts w:hint="eastAsia" w:ascii="宋体" w:hAnsi="宋体" w:eastAsia="宋体" w:cs="宋体"/>
          <w:color w:val="auto"/>
          <w:sz w:val="24"/>
          <w:szCs w:val="24"/>
        </w:rPr>
        <w:t>性检查评审标准：见评审办法前附表。</w:t>
      </w:r>
    </w:p>
    <w:p w14:paraId="48ADB32B">
      <w:pPr>
        <w:pStyle w:val="89"/>
        <w:pageBreakBefore w:val="0"/>
        <w:widowControl w:val="0"/>
        <w:kinsoku/>
        <w:wordWrap/>
        <w:overflowPunct/>
        <w:topLinePunct w:val="0"/>
        <w:autoSpaceDE/>
        <w:autoSpaceDN/>
        <w:bidi w:val="0"/>
        <w:adjustRightInd/>
        <w:snapToGrid/>
        <w:spacing w:line="420" w:lineRule="exact"/>
        <w:textAlignment w:val="auto"/>
        <w:outlineLvl w:val="0"/>
        <w:rPr>
          <w:rFonts w:hint="eastAsia" w:ascii="宋体" w:hAnsi="宋体" w:eastAsia="宋体" w:cs="宋体"/>
          <w:b/>
          <w:bCs/>
          <w:color w:val="auto"/>
          <w:sz w:val="24"/>
          <w:szCs w:val="24"/>
        </w:rPr>
      </w:pPr>
      <w:bookmarkStart w:id="661" w:name="_Toc30189"/>
      <w:bookmarkStart w:id="662" w:name="_Toc281405531"/>
      <w:bookmarkStart w:id="663" w:name="_Toc152042380"/>
      <w:bookmarkStart w:id="664" w:name="_Toc25492"/>
      <w:bookmarkStart w:id="665" w:name="_Toc26179"/>
      <w:bookmarkStart w:id="666" w:name="_Toc318450725"/>
      <w:bookmarkStart w:id="667" w:name="_Toc455867819"/>
      <w:bookmarkStart w:id="668" w:name="_Toc144974570"/>
      <w:bookmarkStart w:id="669" w:name="_Toc152045603"/>
      <w:bookmarkStart w:id="670" w:name="_Toc455080159"/>
      <w:bookmarkStart w:id="671" w:name="_Toc22439"/>
      <w:bookmarkStart w:id="672" w:name="_Toc24825"/>
      <w:bookmarkStart w:id="673" w:name="_Toc11061"/>
      <w:bookmarkStart w:id="674" w:name="_Toc466298142"/>
      <w:bookmarkStart w:id="675" w:name="_Toc490667878"/>
      <w:bookmarkStart w:id="676" w:name="_Toc12013"/>
      <w:bookmarkStart w:id="677" w:name="_Toc21970"/>
      <w:bookmarkStart w:id="678" w:name="_Toc7284"/>
      <w:r>
        <w:rPr>
          <w:rFonts w:hint="eastAsia" w:ascii="宋体" w:hAnsi="宋体" w:eastAsia="宋体" w:cs="宋体"/>
          <w:b/>
          <w:bCs/>
          <w:color w:val="auto"/>
          <w:sz w:val="24"/>
          <w:szCs w:val="24"/>
        </w:rPr>
        <w:t>2.2 分值构成与评分标准</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2031A23B">
      <w:pPr>
        <w:pageBreakBefore w:val="0"/>
        <w:widowControl w:val="0"/>
        <w:kinsoku/>
        <w:wordWrap/>
        <w:overflowPunct/>
        <w:topLinePunct w:val="0"/>
        <w:autoSpaceDE/>
        <w:autoSpaceDN/>
        <w:bidi w:val="0"/>
        <w:adjustRightInd/>
        <w:snapToGrid/>
        <w:spacing w:line="420" w:lineRule="exact"/>
        <w:ind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（1）商务</w:t>
      </w:r>
      <w:r>
        <w:rPr>
          <w:rFonts w:hint="eastAsia" w:ascii="宋体" w:hAnsi="宋体" w:eastAsia="宋体" w:cs="宋体"/>
          <w:color w:val="auto"/>
          <w:sz w:val="24"/>
          <w:szCs w:val="24"/>
          <w:lang w:val="en-US" w:eastAsia="zh-CN"/>
        </w:rPr>
        <w:t>部分</w:t>
      </w:r>
      <w:r>
        <w:rPr>
          <w:rFonts w:hint="eastAsia" w:ascii="宋体" w:hAnsi="宋体" w:eastAsia="宋体" w:cs="宋体"/>
          <w:color w:val="auto"/>
          <w:sz w:val="24"/>
          <w:szCs w:val="24"/>
        </w:rPr>
        <w:t>：见评审办法前附表；</w:t>
      </w:r>
    </w:p>
    <w:p w14:paraId="45B3F3C9">
      <w:pPr>
        <w:pageBreakBefore w:val="0"/>
        <w:widowControl w:val="0"/>
        <w:kinsoku/>
        <w:wordWrap/>
        <w:overflowPunct/>
        <w:topLinePunct w:val="0"/>
        <w:autoSpaceDE/>
        <w:autoSpaceDN/>
        <w:bidi w:val="0"/>
        <w:adjustRightInd/>
        <w:snapToGrid/>
        <w:spacing w:line="420" w:lineRule="exact"/>
        <w:ind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（2）技术</w:t>
      </w:r>
      <w:r>
        <w:rPr>
          <w:rFonts w:hint="eastAsia" w:ascii="宋体" w:hAnsi="宋体" w:eastAsia="宋体" w:cs="宋体"/>
          <w:color w:val="auto"/>
          <w:sz w:val="24"/>
          <w:szCs w:val="24"/>
          <w:lang w:val="en-US" w:eastAsia="zh-CN"/>
        </w:rPr>
        <w:t>部分</w:t>
      </w:r>
      <w:r>
        <w:rPr>
          <w:rFonts w:hint="eastAsia" w:ascii="宋体" w:hAnsi="宋体" w:eastAsia="宋体" w:cs="宋体"/>
          <w:color w:val="auto"/>
          <w:sz w:val="24"/>
          <w:szCs w:val="24"/>
        </w:rPr>
        <w:t>：见评审办法前附表；</w:t>
      </w:r>
    </w:p>
    <w:p w14:paraId="6DD8EA33">
      <w:pPr>
        <w:pageBreakBefore w:val="0"/>
        <w:widowControl w:val="0"/>
        <w:kinsoku/>
        <w:wordWrap/>
        <w:overflowPunct/>
        <w:topLinePunct w:val="0"/>
        <w:autoSpaceDE/>
        <w:autoSpaceDN/>
        <w:bidi w:val="0"/>
        <w:adjustRightInd/>
        <w:snapToGrid/>
        <w:spacing w:line="420" w:lineRule="exact"/>
        <w:ind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（3）综合</w:t>
      </w:r>
      <w:r>
        <w:rPr>
          <w:rFonts w:hint="eastAsia" w:ascii="宋体" w:hAnsi="宋体" w:eastAsia="宋体" w:cs="宋体"/>
          <w:color w:val="auto"/>
          <w:sz w:val="24"/>
          <w:szCs w:val="24"/>
          <w:lang w:val="en-US" w:eastAsia="zh-CN"/>
        </w:rPr>
        <w:t>部分</w:t>
      </w:r>
      <w:r>
        <w:rPr>
          <w:rFonts w:hint="eastAsia" w:ascii="宋体" w:hAnsi="宋体" w:eastAsia="宋体" w:cs="宋体"/>
          <w:color w:val="auto"/>
          <w:sz w:val="24"/>
          <w:szCs w:val="24"/>
        </w:rPr>
        <w:t>：见评审办法前附表。</w:t>
      </w:r>
    </w:p>
    <w:p w14:paraId="2BB65FB2">
      <w:pPr>
        <w:pStyle w:val="88"/>
        <w:pageBreakBefore w:val="0"/>
        <w:widowControl w:val="0"/>
        <w:kinsoku/>
        <w:wordWrap/>
        <w:overflowPunct/>
        <w:topLinePunct w:val="0"/>
        <w:autoSpaceDE/>
        <w:autoSpaceDN/>
        <w:bidi w:val="0"/>
        <w:adjustRightInd/>
        <w:snapToGrid/>
        <w:spacing w:before="0" w:beforeLines="0" w:line="420" w:lineRule="exact"/>
        <w:textAlignment w:val="auto"/>
        <w:rPr>
          <w:rFonts w:hint="eastAsia" w:ascii="宋体" w:hAnsi="宋体" w:eastAsia="宋体" w:cs="宋体"/>
          <w:b/>
          <w:bCs/>
          <w:color w:val="auto"/>
          <w:sz w:val="24"/>
          <w:szCs w:val="24"/>
        </w:rPr>
      </w:pPr>
      <w:bookmarkStart w:id="679" w:name="_Toc16479"/>
      <w:bookmarkStart w:id="680" w:name="_Toc29297"/>
      <w:bookmarkStart w:id="681" w:name="_Toc281405532"/>
      <w:bookmarkStart w:id="682" w:name="_Toc490667879"/>
      <w:bookmarkStart w:id="683" w:name="_Toc32314"/>
      <w:bookmarkStart w:id="684" w:name="_Toc18127"/>
      <w:bookmarkStart w:id="685" w:name="_Toc466298143"/>
      <w:bookmarkStart w:id="686" w:name="_Toc455080160"/>
      <w:bookmarkStart w:id="687" w:name="_Toc455867820"/>
      <w:bookmarkStart w:id="688" w:name="_Toc318450726"/>
      <w:bookmarkStart w:id="689" w:name="_Toc17308"/>
      <w:r>
        <w:rPr>
          <w:rFonts w:hint="eastAsia" w:ascii="宋体" w:hAnsi="宋体" w:eastAsia="宋体" w:cs="宋体"/>
          <w:b/>
          <w:bCs/>
          <w:color w:val="auto"/>
          <w:sz w:val="24"/>
          <w:szCs w:val="24"/>
        </w:rPr>
        <w:t>3. 评审程序</w:t>
      </w:r>
      <w:bookmarkEnd w:id="679"/>
      <w:bookmarkEnd w:id="680"/>
      <w:bookmarkEnd w:id="681"/>
      <w:bookmarkEnd w:id="682"/>
      <w:bookmarkEnd w:id="683"/>
      <w:bookmarkEnd w:id="684"/>
      <w:bookmarkEnd w:id="685"/>
      <w:bookmarkEnd w:id="686"/>
      <w:bookmarkEnd w:id="687"/>
      <w:bookmarkEnd w:id="688"/>
      <w:bookmarkEnd w:id="689"/>
    </w:p>
    <w:p w14:paraId="7ABCFA65">
      <w:pPr>
        <w:pStyle w:val="89"/>
        <w:pageBreakBefore w:val="0"/>
        <w:widowControl w:val="0"/>
        <w:kinsoku/>
        <w:wordWrap/>
        <w:overflowPunct/>
        <w:topLinePunct w:val="0"/>
        <w:autoSpaceDE/>
        <w:autoSpaceDN/>
        <w:bidi w:val="0"/>
        <w:adjustRightInd/>
        <w:snapToGrid/>
        <w:spacing w:line="420" w:lineRule="exact"/>
        <w:textAlignment w:val="auto"/>
        <w:outlineLvl w:val="0"/>
        <w:rPr>
          <w:rFonts w:hint="eastAsia" w:ascii="宋体" w:hAnsi="宋体" w:eastAsia="宋体" w:cs="宋体"/>
          <w:b/>
          <w:bCs/>
          <w:color w:val="auto"/>
          <w:sz w:val="24"/>
          <w:szCs w:val="24"/>
        </w:rPr>
      </w:pPr>
      <w:bookmarkStart w:id="690" w:name="_Toc16892"/>
      <w:bookmarkStart w:id="691" w:name="_Toc455080161"/>
      <w:bookmarkStart w:id="692" w:name="_Toc2410"/>
      <w:bookmarkStart w:id="693" w:name="_Toc7272"/>
      <w:bookmarkStart w:id="694" w:name="_Toc30986"/>
      <w:bookmarkStart w:id="695" w:name="_Toc5427"/>
      <w:bookmarkStart w:id="696" w:name="_Toc18886"/>
      <w:bookmarkStart w:id="697" w:name="_Toc466298144"/>
      <w:bookmarkStart w:id="698" w:name="_Toc9433"/>
      <w:bookmarkStart w:id="699" w:name="_Toc29092"/>
      <w:bookmarkStart w:id="700" w:name="_Toc14633"/>
      <w:bookmarkStart w:id="701" w:name="_Toc455867821"/>
      <w:bookmarkStart w:id="702" w:name="_Toc29614"/>
      <w:bookmarkStart w:id="703" w:name="_Toc490667880"/>
      <w:bookmarkStart w:id="704" w:name="_Toc318450727"/>
      <w:bookmarkStart w:id="705" w:name="_Toc281405533"/>
      <w:r>
        <w:rPr>
          <w:rFonts w:hint="eastAsia" w:ascii="宋体" w:hAnsi="宋体" w:eastAsia="宋体" w:cs="宋体"/>
          <w:b/>
          <w:bCs/>
          <w:color w:val="auto"/>
          <w:sz w:val="24"/>
          <w:szCs w:val="24"/>
        </w:rPr>
        <w:t>3.1 初步评审</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1AADB208">
      <w:pPr>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eastAsia" w:ascii="宋体" w:hAnsi="宋体" w:eastAsia="宋体" w:cs="宋体"/>
          <w:b/>
          <w:bCs/>
          <w:color w:val="000000"/>
          <w:sz w:val="24"/>
          <w:szCs w:val="24"/>
        </w:rPr>
      </w:pPr>
      <w:r>
        <w:rPr>
          <w:rFonts w:hint="eastAsia" w:ascii="宋体" w:hAnsi="宋体" w:eastAsia="宋体" w:cs="宋体"/>
          <w:color w:val="000000"/>
          <w:sz w:val="24"/>
          <w:szCs w:val="24"/>
        </w:rPr>
        <w:t>3.1.1只有通过资格审查的</w:t>
      </w:r>
      <w:r>
        <w:rPr>
          <w:rFonts w:hint="eastAsia" w:ascii="宋体" w:hAnsi="宋体" w:eastAsia="宋体" w:cs="宋体"/>
          <w:color w:val="000000"/>
          <w:sz w:val="24"/>
          <w:szCs w:val="24"/>
          <w:lang w:eastAsia="zh-CN"/>
        </w:rPr>
        <w:t>供应商</w:t>
      </w:r>
      <w:r>
        <w:rPr>
          <w:rFonts w:hint="eastAsia" w:ascii="宋体" w:hAnsi="宋体" w:eastAsia="宋体" w:cs="宋体"/>
          <w:color w:val="000000"/>
          <w:sz w:val="24"/>
          <w:szCs w:val="24"/>
        </w:rPr>
        <w:t>才能进入</w:t>
      </w:r>
      <w:r>
        <w:rPr>
          <w:rFonts w:hint="eastAsia" w:ascii="宋体" w:hAnsi="宋体" w:eastAsia="宋体" w:cs="宋体"/>
          <w:color w:val="000000"/>
          <w:sz w:val="24"/>
          <w:szCs w:val="24"/>
          <w:lang w:eastAsia="zh-CN"/>
        </w:rPr>
        <w:t>符合性评审</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磋商小组</w:t>
      </w:r>
      <w:r>
        <w:rPr>
          <w:rFonts w:hint="eastAsia" w:ascii="宋体" w:hAnsi="宋体" w:eastAsia="宋体" w:cs="宋体"/>
          <w:color w:val="000000"/>
          <w:sz w:val="24"/>
          <w:szCs w:val="24"/>
        </w:rPr>
        <w:t>依据</w:t>
      </w:r>
      <w:r>
        <w:rPr>
          <w:rFonts w:hint="eastAsia" w:ascii="宋体" w:hAnsi="宋体" w:eastAsia="宋体" w:cs="宋体"/>
          <w:color w:val="000000"/>
          <w:sz w:val="24"/>
          <w:szCs w:val="24"/>
          <w:lang w:val="en-US" w:eastAsia="zh-CN"/>
        </w:rPr>
        <w:t>2.1.2</w:t>
      </w:r>
      <w:r>
        <w:rPr>
          <w:rFonts w:hint="eastAsia" w:ascii="宋体" w:hAnsi="宋体" w:eastAsia="宋体" w:cs="宋体"/>
          <w:color w:val="000000"/>
          <w:sz w:val="24"/>
          <w:szCs w:val="24"/>
        </w:rPr>
        <w:t>规定的内容和标准对</w:t>
      </w:r>
      <w:r>
        <w:rPr>
          <w:rFonts w:hint="eastAsia" w:ascii="宋体" w:hAnsi="宋体" w:eastAsia="宋体" w:cs="宋体"/>
          <w:color w:val="000000"/>
          <w:sz w:val="24"/>
          <w:szCs w:val="24"/>
          <w:lang w:eastAsia="zh-CN"/>
        </w:rPr>
        <w:t>响应</w:t>
      </w:r>
      <w:r>
        <w:rPr>
          <w:rFonts w:hint="eastAsia" w:ascii="宋体" w:hAnsi="宋体" w:eastAsia="宋体" w:cs="宋体"/>
          <w:color w:val="000000"/>
          <w:sz w:val="24"/>
          <w:szCs w:val="24"/>
        </w:rPr>
        <w:t>文件进行</w:t>
      </w:r>
      <w:r>
        <w:rPr>
          <w:rFonts w:hint="eastAsia" w:ascii="宋体" w:hAnsi="宋体" w:eastAsia="宋体" w:cs="宋体"/>
          <w:color w:val="000000"/>
          <w:sz w:val="24"/>
          <w:szCs w:val="24"/>
          <w:lang w:eastAsia="zh-CN"/>
        </w:rPr>
        <w:t>符合性审查</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有一项不符合评审标准的，其投标</w:t>
      </w:r>
      <w:r>
        <w:rPr>
          <w:rFonts w:hint="eastAsia" w:ascii="宋体" w:hAnsi="宋体" w:cs="宋体"/>
          <w:b/>
          <w:bCs/>
          <w:color w:val="000000"/>
          <w:sz w:val="24"/>
          <w:szCs w:val="24"/>
          <w:lang w:eastAsia="zh-CN"/>
        </w:rPr>
        <w:t>作</w:t>
      </w:r>
      <w:r>
        <w:rPr>
          <w:rFonts w:hint="eastAsia" w:ascii="宋体" w:hAnsi="宋体" w:eastAsia="宋体" w:cs="宋体"/>
          <w:b/>
          <w:bCs/>
          <w:color w:val="000000"/>
          <w:sz w:val="24"/>
          <w:szCs w:val="24"/>
        </w:rPr>
        <w:t>无效</w:t>
      </w:r>
      <w:r>
        <w:rPr>
          <w:rFonts w:hint="eastAsia" w:ascii="宋体" w:hAnsi="宋体" w:eastAsia="宋体" w:cs="宋体"/>
          <w:b/>
          <w:bCs/>
          <w:color w:val="000000"/>
          <w:sz w:val="24"/>
          <w:szCs w:val="24"/>
          <w:lang w:eastAsia="zh-CN"/>
        </w:rPr>
        <w:t>投标</w:t>
      </w:r>
      <w:r>
        <w:rPr>
          <w:rFonts w:hint="eastAsia" w:ascii="宋体" w:hAnsi="宋体" w:eastAsia="宋体" w:cs="宋体"/>
          <w:b/>
          <w:bCs/>
          <w:color w:val="000000"/>
          <w:sz w:val="24"/>
          <w:szCs w:val="24"/>
        </w:rPr>
        <w:t>处理，不得进入详细评审。</w:t>
      </w:r>
    </w:p>
    <w:p w14:paraId="25F723F0">
      <w:pPr>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3.1.2 供应商有以下情形之一的，其响应文件作无效处理：</w:t>
      </w:r>
    </w:p>
    <w:p w14:paraId="3BE52E26">
      <w:pPr>
        <w:pageBreakBefore w:val="0"/>
        <w:widowControl w:val="0"/>
        <w:kinsoku/>
        <w:wordWrap/>
        <w:overflowPunct/>
        <w:topLinePunct w:val="0"/>
        <w:autoSpaceDE/>
        <w:autoSpaceDN/>
        <w:bidi w:val="0"/>
        <w:adjustRightInd/>
        <w:snapToGrid/>
        <w:spacing w:line="420" w:lineRule="exact"/>
        <w:ind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）串通或弄虚作假或有其他违法行为的；</w:t>
      </w:r>
    </w:p>
    <w:p w14:paraId="638D6736">
      <w:pPr>
        <w:pageBreakBefore w:val="0"/>
        <w:widowControl w:val="0"/>
        <w:kinsoku/>
        <w:wordWrap/>
        <w:overflowPunct/>
        <w:topLinePunct w:val="0"/>
        <w:autoSpaceDE/>
        <w:autoSpaceDN/>
        <w:bidi w:val="0"/>
        <w:adjustRightInd/>
        <w:snapToGrid/>
        <w:spacing w:line="420" w:lineRule="exact"/>
        <w:ind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）不按磋商小组要求澄清、说明或补正的；</w:t>
      </w:r>
    </w:p>
    <w:p w14:paraId="7A0613C9">
      <w:pPr>
        <w:pageBreakBefore w:val="0"/>
        <w:widowControl w:val="0"/>
        <w:kinsoku/>
        <w:wordWrap/>
        <w:overflowPunct/>
        <w:topLinePunct w:val="0"/>
        <w:autoSpaceDE/>
        <w:autoSpaceDN/>
        <w:bidi w:val="0"/>
        <w:adjustRightInd/>
        <w:snapToGrid/>
        <w:spacing w:line="420" w:lineRule="exact"/>
        <w:ind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）未按规定格式填写、内容不全或关键字迹模糊、无法辨认的；</w:t>
      </w:r>
    </w:p>
    <w:p w14:paraId="02F0D139">
      <w:pPr>
        <w:pageBreakBefore w:val="0"/>
        <w:widowControl w:val="0"/>
        <w:kinsoku/>
        <w:wordWrap/>
        <w:overflowPunct/>
        <w:topLinePunct w:val="0"/>
        <w:autoSpaceDE/>
        <w:autoSpaceDN/>
        <w:bidi w:val="0"/>
        <w:adjustRightInd/>
        <w:snapToGrid/>
        <w:spacing w:line="420" w:lineRule="exact"/>
        <w:ind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）响应文件附有采购人不能接受的条件；</w:t>
      </w:r>
    </w:p>
    <w:p w14:paraId="7BBE9FE6">
      <w:pPr>
        <w:pageBreakBefore w:val="0"/>
        <w:widowControl w:val="0"/>
        <w:kinsoku/>
        <w:wordWrap/>
        <w:overflowPunct/>
        <w:topLinePunct w:val="0"/>
        <w:autoSpaceDE/>
        <w:autoSpaceDN/>
        <w:bidi w:val="0"/>
        <w:adjustRightInd/>
        <w:snapToGrid/>
        <w:spacing w:line="420" w:lineRule="exact"/>
        <w:ind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）不符合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规定的其他实质性要求。</w:t>
      </w:r>
    </w:p>
    <w:p w14:paraId="147E106C">
      <w:pPr>
        <w:pStyle w:val="89"/>
        <w:pageBreakBefore w:val="0"/>
        <w:widowControl w:val="0"/>
        <w:kinsoku/>
        <w:wordWrap/>
        <w:overflowPunct/>
        <w:topLinePunct w:val="0"/>
        <w:autoSpaceDE/>
        <w:autoSpaceDN/>
        <w:bidi w:val="0"/>
        <w:adjustRightInd/>
        <w:snapToGrid/>
        <w:spacing w:line="420" w:lineRule="exact"/>
        <w:textAlignment w:val="auto"/>
        <w:outlineLvl w:val="0"/>
        <w:rPr>
          <w:rFonts w:hint="eastAsia" w:ascii="宋体" w:hAnsi="宋体" w:eastAsia="宋体" w:cs="宋体"/>
          <w:b/>
          <w:bCs/>
          <w:color w:val="auto"/>
          <w:sz w:val="24"/>
          <w:szCs w:val="24"/>
        </w:rPr>
      </w:pPr>
      <w:r>
        <w:rPr>
          <w:rFonts w:hint="eastAsia" w:ascii="宋体" w:hAnsi="宋体" w:eastAsia="宋体" w:cs="宋体"/>
          <w:b/>
          <w:bCs/>
          <w:color w:val="auto"/>
          <w:sz w:val="24"/>
          <w:szCs w:val="24"/>
        </w:rPr>
        <w:t>3.2 详细评审</w:t>
      </w:r>
    </w:p>
    <w:p w14:paraId="53080AD9">
      <w:pPr>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3.2.1 磋商小组按本章第2.2款规定的量化因素和分值进行打分，并计算出综合评分得分。</w:t>
      </w:r>
    </w:p>
    <w:p w14:paraId="14E16235">
      <w:pPr>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3.2.2 评分分值计算保留小数点后两位，小数点后第三位“四舍五入”。</w:t>
      </w:r>
    </w:p>
    <w:p w14:paraId="72A7090C">
      <w:pPr>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3.2.3供应商的最终得分以全部小组成员打分的算术平均值为准，作为该供应商的最终得分。</w:t>
      </w:r>
    </w:p>
    <w:p w14:paraId="1689ED58">
      <w:pPr>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3.2.4在磋商过程中，凡遇到</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中无界定或界定不清、前后不一致使磋商小组意见有分歧且又难以协商一致的问题，均由磋商小组予以表决，获半数以上同意的即为通过，未获半数同意的即为否决。</w:t>
      </w:r>
    </w:p>
    <w:p w14:paraId="28794A0D">
      <w:pPr>
        <w:pStyle w:val="89"/>
        <w:pageBreakBefore w:val="0"/>
        <w:widowControl w:val="0"/>
        <w:kinsoku/>
        <w:wordWrap/>
        <w:overflowPunct/>
        <w:topLinePunct w:val="0"/>
        <w:autoSpaceDE/>
        <w:autoSpaceDN/>
        <w:bidi w:val="0"/>
        <w:adjustRightInd/>
        <w:snapToGrid/>
        <w:spacing w:line="420" w:lineRule="exact"/>
        <w:textAlignment w:val="auto"/>
        <w:outlineLvl w:val="0"/>
        <w:rPr>
          <w:rFonts w:hint="eastAsia" w:ascii="宋体" w:hAnsi="宋体" w:eastAsia="宋体" w:cs="宋体"/>
          <w:b/>
          <w:bCs/>
          <w:color w:val="auto"/>
          <w:sz w:val="24"/>
          <w:szCs w:val="24"/>
        </w:rPr>
      </w:pPr>
      <w:bookmarkStart w:id="706" w:name="_Toc2657"/>
      <w:bookmarkStart w:id="707" w:name="_Toc466298146"/>
      <w:bookmarkStart w:id="708" w:name="_Toc8813"/>
      <w:bookmarkStart w:id="709" w:name="_Toc281405535"/>
      <w:bookmarkStart w:id="710" w:name="_Toc10153"/>
      <w:bookmarkStart w:id="711" w:name="_Toc455080163"/>
      <w:bookmarkStart w:id="712" w:name="_Toc8342"/>
      <w:bookmarkStart w:id="713" w:name="_Toc331"/>
      <w:bookmarkStart w:id="714" w:name="_Toc12374"/>
      <w:bookmarkStart w:id="715" w:name="_Toc28633"/>
      <w:bookmarkStart w:id="716" w:name="_Toc318450729"/>
      <w:bookmarkStart w:id="717" w:name="_Toc11958"/>
      <w:bookmarkStart w:id="718" w:name="_Toc490667882"/>
      <w:bookmarkStart w:id="719" w:name="_Toc22084"/>
      <w:bookmarkStart w:id="720" w:name="_Toc24862"/>
      <w:bookmarkStart w:id="721" w:name="_Toc455867823"/>
      <w:r>
        <w:rPr>
          <w:rFonts w:hint="eastAsia" w:ascii="宋体" w:hAnsi="宋体" w:eastAsia="宋体" w:cs="宋体"/>
          <w:b/>
          <w:bCs/>
          <w:color w:val="auto"/>
          <w:sz w:val="24"/>
          <w:szCs w:val="24"/>
        </w:rPr>
        <w:t>3.3 响应文件的澄清和补正</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2D029036">
      <w:pPr>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3.3.1在磋商过程中，磋商小组可以书面形式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电子评标系统发起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要求供应商对所提交的响应文件中不明确的内容进行书面澄清或说明，或者对细微偏离进行补正。磋商小组不接受供应商主动提出的澄清、说明或补正。</w:t>
      </w:r>
    </w:p>
    <w:p w14:paraId="554E62A0">
      <w:pPr>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3.3.2 澄清、说明和补正不得超出响应文件的范围或者改变响应文件的实质性内容（算术性错误修正的除外）。供应商的书面澄清、说明和补正属于响应文件的组成部分。</w:t>
      </w:r>
    </w:p>
    <w:p w14:paraId="68452A23">
      <w:pPr>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3.3.3 磋商小组对供应商提交的澄清、说明或补正有疑问的，可以要求供应商进一步澄清、说明或补正，直至满足磋商小组的要求。</w:t>
      </w:r>
    </w:p>
    <w:p w14:paraId="57526A8E">
      <w:pPr>
        <w:pStyle w:val="89"/>
        <w:pageBreakBefore w:val="0"/>
        <w:widowControl w:val="0"/>
        <w:kinsoku/>
        <w:wordWrap/>
        <w:overflowPunct/>
        <w:topLinePunct w:val="0"/>
        <w:autoSpaceDE/>
        <w:autoSpaceDN/>
        <w:bidi w:val="0"/>
        <w:adjustRightInd/>
        <w:snapToGrid/>
        <w:spacing w:line="420" w:lineRule="exact"/>
        <w:textAlignment w:val="auto"/>
        <w:outlineLvl w:val="0"/>
        <w:rPr>
          <w:rFonts w:hint="eastAsia" w:ascii="宋体" w:hAnsi="宋体" w:eastAsia="宋体" w:cs="宋体"/>
          <w:b/>
          <w:bCs/>
          <w:color w:val="auto"/>
          <w:sz w:val="24"/>
          <w:szCs w:val="24"/>
        </w:rPr>
      </w:pPr>
      <w:bookmarkStart w:id="722" w:name="_Toc318450730"/>
      <w:bookmarkStart w:id="723" w:name="_Toc19453"/>
      <w:bookmarkStart w:id="724" w:name="_Toc26894"/>
      <w:bookmarkStart w:id="725" w:name="_Toc19938"/>
      <w:bookmarkStart w:id="726" w:name="_Toc22986"/>
      <w:bookmarkStart w:id="727" w:name="_Toc30053"/>
      <w:bookmarkStart w:id="728" w:name="_Toc32183"/>
      <w:bookmarkStart w:id="729" w:name="_Toc466298147"/>
      <w:bookmarkStart w:id="730" w:name="_Toc22049"/>
      <w:bookmarkStart w:id="731" w:name="_Toc22682"/>
      <w:bookmarkStart w:id="732" w:name="_Toc455867824"/>
      <w:bookmarkStart w:id="733" w:name="_Toc1857"/>
      <w:bookmarkStart w:id="734" w:name="_Toc5903"/>
      <w:bookmarkStart w:id="735" w:name="_Toc281405536"/>
      <w:bookmarkStart w:id="736" w:name="_Toc490667883"/>
      <w:bookmarkStart w:id="737" w:name="_Toc455080164"/>
      <w:r>
        <w:rPr>
          <w:rFonts w:hint="eastAsia" w:ascii="宋体" w:hAnsi="宋体" w:eastAsia="宋体" w:cs="宋体"/>
          <w:b/>
          <w:bCs/>
          <w:color w:val="auto"/>
          <w:sz w:val="24"/>
          <w:szCs w:val="24"/>
        </w:rPr>
        <w:t>3.4 评审结果</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59803FB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3.4.1除第二章“供应商须知”前附表授权直接确定成交人外，磋商小组按照得分由高到低的顺序推荐成交候选人。</w:t>
      </w:r>
    </w:p>
    <w:p w14:paraId="3702DC9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3.4.2 磋商小组完成评审后，应当向采购人提交书面评审报告。</w:t>
      </w:r>
    </w:p>
    <w:p w14:paraId="0898B75A">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3.4.</w:t>
      </w:r>
      <w:r>
        <w:rPr>
          <w:rFonts w:hint="eastAsia" w:ascii="宋体" w:hAnsi="宋体" w:eastAsia="宋体" w:cs="宋体"/>
          <w:color w:val="auto"/>
          <w:sz w:val="24"/>
          <w:szCs w:val="24"/>
          <w:lang w:val="en-US" w:eastAsia="zh-CN"/>
        </w:rPr>
        <w:t>3评审</w:t>
      </w:r>
      <w:r>
        <w:rPr>
          <w:rFonts w:hint="eastAsia" w:ascii="宋体" w:hAnsi="宋体" w:eastAsia="宋体" w:cs="宋体"/>
          <w:color w:val="auto"/>
          <w:sz w:val="24"/>
          <w:szCs w:val="24"/>
        </w:rPr>
        <w:t>结果同时在</w:t>
      </w:r>
      <w:r>
        <w:rPr>
          <w:rFonts w:hint="eastAsia" w:ascii="宋体" w:hAnsi="宋体" w:eastAsia="宋体" w:cs="宋体"/>
          <w:kern w:val="0"/>
          <w:sz w:val="24"/>
        </w:rPr>
        <w:t>《</w:t>
      </w:r>
      <w:r>
        <w:rPr>
          <w:rFonts w:hint="eastAsia" w:ascii="宋体" w:hAnsi="宋体" w:cs="宋体"/>
          <w:kern w:val="0"/>
          <w:sz w:val="24"/>
          <w:lang w:eastAsia="zh-CN"/>
        </w:rPr>
        <w:t>全国公共资源交易平台（河南省·信阳市）</w:t>
      </w:r>
      <w:r>
        <w:rPr>
          <w:rFonts w:hint="eastAsia" w:ascii="宋体" w:hAnsi="宋体" w:eastAsia="宋体" w:cs="宋体"/>
          <w:kern w:val="0"/>
          <w:sz w:val="24"/>
        </w:rPr>
        <w:t>》</w:t>
      </w:r>
      <w:r>
        <w:rPr>
          <w:rFonts w:hint="eastAsia" w:ascii="宋体" w:hAnsi="宋体" w:cs="宋体"/>
          <w:kern w:val="0"/>
          <w:sz w:val="24"/>
          <w:lang w:val="en-US" w:eastAsia="zh-CN"/>
        </w:rPr>
        <w:t>和</w:t>
      </w:r>
      <w:r>
        <w:rPr>
          <w:rFonts w:hint="eastAsia" w:ascii="宋体" w:hAnsi="宋体" w:eastAsia="宋体" w:cs="宋体"/>
          <w:kern w:val="0"/>
          <w:sz w:val="24"/>
          <w:lang w:eastAsia="zh-CN"/>
        </w:rPr>
        <w:t>《河南省政府采购网》</w:t>
      </w:r>
      <w:r>
        <w:rPr>
          <w:rFonts w:hint="eastAsia" w:ascii="宋体" w:hAnsi="宋体" w:eastAsia="宋体" w:cs="宋体"/>
          <w:color w:val="auto"/>
          <w:sz w:val="24"/>
          <w:szCs w:val="24"/>
        </w:rPr>
        <w:t>公示。</w:t>
      </w:r>
    </w:p>
    <w:p w14:paraId="6930153D">
      <w:pPr>
        <w:pStyle w:val="4"/>
        <w:pageBreakBefore w:val="0"/>
        <w:numPr>
          <w:ilvl w:val="0"/>
          <w:numId w:val="0"/>
        </w:numPr>
        <w:kinsoku/>
        <w:wordWrap/>
        <w:overflowPunct/>
        <w:topLinePunct w:val="0"/>
        <w:bidi w:val="0"/>
        <w:spacing w:line="4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附件：废标条件</w:t>
      </w:r>
    </w:p>
    <w:p w14:paraId="44C47350">
      <w:pPr>
        <w:pageBreakBefore w:val="0"/>
        <w:kinsoku/>
        <w:wordWrap/>
        <w:overflowPunct/>
        <w:topLinePunct w:val="0"/>
        <w:bidi w:val="0"/>
        <w:spacing w:line="400" w:lineRule="exac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废标条件</w:t>
      </w:r>
    </w:p>
    <w:p w14:paraId="449CD6B1">
      <w:pPr>
        <w:pageBreakBefore w:val="0"/>
        <w:kinsoku/>
        <w:wordWrap/>
        <w:overflowPunct/>
        <w:topLinePunct w:val="0"/>
        <w:bidi w:val="0"/>
        <w:spacing w:line="360" w:lineRule="auto"/>
        <w:ind w:firstLine="480" w:firstLineChars="200"/>
        <w:rPr>
          <w:rFonts w:hint="eastAsia" w:ascii="宋体" w:hAnsi="宋体" w:eastAsia="宋体" w:cs="宋体"/>
          <w:b w:val="0"/>
          <w:bCs/>
          <w:color w:val="000000"/>
          <w:sz w:val="24"/>
          <w:szCs w:val="24"/>
        </w:rPr>
      </w:pPr>
    </w:p>
    <w:p w14:paraId="1DB1592E">
      <w:pPr>
        <w:pageBreakBefore w:val="0"/>
        <w:kinsoku/>
        <w:wordWrap/>
        <w:overflowPunct/>
        <w:topLinePunct w:val="0"/>
        <w:bidi w:val="0"/>
        <w:spacing w:line="360" w:lineRule="auto"/>
        <w:ind w:firstLine="480" w:firstLineChars="200"/>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本附件所集中列示的废标条件，是本章“</w:t>
      </w:r>
      <w:r>
        <w:rPr>
          <w:rFonts w:hint="eastAsia" w:ascii="宋体" w:hAnsi="宋体" w:eastAsia="宋体" w:cs="宋体"/>
          <w:color w:val="auto"/>
          <w:sz w:val="24"/>
          <w:szCs w:val="24"/>
          <w:lang w:val="en-US" w:eastAsia="zh-CN"/>
        </w:rPr>
        <w:t>评审</w:t>
      </w:r>
      <w:r>
        <w:rPr>
          <w:rFonts w:hint="eastAsia" w:ascii="宋体" w:hAnsi="宋体" w:eastAsia="宋体" w:cs="宋体"/>
          <w:b w:val="0"/>
          <w:bCs/>
          <w:color w:val="000000"/>
          <w:sz w:val="24"/>
          <w:szCs w:val="24"/>
        </w:rPr>
        <w:t>办法”的组成部分，是对第二章“</w:t>
      </w:r>
      <w:r>
        <w:rPr>
          <w:rFonts w:hint="eastAsia" w:ascii="宋体" w:hAnsi="宋体" w:eastAsia="宋体" w:cs="宋体"/>
          <w:b w:val="0"/>
          <w:bCs/>
          <w:color w:val="000000"/>
          <w:sz w:val="24"/>
          <w:szCs w:val="24"/>
          <w:lang w:eastAsia="zh-CN"/>
        </w:rPr>
        <w:t>供应商</w:t>
      </w:r>
      <w:r>
        <w:rPr>
          <w:rFonts w:hint="eastAsia" w:ascii="宋体" w:hAnsi="宋体" w:eastAsia="宋体" w:cs="宋体"/>
          <w:b w:val="0"/>
          <w:bCs/>
          <w:color w:val="000000"/>
          <w:sz w:val="24"/>
          <w:szCs w:val="24"/>
        </w:rPr>
        <w:t>须知”和本章正文部分所规定的废标条件的总结和补充，如果出现相互矛盾的情况，以第二章“</w:t>
      </w:r>
      <w:r>
        <w:rPr>
          <w:rFonts w:hint="eastAsia" w:ascii="宋体" w:hAnsi="宋体" w:eastAsia="宋体" w:cs="宋体"/>
          <w:b w:val="0"/>
          <w:bCs/>
          <w:color w:val="000000"/>
          <w:sz w:val="24"/>
          <w:szCs w:val="24"/>
          <w:lang w:eastAsia="zh-CN"/>
        </w:rPr>
        <w:t>供应商</w:t>
      </w:r>
      <w:r>
        <w:rPr>
          <w:rFonts w:hint="eastAsia" w:ascii="宋体" w:hAnsi="宋体" w:eastAsia="宋体" w:cs="宋体"/>
          <w:b w:val="0"/>
          <w:bCs/>
          <w:color w:val="000000"/>
          <w:sz w:val="24"/>
          <w:szCs w:val="24"/>
        </w:rPr>
        <w:t>须知”和本章正文部分的规定为准。</w:t>
      </w:r>
    </w:p>
    <w:p w14:paraId="5BD223B8">
      <w:pPr>
        <w:pageBreakBefore w:val="0"/>
        <w:kinsoku/>
        <w:wordWrap/>
        <w:overflowPunct/>
        <w:topLinePunct w:val="0"/>
        <w:bidi w:val="0"/>
        <w:spacing w:line="360" w:lineRule="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 xml:space="preserve">    1.未通过第三章</w:t>
      </w:r>
      <w:r>
        <w:rPr>
          <w:rFonts w:hint="eastAsia" w:ascii="宋体" w:hAnsi="宋体" w:eastAsia="宋体" w:cs="宋体"/>
          <w:color w:val="auto"/>
          <w:sz w:val="24"/>
          <w:szCs w:val="24"/>
          <w:lang w:val="en-US" w:eastAsia="zh-CN"/>
        </w:rPr>
        <w:t>评审</w:t>
      </w:r>
      <w:r>
        <w:rPr>
          <w:rFonts w:hint="eastAsia" w:ascii="宋体" w:hAnsi="宋体" w:eastAsia="宋体" w:cs="宋体"/>
          <w:b w:val="0"/>
          <w:bCs/>
          <w:color w:val="000000"/>
          <w:sz w:val="24"/>
          <w:szCs w:val="24"/>
        </w:rPr>
        <w:t>办法</w:t>
      </w:r>
      <w:r>
        <w:rPr>
          <w:rFonts w:hint="eastAsia" w:ascii="宋体" w:hAnsi="宋体" w:eastAsia="宋体" w:cs="宋体"/>
          <w:b w:val="0"/>
          <w:bCs/>
          <w:color w:val="000000"/>
          <w:sz w:val="24"/>
          <w:szCs w:val="24"/>
          <w:lang w:eastAsia="zh-CN"/>
        </w:rPr>
        <w:t>资格评审、符合性评审的</w:t>
      </w:r>
      <w:r>
        <w:rPr>
          <w:rFonts w:hint="eastAsia" w:ascii="宋体" w:hAnsi="宋体" w:eastAsia="宋体" w:cs="宋体"/>
          <w:b w:val="0"/>
          <w:bCs/>
          <w:color w:val="000000"/>
          <w:sz w:val="24"/>
          <w:szCs w:val="24"/>
        </w:rPr>
        <w:t xml:space="preserve">； </w:t>
      </w:r>
    </w:p>
    <w:p w14:paraId="4A10697B">
      <w:pPr>
        <w:pageBreakBefore w:val="0"/>
        <w:kinsoku/>
        <w:wordWrap/>
        <w:overflowPunct/>
        <w:topLinePunct w:val="0"/>
        <w:bidi w:val="0"/>
        <w:spacing w:line="360" w:lineRule="auto"/>
        <w:ind w:firstLine="240" w:firstLineChars="100"/>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 xml:space="preserve">  </w:t>
      </w:r>
      <w:r>
        <w:rPr>
          <w:rFonts w:hint="eastAsia" w:ascii="宋体" w:hAnsi="宋体" w:eastAsia="宋体" w:cs="宋体"/>
          <w:b w:val="0"/>
          <w:bCs/>
          <w:color w:val="000000"/>
          <w:sz w:val="24"/>
          <w:szCs w:val="24"/>
          <w:lang w:val="en-US" w:eastAsia="zh-CN"/>
        </w:rPr>
        <w:t>2</w:t>
      </w:r>
      <w:r>
        <w:rPr>
          <w:rFonts w:hint="eastAsia" w:ascii="宋体" w:hAnsi="宋体" w:eastAsia="宋体" w:cs="宋体"/>
          <w:b w:val="0"/>
          <w:bCs/>
          <w:color w:val="000000"/>
          <w:sz w:val="24"/>
          <w:szCs w:val="24"/>
        </w:rPr>
        <w:t>.不按</w:t>
      </w:r>
      <w:r>
        <w:rPr>
          <w:rFonts w:hint="eastAsia" w:ascii="宋体" w:hAnsi="宋体" w:eastAsia="宋体" w:cs="宋体"/>
          <w:b w:val="0"/>
          <w:bCs/>
          <w:color w:val="000000"/>
          <w:sz w:val="24"/>
          <w:szCs w:val="24"/>
          <w:lang w:eastAsia="zh-CN"/>
        </w:rPr>
        <w:t>磋商小组</w:t>
      </w:r>
      <w:r>
        <w:rPr>
          <w:rFonts w:hint="eastAsia" w:ascii="宋体" w:hAnsi="宋体" w:eastAsia="宋体" w:cs="宋体"/>
          <w:b w:val="0"/>
          <w:bCs/>
          <w:color w:val="000000"/>
          <w:sz w:val="24"/>
          <w:szCs w:val="24"/>
        </w:rPr>
        <w:t>要求澄清、说明或补正的；</w:t>
      </w:r>
    </w:p>
    <w:p w14:paraId="79646AC3">
      <w:pPr>
        <w:pageBreakBefore w:val="0"/>
        <w:kinsoku/>
        <w:wordWrap/>
        <w:overflowPunct/>
        <w:topLinePunct w:val="0"/>
        <w:bidi w:val="0"/>
        <w:spacing w:line="360" w:lineRule="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 xml:space="preserve">    </w:t>
      </w:r>
      <w:r>
        <w:rPr>
          <w:rFonts w:hint="eastAsia" w:ascii="宋体" w:hAnsi="宋体" w:eastAsia="宋体" w:cs="宋体"/>
          <w:b w:val="0"/>
          <w:bCs/>
          <w:color w:val="000000"/>
          <w:sz w:val="24"/>
          <w:szCs w:val="24"/>
          <w:lang w:val="en-US" w:eastAsia="zh-CN"/>
        </w:rPr>
        <w:t>3</w:t>
      </w:r>
      <w:r>
        <w:rPr>
          <w:rFonts w:hint="eastAsia" w:ascii="宋体" w:hAnsi="宋体" w:eastAsia="宋体" w:cs="宋体"/>
          <w:b w:val="0"/>
          <w:bCs/>
          <w:color w:val="000000"/>
          <w:sz w:val="24"/>
          <w:szCs w:val="24"/>
        </w:rPr>
        <w:t>.</w:t>
      </w:r>
      <w:r>
        <w:rPr>
          <w:rFonts w:hint="eastAsia" w:ascii="宋体" w:hAnsi="宋体" w:eastAsia="宋体" w:cs="宋体"/>
          <w:b w:val="0"/>
          <w:bCs/>
          <w:color w:val="000000"/>
          <w:sz w:val="24"/>
          <w:szCs w:val="24"/>
          <w:lang w:eastAsia="zh-CN"/>
        </w:rPr>
        <w:t>磋商</w:t>
      </w:r>
      <w:r>
        <w:rPr>
          <w:rFonts w:hint="eastAsia" w:ascii="宋体" w:hAnsi="宋体" w:eastAsia="宋体" w:cs="宋体"/>
          <w:b w:val="0"/>
          <w:bCs/>
          <w:color w:val="000000"/>
          <w:sz w:val="24"/>
          <w:szCs w:val="24"/>
        </w:rPr>
        <w:t>报价有算术性错误，</w:t>
      </w:r>
      <w:r>
        <w:rPr>
          <w:rFonts w:hint="eastAsia" w:ascii="宋体" w:hAnsi="宋体" w:eastAsia="宋体" w:cs="宋体"/>
          <w:b w:val="0"/>
          <w:bCs/>
          <w:color w:val="000000"/>
          <w:sz w:val="24"/>
          <w:szCs w:val="24"/>
          <w:lang w:val="en-US" w:eastAsia="zh-CN"/>
        </w:rPr>
        <w:t>供应商</w:t>
      </w:r>
      <w:r>
        <w:rPr>
          <w:rFonts w:hint="eastAsia" w:ascii="宋体" w:hAnsi="宋体" w:eastAsia="宋体" w:cs="宋体"/>
          <w:b w:val="0"/>
          <w:bCs/>
          <w:color w:val="000000"/>
          <w:sz w:val="24"/>
          <w:szCs w:val="24"/>
        </w:rPr>
        <w:t>不接受修正价格的；</w:t>
      </w:r>
    </w:p>
    <w:p w14:paraId="37F20570">
      <w:pPr>
        <w:pageBreakBefore w:val="0"/>
        <w:kinsoku/>
        <w:wordWrap/>
        <w:overflowPunct/>
        <w:topLinePunct w:val="0"/>
        <w:bidi w:val="0"/>
        <w:spacing w:line="360" w:lineRule="auto"/>
        <w:ind w:firstLine="480" w:firstLineChars="200"/>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rPr>
        <w:t>.以他人的名义投标、以行贿手段谋取</w:t>
      </w:r>
      <w:r>
        <w:rPr>
          <w:rFonts w:hint="eastAsia" w:ascii="宋体" w:hAnsi="宋体" w:eastAsia="宋体" w:cs="宋体"/>
          <w:b w:val="0"/>
          <w:bCs/>
          <w:color w:val="000000"/>
          <w:sz w:val="24"/>
          <w:szCs w:val="24"/>
          <w:lang w:val="en-US" w:eastAsia="zh-CN"/>
        </w:rPr>
        <w:t>成交</w:t>
      </w:r>
      <w:r>
        <w:rPr>
          <w:rFonts w:hint="eastAsia" w:ascii="宋体" w:hAnsi="宋体" w:eastAsia="宋体" w:cs="宋体"/>
          <w:b w:val="0"/>
          <w:bCs/>
          <w:color w:val="000000"/>
          <w:sz w:val="24"/>
          <w:szCs w:val="24"/>
        </w:rPr>
        <w:t>或者以其他弄虚作假方式投标的；</w:t>
      </w:r>
    </w:p>
    <w:p w14:paraId="50B69714">
      <w:pPr>
        <w:pageBreakBefore w:val="0"/>
        <w:kinsoku/>
        <w:wordWrap/>
        <w:overflowPunct/>
        <w:topLinePunct w:val="0"/>
        <w:bidi w:val="0"/>
        <w:spacing w:line="360" w:lineRule="auto"/>
        <w:ind w:firstLine="480" w:firstLineChars="200"/>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lang w:val="en-US" w:eastAsia="zh-CN"/>
        </w:rPr>
        <w:t>5</w:t>
      </w:r>
      <w:r>
        <w:rPr>
          <w:rFonts w:hint="eastAsia" w:ascii="宋体" w:hAnsi="宋体" w:eastAsia="宋体" w:cs="宋体"/>
          <w:b w:val="0"/>
          <w:bCs/>
          <w:color w:val="000000"/>
          <w:sz w:val="24"/>
          <w:szCs w:val="24"/>
        </w:rPr>
        <w:t>.属于串（围）标行为的；</w:t>
      </w:r>
    </w:p>
    <w:p w14:paraId="65983023">
      <w:pPr>
        <w:pageBreakBefore w:val="0"/>
        <w:kinsoku/>
        <w:wordWrap/>
        <w:overflowPunct/>
        <w:topLinePunct w:val="0"/>
        <w:bidi w:val="0"/>
        <w:spacing w:line="360" w:lineRule="auto"/>
        <w:ind w:firstLine="480" w:firstLineChars="200"/>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lang w:val="en-US" w:eastAsia="zh-CN"/>
        </w:rPr>
        <w:t>6</w:t>
      </w:r>
      <w:r>
        <w:rPr>
          <w:rFonts w:hint="eastAsia" w:ascii="宋体" w:hAnsi="宋体" w:eastAsia="宋体" w:cs="宋体"/>
          <w:b w:val="0"/>
          <w:bCs/>
          <w:color w:val="000000"/>
          <w:sz w:val="24"/>
          <w:szCs w:val="24"/>
        </w:rPr>
        <w:t>.</w:t>
      </w:r>
      <w:r>
        <w:rPr>
          <w:rFonts w:hint="eastAsia" w:ascii="宋体" w:hAnsi="宋体" w:eastAsia="宋体" w:cs="宋体"/>
          <w:b w:val="0"/>
          <w:bCs/>
          <w:color w:val="000000"/>
          <w:sz w:val="24"/>
          <w:szCs w:val="24"/>
          <w:lang w:val="en-US" w:eastAsia="zh-CN"/>
        </w:rPr>
        <w:t>磋商小组</w:t>
      </w:r>
      <w:r>
        <w:rPr>
          <w:rFonts w:hint="eastAsia" w:ascii="宋体" w:hAnsi="宋体" w:eastAsia="宋体" w:cs="宋体"/>
          <w:b w:val="0"/>
          <w:bCs/>
          <w:color w:val="000000"/>
          <w:sz w:val="24"/>
          <w:szCs w:val="24"/>
        </w:rPr>
        <w:t>认定</w:t>
      </w:r>
      <w:r>
        <w:rPr>
          <w:rFonts w:hint="eastAsia" w:ascii="宋体" w:hAnsi="宋体" w:eastAsia="宋体" w:cs="宋体"/>
          <w:b w:val="0"/>
          <w:bCs/>
          <w:color w:val="000000"/>
          <w:sz w:val="24"/>
          <w:szCs w:val="24"/>
          <w:lang w:val="en-US" w:eastAsia="zh-CN"/>
        </w:rPr>
        <w:t>供应商</w:t>
      </w:r>
      <w:r>
        <w:rPr>
          <w:rFonts w:hint="eastAsia" w:ascii="宋体" w:hAnsi="宋体" w:eastAsia="宋体" w:cs="宋体"/>
          <w:b w:val="0"/>
          <w:bCs/>
          <w:color w:val="000000"/>
          <w:sz w:val="24"/>
          <w:szCs w:val="24"/>
        </w:rPr>
        <w:t>以低于成本报价竞标的；</w:t>
      </w:r>
    </w:p>
    <w:p w14:paraId="7079BC0B">
      <w:pPr>
        <w:pageBreakBefore w:val="0"/>
        <w:kinsoku/>
        <w:wordWrap/>
        <w:overflowPunct/>
        <w:topLinePunct w:val="0"/>
        <w:bidi w:val="0"/>
        <w:spacing w:line="360" w:lineRule="auto"/>
        <w:ind w:firstLine="480" w:firstLineChars="200"/>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7.文件制作机器码、文件创建标识码有相同的；</w:t>
      </w:r>
    </w:p>
    <w:p w14:paraId="445DE420">
      <w:pPr>
        <w:spacing w:line="360" w:lineRule="auto"/>
        <w:ind w:firstLine="480" w:firstLineChars="200"/>
        <w:rPr>
          <w:rFonts w:hint="eastAsia" w:ascii="宋体" w:hAnsi="宋体" w:eastAsia="宋体" w:cs="宋体"/>
          <w:b w:val="0"/>
          <w:bCs/>
          <w:color w:val="auto"/>
          <w:sz w:val="24"/>
          <w:szCs w:val="24"/>
        </w:rPr>
      </w:pPr>
      <w:r>
        <w:rPr>
          <w:rFonts w:hint="eastAsia" w:ascii="宋体" w:hAnsi="宋体" w:eastAsia="宋体" w:cs="宋体"/>
          <w:b w:val="0"/>
          <w:bCs/>
          <w:color w:val="000000"/>
          <w:sz w:val="24"/>
          <w:szCs w:val="24"/>
          <w:lang w:val="en-US" w:eastAsia="zh-CN"/>
        </w:rPr>
        <w:t>8</w:t>
      </w:r>
      <w:r>
        <w:rPr>
          <w:rFonts w:hint="eastAsia" w:ascii="宋体" w:hAnsi="宋体" w:eastAsia="宋体" w:cs="宋体"/>
          <w:b w:val="0"/>
          <w:bCs/>
          <w:color w:val="000000"/>
          <w:sz w:val="24"/>
          <w:szCs w:val="24"/>
        </w:rPr>
        <w:t>．不符合</w:t>
      </w:r>
      <w:r>
        <w:rPr>
          <w:rFonts w:hint="eastAsia" w:ascii="宋体" w:hAnsi="宋体" w:eastAsia="宋体" w:cs="宋体"/>
          <w:b w:val="0"/>
          <w:bCs/>
          <w:color w:val="000000"/>
          <w:sz w:val="24"/>
          <w:szCs w:val="24"/>
          <w:lang w:eastAsia="zh-CN"/>
        </w:rPr>
        <w:t>竞争性磋商</w:t>
      </w:r>
      <w:r>
        <w:rPr>
          <w:rFonts w:hint="eastAsia" w:ascii="宋体" w:hAnsi="宋体" w:eastAsia="宋体" w:cs="宋体"/>
          <w:b w:val="0"/>
          <w:bCs/>
          <w:color w:val="000000"/>
          <w:sz w:val="24"/>
          <w:szCs w:val="24"/>
        </w:rPr>
        <w:t>文件规定的其他实质性要求及相关</w:t>
      </w:r>
      <w:r>
        <w:rPr>
          <w:rFonts w:hint="eastAsia" w:ascii="宋体" w:hAnsi="宋体" w:cs="宋体"/>
          <w:b w:val="0"/>
          <w:bCs/>
          <w:color w:val="000000"/>
          <w:sz w:val="24"/>
          <w:szCs w:val="24"/>
          <w:lang w:eastAsia="zh-CN"/>
        </w:rPr>
        <w:t>法律法规</w:t>
      </w:r>
      <w:r>
        <w:rPr>
          <w:rFonts w:hint="eastAsia" w:ascii="宋体" w:hAnsi="宋体" w:eastAsia="宋体" w:cs="宋体"/>
          <w:b w:val="0"/>
          <w:bCs/>
          <w:color w:val="000000"/>
          <w:sz w:val="24"/>
          <w:szCs w:val="24"/>
        </w:rPr>
        <w:t>或规章规定可以废标的其他情形。</w:t>
      </w:r>
    </w:p>
    <w:p w14:paraId="0F3E9CAE">
      <w:pPr>
        <w:keepNext w:val="0"/>
        <w:keepLines w:val="0"/>
        <w:widowControl/>
        <w:suppressLineNumbers w:val="0"/>
        <w:spacing w:line="360" w:lineRule="auto"/>
        <w:ind w:firstLine="480" w:firstLineChars="200"/>
        <w:jc w:val="left"/>
        <w:rPr>
          <w:rFonts w:hint="eastAsia" w:ascii="宋体" w:hAnsi="宋体" w:eastAsia="宋体" w:cs="宋体"/>
          <w:b w:val="0"/>
          <w:bCs/>
          <w:color w:val="auto"/>
          <w:sz w:val="21"/>
          <w:szCs w:val="21"/>
          <w:lang w:eastAsia="zh-CN"/>
        </w:rPr>
      </w:pPr>
      <w:r>
        <w:rPr>
          <w:rFonts w:hint="eastAsia" w:ascii="宋体" w:hAnsi="宋体" w:eastAsia="宋体" w:cs="宋体"/>
          <w:b w:val="0"/>
          <w:bCs/>
          <w:color w:val="auto"/>
          <w:kern w:val="0"/>
          <w:sz w:val="24"/>
          <w:szCs w:val="24"/>
          <w:lang w:val="en-US" w:eastAsia="zh-CN" w:bidi="ar"/>
        </w:rPr>
        <w:t>备注：按照《信阳市财政局关于印发信阳市政府采购行为规范的通知》（信财购〔2018〕2号）第五十八条“对于响应文件中非实质性响应条款或不影响采购项目实质性履行的响应文件缺陷，经过采购人认定不影响项目实施的，可以澄清后继续评审的，评审专家不得随意废标。”，</w:t>
      </w:r>
      <w:r>
        <w:rPr>
          <w:rFonts w:hint="eastAsia" w:ascii="宋体" w:hAnsi="宋体" w:eastAsia="宋体" w:cs="宋体"/>
          <w:b w:val="0"/>
          <w:bCs/>
          <w:color w:val="auto"/>
          <w:sz w:val="24"/>
          <w:szCs w:val="24"/>
        </w:rPr>
        <w:t>采购人和代理机构认为不影响实质性响应和公平公正的，可以要求评审小组对该项目继续评审，并由采购人和代理机构做好相关事实、依据记录，采购人和代理机构对继续评审的决定负责</w:t>
      </w:r>
      <w:r>
        <w:rPr>
          <w:rFonts w:hint="eastAsia" w:ascii="宋体" w:hAnsi="宋体" w:eastAsia="宋体" w:cs="宋体"/>
          <w:b w:val="0"/>
          <w:bCs/>
          <w:color w:val="auto"/>
          <w:sz w:val="24"/>
          <w:szCs w:val="24"/>
          <w:lang w:eastAsia="zh-CN"/>
        </w:rPr>
        <w:t>。</w:t>
      </w:r>
    </w:p>
    <w:p w14:paraId="1E413A29">
      <w:pPr>
        <w:spacing w:line="360" w:lineRule="auto"/>
        <w:jc w:val="center"/>
        <w:rPr>
          <w:rFonts w:hint="eastAsia" w:ascii="宋体" w:hAnsi="宋体" w:eastAsia="宋体" w:cs="宋体"/>
          <w:b/>
          <w:color w:val="auto"/>
          <w:sz w:val="32"/>
          <w:szCs w:val="32"/>
          <w:highlight w:val="none"/>
        </w:rPr>
      </w:pPr>
    </w:p>
    <w:p w14:paraId="6FEEB9D5">
      <w:pPr>
        <w:pStyle w:val="55"/>
        <w:rPr>
          <w:rFonts w:hint="eastAsia" w:ascii="宋体" w:hAnsi="宋体" w:eastAsia="宋体" w:cs="宋体"/>
          <w:b/>
          <w:color w:val="auto"/>
          <w:sz w:val="32"/>
          <w:szCs w:val="32"/>
          <w:highlight w:val="none"/>
        </w:rPr>
      </w:pPr>
    </w:p>
    <w:p w14:paraId="24B1CE69">
      <w:pPr>
        <w:pStyle w:val="7"/>
        <w:rPr>
          <w:rFonts w:hint="eastAsia" w:ascii="宋体" w:hAnsi="宋体" w:eastAsia="宋体" w:cs="宋体"/>
          <w:b/>
          <w:color w:val="auto"/>
          <w:sz w:val="32"/>
          <w:szCs w:val="32"/>
          <w:highlight w:val="none"/>
        </w:rPr>
      </w:pPr>
    </w:p>
    <w:p w14:paraId="05CAD2AC">
      <w:pPr>
        <w:rPr>
          <w:rFonts w:hint="eastAsia" w:ascii="宋体" w:hAnsi="宋体" w:eastAsia="宋体" w:cs="宋体"/>
          <w:b/>
          <w:color w:val="auto"/>
          <w:sz w:val="32"/>
          <w:szCs w:val="32"/>
          <w:highlight w:val="none"/>
        </w:rPr>
      </w:pPr>
    </w:p>
    <w:p w14:paraId="5198498D">
      <w:pPr>
        <w:pStyle w:val="31"/>
        <w:ind w:left="0" w:leftChars="0" w:firstLine="0" w:firstLineChars="0"/>
        <w:rPr>
          <w:rFonts w:hint="eastAsia" w:ascii="宋体" w:hAnsi="宋体" w:eastAsia="宋体" w:cs="宋体"/>
          <w:b/>
          <w:color w:val="auto"/>
          <w:sz w:val="32"/>
          <w:szCs w:val="32"/>
          <w:highlight w:val="none"/>
        </w:rPr>
      </w:pPr>
    </w:p>
    <w:p w14:paraId="45A696A9">
      <w:pPr>
        <w:rPr>
          <w:rFonts w:hint="eastAsia" w:ascii="宋体" w:hAnsi="宋体" w:eastAsia="宋体" w:cs="宋体"/>
          <w:b/>
          <w:color w:val="auto"/>
          <w:sz w:val="32"/>
          <w:szCs w:val="32"/>
          <w:highlight w:val="none"/>
        </w:rPr>
      </w:pPr>
    </w:p>
    <w:p w14:paraId="7586CFF5">
      <w:pPr>
        <w:pStyle w:val="12"/>
        <w:rPr>
          <w:rFonts w:hint="eastAsia" w:ascii="宋体" w:hAnsi="宋体" w:eastAsia="宋体" w:cs="宋体"/>
          <w:b/>
          <w:color w:val="auto"/>
          <w:sz w:val="32"/>
          <w:szCs w:val="32"/>
          <w:highlight w:val="none"/>
        </w:rPr>
      </w:pPr>
    </w:p>
    <w:p w14:paraId="0757B22C">
      <w:pPr>
        <w:pStyle w:val="49"/>
        <w:rPr>
          <w:rFonts w:hint="eastAsia" w:ascii="宋体" w:hAnsi="宋体" w:eastAsia="宋体" w:cs="宋体"/>
          <w:b/>
          <w:color w:val="auto"/>
          <w:sz w:val="32"/>
          <w:szCs w:val="32"/>
          <w:highlight w:val="none"/>
        </w:rPr>
      </w:pPr>
    </w:p>
    <w:p w14:paraId="69E91726">
      <w:pPr>
        <w:rPr>
          <w:rFonts w:hint="eastAsia" w:ascii="宋体" w:hAnsi="宋体" w:eastAsia="宋体" w:cs="宋体"/>
          <w:b/>
          <w:color w:val="auto"/>
          <w:sz w:val="32"/>
          <w:szCs w:val="32"/>
          <w:highlight w:val="none"/>
        </w:rPr>
      </w:pPr>
    </w:p>
    <w:p w14:paraId="7FF86D95">
      <w:pPr>
        <w:pStyle w:val="12"/>
        <w:rPr>
          <w:rFonts w:hint="eastAsia"/>
        </w:rPr>
      </w:pPr>
    </w:p>
    <w:p w14:paraId="3E3C2971">
      <w:pPr>
        <w:pStyle w:val="32"/>
        <w:rPr>
          <w:rFonts w:hint="eastAsia" w:ascii="宋体" w:hAnsi="宋体" w:eastAsia="宋体" w:cs="宋体"/>
          <w:b/>
          <w:color w:val="auto"/>
          <w:sz w:val="32"/>
          <w:szCs w:val="32"/>
          <w:highlight w:val="none"/>
        </w:rPr>
      </w:pPr>
    </w:p>
    <w:p w14:paraId="49E30AD7">
      <w:pPr>
        <w:rPr>
          <w:rFonts w:hint="eastAsia" w:ascii="宋体" w:hAnsi="宋体" w:eastAsia="宋体" w:cs="宋体"/>
          <w:b/>
          <w:color w:val="auto"/>
          <w:sz w:val="32"/>
          <w:szCs w:val="32"/>
          <w:highlight w:val="none"/>
        </w:rPr>
      </w:pPr>
    </w:p>
    <w:p w14:paraId="406EB507">
      <w:pPr>
        <w:pStyle w:val="31"/>
        <w:rPr>
          <w:rFonts w:hint="eastAsia" w:ascii="宋体" w:hAnsi="宋体" w:eastAsia="宋体" w:cs="宋体"/>
          <w:b/>
          <w:color w:val="auto"/>
          <w:sz w:val="32"/>
          <w:szCs w:val="32"/>
          <w:highlight w:val="none"/>
        </w:rPr>
      </w:pPr>
    </w:p>
    <w:p w14:paraId="1042A5D8">
      <w:pPr>
        <w:rPr>
          <w:rFonts w:hint="eastAsia" w:ascii="宋体" w:hAnsi="宋体" w:eastAsia="宋体" w:cs="宋体"/>
          <w:b/>
          <w:color w:val="auto"/>
          <w:sz w:val="32"/>
          <w:szCs w:val="32"/>
          <w:highlight w:val="none"/>
        </w:rPr>
      </w:pPr>
    </w:p>
    <w:p w14:paraId="5576A9A0">
      <w:pPr>
        <w:pStyle w:val="31"/>
        <w:rPr>
          <w:rFonts w:hint="eastAsia" w:ascii="宋体" w:hAnsi="宋体" w:eastAsia="宋体" w:cs="宋体"/>
          <w:b/>
          <w:color w:val="auto"/>
          <w:sz w:val="32"/>
          <w:szCs w:val="32"/>
          <w:highlight w:val="none"/>
        </w:rPr>
      </w:pPr>
    </w:p>
    <w:p w14:paraId="2D71E49C">
      <w:pPr>
        <w:rPr>
          <w:rFonts w:hint="eastAsia" w:ascii="宋体" w:hAnsi="宋体" w:eastAsia="宋体" w:cs="宋体"/>
          <w:b/>
          <w:color w:val="auto"/>
          <w:sz w:val="32"/>
          <w:szCs w:val="32"/>
          <w:highlight w:val="none"/>
        </w:rPr>
      </w:pPr>
    </w:p>
    <w:p w14:paraId="0B86F0CE">
      <w:pPr>
        <w:pStyle w:val="31"/>
        <w:rPr>
          <w:rFonts w:hint="eastAsia" w:ascii="宋体" w:hAnsi="宋体" w:eastAsia="宋体" w:cs="宋体"/>
          <w:b/>
          <w:color w:val="auto"/>
          <w:sz w:val="32"/>
          <w:szCs w:val="32"/>
          <w:highlight w:val="none"/>
        </w:rPr>
      </w:pPr>
    </w:p>
    <w:p w14:paraId="04D8AA38">
      <w:pPr>
        <w:rPr>
          <w:rFonts w:hint="eastAsia" w:ascii="宋体" w:hAnsi="宋体" w:eastAsia="宋体" w:cs="宋体"/>
          <w:b/>
          <w:color w:val="auto"/>
          <w:sz w:val="32"/>
          <w:szCs w:val="32"/>
          <w:highlight w:val="none"/>
        </w:rPr>
      </w:pPr>
    </w:p>
    <w:p w14:paraId="00FA14F0">
      <w:pPr>
        <w:pStyle w:val="31"/>
        <w:rPr>
          <w:rFonts w:hint="eastAsia" w:ascii="宋体" w:hAnsi="宋体" w:eastAsia="宋体" w:cs="宋体"/>
          <w:b/>
          <w:color w:val="auto"/>
          <w:sz w:val="32"/>
          <w:szCs w:val="32"/>
          <w:highlight w:val="none"/>
        </w:rPr>
      </w:pPr>
    </w:p>
    <w:p w14:paraId="7F724E6D">
      <w:pPr>
        <w:rPr>
          <w:rFonts w:hint="eastAsia" w:ascii="宋体" w:hAnsi="宋体" w:eastAsia="宋体" w:cs="宋体"/>
          <w:b/>
          <w:color w:val="auto"/>
          <w:sz w:val="32"/>
          <w:szCs w:val="32"/>
          <w:highlight w:val="none"/>
        </w:rPr>
      </w:pPr>
    </w:p>
    <w:p w14:paraId="7D7DFAF9">
      <w:pPr>
        <w:pStyle w:val="31"/>
        <w:rPr>
          <w:rFonts w:hint="eastAsia" w:ascii="宋体" w:hAnsi="宋体" w:eastAsia="宋体" w:cs="宋体"/>
          <w:b/>
          <w:color w:val="auto"/>
          <w:sz w:val="32"/>
          <w:szCs w:val="32"/>
          <w:highlight w:val="none"/>
        </w:rPr>
      </w:pPr>
    </w:p>
    <w:p w14:paraId="1248A346">
      <w:pPr>
        <w:rPr>
          <w:rFonts w:hint="eastAsia" w:ascii="宋体" w:hAnsi="宋体" w:eastAsia="宋体" w:cs="宋体"/>
          <w:b/>
          <w:color w:val="auto"/>
          <w:sz w:val="32"/>
          <w:szCs w:val="32"/>
          <w:highlight w:val="none"/>
        </w:rPr>
      </w:pPr>
    </w:p>
    <w:p w14:paraId="1EE7F710">
      <w:pPr>
        <w:pStyle w:val="31"/>
        <w:rPr>
          <w:rFonts w:hint="eastAsia"/>
        </w:rPr>
      </w:pPr>
    </w:p>
    <w:p w14:paraId="1EF18495">
      <w:pPr>
        <w:rPr>
          <w:rFonts w:hint="eastAsia" w:ascii="宋体" w:hAnsi="宋体" w:eastAsia="宋体" w:cs="宋体"/>
          <w:b/>
          <w:color w:val="auto"/>
          <w:sz w:val="32"/>
          <w:szCs w:val="32"/>
          <w:highlight w:val="none"/>
        </w:rPr>
      </w:pPr>
    </w:p>
    <w:p w14:paraId="24D89C6E">
      <w:pPr>
        <w:pStyle w:val="55"/>
        <w:rPr>
          <w:rFonts w:hint="eastAsia" w:ascii="宋体" w:hAnsi="宋体" w:eastAsia="宋体" w:cs="宋体"/>
          <w:b/>
          <w:color w:val="auto"/>
          <w:sz w:val="32"/>
          <w:szCs w:val="32"/>
          <w:highlight w:val="none"/>
        </w:rPr>
      </w:pPr>
    </w:p>
    <w:p w14:paraId="7E9502F5">
      <w:pPr>
        <w:pStyle w:val="32"/>
        <w:ind w:left="0" w:leftChars="0" w:firstLine="0" w:firstLineChars="0"/>
        <w:rPr>
          <w:rFonts w:hint="eastAsia" w:ascii="宋体" w:hAnsi="宋体" w:eastAsia="宋体" w:cs="宋体"/>
        </w:rPr>
      </w:pPr>
    </w:p>
    <w:p w14:paraId="30213668">
      <w:pPr>
        <w:spacing w:line="360" w:lineRule="auto"/>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第四章</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合同主要条款</w:t>
      </w:r>
      <w:r>
        <w:rPr>
          <w:rFonts w:hint="eastAsia" w:ascii="宋体" w:hAnsi="宋体" w:eastAsia="宋体" w:cs="宋体"/>
          <w:b/>
          <w:color w:val="auto"/>
          <w:sz w:val="32"/>
          <w:szCs w:val="32"/>
          <w:highlight w:val="none"/>
          <w:lang w:eastAsia="zh-CN"/>
        </w:rPr>
        <w:t>及格式</w:t>
      </w:r>
    </w:p>
    <w:p w14:paraId="0CBDBBBC">
      <w:pPr>
        <w:spacing w:line="360" w:lineRule="auto"/>
        <w:jc w:val="center"/>
        <w:rPr>
          <w:rFonts w:hint="eastAsia" w:ascii="宋体" w:hAnsi="宋体" w:cs="宋体"/>
          <w:color w:val="auto"/>
          <w:sz w:val="36"/>
          <w:szCs w:val="36"/>
        </w:rPr>
      </w:pPr>
      <w:r>
        <w:rPr>
          <w:rFonts w:hint="eastAsia" w:ascii="宋体" w:hAnsi="宋体" w:cs="宋体"/>
          <w:color w:val="auto"/>
          <w:sz w:val="36"/>
          <w:szCs w:val="36"/>
        </w:rPr>
        <w:t>合同条款及格式</w:t>
      </w:r>
    </w:p>
    <w:p w14:paraId="5412C680">
      <w:pPr>
        <w:spacing w:line="360" w:lineRule="auto"/>
        <w:jc w:val="center"/>
        <w:rPr>
          <w:rFonts w:hint="eastAsia" w:ascii="宋体" w:hAnsi="宋体" w:cs="宋体"/>
          <w:color w:val="auto"/>
          <w:sz w:val="24"/>
          <w:szCs w:val="24"/>
        </w:rPr>
      </w:pPr>
      <w:r>
        <w:rPr>
          <w:rFonts w:hint="eastAsia" w:ascii="宋体" w:hAnsi="宋体" w:cs="宋体"/>
          <w:color w:val="auto"/>
          <w:sz w:val="24"/>
          <w:szCs w:val="24"/>
        </w:rPr>
        <w:t>（仅供参考，最终以实际签订的合同条款为准）</w:t>
      </w:r>
    </w:p>
    <w:p w14:paraId="4A783788">
      <w:pPr>
        <w:spacing w:line="360" w:lineRule="auto"/>
        <w:ind w:firstLine="477" w:firstLineChars="199"/>
        <w:jc w:val="left"/>
        <w:rPr>
          <w:rFonts w:hint="eastAsia" w:ascii="宋体" w:hAnsi="宋体" w:cs="宋体"/>
          <w:color w:val="auto"/>
          <w:sz w:val="24"/>
          <w:szCs w:val="24"/>
          <w:u w:val="single"/>
        </w:rPr>
      </w:pPr>
      <w:r>
        <w:rPr>
          <w:rFonts w:hint="eastAsia" w:ascii="宋体" w:hAnsi="宋体" w:cs="宋体"/>
          <w:color w:val="auto"/>
          <w:sz w:val="24"/>
          <w:szCs w:val="24"/>
        </w:rPr>
        <w:t>甲方（采购人）:</w:t>
      </w:r>
      <w:r>
        <w:rPr>
          <w:rFonts w:hint="eastAsia" w:ascii="宋体" w:hAnsi="宋体" w:cs="宋体"/>
          <w:color w:val="auto"/>
          <w:sz w:val="24"/>
          <w:szCs w:val="24"/>
          <w:u w:val="single"/>
        </w:rPr>
        <w:t xml:space="preserve">                                  </w:t>
      </w:r>
    </w:p>
    <w:p w14:paraId="20B9C75A">
      <w:pPr>
        <w:spacing w:line="360" w:lineRule="auto"/>
        <w:ind w:firstLine="477" w:firstLineChars="199"/>
        <w:jc w:val="left"/>
        <w:rPr>
          <w:rFonts w:hint="eastAsia" w:ascii="宋体" w:hAnsi="宋体" w:cs="宋体"/>
          <w:color w:val="auto"/>
          <w:sz w:val="24"/>
          <w:szCs w:val="24"/>
          <w:u w:val="single"/>
        </w:rPr>
      </w:pPr>
      <w:r>
        <w:rPr>
          <w:rFonts w:hint="eastAsia" w:ascii="宋体" w:hAnsi="宋体" w:cs="宋体"/>
          <w:color w:val="auto"/>
          <w:sz w:val="24"/>
          <w:szCs w:val="24"/>
        </w:rPr>
        <w:t>乙方（成交人）：</w:t>
      </w:r>
      <w:r>
        <w:rPr>
          <w:rFonts w:hint="eastAsia" w:ascii="宋体" w:hAnsi="宋体" w:cs="宋体"/>
          <w:color w:val="auto"/>
          <w:sz w:val="24"/>
          <w:szCs w:val="24"/>
          <w:u w:val="single"/>
        </w:rPr>
        <w:t xml:space="preserve">                                 </w:t>
      </w:r>
    </w:p>
    <w:p w14:paraId="36D317A7">
      <w:pPr>
        <w:spacing w:line="360" w:lineRule="auto"/>
        <w:ind w:firstLine="477" w:firstLineChars="199"/>
        <w:jc w:val="left"/>
        <w:rPr>
          <w:rFonts w:hint="eastAsia" w:ascii="宋体" w:hAnsi="宋体" w:cs="宋体"/>
          <w:color w:val="auto"/>
          <w:sz w:val="24"/>
          <w:szCs w:val="24"/>
        </w:rPr>
      </w:pPr>
      <w:r>
        <w:rPr>
          <w:rFonts w:hint="eastAsia" w:ascii="宋体" w:hAnsi="宋体" w:cs="宋体"/>
          <w:color w:val="auto"/>
          <w:sz w:val="24"/>
          <w:szCs w:val="24"/>
        </w:rPr>
        <w:t>根据《中华人民共和国政府采购法》、《中华人民共和国</w:t>
      </w:r>
      <w:r>
        <w:rPr>
          <w:rFonts w:hint="eastAsia" w:ascii="宋体" w:hAnsi="宋体" w:cs="宋体"/>
          <w:color w:val="auto"/>
          <w:sz w:val="24"/>
          <w:szCs w:val="24"/>
          <w:lang w:val="en-US" w:eastAsia="zh-CN"/>
        </w:rPr>
        <w:t>民法典</w:t>
      </w:r>
      <w:r>
        <w:rPr>
          <w:rFonts w:hint="eastAsia" w:ascii="宋体" w:hAnsi="宋体" w:cs="宋体"/>
          <w:color w:val="auto"/>
          <w:sz w:val="24"/>
          <w:szCs w:val="24"/>
        </w:rPr>
        <w:t>》等相关法律，甲、乙双方就编制</w:t>
      </w:r>
      <w:r>
        <w:rPr>
          <w:rFonts w:hint="eastAsia" w:ascii="宋体" w:hAnsi="宋体" w:cs="宋体"/>
          <w:color w:val="auto"/>
          <w:sz w:val="24"/>
          <w:szCs w:val="24"/>
          <w:u w:val="single"/>
        </w:rPr>
        <w:t xml:space="preserve">                （项目名称）</w:t>
      </w:r>
      <w:r>
        <w:rPr>
          <w:rFonts w:hint="eastAsia" w:ascii="宋体" w:hAnsi="宋体" w:cs="宋体"/>
          <w:color w:val="auto"/>
          <w:sz w:val="24"/>
          <w:szCs w:val="24"/>
        </w:rPr>
        <w:t>招标项目，经平等协商达成合同如下：</w:t>
      </w:r>
    </w:p>
    <w:p w14:paraId="3617653A">
      <w:pPr>
        <w:spacing w:line="360" w:lineRule="auto"/>
        <w:jc w:val="left"/>
        <w:rPr>
          <w:rFonts w:hint="eastAsia" w:ascii="宋体" w:hAnsi="宋体" w:cs="宋体"/>
          <w:color w:val="auto"/>
          <w:sz w:val="24"/>
          <w:szCs w:val="24"/>
        </w:rPr>
      </w:pPr>
      <w:r>
        <w:rPr>
          <w:rFonts w:hint="eastAsia" w:ascii="宋体" w:hAnsi="宋体" w:cs="宋体"/>
          <w:color w:val="auto"/>
          <w:sz w:val="24"/>
          <w:szCs w:val="24"/>
        </w:rPr>
        <w:t>一、合同文件</w:t>
      </w:r>
    </w:p>
    <w:p w14:paraId="347AF1C5">
      <w:pPr>
        <w:spacing w:line="360" w:lineRule="auto"/>
        <w:jc w:val="left"/>
        <w:rPr>
          <w:rFonts w:hint="eastAsia" w:ascii="宋体" w:hAnsi="宋体" w:cs="宋体"/>
          <w:color w:val="auto"/>
          <w:sz w:val="24"/>
          <w:szCs w:val="24"/>
        </w:rPr>
      </w:pPr>
      <w:r>
        <w:rPr>
          <w:rFonts w:hint="eastAsia" w:ascii="宋体" w:hAnsi="宋体" w:cs="宋体"/>
          <w:color w:val="auto"/>
          <w:sz w:val="24"/>
          <w:szCs w:val="24"/>
        </w:rPr>
        <w:t>本合同所附下列文件是构成本合同不可分割的部分，组成合同的各项文件应互相解释，互为说明，解释合同文件的优先顺序如下：</w:t>
      </w:r>
    </w:p>
    <w:p w14:paraId="35D1D02C">
      <w:pPr>
        <w:spacing w:line="360" w:lineRule="auto"/>
        <w:jc w:val="left"/>
        <w:rPr>
          <w:rFonts w:hint="eastAsia" w:ascii="宋体" w:hAnsi="宋体" w:cs="宋体"/>
          <w:color w:val="auto"/>
          <w:sz w:val="24"/>
          <w:szCs w:val="24"/>
        </w:rPr>
      </w:pPr>
      <w:r>
        <w:rPr>
          <w:rFonts w:hint="eastAsia" w:ascii="宋体" w:hAnsi="宋体" w:cs="宋体"/>
          <w:color w:val="auto"/>
          <w:sz w:val="24"/>
          <w:szCs w:val="24"/>
        </w:rPr>
        <w:t>（一）合同格式以及合同条款</w:t>
      </w:r>
    </w:p>
    <w:p w14:paraId="46B07798">
      <w:pPr>
        <w:spacing w:line="360" w:lineRule="auto"/>
        <w:jc w:val="left"/>
        <w:rPr>
          <w:rFonts w:hint="eastAsia" w:ascii="宋体" w:hAnsi="宋体" w:cs="宋体"/>
          <w:color w:val="auto"/>
          <w:sz w:val="24"/>
          <w:szCs w:val="24"/>
        </w:rPr>
      </w:pPr>
      <w:r>
        <w:rPr>
          <w:rFonts w:hint="eastAsia" w:ascii="宋体" w:hAnsi="宋体" w:cs="宋体"/>
          <w:color w:val="auto"/>
          <w:sz w:val="24"/>
          <w:szCs w:val="24"/>
        </w:rPr>
        <w:t>（二）成交通知书</w:t>
      </w:r>
    </w:p>
    <w:p w14:paraId="66C26AC5">
      <w:pPr>
        <w:spacing w:line="360" w:lineRule="auto"/>
        <w:jc w:val="left"/>
        <w:rPr>
          <w:rFonts w:hint="eastAsia" w:ascii="宋体" w:hAnsi="宋体" w:cs="宋体"/>
          <w:color w:val="auto"/>
          <w:sz w:val="24"/>
          <w:szCs w:val="24"/>
        </w:rPr>
      </w:pPr>
      <w:r>
        <w:rPr>
          <w:rFonts w:hint="eastAsia" w:ascii="宋体" w:hAnsi="宋体" w:cs="宋体"/>
          <w:color w:val="auto"/>
          <w:sz w:val="24"/>
          <w:szCs w:val="24"/>
        </w:rPr>
        <w:t>（三）成交人在评审过程中做出的有关澄清、说明、承诺或者补正文件</w:t>
      </w:r>
    </w:p>
    <w:p w14:paraId="361EB864">
      <w:pPr>
        <w:spacing w:line="360" w:lineRule="auto"/>
        <w:jc w:val="left"/>
        <w:rPr>
          <w:rFonts w:hint="eastAsia" w:ascii="宋体" w:hAnsi="宋体" w:cs="宋体"/>
          <w:color w:val="auto"/>
          <w:sz w:val="24"/>
          <w:szCs w:val="24"/>
        </w:rPr>
      </w:pPr>
      <w:r>
        <w:rPr>
          <w:rFonts w:hint="eastAsia" w:ascii="宋体" w:hAnsi="宋体" w:cs="宋体"/>
          <w:color w:val="auto"/>
          <w:sz w:val="24"/>
          <w:szCs w:val="24"/>
        </w:rPr>
        <w:t>（四）成交人响应文件</w:t>
      </w:r>
    </w:p>
    <w:p w14:paraId="68A0AB8F">
      <w:pPr>
        <w:spacing w:line="360" w:lineRule="auto"/>
        <w:jc w:val="left"/>
        <w:rPr>
          <w:rFonts w:hint="eastAsia" w:ascii="宋体" w:hAnsi="宋体" w:cs="宋体"/>
          <w:color w:val="auto"/>
          <w:sz w:val="24"/>
          <w:szCs w:val="24"/>
        </w:rPr>
      </w:pPr>
      <w:r>
        <w:rPr>
          <w:rFonts w:hint="eastAsia" w:ascii="宋体" w:hAnsi="宋体" w:cs="宋体"/>
          <w:color w:val="auto"/>
          <w:sz w:val="24"/>
          <w:szCs w:val="24"/>
        </w:rPr>
        <w:t>（五）竞争性磋商文件</w:t>
      </w:r>
    </w:p>
    <w:p w14:paraId="1B646902">
      <w:pPr>
        <w:spacing w:line="360" w:lineRule="auto"/>
        <w:jc w:val="left"/>
        <w:rPr>
          <w:rFonts w:hint="eastAsia" w:ascii="宋体" w:hAnsi="宋体" w:cs="宋体"/>
          <w:color w:val="auto"/>
          <w:sz w:val="24"/>
          <w:szCs w:val="24"/>
        </w:rPr>
      </w:pPr>
      <w:r>
        <w:rPr>
          <w:rFonts w:hint="eastAsia" w:ascii="宋体" w:hAnsi="宋体" w:cs="宋体"/>
          <w:color w:val="auto"/>
          <w:sz w:val="24"/>
          <w:szCs w:val="24"/>
        </w:rPr>
        <w:t>（六）本合同附件</w:t>
      </w:r>
    </w:p>
    <w:p w14:paraId="52A885C3">
      <w:pPr>
        <w:spacing w:line="360" w:lineRule="auto"/>
        <w:jc w:val="left"/>
        <w:rPr>
          <w:rFonts w:hint="eastAsia" w:ascii="宋体" w:hAnsi="宋体" w:cs="宋体"/>
          <w:color w:val="auto"/>
          <w:sz w:val="24"/>
          <w:szCs w:val="24"/>
        </w:rPr>
      </w:pPr>
      <w:r>
        <w:rPr>
          <w:rFonts w:hint="eastAsia" w:ascii="宋体" w:hAnsi="宋体" w:cs="宋体"/>
          <w:color w:val="auto"/>
          <w:sz w:val="24"/>
          <w:szCs w:val="24"/>
        </w:rPr>
        <w:t>同一层次的合同文件规定有矛盾的以较后时间制定的为准。</w:t>
      </w:r>
    </w:p>
    <w:p w14:paraId="324979BD">
      <w:pPr>
        <w:spacing w:line="360" w:lineRule="auto"/>
        <w:jc w:val="left"/>
        <w:rPr>
          <w:rFonts w:hint="eastAsia" w:ascii="宋体" w:hAnsi="宋体" w:cs="宋体"/>
          <w:color w:val="auto"/>
          <w:sz w:val="24"/>
          <w:szCs w:val="24"/>
        </w:rPr>
      </w:pPr>
      <w:r>
        <w:rPr>
          <w:rFonts w:hint="eastAsia" w:ascii="宋体" w:hAnsi="宋体" w:cs="宋体"/>
          <w:color w:val="auto"/>
          <w:sz w:val="24"/>
          <w:szCs w:val="24"/>
        </w:rPr>
        <w:t>二、合同的范围和条件</w:t>
      </w:r>
    </w:p>
    <w:p w14:paraId="7F118716">
      <w:pPr>
        <w:spacing w:line="360" w:lineRule="auto"/>
        <w:jc w:val="left"/>
        <w:rPr>
          <w:rFonts w:hint="eastAsia" w:ascii="宋体" w:hAnsi="宋体" w:cs="宋体"/>
          <w:color w:val="auto"/>
          <w:sz w:val="24"/>
          <w:szCs w:val="24"/>
        </w:rPr>
      </w:pPr>
      <w:r>
        <w:rPr>
          <w:rFonts w:hint="eastAsia" w:ascii="宋体" w:hAnsi="宋体" w:cs="宋体"/>
          <w:color w:val="auto"/>
          <w:sz w:val="24"/>
          <w:szCs w:val="24"/>
        </w:rPr>
        <w:t>本合同的范围和条件应与上述合同文件的规定相一致。</w:t>
      </w:r>
    </w:p>
    <w:p w14:paraId="4431AA99">
      <w:pPr>
        <w:spacing w:line="360" w:lineRule="auto"/>
        <w:jc w:val="left"/>
        <w:rPr>
          <w:rFonts w:hint="eastAsia" w:ascii="宋体" w:hAnsi="宋体" w:cs="宋体"/>
          <w:color w:val="auto"/>
          <w:sz w:val="24"/>
          <w:szCs w:val="24"/>
        </w:rPr>
      </w:pPr>
      <w:r>
        <w:rPr>
          <w:rFonts w:hint="eastAsia" w:ascii="宋体" w:hAnsi="宋体" w:cs="宋体"/>
          <w:color w:val="auto"/>
          <w:sz w:val="24"/>
          <w:szCs w:val="24"/>
        </w:rPr>
        <w:t>三、服务项目</w:t>
      </w:r>
    </w:p>
    <w:p w14:paraId="155A94A5">
      <w:pPr>
        <w:spacing w:line="360" w:lineRule="auto"/>
        <w:jc w:val="left"/>
        <w:rPr>
          <w:rFonts w:hint="eastAsia" w:ascii="宋体" w:hAnsi="宋体" w:cs="宋体"/>
          <w:color w:val="auto"/>
          <w:sz w:val="24"/>
          <w:szCs w:val="24"/>
          <w:u w:val="single"/>
        </w:rPr>
      </w:pPr>
      <w:r>
        <w:rPr>
          <w:rFonts w:hint="eastAsia" w:ascii="宋体" w:hAnsi="宋体" w:cs="宋体"/>
          <w:color w:val="auto"/>
          <w:sz w:val="24"/>
          <w:szCs w:val="24"/>
        </w:rPr>
        <w:t>本合同所提供的服务项目内容：</w:t>
      </w:r>
      <w:r>
        <w:rPr>
          <w:rFonts w:hint="eastAsia" w:ascii="宋体" w:hAnsi="宋体" w:cs="宋体"/>
          <w:color w:val="auto"/>
          <w:sz w:val="24"/>
          <w:szCs w:val="24"/>
          <w:u w:val="single"/>
        </w:rPr>
        <w:t xml:space="preserve">              </w:t>
      </w:r>
    </w:p>
    <w:p w14:paraId="484FF44F">
      <w:pPr>
        <w:spacing w:line="360" w:lineRule="auto"/>
        <w:jc w:val="left"/>
        <w:rPr>
          <w:rFonts w:hint="eastAsia" w:ascii="宋体" w:hAnsi="宋体" w:cs="宋体"/>
          <w:color w:val="auto"/>
          <w:sz w:val="24"/>
          <w:szCs w:val="24"/>
        </w:rPr>
      </w:pPr>
      <w:r>
        <w:rPr>
          <w:rFonts w:hint="eastAsia" w:ascii="宋体" w:hAnsi="宋体" w:cs="宋体"/>
          <w:color w:val="auto"/>
          <w:sz w:val="24"/>
          <w:szCs w:val="24"/>
        </w:rPr>
        <w:t>四、合同金额</w:t>
      </w:r>
    </w:p>
    <w:p w14:paraId="5C4B8B54">
      <w:pPr>
        <w:spacing w:line="360" w:lineRule="auto"/>
        <w:jc w:val="left"/>
        <w:rPr>
          <w:rFonts w:hint="eastAsia" w:ascii="宋体" w:hAnsi="宋体" w:cs="宋体"/>
          <w:color w:val="auto"/>
          <w:sz w:val="24"/>
          <w:szCs w:val="24"/>
        </w:rPr>
      </w:pPr>
      <w:r>
        <w:rPr>
          <w:rFonts w:hint="eastAsia" w:ascii="宋体" w:hAnsi="宋体" w:cs="宋体"/>
          <w:color w:val="auto"/>
          <w:sz w:val="24"/>
          <w:szCs w:val="24"/>
        </w:rPr>
        <w:t>合同金额为¥</w:t>
      </w:r>
      <w:r>
        <w:rPr>
          <w:rFonts w:hint="eastAsia" w:ascii="宋体" w:hAnsi="宋体" w:cs="宋体"/>
          <w:color w:val="auto"/>
          <w:sz w:val="24"/>
          <w:szCs w:val="24"/>
          <w:u w:val="single"/>
        </w:rPr>
        <w:t xml:space="preserve">        </w:t>
      </w:r>
      <w:r>
        <w:rPr>
          <w:rFonts w:hint="eastAsia" w:ascii="宋体" w:hAnsi="宋体" w:cs="宋体"/>
          <w:color w:val="auto"/>
          <w:sz w:val="24"/>
          <w:szCs w:val="24"/>
        </w:rPr>
        <w:t>元，大写：人民币</w:t>
      </w:r>
      <w:r>
        <w:rPr>
          <w:rFonts w:hint="eastAsia" w:ascii="宋体" w:hAnsi="宋体" w:cs="宋体"/>
          <w:color w:val="auto"/>
          <w:sz w:val="24"/>
          <w:szCs w:val="24"/>
          <w:u w:val="single"/>
        </w:rPr>
        <w:t xml:space="preserve">      </w:t>
      </w:r>
      <w:r>
        <w:rPr>
          <w:rFonts w:hint="eastAsia" w:ascii="宋体" w:hAnsi="宋体" w:cs="宋体"/>
          <w:color w:val="auto"/>
          <w:sz w:val="24"/>
          <w:szCs w:val="24"/>
        </w:rPr>
        <w:t>。</w:t>
      </w:r>
    </w:p>
    <w:p w14:paraId="1610B791">
      <w:pPr>
        <w:spacing w:line="360" w:lineRule="auto"/>
        <w:jc w:val="left"/>
        <w:rPr>
          <w:rFonts w:hint="eastAsia" w:ascii="宋体" w:hAnsi="宋体" w:cs="宋体"/>
          <w:color w:val="auto"/>
          <w:sz w:val="24"/>
          <w:szCs w:val="24"/>
        </w:rPr>
      </w:pPr>
      <w:r>
        <w:rPr>
          <w:rFonts w:hint="eastAsia" w:ascii="宋体" w:hAnsi="宋体" w:cs="宋体"/>
          <w:color w:val="auto"/>
          <w:sz w:val="24"/>
          <w:szCs w:val="24"/>
        </w:rPr>
        <w:t>五、付款方式:</w:t>
      </w:r>
    </w:p>
    <w:p w14:paraId="6413EAD0">
      <w:pPr>
        <w:pStyle w:val="12"/>
        <w:spacing w:after="0"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验收及付款方式：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1001ED0">
      <w:pPr>
        <w:spacing w:line="360" w:lineRule="auto"/>
        <w:jc w:val="left"/>
        <w:rPr>
          <w:rFonts w:hint="eastAsia" w:ascii="宋体" w:hAnsi="宋体" w:cs="宋体"/>
          <w:color w:val="auto"/>
          <w:sz w:val="24"/>
          <w:szCs w:val="24"/>
        </w:rPr>
      </w:pPr>
      <w:r>
        <w:rPr>
          <w:rFonts w:hint="eastAsia" w:ascii="宋体" w:hAnsi="宋体" w:cs="宋体"/>
          <w:color w:val="auto"/>
          <w:sz w:val="24"/>
          <w:szCs w:val="24"/>
        </w:rPr>
        <w:t>六、合同履行期限、地点</w:t>
      </w:r>
    </w:p>
    <w:p w14:paraId="4FFE6B96">
      <w:pPr>
        <w:spacing w:line="360" w:lineRule="auto"/>
        <w:jc w:val="left"/>
        <w:rPr>
          <w:rFonts w:hint="eastAsia" w:ascii="宋体" w:hAnsi="宋体" w:cs="宋体"/>
          <w:color w:val="auto"/>
          <w:sz w:val="24"/>
          <w:szCs w:val="24"/>
          <w:u w:val="single"/>
        </w:rPr>
      </w:pPr>
      <w:r>
        <w:rPr>
          <w:rFonts w:hint="eastAsia" w:ascii="宋体" w:hAnsi="宋体" w:cs="宋体"/>
          <w:color w:val="auto"/>
          <w:sz w:val="24"/>
          <w:szCs w:val="24"/>
        </w:rPr>
        <w:t>1、合同履行期限：</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none"/>
        </w:rPr>
        <w:t>。</w:t>
      </w:r>
    </w:p>
    <w:p w14:paraId="3C1D6D45">
      <w:pPr>
        <w:spacing w:line="360" w:lineRule="auto"/>
        <w:jc w:val="left"/>
        <w:rPr>
          <w:rFonts w:hint="eastAsia" w:ascii="宋体" w:hAnsi="宋体" w:cs="宋体"/>
          <w:color w:val="auto"/>
          <w:sz w:val="24"/>
          <w:szCs w:val="24"/>
        </w:rPr>
      </w:pPr>
      <w:r>
        <w:rPr>
          <w:rFonts w:hint="eastAsia" w:ascii="宋体" w:hAnsi="宋体" w:cs="宋体"/>
          <w:color w:val="auto"/>
          <w:sz w:val="24"/>
          <w:szCs w:val="24"/>
        </w:rPr>
        <w:t>2、服务地点：</w:t>
      </w:r>
      <w:r>
        <w:rPr>
          <w:rFonts w:hint="eastAsia" w:ascii="宋体" w:hAnsi="宋体" w:cs="宋体"/>
          <w:color w:val="auto"/>
          <w:sz w:val="24"/>
          <w:szCs w:val="24"/>
          <w:u w:val="single"/>
        </w:rPr>
        <w:t>甲方指定地点</w:t>
      </w:r>
      <w:r>
        <w:rPr>
          <w:rFonts w:hint="eastAsia" w:ascii="宋体" w:hAnsi="宋体" w:cs="宋体"/>
          <w:color w:val="auto"/>
          <w:sz w:val="24"/>
          <w:szCs w:val="24"/>
        </w:rPr>
        <w:t>。</w:t>
      </w:r>
    </w:p>
    <w:p w14:paraId="3D920594">
      <w:pPr>
        <w:spacing w:line="360" w:lineRule="auto"/>
        <w:jc w:val="left"/>
        <w:rPr>
          <w:rFonts w:hint="eastAsia" w:ascii="宋体" w:hAnsi="宋体" w:cs="宋体"/>
          <w:color w:val="auto"/>
          <w:sz w:val="24"/>
          <w:szCs w:val="24"/>
        </w:rPr>
      </w:pPr>
      <w:r>
        <w:rPr>
          <w:rFonts w:hint="eastAsia" w:ascii="宋体" w:hAnsi="宋体" w:cs="宋体"/>
          <w:color w:val="auto"/>
          <w:sz w:val="24"/>
          <w:szCs w:val="24"/>
        </w:rPr>
        <w:t>七、服务质量：</w:t>
      </w:r>
      <w:r>
        <w:rPr>
          <w:rFonts w:hint="eastAsia" w:ascii="宋体" w:hAnsi="宋体" w:cs="宋体"/>
          <w:color w:val="auto"/>
          <w:sz w:val="24"/>
          <w:szCs w:val="24"/>
          <w:u w:val="single"/>
        </w:rPr>
        <w:t xml:space="preserve">              </w:t>
      </w:r>
      <w:r>
        <w:rPr>
          <w:rFonts w:hint="eastAsia" w:ascii="宋体" w:hAnsi="宋体" w:cs="宋体"/>
          <w:color w:val="auto"/>
          <w:sz w:val="24"/>
          <w:szCs w:val="24"/>
        </w:rPr>
        <w:t>。</w:t>
      </w:r>
    </w:p>
    <w:p w14:paraId="2355D473">
      <w:pPr>
        <w:spacing w:line="360" w:lineRule="auto"/>
        <w:jc w:val="left"/>
        <w:rPr>
          <w:rFonts w:hint="eastAsia" w:ascii="宋体" w:hAnsi="宋体" w:cs="宋体"/>
          <w:color w:val="auto"/>
          <w:sz w:val="24"/>
          <w:szCs w:val="24"/>
        </w:rPr>
      </w:pPr>
      <w:r>
        <w:rPr>
          <w:rFonts w:hint="eastAsia" w:ascii="宋体" w:hAnsi="宋体" w:cs="宋体"/>
          <w:color w:val="auto"/>
          <w:sz w:val="24"/>
          <w:szCs w:val="24"/>
        </w:rPr>
        <w:t>八、知识产权</w:t>
      </w:r>
    </w:p>
    <w:p w14:paraId="11640C93">
      <w:pPr>
        <w:spacing w:line="360" w:lineRule="auto"/>
        <w:jc w:val="left"/>
        <w:rPr>
          <w:rFonts w:hint="eastAsia" w:ascii="宋体" w:hAnsi="宋体" w:cs="宋体"/>
          <w:color w:val="auto"/>
          <w:sz w:val="24"/>
          <w:szCs w:val="24"/>
        </w:rPr>
      </w:pPr>
      <w:r>
        <w:rPr>
          <w:rFonts w:hint="eastAsia" w:ascii="宋体" w:hAnsi="宋体" w:cs="宋体"/>
          <w:color w:val="auto"/>
          <w:sz w:val="24"/>
          <w:szCs w:val="24"/>
        </w:rPr>
        <w:t>乙方应保证甲方所使用的服务成果免受第三方提出的侵犯其知识产权的诉讼。</w:t>
      </w:r>
    </w:p>
    <w:p w14:paraId="4B504DC1">
      <w:pPr>
        <w:spacing w:line="360" w:lineRule="auto"/>
        <w:jc w:val="left"/>
        <w:rPr>
          <w:rFonts w:hint="eastAsia" w:ascii="宋体" w:hAnsi="宋体" w:cs="宋体"/>
          <w:color w:val="auto"/>
          <w:sz w:val="24"/>
          <w:szCs w:val="24"/>
        </w:rPr>
      </w:pPr>
      <w:r>
        <w:rPr>
          <w:rFonts w:hint="eastAsia" w:ascii="宋体" w:hAnsi="宋体" w:cs="宋体"/>
          <w:color w:val="auto"/>
          <w:sz w:val="24"/>
          <w:szCs w:val="24"/>
        </w:rPr>
        <w:t>九、违约条款</w:t>
      </w:r>
    </w:p>
    <w:p w14:paraId="33C196C6">
      <w:pPr>
        <w:spacing w:line="360" w:lineRule="auto"/>
        <w:jc w:val="left"/>
        <w:rPr>
          <w:rFonts w:hint="eastAsia" w:ascii="宋体" w:hAnsi="宋体" w:cs="宋体"/>
          <w:color w:val="auto"/>
          <w:sz w:val="24"/>
          <w:szCs w:val="24"/>
        </w:rPr>
      </w:pPr>
      <w:r>
        <w:rPr>
          <w:rFonts w:hint="eastAsia" w:ascii="宋体" w:hAnsi="宋体" w:cs="宋体"/>
          <w:color w:val="auto"/>
          <w:sz w:val="24"/>
          <w:szCs w:val="24"/>
        </w:rPr>
        <w:t>1、乙方延迟提交报告，每延迟</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日，按合同总额</w:t>
      </w:r>
      <w:r>
        <w:rPr>
          <w:rFonts w:hint="eastAsia" w:ascii="宋体" w:hAnsi="宋体" w:cs="宋体"/>
          <w:color w:val="auto"/>
          <w:sz w:val="24"/>
          <w:szCs w:val="24"/>
          <w:u w:val="single"/>
        </w:rPr>
        <w:t xml:space="preserve">    </w:t>
      </w:r>
      <w:r>
        <w:rPr>
          <w:rFonts w:hint="eastAsia" w:ascii="宋体" w:hAnsi="宋体" w:cs="宋体"/>
          <w:color w:val="auto"/>
          <w:sz w:val="24"/>
          <w:szCs w:val="24"/>
        </w:rPr>
        <w:t>支付违约金。</w:t>
      </w:r>
    </w:p>
    <w:p w14:paraId="396FC875">
      <w:pPr>
        <w:spacing w:line="360" w:lineRule="auto"/>
        <w:jc w:val="left"/>
        <w:rPr>
          <w:rFonts w:hint="eastAsia" w:ascii="宋体" w:hAnsi="宋体" w:cs="宋体"/>
          <w:color w:val="auto"/>
          <w:sz w:val="24"/>
          <w:szCs w:val="24"/>
        </w:rPr>
      </w:pPr>
      <w:r>
        <w:rPr>
          <w:rFonts w:hint="eastAsia" w:ascii="宋体" w:hAnsi="宋体" w:cs="宋体"/>
          <w:color w:val="auto"/>
          <w:sz w:val="24"/>
          <w:szCs w:val="24"/>
        </w:rPr>
        <w:t>2、乙方提交报告未达到要求，除应按合同约定进行修改外，应按合同额每日向甲方支付违约金。</w:t>
      </w:r>
    </w:p>
    <w:p w14:paraId="2379041D">
      <w:pPr>
        <w:spacing w:line="360" w:lineRule="auto"/>
        <w:jc w:val="left"/>
        <w:rPr>
          <w:rFonts w:hint="eastAsia" w:ascii="宋体" w:hAnsi="宋体" w:cs="宋体"/>
          <w:color w:val="auto"/>
          <w:sz w:val="24"/>
          <w:szCs w:val="24"/>
        </w:rPr>
      </w:pPr>
      <w:r>
        <w:rPr>
          <w:rFonts w:hint="eastAsia" w:ascii="宋体" w:hAnsi="宋体" w:cs="宋体"/>
          <w:color w:val="auto"/>
          <w:sz w:val="24"/>
          <w:szCs w:val="24"/>
        </w:rPr>
        <w:t>3、一方不按期履行合同，并经另一方提示后</w:t>
      </w:r>
      <w:r>
        <w:rPr>
          <w:rFonts w:hint="eastAsia" w:ascii="宋体" w:hAnsi="宋体" w:cs="宋体"/>
          <w:color w:val="auto"/>
          <w:sz w:val="24"/>
          <w:szCs w:val="24"/>
          <w:u w:val="single"/>
        </w:rPr>
        <w:t xml:space="preserve">    </w:t>
      </w:r>
      <w:r>
        <w:rPr>
          <w:rFonts w:hint="eastAsia" w:ascii="宋体" w:hAnsi="宋体" w:cs="宋体"/>
          <w:color w:val="auto"/>
          <w:sz w:val="24"/>
          <w:szCs w:val="24"/>
        </w:rPr>
        <w:t>日内仍不履行合同的，守约方有权解除合同，违约方要承担相应的法律责任。</w:t>
      </w:r>
    </w:p>
    <w:p w14:paraId="69A4EBAA">
      <w:pPr>
        <w:spacing w:line="360" w:lineRule="auto"/>
        <w:jc w:val="left"/>
        <w:rPr>
          <w:rFonts w:hint="eastAsia" w:ascii="宋体" w:hAnsi="宋体" w:cs="宋体"/>
          <w:color w:val="auto"/>
          <w:sz w:val="24"/>
          <w:szCs w:val="24"/>
        </w:rPr>
      </w:pPr>
      <w:r>
        <w:rPr>
          <w:rFonts w:hint="eastAsia" w:ascii="宋体" w:hAnsi="宋体" w:cs="宋体"/>
          <w:color w:val="auto"/>
          <w:sz w:val="24"/>
          <w:szCs w:val="24"/>
        </w:rPr>
        <w:t>4、如因一方违约，双方未能就赔偿损失达成协议，引起诉讼或仲裁时，违约方除应赔偿对方经济损失外，还应承担因诉讼或仲裁所支付的律师代理费等相关费用。</w:t>
      </w:r>
    </w:p>
    <w:p w14:paraId="13B304A4">
      <w:pPr>
        <w:spacing w:line="360" w:lineRule="auto"/>
        <w:jc w:val="left"/>
        <w:rPr>
          <w:rFonts w:hint="eastAsia" w:ascii="宋体" w:hAnsi="宋体" w:cs="宋体"/>
          <w:color w:val="auto"/>
          <w:sz w:val="24"/>
          <w:szCs w:val="24"/>
        </w:rPr>
      </w:pPr>
      <w:r>
        <w:rPr>
          <w:rFonts w:hint="eastAsia" w:ascii="宋体" w:hAnsi="宋体" w:cs="宋体"/>
          <w:color w:val="auto"/>
          <w:sz w:val="24"/>
          <w:szCs w:val="24"/>
        </w:rPr>
        <w:t>5、其它应承担的违约责任，以《中华人民共和国合同法》和其它有关</w:t>
      </w:r>
      <w:r>
        <w:rPr>
          <w:rFonts w:hint="eastAsia" w:ascii="宋体" w:hAnsi="宋体" w:cs="宋体"/>
          <w:color w:val="auto"/>
          <w:sz w:val="24"/>
          <w:szCs w:val="24"/>
          <w:lang w:eastAsia="zh-CN"/>
        </w:rPr>
        <w:t>法律法规</w:t>
      </w:r>
      <w:r>
        <w:rPr>
          <w:rFonts w:hint="eastAsia" w:ascii="宋体" w:hAnsi="宋体" w:cs="宋体"/>
          <w:color w:val="auto"/>
          <w:sz w:val="24"/>
          <w:szCs w:val="24"/>
        </w:rPr>
        <w:t>规定为准，无相关规定的，双方协商解决。</w:t>
      </w:r>
    </w:p>
    <w:p w14:paraId="57ECC156">
      <w:pPr>
        <w:spacing w:line="360" w:lineRule="auto"/>
        <w:jc w:val="left"/>
        <w:rPr>
          <w:rFonts w:hint="eastAsia" w:ascii="宋体" w:hAnsi="宋体" w:cs="宋体"/>
          <w:color w:val="auto"/>
          <w:sz w:val="24"/>
          <w:szCs w:val="24"/>
        </w:rPr>
      </w:pPr>
      <w:r>
        <w:rPr>
          <w:rFonts w:hint="eastAsia" w:ascii="宋体" w:hAnsi="宋体" w:cs="宋体"/>
          <w:color w:val="auto"/>
          <w:sz w:val="24"/>
          <w:szCs w:val="24"/>
        </w:rPr>
        <w:t>6、按照本合同规定应该偿付的违约金、赔偿金等，应当在明确责任后</w:t>
      </w:r>
      <w:r>
        <w:rPr>
          <w:rFonts w:hint="eastAsia" w:ascii="宋体" w:hAnsi="宋体" w:cs="宋体"/>
          <w:color w:val="auto"/>
          <w:sz w:val="24"/>
          <w:szCs w:val="24"/>
          <w:u w:val="single"/>
        </w:rPr>
        <w:t xml:space="preserve">    </w:t>
      </w:r>
      <w:r>
        <w:rPr>
          <w:rFonts w:hint="eastAsia" w:ascii="宋体" w:hAnsi="宋体" w:cs="宋体"/>
          <w:color w:val="auto"/>
          <w:sz w:val="24"/>
          <w:szCs w:val="24"/>
        </w:rPr>
        <w:t>日内，按银行规定或双方商定的结算办法付清，否则按逾期付款处理。</w:t>
      </w:r>
    </w:p>
    <w:p w14:paraId="31BB321C">
      <w:pPr>
        <w:spacing w:line="360" w:lineRule="auto"/>
        <w:jc w:val="left"/>
        <w:rPr>
          <w:rFonts w:hint="eastAsia" w:ascii="宋体" w:hAnsi="宋体" w:cs="宋体"/>
          <w:color w:val="auto"/>
          <w:sz w:val="24"/>
          <w:szCs w:val="24"/>
        </w:rPr>
      </w:pPr>
      <w:r>
        <w:rPr>
          <w:rFonts w:hint="eastAsia" w:ascii="宋体" w:hAnsi="宋体" w:cs="宋体"/>
          <w:color w:val="auto"/>
          <w:sz w:val="24"/>
          <w:szCs w:val="24"/>
        </w:rPr>
        <w:t>十、不可抗力条款</w:t>
      </w:r>
    </w:p>
    <w:p w14:paraId="224B4159">
      <w:pPr>
        <w:spacing w:line="360" w:lineRule="auto"/>
        <w:jc w:val="left"/>
        <w:rPr>
          <w:rFonts w:hint="eastAsia" w:ascii="宋体" w:hAnsi="宋体" w:cs="宋体"/>
          <w:color w:val="auto"/>
          <w:sz w:val="24"/>
          <w:szCs w:val="24"/>
        </w:rPr>
      </w:pPr>
      <w:r>
        <w:rPr>
          <w:rFonts w:hint="eastAsia" w:ascii="宋体" w:hAnsi="宋体" w:cs="宋体"/>
          <w:color w:val="auto"/>
          <w:sz w:val="24"/>
          <w:szCs w:val="24"/>
        </w:rPr>
        <w:t>因不可抗力致使一方不能及时或完全履行合同的，应及时通知采购代理机构及另一方，双方互不承担责任，并在</w:t>
      </w:r>
      <w:r>
        <w:rPr>
          <w:rFonts w:hint="eastAsia" w:ascii="宋体" w:hAnsi="宋体" w:cs="宋体"/>
          <w:color w:val="auto"/>
          <w:sz w:val="24"/>
          <w:szCs w:val="24"/>
          <w:u w:val="single"/>
        </w:rPr>
        <w:t xml:space="preserve">    </w:t>
      </w:r>
      <w:r>
        <w:rPr>
          <w:rFonts w:hint="eastAsia" w:ascii="宋体" w:hAnsi="宋体" w:cs="宋体"/>
          <w:color w:val="auto"/>
          <w:sz w:val="24"/>
          <w:szCs w:val="24"/>
        </w:rPr>
        <w:t>天内提供有关不可抗力的相应证明。合同未履行部分是否继续履行、如何履行问题，可由双方协商解决。</w:t>
      </w:r>
    </w:p>
    <w:p w14:paraId="3AEA6F34">
      <w:pPr>
        <w:spacing w:line="360" w:lineRule="auto"/>
        <w:jc w:val="left"/>
        <w:rPr>
          <w:rFonts w:hint="eastAsia" w:ascii="宋体" w:hAnsi="宋体" w:cs="宋体"/>
          <w:color w:val="auto"/>
          <w:sz w:val="24"/>
          <w:szCs w:val="24"/>
        </w:rPr>
      </w:pPr>
      <w:r>
        <w:rPr>
          <w:rFonts w:hint="eastAsia" w:ascii="宋体" w:hAnsi="宋体" w:cs="宋体"/>
          <w:color w:val="auto"/>
          <w:sz w:val="24"/>
          <w:szCs w:val="24"/>
        </w:rPr>
        <w:t>十一、争议解决方式</w:t>
      </w:r>
    </w:p>
    <w:p w14:paraId="4E7C63E6">
      <w:pPr>
        <w:spacing w:line="360" w:lineRule="auto"/>
        <w:jc w:val="left"/>
        <w:rPr>
          <w:rFonts w:hint="eastAsia" w:ascii="宋体" w:hAnsi="宋体" w:cs="宋体"/>
          <w:color w:val="auto"/>
          <w:sz w:val="24"/>
          <w:szCs w:val="24"/>
        </w:rPr>
      </w:pPr>
      <w:r>
        <w:rPr>
          <w:rFonts w:hint="eastAsia" w:ascii="宋体" w:hAnsi="宋体" w:cs="宋体"/>
          <w:color w:val="auto"/>
          <w:sz w:val="24"/>
          <w:szCs w:val="24"/>
        </w:rPr>
        <w:t>合同发现纠纷时，双方应协商解决，协商解决不成可以采用下列 2 方式解决：</w:t>
      </w:r>
    </w:p>
    <w:p w14:paraId="529494D9">
      <w:pPr>
        <w:spacing w:line="360" w:lineRule="auto"/>
        <w:jc w:val="left"/>
        <w:rPr>
          <w:rFonts w:hint="eastAsia" w:ascii="宋体" w:hAnsi="宋体" w:cs="宋体"/>
          <w:color w:val="auto"/>
          <w:sz w:val="24"/>
          <w:szCs w:val="24"/>
        </w:rPr>
      </w:pPr>
      <w:r>
        <w:rPr>
          <w:rFonts w:hint="eastAsia" w:ascii="宋体" w:hAnsi="宋体" w:cs="宋体"/>
          <w:color w:val="auto"/>
          <w:sz w:val="24"/>
          <w:szCs w:val="24"/>
        </w:rPr>
        <w:t>1、提交</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仲裁委员会仲裁。</w:t>
      </w:r>
    </w:p>
    <w:p w14:paraId="08D5B76A">
      <w:pPr>
        <w:spacing w:line="360" w:lineRule="auto"/>
        <w:jc w:val="left"/>
        <w:rPr>
          <w:rFonts w:hint="eastAsia" w:ascii="宋体" w:hAnsi="宋体" w:eastAsia="宋体" w:cs="宋体"/>
          <w:color w:val="auto"/>
          <w:sz w:val="24"/>
          <w:szCs w:val="24"/>
          <w:lang w:val="en-US" w:eastAsia="zh-CN"/>
        </w:rPr>
      </w:pPr>
      <w:r>
        <w:rPr>
          <w:rFonts w:hint="eastAsia" w:ascii="宋体" w:hAnsi="宋体" w:cs="宋体"/>
          <w:color w:val="auto"/>
          <w:sz w:val="24"/>
          <w:szCs w:val="24"/>
        </w:rPr>
        <w:t>2、</w:t>
      </w:r>
      <w:r>
        <w:rPr>
          <w:rFonts w:hint="eastAsia" w:ascii="宋体" w:hAnsi="宋体" w:cs="宋体"/>
          <w:color w:val="auto"/>
          <w:sz w:val="24"/>
          <w:szCs w:val="24"/>
          <w:highlight w:val="none"/>
        </w:rPr>
        <w:t>向</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人民法院诉讼。</w:t>
      </w:r>
      <w:r>
        <w:rPr>
          <w:rFonts w:hint="eastAsia" w:ascii="宋体" w:hAnsi="宋体" w:cs="宋体"/>
          <w:color w:val="auto"/>
          <w:sz w:val="24"/>
          <w:szCs w:val="24"/>
          <w:highlight w:val="none"/>
          <w:lang w:val="en-US" w:eastAsia="zh-CN"/>
        </w:rPr>
        <w:t xml:space="preserve"> </w:t>
      </w:r>
    </w:p>
    <w:p w14:paraId="6852C73D">
      <w:pPr>
        <w:spacing w:line="360" w:lineRule="auto"/>
        <w:jc w:val="left"/>
        <w:rPr>
          <w:rFonts w:hint="eastAsia" w:ascii="宋体" w:hAnsi="宋体" w:cs="宋体"/>
          <w:color w:val="auto"/>
          <w:sz w:val="24"/>
          <w:szCs w:val="24"/>
        </w:rPr>
      </w:pPr>
      <w:r>
        <w:rPr>
          <w:rFonts w:hint="eastAsia" w:ascii="宋体" w:hAnsi="宋体" w:cs="宋体"/>
          <w:color w:val="auto"/>
          <w:sz w:val="24"/>
          <w:szCs w:val="24"/>
        </w:rPr>
        <w:t>十二、补充协议</w:t>
      </w:r>
    </w:p>
    <w:p w14:paraId="16795780">
      <w:pPr>
        <w:spacing w:line="360" w:lineRule="auto"/>
        <w:jc w:val="left"/>
        <w:rPr>
          <w:rFonts w:hint="eastAsia" w:ascii="宋体" w:hAnsi="宋体" w:cs="宋体"/>
          <w:color w:val="auto"/>
          <w:sz w:val="24"/>
          <w:szCs w:val="24"/>
        </w:rPr>
      </w:pPr>
      <w:r>
        <w:rPr>
          <w:rFonts w:hint="eastAsia" w:ascii="宋体" w:hAnsi="宋体" w:cs="宋体"/>
          <w:color w:val="auto"/>
          <w:sz w:val="24"/>
          <w:szCs w:val="24"/>
        </w:rPr>
        <w:t>1、如有未尽事宜，由双方依法订立补充合同。</w:t>
      </w:r>
    </w:p>
    <w:p w14:paraId="2C0F8DE4">
      <w:pPr>
        <w:spacing w:line="360" w:lineRule="auto"/>
        <w:jc w:val="left"/>
        <w:rPr>
          <w:rFonts w:hint="eastAsia" w:ascii="宋体" w:hAnsi="宋体" w:cs="宋体"/>
          <w:color w:val="auto"/>
          <w:sz w:val="24"/>
          <w:szCs w:val="24"/>
        </w:rPr>
      </w:pPr>
      <w:r>
        <w:rPr>
          <w:rFonts w:hint="eastAsia" w:ascii="宋体" w:hAnsi="宋体" w:cs="宋体"/>
          <w:color w:val="auto"/>
          <w:sz w:val="24"/>
          <w:szCs w:val="24"/>
        </w:rPr>
        <w:t>2、合同文本须报有关部门备案。</w:t>
      </w:r>
    </w:p>
    <w:p w14:paraId="4DBEA944">
      <w:pPr>
        <w:spacing w:line="360" w:lineRule="auto"/>
        <w:jc w:val="left"/>
        <w:rPr>
          <w:rFonts w:hint="eastAsia" w:ascii="宋体" w:hAnsi="宋体" w:cs="宋体"/>
          <w:color w:val="auto"/>
          <w:sz w:val="24"/>
          <w:szCs w:val="24"/>
        </w:rPr>
      </w:pPr>
      <w:r>
        <w:rPr>
          <w:rFonts w:hint="eastAsia" w:ascii="宋体" w:hAnsi="宋体" w:cs="宋体"/>
          <w:color w:val="auto"/>
          <w:sz w:val="24"/>
          <w:szCs w:val="24"/>
        </w:rPr>
        <w:t>十三、合同保存</w:t>
      </w:r>
    </w:p>
    <w:p w14:paraId="0668715F">
      <w:pPr>
        <w:spacing w:line="360" w:lineRule="auto"/>
        <w:jc w:val="left"/>
        <w:rPr>
          <w:rFonts w:hint="eastAsia" w:ascii="宋体" w:hAnsi="宋体" w:cs="宋体"/>
          <w:color w:val="auto"/>
          <w:sz w:val="24"/>
          <w:szCs w:val="24"/>
        </w:rPr>
      </w:pPr>
      <w:r>
        <w:rPr>
          <w:rFonts w:hint="eastAsia" w:ascii="宋体" w:hAnsi="宋体" w:cs="宋体"/>
          <w:color w:val="auto"/>
          <w:sz w:val="24"/>
          <w:szCs w:val="24"/>
        </w:rPr>
        <w:t>合同正本</w:t>
      </w:r>
      <w:r>
        <w:rPr>
          <w:rFonts w:hint="eastAsia" w:ascii="宋体" w:hAnsi="宋体" w:cs="宋体"/>
          <w:color w:val="auto"/>
          <w:sz w:val="24"/>
          <w:szCs w:val="24"/>
          <w:lang w:eastAsia="zh-CN"/>
        </w:rPr>
        <w:t>一</w:t>
      </w:r>
      <w:r>
        <w:rPr>
          <w:rFonts w:hint="eastAsia" w:ascii="宋体" w:hAnsi="宋体" w:cs="宋体"/>
          <w:color w:val="auto"/>
          <w:sz w:val="24"/>
          <w:szCs w:val="24"/>
        </w:rPr>
        <w:t>式</w:t>
      </w:r>
      <w:r>
        <w:rPr>
          <w:rFonts w:hint="eastAsia" w:ascii="宋体" w:hAnsi="宋体" w:cs="宋体"/>
          <w:color w:val="auto"/>
          <w:sz w:val="24"/>
          <w:szCs w:val="24"/>
          <w:u w:val="single"/>
        </w:rPr>
        <w:t xml:space="preserve">   </w:t>
      </w:r>
      <w:r>
        <w:rPr>
          <w:rFonts w:hint="eastAsia" w:ascii="宋体" w:hAnsi="宋体" w:cs="宋体"/>
          <w:color w:val="auto"/>
          <w:sz w:val="24"/>
          <w:szCs w:val="24"/>
        </w:rPr>
        <w:t>份；甲方</w:t>
      </w:r>
      <w:r>
        <w:rPr>
          <w:rFonts w:hint="eastAsia" w:ascii="宋体" w:hAnsi="宋体" w:cs="宋体"/>
          <w:color w:val="auto"/>
          <w:sz w:val="24"/>
          <w:szCs w:val="24"/>
          <w:u w:val="single"/>
        </w:rPr>
        <w:t xml:space="preserve">    </w:t>
      </w:r>
      <w:r>
        <w:rPr>
          <w:rFonts w:hint="eastAsia" w:ascii="宋体" w:hAnsi="宋体" w:cs="宋体"/>
          <w:color w:val="auto"/>
          <w:sz w:val="24"/>
          <w:szCs w:val="24"/>
        </w:rPr>
        <w:t>份，乙方</w:t>
      </w:r>
      <w:r>
        <w:rPr>
          <w:rFonts w:hint="eastAsia" w:ascii="宋体" w:hAnsi="宋体" w:cs="宋体"/>
          <w:color w:val="auto"/>
          <w:sz w:val="24"/>
          <w:szCs w:val="24"/>
          <w:u w:val="single"/>
        </w:rPr>
        <w:t xml:space="preserve">    </w:t>
      </w:r>
      <w:r>
        <w:rPr>
          <w:rFonts w:hint="eastAsia" w:ascii="宋体" w:hAnsi="宋体" w:cs="宋体"/>
          <w:color w:val="auto"/>
          <w:sz w:val="24"/>
          <w:szCs w:val="24"/>
        </w:rPr>
        <w:t>份。</w:t>
      </w:r>
    </w:p>
    <w:p w14:paraId="61BDF8E1">
      <w:pPr>
        <w:spacing w:line="360" w:lineRule="auto"/>
        <w:jc w:val="left"/>
        <w:rPr>
          <w:rFonts w:hint="eastAsia" w:ascii="宋体" w:hAnsi="宋体" w:cs="宋体"/>
          <w:color w:val="auto"/>
          <w:sz w:val="24"/>
          <w:szCs w:val="24"/>
        </w:rPr>
      </w:pPr>
      <w:r>
        <w:rPr>
          <w:rFonts w:hint="eastAsia" w:ascii="宋体" w:hAnsi="宋体" w:cs="宋体"/>
          <w:color w:val="auto"/>
          <w:sz w:val="24"/>
          <w:szCs w:val="24"/>
        </w:rPr>
        <w:t>甲方：（盖章）</w:t>
      </w:r>
      <w:r>
        <w:rPr>
          <w:rFonts w:hint="eastAsia" w:ascii="宋体" w:hAnsi="宋体" w:cs="宋体"/>
          <w:color w:val="auto"/>
          <w:sz w:val="24"/>
          <w:szCs w:val="24"/>
          <w:u w:val="single"/>
        </w:rPr>
        <w:t xml:space="preserve">                   </w:t>
      </w:r>
      <w:r>
        <w:rPr>
          <w:rFonts w:hint="eastAsia" w:ascii="宋体" w:hAnsi="宋体" w:cs="宋体"/>
          <w:color w:val="auto"/>
          <w:sz w:val="24"/>
          <w:szCs w:val="24"/>
        </w:rPr>
        <w:t>乙方：（盖章）</w:t>
      </w:r>
      <w:r>
        <w:rPr>
          <w:rFonts w:hint="eastAsia" w:ascii="宋体" w:hAnsi="宋体" w:cs="宋体"/>
          <w:color w:val="auto"/>
          <w:sz w:val="24"/>
          <w:szCs w:val="24"/>
          <w:u w:val="single"/>
        </w:rPr>
        <w:t xml:space="preserve">                    </w:t>
      </w:r>
    </w:p>
    <w:p w14:paraId="675E8C84">
      <w:pPr>
        <w:spacing w:line="360" w:lineRule="auto"/>
        <w:jc w:val="left"/>
        <w:rPr>
          <w:rFonts w:hint="eastAsia" w:ascii="宋体" w:hAnsi="宋体" w:cs="宋体"/>
          <w:color w:val="auto"/>
          <w:sz w:val="24"/>
          <w:szCs w:val="24"/>
        </w:rPr>
      </w:pPr>
      <w:r>
        <w:rPr>
          <w:rFonts w:hint="eastAsia" w:ascii="宋体" w:hAnsi="宋体" w:cs="宋体"/>
          <w:color w:val="auto"/>
          <w:sz w:val="24"/>
          <w:szCs w:val="24"/>
        </w:rPr>
        <w:t>法定代表人（授权代表）：</w:t>
      </w:r>
      <w:r>
        <w:rPr>
          <w:rFonts w:hint="eastAsia" w:ascii="宋体" w:hAnsi="宋体" w:cs="宋体"/>
          <w:color w:val="auto"/>
          <w:sz w:val="24"/>
          <w:szCs w:val="24"/>
          <w:u w:val="single"/>
        </w:rPr>
        <w:t xml:space="preserve">         </w:t>
      </w:r>
      <w:r>
        <w:rPr>
          <w:rFonts w:hint="eastAsia" w:ascii="宋体" w:hAnsi="宋体" w:cs="宋体"/>
          <w:color w:val="auto"/>
          <w:sz w:val="24"/>
          <w:szCs w:val="24"/>
        </w:rPr>
        <w:t>法定代表人（授权代表）：</w:t>
      </w:r>
      <w:r>
        <w:rPr>
          <w:rFonts w:hint="eastAsia" w:ascii="宋体" w:hAnsi="宋体" w:cs="宋体"/>
          <w:color w:val="auto"/>
          <w:sz w:val="24"/>
          <w:szCs w:val="24"/>
          <w:u w:val="single"/>
        </w:rPr>
        <w:t xml:space="preserve">          </w:t>
      </w:r>
    </w:p>
    <w:p w14:paraId="09F0863E">
      <w:pPr>
        <w:spacing w:line="360" w:lineRule="auto"/>
        <w:jc w:val="left"/>
        <w:rPr>
          <w:rFonts w:hint="eastAsia" w:ascii="宋体" w:hAnsi="宋体" w:cs="宋体"/>
          <w:color w:val="auto"/>
          <w:sz w:val="24"/>
          <w:szCs w:val="24"/>
        </w:rPr>
      </w:pPr>
      <w:r>
        <w:rPr>
          <w:rFonts w:hint="eastAsia" w:ascii="宋体" w:hAnsi="宋体" w:cs="宋体"/>
          <w:color w:val="auto"/>
          <w:sz w:val="24"/>
          <w:szCs w:val="24"/>
        </w:rPr>
        <w:t>地址：</w:t>
      </w:r>
      <w:r>
        <w:rPr>
          <w:rFonts w:hint="eastAsia" w:ascii="宋体" w:hAnsi="宋体" w:cs="宋体"/>
          <w:color w:val="auto"/>
          <w:sz w:val="24"/>
          <w:szCs w:val="24"/>
          <w:u w:val="single"/>
        </w:rPr>
        <w:t xml:space="preserve">                           </w:t>
      </w:r>
      <w:r>
        <w:rPr>
          <w:rFonts w:hint="eastAsia" w:ascii="宋体" w:hAnsi="宋体" w:cs="宋体"/>
          <w:color w:val="auto"/>
          <w:sz w:val="24"/>
          <w:szCs w:val="24"/>
        </w:rPr>
        <w:t>地址：</w:t>
      </w:r>
      <w:r>
        <w:rPr>
          <w:rFonts w:hint="eastAsia" w:ascii="宋体" w:hAnsi="宋体" w:cs="宋体"/>
          <w:color w:val="auto"/>
          <w:sz w:val="24"/>
          <w:szCs w:val="24"/>
          <w:u w:val="single"/>
        </w:rPr>
        <w:t xml:space="preserve">                            </w:t>
      </w:r>
    </w:p>
    <w:p w14:paraId="1BB62777">
      <w:pPr>
        <w:spacing w:line="360" w:lineRule="auto"/>
        <w:jc w:val="left"/>
        <w:rPr>
          <w:rFonts w:hint="eastAsia" w:ascii="宋体" w:hAnsi="宋体" w:cs="宋体"/>
          <w:color w:val="auto"/>
          <w:sz w:val="24"/>
          <w:szCs w:val="24"/>
        </w:rPr>
      </w:pPr>
      <w:r>
        <w:rPr>
          <w:rFonts w:hint="eastAsia" w:ascii="宋体" w:hAnsi="宋体" w:cs="宋体"/>
          <w:color w:val="auto"/>
          <w:sz w:val="24"/>
          <w:szCs w:val="24"/>
        </w:rPr>
        <w:t>开户银行：</w:t>
      </w:r>
      <w:r>
        <w:rPr>
          <w:rFonts w:hint="eastAsia" w:ascii="宋体" w:hAnsi="宋体" w:cs="宋体"/>
          <w:color w:val="auto"/>
          <w:sz w:val="24"/>
          <w:szCs w:val="24"/>
          <w:u w:val="single"/>
        </w:rPr>
        <w:t xml:space="preserve">                       </w:t>
      </w:r>
      <w:r>
        <w:rPr>
          <w:rFonts w:hint="eastAsia" w:ascii="宋体" w:hAnsi="宋体" w:cs="宋体"/>
          <w:color w:val="auto"/>
          <w:sz w:val="24"/>
          <w:szCs w:val="24"/>
        </w:rPr>
        <w:t>开户银行：</w:t>
      </w:r>
      <w:r>
        <w:rPr>
          <w:rFonts w:hint="eastAsia" w:ascii="宋体" w:hAnsi="宋体" w:cs="宋体"/>
          <w:color w:val="auto"/>
          <w:sz w:val="24"/>
          <w:szCs w:val="24"/>
          <w:u w:val="single"/>
        </w:rPr>
        <w:t xml:space="preserve">                        </w:t>
      </w:r>
    </w:p>
    <w:p w14:paraId="261649C9">
      <w:pPr>
        <w:spacing w:line="360" w:lineRule="auto"/>
        <w:jc w:val="left"/>
        <w:rPr>
          <w:rFonts w:hint="eastAsia" w:ascii="宋体" w:hAnsi="宋体" w:cs="宋体"/>
          <w:color w:val="auto"/>
          <w:sz w:val="24"/>
          <w:szCs w:val="24"/>
        </w:rPr>
      </w:pPr>
      <w:r>
        <w:rPr>
          <w:rFonts w:hint="eastAsia" w:ascii="宋体" w:hAnsi="宋体" w:cs="宋体"/>
          <w:color w:val="auto"/>
          <w:sz w:val="24"/>
          <w:szCs w:val="24"/>
        </w:rPr>
        <w:t>账号：</w:t>
      </w:r>
      <w:r>
        <w:rPr>
          <w:rFonts w:hint="eastAsia" w:ascii="宋体" w:hAnsi="宋体" w:cs="宋体"/>
          <w:color w:val="auto"/>
          <w:sz w:val="24"/>
          <w:szCs w:val="24"/>
          <w:u w:val="single"/>
        </w:rPr>
        <w:t xml:space="preserve">                           </w:t>
      </w:r>
      <w:r>
        <w:rPr>
          <w:rFonts w:hint="eastAsia" w:ascii="宋体" w:hAnsi="宋体" w:cs="宋体"/>
          <w:color w:val="auto"/>
          <w:sz w:val="24"/>
          <w:szCs w:val="24"/>
        </w:rPr>
        <w:t>账号：</w:t>
      </w:r>
      <w:r>
        <w:rPr>
          <w:rFonts w:hint="eastAsia" w:ascii="宋体" w:hAnsi="宋体" w:cs="宋体"/>
          <w:color w:val="auto"/>
          <w:sz w:val="24"/>
          <w:szCs w:val="24"/>
          <w:u w:val="single"/>
        </w:rPr>
        <w:t xml:space="preserve">                            </w:t>
      </w:r>
    </w:p>
    <w:p w14:paraId="035017AF">
      <w:pPr>
        <w:spacing w:line="360" w:lineRule="auto"/>
        <w:jc w:val="left"/>
        <w:rPr>
          <w:rFonts w:hint="eastAsia" w:ascii="宋体" w:hAnsi="宋体" w:cs="宋体"/>
          <w:color w:val="auto"/>
          <w:sz w:val="24"/>
          <w:szCs w:val="24"/>
        </w:rPr>
      </w:pPr>
      <w:r>
        <w:rPr>
          <w:rFonts w:hint="eastAsia" w:ascii="宋体" w:hAnsi="宋体" w:cs="宋体"/>
          <w:color w:val="auto"/>
          <w:sz w:val="24"/>
          <w:szCs w:val="24"/>
        </w:rPr>
        <w:t>电话：</w:t>
      </w:r>
      <w:r>
        <w:rPr>
          <w:rFonts w:hint="eastAsia" w:ascii="宋体" w:hAnsi="宋体" w:cs="宋体"/>
          <w:color w:val="auto"/>
          <w:sz w:val="24"/>
          <w:szCs w:val="24"/>
          <w:u w:val="single"/>
        </w:rPr>
        <w:t xml:space="preserve">                           </w:t>
      </w:r>
      <w:r>
        <w:rPr>
          <w:rFonts w:hint="eastAsia" w:ascii="宋体" w:hAnsi="宋体" w:cs="宋体"/>
          <w:color w:val="auto"/>
          <w:sz w:val="24"/>
          <w:szCs w:val="24"/>
        </w:rPr>
        <w:t>电话：</w:t>
      </w:r>
      <w:r>
        <w:rPr>
          <w:rFonts w:hint="eastAsia" w:ascii="宋体" w:hAnsi="宋体" w:cs="宋体"/>
          <w:color w:val="auto"/>
          <w:sz w:val="24"/>
          <w:szCs w:val="24"/>
          <w:u w:val="single"/>
        </w:rPr>
        <w:t xml:space="preserve">                            </w:t>
      </w:r>
    </w:p>
    <w:p w14:paraId="124CA953">
      <w:pPr>
        <w:spacing w:line="360" w:lineRule="auto"/>
        <w:jc w:val="left"/>
        <w:rPr>
          <w:rFonts w:hint="eastAsia" w:ascii="宋体" w:hAnsi="宋体" w:cs="宋体"/>
          <w:color w:val="auto"/>
          <w:sz w:val="24"/>
          <w:szCs w:val="24"/>
        </w:rPr>
      </w:pPr>
      <w:r>
        <w:rPr>
          <w:rFonts w:hint="eastAsia" w:ascii="宋体" w:hAnsi="宋体" w:cs="宋体"/>
          <w:color w:val="auto"/>
          <w:sz w:val="24"/>
          <w:szCs w:val="24"/>
        </w:rPr>
        <w:t>传真：</w:t>
      </w:r>
      <w:r>
        <w:rPr>
          <w:rFonts w:hint="eastAsia" w:ascii="宋体" w:hAnsi="宋体" w:cs="宋体"/>
          <w:color w:val="auto"/>
          <w:sz w:val="24"/>
          <w:szCs w:val="24"/>
          <w:u w:val="single"/>
        </w:rPr>
        <w:t xml:space="preserve">                           </w:t>
      </w:r>
      <w:r>
        <w:rPr>
          <w:rFonts w:hint="eastAsia" w:ascii="宋体" w:hAnsi="宋体" w:cs="宋体"/>
          <w:color w:val="auto"/>
          <w:sz w:val="24"/>
          <w:szCs w:val="24"/>
        </w:rPr>
        <w:t>传真：</w:t>
      </w:r>
      <w:r>
        <w:rPr>
          <w:rFonts w:hint="eastAsia" w:ascii="宋体" w:hAnsi="宋体" w:cs="宋体"/>
          <w:color w:val="auto"/>
          <w:sz w:val="24"/>
          <w:szCs w:val="24"/>
          <w:u w:val="single"/>
        </w:rPr>
        <w:t xml:space="preserve">                            </w:t>
      </w:r>
    </w:p>
    <w:p w14:paraId="3E850E53">
      <w:pPr>
        <w:spacing w:line="360" w:lineRule="auto"/>
        <w:rPr>
          <w:rFonts w:hint="eastAsia" w:ascii="宋体" w:hAnsi="宋体" w:cs="宋体"/>
          <w:color w:val="auto"/>
          <w:sz w:val="24"/>
          <w:szCs w:val="24"/>
        </w:rPr>
      </w:pPr>
      <w:r>
        <w:rPr>
          <w:rFonts w:hint="eastAsia" w:ascii="宋体" w:hAnsi="宋体" w:cs="宋体"/>
          <w:color w:val="auto"/>
          <w:sz w:val="24"/>
          <w:szCs w:val="24"/>
        </w:rPr>
        <w:t xml:space="preserve">                                           </w:t>
      </w:r>
    </w:p>
    <w:p w14:paraId="68DE872C">
      <w:pPr>
        <w:spacing w:line="360" w:lineRule="auto"/>
        <w:rPr>
          <w:rFonts w:hint="eastAsia" w:ascii="宋体" w:hAnsi="宋体" w:cs="宋体"/>
          <w:color w:val="auto"/>
          <w:sz w:val="24"/>
          <w:szCs w:val="24"/>
        </w:rPr>
      </w:pPr>
    </w:p>
    <w:p w14:paraId="51244BE9">
      <w:pPr>
        <w:spacing w:line="360" w:lineRule="auto"/>
        <w:rPr>
          <w:rFonts w:hint="eastAsia" w:ascii="宋体" w:hAnsi="宋体" w:cs="宋体"/>
          <w:color w:val="auto"/>
          <w:sz w:val="24"/>
          <w:szCs w:val="24"/>
        </w:rPr>
      </w:pPr>
      <w:r>
        <w:rPr>
          <w:rFonts w:hint="eastAsia" w:ascii="宋体" w:hAnsi="宋体" w:cs="宋体"/>
          <w:color w:val="auto"/>
          <w:sz w:val="24"/>
          <w:szCs w:val="24"/>
        </w:rPr>
        <w:t xml:space="preserve"> 签订日期：   年   月   日            签订日期：   年   月   日</w:t>
      </w:r>
    </w:p>
    <w:p w14:paraId="6926715E">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cs="宋体"/>
          <w:color w:val="000000"/>
          <w:sz w:val="24"/>
          <w:szCs w:val="24"/>
          <w:lang w:val="en-US" w:eastAsia="zh-CN"/>
        </w:rPr>
      </w:pPr>
    </w:p>
    <w:p w14:paraId="392433C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spacing w:val="-4"/>
          <w:sz w:val="28"/>
          <w:szCs w:val="28"/>
        </w:rPr>
      </w:pPr>
    </w:p>
    <w:p w14:paraId="000DA541">
      <w:pPr>
        <w:keepNext w:val="0"/>
        <w:keepLines w:val="0"/>
        <w:pageBreakBefore w:val="0"/>
        <w:widowControl w:val="0"/>
        <w:kinsoku/>
        <w:wordWrap/>
        <w:overflowPunct/>
        <w:topLinePunct w:val="0"/>
        <w:autoSpaceDE/>
        <w:autoSpaceDN/>
        <w:bidi w:val="0"/>
        <w:adjustRightInd/>
        <w:snapToGrid/>
        <w:spacing w:before="3" w:line="460" w:lineRule="exact"/>
        <w:ind w:firstLine="482" w:firstLineChars="200"/>
        <w:textAlignment w:val="auto"/>
        <w:rPr>
          <w:rFonts w:hint="eastAsia" w:ascii="宋体" w:hAnsi="宋体" w:eastAsia="宋体" w:cs="宋体"/>
          <w:b/>
          <w:bCs/>
          <w:color w:val="auto"/>
          <w:sz w:val="24"/>
          <w:szCs w:val="24"/>
          <w:u w:val="none"/>
          <w:lang w:val="en-US" w:eastAsia="zh-CN"/>
        </w:rPr>
      </w:pPr>
      <w:r>
        <w:rPr>
          <w:rFonts w:hint="eastAsia" w:ascii="宋体" w:hAnsi="宋体" w:eastAsia="宋体" w:cs="宋体"/>
          <w:b/>
          <w:bCs/>
          <w:color w:val="auto"/>
          <w:sz w:val="24"/>
          <w:szCs w:val="24"/>
          <w:u w:val="none"/>
          <w:lang w:val="en-US" w:eastAsia="zh-CN"/>
        </w:rPr>
        <w:t>特别说明：</w:t>
      </w:r>
    </w:p>
    <w:p w14:paraId="387D2F86">
      <w:pPr>
        <w:keepNext w:val="0"/>
        <w:keepLines w:val="0"/>
        <w:pageBreakBefore w:val="0"/>
        <w:widowControl w:val="0"/>
        <w:kinsoku/>
        <w:wordWrap/>
        <w:overflowPunct/>
        <w:topLinePunct w:val="0"/>
        <w:autoSpaceDE/>
        <w:autoSpaceDN/>
        <w:bidi w:val="0"/>
        <w:adjustRightInd/>
        <w:snapToGrid/>
        <w:spacing w:before="3" w:line="460" w:lineRule="exact"/>
        <w:ind w:left="4" w:firstLine="496"/>
        <w:textAlignment w:val="auto"/>
        <w:rPr>
          <w:rFonts w:hint="eastAsia" w:ascii="宋体" w:hAnsi="宋体" w:eastAsia="宋体" w:cs="宋体"/>
          <w:b/>
          <w:bCs/>
          <w:color w:val="auto"/>
          <w:sz w:val="24"/>
          <w:szCs w:val="24"/>
          <w:u w:val="none"/>
          <w:lang w:val="en-US" w:eastAsia="zh-CN"/>
        </w:rPr>
      </w:pPr>
      <w:r>
        <w:rPr>
          <w:rFonts w:hint="eastAsia" w:ascii="宋体" w:hAnsi="宋体" w:eastAsia="宋体" w:cs="宋体"/>
          <w:b/>
          <w:bCs/>
          <w:color w:val="auto"/>
          <w:sz w:val="24"/>
          <w:szCs w:val="24"/>
          <w:u w:val="none"/>
          <w:lang w:val="en-US" w:eastAsia="zh-CN"/>
        </w:rPr>
        <w:t>1.本范本根据《中华人民共和国政府采购法》、《中华人民共和国民法典》等法律法规制定。具体项目的采购合同条款，在本范本框架内由甲乙双方协商一致签订。空格处</w:t>
      </w:r>
      <w:r>
        <w:rPr>
          <w:rFonts w:hint="eastAsia" w:ascii="宋体" w:hAnsi="宋体" w:cs="宋体"/>
          <w:b/>
          <w:bCs/>
          <w:color w:val="auto"/>
          <w:sz w:val="24"/>
          <w:szCs w:val="24"/>
          <w:u w:val="none"/>
          <w:lang w:val="en-US" w:eastAsia="zh-CN"/>
        </w:rPr>
        <w:t>画横线</w:t>
      </w:r>
      <w:r>
        <w:rPr>
          <w:rFonts w:hint="eastAsia" w:ascii="宋体" w:hAnsi="宋体" w:eastAsia="宋体" w:cs="宋体"/>
          <w:b/>
          <w:bCs/>
          <w:color w:val="auto"/>
          <w:sz w:val="24"/>
          <w:szCs w:val="24"/>
          <w:u w:val="none"/>
          <w:lang w:val="en-US" w:eastAsia="zh-CN"/>
        </w:rPr>
        <w:t>。</w:t>
      </w:r>
    </w:p>
    <w:p w14:paraId="25CBD44C">
      <w:pPr>
        <w:keepNext w:val="0"/>
        <w:keepLines w:val="0"/>
        <w:pageBreakBefore w:val="0"/>
        <w:widowControl w:val="0"/>
        <w:kinsoku/>
        <w:wordWrap/>
        <w:overflowPunct/>
        <w:topLinePunct w:val="0"/>
        <w:autoSpaceDE/>
        <w:autoSpaceDN/>
        <w:bidi w:val="0"/>
        <w:adjustRightInd/>
        <w:snapToGrid/>
        <w:spacing w:before="3" w:line="460" w:lineRule="exact"/>
        <w:ind w:left="4" w:firstLine="496"/>
        <w:textAlignment w:val="auto"/>
        <w:rPr>
          <w:rFonts w:hint="eastAsia" w:ascii="宋体" w:hAnsi="宋体" w:eastAsia="宋体" w:cs="宋体"/>
          <w:b/>
          <w:bCs/>
          <w:color w:val="auto"/>
          <w:sz w:val="24"/>
          <w:szCs w:val="24"/>
          <w:u w:val="none"/>
          <w:lang w:val="en-US" w:eastAsia="zh-CN"/>
        </w:rPr>
      </w:pPr>
      <w:r>
        <w:rPr>
          <w:rFonts w:hint="eastAsia" w:ascii="宋体" w:hAnsi="宋体" w:eastAsia="宋体" w:cs="宋体"/>
          <w:b/>
          <w:bCs/>
          <w:color w:val="auto"/>
          <w:sz w:val="24"/>
          <w:szCs w:val="24"/>
          <w:u w:val="none"/>
          <w:lang w:val="en-US" w:eastAsia="zh-CN"/>
        </w:rPr>
        <w:t>2.收款单位名称应与本合同</w:t>
      </w:r>
      <w:r>
        <w:rPr>
          <w:rFonts w:hint="eastAsia" w:ascii="宋体" w:hAnsi="宋体" w:cs="宋体"/>
          <w:b/>
          <w:bCs/>
          <w:color w:val="auto"/>
          <w:sz w:val="24"/>
          <w:szCs w:val="24"/>
          <w:u w:val="none"/>
          <w:lang w:val="en-US" w:eastAsia="zh-CN"/>
        </w:rPr>
        <w:t>甲</w:t>
      </w:r>
      <w:r>
        <w:rPr>
          <w:rFonts w:hint="eastAsia" w:ascii="宋体" w:hAnsi="宋体" w:eastAsia="宋体" w:cs="宋体"/>
          <w:b/>
          <w:bCs/>
          <w:color w:val="auto"/>
          <w:sz w:val="24"/>
          <w:szCs w:val="24"/>
          <w:u w:val="none"/>
          <w:lang w:val="en-US" w:eastAsia="zh-CN"/>
        </w:rPr>
        <w:t>方单位名称、项目成交单位名称、开具发票单位名称相一 致。</w:t>
      </w:r>
    </w:p>
    <w:p w14:paraId="3FB878B0">
      <w:pPr>
        <w:keepNext w:val="0"/>
        <w:keepLines w:val="0"/>
        <w:pageBreakBefore w:val="0"/>
        <w:widowControl w:val="0"/>
        <w:kinsoku/>
        <w:wordWrap/>
        <w:overflowPunct/>
        <w:topLinePunct w:val="0"/>
        <w:autoSpaceDE/>
        <w:autoSpaceDN/>
        <w:bidi w:val="0"/>
        <w:adjustRightInd/>
        <w:snapToGrid/>
        <w:spacing w:before="3" w:line="460" w:lineRule="exact"/>
        <w:ind w:left="4" w:firstLine="496"/>
        <w:textAlignment w:val="auto"/>
        <w:rPr>
          <w:rFonts w:hint="eastAsia" w:ascii="宋体" w:hAnsi="宋体" w:eastAsia="宋体" w:cs="宋体"/>
          <w:b/>
          <w:bCs/>
          <w:color w:val="auto"/>
          <w:sz w:val="24"/>
          <w:szCs w:val="24"/>
          <w:u w:val="none"/>
          <w:lang w:val="en-US" w:eastAsia="zh-CN"/>
        </w:rPr>
      </w:pPr>
      <w:r>
        <w:rPr>
          <w:rFonts w:hint="eastAsia" w:ascii="宋体" w:hAnsi="宋体" w:eastAsia="宋体" w:cs="宋体"/>
          <w:b/>
          <w:bCs/>
          <w:color w:val="auto"/>
          <w:sz w:val="24"/>
          <w:szCs w:val="24"/>
          <w:u w:val="none"/>
          <w:lang w:val="en-US" w:eastAsia="zh-CN"/>
        </w:rPr>
        <w:t>3.</w:t>
      </w:r>
      <w:r>
        <w:rPr>
          <w:rFonts w:hint="eastAsia" w:ascii="宋体" w:hAnsi="宋体" w:cs="宋体"/>
          <w:b/>
          <w:bCs/>
          <w:color w:val="auto"/>
          <w:sz w:val="24"/>
          <w:szCs w:val="24"/>
          <w:u w:val="none"/>
          <w:lang w:val="en-US" w:eastAsia="zh-CN"/>
        </w:rPr>
        <w:t>乙</w:t>
      </w:r>
      <w:r>
        <w:rPr>
          <w:rFonts w:hint="eastAsia" w:ascii="宋体" w:hAnsi="宋体" w:eastAsia="宋体" w:cs="宋体"/>
          <w:b/>
          <w:bCs/>
          <w:color w:val="auto"/>
          <w:sz w:val="24"/>
          <w:szCs w:val="24"/>
          <w:u w:val="none"/>
          <w:lang w:val="en-US" w:eastAsia="zh-CN"/>
        </w:rPr>
        <w:t>方（采购单位） 应盖本单位公章（不允许盖内设科室章），</w:t>
      </w:r>
      <w:r>
        <w:rPr>
          <w:rFonts w:hint="eastAsia" w:ascii="宋体" w:hAnsi="宋体" w:cs="宋体"/>
          <w:b/>
          <w:bCs/>
          <w:color w:val="auto"/>
          <w:sz w:val="24"/>
          <w:szCs w:val="24"/>
          <w:u w:val="none"/>
          <w:lang w:val="en-US" w:eastAsia="zh-CN"/>
        </w:rPr>
        <w:t>甲</w:t>
      </w:r>
      <w:r>
        <w:rPr>
          <w:rFonts w:hint="eastAsia" w:ascii="宋体" w:hAnsi="宋体" w:eastAsia="宋体" w:cs="宋体"/>
          <w:b/>
          <w:bCs/>
          <w:color w:val="auto"/>
          <w:sz w:val="24"/>
          <w:szCs w:val="24"/>
          <w:u w:val="none"/>
          <w:lang w:val="en-US" w:eastAsia="zh-CN"/>
        </w:rPr>
        <w:t>方应盖单位公章或合同专用章，合同双方应盖骑缝章。</w:t>
      </w:r>
    </w:p>
    <w:p w14:paraId="6F53754F">
      <w:pPr>
        <w:keepNext w:val="0"/>
        <w:keepLines w:val="0"/>
        <w:pageBreakBefore w:val="0"/>
        <w:widowControl w:val="0"/>
        <w:kinsoku/>
        <w:wordWrap/>
        <w:overflowPunct/>
        <w:topLinePunct w:val="0"/>
        <w:autoSpaceDE/>
        <w:autoSpaceDN/>
        <w:bidi w:val="0"/>
        <w:adjustRightInd/>
        <w:snapToGrid/>
        <w:spacing w:before="3" w:line="460" w:lineRule="exact"/>
        <w:ind w:left="4" w:firstLine="496"/>
        <w:textAlignment w:val="auto"/>
        <w:rPr>
          <w:rFonts w:hint="eastAsia" w:ascii="宋体" w:hAnsi="宋体" w:eastAsia="宋体" w:cs="宋体"/>
          <w:b/>
          <w:bCs/>
          <w:color w:val="auto"/>
          <w:sz w:val="24"/>
          <w:szCs w:val="24"/>
          <w:u w:val="none"/>
          <w:lang w:val="en-US" w:eastAsia="zh-CN"/>
        </w:rPr>
      </w:pPr>
      <w:r>
        <w:rPr>
          <w:rFonts w:hint="eastAsia" w:ascii="宋体" w:hAnsi="宋体" w:eastAsia="宋体" w:cs="宋体"/>
          <w:b/>
          <w:bCs/>
          <w:color w:val="auto"/>
          <w:sz w:val="24"/>
          <w:szCs w:val="24"/>
          <w:u w:val="none"/>
          <w:lang w:val="en-US" w:eastAsia="zh-CN"/>
        </w:rPr>
        <w:t>4. 除涉密项目外，根据信阳市政府采购有关规定：采购人应当自政府采购合同签订之日起1个工作日内，将政府采购合同在省级以上人民政府财政部门指定的媒体上公告。</w:t>
      </w:r>
      <w:bookmarkStart w:id="738" w:name="_Toc30429"/>
      <w:bookmarkStart w:id="739" w:name="_Toc19310"/>
      <w:bookmarkStart w:id="740" w:name="_Toc17116"/>
    </w:p>
    <w:p w14:paraId="02E26934">
      <w:pPr>
        <w:pStyle w:val="54"/>
        <w:rPr>
          <w:rFonts w:hint="eastAsia" w:ascii="宋体" w:hAnsi="宋体" w:eastAsia="宋体" w:cs="宋体"/>
          <w:b/>
          <w:bCs/>
          <w:color w:val="auto"/>
          <w:sz w:val="24"/>
          <w:szCs w:val="24"/>
          <w:u w:val="none"/>
          <w:lang w:val="en-US" w:eastAsia="zh-CN"/>
        </w:rPr>
      </w:pPr>
    </w:p>
    <w:p w14:paraId="78D3259C">
      <w:pPr>
        <w:rPr>
          <w:rFonts w:hint="eastAsia" w:ascii="宋体" w:hAnsi="宋体" w:eastAsia="宋体" w:cs="宋体"/>
          <w:b/>
          <w:bCs/>
          <w:color w:val="auto"/>
          <w:sz w:val="24"/>
          <w:szCs w:val="24"/>
          <w:u w:val="none"/>
          <w:lang w:val="en-US" w:eastAsia="zh-CN"/>
        </w:rPr>
      </w:pPr>
    </w:p>
    <w:p w14:paraId="6B24362D">
      <w:pPr>
        <w:pStyle w:val="54"/>
        <w:rPr>
          <w:rFonts w:hint="eastAsia" w:ascii="宋体" w:hAnsi="宋体" w:eastAsia="宋体" w:cs="宋体"/>
          <w:b/>
          <w:bCs/>
          <w:color w:val="auto"/>
          <w:sz w:val="24"/>
          <w:szCs w:val="24"/>
          <w:u w:val="none"/>
          <w:lang w:val="en-US" w:eastAsia="zh-CN"/>
        </w:rPr>
      </w:pPr>
    </w:p>
    <w:p w14:paraId="5EEB0D25">
      <w:pPr>
        <w:rPr>
          <w:rFonts w:hint="eastAsia" w:ascii="宋体" w:hAnsi="宋体" w:eastAsia="宋体" w:cs="宋体"/>
          <w:b/>
          <w:bCs/>
          <w:color w:val="auto"/>
          <w:sz w:val="24"/>
          <w:szCs w:val="24"/>
          <w:u w:val="none"/>
          <w:lang w:val="en-US" w:eastAsia="zh-CN"/>
        </w:rPr>
      </w:pPr>
    </w:p>
    <w:p w14:paraId="0A736660">
      <w:pPr>
        <w:pStyle w:val="54"/>
        <w:rPr>
          <w:rFonts w:hint="eastAsia" w:ascii="宋体" w:hAnsi="宋体" w:eastAsia="宋体" w:cs="宋体"/>
          <w:b/>
          <w:bCs/>
          <w:color w:val="auto"/>
          <w:sz w:val="24"/>
          <w:szCs w:val="24"/>
          <w:u w:val="none"/>
          <w:lang w:val="en-US" w:eastAsia="zh-CN"/>
        </w:rPr>
      </w:pPr>
    </w:p>
    <w:p w14:paraId="3C491CF6">
      <w:pPr>
        <w:rPr>
          <w:rFonts w:hint="eastAsia" w:ascii="宋体" w:hAnsi="宋体" w:eastAsia="宋体" w:cs="宋体"/>
          <w:b/>
          <w:bCs/>
          <w:color w:val="auto"/>
          <w:sz w:val="24"/>
          <w:szCs w:val="24"/>
          <w:u w:val="none"/>
          <w:lang w:val="en-US" w:eastAsia="zh-CN"/>
        </w:rPr>
      </w:pPr>
    </w:p>
    <w:p w14:paraId="0267F042">
      <w:pPr>
        <w:pStyle w:val="54"/>
        <w:rPr>
          <w:rFonts w:hint="eastAsia" w:ascii="宋体" w:hAnsi="宋体" w:eastAsia="宋体" w:cs="宋体"/>
          <w:b/>
          <w:bCs/>
          <w:color w:val="auto"/>
          <w:sz w:val="24"/>
          <w:szCs w:val="24"/>
          <w:u w:val="none"/>
          <w:lang w:val="en-US" w:eastAsia="zh-CN"/>
        </w:rPr>
      </w:pPr>
    </w:p>
    <w:p w14:paraId="4C0A0E3C">
      <w:pPr>
        <w:rPr>
          <w:rFonts w:hint="eastAsia" w:ascii="宋体" w:hAnsi="宋体" w:eastAsia="宋体" w:cs="宋体"/>
          <w:b/>
          <w:bCs/>
          <w:color w:val="auto"/>
          <w:sz w:val="24"/>
          <w:szCs w:val="24"/>
          <w:u w:val="none"/>
          <w:lang w:val="en-US" w:eastAsia="zh-CN"/>
        </w:rPr>
      </w:pPr>
    </w:p>
    <w:p w14:paraId="36C00F7B">
      <w:pPr>
        <w:pStyle w:val="54"/>
        <w:rPr>
          <w:rFonts w:hint="eastAsia" w:ascii="宋体" w:hAnsi="宋体" w:eastAsia="宋体" w:cs="宋体"/>
          <w:b/>
          <w:bCs/>
          <w:color w:val="auto"/>
          <w:sz w:val="24"/>
          <w:szCs w:val="24"/>
          <w:u w:val="none"/>
          <w:lang w:val="en-US" w:eastAsia="zh-CN"/>
        </w:rPr>
      </w:pPr>
    </w:p>
    <w:p w14:paraId="0D25CBBB">
      <w:pPr>
        <w:rPr>
          <w:rFonts w:hint="eastAsia" w:ascii="宋体" w:hAnsi="宋体" w:eastAsia="宋体" w:cs="宋体"/>
          <w:b/>
          <w:bCs/>
          <w:color w:val="auto"/>
          <w:sz w:val="24"/>
          <w:szCs w:val="24"/>
          <w:u w:val="none"/>
          <w:lang w:val="en-US" w:eastAsia="zh-CN"/>
        </w:rPr>
      </w:pPr>
    </w:p>
    <w:p w14:paraId="37E34F16">
      <w:pPr>
        <w:pStyle w:val="54"/>
        <w:rPr>
          <w:rFonts w:hint="eastAsia" w:ascii="宋体" w:hAnsi="宋体" w:eastAsia="宋体" w:cs="宋体"/>
          <w:b/>
          <w:bCs/>
          <w:color w:val="auto"/>
          <w:sz w:val="24"/>
          <w:szCs w:val="24"/>
          <w:u w:val="none"/>
          <w:lang w:val="en-US" w:eastAsia="zh-CN"/>
        </w:rPr>
      </w:pPr>
    </w:p>
    <w:p w14:paraId="6477D118">
      <w:pPr>
        <w:rPr>
          <w:rFonts w:hint="eastAsia" w:ascii="宋体" w:hAnsi="宋体" w:eastAsia="宋体" w:cs="宋体"/>
          <w:b/>
          <w:bCs/>
          <w:color w:val="auto"/>
          <w:sz w:val="24"/>
          <w:szCs w:val="24"/>
          <w:u w:val="none"/>
          <w:lang w:val="en-US" w:eastAsia="zh-CN"/>
        </w:rPr>
      </w:pPr>
    </w:p>
    <w:p w14:paraId="559796F9">
      <w:pPr>
        <w:pStyle w:val="54"/>
        <w:outlineLvl w:val="9"/>
        <w:rPr>
          <w:rFonts w:hint="eastAsia" w:ascii="宋体" w:hAnsi="宋体" w:eastAsia="宋体" w:cs="宋体"/>
          <w:b/>
          <w:bCs/>
          <w:color w:val="auto"/>
          <w:sz w:val="24"/>
          <w:szCs w:val="24"/>
          <w:u w:val="none"/>
          <w:lang w:val="en-US" w:eastAsia="zh-CN"/>
        </w:rPr>
      </w:pPr>
    </w:p>
    <w:p w14:paraId="3F6B35B0">
      <w:pPr>
        <w:outlineLvl w:val="9"/>
        <w:rPr>
          <w:rFonts w:hint="eastAsia" w:ascii="宋体" w:hAnsi="宋体" w:eastAsia="宋体" w:cs="宋体"/>
          <w:b/>
          <w:bCs/>
          <w:color w:val="auto"/>
          <w:sz w:val="24"/>
          <w:szCs w:val="24"/>
          <w:u w:val="none"/>
          <w:lang w:val="en-US" w:eastAsia="zh-CN"/>
        </w:rPr>
      </w:pPr>
    </w:p>
    <w:p w14:paraId="52886A19">
      <w:pPr>
        <w:pStyle w:val="54"/>
        <w:outlineLvl w:val="9"/>
        <w:rPr>
          <w:rFonts w:hint="eastAsia" w:ascii="宋体" w:hAnsi="宋体" w:eastAsia="宋体" w:cs="宋体"/>
          <w:b/>
          <w:bCs/>
          <w:color w:val="auto"/>
          <w:sz w:val="24"/>
          <w:szCs w:val="24"/>
          <w:u w:val="none"/>
          <w:lang w:val="en-US" w:eastAsia="zh-CN"/>
        </w:rPr>
      </w:pPr>
    </w:p>
    <w:p w14:paraId="56817B96">
      <w:pPr>
        <w:outlineLvl w:val="9"/>
        <w:rPr>
          <w:rFonts w:hint="eastAsia" w:ascii="宋体" w:hAnsi="宋体" w:eastAsia="宋体" w:cs="宋体"/>
          <w:b/>
          <w:bCs/>
          <w:color w:val="auto"/>
          <w:sz w:val="24"/>
          <w:szCs w:val="24"/>
          <w:u w:val="none"/>
          <w:lang w:val="en-US" w:eastAsia="zh-CN"/>
        </w:rPr>
      </w:pPr>
    </w:p>
    <w:p w14:paraId="71245D11">
      <w:pPr>
        <w:pStyle w:val="54"/>
        <w:outlineLvl w:val="9"/>
        <w:rPr>
          <w:rFonts w:hint="eastAsia" w:ascii="宋体" w:hAnsi="宋体" w:eastAsia="宋体" w:cs="宋体"/>
          <w:b/>
          <w:bCs/>
          <w:color w:val="auto"/>
          <w:sz w:val="24"/>
          <w:szCs w:val="24"/>
          <w:u w:val="none"/>
          <w:lang w:val="en-US" w:eastAsia="zh-CN"/>
        </w:rPr>
      </w:pPr>
    </w:p>
    <w:p w14:paraId="182A5112">
      <w:pPr>
        <w:outlineLvl w:val="9"/>
        <w:rPr>
          <w:rFonts w:hint="eastAsia" w:ascii="宋体" w:hAnsi="宋体" w:eastAsia="宋体" w:cs="宋体"/>
          <w:b/>
          <w:bCs/>
          <w:color w:val="auto"/>
          <w:sz w:val="24"/>
          <w:szCs w:val="24"/>
          <w:u w:val="none"/>
          <w:lang w:val="en-US" w:eastAsia="zh-CN"/>
        </w:rPr>
      </w:pPr>
    </w:p>
    <w:p w14:paraId="7F5553A1">
      <w:pPr>
        <w:pStyle w:val="54"/>
        <w:outlineLvl w:val="9"/>
        <w:rPr>
          <w:rFonts w:hint="eastAsia" w:ascii="宋体" w:hAnsi="宋体" w:eastAsia="宋体" w:cs="宋体"/>
          <w:b/>
          <w:bCs/>
          <w:color w:val="auto"/>
          <w:sz w:val="24"/>
          <w:szCs w:val="24"/>
          <w:u w:val="none"/>
          <w:lang w:val="en-US" w:eastAsia="zh-CN"/>
        </w:rPr>
      </w:pPr>
    </w:p>
    <w:p w14:paraId="33C481D0">
      <w:pPr>
        <w:outlineLvl w:val="9"/>
        <w:rPr>
          <w:rFonts w:hint="eastAsia"/>
          <w:lang w:val="en-US" w:eastAsia="zh-CN"/>
        </w:rPr>
      </w:pPr>
    </w:p>
    <w:p w14:paraId="7A46EB53">
      <w:pPr>
        <w:spacing w:line="480" w:lineRule="auto"/>
        <w:jc w:val="center"/>
        <w:outlineLvl w:val="0"/>
        <w:rPr>
          <w:rFonts w:hint="eastAsia" w:ascii="宋体" w:hAnsi="宋体" w:eastAsia="宋体" w:cs="宋体"/>
          <w:b/>
          <w:bCs/>
          <w:color w:val="auto"/>
          <w:sz w:val="24"/>
          <w:szCs w:val="24"/>
          <w:highlight w:val="none"/>
          <w:lang w:val="en-US" w:eastAsia="zh-CN"/>
        </w:rPr>
      </w:pPr>
      <w:r>
        <w:rPr>
          <w:rFonts w:hint="eastAsia" w:ascii="宋体" w:hAnsi="宋体" w:eastAsia="宋体" w:cs="宋体"/>
          <w:b/>
          <w:color w:val="auto"/>
          <w:sz w:val="32"/>
          <w:szCs w:val="32"/>
          <w:highlight w:val="none"/>
          <w:lang w:val="en-US" w:eastAsia="zh-CN"/>
        </w:rPr>
        <w:t>第五章 采购服务内容及要求</w:t>
      </w:r>
    </w:p>
    <w:p w14:paraId="1AD8C27A"/>
    <w:p w14:paraId="603ADB5B">
      <w:pPr>
        <w:pStyle w:val="12"/>
      </w:pPr>
      <w:r>
        <w:drawing>
          <wp:inline distT="0" distB="0" distL="114300" distR="114300">
            <wp:extent cx="5968365" cy="4023995"/>
            <wp:effectExtent l="0" t="0" r="13335" b="1460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9"/>
                    <a:stretch>
                      <a:fillRect/>
                    </a:stretch>
                  </pic:blipFill>
                  <pic:spPr>
                    <a:xfrm>
                      <a:off x="0" y="0"/>
                      <a:ext cx="5968365" cy="4023995"/>
                    </a:xfrm>
                    <a:prstGeom prst="rect">
                      <a:avLst/>
                    </a:prstGeom>
                    <a:noFill/>
                    <a:ln>
                      <a:noFill/>
                    </a:ln>
                  </pic:spPr>
                </pic:pic>
              </a:graphicData>
            </a:graphic>
          </wp:inline>
        </w:drawing>
      </w:r>
    </w:p>
    <w:p w14:paraId="3C98E3CE">
      <w:pPr>
        <w:pStyle w:val="12"/>
      </w:pPr>
      <w:r>
        <w:drawing>
          <wp:inline distT="0" distB="0" distL="114300" distR="114300">
            <wp:extent cx="5969000" cy="4012565"/>
            <wp:effectExtent l="0" t="0" r="12700" b="698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10"/>
                    <a:stretch>
                      <a:fillRect/>
                    </a:stretch>
                  </pic:blipFill>
                  <pic:spPr>
                    <a:xfrm>
                      <a:off x="0" y="0"/>
                      <a:ext cx="5969000" cy="4012565"/>
                    </a:xfrm>
                    <a:prstGeom prst="rect">
                      <a:avLst/>
                    </a:prstGeom>
                    <a:noFill/>
                    <a:ln>
                      <a:noFill/>
                    </a:ln>
                  </pic:spPr>
                </pic:pic>
              </a:graphicData>
            </a:graphic>
          </wp:inline>
        </w:drawing>
      </w:r>
    </w:p>
    <w:p w14:paraId="1684DF54">
      <w:pPr>
        <w:pStyle w:val="12"/>
      </w:pPr>
      <w:r>
        <w:drawing>
          <wp:inline distT="0" distB="0" distL="114300" distR="114300">
            <wp:extent cx="5969000" cy="4243070"/>
            <wp:effectExtent l="0" t="0" r="12700" b="508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11"/>
                    <a:stretch>
                      <a:fillRect/>
                    </a:stretch>
                  </pic:blipFill>
                  <pic:spPr>
                    <a:xfrm>
                      <a:off x="0" y="0"/>
                      <a:ext cx="5969000" cy="4243070"/>
                    </a:xfrm>
                    <a:prstGeom prst="rect">
                      <a:avLst/>
                    </a:prstGeom>
                    <a:noFill/>
                    <a:ln>
                      <a:noFill/>
                    </a:ln>
                  </pic:spPr>
                </pic:pic>
              </a:graphicData>
            </a:graphic>
          </wp:inline>
        </w:drawing>
      </w:r>
    </w:p>
    <w:p w14:paraId="28A5D646">
      <w:pPr>
        <w:pStyle w:val="12"/>
      </w:pPr>
      <w:r>
        <w:drawing>
          <wp:inline distT="0" distB="0" distL="114300" distR="114300">
            <wp:extent cx="5972175" cy="4240530"/>
            <wp:effectExtent l="0" t="0" r="9525" b="762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12"/>
                    <a:stretch>
                      <a:fillRect/>
                    </a:stretch>
                  </pic:blipFill>
                  <pic:spPr>
                    <a:xfrm>
                      <a:off x="0" y="0"/>
                      <a:ext cx="5972175" cy="4240530"/>
                    </a:xfrm>
                    <a:prstGeom prst="rect">
                      <a:avLst/>
                    </a:prstGeom>
                    <a:noFill/>
                    <a:ln>
                      <a:noFill/>
                    </a:ln>
                  </pic:spPr>
                </pic:pic>
              </a:graphicData>
            </a:graphic>
          </wp:inline>
        </w:drawing>
      </w:r>
    </w:p>
    <w:p w14:paraId="5A56F312">
      <w:pPr>
        <w:pStyle w:val="12"/>
      </w:pPr>
    </w:p>
    <w:p w14:paraId="4E9CBA9B">
      <w:pPr>
        <w:pStyle w:val="12"/>
      </w:pPr>
    </w:p>
    <w:p w14:paraId="6DD91DE0">
      <w:pPr>
        <w:pStyle w:val="12"/>
      </w:pPr>
      <w:r>
        <w:drawing>
          <wp:inline distT="0" distB="0" distL="114300" distR="114300">
            <wp:extent cx="5973445" cy="4212590"/>
            <wp:effectExtent l="0" t="0" r="8255" b="1651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13"/>
                    <a:stretch>
                      <a:fillRect/>
                    </a:stretch>
                  </pic:blipFill>
                  <pic:spPr>
                    <a:xfrm>
                      <a:off x="0" y="0"/>
                      <a:ext cx="5973445" cy="4212590"/>
                    </a:xfrm>
                    <a:prstGeom prst="rect">
                      <a:avLst/>
                    </a:prstGeom>
                    <a:noFill/>
                    <a:ln>
                      <a:noFill/>
                    </a:ln>
                  </pic:spPr>
                </pic:pic>
              </a:graphicData>
            </a:graphic>
          </wp:inline>
        </w:drawing>
      </w:r>
    </w:p>
    <w:p w14:paraId="31755147">
      <w:pPr>
        <w:pStyle w:val="12"/>
      </w:pPr>
      <w:r>
        <w:drawing>
          <wp:inline distT="0" distB="0" distL="114300" distR="114300">
            <wp:extent cx="5968365" cy="4123690"/>
            <wp:effectExtent l="0" t="0" r="13335" b="10160"/>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14"/>
                    <a:stretch>
                      <a:fillRect/>
                    </a:stretch>
                  </pic:blipFill>
                  <pic:spPr>
                    <a:xfrm>
                      <a:off x="0" y="0"/>
                      <a:ext cx="5968365" cy="4123690"/>
                    </a:xfrm>
                    <a:prstGeom prst="rect">
                      <a:avLst/>
                    </a:prstGeom>
                    <a:noFill/>
                    <a:ln>
                      <a:noFill/>
                    </a:ln>
                  </pic:spPr>
                </pic:pic>
              </a:graphicData>
            </a:graphic>
          </wp:inline>
        </w:drawing>
      </w:r>
    </w:p>
    <w:p w14:paraId="6DBF9DB3">
      <w:pPr>
        <w:pStyle w:val="12"/>
      </w:pPr>
    </w:p>
    <w:p w14:paraId="0C9FD8E3">
      <w:pPr>
        <w:pStyle w:val="12"/>
      </w:pPr>
    </w:p>
    <w:p w14:paraId="15701548">
      <w:pPr>
        <w:pStyle w:val="12"/>
      </w:pPr>
    </w:p>
    <w:p w14:paraId="011F7837">
      <w:pPr>
        <w:pStyle w:val="12"/>
      </w:pPr>
      <w:r>
        <w:drawing>
          <wp:inline distT="0" distB="0" distL="114300" distR="114300">
            <wp:extent cx="5969000" cy="3692525"/>
            <wp:effectExtent l="0" t="0" r="12700" b="3175"/>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pic:cNvPicPr>
                      <a:picLocks noChangeAspect="1"/>
                    </pic:cNvPicPr>
                  </pic:nvPicPr>
                  <pic:blipFill>
                    <a:blip r:embed="rId15"/>
                    <a:stretch>
                      <a:fillRect/>
                    </a:stretch>
                  </pic:blipFill>
                  <pic:spPr>
                    <a:xfrm>
                      <a:off x="0" y="0"/>
                      <a:ext cx="5969000" cy="3692525"/>
                    </a:xfrm>
                    <a:prstGeom prst="rect">
                      <a:avLst/>
                    </a:prstGeom>
                    <a:noFill/>
                    <a:ln>
                      <a:noFill/>
                    </a:ln>
                  </pic:spPr>
                </pic:pic>
              </a:graphicData>
            </a:graphic>
          </wp:inline>
        </w:drawing>
      </w:r>
    </w:p>
    <w:p w14:paraId="47476982">
      <w:pPr>
        <w:pStyle w:val="12"/>
      </w:pPr>
    </w:p>
    <w:p w14:paraId="60B2D2A4">
      <w:pPr>
        <w:pStyle w:val="49"/>
      </w:pPr>
      <w:r>
        <w:drawing>
          <wp:inline distT="0" distB="0" distL="114300" distR="114300">
            <wp:extent cx="5970905" cy="4180840"/>
            <wp:effectExtent l="0" t="0" r="10795" b="10160"/>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pic:cNvPicPr>
                  </pic:nvPicPr>
                  <pic:blipFill>
                    <a:blip r:embed="rId16"/>
                    <a:stretch>
                      <a:fillRect/>
                    </a:stretch>
                  </pic:blipFill>
                  <pic:spPr>
                    <a:xfrm>
                      <a:off x="0" y="0"/>
                      <a:ext cx="5970905" cy="4180840"/>
                    </a:xfrm>
                    <a:prstGeom prst="rect">
                      <a:avLst/>
                    </a:prstGeom>
                    <a:noFill/>
                    <a:ln>
                      <a:noFill/>
                    </a:ln>
                  </pic:spPr>
                </pic:pic>
              </a:graphicData>
            </a:graphic>
          </wp:inline>
        </w:drawing>
      </w:r>
    </w:p>
    <w:p w14:paraId="5227099E"/>
    <w:p w14:paraId="02134530"/>
    <w:p w14:paraId="720656B5"/>
    <w:p w14:paraId="19A1908B"/>
    <w:p w14:paraId="30D9EC50"/>
    <w:p w14:paraId="3637676F">
      <w:pPr>
        <w:pStyle w:val="12"/>
      </w:pPr>
      <w:r>
        <w:drawing>
          <wp:inline distT="0" distB="0" distL="114300" distR="114300">
            <wp:extent cx="5974080" cy="3998595"/>
            <wp:effectExtent l="0" t="0" r="7620" b="1905"/>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17"/>
                    <a:stretch>
                      <a:fillRect/>
                    </a:stretch>
                  </pic:blipFill>
                  <pic:spPr>
                    <a:xfrm>
                      <a:off x="0" y="0"/>
                      <a:ext cx="5974080" cy="3998595"/>
                    </a:xfrm>
                    <a:prstGeom prst="rect">
                      <a:avLst/>
                    </a:prstGeom>
                    <a:noFill/>
                    <a:ln>
                      <a:noFill/>
                    </a:ln>
                  </pic:spPr>
                </pic:pic>
              </a:graphicData>
            </a:graphic>
          </wp:inline>
        </w:drawing>
      </w:r>
    </w:p>
    <w:p w14:paraId="5CEE2549">
      <w:pPr>
        <w:pStyle w:val="12"/>
      </w:pPr>
      <w:r>
        <w:drawing>
          <wp:inline distT="0" distB="0" distL="114300" distR="114300">
            <wp:extent cx="5974080" cy="4105275"/>
            <wp:effectExtent l="0" t="0" r="7620" b="9525"/>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pic:cNvPicPr>
                  </pic:nvPicPr>
                  <pic:blipFill>
                    <a:blip r:embed="rId18"/>
                    <a:stretch>
                      <a:fillRect/>
                    </a:stretch>
                  </pic:blipFill>
                  <pic:spPr>
                    <a:xfrm>
                      <a:off x="0" y="0"/>
                      <a:ext cx="5974080" cy="4105275"/>
                    </a:xfrm>
                    <a:prstGeom prst="rect">
                      <a:avLst/>
                    </a:prstGeom>
                    <a:noFill/>
                    <a:ln>
                      <a:noFill/>
                    </a:ln>
                  </pic:spPr>
                </pic:pic>
              </a:graphicData>
            </a:graphic>
          </wp:inline>
        </w:drawing>
      </w:r>
    </w:p>
    <w:p w14:paraId="74EE24D0">
      <w:pPr>
        <w:pStyle w:val="12"/>
      </w:pPr>
    </w:p>
    <w:p w14:paraId="1926182F">
      <w:pPr>
        <w:pStyle w:val="12"/>
      </w:pPr>
    </w:p>
    <w:p w14:paraId="062EDE76">
      <w:pPr>
        <w:pStyle w:val="12"/>
      </w:pPr>
    </w:p>
    <w:p w14:paraId="5265F5C7">
      <w:pPr>
        <w:pStyle w:val="12"/>
      </w:pPr>
      <w:r>
        <w:drawing>
          <wp:inline distT="0" distB="0" distL="114300" distR="114300">
            <wp:extent cx="5969000" cy="4253230"/>
            <wp:effectExtent l="0" t="0" r="12700" b="13970"/>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pic:cNvPicPr>
                      <a:picLocks noChangeAspect="1"/>
                    </pic:cNvPicPr>
                  </pic:nvPicPr>
                  <pic:blipFill>
                    <a:blip r:embed="rId19"/>
                    <a:stretch>
                      <a:fillRect/>
                    </a:stretch>
                  </pic:blipFill>
                  <pic:spPr>
                    <a:xfrm>
                      <a:off x="0" y="0"/>
                      <a:ext cx="5969000" cy="4253230"/>
                    </a:xfrm>
                    <a:prstGeom prst="rect">
                      <a:avLst/>
                    </a:prstGeom>
                    <a:noFill/>
                    <a:ln>
                      <a:noFill/>
                    </a:ln>
                  </pic:spPr>
                </pic:pic>
              </a:graphicData>
            </a:graphic>
          </wp:inline>
        </w:drawing>
      </w:r>
    </w:p>
    <w:p w14:paraId="25C81A8A">
      <w:pPr>
        <w:pStyle w:val="12"/>
      </w:pPr>
      <w:r>
        <w:drawing>
          <wp:inline distT="0" distB="0" distL="114300" distR="114300">
            <wp:extent cx="5974080" cy="4170045"/>
            <wp:effectExtent l="0" t="0" r="7620" b="1905"/>
            <wp:docPr id="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pic:cNvPicPr>
                      <a:picLocks noChangeAspect="1"/>
                    </pic:cNvPicPr>
                  </pic:nvPicPr>
                  <pic:blipFill>
                    <a:blip r:embed="rId20"/>
                    <a:stretch>
                      <a:fillRect/>
                    </a:stretch>
                  </pic:blipFill>
                  <pic:spPr>
                    <a:xfrm>
                      <a:off x="0" y="0"/>
                      <a:ext cx="5974080" cy="4170045"/>
                    </a:xfrm>
                    <a:prstGeom prst="rect">
                      <a:avLst/>
                    </a:prstGeom>
                    <a:noFill/>
                    <a:ln>
                      <a:noFill/>
                    </a:ln>
                  </pic:spPr>
                </pic:pic>
              </a:graphicData>
            </a:graphic>
          </wp:inline>
        </w:drawing>
      </w:r>
    </w:p>
    <w:p w14:paraId="25D46D45">
      <w:pPr>
        <w:pStyle w:val="12"/>
      </w:pPr>
    </w:p>
    <w:p w14:paraId="77EA0F9B">
      <w:pPr>
        <w:pStyle w:val="12"/>
      </w:pPr>
    </w:p>
    <w:p w14:paraId="07743DB3">
      <w:pPr>
        <w:pStyle w:val="12"/>
      </w:pPr>
      <w:r>
        <w:drawing>
          <wp:inline distT="0" distB="0" distL="114300" distR="114300">
            <wp:extent cx="5973445" cy="4107815"/>
            <wp:effectExtent l="0" t="0" r="8255" b="6985"/>
            <wp:docPr id="4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pic:cNvPicPr>
                      <a:picLocks noChangeAspect="1"/>
                    </pic:cNvPicPr>
                  </pic:nvPicPr>
                  <pic:blipFill>
                    <a:blip r:embed="rId21"/>
                    <a:stretch>
                      <a:fillRect/>
                    </a:stretch>
                  </pic:blipFill>
                  <pic:spPr>
                    <a:xfrm>
                      <a:off x="0" y="0"/>
                      <a:ext cx="5973445" cy="4107815"/>
                    </a:xfrm>
                    <a:prstGeom prst="rect">
                      <a:avLst/>
                    </a:prstGeom>
                    <a:noFill/>
                    <a:ln>
                      <a:noFill/>
                    </a:ln>
                  </pic:spPr>
                </pic:pic>
              </a:graphicData>
            </a:graphic>
          </wp:inline>
        </w:drawing>
      </w:r>
    </w:p>
    <w:p w14:paraId="015C3851">
      <w:pPr>
        <w:pStyle w:val="12"/>
      </w:pPr>
    </w:p>
    <w:p w14:paraId="537DF1B7">
      <w:pPr>
        <w:pStyle w:val="49"/>
      </w:pPr>
      <w:r>
        <w:drawing>
          <wp:inline distT="0" distB="0" distL="114300" distR="114300">
            <wp:extent cx="5974080" cy="4202430"/>
            <wp:effectExtent l="0" t="0" r="7620" b="762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22"/>
                    <a:stretch>
                      <a:fillRect/>
                    </a:stretch>
                  </pic:blipFill>
                  <pic:spPr>
                    <a:xfrm>
                      <a:off x="0" y="0"/>
                      <a:ext cx="5974080" cy="4202430"/>
                    </a:xfrm>
                    <a:prstGeom prst="rect">
                      <a:avLst/>
                    </a:prstGeom>
                    <a:noFill/>
                    <a:ln>
                      <a:noFill/>
                    </a:ln>
                  </pic:spPr>
                </pic:pic>
              </a:graphicData>
            </a:graphic>
          </wp:inline>
        </w:drawing>
      </w:r>
    </w:p>
    <w:p w14:paraId="48A509A1"/>
    <w:p w14:paraId="02D66538"/>
    <w:p w14:paraId="321AB30A">
      <w:r>
        <w:drawing>
          <wp:inline distT="0" distB="0" distL="114300" distR="114300">
            <wp:extent cx="5969000" cy="3949065"/>
            <wp:effectExtent l="0" t="0" r="12700" b="13335"/>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23"/>
                    <a:stretch>
                      <a:fillRect/>
                    </a:stretch>
                  </pic:blipFill>
                  <pic:spPr>
                    <a:xfrm>
                      <a:off x="0" y="0"/>
                      <a:ext cx="5969000" cy="3949065"/>
                    </a:xfrm>
                    <a:prstGeom prst="rect">
                      <a:avLst/>
                    </a:prstGeom>
                    <a:noFill/>
                    <a:ln>
                      <a:noFill/>
                    </a:ln>
                  </pic:spPr>
                </pic:pic>
              </a:graphicData>
            </a:graphic>
          </wp:inline>
        </w:drawing>
      </w:r>
    </w:p>
    <w:p w14:paraId="051527E6">
      <w:pPr>
        <w:rPr>
          <w:rFonts w:hint="eastAsia"/>
          <w:lang w:val="en-US" w:eastAsia="zh-CN"/>
        </w:rPr>
      </w:pPr>
    </w:p>
    <w:p w14:paraId="1CDCEA0F">
      <w:pPr>
        <w:pStyle w:val="55"/>
      </w:pPr>
      <w:r>
        <w:drawing>
          <wp:inline distT="0" distB="0" distL="114300" distR="114300">
            <wp:extent cx="5968365" cy="4238625"/>
            <wp:effectExtent l="0" t="0" r="13335" b="9525"/>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pic:cNvPicPr>
                      <a:picLocks noChangeAspect="1"/>
                    </pic:cNvPicPr>
                  </pic:nvPicPr>
                  <pic:blipFill>
                    <a:blip r:embed="rId24"/>
                    <a:stretch>
                      <a:fillRect/>
                    </a:stretch>
                  </pic:blipFill>
                  <pic:spPr>
                    <a:xfrm>
                      <a:off x="0" y="0"/>
                      <a:ext cx="5968365" cy="4238625"/>
                    </a:xfrm>
                    <a:prstGeom prst="rect">
                      <a:avLst/>
                    </a:prstGeom>
                    <a:noFill/>
                    <a:ln>
                      <a:noFill/>
                    </a:ln>
                  </pic:spPr>
                </pic:pic>
              </a:graphicData>
            </a:graphic>
          </wp:inline>
        </w:drawing>
      </w:r>
    </w:p>
    <w:p w14:paraId="0354DCA8">
      <w:pPr>
        <w:pStyle w:val="7"/>
      </w:pPr>
    </w:p>
    <w:p w14:paraId="199E11CA"/>
    <w:p w14:paraId="0DC5A435"/>
    <w:p w14:paraId="49611585">
      <w:r>
        <w:drawing>
          <wp:inline distT="0" distB="0" distL="114300" distR="114300">
            <wp:extent cx="5974080" cy="4188460"/>
            <wp:effectExtent l="0" t="0" r="7620" b="2540"/>
            <wp:docPr id="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pic:cNvPicPr>
                      <a:picLocks noChangeAspect="1"/>
                    </pic:cNvPicPr>
                  </pic:nvPicPr>
                  <pic:blipFill>
                    <a:blip r:embed="rId25"/>
                    <a:stretch>
                      <a:fillRect/>
                    </a:stretch>
                  </pic:blipFill>
                  <pic:spPr>
                    <a:xfrm>
                      <a:off x="0" y="0"/>
                      <a:ext cx="5974080" cy="4188460"/>
                    </a:xfrm>
                    <a:prstGeom prst="rect">
                      <a:avLst/>
                    </a:prstGeom>
                    <a:noFill/>
                    <a:ln>
                      <a:noFill/>
                    </a:ln>
                  </pic:spPr>
                </pic:pic>
              </a:graphicData>
            </a:graphic>
          </wp:inline>
        </w:drawing>
      </w:r>
    </w:p>
    <w:p w14:paraId="156545DF"/>
    <w:p w14:paraId="7A9ECC79">
      <w:pPr>
        <w:pStyle w:val="7"/>
      </w:pPr>
      <w:r>
        <w:drawing>
          <wp:inline distT="0" distB="0" distL="114300" distR="114300">
            <wp:extent cx="5974080" cy="4222115"/>
            <wp:effectExtent l="0" t="0" r="7620" b="6985"/>
            <wp:docPr id="4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7"/>
                    <pic:cNvPicPr>
                      <a:picLocks noChangeAspect="1"/>
                    </pic:cNvPicPr>
                  </pic:nvPicPr>
                  <pic:blipFill>
                    <a:blip r:embed="rId26"/>
                    <a:stretch>
                      <a:fillRect/>
                    </a:stretch>
                  </pic:blipFill>
                  <pic:spPr>
                    <a:xfrm>
                      <a:off x="0" y="0"/>
                      <a:ext cx="5974080" cy="4222115"/>
                    </a:xfrm>
                    <a:prstGeom prst="rect">
                      <a:avLst/>
                    </a:prstGeom>
                    <a:noFill/>
                    <a:ln>
                      <a:noFill/>
                    </a:ln>
                  </pic:spPr>
                </pic:pic>
              </a:graphicData>
            </a:graphic>
          </wp:inline>
        </w:drawing>
      </w:r>
    </w:p>
    <w:p w14:paraId="1A82460F"/>
    <w:p w14:paraId="7F295AAD"/>
    <w:p w14:paraId="19896B50"/>
    <w:p w14:paraId="12B2794B">
      <w:r>
        <w:drawing>
          <wp:inline distT="0" distB="0" distL="114300" distR="114300">
            <wp:extent cx="5974080" cy="4210685"/>
            <wp:effectExtent l="0" t="0" r="7620" b="18415"/>
            <wp:docPr id="5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8"/>
                    <pic:cNvPicPr>
                      <a:picLocks noChangeAspect="1"/>
                    </pic:cNvPicPr>
                  </pic:nvPicPr>
                  <pic:blipFill>
                    <a:blip r:embed="rId27"/>
                    <a:stretch>
                      <a:fillRect/>
                    </a:stretch>
                  </pic:blipFill>
                  <pic:spPr>
                    <a:xfrm>
                      <a:off x="0" y="0"/>
                      <a:ext cx="5974080" cy="4210685"/>
                    </a:xfrm>
                    <a:prstGeom prst="rect">
                      <a:avLst/>
                    </a:prstGeom>
                    <a:noFill/>
                    <a:ln>
                      <a:noFill/>
                    </a:ln>
                  </pic:spPr>
                </pic:pic>
              </a:graphicData>
            </a:graphic>
          </wp:inline>
        </w:drawing>
      </w:r>
    </w:p>
    <w:p w14:paraId="21B23AC2">
      <w:r>
        <w:drawing>
          <wp:inline distT="0" distB="0" distL="114300" distR="114300">
            <wp:extent cx="5974080" cy="4089400"/>
            <wp:effectExtent l="0" t="0" r="7620" b="6350"/>
            <wp:docPr id="5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9"/>
                    <pic:cNvPicPr>
                      <a:picLocks noChangeAspect="1"/>
                    </pic:cNvPicPr>
                  </pic:nvPicPr>
                  <pic:blipFill>
                    <a:blip r:embed="rId28"/>
                    <a:stretch>
                      <a:fillRect/>
                    </a:stretch>
                  </pic:blipFill>
                  <pic:spPr>
                    <a:xfrm>
                      <a:off x="0" y="0"/>
                      <a:ext cx="5974080" cy="4089400"/>
                    </a:xfrm>
                    <a:prstGeom prst="rect">
                      <a:avLst/>
                    </a:prstGeom>
                    <a:noFill/>
                    <a:ln>
                      <a:noFill/>
                    </a:ln>
                  </pic:spPr>
                </pic:pic>
              </a:graphicData>
            </a:graphic>
          </wp:inline>
        </w:drawing>
      </w:r>
    </w:p>
    <w:p w14:paraId="1ECEF6E1"/>
    <w:p w14:paraId="30C3D818"/>
    <w:p w14:paraId="657AD82F"/>
    <w:p w14:paraId="0898B204"/>
    <w:p w14:paraId="3A33A9C9"/>
    <w:p w14:paraId="075ACC0E"/>
    <w:p w14:paraId="7857D9F8">
      <w:pPr>
        <w:pStyle w:val="7"/>
      </w:pPr>
      <w:r>
        <w:drawing>
          <wp:inline distT="0" distB="0" distL="114300" distR="114300">
            <wp:extent cx="5974080" cy="4184015"/>
            <wp:effectExtent l="0" t="0" r="7620" b="6985"/>
            <wp:docPr id="5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0"/>
                    <pic:cNvPicPr>
                      <a:picLocks noChangeAspect="1"/>
                    </pic:cNvPicPr>
                  </pic:nvPicPr>
                  <pic:blipFill>
                    <a:blip r:embed="rId29"/>
                    <a:stretch>
                      <a:fillRect/>
                    </a:stretch>
                  </pic:blipFill>
                  <pic:spPr>
                    <a:xfrm>
                      <a:off x="0" y="0"/>
                      <a:ext cx="5974080" cy="4184015"/>
                    </a:xfrm>
                    <a:prstGeom prst="rect">
                      <a:avLst/>
                    </a:prstGeom>
                    <a:noFill/>
                    <a:ln>
                      <a:noFill/>
                    </a:ln>
                  </pic:spPr>
                </pic:pic>
              </a:graphicData>
            </a:graphic>
          </wp:inline>
        </w:drawing>
      </w:r>
    </w:p>
    <w:p w14:paraId="6793B769">
      <w:r>
        <w:drawing>
          <wp:inline distT="0" distB="0" distL="114300" distR="114300">
            <wp:extent cx="5967730" cy="4167505"/>
            <wp:effectExtent l="0" t="0" r="13970" b="4445"/>
            <wp:docPr id="5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1"/>
                    <pic:cNvPicPr>
                      <a:picLocks noChangeAspect="1"/>
                    </pic:cNvPicPr>
                  </pic:nvPicPr>
                  <pic:blipFill>
                    <a:blip r:embed="rId30"/>
                    <a:stretch>
                      <a:fillRect/>
                    </a:stretch>
                  </pic:blipFill>
                  <pic:spPr>
                    <a:xfrm>
                      <a:off x="0" y="0"/>
                      <a:ext cx="5967730" cy="4167505"/>
                    </a:xfrm>
                    <a:prstGeom prst="rect">
                      <a:avLst/>
                    </a:prstGeom>
                    <a:noFill/>
                    <a:ln>
                      <a:noFill/>
                    </a:ln>
                  </pic:spPr>
                </pic:pic>
              </a:graphicData>
            </a:graphic>
          </wp:inline>
        </w:drawing>
      </w:r>
    </w:p>
    <w:p w14:paraId="6BCC2003"/>
    <w:p w14:paraId="04191E67"/>
    <w:p w14:paraId="05398DCF"/>
    <w:p w14:paraId="7D60FF99"/>
    <w:p w14:paraId="30195E0F">
      <w:r>
        <w:drawing>
          <wp:inline distT="0" distB="0" distL="114300" distR="114300">
            <wp:extent cx="5974080" cy="4254500"/>
            <wp:effectExtent l="0" t="0" r="7620" b="12700"/>
            <wp:docPr id="5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2"/>
                    <pic:cNvPicPr>
                      <a:picLocks noChangeAspect="1"/>
                    </pic:cNvPicPr>
                  </pic:nvPicPr>
                  <pic:blipFill>
                    <a:blip r:embed="rId31"/>
                    <a:stretch>
                      <a:fillRect/>
                    </a:stretch>
                  </pic:blipFill>
                  <pic:spPr>
                    <a:xfrm>
                      <a:off x="0" y="0"/>
                      <a:ext cx="5974080" cy="4254500"/>
                    </a:xfrm>
                    <a:prstGeom prst="rect">
                      <a:avLst/>
                    </a:prstGeom>
                    <a:noFill/>
                    <a:ln>
                      <a:noFill/>
                    </a:ln>
                  </pic:spPr>
                </pic:pic>
              </a:graphicData>
            </a:graphic>
          </wp:inline>
        </w:drawing>
      </w:r>
    </w:p>
    <w:p w14:paraId="3FE66990"/>
    <w:p w14:paraId="2BC81791">
      <w:pPr>
        <w:pStyle w:val="12"/>
      </w:pPr>
      <w:r>
        <w:drawing>
          <wp:inline distT="0" distB="0" distL="114300" distR="114300">
            <wp:extent cx="5968365" cy="4232910"/>
            <wp:effectExtent l="0" t="0" r="13335" b="15240"/>
            <wp:docPr id="5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3"/>
                    <pic:cNvPicPr>
                      <a:picLocks noChangeAspect="1"/>
                    </pic:cNvPicPr>
                  </pic:nvPicPr>
                  <pic:blipFill>
                    <a:blip r:embed="rId32"/>
                    <a:stretch>
                      <a:fillRect/>
                    </a:stretch>
                  </pic:blipFill>
                  <pic:spPr>
                    <a:xfrm>
                      <a:off x="0" y="0"/>
                      <a:ext cx="5968365" cy="4232910"/>
                    </a:xfrm>
                    <a:prstGeom prst="rect">
                      <a:avLst/>
                    </a:prstGeom>
                    <a:noFill/>
                    <a:ln>
                      <a:noFill/>
                    </a:ln>
                  </pic:spPr>
                </pic:pic>
              </a:graphicData>
            </a:graphic>
          </wp:inline>
        </w:drawing>
      </w:r>
    </w:p>
    <w:p w14:paraId="264D5A9E">
      <w:pPr>
        <w:pStyle w:val="12"/>
      </w:pPr>
    </w:p>
    <w:p w14:paraId="3DF11F8F">
      <w:pPr>
        <w:pStyle w:val="12"/>
      </w:pPr>
      <w:r>
        <w:drawing>
          <wp:inline distT="0" distB="0" distL="114300" distR="114300">
            <wp:extent cx="5969000" cy="3890010"/>
            <wp:effectExtent l="0" t="0" r="12700" b="15240"/>
            <wp:docPr id="5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4"/>
                    <pic:cNvPicPr>
                      <a:picLocks noChangeAspect="1"/>
                    </pic:cNvPicPr>
                  </pic:nvPicPr>
                  <pic:blipFill>
                    <a:blip r:embed="rId33"/>
                    <a:stretch>
                      <a:fillRect/>
                    </a:stretch>
                  </pic:blipFill>
                  <pic:spPr>
                    <a:xfrm>
                      <a:off x="0" y="0"/>
                      <a:ext cx="5969000" cy="3890010"/>
                    </a:xfrm>
                    <a:prstGeom prst="rect">
                      <a:avLst/>
                    </a:prstGeom>
                    <a:noFill/>
                    <a:ln>
                      <a:noFill/>
                    </a:ln>
                  </pic:spPr>
                </pic:pic>
              </a:graphicData>
            </a:graphic>
          </wp:inline>
        </w:drawing>
      </w:r>
    </w:p>
    <w:p w14:paraId="0D377C16">
      <w:pPr>
        <w:pStyle w:val="12"/>
      </w:pPr>
    </w:p>
    <w:p w14:paraId="43A05B36">
      <w:pPr>
        <w:pStyle w:val="49"/>
      </w:pPr>
      <w:r>
        <w:drawing>
          <wp:inline distT="0" distB="0" distL="114300" distR="114300">
            <wp:extent cx="5974080" cy="4195445"/>
            <wp:effectExtent l="0" t="0" r="7620" b="14605"/>
            <wp:docPr id="5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5"/>
                    <pic:cNvPicPr>
                      <a:picLocks noChangeAspect="1"/>
                    </pic:cNvPicPr>
                  </pic:nvPicPr>
                  <pic:blipFill>
                    <a:blip r:embed="rId34"/>
                    <a:stretch>
                      <a:fillRect/>
                    </a:stretch>
                  </pic:blipFill>
                  <pic:spPr>
                    <a:xfrm>
                      <a:off x="0" y="0"/>
                      <a:ext cx="5974080" cy="4195445"/>
                    </a:xfrm>
                    <a:prstGeom prst="rect">
                      <a:avLst/>
                    </a:prstGeom>
                    <a:noFill/>
                    <a:ln>
                      <a:noFill/>
                    </a:ln>
                  </pic:spPr>
                </pic:pic>
              </a:graphicData>
            </a:graphic>
          </wp:inline>
        </w:drawing>
      </w:r>
    </w:p>
    <w:p w14:paraId="568B42DB"/>
    <w:p w14:paraId="47A0A8A5"/>
    <w:p w14:paraId="2974FEBE"/>
    <w:p w14:paraId="7F3C2CD6">
      <w:r>
        <w:drawing>
          <wp:inline distT="0" distB="0" distL="114300" distR="114300">
            <wp:extent cx="5974080" cy="4193540"/>
            <wp:effectExtent l="0" t="0" r="7620" b="16510"/>
            <wp:docPr id="5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6"/>
                    <pic:cNvPicPr>
                      <a:picLocks noChangeAspect="1"/>
                    </pic:cNvPicPr>
                  </pic:nvPicPr>
                  <pic:blipFill>
                    <a:blip r:embed="rId35"/>
                    <a:stretch>
                      <a:fillRect/>
                    </a:stretch>
                  </pic:blipFill>
                  <pic:spPr>
                    <a:xfrm>
                      <a:off x="0" y="0"/>
                      <a:ext cx="5974080" cy="4193540"/>
                    </a:xfrm>
                    <a:prstGeom prst="rect">
                      <a:avLst/>
                    </a:prstGeom>
                    <a:noFill/>
                    <a:ln>
                      <a:noFill/>
                    </a:ln>
                  </pic:spPr>
                </pic:pic>
              </a:graphicData>
            </a:graphic>
          </wp:inline>
        </w:drawing>
      </w:r>
    </w:p>
    <w:p w14:paraId="243B90C9"/>
    <w:p w14:paraId="6D84B45E">
      <w:pPr>
        <w:pStyle w:val="49"/>
      </w:pPr>
      <w:r>
        <w:drawing>
          <wp:inline distT="0" distB="0" distL="114300" distR="114300">
            <wp:extent cx="5974080" cy="3195320"/>
            <wp:effectExtent l="0" t="0" r="7620" b="5080"/>
            <wp:docPr id="5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7"/>
                    <pic:cNvPicPr>
                      <a:picLocks noChangeAspect="1"/>
                    </pic:cNvPicPr>
                  </pic:nvPicPr>
                  <pic:blipFill>
                    <a:blip r:embed="rId36"/>
                    <a:stretch>
                      <a:fillRect/>
                    </a:stretch>
                  </pic:blipFill>
                  <pic:spPr>
                    <a:xfrm>
                      <a:off x="0" y="0"/>
                      <a:ext cx="5974080" cy="3195320"/>
                    </a:xfrm>
                    <a:prstGeom prst="rect">
                      <a:avLst/>
                    </a:prstGeom>
                    <a:noFill/>
                    <a:ln>
                      <a:noFill/>
                    </a:ln>
                  </pic:spPr>
                </pic:pic>
              </a:graphicData>
            </a:graphic>
          </wp:inline>
        </w:drawing>
      </w:r>
    </w:p>
    <w:p w14:paraId="71C67C34"/>
    <w:p w14:paraId="60D22D14"/>
    <w:p w14:paraId="5976C0ED">
      <w:pPr>
        <w:pStyle w:val="12"/>
      </w:pPr>
    </w:p>
    <w:p w14:paraId="47A0E70E">
      <w:pPr>
        <w:rPr>
          <w:rFonts w:hint="eastAsia" w:ascii="宋体" w:hAnsi="宋体" w:eastAsia="宋体" w:cs="宋体"/>
        </w:rPr>
      </w:pPr>
      <w:bookmarkStart w:id="741" w:name="_Toc30076"/>
      <w:r>
        <w:rPr>
          <w:rFonts w:hint="eastAsia" w:ascii="宋体" w:hAnsi="宋体" w:eastAsia="宋体" w:cs="宋体"/>
        </w:rPr>
        <w:br w:type="page"/>
      </w:r>
    </w:p>
    <w:p w14:paraId="009A37F2">
      <w:pPr>
        <w:pStyle w:val="2"/>
        <w:spacing w:line="240" w:lineRule="auto"/>
        <w:jc w:val="center"/>
        <w:outlineLvl w:val="0"/>
        <w:rPr>
          <w:rFonts w:hint="eastAsia" w:ascii="宋体" w:hAnsi="宋体" w:eastAsia="宋体" w:cs="宋体"/>
          <w:sz w:val="44"/>
          <w:szCs w:val="44"/>
          <w:u w:val="single"/>
        </w:rPr>
      </w:pPr>
      <w:r>
        <w:rPr>
          <w:rFonts w:hint="eastAsia" w:ascii="宋体" w:hAnsi="宋体" w:eastAsia="宋体" w:cs="宋体"/>
        </w:rPr>
        <w:t>第六章</w:t>
      </w:r>
      <w:bookmarkEnd w:id="738"/>
      <w:bookmarkEnd w:id="739"/>
      <w:bookmarkEnd w:id="740"/>
      <w:bookmarkEnd w:id="741"/>
      <w:bookmarkStart w:id="742" w:name="_Toc14948"/>
      <w:bookmarkStart w:id="743" w:name="_Toc112925001"/>
      <w:bookmarkStart w:id="744" w:name="_Toc8839"/>
      <w:bookmarkStart w:id="745" w:name="_Toc232478051"/>
      <w:bookmarkStart w:id="746" w:name="_Toc122529957"/>
      <w:bookmarkStart w:id="747" w:name="_Toc2321"/>
      <w:bookmarkStart w:id="748" w:name="_Toc135466717"/>
      <w:r>
        <w:rPr>
          <w:rFonts w:hint="eastAsia" w:ascii="宋体" w:hAnsi="宋体" w:eastAsia="宋体" w:cs="宋体"/>
          <w:lang w:val="en-US" w:eastAsia="zh-CN"/>
        </w:rPr>
        <w:t xml:space="preserve"> </w:t>
      </w:r>
      <w:r>
        <w:rPr>
          <w:rFonts w:hint="eastAsia" w:ascii="宋体" w:hAnsi="宋体" w:eastAsia="宋体" w:cs="宋体"/>
          <w:lang w:eastAsia="zh-CN"/>
        </w:rPr>
        <w:t>竞争性磋商响应文件格式</w:t>
      </w:r>
    </w:p>
    <w:p w14:paraId="462DC423">
      <w:pPr>
        <w:rPr>
          <w:rFonts w:hint="eastAsia" w:ascii="宋体" w:hAnsi="宋体" w:eastAsia="宋体" w:cs="宋体"/>
        </w:rPr>
      </w:pPr>
    </w:p>
    <w:p w14:paraId="613E5505">
      <w:pPr>
        <w:jc w:val="center"/>
        <w:rPr>
          <w:rFonts w:hint="default" w:ascii="宋体" w:hAnsi="宋体" w:eastAsia="宋体" w:cs="宋体"/>
          <w:b/>
          <w:bCs/>
          <w:color w:val="auto"/>
          <w:sz w:val="32"/>
          <w:szCs w:val="32"/>
          <w:lang w:val="en-US" w:eastAsia="zh-CN"/>
        </w:rPr>
      </w:pPr>
      <w:r>
        <w:rPr>
          <w:rFonts w:hint="eastAsia" w:ascii="宋体" w:hAnsi="宋体" w:eastAsia="宋体" w:cs="宋体"/>
          <w:b/>
          <w:bCs/>
          <w:color w:val="auto"/>
          <w:sz w:val="32"/>
          <w:szCs w:val="32"/>
          <w:u w:val="single"/>
        </w:rPr>
        <w:t xml:space="preserve">             </w:t>
      </w:r>
      <w:r>
        <w:rPr>
          <w:rFonts w:hint="eastAsia" w:ascii="宋体" w:hAnsi="宋体" w:eastAsia="宋体" w:cs="宋体"/>
          <w:b/>
          <w:bCs/>
          <w:color w:val="auto"/>
          <w:sz w:val="32"/>
          <w:szCs w:val="32"/>
          <w:u w:val="none"/>
        </w:rPr>
        <w:t>（项目名称）</w:t>
      </w:r>
    </w:p>
    <w:p w14:paraId="29835EAF">
      <w:pPr>
        <w:spacing w:line="600" w:lineRule="auto"/>
        <w:jc w:val="center"/>
        <w:rPr>
          <w:rFonts w:hint="eastAsia" w:ascii="宋体" w:hAnsi="宋体" w:eastAsia="宋体" w:cs="宋体"/>
          <w:b/>
          <w:sz w:val="72"/>
          <w:szCs w:val="72"/>
        </w:rPr>
      </w:pPr>
    </w:p>
    <w:p w14:paraId="4A9CCECF">
      <w:pPr>
        <w:spacing w:line="600" w:lineRule="auto"/>
        <w:jc w:val="center"/>
        <w:outlineLvl w:val="9"/>
        <w:rPr>
          <w:rFonts w:hint="eastAsia" w:ascii="宋体" w:hAnsi="宋体" w:eastAsia="宋体" w:cs="宋体"/>
          <w:b/>
          <w:sz w:val="72"/>
          <w:szCs w:val="72"/>
        </w:rPr>
      </w:pPr>
      <w:r>
        <w:rPr>
          <w:rFonts w:hint="eastAsia" w:ascii="宋体" w:hAnsi="宋体" w:eastAsia="宋体" w:cs="宋体"/>
          <w:b/>
          <w:sz w:val="72"/>
          <w:szCs w:val="72"/>
        </w:rPr>
        <w:t>响应文件</w:t>
      </w:r>
    </w:p>
    <w:p w14:paraId="64C15A7F">
      <w:pPr>
        <w:outlineLvl w:val="9"/>
        <w:rPr>
          <w:rFonts w:hint="eastAsia" w:ascii="宋体" w:hAnsi="宋体" w:eastAsia="宋体" w:cs="宋体"/>
          <w:sz w:val="72"/>
          <w:szCs w:val="72"/>
        </w:rPr>
      </w:pPr>
    </w:p>
    <w:p w14:paraId="3B9338E8">
      <w:pPr>
        <w:outlineLvl w:val="9"/>
        <w:rPr>
          <w:rFonts w:hint="eastAsia" w:ascii="宋体" w:hAnsi="宋体" w:eastAsia="宋体" w:cs="宋体"/>
          <w:sz w:val="72"/>
          <w:szCs w:val="72"/>
        </w:rPr>
      </w:pPr>
    </w:p>
    <w:p w14:paraId="42B47599">
      <w:pPr>
        <w:outlineLvl w:val="9"/>
        <w:rPr>
          <w:rFonts w:hint="eastAsia" w:ascii="宋体" w:hAnsi="宋体" w:eastAsia="宋体" w:cs="宋体"/>
          <w:b/>
          <w:sz w:val="72"/>
          <w:szCs w:val="72"/>
        </w:rPr>
      </w:pPr>
    </w:p>
    <w:p w14:paraId="0EDE3EA6">
      <w:pPr>
        <w:pStyle w:val="12"/>
        <w:outlineLvl w:val="9"/>
        <w:rPr>
          <w:rFonts w:hint="eastAsia" w:ascii="宋体" w:hAnsi="宋体" w:eastAsia="宋体" w:cs="宋体"/>
          <w:b/>
          <w:sz w:val="72"/>
          <w:szCs w:val="72"/>
        </w:rPr>
      </w:pPr>
    </w:p>
    <w:p w14:paraId="4879B828">
      <w:pPr>
        <w:pStyle w:val="28"/>
        <w:outlineLvl w:val="9"/>
        <w:rPr>
          <w:rFonts w:hint="eastAsia" w:ascii="宋体" w:hAnsi="宋体" w:eastAsia="宋体" w:cs="宋体"/>
        </w:rPr>
      </w:pPr>
    </w:p>
    <w:p w14:paraId="4D0C2695">
      <w:pPr>
        <w:outlineLvl w:val="9"/>
        <w:rPr>
          <w:rFonts w:hint="eastAsia" w:ascii="宋体" w:hAnsi="宋体" w:eastAsia="宋体" w:cs="宋体"/>
        </w:rPr>
      </w:pPr>
    </w:p>
    <w:p w14:paraId="1F8C3308">
      <w:pPr>
        <w:spacing w:line="600" w:lineRule="auto"/>
        <w:jc w:val="center"/>
        <w:rPr>
          <w:rFonts w:hint="eastAsia" w:ascii="宋体" w:hAnsi="宋体" w:eastAsia="宋体" w:cs="宋体"/>
          <w:b/>
          <w:sz w:val="24"/>
        </w:rPr>
      </w:pPr>
    </w:p>
    <w:p w14:paraId="55FF01AC">
      <w:pPr>
        <w:spacing w:line="600" w:lineRule="auto"/>
        <w:jc w:val="center"/>
        <w:rPr>
          <w:rFonts w:hint="eastAsia" w:ascii="宋体" w:hAnsi="宋体" w:eastAsia="宋体" w:cs="宋体"/>
          <w:b/>
          <w:sz w:val="24"/>
          <w:szCs w:val="24"/>
        </w:rPr>
      </w:pPr>
      <w:r>
        <w:rPr>
          <w:rFonts w:hint="eastAsia" w:ascii="宋体" w:hAnsi="宋体" w:eastAsia="宋体" w:cs="宋体"/>
          <w:b/>
          <w:sz w:val="24"/>
        </w:rPr>
        <w:t xml:space="preserve"> </w:t>
      </w:r>
      <w:bookmarkStart w:id="749" w:name="_Toc1924"/>
      <w:r>
        <w:rPr>
          <w:rFonts w:hint="eastAsia" w:ascii="宋体" w:hAnsi="宋体" w:eastAsia="宋体" w:cs="宋体"/>
          <w:b/>
          <w:sz w:val="24"/>
          <w:szCs w:val="24"/>
        </w:rPr>
        <w:t>供应商名称：</w:t>
      </w:r>
      <w:r>
        <w:rPr>
          <w:rFonts w:hint="eastAsia" w:ascii="宋体" w:hAnsi="宋体" w:eastAsia="宋体" w:cs="宋体"/>
          <w:b/>
          <w:sz w:val="24"/>
          <w:szCs w:val="24"/>
          <w:u w:val="single"/>
        </w:rPr>
        <w:t xml:space="preserve">                        </w:t>
      </w:r>
      <w:r>
        <w:rPr>
          <w:rFonts w:hint="eastAsia" w:ascii="宋体" w:hAnsi="宋体" w:eastAsia="宋体" w:cs="宋体"/>
          <w:b/>
          <w:sz w:val="24"/>
          <w:szCs w:val="24"/>
        </w:rPr>
        <w:t>（单位电子签章）</w:t>
      </w:r>
    </w:p>
    <w:p w14:paraId="37F41489">
      <w:pPr>
        <w:spacing w:line="600" w:lineRule="auto"/>
        <w:rPr>
          <w:rFonts w:hint="eastAsia" w:ascii="宋体" w:hAnsi="宋体" w:eastAsia="宋体" w:cs="宋体"/>
          <w:b/>
          <w:sz w:val="24"/>
          <w:szCs w:val="24"/>
        </w:rPr>
      </w:pPr>
      <w:r>
        <w:rPr>
          <w:rFonts w:hint="eastAsia" w:ascii="宋体" w:hAnsi="宋体" w:eastAsia="宋体" w:cs="宋体"/>
          <w:b/>
          <w:sz w:val="24"/>
          <w:szCs w:val="24"/>
        </w:rPr>
        <w:t xml:space="preserve">             法定代表人：</w:t>
      </w:r>
      <w:r>
        <w:rPr>
          <w:rFonts w:hint="eastAsia" w:ascii="宋体" w:hAnsi="宋体" w:eastAsia="宋体" w:cs="宋体"/>
          <w:b/>
          <w:sz w:val="24"/>
          <w:szCs w:val="24"/>
          <w:u w:val="single"/>
        </w:rPr>
        <w:t xml:space="preserve">                      </w:t>
      </w:r>
      <w:r>
        <w:rPr>
          <w:rFonts w:hint="eastAsia" w:ascii="宋体" w:hAnsi="宋体" w:eastAsia="宋体" w:cs="宋体"/>
          <w:b/>
          <w:sz w:val="24"/>
          <w:szCs w:val="24"/>
        </w:rPr>
        <w:t>（法定代表人电子签名</w:t>
      </w:r>
      <w:r>
        <w:rPr>
          <w:rFonts w:hint="eastAsia" w:ascii="宋体" w:hAnsi="宋体" w:eastAsia="宋体" w:cs="宋体"/>
          <w:b/>
          <w:spacing w:val="11"/>
          <w:sz w:val="24"/>
          <w:szCs w:val="24"/>
        </w:rPr>
        <w:t>或签章</w:t>
      </w:r>
      <w:r>
        <w:rPr>
          <w:rFonts w:hint="eastAsia" w:ascii="宋体" w:hAnsi="宋体" w:eastAsia="宋体" w:cs="宋体"/>
          <w:b/>
          <w:sz w:val="24"/>
          <w:szCs w:val="24"/>
        </w:rPr>
        <w:t>）</w:t>
      </w:r>
    </w:p>
    <w:p w14:paraId="786CC72D">
      <w:pPr>
        <w:spacing w:line="600" w:lineRule="auto"/>
        <w:jc w:val="center"/>
        <w:rPr>
          <w:rFonts w:hint="eastAsia" w:ascii="宋体" w:hAnsi="宋体" w:eastAsia="宋体" w:cs="宋体"/>
          <w:b/>
          <w:sz w:val="24"/>
          <w:szCs w:val="24"/>
        </w:rPr>
      </w:pPr>
      <w:r>
        <w:rPr>
          <w:rFonts w:hint="eastAsia" w:ascii="宋体" w:hAnsi="宋体" w:eastAsia="宋体" w:cs="宋体"/>
          <w:b/>
          <w:sz w:val="24"/>
          <w:szCs w:val="24"/>
          <w:u w:val="none"/>
        </w:rPr>
        <w:t>日      期：</w:t>
      </w:r>
      <w:r>
        <w:rPr>
          <w:rFonts w:hint="eastAsia" w:ascii="宋体" w:hAnsi="宋体" w:eastAsia="宋体" w:cs="宋体"/>
          <w:b/>
          <w:sz w:val="24"/>
          <w:szCs w:val="24"/>
          <w:u w:val="single"/>
        </w:rPr>
        <w:t xml:space="preserve">      </w:t>
      </w:r>
      <w:r>
        <w:rPr>
          <w:rFonts w:hint="eastAsia" w:ascii="宋体" w:hAnsi="宋体" w:eastAsia="宋体" w:cs="宋体"/>
          <w:b/>
          <w:sz w:val="24"/>
          <w:szCs w:val="24"/>
        </w:rPr>
        <w:t>年</w:t>
      </w:r>
      <w:r>
        <w:rPr>
          <w:rFonts w:hint="eastAsia" w:ascii="宋体" w:hAnsi="宋体" w:eastAsia="宋体" w:cs="宋体"/>
          <w:b/>
          <w:sz w:val="24"/>
          <w:szCs w:val="24"/>
          <w:u w:val="single"/>
        </w:rPr>
        <w:t xml:space="preserve">     </w:t>
      </w:r>
      <w:r>
        <w:rPr>
          <w:rFonts w:hint="eastAsia" w:ascii="宋体" w:hAnsi="宋体" w:eastAsia="宋体" w:cs="宋体"/>
          <w:b/>
          <w:sz w:val="24"/>
          <w:szCs w:val="24"/>
        </w:rPr>
        <w:t>月</w:t>
      </w:r>
      <w:r>
        <w:rPr>
          <w:rFonts w:hint="eastAsia" w:ascii="宋体" w:hAnsi="宋体" w:eastAsia="宋体" w:cs="宋体"/>
          <w:b/>
          <w:sz w:val="24"/>
          <w:szCs w:val="24"/>
          <w:u w:val="single"/>
        </w:rPr>
        <w:t xml:space="preserve">    </w:t>
      </w:r>
      <w:r>
        <w:rPr>
          <w:rFonts w:hint="eastAsia" w:ascii="宋体" w:hAnsi="宋体" w:eastAsia="宋体" w:cs="宋体"/>
          <w:b/>
          <w:sz w:val="24"/>
          <w:szCs w:val="24"/>
        </w:rPr>
        <w:t>日</w:t>
      </w:r>
    </w:p>
    <w:p w14:paraId="12601E4E">
      <w:pPr>
        <w:pStyle w:val="31"/>
        <w:rPr>
          <w:rFonts w:hint="eastAsia"/>
        </w:rPr>
      </w:pPr>
    </w:p>
    <w:p w14:paraId="3130C489">
      <w:pPr>
        <w:jc w:val="center"/>
        <w:outlineLvl w:val="9"/>
        <w:rPr>
          <w:rFonts w:hint="eastAsia" w:ascii="宋体" w:hAnsi="宋体" w:eastAsia="宋体" w:cs="宋体"/>
          <w:sz w:val="30"/>
          <w:szCs w:val="30"/>
        </w:rPr>
      </w:pPr>
      <w:r>
        <w:rPr>
          <w:rFonts w:hint="eastAsia" w:ascii="宋体" w:hAnsi="宋体" w:eastAsia="宋体" w:cs="宋体"/>
          <w:sz w:val="28"/>
        </w:rPr>
        <w:t>目录</w:t>
      </w:r>
    </w:p>
    <w:p w14:paraId="37FCB0A4">
      <w:pPr>
        <w:numPr>
          <w:ilvl w:val="0"/>
          <w:numId w:val="0"/>
        </w:numPr>
        <w:bidi w:val="0"/>
        <w:spacing w:line="400" w:lineRule="exact"/>
        <w:ind w:left="210" w:right="210"/>
        <w:jc w:val="center"/>
        <w:outlineLvl w:val="9"/>
        <w:rPr>
          <w:rFonts w:hint="eastAsia" w:ascii="宋体" w:hAnsi="宋体" w:eastAsia="宋体" w:cs="宋体"/>
          <w:b/>
          <w:color w:val="auto"/>
          <w:sz w:val="28"/>
          <w:szCs w:val="28"/>
        </w:rPr>
      </w:pPr>
      <w:r>
        <w:rPr>
          <w:rFonts w:hint="eastAsia" w:ascii="宋体" w:hAnsi="宋体" w:eastAsia="宋体" w:cs="宋体"/>
          <w:b/>
          <w:color w:val="auto"/>
          <w:sz w:val="28"/>
          <w:szCs w:val="28"/>
        </w:rPr>
        <w:t>（目录格式自拟但须清晰明了）</w:t>
      </w:r>
    </w:p>
    <w:p w14:paraId="04E6931A">
      <w:pPr>
        <w:pStyle w:val="31"/>
        <w:ind w:firstLine="300"/>
        <w:rPr>
          <w:rFonts w:hint="eastAsia" w:ascii="宋体" w:hAnsi="宋体" w:eastAsia="宋体" w:cs="宋体"/>
          <w:sz w:val="30"/>
          <w:szCs w:val="30"/>
        </w:rPr>
      </w:pPr>
    </w:p>
    <w:p w14:paraId="6548F04A">
      <w:pPr>
        <w:rPr>
          <w:rFonts w:hint="eastAsia" w:ascii="宋体" w:hAnsi="宋体" w:eastAsia="宋体" w:cs="宋体"/>
          <w:sz w:val="30"/>
          <w:szCs w:val="30"/>
        </w:rPr>
      </w:pPr>
    </w:p>
    <w:p w14:paraId="60D4A093">
      <w:pPr>
        <w:pStyle w:val="31"/>
        <w:rPr>
          <w:rFonts w:hint="eastAsia" w:ascii="宋体" w:hAnsi="宋体" w:eastAsia="宋体" w:cs="宋体"/>
          <w:sz w:val="30"/>
          <w:szCs w:val="30"/>
        </w:rPr>
      </w:pPr>
    </w:p>
    <w:p w14:paraId="2DE9BFD0">
      <w:pPr>
        <w:rPr>
          <w:rFonts w:hint="eastAsia" w:ascii="宋体" w:hAnsi="宋体" w:eastAsia="宋体" w:cs="宋体"/>
          <w:sz w:val="30"/>
          <w:szCs w:val="30"/>
        </w:rPr>
      </w:pPr>
    </w:p>
    <w:p w14:paraId="0BD3BD87">
      <w:pPr>
        <w:pStyle w:val="31"/>
        <w:rPr>
          <w:rFonts w:hint="eastAsia" w:ascii="宋体" w:hAnsi="宋体" w:eastAsia="宋体" w:cs="宋体"/>
          <w:sz w:val="30"/>
          <w:szCs w:val="30"/>
        </w:rPr>
      </w:pPr>
    </w:p>
    <w:p w14:paraId="783FF317">
      <w:pPr>
        <w:rPr>
          <w:rFonts w:hint="eastAsia" w:ascii="宋体" w:hAnsi="宋体" w:eastAsia="宋体" w:cs="宋体"/>
          <w:sz w:val="30"/>
          <w:szCs w:val="30"/>
        </w:rPr>
      </w:pPr>
    </w:p>
    <w:p w14:paraId="67ED8631">
      <w:pPr>
        <w:pStyle w:val="31"/>
        <w:rPr>
          <w:rFonts w:hint="eastAsia" w:ascii="宋体" w:hAnsi="宋体" w:eastAsia="宋体" w:cs="宋体"/>
          <w:sz w:val="30"/>
          <w:szCs w:val="30"/>
        </w:rPr>
      </w:pPr>
    </w:p>
    <w:p w14:paraId="6025466C">
      <w:pPr>
        <w:rPr>
          <w:rFonts w:hint="eastAsia" w:ascii="宋体" w:hAnsi="宋体" w:eastAsia="宋体" w:cs="宋体"/>
          <w:sz w:val="30"/>
          <w:szCs w:val="30"/>
        </w:rPr>
      </w:pPr>
    </w:p>
    <w:p w14:paraId="0285CE9E">
      <w:pPr>
        <w:pStyle w:val="31"/>
        <w:rPr>
          <w:rFonts w:hint="eastAsia" w:ascii="宋体" w:hAnsi="宋体" w:eastAsia="宋体" w:cs="宋体"/>
          <w:sz w:val="30"/>
          <w:szCs w:val="30"/>
        </w:rPr>
      </w:pPr>
    </w:p>
    <w:p w14:paraId="3E4304E3">
      <w:pPr>
        <w:rPr>
          <w:rFonts w:hint="eastAsia" w:ascii="宋体" w:hAnsi="宋体" w:eastAsia="宋体" w:cs="宋体"/>
          <w:sz w:val="30"/>
          <w:szCs w:val="30"/>
        </w:rPr>
      </w:pPr>
    </w:p>
    <w:p w14:paraId="205584EF">
      <w:pPr>
        <w:pStyle w:val="31"/>
        <w:rPr>
          <w:rFonts w:hint="eastAsia" w:ascii="宋体" w:hAnsi="宋体" w:eastAsia="宋体" w:cs="宋体"/>
          <w:sz w:val="30"/>
          <w:szCs w:val="30"/>
        </w:rPr>
      </w:pPr>
    </w:p>
    <w:p w14:paraId="315484D4">
      <w:pPr>
        <w:rPr>
          <w:rFonts w:hint="eastAsia" w:ascii="宋体" w:hAnsi="宋体" w:eastAsia="宋体" w:cs="宋体"/>
          <w:sz w:val="30"/>
          <w:szCs w:val="30"/>
        </w:rPr>
      </w:pPr>
    </w:p>
    <w:p w14:paraId="72BC4B6D">
      <w:pPr>
        <w:pStyle w:val="31"/>
        <w:rPr>
          <w:rFonts w:hint="eastAsia" w:ascii="宋体" w:hAnsi="宋体" w:eastAsia="宋体" w:cs="宋体"/>
          <w:sz w:val="30"/>
          <w:szCs w:val="30"/>
        </w:rPr>
      </w:pPr>
    </w:p>
    <w:p w14:paraId="4C8A8249">
      <w:pPr>
        <w:rPr>
          <w:rFonts w:hint="eastAsia" w:ascii="宋体" w:hAnsi="宋体" w:eastAsia="宋体" w:cs="宋体"/>
          <w:sz w:val="30"/>
          <w:szCs w:val="30"/>
        </w:rPr>
      </w:pPr>
    </w:p>
    <w:p w14:paraId="76137F60">
      <w:pPr>
        <w:pStyle w:val="31"/>
        <w:rPr>
          <w:rFonts w:hint="eastAsia" w:ascii="宋体" w:hAnsi="宋体" w:eastAsia="宋体" w:cs="宋体"/>
          <w:sz w:val="30"/>
          <w:szCs w:val="30"/>
        </w:rPr>
      </w:pPr>
    </w:p>
    <w:p w14:paraId="10F7CDD4">
      <w:pPr>
        <w:rPr>
          <w:rFonts w:hint="eastAsia"/>
        </w:rPr>
      </w:pPr>
    </w:p>
    <w:p w14:paraId="7A10D445">
      <w:pPr>
        <w:pStyle w:val="31"/>
        <w:ind w:firstLine="300"/>
        <w:rPr>
          <w:rFonts w:hint="eastAsia" w:ascii="宋体" w:hAnsi="宋体" w:eastAsia="宋体" w:cs="宋体"/>
          <w:sz w:val="30"/>
          <w:szCs w:val="30"/>
        </w:rPr>
      </w:pPr>
    </w:p>
    <w:p w14:paraId="38682BFA">
      <w:pPr>
        <w:pStyle w:val="31"/>
        <w:ind w:firstLine="300"/>
        <w:rPr>
          <w:rFonts w:hint="eastAsia" w:ascii="宋体" w:hAnsi="宋体" w:eastAsia="宋体" w:cs="宋体"/>
          <w:sz w:val="30"/>
          <w:szCs w:val="30"/>
        </w:rPr>
      </w:pPr>
    </w:p>
    <w:p w14:paraId="108F2AA9">
      <w:pPr>
        <w:pStyle w:val="31"/>
        <w:ind w:firstLine="300"/>
        <w:rPr>
          <w:rFonts w:hint="eastAsia" w:ascii="宋体" w:hAnsi="宋体" w:eastAsia="宋体" w:cs="宋体"/>
          <w:sz w:val="30"/>
          <w:szCs w:val="30"/>
        </w:rPr>
      </w:pPr>
    </w:p>
    <w:p w14:paraId="344F346E">
      <w:pPr>
        <w:pStyle w:val="31"/>
        <w:ind w:firstLine="300"/>
        <w:rPr>
          <w:rFonts w:hint="eastAsia" w:ascii="宋体" w:hAnsi="宋体" w:eastAsia="宋体" w:cs="宋体"/>
          <w:sz w:val="30"/>
          <w:szCs w:val="30"/>
        </w:rPr>
      </w:pPr>
    </w:p>
    <w:p w14:paraId="465F159D">
      <w:pPr>
        <w:rPr>
          <w:rFonts w:hint="eastAsia" w:ascii="宋体" w:hAnsi="宋体" w:eastAsia="宋体" w:cs="宋体"/>
        </w:rPr>
      </w:pPr>
    </w:p>
    <w:p w14:paraId="02359A50">
      <w:pPr>
        <w:pStyle w:val="31"/>
        <w:ind w:firstLine="300"/>
        <w:rPr>
          <w:rFonts w:hint="eastAsia" w:ascii="宋体" w:hAnsi="宋体" w:eastAsia="宋体" w:cs="宋体"/>
          <w:sz w:val="30"/>
          <w:szCs w:val="30"/>
        </w:rPr>
      </w:pPr>
    </w:p>
    <w:p w14:paraId="435738E3">
      <w:pPr>
        <w:pStyle w:val="31"/>
        <w:ind w:firstLine="300"/>
        <w:rPr>
          <w:rFonts w:hint="eastAsia" w:ascii="宋体" w:hAnsi="宋体" w:eastAsia="宋体" w:cs="宋体"/>
          <w:sz w:val="30"/>
          <w:szCs w:val="30"/>
        </w:rPr>
      </w:pPr>
    </w:p>
    <w:p w14:paraId="60BD094A">
      <w:pPr>
        <w:pStyle w:val="32"/>
        <w:rPr>
          <w:rFonts w:hint="eastAsia" w:ascii="宋体" w:hAnsi="宋体" w:eastAsia="宋体" w:cs="宋体"/>
        </w:rPr>
      </w:pPr>
    </w:p>
    <w:p w14:paraId="148E4204">
      <w:pPr>
        <w:pStyle w:val="31"/>
        <w:ind w:firstLine="300"/>
        <w:rPr>
          <w:rFonts w:hint="eastAsia" w:ascii="宋体" w:hAnsi="宋体" w:eastAsia="宋体" w:cs="宋体"/>
          <w:sz w:val="30"/>
          <w:szCs w:val="30"/>
        </w:rPr>
      </w:pPr>
    </w:p>
    <w:p w14:paraId="34FD73C1">
      <w:pPr>
        <w:pStyle w:val="31"/>
        <w:ind w:firstLine="300"/>
        <w:rPr>
          <w:rFonts w:hint="eastAsia" w:ascii="宋体" w:hAnsi="宋体" w:eastAsia="宋体" w:cs="宋体"/>
          <w:sz w:val="30"/>
          <w:szCs w:val="30"/>
        </w:rPr>
      </w:pPr>
    </w:p>
    <w:p w14:paraId="53150102">
      <w:pPr>
        <w:pStyle w:val="31"/>
        <w:ind w:firstLine="300"/>
        <w:rPr>
          <w:rFonts w:hint="eastAsia" w:ascii="宋体" w:hAnsi="宋体" w:eastAsia="宋体" w:cs="宋体"/>
          <w:sz w:val="30"/>
          <w:szCs w:val="30"/>
        </w:rPr>
      </w:pPr>
    </w:p>
    <w:p w14:paraId="421DB401">
      <w:pPr>
        <w:pStyle w:val="31"/>
        <w:ind w:firstLine="0" w:firstLineChars="0"/>
        <w:rPr>
          <w:rFonts w:hint="eastAsia" w:ascii="宋体" w:hAnsi="宋体" w:eastAsia="宋体" w:cs="宋体"/>
          <w:sz w:val="30"/>
          <w:szCs w:val="30"/>
        </w:rPr>
      </w:pPr>
    </w:p>
    <w:p w14:paraId="31641E20">
      <w:pPr>
        <w:pStyle w:val="32"/>
        <w:rPr>
          <w:rFonts w:hint="eastAsia" w:ascii="宋体" w:hAnsi="宋体" w:eastAsia="宋体" w:cs="宋体"/>
          <w:sz w:val="30"/>
          <w:szCs w:val="30"/>
        </w:rPr>
      </w:pPr>
    </w:p>
    <w:p w14:paraId="21403258">
      <w:pPr>
        <w:rPr>
          <w:rFonts w:hint="eastAsia" w:ascii="宋体" w:hAnsi="宋体" w:eastAsia="宋体" w:cs="宋体"/>
          <w:sz w:val="30"/>
          <w:szCs w:val="30"/>
        </w:rPr>
      </w:pPr>
    </w:p>
    <w:p w14:paraId="64EBFF06">
      <w:pPr>
        <w:pStyle w:val="55"/>
        <w:rPr>
          <w:rFonts w:hint="eastAsia" w:ascii="宋体" w:hAnsi="宋体" w:eastAsia="宋体" w:cs="宋体"/>
          <w:sz w:val="30"/>
          <w:szCs w:val="30"/>
        </w:rPr>
      </w:pPr>
    </w:p>
    <w:p w14:paraId="2C79AE85">
      <w:pPr>
        <w:pStyle w:val="7"/>
        <w:rPr>
          <w:rFonts w:hint="eastAsia" w:ascii="宋体" w:hAnsi="宋体" w:eastAsia="宋体" w:cs="宋体"/>
          <w:sz w:val="30"/>
          <w:szCs w:val="30"/>
        </w:rPr>
      </w:pPr>
    </w:p>
    <w:p w14:paraId="2DE104AE">
      <w:pPr>
        <w:rPr>
          <w:rFonts w:hint="eastAsia"/>
        </w:rPr>
      </w:pPr>
    </w:p>
    <w:bookmarkEnd w:id="742"/>
    <w:bookmarkEnd w:id="743"/>
    <w:bookmarkEnd w:id="744"/>
    <w:bookmarkEnd w:id="745"/>
    <w:bookmarkEnd w:id="746"/>
    <w:bookmarkEnd w:id="747"/>
    <w:bookmarkEnd w:id="748"/>
    <w:bookmarkEnd w:id="749"/>
    <w:p w14:paraId="0CBC8510">
      <w:pPr>
        <w:pStyle w:val="88"/>
        <w:numPr>
          <w:ilvl w:val="0"/>
          <w:numId w:val="0"/>
        </w:numPr>
        <w:spacing w:line="360" w:lineRule="auto"/>
        <w:ind w:leftChars="0"/>
        <w:jc w:val="center"/>
        <w:rPr>
          <w:rFonts w:hint="eastAsia" w:ascii="宋体" w:hAnsi="宋体" w:eastAsia="宋体" w:cs="宋体"/>
          <w:b/>
          <w:color w:val="auto"/>
          <w:sz w:val="30"/>
          <w:szCs w:val="30"/>
          <w:highlight w:val="none"/>
        </w:rPr>
      </w:pPr>
      <w:bookmarkStart w:id="750" w:name="_Toc144974857"/>
      <w:bookmarkStart w:id="751" w:name="_Toc152045788"/>
      <w:bookmarkStart w:id="752" w:name="_Toc152042577"/>
      <w:bookmarkStart w:id="753" w:name="_Toc9911"/>
      <w:bookmarkStart w:id="754" w:name="_Toc466298158"/>
      <w:bookmarkStart w:id="755" w:name="_Toc8095"/>
      <w:bookmarkStart w:id="756" w:name="_Toc112925002"/>
      <w:bookmarkStart w:id="757" w:name="_Toc122529958"/>
      <w:bookmarkStart w:id="758" w:name="_Toc138248877"/>
      <w:bookmarkStart w:id="759" w:name="_Toc15453"/>
      <w:bookmarkStart w:id="760" w:name="_Toc232478052"/>
      <w:bookmarkStart w:id="761" w:name="_Toc23193"/>
      <w:bookmarkStart w:id="762" w:name="_Toc17353"/>
      <w:bookmarkStart w:id="763" w:name="_Toc135466718"/>
      <w:bookmarkStart w:id="764" w:name="_Toc139442173"/>
      <w:r>
        <w:rPr>
          <w:rFonts w:hint="eastAsia" w:ascii="宋体" w:hAnsi="宋体" w:eastAsia="宋体" w:cs="宋体"/>
          <w:b/>
          <w:color w:val="auto"/>
          <w:sz w:val="30"/>
          <w:szCs w:val="30"/>
          <w:highlight w:val="none"/>
          <w:lang w:val="en-US" w:eastAsia="zh-CN"/>
        </w:rPr>
        <w:t>一、</w:t>
      </w:r>
      <w:r>
        <w:rPr>
          <w:rFonts w:hint="eastAsia" w:ascii="宋体" w:hAnsi="宋体" w:eastAsia="宋体" w:cs="宋体"/>
          <w:b/>
          <w:color w:val="auto"/>
          <w:sz w:val="30"/>
          <w:szCs w:val="30"/>
          <w:highlight w:val="none"/>
          <w:lang w:eastAsia="zh-CN"/>
        </w:rPr>
        <w:t>响应函</w:t>
      </w:r>
      <w:r>
        <w:rPr>
          <w:rFonts w:hint="eastAsia" w:ascii="宋体" w:hAnsi="宋体" w:eastAsia="宋体" w:cs="宋体"/>
          <w:b/>
          <w:color w:val="auto"/>
          <w:sz w:val="30"/>
          <w:szCs w:val="30"/>
          <w:highlight w:val="none"/>
        </w:rPr>
        <w:t>及</w:t>
      </w:r>
      <w:bookmarkEnd w:id="750"/>
      <w:bookmarkEnd w:id="751"/>
      <w:bookmarkEnd w:id="752"/>
      <w:r>
        <w:rPr>
          <w:rFonts w:hint="eastAsia" w:ascii="宋体" w:hAnsi="宋体" w:eastAsia="宋体" w:cs="宋体"/>
          <w:b/>
          <w:color w:val="auto"/>
          <w:sz w:val="30"/>
          <w:szCs w:val="30"/>
          <w:highlight w:val="none"/>
          <w:lang w:eastAsia="zh-CN"/>
        </w:rPr>
        <w:t>响应函</w:t>
      </w:r>
      <w:r>
        <w:rPr>
          <w:rFonts w:hint="eastAsia" w:ascii="宋体" w:hAnsi="宋体" w:eastAsia="宋体" w:cs="宋体"/>
          <w:b/>
          <w:color w:val="auto"/>
          <w:sz w:val="30"/>
          <w:szCs w:val="30"/>
          <w:highlight w:val="none"/>
        </w:rPr>
        <w:t>附录</w:t>
      </w:r>
      <w:bookmarkEnd w:id="753"/>
      <w:bookmarkEnd w:id="754"/>
      <w:bookmarkEnd w:id="755"/>
    </w:p>
    <w:p w14:paraId="2FA9FCC9">
      <w:pPr>
        <w:pStyle w:val="89"/>
        <w:numPr>
          <w:ilvl w:val="0"/>
          <w:numId w:val="0"/>
        </w:numPr>
        <w:spacing w:line="360" w:lineRule="auto"/>
        <w:ind w:leftChars="0"/>
        <w:jc w:val="center"/>
        <w:outlineLvl w:val="2"/>
        <w:rPr>
          <w:rFonts w:hint="eastAsia" w:ascii="宋体" w:hAnsi="宋体" w:eastAsia="宋体" w:cs="宋体"/>
          <w:b/>
          <w:color w:val="auto"/>
          <w:sz w:val="28"/>
          <w:szCs w:val="24"/>
          <w:highlight w:val="none"/>
        </w:rPr>
      </w:pPr>
      <w:r>
        <w:rPr>
          <w:rFonts w:hint="eastAsia" w:ascii="宋体" w:hAnsi="宋体" w:eastAsia="宋体" w:cs="宋体"/>
          <w:b/>
          <w:color w:val="auto"/>
          <w:sz w:val="28"/>
          <w:szCs w:val="24"/>
          <w:highlight w:val="none"/>
          <w:lang w:eastAsia="zh-CN"/>
        </w:rPr>
        <w:t>（</w:t>
      </w:r>
      <w:r>
        <w:rPr>
          <w:rFonts w:hint="eastAsia" w:ascii="宋体" w:hAnsi="宋体" w:eastAsia="宋体" w:cs="宋体"/>
          <w:b/>
          <w:color w:val="auto"/>
          <w:sz w:val="28"/>
          <w:szCs w:val="24"/>
          <w:highlight w:val="none"/>
          <w:lang w:val="en-US" w:eastAsia="zh-CN"/>
        </w:rPr>
        <w:t>一</w:t>
      </w:r>
      <w:r>
        <w:rPr>
          <w:rFonts w:hint="eastAsia" w:ascii="宋体" w:hAnsi="宋体" w:eastAsia="宋体" w:cs="宋体"/>
          <w:b/>
          <w:color w:val="auto"/>
          <w:sz w:val="28"/>
          <w:szCs w:val="24"/>
          <w:highlight w:val="none"/>
          <w:lang w:eastAsia="zh-CN"/>
        </w:rPr>
        <w:t>）响应函</w:t>
      </w:r>
    </w:p>
    <w:p w14:paraId="3832F618">
      <w:pPr>
        <w:pStyle w:val="15"/>
        <w:spacing w:line="420" w:lineRule="exact"/>
        <w:ind w:left="112" w:leftChars="0" w:hanging="112" w:hangingChars="47"/>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致 ：</w:t>
      </w:r>
      <w:r>
        <w:rPr>
          <w:rFonts w:hint="eastAsia" w:ascii="宋体" w:hAnsi="宋体" w:eastAsia="宋体" w:cs="宋体"/>
          <w:color w:val="auto"/>
          <w:sz w:val="24"/>
          <w:szCs w:val="24"/>
          <w:u w:val="single"/>
        </w:rPr>
        <w:t>（采购人）</w:t>
      </w:r>
      <w:r>
        <w:rPr>
          <w:rFonts w:hint="eastAsia" w:ascii="宋体" w:hAnsi="宋体" w:eastAsia="宋体" w:cs="宋体"/>
          <w:color w:val="auto"/>
          <w:sz w:val="24"/>
          <w:szCs w:val="24"/>
          <w:u w:val="single"/>
          <w:lang w:val="en-US" w:eastAsia="zh-CN"/>
        </w:rPr>
        <w:t xml:space="preserve">     </w:t>
      </w:r>
    </w:p>
    <w:p w14:paraId="73E38336">
      <w:pPr>
        <w:pStyle w:val="15"/>
        <w:spacing w:line="420" w:lineRule="exact"/>
        <w:ind w:left="1"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根据已收到的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rPr>
        <w:t>（项目名称）</w:t>
      </w:r>
      <w:r>
        <w:rPr>
          <w:rFonts w:hint="eastAsia" w:ascii="宋体" w:hAnsi="宋体" w:eastAsia="宋体" w:cs="宋体"/>
          <w:color w:val="auto"/>
          <w:sz w:val="24"/>
          <w:szCs w:val="24"/>
        </w:rPr>
        <w:t>的</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，遵照《中华人民共和国政府采购法》等有关规定，经考察和认真研究本项目</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及</w:t>
      </w:r>
      <w:r>
        <w:rPr>
          <w:rFonts w:hint="eastAsia" w:ascii="宋体" w:hAnsi="宋体" w:eastAsia="宋体" w:cs="宋体"/>
          <w:color w:val="auto"/>
          <w:sz w:val="24"/>
          <w:szCs w:val="24"/>
          <w:lang w:val="en-US" w:eastAsia="zh-CN"/>
        </w:rPr>
        <w:t>其他</w:t>
      </w:r>
      <w:r>
        <w:rPr>
          <w:rFonts w:hint="eastAsia" w:ascii="宋体" w:hAnsi="宋体" w:eastAsia="宋体" w:cs="宋体"/>
          <w:color w:val="auto"/>
          <w:sz w:val="24"/>
          <w:szCs w:val="24"/>
        </w:rPr>
        <w:t>有关文件后，愿以</w:t>
      </w:r>
      <w:r>
        <w:rPr>
          <w:rFonts w:hint="eastAsia" w:ascii="宋体" w:hAnsi="宋体" w:eastAsia="宋体" w:cs="宋体"/>
          <w:color w:val="auto"/>
          <w:sz w:val="24"/>
          <w:szCs w:val="24"/>
          <w:lang w:val="en-US" w:eastAsia="zh-CN"/>
        </w:rPr>
        <w:t>人民币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大写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eastAsia="zh-CN"/>
        </w:rPr>
        <w:t>，（小写）</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响应单</w:t>
      </w:r>
      <w:r>
        <w:rPr>
          <w:rFonts w:hint="eastAsia" w:ascii="宋体" w:hAnsi="宋体" w:eastAsia="宋体" w:cs="宋体"/>
          <w:color w:val="auto"/>
          <w:sz w:val="24"/>
          <w:szCs w:val="24"/>
        </w:rPr>
        <w:t>价作为第一次磋商报价，按合同约定实施和完成本项目，并承担其任何质量缺陷等问题所造成的任何损失。</w:t>
      </w:r>
    </w:p>
    <w:p w14:paraId="1BD8657B">
      <w:pPr>
        <w:pStyle w:val="15"/>
        <w:spacing w:line="420" w:lineRule="exact"/>
        <w:ind w:left="1"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我方已详细检查全部</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包括澄清文件、补充通知（如有的话）及有关附件，并完全理解我方必须放弃提出含糊不清或误解的</w:t>
      </w:r>
      <w:r>
        <w:rPr>
          <w:rFonts w:hint="eastAsia" w:ascii="宋体" w:hAnsi="宋体" w:cs="宋体"/>
          <w:color w:val="auto"/>
          <w:sz w:val="24"/>
          <w:szCs w:val="24"/>
          <w:lang w:eastAsia="zh-CN"/>
        </w:rPr>
        <w:t>权利</w:t>
      </w:r>
      <w:r>
        <w:rPr>
          <w:rFonts w:hint="eastAsia" w:ascii="宋体" w:hAnsi="宋体" w:eastAsia="宋体" w:cs="宋体"/>
          <w:color w:val="auto"/>
          <w:sz w:val="24"/>
          <w:szCs w:val="24"/>
        </w:rPr>
        <w:t>，愿按照</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中的条款和要求按最后一次的报价</w:t>
      </w:r>
      <w:r>
        <w:rPr>
          <w:rFonts w:hint="eastAsia" w:ascii="宋体" w:hAnsi="宋体" w:cs="宋体"/>
          <w:color w:val="auto"/>
          <w:sz w:val="24"/>
          <w:szCs w:val="24"/>
          <w:lang w:eastAsia="zh-CN"/>
        </w:rPr>
        <w:t>作为</w:t>
      </w:r>
      <w:r>
        <w:rPr>
          <w:rFonts w:hint="eastAsia" w:ascii="宋体" w:hAnsi="宋体" w:eastAsia="宋体" w:cs="宋体"/>
          <w:color w:val="auto"/>
          <w:sz w:val="24"/>
          <w:szCs w:val="24"/>
        </w:rPr>
        <w:t>最后报价。</w:t>
      </w:r>
    </w:p>
    <w:p w14:paraId="70F37811">
      <w:pPr>
        <w:pStyle w:val="15"/>
        <w:spacing w:line="420" w:lineRule="exact"/>
        <w:ind w:left="1"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我方在此承诺，我方若能成交，保证在服务期限内，全面履行</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中规定的职责和义务。</w:t>
      </w:r>
    </w:p>
    <w:p w14:paraId="3D83E2C7">
      <w:pPr>
        <w:pStyle w:val="15"/>
        <w:spacing w:line="420" w:lineRule="exact"/>
        <w:ind w:left="1"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如果我方成交，我方保证按合同条款中规定的内容执行；我方保证质量达到国家及行业现行标准规范规定的合格要求，并按</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和有关规定提交一切资料。</w:t>
      </w:r>
    </w:p>
    <w:p w14:paraId="6303BF37">
      <w:pPr>
        <w:pStyle w:val="15"/>
        <w:spacing w:line="420" w:lineRule="exact"/>
        <w:ind w:left="1"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我方同意从响应文件递交截止日期起</w:t>
      </w:r>
      <w:r>
        <w:rPr>
          <w:rFonts w:hint="eastAsia" w:ascii="宋体" w:hAnsi="宋体" w:eastAsia="宋体" w:cs="宋体"/>
          <w:color w:val="auto"/>
          <w:sz w:val="24"/>
          <w:szCs w:val="24"/>
          <w:u w:val="single"/>
        </w:rPr>
        <w:t xml:space="preserve"> 60</w:t>
      </w:r>
      <w:r>
        <w:rPr>
          <w:rFonts w:hint="eastAsia" w:ascii="宋体" w:hAnsi="宋体" w:eastAsia="宋体" w:cs="宋体"/>
          <w:color w:val="auto"/>
          <w:sz w:val="24"/>
          <w:szCs w:val="24"/>
        </w:rPr>
        <w:t>日历天内保持</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有效，在此有效期内，我方将严格遵守</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的承诺，本</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对我方具有约束力，并可随时被接受成交。</w:t>
      </w:r>
    </w:p>
    <w:p w14:paraId="3B492F25">
      <w:pPr>
        <w:pStyle w:val="15"/>
        <w:spacing w:line="420" w:lineRule="exact"/>
        <w:ind w:left="1"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除</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所提交的资料外，我方同意随时接受贵方的检查、询问，并根据磋商需要补充贵方要求提交的资料。</w:t>
      </w:r>
    </w:p>
    <w:p w14:paraId="491F2243">
      <w:pPr>
        <w:pStyle w:val="15"/>
        <w:spacing w:line="420" w:lineRule="exact"/>
        <w:ind w:left="1"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如果我方成交后，我方没有任何正当理由而拒签合同，同时我方愿意补偿该项工作因我方延误所造成的经济损失。</w:t>
      </w:r>
    </w:p>
    <w:p w14:paraId="58C45479">
      <w:pPr>
        <w:pStyle w:val="15"/>
        <w:spacing w:line="420" w:lineRule="exact"/>
        <w:ind w:left="1"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我方愿接受合同条款中规定的合同价款计算和调整方式。</w:t>
      </w:r>
    </w:p>
    <w:p w14:paraId="70C877A7">
      <w:pPr>
        <w:pStyle w:val="15"/>
        <w:spacing w:line="420" w:lineRule="exact"/>
        <w:ind w:left="1" w:leftChars="0"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除非另外达成协议并生效，贵方的成交通知书和本</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将成为约束我方的合同文件组成部分。</w:t>
      </w:r>
    </w:p>
    <w:p w14:paraId="6E2F3213">
      <w:pPr>
        <w:pStyle w:val="69"/>
        <w:spacing w:line="480" w:lineRule="exact"/>
        <w:rPr>
          <w:rFonts w:hint="eastAsia" w:ascii="宋体" w:hAnsi="宋体" w:eastAsia="宋体" w:cs="宋体"/>
          <w:color w:val="000000"/>
          <w:sz w:val="24"/>
          <w:szCs w:val="24"/>
        </w:rPr>
      </w:pPr>
      <w:r>
        <w:rPr>
          <w:rFonts w:hint="eastAsia" w:ascii="宋体" w:hAnsi="宋体" w:eastAsia="宋体" w:cs="宋体"/>
          <w:color w:val="000000"/>
          <w:sz w:val="24"/>
          <w:szCs w:val="24"/>
        </w:rPr>
        <w:t>供应商名称：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（单位电子签章）   </w:t>
      </w:r>
    </w:p>
    <w:p w14:paraId="6D81FC5F">
      <w:pPr>
        <w:pStyle w:val="69"/>
        <w:spacing w:line="48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法定代表人：</w:t>
      </w:r>
      <w:r>
        <w:rPr>
          <w:rFonts w:hint="eastAsia" w:ascii="宋体" w:hAnsi="宋体" w:eastAsia="宋体" w:cs="宋体"/>
          <w:color w:val="000000"/>
          <w:sz w:val="24"/>
          <w:szCs w:val="24"/>
          <w:u w:val="single"/>
        </w:rPr>
        <w:t xml:space="preserve">                          </w:t>
      </w:r>
      <w:r>
        <w:rPr>
          <w:rFonts w:hint="eastAsia" w:ascii="宋体" w:hAnsi="宋体" w:eastAsia="宋体" w:cs="宋体"/>
          <w:bCs/>
          <w:color w:val="000000"/>
          <w:sz w:val="24"/>
          <w:szCs w:val="24"/>
        </w:rPr>
        <w:t>（法定代表人电子签名或签章）</w:t>
      </w:r>
    </w:p>
    <w:p w14:paraId="3E8B4EEF">
      <w:pPr>
        <w:pStyle w:val="69"/>
        <w:spacing w:line="480" w:lineRule="exact"/>
        <w:rPr>
          <w:rFonts w:hint="eastAsia" w:ascii="宋体" w:hAnsi="宋体" w:eastAsia="宋体" w:cs="宋体"/>
          <w:color w:val="000000"/>
          <w:sz w:val="24"/>
          <w:szCs w:val="24"/>
        </w:rPr>
      </w:pPr>
      <w:r>
        <w:rPr>
          <w:rFonts w:hint="eastAsia" w:ascii="宋体" w:hAnsi="宋体" w:eastAsia="宋体" w:cs="宋体"/>
          <w:color w:val="000000"/>
          <w:sz w:val="24"/>
          <w:szCs w:val="24"/>
        </w:rPr>
        <w:t>地</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址：</w:t>
      </w:r>
      <w:r>
        <w:rPr>
          <w:rFonts w:hint="eastAsia" w:ascii="宋体" w:hAnsi="宋体" w:eastAsia="宋体" w:cs="宋体"/>
          <w:color w:val="000000"/>
          <w:sz w:val="24"/>
          <w:szCs w:val="24"/>
          <w:u w:val="single"/>
          <w:lang w:val="en-US" w:eastAsia="zh-CN"/>
        </w:rPr>
        <w:t xml:space="preserve">                        </w:t>
      </w:r>
    </w:p>
    <w:p w14:paraId="2F82B527">
      <w:pPr>
        <w:pStyle w:val="69"/>
        <w:spacing w:line="480" w:lineRule="exact"/>
        <w:rPr>
          <w:rFonts w:hint="eastAsia" w:ascii="宋体" w:hAnsi="宋体" w:eastAsia="宋体" w:cs="宋体"/>
          <w:color w:val="000000"/>
          <w:sz w:val="24"/>
          <w:szCs w:val="24"/>
          <w:u w:val="single"/>
          <w:lang w:val="en-US" w:eastAsia="zh-CN"/>
        </w:rPr>
      </w:pPr>
      <w:r>
        <w:rPr>
          <w:rFonts w:hint="eastAsia" w:ascii="宋体" w:hAnsi="宋体" w:eastAsia="宋体" w:cs="宋体"/>
          <w:color w:val="000000"/>
          <w:sz w:val="24"/>
          <w:szCs w:val="24"/>
        </w:rPr>
        <w:t>电</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话：</w:t>
      </w:r>
      <w:r>
        <w:rPr>
          <w:rFonts w:hint="eastAsia" w:ascii="宋体" w:hAnsi="宋体" w:eastAsia="宋体" w:cs="宋体"/>
          <w:color w:val="000000"/>
          <w:sz w:val="24"/>
          <w:szCs w:val="24"/>
          <w:u w:val="single"/>
          <w:lang w:val="en-US" w:eastAsia="zh-CN"/>
        </w:rPr>
        <w:t xml:space="preserve">                        </w:t>
      </w:r>
    </w:p>
    <w:p w14:paraId="55172770">
      <w:pPr>
        <w:pStyle w:val="69"/>
        <w:spacing w:line="48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日</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期：</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日</w:t>
      </w:r>
      <w:bookmarkStart w:id="765" w:name="_Toc11398"/>
      <w:bookmarkStart w:id="766" w:name="_Toc15710"/>
    </w:p>
    <w:p w14:paraId="0637497F">
      <w:pPr>
        <w:pStyle w:val="69"/>
        <w:spacing w:line="480" w:lineRule="exact"/>
        <w:rPr>
          <w:rFonts w:hint="eastAsia" w:ascii="宋体" w:hAnsi="宋体" w:eastAsia="宋体" w:cs="宋体"/>
          <w:color w:val="000000"/>
          <w:sz w:val="24"/>
          <w:szCs w:val="24"/>
        </w:rPr>
      </w:pPr>
    </w:p>
    <w:p w14:paraId="3B16E40D">
      <w:pPr>
        <w:pStyle w:val="4"/>
        <w:numPr>
          <w:ilvl w:val="1"/>
          <w:numId w:val="0"/>
        </w:numPr>
        <w:jc w:val="center"/>
        <w:outlineLvl w:val="2"/>
        <w:rPr>
          <w:rFonts w:hint="eastAsia" w:ascii="宋体" w:hAnsi="宋体" w:eastAsia="宋体" w:cs="宋体"/>
          <w:color w:val="auto"/>
          <w:sz w:val="28"/>
          <w:szCs w:val="28"/>
        </w:rPr>
      </w:pPr>
      <w:r>
        <w:rPr>
          <w:rFonts w:hint="eastAsia" w:ascii="宋体" w:hAnsi="宋体" w:eastAsia="宋体" w:cs="宋体"/>
          <w:color w:val="auto"/>
          <w:sz w:val="28"/>
          <w:szCs w:val="28"/>
        </w:rPr>
        <w:t>（二）</w:t>
      </w:r>
      <w:r>
        <w:rPr>
          <w:rFonts w:hint="eastAsia" w:ascii="宋体" w:hAnsi="宋体" w:eastAsia="宋体" w:cs="宋体"/>
          <w:color w:val="auto"/>
          <w:sz w:val="28"/>
          <w:szCs w:val="28"/>
          <w:lang w:eastAsia="zh-CN"/>
        </w:rPr>
        <w:t>响应函</w:t>
      </w:r>
      <w:r>
        <w:rPr>
          <w:rFonts w:hint="eastAsia" w:ascii="宋体" w:hAnsi="宋体" w:eastAsia="宋体" w:cs="宋体"/>
          <w:color w:val="auto"/>
          <w:sz w:val="28"/>
          <w:szCs w:val="28"/>
        </w:rPr>
        <w:t>附录</w:t>
      </w:r>
      <w:bookmarkEnd w:id="765"/>
    </w:p>
    <w:tbl>
      <w:tblPr>
        <w:tblStyle w:val="33"/>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6"/>
        <w:gridCol w:w="6733"/>
      </w:tblGrid>
      <w:tr w14:paraId="740B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2666" w:type="dxa"/>
            <w:tcBorders>
              <w:top w:val="single" w:color="auto" w:sz="4" w:space="0"/>
              <w:left w:val="single" w:color="auto" w:sz="4" w:space="0"/>
              <w:bottom w:val="single" w:color="auto" w:sz="4" w:space="0"/>
              <w:right w:val="single" w:color="auto" w:sz="4" w:space="0"/>
            </w:tcBorders>
            <w:noWrap w:val="0"/>
            <w:vAlign w:val="center"/>
          </w:tcPr>
          <w:p w14:paraId="17E68C90">
            <w:pPr>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项目名称</w:t>
            </w:r>
          </w:p>
        </w:tc>
        <w:tc>
          <w:tcPr>
            <w:tcW w:w="6733" w:type="dxa"/>
            <w:tcBorders>
              <w:top w:val="single" w:color="auto" w:sz="4" w:space="0"/>
              <w:left w:val="single" w:color="auto" w:sz="4" w:space="0"/>
              <w:bottom w:val="single" w:color="auto" w:sz="4" w:space="0"/>
              <w:right w:val="single" w:color="auto" w:sz="4" w:space="0"/>
            </w:tcBorders>
            <w:noWrap w:val="0"/>
            <w:vAlign w:val="center"/>
          </w:tcPr>
          <w:p w14:paraId="3D0F2995">
            <w:pPr>
              <w:rPr>
                <w:rFonts w:hint="eastAsia" w:ascii="宋体" w:hAnsi="宋体" w:eastAsia="宋体" w:cs="宋体"/>
                <w:color w:val="auto"/>
                <w:sz w:val="24"/>
                <w:szCs w:val="24"/>
                <w:u w:val="none"/>
                <w:lang w:val="en-US"/>
              </w:rPr>
            </w:pPr>
          </w:p>
        </w:tc>
      </w:tr>
      <w:tr w14:paraId="5454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2666" w:type="dxa"/>
            <w:tcBorders>
              <w:top w:val="single" w:color="auto" w:sz="4" w:space="0"/>
              <w:left w:val="single" w:color="auto" w:sz="4" w:space="0"/>
              <w:bottom w:val="single" w:color="auto" w:sz="4" w:space="0"/>
              <w:right w:val="single" w:color="auto" w:sz="4" w:space="0"/>
            </w:tcBorders>
            <w:noWrap w:val="0"/>
            <w:vAlign w:val="center"/>
          </w:tcPr>
          <w:p w14:paraId="26FEDF2D">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供应商</w:t>
            </w:r>
          </w:p>
        </w:tc>
        <w:tc>
          <w:tcPr>
            <w:tcW w:w="6733" w:type="dxa"/>
            <w:tcBorders>
              <w:top w:val="single" w:color="auto" w:sz="4" w:space="0"/>
              <w:left w:val="single" w:color="auto" w:sz="4" w:space="0"/>
              <w:bottom w:val="single" w:color="auto" w:sz="4" w:space="0"/>
              <w:right w:val="single" w:color="auto" w:sz="4" w:space="0"/>
            </w:tcBorders>
            <w:noWrap w:val="0"/>
            <w:vAlign w:val="center"/>
          </w:tcPr>
          <w:p w14:paraId="45023F45">
            <w:pPr>
              <w:rPr>
                <w:rFonts w:hint="eastAsia" w:ascii="宋体" w:hAnsi="宋体" w:eastAsia="宋体" w:cs="宋体"/>
                <w:color w:val="auto"/>
                <w:sz w:val="24"/>
                <w:szCs w:val="24"/>
              </w:rPr>
            </w:pPr>
          </w:p>
        </w:tc>
      </w:tr>
      <w:tr w14:paraId="6872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2666" w:type="dxa"/>
            <w:vMerge w:val="restart"/>
            <w:tcBorders>
              <w:top w:val="single" w:color="auto" w:sz="4" w:space="0"/>
              <w:left w:val="single" w:color="auto" w:sz="4" w:space="0"/>
              <w:right w:val="single" w:color="auto" w:sz="4" w:space="0"/>
            </w:tcBorders>
            <w:noWrap w:val="0"/>
            <w:vAlign w:val="center"/>
          </w:tcPr>
          <w:p w14:paraId="4E31BD46">
            <w:pPr>
              <w:spacing w:line="36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lang w:eastAsia="zh-CN"/>
              </w:rPr>
              <w:t>报价</w:t>
            </w:r>
          </w:p>
          <w:p w14:paraId="2889F16F">
            <w:pPr>
              <w:spacing w:line="360" w:lineRule="exact"/>
              <w:jc w:val="center"/>
              <w:rPr>
                <w:rFonts w:hint="eastAsia" w:ascii="宋体" w:hAnsi="宋体" w:eastAsia="宋体" w:cs="宋体"/>
                <w:color w:val="auto"/>
                <w:sz w:val="24"/>
                <w:szCs w:val="24"/>
                <w:lang w:eastAsia="zh-CN"/>
              </w:rPr>
            </w:pPr>
            <w:r>
              <w:rPr>
                <w:rFonts w:hint="eastAsia" w:ascii="宋体" w:hAnsi="宋体" w:eastAsia="宋体" w:cs="宋体"/>
                <w:b w:val="0"/>
                <w:bCs w:val="0"/>
                <w:color w:val="auto"/>
                <w:sz w:val="24"/>
                <w:szCs w:val="24"/>
                <w:lang w:val="en-US" w:eastAsia="zh-CN"/>
              </w:rPr>
              <w:t>（总报价）</w:t>
            </w:r>
          </w:p>
        </w:tc>
        <w:tc>
          <w:tcPr>
            <w:tcW w:w="6733" w:type="dxa"/>
            <w:tcBorders>
              <w:top w:val="single" w:color="auto" w:sz="4" w:space="0"/>
              <w:left w:val="single" w:color="auto" w:sz="4" w:space="0"/>
              <w:bottom w:val="single" w:color="auto" w:sz="4" w:space="0"/>
              <w:right w:val="single" w:color="auto" w:sz="4" w:space="0"/>
            </w:tcBorders>
            <w:noWrap w:val="0"/>
            <w:vAlign w:val="center"/>
          </w:tcPr>
          <w:p w14:paraId="00666DE9">
            <w:pPr>
              <w:adjustRightInd w:val="0"/>
              <w:snapToGrid w:val="0"/>
              <w:rPr>
                <w:rFonts w:hint="eastAsia" w:ascii="宋体" w:hAnsi="宋体" w:eastAsia="宋体" w:cs="宋体"/>
                <w:sz w:val="24"/>
              </w:rPr>
            </w:pPr>
            <w:r>
              <w:rPr>
                <w:rFonts w:hint="eastAsia" w:ascii="宋体" w:hAnsi="宋体" w:eastAsia="宋体" w:cs="宋体"/>
                <w:sz w:val="24"/>
              </w:rPr>
              <w:t>大写：</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6C72D05F">
            <w:pPr>
              <w:rPr>
                <w:rFonts w:hint="eastAsia" w:ascii="宋体" w:hAnsi="宋体" w:eastAsia="宋体" w:cs="宋体"/>
                <w:color w:val="auto"/>
                <w:sz w:val="24"/>
                <w:szCs w:val="24"/>
                <w:lang w:val="en-US" w:eastAsia="zh-CN"/>
              </w:rPr>
            </w:pPr>
            <w:r>
              <w:rPr>
                <w:rFonts w:hint="eastAsia" w:ascii="宋体" w:hAnsi="宋体" w:eastAsia="宋体" w:cs="宋体"/>
                <w:sz w:val="24"/>
              </w:rPr>
              <w:t>小写：</w:t>
            </w:r>
            <w:r>
              <w:rPr>
                <w:rFonts w:hint="eastAsia" w:ascii="宋体" w:hAnsi="宋体" w:eastAsia="宋体" w:cs="宋体"/>
                <w:sz w:val="24"/>
                <w:u w:val="single"/>
              </w:rPr>
              <w:t xml:space="preserve">                                    </w:t>
            </w:r>
            <w:r>
              <w:rPr>
                <w:rFonts w:hint="eastAsia" w:ascii="宋体" w:hAnsi="宋体" w:eastAsia="宋体" w:cs="宋体"/>
                <w:sz w:val="24"/>
              </w:rPr>
              <w:t xml:space="preserve">  </w:t>
            </w:r>
          </w:p>
        </w:tc>
      </w:tr>
      <w:tr w14:paraId="76F9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2666" w:type="dxa"/>
            <w:vMerge w:val="continue"/>
            <w:tcBorders>
              <w:left w:val="single" w:color="auto" w:sz="4" w:space="0"/>
              <w:bottom w:val="single" w:color="auto" w:sz="4" w:space="0"/>
              <w:right w:val="single" w:color="auto" w:sz="4" w:space="0"/>
            </w:tcBorders>
            <w:noWrap w:val="0"/>
            <w:vAlign w:val="center"/>
          </w:tcPr>
          <w:p w14:paraId="7C41E655">
            <w:pPr>
              <w:spacing w:line="360" w:lineRule="exact"/>
              <w:jc w:val="center"/>
              <w:rPr>
                <w:rFonts w:hint="eastAsia" w:ascii="宋体" w:hAnsi="宋体" w:eastAsia="宋体" w:cs="宋体"/>
                <w:color w:val="auto"/>
                <w:sz w:val="24"/>
                <w:szCs w:val="24"/>
              </w:rPr>
            </w:pPr>
          </w:p>
        </w:tc>
        <w:tc>
          <w:tcPr>
            <w:tcW w:w="6733" w:type="dxa"/>
            <w:tcBorders>
              <w:top w:val="single" w:color="auto" w:sz="4" w:space="0"/>
              <w:left w:val="single" w:color="auto" w:sz="4" w:space="0"/>
              <w:bottom w:val="single" w:color="auto" w:sz="4" w:space="0"/>
              <w:right w:val="single" w:color="auto" w:sz="4" w:space="0"/>
            </w:tcBorders>
            <w:noWrap w:val="0"/>
            <w:vAlign w:val="center"/>
          </w:tcPr>
          <w:p w14:paraId="2E47F2FD">
            <w:pPr>
              <w:rPr>
                <w:rFonts w:hint="default" w:ascii="宋体" w:hAnsi="宋体" w:eastAsia="宋体" w:cs="宋体"/>
                <w:color w:val="auto"/>
                <w:sz w:val="24"/>
                <w:szCs w:val="24"/>
                <w:lang w:val="en-US" w:eastAsia="zh-CN"/>
              </w:rPr>
            </w:pPr>
            <w:r>
              <w:rPr>
                <w:rFonts w:hint="eastAsia" w:ascii="宋体" w:hAnsi="宋体" w:eastAsia="宋体" w:cs="宋体"/>
                <w:b/>
                <w:bCs/>
                <w:color w:val="auto"/>
                <w:sz w:val="24"/>
                <w:szCs w:val="24"/>
              </w:rPr>
              <w:t>（供应商应在此填列第一次报价，但以供应商最后一次的</w:t>
            </w:r>
            <w:r>
              <w:rPr>
                <w:rFonts w:hint="eastAsia" w:ascii="宋体" w:hAnsi="宋体" w:eastAsia="宋体" w:cs="宋体"/>
                <w:b/>
                <w:bCs/>
                <w:color w:val="auto"/>
                <w:sz w:val="24"/>
                <w:szCs w:val="24"/>
                <w:lang w:val="en-US" w:eastAsia="zh-CN"/>
              </w:rPr>
              <w:t>响应</w:t>
            </w:r>
            <w:r>
              <w:rPr>
                <w:rFonts w:hint="eastAsia" w:ascii="宋体" w:hAnsi="宋体" w:eastAsia="宋体" w:cs="宋体"/>
                <w:b/>
                <w:bCs/>
                <w:color w:val="auto"/>
                <w:sz w:val="24"/>
                <w:szCs w:val="24"/>
              </w:rPr>
              <w:t>报价为成交价）</w:t>
            </w:r>
            <w:r>
              <w:rPr>
                <w:rFonts w:hint="eastAsia" w:ascii="宋体" w:hAnsi="宋体" w:cs="宋体"/>
                <w:b/>
                <w:bCs/>
                <w:color w:val="auto"/>
                <w:sz w:val="24"/>
                <w:szCs w:val="24"/>
                <w:lang w:val="en-US" w:eastAsia="zh-CN"/>
              </w:rPr>
              <w:t>供应商根据第五章采购服务内容及要求提供分项服务报价，未提供或提供不全视为无效响应。</w:t>
            </w:r>
          </w:p>
        </w:tc>
      </w:tr>
      <w:tr w14:paraId="34BC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2666" w:type="dxa"/>
            <w:tcBorders>
              <w:top w:val="single" w:color="auto" w:sz="4" w:space="0"/>
              <w:left w:val="single" w:color="auto" w:sz="4" w:space="0"/>
              <w:bottom w:val="single" w:color="auto" w:sz="4" w:space="0"/>
              <w:right w:val="single" w:color="auto" w:sz="4" w:space="0"/>
            </w:tcBorders>
            <w:noWrap w:val="0"/>
            <w:vAlign w:val="center"/>
          </w:tcPr>
          <w:p w14:paraId="02F420F2">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要求</w:t>
            </w:r>
          </w:p>
        </w:tc>
        <w:tc>
          <w:tcPr>
            <w:tcW w:w="6733" w:type="dxa"/>
            <w:tcBorders>
              <w:top w:val="single" w:color="auto" w:sz="4" w:space="0"/>
              <w:left w:val="single" w:color="auto" w:sz="4" w:space="0"/>
              <w:bottom w:val="single" w:color="auto" w:sz="4" w:space="0"/>
              <w:right w:val="single" w:color="auto" w:sz="4" w:space="0"/>
            </w:tcBorders>
            <w:noWrap w:val="0"/>
            <w:vAlign w:val="center"/>
          </w:tcPr>
          <w:p w14:paraId="6F9C9FFF">
            <w:pPr>
              <w:jc w:val="left"/>
              <w:rPr>
                <w:rFonts w:hint="eastAsia" w:ascii="宋体" w:hAnsi="宋体" w:eastAsia="宋体" w:cs="宋体"/>
                <w:color w:val="auto"/>
                <w:sz w:val="24"/>
                <w:szCs w:val="24"/>
              </w:rPr>
            </w:pPr>
          </w:p>
        </w:tc>
      </w:tr>
      <w:tr w14:paraId="6449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2666" w:type="dxa"/>
            <w:tcBorders>
              <w:top w:val="single" w:color="auto" w:sz="4" w:space="0"/>
              <w:left w:val="single" w:color="auto" w:sz="4" w:space="0"/>
              <w:bottom w:val="single" w:color="auto" w:sz="4" w:space="0"/>
              <w:right w:val="single" w:color="auto" w:sz="4" w:space="0"/>
            </w:tcBorders>
            <w:noWrap w:val="0"/>
            <w:vAlign w:val="center"/>
          </w:tcPr>
          <w:p w14:paraId="55332687">
            <w:pPr>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服务期限</w:t>
            </w:r>
          </w:p>
        </w:tc>
        <w:tc>
          <w:tcPr>
            <w:tcW w:w="6733" w:type="dxa"/>
            <w:tcBorders>
              <w:top w:val="single" w:color="auto" w:sz="4" w:space="0"/>
              <w:left w:val="single" w:color="auto" w:sz="4" w:space="0"/>
              <w:bottom w:val="single" w:color="auto" w:sz="4" w:space="0"/>
              <w:right w:val="single" w:color="auto" w:sz="4" w:space="0"/>
            </w:tcBorders>
            <w:noWrap w:val="0"/>
            <w:vAlign w:val="center"/>
          </w:tcPr>
          <w:p w14:paraId="665FA825">
            <w:pPr>
              <w:jc w:val="center"/>
              <w:rPr>
                <w:rFonts w:hint="eastAsia" w:ascii="宋体" w:hAnsi="宋体" w:eastAsia="宋体" w:cs="宋体"/>
                <w:color w:val="auto"/>
                <w:sz w:val="24"/>
                <w:szCs w:val="24"/>
              </w:rPr>
            </w:pPr>
          </w:p>
        </w:tc>
      </w:tr>
      <w:tr w14:paraId="14F5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2666" w:type="dxa"/>
            <w:tcBorders>
              <w:top w:val="single" w:color="auto" w:sz="4" w:space="0"/>
              <w:left w:val="single" w:color="auto" w:sz="4" w:space="0"/>
              <w:bottom w:val="single" w:color="auto" w:sz="4" w:space="0"/>
              <w:right w:val="single" w:color="auto" w:sz="4" w:space="0"/>
            </w:tcBorders>
            <w:noWrap w:val="0"/>
            <w:vAlign w:val="center"/>
          </w:tcPr>
          <w:p w14:paraId="73F9C7A9">
            <w:pPr>
              <w:jc w:val="center"/>
              <w:rPr>
                <w:rFonts w:hint="eastAsia" w:ascii="宋体" w:hAnsi="宋体" w:eastAsia="宋体" w:cs="宋体"/>
                <w:color w:val="auto"/>
                <w:sz w:val="24"/>
                <w:szCs w:val="24"/>
              </w:rPr>
            </w:pPr>
            <w:r>
              <w:rPr>
                <w:rFonts w:hint="eastAsia" w:ascii="宋体" w:hAnsi="宋体" w:eastAsia="宋体" w:cs="宋体"/>
                <w:color w:val="auto"/>
                <w:sz w:val="24"/>
                <w:szCs w:val="24"/>
              </w:rPr>
              <w:t>磋商有效期</w:t>
            </w:r>
          </w:p>
        </w:tc>
        <w:tc>
          <w:tcPr>
            <w:tcW w:w="6733" w:type="dxa"/>
            <w:tcBorders>
              <w:top w:val="single" w:color="auto" w:sz="4" w:space="0"/>
              <w:left w:val="single" w:color="auto" w:sz="4" w:space="0"/>
              <w:bottom w:val="single" w:color="auto" w:sz="4" w:space="0"/>
              <w:right w:val="single" w:color="auto" w:sz="4" w:space="0"/>
            </w:tcBorders>
            <w:noWrap w:val="0"/>
            <w:vAlign w:val="center"/>
          </w:tcPr>
          <w:p w14:paraId="4BC1A1DA">
            <w:pPr>
              <w:jc w:val="center"/>
              <w:rPr>
                <w:rFonts w:hint="eastAsia" w:ascii="宋体" w:hAnsi="宋体" w:eastAsia="宋体" w:cs="宋体"/>
                <w:color w:val="auto"/>
                <w:sz w:val="24"/>
                <w:szCs w:val="24"/>
              </w:rPr>
            </w:pPr>
          </w:p>
        </w:tc>
      </w:tr>
      <w:tr w14:paraId="43C9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2666" w:type="dxa"/>
            <w:tcBorders>
              <w:top w:val="single" w:color="auto" w:sz="4" w:space="0"/>
              <w:left w:val="single" w:color="auto" w:sz="4" w:space="0"/>
              <w:bottom w:val="single" w:color="auto" w:sz="4" w:space="0"/>
              <w:right w:val="single" w:color="auto" w:sz="4" w:space="0"/>
            </w:tcBorders>
            <w:noWrap w:val="0"/>
            <w:vAlign w:val="center"/>
          </w:tcPr>
          <w:p w14:paraId="6FB2C866">
            <w:pPr>
              <w:spacing w:line="4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价格折扣</w:t>
            </w:r>
          </w:p>
        </w:tc>
        <w:tc>
          <w:tcPr>
            <w:tcW w:w="6733" w:type="dxa"/>
            <w:tcBorders>
              <w:top w:val="single" w:color="auto" w:sz="4" w:space="0"/>
              <w:left w:val="single" w:color="auto" w:sz="4" w:space="0"/>
              <w:bottom w:val="single" w:color="auto" w:sz="4" w:space="0"/>
              <w:right w:val="single" w:color="auto" w:sz="4" w:space="0"/>
            </w:tcBorders>
            <w:noWrap w:val="0"/>
            <w:vAlign w:val="center"/>
          </w:tcPr>
          <w:p w14:paraId="510186BA">
            <w:pPr>
              <w:pStyle w:val="90"/>
              <w:widowControl w:val="0"/>
              <w:autoSpaceDE w:val="0"/>
              <w:autoSpaceDN w:val="0"/>
              <w:spacing w:before="0" w:after="0" w:line="400" w:lineRule="exact"/>
              <w:jc w:val="center"/>
              <w:rPr>
                <w:rFonts w:hint="eastAsia" w:ascii="宋体" w:hAnsi="宋体" w:eastAsia="宋体" w:cs="宋体"/>
                <w:color w:val="auto"/>
                <w:sz w:val="24"/>
                <w:szCs w:val="24"/>
                <w:lang w:val="ru-RU" w:eastAsia="zh-CN" w:bidi="ar-SA"/>
              </w:rPr>
            </w:pPr>
            <w:r>
              <w:rPr>
                <w:rFonts w:hint="eastAsia" w:ascii="宋体" w:hAnsi="宋体" w:eastAsia="宋体" w:cs="宋体"/>
                <w:color w:val="auto"/>
                <w:spacing w:val="-1"/>
                <w:sz w:val="24"/>
                <w:szCs w:val="24"/>
                <w:lang w:eastAsia="zh-CN"/>
              </w:rPr>
              <w:t>符合小微企业价格折扣（</w:t>
            </w:r>
            <w:r>
              <w:rPr>
                <w:rFonts w:hint="eastAsia" w:ascii="宋体" w:hAnsi="宋体" w:eastAsia="宋体" w:cs="宋体"/>
                <w:color w:val="auto"/>
                <w:spacing w:val="-1"/>
                <w:sz w:val="24"/>
                <w:szCs w:val="24"/>
                <w:u w:val="single"/>
                <w:lang w:eastAsia="zh-CN"/>
              </w:rPr>
              <w:t>是</w:t>
            </w:r>
            <w:r>
              <w:rPr>
                <w:rFonts w:hint="eastAsia" w:ascii="宋体" w:hAnsi="宋体" w:eastAsia="宋体" w:cs="宋体"/>
                <w:color w:val="auto"/>
                <w:spacing w:val="-1"/>
                <w:sz w:val="24"/>
                <w:szCs w:val="24"/>
                <w:u w:val="single"/>
                <w:lang w:val="en-US" w:eastAsia="zh-CN"/>
              </w:rPr>
              <w:t>/否</w:t>
            </w:r>
            <w:r>
              <w:rPr>
                <w:rFonts w:hint="eastAsia" w:ascii="宋体" w:hAnsi="宋体" w:eastAsia="宋体" w:cs="宋体"/>
                <w:color w:val="auto"/>
                <w:spacing w:val="-1"/>
                <w:sz w:val="24"/>
                <w:szCs w:val="24"/>
                <w:lang w:eastAsia="zh-CN"/>
              </w:rPr>
              <w:t>）</w:t>
            </w:r>
          </w:p>
        </w:tc>
      </w:tr>
    </w:tbl>
    <w:p w14:paraId="46297831">
      <w:pPr>
        <w:spacing w:before="240" w:beforeLines="100"/>
        <w:ind w:firstLine="2760" w:firstLineChars="1150"/>
        <w:rPr>
          <w:rFonts w:hint="eastAsia" w:ascii="宋体" w:hAnsi="宋体" w:eastAsia="宋体" w:cs="宋体"/>
          <w:sz w:val="24"/>
        </w:rPr>
      </w:pPr>
      <w:r>
        <w:rPr>
          <w:rFonts w:hint="eastAsia" w:ascii="宋体" w:hAnsi="宋体" w:eastAsia="宋体" w:cs="宋体"/>
          <w:sz w:val="24"/>
        </w:rPr>
        <w:t xml:space="preserve">供应商名称： </w:t>
      </w:r>
      <w:r>
        <w:rPr>
          <w:rFonts w:hint="eastAsia" w:ascii="宋体" w:hAnsi="宋体" w:eastAsia="宋体" w:cs="宋体"/>
          <w:sz w:val="24"/>
          <w:u w:val="single"/>
        </w:rPr>
        <w:t xml:space="preserve">               </w:t>
      </w:r>
      <w:r>
        <w:rPr>
          <w:rFonts w:hint="eastAsia" w:ascii="宋体" w:hAnsi="宋体" w:eastAsia="宋体" w:cs="宋体"/>
          <w:sz w:val="24"/>
        </w:rPr>
        <w:t>（单位电子签章）</w:t>
      </w:r>
    </w:p>
    <w:p w14:paraId="237E4301">
      <w:pPr>
        <w:spacing w:before="240" w:beforeLines="100"/>
        <w:ind w:firstLine="2760" w:firstLineChars="1150"/>
        <w:rPr>
          <w:rFonts w:hint="eastAsia" w:ascii="宋体" w:hAnsi="宋体" w:eastAsia="宋体" w:cs="宋体"/>
          <w:sz w:val="24"/>
        </w:rPr>
      </w:pPr>
      <w:r>
        <w:rPr>
          <w:rFonts w:hint="eastAsia" w:ascii="宋体" w:hAnsi="宋体" w:eastAsia="宋体" w:cs="宋体"/>
          <w:sz w:val="24"/>
        </w:rPr>
        <w:t xml:space="preserve">法定代表人： </w:t>
      </w:r>
      <w:r>
        <w:rPr>
          <w:rFonts w:hint="eastAsia" w:ascii="宋体" w:hAnsi="宋体" w:eastAsia="宋体" w:cs="宋体"/>
          <w:sz w:val="24"/>
          <w:u w:val="single"/>
        </w:rPr>
        <w:t xml:space="preserve">                </w:t>
      </w:r>
      <w:r>
        <w:rPr>
          <w:rFonts w:hint="eastAsia" w:ascii="宋体" w:hAnsi="宋体" w:eastAsia="宋体" w:cs="宋体"/>
          <w:sz w:val="24"/>
        </w:rPr>
        <w:t>（法定代表人电子签名</w:t>
      </w:r>
      <w:r>
        <w:rPr>
          <w:rFonts w:hint="eastAsia" w:ascii="宋体" w:hAnsi="宋体" w:eastAsia="宋体" w:cs="宋体"/>
          <w:bCs/>
          <w:color w:val="000000"/>
          <w:sz w:val="24"/>
        </w:rPr>
        <w:t>或签章</w:t>
      </w:r>
      <w:r>
        <w:rPr>
          <w:rFonts w:hint="eastAsia" w:ascii="宋体" w:hAnsi="宋体" w:eastAsia="宋体" w:cs="宋体"/>
          <w:sz w:val="24"/>
        </w:rPr>
        <w:t>）</w:t>
      </w:r>
      <w:bookmarkStart w:id="767" w:name="_Toc466298161"/>
      <w:bookmarkStart w:id="768" w:name="_Toc2481"/>
      <w:bookmarkStart w:id="769" w:name="_Toc31033"/>
    </w:p>
    <w:p w14:paraId="3EC4FCAD">
      <w:pPr>
        <w:spacing w:before="240" w:beforeLines="100"/>
        <w:ind w:firstLine="2760" w:firstLineChars="1150"/>
        <w:rPr>
          <w:rFonts w:hint="eastAsia" w:ascii="宋体" w:hAnsi="宋体" w:eastAsia="宋体" w:cs="宋体"/>
          <w:color w:val="000000"/>
          <w:sz w:val="24"/>
          <w:szCs w:val="24"/>
        </w:rPr>
      </w:pPr>
      <w:r>
        <w:rPr>
          <w:rFonts w:hint="eastAsia" w:ascii="宋体" w:hAnsi="宋体" w:eastAsia="宋体" w:cs="宋体"/>
          <w:color w:val="000000"/>
          <w:sz w:val="24"/>
          <w:szCs w:val="24"/>
        </w:rPr>
        <w:t>日</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期：</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日</w:t>
      </w:r>
    </w:p>
    <w:p w14:paraId="0E44AF41">
      <w:pPr>
        <w:pStyle w:val="55"/>
        <w:rPr>
          <w:rFonts w:hint="eastAsia" w:ascii="宋体" w:hAnsi="宋体" w:eastAsia="宋体" w:cs="宋体"/>
          <w:color w:val="000000"/>
          <w:sz w:val="24"/>
          <w:szCs w:val="24"/>
        </w:rPr>
      </w:pPr>
    </w:p>
    <w:p w14:paraId="4A7E9E49">
      <w:pPr>
        <w:pStyle w:val="7"/>
        <w:rPr>
          <w:rFonts w:hint="eastAsia" w:ascii="宋体" w:hAnsi="宋体" w:eastAsia="宋体" w:cs="宋体"/>
          <w:color w:val="000000"/>
          <w:sz w:val="24"/>
          <w:szCs w:val="24"/>
        </w:rPr>
      </w:pPr>
    </w:p>
    <w:p w14:paraId="4E32AA3A">
      <w:pPr>
        <w:rPr>
          <w:rFonts w:hint="eastAsia" w:ascii="宋体" w:hAnsi="宋体" w:eastAsia="宋体" w:cs="宋体"/>
          <w:color w:val="000000"/>
          <w:sz w:val="24"/>
          <w:szCs w:val="24"/>
        </w:rPr>
      </w:pPr>
    </w:p>
    <w:p w14:paraId="2809C416">
      <w:pPr>
        <w:pStyle w:val="55"/>
        <w:rPr>
          <w:rFonts w:hint="eastAsia" w:ascii="宋体" w:hAnsi="宋体" w:eastAsia="宋体" w:cs="宋体"/>
          <w:color w:val="000000"/>
          <w:sz w:val="24"/>
          <w:szCs w:val="24"/>
        </w:rPr>
      </w:pPr>
    </w:p>
    <w:p w14:paraId="642231D2">
      <w:pPr>
        <w:pStyle w:val="7"/>
        <w:rPr>
          <w:rFonts w:hint="eastAsia" w:ascii="宋体" w:hAnsi="宋体" w:eastAsia="宋体" w:cs="宋体"/>
          <w:color w:val="000000"/>
          <w:sz w:val="24"/>
          <w:szCs w:val="24"/>
        </w:rPr>
      </w:pPr>
    </w:p>
    <w:p w14:paraId="57ABD9B3">
      <w:pPr>
        <w:rPr>
          <w:rFonts w:hint="eastAsia"/>
        </w:rPr>
      </w:pPr>
    </w:p>
    <w:p w14:paraId="251166AC">
      <w:pPr>
        <w:rPr>
          <w:rFonts w:hint="eastAsia" w:ascii="宋体" w:hAnsi="宋体" w:eastAsia="宋体" w:cs="宋体"/>
          <w:color w:val="000000"/>
          <w:sz w:val="24"/>
          <w:szCs w:val="24"/>
        </w:rPr>
      </w:pPr>
    </w:p>
    <w:p w14:paraId="68ECFEB2">
      <w:pPr>
        <w:pStyle w:val="55"/>
        <w:rPr>
          <w:rFonts w:hint="eastAsia" w:ascii="宋体" w:hAnsi="宋体" w:eastAsia="宋体" w:cs="宋体"/>
          <w:color w:val="000000"/>
          <w:sz w:val="24"/>
          <w:szCs w:val="24"/>
        </w:rPr>
      </w:pPr>
    </w:p>
    <w:p w14:paraId="1F8C654D">
      <w:pPr>
        <w:pStyle w:val="7"/>
        <w:rPr>
          <w:rFonts w:hint="eastAsia" w:ascii="宋体" w:hAnsi="宋体" w:eastAsia="宋体" w:cs="宋体"/>
          <w:color w:val="000000"/>
          <w:sz w:val="24"/>
          <w:szCs w:val="24"/>
        </w:rPr>
      </w:pPr>
    </w:p>
    <w:p w14:paraId="72A72563">
      <w:pPr>
        <w:pStyle w:val="55"/>
        <w:rPr>
          <w:rFonts w:hint="eastAsia" w:ascii="宋体" w:hAnsi="宋体" w:eastAsia="宋体" w:cs="宋体"/>
          <w:color w:val="FF0000"/>
          <w:kern w:val="0"/>
          <w:sz w:val="24"/>
          <w:szCs w:val="24"/>
          <w:lang w:val="en-US" w:eastAsia="zh-CN" w:bidi="ar"/>
        </w:rPr>
      </w:pPr>
    </w:p>
    <w:p w14:paraId="5DB656EE">
      <w:pPr>
        <w:pStyle w:val="7"/>
        <w:rPr>
          <w:rFonts w:hint="eastAsia" w:ascii="宋体" w:hAnsi="宋体" w:eastAsia="宋体" w:cs="宋体"/>
          <w:color w:val="FF0000"/>
          <w:kern w:val="0"/>
          <w:sz w:val="24"/>
          <w:szCs w:val="24"/>
          <w:lang w:val="en-US" w:eastAsia="zh-CN" w:bidi="ar"/>
        </w:rPr>
      </w:pPr>
    </w:p>
    <w:p w14:paraId="75A754A4">
      <w:pPr>
        <w:pStyle w:val="88"/>
        <w:jc w:val="center"/>
        <w:rPr>
          <w:rFonts w:hint="eastAsia" w:ascii="宋体" w:hAnsi="宋体" w:eastAsia="宋体" w:cs="宋体"/>
          <w:b/>
          <w:color w:val="auto"/>
          <w:sz w:val="30"/>
          <w:szCs w:val="30"/>
        </w:rPr>
      </w:pPr>
      <w:r>
        <w:rPr>
          <w:rFonts w:hint="eastAsia" w:ascii="宋体" w:hAnsi="宋体" w:eastAsia="宋体" w:cs="宋体"/>
          <w:b/>
          <w:color w:val="auto"/>
          <w:sz w:val="30"/>
          <w:szCs w:val="30"/>
        </w:rPr>
        <w:t>二、法定代表</w:t>
      </w:r>
      <w:r>
        <w:rPr>
          <w:rFonts w:hint="eastAsia" w:ascii="宋体" w:hAnsi="宋体" w:eastAsia="宋体" w:cs="宋体"/>
          <w:b/>
          <w:color w:val="auto"/>
          <w:sz w:val="30"/>
          <w:szCs w:val="30"/>
          <w:lang w:val="en-US" w:eastAsia="zh-CN"/>
        </w:rPr>
        <w:t>人</w:t>
      </w:r>
      <w:r>
        <w:rPr>
          <w:rFonts w:hint="eastAsia" w:ascii="宋体" w:hAnsi="宋体" w:eastAsia="宋体" w:cs="宋体"/>
          <w:b/>
          <w:color w:val="auto"/>
          <w:sz w:val="30"/>
          <w:szCs w:val="30"/>
        </w:rPr>
        <w:t>身份证明</w:t>
      </w:r>
      <w:bookmarkEnd w:id="767"/>
      <w:bookmarkEnd w:id="768"/>
      <w:bookmarkEnd w:id="769"/>
    </w:p>
    <w:p w14:paraId="227F4908">
      <w:pPr>
        <w:spacing w:line="440" w:lineRule="exact"/>
        <w:jc w:val="center"/>
        <w:rPr>
          <w:rFonts w:hint="eastAsia" w:ascii="宋体" w:hAnsi="宋体" w:eastAsia="宋体" w:cs="宋体"/>
          <w:color w:val="auto"/>
          <w:szCs w:val="21"/>
        </w:rPr>
      </w:pPr>
    </w:p>
    <w:p w14:paraId="75393871">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45253680">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单位性质：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615A66BC">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地址：</w:t>
      </w:r>
      <w:r>
        <w:rPr>
          <w:rFonts w:hint="eastAsia" w:ascii="宋体" w:hAnsi="宋体" w:eastAsia="宋体" w:cs="宋体"/>
          <w:color w:val="auto"/>
          <w:sz w:val="24"/>
          <w:szCs w:val="24"/>
          <w:u w:val="single"/>
        </w:rPr>
        <w:t xml:space="preserve">                                   </w:t>
      </w:r>
    </w:p>
    <w:p w14:paraId="1EC243A4">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成立时间：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日</w:t>
      </w:r>
    </w:p>
    <w:p w14:paraId="3997CD22">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经营期限：</w:t>
      </w:r>
      <w:r>
        <w:rPr>
          <w:rFonts w:hint="eastAsia" w:ascii="宋体" w:hAnsi="宋体" w:eastAsia="宋体" w:cs="宋体"/>
          <w:color w:val="auto"/>
          <w:sz w:val="24"/>
          <w:szCs w:val="24"/>
          <w:u w:val="single"/>
        </w:rPr>
        <w:t xml:space="preserve">                               </w:t>
      </w:r>
    </w:p>
    <w:p w14:paraId="6AC70B08">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姓名：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性别：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年龄：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职务：</w:t>
      </w:r>
      <w:r>
        <w:rPr>
          <w:rFonts w:hint="eastAsia" w:ascii="宋体" w:hAnsi="宋体" w:eastAsia="宋体" w:cs="宋体"/>
          <w:color w:val="auto"/>
          <w:sz w:val="24"/>
          <w:szCs w:val="24"/>
          <w:u w:val="single"/>
        </w:rPr>
        <w:t xml:space="preserve">        </w:t>
      </w:r>
    </w:p>
    <w:p w14:paraId="679515FB">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 xml:space="preserve">           （供应商名称）</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的法定代表人。</w:t>
      </w:r>
    </w:p>
    <w:p w14:paraId="1D96412D">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特此证明。</w:t>
      </w:r>
    </w:p>
    <w:p w14:paraId="601584CA">
      <w:pPr>
        <w:spacing w:line="440" w:lineRule="exact"/>
        <w:rPr>
          <w:rFonts w:hint="eastAsia" w:ascii="宋体" w:hAnsi="宋体" w:eastAsia="宋体" w:cs="宋体"/>
          <w:color w:val="auto"/>
          <w:sz w:val="24"/>
          <w:szCs w:val="24"/>
        </w:rPr>
      </w:pPr>
    </w:p>
    <w:p w14:paraId="42A604AB">
      <w:pPr>
        <w:spacing w:line="440" w:lineRule="exact"/>
        <w:rPr>
          <w:rFonts w:hint="eastAsia" w:ascii="宋体" w:hAnsi="宋体" w:eastAsia="宋体" w:cs="宋体"/>
          <w:color w:val="auto"/>
          <w:sz w:val="24"/>
          <w:szCs w:val="24"/>
        </w:rPr>
      </w:pPr>
    </w:p>
    <w:p w14:paraId="692EDA7B">
      <w:pPr>
        <w:spacing w:before="240" w:beforeLines="100"/>
        <w:ind w:firstLine="2760" w:firstLineChars="115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sz w:val="24"/>
        </w:rPr>
        <w:t xml:space="preserve">供应商名称： </w:t>
      </w:r>
      <w:r>
        <w:rPr>
          <w:rFonts w:hint="eastAsia" w:ascii="宋体" w:hAnsi="宋体" w:eastAsia="宋体" w:cs="宋体"/>
          <w:sz w:val="24"/>
          <w:u w:val="single"/>
        </w:rPr>
        <w:t xml:space="preserve">               </w:t>
      </w:r>
      <w:r>
        <w:rPr>
          <w:rFonts w:hint="eastAsia" w:ascii="宋体" w:hAnsi="宋体" w:eastAsia="宋体" w:cs="宋体"/>
          <w:sz w:val="24"/>
        </w:rPr>
        <w:t>（单位电子签章）</w:t>
      </w:r>
    </w:p>
    <w:p w14:paraId="19EF34C6">
      <w:pPr>
        <w:spacing w:before="240" w:beforeLines="100"/>
        <w:ind w:firstLine="2760" w:firstLineChars="1150"/>
        <w:rPr>
          <w:rFonts w:hint="eastAsia" w:ascii="宋体" w:hAnsi="宋体" w:eastAsia="宋体" w:cs="宋体"/>
          <w:color w:val="000000"/>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000000"/>
          <w:sz w:val="24"/>
          <w:szCs w:val="24"/>
        </w:rPr>
        <w:t>日</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期：</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日</w:t>
      </w:r>
    </w:p>
    <w:p w14:paraId="2C97370B">
      <w:pPr>
        <w:spacing w:line="440" w:lineRule="exact"/>
        <w:jc w:val="right"/>
        <w:rPr>
          <w:rFonts w:hint="eastAsia" w:ascii="宋体" w:hAnsi="宋体" w:eastAsia="宋体" w:cs="宋体"/>
          <w:color w:val="auto"/>
          <w:sz w:val="24"/>
          <w:szCs w:val="24"/>
        </w:rPr>
      </w:pPr>
    </w:p>
    <w:p w14:paraId="28EC06C4">
      <w:pPr>
        <w:spacing w:line="440" w:lineRule="exact"/>
        <w:jc w:val="center"/>
        <w:rPr>
          <w:rFonts w:hint="eastAsia" w:ascii="宋体" w:hAnsi="宋体" w:eastAsia="宋体" w:cs="宋体"/>
          <w:color w:val="auto"/>
          <w:sz w:val="24"/>
          <w:szCs w:val="24"/>
        </w:rPr>
      </w:pPr>
      <w:r>
        <w:rPr>
          <w:rFonts w:hint="eastAsia" w:ascii="宋体" w:hAnsi="宋体" w:eastAsia="宋体" w:cs="宋体"/>
          <w:color w:val="000000"/>
          <w:sz w:val="24"/>
          <w:szCs w:val="24"/>
        </w:rPr>
        <w:t>附</w:t>
      </w:r>
      <w:r>
        <w:rPr>
          <w:rFonts w:hint="eastAsia" w:ascii="宋体" w:hAnsi="宋体" w:eastAsia="宋体" w:cs="宋体"/>
          <w:color w:val="auto"/>
          <w:sz w:val="24"/>
          <w:szCs w:val="24"/>
        </w:rPr>
        <w:t>法定代表人身份证扫描件</w:t>
      </w:r>
    </w:p>
    <w:p w14:paraId="75E8B830">
      <w:pPr>
        <w:spacing w:line="440" w:lineRule="exact"/>
        <w:rPr>
          <w:rFonts w:hint="eastAsia" w:ascii="宋体" w:hAnsi="宋体" w:eastAsia="宋体" w:cs="宋体"/>
          <w:color w:val="auto"/>
          <w:sz w:val="24"/>
          <w:szCs w:val="24"/>
        </w:rPr>
      </w:pPr>
    </w:p>
    <w:p w14:paraId="58D9AE7E">
      <w:pPr>
        <w:spacing w:line="440" w:lineRule="exact"/>
        <w:rPr>
          <w:rFonts w:hint="eastAsia" w:ascii="宋体" w:hAnsi="宋体" w:eastAsia="宋体" w:cs="宋体"/>
          <w:color w:val="auto"/>
          <w:sz w:val="24"/>
          <w:szCs w:val="24"/>
        </w:rPr>
      </w:pPr>
    </w:p>
    <w:p w14:paraId="42D52F20">
      <w:pPr>
        <w:numPr>
          <w:ilvl w:val="1"/>
          <w:numId w:val="0"/>
        </w:numPr>
        <w:jc w:val="center"/>
        <w:outlineLvl w:val="9"/>
        <w:rPr>
          <w:rFonts w:hint="eastAsia" w:ascii="宋体" w:hAnsi="宋体" w:eastAsia="宋体" w:cs="宋体"/>
          <w:color w:val="auto"/>
          <w:sz w:val="28"/>
          <w:lang w:eastAsia="zh-CN"/>
        </w:rPr>
      </w:pPr>
      <w:bookmarkStart w:id="770" w:name="_Toc441791190"/>
      <w:bookmarkStart w:id="771" w:name="_Toc202941490"/>
      <w:bookmarkStart w:id="772" w:name="_Toc466298162"/>
      <w:bookmarkStart w:id="773" w:name="_Toc318989765"/>
      <w:bookmarkStart w:id="774" w:name="_Toc4123"/>
      <w:bookmarkStart w:id="775" w:name="_Toc26203"/>
    </w:p>
    <w:p w14:paraId="4A968D27">
      <w:pPr>
        <w:numPr>
          <w:ilvl w:val="1"/>
          <w:numId w:val="0"/>
        </w:numPr>
        <w:jc w:val="center"/>
        <w:outlineLvl w:val="9"/>
        <w:rPr>
          <w:rFonts w:hint="eastAsia" w:ascii="宋体" w:hAnsi="宋体" w:eastAsia="宋体" w:cs="宋体"/>
          <w:color w:val="auto"/>
          <w:sz w:val="28"/>
          <w:lang w:eastAsia="zh-CN"/>
        </w:rPr>
      </w:pPr>
    </w:p>
    <w:p w14:paraId="23A784B0">
      <w:pPr>
        <w:numPr>
          <w:ilvl w:val="1"/>
          <w:numId w:val="0"/>
        </w:numPr>
        <w:jc w:val="center"/>
        <w:outlineLvl w:val="9"/>
        <w:rPr>
          <w:rFonts w:hint="eastAsia" w:ascii="宋体" w:hAnsi="宋体" w:eastAsia="宋体" w:cs="宋体"/>
          <w:color w:val="auto"/>
          <w:sz w:val="28"/>
          <w:lang w:eastAsia="zh-CN"/>
        </w:rPr>
      </w:pPr>
    </w:p>
    <w:p w14:paraId="10001077">
      <w:pPr>
        <w:outlineLvl w:val="9"/>
        <w:rPr>
          <w:rFonts w:hint="eastAsia" w:ascii="宋体" w:hAnsi="宋体" w:eastAsia="宋体" w:cs="宋体"/>
          <w:color w:val="auto"/>
          <w:sz w:val="28"/>
          <w:lang w:eastAsia="zh-CN"/>
        </w:rPr>
      </w:pPr>
    </w:p>
    <w:p w14:paraId="65B05B4E">
      <w:pPr>
        <w:pStyle w:val="31"/>
        <w:outlineLvl w:val="9"/>
        <w:rPr>
          <w:rFonts w:hint="eastAsia" w:ascii="宋体" w:hAnsi="宋体" w:eastAsia="宋体" w:cs="宋体"/>
          <w:color w:val="auto"/>
          <w:sz w:val="28"/>
          <w:lang w:eastAsia="zh-CN"/>
        </w:rPr>
      </w:pPr>
    </w:p>
    <w:p w14:paraId="2F56FE9A">
      <w:pPr>
        <w:pStyle w:val="32"/>
        <w:outlineLvl w:val="9"/>
        <w:rPr>
          <w:rFonts w:hint="eastAsia" w:ascii="宋体" w:hAnsi="宋体" w:eastAsia="宋体" w:cs="宋体"/>
          <w:color w:val="auto"/>
          <w:sz w:val="28"/>
          <w:lang w:eastAsia="zh-CN"/>
        </w:rPr>
      </w:pPr>
    </w:p>
    <w:p w14:paraId="26CE6955">
      <w:pPr>
        <w:outlineLvl w:val="9"/>
        <w:rPr>
          <w:rFonts w:hint="eastAsia" w:ascii="宋体" w:hAnsi="宋体" w:eastAsia="宋体" w:cs="宋体"/>
          <w:color w:val="auto"/>
          <w:sz w:val="28"/>
          <w:lang w:eastAsia="zh-CN"/>
        </w:rPr>
      </w:pPr>
    </w:p>
    <w:p w14:paraId="49492F49">
      <w:pPr>
        <w:pStyle w:val="31"/>
        <w:outlineLvl w:val="9"/>
        <w:rPr>
          <w:rFonts w:hint="eastAsia" w:ascii="宋体" w:hAnsi="宋体" w:eastAsia="宋体" w:cs="宋体"/>
          <w:color w:val="auto"/>
          <w:sz w:val="28"/>
          <w:lang w:eastAsia="zh-CN"/>
        </w:rPr>
      </w:pPr>
    </w:p>
    <w:p w14:paraId="211A7719">
      <w:pPr>
        <w:pStyle w:val="32"/>
        <w:outlineLvl w:val="9"/>
        <w:rPr>
          <w:rFonts w:hint="eastAsia" w:ascii="宋体" w:hAnsi="宋体" w:eastAsia="宋体" w:cs="宋体"/>
          <w:color w:val="auto"/>
          <w:sz w:val="28"/>
          <w:lang w:eastAsia="zh-CN"/>
        </w:rPr>
      </w:pPr>
    </w:p>
    <w:p w14:paraId="4813081D">
      <w:pPr>
        <w:outlineLvl w:val="9"/>
        <w:rPr>
          <w:rFonts w:hint="eastAsia" w:ascii="宋体" w:hAnsi="宋体" w:eastAsia="宋体" w:cs="宋体"/>
          <w:color w:val="auto"/>
          <w:sz w:val="28"/>
          <w:lang w:eastAsia="zh-CN"/>
        </w:rPr>
      </w:pPr>
    </w:p>
    <w:p w14:paraId="024B6C2E">
      <w:pPr>
        <w:pStyle w:val="31"/>
        <w:outlineLvl w:val="9"/>
        <w:rPr>
          <w:rFonts w:hint="eastAsia" w:ascii="宋体" w:hAnsi="宋体" w:eastAsia="宋体" w:cs="宋体"/>
          <w:lang w:eastAsia="zh-CN"/>
        </w:rPr>
      </w:pPr>
    </w:p>
    <w:p w14:paraId="62E99837">
      <w:pPr>
        <w:rPr>
          <w:rFonts w:hint="eastAsia"/>
          <w:lang w:eastAsia="zh-CN"/>
        </w:rPr>
      </w:pPr>
    </w:p>
    <w:p w14:paraId="7995B7F4">
      <w:pPr>
        <w:numPr>
          <w:ilvl w:val="1"/>
          <w:numId w:val="0"/>
        </w:numPr>
        <w:jc w:val="both"/>
        <w:outlineLvl w:val="9"/>
        <w:rPr>
          <w:rFonts w:hint="eastAsia" w:ascii="宋体" w:hAnsi="宋体" w:eastAsia="宋体" w:cs="宋体"/>
          <w:color w:val="auto"/>
          <w:sz w:val="28"/>
          <w:lang w:eastAsia="zh-CN"/>
        </w:rPr>
      </w:pPr>
    </w:p>
    <w:p w14:paraId="5677B3A7">
      <w:pPr>
        <w:outlineLvl w:val="9"/>
        <w:rPr>
          <w:rFonts w:hint="eastAsia" w:ascii="宋体" w:hAnsi="宋体" w:eastAsia="宋体" w:cs="宋体"/>
          <w:color w:val="auto"/>
          <w:sz w:val="28"/>
          <w:lang w:eastAsia="zh-CN"/>
        </w:rPr>
      </w:pPr>
    </w:p>
    <w:p w14:paraId="381ABFAD">
      <w:pPr>
        <w:pStyle w:val="31"/>
        <w:outlineLvl w:val="9"/>
        <w:rPr>
          <w:rFonts w:hint="eastAsia" w:ascii="宋体" w:hAnsi="宋体" w:eastAsia="宋体" w:cs="宋体"/>
          <w:lang w:eastAsia="zh-CN"/>
        </w:rPr>
      </w:pPr>
    </w:p>
    <w:p w14:paraId="05ED8B07">
      <w:pPr>
        <w:pStyle w:val="3"/>
        <w:numPr>
          <w:ilvl w:val="1"/>
          <w:numId w:val="0"/>
        </w:numPr>
        <w:jc w:val="center"/>
        <w:rPr>
          <w:rFonts w:hint="eastAsia" w:ascii="宋体" w:hAnsi="宋体" w:eastAsia="宋体" w:cs="宋体"/>
          <w:color w:val="auto"/>
          <w:sz w:val="30"/>
          <w:szCs w:val="30"/>
        </w:rPr>
      </w:pPr>
      <w:r>
        <w:rPr>
          <w:rFonts w:hint="eastAsia" w:ascii="宋体" w:hAnsi="宋体" w:eastAsia="宋体" w:cs="宋体"/>
          <w:color w:val="auto"/>
          <w:sz w:val="30"/>
          <w:szCs w:val="30"/>
          <w:lang w:val="en-US" w:eastAsia="zh-CN"/>
        </w:rPr>
        <w:t>三</w:t>
      </w:r>
      <w:r>
        <w:rPr>
          <w:rFonts w:hint="eastAsia" w:ascii="宋体" w:hAnsi="宋体" w:eastAsia="宋体" w:cs="宋体"/>
          <w:color w:val="auto"/>
          <w:sz w:val="30"/>
          <w:szCs w:val="30"/>
        </w:rPr>
        <w:t>、授权委托书</w:t>
      </w:r>
      <w:bookmarkEnd w:id="770"/>
      <w:bookmarkEnd w:id="771"/>
      <w:bookmarkEnd w:id="772"/>
      <w:bookmarkEnd w:id="773"/>
      <w:bookmarkEnd w:id="774"/>
      <w:bookmarkEnd w:id="775"/>
    </w:p>
    <w:p w14:paraId="77614E41">
      <w:pPr>
        <w:topLinePunct/>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本人</w:t>
      </w:r>
      <w:r>
        <w:rPr>
          <w:rFonts w:hint="eastAsia" w:ascii="宋体" w:hAnsi="宋体" w:eastAsia="宋体" w:cs="宋体"/>
          <w:color w:val="auto"/>
          <w:sz w:val="24"/>
          <w:szCs w:val="24"/>
          <w:u w:val="single"/>
        </w:rPr>
        <w:t xml:space="preserve">   （姓名）</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 xml:space="preserve">        （供应商名称）</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的法定代表人，现委托</w:t>
      </w:r>
      <w:r>
        <w:rPr>
          <w:rFonts w:hint="eastAsia" w:ascii="宋体" w:hAnsi="宋体" w:eastAsia="宋体" w:cs="宋体"/>
          <w:color w:val="auto"/>
          <w:sz w:val="24"/>
          <w:szCs w:val="24"/>
          <w:u w:val="single"/>
        </w:rPr>
        <w:t xml:space="preserve">    （姓名）</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为我方代理人。代理人根据授权，以我方名义签署、澄清、说明、补正、递交、撤回、修改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rPr>
        <w:t>（项目名称）</w:t>
      </w:r>
      <w:r>
        <w:rPr>
          <w:rFonts w:hint="eastAsia" w:ascii="宋体" w:hAnsi="宋体" w:eastAsia="宋体" w:cs="宋体"/>
          <w:color w:val="auto"/>
          <w:sz w:val="24"/>
          <w:szCs w:val="24"/>
        </w:rPr>
        <w:t>响应文件、签订合同和处理有关事宜，其法律后果由我方承担。</w:t>
      </w:r>
    </w:p>
    <w:p w14:paraId="70C4BD17">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委托期限：自本委托书签署之日起至</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有效期期满。</w:t>
      </w:r>
    </w:p>
    <w:p w14:paraId="20156B51">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代理人无转委托权。</w:t>
      </w:r>
    </w:p>
    <w:p w14:paraId="01BDC028">
      <w:pPr>
        <w:spacing w:line="440" w:lineRule="exact"/>
        <w:rPr>
          <w:rFonts w:hint="eastAsia" w:ascii="宋体" w:hAnsi="宋体" w:eastAsia="宋体" w:cs="宋体"/>
          <w:color w:val="auto"/>
          <w:sz w:val="24"/>
          <w:szCs w:val="24"/>
        </w:rPr>
      </w:pPr>
    </w:p>
    <w:p w14:paraId="0284C727">
      <w:pPr>
        <w:spacing w:line="440" w:lineRule="exact"/>
        <w:rPr>
          <w:rFonts w:hint="eastAsia" w:ascii="宋体" w:hAnsi="宋体" w:eastAsia="宋体" w:cs="宋体"/>
          <w:color w:val="auto"/>
          <w:sz w:val="24"/>
          <w:szCs w:val="24"/>
        </w:rPr>
      </w:pPr>
    </w:p>
    <w:p w14:paraId="76A764DF">
      <w:pPr>
        <w:spacing w:line="440" w:lineRule="exact"/>
        <w:rPr>
          <w:rFonts w:hint="eastAsia" w:ascii="宋体" w:hAnsi="宋体" w:eastAsia="宋体" w:cs="宋体"/>
          <w:color w:val="auto"/>
          <w:sz w:val="24"/>
          <w:szCs w:val="24"/>
        </w:rPr>
      </w:pPr>
    </w:p>
    <w:p w14:paraId="4872D2BB">
      <w:pPr>
        <w:spacing w:line="480" w:lineRule="auto"/>
        <w:ind w:firstLine="480" w:firstLineChars="200"/>
        <w:jc w:val="right"/>
        <w:rPr>
          <w:rFonts w:hint="eastAsia" w:ascii="宋体" w:hAnsi="宋体" w:eastAsia="宋体" w:cs="宋体"/>
          <w:color w:val="000000"/>
          <w:sz w:val="24"/>
        </w:rPr>
      </w:pPr>
      <w:r>
        <w:rPr>
          <w:rFonts w:hint="eastAsia" w:ascii="宋体" w:hAnsi="宋体" w:eastAsia="宋体" w:cs="宋体"/>
          <w:color w:val="auto"/>
          <w:sz w:val="24"/>
          <w:szCs w:val="24"/>
        </w:rPr>
        <w:t xml:space="preserve">               </w:t>
      </w:r>
      <w:r>
        <w:rPr>
          <w:rFonts w:hint="eastAsia" w:ascii="宋体" w:hAnsi="宋体" w:eastAsia="宋体" w:cs="宋体"/>
          <w:color w:val="000000"/>
          <w:sz w:val="24"/>
        </w:rPr>
        <w:t>供应商名称：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（单位电子签章）</w:t>
      </w:r>
    </w:p>
    <w:p w14:paraId="5BC14D62">
      <w:pPr>
        <w:spacing w:line="48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 xml:space="preserve">                           法定代表人：</w:t>
      </w:r>
      <w:r>
        <w:rPr>
          <w:rFonts w:hint="eastAsia" w:ascii="宋体" w:hAnsi="宋体" w:eastAsia="宋体" w:cs="宋体"/>
          <w:color w:val="000000"/>
          <w:sz w:val="24"/>
          <w:u w:val="single"/>
        </w:rPr>
        <w:t xml:space="preserve">       </w:t>
      </w:r>
      <w:r>
        <w:rPr>
          <w:rFonts w:hint="eastAsia" w:ascii="宋体" w:hAnsi="宋体" w:eastAsia="宋体" w:cs="宋体"/>
          <w:bCs/>
          <w:color w:val="000000"/>
          <w:sz w:val="24"/>
        </w:rPr>
        <w:t>（法定代表人电子签名或签章）</w:t>
      </w:r>
    </w:p>
    <w:p w14:paraId="245704C5">
      <w:pPr>
        <w:spacing w:line="480" w:lineRule="auto"/>
        <w:ind w:firstLine="4320" w:firstLineChars="1800"/>
        <w:jc w:val="left"/>
        <w:rPr>
          <w:rFonts w:hint="eastAsia" w:ascii="宋体" w:hAnsi="宋体" w:eastAsia="宋体" w:cs="宋体"/>
          <w:color w:val="000000"/>
          <w:sz w:val="24"/>
          <w:u w:val="single"/>
        </w:rPr>
      </w:pPr>
      <w:r>
        <w:rPr>
          <w:rFonts w:hint="eastAsia" w:ascii="宋体" w:hAnsi="宋体" w:eastAsia="宋体" w:cs="宋体"/>
          <w:color w:val="000000"/>
          <w:sz w:val="24"/>
        </w:rPr>
        <w:t>身份证号码：</w:t>
      </w:r>
      <w:r>
        <w:rPr>
          <w:rFonts w:hint="eastAsia" w:ascii="宋体" w:hAnsi="宋体" w:eastAsia="宋体" w:cs="宋体"/>
          <w:color w:val="000000"/>
          <w:sz w:val="24"/>
          <w:u w:val="single"/>
        </w:rPr>
        <w:t xml:space="preserve">                     </w:t>
      </w:r>
    </w:p>
    <w:p w14:paraId="49B31615">
      <w:pPr>
        <w:spacing w:line="480" w:lineRule="auto"/>
        <w:ind w:firstLine="480" w:firstLineChars="200"/>
        <w:jc w:val="center"/>
        <w:rPr>
          <w:rFonts w:hint="eastAsia" w:ascii="宋体" w:hAnsi="宋体" w:eastAsia="宋体" w:cs="宋体"/>
          <w:color w:val="000000"/>
          <w:sz w:val="24"/>
        </w:rPr>
      </w:pPr>
      <w:r>
        <w:rPr>
          <w:rFonts w:hint="eastAsia" w:ascii="宋体" w:hAnsi="宋体" w:eastAsia="宋体" w:cs="宋体"/>
          <w:color w:val="000000"/>
          <w:sz w:val="24"/>
        </w:rPr>
        <w:t xml:space="preserve">                             </w:t>
      </w:r>
      <w:r>
        <w:rPr>
          <w:rFonts w:hint="eastAsia" w:ascii="宋体" w:hAnsi="宋体" w:eastAsia="宋体" w:cs="宋体"/>
          <w:bCs/>
          <w:color w:val="000000"/>
          <w:sz w:val="24"/>
        </w:rPr>
        <w:t>委托代理人</w:t>
      </w:r>
      <w:r>
        <w:rPr>
          <w:rFonts w:hint="eastAsia" w:ascii="宋体" w:hAnsi="宋体" w:eastAsia="宋体" w:cs="宋体"/>
          <w:color w:val="000000"/>
          <w:sz w:val="24"/>
        </w:rPr>
        <w:t>：</w:t>
      </w:r>
      <w:r>
        <w:rPr>
          <w:rFonts w:hint="eastAsia" w:ascii="宋体" w:hAnsi="宋体" w:eastAsia="宋体" w:cs="宋体"/>
          <w:color w:val="000000"/>
          <w:sz w:val="24"/>
          <w:u w:val="single"/>
        </w:rPr>
        <w:t xml:space="preserve">                  </w:t>
      </w:r>
      <w:r>
        <w:rPr>
          <w:rFonts w:hint="eastAsia" w:ascii="宋体" w:hAnsi="宋体" w:eastAsia="宋体" w:cs="宋体"/>
          <w:bCs/>
          <w:color w:val="000000"/>
          <w:sz w:val="24"/>
        </w:rPr>
        <w:t>（签字</w:t>
      </w:r>
      <w:r>
        <w:rPr>
          <w:rFonts w:hint="eastAsia" w:ascii="宋体" w:hAnsi="宋体" w:eastAsia="宋体" w:cs="宋体"/>
          <w:bCs/>
          <w:color w:val="000000"/>
          <w:sz w:val="24"/>
          <w:lang w:val="en-US" w:eastAsia="zh-CN"/>
        </w:rPr>
        <w:t>或盖章</w:t>
      </w:r>
      <w:r>
        <w:rPr>
          <w:rFonts w:hint="eastAsia" w:ascii="宋体" w:hAnsi="宋体" w:eastAsia="宋体" w:cs="宋体"/>
          <w:bCs/>
          <w:color w:val="000000"/>
          <w:sz w:val="24"/>
        </w:rPr>
        <w:t>）</w:t>
      </w:r>
    </w:p>
    <w:p w14:paraId="56F0C2D1">
      <w:pPr>
        <w:spacing w:line="480" w:lineRule="auto"/>
        <w:ind w:firstLine="480" w:firstLineChars="200"/>
        <w:jc w:val="center"/>
        <w:rPr>
          <w:rFonts w:hint="eastAsia" w:ascii="宋体" w:hAnsi="宋体" w:eastAsia="宋体" w:cs="宋体"/>
          <w:color w:val="000000"/>
          <w:sz w:val="24"/>
          <w:u w:val="single"/>
        </w:rPr>
      </w:pPr>
      <w:r>
        <w:rPr>
          <w:rFonts w:hint="eastAsia" w:ascii="宋体" w:hAnsi="宋体" w:eastAsia="宋体" w:cs="宋体"/>
          <w:color w:val="000000"/>
          <w:sz w:val="24"/>
        </w:rPr>
        <w:t xml:space="preserve">  身份证号码：</w:t>
      </w:r>
      <w:r>
        <w:rPr>
          <w:rFonts w:hint="eastAsia" w:ascii="宋体" w:hAnsi="宋体" w:eastAsia="宋体" w:cs="宋体"/>
          <w:color w:val="000000"/>
          <w:sz w:val="24"/>
          <w:u w:val="single"/>
        </w:rPr>
        <w:t xml:space="preserve">                       </w:t>
      </w:r>
    </w:p>
    <w:p w14:paraId="5B8B7151">
      <w:pPr>
        <w:spacing w:line="480" w:lineRule="auto"/>
        <w:ind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日</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期：</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日</w:t>
      </w:r>
    </w:p>
    <w:p w14:paraId="5EB63F9E">
      <w:pPr>
        <w:pStyle w:val="12"/>
        <w:rPr>
          <w:rFonts w:hint="eastAsia" w:ascii="宋体" w:hAnsi="宋体" w:eastAsia="宋体" w:cs="宋体"/>
          <w:color w:val="auto"/>
          <w:sz w:val="24"/>
          <w:szCs w:val="24"/>
        </w:rPr>
      </w:pPr>
    </w:p>
    <w:p w14:paraId="22058B3E">
      <w:pPr>
        <w:spacing w:line="480" w:lineRule="auto"/>
        <w:jc w:val="center"/>
        <w:rPr>
          <w:rFonts w:hint="eastAsia" w:ascii="宋体" w:hAnsi="宋体" w:eastAsia="宋体" w:cs="宋体"/>
          <w:color w:val="000000"/>
          <w:sz w:val="24"/>
        </w:rPr>
      </w:pPr>
      <w:r>
        <w:rPr>
          <w:rFonts w:hint="eastAsia" w:ascii="宋体" w:hAnsi="宋体" w:eastAsia="宋体" w:cs="宋体"/>
          <w:color w:val="000000"/>
          <w:sz w:val="24"/>
        </w:rPr>
        <w:t>附法定代表人及其</w:t>
      </w:r>
      <w:r>
        <w:rPr>
          <w:rFonts w:hint="eastAsia" w:ascii="宋体" w:hAnsi="宋体" w:eastAsia="宋体" w:cs="宋体"/>
          <w:bCs/>
          <w:color w:val="000000"/>
          <w:sz w:val="24"/>
        </w:rPr>
        <w:t>委托代理人</w:t>
      </w:r>
      <w:r>
        <w:rPr>
          <w:rFonts w:hint="eastAsia" w:ascii="宋体" w:hAnsi="宋体" w:eastAsia="宋体" w:cs="宋体"/>
          <w:color w:val="000000"/>
          <w:sz w:val="24"/>
        </w:rPr>
        <w:t>身份证</w:t>
      </w:r>
      <w:r>
        <w:rPr>
          <w:rFonts w:hint="eastAsia" w:ascii="宋体" w:hAnsi="宋体" w:eastAsia="宋体" w:cs="宋体"/>
          <w:color w:val="000000"/>
          <w:sz w:val="24"/>
          <w:lang w:val="en-US" w:eastAsia="zh-CN"/>
        </w:rPr>
        <w:t>扫描件</w:t>
      </w:r>
    </w:p>
    <w:p w14:paraId="0DB8D0D8">
      <w:pPr>
        <w:numPr>
          <w:ilvl w:val="1"/>
          <w:numId w:val="0"/>
        </w:numPr>
        <w:spacing w:before="60" w:beforeLines="0" w:after="60" w:afterLines="0" w:line="400" w:lineRule="exact"/>
        <w:jc w:val="center"/>
        <w:outlineLvl w:val="9"/>
        <w:rPr>
          <w:rFonts w:hint="eastAsia" w:ascii="宋体" w:hAnsi="宋体" w:eastAsia="宋体" w:cs="宋体"/>
          <w:b/>
          <w:color w:val="auto"/>
          <w:szCs w:val="28"/>
          <w:lang w:eastAsia="zh-CN"/>
        </w:rPr>
      </w:pPr>
    </w:p>
    <w:p w14:paraId="1FE8226C">
      <w:pPr>
        <w:numPr>
          <w:ilvl w:val="1"/>
          <w:numId w:val="0"/>
        </w:numPr>
        <w:spacing w:before="60" w:beforeLines="0" w:after="60" w:afterLines="0" w:line="400" w:lineRule="exact"/>
        <w:jc w:val="center"/>
        <w:outlineLvl w:val="9"/>
        <w:rPr>
          <w:rFonts w:hint="eastAsia" w:ascii="宋体" w:hAnsi="宋体" w:eastAsia="宋体" w:cs="宋体"/>
          <w:b/>
          <w:color w:val="auto"/>
          <w:szCs w:val="28"/>
          <w:lang w:eastAsia="zh-CN"/>
        </w:rPr>
      </w:pPr>
    </w:p>
    <w:p w14:paraId="3C79732A">
      <w:pPr>
        <w:outlineLvl w:val="9"/>
        <w:rPr>
          <w:rFonts w:hint="eastAsia" w:ascii="宋体" w:hAnsi="宋体" w:eastAsia="宋体" w:cs="宋体"/>
          <w:b/>
          <w:color w:val="auto"/>
          <w:szCs w:val="28"/>
          <w:lang w:eastAsia="zh-CN"/>
        </w:rPr>
      </w:pPr>
    </w:p>
    <w:p w14:paraId="6BB7CC82">
      <w:pPr>
        <w:pStyle w:val="31"/>
        <w:outlineLvl w:val="9"/>
        <w:rPr>
          <w:rFonts w:hint="eastAsia" w:ascii="宋体" w:hAnsi="宋体" w:eastAsia="宋体" w:cs="宋体"/>
          <w:b/>
          <w:color w:val="auto"/>
          <w:szCs w:val="28"/>
          <w:lang w:eastAsia="zh-CN"/>
        </w:rPr>
      </w:pPr>
    </w:p>
    <w:p w14:paraId="652AF050">
      <w:pPr>
        <w:pStyle w:val="32"/>
        <w:outlineLvl w:val="9"/>
        <w:rPr>
          <w:rFonts w:hint="eastAsia" w:ascii="宋体" w:hAnsi="宋体" w:eastAsia="宋体" w:cs="宋体"/>
          <w:b/>
          <w:color w:val="auto"/>
          <w:szCs w:val="28"/>
          <w:lang w:eastAsia="zh-CN"/>
        </w:rPr>
      </w:pPr>
    </w:p>
    <w:p w14:paraId="25DDCC67">
      <w:pPr>
        <w:outlineLvl w:val="9"/>
        <w:rPr>
          <w:rFonts w:hint="eastAsia" w:ascii="宋体" w:hAnsi="宋体" w:eastAsia="宋体" w:cs="宋体"/>
          <w:b/>
          <w:color w:val="auto"/>
          <w:szCs w:val="28"/>
          <w:lang w:eastAsia="zh-CN"/>
        </w:rPr>
      </w:pPr>
    </w:p>
    <w:p w14:paraId="2BE4A86F">
      <w:pPr>
        <w:pStyle w:val="31"/>
        <w:outlineLvl w:val="9"/>
        <w:rPr>
          <w:rFonts w:hint="eastAsia" w:ascii="宋体" w:hAnsi="宋体" w:eastAsia="宋体" w:cs="宋体"/>
          <w:b/>
          <w:color w:val="auto"/>
          <w:szCs w:val="28"/>
          <w:lang w:eastAsia="zh-CN"/>
        </w:rPr>
      </w:pPr>
    </w:p>
    <w:p w14:paraId="0A5B30D2">
      <w:pPr>
        <w:pStyle w:val="32"/>
        <w:outlineLvl w:val="9"/>
        <w:rPr>
          <w:rFonts w:hint="eastAsia" w:ascii="宋体" w:hAnsi="宋体" w:eastAsia="宋体" w:cs="宋体"/>
          <w:b/>
          <w:color w:val="auto"/>
          <w:szCs w:val="28"/>
          <w:lang w:eastAsia="zh-CN"/>
        </w:rPr>
      </w:pPr>
    </w:p>
    <w:p w14:paraId="154A0B38">
      <w:pPr>
        <w:outlineLvl w:val="9"/>
        <w:rPr>
          <w:rFonts w:hint="eastAsia" w:ascii="宋体" w:hAnsi="宋体" w:eastAsia="宋体" w:cs="宋体"/>
          <w:b/>
          <w:color w:val="auto"/>
          <w:szCs w:val="28"/>
          <w:lang w:eastAsia="zh-CN"/>
        </w:rPr>
      </w:pPr>
    </w:p>
    <w:p w14:paraId="4CBAE0C5">
      <w:pPr>
        <w:pStyle w:val="31"/>
        <w:outlineLvl w:val="9"/>
        <w:rPr>
          <w:rFonts w:hint="eastAsia" w:ascii="宋体" w:hAnsi="宋体" w:eastAsia="宋体" w:cs="宋体"/>
          <w:lang w:eastAsia="zh-CN"/>
        </w:rPr>
      </w:pPr>
    </w:p>
    <w:p w14:paraId="7829AD6D">
      <w:pPr>
        <w:numPr>
          <w:ilvl w:val="1"/>
          <w:numId w:val="0"/>
        </w:numPr>
        <w:spacing w:before="60" w:beforeLines="0" w:after="60" w:afterLines="0" w:line="400" w:lineRule="exact"/>
        <w:jc w:val="center"/>
        <w:outlineLvl w:val="9"/>
        <w:rPr>
          <w:rFonts w:hint="eastAsia" w:ascii="宋体" w:hAnsi="宋体" w:eastAsia="宋体" w:cs="宋体"/>
          <w:b/>
          <w:color w:val="auto"/>
          <w:szCs w:val="28"/>
          <w:lang w:eastAsia="zh-CN"/>
        </w:rPr>
      </w:pPr>
    </w:p>
    <w:p w14:paraId="4A18FA38">
      <w:pPr>
        <w:outlineLvl w:val="9"/>
        <w:rPr>
          <w:rFonts w:hint="eastAsia" w:ascii="宋体" w:hAnsi="宋体" w:eastAsia="宋体" w:cs="宋体"/>
          <w:lang w:eastAsia="zh-CN"/>
        </w:rPr>
      </w:pPr>
    </w:p>
    <w:p w14:paraId="193AFEAE">
      <w:pPr>
        <w:pStyle w:val="31"/>
        <w:bidi w:val="0"/>
        <w:ind w:left="0" w:leftChars="0" w:firstLine="0" w:firstLineChars="0"/>
        <w:jc w:val="center"/>
        <w:outlineLvl w:val="9"/>
        <w:rPr>
          <w:rFonts w:hint="eastAsia" w:ascii="宋体" w:hAnsi="宋体" w:eastAsia="宋体" w:cs="宋体"/>
          <w:b/>
          <w:color w:val="000000"/>
          <w:sz w:val="28"/>
          <w:szCs w:val="28"/>
          <w:lang w:eastAsia="zh-CN"/>
        </w:rPr>
      </w:pPr>
    </w:p>
    <w:p w14:paraId="381BF82B">
      <w:pPr>
        <w:pStyle w:val="31"/>
        <w:bidi w:val="0"/>
        <w:ind w:left="0" w:leftChars="0" w:firstLine="0" w:firstLineChars="0"/>
        <w:jc w:val="center"/>
        <w:outlineLvl w:val="9"/>
        <w:rPr>
          <w:rFonts w:hint="eastAsia" w:ascii="宋体" w:hAnsi="宋体" w:eastAsia="宋体" w:cs="宋体"/>
          <w:b/>
          <w:color w:val="000000"/>
          <w:sz w:val="28"/>
          <w:szCs w:val="28"/>
          <w:lang w:eastAsia="zh-CN"/>
        </w:rPr>
      </w:pPr>
    </w:p>
    <w:p w14:paraId="3071221E">
      <w:pPr>
        <w:outlineLvl w:val="9"/>
        <w:rPr>
          <w:rFonts w:hint="eastAsia" w:ascii="宋体" w:hAnsi="宋体" w:eastAsia="宋体" w:cs="宋体"/>
          <w:b/>
          <w:color w:val="auto"/>
          <w:sz w:val="28"/>
          <w:szCs w:val="28"/>
          <w:lang w:val="en-US" w:eastAsia="zh-CN"/>
        </w:rPr>
      </w:pPr>
    </w:p>
    <w:p w14:paraId="02235404">
      <w:pPr>
        <w:pStyle w:val="31"/>
        <w:numPr>
          <w:ilvl w:val="0"/>
          <w:numId w:val="0"/>
        </w:numPr>
        <w:bidi w:val="0"/>
        <w:spacing w:line="360" w:lineRule="auto"/>
        <w:ind w:left="0" w:leftChars="0" w:firstLine="0" w:firstLineChars="0"/>
        <w:jc w:val="center"/>
        <w:outlineLvl w:val="1"/>
        <w:rPr>
          <w:rFonts w:hint="default" w:ascii="宋体" w:hAnsi="宋体" w:eastAsia="宋体" w:cs="宋体"/>
          <w:b/>
          <w:color w:val="000000"/>
          <w:sz w:val="30"/>
          <w:szCs w:val="30"/>
          <w:lang w:val="en-US" w:eastAsia="zh-CN"/>
        </w:rPr>
      </w:pPr>
      <w:r>
        <w:rPr>
          <w:rFonts w:hint="eastAsia" w:ascii="宋体" w:hAnsi="宋体" w:eastAsia="宋体" w:cs="宋体"/>
          <w:b/>
          <w:color w:val="000000"/>
          <w:kern w:val="2"/>
          <w:sz w:val="30"/>
          <w:szCs w:val="30"/>
          <w:lang w:val="en-US" w:eastAsia="zh-CN" w:bidi="ar-SA"/>
        </w:rPr>
        <w:t>四、</w:t>
      </w:r>
      <w:r>
        <w:rPr>
          <w:rFonts w:hint="eastAsia" w:ascii="宋体" w:hAnsi="宋体" w:eastAsia="宋体" w:cs="宋体"/>
          <w:b/>
          <w:color w:val="000000"/>
          <w:sz w:val="30"/>
          <w:szCs w:val="30"/>
          <w:lang w:val="en-US" w:eastAsia="zh-CN"/>
        </w:rPr>
        <w:t>商务及技术偏差表</w:t>
      </w:r>
    </w:p>
    <w:p w14:paraId="1AAF531F">
      <w:pPr>
        <w:spacing w:after="120" w:afterLines="50"/>
        <w:jc w:val="center"/>
        <w:rPr>
          <w:rFonts w:hint="eastAsia" w:ascii="宋体" w:hAnsi="宋体" w:eastAsia="宋体" w:cs="宋体"/>
          <w:b/>
          <w:bCs/>
          <w:color w:val="000000"/>
          <w:sz w:val="24"/>
        </w:rPr>
      </w:pPr>
    </w:p>
    <w:p w14:paraId="3AF1CA60">
      <w:pPr>
        <w:ind w:firstLine="960" w:firstLineChars="400"/>
        <w:rPr>
          <w:rFonts w:hint="eastAsia" w:ascii="宋体" w:hAnsi="宋体" w:eastAsia="宋体" w:cs="宋体"/>
          <w:color w:val="000000"/>
          <w:sz w:val="24"/>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031"/>
        <w:gridCol w:w="2170"/>
        <w:gridCol w:w="1713"/>
        <w:gridCol w:w="1631"/>
      </w:tblGrid>
      <w:tr w14:paraId="07C9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446F6C22">
            <w:pPr>
              <w:spacing w:line="480" w:lineRule="exact"/>
              <w:jc w:val="center"/>
              <w:rPr>
                <w:rFonts w:hint="eastAsia" w:ascii="宋体" w:hAnsi="宋体" w:eastAsia="宋体" w:cs="宋体"/>
                <w:bCs/>
                <w:color w:val="000000"/>
                <w:sz w:val="24"/>
              </w:rPr>
            </w:pPr>
            <w:r>
              <w:rPr>
                <w:rFonts w:hint="eastAsia" w:ascii="宋体" w:hAnsi="宋体" w:eastAsia="宋体" w:cs="宋体"/>
                <w:bCs/>
                <w:color w:val="000000"/>
                <w:sz w:val="24"/>
              </w:rPr>
              <w:t>序号</w:t>
            </w:r>
          </w:p>
        </w:tc>
        <w:tc>
          <w:tcPr>
            <w:tcW w:w="2031" w:type="dxa"/>
            <w:tcBorders>
              <w:top w:val="single" w:color="auto" w:sz="4" w:space="0"/>
              <w:left w:val="single" w:color="auto" w:sz="4" w:space="0"/>
              <w:bottom w:val="single" w:color="auto" w:sz="4" w:space="0"/>
              <w:right w:val="single" w:color="auto" w:sz="4" w:space="0"/>
            </w:tcBorders>
            <w:noWrap w:val="0"/>
            <w:vAlign w:val="center"/>
          </w:tcPr>
          <w:p w14:paraId="7674CCF1">
            <w:pPr>
              <w:spacing w:line="480" w:lineRule="exact"/>
              <w:jc w:val="center"/>
              <w:rPr>
                <w:rFonts w:hint="eastAsia" w:ascii="宋体" w:hAnsi="宋体" w:eastAsia="宋体" w:cs="宋体"/>
                <w:bCs/>
                <w:color w:val="000000"/>
                <w:sz w:val="24"/>
              </w:rPr>
            </w:pPr>
            <w:r>
              <w:rPr>
                <w:rFonts w:hint="eastAsia" w:ascii="宋体" w:hAnsi="宋体" w:eastAsia="宋体" w:cs="宋体"/>
                <w:bCs/>
                <w:color w:val="000000"/>
                <w:sz w:val="24"/>
                <w:lang w:eastAsia="zh-CN"/>
              </w:rPr>
              <w:t>招标文件章节及条款号</w:t>
            </w:r>
          </w:p>
        </w:tc>
        <w:tc>
          <w:tcPr>
            <w:tcW w:w="2170" w:type="dxa"/>
            <w:tcBorders>
              <w:top w:val="single" w:color="auto" w:sz="4" w:space="0"/>
              <w:left w:val="single" w:color="auto" w:sz="4" w:space="0"/>
              <w:bottom w:val="single" w:color="auto" w:sz="4" w:space="0"/>
              <w:right w:val="single" w:color="auto" w:sz="4" w:space="0"/>
            </w:tcBorders>
            <w:noWrap w:val="0"/>
            <w:vAlign w:val="center"/>
          </w:tcPr>
          <w:p w14:paraId="4BD1A3CF">
            <w:pPr>
              <w:spacing w:line="480" w:lineRule="exact"/>
              <w:ind w:firstLine="120" w:firstLineChars="50"/>
              <w:jc w:val="center"/>
              <w:rPr>
                <w:rFonts w:hint="eastAsia" w:ascii="宋体" w:hAnsi="宋体" w:eastAsia="宋体" w:cs="宋体"/>
                <w:bCs/>
                <w:color w:val="000000"/>
                <w:sz w:val="24"/>
              </w:rPr>
            </w:pPr>
            <w:r>
              <w:rPr>
                <w:rFonts w:hint="eastAsia" w:ascii="宋体" w:hAnsi="宋体" w:eastAsia="宋体" w:cs="宋体"/>
                <w:bCs/>
                <w:color w:val="000000"/>
                <w:sz w:val="24"/>
              </w:rPr>
              <w:t>投标文件章节及条款号</w:t>
            </w:r>
          </w:p>
        </w:tc>
        <w:tc>
          <w:tcPr>
            <w:tcW w:w="1713" w:type="dxa"/>
            <w:tcBorders>
              <w:top w:val="single" w:color="auto" w:sz="4" w:space="0"/>
              <w:left w:val="single" w:color="auto" w:sz="4" w:space="0"/>
              <w:bottom w:val="single" w:color="auto" w:sz="4" w:space="0"/>
              <w:right w:val="single" w:color="auto" w:sz="4" w:space="0"/>
            </w:tcBorders>
            <w:noWrap w:val="0"/>
            <w:vAlign w:val="center"/>
          </w:tcPr>
          <w:p w14:paraId="48629387">
            <w:pPr>
              <w:spacing w:line="480" w:lineRule="exact"/>
              <w:jc w:val="center"/>
              <w:rPr>
                <w:rFonts w:hint="eastAsia" w:ascii="宋体" w:hAnsi="宋体" w:eastAsia="宋体" w:cs="宋体"/>
                <w:bCs/>
                <w:color w:val="000000"/>
                <w:sz w:val="24"/>
              </w:rPr>
            </w:pPr>
            <w:r>
              <w:rPr>
                <w:rFonts w:hint="eastAsia" w:ascii="宋体" w:hAnsi="宋体" w:eastAsia="宋体" w:cs="宋体"/>
                <w:bCs/>
                <w:color w:val="000000"/>
                <w:sz w:val="24"/>
              </w:rPr>
              <w:t>满足（偏离）情况</w:t>
            </w:r>
          </w:p>
        </w:tc>
        <w:tc>
          <w:tcPr>
            <w:tcW w:w="1631" w:type="dxa"/>
            <w:tcBorders>
              <w:top w:val="single" w:color="auto" w:sz="4" w:space="0"/>
              <w:left w:val="single" w:color="auto" w:sz="4" w:space="0"/>
              <w:bottom w:val="single" w:color="auto" w:sz="4" w:space="0"/>
              <w:right w:val="single" w:color="auto" w:sz="4" w:space="0"/>
            </w:tcBorders>
            <w:noWrap w:val="0"/>
            <w:vAlign w:val="center"/>
          </w:tcPr>
          <w:p w14:paraId="59D3FF11">
            <w:pPr>
              <w:spacing w:line="480" w:lineRule="exact"/>
              <w:jc w:val="center"/>
              <w:rPr>
                <w:rFonts w:hint="eastAsia" w:ascii="宋体" w:hAnsi="宋体" w:eastAsia="宋体" w:cs="宋体"/>
                <w:bCs/>
                <w:color w:val="000000"/>
                <w:sz w:val="24"/>
              </w:rPr>
            </w:pPr>
            <w:r>
              <w:rPr>
                <w:rFonts w:hint="eastAsia" w:ascii="宋体" w:hAnsi="宋体" w:eastAsia="宋体" w:cs="宋体"/>
                <w:bCs/>
                <w:color w:val="000000"/>
                <w:sz w:val="24"/>
              </w:rPr>
              <w:t>备注</w:t>
            </w:r>
          </w:p>
          <w:p w14:paraId="21FABCAC">
            <w:pPr>
              <w:spacing w:line="480" w:lineRule="exact"/>
              <w:jc w:val="center"/>
              <w:rPr>
                <w:rFonts w:hint="eastAsia" w:ascii="宋体" w:hAnsi="宋体" w:eastAsia="宋体" w:cs="宋体"/>
                <w:bCs/>
                <w:color w:val="000000"/>
                <w:sz w:val="24"/>
              </w:rPr>
            </w:pPr>
          </w:p>
        </w:tc>
      </w:tr>
      <w:tr w14:paraId="038F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73CAAE7D">
            <w:pPr>
              <w:spacing w:line="480" w:lineRule="exact"/>
              <w:ind w:firstLine="480" w:firstLineChars="200"/>
              <w:rPr>
                <w:rFonts w:hint="eastAsia" w:ascii="宋体" w:hAnsi="宋体" w:eastAsia="宋体" w:cs="宋体"/>
                <w:bCs/>
                <w:color w:val="000000"/>
                <w:sz w:val="24"/>
              </w:rPr>
            </w:pPr>
          </w:p>
        </w:tc>
        <w:tc>
          <w:tcPr>
            <w:tcW w:w="2031" w:type="dxa"/>
            <w:tcBorders>
              <w:top w:val="single" w:color="auto" w:sz="4" w:space="0"/>
              <w:left w:val="single" w:color="auto" w:sz="4" w:space="0"/>
              <w:bottom w:val="single" w:color="auto" w:sz="4" w:space="0"/>
              <w:right w:val="single" w:color="auto" w:sz="4" w:space="0"/>
            </w:tcBorders>
            <w:noWrap w:val="0"/>
            <w:vAlign w:val="top"/>
          </w:tcPr>
          <w:p w14:paraId="1463FA21">
            <w:pPr>
              <w:spacing w:line="480" w:lineRule="exact"/>
              <w:ind w:firstLine="480" w:firstLineChars="200"/>
              <w:rPr>
                <w:rFonts w:hint="eastAsia" w:ascii="宋体" w:hAnsi="宋体" w:eastAsia="宋体" w:cs="宋体"/>
                <w:bCs/>
                <w:color w:val="000000"/>
                <w:sz w:val="24"/>
              </w:rPr>
            </w:pPr>
          </w:p>
        </w:tc>
        <w:tc>
          <w:tcPr>
            <w:tcW w:w="2170" w:type="dxa"/>
            <w:tcBorders>
              <w:top w:val="single" w:color="auto" w:sz="4" w:space="0"/>
              <w:left w:val="single" w:color="auto" w:sz="4" w:space="0"/>
              <w:bottom w:val="single" w:color="auto" w:sz="4" w:space="0"/>
              <w:right w:val="single" w:color="auto" w:sz="4" w:space="0"/>
            </w:tcBorders>
            <w:noWrap w:val="0"/>
            <w:vAlign w:val="top"/>
          </w:tcPr>
          <w:p w14:paraId="644340A2">
            <w:pPr>
              <w:spacing w:line="480" w:lineRule="exact"/>
              <w:ind w:firstLine="480" w:firstLineChars="200"/>
              <w:rPr>
                <w:rFonts w:hint="eastAsia" w:ascii="宋体" w:hAnsi="宋体" w:eastAsia="宋体" w:cs="宋体"/>
                <w:bCs/>
                <w:color w:val="000000"/>
                <w:sz w:val="24"/>
              </w:rPr>
            </w:pPr>
          </w:p>
        </w:tc>
        <w:tc>
          <w:tcPr>
            <w:tcW w:w="1713" w:type="dxa"/>
            <w:tcBorders>
              <w:top w:val="single" w:color="auto" w:sz="4" w:space="0"/>
              <w:left w:val="single" w:color="auto" w:sz="4" w:space="0"/>
              <w:bottom w:val="single" w:color="auto" w:sz="4" w:space="0"/>
              <w:right w:val="single" w:color="auto" w:sz="4" w:space="0"/>
            </w:tcBorders>
            <w:noWrap w:val="0"/>
            <w:vAlign w:val="top"/>
          </w:tcPr>
          <w:p w14:paraId="5EFDCDCF">
            <w:pPr>
              <w:spacing w:line="480" w:lineRule="exact"/>
              <w:ind w:firstLine="480" w:firstLineChars="200"/>
              <w:rPr>
                <w:rFonts w:hint="eastAsia" w:ascii="宋体" w:hAnsi="宋体" w:eastAsia="宋体" w:cs="宋体"/>
                <w:bCs/>
                <w:color w:val="000000"/>
                <w:sz w:val="24"/>
              </w:rPr>
            </w:pPr>
          </w:p>
        </w:tc>
        <w:tc>
          <w:tcPr>
            <w:tcW w:w="1631" w:type="dxa"/>
            <w:tcBorders>
              <w:top w:val="single" w:color="auto" w:sz="4" w:space="0"/>
              <w:left w:val="single" w:color="auto" w:sz="4" w:space="0"/>
              <w:bottom w:val="single" w:color="auto" w:sz="4" w:space="0"/>
              <w:right w:val="single" w:color="auto" w:sz="4" w:space="0"/>
            </w:tcBorders>
            <w:noWrap w:val="0"/>
            <w:vAlign w:val="top"/>
          </w:tcPr>
          <w:p w14:paraId="11E057DB">
            <w:pPr>
              <w:spacing w:line="480" w:lineRule="exact"/>
              <w:ind w:firstLine="480" w:firstLineChars="200"/>
              <w:rPr>
                <w:rFonts w:hint="eastAsia" w:ascii="宋体" w:hAnsi="宋体" w:eastAsia="宋体" w:cs="宋体"/>
                <w:bCs/>
                <w:color w:val="000000"/>
                <w:sz w:val="24"/>
              </w:rPr>
            </w:pPr>
          </w:p>
        </w:tc>
      </w:tr>
      <w:tr w14:paraId="4ECD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295951AB">
            <w:pPr>
              <w:spacing w:line="480" w:lineRule="exact"/>
              <w:ind w:firstLine="480" w:firstLineChars="200"/>
              <w:rPr>
                <w:rFonts w:hint="eastAsia" w:ascii="宋体" w:hAnsi="宋体" w:eastAsia="宋体" w:cs="宋体"/>
                <w:bCs/>
                <w:color w:val="000000"/>
                <w:sz w:val="24"/>
              </w:rPr>
            </w:pPr>
          </w:p>
        </w:tc>
        <w:tc>
          <w:tcPr>
            <w:tcW w:w="2031" w:type="dxa"/>
            <w:tcBorders>
              <w:top w:val="single" w:color="auto" w:sz="4" w:space="0"/>
              <w:left w:val="single" w:color="auto" w:sz="4" w:space="0"/>
              <w:bottom w:val="single" w:color="auto" w:sz="4" w:space="0"/>
              <w:right w:val="single" w:color="auto" w:sz="4" w:space="0"/>
            </w:tcBorders>
            <w:noWrap w:val="0"/>
            <w:vAlign w:val="top"/>
          </w:tcPr>
          <w:p w14:paraId="4191A766">
            <w:pPr>
              <w:spacing w:line="480" w:lineRule="exact"/>
              <w:ind w:firstLine="480" w:firstLineChars="200"/>
              <w:rPr>
                <w:rFonts w:hint="eastAsia" w:ascii="宋体" w:hAnsi="宋体" w:eastAsia="宋体" w:cs="宋体"/>
                <w:bCs/>
                <w:color w:val="000000"/>
                <w:sz w:val="24"/>
              </w:rPr>
            </w:pPr>
          </w:p>
        </w:tc>
        <w:tc>
          <w:tcPr>
            <w:tcW w:w="2170" w:type="dxa"/>
            <w:tcBorders>
              <w:top w:val="single" w:color="auto" w:sz="4" w:space="0"/>
              <w:left w:val="single" w:color="auto" w:sz="4" w:space="0"/>
              <w:bottom w:val="single" w:color="auto" w:sz="4" w:space="0"/>
              <w:right w:val="single" w:color="auto" w:sz="4" w:space="0"/>
            </w:tcBorders>
            <w:noWrap w:val="0"/>
            <w:vAlign w:val="top"/>
          </w:tcPr>
          <w:p w14:paraId="71C52B4C">
            <w:pPr>
              <w:spacing w:line="480" w:lineRule="exact"/>
              <w:ind w:firstLine="480" w:firstLineChars="200"/>
              <w:rPr>
                <w:rFonts w:hint="eastAsia" w:ascii="宋体" w:hAnsi="宋体" w:eastAsia="宋体" w:cs="宋体"/>
                <w:bCs/>
                <w:color w:val="000000"/>
                <w:sz w:val="24"/>
              </w:rPr>
            </w:pPr>
          </w:p>
        </w:tc>
        <w:tc>
          <w:tcPr>
            <w:tcW w:w="1713" w:type="dxa"/>
            <w:tcBorders>
              <w:top w:val="single" w:color="auto" w:sz="4" w:space="0"/>
              <w:left w:val="single" w:color="auto" w:sz="4" w:space="0"/>
              <w:bottom w:val="single" w:color="auto" w:sz="4" w:space="0"/>
              <w:right w:val="single" w:color="auto" w:sz="4" w:space="0"/>
            </w:tcBorders>
            <w:noWrap w:val="0"/>
            <w:vAlign w:val="top"/>
          </w:tcPr>
          <w:p w14:paraId="5F1E15F9">
            <w:pPr>
              <w:spacing w:line="480" w:lineRule="exact"/>
              <w:ind w:firstLine="480" w:firstLineChars="200"/>
              <w:rPr>
                <w:rFonts w:hint="eastAsia" w:ascii="宋体" w:hAnsi="宋体" w:eastAsia="宋体" w:cs="宋体"/>
                <w:bCs/>
                <w:color w:val="000000"/>
                <w:sz w:val="24"/>
              </w:rPr>
            </w:pPr>
          </w:p>
        </w:tc>
        <w:tc>
          <w:tcPr>
            <w:tcW w:w="1631" w:type="dxa"/>
            <w:tcBorders>
              <w:top w:val="single" w:color="auto" w:sz="4" w:space="0"/>
              <w:left w:val="single" w:color="auto" w:sz="4" w:space="0"/>
              <w:bottom w:val="single" w:color="auto" w:sz="4" w:space="0"/>
              <w:right w:val="single" w:color="auto" w:sz="4" w:space="0"/>
            </w:tcBorders>
            <w:noWrap w:val="0"/>
            <w:vAlign w:val="top"/>
          </w:tcPr>
          <w:p w14:paraId="24483E6B">
            <w:pPr>
              <w:spacing w:line="480" w:lineRule="exact"/>
              <w:ind w:firstLine="480" w:firstLineChars="200"/>
              <w:rPr>
                <w:rFonts w:hint="eastAsia" w:ascii="宋体" w:hAnsi="宋体" w:eastAsia="宋体" w:cs="宋体"/>
                <w:bCs/>
                <w:color w:val="000000"/>
                <w:sz w:val="24"/>
              </w:rPr>
            </w:pPr>
          </w:p>
        </w:tc>
      </w:tr>
      <w:tr w14:paraId="4455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4A9915A9">
            <w:pPr>
              <w:spacing w:line="480" w:lineRule="exact"/>
              <w:ind w:firstLine="480" w:firstLineChars="200"/>
              <w:rPr>
                <w:rFonts w:hint="eastAsia" w:ascii="宋体" w:hAnsi="宋体" w:eastAsia="宋体" w:cs="宋体"/>
                <w:bCs/>
                <w:color w:val="000000"/>
                <w:sz w:val="24"/>
              </w:rPr>
            </w:pPr>
          </w:p>
        </w:tc>
        <w:tc>
          <w:tcPr>
            <w:tcW w:w="2031" w:type="dxa"/>
            <w:tcBorders>
              <w:top w:val="single" w:color="auto" w:sz="4" w:space="0"/>
              <w:left w:val="single" w:color="auto" w:sz="4" w:space="0"/>
              <w:bottom w:val="single" w:color="auto" w:sz="4" w:space="0"/>
              <w:right w:val="single" w:color="auto" w:sz="4" w:space="0"/>
            </w:tcBorders>
            <w:noWrap w:val="0"/>
            <w:vAlign w:val="top"/>
          </w:tcPr>
          <w:p w14:paraId="78240413">
            <w:pPr>
              <w:spacing w:line="480" w:lineRule="exact"/>
              <w:ind w:firstLine="480" w:firstLineChars="200"/>
              <w:rPr>
                <w:rFonts w:hint="eastAsia" w:ascii="宋体" w:hAnsi="宋体" w:eastAsia="宋体" w:cs="宋体"/>
                <w:bCs/>
                <w:color w:val="000000"/>
                <w:sz w:val="24"/>
              </w:rPr>
            </w:pPr>
          </w:p>
        </w:tc>
        <w:tc>
          <w:tcPr>
            <w:tcW w:w="2170" w:type="dxa"/>
            <w:tcBorders>
              <w:top w:val="single" w:color="auto" w:sz="4" w:space="0"/>
              <w:left w:val="single" w:color="auto" w:sz="4" w:space="0"/>
              <w:bottom w:val="single" w:color="auto" w:sz="4" w:space="0"/>
              <w:right w:val="single" w:color="auto" w:sz="4" w:space="0"/>
            </w:tcBorders>
            <w:noWrap w:val="0"/>
            <w:vAlign w:val="top"/>
          </w:tcPr>
          <w:p w14:paraId="3E4ABE7A">
            <w:pPr>
              <w:spacing w:line="480" w:lineRule="exact"/>
              <w:ind w:firstLine="480" w:firstLineChars="200"/>
              <w:rPr>
                <w:rFonts w:hint="eastAsia" w:ascii="宋体" w:hAnsi="宋体" w:eastAsia="宋体" w:cs="宋体"/>
                <w:bCs/>
                <w:color w:val="000000"/>
                <w:sz w:val="24"/>
              </w:rPr>
            </w:pPr>
          </w:p>
        </w:tc>
        <w:tc>
          <w:tcPr>
            <w:tcW w:w="1713" w:type="dxa"/>
            <w:tcBorders>
              <w:top w:val="single" w:color="auto" w:sz="4" w:space="0"/>
              <w:left w:val="single" w:color="auto" w:sz="4" w:space="0"/>
              <w:bottom w:val="single" w:color="auto" w:sz="4" w:space="0"/>
              <w:right w:val="single" w:color="auto" w:sz="4" w:space="0"/>
            </w:tcBorders>
            <w:noWrap w:val="0"/>
            <w:vAlign w:val="top"/>
          </w:tcPr>
          <w:p w14:paraId="79A318A5">
            <w:pPr>
              <w:spacing w:line="480" w:lineRule="exact"/>
              <w:ind w:firstLine="480" w:firstLineChars="200"/>
              <w:rPr>
                <w:rFonts w:hint="eastAsia" w:ascii="宋体" w:hAnsi="宋体" w:eastAsia="宋体" w:cs="宋体"/>
                <w:bCs/>
                <w:color w:val="000000"/>
                <w:sz w:val="24"/>
              </w:rPr>
            </w:pPr>
          </w:p>
        </w:tc>
        <w:tc>
          <w:tcPr>
            <w:tcW w:w="1631" w:type="dxa"/>
            <w:tcBorders>
              <w:top w:val="single" w:color="auto" w:sz="4" w:space="0"/>
              <w:left w:val="single" w:color="auto" w:sz="4" w:space="0"/>
              <w:bottom w:val="single" w:color="auto" w:sz="4" w:space="0"/>
              <w:right w:val="single" w:color="auto" w:sz="4" w:space="0"/>
            </w:tcBorders>
            <w:noWrap w:val="0"/>
            <w:vAlign w:val="top"/>
          </w:tcPr>
          <w:p w14:paraId="47409696">
            <w:pPr>
              <w:spacing w:line="480" w:lineRule="exact"/>
              <w:ind w:firstLine="480" w:firstLineChars="200"/>
              <w:rPr>
                <w:rFonts w:hint="eastAsia" w:ascii="宋体" w:hAnsi="宋体" w:eastAsia="宋体" w:cs="宋体"/>
                <w:bCs/>
                <w:color w:val="000000"/>
                <w:sz w:val="24"/>
              </w:rPr>
            </w:pPr>
          </w:p>
        </w:tc>
      </w:tr>
      <w:tr w14:paraId="1864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32E853A2">
            <w:pPr>
              <w:spacing w:line="480" w:lineRule="exact"/>
              <w:ind w:firstLine="480" w:firstLineChars="200"/>
              <w:rPr>
                <w:rFonts w:hint="eastAsia" w:ascii="宋体" w:hAnsi="宋体" w:eastAsia="宋体" w:cs="宋体"/>
                <w:bCs/>
                <w:color w:val="000000"/>
                <w:sz w:val="24"/>
              </w:rPr>
            </w:pPr>
          </w:p>
        </w:tc>
        <w:tc>
          <w:tcPr>
            <w:tcW w:w="2031" w:type="dxa"/>
            <w:tcBorders>
              <w:top w:val="single" w:color="auto" w:sz="4" w:space="0"/>
              <w:left w:val="single" w:color="auto" w:sz="4" w:space="0"/>
              <w:bottom w:val="single" w:color="auto" w:sz="4" w:space="0"/>
              <w:right w:val="single" w:color="auto" w:sz="4" w:space="0"/>
            </w:tcBorders>
            <w:noWrap w:val="0"/>
            <w:vAlign w:val="top"/>
          </w:tcPr>
          <w:p w14:paraId="238ADD15">
            <w:pPr>
              <w:spacing w:line="480" w:lineRule="exact"/>
              <w:ind w:firstLine="480" w:firstLineChars="200"/>
              <w:rPr>
                <w:rFonts w:hint="eastAsia" w:ascii="宋体" w:hAnsi="宋体" w:eastAsia="宋体" w:cs="宋体"/>
                <w:bCs/>
                <w:color w:val="000000"/>
                <w:sz w:val="24"/>
              </w:rPr>
            </w:pPr>
          </w:p>
        </w:tc>
        <w:tc>
          <w:tcPr>
            <w:tcW w:w="2170" w:type="dxa"/>
            <w:tcBorders>
              <w:top w:val="single" w:color="auto" w:sz="4" w:space="0"/>
              <w:left w:val="single" w:color="auto" w:sz="4" w:space="0"/>
              <w:bottom w:val="single" w:color="auto" w:sz="4" w:space="0"/>
              <w:right w:val="single" w:color="auto" w:sz="4" w:space="0"/>
            </w:tcBorders>
            <w:noWrap w:val="0"/>
            <w:vAlign w:val="top"/>
          </w:tcPr>
          <w:p w14:paraId="354535F8">
            <w:pPr>
              <w:spacing w:line="480" w:lineRule="exact"/>
              <w:ind w:firstLine="480" w:firstLineChars="200"/>
              <w:rPr>
                <w:rFonts w:hint="eastAsia" w:ascii="宋体" w:hAnsi="宋体" w:eastAsia="宋体" w:cs="宋体"/>
                <w:bCs/>
                <w:color w:val="000000"/>
                <w:sz w:val="24"/>
              </w:rPr>
            </w:pPr>
          </w:p>
        </w:tc>
        <w:tc>
          <w:tcPr>
            <w:tcW w:w="1713" w:type="dxa"/>
            <w:tcBorders>
              <w:top w:val="single" w:color="auto" w:sz="4" w:space="0"/>
              <w:left w:val="single" w:color="auto" w:sz="4" w:space="0"/>
              <w:bottom w:val="single" w:color="auto" w:sz="4" w:space="0"/>
              <w:right w:val="single" w:color="auto" w:sz="4" w:space="0"/>
            </w:tcBorders>
            <w:noWrap w:val="0"/>
            <w:vAlign w:val="top"/>
          </w:tcPr>
          <w:p w14:paraId="0C3B18F2">
            <w:pPr>
              <w:spacing w:line="480" w:lineRule="exact"/>
              <w:ind w:firstLine="480" w:firstLineChars="200"/>
              <w:rPr>
                <w:rFonts w:hint="eastAsia" w:ascii="宋体" w:hAnsi="宋体" w:eastAsia="宋体" w:cs="宋体"/>
                <w:bCs/>
                <w:color w:val="000000"/>
                <w:sz w:val="24"/>
              </w:rPr>
            </w:pPr>
          </w:p>
        </w:tc>
        <w:tc>
          <w:tcPr>
            <w:tcW w:w="1631" w:type="dxa"/>
            <w:tcBorders>
              <w:top w:val="single" w:color="auto" w:sz="4" w:space="0"/>
              <w:left w:val="single" w:color="auto" w:sz="4" w:space="0"/>
              <w:bottom w:val="single" w:color="auto" w:sz="4" w:space="0"/>
              <w:right w:val="single" w:color="auto" w:sz="4" w:space="0"/>
            </w:tcBorders>
            <w:noWrap w:val="0"/>
            <w:vAlign w:val="top"/>
          </w:tcPr>
          <w:p w14:paraId="79ACCFC4">
            <w:pPr>
              <w:spacing w:line="480" w:lineRule="exact"/>
              <w:ind w:firstLine="480" w:firstLineChars="200"/>
              <w:rPr>
                <w:rFonts w:hint="eastAsia" w:ascii="宋体" w:hAnsi="宋体" w:eastAsia="宋体" w:cs="宋体"/>
                <w:bCs/>
                <w:color w:val="000000"/>
                <w:sz w:val="24"/>
              </w:rPr>
            </w:pPr>
          </w:p>
        </w:tc>
      </w:tr>
      <w:tr w14:paraId="670A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0DE5337B">
            <w:pPr>
              <w:spacing w:line="480" w:lineRule="exact"/>
              <w:ind w:firstLine="480" w:firstLineChars="200"/>
              <w:rPr>
                <w:rFonts w:hint="eastAsia" w:ascii="宋体" w:hAnsi="宋体" w:eastAsia="宋体" w:cs="宋体"/>
                <w:bCs/>
                <w:color w:val="000000"/>
                <w:sz w:val="24"/>
              </w:rPr>
            </w:pPr>
          </w:p>
        </w:tc>
        <w:tc>
          <w:tcPr>
            <w:tcW w:w="2031" w:type="dxa"/>
            <w:tcBorders>
              <w:top w:val="single" w:color="auto" w:sz="4" w:space="0"/>
              <w:left w:val="single" w:color="auto" w:sz="4" w:space="0"/>
              <w:bottom w:val="single" w:color="auto" w:sz="4" w:space="0"/>
              <w:right w:val="single" w:color="auto" w:sz="4" w:space="0"/>
            </w:tcBorders>
            <w:noWrap w:val="0"/>
            <w:vAlign w:val="top"/>
          </w:tcPr>
          <w:p w14:paraId="43E58892">
            <w:pPr>
              <w:spacing w:line="480" w:lineRule="exact"/>
              <w:ind w:firstLine="480" w:firstLineChars="200"/>
              <w:rPr>
                <w:rFonts w:hint="eastAsia" w:ascii="宋体" w:hAnsi="宋体" w:eastAsia="宋体" w:cs="宋体"/>
                <w:bCs/>
                <w:color w:val="000000"/>
                <w:sz w:val="24"/>
              </w:rPr>
            </w:pPr>
          </w:p>
        </w:tc>
        <w:tc>
          <w:tcPr>
            <w:tcW w:w="2170" w:type="dxa"/>
            <w:tcBorders>
              <w:top w:val="single" w:color="auto" w:sz="4" w:space="0"/>
              <w:left w:val="single" w:color="auto" w:sz="4" w:space="0"/>
              <w:bottom w:val="single" w:color="auto" w:sz="4" w:space="0"/>
              <w:right w:val="single" w:color="auto" w:sz="4" w:space="0"/>
            </w:tcBorders>
            <w:noWrap w:val="0"/>
            <w:vAlign w:val="top"/>
          </w:tcPr>
          <w:p w14:paraId="61034AC9">
            <w:pPr>
              <w:spacing w:line="480" w:lineRule="exact"/>
              <w:ind w:firstLine="480" w:firstLineChars="200"/>
              <w:rPr>
                <w:rFonts w:hint="eastAsia" w:ascii="宋体" w:hAnsi="宋体" w:eastAsia="宋体" w:cs="宋体"/>
                <w:bCs/>
                <w:color w:val="000000"/>
                <w:sz w:val="24"/>
              </w:rPr>
            </w:pPr>
          </w:p>
        </w:tc>
        <w:tc>
          <w:tcPr>
            <w:tcW w:w="1713" w:type="dxa"/>
            <w:tcBorders>
              <w:top w:val="single" w:color="auto" w:sz="4" w:space="0"/>
              <w:left w:val="single" w:color="auto" w:sz="4" w:space="0"/>
              <w:bottom w:val="single" w:color="auto" w:sz="4" w:space="0"/>
              <w:right w:val="single" w:color="auto" w:sz="4" w:space="0"/>
            </w:tcBorders>
            <w:noWrap w:val="0"/>
            <w:vAlign w:val="top"/>
          </w:tcPr>
          <w:p w14:paraId="514C04B1">
            <w:pPr>
              <w:spacing w:line="480" w:lineRule="exact"/>
              <w:ind w:firstLine="480" w:firstLineChars="200"/>
              <w:rPr>
                <w:rFonts w:hint="eastAsia" w:ascii="宋体" w:hAnsi="宋体" w:eastAsia="宋体" w:cs="宋体"/>
                <w:bCs/>
                <w:color w:val="000000"/>
                <w:sz w:val="24"/>
              </w:rPr>
            </w:pPr>
          </w:p>
        </w:tc>
        <w:tc>
          <w:tcPr>
            <w:tcW w:w="1631" w:type="dxa"/>
            <w:tcBorders>
              <w:top w:val="single" w:color="auto" w:sz="4" w:space="0"/>
              <w:left w:val="single" w:color="auto" w:sz="4" w:space="0"/>
              <w:bottom w:val="single" w:color="auto" w:sz="4" w:space="0"/>
              <w:right w:val="single" w:color="auto" w:sz="4" w:space="0"/>
            </w:tcBorders>
            <w:noWrap w:val="0"/>
            <w:vAlign w:val="top"/>
          </w:tcPr>
          <w:p w14:paraId="363DAE37">
            <w:pPr>
              <w:spacing w:line="480" w:lineRule="exact"/>
              <w:ind w:firstLine="480" w:firstLineChars="200"/>
              <w:rPr>
                <w:rFonts w:hint="eastAsia" w:ascii="宋体" w:hAnsi="宋体" w:eastAsia="宋体" w:cs="宋体"/>
                <w:bCs/>
                <w:color w:val="000000"/>
                <w:sz w:val="24"/>
              </w:rPr>
            </w:pPr>
          </w:p>
        </w:tc>
      </w:tr>
      <w:tr w14:paraId="452C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1DA6C74B">
            <w:pPr>
              <w:spacing w:line="480" w:lineRule="exact"/>
              <w:ind w:firstLine="480" w:firstLineChars="200"/>
              <w:rPr>
                <w:rFonts w:hint="eastAsia" w:ascii="宋体" w:hAnsi="宋体" w:eastAsia="宋体" w:cs="宋体"/>
                <w:bCs/>
                <w:color w:val="000000"/>
                <w:sz w:val="24"/>
              </w:rPr>
            </w:pPr>
          </w:p>
        </w:tc>
        <w:tc>
          <w:tcPr>
            <w:tcW w:w="2031" w:type="dxa"/>
            <w:tcBorders>
              <w:top w:val="single" w:color="auto" w:sz="4" w:space="0"/>
              <w:left w:val="single" w:color="auto" w:sz="4" w:space="0"/>
              <w:bottom w:val="single" w:color="auto" w:sz="4" w:space="0"/>
              <w:right w:val="single" w:color="auto" w:sz="4" w:space="0"/>
            </w:tcBorders>
            <w:noWrap w:val="0"/>
            <w:vAlign w:val="top"/>
          </w:tcPr>
          <w:p w14:paraId="5D79AEE0">
            <w:pPr>
              <w:spacing w:line="480" w:lineRule="exact"/>
              <w:ind w:firstLine="480" w:firstLineChars="200"/>
              <w:rPr>
                <w:rFonts w:hint="eastAsia" w:ascii="宋体" w:hAnsi="宋体" w:eastAsia="宋体" w:cs="宋体"/>
                <w:bCs/>
                <w:color w:val="000000"/>
                <w:sz w:val="24"/>
              </w:rPr>
            </w:pPr>
          </w:p>
        </w:tc>
        <w:tc>
          <w:tcPr>
            <w:tcW w:w="2170" w:type="dxa"/>
            <w:tcBorders>
              <w:top w:val="single" w:color="auto" w:sz="4" w:space="0"/>
              <w:left w:val="single" w:color="auto" w:sz="4" w:space="0"/>
              <w:bottom w:val="single" w:color="auto" w:sz="4" w:space="0"/>
              <w:right w:val="single" w:color="auto" w:sz="4" w:space="0"/>
            </w:tcBorders>
            <w:noWrap w:val="0"/>
            <w:vAlign w:val="top"/>
          </w:tcPr>
          <w:p w14:paraId="0CE91A4B">
            <w:pPr>
              <w:spacing w:line="480" w:lineRule="exact"/>
              <w:ind w:firstLine="480" w:firstLineChars="200"/>
              <w:rPr>
                <w:rFonts w:hint="eastAsia" w:ascii="宋体" w:hAnsi="宋体" w:eastAsia="宋体" w:cs="宋体"/>
                <w:bCs/>
                <w:color w:val="000000"/>
                <w:sz w:val="24"/>
              </w:rPr>
            </w:pPr>
          </w:p>
        </w:tc>
        <w:tc>
          <w:tcPr>
            <w:tcW w:w="1713" w:type="dxa"/>
            <w:tcBorders>
              <w:top w:val="single" w:color="auto" w:sz="4" w:space="0"/>
              <w:left w:val="single" w:color="auto" w:sz="4" w:space="0"/>
              <w:bottom w:val="single" w:color="auto" w:sz="4" w:space="0"/>
              <w:right w:val="single" w:color="auto" w:sz="4" w:space="0"/>
            </w:tcBorders>
            <w:noWrap w:val="0"/>
            <w:vAlign w:val="top"/>
          </w:tcPr>
          <w:p w14:paraId="3E7CF921">
            <w:pPr>
              <w:spacing w:line="480" w:lineRule="exact"/>
              <w:ind w:firstLine="480" w:firstLineChars="200"/>
              <w:rPr>
                <w:rFonts w:hint="eastAsia" w:ascii="宋体" w:hAnsi="宋体" w:eastAsia="宋体" w:cs="宋体"/>
                <w:bCs/>
                <w:color w:val="000000"/>
                <w:sz w:val="24"/>
              </w:rPr>
            </w:pPr>
          </w:p>
        </w:tc>
        <w:tc>
          <w:tcPr>
            <w:tcW w:w="1631" w:type="dxa"/>
            <w:tcBorders>
              <w:top w:val="single" w:color="auto" w:sz="4" w:space="0"/>
              <w:left w:val="single" w:color="auto" w:sz="4" w:space="0"/>
              <w:bottom w:val="single" w:color="auto" w:sz="4" w:space="0"/>
              <w:right w:val="single" w:color="auto" w:sz="4" w:space="0"/>
            </w:tcBorders>
            <w:noWrap w:val="0"/>
            <w:vAlign w:val="top"/>
          </w:tcPr>
          <w:p w14:paraId="09FA2110">
            <w:pPr>
              <w:spacing w:line="480" w:lineRule="exact"/>
              <w:ind w:firstLine="480" w:firstLineChars="200"/>
              <w:rPr>
                <w:rFonts w:hint="eastAsia" w:ascii="宋体" w:hAnsi="宋体" w:eastAsia="宋体" w:cs="宋体"/>
                <w:bCs/>
                <w:color w:val="000000"/>
                <w:sz w:val="24"/>
              </w:rPr>
            </w:pPr>
          </w:p>
        </w:tc>
      </w:tr>
      <w:tr w14:paraId="5D20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4139796A">
            <w:pPr>
              <w:spacing w:line="480" w:lineRule="exact"/>
              <w:ind w:firstLine="480" w:firstLineChars="200"/>
              <w:rPr>
                <w:rFonts w:hint="eastAsia" w:ascii="宋体" w:hAnsi="宋体" w:eastAsia="宋体" w:cs="宋体"/>
                <w:bCs/>
                <w:color w:val="000000"/>
                <w:sz w:val="24"/>
              </w:rPr>
            </w:pPr>
          </w:p>
        </w:tc>
        <w:tc>
          <w:tcPr>
            <w:tcW w:w="2031" w:type="dxa"/>
            <w:tcBorders>
              <w:top w:val="single" w:color="auto" w:sz="4" w:space="0"/>
              <w:left w:val="single" w:color="auto" w:sz="4" w:space="0"/>
              <w:bottom w:val="single" w:color="auto" w:sz="4" w:space="0"/>
              <w:right w:val="single" w:color="auto" w:sz="4" w:space="0"/>
            </w:tcBorders>
            <w:noWrap w:val="0"/>
            <w:vAlign w:val="top"/>
          </w:tcPr>
          <w:p w14:paraId="63803207">
            <w:pPr>
              <w:spacing w:line="480" w:lineRule="exact"/>
              <w:ind w:firstLine="480" w:firstLineChars="200"/>
              <w:rPr>
                <w:rFonts w:hint="eastAsia" w:ascii="宋体" w:hAnsi="宋体" w:eastAsia="宋体" w:cs="宋体"/>
                <w:bCs/>
                <w:color w:val="000000"/>
                <w:sz w:val="24"/>
              </w:rPr>
            </w:pPr>
          </w:p>
        </w:tc>
        <w:tc>
          <w:tcPr>
            <w:tcW w:w="2170" w:type="dxa"/>
            <w:tcBorders>
              <w:top w:val="single" w:color="auto" w:sz="4" w:space="0"/>
              <w:left w:val="single" w:color="auto" w:sz="4" w:space="0"/>
              <w:bottom w:val="single" w:color="auto" w:sz="4" w:space="0"/>
              <w:right w:val="single" w:color="auto" w:sz="4" w:space="0"/>
            </w:tcBorders>
            <w:noWrap w:val="0"/>
            <w:vAlign w:val="top"/>
          </w:tcPr>
          <w:p w14:paraId="52D87333">
            <w:pPr>
              <w:spacing w:line="480" w:lineRule="exact"/>
              <w:ind w:firstLine="480" w:firstLineChars="200"/>
              <w:rPr>
                <w:rFonts w:hint="eastAsia" w:ascii="宋体" w:hAnsi="宋体" w:eastAsia="宋体" w:cs="宋体"/>
                <w:bCs/>
                <w:color w:val="000000"/>
                <w:sz w:val="24"/>
              </w:rPr>
            </w:pPr>
          </w:p>
        </w:tc>
        <w:tc>
          <w:tcPr>
            <w:tcW w:w="1713" w:type="dxa"/>
            <w:tcBorders>
              <w:top w:val="single" w:color="auto" w:sz="4" w:space="0"/>
              <w:left w:val="single" w:color="auto" w:sz="4" w:space="0"/>
              <w:bottom w:val="single" w:color="auto" w:sz="4" w:space="0"/>
              <w:right w:val="single" w:color="auto" w:sz="4" w:space="0"/>
            </w:tcBorders>
            <w:noWrap w:val="0"/>
            <w:vAlign w:val="top"/>
          </w:tcPr>
          <w:p w14:paraId="4381FAC4">
            <w:pPr>
              <w:spacing w:line="480" w:lineRule="exact"/>
              <w:ind w:firstLine="480" w:firstLineChars="200"/>
              <w:rPr>
                <w:rFonts w:hint="eastAsia" w:ascii="宋体" w:hAnsi="宋体" w:eastAsia="宋体" w:cs="宋体"/>
                <w:bCs/>
                <w:color w:val="000000"/>
                <w:sz w:val="24"/>
              </w:rPr>
            </w:pPr>
          </w:p>
        </w:tc>
        <w:tc>
          <w:tcPr>
            <w:tcW w:w="1631" w:type="dxa"/>
            <w:tcBorders>
              <w:top w:val="single" w:color="auto" w:sz="4" w:space="0"/>
              <w:left w:val="single" w:color="auto" w:sz="4" w:space="0"/>
              <w:bottom w:val="single" w:color="auto" w:sz="4" w:space="0"/>
              <w:right w:val="single" w:color="auto" w:sz="4" w:space="0"/>
            </w:tcBorders>
            <w:noWrap w:val="0"/>
            <w:vAlign w:val="top"/>
          </w:tcPr>
          <w:p w14:paraId="38FC8B51">
            <w:pPr>
              <w:spacing w:line="480" w:lineRule="exact"/>
              <w:ind w:firstLine="480" w:firstLineChars="200"/>
              <w:rPr>
                <w:rFonts w:hint="eastAsia" w:ascii="宋体" w:hAnsi="宋体" w:eastAsia="宋体" w:cs="宋体"/>
                <w:bCs/>
                <w:color w:val="000000"/>
                <w:sz w:val="24"/>
              </w:rPr>
            </w:pPr>
          </w:p>
        </w:tc>
      </w:tr>
      <w:tr w14:paraId="1489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7D45C9F5">
            <w:pPr>
              <w:spacing w:line="480" w:lineRule="exact"/>
              <w:ind w:firstLine="480" w:firstLineChars="200"/>
              <w:rPr>
                <w:rFonts w:hint="eastAsia" w:ascii="宋体" w:hAnsi="宋体" w:eastAsia="宋体" w:cs="宋体"/>
                <w:bCs/>
                <w:color w:val="000000"/>
                <w:sz w:val="24"/>
              </w:rPr>
            </w:pPr>
          </w:p>
        </w:tc>
        <w:tc>
          <w:tcPr>
            <w:tcW w:w="2031" w:type="dxa"/>
            <w:tcBorders>
              <w:top w:val="single" w:color="auto" w:sz="4" w:space="0"/>
              <w:left w:val="single" w:color="auto" w:sz="4" w:space="0"/>
              <w:bottom w:val="single" w:color="auto" w:sz="4" w:space="0"/>
              <w:right w:val="single" w:color="auto" w:sz="4" w:space="0"/>
            </w:tcBorders>
            <w:noWrap w:val="0"/>
            <w:vAlign w:val="top"/>
          </w:tcPr>
          <w:p w14:paraId="59AF092B">
            <w:pPr>
              <w:spacing w:line="480" w:lineRule="exact"/>
              <w:ind w:firstLine="480" w:firstLineChars="200"/>
              <w:rPr>
                <w:rFonts w:hint="eastAsia" w:ascii="宋体" w:hAnsi="宋体" w:eastAsia="宋体" w:cs="宋体"/>
                <w:bCs/>
                <w:color w:val="000000"/>
                <w:sz w:val="24"/>
              </w:rPr>
            </w:pPr>
          </w:p>
        </w:tc>
        <w:tc>
          <w:tcPr>
            <w:tcW w:w="2170" w:type="dxa"/>
            <w:tcBorders>
              <w:top w:val="single" w:color="auto" w:sz="4" w:space="0"/>
              <w:left w:val="single" w:color="auto" w:sz="4" w:space="0"/>
              <w:bottom w:val="single" w:color="auto" w:sz="4" w:space="0"/>
              <w:right w:val="single" w:color="auto" w:sz="4" w:space="0"/>
            </w:tcBorders>
            <w:noWrap w:val="0"/>
            <w:vAlign w:val="top"/>
          </w:tcPr>
          <w:p w14:paraId="58266B51">
            <w:pPr>
              <w:spacing w:line="480" w:lineRule="exact"/>
              <w:ind w:firstLine="480" w:firstLineChars="200"/>
              <w:rPr>
                <w:rFonts w:hint="eastAsia" w:ascii="宋体" w:hAnsi="宋体" w:eastAsia="宋体" w:cs="宋体"/>
                <w:bCs/>
                <w:color w:val="000000"/>
                <w:sz w:val="24"/>
              </w:rPr>
            </w:pPr>
          </w:p>
        </w:tc>
        <w:tc>
          <w:tcPr>
            <w:tcW w:w="1713" w:type="dxa"/>
            <w:tcBorders>
              <w:top w:val="single" w:color="auto" w:sz="4" w:space="0"/>
              <w:left w:val="single" w:color="auto" w:sz="4" w:space="0"/>
              <w:bottom w:val="single" w:color="auto" w:sz="4" w:space="0"/>
              <w:right w:val="single" w:color="auto" w:sz="4" w:space="0"/>
            </w:tcBorders>
            <w:noWrap w:val="0"/>
            <w:vAlign w:val="top"/>
          </w:tcPr>
          <w:p w14:paraId="64347AF3">
            <w:pPr>
              <w:spacing w:line="480" w:lineRule="exact"/>
              <w:ind w:firstLine="480" w:firstLineChars="200"/>
              <w:rPr>
                <w:rFonts w:hint="eastAsia" w:ascii="宋体" w:hAnsi="宋体" w:eastAsia="宋体" w:cs="宋体"/>
                <w:bCs/>
                <w:color w:val="000000"/>
                <w:sz w:val="24"/>
              </w:rPr>
            </w:pPr>
          </w:p>
        </w:tc>
        <w:tc>
          <w:tcPr>
            <w:tcW w:w="1631" w:type="dxa"/>
            <w:tcBorders>
              <w:top w:val="single" w:color="auto" w:sz="4" w:space="0"/>
              <w:left w:val="single" w:color="auto" w:sz="4" w:space="0"/>
              <w:bottom w:val="single" w:color="auto" w:sz="4" w:space="0"/>
              <w:right w:val="single" w:color="auto" w:sz="4" w:space="0"/>
            </w:tcBorders>
            <w:noWrap w:val="0"/>
            <w:vAlign w:val="top"/>
          </w:tcPr>
          <w:p w14:paraId="5A6575C8">
            <w:pPr>
              <w:spacing w:line="480" w:lineRule="exact"/>
              <w:ind w:firstLine="480" w:firstLineChars="200"/>
              <w:rPr>
                <w:rFonts w:hint="eastAsia" w:ascii="宋体" w:hAnsi="宋体" w:eastAsia="宋体" w:cs="宋体"/>
                <w:bCs/>
                <w:color w:val="000000"/>
                <w:sz w:val="24"/>
              </w:rPr>
            </w:pPr>
          </w:p>
        </w:tc>
      </w:tr>
      <w:tr w14:paraId="3557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6B0B1078">
            <w:pPr>
              <w:spacing w:line="480" w:lineRule="exact"/>
              <w:ind w:firstLine="480" w:firstLineChars="200"/>
              <w:rPr>
                <w:rFonts w:hint="eastAsia" w:ascii="宋体" w:hAnsi="宋体" w:eastAsia="宋体" w:cs="宋体"/>
                <w:bCs/>
                <w:color w:val="000000"/>
                <w:sz w:val="24"/>
              </w:rPr>
            </w:pPr>
          </w:p>
        </w:tc>
        <w:tc>
          <w:tcPr>
            <w:tcW w:w="2031" w:type="dxa"/>
            <w:tcBorders>
              <w:top w:val="single" w:color="auto" w:sz="4" w:space="0"/>
              <w:left w:val="single" w:color="auto" w:sz="4" w:space="0"/>
              <w:bottom w:val="single" w:color="auto" w:sz="4" w:space="0"/>
              <w:right w:val="single" w:color="auto" w:sz="4" w:space="0"/>
            </w:tcBorders>
            <w:noWrap w:val="0"/>
            <w:vAlign w:val="top"/>
          </w:tcPr>
          <w:p w14:paraId="426738E6">
            <w:pPr>
              <w:spacing w:line="480" w:lineRule="exact"/>
              <w:ind w:firstLine="480" w:firstLineChars="200"/>
              <w:rPr>
                <w:rFonts w:hint="eastAsia" w:ascii="宋体" w:hAnsi="宋体" w:eastAsia="宋体" w:cs="宋体"/>
                <w:bCs/>
                <w:color w:val="000000"/>
                <w:sz w:val="24"/>
              </w:rPr>
            </w:pPr>
          </w:p>
        </w:tc>
        <w:tc>
          <w:tcPr>
            <w:tcW w:w="2170" w:type="dxa"/>
            <w:tcBorders>
              <w:top w:val="single" w:color="auto" w:sz="4" w:space="0"/>
              <w:left w:val="single" w:color="auto" w:sz="4" w:space="0"/>
              <w:bottom w:val="single" w:color="auto" w:sz="4" w:space="0"/>
              <w:right w:val="single" w:color="auto" w:sz="4" w:space="0"/>
            </w:tcBorders>
            <w:noWrap w:val="0"/>
            <w:vAlign w:val="top"/>
          </w:tcPr>
          <w:p w14:paraId="32A9B456">
            <w:pPr>
              <w:spacing w:line="480" w:lineRule="exact"/>
              <w:ind w:firstLine="480" w:firstLineChars="200"/>
              <w:rPr>
                <w:rFonts w:hint="eastAsia" w:ascii="宋体" w:hAnsi="宋体" w:eastAsia="宋体" w:cs="宋体"/>
                <w:bCs/>
                <w:color w:val="000000"/>
                <w:sz w:val="24"/>
              </w:rPr>
            </w:pPr>
          </w:p>
        </w:tc>
        <w:tc>
          <w:tcPr>
            <w:tcW w:w="1713" w:type="dxa"/>
            <w:tcBorders>
              <w:top w:val="single" w:color="auto" w:sz="4" w:space="0"/>
              <w:left w:val="single" w:color="auto" w:sz="4" w:space="0"/>
              <w:bottom w:val="single" w:color="auto" w:sz="4" w:space="0"/>
              <w:right w:val="single" w:color="auto" w:sz="4" w:space="0"/>
            </w:tcBorders>
            <w:noWrap w:val="0"/>
            <w:vAlign w:val="top"/>
          </w:tcPr>
          <w:p w14:paraId="34B0651B">
            <w:pPr>
              <w:spacing w:line="480" w:lineRule="exact"/>
              <w:ind w:firstLine="480" w:firstLineChars="200"/>
              <w:rPr>
                <w:rFonts w:hint="eastAsia" w:ascii="宋体" w:hAnsi="宋体" w:eastAsia="宋体" w:cs="宋体"/>
                <w:bCs/>
                <w:color w:val="000000"/>
                <w:sz w:val="24"/>
              </w:rPr>
            </w:pPr>
          </w:p>
        </w:tc>
        <w:tc>
          <w:tcPr>
            <w:tcW w:w="1631" w:type="dxa"/>
            <w:tcBorders>
              <w:top w:val="single" w:color="auto" w:sz="4" w:space="0"/>
              <w:left w:val="single" w:color="auto" w:sz="4" w:space="0"/>
              <w:bottom w:val="single" w:color="auto" w:sz="4" w:space="0"/>
              <w:right w:val="single" w:color="auto" w:sz="4" w:space="0"/>
            </w:tcBorders>
            <w:noWrap w:val="0"/>
            <w:vAlign w:val="top"/>
          </w:tcPr>
          <w:p w14:paraId="397FF4EF">
            <w:pPr>
              <w:spacing w:line="480" w:lineRule="exact"/>
              <w:ind w:firstLine="480" w:firstLineChars="200"/>
              <w:rPr>
                <w:rFonts w:hint="eastAsia" w:ascii="宋体" w:hAnsi="宋体" w:eastAsia="宋体" w:cs="宋体"/>
                <w:bCs/>
                <w:color w:val="000000"/>
                <w:sz w:val="24"/>
              </w:rPr>
            </w:pPr>
          </w:p>
        </w:tc>
      </w:tr>
      <w:tr w14:paraId="52BD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2393D8A1">
            <w:pPr>
              <w:spacing w:line="480" w:lineRule="exact"/>
              <w:ind w:firstLine="480" w:firstLineChars="200"/>
              <w:rPr>
                <w:rFonts w:hint="eastAsia" w:ascii="宋体" w:hAnsi="宋体" w:eastAsia="宋体" w:cs="宋体"/>
                <w:bCs/>
                <w:color w:val="000000"/>
                <w:sz w:val="24"/>
              </w:rPr>
            </w:pPr>
          </w:p>
        </w:tc>
        <w:tc>
          <w:tcPr>
            <w:tcW w:w="2031" w:type="dxa"/>
            <w:tcBorders>
              <w:top w:val="single" w:color="auto" w:sz="4" w:space="0"/>
              <w:left w:val="single" w:color="auto" w:sz="4" w:space="0"/>
              <w:bottom w:val="single" w:color="auto" w:sz="4" w:space="0"/>
              <w:right w:val="single" w:color="auto" w:sz="4" w:space="0"/>
            </w:tcBorders>
            <w:noWrap w:val="0"/>
            <w:vAlign w:val="top"/>
          </w:tcPr>
          <w:p w14:paraId="36454F6A">
            <w:pPr>
              <w:spacing w:line="480" w:lineRule="exact"/>
              <w:ind w:firstLine="480" w:firstLineChars="200"/>
              <w:rPr>
                <w:rFonts w:hint="eastAsia" w:ascii="宋体" w:hAnsi="宋体" w:eastAsia="宋体" w:cs="宋体"/>
                <w:bCs/>
                <w:color w:val="000000"/>
                <w:sz w:val="24"/>
              </w:rPr>
            </w:pPr>
          </w:p>
        </w:tc>
        <w:tc>
          <w:tcPr>
            <w:tcW w:w="2170" w:type="dxa"/>
            <w:tcBorders>
              <w:top w:val="single" w:color="auto" w:sz="4" w:space="0"/>
              <w:left w:val="single" w:color="auto" w:sz="4" w:space="0"/>
              <w:bottom w:val="single" w:color="auto" w:sz="4" w:space="0"/>
              <w:right w:val="single" w:color="auto" w:sz="4" w:space="0"/>
            </w:tcBorders>
            <w:noWrap w:val="0"/>
            <w:vAlign w:val="top"/>
          </w:tcPr>
          <w:p w14:paraId="7F9BBF5D">
            <w:pPr>
              <w:spacing w:line="480" w:lineRule="exact"/>
              <w:ind w:firstLine="480" w:firstLineChars="200"/>
              <w:rPr>
                <w:rFonts w:hint="eastAsia" w:ascii="宋体" w:hAnsi="宋体" w:eastAsia="宋体" w:cs="宋体"/>
                <w:bCs/>
                <w:color w:val="000000"/>
                <w:sz w:val="24"/>
              </w:rPr>
            </w:pPr>
          </w:p>
        </w:tc>
        <w:tc>
          <w:tcPr>
            <w:tcW w:w="1713" w:type="dxa"/>
            <w:tcBorders>
              <w:top w:val="single" w:color="auto" w:sz="4" w:space="0"/>
              <w:left w:val="single" w:color="auto" w:sz="4" w:space="0"/>
              <w:bottom w:val="single" w:color="auto" w:sz="4" w:space="0"/>
              <w:right w:val="single" w:color="auto" w:sz="4" w:space="0"/>
            </w:tcBorders>
            <w:noWrap w:val="0"/>
            <w:vAlign w:val="top"/>
          </w:tcPr>
          <w:p w14:paraId="7D1624D5">
            <w:pPr>
              <w:spacing w:line="480" w:lineRule="exact"/>
              <w:ind w:firstLine="480" w:firstLineChars="200"/>
              <w:rPr>
                <w:rFonts w:hint="eastAsia" w:ascii="宋体" w:hAnsi="宋体" w:eastAsia="宋体" w:cs="宋体"/>
                <w:bCs/>
                <w:color w:val="000000"/>
                <w:sz w:val="24"/>
              </w:rPr>
            </w:pPr>
          </w:p>
        </w:tc>
        <w:tc>
          <w:tcPr>
            <w:tcW w:w="1631" w:type="dxa"/>
            <w:tcBorders>
              <w:top w:val="single" w:color="auto" w:sz="4" w:space="0"/>
              <w:left w:val="single" w:color="auto" w:sz="4" w:space="0"/>
              <w:bottom w:val="single" w:color="auto" w:sz="4" w:space="0"/>
              <w:right w:val="single" w:color="auto" w:sz="4" w:space="0"/>
            </w:tcBorders>
            <w:noWrap w:val="0"/>
            <w:vAlign w:val="top"/>
          </w:tcPr>
          <w:p w14:paraId="6B1DAA7C">
            <w:pPr>
              <w:spacing w:line="480" w:lineRule="exact"/>
              <w:ind w:firstLine="480" w:firstLineChars="200"/>
              <w:rPr>
                <w:rFonts w:hint="eastAsia" w:ascii="宋体" w:hAnsi="宋体" w:eastAsia="宋体" w:cs="宋体"/>
                <w:bCs/>
                <w:color w:val="000000"/>
                <w:sz w:val="24"/>
              </w:rPr>
            </w:pPr>
          </w:p>
        </w:tc>
      </w:tr>
      <w:tr w14:paraId="2896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3E5A00EF">
            <w:pPr>
              <w:spacing w:line="480" w:lineRule="exact"/>
              <w:ind w:firstLine="480" w:firstLineChars="200"/>
              <w:rPr>
                <w:rFonts w:hint="eastAsia" w:ascii="宋体" w:hAnsi="宋体" w:eastAsia="宋体" w:cs="宋体"/>
                <w:bCs/>
                <w:color w:val="000000"/>
                <w:sz w:val="24"/>
              </w:rPr>
            </w:pPr>
          </w:p>
        </w:tc>
        <w:tc>
          <w:tcPr>
            <w:tcW w:w="2031" w:type="dxa"/>
            <w:tcBorders>
              <w:top w:val="single" w:color="auto" w:sz="4" w:space="0"/>
              <w:left w:val="single" w:color="auto" w:sz="4" w:space="0"/>
              <w:bottom w:val="single" w:color="auto" w:sz="4" w:space="0"/>
              <w:right w:val="single" w:color="auto" w:sz="4" w:space="0"/>
            </w:tcBorders>
            <w:noWrap w:val="0"/>
            <w:vAlign w:val="top"/>
          </w:tcPr>
          <w:p w14:paraId="49C5D066">
            <w:pPr>
              <w:spacing w:line="480" w:lineRule="exact"/>
              <w:ind w:firstLine="480" w:firstLineChars="200"/>
              <w:rPr>
                <w:rFonts w:hint="eastAsia" w:ascii="宋体" w:hAnsi="宋体" w:eastAsia="宋体" w:cs="宋体"/>
                <w:bCs/>
                <w:color w:val="000000"/>
                <w:sz w:val="24"/>
              </w:rPr>
            </w:pPr>
          </w:p>
        </w:tc>
        <w:tc>
          <w:tcPr>
            <w:tcW w:w="2170" w:type="dxa"/>
            <w:tcBorders>
              <w:top w:val="single" w:color="auto" w:sz="4" w:space="0"/>
              <w:left w:val="single" w:color="auto" w:sz="4" w:space="0"/>
              <w:bottom w:val="single" w:color="auto" w:sz="4" w:space="0"/>
              <w:right w:val="single" w:color="auto" w:sz="4" w:space="0"/>
            </w:tcBorders>
            <w:noWrap w:val="0"/>
            <w:vAlign w:val="top"/>
          </w:tcPr>
          <w:p w14:paraId="413FEBBD">
            <w:pPr>
              <w:spacing w:line="480" w:lineRule="exact"/>
              <w:ind w:firstLine="480" w:firstLineChars="200"/>
              <w:rPr>
                <w:rFonts w:hint="eastAsia" w:ascii="宋体" w:hAnsi="宋体" w:eastAsia="宋体" w:cs="宋体"/>
                <w:bCs/>
                <w:color w:val="000000"/>
                <w:sz w:val="24"/>
              </w:rPr>
            </w:pPr>
          </w:p>
        </w:tc>
        <w:tc>
          <w:tcPr>
            <w:tcW w:w="1713" w:type="dxa"/>
            <w:tcBorders>
              <w:top w:val="single" w:color="auto" w:sz="4" w:space="0"/>
              <w:left w:val="single" w:color="auto" w:sz="4" w:space="0"/>
              <w:bottom w:val="single" w:color="auto" w:sz="4" w:space="0"/>
              <w:right w:val="single" w:color="auto" w:sz="4" w:space="0"/>
            </w:tcBorders>
            <w:noWrap w:val="0"/>
            <w:vAlign w:val="top"/>
          </w:tcPr>
          <w:p w14:paraId="4CFCEEDE">
            <w:pPr>
              <w:spacing w:line="480" w:lineRule="exact"/>
              <w:ind w:firstLine="480" w:firstLineChars="200"/>
              <w:rPr>
                <w:rFonts w:hint="eastAsia" w:ascii="宋体" w:hAnsi="宋体" w:eastAsia="宋体" w:cs="宋体"/>
                <w:bCs/>
                <w:color w:val="000000"/>
                <w:sz w:val="24"/>
              </w:rPr>
            </w:pPr>
          </w:p>
        </w:tc>
        <w:tc>
          <w:tcPr>
            <w:tcW w:w="1631" w:type="dxa"/>
            <w:tcBorders>
              <w:top w:val="single" w:color="auto" w:sz="4" w:space="0"/>
              <w:left w:val="single" w:color="auto" w:sz="4" w:space="0"/>
              <w:bottom w:val="single" w:color="auto" w:sz="4" w:space="0"/>
              <w:right w:val="single" w:color="auto" w:sz="4" w:space="0"/>
            </w:tcBorders>
            <w:noWrap w:val="0"/>
            <w:vAlign w:val="top"/>
          </w:tcPr>
          <w:p w14:paraId="08B2BB09">
            <w:pPr>
              <w:spacing w:line="480" w:lineRule="exact"/>
              <w:ind w:firstLine="480" w:firstLineChars="200"/>
              <w:rPr>
                <w:rFonts w:hint="eastAsia" w:ascii="宋体" w:hAnsi="宋体" w:eastAsia="宋体" w:cs="宋体"/>
                <w:bCs/>
                <w:color w:val="000000"/>
                <w:sz w:val="24"/>
              </w:rPr>
            </w:pPr>
          </w:p>
        </w:tc>
      </w:tr>
    </w:tbl>
    <w:p w14:paraId="53E9A248">
      <w:pPr>
        <w:spacing w:before="120" w:beforeLines="50"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注：1、</w:t>
      </w:r>
      <w:r>
        <w:rPr>
          <w:rFonts w:hint="eastAsia" w:ascii="宋体" w:hAnsi="宋体" w:eastAsia="宋体" w:cs="宋体"/>
          <w:color w:val="000000"/>
          <w:sz w:val="24"/>
          <w:lang w:val="en-US" w:eastAsia="zh-CN"/>
        </w:rPr>
        <w:t>供应商</w:t>
      </w:r>
      <w:r>
        <w:rPr>
          <w:rFonts w:hint="eastAsia" w:ascii="宋体" w:hAnsi="宋体" w:eastAsia="宋体" w:cs="宋体"/>
          <w:color w:val="000000"/>
          <w:sz w:val="24"/>
        </w:rPr>
        <w:t>应按采购文件中的内容及要求，根据投</w:t>
      </w:r>
      <w:r>
        <w:rPr>
          <w:rFonts w:hint="eastAsia" w:ascii="宋体" w:hAnsi="宋体" w:eastAsia="宋体" w:cs="宋体"/>
          <w:color w:val="000000"/>
          <w:sz w:val="24"/>
          <w:lang w:val="en-US" w:eastAsia="zh-CN"/>
        </w:rPr>
        <w:t>标</w:t>
      </w:r>
      <w:r>
        <w:rPr>
          <w:rFonts w:hint="eastAsia" w:ascii="宋体" w:hAnsi="宋体" w:eastAsia="宋体" w:cs="宋体"/>
          <w:color w:val="000000"/>
          <w:sz w:val="24"/>
        </w:rPr>
        <w:t>服务进行相应响应，</w:t>
      </w:r>
      <w:r>
        <w:rPr>
          <w:rFonts w:hint="eastAsia" w:ascii="宋体" w:hAnsi="宋体" w:eastAsia="宋体" w:cs="宋体"/>
          <w:color w:val="000000"/>
          <w:sz w:val="24"/>
          <w:lang w:val="en-US" w:eastAsia="zh-CN"/>
        </w:rPr>
        <w:t>供应商</w:t>
      </w:r>
      <w:r>
        <w:rPr>
          <w:rFonts w:hint="eastAsia" w:ascii="宋体" w:hAnsi="宋体" w:eastAsia="宋体" w:cs="宋体"/>
          <w:color w:val="000000"/>
          <w:sz w:val="24"/>
        </w:rPr>
        <w:t>必须根据所投服务的实际情况如实填写。偏差情况填写“负偏差”或“正偏差”或“无偏差”。</w:t>
      </w:r>
      <w:r>
        <w:rPr>
          <w:rFonts w:hint="eastAsia"/>
          <w:sz w:val="24"/>
          <w:lang w:val="en-US" w:eastAsia="zh-CN" w:bidi="ar-SA"/>
        </w:rPr>
        <w:t>供应商</w:t>
      </w:r>
      <w:r>
        <w:rPr>
          <w:rFonts w:hint="eastAsia" w:ascii="宋体" w:hAnsi="宋体" w:eastAsia="宋体" w:cs="宋体"/>
          <w:color w:val="000000"/>
          <w:sz w:val="24"/>
        </w:rPr>
        <w:t>在编制本表时，任何因错写、漏写、虚假响应等所导致的无效投标行为由</w:t>
      </w:r>
      <w:r>
        <w:rPr>
          <w:rFonts w:hint="eastAsia"/>
          <w:sz w:val="24"/>
          <w:lang w:val="en-US" w:eastAsia="zh-CN" w:bidi="ar-SA"/>
        </w:rPr>
        <w:t>投标人</w:t>
      </w:r>
      <w:r>
        <w:rPr>
          <w:rFonts w:hint="eastAsia" w:ascii="宋体" w:hAnsi="宋体" w:eastAsia="宋体" w:cs="宋体"/>
          <w:color w:val="000000"/>
          <w:sz w:val="24"/>
        </w:rPr>
        <w:t>自行承担。</w:t>
      </w:r>
    </w:p>
    <w:p w14:paraId="20F4E3D9">
      <w:pPr>
        <w:numPr>
          <w:ilvl w:val="0"/>
          <w:numId w:val="3"/>
        </w:numPr>
        <w:spacing w:before="120" w:beforeLines="50" w:line="360" w:lineRule="auto"/>
        <w:ind w:firstLine="480" w:firstLineChars="200"/>
        <w:rPr>
          <w:rFonts w:hint="eastAsia" w:ascii="宋体" w:hAnsi="宋体" w:eastAsia="宋体" w:cs="宋体"/>
          <w:sz w:val="24"/>
          <w:highlight w:val="none"/>
        </w:rPr>
      </w:pPr>
      <w:r>
        <w:rPr>
          <w:rFonts w:hint="eastAsia" w:ascii="宋体" w:hAnsi="宋体" w:eastAsia="宋体" w:cs="宋体"/>
          <w:color w:val="000000"/>
          <w:sz w:val="24"/>
          <w:highlight w:val="none"/>
          <w:lang w:eastAsia="zh-CN"/>
        </w:rPr>
        <w:t>投标人保证：除偏差表列出的偏差外，</w:t>
      </w:r>
      <w:r>
        <w:rPr>
          <w:rFonts w:hint="eastAsia"/>
          <w:sz w:val="24"/>
          <w:highlight w:val="none"/>
          <w:lang w:val="en-US" w:eastAsia="zh-CN" w:bidi="ar-SA"/>
        </w:rPr>
        <w:t>供应商</w:t>
      </w:r>
      <w:r>
        <w:rPr>
          <w:rFonts w:hint="eastAsia" w:ascii="宋体" w:hAnsi="宋体" w:eastAsia="宋体" w:cs="宋体"/>
          <w:color w:val="000000"/>
          <w:sz w:val="24"/>
          <w:highlight w:val="none"/>
          <w:lang w:eastAsia="zh-CN"/>
        </w:rPr>
        <w:t>响应采购文件的全部要求，</w:t>
      </w:r>
      <w:r>
        <w:rPr>
          <w:rFonts w:hint="eastAsia"/>
          <w:sz w:val="24"/>
          <w:highlight w:val="none"/>
          <w:lang w:val="en-US" w:eastAsia="zh-CN" w:bidi="ar-SA"/>
        </w:rPr>
        <w:t>供应商</w:t>
      </w:r>
      <w:r>
        <w:rPr>
          <w:rFonts w:hint="eastAsia" w:ascii="宋体" w:hAnsi="宋体" w:eastAsia="宋体" w:cs="宋体"/>
          <w:color w:val="000000"/>
          <w:sz w:val="24"/>
          <w:highlight w:val="none"/>
          <w:lang w:eastAsia="zh-CN"/>
        </w:rPr>
        <w:t>须在</w:t>
      </w:r>
      <w:r>
        <w:rPr>
          <w:rFonts w:hint="eastAsia" w:ascii="宋体" w:hAnsi="宋体" w:eastAsia="宋体" w:cs="宋体"/>
          <w:color w:val="000000"/>
          <w:sz w:val="24"/>
          <w:highlight w:val="none"/>
          <w:lang w:val="en-US" w:eastAsia="zh-CN"/>
        </w:rPr>
        <w:t>响应</w:t>
      </w:r>
      <w:r>
        <w:rPr>
          <w:rFonts w:hint="eastAsia" w:ascii="宋体" w:hAnsi="宋体" w:eastAsia="宋体" w:cs="宋体"/>
          <w:color w:val="000000"/>
          <w:sz w:val="24"/>
          <w:highlight w:val="none"/>
          <w:lang w:eastAsia="zh-CN"/>
        </w:rPr>
        <w:t>文件提供相关承诺，格式自拟，否则投标将被否决。</w:t>
      </w:r>
      <w:r>
        <w:rPr>
          <w:rFonts w:hint="eastAsia" w:ascii="宋体" w:hAnsi="宋体" w:eastAsia="宋体" w:cs="宋体"/>
          <w:color w:val="000000"/>
          <w:sz w:val="24"/>
          <w:highlight w:val="none"/>
        </w:rPr>
        <w:t xml:space="preserve">     </w:t>
      </w:r>
    </w:p>
    <w:p w14:paraId="3BC06681">
      <w:pPr>
        <w:pStyle w:val="31"/>
        <w:ind w:firstLine="240"/>
        <w:rPr>
          <w:rFonts w:hint="eastAsia" w:ascii="宋体" w:hAnsi="宋体" w:eastAsia="宋体" w:cs="宋体"/>
          <w:sz w:val="24"/>
          <w:szCs w:val="24"/>
        </w:rPr>
      </w:pPr>
    </w:p>
    <w:p w14:paraId="4DC2BB6C">
      <w:pPr>
        <w:spacing w:line="360" w:lineRule="auto"/>
        <w:ind w:right="420"/>
        <w:rPr>
          <w:rFonts w:hint="eastAsia" w:ascii="宋体" w:hAnsi="宋体" w:eastAsia="宋体" w:cs="宋体"/>
          <w:color w:val="000000"/>
          <w:sz w:val="24"/>
        </w:rPr>
      </w:pPr>
    </w:p>
    <w:p w14:paraId="32D0E9EC">
      <w:pPr>
        <w:spacing w:before="240" w:beforeLines="100"/>
        <w:ind w:firstLine="2760" w:firstLineChars="1150"/>
        <w:rPr>
          <w:rFonts w:hint="eastAsia" w:ascii="宋体" w:hAnsi="宋体" w:eastAsia="宋体" w:cs="宋体"/>
          <w:sz w:val="24"/>
        </w:rPr>
      </w:pPr>
      <w:r>
        <w:rPr>
          <w:rFonts w:hint="eastAsia" w:ascii="宋体" w:hAnsi="宋体" w:eastAsia="宋体" w:cs="宋体"/>
          <w:sz w:val="24"/>
        </w:rPr>
        <w:t xml:space="preserve">供应商名称： </w:t>
      </w:r>
      <w:r>
        <w:rPr>
          <w:rFonts w:hint="eastAsia" w:ascii="宋体" w:hAnsi="宋体" w:eastAsia="宋体" w:cs="宋体"/>
          <w:sz w:val="24"/>
          <w:u w:val="single"/>
        </w:rPr>
        <w:t xml:space="preserve">               </w:t>
      </w:r>
      <w:r>
        <w:rPr>
          <w:rFonts w:hint="eastAsia" w:ascii="宋体" w:hAnsi="宋体" w:eastAsia="宋体" w:cs="宋体"/>
          <w:sz w:val="24"/>
        </w:rPr>
        <w:t>（单位电子签章）</w:t>
      </w:r>
    </w:p>
    <w:p w14:paraId="31842E6A">
      <w:pPr>
        <w:spacing w:before="240" w:beforeLines="100"/>
        <w:ind w:firstLine="2760" w:firstLineChars="1150"/>
        <w:rPr>
          <w:rFonts w:hint="eastAsia" w:ascii="宋体" w:hAnsi="宋体" w:eastAsia="宋体" w:cs="宋体"/>
          <w:sz w:val="24"/>
        </w:rPr>
      </w:pPr>
      <w:r>
        <w:rPr>
          <w:rFonts w:hint="eastAsia" w:ascii="宋体" w:hAnsi="宋体" w:eastAsia="宋体" w:cs="宋体"/>
          <w:sz w:val="24"/>
        </w:rPr>
        <w:t xml:space="preserve">法定代表人： </w:t>
      </w:r>
      <w:r>
        <w:rPr>
          <w:rFonts w:hint="eastAsia" w:ascii="宋体" w:hAnsi="宋体" w:eastAsia="宋体" w:cs="宋体"/>
          <w:sz w:val="24"/>
          <w:u w:val="single"/>
        </w:rPr>
        <w:t xml:space="preserve">                </w:t>
      </w:r>
      <w:r>
        <w:rPr>
          <w:rFonts w:hint="eastAsia" w:ascii="宋体" w:hAnsi="宋体" w:eastAsia="宋体" w:cs="宋体"/>
          <w:sz w:val="24"/>
        </w:rPr>
        <w:t>（法定代表人电子签名</w:t>
      </w:r>
      <w:r>
        <w:rPr>
          <w:rFonts w:hint="eastAsia" w:ascii="宋体" w:hAnsi="宋体" w:eastAsia="宋体" w:cs="宋体"/>
          <w:bCs/>
          <w:color w:val="000000"/>
          <w:sz w:val="24"/>
        </w:rPr>
        <w:t>或签章</w:t>
      </w:r>
      <w:r>
        <w:rPr>
          <w:rFonts w:hint="eastAsia" w:ascii="宋体" w:hAnsi="宋体" w:eastAsia="宋体" w:cs="宋体"/>
          <w:sz w:val="24"/>
        </w:rPr>
        <w:t>）</w:t>
      </w:r>
    </w:p>
    <w:p w14:paraId="5BF6BCD6">
      <w:pPr>
        <w:spacing w:before="240" w:beforeLines="100"/>
        <w:ind w:firstLine="2760" w:firstLineChars="1150"/>
        <w:rPr>
          <w:rFonts w:hint="eastAsia" w:ascii="宋体" w:hAnsi="宋体" w:eastAsia="宋体" w:cs="宋体"/>
          <w:color w:val="000000"/>
          <w:sz w:val="24"/>
          <w:szCs w:val="24"/>
        </w:rPr>
      </w:pPr>
      <w:r>
        <w:rPr>
          <w:rFonts w:hint="eastAsia" w:ascii="宋体" w:hAnsi="宋体" w:eastAsia="宋体" w:cs="宋体"/>
          <w:color w:val="000000"/>
          <w:sz w:val="24"/>
          <w:szCs w:val="24"/>
        </w:rPr>
        <w:t>日</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期：</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日</w:t>
      </w:r>
    </w:p>
    <w:p w14:paraId="3E7D3EAB">
      <w:pPr>
        <w:pStyle w:val="31"/>
        <w:numPr>
          <w:ilvl w:val="0"/>
          <w:numId w:val="0"/>
        </w:numPr>
        <w:bidi w:val="0"/>
        <w:spacing w:line="360" w:lineRule="auto"/>
        <w:ind w:left="0" w:leftChars="0" w:firstLine="0" w:firstLineChars="0"/>
        <w:jc w:val="center"/>
        <w:outlineLvl w:val="1"/>
        <w:rPr>
          <w:rFonts w:hint="eastAsia" w:ascii="宋体" w:hAnsi="宋体" w:eastAsia="宋体" w:cs="宋体"/>
          <w:b/>
          <w:color w:val="000000"/>
          <w:kern w:val="2"/>
          <w:sz w:val="30"/>
          <w:szCs w:val="30"/>
          <w:lang w:val="en-US" w:eastAsia="zh-CN" w:bidi="ar-SA"/>
        </w:rPr>
      </w:pPr>
    </w:p>
    <w:p w14:paraId="3D36EEA9">
      <w:pPr>
        <w:pStyle w:val="31"/>
        <w:numPr>
          <w:ilvl w:val="0"/>
          <w:numId w:val="0"/>
        </w:numPr>
        <w:bidi w:val="0"/>
        <w:spacing w:line="360" w:lineRule="auto"/>
        <w:ind w:left="0" w:leftChars="0" w:firstLine="0" w:firstLineChars="0"/>
        <w:jc w:val="center"/>
        <w:outlineLvl w:val="1"/>
        <w:rPr>
          <w:rFonts w:hint="eastAsia" w:ascii="宋体" w:hAnsi="宋体" w:eastAsia="宋体" w:cs="宋体"/>
          <w:b/>
          <w:color w:val="000000"/>
          <w:sz w:val="30"/>
          <w:szCs w:val="30"/>
          <w:lang w:val="en-US" w:eastAsia="zh-CN"/>
        </w:rPr>
      </w:pPr>
      <w:r>
        <w:rPr>
          <w:rFonts w:hint="eastAsia" w:ascii="宋体" w:hAnsi="宋体" w:eastAsia="宋体" w:cs="宋体"/>
          <w:b/>
          <w:color w:val="000000"/>
          <w:kern w:val="2"/>
          <w:sz w:val="30"/>
          <w:szCs w:val="30"/>
          <w:lang w:val="en-US" w:eastAsia="zh-CN" w:bidi="ar-SA"/>
        </w:rPr>
        <w:t>五、</w:t>
      </w:r>
      <w:r>
        <w:rPr>
          <w:rFonts w:hint="eastAsia" w:ascii="宋体" w:hAnsi="宋体" w:eastAsia="宋体" w:cs="宋体"/>
          <w:b/>
          <w:color w:val="000000"/>
          <w:sz w:val="30"/>
          <w:szCs w:val="30"/>
          <w:lang w:val="en-US" w:eastAsia="zh-CN"/>
        </w:rPr>
        <w:t>技术部分</w:t>
      </w:r>
    </w:p>
    <w:p w14:paraId="4F4D925B">
      <w:pPr>
        <w:pStyle w:val="31"/>
        <w:bidi w:val="0"/>
        <w:spacing w:line="360" w:lineRule="auto"/>
        <w:ind w:left="0" w:leftChars="0" w:firstLine="0" w:firstLineChars="0"/>
        <w:jc w:val="center"/>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（根据本项目采购内容情况及评分办法编写格式自拟）</w:t>
      </w:r>
    </w:p>
    <w:p w14:paraId="1CCDFBDD">
      <w:pPr>
        <w:pStyle w:val="31"/>
        <w:bidi w:val="0"/>
        <w:ind w:left="0" w:leftChars="0" w:firstLine="0" w:firstLineChars="0"/>
        <w:jc w:val="both"/>
        <w:outlineLvl w:val="9"/>
        <w:rPr>
          <w:rFonts w:hint="eastAsia" w:ascii="宋体" w:hAnsi="宋体" w:eastAsia="宋体" w:cs="宋体"/>
          <w:b/>
          <w:color w:val="000000"/>
          <w:kern w:val="2"/>
          <w:sz w:val="24"/>
          <w:szCs w:val="24"/>
          <w:lang w:val="en-US" w:eastAsia="zh-CN" w:bidi="ar-SA"/>
        </w:rPr>
      </w:pPr>
    </w:p>
    <w:p w14:paraId="03F916D4">
      <w:pPr>
        <w:pStyle w:val="55"/>
        <w:rPr>
          <w:rFonts w:hint="eastAsia" w:ascii="宋体" w:hAnsi="宋体" w:eastAsia="宋体" w:cs="宋体"/>
          <w:b/>
          <w:color w:val="000000"/>
          <w:kern w:val="2"/>
          <w:sz w:val="24"/>
          <w:szCs w:val="24"/>
          <w:lang w:val="en-US" w:eastAsia="zh-CN" w:bidi="ar-SA"/>
        </w:rPr>
      </w:pPr>
    </w:p>
    <w:p w14:paraId="54C3C128">
      <w:pPr>
        <w:pStyle w:val="7"/>
        <w:rPr>
          <w:rFonts w:hint="eastAsia" w:ascii="宋体" w:hAnsi="宋体" w:eastAsia="宋体" w:cs="宋体"/>
          <w:lang w:val="en-US" w:eastAsia="zh-CN"/>
        </w:rPr>
      </w:pPr>
    </w:p>
    <w:p w14:paraId="258DECE5">
      <w:pPr>
        <w:rPr>
          <w:rFonts w:hint="eastAsia" w:ascii="宋体" w:hAnsi="宋体" w:eastAsia="宋体" w:cs="宋体"/>
          <w:lang w:val="en-US" w:eastAsia="zh-CN"/>
        </w:rPr>
      </w:pPr>
    </w:p>
    <w:p w14:paraId="703077BE">
      <w:pPr>
        <w:pStyle w:val="55"/>
        <w:rPr>
          <w:rFonts w:hint="eastAsia" w:ascii="宋体" w:hAnsi="宋体" w:eastAsia="宋体" w:cs="宋体"/>
          <w:lang w:val="en-US" w:eastAsia="zh-CN"/>
        </w:rPr>
      </w:pPr>
    </w:p>
    <w:p w14:paraId="5C44EB38">
      <w:pPr>
        <w:pStyle w:val="7"/>
        <w:rPr>
          <w:rFonts w:hint="eastAsia" w:ascii="宋体" w:hAnsi="宋体" w:eastAsia="宋体" w:cs="宋体"/>
          <w:lang w:val="en-US" w:eastAsia="zh-CN"/>
        </w:rPr>
      </w:pPr>
    </w:p>
    <w:p w14:paraId="0A8938FD">
      <w:pPr>
        <w:rPr>
          <w:rFonts w:hint="eastAsia" w:ascii="宋体" w:hAnsi="宋体" w:eastAsia="宋体" w:cs="宋体"/>
          <w:lang w:val="en-US" w:eastAsia="zh-CN"/>
        </w:rPr>
      </w:pPr>
    </w:p>
    <w:p w14:paraId="490072AD">
      <w:pPr>
        <w:pStyle w:val="31"/>
        <w:rPr>
          <w:rFonts w:hint="eastAsia" w:ascii="宋体" w:hAnsi="宋体" w:eastAsia="宋体" w:cs="宋体"/>
          <w:lang w:val="en-US" w:eastAsia="zh-CN"/>
        </w:rPr>
      </w:pPr>
    </w:p>
    <w:p w14:paraId="40EC7ADA">
      <w:pPr>
        <w:rPr>
          <w:rFonts w:hint="eastAsia" w:ascii="宋体" w:hAnsi="宋体" w:eastAsia="宋体" w:cs="宋体"/>
          <w:lang w:val="en-US" w:eastAsia="zh-CN"/>
        </w:rPr>
      </w:pPr>
    </w:p>
    <w:p w14:paraId="0E094469">
      <w:pPr>
        <w:pStyle w:val="31"/>
        <w:rPr>
          <w:rFonts w:hint="eastAsia" w:ascii="宋体" w:hAnsi="宋体" w:eastAsia="宋体" w:cs="宋体"/>
          <w:lang w:val="en-US" w:eastAsia="zh-CN"/>
        </w:rPr>
      </w:pPr>
    </w:p>
    <w:p w14:paraId="24CF6C73">
      <w:pPr>
        <w:rPr>
          <w:rFonts w:hint="eastAsia" w:ascii="宋体" w:hAnsi="宋体" w:eastAsia="宋体" w:cs="宋体"/>
          <w:lang w:val="en-US" w:eastAsia="zh-CN"/>
        </w:rPr>
      </w:pPr>
    </w:p>
    <w:p w14:paraId="2CE53189">
      <w:pPr>
        <w:pStyle w:val="31"/>
        <w:rPr>
          <w:rFonts w:hint="eastAsia" w:ascii="宋体" w:hAnsi="宋体" w:eastAsia="宋体" w:cs="宋体"/>
          <w:lang w:val="en-US" w:eastAsia="zh-CN"/>
        </w:rPr>
      </w:pPr>
    </w:p>
    <w:p w14:paraId="7B1C8501">
      <w:pPr>
        <w:rPr>
          <w:rFonts w:hint="eastAsia" w:ascii="宋体" w:hAnsi="宋体" w:eastAsia="宋体" w:cs="宋体"/>
          <w:lang w:val="en-US" w:eastAsia="zh-CN"/>
        </w:rPr>
      </w:pPr>
    </w:p>
    <w:p w14:paraId="1D18F6B9">
      <w:pPr>
        <w:pStyle w:val="31"/>
        <w:rPr>
          <w:rFonts w:hint="eastAsia" w:ascii="宋体" w:hAnsi="宋体" w:eastAsia="宋体" w:cs="宋体"/>
          <w:lang w:val="en-US" w:eastAsia="zh-CN"/>
        </w:rPr>
      </w:pPr>
    </w:p>
    <w:p w14:paraId="2353C97F">
      <w:pPr>
        <w:rPr>
          <w:rFonts w:hint="eastAsia" w:ascii="宋体" w:hAnsi="宋体" w:eastAsia="宋体" w:cs="宋体"/>
          <w:lang w:val="en-US" w:eastAsia="zh-CN"/>
        </w:rPr>
      </w:pPr>
    </w:p>
    <w:p w14:paraId="4D305C1B">
      <w:pPr>
        <w:pStyle w:val="31"/>
        <w:rPr>
          <w:rFonts w:hint="eastAsia" w:ascii="宋体" w:hAnsi="宋体" w:eastAsia="宋体" w:cs="宋体"/>
          <w:lang w:val="en-US" w:eastAsia="zh-CN"/>
        </w:rPr>
      </w:pPr>
    </w:p>
    <w:p w14:paraId="394CD279">
      <w:pPr>
        <w:rPr>
          <w:rFonts w:hint="eastAsia" w:ascii="宋体" w:hAnsi="宋体" w:eastAsia="宋体" w:cs="宋体"/>
          <w:lang w:val="en-US" w:eastAsia="zh-CN"/>
        </w:rPr>
      </w:pPr>
    </w:p>
    <w:p w14:paraId="429B8615">
      <w:pPr>
        <w:pStyle w:val="31"/>
        <w:rPr>
          <w:rFonts w:hint="eastAsia" w:ascii="宋体" w:hAnsi="宋体" w:eastAsia="宋体" w:cs="宋体"/>
          <w:lang w:val="en-US" w:eastAsia="zh-CN"/>
        </w:rPr>
      </w:pPr>
    </w:p>
    <w:p w14:paraId="2B630814">
      <w:pPr>
        <w:rPr>
          <w:rFonts w:hint="eastAsia" w:ascii="宋体" w:hAnsi="宋体" w:eastAsia="宋体" w:cs="宋体"/>
          <w:lang w:val="en-US" w:eastAsia="zh-CN"/>
        </w:rPr>
      </w:pPr>
    </w:p>
    <w:p w14:paraId="4FEC16C9">
      <w:pPr>
        <w:pStyle w:val="31"/>
        <w:rPr>
          <w:rFonts w:hint="eastAsia" w:ascii="宋体" w:hAnsi="宋体" w:eastAsia="宋体" w:cs="宋体"/>
          <w:lang w:val="en-US" w:eastAsia="zh-CN"/>
        </w:rPr>
      </w:pPr>
    </w:p>
    <w:p w14:paraId="34D20728">
      <w:pPr>
        <w:rPr>
          <w:rFonts w:hint="eastAsia" w:ascii="宋体" w:hAnsi="宋体" w:eastAsia="宋体" w:cs="宋体"/>
          <w:lang w:val="en-US" w:eastAsia="zh-CN"/>
        </w:rPr>
      </w:pPr>
    </w:p>
    <w:p w14:paraId="46AA3D13">
      <w:pPr>
        <w:pStyle w:val="31"/>
        <w:rPr>
          <w:rFonts w:hint="eastAsia" w:ascii="宋体" w:hAnsi="宋体" w:eastAsia="宋体" w:cs="宋体"/>
          <w:lang w:val="en-US" w:eastAsia="zh-CN"/>
        </w:rPr>
      </w:pPr>
    </w:p>
    <w:p w14:paraId="4A898DAB">
      <w:pPr>
        <w:rPr>
          <w:rFonts w:hint="eastAsia" w:ascii="宋体" w:hAnsi="宋体" w:eastAsia="宋体" w:cs="宋体"/>
          <w:lang w:val="en-US" w:eastAsia="zh-CN"/>
        </w:rPr>
      </w:pPr>
    </w:p>
    <w:p w14:paraId="58495574">
      <w:pPr>
        <w:pStyle w:val="31"/>
        <w:rPr>
          <w:rFonts w:hint="eastAsia" w:ascii="宋体" w:hAnsi="宋体" w:eastAsia="宋体" w:cs="宋体"/>
          <w:lang w:val="en-US" w:eastAsia="zh-CN"/>
        </w:rPr>
      </w:pPr>
    </w:p>
    <w:p w14:paraId="53D41884">
      <w:pPr>
        <w:rPr>
          <w:rFonts w:hint="eastAsia" w:ascii="宋体" w:hAnsi="宋体" w:eastAsia="宋体" w:cs="宋体"/>
          <w:lang w:val="en-US" w:eastAsia="zh-CN"/>
        </w:rPr>
      </w:pPr>
    </w:p>
    <w:p w14:paraId="1DEDED3A">
      <w:pPr>
        <w:pStyle w:val="31"/>
        <w:rPr>
          <w:rFonts w:hint="eastAsia" w:ascii="宋体" w:hAnsi="宋体" w:eastAsia="宋体" w:cs="宋体"/>
          <w:lang w:val="en-US" w:eastAsia="zh-CN"/>
        </w:rPr>
      </w:pPr>
    </w:p>
    <w:p w14:paraId="75272E07">
      <w:pPr>
        <w:rPr>
          <w:rFonts w:hint="eastAsia" w:ascii="宋体" w:hAnsi="宋体" w:eastAsia="宋体" w:cs="宋体"/>
          <w:lang w:val="en-US" w:eastAsia="zh-CN"/>
        </w:rPr>
      </w:pPr>
    </w:p>
    <w:p w14:paraId="6A6AE7E7">
      <w:pPr>
        <w:pStyle w:val="31"/>
        <w:rPr>
          <w:rFonts w:hint="eastAsia" w:ascii="宋体" w:hAnsi="宋体" w:eastAsia="宋体" w:cs="宋体"/>
          <w:lang w:val="en-US" w:eastAsia="zh-CN"/>
        </w:rPr>
      </w:pPr>
    </w:p>
    <w:p w14:paraId="56FE0912">
      <w:pPr>
        <w:rPr>
          <w:rFonts w:hint="eastAsia" w:ascii="宋体" w:hAnsi="宋体" w:eastAsia="宋体" w:cs="宋体"/>
          <w:lang w:val="en-US" w:eastAsia="zh-CN"/>
        </w:rPr>
      </w:pPr>
    </w:p>
    <w:p w14:paraId="568194A7">
      <w:pPr>
        <w:pStyle w:val="31"/>
        <w:rPr>
          <w:rFonts w:hint="eastAsia" w:ascii="宋体" w:hAnsi="宋体" w:eastAsia="宋体" w:cs="宋体"/>
          <w:lang w:val="en-US" w:eastAsia="zh-CN"/>
        </w:rPr>
      </w:pPr>
    </w:p>
    <w:p w14:paraId="443F83AA">
      <w:pPr>
        <w:rPr>
          <w:rFonts w:hint="eastAsia" w:ascii="宋体" w:hAnsi="宋体" w:eastAsia="宋体" w:cs="宋体"/>
          <w:lang w:val="en-US" w:eastAsia="zh-CN"/>
        </w:rPr>
      </w:pPr>
    </w:p>
    <w:p w14:paraId="44A05482">
      <w:pPr>
        <w:pStyle w:val="31"/>
        <w:rPr>
          <w:rFonts w:hint="eastAsia" w:ascii="宋体" w:hAnsi="宋体" w:eastAsia="宋体" w:cs="宋体"/>
          <w:lang w:val="en-US" w:eastAsia="zh-CN"/>
        </w:rPr>
      </w:pPr>
    </w:p>
    <w:p w14:paraId="61CE50EC">
      <w:pPr>
        <w:rPr>
          <w:rFonts w:hint="eastAsia" w:ascii="宋体" w:hAnsi="宋体" w:eastAsia="宋体" w:cs="宋体"/>
          <w:lang w:val="en-US" w:eastAsia="zh-CN"/>
        </w:rPr>
      </w:pPr>
    </w:p>
    <w:p w14:paraId="5973CCCC">
      <w:pPr>
        <w:pStyle w:val="31"/>
        <w:rPr>
          <w:rFonts w:hint="eastAsia" w:ascii="宋体" w:hAnsi="宋体" w:eastAsia="宋体" w:cs="宋体"/>
          <w:lang w:val="en-US" w:eastAsia="zh-CN"/>
        </w:rPr>
      </w:pPr>
    </w:p>
    <w:p w14:paraId="215B05CB">
      <w:pPr>
        <w:rPr>
          <w:rFonts w:hint="eastAsia" w:ascii="宋体" w:hAnsi="宋体" w:eastAsia="宋体" w:cs="宋体"/>
          <w:lang w:val="en-US" w:eastAsia="zh-CN"/>
        </w:rPr>
      </w:pPr>
    </w:p>
    <w:p w14:paraId="66F58FC8">
      <w:pPr>
        <w:pStyle w:val="31"/>
        <w:rPr>
          <w:rFonts w:hint="eastAsia" w:ascii="宋体" w:hAnsi="宋体" w:eastAsia="宋体" w:cs="宋体"/>
          <w:lang w:val="en-US" w:eastAsia="zh-CN"/>
        </w:rPr>
      </w:pPr>
    </w:p>
    <w:p w14:paraId="1CD4524C">
      <w:pPr>
        <w:rPr>
          <w:rFonts w:hint="eastAsia" w:ascii="宋体" w:hAnsi="宋体" w:eastAsia="宋体" w:cs="宋体"/>
          <w:lang w:val="en-US" w:eastAsia="zh-CN"/>
        </w:rPr>
      </w:pPr>
    </w:p>
    <w:p w14:paraId="512BE4E3">
      <w:pPr>
        <w:pStyle w:val="31"/>
        <w:rPr>
          <w:rFonts w:hint="eastAsia" w:ascii="宋体" w:hAnsi="宋体" w:eastAsia="宋体" w:cs="宋体"/>
          <w:lang w:val="en-US" w:eastAsia="zh-CN"/>
        </w:rPr>
      </w:pPr>
    </w:p>
    <w:p w14:paraId="10BC6992">
      <w:pPr>
        <w:rPr>
          <w:rFonts w:hint="eastAsia" w:ascii="宋体" w:hAnsi="宋体" w:eastAsia="宋体" w:cs="宋体"/>
          <w:lang w:val="en-US" w:eastAsia="zh-CN"/>
        </w:rPr>
      </w:pPr>
    </w:p>
    <w:p w14:paraId="6B769D57">
      <w:pPr>
        <w:pStyle w:val="31"/>
        <w:rPr>
          <w:rFonts w:hint="eastAsia" w:ascii="宋体" w:hAnsi="宋体" w:eastAsia="宋体" w:cs="宋体"/>
          <w:lang w:val="en-US" w:eastAsia="zh-CN"/>
        </w:rPr>
      </w:pPr>
    </w:p>
    <w:p w14:paraId="03EBDAF2">
      <w:pPr>
        <w:rPr>
          <w:rFonts w:hint="eastAsia" w:ascii="宋体" w:hAnsi="宋体" w:eastAsia="宋体" w:cs="宋体"/>
          <w:lang w:val="en-US" w:eastAsia="zh-CN"/>
        </w:rPr>
      </w:pPr>
    </w:p>
    <w:p w14:paraId="6B9781D4">
      <w:pPr>
        <w:pStyle w:val="31"/>
        <w:rPr>
          <w:rFonts w:hint="eastAsia" w:ascii="宋体" w:hAnsi="宋体" w:eastAsia="宋体" w:cs="宋体"/>
          <w:lang w:val="en-US" w:eastAsia="zh-CN"/>
        </w:rPr>
      </w:pPr>
    </w:p>
    <w:p w14:paraId="3394421D">
      <w:pPr>
        <w:rPr>
          <w:rFonts w:hint="eastAsia" w:ascii="宋体" w:hAnsi="宋体" w:eastAsia="宋体" w:cs="宋体"/>
          <w:lang w:val="en-US" w:eastAsia="zh-CN"/>
        </w:rPr>
      </w:pPr>
    </w:p>
    <w:p w14:paraId="767819E0">
      <w:pPr>
        <w:pStyle w:val="31"/>
        <w:rPr>
          <w:rFonts w:hint="eastAsia" w:ascii="宋体" w:hAnsi="宋体" w:eastAsia="宋体" w:cs="宋体"/>
          <w:lang w:val="en-US" w:eastAsia="zh-CN"/>
        </w:rPr>
      </w:pPr>
    </w:p>
    <w:p w14:paraId="5A3AA18B">
      <w:pPr>
        <w:rPr>
          <w:rFonts w:hint="eastAsia"/>
          <w:lang w:val="en-US" w:eastAsia="zh-CN"/>
        </w:rPr>
      </w:pPr>
    </w:p>
    <w:p w14:paraId="0A80B31B">
      <w:pPr>
        <w:rPr>
          <w:rFonts w:hint="eastAsia" w:ascii="宋体" w:hAnsi="宋体" w:eastAsia="宋体" w:cs="宋体"/>
          <w:lang w:val="en-US" w:eastAsia="zh-CN"/>
        </w:rPr>
      </w:pPr>
    </w:p>
    <w:p w14:paraId="424EC40A">
      <w:pPr>
        <w:pStyle w:val="55"/>
        <w:rPr>
          <w:rFonts w:hint="eastAsia" w:ascii="宋体" w:hAnsi="宋体" w:eastAsia="宋体" w:cs="宋体"/>
          <w:lang w:val="en-US" w:eastAsia="zh-CN"/>
        </w:rPr>
      </w:pPr>
    </w:p>
    <w:p w14:paraId="01C6674D">
      <w:pPr>
        <w:pStyle w:val="55"/>
        <w:rPr>
          <w:rFonts w:hint="eastAsia"/>
          <w:lang w:val="en-US" w:eastAsia="zh-CN"/>
        </w:rPr>
      </w:pPr>
    </w:p>
    <w:p w14:paraId="186A9D7D">
      <w:pPr>
        <w:pStyle w:val="31"/>
        <w:bidi w:val="0"/>
        <w:spacing w:line="360" w:lineRule="auto"/>
        <w:ind w:left="0" w:leftChars="0" w:firstLine="0" w:firstLineChars="0"/>
        <w:jc w:val="center"/>
        <w:outlineLvl w:val="1"/>
        <w:rPr>
          <w:rFonts w:hint="eastAsia" w:ascii="宋体" w:hAnsi="宋体" w:eastAsia="宋体" w:cs="宋体"/>
          <w:b/>
          <w:color w:val="000000"/>
          <w:sz w:val="30"/>
          <w:szCs w:val="30"/>
          <w:lang w:val="en-US" w:eastAsia="zh-CN"/>
        </w:rPr>
      </w:pPr>
      <w:r>
        <w:rPr>
          <w:rFonts w:hint="eastAsia" w:ascii="宋体" w:hAnsi="宋体" w:eastAsia="宋体" w:cs="宋体"/>
          <w:b/>
          <w:color w:val="000000"/>
          <w:sz w:val="30"/>
          <w:szCs w:val="30"/>
          <w:lang w:val="en-US" w:eastAsia="zh-CN"/>
        </w:rPr>
        <w:t>六、项目服务组织机构</w:t>
      </w:r>
    </w:p>
    <w:tbl>
      <w:tblPr>
        <w:tblStyle w:val="82"/>
        <w:tblW w:w="942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49"/>
        <w:gridCol w:w="1050"/>
        <w:gridCol w:w="1050"/>
        <w:gridCol w:w="2086"/>
        <w:gridCol w:w="1040"/>
        <w:gridCol w:w="1050"/>
        <w:gridCol w:w="1055"/>
        <w:gridCol w:w="1040"/>
      </w:tblGrid>
      <w:tr w14:paraId="567BE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0" w:type="auto"/>
            <w:vMerge w:val="restart"/>
            <w:tcBorders>
              <w:bottom w:val="nil"/>
            </w:tcBorders>
            <w:vAlign w:val="center"/>
          </w:tcPr>
          <w:p w14:paraId="5061555E">
            <w:pPr>
              <w:pStyle w:val="94"/>
              <w:snapToGrid w:val="0"/>
              <w:spacing w:before="69" w:line="240" w:lineRule="auto"/>
              <w:ind w:left="0" w:leftChars="0" w:right="0" w:rightChars="0" w:firstLine="0" w:firstLineChars="0"/>
              <w:jc w:val="center"/>
              <w:rPr>
                <w:rFonts w:ascii="宋体" w:eastAsia="宋体"/>
                <w:b/>
                <w:sz w:val="21"/>
              </w:rPr>
            </w:pPr>
            <w:r>
              <w:rPr>
                <w:rFonts w:ascii="宋体" w:eastAsia="宋体"/>
                <w:b/>
                <w:spacing w:val="-2"/>
                <w:sz w:val="21"/>
              </w:rPr>
              <w:t>职务</w:t>
            </w:r>
          </w:p>
        </w:tc>
        <w:tc>
          <w:tcPr>
            <w:tcW w:w="0" w:type="auto"/>
            <w:vMerge w:val="restart"/>
            <w:tcBorders>
              <w:bottom w:val="nil"/>
            </w:tcBorders>
            <w:vAlign w:val="center"/>
          </w:tcPr>
          <w:p w14:paraId="13430B8E">
            <w:pPr>
              <w:pStyle w:val="94"/>
              <w:snapToGrid w:val="0"/>
              <w:spacing w:before="69" w:line="240" w:lineRule="auto"/>
              <w:ind w:left="0" w:leftChars="0" w:right="0" w:rightChars="0" w:firstLine="0" w:firstLineChars="0"/>
              <w:jc w:val="center"/>
              <w:rPr>
                <w:rFonts w:ascii="宋体" w:eastAsia="宋体"/>
                <w:b/>
                <w:sz w:val="21"/>
              </w:rPr>
            </w:pPr>
            <w:r>
              <w:rPr>
                <w:rFonts w:ascii="宋体" w:eastAsia="宋体"/>
                <w:b/>
                <w:spacing w:val="-2"/>
                <w:sz w:val="21"/>
              </w:rPr>
              <w:t>姓名</w:t>
            </w:r>
          </w:p>
        </w:tc>
        <w:tc>
          <w:tcPr>
            <w:tcW w:w="0" w:type="auto"/>
            <w:vMerge w:val="restart"/>
            <w:tcBorders>
              <w:bottom w:val="nil"/>
            </w:tcBorders>
            <w:vAlign w:val="center"/>
          </w:tcPr>
          <w:p w14:paraId="317CBD48">
            <w:pPr>
              <w:pStyle w:val="94"/>
              <w:snapToGrid w:val="0"/>
              <w:spacing w:before="68" w:line="240" w:lineRule="auto"/>
              <w:ind w:left="0" w:leftChars="0" w:right="0" w:rightChars="0" w:firstLine="0" w:firstLineChars="0"/>
              <w:jc w:val="center"/>
              <w:rPr>
                <w:rFonts w:ascii="宋体" w:eastAsia="宋体"/>
                <w:b/>
                <w:sz w:val="21"/>
              </w:rPr>
            </w:pPr>
            <w:r>
              <w:rPr>
                <w:rFonts w:ascii="宋体" w:eastAsia="宋体"/>
                <w:b/>
                <w:spacing w:val="-2"/>
                <w:sz w:val="21"/>
              </w:rPr>
              <w:t>职称</w:t>
            </w:r>
          </w:p>
        </w:tc>
        <w:tc>
          <w:tcPr>
            <w:tcW w:w="0" w:type="auto"/>
            <w:gridSpan w:val="4"/>
            <w:vAlign w:val="center"/>
          </w:tcPr>
          <w:p w14:paraId="46EBCB6D">
            <w:pPr>
              <w:pStyle w:val="94"/>
              <w:snapToGrid w:val="0"/>
              <w:spacing w:before="302" w:line="240" w:lineRule="auto"/>
              <w:ind w:left="0" w:leftChars="0" w:right="0" w:rightChars="0" w:firstLine="0" w:firstLineChars="0"/>
              <w:jc w:val="center"/>
              <w:rPr>
                <w:rFonts w:ascii="宋体" w:eastAsia="宋体"/>
                <w:b/>
                <w:sz w:val="21"/>
              </w:rPr>
            </w:pPr>
            <w:r>
              <w:rPr>
                <w:rFonts w:ascii="宋体" w:eastAsia="宋体"/>
                <w:b/>
                <w:spacing w:val="-1"/>
                <w:sz w:val="21"/>
              </w:rPr>
              <w:t>执业或职业资格证明</w:t>
            </w:r>
          </w:p>
        </w:tc>
        <w:tc>
          <w:tcPr>
            <w:tcW w:w="1040" w:type="dxa"/>
            <w:vMerge w:val="restart"/>
            <w:tcBorders>
              <w:bottom w:val="nil"/>
            </w:tcBorders>
            <w:vAlign w:val="center"/>
          </w:tcPr>
          <w:p w14:paraId="249AFDED">
            <w:pPr>
              <w:pStyle w:val="94"/>
              <w:snapToGrid w:val="0"/>
              <w:spacing w:before="68" w:line="240" w:lineRule="auto"/>
              <w:ind w:left="0" w:leftChars="0" w:right="0" w:rightChars="0" w:firstLine="0" w:firstLineChars="0"/>
              <w:jc w:val="center"/>
              <w:rPr>
                <w:rFonts w:ascii="宋体" w:eastAsia="宋体"/>
                <w:b/>
                <w:sz w:val="21"/>
              </w:rPr>
            </w:pPr>
            <w:r>
              <w:rPr>
                <w:rFonts w:ascii="宋体" w:eastAsia="宋体"/>
                <w:b/>
                <w:spacing w:val="-3"/>
                <w:sz w:val="21"/>
              </w:rPr>
              <w:t>备注</w:t>
            </w:r>
          </w:p>
        </w:tc>
      </w:tr>
      <w:tr w14:paraId="1E17B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0" w:type="auto"/>
            <w:vMerge w:val="continue"/>
            <w:tcBorders>
              <w:top w:val="nil"/>
            </w:tcBorders>
            <w:vAlign w:val="center"/>
          </w:tcPr>
          <w:p w14:paraId="5ECA16B6">
            <w:pPr>
              <w:snapToGrid w:val="0"/>
              <w:ind w:left="0" w:leftChars="0" w:right="0" w:rightChars="0" w:firstLine="0" w:firstLineChars="0"/>
              <w:jc w:val="center"/>
              <w:rPr>
                <w:rFonts w:ascii="宋体" w:eastAsia="宋体"/>
                <w:b/>
                <w:sz w:val="21"/>
              </w:rPr>
            </w:pPr>
          </w:p>
        </w:tc>
        <w:tc>
          <w:tcPr>
            <w:tcW w:w="0" w:type="auto"/>
            <w:vMerge w:val="continue"/>
            <w:tcBorders>
              <w:top w:val="nil"/>
            </w:tcBorders>
            <w:vAlign w:val="center"/>
          </w:tcPr>
          <w:p w14:paraId="2EF993CC">
            <w:pPr>
              <w:snapToGrid w:val="0"/>
              <w:ind w:left="0" w:leftChars="0" w:right="0" w:rightChars="0" w:firstLine="0" w:firstLineChars="0"/>
              <w:jc w:val="center"/>
              <w:rPr>
                <w:rFonts w:ascii="宋体" w:eastAsia="宋体"/>
                <w:b/>
                <w:sz w:val="21"/>
              </w:rPr>
            </w:pPr>
          </w:p>
        </w:tc>
        <w:tc>
          <w:tcPr>
            <w:tcW w:w="0" w:type="auto"/>
            <w:vMerge w:val="continue"/>
            <w:tcBorders>
              <w:top w:val="nil"/>
            </w:tcBorders>
            <w:vAlign w:val="center"/>
          </w:tcPr>
          <w:p w14:paraId="2F02DD3D">
            <w:pPr>
              <w:snapToGrid w:val="0"/>
              <w:ind w:left="0" w:leftChars="0" w:right="0" w:rightChars="0" w:firstLine="0" w:firstLineChars="0"/>
              <w:jc w:val="center"/>
              <w:rPr>
                <w:rFonts w:ascii="宋体" w:eastAsia="宋体"/>
                <w:b/>
                <w:sz w:val="21"/>
              </w:rPr>
            </w:pPr>
          </w:p>
        </w:tc>
        <w:tc>
          <w:tcPr>
            <w:tcW w:w="0" w:type="auto"/>
            <w:vAlign w:val="center"/>
          </w:tcPr>
          <w:p w14:paraId="179923F3">
            <w:pPr>
              <w:pStyle w:val="94"/>
              <w:snapToGrid w:val="0"/>
              <w:spacing w:before="298" w:line="240" w:lineRule="auto"/>
              <w:ind w:left="0" w:leftChars="0" w:right="0" w:rightChars="0" w:firstLine="0" w:firstLineChars="0"/>
              <w:jc w:val="center"/>
              <w:rPr>
                <w:rFonts w:ascii="宋体" w:eastAsia="宋体"/>
                <w:b/>
                <w:sz w:val="21"/>
              </w:rPr>
            </w:pPr>
            <w:r>
              <w:rPr>
                <w:rFonts w:ascii="宋体" w:eastAsia="宋体"/>
                <w:b/>
                <w:spacing w:val="-2"/>
                <w:sz w:val="21"/>
              </w:rPr>
              <w:t>证书名称</w:t>
            </w:r>
          </w:p>
        </w:tc>
        <w:tc>
          <w:tcPr>
            <w:tcW w:w="0" w:type="auto"/>
            <w:vAlign w:val="center"/>
          </w:tcPr>
          <w:p w14:paraId="54ED3E23">
            <w:pPr>
              <w:pStyle w:val="94"/>
              <w:snapToGrid w:val="0"/>
              <w:spacing w:before="299" w:line="240" w:lineRule="auto"/>
              <w:ind w:left="0" w:leftChars="0" w:right="0" w:rightChars="0" w:firstLine="0" w:firstLineChars="0"/>
              <w:jc w:val="center"/>
              <w:rPr>
                <w:rFonts w:ascii="宋体" w:eastAsia="宋体"/>
                <w:b/>
                <w:sz w:val="21"/>
              </w:rPr>
            </w:pPr>
            <w:r>
              <w:rPr>
                <w:rFonts w:ascii="宋体" w:eastAsia="宋体"/>
                <w:b/>
                <w:spacing w:val="-3"/>
                <w:sz w:val="21"/>
              </w:rPr>
              <w:t>级别</w:t>
            </w:r>
          </w:p>
        </w:tc>
        <w:tc>
          <w:tcPr>
            <w:tcW w:w="0" w:type="auto"/>
            <w:vAlign w:val="center"/>
          </w:tcPr>
          <w:p w14:paraId="629197A6">
            <w:pPr>
              <w:pStyle w:val="94"/>
              <w:snapToGrid w:val="0"/>
              <w:spacing w:before="298" w:line="240" w:lineRule="auto"/>
              <w:ind w:left="0" w:leftChars="0" w:right="0" w:rightChars="0" w:firstLine="0" w:firstLineChars="0"/>
              <w:jc w:val="center"/>
              <w:rPr>
                <w:rFonts w:ascii="宋体" w:eastAsia="宋体"/>
                <w:b/>
                <w:sz w:val="21"/>
              </w:rPr>
            </w:pPr>
            <w:r>
              <w:rPr>
                <w:rFonts w:ascii="宋体" w:eastAsia="宋体"/>
                <w:b/>
                <w:spacing w:val="-2"/>
                <w:sz w:val="21"/>
              </w:rPr>
              <w:t>证号</w:t>
            </w:r>
          </w:p>
        </w:tc>
        <w:tc>
          <w:tcPr>
            <w:tcW w:w="0" w:type="auto"/>
            <w:vAlign w:val="center"/>
          </w:tcPr>
          <w:p w14:paraId="4A8CCDE9">
            <w:pPr>
              <w:pStyle w:val="94"/>
              <w:snapToGrid w:val="0"/>
              <w:spacing w:before="299" w:line="240" w:lineRule="auto"/>
              <w:ind w:left="0" w:leftChars="0" w:right="0" w:rightChars="0" w:firstLine="0" w:firstLineChars="0"/>
              <w:jc w:val="center"/>
              <w:rPr>
                <w:rFonts w:ascii="宋体" w:eastAsia="宋体"/>
                <w:b/>
                <w:sz w:val="21"/>
              </w:rPr>
            </w:pPr>
            <w:r>
              <w:rPr>
                <w:rFonts w:ascii="宋体" w:eastAsia="宋体"/>
                <w:b/>
                <w:spacing w:val="-2"/>
                <w:sz w:val="21"/>
              </w:rPr>
              <w:t>专业</w:t>
            </w:r>
          </w:p>
        </w:tc>
        <w:tc>
          <w:tcPr>
            <w:tcW w:w="1040" w:type="dxa"/>
            <w:vMerge w:val="continue"/>
            <w:tcBorders>
              <w:top w:val="nil"/>
            </w:tcBorders>
            <w:vAlign w:val="center"/>
          </w:tcPr>
          <w:p w14:paraId="4E1C207D">
            <w:pPr>
              <w:snapToGrid w:val="0"/>
              <w:ind w:left="0" w:leftChars="0" w:right="0" w:rightChars="0" w:firstLine="0" w:firstLineChars="0"/>
              <w:jc w:val="center"/>
              <w:rPr>
                <w:rFonts w:ascii="宋体" w:eastAsia="宋体"/>
                <w:b/>
                <w:sz w:val="21"/>
              </w:rPr>
            </w:pPr>
          </w:p>
        </w:tc>
      </w:tr>
      <w:tr w14:paraId="1A8F1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68B91ED1">
            <w:pPr>
              <w:snapToGrid w:val="0"/>
              <w:ind w:left="0" w:leftChars="0" w:right="0" w:rightChars="0" w:firstLine="0" w:firstLineChars="0"/>
              <w:jc w:val="center"/>
              <w:rPr>
                <w:rFonts w:ascii="Arial"/>
                <w:sz w:val="21"/>
              </w:rPr>
            </w:pPr>
          </w:p>
        </w:tc>
        <w:tc>
          <w:tcPr>
            <w:tcW w:w="0" w:type="auto"/>
            <w:vAlign w:val="center"/>
          </w:tcPr>
          <w:p w14:paraId="74F39058">
            <w:pPr>
              <w:snapToGrid w:val="0"/>
              <w:ind w:left="0" w:leftChars="0" w:right="0" w:rightChars="0" w:firstLine="0" w:firstLineChars="0"/>
              <w:jc w:val="center"/>
              <w:rPr>
                <w:rFonts w:ascii="Arial"/>
                <w:sz w:val="21"/>
              </w:rPr>
            </w:pPr>
          </w:p>
        </w:tc>
        <w:tc>
          <w:tcPr>
            <w:tcW w:w="0" w:type="auto"/>
            <w:vAlign w:val="center"/>
          </w:tcPr>
          <w:p w14:paraId="4F528A69">
            <w:pPr>
              <w:snapToGrid w:val="0"/>
              <w:ind w:left="0" w:leftChars="0" w:right="0" w:rightChars="0" w:firstLine="0" w:firstLineChars="0"/>
              <w:jc w:val="center"/>
              <w:rPr>
                <w:rFonts w:ascii="Arial"/>
                <w:sz w:val="21"/>
              </w:rPr>
            </w:pPr>
          </w:p>
        </w:tc>
        <w:tc>
          <w:tcPr>
            <w:tcW w:w="0" w:type="auto"/>
            <w:vAlign w:val="center"/>
          </w:tcPr>
          <w:p w14:paraId="64C4EFD0">
            <w:pPr>
              <w:snapToGrid w:val="0"/>
              <w:ind w:left="0" w:leftChars="0" w:right="0" w:rightChars="0" w:firstLine="0" w:firstLineChars="0"/>
              <w:jc w:val="center"/>
              <w:rPr>
                <w:rFonts w:ascii="Arial"/>
                <w:sz w:val="21"/>
              </w:rPr>
            </w:pPr>
          </w:p>
        </w:tc>
        <w:tc>
          <w:tcPr>
            <w:tcW w:w="0" w:type="auto"/>
            <w:vAlign w:val="center"/>
          </w:tcPr>
          <w:p w14:paraId="0CB2454D">
            <w:pPr>
              <w:snapToGrid w:val="0"/>
              <w:ind w:left="0" w:leftChars="0" w:right="0" w:rightChars="0" w:firstLine="0" w:firstLineChars="0"/>
              <w:jc w:val="center"/>
              <w:rPr>
                <w:rFonts w:ascii="Arial"/>
                <w:sz w:val="21"/>
              </w:rPr>
            </w:pPr>
          </w:p>
        </w:tc>
        <w:tc>
          <w:tcPr>
            <w:tcW w:w="0" w:type="auto"/>
            <w:vAlign w:val="center"/>
          </w:tcPr>
          <w:p w14:paraId="743AFAC4">
            <w:pPr>
              <w:snapToGrid w:val="0"/>
              <w:ind w:left="0" w:leftChars="0" w:right="0" w:rightChars="0" w:firstLine="0" w:firstLineChars="0"/>
              <w:jc w:val="center"/>
              <w:rPr>
                <w:rFonts w:ascii="Arial"/>
                <w:sz w:val="21"/>
              </w:rPr>
            </w:pPr>
          </w:p>
        </w:tc>
        <w:tc>
          <w:tcPr>
            <w:tcW w:w="0" w:type="auto"/>
            <w:vAlign w:val="center"/>
          </w:tcPr>
          <w:p w14:paraId="2901F36B">
            <w:pPr>
              <w:snapToGrid w:val="0"/>
              <w:ind w:left="0" w:leftChars="0" w:right="0" w:rightChars="0" w:firstLine="0" w:firstLineChars="0"/>
              <w:jc w:val="center"/>
              <w:rPr>
                <w:rFonts w:ascii="Arial"/>
                <w:sz w:val="21"/>
              </w:rPr>
            </w:pPr>
          </w:p>
        </w:tc>
        <w:tc>
          <w:tcPr>
            <w:tcW w:w="1040" w:type="dxa"/>
            <w:vAlign w:val="center"/>
          </w:tcPr>
          <w:p w14:paraId="035ECFCB">
            <w:pPr>
              <w:snapToGrid w:val="0"/>
              <w:ind w:left="0" w:leftChars="0" w:right="0" w:rightChars="0" w:firstLine="0" w:firstLineChars="0"/>
              <w:jc w:val="center"/>
              <w:rPr>
                <w:rFonts w:ascii="Arial"/>
                <w:sz w:val="21"/>
              </w:rPr>
            </w:pPr>
          </w:p>
        </w:tc>
      </w:tr>
      <w:tr w14:paraId="1491E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0E624DE9">
            <w:pPr>
              <w:snapToGrid w:val="0"/>
              <w:ind w:left="0" w:leftChars="0" w:right="0" w:rightChars="0" w:firstLine="0" w:firstLineChars="0"/>
              <w:jc w:val="center"/>
              <w:rPr>
                <w:rFonts w:ascii="Arial"/>
                <w:sz w:val="21"/>
              </w:rPr>
            </w:pPr>
          </w:p>
        </w:tc>
        <w:tc>
          <w:tcPr>
            <w:tcW w:w="0" w:type="auto"/>
            <w:vAlign w:val="center"/>
          </w:tcPr>
          <w:p w14:paraId="494A1C89">
            <w:pPr>
              <w:snapToGrid w:val="0"/>
              <w:ind w:left="0" w:leftChars="0" w:right="0" w:rightChars="0" w:firstLine="0" w:firstLineChars="0"/>
              <w:jc w:val="center"/>
              <w:rPr>
                <w:rFonts w:ascii="Arial"/>
                <w:sz w:val="21"/>
              </w:rPr>
            </w:pPr>
          </w:p>
        </w:tc>
        <w:tc>
          <w:tcPr>
            <w:tcW w:w="0" w:type="auto"/>
            <w:vAlign w:val="center"/>
          </w:tcPr>
          <w:p w14:paraId="5AB2101B">
            <w:pPr>
              <w:snapToGrid w:val="0"/>
              <w:ind w:left="0" w:leftChars="0" w:right="0" w:rightChars="0" w:firstLine="0" w:firstLineChars="0"/>
              <w:jc w:val="center"/>
              <w:rPr>
                <w:rFonts w:ascii="Arial"/>
                <w:sz w:val="21"/>
              </w:rPr>
            </w:pPr>
          </w:p>
        </w:tc>
        <w:tc>
          <w:tcPr>
            <w:tcW w:w="0" w:type="auto"/>
            <w:vAlign w:val="center"/>
          </w:tcPr>
          <w:p w14:paraId="318D5CC9">
            <w:pPr>
              <w:snapToGrid w:val="0"/>
              <w:ind w:left="0" w:leftChars="0" w:right="0" w:rightChars="0" w:firstLine="0" w:firstLineChars="0"/>
              <w:jc w:val="center"/>
              <w:rPr>
                <w:rFonts w:ascii="Arial"/>
                <w:sz w:val="21"/>
              </w:rPr>
            </w:pPr>
          </w:p>
        </w:tc>
        <w:tc>
          <w:tcPr>
            <w:tcW w:w="0" w:type="auto"/>
            <w:vAlign w:val="center"/>
          </w:tcPr>
          <w:p w14:paraId="4FFB90CC">
            <w:pPr>
              <w:snapToGrid w:val="0"/>
              <w:ind w:left="0" w:leftChars="0" w:right="0" w:rightChars="0" w:firstLine="0" w:firstLineChars="0"/>
              <w:jc w:val="center"/>
              <w:rPr>
                <w:rFonts w:ascii="Arial"/>
                <w:sz w:val="21"/>
              </w:rPr>
            </w:pPr>
          </w:p>
        </w:tc>
        <w:tc>
          <w:tcPr>
            <w:tcW w:w="0" w:type="auto"/>
            <w:vAlign w:val="center"/>
          </w:tcPr>
          <w:p w14:paraId="549D1126">
            <w:pPr>
              <w:snapToGrid w:val="0"/>
              <w:ind w:left="0" w:leftChars="0" w:right="0" w:rightChars="0" w:firstLine="0" w:firstLineChars="0"/>
              <w:jc w:val="center"/>
              <w:rPr>
                <w:rFonts w:ascii="Arial"/>
                <w:sz w:val="21"/>
              </w:rPr>
            </w:pPr>
          </w:p>
        </w:tc>
        <w:tc>
          <w:tcPr>
            <w:tcW w:w="0" w:type="auto"/>
            <w:vAlign w:val="center"/>
          </w:tcPr>
          <w:p w14:paraId="51344D22">
            <w:pPr>
              <w:snapToGrid w:val="0"/>
              <w:ind w:left="0" w:leftChars="0" w:right="0" w:rightChars="0" w:firstLine="0" w:firstLineChars="0"/>
              <w:jc w:val="center"/>
              <w:rPr>
                <w:rFonts w:ascii="Arial"/>
                <w:sz w:val="21"/>
              </w:rPr>
            </w:pPr>
          </w:p>
        </w:tc>
        <w:tc>
          <w:tcPr>
            <w:tcW w:w="1040" w:type="dxa"/>
            <w:vAlign w:val="center"/>
          </w:tcPr>
          <w:p w14:paraId="17CA55AE">
            <w:pPr>
              <w:snapToGrid w:val="0"/>
              <w:ind w:left="0" w:leftChars="0" w:right="0" w:rightChars="0" w:firstLine="0" w:firstLineChars="0"/>
              <w:jc w:val="center"/>
              <w:rPr>
                <w:rFonts w:ascii="Arial"/>
                <w:sz w:val="21"/>
              </w:rPr>
            </w:pPr>
          </w:p>
        </w:tc>
      </w:tr>
      <w:tr w14:paraId="4AEE1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7F242939">
            <w:pPr>
              <w:snapToGrid w:val="0"/>
              <w:ind w:left="0" w:leftChars="0" w:right="0" w:rightChars="0" w:firstLine="0" w:firstLineChars="0"/>
              <w:jc w:val="center"/>
              <w:rPr>
                <w:rFonts w:ascii="Arial"/>
                <w:sz w:val="21"/>
              </w:rPr>
            </w:pPr>
          </w:p>
        </w:tc>
        <w:tc>
          <w:tcPr>
            <w:tcW w:w="0" w:type="auto"/>
            <w:vAlign w:val="center"/>
          </w:tcPr>
          <w:p w14:paraId="1F8707B8">
            <w:pPr>
              <w:snapToGrid w:val="0"/>
              <w:ind w:left="0" w:leftChars="0" w:right="0" w:rightChars="0" w:firstLine="0" w:firstLineChars="0"/>
              <w:jc w:val="center"/>
              <w:rPr>
                <w:rFonts w:ascii="Arial"/>
                <w:sz w:val="21"/>
              </w:rPr>
            </w:pPr>
          </w:p>
        </w:tc>
        <w:tc>
          <w:tcPr>
            <w:tcW w:w="0" w:type="auto"/>
            <w:vAlign w:val="center"/>
          </w:tcPr>
          <w:p w14:paraId="5B009513">
            <w:pPr>
              <w:snapToGrid w:val="0"/>
              <w:ind w:left="0" w:leftChars="0" w:right="0" w:rightChars="0" w:firstLine="0" w:firstLineChars="0"/>
              <w:jc w:val="center"/>
              <w:rPr>
                <w:rFonts w:ascii="Arial"/>
                <w:sz w:val="21"/>
              </w:rPr>
            </w:pPr>
          </w:p>
        </w:tc>
        <w:tc>
          <w:tcPr>
            <w:tcW w:w="0" w:type="auto"/>
            <w:vAlign w:val="center"/>
          </w:tcPr>
          <w:p w14:paraId="6E94327B">
            <w:pPr>
              <w:snapToGrid w:val="0"/>
              <w:ind w:left="0" w:leftChars="0" w:right="0" w:rightChars="0" w:firstLine="0" w:firstLineChars="0"/>
              <w:jc w:val="center"/>
              <w:rPr>
                <w:rFonts w:ascii="Arial"/>
                <w:sz w:val="21"/>
              </w:rPr>
            </w:pPr>
          </w:p>
        </w:tc>
        <w:tc>
          <w:tcPr>
            <w:tcW w:w="0" w:type="auto"/>
            <w:vAlign w:val="center"/>
          </w:tcPr>
          <w:p w14:paraId="0C3BDA9F">
            <w:pPr>
              <w:snapToGrid w:val="0"/>
              <w:ind w:left="0" w:leftChars="0" w:right="0" w:rightChars="0" w:firstLine="0" w:firstLineChars="0"/>
              <w:jc w:val="center"/>
              <w:rPr>
                <w:rFonts w:ascii="Arial"/>
                <w:sz w:val="21"/>
              </w:rPr>
            </w:pPr>
          </w:p>
        </w:tc>
        <w:tc>
          <w:tcPr>
            <w:tcW w:w="0" w:type="auto"/>
            <w:vAlign w:val="center"/>
          </w:tcPr>
          <w:p w14:paraId="5D04DD6C">
            <w:pPr>
              <w:snapToGrid w:val="0"/>
              <w:ind w:left="0" w:leftChars="0" w:right="0" w:rightChars="0" w:firstLine="0" w:firstLineChars="0"/>
              <w:jc w:val="center"/>
              <w:rPr>
                <w:rFonts w:ascii="Arial"/>
                <w:sz w:val="21"/>
              </w:rPr>
            </w:pPr>
          </w:p>
        </w:tc>
        <w:tc>
          <w:tcPr>
            <w:tcW w:w="0" w:type="auto"/>
            <w:vAlign w:val="center"/>
          </w:tcPr>
          <w:p w14:paraId="710DDFC4">
            <w:pPr>
              <w:snapToGrid w:val="0"/>
              <w:ind w:left="0" w:leftChars="0" w:right="0" w:rightChars="0" w:firstLine="0" w:firstLineChars="0"/>
              <w:jc w:val="center"/>
              <w:rPr>
                <w:rFonts w:ascii="Arial"/>
                <w:sz w:val="21"/>
              </w:rPr>
            </w:pPr>
          </w:p>
        </w:tc>
        <w:tc>
          <w:tcPr>
            <w:tcW w:w="1040" w:type="dxa"/>
            <w:vAlign w:val="center"/>
          </w:tcPr>
          <w:p w14:paraId="64A4FEC4">
            <w:pPr>
              <w:snapToGrid w:val="0"/>
              <w:ind w:left="0" w:leftChars="0" w:right="0" w:rightChars="0" w:firstLine="0" w:firstLineChars="0"/>
              <w:jc w:val="center"/>
              <w:rPr>
                <w:rFonts w:ascii="Arial"/>
                <w:sz w:val="21"/>
              </w:rPr>
            </w:pPr>
          </w:p>
        </w:tc>
      </w:tr>
      <w:tr w14:paraId="7ADC5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40CFD4E2">
            <w:pPr>
              <w:snapToGrid w:val="0"/>
              <w:ind w:left="0" w:leftChars="0" w:right="0" w:rightChars="0" w:firstLine="0" w:firstLineChars="0"/>
              <w:jc w:val="center"/>
              <w:rPr>
                <w:rFonts w:ascii="Arial"/>
                <w:sz w:val="21"/>
              </w:rPr>
            </w:pPr>
          </w:p>
        </w:tc>
        <w:tc>
          <w:tcPr>
            <w:tcW w:w="0" w:type="auto"/>
            <w:vAlign w:val="center"/>
          </w:tcPr>
          <w:p w14:paraId="62EF8BC8">
            <w:pPr>
              <w:snapToGrid w:val="0"/>
              <w:ind w:left="0" w:leftChars="0" w:right="0" w:rightChars="0" w:firstLine="0" w:firstLineChars="0"/>
              <w:jc w:val="center"/>
              <w:rPr>
                <w:rFonts w:ascii="Arial"/>
                <w:sz w:val="21"/>
              </w:rPr>
            </w:pPr>
          </w:p>
        </w:tc>
        <w:tc>
          <w:tcPr>
            <w:tcW w:w="0" w:type="auto"/>
            <w:vAlign w:val="center"/>
          </w:tcPr>
          <w:p w14:paraId="28040992">
            <w:pPr>
              <w:snapToGrid w:val="0"/>
              <w:ind w:left="0" w:leftChars="0" w:right="0" w:rightChars="0" w:firstLine="0" w:firstLineChars="0"/>
              <w:jc w:val="center"/>
              <w:rPr>
                <w:rFonts w:ascii="Arial"/>
                <w:sz w:val="21"/>
              </w:rPr>
            </w:pPr>
          </w:p>
        </w:tc>
        <w:tc>
          <w:tcPr>
            <w:tcW w:w="0" w:type="auto"/>
            <w:vAlign w:val="center"/>
          </w:tcPr>
          <w:p w14:paraId="4D33C682">
            <w:pPr>
              <w:snapToGrid w:val="0"/>
              <w:ind w:left="0" w:leftChars="0" w:right="0" w:rightChars="0" w:firstLine="0" w:firstLineChars="0"/>
              <w:jc w:val="center"/>
              <w:rPr>
                <w:rFonts w:ascii="Arial"/>
                <w:sz w:val="21"/>
              </w:rPr>
            </w:pPr>
          </w:p>
        </w:tc>
        <w:tc>
          <w:tcPr>
            <w:tcW w:w="0" w:type="auto"/>
            <w:vAlign w:val="center"/>
          </w:tcPr>
          <w:p w14:paraId="2B1D4972">
            <w:pPr>
              <w:snapToGrid w:val="0"/>
              <w:ind w:left="0" w:leftChars="0" w:right="0" w:rightChars="0" w:firstLine="0" w:firstLineChars="0"/>
              <w:jc w:val="center"/>
              <w:rPr>
                <w:rFonts w:ascii="Arial"/>
                <w:sz w:val="21"/>
              </w:rPr>
            </w:pPr>
          </w:p>
        </w:tc>
        <w:tc>
          <w:tcPr>
            <w:tcW w:w="0" w:type="auto"/>
            <w:vAlign w:val="center"/>
          </w:tcPr>
          <w:p w14:paraId="5D791E64">
            <w:pPr>
              <w:snapToGrid w:val="0"/>
              <w:ind w:left="0" w:leftChars="0" w:right="0" w:rightChars="0" w:firstLine="0" w:firstLineChars="0"/>
              <w:jc w:val="center"/>
              <w:rPr>
                <w:rFonts w:ascii="Arial"/>
                <w:sz w:val="21"/>
              </w:rPr>
            </w:pPr>
          </w:p>
        </w:tc>
        <w:tc>
          <w:tcPr>
            <w:tcW w:w="0" w:type="auto"/>
            <w:vAlign w:val="center"/>
          </w:tcPr>
          <w:p w14:paraId="4DFCD365">
            <w:pPr>
              <w:snapToGrid w:val="0"/>
              <w:ind w:left="0" w:leftChars="0" w:right="0" w:rightChars="0" w:firstLine="0" w:firstLineChars="0"/>
              <w:jc w:val="center"/>
              <w:rPr>
                <w:rFonts w:ascii="Arial"/>
                <w:sz w:val="21"/>
              </w:rPr>
            </w:pPr>
          </w:p>
        </w:tc>
        <w:tc>
          <w:tcPr>
            <w:tcW w:w="1040" w:type="dxa"/>
            <w:vAlign w:val="center"/>
          </w:tcPr>
          <w:p w14:paraId="24BA60FA">
            <w:pPr>
              <w:snapToGrid w:val="0"/>
              <w:ind w:left="0" w:leftChars="0" w:right="0" w:rightChars="0" w:firstLine="0" w:firstLineChars="0"/>
              <w:jc w:val="center"/>
              <w:rPr>
                <w:rFonts w:ascii="Arial"/>
                <w:sz w:val="21"/>
              </w:rPr>
            </w:pPr>
          </w:p>
        </w:tc>
      </w:tr>
      <w:tr w14:paraId="0282D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092C6A78">
            <w:pPr>
              <w:snapToGrid w:val="0"/>
              <w:ind w:left="0" w:leftChars="0" w:right="0" w:rightChars="0" w:firstLine="0" w:firstLineChars="0"/>
              <w:jc w:val="center"/>
              <w:rPr>
                <w:rFonts w:ascii="Arial"/>
                <w:sz w:val="21"/>
              </w:rPr>
            </w:pPr>
          </w:p>
        </w:tc>
        <w:tc>
          <w:tcPr>
            <w:tcW w:w="0" w:type="auto"/>
            <w:vAlign w:val="center"/>
          </w:tcPr>
          <w:p w14:paraId="5FE45A61">
            <w:pPr>
              <w:snapToGrid w:val="0"/>
              <w:ind w:left="0" w:leftChars="0" w:right="0" w:rightChars="0" w:firstLine="0" w:firstLineChars="0"/>
              <w:jc w:val="center"/>
              <w:rPr>
                <w:rFonts w:ascii="Arial"/>
                <w:sz w:val="21"/>
              </w:rPr>
            </w:pPr>
          </w:p>
        </w:tc>
        <w:tc>
          <w:tcPr>
            <w:tcW w:w="0" w:type="auto"/>
            <w:vAlign w:val="center"/>
          </w:tcPr>
          <w:p w14:paraId="4C2EE682">
            <w:pPr>
              <w:snapToGrid w:val="0"/>
              <w:ind w:left="0" w:leftChars="0" w:right="0" w:rightChars="0" w:firstLine="0" w:firstLineChars="0"/>
              <w:jc w:val="center"/>
              <w:rPr>
                <w:rFonts w:ascii="Arial"/>
                <w:sz w:val="21"/>
              </w:rPr>
            </w:pPr>
          </w:p>
        </w:tc>
        <w:tc>
          <w:tcPr>
            <w:tcW w:w="0" w:type="auto"/>
            <w:vAlign w:val="center"/>
          </w:tcPr>
          <w:p w14:paraId="268F2564">
            <w:pPr>
              <w:snapToGrid w:val="0"/>
              <w:ind w:left="0" w:leftChars="0" w:right="0" w:rightChars="0" w:firstLine="0" w:firstLineChars="0"/>
              <w:jc w:val="center"/>
              <w:rPr>
                <w:rFonts w:ascii="Arial"/>
                <w:sz w:val="21"/>
              </w:rPr>
            </w:pPr>
          </w:p>
        </w:tc>
        <w:tc>
          <w:tcPr>
            <w:tcW w:w="0" w:type="auto"/>
            <w:vAlign w:val="center"/>
          </w:tcPr>
          <w:p w14:paraId="5CC1E829">
            <w:pPr>
              <w:snapToGrid w:val="0"/>
              <w:ind w:left="0" w:leftChars="0" w:right="0" w:rightChars="0" w:firstLine="0" w:firstLineChars="0"/>
              <w:jc w:val="center"/>
              <w:rPr>
                <w:rFonts w:ascii="Arial"/>
                <w:sz w:val="21"/>
              </w:rPr>
            </w:pPr>
          </w:p>
        </w:tc>
        <w:tc>
          <w:tcPr>
            <w:tcW w:w="0" w:type="auto"/>
            <w:vAlign w:val="center"/>
          </w:tcPr>
          <w:p w14:paraId="7BE6FB09">
            <w:pPr>
              <w:snapToGrid w:val="0"/>
              <w:ind w:left="0" w:leftChars="0" w:right="0" w:rightChars="0" w:firstLine="0" w:firstLineChars="0"/>
              <w:jc w:val="center"/>
              <w:rPr>
                <w:rFonts w:ascii="Arial"/>
                <w:sz w:val="21"/>
              </w:rPr>
            </w:pPr>
          </w:p>
        </w:tc>
        <w:tc>
          <w:tcPr>
            <w:tcW w:w="0" w:type="auto"/>
            <w:vAlign w:val="center"/>
          </w:tcPr>
          <w:p w14:paraId="49950338">
            <w:pPr>
              <w:snapToGrid w:val="0"/>
              <w:ind w:left="0" w:leftChars="0" w:right="0" w:rightChars="0" w:firstLine="0" w:firstLineChars="0"/>
              <w:jc w:val="center"/>
              <w:rPr>
                <w:rFonts w:ascii="Arial"/>
                <w:sz w:val="21"/>
              </w:rPr>
            </w:pPr>
          </w:p>
        </w:tc>
        <w:tc>
          <w:tcPr>
            <w:tcW w:w="1040" w:type="dxa"/>
            <w:vAlign w:val="center"/>
          </w:tcPr>
          <w:p w14:paraId="74DE373D">
            <w:pPr>
              <w:snapToGrid w:val="0"/>
              <w:ind w:left="0" w:leftChars="0" w:right="0" w:rightChars="0" w:firstLine="0" w:firstLineChars="0"/>
              <w:jc w:val="center"/>
              <w:rPr>
                <w:rFonts w:ascii="Arial"/>
                <w:sz w:val="21"/>
              </w:rPr>
            </w:pPr>
          </w:p>
        </w:tc>
      </w:tr>
      <w:tr w14:paraId="00CB6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5F21BE05">
            <w:pPr>
              <w:snapToGrid w:val="0"/>
              <w:ind w:left="0" w:leftChars="0" w:right="0" w:rightChars="0" w:firstLine="0" w:firstLineChars="0"/>
              <w:jc w:val="center"/>
              <w:rPr>
                <w:rFonts w:ascii="Arial"/>
                <w:sz w:val="21"/>
              </w:rPr>
            </w:pPr>
          </w:p>
        </w:tc>
        <w:tc>
          <w:tcPr>
            <w:tcW w:w="0" w:type="auto"/>
            <w:vAlign w:val="center"/>
          </w:tcPr>
          <w:p w14:paraId="028E1D46">
            <w:pPr>
              <w:snapToGrid w:val="0"/>
              <w:ind w:left="0" w:leftChars="0" w:right="0" w:rightChars="0" w:firstLine="0" w:firstLineChars="0"/>
              <w:jc w:val="center"/>
              <w:rPr>
                <w:rFonts w:ascii="Arial"/>
                <w:sz w:val="21"/>
              </w:rPr>
            </w:pPr>
          </w:p>
        </w:tc>
        <w:tc>
          <w:tcPr>
            <w:tcW w:w="0" w:type="auto"/>
            <w:vAlign w:val="center"/>
          </w:tcPr>
          <w:p w14:paraId="6C65DABF">
            <w:pPr>
              <w:snapToGrid w:val="0"/>
              <w:ind w:left="0" w:leftChars="0" w:right="0" w:rightChars="0" w:firstLine="0" w:firstLineChars="0"/>
              <w:jc w:val="center"/>
              <w:rPr>
                <w:rFonts w:ascii="Arial"/>
                <w:sz w:val="21"/>
              </w:rPr>
            </w:pPr>
          </w:p>
        </w:tc>
        <w:tc>
          <w:tcPr>
            <w:tcW w:w="0" w:type="auto"/>
            <w:vAlign w:val="center"/>
          </w:tcPr>
          <w:p w14:paraId="58BAA1A3">
            <w:pPr>
              <w:snapToGrid w:val="0"/>
              <w:ind w:left="0" w:leftChars="0" w:right="0" w:rightChars="0" w:firstLine="0" w:firstLineChars="0"/>
              <w:jc w:val="center"/>
              <w:rPr>
                <w:rFonts w:ascii="Arial"/>
                <w:sz w:val="21"/>
              </w:rPr>
            </w:pPr>
          </w:p>
        </w:tc>
        <w:tc>
          <w:tcPr>
            <w:tcW w:w="0" w:type="auto"/>
            <w:vAlign w:val="center"/>
          </w:tcPr>
          <w:p w14:paraId="3645D76E">
            <w:pPr>
              <w:snapToGrid w:val="0"/>
              <w:ind w:left="0" w:leftChars="0" w:right="0" w:rightChars="0" w:firstLine="0" w:firstLineChars="0"/>
              <w:jc w:val="center"/>
              <w:rPr>
                <w:rFonts w:ascii="Arial"/>
                <w:sz w:val="21"/>
              </w:rPr>
            </w:pPr>
          </w:p>
        </w:tc>
        <w:tc>
          <w:tcPr>
            <w:tcW w:w="0" w:type="auto"/>
            <w:vAlign w:val="center"/>
          </w:tcPr>
          <w:p w14:paraId="147C25ED">
            <w:pPr>
              <w:snapToGrid w:val="0"/>
              <w:ind w:left="0" w:leftChars="0" w:right="0" w:rightChars="0" w:firstLine="0" w:firstLineChars="0"/>
              <w:jc w:val="center"/>
              <w:rPr>
                <w:rFonts w:ascii="Arial"/>
                <w:sz w:val="21"/>
              </w:rPr>
            </w:pPr>
          </w:p>
        </w:tc>
        <w:tc>
          <w:tcPr>
            <w:tcW w:w="0" w:type="auto"/>
            <w:vAlign w:val="center"/>
          </w:tcPr>
          <w:p w14:paraId="662E9F4A">
            <w:pPr>
              <w:snapToGrid w:val="0"/>
              <w:ind w:left="0" w:leftChars="0" w:right="0" w:rightChars="0" w:firstLine="0" w:firstLineChars="0"/>
              <w:jc w:val="center"/>
              <w:rPr>
                <w:rFonts w:ascii="Arial"/>
                <w:sz w:val="21"/>
              </w:rPr>
            </w:pPr>
          </w:p>
        </w:tc>
        <w:tc>
          <w:tcPr>
            <w:tcW w:w="1040" w:type="dxa"/>
            <w:vAlign w:val="center"/>
          </w:tcPr>
          <w:p w14:paraId="123D4B92">
            <w:pPr>
              <w:snapToGrid w:val="0"/>
              <w:ind w:left="0" w:leftChars="0" w:right="0" w:rightChars="0" w:firstLine="0" w:firstLineChars="0"/>
              <w:jc w:val="center"/>
              <w:rPr>
                <w:rFonts w:ascii="Arial"/>
                <w:sz w:val="21"/>
              </w:rPr>
            </w:pPr>
          </w:p>
        </w:tc>
      </w:tr>
      <w:tr w14:paraId="49D2A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6BE6A25B">
            <w:pPr>
              <w:snapToGrid w:val="0"/>
              <w:ind w:left="0" w:leftChars="0" w:right="0" w:rightChars="0" w:firstLine="0" w:firstLineChars="0"/>
              <w:jc w:val="center"/>
              <w:rPr>
                <w:rFonts w:ascii="Arial"/>
                <w:sz w:val="21"/>
              </w:rPr>
            </w:pPr>
          </w:p>
        </w:tc>
        <w:tc>
          <w:tcPr>
            <w:tcW w:w="0" w:type="auto"/>
            <w:vAlign w:val="center"/>
          </w:tcPr>
          <w:p w14:paraId="7CE6E98E">
            <w:pPr>
              <w:snapToGrid w:val="0"/>
              <w:ind w:left="0" w:leftChars="0" w:right="0" w:rightChars="0" w:firstLine="0" w:firstLineChars="0"/>
              <w:jc w:val="center"/>
              <w:rPr>
                <w:rFonts w:ascii="Arial"/>
                <w:sz w:val="21"/>
              </w:rPr>
            </w:pPr>
          </w:p>
        </w:tc>
        <w:tc>
          <w:tcPr>
            <w:tcW w:w="0" w:type="auto"/>
            <w:vAlign w:val="center"/>
          </w:tcPr>
          <w:p w14:paraId="434378ED">
            <w:pPr>
              <w:snapToGrid w:val="0"/>
              <w:ind w:left="0" w:leftChars="0" w:right="0" w:rightChars="0" w:firstLine="0" w:firstLineChars="0"/>
              <w:jc w:val="center"/>
              <w:rPr>
                <w:rFonts w:ascii="Arial"/>
                <w:sz w:val="21"/>
              </w:rPr>
            </w:pPr>
          </w:p>
        </w:tc>
        <w:tc>
          <w:tcPr>
            <w:tcW w:w="0" w:type="auto"/>
            <w:vAlign w:val="center"/>
          </w:tcPr>
          <w:p w14:paraId="439AFA2D">
            <w:pPr>
              <w:snapToGrid w:val="0"/>
              <w:ind w:left="0" w:leftChars="0" w:right="0" w:rightChars="0" w:firstLine="0" w:firstLineChars="0"/>
              <w:jc w:val="center"/>
              <w:rPr>
                <w:rFonts w:ascii="Arial"/>
                <w:sz w:val="21"/>
              </w:rPr>
            </w:pPr>
          </w:p>
        </w:tc>
        <w:tc>
          <w:tcPr>
            <w:tcW w:w="0" w:type="auto"/>
            <w:vAlign w:val="center"/>
          </w:tcPr>
          <w:p w14:paraId="55581716">
            <w:pPr>
              <w:snapToGrid w:val="0"/>
              <w:ind w:left="0" w:leftChars="0" w:right="0" w:rightChars="0" w:firstLine="0" w:firstLineChars="0"/>
              <w:jc w:val="center"/>
              <w:rPr>
                <w:rFonts w:ascii="Arial"/>
                <w:sz w:val="21"/>
              </w:rPr>
            </w:pPr>
          </w:p>
        </w:tc>
        <w:tc>
          <w:tcPr>
            <w:tcW w:w="0" w:type="auto"/>
            <w:vAlign w:val="center"/>
          </w:tcPr>
          <w:p w14:paraId="7FBC1210">
            <w:pPr>
              <w:snapToGrid w:val="0"/>
              <w:ind w:left="0" w:leftChars="0" w:right="0" w:rightChars="0" w:firstLine="0" w:firstLineChars="0"/>
              <w:jc w:val="center"/>
              <w:rPr>
                <w:rFonts w:ascii="Arial"/>
                <w:sz w:val="21"/>
              </w:rPr>
            </w:pPr>
          </w:p>
        </w:tc>
        <w:tc>
          <w:tcPr>
            <w:tcW w:w="0" w:type="auto"/>
            <w:vAlign w:val="center"/>
          </w:tcPr>
          <w:p w14:paraId="721AF1E3">
            <w:pPr>
              <w:snapToGrid w:val="0"/>
              <w:ind w:left="0" w:leftChars="0" w:right="0" w:rightChars="0" w:firstLine="0" w:firstLineChars="0"/>
              <w:jc w:val="center"/>
              <w:rPr>
                <w:rFonts w:ascii="Arial"/>
                <w:sz w:val="21"/>
              </w:rPr>
            </w:pPr>
          </w:p>
        </w:tc>
        <w:tc>
          <w:tcPr>
            <w:tcW w:w="1040" w:type="dxa"/>
            <w:vAlign w:val="center"/>
          </w:tcPr>
          <w:p w14:paraId="1D735792">
            <w:pPr>
              <w:snapToGrid w:val="0"/>
              <w:ind w:left="0" w:leftChars="0" w:right="0" w:rightChars="0" w:firstLine="0" w:firstLineChars="0"/>
              <w:jc w:val="center"/>
              <w:rPr>
                <w:rFonts w:ascii="Arial"/>
                <w:sz w:val="21"/>
              </w:rPr>
            </w:pPr>
          </w:p>
        </w:tc>
      </w:tr>
      <w:tr w14:paraId="5ABC4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21E85A57">
            <w:pPr>
              <w:snapToGrid w:val="0"/>
              <w:ind w:left="0" w:leftChars="0" w:right="0" w:rightChars="0" w:firstLine="0" w:firstLineChars="0"/>
              <w:jc w:val="center"/>
              <w:rPr>
                <w:rFonts w:ascii="Arial"/>
                <w:sz w:val="21"/>
              </w:rPr>
            </w:pPr>
          </w:p>
        </w:tc>
        <w:tc>
          <w:tcPr>
            <w:tcW w:w="0" w:type="auto"/>
            <w:vAlign w:val="center"/>
          </w:tcPr>
          <w:p w14:paraId="7A25239D">
            <w:pPr>
              <w:snapToGrid w:val="0"/>
              <w:ind w:left="0" w:leftChars="0" w:right="0" w:rightChars="0" w:firstLine="0" w:firstLineChars="0"/>
              <w:jc w:val="center"/>
              <w:rPr>
                <w:rFonts w:ascii="Arial"/>
                <w:sz w:val="21"/>
              </w:rPr>
            </w:pPr>
          </w:p>
        </w:tc>
        <w:tc>
          <w:tcPr>
            <w:tcW w:w="0" w:type="auto"/>
            <w:vAlign w:val="center"/>
          </w:tcPr>
          <w:p w14:paraId="167FCA7A">
            <w:pPr>
              <w:snapToGrid w:val="0"/>
              <w:ind w:left="0" w:leftChars="0" w:right="0" w:rightChars="0" w:firstLine="0" w:firstLineChars="0"/>
              <w:jc w:val="center"/>
              <w:rPr>
                <w:rFonts w:ascii="Arial"/>
                <w:sz w:val="21"/>
              </w:rPr>
            </w:pPr>
          </w:p>
        </w:tc>
        <w:tc>
          <w:tcPr>
            <w:tcW w:w="0" w:type="auto"/>
            <w:vAlign w:val="center"/>
          </w:tcPr>
          <w:p w14:paraId="5A0E365C">
            <w:pPr>
              <w:snapToGrid w:val="0"/>
              <w:ind w:left="0" w:leftChars="0" w:right="0" w:rightChars="0" w:firstLine="0" w:firstLineChars="0"/>
              <w:jc w:val="center"/>
              <w:rPr>
                <w:rFonts w:ascii="Arial"/>
                <w:sz w:val="21"/>
              </w:rPr>
            </w:pPr>
          </w:p>
        </w:tc>
        <w:tc>
          <w:tcPr>
            <w:tcW w:w="0" w:type="auto"/>
            <w:vAlign w:val="center"/>
          </w:tcPr>
          <w:p w14:paraId="6B810A9F">
            <w:pPr>
              <w:snapToGrid w:val="0"/>
              <w:ind w:left="0" w:leftChars="0" w:right="0" w:rightChars="0" w:firstLine="0" w:firstLineChars="0"/>
              <w:jc w:val="center"/>
              <w:rPr>
                <w:rFonts w:ascii="Arial"/>
                <w:sz w:val="21"/>
              </w:rPr>
            </w:pPr>
          </w:p>
        </w:tc>
        <w:tc>
          <w:tcPr>
            <w:tcW w:w="0" w:type="auto"/>
            <w:vAlign w:val="center"/>
          </w:tcPr>
          <w:p w14:paraId="1DFFE7F3">
            <w:pPr>
              <w:snapToGrid w:val="0"/>
              <w:ind w:left="0" w:leftChars="0" w:right="0" w:rightChars="0" w:firstLine="0" w:firstLineChars="0"/>
              <w:jc w:val="center"/>
              <w:rPr>
                <w:rFonts w:ascii="Arial"/>
                <w:sz w:val="21"/>
              </w:rPr>
            </w:pPr>
          </w:p>
        </w:tc>
        <w:tc>
          <w:tcPr>
            <w:tcW w:w="0" w:type="auto"/>
            <w:vAlign w:val="center"/>
          </w:tcPr>
          <w:p w14:paraId="410592D5">
            <w:pPr>
              <w:snapToGrid w:val="0"/>
              <w:ind w:left="0" w:leftChars="0" w:right="0" w:rightChars="0" w:firstLine="0" w:firstLineChars="0"/>
              <w:jc w:val="center"/>
              <w:rPr>
                <w:rFonts w:ascii="Arial"/>
                <w:sz w:val="21"/>
              </w:rPr>
            </w:pPr>
          </w:p>
        </w:tc>
        <w:tc>
          <w:tcPr>
            <w:tcW w:w="1040" w:type="dxa"/>
            <w:vAlign w:val="center"/>
          </w:tcPr>
          <w:p w14:paraId="0696FE54">
            <w:pPr>
              <w:snapToGrid w:val="0"/>
              <w:ind w:left="0" w:leftChars="0" w:right="0" w:rightChars="0" w:firstLine="0" w:firstLineChars="0"/>
              <w:jc w:val="center"/>
              <w:rPr>
                <w:rFonts w:ascii="Arial"/>
                <w:sz w:val="21"/>
              </w:rPr>
            </w:pPr>
          </w:p>
        </w:tc>
      </w:tr>
      <w:tr w14:paraId="79598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28731A83">
            <w:pPr>
              <w:snapToGrid w:val="0"/>
              <w:ind w:left="0" w:leftChars="0" w:right="0" w:rightChars="0" w:firstLine="0" w:firstLineChars="0"/>
              <w:jc w:val="center"/>
              <w:rPr>
                <w:rFonts w:ascii="Arial"/>
                <w:sz w:val="21"/>
              </w:rPr>
            </w:pPr>
          </w:p>
        </w:tc>
        <w:tc>
          <w:tcPr>
            <w:tcW w:w="0" w:type="auto"/>
            <w:vAlign w:val="center"/>
          </w:tcPr>
          <w:p w14:paraId="1CA16CB0">
            <w:pPr>
              <w:snapToGrid w:val="0"/>
              <w:ind w:left="0" w:leftChars="0" w:right="0" w:rightChars="0" w:firstLine="0" w:firstLineChars="0"/>
              <w:jc w:val="center"/>
              <w:rPr>
                <w:rFonts w:ascii="Arial"/>
                <w:sz w:val="21"/>
              </w:rPr>
            </w:pPr>
          </w:p>
        </w:tc>
        <w:tc>
          <w:tcPr>
            <w:tcW w:w="0" w:type="auto"/>
            <w:vAlign w:val="center"/>
          </w:tcPr>
          <w:p w14:paraId="4718F557">
            <w:pPr>
              <w:snapToGrid w:val="0"/>
              <w:ind w:left="0" w:leftChars="0" w:right="0" w:rightChars="0" w:firstLine="0" w:firstLineChars="0"/>
              <w:jc w:val="center"/>
              <w:rPr>
                <w:rFonts w:ascii="Arial"/>
                <w:sz w:val="21"/>
              </w:rPr>
            </w:pPr>
          </w:p>
        </w:tc>
        <w:tc>
          <w:tcPr>
            <w:tcW w:w="0" w:type="auto"/>
            <w:vAlign w:val="center"/>
          </w:tcPr>
          <w:p w14:paraId="2277150E">
            <w:pPr>
              <w:snapToGrid w:val="0"/>
              <w:ind w:left="0" w:leftChars="0" w:right="0" w:rightChars="0" w:firstLine="0" w:firstLineChars="0"/>
              <w:jc w:val="center"/>
              <w:rPr>
                <w:rFonts w:ascii="Arial"/>
                <w:sz w:val="21"/>
              </w:rPr>
            </w:pPr>
          </w:p>
        </w:tc>
        <w:tc>
          <w:tcPr>
            <w:tcW w:w="0" w:type="auto"/>
            <w:vAlign w:val="center"/>
          </w:tcPr>
          <w:p w14:paraId="124B53C9">
            <w:pPr>
              <w:snapToGrid w:val="0"/>
              <w:ind w:left="0" w:leftChars="0" w:right="0" w:rightChars="0" w:firstLine="0" w:firstLineChars="0"/>
              <w:jc w:val="center"/>
              <w:rPr>
                <w:rFonts w:ascii="Arial"/>
                <w:sz w:val="21"/>
              </w:rPr>
            </w:pPr>
          </w:p>
        </w:tc>
        <w:tc>
          <w:tcPr>
            <w:tcW w:w="0" w:type="auto"/>
            <w:vAlign w:val="center"/>
          </w:tcPr>
          <w:p w14:paraId="5C417CEE">
            <w:pPr>
              <w:snapToGrid w:val="0"/>
              <w:ind w:left="0" w:leftChars="0" w:right="0" w:rightChars="0" w:firstLine="0" w:firstLineChars="0"/>
              <w:jc w:val="center"/>
              <w:rPr>
                <w:rFonts w:ascii="Arial"/>
                <w:sz w:val="21"/>
              </w:rPr>
            </w:pPr>
          </w:p>
        </w:tc>
        <w:tc>
          <w:tcPr>
            <w:tcW w:w="0" w:type="auto"/>
            <w:vAlign w:val="center"/>
          </w:tcPr>
          <w:p w14:paraId="26084BCD">
            <w:pPr>
              <w:snapToGrid w:val="0"/>
              <w:ind w:left="0" w:leftChars="0" w:right="0" w:rightChars="0" w:firstLine="0" w:firstLineChars="0"/>
              <w:jc w:val="center"/>
              <w:rPr>
                <w:rFonts w:ascii="Arial"/>
                <w:sz w:val="21"/>
              </w:rPr>
            </w:pPr>
          </w:p>
        </w:tc>
        <w:tc>
          <w:tcPr>
            <w:tcW w:w="1040" w:type="dxa"/>
            <w:vAlign w:val="center"/>
          </w:tcPr>
          <w:p w14:paraId="5AF1409D">
            <w:pPr>
              <w:snapToGrid w:val="0"/>
              <w:ind w:left="0" w:leftChars="0" w:right="0" w:rightChars="0" w:firstLine="0" w:firstLineChars="0"/>
              <w:jc w:val="center"/>
              <w:rPr>
                <w:rFonts w:ascii="Arial"/>
                <w:sz w:val="21"/>
              </w:rPr>
            </w:pPr>
          </w:p>
        </w:tc>
      </w:tr>
      <w:tr w14:paraId="22BFC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48FD46F6">
            <w:pPr>
              <w:snapToGrid w:val="0"/>
              <w:ind w:left="0" w:leftChars="0" w:right="0" w:rightChars="0" w:firstLine="0" w:firstLineChars="0"/>
              <w:jc w:val="center"/>
              <w:rPr>
                <w:rFonts w:ascii="Arial"/>
                <w:sz w:val="21"/>
              </w:rPr>
            </w:pPr>
          </w:p>
        </w:tc>
        <w:tc>
          <w:tcPr>
            <w:tcW w:w="0" w:type="auto"/>
            <w:vAlign w:val="center"/>
          </w:tcPr>
          <w:p w14:paraId="352F49FB">
            <w:pPr>
              <w:snapToGrid w:val="0"/>
              <w:ind w:left="0" w:leftChars="0" w:right="0" w:rightChars="0" w:firstLine="0" w:firstLineChars="0"/>
              <w:jc w:val="center"/>
              <w:rPr>
                <w:rFonts w:ascii="Arial"/>
                <w:sz w:val="21"/>
              </w:rPr>
            </w:pPr>
          </w:p>
        </w:tc>
        <w:tc>
          <w:tcPr>
            <w:tcW w:w="0" w:type="auto"/>
            <w:vAlign w:val="center"/>
          </w:tcPr>
          <w:p w14:paraId="1E27748C">
            <w:pPr>
              <w:snapToGrid w:val="0"/>
              <w:ind w:left="0" w:leftChars="0" w:right="0" w:rightChars="0" w:firstLine="0" w:firstLineChars="0"/>
              <w:jc w:val="center"/>
              <w:rPr>
                <w:rFonts w:ascii="Arial"/>
                <w:sz w:val="21"/>
              </w:rPr>
            </w:pPr>
          </w:p>
        </w:tc>
        <w:tc>
          <w:tcPr>
            <w:tcW w:w="0" w:type="auto"/>
            <w:vAlign w:val="center"/>
          </w:tcPr>
          <w:p w14:paraId="3EBB3BEE">
            <w:pPr>
              <w:snapToGrid w:val="0"/>
              <w:ind w:left="0" w:leftChars="0" w:right="0" w:rightChars="0" w:firstLine="0" w:firstLineChars="0"/>
              <w:jc w:val="center"/>
              <w:rPr>
                <w:rFonts w:ascii="Arial"/>
                <w:sz w:val="21"/>
              </w:rPr>
            </w:pPr>
          </w:p>
        </w:tc>
        <w:tc>
          <w:tcPr>
            <w:tcW w:w="0" w:type="auto"/>
            <w:vAlign w:val="center"/>
          </w:tcPr>
          <w:p w14:paraId="1EF0D7D7">
            <w:pPr>
              <w:snapToGrid w:val="0"/>
              <w:ind w:left="0" w:leftChars="0" w:right="0" w:rightChars="0" w:firstLine="0" w:firstLineChars="0"/>
              <w:jc w:val="center"/>
              <w:rPr>
                <w:rFonts w:ascii="Arial"/>
                <w:sz w:val="21"/>
              </w:rPr>
            </w:pPr>
          </w:p>
        </w:tc>
        <w:tc>
          <w:tcPr>
            <w:tcW w:w="0" w:type="auto"/>
            <w:vAlign w:val="center"/>
          </w:tcPr>
          <w:p w14:paraId="387B8BF7">
            <w:pPr>
              <w:snapToGrid w:val="0"/>
              <w:ind w:left="0" w:leftChars="0" w:right="0" w:rightChars="0" w:firstLine="0" w:firstLineChars="0"/>
              <w:jc w:val="center"/>
              <w:rPr>
                <w:rFonts w:ascii="Arial"/>
                <w:sz w:val="21"/>
              </w:rPr>
            </w:pPr>
          </w:p>
        </w:tc>
        <w:tc>
          <w:tcPr>
            <w:tcW w:w="0" w:type="auto"/>
            <w:vAlign w:val="center"/>
          </w:tcPr>
          <w:p w14:paraId="43500D68">
            <w:pPr>
              <w:snapToGrid w:val="0"/>
              <w:ind w:left="0" w:leftChars="0" w:right="0" w:rightChars="0" w:firstLine="0" w:firstLineChars="0"/>
              <w:jc w:val="center"/>
              <w:rPr>
                <w:rFonts w:ascii="Arial"/>
                <w:sz w:val="21"/>
              </w:rPr>
            </w:pPr>
          </w:p>
        </w:tc>
        <w:tc>
          <w:tcPr>
            <w:tcW w:w="1040" w:type="dxa"/>
            <w:vAlign w:val="center"/>
          </w:tcPr>
          <w:p w14:paraId="68B04681">
            <w:pPr>
              <w:snapToGrid w:val="0"/>
              <w:ind w:left="0" w:leftChars="0" w:right="0" w:rightChars="0" w:firstLine="0" w:firstLineChars="0"/>
              <w:jc w:val="center"/>
              <w:rPr>
                <w:rFonts w:ascii="Arial"/>
                <w:sz w:val="21"/>
              </w:rPr>
            </w:pPr>
          </w:p>
        </w:tc>
      </w:tr>
      <w:tr w14:paraId="0BD0A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01900565">
            <w:pPr>
              <w:snapToGrid w:val="0"/>
              <w:ind w:left="0" w:leftChars="0" w:right="0" w:rightChars="0" w:firstLine="0" w:firstLineChars="0"/>
              <w:jc w:val="center"/>
              <w:rPr>
                <w:rFonts w:ascii="Arial"/>
                <w:sz w:val="21"/>
              </w:rPr>
            </w:pPr>
          </w:p>
        </w:tc>
        <w:tc>
          <w:tcPr>
            <w:tcW w:w="0" w:type="auto"/>
            <w:vAlign w:val="center"/>
          </w:tcPr>
          <w:p w14:paraId="769D1742">
            <w:pPr>
              <w:snapToGrid w:val="0"/>
              <w:ind w:left="0" w:leftChars="0" w:right="0" w:rightChars="0" w:firstLine="0" w:firstLineChars="0"/>
              <w:jc w:val="center"/>
              <w:rPr>
                <w:rFonts w:ascii="Arial"/>
                <w:sz w:val="21"/>
              </w:rPr>
            </w:pPr>
          </w:p>
        </w:tc>
        <w:tc>
          <w:tcPr>
            <w:tcW w:w="0" w:type="auto"/>
            <w:vAlign w:val="center"/>
          </w:tcPr>
          <w:p w14:paraId="21498D5B">
            <w:pPr>
              <w:snapToGrid w:val="0"/>
              <w:ind w:left="0" w:leftChars="0" w:right="0" w:rightChars="0" w:firstLine="0" w:firstLineChars="0"/>
              <w:jc w:val="center"/>
              <w:rPr>
                <w:rFonts w:ascii="Arial"/>
                <w:sz w:val="21"/>
              </w:rPr>
            </w:pPr>
          </w:p>
        </w:tc>
        <w:tc>
          <w:tcPr>
            <w:tcW w:w="0" w:type="auto"/>
            <w:vAlign w:val="center"/>
          </w:tcPr>
          <w:p w14:paraId="1861822C">
            <w:pPr>
              <w:snapToGrid w:val="0"/>
              <w:ind w:left="0" w:leftChars="0" w:right="0" w:rightChars="0" w:firstLine="0" w:firstLineChars="0"/>
              <w:jc w:val="center"/>
              <w:rPr>
                <w:rFonts w:ascii="Arial"/>
                <w:sz w:val="21"/>
              </w:rPr>
            </w:pPr>
          </w:p>
        </w:tc>
        <w:tc>
          <w:tcPr>
            <w:tcW w:w="0" w:type="auto"/>
            <w:vAlign w:val="center"/>
          </w:tcPr>
          <w:p w14:paraId="16DBAC60">
            <w:pPr>
              <w:snapToGrid w:val="0"/>
              <w:ind w:left="0" w:leftChars="0" w:right="0" w:rightChars="0" w:firstLine="0" w:firstLineChars="0"/>
              <w:jc w:val="center"/>
              <w:rPr>
                <w:rFonts w:ascii="Arial"/>
                <w:sz w:val="21"/>
              </w:rPr>
            </w:pPr>
          </w:p>
        </w:tc>
        <w:tc>
          <w:tcPr>
            <w:tcW w:w="0" w:type="auto"/>
            <w:vAlign w:val="center"/>
          </w:tcPr>
          <w:p w14:paraId="7BCA6F7B">
            <w:pPr>
              <w:snapToGrid w:val="0"/>
              <w:ind w:left="0" w:leftChars="0" w:right="0" w:rightChars="0" w:firstLine="0" w:firstLineChars="0"/>
              <w:jc w:val="center"/>
              <w:rPr>
                <w:rFonts w:ascii="Arial"/>
                <w:sz w:val="21"/>
              </w:rPr>
            </w:pPr>
          </w:p>
        </w:tc>
        <w:tc>
          <w:tcPr>
            <w:tcW w:w="0" w:type="auto"/>
            <w:vAlign w:val="center"/>
          </w:tcPr>
          <w:p w14:paraId="74B48AB1">
            <w:pPr>
              <w:snapToGrid w:val="0"/>
              <w:ind w:left="0" w:leftChars="0" w:right="0" w:rightChars="0" w:firstLine="0" w:firstLineChars="0"/>
              <w:jc w:val="center"/>
              <w:rPr>
                <w:rFonts w:ascii="Arial"/>
                <w:sz w:val="21"/>
              </w:rPr>
            </w:pPr>
          </w:p>
        </w:tc>
        <w:tc>
          <w:tcPr>
            <w:tcW w:w="1040" w:type="dxa"/>
            <w:vAlign w:val="center"/>
          </w:tcPr>
          <w:p w14:paraId="50D75291">
            <w:pPr>
              <w:snapToGrid w:val="0"/>
              <w:ind w:left="0" w:leftChars="0" w:right="0" w:rightChars="0" w:firstLine="0" w:firstLineChars="0"/>
              <w:jc w:val="center"/>
              <w:rPr>
                <w:rFonts w:ascii="Arial"/>
                <w:sz w:val="21"/>
              </w:rPr>
            </w:pPr>
          </w:p>
        </w:tc>
      </w:tr>
      <w:tr w14:paraId="7EC88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313D5202">
            <w:pPr>
              <w:snapToGrid w:val="0"/>
              <w:ind w:left="0" w:leftChars="0" w:right="0" w:rightChars="0" w:firstLine="0" w:firstLineChars="0"/>
              <w:jc w:val="center"/>
              <w:rPr>
                <w:rFonts w:ascii="Arial"/>
                <w:sz w:val="21"/>
              </w:rPr>
            </w:pPr>
          </w:p>
        </w:tc>
        <w:tc>
          <w:tcPr>
            <w:tcW w:w="0" w:type="auto"/>
            <w:vAlign w:val="center"/>
          </w:tcPr>
          <w:p w14:paraId="14619787">
            <w:pPr>
              <w:snapToGrid w:val="0"/>
              <w:ind w:left="0" w:leftChars="0" w:right="0" w:rightChars="0" w:firstLine="0" w:firstLineChars="0"/>
              <w:jc w:val="center"/>
              <w:rPr>
                <w:rFonts w:ascii="Arial"/>
                <w:sz w:val="21"/>
              </w:rPr>
            </w:pPr>
          </w:p>
        </w:tc>
        <w:tc>
          <w:tcPr>
            <w:tcW w:w="0" w:type="auto"/>
            <w:vAlign w:val="center"/>
          </w:tcPr>
          <w:p w14:paraId="038472C2">
            <w:pPr>
              <w:snapToGrid w:val="0"/>
              <w:ind w:left="0" w:leftChars="0" w:right="0" w:rightChars="0" w:firstLine="0" w:firstLineChars="0"/>
              <w:jc w:val="center"/>
              <w:rPr>
                <w:rFonts w:ascii="Arial"/>
                <w:sz w:val="21"/>
              </w:rPr>
            </w:pPr>
          </w:p>
        </w:tc>
        <w:tc>
          <w:tcPr>
            <w:tcW w:w="0" w:type="auto"/>
            <w:vAlign w:val="center"/>
          </w:tcPr>
          <w:p w14:paraId="1FB837E8">
            <w:pPr>
              <w:snapToGrid w:val="0"/>
              <w:ind w:left="0" w:leftChars="0" w:right="0" w:rightChars="0" w:firstLine="0" w:firstLineChars="0"/>
              <w:jc w:val="center"/>
              <w:rPr>
                <w:rFonts w:ascii="Arial"/>
                <w:sz w:val="21"/>
              </w:rPr>
            </w:pPr>
          </w:p>
        </w:tc>
        <w:tc>
          <w:tcPr>
            <w:tcW w:w="0" w:type="auto"/>
            <w:vAlign w:val="center"/>
          </w:tcPr>
          <w:p w14:paraId="72633D6D">
            <w:pPr>
              <w:snapToGrid w:val="0"/>
              <w:ind w:left="0" w:leftChars="0" w:right="0" w:rightChars="0" w:firstLine="0" w:firstLineChars="0"/>
              <w:jc w:val="center"/>
              <w:rPr>
                <w:rFonts w:ascii="Arial"/>
                <w:sz w:val="21"/>
              </w:rPr>
            </w:pPr>
          </w:p>
        </w:tc>
        <w:tc>
          <w:tcPr>
            <w:tcW w:w="0" w:type="auto"/>
            <w:vAlign w:val="center"/>
          </w:tcPr>
          <w:p w14:paraId="194F573D">
            <w:pPr>
              <w:snapToGrid w:val="0"/>
              <w:ind w:left="0" w:leftChars="0" w:right="0" w:rightChars="0" w:firstLine="0" w:firstLineChars="0"/>
              <w:jc w:val="center"/>
              <w:rPr>
                <w:rFonts w:ascii="Arial"/>
                <w:sz w:val="21"/>
              </w:rPr>
            </w:pPr>
          </w:p>
        </w:tc>
        <w:tc>
          <w:tcPr>
            <w:tcW w:w="0" w:type="auto"/>
            <w:vAlign w:val="center"/>
          </w:tcPr>
          <w:p w14:paraId="6144EF6D">
            <w:pPr>
              <w:snapToGrid w:val="0"/>
              <w:ind w:left="0" w:leftChars="0" w:right="0" w:rightChars="0" w:firstLine="0" w:firstLineChars="0"/>
              <w:jc w:val="center"/>
              <w:rPr>
                <w:rFonts w:ascii="Arial"/>
                <w:sz w:val="21"/>
              </w:rPr>
            </w:pPr>
          </w:p>
        </w:tc>
        <w:tc>
          <w:tcPr>
            <w:tcW w:w="1040" w:type="dxa"/>
            <w:vAlign w:val="center"/>
          </w:tcPr>
          <w:p w14:paraId="3488F786">
            <w:pPr>
              <w:snapToGrid w:val="0"/>
              <w:ind w:left="0" w:leftChars="0" w:right="0" w:rightChars="0" w:firstLine="0" w:firstLineChars="0"/>
              <w:jc w:val="center"/>
              <w:rPr>
                <w:rFonts w:ascii="Arial"/>
                <w:sz w:val="21"/>
              </w:rPr>
            </w:pPr>
          </w:p>
        </w:tc>
      </w:tr>
      <w:tr w14:paraId="0BB6E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74690F03">
            <w:pPr>
              <w:snapToGrid w:val="0"/>
              <w:ind w:left="0" w:leftChars="0" w:right="0" w:rightChars="0" w:firstLine="0" w:firstLineChars="0"/>
              <w:jc w:val="center"/>
              <w:rPr>
                <w:rFonts w:ascii="Arial"/>
                <w:sz w:val="21"/>
              </w:rPr>
            </w:pPr>
          </w:p>
        </w:tc>
        <w:tc>
          <w:tcPr>
            <w:tcW w:w="0" w:type="auto"/>
            <w:vAlign w:val="center"/>
          </w:tcPr>
          <w:p w14:paraId="00E163ED">
            <w:pPr>
              <w:snapToGrid w:val="0"/>
              <w:ind w:left="0" w:leftChars="0" w:right="0" w:rightChars="0" w:firstLine="0" w:firstLineChars="0"/>
              <w:jc w:val="center"/>
              <w:rPr>
                <w:rFonts w:ascii="Arial"/>
                <w:sz w:val="21"/>
              </w:rPr>
            </w:pPr>
          </w:p>
        </w:tc>
        <w:tc>
          <w:tcPr>
            <w:tcW w:w="0" w:type="auto"/>
            <w:vAlign w:val="center"/>
          </w:tcPr>
          <w:p w14:paraId="5CBAD42B">
            <w:pPr>
              <w:snapToGrid w:val="0"/>
              <w:ind w:left="0" w:leftChars="0" w:right="0" w:rightChars="0" w:firstLine="0" w:firstLineChars="0"/>
              <w:jc w:val="center"/>
              <w:rPr>
                <w:rFonts w:ascii="Arial"/>
                <w:sz w:val="21"/>
              </w:rPr>
            </w:pPr>
          </w:p>
        </w:tc>
        <w:tc>
          <w:tcPr>
            <w:tcW w:w="0" w:type="auto"/>
            <w:vAlign w:val="center"/>
          </w:tcPr>
          <w:p w14:paraId="775F4D3B">
            <w:pPr>
              <w:snapToGrid w:val="0"/>
              <w:ind w:left="0" w:leftChars="0" w:right="0" w:rightChars="0" w:firstLine="0" w:firstLineChars="0"/>
              <w:jc w:val="center"/>
              <w:rPr>
                <w:rFonts w:ascii="Arial"/>
                <w:sz w:val="21"/>
              </w:rPr>
            </w:pPr>
          </w:p>
        </w:tc>
        <w:tc>
          <w:tcPr>
            <w:tcW w:w="0" w:type="auto"/>
            <w:vAlign w:val="center"/>
          </w:tcPr>
          <w:p w14:paraId="30CB8364">
            <w:pPr>
              <w:snapToGrid w:val="0"/>
              <w:ind w:left="0" w:leftChars="0" w:right="0" w:rightChars="0" w:firstLine="0" w:firstLineChars="0"/>
              <w:jc w:val="center"/>
              <w:rPr>
                <w:rFonts w:ascii="Arial"/>
                <w:sz w:val="21"/>
              </w:rPr>
            </w:pPr>
          </w:p>
        </w:tc>
        <w:tc>
          <w:tcPr>
            <w:tcW w:w="0" w:type="auto"/>
            <w:vAlign w:val="center"/>
          </w:tcPr>
          <w:p w14:paraId="0E7E27E4">
            <w:pPr>
              <w:snapToGrid w:val="0"/>
              <w:ind w:left="0" w:leftChars="0" w:right="0" w:rightChars="0" w:firstLine="0" w:firstLineChars="0"/>
              <w:jc w:val="center"/>
              <w:rPr>
                <w:rFonts w:ascii="Arial"/>
                <w:sz w:val="21"/>
              </w:rPr>
            </w:pPr>
          </w:p>
        </w:tc>
        <w:tc>
          <w:tcPr>
            <w:tcW w:w="0" w:type="auto"/>
            <w:vAlign w:val="center"/>
          </w:tcPr>
          <w:p w14:paraId="4A4E1F80">
            <w:pPr>
              <w:snapToGrid w:val="0"/>
              <w:ind w:left="0" w:leftChars="0" w:right="0" w:rightChars="0" w:firstLine="0" w:firstLineChars="0"/>
              <w:jc w:val="center"/>
              <w:rPr>
                <w:rFonts w:ascii="Arial"/>
                <w:sz w:val="21"/>
              </w:rPr>
            </w:pPr>
          </w:p>
        </w:tc>
        <w:tc>
          <w:tcPr>
            <w:tcW w:w="1040" w:type="dxa"/>
            <w:vAlign w:val="center"/>
          </w:tcPr>
          <w:p w14:paraId="53FECEFF">
            <w:pPr>
              <w:snapToGrid w:val="0"/>
              <w:ind w:left="0" w:leftChars="0" w:right="0" w:rightChars="0" w:firstLine="0" w:firstLineChars="0"/>
              <w:jc w:val="center"/>
              <w:rPr>
                <w:rFonts w:ascii="Arial"/>
                <w:sz w:val="21"/>
              </w:rPr>
            </w:pPr>
          </w:p>
        </w:tc>
      </w:tr>
      <w:tr w14:paraId="13875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11A0B813">
            <w:pPr>
              <w:snapToGrid w:val="0"/>
              <w:ind w:left="0" w:leftChars="0" w:right="0" w:rightChars="0" w:firstLine="0" w:firstLineChars="0"/>
              <w:jc w:val="center"/>
              <w:rPr>
                <w:rFonts w:ascii="Arial"/>
                <w:sz w:val="21"/>
              </w:rPr>
            </w:pPr>
          </w:p>
        </w:tc>
        <w:tc>
          <w:tcPr>
            <w:tcW w:w="0" w:type="auto"/>
            <w:vAlign w:val="center"/>
          </w:tcPr>
          <w:p w14:paraId="351F42A4">
            <w:pPr>
              <w:snapToGrid w:val="0"/>
              <w:ind w:left="0" w:leftChars="0" w:right="0" w:rightChars="0" w:firstLine="0" w:firstLineChars="0"/>
              <w:jc w:val="center"/>
              <w:rPr>
                <w:rFonts w:ascii="Arial"/>
                <w:sz w:val="21"/>
              </w:rPr>
            </w:pPr>
          </w:p>
        </w:tc>
        <w:tc>
          <w:tcPr>
            <w:tcW w:w="0" w:type="auto"/>
            <w:vAlign w:val="center"/>
          </w:tcPr>
          <w:p w14:paraId="5FE089A8">
            <w:pPr>
              <w:snapToGrid w:val="0"/>
              <w:ind w:left="0" w:leftChars="0" w:right="0" w:rightChars="0" w:firstLine="0" w:firstLineChars="0"/>
              <w:jc w:val="center"/>
              <w:rPr>
                <w:rFonts w:ascii="Arial"/>
                <w:sz w:val="21"/>
              </w:rPr>
            </w:pPr>
          </w:p>
        </w:tc>
        <w:tc>
          <w:tcPr>
            <w:tcW w:w="0" w:type="auto"/>
            <w:vAlign w:val="center"/>
          </w:tcPr>
          <w:p w14:paraId="041F5EA1">
            <w:pPr>
              <w:snapToGrid w:val="0"/>
              <w:ind w:left="0" w:leftChars="0" w:right="0" w:rightChars="0" w:firstLine="0" w:firstLineChars="0"/>
              <w:jc w:val="center"/>
              <w:rPr>
                <w:rFonts w:ascii="Arial"/>
                <w:sz w:val="21"/>
              </w:rPr>
            </w:pPr>
          </w:p>
        </w:tc>
        <w:tc>
          <w:tcPr>
            <w:tcW w:w="0" w:type="auto"/>
            <w:vAlign w:val="center"/>
          </w:tcPr>
          <w:p w14:paraId="6DE1F164">
            <w:pPr>
              <w:snapToGrid w:val="0"/>
              <w:ind w:left="0" w:leftChars="0" w:right="0" w:rightChars="0" w:firstLine="0" w:firstLineChars="0"/>
              <w:jc w:val="center"/>
              <w:rPr>
                <w:rFonts w:ascii="Arial"/>
                <w:sz w:val="21"/>
              </w:rPr>
            </w:pPr>
          </w:p>
        </w:tc>
        <w:tc>
          <w:tcPr>
            <w:tcW w:w="0" w:type="auto"/>
            <w:vAlign w:val="center"/>
          </w:tcPr>
          <w:p w14:paraId="2CC593DD">
            <w:pPr>
              <w:snapToGrid w:val="0"/>
              <w:ind w:left="0" w:leftChars="0" w:right="0" w:rightChars="0" w:firstLine="0" w:firstLineChars="0"/>
              <w:jc w:val="center"/>
              <w:rPr>
                <w:rFonts w:ascii="Arial"/>
                <w:sz w:val="21"/>
              </w:rPr>
            </w:pPr>
          </w:p>
        </w:tc>
        <w:tc>
          <w:tcPr>
            <w:tcW w:w="0" w:type="auto"/>
            <w:vAlign w:val="center"/>
          </w:tcPr>
          <w:p w14:paraId="073C7551">
            <w:pPr>
              <w:snapToGrid w:val="0"/>
              <w:ind w:left="0" w:leftChars="0" w:right="0" w:rightChars="0" w:firstLine="0" w:firstLineChars="0"/>
              <w:jc w:val="center"/>
              <w:rPr>
                <w:rFonts w:ascii="Arial"/>
                <w:sz w:val="21"/>
              </w:rPr>
            </w:pPr>
          </w:p>
        </w:tc>
        <w:tc>
          <w:tcPr>
            <w:tcW w:w="1040" w:type="dxa"/>
            <w:vAlign w:val="center"/>
          </w:tcPr>
          <w:p w14:paraId="3124E1C0">
            <w:pPr>
              <w:snapToGrid w:val="0"/>
              <w:ind w:left="0" w:leftChars="0" w:right="0" w:rightChars="0" w:firstLine="0" w:firstLineChars="0"/>
              <w:jc w:val="center"/>
              <w:rPr>
                <w:rFonts w:ascii="Arial"/>
                <w:sz w:val="21"/>
              </w:rPr>
            </w:pPr>
          </w:p>
        </w:tc>
      </w:tr>
      <w:tr w14:paraId="18DC1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0FE86553">
            <w:pPr>
              <w:snapToGrid w:val="0"/>
              <w:ind w:left="0" w:leftChars="0" w:right="0" w:rightChars="0" w:firstLine="0" w:firstLineChars="0"/>
              <w:jc w:val="center"/>
              <w:rPr>
                <w:rFonts w:ascii="Arial"/>
                <w:sz w:val="21"/>
              </w:rPr>
            </w:pPr>
          </w:p>
        </w:tc>
        <w:tc>
          <w:tcPr>
            <w:tcW w:w="0" w:type="auto"/>
            <w:vAlign w:val="center"/>
          </w:tcPr>
          <w:p w14:paraId="2F94B137">
            <w:pPr>
              <w:snapToGrid w:val="0"/>
              <w:ind w:left="0" w:leftChars="0" w:right="0" w:rightChars="0" w:firstLine="0" w:firstLineChars="0"/>
              <w:jc w:val="center"/>
              <w:rPr>
                <w:rFonts w:ascii="Arial"/>
                <w:sz w:val="21"/>
              </w:rPr>
            </w:pPr>
          </w:p>
        </w:tc>
        <w:tc>
          <w:tcPr>
            <w:tcW w:w="0" w:type="auto"/>
            <w:vAlign w:val="center"/>
          </w:tcPr>
          <w:p w14:paraId="1D96C4DA">
            <w:pPr>
              <w:snapToGrid w:val="0"/>
              <w:ind w:left="0" w:leftChars="0" w:right="0" w:rightChars="0" w:firstLine="0" w:firstLineChars="0"/>
              <w:jc w:val="center"/>
              <w:rPr>
                <w:rFonts w:ascii="Arial"/>
                <w:sz w:val="21"/>
              </w:rPr>
            </w:pPr>
          </w:p>
        </w:tc>
        <w:tc>
          <w:tcPr>
            <w:tcW w:w="0" w:type="auto"/>
            <w:vAlign w:val="center"/>
          </w:tcPr>
          <w:p w14:paraId="12F7A21E">
            <w:pPr>
              <w:snapToGrid w:val="0"/>
              <w:ind w:left="0" w:leftChars="0" w:right="0" w:rightChars="0" w:firstLine="0" w:firstLineChars="0"/>
              <w:jc w:val="center"/>
              <w:rPr>
                <w:rFonts w:ascii="Arial"/>
                <w:sz w:val="21"/>
              </w:rPr>
            </w:pPr>
          </w:p>
        </w:tc>
        <w:tc>
          <w:tcPr>
            <w:tcW w:w="0" w:type="auto"/>
            <w:vAlign w:val="center"/>
          </w:tcPr>
          <w:p w14:paraId="4EEC2146">
            <w:pPr>
              <w:snapToGrid w:val="0"/>
              <w:ind w:left="0" w:leftChars="0" w:right="0" w:rightChars="0" w:firstLine="0" w:firstLineChars="0"/>
              <w:jc w:val="center"/>
              <w:rPr>
                <w:rFonts w:ascii="Arial"/>
                <w:sz w:val="21"/>
              </w:rPr>
            </w:pPr>
          </w:p>
        </w:tc>
        <w:tc>
          <w:tcPr>
            <w:tcW w:w="0" w:type="auto"/>
            <w:vAlign w:val="center"/>
          </w:tcPr>
          <w:p w14:paraId="3A48A177">
            <w:pPr>
              <w:snapToGrid w:val="0"/>
              <w:ind w:left="0" w:leftChars="0" w:right="0" w:rightChars="0" w:firstLine="0" w:firstLineChars="0"/>
              <w:jc w:val="center"/>
              <w:rPr>
                <w:rFonts w:ascii="Arial"/>
                <w:sz w:val="21"/>
              </w:rPr>
            </w:pPr>
          </w:p>
        </w:tc>
        <w:tc>
          <w:tcPr>
            <w:tcW w:w="0" w:type="auto"/>
            <w:vAlign w:val="center"/>
          </w:tcPr>
          <w:p w14:paraId="510AA245">
            <w:pPr>
              <w:snapToGrid w:val="0"/>
              <w:ind w:left="0" w:leftChars="0" w:right="0" w:rightChars="0" w:firstLine="0" w:firstLineChars="0"/>
              <w:jc w:val="center"/>
              <w:rPr>
                <w:rFonts w:ascii="Arial"/>
                <w:sz w:val="21"/>
              </w:rPr>
            </w:pPr>
          </w:p>
        </w:tc>
        <w:tc>
          <w:tcPr>
            <w:tcW w:w="1040" w:type="dxa"/>
            <w:vAlign w:val="center"/>
          </w:tcPr>
          <w:p w14:paraId="7CE0FF56">
            <w:pPr>
              <w:snapToGrid w:val="0"/>
              <w:ind w:left="0" w:leftChars="0" w:right="0" w:rightChars="0" w:firstLine="0" w:firstLineChars="0"/>
              <w:jc w:val="center"/>
              <w:rPr>
                <w:rFonts w:ascii="Arial"/>
                <w:sz w:val="21"/>
              </w:rPr>
            </w:pPr>
          </w:p>
        </w:tc>
      </w:tr>
      <w:tr w14:paraId="2BD5F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55809874">
            <w:pPr>
              <w:snapToGrid w:val="0"/>
              <w:ind w:left="0" w:leftChars="0" w:right="0" w:rightChars="0" w:firstLine="0" w:firstLineChars="0"/>
              <w:jc w:val="center"/>
              <w:rPr>
                <w:rFonts w:ascii="Arial"/>
                <w:sz w:val="21"/>
              </w:rPr>
            </w:pPr>
          </w:p>
        </w:tc>
        <w:tc>
          <w:tcPr>
            <w:tcW w:w="0" w:type="auto"/>
            <w:vAlign w:val="center"/>
          </w:tcPr>
          <w:p w14:paraId="558F4083">
            <w:pPr>
              <w:snapToGrid w:val="0"/>
              <w:ind w:left="0" w:leftChars="0" w:right="0" w:rightChars="0" w:firstLine="0" w:firstLineChars="0"/>
              <w:jc w:val="center"/>
              <w:rPr>
                <w:rFonts w:ascii="Arial"/>
                <w:sz w:val="21"/>
              </w:rPr>
            </w:pPr>
          </w:p>
        </w:tc>
        <w:tc>
          <w:tcPr>
            <w:tcW w:w="0" w:type="auto"/>
            <w:vAlign w:val="center"/>
          </w:tcPr>
          <w:p w14:paraId="0A5CC5DC">
            <w:pPr>
              <w:snapToGrid w:val="0"/>
              <w:ind w:left="0" w:leftChars="0" w:right="0" w:rightChars="0" w:firstLine="0" w:firstLineChars="0"/>
              <w:jc w:val="center"/>
              <w:rPr>
                <w:rFonts w:ascii="Arial"/>
                <w:sz w:val="21"/>
              </w:rPr>
            </w:pPr>
          </w:p>
        </w:tc>
        <w:tc>
          <w:tcPr>
            <w:tcW w:w="0" w:type="auto"/>
            <w:vAlign w:val="center"/>
          </w:tcPr>
          <w:p w14:paraId="17D577DF">
            <w:pPr>
              <w:snapToGrid w:val="0"/>
              <w:ind w:left="0" w:leftChars="0" w:right="0" w:rightChars="0" w:firstLine="0" w:firstLineChars="0"/>
              <w:jc w:val="center"/>
              <w:rPr>
                <w:rFonts w:ascii="Arial"/>
                <w:sz w:val="21"/>
              </w:rPr>
            </w:pPr>
          </w:p>
        </w:tc>
        <w:tc>
          <w:tcPr>
            <w:tcW w:w="0" w:type="auto"/>
            <w:vAlign w:val="center"/>
          </w:tcPr>
          <w:p w14:paraId="76BCDB70">
            <w:pPr>
              <w:snapToGrid w:val="0"/>
              <w:ind w:left="0" w:leftChars="0" w:right="0" w:rightChars="0" w:firstLine="0" w:firstLineChars="0"/>
              <w:jc w:val="center"/>
              <w:rPr>
                <w:rFonts w:ascii="Arial"/>
                <w:sz w:val="21"/>
              </w:rPr>
            </w:pPr>
          </w:p>
        </w:tc>
        <w:tc>
          <w:tcPr>
            <w:tcW w:w="0" w:type="auto"/>
            <w:vAlign w:val="center"/>
          </w:tcPr>
          <w:p w14:paraId="1F9A8605">
            <w:pPr>
              <w:snapToGrid w:val="0"/>
              <w:ind w:left="0" w:leftChars="0" w:right="0" w:rightChars="0" w:firstLine="0" w:firstLineChars="0"/>
              <w:jc w:val="center"/>
              <w:rPr>
                <w:rFonts w:ascii="Arial"/>
                <w:sz w:val="21"/>
              </w:rPr>
            </w:pPr>
          </w:p>
        </w:tc>
        <w:tc>
          <w:tcPr>
            <w:tcW w:w="0" w:type="auto"/>
            <w:vAlign w:val="center"/>
          </w:tcPr>
          <w:p w14:paraId="30B5AA3B">
            <w:pPr>
              <w:snapToGrid w:val="0"/>
              <w:ind w:left="0" w:leftChars="0" w:right="0" w:rightChars="0" w:firstLine="0" w:firstLineChars="0"/>
              <w:jc w:val="center"/>
              <w:rPr>
                <w:rFonts w:ascii="Arial"/>
                <w:sz w:val="21"/>
              </w:rPr>
            </w:pPr>
          </w:p>
        </w:tc>
        <w:tc>
          <w:tcPr>
            <w:tcW w:w="1040" w:type="dxa"/>
            <w:vAlign w:val="center"/>
          </w:tcPr>
          <w:p w14:paraId="2AF585ED">
            <w:pPr>
              <w:snapToGrid w:val="0"/>
              <w:ind w:left="0" w:leftChars="0" w:right="0" w:rightChars="0" w:firstLine="0" w:firstLineChars="0"/>
              <w:jc w:val="center"/>
              <w:rPr>
                <w:rFonts w:ascii="Arial"/>
                <w:sz w:val="21"/>
              </w:rPr>
            </w:pPr>
          </w:p>
        </w:tc>
      </w:tr>
      <w:tr w14:paraId="555A2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49" w:type="dxa"/>
            <w:vAlign w:val="center"/>
          </w:tcPr>
          <w:p w14:paraId="59A833D9">
            <w:pPr>
              <w:snapToGrid w:val="0"/>
              <w:ind w:left="0" w:leftChars="0" w:right="0" w:rightChars="0" w:firstLine="0" w:firstLineChars="0"/>
              <w:jc w:val="center"/>
              <w:rPr>
                <w:rFonts w:ascii="Arial"/>
                <w:sz w:val="21"/>
              </w:rPr>
            </w:pPr>
          </w:p>
        </w:tc>
        <w:tc>
          <w:tcPr>
            <w:tcW w:w="1050" w:type="dxa"/>
            <w:vAlign w:val="center"/>
          </w:tcPr>
          <w:p w14:paraId="6F701CFD">
            <w:pPr>
              <w:snapToGrid w:val="0"/>
              <w:ind w:left="0" w:leftChars="0" w:right="0" w:rightChars="0" w:firstLine="0" w:firstLineChars="0"/>
              <w:jc w:val="center"/>
              <w:rPr>
                <w:rFonts w:ascii="Arial"/>
                <w:sz w:val="21"/>
              </w:rPr>
            </w:pPr>
          </w:p>
        </w:tc>
        <w:tc>
          <w:tcPr>
            <w:tcW w:w="1050" w:type="dxa"/>
            <w:vAlign w:val="center"/>
          </w:tcPr>
          <w:p w14:paraId="0A4E3077">
            <w:pPr>
              <w:snapToGrid w:val="0"/>
              <w:ind w:left="0" w:leftChars="0" w:right="0" w:rightChars="0" w:firstLine="0" w:firstLineChars="0"/>
              <w:jc w:val="center"/>
              <w:rPr>
                <w:rFonts w:ascii="Arial"/>
                <w:sz w:val="21"/>
              </w:rPr>
            </w:pPr>
          </w:p>
        </w:tc>
        <w:tc>
          <w:tcPr>
            <w:tcW w:w="2086" w:type="dxa"/>
            <w:vAlign w:val="center"/>
          </w:tcPr>
          <w:p w14:paraId="11CD7E85">
            <w:pPr>
              <w:snapToGrid w:val="0"/>
              <w:ind w:left="0" w:leftChars="0" w:right="0" w:rightChars="0" w:firstLine="0" w:firstLineChars="0"/>
              <w:jc w:val="center"/>
              <w:rPr>
                <w:rFonts w:ascii="Arial"/>
                <w:sz w:val="21"/>
              </w:rPr>
            </w:pPr>
          </w:p>
        </w:tc>
        <w:tc>
          <w:tcPr>
            <w:tcW w:w="1040" w:type="dxa"/>
            <w:vAlign w:val="center"/>
          </w:tcPr>
          <w:p w14:paraId="08519812">
            <w:pPr>
              <w:snapToGrid w:val="0"/>
              <w:ind w:left="0" w:leftChars="0" w:right="0" w:rightChars="0" w:firstLine="0" w:firstLineChars="0"/>
              <w:jc w:val="center"/>
              <w:rPr>
                <w:rFonts w:ascii="Arial"/>
                <w:sz w:val="21"/>
              </w:rPr>
            </w:pPr>
          </w:p>
        </w:tc>
        <w:tc>
          <w:tcPr>
            <w:tcW w:w="1050" w:type="dxa"/>
            <w:vAlign w:val="center"/>
          </w:tcPr>
          <w:p w14:paraId="055F52CA">
            <w:pPr>
              <w:snapToGrid w:val="0"/>
              <w:ind w:left="0" w:leftChars="0" w:right="0" w:rightChars="0" w:firstLine="0" w:firstLineChars="0"/>
              <w:jc w:val="center"/>
              <w:rPr>
                <w:rFonts w:ascii="Arial"/>
                <w:sz w:val="21"/>
              </w:rPr>
            </w:pPr>
          </w:p>
        </w:tc>
        <w:tc>
          <w:tcPr>
            <w:tcW w:w="1055" w:type="dxa"/>
            <w:vAlign w:val="center"/>
          </w:tcPr>
          <w:p w14:paraId="68A74621">
            <w:pPr>
              <w:snapToGrid w:val="0"/>
              <w:ind w:left="0" w:leftChars="0" w:right="0" w:rightChars="0" w:firstLine="0" w:firstLineChars="0"/>
              <w:jc w:val="center"/>
              <w:rPr>
                <w:rFonts w:ascii="Arial"/>
                <w:sz w:val="21"/>
              </w:rPr>
            </w:pPr>
          </w:p>
        </w:tc>
        <w:tc>
          <w:tcPr>
            <w:tcW w:w="1040" w:type="dxa"/>
            <w:vAlign w:val="center"/>
          </w:tcPr>
          <w:p w14:paraId="2552DDA7">
            <w:pPr>
              <w:snapToGrid w:val="0"/>
              <w:ind w:left="0" w:leftChars="0" w:right="0" w:rightChars="0" w:firstLine="0" w:firstLineChars="0"/>
              <w:jc w:val="center"/>
              <w:rPr>
                <w:rFonts w:ascii="Arial"/>
                <w:sz w:val="21"/>
              </w:rPr>
            </w:pPr>
          </w:p>
        </w:tc>
      </w:tr>
    </w:tbl>
    <w:p w14:paraId="610CDDEB">
      <w:pPr>
        <w:pStyle w:val="23"/>
        <w:rPr>
          <w:rFonts w:hint="eastAsia" w:ascii="宋体" w:hAnsi="宋体" w:eastAsia="宋体" w:cs="宋体"/>
        </w:rPr>
      </w:pPr>
      <w:r>
        <w:rPr>
          <w:b/>
          <w:bCs/>
          <w:spacing w:val="-3"/>
          <w:sz w:val="21"/>
          <w:szCs w:val="21"/>
        </w:rPr>
        <w:t>注：人员应附身份证、相关证书、养老保险或劳务</w:t>
      </w:r>
      <w:r>
        <w:rPr>
          <w:b/>
          <w:bCs/>
          <w:spacing w:val="-4"/>
          <w:sz w:val="21"/>
          <w:szCs w:val="21"/>
        </w:rPr>
        <w:t>合同</w:t>
      </w:r>
    </w:p>
    <w:p w14:paraId="30714DED">
      <w:pPr>
        <w:rPr>
          <w:rFonts w:hint="eastAsia" w:ascii="宋体" w:hAnsi="宋体" w:eastAsia="宋体" w:cs="宋体"/>
          <w:b/>
          <w:color w:val="000000"/>
          <w:sz w:val="24"/>
          <w:szCs w:val="24"/>
          <w:lang w:val="en-US" w:eastAsia="zh-CN"/>
        </w:rPr>
      </w:pPr>
    </w:p>
    <w:p w14:paraId="483DC1CA">
      <w:pPr>
        <w:pStyle w:val="31"/>
        <w:rPr>
          <w:rFonts w:hint="eastAsia" w:ascii="宋体" w:hAnsi="宋体" w:eastAsia="宋体" w:cs="宋体"/>
          <w:b/>
          <w:color w:val="000000"/>
          <w:sz w:val="24"/>
          <w:szCs w:val="24"/>
          <w:lang w:val="en-US" w:eastAsia="zh-CN"/>
        </w:rPr>
      </w:pPr>
    </w:p>
    <w:p w14:paraId="6A1DE008">
      <w:pPr>
        <w:pStyle w:val="31"/>
        <w:rPr>
          <w:rFonts w:hint="eastAsia" w:ascii="宋体" w:hAnsi="宋体" w:eastAsia="宋体" w:cs="宋体"/>
          <w:lang w:val="en-US" w:eastAsia="zh-CN"/>
        </w:rPr>
      </w:pPr>
    </w:p>
    <w:p w14:paraId="6EB5A9A1">
      <w:pPr>
        <w:pStyle w:val="32"/>
        <w:rPr>
          <w:rFonts w:hint="eastAsia" w:ascii="宋体" w:hAnsi="宋体" w:eastAsia="宋体" w:cs="宋体"/>
          <w:lang w:val="en-US" w:eastAsia="zh-CN"/>
        </w:rPr>
      </w:pPr>
    </w:p>
    <w:p w14:paraId="0E6538A2">
      <w:pPr>
        <w:rPr>
          <w:rFonts w:hint="eastAsia" w:ascii="宋体" w:hAnsi="宋体" w:eastAsia="宋体" w:cs="宋体"/>
          <w:lang w:val="en-US" w:eastAsia="zh-CN"/>
        </w:rPr>
      </w:pPr>
    </w:p>
    <w:p w14:paraId="2D935FB5">
      <w:pPr>
        <w:pStyle w:val="31"/>
        <w:rPr>
          <w:rFonts w:hint="eastAsia" w:ascii="宋体" w:hAnsi="宋体" w:eastAsia="宋体" w:cs="宋体"/>
          <w:lang w:val="en-US" w:eastAsia="zh-CN"/>
        </w:rPr>
      </w:pPr>
    </w:p>
    <w:p w14:paraId="22DBD8C1">
      <w:pPr>
        <w:pStyle w:val="32"/>
        <w:rPr>
          <w:rFonts w:hint="eastAsia" w:ascii="宋体" w:hAnsi="宋体" w:eastAsia="宋体" w:cs="宋体"/>
          <w:lang w:val="en-US" w:eastAsia="zh-CN"/>
        </w:rPr>
      </w:pPr>
    </w:p>
    <w:p w14:paraId="47340F27">
      <w:pPr>
        <w:rPr>
          <w:rFonts w:hint="eastAsia" w:ascii="宋体" w:hAnsi="宋体" w:eastAsia="宋体" w:cs="宋体"/>
          <w:lang w:val="en-US" w:eastAsia="zh-CN"/>
        </w:rPr>
      </w:pPr>
    </w:p>
    <w:p w14:paraId="33E2C806">
      <w:pPr>
        <w:pStyle w:val="31"/>
        <w:rPr>
          <w:rFonts w:hint="eastAsia" w:ascii="宋体" w:hAnsi="宋体" w:eastAsia="宋体" w:cs="宋体"/>
          <w:lang w:val="en-US" w:eastAsia="zh-CN"/>
        </w:rPr>
      </w:pPr>
    </w:p>
    <w:p w14:paraId="0C07B945">
      <w:pPr>
        <w:pStyle w:val="32"/>
        <w:rPr>
          <w:rFonts w:hint="eastAsia" w:ascii="宋体" w:hAnsi="宋体" w:eastAsia="宋体" w:cs="宋体"/>
          <w:lang w:val="en-US" w:eastAsia="zh-CN"/>
        </w:rPr>
      </w:pPr>
    </w:p>
    <w:p w14:paraId="74B05538">
      <w:pPr>
        <w:rPr>
          <w:rFonts w:hint="eastAsia" w:ascii="宋体" w:hAnsi="宋体" w:eastAsia="宋体" w:cs="宋体"/>
          <w:lang w:val="en-US" w:eastAsia="zh-CN"/>
        </w:rPr>
      </w:pPr>
    </w:p>
    <w:p w14:paraId="0CBFACE6">
      <w:pPr>
        <w:pStyle w:val="31"/>
        <w:rPr>
          <w:rFonts w:hint="eastAsia" w:ascii="宋体" w:hAnsi="宋体" w:eastAsia="宋体" w:cs="宋体"/>
          <w:lang w:val="en-US" w:eastAsia="zh-CN"/>
        </w:rPr>
      </w:pPr>
    </w:p>
    <w:p w14:paraId="6361C3FB">
      <w:pPr>
        <w:pStyle w:val="32"/>
        <w:rPr>
          <w:rFonts w:hint="eastAsia" w:ascii="宋体" w:hAnsi="宋体" w:eastAsia="宋体" w:cs="宋体"/>
          <w:lang w:val="en-US" w:eastAsia="zh-CN"/>
        </w:rPr>
      </w:pPr>
    </w:p>
    <w:p w14:paraId="53C53266">
      <w:pPr>
        <w:rPr>
          <w:rFonts w:hint="eastAsia" w:ascii="宋体" w:hAnsi="宋体" w:eastAsia="宋体" w:cs="宋体"/>
          <w:lang w:val="en-US" w:eastAsia="zh-CN"/>
        </w:rPr>
      </w:pPr>
    </w:p>
    <w:p w14:paraId="27FD5543">
      <w:pPr>
        <w:pStyle w:val="31"/>
        <w:rPr>
          <w:rFonts w:hint="eastAsia" w:ascii="宋体" w:hAnsi="宋体" w:eastAsia="宋体" w:cs="宋体"/>
          <w:lang w:val="en-US" w:eastAsia="zh-CN"/>
        </w:rPr>
      </w:pPr>
    </w:p>
    <w:p w14:paraId="42321F48">
      <w:pPr>
        <w:pStyle w:val="32"/>
        <w:rPr>
          <w:rFonts w:hint="eastAsia" w:ascii="宋体" w:hAnsi="宋体" w:eastAsia="宋体" w:cs="宋体"/>
          <w:lang w:val="en-US" w:eastAsia="zh-CN"/>
        </w:rPr>
      </w:pPr>
    </w:p>
    <w:p w14:paraId="7B9CF62C">
      <w:pPr>
        <w:rPr>
          <w:rFonts w:hint="eastAsia" w:ascii="宋体" w:hAnsi="宋体" w:eastAsia="宋体" w:cs="宋体"/>
          <w:lang w:val="en-US" w:eastAsia="zh-CN"/>
        </w:rPr>
      </w:pPr>
    </w:p>
    <w:p w14:paraId="43DB96F2">
      <w:pPr>
        <w:pStyle w:val="31"/>
        <w:rPr>
          <w:rFonts w:hint="eastAsia" w:ascii="宋体" w:hAnsi="宋体" w:eastAsia="宋体" w:cs="宋体"/>
          <w:lang w:val="en-US" w:eastAsia="zh-CN"/>
        </w:rPr>
      </w:pPr>
    </w:p>
    <w:p w14:paraId="21AB6B04">
      <w:pPr>
        <w:pStyle w:val="32"/>
        <w:rPr>
          <w:rFonts w:hint="eastAsia" w:ascii="宋体" w:hAnsi="宋体" w:eastAsia="宋体" w:cs="宋体"/>
          <w:lang w:val="en-US" w:eastAsia="zh-CN"/>
        </w:rPr>
      </w:pPr>
    </w:p>
    <w:p w14:paraId="41F45F11">
      <w:pPr>
        <w:rPr>
          <w:rFonts w:hint="eastAsia" w:ascii="宋体" w:hAnsi="宋体" w:eastAsia="宋体" w:cs="宋体"/>
          <w:lang w:val="en-US" w:eastAsia="zh-CN"/>
        </w:rPr>
      </w:pPr>
    </w:p>
    <w:p w14:paraId="10BBD137">
      <w:pPr>
        <w:pStyle w:val="31"/>
        <w:rPr>
          <w:rFonts w:hint="eastAsia" w:ascii="宋体" w:hAnsi="宋体" w:eastAsia="宋体" w:cs="宋体"/>
          <w:lang w:val="en-US" w:eastAsia="zh-CN"/>
        </w:rPr>
      </w:pPr>
    </w:p>
    <w:p w14:paraId="3E11E977">
      <w:pPr>
        <w:pStyle w:val="32"/>
        <w:rPr>
          <w:rFonts w:hint="eastAsia" w:ascii="宋体" w:hAnsi="宋体" w:eastAsia="宋体" w:cs="宋体"/>
          <w:lang w:val="en-US" w:eastAsia="zh-CN"/>
        </w:rPr>
      </w:pPr>
    </w:p>
    <w:p w14:paraId="6C0D532D">
      <w:pPr>
        <w:rPr>
          <w:rFonts w:hint="eastAsia" w:ascii="宋体" w:hAnsi="宋体" w:eastAsia="宋体" w:cs="宋体"/>
          <w:lang w:val="en-US" w:eastAsia="zh-CN"/>
        </w:rPr>
      </w:pPr>
    </w:p>
    <w:p w14:paraId="7A956719">
      <w:pPr>
        <w:pStyle w:val="31"/>
        <w:rPr>
          <w:rFonts w:hint="eastAsia" w:ascii="宋体" w:hAnsi="宋体" w:eastAsia="宋体" w:cs="宋体"/>
          <w:lang w:val="en-US" w:eastAsia="zh-CN"/>
        </w:rPr>
      </w:pPr>
    </w:p>
    <w:p w14:paraId="08485B59">
      <w:pPr>
        <w:pStyle w:val="32"/>
        <w:rPr>
          <w:rFonts w:hint="eastAsia" w:ascii="宋体" w:hAnsi="宋体" w:eastAsia="宋体" w:cs="宋体"/>
          <w:lang w:val="en-US" w:eastAsia="zh-CN"/>
        </w:rPr>
      </w:pPr>
    </w:p>
    <w:p w14:paraId="18C9B13E">
      <w:pPr>
        <w:rPr>
          <w:rFonts w:hint="eastAsia" w:ascii="宋体" w:hAnsi="宋体" w:eastAsia="宋体" w:cs="宋体"/>
          <w:lang w:val="en-US" w:eastAsia="zh-CN"/>
        </w:rPr>
      </w:pPr>
    </w:p>
    <w:p w14:paraId="75846216">
      <w:pPr>
        <w:pStyle w:val="31"/>
        <w:rPr>
          <w:rFonts w:hint="eastAsia" w:ascii="宋体" w:hAnsi="宋体" w:eastAsia="宋体" w:cs="宋体"/>
          <w:lang w:val="en-US" w:eastAsia="zh-CN"/>
        </w:rPr>
      </w:pPr>
    </w:p>
    <w:p w14:paraId="75E7A85D">
      <w:pPr>
        <w:pStyle w:val="32"/>
        <w:rPr>
          <w:rFonts w:hint="eastAsia" w:ascii="宋体" w:hAnsi="宋体" w:eastAsia="宋体" w:cs="宋体"/>
          <w:lang w:val="en-US" w:eastAsia="zh-CN"/>
        </w:rPr>
      </w:pPr>
    </w:p>
    <w:p w14:paraId="6A62197D">
      <w:pPr>
        <w:rPr>
          <w:rFonts w:hint="eastAsia" w:ascii="宋体" w:hAnsi="宋体" w:eastAsia="宋体" w:cs="宋体"/>
          <w:lang w:val="en-US" w:eastAsia="zh-CN"/>
        </w:rPr>
      </w:pPr>
    </w:p>
    <w:p w14:paraId="4CB9B235">
      <w:pPr>
        <w:pStyle w:val="31"/>
        <w:rPr>
          <w:rFonts w:hint="eastAsia" w:ascii="宋体" w:hAnsi="宋体" w:eastAsia="宋体" w:cs="宋体"/>
          <w:lang w:val="en-US" w:eastAsia="zh-CN"/>
        </w:rPr>
      </w:pPr>
    </w:p>
    <w:p w14:paraId="26963B90">
      <w:pPr>
        <w:pStyle w:val="32"/>
        <w:rPr>
          <w:rFonts w:hint="eastAsia" w:ascii="宋体" w:hAnsi="宋体" w:eastAsia="宋体" w:cs="宋体"/>
          <w:lang w:val="en-US" w:eastAsia="zh-CN"/>
        </w:rPr>
      </w:pPr>
    </w:p>
    <w:p w14:paraId="03FD53A5">
      <w:pPr>
        <w:rPr>
          <w:rFonts w:hint="eastAsia" w:ascii="宋体" w:hAnsi="宋体" w:eastAsia="宋体" w:cs="宋体"/>
          <w:lang w:val="en-US" w:eastAsia="zh-CN"/>
        </w:rPr>
      </w:pPr>
    </w:p>
    <w:p w14:paraId="2DCD4E9B">
      <w:pPr>
        <w:pStyle w:val="31"/>
        <w:rPr>
          <w:rFonts w:hint="eastAsia" w:ascii="宋体" w:hAnsi="宋体" w:eastAsia="宋体" w:cs="宋体"/>
          <w:lang w:val="en-US" w:eastAsia="zh-CN"/>
        </w:rPr>
      </w:pPr>
    </w:p>
    <w:p w14:paraId="0B4578CE">
      <w:pPr>
        <w:pStyle w:val="32"/>
        <w:rPr>
          <w:rFonts w:hint="eastAsia" w:ascii="宋体" w:hAnsi="宋体" w:eastAsia="宋体" w:cs="宋体"/>
          <w:lang w:val="en-US" w:eastAsia="zh-CN"/>
        </w:rPr>
      </w:pPr>
    </w:p>
    <w:p w14:paraId="48F01D9F">
      <w:pPr>
        <w:rPr>
          <w:rFonts w:hint="eastAsia" w:ascii="宋体" w:hAnsi="宋体" w:eastAsia="宋体" w:cs="宋体"/>
          <w:lang w:val="en-US" w:eastAsia="zh-CN"/>
        </w:rPr>
      </w:pPr>
    </w:p>
    <w:p w14:paraId="028AB23F">
      <w:pPr>
        <w:pStyle w:val="31"/>
        <w:rPr>
          <w:rFonts w:hint="eastAsia" w:ascii="宋体" w:hAnsi="宋体" w:eastAsia="宋体" w:cs="宋体"/>
          <w:lang w:val="en-US" w:eastAsia="zh-CN"/>
        </w:rPr>
      </w:pPr>
    </w:p>
    <w:p w14:paraId="7F5E8962">
      <w:pPr>
        <w:pStyle w:val="32"/>
        <w:rPr>
          <w:rFonts w:hint="eastAsia" w:ascii="宋体" w:hAnsi="宋体" w:eastAsia="宋体" w:cs="宋体"/>
          <w:lang w:val="en-US" w:eastAsia="zh-CN"/>
        </w:rPr>
      </w:pPr>
    </w:p>
    <w:p w14:paraId="79B876E8">
      <w:pPr>
        <w:rPr>
          <w:rFonts w:hint="eastAsia" w:ascii="宋体" w:hAnsi="宋体" w:eastAsia="宋体" w:cs="宋体"/>
          <w:lang w:val="en-US" w:eastAsia="zh-CN"/>
        </w:rPr>
      </w:pPr>
    </w:p>
    <w:p w14:paraId="62E05A4B">
      <w:pPr>
        <w:pStyle w:val="31"/>
        <w:rPr>
          <w:rFonts w:hint="eastAsia" w:ascii="宋体" w:hAnsi="宋体" w:eastAsia="宋体" w:cs="宋体"/>
          <w:lang w:val="en-US" w:eastAsia="zh-CN"/>
        </w:rPr>
      </w:pPr>
    </w:p>
    <w:p w14:paraId="20A0EFA3">
      <w:pPr>
        <w:pStyle w:val="31"/>
        <w:bidi w:val="0"/>
        <w:ind w:left="0" w:leftChars="0" w:firstLine="0" w:firstLineChars="0"/>
        <w:jc w:val="both"/>
        <w:rPr>
          <w:rFonts w:hint="eastAsia" w:ascii="宋体" w:hAnsi="宋体" w:eastAsia="宋体" w:cs="宋体"/>
          <w:b/>
          <w:color w:val="000000"/>
          <w:sz w:val="28"/>
          <w:szCs w:val="28"/>
          <w:lang w:val="en-US" w:eastAsia="zh-CN"/>
        </w:rPr>
      </w:pPr>
    </w:p>
    <w:p w14:paraId="740BA98F">
      <w:pPr>
        <w:pStyle w:val="31"/>
        <w:bidi w:val="0"/>
        <w:spacing w:line="360" w:lineRule="auto"/>
        <w:ind w:left="0" w:leftChars="0" w:firstLine="0" w:firstLineChars="0"/>
        <w:jc w:val="center"/>
        <w:outlineLvl w:val="1"/>
        <w:rPr>
          <w:rFonts w:hint="eastAsia" w:ascii="宋体" w:hAnsi="宋体" w:eastAsia="宋体" w:cs="宋体"/>
          <w:b/>
          <w:color w:val="000000"/>
          <w:sz w:val="30"/>
          <w:szCs w:val="30"/>
          <w:lang w:val="en-US" w:eastAsia="zh-CN"/>
        </w:rPr>
      </w:pPr>
      <w:r>
        <w:rPr>
          <w:rFonts w:hint="eastAsia" w:ascii="宋体" w:hAnsi="宋体" w:eastAsia="宋体" w:cs="宋体"/>
          <w:b/>
          <w:color w:val="000000"/>
          <w:sz w:val="30"/>
          <w:szCs w:val="30"/>
          <w:lang w:val="en-US" w:eastAsia="zh-CN"/>
        </w:rPr>
        <w:t>七、资格审查资料</w:t>
      </w:r>
    </w:p>
    <w:p w14:paraId="157B2F1C">
      <w:pPr>
        <w:bidi w:val="0"/>
        <w:spacing w:line="360" w:lineRule="auto"/>
        <w:jc w:val="center"/>
        <w:rPr>
          <w:rFonts w:hint="eastAsia" w:ascii="宋体" w:hAnsi="宋体" w:eastAsia="宋体" w:cs="宋体"/>
          <w:b/>
          <w:bCs/>
          <w:color w:val="000000"/>
          <w:sz w:val="28"/>
          <w:szCs w:val="28"/>
          <w:lang w:eastAsia="zh-CN"/>
        </w:rPr>
      </w:pPr>
      <w:r>
        <w:rPr>
          <w:rFonts w:hint="eastAsia" w:ascii="宋体" w:hAnsi="宋体" w:eastAsia="宋体" w:cs="宋体"/>
          <w:b/>
          <w:bCs/>
          <w:color w:val="000000"/>
          <w:sz w:val="28"/>
          <w:szCs w:val="28"/>
          <w:lang w:eastAsia="zh-CN"/>
        </w:rPr>
        <w:t>（附资格性审查要求的所有资料）</w:t>
      </w:r>
    </w:p>
    <w:p w14:paraId="02DC3240">
      <w:pPr>
        <w:bidi w:val="0"/>
        <w:spacing w:line="360" w:lineRule="auto"/>
        <w:jc w:val="center"/>
        <w:rPr>
          <w:rFonts w:hint="eastAsia" w:ascii="宋体" w:hAnsi="宋体" w:eastAsia="宋体" w:cs="宋体"/>
          <w:b/>
          <w:bCs/>
          <w:color w:val="000000"/>
          <w:sz w:val="28"/>
          <w:szCs w:val="28"/>
          <w:lang w:eastAsia="zh-CN"/>
        </w:rPr>
      </w:pPr>
    </w:p>
    <w:p w14:paraId="3E00417D">
      <w:pPr>
        <w:pStyle w:val="55"/>
        <w:rPr>
          <w:rFonts w:hint="eastAsia" w:ascii="宋体" w:hAnsi="宋体" w:eastAsia="宋体" w:cs="宋体"/>
          <w:b/>
          <w:bCs/>
          <w:color w:val="000000"/>
          <w:sz w:val="28"/>
          <w:szCs w:val="28"/>
          <w:lang w:eastAsia="zh-CN"/>
        </w:rPr>
      </w:pPr>
    </w:p>
    <w:p w14:paraId="59E6142D">
      <w:pPr>
        <w:pStyle w:val="7"/>
        <w:rPr>
          <w:rFonts w:hint="eastAsia" w:ascii="宋体" w:hAnsi="宋体" w:eastAsia="宋体" w:cs="宋体"/>
          <w:b/>
          <w:bCs/>
          <w:color w:val="000000"/>
          <w:sz w:val="28"/>
          <w:szCs w:val="28"/>
          <w:lang w:eastAsia="zh-CN"/>
        </w:rPr>
      </w:pPr>
    </w:p>
    <w:p w14:paraId="0693075B">
      <w:pPr>
        <w:rPr>
          <w:rFonts w:hint="eastAsia" w:ascii="宋体" w:hAnsi="宋体" w:eastAsia="宋体" w:cs="宋体"/>
          <w:b/>
          <w:bCs/>
          <w:color w:val="000000"/>
          <w:sz w:val="28"/>
          <w:szCs w:val="28"/>
          <w:lang w:eastAsia="zh-CN"/>
        </w:rPr>
      </w:pPr>
    </w:p>
    <w:p w14:paraId="20BEA415">
      <w:pPr>
        <w:pStyle w:val="55"/>
        <w:rPr>
          <w:rFonts w:hint="eastAsia" w:ascii="宋体" w:hAnsi="宋体" w:eastAsia="宋体" w:cs="宋体"/>
          <w:b/>
          <w:bCs/>
          <w:color w:val="000000"/>
          <w:sz w:val="28"/>
          <w:szCs w:val="28"/>
          <w:lang w:eastAsia="zh-CN"/>
        </w:rPr>
      </w:pPr>
    </w:p>
    <w:p w14:paraId="7970B962">
      <w:pPr>
        <w:pStyle w:val="7"/>
        <w:rPr>
          <w:rFonts w:hint="eastAsia" w:ascii="宋体" w:hAnsi="宋体" w:eastAsia="宋体" w:cs="宋体"/>
          <w:b/>
          <w:bCs/>
          <w:color w:val="000000"/>
          <w:sz w:val="28"/>
          <w:szCs w:val="28"/>
          <w:lang w:eastAsia="zh-CN"/>
        </w:rPr>
      </w:pPr>
    </w:p>
    <w:p w14:paraId="4E20BD29">
      <w:pPr>
        <w:rPr>
          <w:rFonts w:hint="eastAsia" w:ascii="宋体" w:hAnsi="宋体" w:eastAsia="宋体" w:cs="宋体"/>
          <w:b/>
          <w:bCs/>
          <w:color w:val="000000"/>
          <w:sz w:val="28"/>
          <w:szCs w:val="28"/>
          <w:lang w:eastAsia="zh-CN"/>
        </w:rPr>
      </w:pPr>
    </w:p>
    <w:p w14:paraId="198C2C73">
      <w:pPr>
        <w:pStyle w:val="55"/>
        <w:rPr>
          <w:rFonts w:hint="eastAsia" w:ascii="宋体" w:hAnsi="宋体" w:eastAsia="宋体" w:cs="宋体"/>
          <w:b/>
          <w:bCs/>
          <w:color w:val="000000"/>
          <w:sz w:val="28"/>
          <w:szCs w:val="28"/>
          <w:lang w:eastAsia="zh-CN"/>
        </w:rPr>
      </w:pPr>
    </w:p>
    <w:p w14:paraId="7422A038">
      <w:pPr>
        <w:pStyle w:val="7"/>
        <w:rPr>
          <w:rFonts w:hint="eastAsia" w:ascii="宋体" w:hAnsi="宋体" w:eastAsia="宋体" w:cs="宋体"/>
          <w:b/>
          <w:bCs/>
          <w:color w:val="000000"/>
          <w:sz w:val="28"/>
          <w:szCs w:val="28"/>
          <w:lang w:eastAsia="zh-CN"/>
        </w:rPr>
      </w:pPr>
    </w:p>
    <w:p w14:paraId="0C5E0607">
      <w:pPr>
        <w:rPr>
          <w:rFonts w:hint="eastAsia" w:ascii="宋体" w:hAnsi="宋体" w:eastAsia="宋体" w:cs="宋体"/>
          <w:b/>
          <w:bCs/>
          <w:color w:val="000000"/>
          <w:sz w:val="28"/>
          <w:szCs w:val="28"/>
          <w:lang w:eastAsia="zh-CN"/>
        </w:rPr>
      </w:pPr>
    </w:p>
    <w:p w14:paraId="4D503137">
      <w:pPr>
        <w:pStyle w:val="55"/>
        <w:rPr>
          <w:rFonts w:hint="eastAsia" w:ascii="宋体" w:hAnsi="宋体" w:eastAsia="宋体" w:cs="宋体"/>
          <w:b/>
          <w:bCs/>
          <w:color w:val="000000"/>
          <w:sz w:val="28"/>
          <w:szCs w:val="28"/>
          <w:lang w:eastAsia="zh-CN"/>
        </w:rPr>
      </w:pPr>
    </w:p>
    <w:p w14:paraId="7841976E">
      <w:pPr>
        <w:pStyle w:val="7"/>
        <w:rPr>
          <w:rFonts w:hint="eastAsia" w:ascii="宋体" w:hAnsi="宋体" w:eastAsia="宋体" w:cs="宋体"/>
          <w:b/>
          <w:bCs/>
          <w:color w:val="000000"/>
          <w:sz w:val="28"/>
          <w:szCs w:val="28"/>
          <w:lang w:eastAsia="zh-CN"/>
        </w:rPr>
      </w:pPr>
    </w:p>
    <w:p w14:paraId="79504D31">
      <w:pPr>
        <w:rPr>
          <w:rFonts w:hint="eastAsia" w:ascii="宋体" w:hAnsi="宋体" w:eastAsia="宋体" w:cs="宋体"/>
          <w:b/>
          <w:bCs/>
          <w:color w:val="000000"/>
          <w:sz w:val="28"/>
          <w:szCs w:val="28"/>
          <w:lang w:eastAsia="zh-CN"/>
        </w:rPr>
      </w:pPr>
    </w:p>
    <w:p w14:paraId="57CBE7EF">
      <w:pPr>
        <w:pStyle w:val="55"/>
        <w:rPr>
          <w:rFonts w:hint="eastAsia" w:ascii="宋体" w:hAnsi="宋体" w:eastAsia="宋体" w:cs="宋体"/>
          <w:b/>
          <w:bCs/>
          <w:color w:val="000000"/>
          <w:sz w:val="28"/>
          <w:szCs w:val="28"/>
          <w:lang w:eastAsia="zh-CN"/>
        </w:rPr>
      </w:pPr>
    </w:p>
    <w:p w14:paraId="27D47D7C">
      <w:pPr>
        <w:pStyle w:val="7"/>
        <w:rPr>
          <w:rFonts w:hint="eastAsia" w:ascii="宋体" w:hAnsi="宋体" w:eastAsia="宋体" w:cs="宋体"/>
          <w:b/>
          <w:bCs/>
          <w:color w:val="000000"/>
          <w:sz w:val="28"/>
          <w:szCs w:val="28"/>
          <w:lang w:eastAsia="zh-CN"/>
        </w:rPr>
      </w:pPr>
    </w:p>
    <w:p w14:paraId="1999CF72">
      <w:pPr>
        <w:rPr>
          <w:rFonts w:hint="eastAsia" w:ascii="宋体" w:hAnsi="宋体" w:eastAsia="宋体" w:cs="宋体"/>
          <w:b/>
          <w:bCs/>
          <w:color w:val="000000"/>
          <w:sz w:val="28"/>
          <w:szCs w:val="28"/>
          <w:lang w:eastAsia="zh-CN"/>
        </w:rPr>
      </w:pPr>
    </w:p>
    <w:p w14:paraId="20CF5D58">
      <w:pPr>
        <w:pStyle w:val="55"/>
        <w:rPr>
          <w:rFonts w:hint="eastAsia" w:ascii="宋体" w:hAnsi="宋体" w:eastAsia="宋体" w:cs="宋体"/>
          <w:b/>
          <w:bCs/>
          <w:color w:val="000000"/>
          <w:sz w:val="28"/>
          <w:szCs w:val="28"/>
          <w:lang w:eastAsia="zh-CN"/>
        </w:rPr>
      </w:pPr>
    </w:p>
    <w:p w14:paraId="2D1E5657">
      <w:pPr>
        <w:pStyle w:val="7"/>
        <w:rPr>
          <w:rFonts w:hint="eastAsia" w:ascii="宋体" w:hAnsi="宋体" w:eastAsia="宋体" w:cs="宋体"/>
          <w:b/>
          <w:bCs/>
          <w:color w:val="000000"/>
          <w:sz w:val="28"/>
          <w:szCs w:val="28"/>
          <w:lang w:eastAsia="zh-CN"/>
        </w:rPr>
      </w:pPr>
    </w:p>
    <w:p w14:paraId="019233C0">
      <w:pPr>
        <w:rPr>
          <w:rFonts w:hint="eastAsia" w:ascii="宋体" w:hAnsi="宋体" w:eastAsia="宋体" w:cs="宋体"/>
          <w:b/>
          <w:bCs/>
          <w:color w:val="000000"/>
          <w:sz w:val="28"/>
          <w:szCs w:val="28"/>
          <w:lang w:eastAsia="zh-CN"/>
        </w:rPr>
      </w:pPr>
    </w:p>
    <w:p w14:paraId="4E094EE6">
      <w:pPr>
        <w:pStyle w:val="55"/>
        <w:rPr>
          <w:rFonts w:hint="eastAsia" w:ascii="宋体" w:hAnsi="宋体" w:eastAsia="宋体" w:cs="宋体"/>
          <w:b/>
          <w:bCs/>
          <w:color w:val="000000"/>
          <w:sz w:val="28"/>
          <w:szCs w:val="28"/>
          <w:lang w:eastAsia="zh-CN"/>
        </w:rPr>
      </w:pPr>
    </w:p>
    <w:p w14:paraId="61C621D6">
      <w:pPr>
        <w:pStyle w:val="7"/>
        <w:rPr>
          <w:rFonts w:hint="eastAsia" w:ascii="宋体" w:hAnsi="宋体" w:eastAsia="宋体" w:cs="宋体"/>
          <w:b/>
          <w:bCs/>
          <w:color w:val="000000"/>
          <w:sz w:val="28"/>
          <w:szCs w:val="28"/>
          <w:lang w:eastAsia="zh-CN"/>
        </w:rPr>
      </w:pPr>
    </w:p>
    <w:p w14:paraId="6643F25F">
      <w:pPr>
        <w:rPr>
          <w:rFonts w:hint="eastAsia" w:ascii="宋体" w:hAnsi="宋体" w:eastAsia="宋体" w:cs="宋体"/>
          <w:b/>
          <w:bCs/>
          <w:color w:val="000000"/>
          <w:sz w:val="28"/>
          <w:szCs w:val="28"/>
          <w:lang w:eastAsia="zh-CN"/>
        </w:rPr>
      </w:pPr>
    </w:p>
    <w:p w14:paraId="0A6A37CB">
      <w:pPr>
        <w:pStyle w:val="55"/>
        <w:rPr>
          <w:rFonts w:hint="eastAsia" w:ascii="宋体" w:hAnsi="宋体" w:eastAsia="宋体" w:cs="宋体"/>
          <w:b/>
          <w:bCs/>
          <w:color w:val="000000"/>
          <w:sz w:val="28"/>
          <w:szCs w:val="28"/>
          <w:lang w:eastAsia="zh-CN"/>
        </w:rPr>
      </w:pPr>
    </w:p>
    <w:p w14:paraId="4277AEF8">
      <w:pPr>
        <w:pStyle w:val="7"/>
        <w:rPr>
          <w:rFonts w:hint="eastAsia" w:ascii="宋体" w:hAnsi="宋体" w:eastAsia="宋体" w:cs="宋体"/>
          <w:b/>
          <w:bCs/>
          <w:color w:val="000000"/>
          <w:sz w:val="28"/>
          <w:szCs w:val="28"/>
          <w:lang w:eastAsia="zh-CN"/>
        </w:rPr>
      </w:pPr>
    </w:p>
    <w:p w14:paraId="590FC7A1">
      <w:pPr>
        <w:rPr>
          <w:rFonts w:hint="eastAsia" w:ascii="宋体" w:hAnsi="宋体" w:eastAsia="宋体" w:cs="宋体"/>
          <w:b/>
          <w:bCs/>
          <w:color w:val="000000"/>
          <w:sz w:val="28"/>
          <w:szCs w:val="28"/>
          <w:lang w:eastAsia="zh-CN"/>
        </w:rPr>
      </w:pPr>
    </w:p>
    <w:p w14:paraId="0A306254">
      <w:pPr>
        <w:pStyle w:val="55"/>
        <w:rPr>
          <w:rFonts w:hint="eastAsia" w:ascii="宋体" w:hAnsi="宋体" w:eastAsia="宋体" w:cs="宋体"/>
          <w:b/>
          <w:bCs/>
          <w:color w:val="000000"/>
          <w:sz w:val="28"/>
          <w:szCs w:val="28"/>
          <w:lang w:eastAsia="zh-CN"/>
        </w:rPr>
      </w:pPr>
    </w:p>
    <w:p w14:paraId="5375DFD9">
      <w:pPr>
        <w:pStyle w:val="7"/>
        <w:rPr>
          <w:rFonts w:hint="eastAsia" w:ascii="宋体" w:hAnsi="宋体" w:eastAsia="宋体" w:cs="宋体"/>
          <w:b/>
          <w:bCs/>
          <w:color w:val="000000"/>
          <w:sz w:val="28"/>
          <w:szCs w:val="28"/>
          <w:lang w:eastAsia="zh-CN"/>
        </w:rPr>
      </w:pPr>
    </w:p>
    <w:p w14:paraId="6035FD4D">
      <w:pPr>
        <w:rPr>
          <w:rFonts w:hint="eastAsia" w:ascii="宋体" w:hAnsi="宋体" w:eastAsia="宋体" w:cs="宋体"/>
          <w:b/>
          <w:bCs/>
          <w:color w:val="000000"/>
          <w:sz w:val="28"/>
          <w:szCs w:val="28"/>
          <w:lang w:eastAsia="zh-CN"/>
        </w:rPr>
      </w:pPr>
    </w:p>
    <w:p w14:paraId="4A6CBCCA">
      <w:pPr>
        <w:pStyle w:val="55"/>
        <w:rPr>
          <w:rFonts w:hint="eastAsia" w:ascii="宋体" w:hAnsi="宋体" w:eastAsia="宋体" w:cs="宋体"/>
          <w:b/>
          <w:bCs/>
          <w:color w:val="000000"/>
          <w:sz w:val="28"/>
          <w:szCs w:val="28"/>
          <w:lang w:eastAsia="zh-CN"/>
        </w:rPr>
      </w:pPr>
    </w:p>
    <w:p w14:paraId="6424A972">
      <w:pPr>
        <w:pStyle w:val="7"/>
        <w:rPr>
          <w:rFonts w:hint="eastAsia" w:ascii="宋体" w:hAnsi="宋体" w:eastAsia="宋体" w:cs="宋体"/>
          <w:b/>
          <w:bCs/>
          <w:color w:val="000000"/>
          <w:sz w:val="28"/>
          <w:szCs w:val="28"/>
          <w:lang w:eastAsia="zh-CN"/>
        </w:rPr>
      </w:pPr>
    </w:p>
    <w:p w14:paraId="73ED5BD3">
      <w:pPr>
        <w:rPr>
          <w:rFonts w:hint="eastAsia" w:ascii="宋体" w:hAnsi="宋体" w:eastAsia="宋体" w:cs="宋体"/>
          <w:b/>
          <w:bCs/>
          <w:color w:val="000000"/>
          <w:sz w:val="28"/>
          <w:szCs w:val="28"/>
          <w:lang w:eastAsia="zh-CN"/>
        </w:rPr>
      </w:pPr>
    </w:p>
    <w:p w14:paraId="7CC47CF0">
      <w:pPr>
        <w:pStyle w:val="55"/>
        <w:rPr>
          <w:rFonts w:hint="eastAsia" w:ascii="宋体" w:hAnsi="宋体" w:eastAsia="宋体" w:cs="宋体"/>
          <w:b/>
          <w:bCs/>
          <w:color w:val="000000"/>
          <w:sz w:val="28"/>
          <w:szCs w:val="28"/>
          <w:lang w:eastAsia="zh-CN"/>
        </w:rPr>
      </w:pPr>
    </w:p>
    <w:p w14:paraId="2324ECEB">
      <w:pPr>
        <w:pStyle w:val="7"/>
        <w:rPr>
          <w:rFonts w:hint="eastAsia" w:ascii="宋体" w:hAnsi="宋体" w:eastAsia="宋体" w:cs="宋体"/>
          <w:b/>
          <w:bCs/>
          <w:color w:val="000000"/>
          <w:sz w:val="28"/>
          <w:szCs w:val="28"/>
          <w:lang w:eastAsia="zh-CN"/>
        </w:rPr>
      </w:pPr>
    </w:p>
    <w:p w14:paraId="3074C7E2">
      <w:pPr>
        <w:rPr>
          <w:rFonts w:hint="eastAsia" w:ascii="宋体" w:hAnsi="宋体" w:eastAsia="宋体" w:cs="宋体"/>
          <w:b/>
          <w:bCs/>
          <w:color w:val="000000"/>
          <w:sz w:val="28"/>
          <w:szCs w:val="28"/>
          <w:lang w:eastAsia="zh-CN"/>
        </w:rPr>
      </w:pPr>
    </w:p>
    <w:p w14:paraId="1BCAE1B7">
      <w:pPr>
        <w:pStyle w:val="55"/>
        <w:rPr>
          <w:rFonts w:hint="eastAsia" w:ascii="宋体" w:hAnsi="宋体" w:eastAsia="宋体" w:cs="宋体"/>
          <w:b/>
          <w:bCs/>
          <w:color w:val="000000"/>
          <w:sz w:val="28"/>
          <w:szCs w:val="28"/>
          <w:lang w:eastAsia="zh-CN"/>
        </w:rPr>
      </w:pPr>
    </w:p>
    <w:p w14:paraId="6541A933">
      <w:pPr>
        <w:pStyle w:val="7"/>
        <w:rPr>
          <w:rFonts w:hint="eastAsia"/>
          <w:lang w:eastAsia="zh-CN"/>
        </w:rPr>
      </w:pPr>
    </w:p>
    <w:p w14:paraId="0310523E">
      <w:pPr>
        <w:bidi w:val="0"/>
        <w:spacing w:line="360" w:lineRule="auto"/>
        <w:jc w:val="center"/>
        <w:outlineLvl w:val="1"/>
        <w:rPr>
          <w:rFonts w:hint="eastAsia" w:ascii="宋体" w:hAnsi="宋体" w:eastAsia="宋体" w:cs="宋体"/>
          <w:color w:val="000000"/>
          <w:sz w:val="28"/>
          <w:szCs w:val="28"/>
          <w:lang w:eastAsia="zh-CN"/>
        </w:rPr>
      </w:pPr>
      <w:r>
        <w:rPr>
          <w:rFonts w:hint="eastAsia" w:ascii="宋体" w:hAnsi="宋体" w:cs="宋体"/>
          <w:b/>
          <w:bCs/>
          <w:color w:val="000000"/>
          <w:sz w:val="28"/>
          <w:szCs w:val="28"/>
          <w:lang w:val="en-US" w:eastAsia="zh-CN"/>
        </w:rPr>
        <w:t>八</w:t>
      </w:r>
      <w:r>
        <w:rPr>
          <w:rFonts w:hint="eastAsia" w:ascii="宋体" w:hAnsi="宋体" w:eastAsia="宋体" w:cs="宋体"/>
          <w:b/>
          <w:bCs/>
          <w:color w:val="000000"/>
          <w:sz w:val="28"/>
          <w:szCs w:val="28"/>
          <w:lang w:eastAsia="zh-CN"/>
        </w:rPr>
        <w:t>、</w:t>
      </w:r>
      <w:bookmarkStart w:id="776" w:name="_Toc523494085"/>
      <w:bookmarkStart w:id="777" w:name="_Toc525210051"/>
      <w:r>
        <w:rPr>
          <w:rFonts w:hint="eastAsia" w:ascii="宋体" w:hAnsi="宋体" w:eastAsia="宋体" w:cs="宋体"/>
          <w:b/>
          <w:bCs/>
          <w:color w:val="000000"/>
          <w:sz w:val="28"/>
          <w:szCs w:val="28"/>
          <w:lang w:eastAsia="zh-CN"/>
        </w:rPr>
        <w:t>中小企业声明函</w:t>
      </w:r>
      <w:bookmarkEnd w:id="776"/>
      <w:bookmarkEnd w:id="777"/>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lang w:val="en-US" w:eastAsia="zh-CN"/>
        </w:rPr>
        <w:t>服务</w:t>
      </w:r>
      <w:r>
        <w:rPr>
          <w:rFonts w:hint="eastAsia" w:ascii="宋体" w:hAnsi="宋体" w:eastAsia="宋体" w:cs="宋体"/>
          <w:b/>
          <w:bCs/>
          <w:color w:val="000000"/>
          <w:sz w:val="28"/>
          <w:szCs w:val="28"/>
          <w:lang w:eastAsia="zh-CN"/>
        </w:rPr>
        <w:t>）</w:t>
      </w:r>
    </w:p>
    <w:p w14:paraId="1490B39D">
      <w:pPr>
        <w:pStyle w:val="31"/>
        <w:bidi w:val="0"/>
        <w:ind w:left="0" w:leftChars="0" w:firstLine="0" w:firstLineChars="0"/>
        <w:rPr>
          <w:rFonts w:hint="eastAsia" w:ascii="宋体" w:hAnsi="宋体" w:eastAsia="宋体" w:cs="宋体"/>
          <w:color w:val="000000"/>
          <w:sz w:val="21"/>
          <w:szCs w:val="21"/>
          <w:lang w:val="en-US" w:eastAsia="zh-CN"/>
        </w:rPr>
      </w:pPr>
    </w:p>
    <w:p w14:paraId="43429DCB">
      <w:pPr>
        <w:spacing w:after="120" w:afterLines="50" w:line="360" w:lineRule="auto"/>
        <w:jc w:val="center"/>
        <w:rPr>
          <w:rFonts w:hint="eastAsia" w:ascii="宋体" w:hAnsi="宋体" w:cs="宋体"/>
          <w:b/>
          <w:sz w:val="24"/>
        </w:rPr>
      </w:pPr>
      <w:r>
        <w:rPr>
          <w:rFonts w:hint="eastAsia" w:ascii="宋体" w:hAnsi="宋体" w:cs="宋体"/>
          <w:b/>
          <w:sz w:val="24"/>
        </w:rPr>
        <w:t>中小企业声明函（</w:t>
      </w:r>
      <w:r>
        <w:rPr>
          <w:rFonts w:hint="eastAsia" w:ascii="宋体" w:hAnsi="宋体" w:eastAsia="宋体" w:cs="宋体"/>
          <w:b/>
          <w:sz w:val="24"/>
          <w:lang w:eastAsia="zh-CN"/>
        </w:rPr>
        <w:t>服务</w:t>
      </w:r>
      <w:r>
        <w:rPr>
          <w:rFonts w:hint="eastAsia" w:ascii="宋体" w:hAnsi="宋体" w:cs="宋体"/>
          <w:b/>
          <w:sz w:val="24"/>
        </w:rPr>
        <w:t>）</w:t>
      </w:r>
    </w:p>
    <w:p w14:paraId="36F539E3">
      <w:pPr>
        <w:spacing w:line="360" w:lineRule="auto"/>
        <w:ind w:firstLine="480" w:firstLineChars="200"/>
        <w:rPr>
          <w:rFonts w:hint="eastAsia" w:ascii="宋体" w:hAnsi="宋体"/>
          <w:color w:val="000000"/>
          <w:sz w:val="24"/>
        </w:rPr>
      </w:pPr>
      <w:r>
        <w:rPr>
          <w:rFonts w:hint="eastAsia" w:ascii="宋体" w:hAnsi="宋体"/>
          <w:color w:val="000000"/>
          <w:sz w:val="24"/>
        </w:rPr>
        <w:t>本公司郑重声明 ，根据《政府采购促进中小企业发展管理办法》（财库﹝2020﹞46号）的规定，本公司参加</w:t>
      </w:r>
      <w:r>
        <w:rPr>
          <w:rFonts w:hint="eastAsia" w:ascii="宋体" w:hAnsi="宋体"/>
          <w:color w:val="000000"/>
          <w:sz w:val="24"/>
          <w:u w:val="single"/>
        </w:rPr>
        <w:t xml:space="preserve"> </w:t>
      </w:r>
      <w:r>
        <w:rPr>
          <w:rFonts w:hint="eastAsia" w:ascii="宋体" w:hAnsi="宋体" w:eastAsia="宋体"/>
          <w:color w:val="000000"/>
          <w:sz w:val="24"/>
          <w:u w:val="single"/>
          <w:lang w:val="en-US" w:eastAsia="zh-CN"/>
        </w:rPr>
        <w:t xml:space="preserve">  （采购人名称）  </w:t>
      </w:r>
      <w:r>
        <w:rPr>
          <w:rFonts w:hint="eastAsia" w:ascii="宋体" w:hAnsi="宋体"/>
          <w:color w:val="000000"/>
          <w:sz w:val="24"/>
        </w:rPr>
        <w:t>的</w:t>
      </w:r>
      <w:r>
        <w:rPr>
          <w:rFonts w:hint="eastAsia" w:ascii="宋体" w:hAnsi="宋体"/>
          <w:color w:val="000000"/>
          <w:sz w:val="24"/>
          <w:u w:val="single"/>
        </w:rPr>
        <w:t xml:space="preserve"> </w:t>
      </w:r>
      <w:r>
        <w:rPr>
          <w:rFonts w:hint="eastAsia" w:ascii="宋体" w:hAnsi="宋体" w:eastAsia="宋体"/>
          <w:color w:val="000000"/>
          <w:sz w:val="24"/>
          <w:u w:val="single"/>
          <w:lang w:val="en-US" w:eastAsia="zh-CN"/>
        </w:rPr>
        <w:t xml:space="preserve">        </w:t>
      </w:r>
      <w:r>
        <w:rPr>
          <w:rFonts w:hint="eastAsia" w:ascii="宋体" w:hAnsi="宋体"/>
          <w:color w:val="000000"/>
          <w:sz w:val="24"/>
          <w:u w:val="none"/>
        </w:rPr>
        <w:t>（项目名称）</w:t>
      </w:r>
      <w:r>
        <w:rPr>
          <w:rFonts w:hint="eastAsia" w:ascii="宋体" w:hAnsi="宋体"/>
          <w:color w:val="000000"/>
          <w:sz w:val="24"/>
        </w:rPr>
        <w:t>采购活动</w:t>
      </w:r>
      <w:r>
        <w:rPr>
          <w:rFonts w:hint="eastAsia" w:ascii="宋体" w:hAnsi="宋体" w:eastAsia="宋体"/>
          <w:color w:val="000000"/>
          <w:sz w:val="24"/>
          <w:lang w:eastAsia="zh-CN"/>
        </w:rPr>
        <w:t>，服务全部由符合政策要求的中小企业承接</w:t>
      </w:r>
      <w:r>
        <w:rPr>
          <w:rFonts w:hint="eastAsia" w:ascii="宋体" w:hAnsi="宋体"/>
          <w:color w:val="000000"/>
          <w:sz w:val="24"/>
        </w:rPr>
        <w:t>。相关企业的具体情况如下 ：</w:t>
      </w:r>
    </w:p>
    <w:p w14:paraId="7F938B18">
      <w:pPr>
        <w:spacing w:line="360" w:lineRule="auto"/>
        <w:ind w:firstLine="480" w:firstLineChars="200"/>
        <w:rPr>
          <w:rFonts w:hint="eastAsia" w:ascii="宋体" w:hAnsi="宋体"/>
          <w:color w:val="000000"/>
          <w:sz w:val="24"/>
        </w:rPr>
      </w:pPr>
      <w:r>
        <w:rPr>
          <w:rFonts w:hint="eastAsia" w:ascii="宋体" w:hAnsi="宋体"/>
          <w:color w:val="000000"/>
          <w:sz w:val="24"/>
        </w:rPr>
        <w:t>1</w:t>
      </w:r>
      <w:r>
        <w:rPr>
          <w:rFonts w:hint="eastAsia" w:ascii="宋体" w:hAnsi="宋体" w:eastAsia="宋体"/>
          <w:color w:val="000000"/>
          <w:sz w:val="24"/>
          <w:lang w:val="en-US" w:eastAsia="zh-CN"/>
        </w:rPr>
        <w:t>.</w:t>
      </w:r>
      <w:r>
        <w:rPr>
          <w:rFonts w:hint="eastAsia" w:ascii="宋体" w:hAnsi="宋体"/>
          <w:color w:val="000000"/>
          <w:sz w:val="24"/>
          <w:u w:val="single"/>
        </w:rPr>
        <w:t>（标的名称）</w:t>
      </w:r>
      <w:r>
        <w:rPr>
          <w:rFonts w:hint="eastAsia" w:ascii="宋体" w:hAnsi="宋体" w:eastAsia="宋体"/>
          <w:color w:val="000000"/>
          <w:sz w:val="24"/>
          <w:u w:val="single"/>
          <w:lang w:val="en-US" w:eastAsia="zh-CN"/>
        </w:rPr>
        <w:t xml:space="preserve">   </w:t>
      </w:r>
      <w:r>
        <w:rPr>
          <w:rFonts w:hint="eastAsia" w:ascii="宋体" w:hAnsi="宋体"/>
          <w:color w:val="000000"/>
          <w:sz w:val="24"/>
          <w:u w:val="single"/>
        </w:rPr>
        <w:t xml:space="preserve"> </w:t>
      </w:r>
      <w:r>
        <w:rPr>
          <w:rFonts w:hint="eastAsia" w:ascii="宋体" w:hAnsi="宋体"/>
          <w:color w:val="000000"/>
          <w:sz w:val="24"/>
        </w:rPr>
        <w:t>，属于</w:t>
      </w:r>
      <w:r>
        <w:rPr>
          <w:rFonts w:hint="eastAsia" w:ascii="宋体" w:hAnsi="宋体"/>
          <w:color w:val="000000"/>
          <w:sz w:val="24"/>
          <w:u w:val="single"/>
        </w:rPr>
        <w:t>（</w:t>
      </w:r>
      <w:r>
        <w:rPr>
          <w:rFonts w:hint="eastAsia" w:ascii="宋体" w:hAnsi="宋体"/>
          <w:color w:val="000000"/>
          <w:sz w:val="24"/>
          <w:u w:val="single"/>
          <w:lang w:eastAsia="zh-CN"/>
        </w:rPr>
        <w:t>招标</w:t>
      </w:r>
      <w:r>
        <w:rPr>
          <w:rFonts w:hint="eastAsia" w:ascii="宋体" w:hAnsi="宋体"/>
          <w:color w:val="000000"/>
          <w:sz w:val="24"/>
          <w:u w:val="single"/>
        </w:rPr>
        <w:t>文件中明确的所属行业）行业</w:t>
      </w:r>
      <w:r>
        <w:rPr>
          <w:rFonts w:hint="eastAsia" w:ascii="宋体" w:hAnsi="宋体"/>
          <w:color w:val="000000"/>
          <w:sz w:val="24"/>
        </w:rPr>
        <w:t>；承接企业为</w:t>
      </w:r>
      <w:r>
        <w:rPr>
          <w:rFonts w:hint="eastAsia" w:ascii="宋体" w:hAnsi="宋体"/>
          <w:color w:val="000000"/>
          <w:sz w:val="24"/>
          <w:u w:val="single"/>
        </w:rPr>
        <w:t xml:space="preserve"> （企业名称）</w:t>
      </w:r>
      <w:r>
        <w:rPr>
          <w:rFonts w:hint="eastAsia" w:ascii="宋体" w:hAnsi="宋体"/>
          <w:color w:val="000000"/>
          <w:sz w:val="24"/>
        </w:rPr>
        <w:t>，从业人员</w:t>
      </w:r>
      <w:r>
        <w:rPr>
          <w:rFonts w:hint="eastAsia" w:ascii="宋体" w:hAnsi="宋体"/>
          <w:color w:val="000000"/>
          <w:sz w:val="24"/>
          <w:u w:val="single"/>
        </w:rPr>
        <w:t xml:space="preserve">      </w:t>
      </w:r>
      <w:r>
        <w:rPr>
          <w:rFonts w:hint="eastAsia" w:ascii="宋体" w:hAnsi="宋体"/>
          <w:color w:val="000000"/>
          <w:sz w:val="24"/>
        </w:rPr>
        <w:t>人 ， 营业收入为</w:t>
      </w:r>
      <w:r>
        <w:rPr>
          <w:rFonts w:hint="eastAsia" w:ascii="宋体" w:hAnsi="宋体"/>
          <w:color w:val="000000"/>
          <w:sz w:val="24"/>
          <w:u w:val="single"/>
        </w:rPr>
        <w:t xml:space="preserve">   </w:t>
      </w:r>
      <w:r>
        <w:rPr>
          <w:rFonts w:hint="eastAsia" w:ascii="宋体" w:hAnsi="宋体" w:eastAsia="宋体"/>
          <w:color w:val="000000"/>
          <w:sz w:val="24"/>
          <w:u w:val="single"/>
          <w:lang w:val="en-US" w:eastAsia="zh-CN"/>
        </w:rPr>
        <w:t xml:space="preserve">  </w:t>
      </w:r>
      <w:r>
        <w:rPr>
          <w:rFonts w:hint="eastAsia" w:ascii="宋体" w:hAnsi="宋体"/>
          <w:color w:val="000000"/>
          <w:sz w:val="24"/>
          <w:u w:val="single"/>
        </w:rPr>
        <w:t xml:space="preserve"> </w:t>
      </w:r>
      <w:r>
        <w:rPr>
          <w:rFonts w:hint="eastAsia" w:ascii="宋体" w:hAnsi="宋体"/>
          <w:color w:val="000000"/>
          <w:sz w:val="24"/>
        </w:rPr>
        <w:t>万元 ，资产总额为</w:t>
      </w:r>
      <w:r>
        <w:rPr>
          <w:rFonts w:hint="eastAsia" w:ascii="宋体" w:hAnsi="宋体"/>
          <w:color w:val="000000"/>
          <w:sz w:val="24"/>
          <w:u w:val="single"/>
        </w:rPr>
        <w:t xml:space="preserve">  </w:t>
      </w:r>
      <w:r>
        <w:rPr>
          <w:rFonts w:hint="eastAsia" w:ascii="宋体" w:hAnsi="宋体" w:eastAsia="宋体"/>
          <w:color w:val="000000"/>
          <w:sz w:val="24"/>
          <w:u w:val="single"/>
          <w:lang w:val="en-US" w:eastAsia="zh-CN"/>
        </w:rPr>
        <w:t xml:space="preserve">  </w:t>
      </w:r>
      <w:r>
        <w:rPr>
          <w:rFonts w:hint="eastAsia" w:ascii="宋体" w:hAnsi="宋体"/>
          <w:color w:val="000000"/>
          <w:sz w:val="24"/>
          <w:u w:val="single"/>
        </w:rPr>
        <w:t xml:space="preserve">  </w:t>
      </w:r>
      <w:r>
        <w:rPr>
          <w:rFonts w:hint="eastAsia" w:ascii="宋体" w:hAnsi="宋体"/>
          <w:color w:val="000000"/>
          <w:sz w:val="24"/>
        </w:rPr>
        <w:t xml:space="preserve">万元 ，属于 </w:t>
      </w:r>
      <w:r>
        <w:rPr>
          <w:rFonts w:hint="eastAsia" w:ascii="宋体" w:hAnsi="宋体"/>
          <w:color w:val="000000"/>
          <w:sz w:val="24"/>
          <w:u w:val="single"/>
        </w:rPr>
        <w:t>（中型企业、小型企业、微型企业）</w:t>
      </w:r>
      <w:r>
        <w:rPr>
          <w:rFonts w:hint="eastAsia" w:ascii="宋体" w:hAnsi="宋体" w:eastAsia="宋体"/>
          <w:color w:val="000000"/>
          <w:sz w:val="24"/>
          <w:u w:val="single"/>
          <w:lang w:val="en-US" w:eastAsia="zh-CN"/>
        </w:rPr>
        <w:t xml:space="preserve">  </w:t>
      </w:r>
      <w:r>
        <w:rPr>
          <w:rFonts w:hint="eastAsia" w:ascii="宋体" w:hAnsi="宋体"/>
          <w:color w:val="000000"/>
          <w:sz w:val="24"/>
        </w:rPr>
        <w:t>；</w:t>
      </w:r>
    </w:p>
    <w:p w14:paraId="2797A8DB">
      <w:pPr>
        <w:spacing w:line="360" w:lineRule="auto"/>
        <w:ind w:firstLine="480" w:firstLineChars="200"/>
        <w:rPr>
          <w:rFonts w:hint="eastAsia" w:ascii="宋体" w:hAnsi="宋体"/>
          <w:color w:val="000000"/>
          <w:sz w:val="24"/>
        </w:rPr>
      </w:pPr>
      <w:r>
        <w:rPr>
          <w:rFonts w:hint="eastAsia" w:ascii="宋体" w:hAnsi="宋体"/>
          <w:color w:val="000000"/>
          <w:sz w:val="24"/>
        </w:rPr>
        <w:t>……</w:t>
      </w:r>
    </w:p>
    <w:p w14:paraId="20AE03D1">
      <w:pPr>
        <w:spacing w:line="360" w:lineRule="auto"/>
        <w:ind w:firstLine="480" w:firstLineChars="200"/>
        <w:rPr>
          <w:rFonts w:hint="eastAsia" w:ascii="宋体" w:hAnsi="宋体"/>
          <w:color w:val="000000"/>
          <w:sz w:val="24"/>
        </w:rPr>
      </w:pPr>
      <w:r>
        <w:rPr>
          <w:rFonts w:hint="eastAsia" w:ascii="宋体" w:hAnsi="宋体"/>
          <w:color w:val="000000"/>
          <w:sz w:val="24"/>
        </w:rPr>
        <w:t>以上企业</w:t>
      </w:r>
      <w:r>
        <w:rPr>
          <w:rFonts w:hint="eastAsia" w:ascii="宋体" w:hAnsi="宋体" w:eastAsia="宋体"/>
          <w:color w:val="000000"/>
          <w:sz w:val="24"/>
          <w:lang w:eastAsia="zh-CN"/>
        </w:rPr>
        <w:t>，</w:t>
      </w:r>
      <w:r>
        <w:rPr>
          <w:rFonts w:hint="eastAsia" w:ascii="宋体" w:hAnsi="宋体"/>
          <w:color w:val="000000"/>
          <w:sz w:val="24"/>
        </w:rPr>
        <w:t>不属于大企业的分支机构</w:t>
      </w:r>
      <w:r>
        <w:rPr>
          <w:rFonts w:hint="eastAsia" w:ascii="宋体" w:hAnsi="宋体" w:eastAsia="宋体"/>
          <w:color w:val="000000"/>
          <w:sz w:val="24"/>
          <w:lang w:eastAsia="zh-CN"/>
        </w:rPr>
        <w:t>，</w:t>
      </w:r>
      <w:r>
        <w:rPr>
          <w:rFonts w:hint="eastAsia" w:ascii="宋体" w:hAnsi="宋体"/>
          <w:color w:val="000000"/>
          <w:sz w:val="24"/>
        </w:rPr>
        <w:t>不存在控股股东为大企业的情形</w:t>
      </w:r>
      <w:r>
        <w:rPr>
          <w:rFonts w:hint="eastAsia" w:ascii="宋体" w:hAnsi="宋体" w:eastAsia="宋体"/>
          <w:color w:val="000000"/>
          <w:sz w:val="24"/>
          <w:lang w:eastAsia="zh-CN"/>
        </w:rPr>
        <w:t>，</w:t>
      </w:r>
      <w:r>
        <w:rPr>
          <w:rFonts w:hint="eastAsia" w:ascii="宋体" w:hAnsi="宋体"/>
          <w:color w:val="000000"/>
          <w:sz w:val="24"/>
        </w:rPr>
        <w:t>也不存在与大企业的负责人为同一人的情形 。</w:t>
      </w:r>
    </w:p>
    <w:p w14:paraId="7D8D47FD">
      <w:pPr>
        <w:spacing w:line="360" w:lineRule="auto"/>
        <w:ind w:firstLine="480" w:firstLineChars="200"/>
        <w:rPr>
          <w:rFonts w:hint="eastAsia" w:ascii="宋体" w:hAnsi="宋体" w:eastAsia="宋体"/>
          <w:color w:val="000000"/>
          <w:sz w:val="24"/>
          <w:lang w:eastAsia="zh-CN"/>
        </w:rPr>
      </w:pPr>
      <w:r>
        <w:rPr>
          <w:rFonts w:hint="eastAsia" w:ascii="宋体" w:hAnsi="宋体"/>
          <w:color w:val="000000"/>
          <w:sz w:val="24"/>
        </w:rPr>
        <w:t>本企业对上述声明内容的真实性负责</w:t>
      </w:r>
      <w:r>
        <w:rPr>
          <w:rFonts w:hint="eastAsia" w:ascii="宋体" w:hAnsi="宋体" w:eastAsia="宋体"/>
          <w:color w:val="000000"/>
          <w:sz w:val="24"/>
          <w:lang w:eastAsia="zh-CN"/>
        </w:rPr>
        <w:t>。</w:t>
      </w:r>
      <w:r>
        <w:rPr>
          <w:rFonts w:hint="eastAsia" w:ascii="宋体" w:hAnsi="宋体"/>
          <w:color w:val="000000"/>
          <w:sz w:val="24"/>
        </w:rPr>
        <w:t>如有虚假</w:t>
      </w:r>
      <w:r>
        <w:rPr>
          <w:rFonts w:hint="eastAsia" w:ascii="宋体" w:hAnsi="宋体" w:eastAsia="宋体"/>
          <w:color w:val="000000"/>
          <w:sz w:val="24"/>
          <w:lang w:eastAsia="zh-CN"/>
        </w:rPr>
        <w:t>，</w:t>
      </w:r>
      <w:r>
        <w:rPr>
          <w:rFonts w:hint="eastAsia" w:ascii="宋体" w:hAnsi="宋体"/>
          <w:color w:val="000000"/>
          <w:sz w:val="24"/>
        </w:rPr>
        <w:t>将依法承担相应责任</w:t>
      </w:r>
      <w:r>
        <w:rPr>
          <w:rFonts w:hint="eastAsia" w:ascii="宋体" w:hAnsi="宋体" w:eastAsia="宋体"/>
          <w:color w:val="000000"/>
          <w:sz w:val="24"/>
          <w:lang w:eastAsia="zh-CN"/>
        </w:rPr>
        <w:t>。</w:t>
      </w:r>
    </w:p>
    <w:p w14:paraId="1026D231">
      <w:pPr>
        <w:spacing w:line="360" w:lineRule="auto"/>
        <w:ind w:firstLine="480" w:firstLineChars="200"/>
        <w:jc w:val="right"/>
        <w:rPr>
          <w:rFonts w:hint="eastAsia" w:ascii="宋体" w:hAnsi="宋体"/>
          <w:color w:val="000000"/>
          <w:sz w:val="24"/>
        </w:rPr>
      </w:pPr>
    </w:p>
    <w:p w14:paraId="1F87DACB">
      <w:pPr>
        <w:spacing w:line="360" w:lineRule="auto"/>
        <w:ind w:firstLine="480" w:firstLineChars="200"/>
        <w:jc w:val="right"/>
        <w:rPr>
          <w:rFonts w:hint="eastAsia" w:ascii="宋体" w:hAnsi="宋体"/>
          <w:color w:val="000000"/>
          <w:sz w:val="24"/>
        </w:rPr>
      </w:pPr>
    </w:p>
    <w:p w14:paraId="5408DBCC">
      <w:pPr>
        <w:wordWrap w:val="0"/>
        <w:spacing w:line="360" w:lineRule="auto"/>
        <w:ind w:firstLine="480" w:firstLineChars="200"/>
        <w:jc w:val="right"/>
        <w:rPr>
          <w:rFonts w:hint="default" w:ascii="宋体" w:hAnsi="宋体" w:eastAsia="宋体"/>
          <w:color w:val="000000"/>
          <w:sz w:val="24"/>
          <w:u w:val="single"/>
          <w:lang w:val="en-US" w:eastAsia="zh-CN"/>
        </w:rPr>
      </w:pPr>
      <w:r>
        <w:rPr>
          <w:rFonts w:hint="eastAsia" w:ascii="宋体" w:hAnsi="宋体"/>
          <w:color w:val="000000"/>
          <w:sz w:val="24"/>
        </w:rPr>
        <w:t>企业名称：</w:t>
      </w:r>
      <w:r>
        <w:rPr>
          <w:rFonts w:hint="eastAsia" w:ascii="宋体" w:hAnsi="宋体" w:eastAsia="宋体"/>
          <w:color w:val="000000"/>
          <w:sz w:val="24"/>
          <w:u w:val="single"/>
          <w:lang w:val="en-US" w:eastAsia="zh-CN"/>
        </w:rPr>
        <w:t xml:space="preserve">                 </w:t>
      </w:r>
      <w:r>
        <w:rPr>
          <w:rFonts w:hint="eastAsia" w:ascii="宋体" w:hAnsi="宋体"/>
          <w:color w:val="000000"/>
          <w:sz w:val="24"/>
        </w:rPr>
        <w:t>（单位电子签章）</w:t>
      </w:r>
    </w:p>
    <w:p w14:paraId="444BBD3F">
      <w:pPr>
        <w:spacing w:line="480" w:lineRule="auto"/>
        <w:ind w:firstLine="480" w:firstLineChars="200"/>
        <w:jc w:val="center"/>
        <w:rPr>
          <w:rFonts w:hint="eastAsia" w:ascii="宋体" w:hAnsi="宋体"/>
          <w:color w:val="000000"/>
          <w:sz w:val="24"/>
        </w:rPr>
      </w:pPr>
      <w:r>
        <w:rPr>
          <w:rFonts w:hint="eastAsia" w:ascii="宋体" w:hAnsi="宋体"/>
          <w:color w:val="000000"/>
          <w:sz w:val="24"/>
          <w:lang w:val="en-US" w:eastAsia="zh-CN"/>
        </w:rPr>
        <w:t xml:space="preserve">                    </w:t>
      </w:r>
      <w:r>
        <w:rPr>
          <w:rFonts w:hint="eastAsia" w:ascii="宋体" w:hAnsi="宋体"/>
          <w:color w:val="000000"/>
          <w:sz w:val="24"/>
        </w:rPr>
        <w:t>日</w:t>
      </w:r>
      <w:r>
        <w:rPr>
          <w:rFonts w:hint="eastAsia" w:ascii="宋体" w:hAnsi="宋体"/>
          <w:color w:val="000000"/>
          <w:sz w:val="24"/>
          <w:lang w:val="en-US" w:eastAsia="zh-CN"/>
        </w:rPr>
        <w:t xml:space="preserve">    </w:t>
      </w:r>
      <w:r>
        <w:rPr>
          <w:rFonts w:hint="eastAsia" w:ascii="宋体" w:hAnsi="宋体"/>
          <w:color w:val="000000"/>
          <w:sz w:val="24"/>
        </w:rPr>
        <w:t>期：</w:t>
      </w:r>
      <w:r>
        <w:rPr>
          <w:rFonts w:hint="eastAsia" w:ascii="宋体" w:hAnsi="宋体"/>
          <w:color w:val="000000"/>
          <w:sz w:val="24"/>
          <w:u w:val="single"/>
        </w:rPr>
        <w:t xml:space="preserve">      </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日</w:t>
      </w:r>
    </w:p>
    <w:p w14:paraId="5550FA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b/>
          <w:bCs/>
          <w:color w:val="000000"/>
          <w:sz w:val="24"/>
        </w:rPr>
      </w:pPr>
      <w:r>
        <w:rPr>
          <w:rFonts w:hint="eastAsia" w:ascii="宋体" w:hAnsi="宋体"/>
          <w:b/>
          <w:bCs/>
          <w:color w:val="000000"/>
          <w:sz w:val="24"/>
        </w:rPr>
        <w:t>注：</w:t>
      </w:r>
      <w:r>
        <w:rPr>
          <w:rFonts w:hint="eastAsia" w:ascii="宋体" w:hAnsi="宋体"/>
          <w:color w:val="000000"/>
          <w:sz w:val="24"/>
        </w:rPr>
        <w:t>（1）从业人员、营业收入、资产总额填报上一年度数据，无上一年度数据的新成立企业可不填报 。</w:t>
      </w:r>
    </w:p>
    <w:p w14:paraId="1A4C656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b/>
          <w:bCs/>
          <w:color w:val="000000"/>
          <w:sz w:val="24"/>
        </w:rPr>
      </w:pPr>
      <w:r>
        <w:rPr>
          <w:rFonts w:hint="eastAsia" w:ascii="宋体" w:hAnsi="宋体"/>
          <w:b/>
          <w:bCs/>
          <w:color w:val="000000"/>
          <w:sz w:val="24"/>
        </w:rPr>
        <w:t>（2）</w:t>
      </w:r>
      <w:r>
        <w:rPr>
          <w:rFonts w:hint="eastAsia" w:ascii="宋体" w:hAnsi="宋体"/>
          <w:b/>
          <w:bCs/>
          <w:color w:val="000000"/>
          <w:sz w:val="24"/>
          <w:u w:val="single"/>
        </w:rPr>
        <w:t>本采购项目中采购标的属于：其他未列明行业；</w:t>
      </w:r>
    </w:p>
    <w:p w14:paraId="15BA564A">
      <w:pPr>
        <w:pStyle w:val="30"/>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宋体" w:hAnsi="宋体"/>
          <w:color w:val="000000"/>
          <w:sz w:val="24"/>
        </w:rPr>
      </w:pPr>
      <w:r>
        <w:rPr>
          <w:rFonts w:hint="eastAsia" w:ascii="宋体" w:hAnsi="宋体"/>
          <w:color w:val="000000"/>
          <w:sz w:val="24"/>
        </w:rPr>
        <w:t>（3）如需填写，各供应商务必严格按照承诺函提示要求填写，由错填、虚假填写、不按要求填写引起的相关责任后果自行承担。</w:t>
      </w:r>
    </w:p>
    <w:p w14:paraId="2EDAD684">
      <w:pPr>
        <w:rPr>
          <w:rFonts w:hint="eastAsia" w:ascii="宋体" w:hAnsi="宋体" w:eastAsia="宋体" w:cs="宋体"/>
          <w:b/>
          <w:kern w:val="2"/>
          <w:sz w:val="24"/>
          <w:szCs w:val="24"/>
          <w:lang w:eastAsia="zh-CN"/>
        </w:rPr>
      </w:pPr>
    </w:p>
    <w:p w14:paraId="0D286F5A">
      <w:pPr>
        <w:rPr>
          <w:rFonts w:hint="eastAsia" w:ascii="宋体" w:hAnsi="宋体" w:eastAsia="宋体" w:cs="宋体"/>
          <w:b/>
          <w:kern w:val="2"/>
          <w:sz w:val="24"/>
          <w:szCs w:val="24"/>
          <w:lang w:eastAsia="zh-CN"/>
        </w:rPr>
      </w:pPr>
    </w:p>
    <w:p w14:paraId="7577D047">
      <w:pPr>
        <w:rPr>
          <w:rFonts w:hint="eastAsia" w:ascii="宋体" w:hAnsi="宋体" w:eastAsia="宋体" w:cs="宋体"/>
          <w:b/>
          <w:kern w:val="2"/>
          <w:sz w:val="24"/>
          <w:szCs w:val="24"/>
          <w:lang w:eastAsia="zh-CN"/>
        </w:rPr>
      </w:pPr>
    </w:p>
    <w:p w14:paraId="00F4AFC2">
      <w:pPr>
        <w:rPr>
          <w:rFonts w:hint="eastAsia" w:ascii="宋体" w:hAnsi="宋体" w:eastAsia="宋体" w:cs="宋体"/>
          <w:b/>
          <w:kern w:val="2"/>
          <w:sz w:val="24"/>
          <w:szCs w:val="24"/>
          <w:lang w:eastAsia="zh-CN"/>
        </w:rPr>
      </w:pPr>
    </w:p>
    <w:p w14:paraId="13DA5D98">
      <w:pPr>
        <w:rPr>
          <w:rFonts w:hint="eastAsia" w:ascii="宋体" w:hAnsi="宋体" w:eastAsia="宋体" w:cs="宋体"/>
          <w:b/>
          <w:kern w:val="2"/>
          <w:sz w:val="24"/>
          <w:szCs w:val="24"/>
          <w:lang w:eastAsia="zh-CN"/>
        </w:rPr>
      </w:pPr>
    </w:p>
    <w:p w14:paraId="5056766A">
      <w:pPr>
        <w:rPr>
          <w:rFonts w:hint="eastAsia" w:ascii="宋体" w:hAnsi="宋体" w:eastAsia="宋体" w:cs="宋体"/>
          <w:b/>
          <w:kern w:val="2"/>
          <w:sz w:val="24"/>
          <w:szCs w:val="24"/>
          <w:lang w:eastAsia="zh-CN"/>
        </w:rPr>
      </w:pPr>
    </w:p>
    <w:p w14:paraId="3E6B423B">
      <w:pPr>
        <w:rPr>
          <w:rFonts w:hint="eastAsia" w:ascii="宋体" w:hAnsi="宋体" w:eastAsia="宋体" w:cs="宋体"/>
          <w:b/>
          <w:kern w:val="2"/>
          <w:sz w:val="24"/>
          <w:szCs w:val="24"/>
          <w:lang w:eastAsia="zh-CN"/>
        </w:rPr>
      </w:pPr>
    </w:p>
    <w:p w14:paraId="7F84E207">
      <w:pPr>
        <w:rPr>
          <w:rFonts w:hint="eastAsia" w:ascii="宋体" w:hAnsi="宋体" w:eastAsia="宋体" w:cs="宋体"/>
          <w:b/>
          <w:kern w:val="2"/>
          <w:sz w:val="24"/>
          <w:szCs w:val="24"/>
          <w:lang w:eastAsia="zh-CN"/>
        </w:rPr>
      </w:pPr>
    </w:p>
    <w:p w14:paraId="74C8A5E5">
      <w:pPr>
        <w:rPr>
          <w:rFonts w:hint="eastAsia" w:ascii="宋体" w:hAnsi="宋体" w:eastAsia="宋体" w:cs="宋体"/>
          <w:b/>
          <w:kern w:val="2"/>
          <w:sz w:val="24"/>
          <w:szCs w:val="24"/>
          <w:lang w:eastAsia="zh-CN"/>
        </w:rPr>
      </w:pPr>
    </w:p>
    <w:p w14:paraId="5D9AD506">
      <w:pPr>
        <w:rPr>
          <w:rFonts w:hint="eastAsia" w:ascii="宋体" w:hAnsi="宋体" w:eastAsia="宋体" w:cs="宋体"/>
          <w:b/>
          <w:kern w:val="2"/>
          <w:sz w:val="24"/>
          <w:szCs w:val="24"/>
          <w:lang w:eastAsia="zh-CN"/>
        </w:rPr>
      </w:pPr>
    </w:p>
    <w:p w14:paraId="74F81F69">
      <w:pPr>
        <w:rPr>
          <w:rFonts w:hint="eastAsia" w:ascii="宋体" w:hAnsi="宋体" w:eastAsia="宋体" w:cs="宋体"/>
          <w:b/>
          <w:kern w:val="2"/>
          <w:sz w:val="24"/>
          <w:szCs w:val="24"/>
          <w:lang w:eastAsia="zh-CN"/>
        </w:rPr>
      </w:pPr>
    </w:p>
    <w:p w14:paraId="41B28AE1">
      <w:pPr>
        <w:pStyle w:val="54"/>
        <w:rPr>
          <w:rFonts w:hint="eastAsia" w:ascii="宋体" w:hAnsi="宋体" w:eastAsia="宋体" w:cs="宋体"/>
          <w:b/>
          <w:kern w:val="2"/>
          <w:sz w:val="24"/>
          <w:szCs w:val="24"/>
          <w:lang w:eastAsia="zh-CN"/>
        </w:rPr>
      </w:pPr>
    </w:p>
    <w:p w14:paraId="14047844">
      <w:pPr>
        <w:rPr>
          <w:rFonts w:hint="eastAsia"/>
          <w:lang w:eastAsia="zh-CN"/>
        </w:rPr>
      </w:pPr>
    </w:p>
    <w:p w14:paraId="00EB5A83">
      <w:pPr>
        <w:rPr>
          <w:rFonts w:hint="eastAsia" w:ascii="宋体" w:hAnsi="宋体" w:eastAsia="宋体" w:cs="宋体"/>
          <w:b/>
          <w:kern w:val="2"/>
          <w:sz w:val="24"/>
          <w:szCs w:val="24"/>
          <w:lang w:eastAsia="zh-CN"/>
        </w:rPr>
      </w:pPr>
    </w:p>
    <w:p w14:paraId="79EC21FF">
      <w:pPr>
        <w:rPr>
          <w:rFonts w:hint="eastAsia" w:ascii="宋体" w:hAnsi="宋体" w:eastAsia="宋体" w:cs="宋体"/>
          <w:b/>
          <w:kern w:val="2"/>
          <w:sz w:val="24"/>
          <w:szCs w:val="24"/>
          <w:lang w:eastAsia="zh-CN"/>
        </w:rPr>
      </w:pPr>
    </w:p>
    <w:p w14:paraId="52696E9F">
      <w:pPr>
        <w:rPr>
          <w:rFonts w:hint="eastAsia" w:ascii="宋体" w:hAnsi="宋体" w:eastAsia="宋体" w:cs="宋体"/>
          <w:sz w:val="24"/>
          <w:szCs w:val="24"/>
        </w:rPr>
      </w:pPr>
      <w:r>
        <w:rPr>
          <w:rFonts w:hint="eastAsia" w:ascii="宋体" w:hAnsi="宋体" w:eastAsia="宋体" w:cs="宋体"/>
          <w:b/>
          <w:kern w:val="2"/>
          <w:sz w:val="24"/>
          <w:szCs w:val="24"/>
          <w:lang w:eastAsia="zh-CN"/>
        </w:rPr>
        <w:t>附件：</w:t>
      </w:r>
      <w:r>
        <w:rPr>
          <w:rFonts w:hint="eastAsia" w:ascii="宋体" w:hAnsi="宋体" w:eastAsia="宋体" w:cs="宋体"/>
          <w:sz w:val="24"/>
          <w:szCs w:val="24"/>
        </w:rPr>
        <w:t xml:space="preserve"> </w:t>
      </w:r>
    </w:p>
    <w:p w14:paraId="1A6715BE">
      <w:pPr>
        <w:widowControl/>
        <w:spacing w:line="330" w:lineRule="atLeast"/>
        <w:jc w:val="center"/>
        <w:rPr>
          <w:rFonts w:hint="eastAsia" w:ascii="宋体" w:hAnsi="宋体" w:eastAsia="宋体" w:cs="宋体"/>
          <w:b/>
          <w:bCs/>
          <w:color w:val="000000"/>
          <w:kern w:val="0"/>
          <w:sz w:val="28"/>
          <w:szCs w:val="24"/>
        </w:rPr>
      </w:pPr>
      <w:r>
        <w:rPr>
          <w:rFonts w:hint="eastAsia" w:ascii="宋体" w:hAnsi="宋体" w:eastAsia="宋体" w:cs="宋体"/>
          <w:b/>
          <w:bCs/>
          <w:color w:val="000000"/>
          <w:kern w:val="0"/>
          <w:sz w:val="28"/>
          <w:szCs w:val="24"/>
        </w:rPr>
        <w:t>国家统计局《统计上大中小微型企业划分标准》</w:t>
      </w:r>
    </w:p>
    <w:tbl>
      <w:tblPr>
        <w:tblStyle w:val="33"/>
        <w:tblW w:w="0" w:type="auto"/>
        <w:jc w:val="center"/>
        <w:tblLayout w:type="fixed"/>
        <w:tblCellMar>
          <w:top w:w="0" w:type="dxa"/>
          <w:left w:w="108" w:type="dxa"/>
          <w:bottom w:w="0" w:type="dxa"/>
          <w:right w:w="108" w:type="dxa"/>
        </w:tblCellMar>
      </w:tblPr>
      <w:tblGrid>
        <w:gridCol w:w="2113"/>
        <w:gridCol w:w="1369"/>
        <w:gridCol w:w="709"/>
        <w:gridCol w:w="1125"/>
        <w:gridCol w:w="1701"/>
        <w:gridCol w:w="1426"/>
        <w:gridCol w:w="992"/>
      </w:tblGrid>
      <w:tr w14:paraId="064D8C0E">
        <w:tblPrEx>
          <w:tblCellMar>
            <w:top w:w="0" w:type="dxa"/>
            <w:left w:w="108" w:type="dxa"/>
            <w:bottom w:w="0" w:type="dxa"/>
            <w:right w:w="108" w:type="dxa"/>
          </w:tblCellMar>
        </w:tblPrEx>
        <w:trPr>
          <w:trHeight w:val="622" w:hRule="exact"/>
          <w:jc w:val="center"/>
        </w:trPr>
        <w:tc>
          <w:tcPr>
            <w:tcW w:w="2113" w:type="dxa"/>
            <w:tcBorders>
              <w:top w:val="single" w:color="auto" w:sz="4" w:space="0"/>
              <w:left w:val="nil"/>
              <w:bottom w:val="single" w:color="auto" w:sz="4" w:space="0"/>
              <w:right w:val="single" w:color="auto" w:sz="4" w:space="0"/>
            </w:tcBorders>
            <w:noWrap w:val="0"/>
            <w:vAlign w:val="center"/>
          </w:tcPr>
          <w:p w14:paraId="44AFEBFF">
            <w:pPr>
              <w:widowControl/>
              <w:spacing w:line="240" w:lineRule="exact"/>
              <w:jc w:val="center"/>
              <w:rPr>
                <w:rFonts w:hint="eastAsia" w:ascii="宋体" w:hAnsi="宋体" w:eastAsia="宋体" w:cs="宋体"/>
                <w:b/>
                <w:bCs/>
                <w:color w:val="000000"/>
                <w:kern w:val="0"/>
                <w:sz w:val="18"/>
                <w:szCs w:val="21"/>
              </w:rPr>
            </w:pPr>
            <w:r>
              <w:rPr>
                <w:rFonts w:hint="eastAsia" w:ascii="宋体" w:hAnsi="宋体" w:eastAsia="宋体" w:cs="宋体"/>
                <w:b/>
                <w:bCs/>
                <w:color w:val="000000"/>
                <w:kern w:val="0"/>
                <w:sz w:val="18"/>
                <w:szCs w:val="21"/>
              </w:rPr>
              <w:t>行业名称</w:t>
            </w:r>
          </w:p>
        </w:tc>
        <w:tc>
          <w:tcPr>
            <w:tcW w:w="1369" w:type="dxa"/>
            <w:tcBorders>
              <w:top w:val="single" w:color="auto" w:sz="4" w:space="0"/>
              <w:left w:val="nil"/>
              <w:bottom w:val="single" w:color="auto" w:sz="4" w:space="0"/>
              <w:right w:val="single" w:color="auto" w:sz="4" w:space="0"/>
            </w:tcBorders>
            <w:noWrap w:val="0"/>
            <w:vAlign w:val="center"/>
          </w:tcPr>
          <w:p w14:paraId="094D5EA2">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指标名称</w:t>
            </w:r>
          </w:p>
        </w:tc>
        <w:tc>
          <w:tcPr>
            <w:tcW w:w="709" w:type="dxa"/>
            <w:tcBorders>
              <w:top w:val="single" w:color="auto" w:sz="4" w:space="0"/>
              <w:left w:val="nil"/>
              <w:bottom w:val="single" w:color="auto" w:sz="4" w:space="0"/>
              <w:right w:val="single" w:color="auto" w:sz="4" w:space="0"/>
            </w:tcBorders>
            <w:noWrap w:val="0"/>
            <w:vAlign w:val="center"/>
          </w:tcPr>
          <w:p w14:paraId="4D3043FA">
            <w:pPr>
              <w:widowControl/>
              <w:jc w:val="center"/>
              <w:rPr>
                <w:rFonts w:hint="eastAsia" w:ascii="宋体" w:hAnsi="宋体" w:eastAsia="宋体" w:cs="宋体"/>
                <w:b/>
                <w:bCs/>
                <w:color w:val="000000"/>
                <w:kern w:val="0"/>
                <w:sz w:val="18"/>
                <w:szCs w:val="18"/>
                <w:lang w:eastAsia="zh-CN"/>
              </w:rPr>
            </w:pPr>
            <w:r>
              <w:rPr>
                <w:rFonts w:hint="eastAsia" w:ascii="宋体" w:hAnsi="宋体" w:eastAsia="宋体" w:cs="宋体"/>
                <w:b/>
                <w:bCs/>
                <w:color w:val="000000"/>
                <w:kern w:val="0"/>
                <w:sz w:val="18"/>
                <w:szCs w:val="18"/>
              </w:rPr>
              <w:t>计量</w:t>
            </w:r>
          </w:p>
          <w:p w14:paraId="1AF1FB89">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单位</w:t>
            </w:r>
          </w:p>
        </w:tc>
        <w:tc>
          <w:tcPr>
            <w:tcW w:w="1125" w:type="dxa"/>
            <w:tcBorders>
              <w:top w:val="single" w:color="auto" w:sz="4" w:space="0"/>
              <w:left w:val="nil"/>
              <w:bottom w:val="single" w:color="auto" w:sz="4" w:space="0"/>
              <w:right w:val="single" w:color="auto" w:sz="4" w:space="0"/>
            </w:tcBorders>
            <w:noWrap w:val="0"/>
            <w:vAlign w:val="center"/>
          </w:tcPr>
          <w:p w14:paraId="3902F750">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大型</w:t>
            </w:r>
          </w:p>
        </w:tc>
        <w:tc>
          <w:tcPr>
            <w:tcW w:w="1701" w:type="dxa"/>
            <w:tcBorders>
              <w:top w:val="single" w:color="auto" w:sz="4" w:space="0"/>
              <w:left w:val="nil"/>
              <w:bottom w:val="single" w:color="auto" w:sz="4" w:space="0"/>
              <w:right w:val="single" w:color="auto" w:sz="4" w:space="0"/>
            </w:tcBorders>
            <w:noWrap w:val="0"/>
            <w:vAlign w:val="center"/>
          </w:tcPr>
          <w:p w14:paraId="6E1C6E4F">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中型</w:t>
            </w:r>
          </w:p>
        </w:tc>
        <w:tc>
          <w:tcPr>
            <w:tcW w:w="1426" w:type="dxa"/>
            <w:tcBorders>
              <w:top w:val="single" w:color="auto" w:sz="4" w:space="0"/>
              <w:left w:val="nil"/>
              <w:bottom w:val="single" w:color="auto" w:sz="4" w:space="0"/>
              <w:right w:val="single" w:color="auto" w:sz="4" w:space="0"/>
            </w:tcBorders>
            <w:noWrap w:val="0"/>
            <w:vAlign w:val="center"/>
          </w:tcPr>
          <w:p w14:paraId="0805ACAC">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小型</w:t>
            </w:r>
          </w:p>
        </w:tc>
        <w:tc>
          <w:tcPr>
            <w:tcW w:w="992" w:type="dxa"/>
            <w:tcBorders>
              <w:top w:val="single" w:color="auto" w:sz="4" w:space="0"/>
              <w:left w:val="nil"/>
              <w:bottom w:val="single" w:color="auto" w:sz="4" w:space="0"/>
              <w:right w:val="nil"/>
            </w:tcBorders>
            <w:noWrap w:val="0"/>
            <w:vAlign w:val="center"/>
          </w:tcPr>
          <w:p w14:paraId="325812A9">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微型</w:t>
            </w:r>
          </w:p>
        </w:tc>
      </w:tr>
      <w:tr w14:paraId="19A6B507">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noWrap w:val="0"/>
            <w:vAlign w:val="center"/>
          </w:tcPr>
          <w:p w14:paraId="6A6BB22D">
            <w:pPr>
              <w:widowControl/>
              <w:spacing w:line="24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农、林、牧、渔业</w:t>
            </w:r>
          </w:p>
        </w:tc>
        <w:tc>
          <w:tcPr>
            <w:tcW w:w="1369" w:type="dxa"/>
            <w:tcBorders>
              <w:top w:val="nil"/>
              <w:left w:val="nil"/>
              <w:bottom w:val="single" w:color="auto" w:sz="4" w:space="0"/>
              <w:right w:val="single" w:color="auto" w:sz="4" w:space="0"/>
            </w:tcBorders>
            <w:noWrap w:val="0"/>
            <w:vAlign w:val="center"/>
          </w:tcPr>
          <w:p w14:paraId="1AC87153">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508055EA">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万元</w:t>
            </w:r>
          </w:p>
        </w:tc>
        <w:tc>
          <w:tcPr>
            <w:tcW w:w="1125" w:type="dxa"/>
            <w:tcBorders>
              <w:top w:val="nil"/>
              <w:left w:val="nil"/>
              <w:bottom w:val="single" w:color="auto" w:sz="4" w:space="0"/>
              <w:right w:val="single" w:color="auto" w:sz="4" w:space="0"/>
            </w:tcBorders>
            <w:noWrap w:val="0"/>
            <w:vAlign w:val="center"/>
          </w:tcPr>
          <w:p w14:paraId="7110B80D">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Y≥20000</w:t>
            </w:r>
          </w:p>
        </w:tc>
        <w:tc>
          <w:tcPr>
            <w:tcW w:w="1701" w:type="dxa"/>
            <w:tcBorders>
              <w:top w:val="nil"/>
              <w:left w:val="nil"/>
              <w:bottom w:val="single" w:color="auto" w:sz="4" w:space="0"/>
              <w:right w:val="single" w:color="auto" w:sz="4" w:space="0"/>
            </w:tcBorders>
            <w:noWrap w:val="0"/>
            <w:vAlign w:val="center"/>
          </w:tcPr>
          <w:p w14:paraId="0C3F6B3E">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500≤Y＜20000</w:t>
            </w:r>
          </w:p>
        </w:tc>
        <w:tc>
          <w:tcPr>
            <w:tcW w:w="1426" w:type="dxa"/>
            <w:tcBorders>
              <w:top w:val="nil"/>
              <w:left w:val="nil"/>
              <w:bottom w:val="single" w:color="auto" w:sz="4" w:space="0"/>
              <w:right w:val="single" w:color="auto" w:sz="4" w:space="0"/>
            </w:tcBorders>
            <w:noWrap w:val="0"/>
            <w:vAlign w:val="center"/>
          </w:tcPr>
          <w:p w14:paraId="7EF6A4D7">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50≤Y＜500</w:t>
            </w:r>
          </w:p>
        </w:tc>
        <w:tc>
          <w:tcPr>
            <w:tcW w:w="992" w:type="dxa"/>
            <w:tcBorders>
              <w:top w:val="nil"/>
              <w:left w:val="nil"/>
              <w:bottom w:val="single" w:color="auto" w:sz="4" w:space="0"/>
              <w:right w:val="nil"/>
            </w:tcBorders>
            <w:noWrap w:val="0"/>
            <w:vAlign w:val="center"/>
          </w:tcPr>
          <w:p w14:paraId="048A363F">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Y＜50</w:t>
            </w:r>
          </w:p>
        </w:tc>
      </w:tr>
      <w:tr w14:paraId="6993558E">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09E20F3F">
            <w:pPr>
              <w:widowControl/>
              <w:spacing w:line="24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工业 *</w:t>
            </w:r>
          </w:p>
        </w:tc>
        <w:tc>
          <w:tcPr>
            <w:tcW w:w="1369" w:type="dxa"/>
            <w:tcBorders>
              <w:top w:val="nil"/>
              <w:left w:val="nil"/>
              <w:bottom w:val="nil"/>
              <w:right w:val="single" w:color="auto" w:sz="4" w:space="0"/>
            </w:tcBorders>
            <w:noWrap w:val="0"/>
            <w:vAlign w:val="center"/>
          </w:tcPr>
          <w:p w14:paraId="49F44B25">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从业人员(X)</w:t>
            </w:r>
          </w:p>
        </w:tc>
        <w:tc>
          <w:tcPr>
            <w:tcW w:w="709" w:type="dxa"/>
            <w:tcBorders>
              <w:top w:val="nil"/>
              <w:left w:val="nil"/>
              <w:bottom w:val="nil"/>
              <w:right w:val="single" w:color="auto" w:sz="4" w:space="0"/>
            </w:tcBorders>
            <w:noWrap w:val="0"/>
            <w:vAlign w:val="center"/>
          </w:tcPr>
          <w:p w14:paraId="149C3F83">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人</w:t>
            </w:r>
          </w:p>
        </w:tc>
        <w:tc>
          <w:tcPr>
            <w:tcW w:w="1125" w:type="dxa"/>
            <w:tcBorders>
              <w:top w:val="nil"/>
              <w:left w:val="nil"/>
              <w:bottom w:val="nil"/>
              <w:right w:val="single" w:color="auto" w:sz="4" w:space="0"/>
            </w:tcBorders>
            <w:noWrap w:val="0"/>
            <w:vAlign w:val="center"/>
          </w:tcPr>
          <w:p w14:paraId="39B18FD4">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X≥1000</w:t>
            </w:r>
          </w:p>
        </w:tc>
        <w:tc>
          <w:tcPr>
            <w:tcW w:w="1701" w:type="dxa"/>
            <w:tcBorders>
              <w:top w:val="nil"/>
              <w:left w:val="nil"/>
              <w:bottom w:val="nil"/>
              <w:right w:val="single" w:color="auto" w:sz="4" w:space="0"/>
            </w:tcBorders>
            <w:noWrap w:val="0"/>
            <w:vAlign w:val="center"/>
          </w:tcPr>
          <w:p w14:paraId="4FFA0EAB">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300≤X＜1000</w:t>
            </w:r>
          </w:p>
        </w:tc>
        <w:tc>
          <w:tcPr>
            <w:tcW w:w="1426" w:type="dxa"/>
            <w:tcBorders>
              <w:top w:val="nil"/>
              <w:left w:val="nil"/>
              <w:bottom w:val="nil"/>
              <w:right w:val="single" w:color="auto" w:sz="4" w:space="0"/>
            </w:tcBorders>
            <w:noWrap w:val="0"/>
            <w:vAlign w:val="center"/>
          </w:tcPr>
          <w:p w14:paraId="24257C92">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20≤X＜300</w:t>
            </w:r>
          </w:p>
        </w:tc>
        <w:tc>
          <w:tcPr>
            <w:tcW w:w="992" w:type="dxa"/>
            <w:tcBorders>
              <w:top w:val="nil"/>
              <w:left w:val="nil"/>
              <w:bottom w:val="nil"/>
              <w:right w:val="nil"/>
            </w:tcBorders>
            <w:noWrap w:val="0"/>
            <w:vAlign w:val="center"/>
          </w:tcPr>
          <w:p w14:paraId="4F8EAC84">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X＜20</w:t>
            </w:r>
          </w:p>
        </w:tc>
      </w:tr>
      <w:tr w14:paraId="00C56F18">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41973183">
            <w:pPr>
              <w:widowControl/>
              <w:jc w:val="left"/>
              <w:rPr>
                <w:rFonts w:hint="eastAsia" w:ascii="宋体" w:hAnsi="宋体" w:eastAsia="宋体" w:cs="宋体"/>
                <w:color w:val="000000"/>
                <w:kern w:val="0"/>
                <w:sz w:val="18"/>
                <w:szCs w:val="18"/>
              </w:rPr>
            </w:pPr>
          </w:p>
        </w:tc>
        <w:tc>
          <w:tcPr>
            <w:tcW w:w="1369" w:type="dxa"/>
            <w:tcBorders>
              <w:top w:val="nil"/>
              <w:left w:val="nil"/>
              <w:bottom w:val="single" w:color="auto" w:sz="4" w:space="0"/>
              <w:right w:val="single" w:color="auto" w:sz="4" w:space="0"/>
            </w:tcBorders>
            <w:noWrap w:val="0"/>
            <w:vAlign w:val="center"/>
          </w:tcPr>
          <w:p w14:paraId="1F5A0453">
            <w:pPr>
              <w:widowControl/>
              <w:spacing w:line="2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4F40DD42">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万元</w:t>
            </w:r>
          </w:p>
        </w:tc>
        <w:tc>
          <w:tcPr>
            <w:tcW w:w="1125" w:type="dxa"/>
            <w:tcBorders>
              <w:top w:val="nil"/>
              <w:left w:val="nil"/>
              <w:bottom w:val="single" w:color="auto" w:sz="4" w:space="0"/>
              <w:right w:val="single" w:color="auto" w:sz="4" w:space="0"/>
            </w:tcBorders>
            <w:noWrap w:val="0"/>
            <w:vAlign w:val="center"/>
          </w:tcPr>
          <w:p w14:paraId="20386870">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Y≥40000</w:t>
            </w:r>
          </w:p>
        </w:tc>
        <w:tc>
          <w:tcPr>
            <w:tcW w:w="1701" w:type="dxa"/>
            <w:tcBorders>
              <w:top w:val="nil"/>
              <w:left w:val="nil"/>
              <w:bottom w:val="single" w:color="auto" w:sz="4" w:space="0"/>
              <w:right w:val="single" w:color="auto" w:sz="4" w:space="0"/>
            </w:tcBorders>
            <w:noWrap w:val="0"/>
            <w:vAlign w:val="center"/>
          </w:tcPr>
          <w:p w14:paraId="24B2267E">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2000≤Y＜40000</w:t>
            </w:r>
          </w:p>
        </w:tc>
        <w:tc>
          <w:tcPr>
            <w:tcW w:w="1426" w:type="dxa"/>
            <w:tcBorders>
              <w:top w:val="nil"/>
              <w:left w:val="nil"/>
              <w:bottom w:val="single" w:color="auto" w:sz="4" w:space="0"/>
              <w:right w:val="single" w:color="auto" w:sz="4" w:space="0"/>
            </w:tcBorders>
            <w:noWrap w:val="0"/>
            <w:vAlign w:val="center"/>
          </w:tcPr>
          <w:p w14:paraId="23EF49AC">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300≤Y＜2000</w:t>
            </w:r>
          </w:p>
        </w:tc>
        <w:tc>
          <w:tcPr>
            <w:tcW w:w="992" w:type="dxa"/>
            <w:tcBorders>
              <w:top w:val="nil"/>
              <w:left w:val="nil"/>
              <w:bottom w:val="single" w:color="auto" w:sz="4" w:space="0"/>
              <w:right w:val="nil"/>
            </w:tcBorders>
            <w:noWrap w:val="0"/>
            <w:vAlign w:val="center"/>
          </w:tcPr>
          <w:p w14:paraId="535CA1EC">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Y＜300</w:t>
            </w:r>
          </w:p>
        </w:tc>
      </w:tr>
      <w:tr w14:paraId="64B0E272">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032E5E9D">
            <w:pPr>
              <w:widowControl/>
              <w:spacing w:line="24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建筑业</w:t>
            </w:r>
          </w:p>
        </w:tc>
        <w:tc>
          <w:tcPr>
            <w:tcW w:w="1369" w:type="dxa"/>
            <w:tcBorders>
              <w:top w:val="nil"/>
              <w:left w:val="nil"/>
              <w:bottom w:val="nil"/>
              <w:right w:val="single" w:color="auto" w:sz="4" w:space="0"/>
            </w:tcBorders>
            <w:noWrap w:val="0"/>
            <w:vAlign w:val="center"/>
          </w:tcPr>
          <w:p w14:paraId="1DF14479">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营业收入(Y)</w:t>
            </w:r>
          </w:p>
        </w:tc>
        <w:tc>
          <w:tcPr>
            <w:tcW w:w="709" w:type="dxa"/>
            <w:tcBorders>
              <w:top w:val="nil"/>
              <w:left w:val="nil"/>
              <w:bottom w:val="nil"/>
              <w:right w:val="single" w:color="auto" w:sz="4" w:space="0"/>
            </w:tcBorders>
            <w:noWrap w:val="0"/>
            <w:vAlign w:val="center"/>
          </w:tcPr>
          <w:p w14:paraId="7F90DA41">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万元</w:t>
            </w:r>
          </w:p>
        </w:tc>
        <w:tc>
          <w:tcPr>
            <w:tcW w:w="1125" w:type="dxa"/>
            <w:tcBorders>
              <w:top w:val="nil"/>
              <w:left w:val="nil"/>
              <w:bottom w:val="nil"/>
              <w:right w:val="single" w:color="auto" w:sz="4" w:space="0"/>
            </w:tcBorders>
            <w:noWrap w:val="0"/>
            <w:vAlign w:val="center"/>
          </w:tcPr>
          <w:p w14:paraId="1B3DD749">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Y≥80000</w:t>
            </w:r>
          </w:p>
        </w:tc>
        <w:tc>
          <w:tcPr>
            <w:tcW w:w="1701" w:type="dxa"/>
            <w:tcBorders>
              <w:top w:val="nil"/>
              <w:left w:val="nil"/>
              <w:bottom w:val="nil"/>
              <w:right w:val="single" w:color="auto" w:sz="4" w:space="0"/>
            </w:tcBorders>
            <w:noWrap w:val="0"/>
            <w:vAlign w:val="center"/>
          </w:tcPr>
          <w:p w14:paraId="730DB315">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6000≤Y＜80000</w:t>
            </w:r>
          </w:p>
        </w:tc>
        <w:tc>
          <w:tcPr>
            <w:tcW w:w="1426" w:type="dxa"/>
            <w:tcBorders>
              <w:top w:val="nil"/>
              <w:left w:val="nil"/>
              <w:bottom w:val="nil"/>
              <w:right w:val="single" w:color="auto" w:sz="4" w:space="0"/>
            </w:tcBorders>
            <w:noWrap w:val="0"/>
            <w:vAlign w:val="center"/>
          </w:tcPr>
          <w:p w14:paraId="6D7F2DAD">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300≤Y＜6000</w:t>
            </w:r>
          </w:p>
        </w:tc>
        <w:tc>
          <w:tcPr>
            <w:tcW w:w="992" w:type="dxa"/>
            <w:tcBorders>
              <w:top w:val="nil"/>
              <w:left w:val="nil"/>
              <w:bottom w:val="nil"/>
              <w:right w:val="nil"/>
            </w:tcBorders>
            <w:noWrap w:val="0"/>
            <w:vAlign w:val="center"/>
          </w:tcPr>
          <w:p w14:paraId="10FD29A8">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Y＜300</w:t>
            </w:r>
          </w:p>
        </w:tc>
      </w:tr>
      <w:tr w14:paraId="2713DA0F">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6C128789">
            <w:pPr>
              <w:widowControl/>
              <w:jc w:val="left"/>
              <w:rPr>
                <w:rFonts w:hint="eastAsia" w:ascii="宋体" w:hAnsi="宋体" w:eastAsia="宋体" w:cs="宋体"/>
                <w:color w:val="000000"/>
                <w:kern w:val="0"/>
                <w:sz w:val="18"/>
                <w:szCs w:val="18"/>
              </w:rPr>
            </w:pPr>
          </w:p>
        </w:tc>
        <w:tc>
          <w:tcPr>
            <w:tcW w:w="1369" w:type="dxa"/>
            <w:tcBorders>
              <w:top w:val="nil"/>
              <w:left w:val="nil"/>
              <w:bottom w:val="single" w:color="auto" w:sz="4" w:space="0"/>
              <w:right w:val="single" w:color="auto" w:sz="4" w:space="0"/>
            </w:tcBorders>
            <w:noWrap w:val="0"/>
            <w:vAlign w:val="center"/>
          </w:tcPr>
          <w:p w14:paraId="6B42A734">
            <w:pPr>
              <w:widowControl/>
              <w:spacing w:line="2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资产总额(Z)</w:t>
            </w:r>
          </w:p>
        </w:tc>
        <w:tc>
          <w:tcPr>
            <w:tcW w:w="709" w:type="dxa"/>
            <w:tcBorders>
              <w:top w:val="nil"/>
              <w:left w:val="nil"/>
              <w:bottom w:val="single" w:color="auto" w:sz="4" w:space="0"/>
              <w:right w:val="single" w:color="auto" w:sz="4" w:space="0"/>
            </w:tcBorders>
            <w:noWrap w:val="0"/>
            <w:vAlign w:val="center"/>
          </w:tcPr>
          <w:p w14:paraId="3CC8E8DC">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万元</w:t>
            </w:r>
          </w:p>
        </w:tc>
        <w:tc>
          <w:tcPr>
            <w:tcW w:w="1125" w:type="dxa"/>
            <w:tcBorders>
              <w:top w:val="nil"/>
              <w:left w:val="nil"/>
              <w:bottom w:val="single" w:color="auto" w:sz="4" w:space="0"/>
              <w:right w:val="single" w:color="auto" w:sz="4" w:space="0"/>
            </w:tcBorders>
            <w:noWrap w:val="0"/>
            <w:vAlign w:val="center"/>
          </w:tcPr>
          <w:p w14:paraId="1A74A397">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Z≥80000</w:t>
            </w:r>
          </w:p>
        </w:tc>
        <w:tc>
          <w:tcPr>
            <w:tcW w:w="1701" w:type="dxa"/>
            <w:tcBorders>
              <w:top w:val="nil"/>
              <w:left w:val="nil"/>
              <w:bottom w:val="single" w:color="auto" w:sz="4" w:space="0"/>
              <w:right w:val="single" w:color="auto" w:sz="4" w:space="0"/>
            </w:tcBorders>
            <w:noWrap w:val="0"/>
            <w:vAlign w:val="center"/>
          </w:tcPr>
          <w:p w14:paraId="6376CE06">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5000≤Z＜80000</w:t>
            </w:r>
          </w:p>
        </w:tc>
        <w:tc>
          <w:tcPr>
            <w:tcW w:w="1426" w:type="dxa"/>
            <w:tcBorders>
              <w:top w:val="nil"/>
              <w:left w:val="nil"/>
              <w:bottom w:val="single" w:color="auto" w:sz="4" w:space="0"/>
              <w:right w:val="single" w:color="auto" w:sz="4" w:space="0"/>
            </w:tcBorders>
            <w:noWrap w:val="0"/>
            <w:vAlign w:val="center"/>
          </w:tcPr>
          <w:p w14:paraId="0CAD17B9">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300≤Z＜5000</w:t>
            </w:r>
          </w:p>
        </w:tc>
        <w:tc>
          <w:tcPr>
            <w:tcW w:w="992" w:type="dxa"/>
            <w:tcBorders>
              <w:top w:val="nil"/>
              <w:left w:val="nil"/>
              <w:bottom w:val="single" w:color="auto" w:sz="4" w:space="0"/>
              <w:right w:val="nil"/>
            </w:tcBorders>
            <w:noWrap w:val="0"/>
            <w:vAlign w:val="center"/>
          </w:tcPr>
          <w:p w14:paraId="2A9F4249">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Z＜300</w:t>
            </w:r>
          </w:p>
        </w:tc>
      </w:tr>
      <w:tr w14:paraId="5E875E5A">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1AF2704D">
            <w:pPr>
              <w:widowControl/>
              <w:spacing w:line="24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批发业</w:t>
            </w:r>
          </w:p>
        </w:tc>
        <w:tc>
          <w:tcPr>
            <w:tcW w:w="1369" w:type="dxa"/>
            <w:tcBorders>
              <w:top w:val="nil"/>
              <w:left w:val="nil"/>
              <w:bottom w:val="nil"/>
              <w:right w:val="single" w:color="auto" w:sz="4" w:space="0"/>
            </w:tcBorders>
            <w:noWrap w:val="0"/>
            <w:vAlign w:val="center"/>
          </w:tcPr>
          <w:p w14:paraId="2BA54781">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从业人员(X)</w:t>
            </w:r>
          </w:p>
        </w:tc>
        <w:tc>
          <w:tcPr>
            <w:tcW w:w="709" w:type="dxa"/>
            <w:tcBorders>
              <w:top w:val="nil"/>
              <w:left w:val="nil"/>
              <w:bottom w:val="nil"/>
              <w:right w:val="single" w:color="auto" w:sz="4" w:space="0"/>
            </w:tcBorders>
            <w:noWrap w:val="0"/>
            <w:vAlign w:val="center"/>
          </w:tcPr>
          <w:p w14:paraId="334EDAED">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人</w:t>
            </w:r>
          </w:p>
        </w:tc>
        <w:tc>
          <w:tcPr>
            <w:tcW w:w="1125" w:type="dxa"/>
            <w:tcBorders>
              <w:top w:val="nil"/>
              <w:left w:val="nil"/>
              <w:bottom w:val="nil"/>
              <w:right w:val="single" w:color="auto" w:sz="4" w:space="0"/>
            </w:tcBorders>
            <w:noWrap w:val="0"/>
            <w:vAlign w:val="center"/>
          </w:tcPr>
          <w:p w14:paraId="2404C098">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X≥200</w:t>
            </w:r>
          </w:p>
        </w:tc>
        <w:tc>
          <w:tcPr>
            <w:tcW w:w="1701" w:type="dxa"/>
            <w:tcBorders>
              <w:top w:val="nil"/>
              <w:left w:val="nil"/>
              <w:bottom w:val="nil"/>
              <w:right w:val="single" w:color="auto" w:sz="4" w:space="0"/>
            </w:tcBorders>
            <w:noWrap w:val="0"/>
            <w:vAlign w:val="center"/>
          </w:tcPr>
          <w:p w14:paraId="5A8E40BE">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20≤X＜200</w:t>
            </w:r>
          </w:p>
        </w:tc>
        <w:tc>
          <w:tcPr>
            <w:tcW w:w="1426" w:type="dxa"/>
            <w:tcBorders>
              <w:top w:val="nil"/>
              <w:left w:val="nil"/>
              <w:bottom w:val="nil"/>
              <w:right w:val="single" w:color="auto" w:sz="4" w:space="0"/>
            </w:tcBorders>
            <w:noWrap w:val="0"/>
            <w:vAlign w:val="center"/>
          </w:tcPr>
          <w:p w14:paraId="438FE56F">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5≤X＜20</w:t>
            </w:r>
          </w:p>
        </w:tc>
        <w:tc>
          <w:tcPr>
            <w:tcW w:w="992" w:type="dxa"/>
            <w:tcBorders>
              <w:top w:val="nil"/>
              <w:left w:val="nil"/>
              <w:bottom w:val="nil"/>
              <w:right w:val="nil"/>
            </w:tcBorders>
            <w:noWrap w:val="0"/>
            <w:vAlign w:val="center"/>
          </w:tcPr>
          <w:p w14:paraId="12CB3109">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X＜5</w:t>
            </w:r>
          </w:p>
        </w:tc>
      </w:tr>
      <w:tr w14:paraId="7C21AFB4">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7F0123F4">
            <w:pPr>
              <w:widowControl/>
              <w:jc w:val="left"/>
              <w:rPr>
                <w:rFonts w:hint="eastAsia" w:ascii="宋体" w:hAnsi="宋体" w:eastAsia="宋体" w:cs="宋体"/>
                <w:color w:val="000000"/>
                <w:kern w:val="0"/>
                <w:sz w:val="18"/>
                <w:szCs w:val="18"/>
              </w:rPr>
            </w:pPr>
          </w:p>
        </w:tc>
        <w:tc>
          <w:tcPr>
            <w:tcW w:w="1369" w:type="dxa"/>
            <w:tcBorders>
              <w:top w:val="nil"/>
              <w:left w:val="nil"/>
              <w:bottom w:val="single" w:color="auto" w:sz="4" w:space="0"/>
              <w:right w:val="single" w:color="auto" w:sz="4" w:space="0"/>
            </w:tcBorders>
            <w:noWrap w:val="0"/>
            <w:vAlign w:val="center"/>
          </w:tcPr>
          <w:p w14:paraId="11418AE2">
            <w:pPr>
              <w:widowControl/>
              <w:spacing w:line="2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2D1A19DA">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万元</w:t>
            </w:r>
          </w:p>
        </w:tc>
        <w:tc>
          <w:tcPr>
            <w:tcW w:w="1125" w:type="dxa"/>
            <w:tcBorders>
              <w:top w:val="nil"/>
              <w:left w:val="nil"/>
              <w:bottom w:val="single" w:color="auto" w:sz="4" w:space="0"/>
              <w:right w:val="single" w:color="auto" w:sz="4" w:space="0"/>
            </w:tcBorders>
            <w:noWrap w:val="0"/>
            <w:vAlign w:val="center"/>
          </w:tcPr>
          <w:p w14:paraId="4DCDC2A2">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Y≥40000</w:t>
            </w:r>
          </w:p>
        </w:tc>
        <w:tc>
          <w:tcPr>
            <w:tcW w:w="1701" w:type="dxa"/>
            <w:tcBorders>
              <w:top w:val="nil"/>
              <w:left w:val="nil"/>
              <w:bottom w:val="single" w:color="auto" w:sz="4" w:space="0"/>
              <w:right w:val="single" w:color="auto" w:sz="4" w:space="0"/>
            </w:tcBorders>
            <w:noWrap w:val="0"/>
            <w:vAlign w:val="center"/>
          </w:tcPr>
          <w:p w14:paraId="45F89CEE">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5000≤Y＜40000</w:t>
            </w:r>
          </w:p>
        </w:tc>
        <w:tc>
          <w:tcPr>
            <w:tcW w:w="1426" w:type="dxa"/>
            <w:tcBorders>
              <w:top w:val="nil"/>
              <w:left w:val="nil"/>
              <w:bottom w:val="single" w:color="auto" w:sz="4" w:space="0"/>
              <w:right w:val="single" w:color="auto" w:sz="4" w:space="0"/>
            </w:tcBorders>
            <w:noWrap w:val="0"/>
            <w:vAlign w:val="center"/>
          </w:tcPr>
          <w:p w14:paraId="77BFED40">
            <w:pPr>
              <w:widowControl/>
              <w:ind w:left="-1" w:leftChars="-1" w:hanging="1"/>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1000≤Y＜5000</w:t>
            </w:r>
          </w:p>
        </w:tc>
        <w:tc>
          <w:tcPr>
            <w:tcW w:w="992" w:type="dxa"/>
            <w:tcBorders>
              <w:top w:val="nil"/>
              <w:left w:val="nil"/>
              <w:bottom w:val="single" w:color="auto" w:sz="4" w:space="0"/>
              <w:right w:val="nil"/>
            </w:tcBorders>
            <w:noWrap w:val="0"/>
            <w:vAlign w:val="center"/>
          </w:tcPr>
          <w:p w14:paraId="7F95D3F9">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Y＜1000</w:t>
            </w:r>
          </w:p>
        </w:tc>
      </w:tr>
      <w:tr w14:paraId="04C9543A">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6C1DFED6">
            <w:pPr>
              <w:widowControl/>
              <w:spacing w:line="24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零售业</w:t>
            </w:r>
          </w:p>
        </w:tc>
        <w:tc>
          <w:tcPr>
            <w:tcW w:w="1369" w:type="dxa"/>
            <w:tcBorders>
              <w:top w:val="nil"/>
              <w:left w:val="nil"/>
              <w:bottom w:val="nil"/>
              <w:right w:val="single" w:color="auto" w:sz="4" w:space="0"/>
            </w:tcBorders>
            <w:noWrap w:val="0"/>
            <w:vAlign w:val="center"/>
          </w:tcPr>
          <w:p w14:paraId="08816712">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从业人员(X)</w:t>
            </w:r>
          </w:p>
        </w:tc>
        <w:tc>
          <w:tcPr>
            <w:tcW w:w="709" w:type="dxa"/>
            <w:tcBorders>
              <w:top w:val="nil"/>
              <w:left w:val="nil"/>
              <w:bottom w:val="nil"/>
              <w:right w:val="single" w:color="auto" w:sz="4" w:space="0"/>
            </w:tcBorders>
            <w:noWrap w:val="0"/>
            <w:vAlign w:val="center"/>
          </w:tcPr>
          <w:p w14:paraId="7F01190A">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人</w:t>
            </w:r>
          </w:p>
        </w:tc>
        <w:tc>
          <w:tcPr>
            <w:tcW w:w="1125" w:type="dxa"/>
            <w:tcBorders>
              <w:top w:val="nil"/>
              <w:left w:val="nil"/>
              <w:bottom w:val="nil"/>
              <w:right w:val="single" w:color="auto" w:sz="4" w:space="0"/>
            </w:tcBorders>
            <w:noWrap w:val="0"/>
            <w:vAlign w:val="center"/>
          </w:tcPr>
          <w:p w14:paraId="13939311">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X≥300</w:t>
            </w:r>
          </w:p>
        </w:tc>
        <w:tc>
          <w:tcPr>
            <w:tcW w:w="1701" w:type="dxa"/>
            <w:tcBorders>
              <w:top w:val="nil"/>
              <w:left w:val="nil"/>
              <w:bottom w:val="nil"/>
              <w:right w:val="single" w:color="auto" w:sz="4" w:space="0"/>
            </w:tcBorders>
            <w:noWrap w:val="0"/>
            <w:vAlign w:val="center"/>
          </w:tcPr>
          <w:p w14:paraId="16FFFECE">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50≤X＜300</w:t>
            </w:r>
          </w:p>
        </w:tc>
        <w:tc>
          <w:tcPr>
            <w:tcW w:w="1426" w:type="dxa"/>
            <w:tcBorders>
              <w:top w:val="nil"/>
              <w:left w:val="nil"/>
              <w:bottom w:val="nil"/>
              <w:right w:val="single" w:color="auto" w:sz="4" w:space="0"/>
            </w:tcBorders>
            <w:noWrap w:val="0"/>
            <w:vAlign w:val="center"/>
          </w:tcPr>
          <w:p w14:paraId="22F62E55">
            <w:pPr>
              <w:widowControl/>
              <w:ind w:left="-1" w:leftChars="-1" w:hanging="1"/>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10≤X＜50 </w:t>
            </w:r>
          </w:p>
        </w:tc>
        <w:tc>
          <w:tcPr>
            <w:tcW w:w="992" w:type="dxa"/>
            <w:tcBorders>
              <w:top w:val="nil"/>
              <w:left w:val="nil"/>
              <w:bottom w:val="nil"/>
              <w:right w:val="nil"/>
            </w:tcBorders>
            <w:noWrap w:val="0"/>
            <w:vAlign w:val="center"/>
          </w:tcPr>
          <w:p w14:paraId="06031A77">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X＜10</w:t>
            </w:r>
          </w:p>
        </w:tc>
      </w:tr>
      <w:tr w14:paraId="6AE38B62">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24BCEB7B">
            <w:pPr>
              <w:widowControl/>
              <w:jc w:val="left"/>
              <w:rPr>
                <w:rFonts w:hint="eastAsia" w:ascii="宋体" w:hAnsi="宋体" w:eastAsia="宋体" w:cs="宋体"/>
                <w:color w:val="000000"/>
                <w:kern w:val="0"/>
                <w:sz w:val="18"/>
                <w:szCs w:val="18"/>
              </w:rPr>
            </w:pPr>
          </w:p>
        </w:tc>
        <w:tc>
          <w:tcPr>
            <w:tcW w:w="1369" w:type="dxa"/>
            <w:tcBorders>
              <w:top w:val="nil"/>
              <w:left w:val="nil"/>
              <w:bottom w:val="single" w:color="auto" w:sz="4" w:space="0"/>
              <w:right w:val="single" w:color="auto" w:sz="4" w:space="0"/>
            </w:tcBorders>
            <w:noWrap w:val="0"/>
            <w:vAlign w:val="center"/>
          </w:tcPr>
          <w:p w14:paraId="6FA4615A">
            <w:pPr>
              <w:widowControl/>
              <w:spacing w:line="2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5665B8C4">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万元</w:t>
            </w:r>
          </w:p>
        </w:tc>
        <w:tc>
          <w:tcPr>
            <w:tcW w:w="1125" w:type="dxa"/>
            <w:tcBorders>
              <w:top w:val="nil"/>
              <w:left w:val="nil"/>
              <w:bottom w:val="single" w:color="auto" w:sz="4" w:space="0"/>
              <w:right w:val="single" w:color="auto" w:sz="4" w:space="0"/>
            </w:tcBorders>
            <w:noWrap w:val="0"/>
            <w:vAlign w:val="center"/>
          </w:tcPr>
          <w:p w14:paraId="61792A76">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Y≥20000</w:t>
            </w:r>
          </w:p>
        </w:tc>
        <w:tc>
          <w:tcPr>
            <w:tcW w:w="1701" w:type="dxa"/>
            <w:tcBorders>
              <w:top w:val="nil"/>
              <w:left w:val="nil"/>
              <w:bottom w:val="single" w:color="auto" w:sz="4" w:space="0"/>
              <w:right w:val="single" w:color="auto" w:sz="4" w:space="0"/>
            </w:tcBorders>
            <w:noWrap w:val="0"/>
            <w:vAlign w:val="center"/>
          </w:tcPr>
          <w:p w14:paraId="315F7EAC">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500≤Y＜20000</w:t>
            </w:r>
          </w:p>
        </w:tc>
        <w:tc>
          <w:tcPr>
            <w:tcW w:w="1426" w:type="dxa"/>
            <w:tcBorders>
              <w:top w:val="nil"/>
              <w:left w:val="nil"/>
              <w:bottom w:val="single" w:color="auto" w:sz="4" w:space="0"/>
              <w:right w:val="single" w:color="auto" w:sz="4" w:space="0"/>
            </w:tcBorders>
            <w:noWrap w:val="0"/>
            <w:vAlign w:val="center"/>
          </w:tcPr>
          <w:p w14:paraId="499F92BD">
            <w:pPr>
              <w:widowControl/>
              <w:ind w:left="-1" w:leftChars="-1" w:hanging="1"/>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100≤Y＜500 </w:t>
            </w:r>
          </w:p>
        </w:tc>
        <w:tc>
          <w:tcPr>
            <w:tcW w:w="992" w:type="dxa"/>
            <w:tcBorders>
              <w:top w:val="nil"/>
              <w:left w:val="nil"/>
              <w:bottom w:val="single" w:color="auto" w:sz="4" w:space="0"/>
              <w:right w:val="nil"/>
            </w:tcBorders>
            <w:noWrap w:val="0"/>
            <w:vAlign w:val="center"/>
          </w:tcPr>
          <w:p w14:paraId="07783738">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Y＜100</w:t>
            </w:r>
          </w:p>
        </w:tc>
      </w:tr>
      <w:tr w14:paraId="3FFB2612">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34923BB1">
            <w:pPr>
              <w:widowControl/>
              <w:spacing w:line="24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交通运输业 *</w:t>
            </w:r>
          </w:p>
        </w:tc>
        <w:tc>
          <w:tcPr>
            <w:tcW w:w="1369" w:type="dxa"/>
            <w:tcBorders>
              <w:top w:val="nil"/>
              <w:left w:val="nil"/>
              <w:bottom w:val="nil"/>
              <w:right w:val="single" w:color="auto" w:sz="4" w:space="0"/>
            </w:tcBorders>
            <w:noWrap w:val="0"/>
            <w:vAlign w:val="center"/>
          </w:tcPr>
          <w:p w14:paraId="3B956CDA">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从业人员(X)</w:t>
            </w:r>
          </w:p>
        </w:tc>
        <w:tc>
          <w:tcPr>
            <w:tcW w:w="709" w:type="dxa"/>
            <w:tcBorders>
              <w:top w:val="nil"/>
              <w:left w:val="nil"/>
              <w:bottom w:val="nil"/>
              <w:right w:val="single" w:color="auto" w:sz="4" w:space="0"/>
            </w:tcBorders>
            <w:noWrap w:val="0"/>
            <w:vAlign w:val="center"/>
          </w:tcPr>
          <w:p w14:paraId="6FCD4D0A">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人</w:t>
            </w:r>
          </w:p>
        </w:tc>
        <w:tc>
          <w:tcPr>
            <w:tcW w:w="1125" w:type="dxa"/>
            <w:tcBorders>
              <w:top w:val="nil"/>
              <w:left w:val="nil"/>
              <w:bottom w:val="nil"/>
              <w:right w:val="single" w:color="auto" w:sz="4" w:space="0"/>
            </w:tcBorders>
            <w:noWrap w:val="0"/>
            <w:vAlign w:val="center"/>
          </w:tcPr>
          <w:p w14:paraId="02F7F1E2">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X≥1000</w:t>
            </w:r>
          </w:p>
        </w:tc>
        <w:tc>
          <w:tcPr>
            <w:tcW w:w="1701" w:type="dxa"/>
            <w:tcBorders>
              <w:top w:val="nil"/>
              <w:left w:val="nil"/>
              <w:bottom w:val="nil"/>
              <w:right w:val="single" w:color="auto" w:sz="4" w:space="0"/>
            </w:tcBorders>
            <w:noWrap w:val="0"/>
            <w:vAlign w:val="center"/>
          </w:tcPr>
          <w:p w14:paraId="62F57E1E">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300≤X＜1000</w:t>
            </w:r>
          </w:p>
        </w:tc>
        <w:tc>
          <w:tcPr>
            <w:tcW w:w="1426" w:type="dxa"/>
            <w:tcBorders>
              <w:top w:val="nil"/>
              <w:left w:val="nil"/>
              <w:bottom w:val="nil"/>
              <w:right w:val="single" w:color="auto" w:sz="4" w:space="0"/>
            </w:tcBorders>
            <w:noWrap w:val="0"/>
            <w:vAlign w:val="center"/>
          </w:tcPr>
          <w:p w14:paraId="5450BB88">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20≤X＜300</w:t>
            </w:r>
          </w:p>
        </w:tc>
        <w:tc>
          <w:tcPr>
            <w:tcW w:w="992" w:type="dxa"/>
            <w:tcBorders>
              <w:top w:val="nil"/>
              <w:left w:val="nil"/>
              <w:bottom w:val="nil"/>
              <w:right w:val="nil"/>
            </w:tcBorders>
            <w:noWrap w:val="0"/>
            <w:vAlign w:val="center"/>
          </w:tcPr>
          <w:p w14:paraId="49DEA18C">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X＜20</w:t>
            </w:r>
          </w:p>
        </w:tc>
      </w:tr>
      <w:tr w14:paraId="09A44D86">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3786FD4B">
            <w:pPr>
              <w:widowControl/>
              <w:jc w:val="left"/>
              <w:rPr>
                <w:rFonts w:hint="eastAsia" w:ascii="宋体" w:hAnsi="宋体" w:eastAsia="宋体" w:cs="宋体"/>
                <w:color w:val="000000"/>
                <w:kern w:val="0"/>
                <w:sz w:val="18"/>
                <w:szCs w:val="18"/>
              </w:rPr>
            </w:pPr>
          </w:p>
        </w:tc>
        <w:tc>
          <w:tcPr>
            <w:tcW w:w="1369" w:type="dxa"/>
            <w:tcBorders>
              <w:top w:val="nil"/>
              <w:left w:val="nil"/>
              <w:bottom w:val="single" w:color="auto" w:sz="4" w:space="0"/>
              <w:right w:val="single" w:color="auto" w:sz="4" w:space="0"/>
            </w:tcBorders>
            <w:noWrap w:val="0"/>
            <w:vAlign w:val="center"/>
          </w:tcPr>
          <w:p w14:paraId="11FA48A4">
            <w:pPr>
              <w:widowControl/>
              <w:spacing w:line="2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6EE093FF">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万元</w:t>
            </w:r>
          </w:p>
        </w:tc>
        <w:tc>
          <w:tcPr>
            <w:tcW w:w="1125" w:type="dxa"/>
            <w:tcBorders>
              <w:top w:val="nil"/>
              <w:left w:val="nil"/>
              <w:bottom w:val="single" w:color="auto" w:sz="4" w:space="0"/>
              <w:right w:val="single" w:color="auto" w:sz="4" w:space="0"/>
            </w:tcBorders>
            <w:noWrap w:val="0"/>
            <w:vAlign w:val="center"/>
          </w:tcPr>
          <w:p w14:paraId="5ED01BA1">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Y≥30000</w:t>
            </w:r>
          </w:p>
        </w:tc>
        <w:tc>
          <w:tcPr>
            <w:tcW w:w="1701" w:type="dxa"/>
            <w:tcBorders>
              <w:top w:val="nil"/>
              <w:left w:val="nil"/>
              <w:bottom w:val="single" w:color="auto" w:sz="4" w:space="0"/>
              <w:right w:val="single" w:color="auto" w:sz="4" w:space="0"/>
            </w:tcBorders>
            <w:noWrap w:val="0"/>
            <w:vAlign w:val="center"/>
          </w:tcPr>
          <w:p w14:paraId="25F3E745">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3000≤Y＜30000</w:t>
            </w:r>
          </w:p>
        </w:tc>
        <w:tc>
          <w:tcPr>
            <w:tcW w:w="1426" w:type="dxa"/>
            <w:tcBorders>
              <w:top w:val="nil"/>
              <w:left w:val="nil"/>
              <w:bottom w:val="single" w:color="auto" w:sz="4" w:space="0"/>
              <w:right w:val="single" w:color="auto" w:sz="4" w:space="0"/>
            </w:tcBorders>
            <w:noWrap w:val="0"/>
            <w:vAlign w:val="center"/>
          </w:tcPr>
          <w:p w14:paraId="1BAC19D2">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200≤Y＜3000</w:t>
            </w:r>
          </w:p>
        </w:tc>
        <w:tc>
          <w:tcPr>
            <w:tcW w:w="992" w:type="dxa"/>
            <w:tcBorders>
              <w:top w:val="nil"/>
              <w:left w:val="nil"/>
              <w:bottom w:val="single" w:color="auto" w:sz="4" w:space="0"/>
              <w:right w:val="nil"/>
            </w:tcBorders>
            <w:noWrap w:val="0"/>
            <w:vAlign w:val="center"/>
          </w:tcPr>
          <w:p w14:paraId="0210D877">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Y＜200</w:t>
            </w:r>
          </w:p>
        </w:tc>
      </w:tr>
      <w:tr w14:paraId="2725C4C4">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171A04B0">
            <w:pPr>
              <w:widowControl/>
              <w:spacing w:line="24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仓储业*</w:t>
            </w:r>
          </w:p>
        </w:tc>
        <w:tc>
          <w:tcPr>
            <w:tcW w:w="1369" w:type="dxa"/>
            <w:tcBorders>
              <w:top w:val="nil"/>
              <w:left w:val="nil"/>
              <w:bottom w:val="nil"/>
              <w:right w:val="single" w:color="auto" w:sz="4" w:space="0"/>
            </w:tcBorders>
            <w:noWrap w:val="0"/>
            <w:vAlign w:val="center"/>
          </w:tcPr>
          <w:p w14:paraId="3B68EF43">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从业人员(X)</w:t>
            </w:r>
          </w:p>
        </w:tc>
        <w:tc>
          <w:tcPr>
            <w:tcW w:w="709" w:type="dxa"/>
            <w:tcBorders>
              <w:top w:val="nil"/>
              <w:left w:val="nil"/>
              <w:bottom w:val="nil"/>
              <w:right w:val="single" w:color="auto" w:sz="4" w:space="0"/>
            </w:tcBorders>
            <w:noWrap w:val="0"/>
            <w:vAlign w:val="center"/>
          </w:tcPr>
          <w:p w14:paraId="1CF5E3B2">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人</w:t>
            </w:r>
          </w:p>
        </w:tc>
        <w:tc>
          <w:tcPr>
            <w:tcW w:w="1125" w:type="dxa"/>
            <w:tcBorders>
              <w:top w:val="nil"/>
              <w:left w:val="nil"/>
              <w:bottom w:val="nil"/>
              <w:right w:val="single" w:color="auto" w:sz="4" w:space="0"/>
            </w:tcBorders>
            <w:noWrap w:val="0"/>
            <w:vAlign w:val="center"/>
          </w:tcPr>
          <w:p w14:paraId="7186907F">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X≥200</w:t>
            </w:r>
          </w:p>
        </w:tc>
        <w:tc>
          <w:tcPr>
            <w:tcW w:w="1701" w:type="dxa"/>
            <w:tcBorders>
              <w:top w:val="nil"/>
              <w:left w:val="nil"/>
              <w:bottom w:val="nil"/>
              <w:right w:val="single" w:color="auto" w:sz="4" w:space="0"/>
            </w:tcBorders>
            <w:noWrap w:val="0"/>
            <w:vAlign w:val="center"/>
          </w:tcPr>
          <w:p w14:paraId="2A7239CE">
            <w:pPr>
              <w:widowControl/>
              <w:ind w:left="1" w:leftChars="-51" w:hanging="108" w:hangingChars="60"/>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100≤X＜200</w:t>
            </w:r>
          </w:p>
        </w:tc>
        <w:tc>
          <w:tcPr>
            <w:tcW w:w="1426" w:type="dxa"/>
            <w:tcBorders>
              <w:top w:val="nil"/>
              <w:left w:val="nil"/>
              <w:bottom w:val="nil"/>
              <w:right w:val="single" w:color="auto" w:sz="4" w:space="0"/>
            </w:tcBorders>
            <w:noWrap w:val="0"/>
            <w:vAlign w:val="center"/>
          </w:tcPr>
          <w:p w14:paraId="7319AA46">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20≤X＜100</w:t>
            </w:r>
          </w:p>
        </w:tc>
        <w:tc>
          <w:tcPr>
            <w:tcW w:w="992" w:type="dxa"/>
            <w:tcBorders>
              <w:top w:val="nil"/>
              <w:left w:val="nil"/>
              <w:bottom w:val="nil"/>
              <w:right w:val="nil"/>
            </w:tcBorders>
            <w:noWrap w:val="0"/>
            <w:vAlign w:val="center"/>
          </w:tcPr>
          <w:p w14:paraId="2CD87EC6">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X＜20</w:t>
            </w:r>
          </w:p>
        </w:tc>
      </w:tr>
      <w:tr w14:paraId="2B1F8CC6">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21FA4BD3">
            <w:pPr>
              <w:widowControl/>
              <w:jc w:val="left"/>
              <w:rPr>
                <w:rFonts w:hint="eastAsia" w:ascii="宋体" w:hAnsi="宋体" w:eastAsia="宋体" w:cs="宋体"/>
                <w:color w:val="000000"/>
                <w:kern w:val="0"/>
                <w:sz w:val="18"/>
                <w:szCs w:val="18"/>
              </w:rPr>
            </w:pPr>
          </w:p>
        </w:tc>
        <w:tc>
          <w:tcPr>
            <w:tcW w:w="1369" w:type="dxa"/>
            <w:tcBorders>
              <w:top w:val="nil"/>
              <w:left w:val="nil"/>
              <w:bottom w:val="single" w:color="auto" w:sz="4" w:space="0"/>
              <w:right w:val="single" w:color="auto" w:sz="4" w:space="0"/>
            </w:tcBorders>
            <w:noWrap w:val="0"/>
            <w:vAlign w:val="center"/>
          </w:tcPr>
          <w:p w14:paraId="4E38914B">
            <w:pPr>
              <w:widowControl/>
              <w:spacing w:line="2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7A32DCB0">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万元</w:t>
            </w:r>
          </w:p>
        </w:tc>
        <w:tc>
          <w:tcPr>
            <w:tcW w:w="1125" w:type="dxa"/>
            <w:tcBorders>
              <w:top w:val="nil"/>
              <w:left w:val="nil"/>
              <w:bottom w:val="single" w:color="auto" w:sz="4" w:space="0"/>
              <w:right w:val="single" w:color="auto" w:sz="4" w:space="0"/>
            </w:tcBorders>
            <w:noWrap w:val="0"/>
            <w:vAlign w:val="center"/>
          </w:tcPr>
          <w:p w14:paraId="636D9871">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Y≥30000</w:t>
            </w:r>
          </w:p>
        </w:tc>
        <w:tc>
          <w:tcPr>
            <w:tcW w:w="1701" w:type="dxa"/>
            <w:tcBorders>
              <w:top w:val="nil"/>
              <w:left w:val="nil"/>
              <w:bottom w:val="single" w:color="auto" w:sz="4" w:space="0"/>
              <w:right w:val="single" w:color="auto" w:sz="4" w:space="0"/>
            </w:tcBorders>
            <w:noWrap w:val="0"/>
            <w:vAlign w:val="center"/>
          </w:tcPr>
          <w:p w14:paraId="2091112B">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1000≤Y＜30000</w:t>
            </w:r>
          </w:p>
        </w:tc>
        <w:tc>
          <w:tcPr>
            <w:tcW w:w="1426" w:type="dxa"/>
            <w:tcBorders>
              <w:top w:val="nil"/>
              <w:left w:val="nil"/>
              <w:bottom w:val="single" w:color="auto" w:sz="4" w:space="0"/>
              <w:right w:val="single" w:color="auto" w:sz="4" w:space="0"/>
            </w:tcBorders>
            <w:noWrap w:val="0"/>
            <w:vAlign w:val="center"/>
          </w:tcPr>
          <w:p w14:paraId="22E138B4">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100≤Y＜1000</w:t>
            </w:r>
          </w:p>
        </w:tc>
        <w:tc>
          <w:tcPr>
            <w:tcW w:w="992" w:type="dxa"/>
            <w:tcBorders>
              <w:top w:val="nil"/>
              <w:left w:val="nil"/>
              <w:bottom w:val="single" w:color="auto" w:sz="4" w:space="0"/>
              <w:right w:val="nil"/>
            </w:tcBorders>
            <w:noWrap w:val="0"/>
            <w:vAlign w:val="center"/>
          </w:tcPr>
          <w:p w14:paraId="3351BBDB">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Y＜100</w:t>
            </w:r>
          </w:p>
        </w:tc>
      </w:tr>
      <w:tr w14:paraId="2A438474">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228F75DA">
            <w:pPr>
              <w:widowControl/>
              <w:spacing w:line="24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邮政业</w:t>
            </w:r>
          </w:p>
        </w:tc>
        <w:tc>
          <w:tcPr>
            <w:tcW w:w="1369" w:type="dxa"/>
            <w:tcBorders>
              <w:top w:val="nil"/>
              <w:left w:val="nil"/>
              <w:bottom w:val="nil"/>
              <w:right w:val="single" w:color="auto" w:sz="4" w:space="0"/>
            </w:tcBorders>
            <w:noWrap w:val="0"/>
            <w:vAlign w:val="center"/>
          </w:tcPr>
          <w:p w14:paraId="5657B5D5">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从业人员(X)</w:t>
            </w:r>
          </w:p>
        </w:tc>
        <w:tc>
          <w:tcPr>
            <w:tcW w:w="709" w:type="dxa"/>
            <w:tcBorders>
              <w:top w:val="nil"/>
              <w:left w:val="nil"/>
              <w:bottom w:val="nil"/>
              <w:right w:val="single" w:color="auto" w:sz="4" w:space="0"/>
            </w:tcBorders>
            <w:noWrap w:val="0"/>
            <w:vAlign w:val="center"/>
          </w:tcPr>
          <w:p w14:paraId="1C6D74D3">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人</w:t>
            </w:r>
          </w:p>
        </w:tc>
        <w:tc>
          <w:tcPr>
            <w:tcW w:w="1125" w:type="dxa"/>
            <w:tcBorders>
              <w:top w:val="nil"/>
              <w:left w:val="nil"/>
              <w:bottom w:val="nil"/>
              <w:right w:val="single" w:color="auto" w:sz="4" w:space="0"/>
            </w:tcBorders>
            <w:noWrap w:val="0"/>
            <w:vAlign w:val="center"/>
          </w:tcPr>
          <w:p w14:paraId="7B86EA75">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X≥1000</w:t>
            </w:r>
          </w:p>
        </w:tc>
        <w:tc>
          <w:tcPr>
            <w:tcW w:w="1701" w:type="dxa"/>
            <w:tcBorders>
              <w:top w:val="nil"/>
              <w:left w:val="nil"/>
              <w:bottom w:val="nil"/>
              <w:right w:val="single" w:color="auto" w:sz="4" w:space="0"/>
            </w:tcBorders>
            <w:noWrap w:val="0"/>
            <w:vAlign w:val="center"/>
          </w:tcPr>
          <w:p w14:paraId="271C1E05">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300≤X＜1000</w:t>
            </w:r>
          </w:p>
        </w:tc>
        <w:tc>
          <w:tcPr>
            <w:tcW w:w="1426" w:type="dxa"/>
            <w:tcBorders>
              <w:top w:val="nil"/>
              <w:left w:val="nil"/>
              <w:bottom w:val="nil"/>
              <w:right w:val="single" w:color="auto" w:sz="4" w:space="0"/>
            </w:tcBorders>
            <w:noWrap w:val="0"/>
            <w:vAlign w:val="center"/>
          </w:tcPr>
          <w:p w14:paraId="234E238A">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20≤X＜300</w:t>
            </w:r>
          </w:p>
        </w:tc>
        <w:tc>
          <w:tcPr>
            <w:tcW w:w="992" w:type="dxa"/>
            <w:tcBorders>
              <w:top w:val="nil"/>
              <w:left w:val="nil"/>
              <w:bottom w:val="nil"/>
              <w:right w:val="nil"/>
            </w:tcBorders>
            <w:noWrap w:val="0"/>
            <w:vAlign w:val="center"/>
          </w:tcPr>
          <w:p w14:paraId="5BAE6919">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X＜20</w:t>
            </w:r>
          </w:p>
        </w:tc>
      </w:tr>
      <w:tr w14:paraId="4E897C7E">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39FF28C8">
            <w:pPr>
              <w:widowControl/>
              <w:jc w:val="left"/>
              <w:rPr>
                <w:rFonts w:hint="eastAsia" w:ascii="宋体" w:hAnsi="宋体" w:eastAsia="宋体" w:cs="宋体"/>
                <w:color w:val="000000"/>
                <w:kern w:val="0"/>
                <w:sz w:val="18"/>
                <w:szCs w:val="18"/>
              </w:rPr>
            </w:pPr>
          </w:p>
        </w:tc>
        <w:tc>
          <w:tcPr>
            <w:tcW w:w="1369" w:type="dxa"/>
            <w:tcBorders>
              <w:top w:val="nil"/>
              <w:left w:val="nil"/>
              <w:bottom w:val="single" w:color="auto" w:sz="4" w:space="0"/>
              <w:right w:val="single" w:color="auto" w:sz="4" w:space="0"/>
            </w:tcBorders>
            <w:noWrap w:val="0"/>
            <w:vAlign w:val="center"/>
          </w:tcPr>
          <w:p w14:paraId="28206A8E">
            <w:pPr>
              <w:widowControl/>
              <w:spacing w:line="2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09E353CF">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万元</w:t>
            </w:r>
          </w:p>
        </w:tc>
        <w:tc>
          <w:tcPr>
            <w:tcW w:w="1125" w:type="dxa"/>
            <w:tcBorders>
              <w:top w:val="nil"/>
              <w:left w:val="nil"/>
              <w:bottom w:val="single" w:color="auto" w:sz="4" w:space="0"/>
              <w:right w:val="single" w:color="auto" w:sz="4" w:space="0"/>
            </w:tcBorders>
            <w:noWrap w:val="0"/>
            <w:vAlign w:val="center"/>
          </w:tcPr>
          <w:p w14:paraId="3934C2B6">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Y≥30000</w:t>
            </w:r>
          </w:p>
        </w:tc>
        <w:tc>
          <w:tcPr>
            <w:tcW w:w="1701" w:type="dxa"/>
            <w:tcBorders>
              <w:top w:val="nil"/>
              <w:left w:val="nil"/>
              <w:bottom w:val="single" w:color="auto" w:sz="4" w:space="0"/>
              <w:right w:val="single" w:color="auto" w:sz="4" w:space="0"/>
            </w:tcBorders>
            <w:noWrap w:val="0"/>
            <w:vAlign w:val="center"/>
          </w:tcPr>
          <w:p w14:paraId="7455CAFA">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2000≤Y＜30000</w:t>
            </w:r>
          </w:p>
        </w:tc>
        <w:tc>
          <w:tcPr>
            <w:tcW w:w="1426" w:type="dxa"/>
            <w:tcBorders>
              <w:top w:val="nil"/>
              <w:left w:val="nil"/>
              <w:bottom w:val="single" w:color="auto" w:sz="4" w:space="0"/>
              <w:right w:val="single" w:color="auto" w:sz="4" w:space="0"/>
            </w:tcBorders>
            <w:noWrap w:val="0"/>
            <w:vAlign w:val="center"/>
          </w:tcPr>
          <w:p w14:paraId="02BCE5A9">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100≤Y＜2000</w:t>
            </w:r>
          </w:p>
        </w:tc>
        <w:tc>
          <w:tcPr>
            <w:tcW w:w="992" w:type="dxa"/>
            <w:tcBorders>
              <w:top w:val="nil"/>
              <w:left w:val="nil"/>
              <w:bottom w:val="single" w:color="auto" w:sz="4" w:space="0"/>
              <w:right w:val="nil"/>
            </w:tcBorders>
            <w:noWrap w:val="0"/>
            <w:vAlign w:val="center"/>
          </w:tcPr>
          <w:p w14:paraId="7199AC18">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Y＜100</w:t>
            </w:r>
          </w:p>
        </w:tc>
      </w:tr>
      <w:tr w14:paraId="438BFB0D">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249F2B6F">
            <w:pPr>
              <w:widowControl/>
              <w:spacing w:line="24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住宿业</w:t>
            </w:r>
          </w:p>
        </w:tc>
        <w:tc>
          <w:tcPr>
            <w:tcW w:w="1369" w:type="dxa"/>
            <w:tcBorders>
              <w:top w:val="nil"/>
              <w:left w:val="nil"/>
              <w:bottom w:val="nil"/>
              <w:right w:val="single" w:color="auto" w:sz="4" w:space="0"/>
            </w:tcBorders>
            <w:noWrap w:val="0"/>
            <w:vAlign w:val="center"/>
          </w:tcPr>
          <w:p w14:paraId="23CE8C93">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从业人员(X)</w:t>
            </w:r>
          </w:p>
        </w:tc>
        <w:tc>
          <w:tcPr>
            <w:tcW w:w="709" w:type="dxa"/>
            <w:tcBorders>
              <w:top w:val="nil"/>
              <w:left w:val="nil"/>
              <w:bottom w:val="nil"/>
              <w:right w:val="single" w:color="auto" w:sz="4" w:space="0"/>
            </w:tcBorders>
            <w:noWrap w:val="0"/>
            <w:vAlign w:val="center"/>
          </w:tcPr>
          <w:p w14:paraId="19763D32">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人</w:t>
            </w:r>
          </w:p>
        </w:tc>
        <w:tc>
          <w:tcPr>
            <w:tcW w:w="1125" w:type="dxa"/>
            <w:tcBorders>
              <w:top w:val="nil"/>
              <w:left w:val="nil"/>
              <w:bottom w:val="nil"/>
              <w:right w:val="single" w:color="auto" w:sz="4" w:space="0"/>
            </w:tcBorders>
            <w:noWrap w:val="0"/>
            <w:vAlign w:val="center"/>
          </w:tcPr>
          <w:p w14:paraId="25B06D1D">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X≥300</w:t>
            </w:r>
          </w:p>
        </w:tc>
        <w:tc>
          <w:tcPr>
            <w:tcW w:w="1701" w:type="dxa"/>
            <w:tcBorders>
              <w:top w:val="nil"/>
              <w:left w:val="nil"/>
              <w:bottom w:val="nil"/>
              <w:right w:val="single" w:color="auto" w:sz="4" w:space="0"/>
            </w:tcBorders>
            <w:noWrap w:val="0"/>
            <w:vAlign w:val="center"/>
          </w:tcPr>
          <w:p w14:paraId="2B92FD28">
            <w:pPr>
              <w:widowControl/>
              <w:ind w:left="1" w:leftChars="-51" w:hanging="108" w:hangingChars="60"/>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100≤X＜300 </w:t>
            </w:r>
          </w:p>
        </w:tc>
        <w:tc>
          <w:tcPr>
            <w:tcW w:w="1426" w:type="dxa"/>
            <w:tcBorders>
              <w:top w:val="nil"/>
              <w:left w:val="nil"/>
              <w:bottom w:val="nil"/>
              <w:right w:val="single" w:color="auto" w:sz="4" w:space="0"/>
            </w:tcBorders>
            <w:noWrap w:val="0"/>
            <w:vAlign w:val="center"/>
          </w:tcPr>
          <w:p w14:paraId="59B09BDE">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10≤X＜100</w:t>
            </w:r>
          </w:p>
        </w:tc>
        <w:tc>
          <w:tcPr>
            <w:tcW w:w="992" w:type="dxa"/>
            <w:tcBorders>
              <w:top w:val="nil"/>
              <w:left w:val="nil"/>
              <w:bottom w:val="nil"/>
              <w:right w:val="nil"/>
            </w:tcBorders>
            <w:noWrap w:val="0"/>
            <w:vAlign w:val="center"/>
          </w:tcPr>
          <w:p w14:paraId="028B0986">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X＜10</w:t>
            </w:r>
          </w:p>
        </w:tc>
      </w:tr>
      <w:tr w14:paraId="4A9C5AC1">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7E5F5842">
            <w:pPr>
              <w:widowControl/>
              <w:jc w:val="left"/>
              <w:rPr>
                <w:rFonts w:hint="eastAsia" w:ascii="宋体" w:hAnsi="宋体" w:eastAsia="宋体" w:cs="宋体"/>
                <w:color w:val="000000"/>
                <w:kern w:val="0"/>
                <w:sz w:val="18"/>
                <w:szCs w:val="18"/>
              </w:rPr>
            </w:pPr>
          </w:p>
        </w:tc>
        <w:tc>
          <w:tcPr>
            <w:tcW w:w="1369" w:type="dxa"/>
            <w:tcBorders>
              <w:top w:val="nil"/>
              <w:left w:val="nil"/>
              <w:bottom w:val="single" w:color="auto" w:sz="4" w:space="0"/>
              <w:right w:val="single" w:color="auto" w:sz="4" w:space="0"/>
            </w:tcBorders>
            <w:noWrap w:val="0"/>
            <w:vAlign w:val="center"/>
          </w:tcPr>
          <w:p w14:paraId="24D8B20F">
            <w:pPr>
              <w:widowControl/>
              <w:spacing w:line="2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60BC2F19">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万元</w:t>
            </w:r>
          </w:p>
        </w:tc>
        <w:tc>
          <w:tcPr>
            <w:tcW w:w="1125" w:type="dxa"/>
            <w:tcBorders>
              <w:top w:val="nil"/>
              <w:left w:val="nil"/>
              <w:bottom w:val="single" w:color="auto" w:sz="4" w:space="0"/>
              <w:right w:val="single" w:color="auto" w:sz="4" w:space="0"/>
            </w:tcBorders>
            <w:noWrap w:val="0"/>
            <w:vAlign w:val="center"/>
          </w:tcPr>
          <w:p w14:paraId="2430D301">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Y≥10000</w:t>
            </w:r>
          </w:p>
        </w:tc>
        <w:tc>
          <w:tcPr>
            <w:tcW w:w="1701" w:type="dxa"/>
            <w:tcBorders>
              <w:top w:val="nil"/>
              <w:left w:val="nil"/>
              <w:bottom w:val="single" w:color="auto" w:sz="4" w:space="0"/>
              <w:right w:val="single" w:color="auto" w:sz="4" w:space="0"/>
            </w:tcBorders>
            <w:noWrap w:val="0"/>
            <w:vAlign w:val="center"/>
          </w:tcPr>
          <w:p w14:paraId="0C30D54F">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2000≤Y＜10000</w:t>
            </w:r>
          </w:p>
        </w:tc>
        <w:tc>
          <w:tcPr>
            <w:tcW w:w="1426" w:type="dxa"/>
            <w:tcBorders>
              <w:top w:val="nil"/>
              <w:left w:val="nil"/>
              <w:bottom w:val="single" w:color="auto" w:sz="4" w:space="0"/>
              <w:right w:val="single" w:color="auto" w:sz="4" w:space="0"/>
            </w:tcBorders>
            <w:noWrap w:val="0"/>
            <w:vAlign w:val="center"/>
          </w:tcPr>
          <w:p w14:paraId="64015104">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100≤Y＜2000</w:t>
            </w:r>
          </w:p>
        </w:tc>
        <w:tc>
          <w:tcPr>
            <w:tcW w:w="992" w:type="dxa"/>
            <w:tcBorders>
              <w:top w:val="nil"/>
              <w:left w:val="nil"/>
              <w:bottom w:val="single" w:color="auto" w:sz="4" w:space="0"/>
              <w:right w:val="nil"/>
            </w:tcBorders>
            <w:noWrap w:val="0"/>
            <w:vAlign w:val="center"/>
          </w:tcPr>
          <w:p w14:paraId="73271900">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Y＜100</w:t>
            </w:r>
          </w:p>
        </w:tc>
      </w:tr>
      <w:tr w14:paraId="72CFB0FE">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4884FE6B">
            <w:pPr>
              <w:widowControl/>
              <w:spacing w:line="24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餐饮业</w:t>
            </w:r>
          </w:p>
        </w:tc>
        <w:tc>
          <w:tcPr>
            <w:tcW w:w="1369" w:type="dxa"/>
            <w:tcBorders>
              <w:top w:val="nil"/>
              <w:left w:val="nil"/>
              <w:bottom w:val="nil"/>
              <w:right w:val="single" w:color="auto" w:sz="4" w:space="0"/>
            </w:tcBorders>
            <w:noWrap w:val="0"/>
            <w:vAlign w:val="center"/>
          </w:tcPr>
          <w:p w14:paraId="474829F5">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从业人员(X)</w:t>
            </w:r>
          </w:p>
        </w:tc>
        <w:tc>
          <w:tcPr>
            <w:tcW w:w="709" w:type="dxa"/>
            <w:tcBorders>
              <w:top w:val="nil"/>
              <w:left w:val="nil"/>
              <w:bottom w:val="nil"/>
              <w:right w:val="single" w:color="auto" w:sz="4" w:space="0"/>
            </w:tcBorders>
            <w:noWrap w:val="0"/>
            <w:vAlign w:val="center"/>
          </w:tcPr>
          <w:p w14:paraId="02D40E62">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人</w:t>
            </w:r>
          </w:p>
        </w:tc>
        <w:tc>
          <w:tcPr>
            <w:tcW w:w="1125" w:type="dxa"/>
            <w:tcBorders>
              <w:top w:val="nil"/>
              <w:left w:val="nil"/>
              <w:bottom w:val="nil"/>
              <w:right w:val="single" w:color="auto" w:sz="4" w:space="0"/>
            </w:tcBorders>
            <w:noWrap w:val="0"/>
            <w:vAlign w:val="center"/>
          </w:tcPr>
          <w:p w14:paraId="7EA9E5C7">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X≥300</w:t>
            </w:r>
          </w:p>
        </w:tc>
        <w:tc>
          <w:tcPr>
            <w:tcW w:w="1701" w:type="dxa"/>
            <w:tcBorders>
              <w:top w:val="nil"/>
              <w:left w:val="nil"/>
              <w:bottom w:val="nil"/>
              <w:right w:val="single" w:color="auto" w:sz="4" w:space="0"/>
            </w:tcBorders>
            <w:noWrap w:val="0"/>
            <w:vAlign w:val="center"/>
          </w:tcPr>
          <w:p w14:paraId="24D15125">
            <w:pPr>
              <w:widowControl/>
              <w:ind w:left="1" w:leftChars="-51" w:hanging="108" w:hangingChars="60"/>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100≤X＜300 </w:t>
            </w:r>
          </w:p>
        </w:tc>
        <w:tc>
          <w:tcPr>
            <w:tcW w:w="1426" w:type="dxa"/>
            <w:tcBorders>
              <w:top w:val="nil"/>
              <w:left w:val="nil"/>
              <w:bottom w:val="nil"/>
              <w:right w:val="single" w:color="auto" w:sz="4" w:space="0"/>
            </w:tcBorders>
            <w:noWrap w:val="0"/>
            <w:vAlign w:val="center"/>
          </w:tcPr>
          <w:p w14:paraId="3EC21ECB">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10≤X＜100</w:t>
            </w:r>
          </w:p>
        </w:tc>
        <w:tc>
          <w:tcPr>
            <w:tcW w:w="992" w:type="dxa"/>
            <w:tcBorders>
              <w:top w:val="nil"/>
              <w:left w:val="nil"/>
              <w:bottom w:val="nil"/>
              <w:right w:val="nil"/>
            </w:tcBorders>
            <w:noWrap w:val="0"/>
            <w:vAlign w:val="center"/>
          </w:tcPr>
          <w:p w14:paraId="47DC0009">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X＜10</w:t>
            </w:r>
          </w:p>
        </w:tc>
      </w:tr>
      <w:tr w14:paraId="1A5E9473">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13C18DC9">
            <w:pPr>
              <w:widowControl/>
              <w:jc w:val="left"/>
              <w:rPr>
                <w:rFonts w:hint="eastAsia" w:ascii="宋体" w:hAnsi="宋体" w:eastAsia="宋体" w:cs="宋体"/>
                <w:color w:val="000000"/>
                <w:kern w:val="0"/>
                <w:sz w:val="18"/>
                <w:szCs w:val="18"/>
              </w:rPr>
            </w:pPr>
          </w:p>
        </w:tc>
        <w:tc>
          <w:tcPr>
            <w:tcW w:w="1369" w:type="dxa"/>
            <w:tcBorders>
              <w:top w:val="nil"/>
              <w:left w:val="nil"/>
              <w:bottom w:val="single" w:color="auto" w:sz="4" w:space="0"/>
              <w:right w:val="single" w:color="auto" w:sz="4" w:space="0"/>
            </w:tcBorders>
            <w:noWrap w:val="0"/>
            <w:vAlign w:val="center"/>
          </w:tcPr>
          <w:p w14:paraId="7DFBE1E6">
            <w:pPr>
              <w:widowControl/>
              <w:spacing w:line="2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490280E8">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万元</w:t>
            </w:r>
          </w:p>
        </w:tc>
        <w:tc>
          <w:tcPr>
            <w:tcW w:w="1125" w:type="dxa"/>
            <w:tcBorders>
              <w:top w:val="nil"/>
              <w:left w:val="nil"/>
              <w:bottom w:val="single" w:color="auto" w:sz="4" w:space="0"/>
              <w:right w:val="single" w:color="auto" w:sz="4" w:space="0"/>
            </w:tcBorders>
            <w:noWrap w:val="0"/>
            <w:vAlign w:val="center"/>
          </w:tcPr>
          <w:p w14:paraId="387CB248">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Y≥10000</w:t>
            </w:r>
          </w:p>
        </w:tc>
        <w:tc>
          <w:tcPr>
            <w:tcW w:w="1701" w:type="dxa"/>
            <w:tcBorders>
              <w:top w:val="nil"/>
              <w:left w:val="nil"/>
              <w:bottom w:val="single" w:color="auto" w:sz="4" w:space="0"/>
              <w:right w:val="single" w:color="auto" w:sz="4" w:space="0"/>
            </w:tcBorders>
            <w:noWrap w:val="0"/>
            <w:vAlign w:val="center"/>
          </w:tcPr>
          <w:p w14:paraId="11F8E72E">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2000≤Y＜10000</w:t>
            </w:r>
          </w:p>
        </w:tc>
        <w:tc>
          <w:tcPr>
            <w:tcW w:w="1426" w:type="dxa"/>
            <w:tcBorders>
              <w:top w:val="nil"/>
              <w:left w:val="nil"/>
              <w:bottom w:val="single" w:color="auto" w:sz="4" w:space="0"/>
              <w:right w:val="single" w:color="auto" w:sz="4" w:space="0"/>
            </w:tcBorders>
            <w:noWrap w:val="0"/>
            <w:vAlign w:val="center"/>
          </w:tcPr>
          <w:p w14:paraId="0F05EC23">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100≤Y＜2000</w:t>
            </w:r>
          </w:p>
        </w:tc>
        <w:tc>
          <w:tcPr>
            <w:tcW w:w="992" w:type="dxa"/>
            <w:tcBorders>
              <w:top w:val="nil"/>
              <w:left w:val="nil"/>
              <w:bottom w:val="single" w:color="auto" w:sz="4" w:space="0"/>
              <w:right w:val="nil"/>
            </w:tcBorders>
            <w:noWrap w:val="0"/>
            <w:vAlign w:val="center"/>
          </w:tcPr>
          <w:p w14:paraId="70503498">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Y＜100</w:t>
            </w:r>
          </w:p>
        </w:tc>
      </w:tr>
      <w:tr w14:paraId="2F609A47">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417AE910">
            <w:pPr>
              <w:widowControl/>
              <w:spacing w:line="24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信息传输业 *</w:t>
            </w:r>
          </w:p>
        </w:tc>
        <w:tc>
          <w:tcPr>
            <w:tcW w:w="1369" w:type="dxa"/>
            <w:tcBorders>
              <w:top w:val="nil"/>
              <w:left w:val="nil"/>
              <w:bottom w:val="nil"/>
              <w:right w:val="single" w:color="auto" w:sz="4" w:space="0"/>
            </w:tcBorders>
            <w:noWrap w:val="0"/>
            <w:vAlign w:val="center"/>
          </w:tcPr>
          <w:p w14:paraId="53EEE573">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从业人员(X)</w:t>
            </w:r>
          </w:p>
        </w:tc>
        <w:tc>
          <w:tcPr>
            <w:tcW w:w="709" w:type="dxa"/>
            <w:tcBorders>
              <w:top w:val="nil"/>
              <w:left w:val="nil"/>
              <w:bottom w:val="nil"/>
              <w:right w:val="single" w:color="auto" w:sz="4" w:space="0"/>
            </w:tcBorders>
            <w:noWrap w:val="0"/>
            <w:vAlign w:val="center"/>
          </w:tcPr>
          <w:p w14:paraId="28987A75">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人</w:t>
            </w:r>
          </w:p>
        </w:tc>
        <w:tc>
          <w:tcPr>
            <w:tcW w:w="1125" w:type="dxa"/>
            <w:tcBorders>
              <w:top w:val="nil"/>
              <w:left w:val="nil"/>
              <w:bottom w:val="nil"/>
              <w:right w:val="single" w:color="auto" w:sz="4" w:space="0"/>
            </w:tcBorders>
            <w:noWrap w:val="0"/>
            <w:vAlign w:val="center"/>
          </w:tcPr>
          <w:p w14:paraId="5826E6BA">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X≥2000</w:t>
            </w:r>
          </w:p>
        </w:tc>
        <w:tc>
          <w:tcPr>
            <w:tcW w:w="1701" w:type="dxa"/>
            <w:tcBorders>
              <w:top w:val="nil"/>
              <w:left w:val="nil"/>
              <w:bottom w:val="nil"/>
              <w:right w:val="single" w:color="auto" w:sz="4" w:space="0"/>
            </w:tcBorders>
            <w:noWrap w:val="0"/>
            <w:vAlign w:val="center"/>
          </w:tcPr>
          <w:p w14:paraId="536E9AB6">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100≤X＜2000</w:t>
            </w:r>
          </w:p>
        </w:tc>
        <w:tc>
          <w:tcPr>
            <w:tcW w:w="1426" w:type="dxa"/>
            <w:tcBorders>
              <w:top w:val="nil"/>
              <w:left w:val="nil"/>
              <w:bottom w:val="nil"/>
              <w:right w:val="single" w:color="auto" w:sz="4" w:space="0"/>
            </w:tcBorders>
            <w:noWrap w:val="0"/>
            <w:vAlign w:val="center"/>
          </w:tcPr>
          <w:p w14:paraId="6B905871">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10≤X＜100</w:t>
            </w:r>
          </w:p>
        </w:tc>
        <w:tc>
          <w:tcPr>
            <w:tcW w:w="992" w:type="dxa"/>
            <w:tcBorders>
              <w:top w:val="nil"/>
              <w:left w:val="nil"/>
              <w:bottom w:val="nil"/>
              <w:right w:val="nil"/>
            </w:tcBorders>
            <w:noWrap w:val="0"/>
            <w:vAlign w:val="center"/>
          </w:tcPr>
          <w:p w14:paraId="10C2AD7E">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X＜10</w:t>
            </w:r>
          </w:p>
        </w:tc>
      </w:tr>
      <w:tr w14:paraId="3F1FB7A4">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10099C0E">
            <w:pPr>
              <w:widowControl/>
              <w:jc w:val="left"/>
              <w:rPr>
                <w:rFonts w:hint="eastAsia" w:ascii="宋体" w:hAnsi="宋体" w:eastAsia="宋体" w:cs="宋体"/>
                <w:color w:val="000000"/>
                <w:kern w:val="0"/>
                <w:sz w:val="18"/>
                <w:szCs w:val="18"/>
              </w:rPr>
            </w:pPr>
          </w:p>
        </w:tc>
        <w:tc>
          <w:tcPr>
            <w:tcW w:w="1369" w:type="dxa"/>
            <w:tcBorders>
              <w:top w:val="nil"/>
              <w:left w:val="nil"/>
              <w:bottom w:val="single" w:color="auto" w:sz="4" w:space="0"/>
              <w:right w:val="single" w:color="auto" w:sz="4" w:space="0"/>
            </w:tcBorders>
            <w:noWrap w:val="0"/>
            <w:vAlign w:val="center"/>
          </w:tcPr>
          <w:p w14:paraId="2B1E3C6F">
            <w:pPr>
              <w:widowControl/>
              <w:spacing w:line="2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7C9EA814">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万元</w:t>
            </w:r>
          </w:p>
        </w:tc>
        <w:tc>
          <w:tcPr>
            <w:tcW w:w="1125" w:type="dxa"/>
            <w:tcBorders>
              <w:top w:val="nil"/>
              <w:left w:val="nil"/>
              <w:bottom w:val="single" w:color="auto" w:sz="4" w:space="0"/>
              <w:right w:val="single" w:color="auto" w:sz="4" w:space="0"/>
            </w:tcBorders>
            <w:noWrap w:val="0"/>
            <w:vAlign w:val="center"/>
          </w:tcPr>
          <w:p w14:paraId="18BBFA68">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Y≥100000</w:t>
            </w:r>
          </w:p>
        </w:tc>
        <w:tc>
          <w:tcPr>
            <w:tcW w:w="1701" w:type="dxa"/>
            <w:tcBorders>
              <w:top w:val="nil"/>
              <w:left w:val="nil"/>
              <w:bottom w:val="single" w:color="auto" w:sz="4" w:space="0"/>
              <w:right w:val="single" w:color="auto" w:sz="4" w:space="0"/>
            </w:tcBorders>
            <w:noWrap w:val="0"/>
            <w:vAlign w:val="center"/>
          </w:tcPr>
          <w:p w14:paraId="566A101D">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1000≤Y＜100000</w:t>
            </w:r>
          </w:p>
        </w:tc>
        <w:tc>
          <w:tcPr>
            <w:tcW w:w="1426" w:type="dxa"/>
            <w:tcBorders>
              <w:top w:val="nil"/>
              <w:left w:val="nil"/>
              <w:bottom w:val="single" w:color="auto" w:sz="4" w:space="0"/>
              <w:right w:val="single" w:color="auto" w:sz="4" w:space="0"/>
            </w:tcBorders>
            <w:noWrap w:val="0"/>
            <w:vAlign w:val="center"/>
          </w:tcPr>
          <w:p w14:paraId="1833962A">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100≤Y＜1000</w:t>
            </w:r>
          </w:p>
        </w:tc>
        <w:tc>
          <w:tcPr>
            <w:tcW w:w="992" w:type="dxa"/>
            <w:tcBorders>
              <w:top w:val="nil"/>
              <w:left w:val="nil"/>
              <w:bottom w:val="single" w:color="auto" w:sz="4" w:space="0"/>
              <w:right w:val="nil"/>
            </w:tcBorders>
            <w:noWrap w:val="0"/>
            <w:vAlign w:val="center"/>
          </w:tcPr>
          <w:p w14:paraId="6EF0897C">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Y＜100</w:t>
            </w:r>
          </w:p>
        </w:tc>
      </w:tr>
      <w:tr w14:paraId="63EA7F3E">
        <w:tblPrEx>
          <w:tblCellMar>
            <w:top w:w="0" w:type="dxa"/>
            <w:left w:w="108" w:type="dxa"/>
            <w:bottom w:w="0" w:type="dxa"/>
            <w:right w:w="108" w:type="dxa"/>
          </w:tblCellMar>
        </w:tblPrEx>
        <w:trPr>
          <w:trHeight w:val="340" w:hRule="exact"/>
          <w:jc w:val="center"/>
        </w:trPr>
        <w:tc>
          <w:tcPr>
            <w:tcW w:w="2113" w:type="dxa"/>
            <w:vMerge w:val="restart"/>
            <w:tcBorders>
              <w:top w:val="single" w:color="auto" w:sz="4" w:space="0"/>
              <w:left w:val="nil"/>
              <w:bottom w:val="single" w:color="auto" w:sz="4" w:space="0"/>
              <w:right w:val="single" w:color="auto" w:sz="4" w:space="0"/>
            </w:tcBorders>
            <w:noWrap w:val="0"/>
            <w:vAlign w:val="center"/>
          </w:tcPr>
          <w:p w14:paraId="7347DD4E">
            <w:pPr>
              <w:widowControl/>
              <w:spacing w:line="240" w:lineRule="exact"/>
              <w:jc w:val="left"/>
              <w:rPr>
                <w:rFonts w:hint="eastAsia" w:ascii="宋体" w:hAnsi="宋体" w:eastAsia="宋体" w:cs="宋体"/>
                <w:color w:val="000000"/>
                <w:spacing w:val="-12"/>
                <w:kern w:val="0"/>
                <w:sz w:val="18"/>
                <w:szCs w:val="18"/>
              </w:rPr>
            </w:pPr>
            <w:r>
              <w:rPr>
                <w:rFonts w:hint="eastAsia" w:ascii="宋体" w:hAnsi="宋体" w:eastAsia="宋体" w:cs="宋体"/>
                <w:color w:val="000000"/>
                <w:spacing w:val="-12"/>
                <w:kern w:val="0"/>
                <w:sz w:val="18"/>
                <w:szCs w:val="18"/>
              </w:rPr>
              <w:t>软件和信息技术服</w:t>
            </w:r>
            <w:r>
              <w:rPr>
                <w:rFonts w:hint="eastAsia" w:ascii="宋体" w:hAnsi="宋体" w:eastAsia="宋体" w:cs="宋体"/>
                <w:color w:val="000000"/>
                <w:kern w:val="0"/>
                <w:sz w:val="18"/>
                <w:szCs w:val="18"/>
              </w:rPr>
              <w:t>务业</w:t>
            </w:r>
          </w:p>
        </w:tc>
        <w:tc>
          <w:tcPr>
            <w:tcW w:w="1369" w:type="dxa"/>
            <w:tcBorders>
              <w:top w:val="nil"/>
              <w:left w:val="nil"/>
              <w:bottom w:val="nil"/>
              <w:right w:val="single" w:color="auto" w:sz="4" w:space="0"/>
            </w:tcBorders>
            <w:noWrap w:val="0"/>
            <w:vAlign w:val="center"/>
          </w:tcPr>
          <w:p w14:paraId="00EF49D6">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从业人员(X)</w:t>
            </w:r>
          </w:p>
        </w:tc>
        <w:tc>
          <w:tcPr>
            <w:tcW w:w="709" w:type="dxa"/>
            <w:tcBorders>
              <w:top w:val="nil"/>
              <w:left w:val="nil"/>
              <w:bottom w:val="nil"/>
              <w:right w:val="single" w:color="auto" w:sz="4" w:space="0"/>
            </w:tcBorders>
            <w:noWrap w:val="0"/>
            <w:vAlign w:val="center"/>
          </w:tcPr>
          <w:p w14:paraId="32C91DAC">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人</w:t>
            </w:r>
          </w:p>
        </w:tc>
        <w:tc>
          <w:tcPr>
            <w:tcW w:w="1125" w:type="dxa"/>
            <w:tcBorders>
              <w:top w:val="nil"/>
              <w:left w:val="nil"/>
              <w:bottom w:val="nil"/>
              <w:right w:val="single" w:color="auto" w:sz="4" w:space="0"/>
            </w:tcBorders>
            <w:noWrap w:val="0"/>
            <w:vAlign w:val="center"/>
          </w:tcPr>
          <w:p w14:paraId="5BED2E10">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X≥300</w:t>
            </w:r>
          </w:p>
        </w:tc>
        <w:tc>
          <w:tcPr>
            <w:tcW w:w="1701" w:type="dxa"/>
            <w:tcBorders>
              <w:top w:val="nil"/>
              <w:left w:val="nil"/>
              <w:bottom w:val="nil"/>
              <w:right w:val="single" w:color="auto" w:sz="4" w:space="0"/>
            </w:tcBorders>
            <w:noWrap w:val="0"/>
            <w:vAlign w:val="center"/>
          </w:tcPr>
          <w:p w14:paraId="58D17290">
            <w:pPr>
              <w:widowControl/>
              <w:ind w:left="1" w:leftChars="-51" w:hanging="108" w:hangingChars="60"/>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100≤X＜300 </w:t>
            </w:r>
          </w:p>
        </w:tc>
        <w:tc>
          <w:tcPr>
            <w:tcW w:w="1426" w:type="dxa"/>
            <w:tcBorders>
              <w:top w:val="nil"/>
              <w:left w:val="nil"/>
              <w:bottom w:val="nil"/>
              <w:right w:val="single" w:color="auto" w:sz="4" w:space="0"/>
            </w:tcBorders>
            <w:noWrap w:val="0"/>
            <w:vAlign w:val="center"/>
          </w:tcPr>
          <w:p w14:paraId="59FF0472">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10≤X＜100</w:t>
            </w:r>
          </w:p>
        </w:tc>
        <w:tc>
          <w:tcPr>
            <w:tcW w:w="992" w:type="dxa"/>
            <w:tcBorders>
              <w:top w:val="nil"/>
              <w:left w:val="nil"/>
              <w:bottom w:val="nil"/>
              <w:right w:val="nil"/>
            </w:tcBorders>
            <w:noWrap w:val="0"/>
            <w:vAlign w:val="center"/>
          </w:tcPr>
          <w:p w14:paraId="0E0AFF9A">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X＜10</w:t>
            </w:r>
          </w:p>
        </w:tc>
      </w:tr>
      <w:tr w14:paraId="227F5F3E">
        <w:tblPrEx>
          <w:tblCellMar>
            <w:top w:w="0" w:type="dxa"/>
            <w:left w:w="108" w:type="dxa"/>
            <w:bottom w:w="0" w:type="dxa"/>
            <w:right w:w="108" w:type="dxa"/>
          </w:tblCellMar>
        </w:tblPrEx>
        <w:trPr>
          <w:trHeight w:val="340" w:hRule="exact"/>
          <w:jc w:val="center"/>
        </w:trPr>
        <w:tc>
          <w:tcPr>
            <w:tcW w:w="2113" w:type="dxa"/>
            <w:vMerge w:val="continue"/>
            <w:tcBorders>
              <w:top w:val="single" w:color="auto" w:sz="4" w:space="0"/>
              <w:left w:val="nil"/>
              <w:bottom w:val="single" w:color="auto" w:sz="4" w:space="0"/>
              <w:right w:val="single" w:color="auto" w:sz="4" w:space="0"/>
            </w:tcBorders>
            <w:noWrap w:val="0"/>
            <w:vAlign w:val="center"/>
          </w:tcPr>
          <w:p w14:paraId="3BB77C77">
            <w:pPr>
              <w:widowControl/>
              <w:jc w:val="left"/>
              <w:rPr>
                <w:rFonts w:hint="eastAsia" w:ascii="宋体" w:hAnsi="宋体" w:eastAsia="宋体" w:cs="宋体"/>
                <w:color w:val="000000"/>
                <w:spacing w:val="-12"/>
                <w:kern w:val="0"/>
                <w:sz w:val="18"/>
                <w:szCs w:val="18"/>
              </w:rPr>
            </w:pPr>
          </w:p>
        </w:tc>
        <w:tc>
          <w:tcPr>
            <w:tcW w:w="1369" w:type="dxa"/>
            <w:tcBorders>
              <w:top w:val="nil"/>
              <w:left w:val="nil"/>
              <w:bottom w:val="single" w:color="auto" w:sz="4" w:space="0"/>
              <w:right w:val="single" w:color="auto" w:sz="4" w:space="0"/>
            </w:tcBorders>
            <w:noWrap w:val="0"/>
            <w:vAlign w:val="center"/>
          </w:tcPr>
          <w:p w14:paraId="39AA1719">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7FC5EA85">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万元</w:t>
            </w:r>
          </w:p>
        </w:tc>
        <w:tc>
          <w:tcPr>
            <w:tcW w:w="1125" w:type="dxa"/>
            <w:tcBorders>
              <w:top w:val="nil"/>
              <w:left w:val="nil"/>
              <w:bottom w:val="single" w:color="auto" w:sz="4" w:space="0"/>
              <w:right w:val="single" w:color="auto" w:sz="4" w:space="0"/>
            </w:tcBorders>
            <w:noWrap w:val="0"/>
            <w:vAlign w:val="center"/>
          </w:tcPr>
          <w:p w14:paraId="7D6D49D1">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Y≥10000</w:t>
            </w:r>
          </w:p>
        </w:tc>
        <w:tc>
          <w:tcPr>
            <w:tcW w:w="1701" w:type="dxa"/>
            <w:tcBorders>
              <w:top w:val="nil"/>
              <w:left w:val="nil"/>
              <w:bottom w:val="single" w:color="auto" w:sz="4" w:space="0"/>
              <w:right w:val="single" w:color="auto" w:sz="4" w:space="0"/>
            </w:tcBorders>
            <w:noWrap w:val="0"/>
            <w:vAlign w:val="center"/>
          </w:tcPr>
          <w:p w14:paraId="559D0439">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1000≤Y＜10000</w:t>
            </w:r>
          </w:p>
        </w:tc>
        <w:tc>
          <w:tcPr>
            <w:tcW w:w="1426" w:type="dxa"/>
            <w:tcBorders>
              <w:top w:val="nil"/>
              <w:left w:val="nil"/>
              <w:bottom w:val="single" w:color="auto" w:sz="4" w:space="0"/>
              <w:right w:val="single" w:color="auto" w:sz="4" w:space="0"/>
            </w:tcBorders>
            <w:noWrap w:val="0"/>
            <w:vAlign w:val="center"/>
          </w:tcPr>
          <w:p w14:paraId="69499024">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50≤Y＜1000</w:t>
            </w:r>
          </w:p>
        </w:tc>
        <w:tc>
          <w:tcPr>
            <w:tcW w:w="992" w:type="dxa"/>
            <w:tcBorders>
              <w:top w:val="nil"/>
              <w:left w:val="nil"/>
              <w:bottom w:val="single" w:color="auto" w:sz="4" w:space="0"/>
              <w:right w:val="nil"/>
            </w:tcBorders>
            <w:noWrap w:val="0"/>
            <w:vAlign w:val="center"/>
          </w:tcPr>
          <w:p w14:paraId="60D6B6A1">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Y＜50</w:t>
            </w:r>
          </w:p>
        </w:tc>
      </w:tr>
      <w:tr w14:paraId="32295058">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noWrap w:val="0"/>
            <w:vAlign w:val="center"/>
          </w:tcPr>
          <w:p w14:paraId="520565BB">
            <w:pPr>
              <w:widowControl/>
              <w:spacing w:line="24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房地产开发经营</w:t>
            </w:r>
          </w:p>
        </w:tc>
        <w:tc>
          <w:tcPr>
            <w:tcW w:w="1369" w:type="dxa"/>
            <w:tcBorders>
              <w:top w:val="nil"/>
              <w:left w:val="nil"/>
              <w:bottom w:val="nil"/>
              <w:right w:val="single" w:color="auto" w:sz="4" w:space="0"/>
            </w:tcBorders>
            <w:noWrap w:val="0"/>
            <w:vAlign w:val="center"/>
          </w:tcPr>
          <w:p w14:paraId="5C5A7D82">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营业收入(Y)</w:t>
            </w:r>
          </w:p>
        </w:tc>
        <w:tc>
          <w:tcPr>
            <w:tcW w:w="709" w:type="dxa"/>
            <w:tcBorders>
              <w:top w:val="nil"/>
              <w:left w:val="nil"/>
              <w:bottom w:val="nil"/>
              <w:right w:val="single" w:color="auto" w:sz="4" w:space="0"/>
            </w:tcBorders>
            <w:noWrap w:val="0"/>
            <w:vAlign w:val="center"/>
          </w:tcPr>
          <w:p w14:paraId="759C0415">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万元</w:t>
            </w:r>
          </w:p>
        </w:tc>
        <w:tc>
          <w:tcPr>
            <w:tcW w:w="1125" w:type="dxa"/>
            <w:tcBorders>
              <w:top w:val="nil"/>
              <w:left w:val="nil"/>
              <w:bottom w:val="nil"/>
              <w:right w:val="single" w:color="auto" w:sz="4" w:space="0"/>
            </w:tcBorders>
            <w:noWrap w:val="0"/>
            <w:vAlign w:val="center"/>
          </w:tcPr>
          <w:p w14:paraId="24C4CE88">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Y≥200000</w:t>
            </w:r>
          </w:p>
        </w:tc>
        <w:tc>
          <w:tcPr>
            <w:tcW w:w="1701" w:type="dxa"/>
            <w:tcBorders>
              <w:top w:val="nil"/>
              <w:left w:val="nil"/>
              <w:bottom w:val="nil"/>
              <w:right w:val="single" w:color="auto" w:sz="4" w:space="0"/>
            </w:tcBorders>
            <w:noWrap w:val="0"/>
            <w:vAlign w:val="center"/>
          </w:tcPr>
          <w:p w14:paraId="00995C1B">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1000≤Y＜200000</w:t>
            </w:r>
          </w:p>
        </w:tc>
        <w:tc>
          <w:tcPr>
            <w:tcW w:w="1426" w:type="dxa"/>
            <w:tcBorders>
              <w:top w:val="nil"/>
              <w:left w:val="nil"/>
              <w:bottom w:val="nil"/>
              <w:right w:val="single" w:color="auto" w:sz="4" w:space="0"/>
            </w:tcBorders>
            <w:noWrap w:val="0"/>
            <w:vAlign w:val="center"/>
          </w:tcPr>
          <w:p w14:paraId="58F9506F">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100≤Y＜1000</w:t>
            </w:r>
          </w:p>
        </w:tc>
        <w:tc>
          <w:tcPr>
            <w:tcW w:w="992" w:type="dxa"/>
            <w:tcBorders>
              <w:top w:val="nil"/>
              <w:left w:val="nil"/>
              <w:bottom w:val="nil"/>
              <w:right w:val="nil"/>
            </w:tcBorders>
            <w:noWrap w:val="0"/>
            <w:vAlign w:val="center"/>
          </w:tcPr>
          <w:p w14:paraId="5B3F6D3C">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Y＜100</w:t>
            </w:r>
          </w:p>
        </w:tc>
      </w:tr>
      <w:tr w14:paraId="3924C487">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noWrap w:val="0"/>
            <w:vAlign w:val="center"/>
          </w:tcPr>
          <w:p w14:paraId="132431B3">
            <w:pPr>
              <w:widowControl/>
              <w:jc w:val="left"/>
              <w:rPr>
                <w:rFonts w:hint="eastAsia" w:ascii="宋体" w:hAnsi="宋体" w:eastAsia="宋体" w:cs="宋体"/>
                <w:color w:val="000000"/>
                <w:kern w:val="0"/>
                <w:sz w:val="18"/>
                <w:szCs w:val="18"/>
              </w:rPr>
            </w:pPr>
          </w:p>
        </w:tc>
        <w:tc>
          <w:tcPr>
            <w:tcW w:w="1369" w:type="dxa"/>
            <w:tcBorders>
              <w:top w:val="nil"/>
              <w:left w:val="nil"/>
              <w:bottom w:val="single" w:color="auto" w:sz="4" w:space="0"/>
              <w:right w:val="single" w:color="auto" w:sz="4" w:space="0"/>
            </w:tcBorders>
            <w:noWrap w:val="0"/>
            <w:vAlign w:val="center"/>
          </w:tcPr>
          <w:p w14:paraId="73B65DE9">
            <w:pPr>
              <w:widowControl/>
              <w:spacing w:line="2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资产总额(Z)</w:t>
            </w:r>
          </w:p>
        </w:tc>
        <w:tc>
          <w:tcPr>
            <w:tcW w:w="709" w:type="dxa"/>
            <w:tcBorders>
              <w:top w:val="nil"/>
              <w:left w:val="nil"/>
              <w:bottom w:val="single" w:color="auto" w:sz="4" w:space="0"/>
              <w:right w:val="single" w:color="auto" w:sz="4" w:space="0"/>
            </w:tcBorders>
            <w:noWrap w:val="0"/>
            <w:vAlign w:val="center"/>
          </w:tcPr>
          <w:p w14:paraId="443D4E7C">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万元</w:t>
            </w:r>
          </w:p>
        </w:tc>
        <w:tc>
          <w:tcPr>
            <w:tcW w:w="1125" w:type="dxa"/>
            <w:tcBorders>
              <w:top w:val="nil"/>
              <w:left w:val="nil"/>
              <w:bottom w:val="single" w:color="auto" w:sz="4" w:space="0"/>
              <w:right w:val="single" w:color="auto" w:sz="4" w:space="0"/>
            </w:tcBorders>
            <w:noWrap w:val="0"/>
            <w:vAlign w:val="center"/>
          </w:tcPr>
          <w:p w14:paraId="2EC58A14">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Z≥10000</w:t>
            </w:r>
          </w:p>
        </w:tc>
        <w:tc>
          <w:tcPr>
            <w:tcW w:w="1701" w:type="dxa"/>
            <w:tcBorders>
              <w:top w:val="nil"/>
              <w:left w:val="nil"/>
              <w:bottom w:val="single" w:color="auto" w:sz="4" w:space="0"/>
              <w:right w:val="single" w:color="auto" w:sz="4" w:space="0"/>
            </w:tcBorders>
            <w:noWrap w:val="0"/>
            <w:vAlign w:val="center"/>
          </w:tcPr>
          <w:p w14:paraId="6B587DE8">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5000≤Z＜10000</w:t>
            </w:r>
          </w:p>
        </w:tc>
        <w:tc>
          <w:tcPr>
            <w:tcW w:w="1426" w:type="dxa"/>
            <w:tcBorders>
              <w:top w:val="nil"/>
              <w:left w:val="nil"/>
              <w:bottom w:val="single" w:color="auto" w:sz="4" w:space="0"/>
              <w:right w:val="single" w:color="auto" w:sz="4" w:space="0"/>
            </w:tcBorders>
            <w:noWrap w:val="0"/>
            <w:vAlign w:val="center"/>
          </w:tcPr>
          <w:p w14:paraId="3F4E41AE">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2000≤Z＜5000   </w:t>
            </w:r>
          </w:p>
        </w:tc>
        <w:tc>
          <w:tcPr>
            <w:tcW w:w="992" w:type="dxa"/>
            <w:tcBorders>
              <w:top w:val="nil"/>
              <w:left w:val="nil"/>
              <w:bottom w:val="single" w:color="auto" w:sz="4" w:space="0"/>
              <w:right w:val="nil"/>
            </w:tcBorders>
            <w:noWrap w:val="0"/>
            <w:vAlign w:val="center"/>
          </w:tcPr>
          <w:p w14:paraId="04535C1A">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Z＜2000</w:t>
            </w:r>
          </w:p>
        </w:tc>
      </w:tr>
      <w:tr w14:paraId="57E2C7FA">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noWrap w:val="0"/>
            <w:vAlign w:val="center"/>
          </w:tcPr>
          <w:p w14:paraId="562C83F1">
            <w:pPr>
              <w:widowControl/>
              <w:spacing w:line="24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物业管理</w:t>
            </w:r>
          </w:p>
        </w:tc>
        <w:tc>
          <w:tcPr>
            <w:tcW w:w="1369" w:type="dxa"/>
            <w:tcBorders>
              <w:top w:val="nil"/>
              <w:left w:val="nil"/>
              <w:bottom w:val="nil"/>
              <w:right w:val="single" w:color="auto" w:sz="4" w:space="0"/>
            </w:tcBorders>
            <w:noWrap w:val="0"/>
            <w:vAlign w:val="center"/>
          </w:tcPr>
          <w:p w14:paraId="7352C0B3">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从业人员(X)</w:t>
            </w:r>
          </w:p>
        </w:tc>
        <w:tc>
          <w:tcPr>
            <w:tcW w:w="709" w:type="dxa"/>
            <w:tcBorders>
              <w:top w:val="nil"/>
              <w:left w:val="nil"/>
              <w:bottom w:val="nil"/>
              <w:right w:val="single" w:color="auto" w:sz="4" w:space="0"/>
            </w:tcBorders>
            <w:noWrap w:val="0"/>
            <w:vAlign w:val="center"/>
          </w:tcPr>
          <w:p w14:paraId="0E618B8E">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人</w:t>
            </w:r>
          </w:p>
        </w:tc>
        <w:tc>
          <w:tcPr>
            <w:tcW w:w="1125" w:type="dxa"/>
            <w:tcBorders>
              <w:top w:val="nil"/>
              <w:left w:val="nil"/>
              <w:bottom w:val="nil"/>
              <w:right w:val="single" w:color="auto" w:sz="4" w:space="0"/>
            </w:tcBorders>
            <w:noWrap w:val="0"/>
            <w:vAlign w:val="center"/>
          </w:tcPr>
          <w:p w14:paraId="2B118A52">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X≥1000</w:t>
            </w:r>
          </w:p>
        </w:tc>
        <w:tc>
          <w:tcPr>
            <w:tcW w:w="1701" w:type="dxa"/>
            <w:tcBorders>
              <w:top w:val="nil"/>
              <w:left w:val="nil"/>
              <w:bottom w:val="nil"/>
              <w:right w:val="single" w:color="auto" w:sz="4" w:space="0"/>
            </w:tcBorders>
            <w:noWrap w:val="0"/>
            <w:vAlign w:val="center"/>
          </w:tcPr>
          <w:p w14:paraId="371C386F">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300≤X＜1000</w:t>
            </w:r>
          </w:p>
        </w:tc>
        <w:tc>
          <w:tcPr>
            <w:tcW w:w="1426" w:type="dxa"/>
            <w:tcBorders>
              <w:top w:val="nil"/>
              <w:left w:val="nil"/>
              <w:bottom w:val="nil"/>
              <w:right w:val="single" w:color="auto" w:sz="4" w:space="0"/>
            </w:tcBorders>
            <w:noWrap w:val="0"/>
            <w:vAlign w:val="center"/>
          </w:tcPr>
          <w:p w14:paraId="0225DF40">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100≤X＜300 </w:t>
            </w:r>
          </w:p>
        </w:tc>
        <w:tc>
          <w:tcPr>
            <w:tcW w:w="992" w:type="dxa"/>
            <w:tcBorders>
              <w:top w:val="nil"/>
              <w:left w:val="nil"/>
              <w:bottom w:val="nil"/>
              <w:right w:val="nil"/>
            </w:tcBorders>
            <w:noWrap w:val="0"/>
            <w:vAlign w:val="center"/>
          </w:tcPr>
          <w:p w14:paraId="009316F5">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X＜100</w:t>
            </w:r>
          </w:p>
        </w:tc>
      </w:tr>
      <w:tr w14:paraId="0F8E9EBD">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noWrap w:val="0"/>
            <w:vAlign w:val="center"/>
          </w:tcPr>
          <w:p w14:paraId="1AED8590">
            <w:pPr>
              <w:widowControl/>
              <w:jc w:val="left"/>
              <w:rPr>
                <w:rFonts w:hint="eastAsia" w:ascii="宋体" w:hAnsi="宋体" w:eastAsia="宋体" w:cs="宋体"/>
                <w:color w:val="000000"/>
                <w:kern w:val="0"/>
                <w:sz w:val="18"/>
                <w:szCs w:val="18"/>
              </w:rPr>
            </w:pPr>
          </w:p>
        </w:tc>
        <w:tc>
          <w:tcPr>
            <w:tcW w:w="1369" w:type="dxa"/>
            <w:tcBorders>
              <w:top w:val="nil"/>
              <w:left w:val="nil"/>
              <w:bottom w:val="single" w:color="auto" w:sz="4" w:space="0"/>
              <w:right w:val="single" w:color="auto" w:sz="4" w:space="0"/>
            </w:tcBorders>
            <w:noWrap w:val="0"/>
            <w:vAlign w:val="center"/>
          </w:tcPr>
          <w:p w14:paraId="09C5277C">
            <w:pPr>
              <w:widowControl/>
              <w:spacing w:line="2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222E7515">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万元</w:t>
            </w:r>
          </w:p>
        </w:tc>
        <w:tc>
          <w:tcPr>
            <w:tcW w:w="1125" w:type="dxa"/>
            <w:tcBorders>
              <w:top w:val="nil"/>
              <w:left w:val="nil"/>
              <w:bottom w:val="single" w:color="auto" w:sz="4" w:space="0"/>
              <w:right w:val="single" w:color="auto" w:sz="4" w:space="0"/>
            </w:tcBorders>
            <w:noWrap w:val="0"/>
            <w:vAlign w:val="center"/>
          </w:tcPr>
          <w:p w14:paraId="63079EE0">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Y≥5000</w:t>
            </w:r>
          </w:p>
        </w:tc>
        <w:tc>
          <w:tcPr>
            <w:tcW w:w="1701" w:type="dxa"/>
            <w:tcBorders>
              <w:top w:val="nil"/>
              <w:left w:val="nil"/>
              <w:bottom w:val="single" w:color="auto" w:sz="4" w:space="0"/>
              <w:right w:val="single" w:color="auto" w:sz="4" w:space="0"/>
            </w:tcBorders>
            <w:noWrap w:val="0"/>
            <w:vAlign w:val="center"/>
          </w:tcPr>
          <w:p w14:paraId="5310B040">
            <w:pPr>
              <w:widowControl/>
              <w:ind w:left="1" w:leftChars="-51" w:hanging="108" w:hangingChars="60"/>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1000≤Y＜5000 </w:t>
            </w:r>
          </w:p>
        </w:tc>
        <w:tc>
          <w:tcPr>
            <w:tcW w:w="1426" w:type="dxa"/>
            <w:tcBorders>
              <w:top w:val="nil"/>
              <w:left w:val="nil"/>
              <w:bottom w:val="single" w:color="auto" w:sz="4" w:space="0"/>
              <w:right w:val="single" w:color="auto" w:sz="4" w:space="0"/>
            </w:tcBorders>
            <w:noWrap w:val="0"/>
            <w:vAlign w:val="center"/>
          </w:tcPr>
          <w:p w14:paraId="06EDE3F9">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500≤Y＜1000</w:t>
            </w:r>
          </w:p>
        </w:tc>
        <w:tc>
          <w:tcPr>
            <w:tcW w:w="992" w:type="dxa"/>
            <w:tcBorders>
              <w:top w:val="nil"/>
              <w:left w:val="nil"/>
              <w:bottom w:val="single" w:color="auto" w:sz="4" w:space="0"/>
              <w:right w:val="nil"/>
            </w:tcBorders>
            <w:noWrap w:val="0"/>
            <w:vAlign w:val="center"/>
          </w:tcPr>
          <w:p w14:paraId="1658E89D">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Y＜500</w:t>
            </w:r>
          </w:p>
        </w:tc>
      </w:tr>
      <w:tr w14:paraId="55C952AC">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noWrap w:val="0"/>
            <w:vAlign w:val="center"/>
          </w:tcPr>
          <w:p w14:paraId="693A7FC9">
            <w:pPr>
              <w:widowControl/>
              <w:spacing w:line="24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租赁和商务服务业</w:t>
            </w:r>
          </w:p>
        </w:tc>
        <w:tc>
          <w:tcPr>
            <w:tcW w:w="1369" w:type="dxa"/>
            <w:tcBorders>
              <w:top w:val="nil"/>
              <w:left w:val="nil"/>
              <w:bottom w:val="nil"/>
              <w:right w:val="single" w:color="auto" w:sz="4" w:space="0"/>
            </w:tcBorders>
            <w:noWrap w:val="0"/>
            <w:vAlign w:val="center"/>
          </w:tcPr>
          <w:p w14:paraId="58D2B402">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从业人员(X)</w:t>
            </w:r>
          </w:p>
        </w:tc>
        <w:tc>
          <w:tcPr>
            <w:tcW w:w="709" w:type="dxa"/>
            <w:tcBorders>
              <w:top w:val="nil"/>
              <w:left w:val="nil"/>
              <w:bottom w:val="nil"/>
              <w:right w:val="single" w:color="auto" w:sz="4" w:space="0"/>
            </w:tcBorders>
            <w:noWrap w:val="0"/>
            <w:vAlign w:val="center"/>
          </w:tcPr>
          <w:p w14:paraId="3BCCB591">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人</w:t>
            </w:r>
          </w:p>
        </w:tc>
        <w:tc>
          <w:tcPr>
            <w:tcW w:w="1125" w:type="dxa"/>
            <w:tcBorders>
              <w:top w:val="nil"/>
              <w:left w:val="nil"/>
              <w:bottom w:val="nil"/>
              <w:right w:val="single" w:color="auto" w:sz="4" w:space="0"/>
            </w:tcBorders>
            <w:noWrap w:val="0"/>
            <w:vAlign w:val="center"/>
          </w:tcPr>
          <w:p w14:paraId="2553FF0C">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X≥300</w:t>
            </w:r>
          </w:p>
        </w:tc>
        <w:tc>
          <w:tcPr>
            <w:tcW w:w="1701" w:type="dxa"/>
            <w:tcBorders>
              <w:top w:val="nil"/>
              <w:left w:val="nil"/>
              <w:bottom w:val="nil"/>
              <w:right w:val="single" w:color="auto" w:sz="4" w:space="0"/>
            </w:tcBorders>
            <w:noWrap w:val="0"/>
            <w:vAlign w:val="center"/>
          </w:tcPr>
          <w:p w14:paraId="551E8950">
            <w:pPr>
              <w:widowControl/>
              <w:ind w:left="1" w:leftChars="-51" w:hanging="108" w:hangingChars="60"/>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100≤X＜300 </w:t>
            </w:r>
          </w:p>
        </w:tc>
        <w:tc>
          <w:tcPr>
            <w:tcW w:w="1426" w:type="dxa"/>
            <w:tcBorders>
              <w:top w:val="nil"/>
              <w:left w:val="nil"/>
              <w:bottom w:val="nil"/>
              <w:right w:val="single" w:color="auto" w:sz="4" w:space="0"/>
            </w:tcBorders>
            <w:noWrap w:val="0"/>
            <w:vAlign w:val="center"/>
          </w:tcPr>
          <w:p w14:paraId="40799896">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10≤X＜100</w:t>
            </w:r>
          </w:p>
        </w:tc>
        <w:tc>
          <w:tcPr>
            <w:tcW w:w="992" w:type="dxa"/>
            <w:tcBorders>
              <w:top w:val="nil"/>
              <w:left w:val="nil"/>
              <w:bottom w:val="nil"/>
              <w:right w:val="nil"/>
            </w:tcBorders>
            <w:noWrap w:val="0"/>
            <w:vAlign w:val="center"/>
          </w:tcPr>
          <w:p w14:paraId="34A43964">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X＜10</w:t>
            </w:r>
          </w:p>
        </w:tc>
      </w:tr>
      <w:tr w14:paraId="729B8B86">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noWrap w:val="0"/>
            <w:vAlign w:val="center"/>
          </w:tcPr>
          <w:p w14:paraId="5DAE40B1">
            <w:pPr>
              <w:widowControl/>
              <w:jc w:val="left"/>
              <w:rPr>
                <w:rFonts w:hint="eastAsia" w:ascii="宋体" w:hAnsi="宋体" w:eastAsia="宋体" w:cs="宋体"/>
                <w:color w:val="000000"/>
                <w:kern w:val="0"/>
                <w:sz w:val="18"/>
                <w:szCs w:val="18"/>
              </w:rPr>
            </w:pPr>
          </w:p>
        </w:tc>
        <w:tc>
          <w:tcPr>
            <w:tcW w:w="1369" w:type="dxa"/>
            <w:tcBorders>
              <w:top w:val="nil"/>
              <w:left w:val="nil"/>
              <w:bottom w:val="single" w:color="auto" w:sz="4" w:space="0"/>
              <w:right w:val="single" w:color="auto" w:sz="4" w:space="0"/>
            </w:tcBorders>
            <w:noWrap w:val="0"/>
            <w:vAlign w:val="center"/>
          </w:tcPr>
          <w:p w14:paraId="63DC5C8E">
            <w:pPr>
              <w:widowControl/>
              <w:spacing w:line="2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资产总额(Z)</w:t>
            </w:r>
          </w:p>
        </w:tc>
        <w:tc>
          <w:tcPr>
            <w:tcW w:w="709" w:type="dxa"/>
            <w:tcBorders>
              <w:top w:val="nil"/>
              <w:left w:val="nil"/>
              <w:bottom w:val="single" w:color="auto" w:sz="4" w:space="0"/>
              <w:right w:val="single" w:color="auto" w:sz="4" w:space="0"/>
            </w:tcBorders>
            <w:noWrap w:val="0"/>
            <w:vAlign w:val="center"/>
          </w:tcPr>
          <w:p w14:paraId="75ADE719">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万元</w:t>
            </w:r>
          </w:p>
        </w:tc>
        <w:tc>
          <w:tcPr>
            <w:tcW w:w="1125" w:type="dxa"/>
            <w:tcBorders>
              <w:top w:val="nil"/>
              <w:left w:val="nil"/>
              <w:bottom w:val="single" w:color="auto" w:sz="4" w:space="0"/>
              <w:right w:val="single" w:color="auto" w:sz="4" w:space="0"/>
            </w:tcBorders>
            <w:noWrap w:val="0"/>
            <w:vAlign w:val="center"/>
          </w:tcPr>
          <w:p w14:paraId="38032C2F">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Z≥120000</w:t>
            </w:r>
          </w:p>
        </w:tc>
        <w:tc>
          <w:tcPr>
            <w:tcW w:w="1701" w:type="dxa"/>
            <w:tcBorders>
              <w:top w:val="nil"/>
              <w:left w:val="nil"/>
              <w:bottom w:val="single" w:color="auto" w:sz="4" w:space="0"/>
              <w:right w:val="single" w:color="auto" w:sz="4" w:space="0"/>
            </w:tcBorders>
            <w:noWrap w:val="0"/>
            <w:vAlign w:val="center"/>
          </w:tcPr>
          <w:p w14:paraId="2068BBC7">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8000≤Z＜120000</w:t>
            </w:r>
          </w:p>
        </w:tc>
        <w:tc>
          <w:tcPr>
            <w:tcW w:w="1426" w:type="dxa"/>
            <w:tcBorders>
              <w:top w:val="nil"/>
              <w:left w:val="nil"/>
              <w:bottom w:val="single" w:color="auto" w:sz="4" w:space="0"/>
              <w:right w:val="single" w:color="auto" w:sz="4" w:space="0"/>
            </w:tcBorders>
            <w:noWrap w:val="0"/>
            <w:vAlign w:val="center"/>
          </w:tcPr>
          <w:p w14:paraId="6639816A">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100≤Z＜8000</w:t>
            </w:r>
          </w:p>
        </w:tc>
        <w:tc>
          <w:tcPr>
            <w:tcW w:w="992" w:type="dxa"/>
            <w:tcBorders>
              <w:top w:val="nil"/>
              <w:left w:val="nil"/>
              <w:bottom w:val="single" w:color="auto" w:sz="4" w:space="0"/>
              <w:right w:val="nil"/>
            </w:tcBorders>
            <w:noWrap w:val="0"/>
            <w:vAlign w:val="center"/>
          </w:tcPr>
          <w:p w14:paraId="0C6D7B6D">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Z＜100</w:t>
            </w:r>
          </w:p>
        </w:tc>
      </w:tr>
      <w:tr w14:paraId="51E43FD2">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noWrap w:val="0"/>
            <w:vAlign w:val="center"/>
          </w:tcPr>
          <w:p w14:paraId="042B8BFA">
            <w:pPr>
              <w:widowControl/>
              <w:spacing w:line="240" w:lineRule="exact"/>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其他未列明行业 *</w:t>
            </w:r>
          </w:p>
        </w:tc>
        <w:tc>
          <w:tcPr>
            <w:tcW w:w="1369" w:type="dxa"/>
            <w:tcBorders>
              <w:top w:val="nil"/>
              <w:left w:val="nil"/>
              <w:bottom w:val="single" w:color="auto" w:sz="4" w:space="0"/>
              <w:right w:val="single" w:color="auto" w:sz="4" w:space="0"/>
            </w:tcBorders>
            <w:noWrap w:val="0"/>
            <w:vAlign w:val="center"/>
          </w:tcPr>
          <w:p w14:paraId="1B9ACD79">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从业人员(X)</w:t>
            </w:r>
          </w:p>
        </w:tc>
        <w:tc>
          <w:tcPr>
            <w:tcW w:w="709" w:type="dxa"/>
            <w:tcBorders>
              <w:top w:val="nil"/>
              <w:left w:val="nil"/>
              <w:bottom w:val="single" w:color="auto" w:sz="4" w:space="0"/>
              <w:right w:val="single" w:color="auto" w:sz="4" w:space="0"/>
            </w:tcBorders>
            <w:noWrap w:val="0"/>
            <w:vAlign w:val="center"/>
          </w:tcPr>
          <w:p w14:paraId="02D8080D">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人</w:t>
            </w:r>
          </w:p>
        </w:tc>
        <w:tc>
          <w:tcPr>
            <w:tcW w:w="1125" w:type="dxa"/>
            <w:tcBorders>
              <w:top w:val="nil"/>
              <w:left w:val="nil"/>
              <w:bottom w:val="single" w:color="auto" w:sz="4" w:space="0"/>
              <w:right w:val="single" w:color="auto" w:sz="4" w:space="0"/>
            </w:tcBorders>
            <w:noWrap w:val="0"/>
            <w:vAlign w:val="center"/>
          </w:tcPr>
          <w:p w14:paraId="0C312A57">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X≥300</w:t>
            </w:r>
          </w:p>
        </w:tc>
        <w:tc>
          <w:tcPr>
            <w:tcW w:w="1701" w:type="dxa"/>
            <w:tcBorders>
              <w:top w:val="nil"/>
              <w:left w:val="nil"/>
              <w:bottom w:val="single" w:color="auto" w:sz="4" w:space="0"/>
              <w:right w:val="single" w:color="auto" w:sz="4" w:space="0"/>
            </w:tcBorders>
            <w:noWrap w:val="0"/>
            <w:vAlign w:val="center"/>
          </w:tcPr>
          <w:p w14:paraId="4BCDAD5E">
            <w:pPr>
              <w:widowControl/>
              <w:ind w:left="1" w:leftChars="-51" w:hanging="108" w:hangingChars="60"/>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100≤X＜300 </w:t>
            </w:r>
          </w:p>
        </w:tc>
        <w:tc>
          <w:tcPr>
            <w:tcW w:w="1426" w:type="dxa"/>
            <w:tcBorders>
              <w:top w:val="nil"/>
              <w:left w:val="nil"/>
              <w:bottom w:val="single" w:color="auto" w:sz="4" w:space="0"/>
              <w:right w:val="single" w:color="auto" w:sz="4" w:space="0"/>
            </w:tcBorders>
            <w:noWrap w:val="0"/>
            <w:vAlign w:val="center"/>
          </w:tcPr>
          <w:p w14:paraId="2F372AB8">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 10≤X＜100</w:t>
            </w:r>
          </w:p>
        </w:tc>
        <w:tc>
          <w:tcPr>
            <w:tcW w:w="992" w:type="dxa"/>
            <w:tcBorders>
              <w:top w:val="nil"/>
              <w:left w:val="nil"/>
              <w:bottom w:val="single" w:color="auto" w:sz="4" w:space="0"/>
              <w:right w:val="nil"/>
            </w:tcBorders>
            <w:noWrap w:val="0"/>
            <w:vAlign w:val="center"/>
          </w:tcPr>
          <w:p w14:paraId="052147D8">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X＜10</w:t>
            </w:r>
          </w:p>
        </w:tc>
      </w:tr>
    </w:tbl>
    <w:p w14:paraId="07F9063B">
      <w:pPr>
        <w:spacing w:line="540" w:lineRule="exact"/>
        <w:rPr>
          <w:rFonts w:hint="eastAsia" w:ascii="宋体" w:hAnsi="宋体" w:eastAsia="宋体" w:cs="宋体"/>
          <w:color w:val="000000"/>
          <w:spacing w:val="8"/>
          <w:kern w:val="0"/>
          <w:sz w:val="24"/>
          <w:szCs w:val="24"/>
        </w:rPr>
      </w:pPr>
    </w:p>
    <w:p w14:paraId="68C9A1AF">
      <w:pPr>
        <w:spacing w:line="540" w:lineRule="exact"/>
        <w:rPr>
          <w:rFonts w:hint="eastAsia" w:ascii="宋体" w:hAnsi="宋体" w:eastAsia="宋体" w:cs="宋体"/>
          <w:color w:val="000000"/>
          <w:spacing w:val="8"/>
          <w:kern w:val="0"/>
          <w:sz w:val="24"/>
          <w:szCs w:val="24"/>
        </w:rPr>
      </w:pPr>
    </w:p>
    <w:p w14:paraId="69A82139">
      <w:pPr>
        <w:spacing w:line="540" w:lineRule="exact"/>
        <w:rPr>
          <w:rFonts w:hint="eastAsia" w:ascii="宋体" w:hAnsi="宋体" w:eastAsia="宋体" w:cs="宋体"/>
          <w:color w:val="000000"/>
          <w:spacing w:val="8"/>
          <w:kern w:val="0"/>
          <w:sz w:val="24"/>
          <w:szCs w:val="24"/>
        </w:rPr>
      </w:pPr>
      <w:r>
        <w:rPr>
          <w:rFonts w:hint="eastAsia" w:ascii="宋体" w:hAnsi="宋体" w:eastAsia="宋体" w:cs="宋体"/>
          <w:color w:val="000000"/>
          <w:spacing w:val="8"/>
          <w:kern w:val="0"/>
          <w:sz w:val="24"/>
          <w:szCs w:val="24"/>
        </w:rPr>
        <w:t>说明：</w:t>
      </w:r>
    </w:p>
    <w:p w14:paraId="0F7B2980">
      <w:pPr>
        <w:spacing w:line="540" w:lineRule="exact"/>
        <w:rPr>
          <w:rFonts w:hint="eastAsia" w:ascii="宋体" w:hAnsi="宋体" w:eastAsia="宋体" w:cs="宋体"/>
          <w:color w:val="000000"/>
          <w:spacing w:val="8"/>
          <w:kern w:val="0"/>
          <w:sz w:val="24"/>
          <w:szCs w:val="24"/>
        </w:rPr>
      </w:pPr>
      <w:r>
        <w:rPr>
          <w:rFonts w:hint="eastAsia" w:ascii="宋体" w:hAnsi="宋体" w:eastAsia="宋体" w:cs="宋体"/>
          <w:color w:val="000000"/>
          <w:spacing w:val="8"/>
          <w:kern w:val="0"/>
          <w:sz w:val="24"/>
          <w:szCs w:val="24"/>
        </w:rPr>
        <w:t>　　1.大型、中型和小型企业须同时满足所列指标的下限，否则下划一档；微型企业只</w:t>
      </w:r>
      <w:r>
        <w:rPr>
          <w:rFonts w:hint="eastAsia" w:ascii="宋体" w:hAnsi="宋体" w:cs="宋体"/>
          <w:color w:val="000000"/>
          <w:spacing w:val="8"/>
          <w:kern w:val="0"/>
          <w:sz w:val="24"/>
          <w:szCs w:val="24"/>
          <w:lang w:eastAsia="zh-CN"/>
        </w:rPr>
        <w:t>需</w:t>
      </w:r>
      <w:r>
        <w:rPr>
          <w:rFonts w:hint="eastAsia" w:ascii="宋体" w:hAnsi="宋体" w:eastAsia="宋体" w:cs="宋体"/>
          <w:color w:val="000000"/>
          <w:spacing w:val="8"/>
          <w:kern w:val="0"/>
          <w:sz w:val="24"/>
          <w:szCs w:val="24"/>
        </w:rPr>
        <w:t>满足所列指标中的一项即可。</w:t>
      </w:r>
    </w:p>
    <w:p w14:paraId="55BC42E4">
      <w:pPr>
        <w:spacing w:line="540" w:lineRule="exact"/>
        <w:rPr>
          <w:rFonts w:hint="eastAsia" w:ascii="宋体" w:hAnsi="宋体" w:eastAsia="宋体" w:cs="宋体"/>
          <w:color w:val="000000"/>
          <w:spacing w:val="8"/>
          <w:kern w:val="0"/>
          <w:sz w:val="24"/>
          <w:szCs w:val="24"/>
        </w:rPr>
      </w:pPr>
      <w:r>
        <w:rPr>
          <w:rFonts w:hint="eastAsia" w:ascii="宋体" w:hAnsi="宋体" w:eastAsia="宋体" w:cs="宋体"/>
          <w:color w:val="000000"/>
          <w:spacing w:val="8"/>
          <w:kern w:val="0"/>
          <w:sz w:val="24"/>
          <w:szCs w:val="24"/>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06FB070">
      <w:pPr>
        <w:spacing w:line="540" w:lineRule="exact"/>
        <w:rPr>
          <w:rFonts w:hint="eastAsia" w:ascii="宋体" w:hAnsi="宋体" w:eastAsia="宋体" w:cs="宋体"/>
          <w:color w:val="000000"/>
          <w:sz w:val="24"/>
          <w:szCs w:val="24"/>
        </w:rPr>
      </w:pPr>
      <w:r>
        <w:rPr>
          <w:rFonts w:hint="eastAsia" w:ascii="宋体" w:hAnsi="宋体" w:eastAsia="宋体" w:cs="宋体"/>
          <w:color w:val="000000"/>
          <w:spacing w:val="8"/>
          <w:kern w:val="0"/>
          <w:sz w:val="24"/>
          <w:szCs w:val="24"/>
        </w:rPr>
        <w:t>　　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3341E64C">
      <w:pPr>
        <w:pStyle w:val="31"/>
        <w:bidi w:val="0"/>
        <w:ind w:left="0" w:leftChars="0" w:firstLine="0" w:firstLineChars="0"/>
        <w:jc w:val="center"/>
        <w:rPr>
          <w:rFonts w:hint="eastAsia" w:ascii="宋体" w:hAnsi="宋体" w:eastAsia="宋体" w:cs="宋体"/>
          <w:b/>
          <w:color w:val="000000"/>
          <w:sz w:val="28"/>
          <w:szCs w:val="28"/>
          <w:lang w:val="en-US" w:eastAsia="zh-CN"/>
        </w:rPr>
      </w:pPr>
      <w:bookmarkStart w:id="778" w:name="_Toc525210052"/>
    </w:p>
    <w:p w14:paraId="7F1FD1C3">
      <w:pPr>
        <w:pStyle w:val="31"/>
        <w:bidi w:val="0"/>
        <w:ind w:left="0" w:leftChars="0" w:firstLine="0" w:firstLineChars="0"/>
        <w:jc w:val="center"/>
        <w:rPr>
          <w:rFonts w:hint="eastAsia" w:ascii="宋体" w:hAnsi="宋体" w:eastAsia="宋体" w:cs="宋体"/>
          <w:b/>
          <w:color w:val="000000"/>
          <w:sz w:val="28"/>
          <w:szCs w:val="28"/>
          <w:lang w:val="en-US" w:eastAsia="zh-CN"/>
        </w:rPr>
      </w:pPr>
    </w:p>
    <w:p w14:paraId="754E3CF5">
      <w:pPr>
        <w:pStyle w:val="31"/>
        <w:bidi w:val="0"/>
        <w:ind w:left="0" w:leftChars="0" w:firstLine="0" w:firstLineChars="0"/>
        <w:jc w:val="center"/>
        <w:rPr>
          <w:rFonts w:hint="eastAsia" w:ascii="宋体" w:hAnsi="宋体" w:eastAsia="宋体" w:cs="宋体"/>
          <w:b/>
          <w:color w:val="000000"/>
          <w:sz w:val="28"/>
          <w:szCs w:val="28"/>
          <w:lang w:val="en-US" w:eastAsia="zh-CN"/>
        </w:rPr>
      </w:pPr>
    </w:p>
    <w:p w14:paraId="576ED69F">
      <w:pPr>
        <w:pStyle w:val="31"/>
        <w:bidi w:val="0"/>
        <w:ind w:left="0" w:leftChars="0" w:firstLine="0" w:firstLineChars="0"/>
        <w:jc w:val="center"/>
        <w:rPr>
          <w:rFonts w:hint="eastAsia" w:ascii="宋体" w:hAnsi="宋体" w:eastAsia="宋体" w:cs="宋体"/>
          <w:b/>
          <w:color w:val="000000"/>
          <w:sz w:val="28"/>
          <w:szCs w:val="28"/>
          <w:lang w:val="en-US" w:eastAsia="zh-CN"/>
        </w:rPr>
      </w:pPr>
    </w:p>
    <w:p w14:paraId="62B10F34">
      <w:pPr>
        <w:pStyle w:val="31"/>
        <w:bidi w:val="0"/>
        <w:ind w:left="0" w:leftChars="0" w:firstLine="0" w:firstLineChars="0"/>
        <w:jc w:val="center"/>
        <w:rPr>
          <w:rFonts w:hint="eastAsia" w:ascii="宋体" w:hAnsi="宋体" w:eastAsia="宋体" w:cs="宋体"/>
          <w:b/>
          <w:color w:val="000000"/>
          <w:sz w:val="28"/>
          <w:szCs w:val="28"/>
          <w:lang w:val="en-US" w:eastAsia="zh-CN"/>
        </w:rPr>
      </w:pPr>
    </w:p>
    <w:p w14:paraId="0DFFEEBF">
      <w:pPr>
        <w:pStyle w:val="31"/>
        <w:bidi w:val="0"/>
        <w:ind w:left="0" w:leftChars="0" w:firstLine="0" w:firstLineChars="0"/>
        <w:jc w:val="center"/>
        <w:rPr>
          <w:rFonts w:hint="eastAsia" w:ascii="宋体" w:hAnsi="宋体" w:eastAsia="宋体" w:cs="宋体"/>
          <w:b/>
          <w:color w:val="000000"/>
          <w:sz w:val="28"/>
          <w:szCs w:val="28"/>
          <w:lang w:val="en-US" w:eastAsia="zh-CN"/>
        </w:rPr>
      </w:pPr>
    </w:p>
    <w:p w14:paraId="1124CF13">
      <w:pPr>
        <w:pStyle w:val="31"/>
        <w:bidi w:val="0"/>
        <w:ind w:left="0" w:leftChars="0" w:firstLine="0" w:firstLineChars="0"/>
        <w:jc w:val="center"/>
        <w:rPr>
          <w:rFonts w:hint="eastAsia" w:ascii="宋体" w:hAnsi="宋体" w:eastAsia="宋体" w:cs="宋体"/>
          <w:b/>
          <w:color w:val="000000"/>
          <w:sz w:val="28"/>
          <w:szCs w:val="28"/>
          <w:lang w:val="en-US" w:eastAsia="zh-CN"/>
        </w:rPr>
      </w:pPr>
    </w:p>
    <w:p w14:paraId="79D88512">
      <w:pPr>
        <w:pStyle w:val="31"/>
        <w:bidi w:val="0"/>
        <w:ind w:left="0" w:leftChars="0" w:firstLine="0" w:firstLineChars="0"/>
        <w:jc w:val="center"/>
        <w:rPr>
          <w:rFonts w:hint="eastAsia" w:ascii="宋体" w:hAnsi="宋体" w:eastAsia="宋体" w:cs="宋体"/>
          <w:b/>
          <w:color w:val="000000"/>
          <w:sz w:val="28"/>
          <w:szCs w:val="28"/>
          <w:lang w:val="en-US" w:eastAsia="zh-CN"/>
        </w:rPr>
      </w:pPr>
    </w:p>
    <w:p w14:paraId="6F9C08A8">
      <w:pPr>
        <w:pStyle w:val="31"/>
        <w:bidi w:val="0"/>
        <w:ind w:left="0" w:leftChars="0" w:firstLine="0" w:firstLineChars="0"/>
        <w:jc w:val="center"/>
        <w:rPr>
          <w:rFonts w:hint="eastAsia" w:ascii="宋体" w:hAnsi="宋体" w:eastAsia="宋体" w:cs="宋体"/>
          <w:b/>
          <w:color w:val="000000"/>
          <w:sz w:val="28"/>
          <w:szCs w:val="28"/>
          <w:lang w:val="en-US" w:eastAsia="zh-CN"/>
        </w:rPr>
      </w:pPr>
    </w:p>
    <w:p w14:paraId="18BD581A">
      <w:pPr>
        <w:pStyle w:val="31"/>
        <w:bidi w:val="0"/>
        <w:spacing w:line="360" w:lineRule="auto"/>
        <w:ind w:left="0" w:leftChars="0" w:firstLine="0" w:firstLineChars="0"/>
        <w:jc w:val="center"/>
        <w:outlineLvl w:val="1"/>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九、残疾人福利性单位声明函</w:t>
      </w:r>
      <w:bookmarkEnd w:id="778"/>
    </w:p>
    <w:p w14:paraId="4536046F">
      <w:pPr>
        <w:bidi w:val="0"/>
        <w:spacing w:line="360" w:lineRule="auto"/>
        <w:ind w:firstLine="480" w:firstLineChars="200"/>
        <w:jc w:val="center"/>
        <w:rPr>
          <w:rFonts w:hint="eastAsia" w:ascii="宋体" w:hAnsi="宋体" w:eastAsia="宋体" w:cs="宋体"/>
          <w:color w:val="000000"/>
          <w:sz w:val="21"/>
          <w:szCs w:val="21"/>
        </w:rPr>
      </w:pPr>
      <w:r>
        <w:rPr>
          <w:rFonts w:hint="eastAsia" w:ascii="宋体" w:hAnsi="宋体" w:eastAsia="宋体" w:cs="宋体"/>
          <w:color w:val="000000"/>
          <w:sz w:val="24"/>
          <w:szCs w:val="24"/>
        </w:rPr>
        <w:t>（属于残疾人福利企业的填写，不属于的无需填写此项内容）</w:t>
      </w:r>
    </w:p>
    <w:p w14:paraId="51960096">
      <w:pPr>
        <w:spacing w:line="588" w:lineRule="exact"/>
        <w:ind w:firstLine="504" w:firstLineChars="200"/>
        <w:rPr>
          <w:rFonts w:ascii="宋体" w:hAnsi="宋体"/>
          <w:spacing w:val="6"/>
          <w:sz w:val="24"/>
        </w:rPr>
      </w:pPr>
      <w:r>
        <w:rPr>
          <w:rFonts w:hint="eastAsia" w:ascii="宋体" w:hAnsi="宋体"/>
          <w:spacing w:val="6"/>
          <w:sz w:val="24"/>
        </w:rPr>
        <w:t>本单位郑重声明，根据《财政部 民政部 中国残疾人联合会关于促进残疾人就业政府采购政策的通知》（财库</w:t>
      </w:r>
      <w:r>
        <w:rPr>
          <w:rFonts w:hint="eastAsia" w:ascii="宋体" w:hAnsi="宋体"/>
          <w:sz w:val="24"/>
        </w:rPr>
        <w:t>〔2017〕 141</w:t>
      </w:r>
      <w:r>
        <w:rPr>
          <w:rFonts w:hint="eastAsia" w:ascii="宋体" w:hAnsi="宋体"/>
          <w:spacing w:val="6"/>
          <w:sz w:val="24"/>
        </w:rPr>
        <w:t>号）的规定，本单位为符合条件的残疾人福利性单位，且本单位参加</w:t>
      </w:r>
      <w:r>
        <w:rPr>
          <w:rFonts w:hint="eastAsia" w:ascii="宋体" w:hAnsi="宋体"/>
          <w:spacing w:val="6"/>
          <w:sz w:val="24"/>
          <w:u w:val="single"/>
        </w:rPr>
        <w:t xml:space="preserve">    </w:t>
      </w:r>
      <w:r>
        <w:rPr>
          <w:rFonts w:hint="eastAsia" w:ascii="宋体" w:hAnsi="宋体"/>
          <w:color w:val="333333"/>
          <w:kern w:val="0"/>
          <w:sz w:val="24"/>
          <w:u w:val="single"/>
          <w:shd w:val="clear" w:color="auto" w:fill="FFFFFF"/>
        </w:rPr>
        <w:t>（采购人名称）</w:t>
      </w:r>
      <w:r>
        <w:rPr>
          <w:rFonts w:hint="eastAsia" w:ascii="宋体" w:hAnsi="宋体"/>
          <w:spacing w:val="6"/>
          <w:sz w:val="24"/>
        </w:rPr>
        <w:t>的</w:t>
      </w:r>
      <w:r>
        <w:rPr>
          <w:rFonts w:hint="eastAsia" w:ascii="宋体" w:hAnsi="宋体"/>
          <w:spacing w:val="6"/>
          <w:sz w:val="24"/>
          <w:u w:val="single"/>
        </w:rPr>
        <w:t xml:space="preserve">    </w:t>
      </w:r>
      <w:r>
        <w:rPr>
          <w:rFonts w:hint="eastAsia" w:ascii="宋体" w:hAnsi="宋体"/>
          <w:spacing w:val="6"/>
          <w:sz w:val="24"/>
          <w:u w:val="none"/>
          <w:lang w:eastAsia="zh-CN"/>
        </w:rPr>
        <w:t>（项目名称）</w:t>
      </w:r>
      <w:r>
        <w:rPr>
          <w:rFonts w:hint="eastAsia" w:ascii="宋体" w:hAnsi="宋体"/>
          <w:spacing w:val="6"/>
          <w:sz w:val="24"/>
        </w:rPr>
        <w:t>采购活动提供本单位制造的货物（由本单位承担工程/提供服务）。</w:t>
      </w:r>
    </w:p>
    <w:p w14:paraId="350D9795">
      <w:pPr>
        <w:spacing w:line="588" w:lineRule="exact"/>
        <w:ind w:firstLine="504" w:firstLineChars="200"/>
        <w:rPr>
          <w:rFonts w:ascii="宋体" w:hAnsi="宋体"/>
          <w:spacing w:val="6"/>
          <w:sz w:val="24"/>
        </w:rPr>
      </w:pPr>
      <w:r>
        <w:rPr>
          <w:rFonts w:hint="eastAsia" w:ascii="宋体" w:hAnsi="宋体"/>
          <w:spacing w:val="6"/>
          <w:sz w:val="24"/>
        </w:rPr>
        <w:t>本单位对上述声明的真实性负责。如有虚假，将依法承担相应责任。</w:t>
      </w:r>
    </w:p>
    <w:p w14:paraId="3E665771">
      <w:pPr>
        <w:bidi w:val="0"/>
        <w:spacing w:line="360" w:lineRule="auto"/>
        <w:ind w:firstLine="420" w:firstLineChars="200"/>
        <w:rPr>
          <w:rFonts w:hint="eastAsia" w:ascii="宋体" w:hAnsi="宋体" w:eastAsia="宋体" w:cs="宋体"/>
          <w:color w:val="000000"/>
          <w:sz w:val="21"/>
          <w:szCs w:val="21"/>
        </w:rPr>
      </w:pPr>
    </w:p>
    <w:p w14:paraId="2309243B">
      <w:pPr>
        <w:spacing w:line="360" w:lineRule="auto"/>
        <w:jc w:val="right"/>
        <w:rPr>
          <w:rFonts w:hint="eastAsia" w:ascii="宋体" w:hAnsi="宋体" w:eastAsia="宋体" w:cs="宋体"/>
          <w:color w:val="000000"/>
          <w:sz w:val="24"/>
          <w:u w:val="single"/>
        </w:rPr>
      </w:pPr>
      <w:r>
        <w:rPr>
          <w:rFonts w:hint="eastAsia" w:ascii="宋体" w:hAnsi="宋体" w:eastAsia="宋体" w:cs="宋体"/>
          <w:color w:val="000000"/>
          <w:sz w:val="24"/>
        </w:rPr>
        <w:t xml:space="preserve"> </w:t>
      </w:r>
      <w:r>
        <w:rPr>
          <w:rFonts w:hint="eastAsia" w:ascii="宋体" w:hAnsi="宋体" w:eastAsia="宋体" w:cs="宋体"/>
          <w:color w:val="000000"/>
          <w:sz w:val="24"/>
          <w:lang w:val="en-US" w:eastAsia="zh-CN"/>
        </w:rPr>
        <w:t>供应商</w:t>
      </w:r>
      <w:r>
        <w:rPr>
          <w:rFonts w:hint="eastAsia" w:ascii="宋体" w:hAnsi="宋体" w:eastAsia="宋体" w:cs="宋体"/>
          <w:color w:val="000000"/>
          <w:sz w:val="24"/>
        </w:rPr>
        <w:t>名称：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sz w:val="24"/>
          <w:u w:val="none"/>
        </w:rPr>
        <w:t>单位电子签章</w:t>
      </w:r>
      <w:r>
        <w:rPr>
          <w:rFonts w:hint="eastAsia" w:ascii="宋体" w:hAnsi="宋体" w:eastAsia="宋体" w:cs="宋体"/>
          <w:color w:val="000000"/>
          <w:sz w:val="24"/>
        </w:rPr>
        <w:t>）</w:t>
      </w:r>
    </w:p>
    <w:p w14:paraId="63457E76">
      <w:pPr>
        <w:spacing w:line="360" w:lineRule="auto"/>
        <w:ind w:firstLine="4440" w:firstLineChars="1850"/>
        <w:jc w:val="right"/>
        <w:rPr>
          <w:rFonts w:hint="eastAsia" w:ascii="宋体" w:hAnsi="宋体" w:eastAsia="宋体" w:cs="宋体"/>
          <w:b/>
          <w:bCs/>
          <w:color w:val="000000"/>
          <w:sz w:val="22"/>
          <w:szCs w:val="28"/>
        </w:rPr>
      </w:pPr>
      <w:r>
        <w:rPr>
          <w:rFonts w:hint="eastAsia" w:ascii="宋体" w:hAnsi="宋体" w:eastAsia="宋体" w:cs="宋体"/>
          <w:color w:val="000000"/>
          <w:sz w:val="24"/>
        </w:rPr>
        <w:t>日</w:t>
      </w:r>
      <w:r>
        <w:rPr>
          <w:rFonts w:hint="eastAsia" w:ascii="宋体" w:hAnsi="宋体" w:eastAsia="宋体" w:cs="宋体"/>
          <w:color w:val="000000"/>
          <w:sz w:val="24"/>
          <w:lang w:val="en-US" w:eastAsia="zh-CN"/>
        </w:rPr>
        <w:t xml:space="preserve">       </w:t>
      </w:r>
      <w:r>
        <w:rPr>
          <w:rFonts w:hint="eastAsia" w:ascii="宋体" w:hAnsi="宋体" w:eastAsia="宋体" w:cs="宋体"/>
          <w:color w:val="000000"/>
          <w:sz w:val="24"/>
        </w:rPr>
        <w:t>期：</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rPr>
        <w:t>年</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rPr>
        <w:t>月</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rPr>
        <w:t>日</w:t>
      </w:r>
    </w:p>
    <w:p w14:paraId="08B6B898">
      <w:pPr>
        <w:pStyle w:val="30"/>
        <w:widowControl w:val="0"/>
        <w:spacing w:before="0" w:beforeAutospacing="0" w:after="0" w:afterAutospacing="0" w:line="360" w:lineRule="auto"/>
        <w:jc w:val="both"/>
        <w:rPr>
          <w:rFonts w:hint="eastAsia" w:ascii="宋体" w:hAnsi="宋体" w:eastAsia="宋体" w:cs="宋体"/>
          <w:b w:val="0"/>
          <w:bCs w:val="0"/>
          <w:color w:val="000000"/>
          <w:lang w:val="en-US"/>
        </w:rPr>
      </w:pPr>
      <w:r>
        <w:rPr>
          <w:rFonts w:hint="eastAsia" w:ascii="宋体" w:hAnsi="宋体" w:eastAsia="宋体" w:cs="宋体"/>
          <w:b/>
          <w:bCs/>
          <w:color w:val="000000"/>
          <w:lang w:val="en-US"/>
        </w:rPr>
        <w:t>注：</w:t>
      </w:r>
      <w:r>
        <w:rPr>
          <w:rFonts w:hint="eastAsia" w:ascii="宋体" w:hAnsi="宋体" w:eastAsia="宋体" w:cs="宋体"/>
          <w:b/>
          <w:bCs/>
          <w:color w:val="000000"/>
          <w:lang w:val="en-US" w:eastAsia="zh-CN"/>
        </w:rPr>
        <w:t>1、</w:t>
      </w:r>
      <w:r>
        <w:rPr>
          <w:rFonts w:hint="eastAsia" w:ascii="宋体" w:hAnsi="宋体" w:eastAsia="宋体" w:cs="宋体"/>
          <w:color w:val="000000"/>
          <w:kern w:val="2"/>
        </w:rPr>
        <w:t>根据企业自身情况，填写此表。</w:t>
      </w:r>
    </w:p>
    <w:p w14:paraId="5C3294FF">
      <w:pPr>
        <w:pStyle w:val="30"/>
        <w:widowControl w:val="0"/>
        <w:spacing w:before="0" w:beforeAutospacing="0" w:after="0" w:afterAutospacing="0" w:line="360" w:lineRule="auto"/>
        <w:jc w:val="both"/>
        <w:rPr>
          <w:rFonts w:hint="eastAsia" w:ascii="宋体" w:hAnsi="宋体" w:eastAsia="宋体" w:cs="宋体"/>
          <w:b w:val="0"/>
          <w:bCs w:val="0"/>
          <w:color w:val="000000"/>
        </w:rPr>
      </w:pPr>
      <w:r>
        <w:rPr>
          <w:rFonts w:hint="eastAsia" w:ascii="宋体" w:hAnsi="宋体" w:eastAsia="宋体" w:cs="宋体"/>
          <w:b/>
          <w:bCs/>
          <w:color w:val="000000"/>
          <w:lang w:val="en-US" w:eastAsia="zh-CN"/>
        </w:rPr>
        <w:t>2、</w:t>
      </w:r>
      <w:r>
        <w:rPr>
          <w:rFonts w:hint="eastAsia" w:ascii="宋体" w:hAnsi="宋体" w:eastAsia="宋体" w:cs="宋体"/>
          <w:b w:val="0"/>
          <w:bCs w:val="0"/>
          <w:color w:val="000000"/>
        </w:rPr>
        <w:t>《财政部民政部中国残疾人联合会关于促进残疾人就业政府采购政策的通知》（财库（2017〔141〕号）的规定</w:t>
      </w:r>
      <w:r>
        <w:rPr>
          <w:rFonts w:hint="eastAsia" w:ascii="宋体" w:hAnsi="宋体" w:eastAsia="宋体" w:cs="宋体"/>
          <w:b w:val="0"/>
          <w:bCs w:val="0"/>
          <w:color w:val="000000"/>
          <w:lang w:val="en-US" w:eastAsia="zh-CN"/>
        </w:rPr>
        <w:t>如下</w:t>
      </w:r>
      <w:r>
        <w:rPr>
          <w:rFonts w:hint="eastAsia" w:ascii="宋体" w:hAnsi="宋体" w:eastAsia="宋体" w:cs="宋体"/>
          <w:b w:val="0"/>
          <w:bCs w:val="0"/>
          <w:color w:val="000000"/>
        </w:rPr>
        <w:t>：</w:t>
      </w:r>
    </w:p>
    <w:p w14:paraId="25092744">
      <w:pPr>
        <w:pStyle w:val="30"/>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b w:val="0"/>
          <w:bCs w:val="0"/>
          <w:color w:val="000000"/>
        </w:rPr>
      </w:pPr>
      <w:r>
        <w:rPr>
          <w:rFonts w:hint="eastAsia" w:ascii="宋体" w:hAnsi="宋体" w:eastAsia="宋体" w:cs="宋体"/>
          <w:b w:val="0"/>
          <w:bCs w:val="0"/>
          <w:color w:val="000000"/>
        </w:rPr>
        <w:t>一、享受政府采购支持政策的残疾人福利性单位应当同时满足以下条件：</w:t>
      </w:r>
    </w:p>
    <w:p w14:paraId="19A7651A">
      <w:pPr>
        <w:pStyle w:val="30"/>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b w:val="0"/>
          <w:bCs w:val="0"/>
          <w:color w:val="000000"/>
        </w:rPr>
      </w:pPr>
      <w:r>
        <w:rPr>
          <w:rFonts w:hint="eastAsia" w:ascii="宋体" w:hAnsi="宋体" w:eastAsia="宋体" w:cs="宋体"/>
          <w:b w:val="0"/>
          <w:bCs w:val="0"/>
          <w:color w:val="000000"/>
        </w:rPr>
        <w:t>（一）安置的残疾人占本单位在职职工人数的比例不低于25%（含25%），并且安置的残疾人人数不少于10人（含10人）；</w:t>
      </w:r>
    </w:p>
    <w:p w14:paraId="4C1545DA">
      <w:pPr>
        <w:pStyle w:val="30"/>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b w:val="0"/>
          <w:bCs w:val="0"/>
          <w:color w:val="000000"/>
        </w:rPr>
      </w:pPr>
      <w:r>
        <w:rPr>
          <w:rFonts w:hint="eastAsia" w:ascii="宋体" w:hAnsi="宋体" w:eastAsia="宋体" w:cs="宋体"/>
          <w:b w:val="0"/>
          <w:bCs w:val="0"/>
          <w:color w:val="000000"/>
        </w:rPr>
        <w:t>（二）依法与安置的每位残疾人签订了一年以上（含一年）的劳动合同或服务协议；</w:t>
      </w:r>
    </w:p>
    <w:p w14:paraId="18E863B2">
      <w:pPr>
        <w:pStyle w:val="30"/>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b w:val="0"/>
          <w:bCs w:val="0"/>
          <w:color w:val="000000"/>
        </w:rPr>
      </w:pPr>
      <w:r>
        <w:rPr>
          <w:rFonts w:hint="eastAsia" w:ascii="宋体" w:hAnsi="宋体" w:eastAsia="宋体" w:cs="宋体"/>
          <w:b w:val="0"/>
          <w:bCs w:val="0"/>
          <w:color w:val="000000"/>
        </w:rPr>
        <w:t>（三）为安置的每位残疾人按月足额缴纳了基本养老保险、基本医疗保险、失业保险、工伤保险和生育保险等社会保险费；</w:t>
      </w:r>
    </w:p>
    <w:p w14:paraId="0FAEBC34">
      <w:pPr>
        <w:pStyle w:val="30"/>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b w:val="0"/>
          <w:bCs w:val="0"/>
          <w:color w:val="000000"/>
        </w:rPr>
      </w:pPr>
      <w:r>
        <w:rPr>
          <w:rFonts w:hint="eastAsia" w:ascii="宋体" w:hAnsi="宋体" w:eastAsia="宋体" w:cs="宋体"/>
          <w:b w:val="0"/>
          <w:bCs w:val="0"/>
          <w:color w:val="000000"/>
        </w:rPr>
        <w:t>（四）通过银行等金融机构向安置的每位残疾人，按月支付了不低于单位所在区县适用的经省级人民政府批准的月最低工资标准的工资；</w:t>
      </w:r>
    </w:p>
    <w:p w14:paraId="36D67CBB">
      <w:pPr>
        <w:pStyle w:val="30"/>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b/>
          <w:bCs/>
          <w:color w:val="000000"/>
          <w:lang w:val="en-US" w:eastAsia="zh-CN"/>
        </w:rPr>
      </w:pPr>
      <w:r>
        <w:rPr>
          <w:rFonts w:hint="eastAsia" w:ascii="宋体" w:hAnsi="宋体" w:eastAsia="宋体" w:cs="宋体"/>
          <w:b w:val="0"/>
          <w:bCs w:val="0"/>
          <w:color w:val="000000"/>
        </w:rPr>
        <w:t>（五）提供本单位制造的货物、承担的工程或者服务（以下简称产品），或者提供其他残疾人福利性单位制造的货物（不包括使用非残疾人福利性单位注册商标的货物）。</w:t>
      </w:r>
    </w:p>
    <w:p w14:paraId="0E363D58">
      <w:pPr>
        <w:spacing w:line="360" w:lineRule="auto"/>
        <w:jc w:val="center"/>
        <w:outlineLvl w:val="9"/>
        <w:rPr>
          <w:rFonts w:hint="eastAsia" w:ascii="宋体" w:hAnsi="宋体" w:eastAsia="宋体" w:cs="宋体"/>
          <w:sz w:val="30"/>
          <w:szCs w:val="30"/>
        </w:rPr>
      </w:pPr>
    </w:p>
    <w:p w14:paraId="437C1CED">
      <w:pPr>
        <w:outlineLvl w:val="9"/>
        <w:rPr>
          <w:rFonts w:hint="eastAsia" w:ascii="宋体" w:hAnsi="宋体" w:eastAsia="宋体" w:cs="宋体"/>
        </w:rPr>
      </w:pPr>
    </w:p>
    <w:p w14:paraId="17C44FEC">
      <w:pPr>
        <w:pStyle w:val="31"/>
        <w:outlineLvl w:val="9"/>
        <w:rPr>
          <w:rFonts w:hint="eastAsia" w:ascii="宋体" w:hAnsi="宋体" w:eastAsia="宋体" w:cs="宋体"/>
        </w:rPr>
      </w:pPr>
    </w:p>
    <w:p w14:paraId="098C463D">
      <w:pPr>
        <w:pStyle w:val="32"/>
        <w:outlineLvl w:val="9"/>
        <w:rPr>
          <w:rFonts w:hint="eastAsia" w:ascii="宋体" w:hAnsi="宋体" w:eastAsia="宋体" w:cs="宋体"/>
        </w:rPr>
      </w:pPr>
    </w:p>
    <w:p w14:paraId="2B947D96">
      <w:pPr>
        <w:rPr>
          <w:rFonts w:hint="eastAsia" w:ascii="宋体" w:hAnsi="宋体" w:eastAsia="宋体" w:cs="宋体"/>
        </w:rPr>
      </w:pPr>
    </w:p>
    <w:p w14:paraId="14A4B575">
      <w:pPr>
        <w:pStyle w:val="12"/>
        <w:rPr>
          <w:rFonts w:hint="eastAsia"/>
        </w:rPr>
      </w:pPr>
    </w:p>
    <w:p w14:paraId="3039441E">
      <w:pPr>
        <w:pStyle w:val="31"/>
        <w:bidi w:val="0"/>
        <w:spacing w:line="360" w:lineRule="auto"/>
        <w:ind w:left="0" w:leftChars="0" w:firstLine="0" w:firstLineChars="0"/>
        <w:jc w:val="center"/>
        <w:outlineLvl w:val="9"/>
        <w:rPr>
          <w:rFonts w:hint="eastAsia" w:ascii="宋体" w:hAnsi="宋体" w:eastAsia="宋体" w:cs="宋体"/>
          <w:b/>
          <w:color w:val="000000"/>
          <w:sz w:val="28"/>
          <w:szCs w:val="28"/>
          <w:lang w:val="en-US" w:eastAsia="zh-CN"/>
        </w:rPr>
      </w:pPr>
    </w:p>
    <w:p w14:paraId="4931813F">
      <w:pPr>
        <w:pStyle w:val="31"/>
        <w:bidi w:val="0"/>
        <w:spacing w:line="360" w:lineRule="auto"/>
        <w:ind w:left="0" w:leftChars="0" w:firstLine="0" w:firstLineChars="0"/>
        <w:jc w:val="center"/>
        <w:outlineLvl w:val="1"/>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十、监狱企业证明文件</w:t>
      </w:r>
    </w:p>
    <w:p w14:paraId="6C746277">
      <w:pPr>
        <w:spacing w:line="360" w:lineRule="auto"/>
        <w:jc w:val="center"/>
        <w:rPr>
          <w:rFonts w:hint="eastAsia" w:ascii="宋体" w:hAnsi="宋体" w:eastAsia="宋体" w:cs="宋体"/>
          <w:color w:val="000000"/>
          <w:sz w:val="24"/>
          <w:szCs w:val="24"/>
        </w:rPr>
      </w:pPr>
      <w:r>
        <w:rPr>
          <w:rFonts w:hint="eastAsia" w:ascii="宋体" w:hAnsi="宋体" w:eastAsia="宋体" w:cs="宋体"/>
          <w:b w:val="0"/>
          <w:bCs w:val="0"/>
          <w:sz w:val="24"/>
          <w:szCs w:val="32"/>
          <w:lang w:val="en-US" w:eastAsia="zh-CN"/>
        </w:rPr>
        <w:t>（如有）</w:t>
      </w:r>
    </w:p>
    <w:p w14:paraId="528C9433">
      <w:pPr>
        <w:bidi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w:t>
      </w:r>
      <w:r>
        <w:rPr>
          <w:rFonts w:hint="eastAsia" w:ascii="宋体" w:hAnsi="宋体" w:eastAsia="宋体" w:cs="宋体"/>
          <w:color w:val="000000"/>
          <w:sz w:val="24"/>
          <w:szCs w:val="24"/>
          <w:lang w:val="en-US" w:eastAsia="zh-CN"/>
        </w:rPr>
        <w:t>20</w:t>
      </w:r>
      <w:r>
        <w:rPr>
          <w:rFonts w:hint="eastAsia" w:ascii="宋体" w:hAnsi="宋体" w:eastAsia="宋体" w:cs="宋体"/>
          <w:color w:val="000000"/>
          <w:sz w:val="24"/>
          <w:szCs w:val="24"/>
        </w:rPr>
        <w:t>%的价格扣除，但必须提供由省级以上监狱管理局、戒毒管理局（含新疆生产建设兵团）出具的属于监狱企业的证明文件，否则评审时不予价格扣除优惠。</w:t>
      </w:r>
    </w:p>
    <w:p w14:paraId="2A2EF165">
      <w:pPr>
        <w:bidi w:val="0"/>
        <w:spacing w:line="360" w:lineRule="auto"/>
        <w:ind w:firstLine="480" w:firstLineChars="200"/>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rPr>
        <w:t>注：在</w:t>
      </w:r>
      <w:r>
        <w:rPr>
          <w:rFonts w:hint="eastAsia" w:ascii="宋体" w:hAnsi="宋体" w:eastAsia="宋体" w:cs="宋体"/>
          <w:color w:val="000000"/>
          <w:sz w:val="24"/>
          <w:szCs w:val="24"/>
          <w:u w:val="none"/>
          <w:lang w:val="en-US" w:eastAsia="zh-CN"/>
        </w:rPr>
        <w:t>响应</w:t>
      </w:r>
      <w:r>
        <w:rPr>
          <w:rFonts w:hint="eastAsia" w:ascii="宋体" w:hAnsi="宋体" w:eastAsia="宋体" w:cs="宋体"/>
          <w:color w:val="000000"/>
          <w:sz w:val="24"/>
          <w:szCs w:val="24"/>
          <w:u w:val="none"/>
          <w:lang w:val="en-US"/>
        </w:rPr>
        <w:t>文件中附扫描件</w:t>
      </w:r>
      <w:r>
        <w:rPr>
          <w:rFonts w:hint="eastAsia" w:ascii="宋体" w:hAnsi="宋体" w:eastAsia="宋体" w:cs="宋体"/>
          <w:color w:val="000000"/>
          <w:sz w:val="24"/>
          <w:szCs w:val="24"/>
          <w:u w:val="none"/>
          <w:lang w:val="en-US" w:eastAsia="zh-CN"/>
        </w:rPr>
        <w:t>。</w:t>
      </w:r>
    </w:p>
    <w:p w14:paraId="5B6B98C2">
      <w:pPr>
        <w:rPr>
          <w:rFonts w:hint="eastAsia" w:ascii="宋体" w:hAnsi="宋体" w:eastAsia="宋体" w:cs="宋体"/>
        </w:rPr>
      </w:pPr>
    </w:p>
    <w:p w14:paraId="6529D731">
      <w:pPr>
        <w:spacing w:line="360" w:lineRule="auto"/>
        <w:jc w:val="center"/>
        <w:outlineLvl w:val="9"/>
        <w:rPr>
          <w:rFonts w:hint="eastAsia" w:ascii="宋体" w:hAnsi="宋体" w:eastAsia="宋体" w:cs="宋体"/>
          <w:sz w:val="30"/>
          <w:szCs w:val="30"/>
        </w:rPr>
      </w:pPr>
    </w:p>
    <w:p w14:paraId="65EDD3AF">
      <w:pPr>
        <w:spacing w:line="360" w:lineRule="auto"/>
        <w:jc w:val="center"/>
        <w:outlineLvl w:val="9"/>
        <w:rPr>
          <w:rFonts w:hint="eastAsia" w:ascii="宋体" w:hAnsi="宋体" w:eastAsia="宋体" w:cs="宋体"/>
          <w:sz w:val="30"/>
          <w:szCs w:val="30"/>
        </w:rPr>
      </w:pPr>
    </w:p>
    <w:p w14:paraId="60D5BAC4">
      <w:pPr>
        <w:spacing w:line="360" w:lineRule="auto"/>
        <w:jc w:val="center"/>
        <w:outlineLvl w:val="9"/>
        <w:rPr>
          <w:rFonts w:hint="eastAsia" w:ascii="宋体" w:hAnsi="宋体" w:eastAsia="宋体" w:cs="宋体"/>
          <w:sz w:val="30"/>
          <w:szCs w:val="30"/>
        </w:rPr>
      </w:pPr>
    </w:p>
    <w:p w14:paraId="74402372">
      <w:pPr>
        <w:spacing w:line="360" w:lineRule="auto"/>
        <w:jc w:val="center"/>
        <w:outlineLvl w:val="9"/>
        <w:rPr>
          <w:rFonts w:hint="eastAsia" w:ascii="宋体" w:hAnsi="宋体" w:eastAsia="宋体" w:cs="宋体"/>
          <w:sz w:val="30"/>
          <w:szCs w:val="30"/>
        </w:rPr>
      </w:pPr>
    </w:p>
    <w:p w14:paraId="4E051BA7">
      <w:pPr>
        <w:spacing w:line="360" w:lineRule="auto"/>
        <w:jc w:val="center"/>
        <w:outlineLvl w:val="9"/>
        <w:rPr>
          <w:rFonts w:hint="eastAsia" w:ascii="宋体" w:hAnsi="宋体" w:eastAsia="宋体" w:cs="宋体"/>
          <w:sz w:val="30"/>
          <w:szCs w:val="30"/>
        </w:rPr>
      </w:pPr>
    </w:p>
    <w:p w14:paraId="30A7F040">
      <w:pPr>
        <w:spacing w:line="360" w:lineRule="auto"/>
        <w:jc w:val="center"/>
        <w:outlineLvl w:val="9"/>
        <w:rPr>
          <w:rFonts w:hint="eastAsia" w:ascii="宋体" w:hAnsi="宋体" w:eastAsia="宋体" w:cs="宋体"/>
          <w:sz w:val="30"/>
          <w:szCs w:val="30"/>
        </w:rPr>
      </w:pPr>
    </w:p>
    <w:p w14:paraId="664618B2">
      <w:pPr>
        <w:spacing w:line="360" w:lineRule="auto"/>
        <w:jc w:val="center"/>
        <w:outlineLvl w:val="9"/>
        <w:rPr>
          <w:rFonts w:hint="eastAsia" w:ascii="宋体" w:hAnsi="宋体" w:eastAsia="宋体" w:cs="宋体"/>
          <w:sz w:val="30"/>
          <w:szCs w:val="30"/>
        </w:rPr>
      </w:pPr>
    </w:p>
    <w:p w14:paraId="609E3266">
      <w:pPr>
        <w:spacing w:line="360" w:lineRule="auto"/>
        <w:jc w:val="center"/>
        <w:outlineLvl w:val="9"/>
        <w:rPr>
          <w:rFonts w:hint="eastAsia" w:ascii="宋体" w:hAnsi="宋体" w:eastAsia="宋体" w:cs="宋体"/>
          <w:sz w:val="30"/>
          <w:szCs w:val="30"/>
        </w:rPr>
      </w:pPr>
    </w:p>
    <w:p w14:paraId="52E4252B">
      <w:pPr>
        <w:spacing w:line="360" w:lineRule="auto"/>
        <w:jc w:val="center"/>
        <w:outlineLvl w:val="9"/>
        <w:rPr>
          <w:rFonts w:hint="eastAsia" w:ascii="宋体" w:hAnsi="宋体" w:eastAsia="宋体" w:cs="宋体"/>
          <w:sz w:val="30"/>
          <w:szCs w:val="30"/>
        </w:rPr>
      </w:pPr>
    </w:p>
    <w:bookmarkEnd w:id="756"/>
    <w:bookmarkEnd w:id="757"/>
    <w:bookmarkEnd w:id="758"/>
    <w:bookmarkEnd w:id="759"/>
    <w:bookmarkEnd w:id="760"/>
    <w:bookmarkEnd w:id="761"/>
    <w:bookmarkEnd w:id="762"/>
    <w:bookmarkEnd w:id="763"/>
    <w:bookmarkEnd w:id="764"/>
    <w:bookmarkEnd w:id="766"/>
    <w:p w14:paraId="2DA9D2CD">
      <w:pPr>
        <w:spacing w:line="240" w:lineRule="auto"/>
        <w:jc w:val="center"/>
        <w:outlineLvl w:val="9"/>
        <w:rPr>
          <w:rFonts w:hint="eastAsia" w:ascii="宋体" w:hAnsi="宋体" w:eastAsia="宋体" w:cs="宋体"/>
          <w:sz w:val="30"/>
          <w:szCs w:val="30"/>
          <w:lang w:val="en-US" w:eastAsia="zh-CN"/>
        </w:rPr>
      </w:pPr>
    </w:p>
    <w:p w14:paraId="7DAA4631">
      <w:pPr>
        <w:outlineLvl w:val="9"/>
        <w:rPr>
          <w:rFonts w:hint="eastAsia" w:ascii="宋体" w:hAnsi="宋体" w:eastAsia="宋体" w:cs="宋体"/>
          <w:sz w:val="30"/>
          <w:szCs w:val="30"/>
          <w:lang w:val="en-US" w:eastAsia="zh-CN"/>
        </w:rPr>
      </w:pPr>
    </w:p>
    <w:p w14:paraId="7180A1DF">
      <w:pPr>
        <w:pStyle w:val="12"/>
        <w:rPr>
          <w:rFonts w:hint="eastAsia" w:ascii="宋体" w:hAnsi="宋体" w:eastAsia="宋体" w:cs="宋体"/>
          <w:sz w:val="30"/>
          <w:szCs w:val="30"/>
          <w:lang w:val="en-US" w:eastAsia="zh-CN"/>
        </w:rPr>
      </w:pPr>
    </w:p>
    <w:p w14:paraId="54DC1EE2">
      <w:pPr>
        <w:pStyle w:val="49"/>
        <w:rPr>
          <w:rFonts w:hint="eastAsia" w:ascii="宋体" w:hAnsi="宋体" w:eastAsia="宋体" w:cs="宋体"/>
          <w:sz w:val="30"/>
          <w:szCs w:val="30"/>
          <w:lang w:val="en-US" w:eastAsia="zh-CN"/>
        </w:rPr>
      </w:pPr>
    </w:p>
    <w:p w14:paraId="2F6801F7">
      <w:pPr>
        <w:rPr>
          <w:rFonts w:hint="eastAsia" w:ascii="宋体" w:hAnsi="宋体" w:eastAsia="宋体" w:cs="宋体"/>
          <w:sz w:val="30"/>
          <w:szCs w:val="30"/>
          <w:lang w:val="en-US" w:eastAsia="zh-CN"/>
        </w:rPr>
      </w:pPr>
    </w:p>
    <w:p w14:paraId="43C146C0">
      <w:pPr>
        <w:pStyle w:val="12"/>
        <w:rPr>
          <w:rFonts w:hint="eastAsia" w:ascii="宋体" w:hAnsi="宋体" w:eastAsia="宋体" w:cs="宋体"/>
          <w:sz w:val="30"/>
          <w:szCs w:val="30"/>
          <w:lang w:val="en-US" w:eastAsia="zh-CN"/>
        </w:rPr>
      </w:pPr>
    </w:p>
    <w:p w14:paraId="597F3576">
      <w:pPr>
        <w:pStyle w:val="49"/>
        <w:rPr>
          <w:rFonts w:hint="eastAsia"/>
          <w:lang w:val="en-US" w:eastAsia="zh-CN"/>
        </w:rPr>
      </w:pPr>
    </w:p>
    <w:p w14:paraId="5262DAC7">
      <w:pPr>
        <w:pStyle w:val="31"/>
        <w:outlineLvl w:val="9"/>
        <w:rPr>
          <w:rFonts w:hint="eastAsia" w:ascii="宋体" w:hAnsi="宋体" w:eastAsia="宋体" w:cs="宋体"/>
          <w:sz w:val="30"/>
          <w:szCs w:val="30"/>
          <w:lang w:val="en-US" w:eastAsia="zh-CN"/>
        </w:rPr>
      </w:pPr>
    </w:p>
    <w:p w14:paraId="1A3AF415">
      <w:pPr>
        <w:pStyle w:val="32"/>
        <w:outlineLvl w:val="9"/>
        <w:rPr>
          <w:rFonts w:hint="eastAsia" w:ascii="宋体" w:hAnsi="宋体" w:eastAsia="宋体" w:cs="宋体"/>
          <w:sz w:val="30"/>
          <w:szCs w:val="30"/>
          <w:lang w:val="en-US" w:eastAsia="zh-CN"/>
        </w:rPr>
      </w:pPr>
    </w:p>
    <w:p w14:paraId="7C80FF01">
      <w:pPr>
        <w:pStyle w:val="31"/>
        <w:ind w:left="0" w:leftChars="0" w:firstLine="0" w:firstLineChars="0"/>
        <w:rPr>
          <w:rFonts w:hint="eastAsia" w:ascii="宋体" w:hAnsi="宋体" w:eastAsia="宋体" w:cs="宋体"/>
          <w:lang w:val="en-US" w:eastAsia="zh-CN"/>
        </w:rPr>
      </w:pPr>
    </w:p>
    <w:p w14:paraId="61C0DE4C">
      <w:pPr>
        <w:jc w:val="center"/>
        <w:outlineLvl w:val="1"/>
        <w:rPr>
          <w:rFonts w:hint="eastAsia" w:ascii="宋体" w:hAnsi="宋体" w:eastAsia="宋体" w:cs="宋体"/>
          <w:b/>
          <w:bCs/>
          <w:sz w:val="30"/>
          <w:szCs w:val="30"/>
        </w:rPr>
      </w:pPr>
      <w:r>
        <w:rPr>
          <w:rFonts w:hint="eastAsia" w:ascii="宋体" w:hAnsi="宋体" w:eastAsia="宋体" w:cs="宋体"/>
          <w:b/>
          <w:bCs/>
          <w:sz w:val="30"/>
          <w:szCs w:val="30"/>
          <w:lang w:val="en-US" w:eastAsia="zh-CN"/>
        </w:rPr>
        <w:t>十</w:t>
      </w:r>
      <w:r>
        <w:rPr>
          <w:rFonts w:hint="eastAsia" w:ascii="宋体" w:hAnsi="宋体" w:cs="宋体"/>
          <w:b/>
          <w:bCs/>
          <w:sz w:val="30"/>
          <w:szCs w:val="30"/>
          <w:lang w:val="en-US" w:eastAsia="zh-CN"/>
        </w:rPr>
        <w:t>一</w:t>
      </w:r>
      <w:r>
        <w:rPr>
          <w:rFonts w:hint="eastAsia" w:ascii="宋体" w:hAnsi="宋体" w:eastAsia="宋体" w:cs="宋体"/>
          <w:b/>
          <w:bCs/>
          <w:sz w:val="30"/>
          <w:szCs w:val="30"/>
          <w:lang w:val="en-US" w:eastAsia="zh-CN"/>
        </w:rPr>
        <w:t>、反商业贿赂承诺书</w:t>
      </w:r>
    </w:p>
    <w:p w14:paraId="7A2904D8">
      <w:pPr>
        <w:autoSpaceDE w:val="0"/>
        <w:autoSpaceDN w:val="0"/>
        <w:bidi w:val="0"/>
        <w:adjustRightInd w:val="0"/>
        <w:spacing w:line="360" w:lineRule="auto"/>
        <w:jc w:val="left"/>
        <w:rPr>
          <w:rFonts w:hint="eastAsia" w:ascii="宋体" w:hAnsi="宋体" w:eastAsia="宋体" w:cs="宋体"/>
          <w:color w:val="000000"/>
          <w:sz w:val="24"/>
          <w:szCs w:val="24"/>
          <w:lang w:val="zh-CN"/>
        </w:rPr>
      </w:pPr>
    </w:p>
    <w:p w14:paraId="17E2F474">
      <w:pPr>
        <w:autoSpaceDE w:val="0"/>
        <w:autoSpaceDN w:val="0"/>
        <w:bidi w:val="0"/>
        <w:adjustRightInd w:val="0"/>
        <w:spacing w:line="360" w:lineRule="auto"/>
        <w:ind w:firstLine="720" w:firstLineChars="300"/>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我方承诺：</w:t>
      </w:r>
    </w:p>
    <w:p w14:paraId="32D799A2">
      <w:pPr>
        <w:autoSpaceDE w:val="0"/>
        <w:autoSpaceDN w:val="0"/>
        <w:bidi w:val="0"/>
        <w:adjustRightInd w:val="0"/>
        <w:spacing w:line="360" w:lineRule="auto"/>
        <w:ind w:firstLine="720" w:firstLineChars="300"/>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在</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none"/>
          <w:lang w:val="zh-CN"/>
        </w:rPr>
        <w:t>（项目名称）</w:t>
      </w:r>
      <w:r>
        <w:rPr>
          <w:rFonts w:hint="eastAsia" w:ascii="宋体" w:hAnsi="宋体" w:eastAsia="宋体" w:cs="宋体"/>
          <w:color w:val="000000"/>
          <w:sz w:val="24"/>
          <w:szCs w:val="24"/>
          <w:u w:val="single"/>
          <w:lang w:val="zh-CN"/>
        </w:rPr>
        <w:t xml:space="preserve">（项目编号：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val="zh-CN"/>
        </w:rPr>
        <w:t xml:space="preserve"> ）</w:t>
      </w:r>
      <w:r>
        <w:rPr>
          <w:rFonts w:hint="eastAsia" w:ascii="宋体" w:hAnsi="宋体" w:eastAsia="宋体" w:cs="宋体"/>
          <w:color w:val="000000"/>
          <w:sz w:val="24"/>
          <w:szCs w:val="24"/>
          <w:lang w:val="en-US" w:eastAsia="zh-CN"/>
        </w:rPr>
        <w:t>采购</w:t>
      </w:r>
      <w:r>
        <w:rPr>
          <w:rFonts w:hint="eastAsia" w:ascii="宋体" w:hAnsi="宋体" w:eastAsia="宋体" w:cs="宋体"/>
          <w:color w:val="000000"/>
          <w:sz w:val="24"/>
          <w:szCs w:val="24"/>
          <w:lang w:val="zh-CN"/>
        </w:rPr>
        <w:t>活动中，我方保证做到：</w:t>
      </w:r>
    </w:p>
    <w:p w14:paraId="10772133">
      <w:pPr>
        <w:autoSpaceDE w:val="0"/>
        <w:autoSpaceDN w:val="0"/>
        <w:bidi w:val="0"/>
        <w:adjustRightInd w:val="0"/>
        <w:spacing w:line="360" w:lineRule="auto"/>
        <w:ind w:firstLine="720" w:firstLineChars="300"/>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一、公平竞争参加本次公开采购活动。</w:t>
      </w:r>
    </w:p>
    <w:p w14:paraId="10958E1F">
      <w:pPr>
        <w:autoSpaceDE w:val="0"/>
        <w:autoSpaceDN w:val="0"/>
        <w:bidi w:val="0"/>
        <w:adjustRightInd w:val="0"/>
        <w:spacing w:line="360" w:lineRule="auto"/>
        <w:ind w:firstLine="720" w:firstLineChars="300"/>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4BA796AA">
      <w:pPr>
        <w:autoSpaceDE w:val="0"/>
        <w:autoSpaceDN w:val="0"/>
        <w:bidi w:val="0"/>
        <w:adjustRightInd w:val="0"/>
        <w:spacing w:line="360" w:lineRule="auto"/>
        <w:ind w:firstLine="720" w:firstLineChars="300"/>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三、若出现上述行为，我方及参与投标的工作人员愿意接受按照国家法律法规等有关规定给予的处罚。</w:t>
      </w:r>
    </w:p>
    <w:p w14:paraId="58F7EF51">
      <w:pPr>
        <w:bidi w:val="0"/>
        <w:spacing w:line="360" w:lineRule="auto"/>
        <w:ind w:left="645"/>
        <w:outlineLvl w:val="9"/>
        <w:rPr>
          <w:rFonts w:hint="eastAsia" w:ascii="宋体" w:hAnsi="宋体" w:eastAsia="宋体" w:cs="宋体"/>
          <w:color w:val="000000"/>
          <w:sz w:val="24"/>
          <w:szCs w:val="24"/>
        </w:rPr>
      </w:pPr>
    </w:p>
    <w:p w14:paraId="362B9A93">
      <w:pPr>
        <w:bidi w:val="0"/>
        <w:spacing w:line="360" w:lineRule="auto"/>
        <w:ind w:left="645"/>
        <w:outlineLvl w:val="9"/>
        <w:rPr>
          <w:rFonts w:hint="eastAsia" w:ascii="宋体" w:hAnsi="宋体" w:eastAsia="宋体" w:cs="宋体"/>
          <w:color w:val="000000"/>
          <w:sz w:val="24"/>
          <w:szCs w:val="24"/>
        </w:rPr>
      </w:pPr>
    </w:p>
    <w:p w14:paraId="385F60FC">
      <w:pPr>
        <w:bidi w:val="0"/>
        <w:spacing w:line="360" w:lineRule="auto"/>
        <w:ind w:left="645"/>
        <w:outlineLvl w:val="9"/>
        <w:rPr>
          <w:rFonts w:hint="eastAsia" w:ascii="宋体" w:hAnsi="宋体" w:eastAsia="宋体" w:cs="宋体"/>
          <w:color w:val="000000"/>
          <w:sz w:val="24"/>
          <w:szCs w:val="24"/>
        </w:rPr>
      </w:pPr>
    </w:p>
    <w:p w14:paraId="7E054528">
      <w:pPr>
        <w:bidi w:val="0"/>
        <w:spacing w:line="360" w:lineRule="auto"/>
        <w:ind w:left="645"/>
        <w:outlineLvl w:val="9"/>
        <w:rPr>
          <w:rFonts w:hint="eastAsia" w:ascii="宋体" w:hAnsi="宋体" w:eastAsia="宋体" w:cs="宋体"/>
          <w:color w:val="000000"/>
          <w:sz w:val="24"/>
          <w:szCs w:val="24"/>
        </w:rPr>
      </w:pPr>
    </w:p>
    <w:p w14:paraId="0401D44D">
      <w:pPr>
        <w:bidi w:val="0"/>
        <w:spacing w:line="360" w:lineRule="auto"/>
        <w:ind w:left="645"/>
        <w:outlineLvl w:val="9"/>
        <w:rPr>
          <w:rFonts w:hint="eastAsia" w:ascii="宋体" w:hAnsi="宋体" w:eastAsia="宋体" w:cs="宋体"/>
          <w:color w:val="000000"/>
          <w:sz w:val="24"/>
          <w:szCs w:val="24"/>
        </w:rPr>
      </w:pPr>
    </w:p>
    <w:p w14:paraId="076BAA65">
      <w:pPr>
        <w:bidi w:val="0"/>
        <w:spacing w:line="400" w:lineRule="exact"/>
        <w:ind w:firstLine="3840" w:firstLineChars="16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w:t>
      </w:r>
      <w:r>
        <w:rPr>
          <w:rFonts w:hint="eastAsia" w:ascii="宋体" w:hAnsi="宋体" w:eastAsia="宋体" w:cs="宋体"/>
          <w:color w:val="000000"/>
          <w:sz w:val="24"/>
          <w:szCs w:val="24"/>
        </w:rPr>
        <w:t>名称：</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单位电子签章</w:t>
      </w:r>
      <w:r>
        <w:rPr>
          <w:rFonts w:hint="eastAsia" w:ascii="宋体" w:hAnsi="宋体" w:eastAsia="宋体" w:cs="宋体"/>
          <w:color w:val="000000"/>
          <w:sz w:val="24"/>
          <w:szCs w:val="24"/>
          <w:lang w:eastAsia="zh-CN"/>
        </w:rPr>
        <w:t>）</w:t>
      </w:r>
    </w:p>
    <w:p w14:paraId="7DDFC1FC">
      <w:pPr>
        <w:bidi w:val="0"/>
        <w:spacing w:line="400" w:lineRule="exact"/>
        <w:ind w:firstLine="4440" w:firstLineChars="1850"/>
        <w:rPr>
          <w:rFonts w:hint="eastAsia" w:ascii="宋体" w:hAnsi="宋体" w:eastAsia="宋体" w:cs="宋体"/>
          <w:color w:val="000000"/>
          <w:sz w:val="24"/>
          <w:szCs w:val="24"/>
        </w:rPr>
      </w:pPr>
    </w:p>
    <w:p w14:paraId="12F2905D">
      <w:pPr>
        <w:bidi w:val="0"/>
        <w:spacing w:line="360" w:lineRule="auto"/>
        <w:jc w:val="right"/>
        <w:rPr>
          <w:rFonts w:hint="eastAsia" w:ascii="宋体" w:hAnsi="宋体" w:eastAsia="宋体" w:cs="宋体"/>
          <w:color w:val="000000"/>
          <w:sz w:val="24"/>
          <w:szCs w:val="24"/>
        </w:rPr>
      </w:pPr>
      <w:r>
        <w:rPr>
          <w:rFonts w:hint="eastAsia" w:ascii="宋体" w:hAnsi="宋体" w:eastAsia="宋体" w:cs="宋体"/>
          <w:color w:val="000000"/>
          <w:sz w:val="24"/>
          <w:szCs w:val="24"/>
        </w:rPr>
        <w:t>法定代表人：</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rPr>
        <w:t>法定代表人电子签名</w:t>
      </w:r>
      <w:r>
        <w:rPr>
          <w:rFonts w:hint="eastAsia" w:ascii="宋体" w:hAnsi="宋体" w:eastAsia="宋体" w:cs="宋体"/>
          <w:color w:val="000000"/>
          <w:sz w:val="24"/>
          <w:szCs w:val="24"/>
          <w:u w:val="none"/>
          <w:lang w:val="en-US" w:eastAsia="zh-CN"/>
        </w:rPr>
        <w:t>或签章</w:t>
      </w:r>
      <w:r>
        <w:rPr>
          <w:rFonts w:hint="eastAsia" w:ascii="宋体" w:hAnsi="宋体" w:eastAsia="宋体" w:cs="宋体"/>
          <w:color w:val="000000"/>
          <w:sz w:val="24"/>
          <w:szCs w:val="24"/>
          <w:lang w:eastAsia="zh-CN"/>
        </w:rPr>
        <w:t>）</w:t>
      </w:r>
    </w:p>
    <w:p w14:paraId="06A2BBB1">
      <w:pPr>
        <w:bidi w:val="0"/>
        <w:spacing w:line="400" w:lineRule="exact"/>
        <w:ind w:firstLine="4440" w:firstLineChars="1850"/>
        <w:rPr>
          <w:rFonts w:hint="eastAsia" w:ascii="宋体" w:hAnsi="宋体" w:eastAsia="宋体" w:cs="宋体"/>
          <w:color w:val="000000"/>
          <w:sz w:val="24"/>
          <w:szCs w:val="24"/>
        </w:rPr>
      </w:pPr>
    </w:p>
    <w:p w14:paraId="26D19488">
      <w:pPr>
        <w:bidi w:val="0"/>
        <w:spacing w:line="400" w:lineRule="exact"/>
        <w:ind w:firstLine="4560" w:firstLineChars="1900"/>
        <w:jc w:val="right"/>
        <w:rPr>
          <w:rFonts w:hint="eastAsia" w:ascii="宋体" w:hAnsi="宋体" w:eastAsia="宋体" w:cs="宋体"/>
          <w:color w:val="000000"/>
          <w:sz w:val="24"/>
          <w:szCs w:val="24"/>
        </w:rPr>
      </w:pPr>
      <w:r>
        <w:rPr>
          <w:rFonts w:hint="eastAsia" w:ascii="宋体" w:hAnsi="宋体" w:eastAsia="宋体" w:cs="宋体"/>
          <w:color w:val="000000"/>
          <w:sz w:val="24"/>
        </w:rPr>
        <w:t>日      期：</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日</w:t>
      </w:r>
    </w:p>
    <w:p w14:paraId="2A7E19F5">
      <w:pPr>
        <w:rPr>
          <w:rFonts w:hint="eastAsia" w:ascii="宋体" w:hAnsi="宋体" w:eastAsia="宋体" w:cs="宋体"/>
        </w:rPr>
      </w:pPr>
    </w:p>
    <w:p w14:paraId="1A9DB91F">
      <w:pPr>
        <w:jc w:val="center"/>
        <w:rPr>
          <w:rFonts w:hint="eastAsia" w:ascii="宋体" w:hAnsi="宋体" w:eastAsia="宋体" w:cs="宋体"/>
          <w:b/>
          <w:color w:val="000000"/>
          <w:kern w:val="0"/>
          <w:sz w:val="28"/>
          <w:szCs w:val="20"/>
        </w:rPr>
      </w:pPr>
    </w:p>
    <w:p w14:paraId="2772FFE6">
      <w:pPr>
        <w:jc w:val="center"/>
        <w:rPr>
          <w:rFonts w:hint="eastAsia" w:ascii="宋体" w:hAnsi="宋体" w:eastAsia="宋体" w:cs="宋体"/>
          <w:b/>
          <w:color w:val="000000"/>
          <w:kern w:val="0"/>
          <w:sz w:val="28"/>
          <w:szCs w:val="20"/>
        </w:rPr>
      </w:pPr>
    </w:p>
    <w:p w14:paraId="4FA34E9A">
      <w:pPr>
        <w:jc w:val="center"/>
        <w:rPr>
          <w:rFonts w:hint="eastAsia" w:ascii="宋体" w:hAnsi="宋体" w:eastAsia="宋体" w:cs="宋体"/>
          <w:b/>
          <w:color w:val="000000"/>
          <w:kern w:val="0"/>
          <w:sz w:val="28"/>
          <w:szCs w:val="20"/>
        </w:rPr>
      </w:pPr>
    </w:p>
    <w:p w14:paraId="14995DF3">
      <w:pPr>
        <w:jc w:val="center"/>
        <w:rPr>
          <w:rFonts w:hint="eastAsia" w:ascii="宋体" w:hAnsi="宋体" w:eastAsia="宋体" w:cs="宋体"/>
          <w:b/>
          <w:color w:val="000000"/>
          <w:kern w:val="0"/>
          <w:sz w:val="28"/>
          <w:szCs w:val="20"/>
        </w:rPr>
      </w:pPr>
    </w:p>
    <w:p w14:paraId="5082EFF5">
      <w:pPr>
        <w:jc w:val="center"/>
        <w:rPr>
          <w:rFonts w:hint="eastAsia" w:ascii="宋体" w:hAnsi="宋体" w:eastAsia="宋体" w:cs="宋体"/>
          <w:b/>
          <w:color w:val="000000"/>
          <w:kern w:val="0"/>
          <w:sz w:val="28"/>
          <w:szCs w:val="20"/>
        </w:rPr>
      </w:pPr>
    </w:p>
    <w:p w14:paraId="11C08718">
      <w:pPr>
        <w:jc w:val="center"/>
        <w:rPr>
          <w:rFonts w:hint="eastAsia" w:ascii="宋体" w:hAnsi="宋体" w:eastAsia="宋体" w:cs="宋体"/>
          <w:b/>
          <w:color w:val="000000"/>
          <w:kern w:val="0"/>
          <w:sz w:val="28"/>
          <w:szCs w:val="20"/>
        </w:rPr>
      </w:pPr>
    </w:p>
    <w:p w14:paraId="1D268100">
      <w:pPr>
        <w:jc w:val="center"/>
        <w:rPr>
          <w:rFonts w:hint="eastAsia" w:ascii="宋体" w:hAnsi="宋体" w:eastAsia="宋体" w:cs="宋体"/>
          <w:b/>
          <w:color w:val="000000"/>
          <w:kern w:val="0"/>
          <w:sz w:val="28"/>
          <w:szCs w:val="20"/>
        </w:rPr>
      </w:pPr>
    </w:p>
    <w:p w14:paraId="649BA413">
      <w:pPr>
        <w:jc w:val="center"/>
        <w:rPr>
          <w:rFonts w:hint="eastAsia" w:ascii="宋体" w:hAnsi="宋体" w:eastAsia="宋体" w:cs="宋体"/>
          <w:b/>
          <w:color w:val="000000"/>
          <w:kern w:val="0"/>
          <w:sz w:val="28"/>
          <w:szCs w:val="20"/>
        </w:rPr>
      </w:pPr>
    </w:p>
    <w:p w14:paraId="283075EF">
      <w:pPr>
        <w:jc w:val="center"/>
        <w:rPr>
          <w:rFonts w:hint="eastAsia" w:ascii="宋体" w:hAnsi="宋体" w:eastAsia="宋体" w:cs="宋体"/>
          <w:b/>
          <w:color w:val="000000"/>
          <w:kern w:val="0"/>
          <w:sz w:val="28"/>
          <w:szCs w:val="20"/>
        </w:rPr>
      </w:pPr>
    </w:p>
    <w:p w14:paraId="78AE6AA0">
      <w:pPr>
        <w:jc w:val="center"/>
        <w:rPr>
          <w:rFonts w:hint="eastAsia" w:ascii="宋体" w:hAnsi="宋体" w:eastAsia="宋体" w:cs="宋体"/>
          <w:b/>
          <w:color w:val="000000"/>
          <w:kern w:val="0"/>
          <w:sz w:val="28"/>
          <w:szCs w:val="20"/>
        </w:rPr>
      </w:pPr>
    </w:p>
    <w:p w14:paraId="31500549">
      <w:pPr>
        <w:jc w:val="center"/>
        <w:rPr>
          <w:rFonts w:hint="eastAsia" w:ascii="宋体" w:hAnsi="宋体" w:eastAsia="宋体" w:cs="宋体"/>
          <w:b/>
          <w:color w:val="000000"/>
          <w:kern w:val="0"/>
          <w:sz w:val="28"/>
          <w:szCs w:val="20"/>
        </w:rPr>
      </w:pPr>
    </w:p>
    <w:p w14:paraId="37CFF70C">
      <w:pPr>
        <w:pStyle w:val="12"/>
        <w:rPr>
          <w:rFonts w:hint="eastAsia"/>
        </w:rPr>
      </w:pPr>
    </w:p>
    <w:p w14:paraId="1744D739">
      <w:pPr>
        <w:pStyle w:val="54"/>
        <w:rPr>
          <w:rFonts w:hint="eastAsia"/>
        </w:rPr>
      </w:pPr>
    </w:p>
    <w:p w14:paraId="42954F8A">
      <w:pPr>
        <w:jc w:val="both"/>
        <w:rPr>
          <w:rFonts w:hint="eastAsia" w:ascii="宋体" w:hAnsi="宋体" w:eastAsia="宋体" w:cs="宋体"/>
          <w:b/>
          <w:color w:val="000000"/>
          <w:kern w:val="0"/>
          <w:sz w:val="28"/>
          <w:szCs w:val="20"/>
        </w:rPr>
      </w:pPr>
    </w:p>
    <w:p w14:paraId="4A8FAF80">
      <w:pPr>
        <w:spacing w:line="360" w:lineRule="auto"/>
        <w:jc w:val="center"/>
        <w:outlineLvl w:val="1"/>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十</w:t>
      </w:r>
      <w:r>
        <w:rPr>
          <w:rFonts w:hint="eastAsia" w:ascii="宋体" w:hAnsi="宋体" w:cs="宋体"/>
          <w:b/>
          <w:bCs/>
          <w:sz w:val="30"/>
          <w:szCs w:val="30"/>
          <w:lang w:val="en-US" w:eastAsia="zh-CN"/>
        </w:rPr>
        <w:t>二</w:t>
      </w:r>
      <w:r>
        <w:rPr>
          <w:rFonts w:hint="eastAsia" w:ascii="宋体" w:hAnsi="宋体" w:eastAsia="宋体" w:cs="宋体"/>
          <w:b/>
          <w:bCs/>
          <w:sz w:val="30"/>
          <w:szCs w:val="30"/>
          <w:lang w:val="en-US" w:eastAsia="zh-CN"/>
        </w:rPr>
        <w:t>、其他材料</w:t>
      </w:r>
    </w:p>
    <w:p w14:paraId="2F1B4ACD">
      <w:pPr>
        <w:bidi w:val="0"/>
        <w:spacing w:line="360" w:lineRule="auto"/>
        <w:jc w:val="center"/>
        <w:outlineLvl w:val="2"/>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1</w:t>
      </w:r>
      <w:r>
        <w:rPr>
          <w:rFonts w:hint="eastAsia" w:ascii="宋体" w:hAnsi="宋体" w:eastAsia="宋体" w:cs="宋体"/>
          <w:b/>
          <w:color w:val="000000"/>
          <w:sz w:val="28"/>
          <w:szCs w:val="28"/>
        </w:rPr>
        <w:t>、</w:t>
      </w:r>
      <w:r>
        <w:rPr>
          <w:rFonts w:hint="eastAsia" w:ascii="宋体" w:hAnsi="宋体" w:eastAsia="宋体" w:cs="宋体"/>
          <w:b/>
          <w:color w:val="000000"/>
          <w:sz w:val="28"/>
          <w:szCs w:val="28"/>
          <w:lang w:eastAsia="zh-CN"/>
        </w:rPr>
        <w:t>磋商</w:t>
      </w:r>
      <w:r>
        <w:rPr>
          <w:rFonts w:hint="eastAsia" w:ascii="宋体" w:hAnsi="宋体" w:eastAsia="宋体" w:cs="宋体"/>
          <w:b/>
          <w:color w:val="000000"/>
          <w:sz w:val="28"/>
          <w:szCs w:val="28"/>
        </w:rPr>
        <w:t>承诺函</w:t>
      </w:r>
    </w:p>
    <w:p w14:paraId="215CBE1B">
      <w:pPr>
        <w:pStyle w:val="30"/>
        <w:shd w:val="clear" w:color="auto" w:fill="FFFFFF"/>
        <w:bidi w:val="0"/>
        <w:spacing w:before="0" w:beforeLines="0" w:beforeAutospacing="0" w:after="0" w:afterLines="0" w:afterAutospacing="0" w:line="360" w:lineRule="auto"/>
        <w:jc w:val="both"/>
        <w:rPr>
          <w:rFonts w:hint="eastAsia" w:ascii="宋体" w:hAnsi="宋体" w:eastAsia="宋体" w:cs="宋体"/>
          <w:color w:val="000000"/>
          <w:spacing w:val="8"/>
          <w:sz w:val="24"/>
          <w:szCs w:val="24"/>
          <w:lang w:val="en-US" w:eastAsia="zh-CN"/>
        </w:rPr>
      </w:pPr>
      <w:r>
        <w:rPr>
          <w:rFonts w:hint="eastAsia" w:ascii="宋体" w:hAnsi="宋体" w:eastAsia="宋体" w:cs="宋体"/>
          <w:color w:val="000000"/>
          <w:sz w:val="24"/>
          <w:szCs w:val="24"/>
          <w:shd w:val="clear" w:color="auto" w:fill="FFFFFF"/>
        </w:rPr>
        <w:t>致</w:t>
      </w:r>
      <w:r>
        <w:rPr>
          <w:rFonts w:hint="eastAsia" w:ascii="宋体" w:hAnsi="宋体" w:eastAsia="宋体" w:cs="宋体"/>
          <w:color w:val="000000"/>
          <w:spacing w:val="8"/>
          <w:sz w:val="24"/>
          <w:szCs w:val="24"/>
          <w:shd w:val="clear" w:color="auto" w:fill="FFFFFF"/>
        </w:rPr>
        <w:t>：</w:t>
      </w:r>
      <w:r>
        <w:rPr>
          <w:rFonts w:hint="eastAsia" w:ascii="宋体" w:hAnsi="宋体" w:eastAsia="宋体" w:cs="宋体"/>
          <w:color w:val="000000"/>
          <w:sz w:val="24"/>
          <w:szCs w:val="24"/>
          <w:u w:val="single"/>
          <w:shd w:val="clear" w:color="auto" w:fill="FFFFFF"/>
        </w:rPr>
        <w:t>（采购人及采购代理机构）</w:t>
      </w:r>
      <w:r>
        <w:rPr>
          <w:rFonts w:hint="eastAsia" w:ascii="宋体" w:hAnsi="宋体" w:eastAsia="宋体" w:cs="宋体"/>
          <w:color w:val="000000"/>
          <w:sz w:val="24"/>
          <w:szCs w:val="24"/>
          <w:u w:val="single"/>
          <w:shd w:val="clear" w:color="auto" w:fill="FFFFFF"/>
          <w:lang w:val="en-US" w:eastAsia="zh-CN"/>
        </w:rPr>
        <w:t xml:space="preserve"> </w:t>
      </w:r>
    </w:p>
    <w:p w14:paraId="6A89AEFB">
      <w:pPr>
        <w:bidi w:val="0"/>
        <w:spacing w:line="360" w:lineRule="auto"/>
        <w:ind w:firstLine="512" w:firstLineChars="200"/>
        <w:rPr>
          <w:rFonts w:hint="eastAsia" w:ascii="宋体" w:hAnsi="宋体" w:eastAsia="宋体" w:cs="宋体"/>
          <w:color w:val="000000"/>
          <w:sz w:val="24"/>
          <w:szCs w:val="24"/>
        </w:rPr>
      </w:pPr>
      <w:r>
        <w:rPr>
          <w:rFonts w:hint="eastAsia" w:ascii="宋体" w:hAnsi="宋体" w:eastAsia="宋体" w:cs="宋体"/>
          <w:color w:val="000000"/>
          <w:spacing w:val="8"/>
          <w:sz w:val="24"/>
          <w:szCs w:val="24"/>
          <w:shd w:val="clear" w:color="auto" w:fill="FFFFFF"/>
        </w:rPr>
        <w:t>我</w:t>
      </w:r>
      <w:r>
        <w:rPr>
          <w:rFonts w:hint="eastAsia" w:ascii="宋体" w:hAnsi="宋体" w:eastAsia="宋体" w:cs="宋体"/>
          <w:color w:val="000000"/>
          <w:sz w:val="24"/>
          <w:szCs w:val="24"/>
        </w:rPr>
        <w:t>公司作为本次采购项目的供应商，根据</w:t>
      </w:r>
      <w:r>
        <w:rPr>
          <w:rFonts w:hint="eastAsia" w:ascii="宋体" w:hAnsi="宋体" w:eastAsia="宋体" w:cs="宋体"/>
          <w:color w:val="000000"/>
          <w:sz w:val="24"/>
          <w:szCs w:val="24"/>
          <w:lang w:eastAsia="zh-CN"/>
        </w:rPr>
        <w:t>磋商</w:t>
      </w:r>
      <w:r>
        <w:rPr>
          <w:rFonts w:hint="eastAsia" w:ascii="宋体" w:hAnsi="宋体" w:eastAsia="宋体" w:cs="宋体"/>
          <w:color w:val="000000"/>
          <w:sz w:val="24"/>
          <w:szCs w:val="24"/>
        </w:rPr>
        <w:t>文件要求，现郑重承诺如下：</w:t>
      </w:r>
    </w:p>
    <w:p w14:paraId="35D49D7F">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一、具备《中华人民共和国政府采购法》第二十二条第一款和本项目规定的条件：</w:t>
      </w:r>
    </w:p>
    <w:p w14:paraId="2EF590EB">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（一）具有独立承担民事责任的能力； 　　</w:t>
      </w:r>
    </w:p>
    <w:p w14:paraId="77A1983C">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（二）具有良好的商业信誉和健全的财务会计制度； 　</w:t>
      </w:r>
    </w:p>
    <w:p w14:paraId="79C6C730">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（三）具有履行合同所必需的设备和专业技术能力； 　　</w:t>
      </w:r>
    </w:p>
    <w:p w14:paraId="08F066FF">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（四）有依法缴纳税收和社会保障资金的良好记录； 　　</w:t>
      </w:r>
    </w:p>
    <w:p w14:paraId="5B6C8CB7">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（五）参加政府采购活动前三年内，在经营活动中没有重大违法记录；</w:t>
      </w:r>
    </w:p>
    <w:p w14:paraId="1682A793">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（六）法律、行政法规规定的其他条件；</w:t>
      </w:r>
    </w:p>
    <w:p w14:paraId="6876306B">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（七）根据采购项目提出的特殊条件。</w:t>
      </w:r>
    </w:p>
    <w:p w14:paraId="02AA5B22">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二、完全接受和满足本项目</w:t>
      </w:r>
      <w:r>
        <w:rPr>
          <w:rFonts w:hint="eastAsia" w:ascii="宋体" w:hAnsi="宋体" w:eastAsia="宋体" w:cs="宋体"/>
          <w:color w:val="000000"/>
          <w:sz w:val="24"/>
          <w:szCs w:val="24"/>
          <w:lang w:eastAsia="zh-CN"/>
        </w:rPr>
        <w:t>磋商</w:t>
      </w:r>
      <w:r>
        <w:rPr>
          <w:rFonts w:hint="eastAsia" w:ascii="宋体" w:hAnsi="宋体" w:eastAsia="宋体" w:cs="宋体"/>
          <w:color w:val="000000"/>
          <w:sz w:val="24"/>
          <w:szCs w:val="24"/>
        </w:rPr>
        <w:t>文件中规定的实质性要求，如对</w:t>
      </w:r>
      <w:r>
        <w:rPr>
          <w:rFonts w:hint="eastAsia" w:ascii="宋体" w:hAnsi="宋体" w:eastAsia="宋体" w:cs="宋体"/>
          <w:color w:val="000000"/>
          <w:sz w:val="24"/>
          <w:szCs w:val="24"/>
          <w:lang w:eastAsia="zh-CN"/>
        </w:rPr>
        <w:t>磋商</w:t>
      </w:r>
      <w:r>
        <w:rPr>
          <w:rFonts w:hint="eastAsia" w:ascii="宋体" w:hAnsi="宋体" w:eastAsia="宋体" w:cs="宋体"/>
          <w:color w:val="000000"/>
          <w:sz w:val="24"/>
          <w:szCs w:val="24"/>
        </w:rPr>
        <w:t>文件有异议，已经在</w:t>
      </w:r>
      <w:r>
        <w:rPr>
          <w:rFonts w:hint="eastAsia" w:ascii="宋体" w:hAnsi="宋体" w:eastAsia="宋体" w:cs="宋体"/>
          <w:color w:val="000000"/>
          <w:sz w:val="24"/>
          <w:szCs w:val="24"/>
          <w:lang w:eastAsia="zh-CN"/>
        </w:rPr>
        <w:t>磋商</w:t>
      </w:r>
      <w:r>
        <w:rPr>
          <w:rFonts w:hint="eastAsia" w:ascii="宋体" w:hAnsi="宋体" w:eastAsia="宋体" w:cs="宋体"/>
          <w:color w:val="000000"/>
          <w:sz w:val="24"/>
          <w:szCs w:val="24"/>
        </w:rPr>
        <w:t>截止时间届满前依法进行维权救济，不存在对</w:t>
      </w:r>
      <w:r>
        <w:rPr>
          <w:rFonts w:hint="eastAsia" w:ascii="宋体" w:hAnsi="宋体" w:eastAsia="宋体" w:cs="宋体"/>
          <w:color w:val="000000"/>
          <w:sz w:val="24"/>
          <w:szCs w:val="24"/>
          <w:lang w:eastAsia="zh-CN"/>
        </w:rPr>
        <w:t>磋商</w:t>
      </w:r>
      <w:r>
        <w:rPr>
          <w:rFonts w:hint="eastAsia" w:ascii="宋体" w:hAnsi="宋体" w:eastAsia="宋体" w:cs="宋体"/>
          <w:color w:val="000000"/>
          <w:sz w:val="24"/>
          <w:szCs w:val="24"/>
        </w:rPr>
        <w:t>文件有异议的同时又参加</w:t>
      </w:r>
      <w:r>
        <w:rPr>
          <w:rFonts w:hint="eastAsia" w:ascii="宋体" w:hAnsi="宋体" w:eastAsia="宋体" w:cs="宋体"/>
          <w:color w:val="000000"/>
          <w:sz w:val="24"/>
          <w:szCs w:val="24"/>
          <w:lang w:eastAsia="zh-CN"/>
        </w:rPr>
        <w:t>磋商</w:t>
      </w:r>
      <w:r>
        <w:rPr>
          <w:rFonts w:hint="eastAsia" w:ascii="宋体" w:hAnsi="宋体" w:eastAsia="宋体" w:cs="宋体"/>
          <w:color w:val="000000"/>
          <w:sz w:val="24"/>
          <w:szCs w:val="24"/>
        </w:rPr>
        <w:t>以求侥幸</w:t>
      </w:r>
      <w:r>
        <w:rPr>
          <w:rFonts w:hint="eastAsia" w:ascii="宋体" w:hAnsi="宋体" w:eastAsia="宋体" w:cs="宋体"/>
          <w:color w:val="000000"/>
          <w:sz w:val="24"/>
          <w:szCs w:val="24"/>
          <w:lang w:val="en-US" w:eastAsia="zh-CN"/>
        </w:rPr>
        <w:t>成交</w:t>
      </w:r>
      <w:r>
        <w:rPr>
          <w:rFonts w:hint="eastAsia" w:ascii="宋体" w:hAnsi="宋体" w:eastAsia="宋体" w:cs="宋体"/>
          <w:color w:val="000000"/>
          <w:sz w:val="24"/>
          <w:szCs w:val="24"/>
        </w:rPr>
        <w:t>或者为实现其他非法目的的行为。</w:t>
      </w:r>
    </w:p>
    <w:p w14:paraId="342EA8C0">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三、参加本次</w:t>
      </w:r>
      <w:r>
        <w:rPr>
          <w:rFonts w:hint="eastAsia" w:ascii="宋体" w:hAnsi="宋体" w:eastAsia="宋体" w:cs="宋体"/>
          <w:color w:val="000000"/>
          <w:sz w:val="24"/>
          <w:szCs w:val="24"/>
          <w:lang w:eastAsia="zh-CN"/>
        </w:rPr>
        <w:t>磋商</w:t>
      </w:r>
      <w:r>
        <w:rPr>
          <w:rFonts w:hint="eastAsia" w:ascii="宋体" w:hAnsi="宋体" w:eastAsia="宋体" w:cs="宋体"/>
          <w:color w:val="000000"/>
          <w:sz w:val="24"/>
          <w:szCs w:val="24"/>
        </w:rPr>
        <w:t>采购活动，不存在与单位负责人为同一人或者存在直接控股、管理关系的其他供应商参与同一合同项下的政府采购活动的行为。    </w:t>
      </w:r>
    </w:p>
    <w:p w14:paraId="20FF9628">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四、参加本次</w:t>
      </w:r>
      <w:r>
        <w:rPr>
          <w:rFonts w:hint="eastAsia" w:ascii="宋体" w:hAnsi="宋体" w:eastAsia="宋体" w:cs="宋体"/>
          <w:color w:val="000000"/>
          <w:sz w:val="24"/>
          <w:szCs w:val="24"/>
          <w:lang w:eastAsia="zh-CN"/>
        </w:rPr>
        <w:t>磋商</w:t>
      </w:r>
      <w:r>
        <w:rPr>
          <w:rFonts w:hint="eastAsia" w:ascii="宋体" w:hAnsi="宋体" w:eastAsia="宋体" w:cs="宋体"/>
          <w:color w:val="000000"/>
          <w:sz w:val="24"/>
          <w:szCs w:val="24"/>
        </w:rPr>
        <w:t>采购活动，不存在为采购项目提供整体设计、规范编制或者项目管理、监理、检测等服务的行为。</w:t>
      </w:r>
    </w:p>
    <w:p w14:paraId="3B9A9EAE">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五、参加本次</w:t>
      </w:r>
      <w:r>
        <w:rPr>
          <w:rFonts w:hint="eastAsia" w:ascii="宋体" w:hAnsi="宋体" w:eastAsia="宋体" w:cs="宋体"/>
          <w:color w:val="000000"/>
          <w:sz w:val="24"/>
          <w:szCs w:val="24"/>
          <w:lang w:eastAsia="zh-CN"/>
        </w:rPr>
        <w:t>磋商</w:t>
      </w:r>
      <w:r>
        <w:rPr>
          <w:rFonts w:hint="eastAsia" w:ascii="宋体" w:hAnsi="宋体" w:eastAsia="宋体" w:cs="宋体"/>
          <w:color w:val="000000"/>
          <w:sz w:val="24"/>
          <w:szCs w:val="24"/>
        </w:rPr>
        <w:t>采购活动，不存在和其他供应商在同一合同项下的采购项目中，同时委托同一个自然人、同一家庭的人员、同一单位的人员作为代理人的行为。</w:t>
      </w:r>
    </w:p>
    <w:p w14:paraId="1DC85321">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六、供应商参加本次</w:t>
      </w:r>
      <w:r>
        <w:rPr>
          <w:rFonts w:hint="eastAsia" w:ascii="宋体" w:hAnsi="宋体" w:eastAsia="宋体" w:cs="宋体"/>
          <w:color w:val="000000"/>
          <w:sz w:val="24"/>
          <w:szCs w:val="24"/>
          <w:lang w:eastAsia="zh-CN"/>
        </w:rPr>
        <w:t>磋商</w:t>
      </w:r>
      <w:r>
        <w:rPr>
          <w:rFonts w:hint="eastAsia" w:ascii="宋体" w:hAnsi="宋体" w:eastAsia="宋体" w:cs="宋体"/>
          <w:color w:val="000000"/>
          <w:sz w:val="24"/>
          <w:szCs w:val="24"/>
        </w:rPr>
        <w:t>采购活动要求在近三年内供应商和其法定代表人没有行贿犯罪行为。</w:t>
      </w:r>
    </w:p>
    <w:p w14:paraId="2C94BF05">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七、参加本次</w:t>
      </w:r>
      <w:r>
        <w:rPr>
          <w:rFonts w:hint="eastAsia" w:ascii="宋体" w:hAnsi="宋体" w:eastAsia="宋体" w:cs="宋体"/>
          <w:color w:val="000000"/>
          <w:sz w:val="24"/>
          <w:szCs w:val="24"/>
          <w:lang w:eastAsia="zh-CN"/>
        </w:rPr>
        <w:t>磋商</w:t>
      </w:r>
      <w:r>
        <w:rPr>
          <w:rFonts w:hint="eastAsia" w:ascii="宋体" w:hAnsi="宋体" w:eastAsia="宋体" w:cs="宋体"/>
          <w:color w:val="000000"/>
          <w:sz w:val="24"/>
          <w:szCs w:val="24"/>
        </w:rPr>
        <w:t>采购活动，不存在联合体</w:t>
      </w:r>
      <w:r>
        <w:rPr>
          <w:rFonts w:hint="eastAsia" w:ascii="宋体" w:hAnsi="宋体" w:eastAsia="宋体" w:cs="宋体"/>
          <w:color w:val="000000"/>
          <w:sz w:val="24"/>
          <w:szCs w:val="24"/>
          <w:lang w:eastAsia="zh-CN"/>
        </w:rPr>
        <w:t>磋商</w:t>
      </w:r>
      <w:r>
        <w:rPr>
          <w:rFonts w:hint="eastAsia" w:ascii="宋体" w:hAnsi="宋体" w:eastAsia="宋体" w:cs="宋体"/>
          <w:color w:val="000000"/>
          <w:sz w:val="24"/>
          <w:szCs w:val="24"/>
        </w:rPr>
        <w:t>。</w:t>
      </w:r>
    </w:p>
    <w:p w14:paraId="06CEBB24">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八、</w:t>
      </w:r>
      <w:r>
        <w:rPr>
          <w:rFonts w:hint="eastAsia" w:ascii="宋体" w:hAnsi="宋体" w:eastAsia="宋体" w:cs="宋体"/>
          <w:color w:val="000000"/>
          <w:sz w:val="24"/>
          <w:szCs w:val="24"/>
          <w:lang w:eastAsia="zh-CN"/>
        </w:rPr>
        <w:t>响应文件</w:t>
      </w:r>
      <w:r>
        <w:rPr>
          <w:rFonts w:hint="eastAsia" w:ascii="宋体" w:hAnsi="宋体" w:eastAsia="宋体" w:cs="宋体"/>
          <w:color w:val="000000"/>
          <w:sz w:val="24"/>
          <w:szCs w:val="24"/>
        </w:rPr>
        <w:t>中提供的能够给予我公司带来优惠、好处的任何材料资料和技术、服务、商务等</w:t>
      </w:r>
      <w:r>
        <w:rPr>
          <w:rFonts w:hint="eastAsia" w:ascii="宋体" w:hAnsi="宋体" w:eastAsia="宋体" w:cs="宋体"/>
          <w:color w:val="000000"/>
          <w:sz w:val="24"/>
          <w:szCs w:val="24"/>
          <w:lang w:eastAsia="zh-CN"/>
        </w:rPr>
        <w:t>相应</w:t>
      </w:r>
      <w:r>
        <w:rPr>
          <w:rFonts w:hint="eastAsia" w:ascii="宋体" w:hAnsi="宋体" w:eastAsia="宋体" w:cs="宋体"/>
          <w:color w:val="000000"/>
          <w:sz w:val="24"/>
          <w:szCs w:val="24"/>
        </w:rPr>
        <w:t>承诺情况都是真实的、有效的、合法的。</w:t>
      </w:r>
    </w:p>
    <w:p w14:paraId="51A04DF5">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九、如本项目</w:t>
      </w:r>
      <w:r>
        <w:rPr>
          <w:rFonts w:hint="eastAsia" w:ascii="宋体" w:hAnsi="宋体" w:eastAsia="宋体" w:cs="宋体"/>
          <w:color w:val="000000"/>
          <w:sz w:val="24"/>
          <w:szCs w:val="24"/>
          <w:lang w:eastAsia="zh-CN"/>
        </w:rPr>
        <w:t>磋商</w:t>
      </w:r>
      <w:r>
        <w:rPr>
          <w:rFonts w:hint="eastAsia" w:ascii="宋体" w:hAnsi="宋体" w:eastAsia="宋体" w:cs="宋体"/>
          <w:color w:val="000000"/>
          <w:sz w:val="24"/>
          <w:szCs w:val="24"/>
        </w:rPr>
        <w:t>过程中需要提供样品，则我公司提供的样品即为</w:t>
      </w:r>
      <w:r>
        <w:rPr>
          <w:rFonts w:hint="eastAsia" w:ascii="宋体" w:hAnsi="宋体" w:eastAsia="宋体" w:cs="宋体"/>
          <w:color w:val="000000"/>
          <w:sz w:val="24"/>
          <w:szCs w:val="24"/>
          <w:lang w:val="en-US" w:eastAsia="zh-CN"/>
        </w:rPr>
        <w:t>成交</w:t>
      </w:r>
      <w:r>
        <w:rPr>
          <w:rFonts w:hint="eastAsia" w:ascii="宋体" w:hAnsi="宋体" w:eastAsia="宋体" w:cs="宋体"/>
          <w:color w:val="000000"/>
          <w:sz w:val="24"/>
          <w:szCs w:val="24"/>
        </w:rPr>
        <w:t>后将要提供的</w:t>
      </w:r>
      <w:r>
        <w:rPr>
          <w:rFonts w:hint="eastAsia" w:ascii="宋体" w:hAnsi="宋体" w:eastAsia="宋体" w:cs="宋体"/>
          <w:color w:val="000000"/>
          <w:sz w:val="24"/>
          <w:szCs w:val="24"/>
          <w:lang w:val="en-US" w:eastAsia="zh-CN"/>
        </w:rPr>
        <w:t>成交</w:t>
      </w:r>
      <w:r>
        <w:rPr>
          <w:rFonts w:hint="eastAsia" w:ascii="宋体" w:hAnsi="宋体" w:eastAsia="宋体" w:cs="宋体"/>
          <w:color w:val="000000"/>
          <w:sz w:val="24"/>
          <w:szCs w:val="24"/>
        </w:rPr>
        <w:t>产品，我公司对提供样品的性能和质量负责，因样品存在缺陷或者不符合</w:t>
      </w:r>
      <w:r>
        <w:rPr>
          <w:rFonts w:hint="eastAsia" w:ascii="宋体" w:hAnsi="宋体" w:eastAsia="宋体" w:cs="宋体"/>
          <w:color w:val="000000"/>
          <w:sz w:val="24"/>
          <w:szCs w:val="24"/>
          <w:lang w:val="en-US" w:eastAsia="zh-CN"/>
        </w:rPr>
        <w:t>采购</w:t>
      </w:r>
      <w:r>
        <w:rPr>
          <w:rFonts w:hint="eastAsia" w:ascii="宋体" w:hAnsi="宋体" w:eastAsia="宋体" w:cs="宋体"/>
          <w:color w:val="000000"/>
          <w:sz w:val="24"/>
          <w:szCs w:val="24"/>
        </w:rPr>
        <w:t>文件要求导致未能</w:t>
      </w:r>
      <w:r>
        <w:rPr>
          <w:rFonts w:hint="eastAsia" w:ascii="宋体" w:hAnsi="宋体" w:eastAsia="宋体" w:cs="宋体"/>
          <w:color w:val="000000"/>
          <w:sz w:val="24"/>
          <w:szCs w:val="24"/>
          <w:lang w:val="en-US" w:eastAsia="zh-CN"/>
        </w:rPr>
        <w:t>成交</w:t>
      </w:r>
      <w:r>
        <w:rPr>
          <w:rFonts w:hint="eastAsia" w:ascii="宋体" w:hAnsi="宋体" w:eastAsia="宋体" w:cs="宋体"/>
          <w:color w:val="000000"/>
          <w:sz w:val="24"/>
          <w:szCs w:val="24"/>
        </w:rPr>
        <w:t>的，我公司愿意承担相应不利后果。（如提供样品）    </w:t>
      </w:r>
    </w:p>
    <w:p w14:paraId="0C691D77">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十、存在以下行为之一的愿意接受相关部门的处理：</w:t>
      </w:r>
    </w:p>
    <w:p w14:paraId="2FA9A7B1">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磋商</w:t>
      </w:r>
      <w:r>
        <w:rPr>
          <w:rFonts w:hint="eastAsia" w:ascii="宋体" w:hAnsi="宋体" w:eastAsia="宋体" w:cs="宋体"/>
          <w:sz w:val="24"/>
          <w:szCs w:val="24"/>
        </w:rPr>
        <w:t>有效期内撤销</w:t>
      </w:r>
      <w:r>
        <w:rPr>
          <w:rFonts w:hint="eastAsia" w:ascii="宋体" w:hAnsi="宋体" w:eastAsia="宋体" w:cs="宋体"/>
          <w:sz w:val="24"/>
          <w:szCs w:val="24"/>
          <w:lang w:eastAsia="zh-CN"/>
        </w:rPr>
        <w:t>响应文件</w:t>
      </w:r>
      <w:r>
        <w:rPr>
          <w:rFonts w:hint="eastAsia" w:ascii="宋体" w:hAnsi="宋体" w:eastAsia="宋体" w:cs="宋体"/>
          <w:sz w:val="24"/>
          <w:szCs w:val="24"/>
        </w:rPr>
        <w:t>的；</w:t>
      </w:r>
    </w:p>
    <w:p w14:paraId="46DA1EFD">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（二）在采购人确定成交人以前放弃</w:t>
      </w:r>
      <w:r>
        <w:rPr>
          <w:rFonts w:hint="eastAsia" w:ascii="宋体" w:hAnsi="宋体" w:eastAsia="宋体" w:cs="宋体"/>
          <w:sz w:val="24"/>
          <w:szCs w:val="24"/>
          <w:lang w:eastAsia="zh-CN"/>
        </w:rPr>
        <w:t>成交</w:t>
      </w:r>
      <w:r>
        <w:rPr>
          <w:rFonts w:hint="eastAsia" w:ascii="宋体" w:hAnsi="宋体" w:eastAsia="宋体" w:cs="宋体"/>
          <w:sz w:val="24"/>
          <w:szCs w:val="24"/>
        </w:rPr>
        <w:t>候选资格的；</w:t>
      </w:r>
    </w:p>
    <w:p w14:paraId="32A6B6BB">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（三）由于成交人的原因未能按照</w:t>
      </w:r>
      <w:r>
        <w:rPr>
          <w:rFonts w:hint="eastAsia" w:ascii="宋体" w:hAnsi="宋体" w:eastAsia="宋体" w:cs="宋体"/>
          <w:sz w:val="24"/>
          <w:szCs w:val="24"/>
          <w:lang w:val="en-US" w:eastAsia="zh-CN"/>
        </w:rPr>
        <w:t>采购</w:t>
      </w:r>
      <w:r>
        <w:rPr>
          <w:rFonts w:hint="eastAsia" w:ascii="宋体" w:hAnsi="宋体" w:eastAsia="宋体" w:cs="宋体"/>
          <w:sz w:val="24"/>
          <w:szCs w:val="24"/>
        </w:rPr>
        <w:t>文件的规定与采购人签订合同；</w:t>
      </w:r>
    </w:p>
    <w:p w14:paraId="419C8025">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四</w:t>
      </w:r>
      <w:r>
        <w:rPr>
          <w:rFonts w:hint="eastAsia" w:ascii="宋体" w:hAnsi="宋体" w:eastAsia="宋体" w:cs="宋体"/>
          <w:sz w:val="24"/>
          <w:szCs w:val="24"/>
        </w:rPr>
        <w:t>）在</w:t>
      </w:r>
      <w:r>
        <w:rPr>
          <w:rFonts w:hint="eastAsia" w:ascii="宋体" w:hAnsi="宋体" w:eastAsia="宋体" w:cs="宋体"/>
          <w:sz w:val="24"/>
          <w:szCs w:val="24"/>
          <w:lang w:eastAsia="zh-CN"/>
        </w:rPr>
        <w:t>响应文件</w:t>
      </w:r>
      <w:r>
        <w:rPr>
          <w:rFonts w:hint="eastAsia" w:ascii="宋体" w:hAnsi="宋体" w:eastAsia="宋体" w:cs="宋体"/>
          <w:sz w:val="24"/>
          <w:szCs w:val="24"/>
        </w:rPr>
        <w:t>中提供虚假材料谋取</w:t>
      </w:r>
      <w:r>
        <w:rPr>
          <w:rFonts w:hint="eastAsia" w:ascii="宋体" w:hAnsi="宋体" w:eastAsia="宋体" w:cs="宋体"/>
          <w:sz w:val="24"/>
          <w:szCs w:val="24"/>
          <w:lang w:val="en-US" w:eastAsia="zh-CN"/>
        </w:rPr>
        <w:t>成交</w:t>
      </w:r>
      <w:r>
        <w:rPr>
          <w:rFonts w:hint="eastAsia" w:ascii="宋体" w:hAnsi="宋体" w:eastAsia="宋体" w:cs="宋体"/>
          <w:sz w:val="24"/>
          <w:szCs w:val="24"/>
        </w:rPr>
        <w:t>；</w:t>
      </w:r>
    </w:p>
    <w:p w14:paraId="7792A954">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五</w:t>
      </w:r>
      <w:r>
        <w:rPr>
          <w:rFonts w:hint="eastAsia" w:ascii="宋体" w:hAnsi="宋体" w:eastAsia="宋体" w:cs="宋体"/>
          <w:sz w:val="24"/>
          <w:szCs w:val="24"/>
        </w:rPr>
        <w:t>）与采购人、其他供应商或者采购代理机构恶意串通的；</w:t>
      </w:r>
    </w:p>
    <w:p w14:paraId="03FC027C">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六</w:t>
      </w:r>
      <w:r>
        <w:rPr>
          <w:rFonts w:hint="eastAsia" w:ascii="宋体" w:hAnsi="宋体" w:eastAsia="宋体" w:cs="宋体"/>
          <w:sz w:val="24"/>
          <w:szCs w:val="24"/>
        </w:rPr>
        <w:t>）</w:t>
      </w:r>
      <w:r>
        <w:rPr>
          <w:rFonts w:hint="eastAsia" w:ascii="宋体" w:hAnsi="宋体" w:eastAsia="宋体" w:cs="宋体"/>
          <w:sz w:val="24"/>
          <w:szCs w:val="24"/>
          <w:lang w:eastAsia="zh-CN"/>
        </w:rPr>
        <w:t>磋商</w:t>
      </w:r>
      <w:r>
        <w:rPr>
          <w:rFonts w:hint="eastAsia" w:ascii="宋体" w:hAnsi="宋体" w:eastAsia="宋体" w:cs="宋体"/>
          <w:sz w:val="24"/>
          <w:szCs w:val="24"/>
        </w:rPr>
        <w:t>有效期内，供应商在政府采购活动中有违法、违规、违纪行为。</w:t>
      </w:r>
    </w:p>
    <w:p w14:paraId="1FF02901">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由此产生的一切法律后果和责任由我公司承担。我公司声明放弃对此提出任何异议和追索的权利。</w:t>
      </w:r>
    </w:p>
    <w:p w14:paraId="23397F5A">
      <w:pPr>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本公司对上述承诺的内容事项真实性负责。如经查实上述承诺的内容事项存在虚假，我公司愿意接受以提供虚假材料谋取</w:t>
      </w:r>
      <w:r>
        <w:rPr>
          <w:rFonts w:hint="eastAsia" w:ascii="宋体" w:hAnsi="宋体" w:eastAsia="宋体" w:cs="宋体"/>
          <w:color w:val="000000"/>
          <w:sz w:val="24"/>
          <w:szCs w:val="24"/>
          <w:lang w:val="en-US" w:eastAsia="zh-CN"/>
        </w:rPr>
        <w:t>成交</w:t>
      </w:r>
      <w:r>
        <w:rPr>
          <w:rFonts w:hint="eastAsia" w:ascii="宋体" w:hAnsi="宋体" w:eastAsia="宋体" w:cs="宋体"/>
          <w:color w:val="000000"/>
          <w:sz w:val="24"/>
          <w:szCs w:val="24"/>
        </w:rPr>
        <w:t>追究法律责任。</w:t>
      </w:r>
    </w:p>
    <w:p w14:paraId="6C20B06F">
      <w:pPr>
        <w:jc w:val="both"/>
        <w:rPr>
          <w:rFonts w:hint="eastAsia" w:ascii="宋体" w:hAnsi="宋体" w:eastAsia="宋体" w:cs="宋体"/>
          <w:b/>
          <w:color w:val="000000"/>
          <w:kern w:val="0"/>
          <w:sz w:val="28"/>
          <w:szCs w:val="20"/>
        </w:rPr>
      </w:pPr>
    </w:p>
    <w:p w14:paraId="0701869B">
      <w:pPr>
        <w:jc w:val="center"/>
        <w:rPr>
          <w:rFonts w:hint="eastAsia" w:ascii="宋体" w:hAnsi="宋体" w:eastAsia="宋体" w:cs="宋体"/>
          <w:b/>
          <w:color w:val="000000"/>
          <w:kern w:val="0"/>
          <w:sz w:val="28"/>
          <w:szCs w:val="20"/>
        </w:rPr>
      </w:pPr>
    </w:p>
    <w:p w14:paraId="144E5440">
      <w:pPr>
        <w:jc w:val="center"/>
        <w:rPr>
          <w:rFonts w:hint="eastAsia" w:ascii="宋体" w:hAnsi="宋体" w:eastAsia="宋体" w:cs="宋体"/>
          <w:b/>
          <w:color w:val="000000"/>
          <w:kern w:val="0"/>
          <w:sz w:val="28"/>
          <w:szCs w:val="20"/>
        </w:rPr>
      </w:pPr>
    </w:p>
    <w:p w14:paraId="62F42BC9">
      <w:pPr>
        <w:jc w:val="center"/>
        <w:rPr>
          <w:rFonts w:hint="eastAsia" w:ascii="宋体" w:hAnsi="宋体" w:eastAsia="宋体" w:cs="宋体"/>
          <w:b/>
          <w:color w:val="000000"/>
          <w:kern w:val="0"/>
          <w:sz w:val="28"/>
          <w:szCs w:val="20"/>
        </w:rPr>
      </w:pPr>
    </w:p>
    <w:p w14:paraId="0D54BB67">
      <w:pPr>
        <w:jc w:val="center"/>
        <w:rPr>
          <w:rFonts w:hint="eastAsia" w:ascii="宋体" w:hAnsi="宋体" w:eastAsia="宋体" w:cs="宋体"/>
          <w:b/>
          <w:color w:val="000000"/>
          <w:kern w:val="0"/>
          <w:sz w:val="28"/>
          <w:szCs w:val="20"/>
        </w:rPr>
      </w:pPr>
    </w:p>
    <w:p w14:paraId="616B0294">
      <w:pPr>
        <w:bidi w:val="0"/>
        <w:spacing w:line="400" w:lineRule="exact"/>
        <w:ind w:firstLine="3840" w:firstLineChars="16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w:t>
      </w:r>
      <w:r>
        <w:rPr>
          <w:rFonts w:hint="eastAsia" w:ascii="宋体" w:hAnsi="宋体" w:eastAsia="宋体" w:cs="宋体"/>
          <w:color w:val="000000"/>
          <w:sz w:val="24"/>
          <w:szCs w:val="24"/>
        </w:rPr>
        <w:t>名称：</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单位电子签章</w:t>
      </w:r>
      <w:r>
        <w:rPr>
          <w:rFonts w:hint="eastAsia" w:ascii="宋体" w:hAnsi="宋体" w:eastAsia="宋体" w:cs="宋体"/>
          <w:color w:val="000000"/>
          <w:sz w:val="24"/>
          <w:szCs w:val="24"/>
          <w:lang w:eastAsia="zh-CN"/>
        </w:rPr>
        <w:t>）</w:t>
      </w:r>
    </w:p>
    <w:p w14:paraId="379A40F3">
      <w:pPr>
        <w:bidi w:val="0"/>
        <w:spacing w:line="400" w:lineRule="exact"/>
        <w:ind w:firstLine="4440" w:firstLineChars="1850"/>
        <w:rPr>
          <w:rFonts w:hint="eastAsia" w:ascii="宋体" w:hAnsi="宋体" w:eastAsia="宋体" w:cs="宋体"/>
          <w:color w:val="000000"/>
          <w:sz w:val="24"/>
          <w:szCs w:val="24"/>
        </w:rPr>
      </w:pPr>
    </w:p>
    <w:p w14:paraId="16D4AC7B">
      <w:pPr>
        <w:bidi w:val="0"/>
        <w:spacing w:line="360" w:lineRule="auto"/>
        <w:jc w:val="right"/>
        <w:rPr>
          <w:rFonts w:hint="eastAsia" w:ascii="宋体" w:hAnsi="宋体" w:eastAsia="宋体" w:cs="宋体"/>
          <w:color w:val="000000"/>
          <w:sz w:val="24"/>
          <w:szCs w:val="24"/>
        </w:rPr>
      </w:pPr>
      <w:r>
        <w:rPr>
          <w:rFonts w:hint="eastAsia" w:ascii="宋体" w:hAnsi="宋体" w:eastAsia="宋体" w:cs="宋体"/>
          <w:color w:val="000000"/>
          <w:sz w:val="24"/>
          <w:szCs w:val="24"/>
        </w:rPr>
        <w:t>法定代表人：</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rPr>
        <w:t>法定代表人电子签名</w:t>
      </w:r>
      <w:r>
        <w:rPr>
          <w:rFonts w:hint="eastAsia" w:ascii="宋体" w:hAnsi="宋体" w:eastAsia="宋体" w:cs="宋体"/>
          <w:color w:val="000000"/>
          <w:sz w:val="24"/>
          <w:szCs w:val="24"/>
          <w:u w:val="none"/>
          <w:lang w:val="en-US" w:eastAsia="zh-CN"/>
        </w:rPr>
        <w:t>或签章</w:t>
      </w:r>
      <w:r>
        <w:rPr>
          <w:rFonts w:hint="eastAsia" w:ascii="宋体" w:hAnsi="宋体" w:eastAsia="宋体" w:cs="宋体"/>
          <w:color w:val="000000"/>
          <w:sz w:val="24"/>
          <w:szCs w:val="24"/>
          <w:lang w:eastAsia="zh-CN"/>
        </w:rPr>
        <w:t>）</w:t>
      </w:r>
    </w:p>
    <w:p w14:paraId="0DBC79AE">
      <w:pPr>
        <w:bidi w:val="0"/>
        <w:spacing w:line="400" w:lineRule="exact"/>
        <w:ind w:firstLine="4440" w:firstLineChars="1850"/>
        <w:rPr>
          <w:rFonts w:hint="eastAsia" w:ascii="宋体" w:hAnsi="宋体" w:eastAsia="宋体" w:cs="宋体"/>
          <w:color w:val="000000"/>
          <w:sz w:val="24"/>
          <w:szCs w:val="24"/>
        </w:rPr>
      </w:pPr>
    </w:p>
    <w:p w14:paraId="4440E7A4">
      <w:pPr>
        <w:bidi w:val="0"/>
        <w:spacing w:line="400" w:lineRule="exact"/>
        <w:ind w:firstLine="4560" w:firstLineChars="1900"/>
        <w:jc w:val="right"/>
        <w:rPr>
          <w:rFonts w:hint="eastAsia" w:ascii="宋体" w:hAnsi="宋体" w:eastAsia="宋体" w:cs="宋体"/>
          <w:color w:val="000000"/>
          <w:sz w:val="24"/>
          <w:szCs w:val="24"/>
        </w:rPr>
      </w:pPr>
      <w:r>
        <w:rPr>
          <w:rFonts w:hint="eastAsia" w:ascii="宋体" w:hAnsi="宋体" w:eastAsia="宋体" w:cs="宋体"/>
          <w:color w:val="000000"/>
          <w:sz w:val="24"/>
        </w:rPr>
        <w:t>日      期：</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日</w:t>
      </w:r>
    </w:p>
    <w:p w14:paraId="5D46E051">
      <w:pPr>
        <w:jc w:val="center"/>
        <w:rPr>
          <w:rFonts w:hint="eastAsia" w:ascii="宋体" w:hAnsi="宋体" w:eastAsia="宋体" w:cs="宋体"/>
          <w:b/>
          <w:color w:val="000000"/>
          <w:kern w:val="0"/>
          <w:sz w:val="28"/>
          <w:szCs w:val="20"/>
        </w:rPr>
      </w:pPr>
    </w:p>
    <w:p w14:paraId="751E2E55">
      <w:pPr>
        <w:jc w:val="center"/>
        <w:rPr>
          <w:rFonts w:hint="eastAsia" w:ascii="宋体" w:hAnsi="宋体" w:eastAsia="宋体" w:cs="宋体"/>
          <w:b/>
          <w:color w:val="000000"/>
          <w:kern w:val="0"/>
          <w:sz w:val="28"/>
          <w:szCs w:val="20"/>
        </w:rPr>
      </w:pPr>
    </w:p>
    <w:p w14:paraId="343F167A">
      <w:pPr>
        <w:jc w:val="center"/>
        <w:rPr>
          <w:rFonts w:hint="eastAsia" w:ascii="宋体" w:hAnsi="宋体" w:eastAsia="宋体" w:cs="宋体"/>
          <w:b/>
          <w:color w:val="000000"/>
          <w:kern w:val="0"/>
          <w:sz w:val="28"/>
          <w:szCs w:val="20"/>
        </w:rPr>
      </w:pPr>
    </w:p>
    <w:p w14:paraId="7CCBDF15">
      <w:pPr>
        <w:jc w:val="center"/>
        <w:rPr>
          <w:rFonts w:hint="eastAsia" w:ascii="宋体" w:hAnsi="宋体" w:eastAsia="宋体" w:cs="宋体"/>
          <w:b/>
          <w:color w:val="000000"/>
          <w:kern w:val="0"/>
          <w:sz w:val="28"/>
          <w:szCs w:val="20"/>
        </w:rPr>
      </w:pPr>
    </w:p>
    <w:p w14:paraId="5FC5852C">
      <w:pPr>
        <w:jc w:val="center"/>
        <w:rPr>
          <w:rFonts w:hint="eastAsia" w:ascii="宋体" w:hAnsi="宋体" w:eastAsia="宋体" w:cs="宋体"/>
          <w:b/>
          <w:color w:val="000000"/>
          <w:kern w:val="0"/>
          <w:sz w:val="28"/>
          <w:szCs w:val="20"/>
        </w:rPr>
      </w:pPr>
    </w:p>
    <w:p w14:paraId="4A2FC7B2">
      <w:pPr>
        <w:jc w:val="center"/>
        <w:rPr>
          <w:rFonts w:hint="eastAsia" w:ascii="宋体" w:hAnsi="宋体" w:eastAsia="宋体" w:cs="宋体"/>
          <w:b/>
          <w:color w:val="000000"/>
          <w:kern w:val="0"/>
          <w:sz w:val="28"/>
          <w:szCs w:val="20"/>
        </w:rPr>
      </w:pPr>
    </w:p>
    <w:p w14:paraId="1C7337FB">
      <w:pPr>
        <w:jc w:val="center"/>
        <w:rPr>
          <w:rFonts w:hint="eastAsia" w:ascii="宋体" w:hAnsi="宋体" w:eastAsia="宋体" w:cs="宋体"/>
          <w:b/>
          <w:color w:val="000000"/>
          <w:kern w:val="0"/>
          <w:sz w:val="28"/>
          <w:szCs w:val="20"/>
        </w:rPr>
      </w:pPr>
    </w:p>
    <w:p w14:paraId="24150106">
      <w:pPr>
        <w:jc w:val="center"/>
        <w:rPr>
          <w:rFonts w:hint="eastAsia" w:ascii="宋体" w:hAnsi="宋体" w:eastAsia="宋体" w:cs="宋体"/>
          <w:b/>
          <w:color w:val="000000"/>
          <w:kern w:val="0"/>
          <w:sz w:val="28"/>
          <w:szCs w:val="20"/>
        </w:rPr>
      </w:pPr>
    </w:p>
    <w:p w14:paraId="4BDF12F8">
      <w:pPr>
        <w:jc w:val="center"/>
        <w:rPr>
          <w:rFonts w:hint="eastAsia" w:ascii="宋体" w:hAnsi="宋体" w:eastAsia="宋体" w:cs="宋体"/>
          <w:b/>
          <w:color w:val="000000"/>
          <w:kern w:val="0"/>
          <w:sz w:val="28"/>
          <w:szCs w:val="20"/>
        </w:rPr>
      </w:pPr>
    </w:p>
    <w:p w14:paraId="5287ABEE">
      <w:pPr>
        <w:jc w:val="center"/>
        <w:rPr>
          <w:rFonts w:hint="eastAsia" w:ascii="宋体" w:hAnsi="宋体" w:eastAsia="宋体" w:cs="宋体"/>
          <w:b/>
          <w:color w:val="000000"/>
          <w:kern w:val="0"/>
          <w:sz w:val="28"/>
          <w:szCs w:val="20"/>
        </w:rPr>
      </w:pPr>
    </w:p>
    <w:p w14:paraId="1C371C17">
      <w:pPr>
        <w:jc w:val="center"/>
        <w:rPr>
          <w:rFonts w:hint="eastAsia" w:ascii="宋体" w:hAnsi="宋体" w:eastAsia="宋体" w:cs="宋体"/>
          <w:b/>
          <w:color w:val="000000"/>
          <w:kern w:val="0"/>
          <w:sz w:val="28"/>
          <w:szCs w:val="20"/>
        </w:rPr>
      </w:pPr>
    </w:p>
    <w:p w14:paraId="06CC44FE">
      <w:pPr>
        <w:jc w:val="center"/>
        <w:rPr>
          <w:rFonts w:hint="eastAsia" w:ascii="宋体" w:hAnsi="宋体" w:eastAsia="宋体" w:cs="宋体"/>
          <w:b/>
          <w:color w:val="000000"/>
          <w:kern w:val="0"/>
          <w:sz w:val="28"/>
          <w:szCs w:val="20"/>
        </w:rPr>
      </w:pPr>
    </w:p>
    <w:p w14:paraId="26F55BC6">
      <w:pPr>
        <w:jc w:val="center"/>
        <w:rPr>
          <w:rFonts w:hint="eastAsia" w:ascii="宋体" w:hAnsi="宋体" w:eastAsia="宋体" w:cs="宋体"/>
          <w:b/>
          <w:color w:val="000000"/>
          <w:kern w:val="0"/>
          <w:sz w:val="28"/>
          <w:szCs w:val="20"/>
        </w:rPr>
      </w:pPr>
    </w:p>
    <w:p w14:paraId="323E02CD">
      <w:pPr>
        <w:jc w:val="center"/>
        <w:rPr>
          <w:rFonts w:hint="eastAsia" w:ascii="宋体" w:hAnsi="宋体" w:eastAsia="宋体" w:cs="宋体"/>
          <w:b/>
          <w:color w:val="000000"/>
          <w:kern w:val="0"/>
          <w:sz w:val="28"/>
          <w:szCs w:val="20"/>
        </w:rPr>
      </w:pPr>
    </w:p>
    <w:p w14:paraId="69E974C8">
      <w:pPr>
        <w:bidi w:val="0"/>
        <w:spacing w:line="360" w:lineRule="auto"/>
        <w:jc w:val="both"/>
        <w:rPr>
          <w:rFonts w:hint="eastAsia" w:ascii="宋体" w:hAnsi="宋体" w:eastAsia="宋体" w:cs="宋体"/>
          <w:b/>
          <w:color w:val="000000"/>
          <w:sz w:val="24"/>
          <w:szCs w:val="24"/>
          <w:lang w:val="en-US" w:eastAsia="zh-CN"/>
        </w:rPr>
      </w:pPr>
    </w:p>
    <w:p w14:paraId="77D8D12E">
      <w:pPr>
        <w:bidi w:val="0"/>
        <w:spacing w:line="360" w:lineRule="auto"/>
        <w:jc w:val="center"/>
        <w:outlineLvl w:val="2"/>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2、采购代理服务费承诺函</w:t>
      </w:r>
    </w:p>
    <w:p w14:paraId="6D0419CC">
      <w:pPr>
        <w:pStyle w:val="30"/>
        <w:shd w:val="clear" w:color="auto" w:fill="FFFFFF"/>
        <w:bidi w:val="0"/>
        <w:spacing w:before="0" w:beforeLines="0" w:beforeAutospacing="0" w:after="0" w:afterLines="0" w:afterAutospacing="0"/>
        <w:jc w:val="both"/>
        <w:rPr>
          <w:rFonts w:hint="eastAsia" w:ascii="宋体" w:hAnsi="宋体" w:eastAsia="宋体" w:cs="宋体"/>
          <w:color w:val="000000"/>
          <w:spacing w:val="8"/>
          <w:sz w:val="21"/>
          <w:szCs w:val="21"/>
        </w:rPr>
      </w:pPr>
      <w:r>
        <w:rPr>
          <w:rFonts w:hint="eastAsia" w:ascii="宋体" w:hAnsi="宋体" w:eastAsia="宋体" w:cs="宋体"/>
          <w:color w:val="000000"/>
          <w:spacing w:val="8"/>
          <w:sz w:val="21"/>
          <w:szCs w:val="21"/>
          <w:shd w:val="clear" w:color="auto" w:fill="FFFFFF"/>
        </w:rPr>
        <w:t> </w:t>
      </w:r>
    </w:p>
    <w:p w14:paraId="03EB8AE2">
      <w:pPr>
        <w:pStyle w:val="30"/>
        <w:shd w:val="clear" w:color="auto" w:fill="FFFFFF"/>
        <w:bidi w:val="0"/>
        <w:spacing w:before="0" w:beforeLines="0" w:beforeAutospacing="0" w:after="0" w:afterLines="0" w:afterAutospacing="0" w:line="360" w:lineRule="auto"/>
        <w:jc w:val="both"/>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shd w:val="clear" w:color="auto" w:fill="FFFFFF"/>
        </w:rPr>
        <w:t>致：</w:t>
      </w:r>
      <w:r>
        <w:rPr>
          <w:rFonts w:hint="eastAsia" w:ascii="宋体" w:hAnsi="宋体" w:eastAsia="宋体" w:cs="宋体"/>
          <w:color w:val="000000"/>
          <w:spacing w:val="8"/>
          <w:sz w:val="24"/>
          <w:szCs w:val="24"/>
          <w:u w:val="single"/>
          <w:shd w:val="clear" w:color="auto" w:fill="FFFFFF"/>
        </w:rPr>
        <w:t>（采购人及采购代理机构） </w:t>
      </w:r>
    </w:p>
    <w:p w14:paraId="3A0CFA5F">
      <w:pPr>
        <w:pStyle w:val="30"/>
        <w:shd w:val="clear" w:color="auto" w:fill="FFFFFF"/>
        <w:bidi w:val="0"/>
        <w:spacing w:before="0" w:beforeLines="0" w:beforeAutospacing="0" w:after="0" w:afterLines="0" w:afterAutospacing="0" w:line="360" w:lineRule="auto"/>
        <w:ind w:firstLine="480"/>
        <w:jc w:val="both"/>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shd w:val="clear" w:color="auto" w:fill="FFFFFF"/>
        </w:rPr>
        <w:t>我们在贵公司组织的（</w:t>
      </w:r>
      <w:r>
        <w:rPr>
          <w:rFonts w:hint="eastAsia" w:eastAsia="宋体" w:cs="宋体"/>
          <w:color w:val="000000"/>
          <w:spacing w:val="8"/>
          <w:sz w:val="24"/>
          <w:szCs w:val="24"/>
          <w:u w:val="single"/>
          <w:shd w:val="clear" w:color="auto" w:fill="FFFFFF"/>
          <w:lang w:val="en-US" w:eastAsia="zh-CN"/>
        </w:rPr>
        <w:t xml:space="preserve">       </w:t>
      </w:r>
      <w:r>
        <w:rPr>
          <w:rFonts w:hint="eastAsia" w:eastAsia="宋体" w:cs="宋体"/>
          <w:color w:val="000000"/>
          <w:spacing w:val="8"/>
          <w:sz w:val="24"/>
          <w:szCs w:val="24"/>
          <w:shd w:val="clear" w:color="auto" w:fill="FFFFFF"/>
          <w:lang w:eastAsia="zh-CN"/>
        </w:rPr>
        <w:t>（</w:t>
      </w:r>
      <w:r>
        <w:rPr>
          <w:rFonts w:hint="eastAsia" w:eastAsia="宋体" w:cs="宋体"/>
          <w:color w:val="000000"/>
          <w:spacing w:val="8"/>
          <w:sz w:val="24"/>
          <w:szCs w:val="24"/>
          <w:shd w:val="clear" w:color="auto" w:fill="FFFFFF"/>
          <w:lang w:val="en-US" w:eastAsia="zh-CN"/>
        </w:rPr>
        <w:t>项目名称</w:t>
      </w:r>
      <w:r>
        <w:rPr>
          <w:rFonts w:hint="eastAsia" w:eastAsia="宋体" w:cs="宋体"/>
          <w:color w:val="000000"/>
          <w:spacing w:val="8"/>
          <w:sz w:val="24"/>
          <w:szCs w:val="24"/>
          <w:shd w:val="clear" w:color="auto" w:fill="FFFFFF"/>
          <w:lang w:eastAsia="zh-CN"/>
        </w:rPr>
        <w:t>）</w:t>
      </w:r>
      <w:r>
        <w:rPr>
          <w:rFonts w:hint="eastAsia" w:cs="宋体"/>
          <w:color w:val="000000"/>
          <w:spacing w:val="8"/>
          <w:sz w:val="24"/>
          <w:szCs w:val="24"/>
          <w:shd w:val="clear" w:color="auto" w:fill="FFFFFF"/>
          <w:lang w:eastAsia="zh-CN"/>
        </w:rPr>
        <w:t>，</w:t>
      </w:r>
      <w:r>
        <w:rPr>
          <w:rFonts w:hint="eastAsia" w:ascii="宋体" w:hAnsi="宋体" w:eastAsia="宋体" w:cs="宋体"/>
          <w:color w:val="000000"/>
          <w:spacing w:val="8"/>
          <w:sz w:val="24"/>
          <w:szCs w:val="24"/>
          <w:shd w:val="clear" w:color="auto" w:fill="FFFFFF"/>
        </w:rPr>
        <w:t>采购编号：</w:t>
      </w:r>
      <w:r>
        <w:rPr>
          <w:rFonts w:hint="eastAsia" w:ascii="宋体" w:hAnsi="宋体" w:eastAsia="宋体" w:cs="宋体"/>
          <w:color w:val="000000"/>
          <w:spacing w:val="8"/>
          <w:sz w:val="24"/>
          <w:szCs w:val="24"/>
          <w:u w:val="single"/>
          <w:shd w:val="clear" w:color="auto" w:fill="FFFFFF"/>
        </w:rPr>
        <w:t xml:space="preserve">     </w:t>
      </w:r>
      <w:r>
        <w:rPr>
          <w:rFonts w:hint="eastAsia" w:ascii="宋体" w:hAnsi="宋体" w:eastAsia="宋体" w:cs="宋体"/>
          <w:color w:val="000000"/>
          <w:spacing w:val="8"/>
          <w:sz w:val="24"/>
          <w:szCs w:val="24"/>
          <w:shd w:val="clear" w:color="auto" w:fill="FFFFFF"/>
        </w:rPr>
        <w:t>）采购中若获成交，我们保证在成交结果公告发布后5个工作日内，按</w:t>
      </w:r>
      <w:r>
        <w:rPr>
          <w:rFonts w:hint="eastAsia" w:ascii="宋体" w:hAnsi="宋体" w:eastAsia="宋体" w:cs="宋体"/>
          <w:color w:val="000000"/>
          <w:spacing w:val="8"/>
          <w:sz w:val="24"/>
          <w:szCs w:val="24"/>
          <w:shd w:val="clear" w:color="auto" w:fill="FFFFFF"/>
          <w:lang w:val="en-US" w:eastAsia="zh-CN"/>
        </w:rPr>
        <w:t>采购</w:t>
      </w:r>
      <w:r>
        <w:rPr>
          <w:rFonts w:hint="eastAsia" w:ascii="宋体" w:hAnsi="宋体" w:eastAsia="宋体" w:cs="宋体"/>
          <w:color w:val="000000"/>
          <w:spacing w:val="8"/>
          <w:sz w:val="24"/>
          <w:szCs w:val="24"/>
          <w:shd w:val="clear" w:color="auto" w:fill="FFFFFF"/>
        </w:rPr>
        <w:t>文件的规定，向贵公司一次性支付</w:t>
      </w:r>
      <w:r>
        <w:rPr>
          <w:rFonts w:hint="eastAsia" w:ascii="宋体" w:hAnsi="宋体" w:eastAsia="宋体" w:cs="宋体"/>
          <w:color w:val="000000"/>
          <w:spacing w:val="8"/>
          <w:sz w:val="24"/>
          <w:szCs w:val="24"/>
          <w:shd w:val="clear" w:color="auto" w:fill="FFFFFF"/>
          <w:lang w:eastAsia="zh-CN"/>
        </w:rPr>
        <w:t>采购代理</w:t>
      </w:r>
      <w:r>
        <w:rPr>
          <w:rFonts w:hint="eastAsia" w:ascii="宋体" w:hAnsi="宋体" w:eastAsia="宋体" w:cs="宋体"/>
          <w:color w:val="000000"/>
          <w:spacing w:val="8"/>
          <w:sz w:val="24"/>
          <w:szCs w:val="24"/>
          <w:shd w:val="clear" w:color="auto" w:fill="FFFFFF"/>
        </w:rPr>
        <w:t>服务费用。否则，由此产生的一切法律后果和责任由我公司承担。我公司声明放弃对此提出任何异议和追索的权利。</w:t>
      </w:r>
    </w:p>
    <w:p w14:paraId="61D48F1B">
      <w:pPr>
        <w:pStyle w:val="30"/>
        <w:shd w:val="clear" w:color="auto" w:fill="FFFFFF"/>
        <w:bidi w:val="0"/>
        <w:spacing w:before="0" w:beforeLines="0" w:beforeAutospacing="0" w:after="0" w:afterLines="0" w:afterAutospacing="0" w:line="360" w:lineRule="auto"/>
        <w:ind w:firstLine="512" w:firstLineChars="200"/>
        <w:jc w:val="both"/>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shd w:val="clear" w:color="auto" w:fill="FFFFFF"/>
        </w:rPr>
        <w:t>特此承诺。</w:t>
      </w:r>
    </w:p>
    <w:p w14:paraId="360063A4">
      <w:pPr>
        <w:spacing w:line="360" w:lineRule="auto"/>
        <w:jc w:val="left"/>
        <w:rPr>
          <w:rFonts w:hint="eastAsia" w:ascii="宋体" w:hAnsi="宋体" w:eastAsia="宋体" w:cs="宋体"/>
          <w:color w:val="000000"/>
          <w:sz w:val="24"/>
        </w:rPr>
      </w:pPr>
    </w:p>
    <w:p w14:paraId="79E69BCE">
      <w:pPr>
        <w:bidi w:val="0"/>
        <w:spacing w:line="400" w:lineRule="exact"/>
        <w:ind w:firstLine="3840" w:firstLineChars="16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w:t>
      </w:r>
      <w:r>
        <w:rPr>
          <w:rFonts w:hint="eastAsia" w:ascii="宋体" w:hAnsi="宋体" w:eastAsia="宋体" w:cs="宋体"/>
          <w:color w:val="000000"/>
          <w:sz w:val="24"/>
          <w:szCs w:val="24"/>
        </w:rPr>
        <w:t>名称：</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单位电子签章</w:t>
      </w:r>
      <w:r>
        <w:rPr>
          <w:rFonts w:hint="eastAsia" w:ascii="宋体" w:hAnsi="宋体" w:eastAsia="宋体" w:cs="宋体"/>
          <w:color w:val="000000"/>
          <w:sz w:val="24"/>
          <w:szCs w:val="24"/>
          <w:lang w:eastAsia="zh-CN"/>
        </w:rPr>
        <w:t>）</w:t>
      </w:r>
    </w:p>
    <w:p w14:paraId="3ED38C86">
      <w:pPr>
        <w:bidi w:val="0"/>
        <w:spacing w:line="400" w:lineRule="exact"/>
        <w:ind w:firstLine="4440" w:firstLineChars="1850"/>
        <w:rPr>
          <w:rFonts w:hint="eastAsia" w:ascii="宋体" w:hAnsi="宋体" w:eastAsia="宋体" w:cs="宋体"/>
          <w:color w:val="000000"/>
          <w:sz w:val="24"/>
          <w:szCs w:val="24"/>
        </w:rPr>
      </w:pPr>
    </w:p>
    <w:p w14:paraId="50AA5DAC">
      <w:pPr>
        <w:bidi w:val="0"/>
        <w:spacing w:line="360" w:lineRule="auto"/>
        <w:jc w:val="right"/>
        <w:rPr>
          <w:rFonts w:hint="eastAsia" w:ascii="宋体" w:hAnsi="宋体" w:eastAsia="宋体" w:cs="宋体"/>
          <w:color w:val="000000"/>
          <w:sz w:val="24"/>
          <w:szCs w:val="24"/>
        </w:rPr>
      </w:pPr>
      <w:r>
        <w:rPr>
          <w:rFonts w:hint="eastAsia" w:ascii="宋体" w:hAnsi="宋体" w:eastAsia="宋体" w:cs="宋体"/>
          <w:color w:val="000000"/>
          <w:sz w:val="24"/>
          <w:szCs w:val="24"/>
        </w:rPr>
        <w:t>法定代表人：</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rPr>
        <w:t>法定代表人电子签名</w:t>
      </w:r>
      <w:r>
        <w:rPr>
          <w:rFonts w:hint="eastAsia" w:ascii="宋体" w:hAnsi="宋体" w:eastAsia="宋体" w:cs="宋体"/>
          <w:color w:val="000000"/>
          <w:sz w:val="24"/>
          <w:szCs w:val="24"/>
          <w:u w:val="none"/>
          <w:lang w:val="en-US" w:eastAsia="zh-CN"/>
        </w:rPr>
        <w:t>或签章</w:t>
      </w:r>
      <w:r>
        <w:rPr>
          <w:rFonts w:hint="eastAsia" w:ascii="宋体" w:hAnsi="宋体" w:eastAsia="宋体" w:cs="宋体"/>
          <w:color w:val="000000"/>
          <w:sz w:val="24"/>
          <w:szCs w:val="24"/>
          <w:lang w:eastAsia="zh-CN"/>
        </w:rPr>
        <w:t>）</w:t>
      </w:r>
    </w:p>
    <w:p w14:paraId="583D95AA">
      <w:pPr>
        <w:bidi w:val="0"/>
        <w:spacing w:line="400" w:lineRule="exact"/>
        <w:ind w:firstLine="4440" w:firstLineChars="1850"/>
        <w:rPr>
          <w:rFonts w:hint="eastAsia" w:ascii="宋体" w:hAnsi="宋体" w:eastAsia="宋体" w:cs="宋体"/>
          <w:color w:val="000000"/>
          <w:sz w:val="24"/>
          <w:szCs w:val="24"/>
        </w:rPr>
      </w:pPr>
    </w:p>
    <w:p w14:paraId="74FFC30A">
      <w:pPr>
        <w:bidi w:val="0"/>
        <w:spacing w:line="400" w:lineRule="exact"/>
        <w:ind w:firstLine="4560" w:firstLineChars="1900"/>
        <w:jc w:val="right"/>
        <w:rPr>
          <w:rFonts w:hint="eastAsia" w:ascii="宋体" w:hAnsi="宋体" w:eastAsia="宋体" w:cs="宋体"/>
          <w:color w:val="000000"/>
          <w:sz w:val="24"/>
          <w:szCs w:val="24"/>
        </w:rPr>
      </w:pPr>
      <w:r>
        <w:rPr>
          <w:rFonts w:hint="eastAsia" w:ascii="宋体" w:hAnsi="宋体" w:eastAsia="宋体" w:cs="宋体"/>
          <w:color w:val="000000"/>
          <w:sz w:val="24"/>
        </w:rPr>
        <w:t>日      期：</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日</w:t>
      </w:r>
    </w:p>
    <w:p w14:paraId="05FCA2DA">
      <w:pPr>
        <w:spacing w:line="360" w:lineRule="auto"/>
        <w:jc w:val="left"/>
        <w:rPr>
          <w:rFonts w:hint="eastAsia" w:ascii="宋体" w:hAnsi="宋体" w:eastAsia="宋体" w:cs="宋体"/>
          <w:color w:val="000000"/>
          <w:sz w:val="24"/>
        </w:rPr>
      </w:pPr>
    </w:p>
    <w:p w14:paraId="3214C72B">
      <w:pPr>
        <w:pStyle w:val="32"/>
        <w:ind w:firstLine="482"/>
        <w:rPr>
          <w:rFonts w:hint="eastAsia" w:ascii="宋体" w:hAnsi="宋体" w:eastAsia="宋体" w:cs="宋体"/>
          <w:b/>
          <w:color w:val="000000"/>
          <w:kern w:val="0"/>
          <w:szCs w:val="18"/>
        </w:rPr>
      </w:pPr>
    </w:p>
    <w:p w14:paraId="385F571E">
      <w:pPr>
        <w:bidi w:val="0"/>
        <w:spacing w:line="360" w:lineRule="auto"/>
        <w:jc w:val="center"/>
        <w:rPr>
          <w:rFonts w:hint="eastAsia" w:ascii="宋体" w:hAnsi="宋体" w:eastAsia="宋体" w:cs="宋体"/>
          <w:b/>
          <w:color w:val="000000"/>
          <w:sz w:val="28"/>
          <w:szCs w:val="28"/>
          <w:lang w:val="en-US" w:eastAsia="zh-CN"/>
        </w:rPr>
      </w:pPr>
    </w:p>
    <w:p w14:paraId="59BA0161">
      <w:pPr>
        <w:bidi w:val="0"/>
        <w:spacing w:line="360" w:lineRule="auto"/>
        <w:jc w:val="center"/>
        <w:rPr>
          <w:rFonts w:hint="eastAsia" w:ascii="宋体" w:hAnsi="宋体" w:eastAsia="宋体" w:cs="宋体"/>
          <w:b/>
          <w:color w:val="000000"/>
          <w:sz w:val="28"/>
          <w:szCs w:val="28"/>
          <w:lang w:val="en-US" w:eastAsia="zh-CN"/>
        </w:rPr>
      </w:pPr>
    </w:p>
    <w:p w14:paraId="56987541">
      <w:pPr>
        <w:rPr>
          <w:rFonts w:hint="eastAsia" w:ascii="宋体" w:hAnsi="宋体" w:eastAsia="宋体" w:cs="宋体"/>
          <w:lang w:val="en-US" w:eastAsia="zh-CN"/>
        </w:rPr>
      </w:pPr>
    </w:p>
    <w:p w14:paraId="2F3B7A9F">
      <w:pPr>
        <w:rPr>
          <w:rFonts w:hint="eastAsia" w:ascii="宋体" w:hAnsi="宋体" w:eastAsia="宋体" w:cs="宋体"/>
          <w:lang w:val="en-US" w:eastAsia="zh-CN"/>
        </w:rPr>
      </w:pPr>
    </w:p>
    <w:p w14:paraId="3FA243FD">
      <w:pPr>
        <w:rPr>
          <w:rFonts w:hint="eastAsia" w:ascii="宋体" w:hAnsi="宋体" w:eastAsia="宋体" w:cs="宋体"/>
          <w:lang w:val="en-US" w:eastAsia="zh-CN"/>
        </w:rPr>
      </w:pPr>
    </w:p>
    <w:p w14:paraId="67AE215C">
      <w:pPr>
        <w:rPr>
          <w:rFonts w:hint="eastAsia" w:ascii="宋体" w:hAnsi="宋体" w:eastAsia="宋体" w:cs="宋体"/>
          <w:lang w:val="en-US" w:eastAsia="zh-CN"/>
        </w:rPr>
      </w:pPr>
    </w:p>
    <w:p w14:paraId="5BFFD04B">
      <w:pPr>
        <w:rPr>
          <w:rFonts w:hint="eastAsia" w:ascii="宋体" w:hAnsi="宋体" w:eastAsia="宋体" w:cs="宋体"/>
          <w:lang w:val="en-US" w:eastAsia="zh-CN"/>
        </w:rPr>
      </w:pPr>
    </w:p>
    <w:p w14:paraId="24CCDEE2">
      <w:pPr>
        <w:rPr>
          <w:rFonts w:hint="eastAsia" w:ascii="宋体" w:hAnsi="宋体" w:eastAsia="宋体" w:cs="宋体"/>
          <w:lang w:val="en-US" w:eastAsia="zh-CN"/>
        </w:rPr>
      </w:pPr>
    </w:p>
    <w:p w14:paraId="43B3E5DC">
      <w:pPr>
        <w:rPr>
          <w:rFonts w:hint="eastAsia" w:ascii="宋体" w:hAnsi="宋体" w:eastAsia="宋体" w:cs="宋体"/>
          <w:lang w:val="en-US" w:eastAsia="zh-CN"/>
        </w:rPr>
      </w:pPr>
    </w:p>
    <w:p w14:paraId="5BAC7E98">
      <w:pPr>
        <w:rPr>
          <w:rFonts w:hint="eastAsia" w:ascii="宋体" w:hAnsi="宋体" w:eastAsia="宋体" w:cs="宋体"/>
          <w:lang w:val="en-US" w:eastAsia="zh-CN"/>
        </w:rPr>
      </w:pPr>
    </w:p>
    <w:p w14:paraId="1D2600D1">
      <w:pPr>
        <w:rPr>
          <w:rFonts w:hint="eastAsia" w:ascii="宋体" w:hAnsi="宋体" w:eastAsia="宋体" w:cs="宋体"/>
          <w:lang w:val="en-US" w:eastAsia="zh-CN"/>
        </w:rPr>
      </w:pPr>
    </w:p>
    <w:p w14:paraId="43BD2038">
      <w:pPr>
        <w:bidi w:val="0"/>
        <w:spacing w:line="360" w:lineRule="auto"/>
        <w:jc w:val="center"/>
        <w:rPr>
          <w:rFonts w:hint="eastAsia" w:ascii="宋体" w:hAnsi="宋体" w:eastAsia="宋体" w:cs="宋体"/>
          <w:b/>
          <w:color w:val="000000"/>
          <w:sz w:val="28"/>
          <w:szCs w:val="28"/>
          <w:lang w:val="en-US" w:eastAsia="zh-CN"/>
        </w:rPr>
      </w:pPr>
    </w:p>
    <w:p w14:paraId="1EEDC9C9">
      <w:pPr>
        <w:bidi w:val="0"/>
        <w:spacing w:line="360" w:lineRule="auto"/>
        <w:jc w:val="center"/>
        <w:rPr>
          <w:rFonts w:hint="eastAsia" w:ascii="宋体" w:hAnsi="宋体" w:eastAsia="宋体" w:cs="宋体"/>
          <w:b/>
          <w:color w:val="000000"/>
          <w:sz w:val="28"/>
          <w:szCs w:val="28"/>
          <w:lang w:val="en-US" w:eastAsia="zh-CN"/>
        </w:rPr>
      </w:pPr>
    </w:p>
    <w:p w14:paraId="7BF84ABF">
      <w:pPr>
        <w:bidi w:val="0"/>
        <w:spacing w:line="360" w:lineRule="auto"/>
        <w:jc w:val="center"/>
        <w:rPr>
          <w:rFonts w:hint="eastAsia" w:ascii="宋体" w:hAnsi="宋体" w:eastAsia="宋体" w:cs="宋体"/>
          <w:b/>
          <w:color w:val="000000"/>
          <w:sz w:val="28"/>
          <w:szCs w:val="28"/>
          <w:lang w:val="en-US" w:eastAsia="zh-CN"/>
        </w:rPr>
      </w:pPr>
    </w:p>
    <w:p w14:paraId="4E6BC147">
      <w:pPr>
        <w:bidi w:val="0"/>
        <w:spacing w:line="360" w:lineRule="auto"/>
        <w:jc w:val="center"/>
        <w:rPr>
          <w:rFonts w:hint="eastAsia" w:ascii="宋体" w:hAnsi="宋体" w:eastAsia="宋体" w:cs="宋体"/>
          <w:b/>
          <w:color w:val="000000"/>
          <w:sz w:val="28"/>
          <w:szCs w:val="28"/>
          <w:lang w:val="en-US" w:eastAsia="zh-CN"/>
        </w:rPr>
      </w:pPr>
    </w:p>
    <w:p w14:paraId="0A403774">
      <w:pPr>
        <w:bidi w:val="0"/>
        <w:spacing w:line="360" w:lineRule="auto"/>
        <w:jc w:val="both"/>
        <w:rPr>
          <w:rFonts w:hint="eastAsia" w:ascii="宋体" w:hAnsi="宋体" w:eastAsia="宋体" w:cs="宋体"/>
          <w:b/>
          <w:color w:val="000000"/>
          <w:sz w:val="28"/>
          <w:szCs w:val="28"/>
          <w:lang w:val="en-US" w:eastAsia="zh-CN"/>
        </w:rPr>
      </w:pPr>
    </w:p>
    <w:p w14:paraId="786229DD">
      <w:pPr>
        <w:pStyle w:val="54"/>
        <w:rPr>
          <w:rFonts w:hint="eastAsia" w:ascii="宋体" w:hAnsi="宋体" w:eastAsia="宋体" w:cs="宋体"/>
          <w:b/>
          <w:color w:val="000000"/>
          <w:sz w:val="28"/>
          <w:szCs w:val="28"/>
          <w:lang w:val="en-US" w:eastAsia="zh-CN"/>
        </w:rPr>
      </w:pPr>
    </w:p>
    <w:p w14:paraId="15F85998">
      <w:pPr>
        <w:rPr>
          <w:rFonts w:hint="eastAsia"/>
          <w:lang w:val="en-US" w:eastAsia="zh-CN"/>
        </w:rPr>
      </w:pPr>
    </w:p>
    <w:p w14:paraId="2B027644">
      <w:pPr>
        <w:pStyle w:val="55"/>
        <w:rPr>
          <w:rFonts w:hint="eastAsia"/>
          <w:lang w:val="en-US" w:eastAsia="zh-CN"/>
        </w:rPr>
      </w:pPr>
    </w:p>
    <w:p w14:paraId="130E79B1">
      <w:pPr>
        <w:bidi w:val="0"/>
        <w:spacing w:line="360" w:lineRule="auto"/>
        <w:jc w:val="center"/>
        <w:outlineLvl w:val="2"/>
        <w:rPr>
          <w:rFonts w:hint="eastAsia" w:ascii="宋体" w:hAnsi="宋体" w:eastAsia="宋体" w:cs="宋体"/>
          <w:b/>
          <w:color w:val="000000"/>
          <w:sz w:val="28"/>
          <w:szCs w:val="28"/>
          <w:lang w:val="en-US" w:eastAsia="zh-CN"/>
        </w:rPr>
      </w:pPr>
      <w:r>
        <w:rPr>
          <w:rFonts w:hint="eastAsia" w:ascii="宋体" w:hAnsi="宋体" w:cs="宋体"/>
          <w:b/>
          <w:color w:val="000000"/>
          <w:sz w:val="28"/>
          <w:szCs w:val="28"/>
          <w:lang w:val="en-US" w:eastAsia="zh-CN"/>
        </w:rPr>
        <w:t>3、</w:t>
      </w:r>
      <w:r>
        <w:rPr>
          <w:rFonts w:hint="eastAsia" w:ascii="宋体" w:hAnsi="宋体" w:eastAsia="宋体" w:cs="宋体"/>
          <w:b/>
          <w:color w:val="000000"/>
          <w:sz w:val="28"/>
          <w:szCs w:val="28"/>
          <w:lang w:val="en-US" w:eastAsia="zh-CN"/>
        </w:rPr>
        <w:t>供应商认为需要的其他资料</w:t>
      </w:r>
    </w:p>
    <w:p w14:paraId="00AEACAF">
      <w:pPr>
        <w:pStyle w:val="54"/>
        <w:rPr>
          <w:rFonts w:hint="eastAsia" w:ascii="宋体" w:hAnsi="宋体" w:eastAsia="宋体" w:cs="宋体"/>
        </w:rPr>
      </w:pPr>
    </w:p>
    <w:p w14:paraId="28631233">
      <w:pPr>
        <w:pStyle w:val="12"/>
        <w:spacing w:before="248" w:line="216" w:lineRule="auto"/>
        <w:ind w:left="2688"/>
        <w:outlineLvl w:val="1"/>
        <w:rPr>
          <w:rFonts w:hint="eastAsia"/>
          <w:b/>
          <w:bCs/>
          <w:spacing w:val="-4"/>
          <w:sz w:val="30"/>
          <w:szCs w:val="30"/>
          <w:lang w:val="en-US" w:eastAsia="zh-CN"/>
        </w:rPr>
      </w:pPr>
    </w:p>
    <w:p w14:paraId="3F642319">
      <w:pPr>
        <w:pStyle w:val="12"/>
        <w:spacing w:before="248" w:line="216" w:lineRule="auto"/>
        <w:ind w:left="2688"/>
        <w:outlineLvl w:val="1"/>
        <w:rPr>
          <w:rFonts w:hint="eastAsia"/>
          <w:b/>
          <w:bCs/>
          <w:spacing w:val="-4"/>
          <w:sz w:val="30"/>
          <w:szCs w:val="30"/>
          <w:lang w:val="en-US" w:eastAsia="zh-CN"/>
        </w:rPr>
      </w:pPr>
    </w:p>
    <w:p w14:paraId="54F5DE3B">
      <w:pPr>
        <w:pStyle w:val="12"/>
        <w:spacing w:before="248" w:line="216" w:lineRule="auto"/>
        <w:ind w:left="2688"/>
        <w:outlineLvl w:val="1"/>
        <w:rPr>
          <w:rFonts w:hint="eastAsia"/>
          <w:b/>
          <w:bCs/>
          <w:spacing w:val="-4"/>
          <w:sz w:val="30"/>
          <w:szCs w:val="30"/>
          <w:lang w:val="en-US" w:eastAsia="zh-CN"/>
        </w:rPr>
      </w:pPr>
    </w:p>
    <w:p w14:paraId="3921B07F">
      <w:pPr>
        <w:pStyle w:val="12"/>
        <w:spacing w:before="248" w:line="216" w:lineRule="auto"/>
        <w:ind w:left="2688"/>
        <w:outlineLvl w:val="1"/>
        <w:rPr>
          <w:rFonts w:hint="eastAsia"/>
          <w:b/>
          <w:bCs/>
          <w:spacing w:val="-4"/>
          <w:sz w:val="30"/>
          <w:szCs w:val="30"/>
          <w:lang w:val="en-US" w:eastAsia="zh-CN"/>
        </w:rPr>
      </w:pPr>
    </w:p>
    <w:p w14:paraId="22D049BC">
      <w:pPr>
        <w:pStyle w:val="12"/>
        <w:spacing w:before="248" w:line="216" w:lineRule="auto"/>
        <w:ind w:left="2688"/>
        <w:outlineLvl w:val="1"/>
        <w:rPr>
          <w:rFonts w:hint="eastAsia"/>
          <w:b/>
          <w:bCs/>
          <w:spacing w:val="-4"/>
          <w:sz w:val="30"/>
          <w:szCs w:val="30"/>
          <w:lang w:val="en-US" w:eastAsia="zh-CN"/>
        </w:rPr>
      </w:pPr>
    </w:p>
    <w:p w14:paraId="43727736">
      <w:pPr>
        <w:pStyle w:val="12"/>
        <w:spacing w:before="248" w:line="216" w:lineRule="auto"/>
        <w:ind w:left="2688"/>
        <w:outlineLvl w:val="1"/>
        <w:rPr>
          <w:rFonts w:hint="eastAsia"/>
          <w:b/>
          <w:bCs/>
          <w:spacing w:val="-4"/>
          <w:sz w:val="30"/>
          <w:szCs w:val="30"/>
          <w:lang w:val="en-US" w:eastAsia="zh-CN"/>
        </w:rPr>
      </w:pPr>
    </w:p>
    <w:p w14:paraId="2025BF95">
      <w:pPr>
        <w:pStyle w:val="12"/>
        <w:spacing w:before="248" w:line="216" w:lineRule="auto"/>
        <w:ind w:left="2688"/>
        <w:outlineLvl w:val="1"/>
        <w:rPr>
          <w:rFonts w:hint="eastAsia"/>
          <w:b/>
          <w:bCs/>
          <w:spacing w:val="-4"/>
          <w:sz w:val="30"/>
          <w:szCs w:val="30"/>
          <w:lang w:val="en-US" w:eastAsia="zh-CN"/>
        </w:rPr>
      </w:pPr>
    </w:p>
    <w:p w14:paraId="6BB4903A">
      <w:pPr>
        <w:pStyle w:val="12"/>
        <w:spacing w:before="248" w:line="216" w:lineRule="auto"/>
        <w:ind w:left="2688"/>
        <w:outlineLvl w:val="1"/>
        <w:rPr>
          <w:rFonts w:hint="eastAsia"/>
          <w:b/>
          <w:bCs/>
          <w:spacing w:val="-4"/>
          <w:sz w:val="30"/>
          <w:szCs w:val="30"/>
          <w:lang w:val="en-US" w:eastAsia="zh-CN"/>
        </w:rPr>
      </w:pPr>
    </w:p>
    <w:p w14:paraId="4D566D4A">
      <w:pPr>
        <w:pStyle w:val="12"/>
        <w:spacing w:before="248" w:line="216" w:lineRule="auto"/>
        <w:ind w:left="2688"/>
        <w:outlineLvl w:val="1"/>
        <w:rPr>
          <w:rFonts w:hint="eastAsia"/>
          <w:b/>
          <w:bCs/>
          <w:spacing w:val="-4"/>
          <w:sz w:val="30"/>
          <w:szCs w:val="30"/>
          <w:lang w:val="en-US" w:eastAsia="zh-CN"/>
        </w:rPr>
      </w:pPr>
    </w:p>
    <w:p w14:paraId="52CBCD14">
      <w:pPr>
        <w:pStyle w:val="12"/>
        <w:spacing w:before="248" w:line="216" w:lineRule="auto"/>
        <w:ind w:left="2688"/>
        <w:outlineLvl w:val="1"/>
        <w:rPr>
          <w:rFonts w:hint="eastAsia"/>
          <w:b/>
          <w:bCs/>
          <w:spacing w:val="-4"/>
          <w:sz w:val="30"/>
          <w:szCs w:val="30"/>
          <w:lang w:val="en-US" w:eastAsia="zh-CN"/>
        </w:rPr>
      </w:pPr>
    </w:p>
    <w:p w14:paraId="24FBA889">
      <w:pPr>
        <w:pStyle w:val="12"/>
        <w:spacing w:before="248" w:line="216" w:lineRule="auto"/>
        <w:ind w:left="2688"/>
        <w:outlineLvl w:val="1"/>
        <w:rPr>
          <w:rFonts w:hint="eastAsia"/>
          <w:b/>
          <w:bCs/>
          <w:spacing w:val="-4"/>
          <w:sz w:val="30"/>
          <w:szCs w:val="30"/>
          <w:lang w:val="en-US" w:eastAsia="zh-CN"/>
        </w:rPr>
      </w:pPr>
    </w:p>
    <w:p w14:paraId="38D9CD87">
      <w:pPr>
        <w:pStyle w:val="12"/>
        <w:spacing w:before="248" w:line="216" w:lineRule="auto"/>
        <w:ind w:left="2688"/>
        <w:outlineLvl w:val="1"/>
        <w:rPr>
          <w:rFonts w:hint="eastAsia"/>
          <w:b/>
          <w:bCs/>
          <w:spacing w:val="-4"/>
          <w:sz w:val="30"/>
          <w:szCs w:val="30"/>
          <w:lang w:val="en-US" w:eastAsia="zh-CN"/>
        </w:rPr>
      </w:pPr>
    </w:p>
    <w:p w14:paraId="49F08389">
      <w:pPr>
        <w:pStyle w:val="12"/>
        <w:spacing w:before="248" w:line="216" w:lineRule="auto"/>
        <w:ind w:left="2688"/>
        <w:outlineLvl w:val="1"/>
        <w:rPr>
          <w:rFonts w:hint="eastAsia"/>
          <w:b/>
          <w:bCs/>
          <w:spacing w:val="-4"/>
          <w:sz w:val="30"/>
          <w:szCs w:val="30"/>
          <w:lang w:val="en-US" w:eastAsia="zh-CN"/>
        </w:rPr>
      </w:pPr>
    </w:p>
    <w:p w14:paraId="6CF39597">
      <w:pPr>
        <w:pStyle w:val="12"/>
        <w:spacing w:before="248" w:line="216" w:lineRule="auto"/>
        <w:ind w:left="2688"/>
        <w:outlineLvl w:val="1"/>
        <w:rPr>
          <w:rFonts w:hint="eastAsia"/>
          <w:b/>
          <w:bCs/>
          <w:spacing w:val="-4"/>
          <w:sz w:val="30"/>
          <w:szCs w:val="30"/>
          <w:lang w:val="en-US" w:eastAsia="zh-CN"/>
        </w:rPr>
      </w:pPr>
    </w:p>
    <w:p w14:paraId="1C037129">
      <w:pPr>
        <w:pStyle w:val="12"/>
        <w:spacing w:before="248" w:line="216" w:lineRule="auto"/>
        <w:ind w:left="2688"/>
        <w:outlineLvl w:val="1"/>
        <w:rPr>
          <w:rFonts w:hint="eastAsia"/>
          <w:b/>
          <w:bCs/>
          <w:spacing w:val="-4"/>
          <w:sz w:val="30"/>
          <w:szCs w:val="30"/>
          <w:lang w:val="en-US" w:eastAsia="zh-CN"/>
        </w:rPr>
      </w:pPr>
    </w:p>
    <w:p w14:paraId="546559AB">
      <w:pPr>
        <w:pStyle w:val="12"/>
        <w:spacing w:before="248" w:line="216" w:lineRule="auto"/>
        <w:ind w:left="2688"/>
        <w:outlineLvl w:val="1"/>
        <w:rPr>
          <w:rFonts w:hint="eastAsia"/>
          <w:b/>
          <w:bCs/>
          <w:spacing w:val="-4"/>
          <w:sz w:val="30"/>
          <w:szCs w:val="30"/>
          <w:lang w:val="en-US" w:eastAsia="zh-CN"/>
        </w:rPr>
      </w:pPr>
    </w:p>
    <w:p w14:paraId="024AFC30">
      <w:pPr>
        <w:pStyle w:val="12"/>
        <w:spacing w:before="248" w:line="216" w:lineRule="auto"/>
        <w:ind w:left="2688"/>
        <w:outlineLvl w:val="1"/>
        <w:rPr>
          <w:rFonts w:hint="eastAsia"/>
          <w:b/>
          <w:bCs/>
          <w:spacing w:val="-4"/>
          <w:sz w:val="30"/>
          <w:szCs w:val="30"/>
          <w:lang w:val="en-US" w:eastAsia="zh-CN"/>
        </w:rPr>
      </w:pPr>
    </w:p>
    <w:p w14:paraId="6C6F7ABF">
      <w:pPr>
        <w:pStyle w:val="12"/>
        <w:spacing w:before="248" w:line="216" w:lineRule="auto"/>
        <w:ind w:left="2688"/>
        <w:outlineLvl w:val="1"/>
        <w:rPr>
          <w:rFonts w:hint="eastAsia"/>
          <w:b/>
          <w:bCs/>
          <w:spacing w:val="-4"/>
          <w:sz w:val="30"/>
          <w:szCs w:val="30"/>
          <w:lang w:val="en-US" w:eastAsia="zh-CN"/>
        </w:rPr>
      </w:pPr>
    </w:p>
    <w:p w14:paraId="0BDF3E8E">
      <w:pPr>
        <w:pStyle w:val="12"/>
        <w:spacing w:before="248" w:line="216" w:lineRule="auto"/>
        <w:ind w:left="2688"/>
        <w:outlineLvl w:val="1"/>
        <w:rPr>
          <w:rFonts w:hint="eastAsia"/>
          <w:b/>
          <w:bCs/>
          <w:spacing w:val="-4"/>
          <w:sz w:val="30"/>
          <w:szCs w:val="30"/>
          <w:lang w:val="en-US" w:eastAsia="zh-CN"/>
        </w:rPr>
      </w:pPr>
    </w:p>
    <w:p w14:paraId="54D392AF">
      <w:pPr>
        <w:pStyle w:val="12"/>
        <w:spacing w:before="248" w:line="216" w:lineRule="auto"/>
        <w:ind w:left="2688"/>
        <w:outlineLvl w:val="1"/>
        <w:rPr>
          <w:rFonts w:hint="eastAsia"/>
          <w:b/>
          <w:bCs/>
          <w:spacing w:val="-4"/>
          <w:sz w:val="30"/>
          <w:szCs w:val="30"/>
          <w:lang w:val="en-US" w:eastAsia="zh-CN"/>
        </w:rPr>
      </w:pPr>
    </w:p>
    <w:p w14:paraId="5501FAEE">
      <w:pPr>
        <w:pStyle w:val="12"/>
        <w:spacing w:before="248" w:line="216" w:lineRule="auto"/>
        <w:ind w:left="2688"/>
        <w:outlineLvl w:val="1"/>
        <w:rPr>
          <w:rFonts w:hint="eastAsia"/>
          <w:b/>
          <w:bCs/>
          <w:spacing w:val="-4"/>
          <w:sz w:val="30"/>
          <w:szCs w:val="30"/>
          <w:lang w:val="en-US" w:eastAsia="zh-CN"/>
        </w:rPr>
      </w:pPr>
    </w:p>
    <w:p w14:paraId="01095DC0">
      <w:pPr>
        <w:pStyle w:val="12"/>
        <w:spacing w:before="248" w:line="216" w:lineRule="auto"/>
        <w:ind w:left="2688"/>
        <w:outlineLvl w:val="1"/>
        <w:rPr>
          <w:rFonts w:hint="eastAsia"/>
          <w:b/>
          <w:bCs/>
          <w:spacing w:val="-4"/>
          <w:sz w:val="30"/>
          <w:szCs w:val="30"/>
          <w:lang w:val="en-US" w:eastAsia="zh-CN"/>
        </w:rPr>
      </w:pPr>
    </w:p>
    <w:p w14:paraId="31292140">
      <w:pPr>
        <w:pStyle w:val="12"/>
        <w:spacing w:before="248" w:line="216" w:lineRule="auto"/>
        <w:ind w:left="2688"/>
        <w:outlineLvl w:val="1"/>
        <w:rPr>
          <w:rFonts w:hint="eastAsia"/>
          <w:b/>
          <w:bCs/>
          <w:spacing w:val="-4"/>
          <w:sz w:val="30"/>
          <w:szCs w:val="30"/>
          <w:lang w:val="en-US" w:eastAsia="zh-CN"/>
        </w:rPr>
      </w:pPr>
    </w:p>
    <w:p w14:paraId="1F40C37F">
      <w:pPr>
        <w:pStyle w:val="23"/>
        <w:jc w:val="both"/>
        <w:rPr>
          <w:rFonts w:hint="eastAsia" w:ascii="宋体" w:hAnsi="宋体" w:eastAsia="宋体" w:cs="宋体"/>
        </w:rPr>
      </w:pPr>
    </w:p>
    <w:sectPr>
      <w:footerReference r:id="rId6" w:type="default"/>
      <w:pgSz w:w="11906" w:h="16838"/>
      <w:pgMar w:top="1247" w:right="1247" w:bottom="1247" w:left="1247" w:header="680" w:footer="964" w:gutter="0"/>
      <w:pgBorders>
        <w:top w:val="none" w:sz="0" w:space="0"/>
        <w:left w:val="none" w:sz="0" w:space="0"/>
        <w:bottom w:val="none" w:sz="0" w:space="0"/>
        <w:right w:val="none" w:sz="0" w:space="0"/>
      </w:pgBorders>
      <w:pgNumType w:fmt="decimal"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
    <w:altName w:val="Arial"/>
    <w:panose1 w:val="00000000000000000000"/>
    <w:charset w:val="00"/>
    <w:family w:val="swiss"/>
    <w:pitch w:val="default"/>
    <w:sig w:usb0="00000000" w:usb1="00000000" w:usb2="00000000" w:usb3="00000000" w:csb0="0000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07509">
    <w:pPr>
      <w:pStyle w:val="22"/>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44BA2">
    <w:pPr>
      <w:pStyle w:val="2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B3EA28">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5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FfGOD3o&#10;AQAAyQMAAA4AAAAAAAAAAQAgAAAAIgEAAGRycy9lMm9Eb2MueG1sUEsFBgAAAAAGAAYAWQEAAHwF&#10;AAAAAA==&#10;">
              <v:fill on="f" focussize="0,0"/>
              <v:stroke on="f" weight="1.25pt"/>
              <v:imagedata o:title=""/>
              <o:lock v:ext="edit" aspectratio="f"/>
              <v:textbox inset="0mm,0mm,0mm,0mm" style="mso-fit-shape-to-text:t;">
                <w:txbxContent>
                  <w:p w14:paraId="55B3EA28">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61074">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9D3FC">
    <w:pPr>
      <w:pStyle w:val="23"/>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55A25"/>
    <w:multiLevelType w:val="singleLevel"/>
    <w:tmpl w:val="80655A25"/>
    <w:lvl w:ilvl="0" w:tentative="0">
      <w:start w:val="2"/>
      <w:numFmt w:val="decimal"/>
      <w:suff w:val="nothing"/>
      <w:lvlText w:val="%1、"/>
      <w:lvlJc w:val="left"/>
    </w:lvl>
  </w:abstractNum>
  <w:abstractNum w:abstractNumId="1">
    <w:nsid w:val="8381E531"/>
    <w:multiLevelType w:val="singleLevel"/>
    <w:tmpl w:val="8381E531"/>
    <w:lvl w:ilvl="0" w:tentative="0">
      <w:start w:val="1"/>
      <w:numFmt w:val="bullet"/>
      <w:pStyle w:val="16"/>
      <w:lvlText w:val=""/>
      <w:lvlJc w:val="left"/>
      <w:pPr>
        <w:tabs>
          <w:tab w:val="left" w:pos="780"/>
        </w:tabs>
        <w:ind w:left="780" w:hanging="360"/>
      </w:pPr>
      <w:rPr>
        <w:rFonts w:hint="default" w:ascii="Wingdings" w:hAnsi="Wingdings"/>
      </w:rPr>
    </w:lvl>
  </w:abstractNum>
  <w:abstractNum w:abstractNumId="2">
    <w:nsid w:val="00000004"/>
    <w:multiLevelType w:val="singleLevel"/>
    <w:tmpl w:val="00000004"/>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4ZmMyMjNlOTE4ZDJhYzA2OTNiZmRiYmViYjg2YWMifQ=="/>
    <w:docVar w:name="KSO_WPS_MARK_KEY" w:val="d421721b-4902-4801-9fc0-6dd8ea87d7e0"/>
  </w:docVars>
  <w:rsids>
    <w:rsidRoot w:val="00172A27"/>
    <w:rsid w:val="0006031A"/>
    <w:rsid w:val="00066A61"/>
    <w:rsid w:val="000A5AE0"/>
    <w:rsid w:val="000B3566"/>
    <w:rsid w:val="000F1653"/>
    <w:rsid w:val="00121FCC"/>
    <w:rsid w:val="0013160A"/>
    <w:rsid w:val="001669D4"/>
    <w:rsid w:val="001C7AD4"/>
    <w:rsid w:val="002278DF"/>
    <w:rsid w:val="00230616"/>
    <w:rsid w:val="002A54D2"/>
    <w:rsid w:val="002C3D49"/>
    <w:rsid w:val="00302A32"/>
    <w:rsid w:val="00310EBE"/>
    <w:rsid w:val="00367507"/>
    <w:rsid w:val="00382A66"/>
    <w:rsid w:val="003931D8"/>
    <w:rsid w:val="003D7912"/>
    <w:rsid w:val="003E4465"/>
    <w:rsid w:val="00462BF7"/>
    <w:rsid w:val="00484CC6"/>
    <w:rsid w:val="004A58FE"/>
    <w:rsid w:val="004A6F13"/>
    <w:rsid w:val="004B2291"/>
    <w:rsid w:val="004E6AF4"/>
    <w:rsid w:val="00505485"/>
    <w:rsid w:val="00515DD4"/>
    <w:rsid w:val="00533946"/>
    <w:rsid w:val="00545F88"/>
    <w:rsid w:val="0056615B"/>
    <w:rsid w:val="005E02C3"/>
    <w:rsid w:val="00601B84"/>
    <w:rsid w:val="00621F39"/>
    <w:rsid w:val="00682136"/>
    <w:rsid w:val="006C72A4"/>
    <w:rsid w:val="00755751"/>
    <w:rsid w:val="007B69F8"/>
    <w:rsid w:val="007E21F0"/>
    <w:rsid w:val="008071E3"/>
    <w:rsid w:val="008311AD"/>
    <w:rsid w:val="00955E40"/>
    <w:rsid w:val="00956C48"/>
    <w:rsid w:val="009D719E"/>
    <w:rsid w:val="009E2C56"/>
    <w:rsid w:val="00A952BC"/>
    <w:rsid w:val="00AD2A10"/>
    <w:rsid w:val="00AD613F"/>
    <w:rsid w:val="00AE596D"/>
    <w:rsid w:val="00B01F61"/>
    <w:rsid w:val="00B36414"/>
    <w:rsid w:val="00B41522"/>
    <w:rsid w:val="00B7445C"/>
    <w:rsid w:val="00B80714"/>
    <w:rsid w:val="00C46E91"/>
    <w:rsid w:val="00C66699"/>
    <w:rsid w:val="00CA093E"/>
    <w:rsid w:val="00CC25A5"/>
    <w:rsid w:val="00CC6899"/>
    <w:rsid w:val="00D11D9A"/>
    <w:rsid w:val="00D24441"/>
    <w:rsid w:val="00D5193D"/>
    <w:rsid w:val="00DC7209"/>
    <w:rsid w:val="00DD579E"/>
    <w:rsid w:val="00DD680C"/>
    <w:rsid w:val="00DF522D"/>
    <w:rsid w:val="00E17397"/>
    <w:rsid w:val="00E2227B"/>
    <w:rsid w:val="00E22387"/>
    <w:rsid w:val="00E42E7F"/>
    <w:rsid w:val="00E6311D"/>
    <w:rsid w:val="00E85E8C"/>
    <w:rsid w:val="00EC180B"/>
    <w:rsid w:val="00F13674"/>
    <w:rsid w:val="00F253C6"/>
    <w:rsid w:val="00F431C8"/>
    <w:rsid w:val="01394E88"/>
    <w:rsid w:val="01477B79"/>
    <w:rsid w:val="015631D3"/>
    <w:rsid w:val="016814B1"/>
    <w:rsid w:val="016A5229"/>
    <w:rsid w:val="019B1DBC"/>
    <w:rsid w:val="01D4178E"/>
    <w:rsid w:val="01FF1BF6"/>
    <w:rsid w:val="023D551C"/>
    <w:rsid w:val="024B63AD"/>
    <w:rsid w:val="026C7F1F"/>
    <w:rsid w:val="03440E40"/>
    <w:rsid w:val="035937A7"/>
    <w:rsid w:val="036372EF"/>
    <w:rsid w:val="037A0CCF"/>
    <w:rsid w:val="037A6C86"/>
    <w:rsid w:val="038E787A"/>
    <w:rsid w:val="03D47308"/>
    <w:rsid w:val="04323E6E"/>
    <w:rsid w:val="0447078E"/>
    <w:rsid w:val="0460421D"/>
    <w:rsid w:val="04792207"/>
    <w:rsid w:val="04980272"/>
    <w:rsid w:val="04C56B32"/>
    <w:rsid w:val="05194C1B"/>
    <w:rsid w:val="0526083B"/>
    <w:rsid w:val="058F098D"/>
    <w:rsid w:val="05961901"/>
    <w:rsid w:val="05A76A4C"/>
    <w:rsid w:val="05AF6788"/>
    <w:rsid w:val="05BE77A5"/>
    <w:rsid w:val="05C05219"/>
    <w:rsid w:val="05CC4A2E"/>
    <w:rsid w:val="05D37841"/>
    <w:rsid w:val="06E93094"/>
    <w:rsid w:val="07102423"/>
    <w:rsid w:val="07294629"/>
    <w:rsid w:val="07504EC1"/>
    <w:rsid w:val="07AC1B62"/>
    <w:rsid w:val="08017F69"/>
    <w:rsid w:val="080A6BFC"/>
    <w:rsid w:val="084E4A2D"/>
    <w:rsid w:val="0867382E"/>
    <w:rsid w:val="088277B1"/>
    <w:rsid w:val="090037B8"/>
    <w:rsid w:val="09532A47"/>
    <w:rsid w:val="09BA2A9E"/>
    <w:rsid w:val="09CB71F2"/>
    <w:rsid w:val="09CF7992"/>
    <w:rsid w:val="09E3201C"/>
    <w:rsid w:val="0A4912D5"/>
    <w:rsid w:val="0A6A4A7C"/>
    <w:rsid w:val="0A7A674F"/>
    <w:rsid w:val="0AE44A0C"/>
    <w:rsid w:val="0B6B75BD"/>
    <w:rsid w:val="0BBC06CC"/>
    <w:rsid w:val="0BCF77DA"/>
    <w:rsid w:val="0BFE488E"/>
    <w:rsid w:val="0C1604D1"/>
    <w:rsid w:val="0C432492"/>
    <w:rsid w:val="0C4333D2"/>
    <w:rsid w:val="0C6311F3"/>
    <w:rsid w:val="0C753ED6"/>
    <w:rsid w:val="0C9B3A39"/>
    <w:rsid w:val="0CBD321A"/>
    <w:rsid w:val="0CCE0D62"/>
    <w:rsid w:val="0CF40420"/>
    <w:rsid w:val="0D3D37F2"/>
    <w:rsid w:val="0D7551D8"/>
    <w:rsid w:val="0DBA12E6"/>
    <w:rsid w:val="0DCF007B"/>
    <w:rsid w:val="0DD462F6"/>
    <w:rsid w:val="0DD7622B"/>
    <w:rsid w:val="0DE2796D"/>
    <w:rsid w:val="0DE32642"/>
    <w:rsid w:val="0DEE5150"/>
    <w:rsid w:val="0DF40A1E"/>
    <w:rsid w:val="0DFB534A"/>
    <w:rsid w:val="0E122ED0"/>
    <w:rsid w:val="0E5F2629"/>
    <w:rsid w:val="0F021F40"/>
    <w:rsid w:val="0F2A19BE"/>
    <w:rsid w:val="0F355C93"/>
    <w:rsid w:val="0F3D5D2B"/>
    <w:rsid w:val="0F491E09"/>
    <w:rsid w:val="0F4F226D"/>
    <w:rsid w:val="0F5128C3"/>
    <w:rsid w:val="0F5672D6"/>
    <w:rsid w:val="0FC834CA"/>
    <w:rsid w:val="0FCE2642"/>
    <w:rsid w:val="0FD04BDC"/>
    <w:rsid w:val="10295C23"/>
    <w:rsid w:val="10437371"/>
    <w:rsid w:val="106A030A"/>
    <w:rsid w:val="10965C3A"/>
    <w:rsid w:val="10BD2872"/>
    <w:rsid w:val="10FB1646"/>
    <w:rsid w:val="11716D92"/>
    <w:rsid w:val="11823286"/>
    <w:rsid w:val="11877731"/>
    <w:rsid w:val="11A83320"/>
    <w:rsid w:val="12045226"/>
    <w:rsid w:val="12192A7F"/>
    <w:rsid w:val="125E58A5"/>
    <w:rsid w:val="125E6D60"/>
    <w:rsid w:val="127E6A6D"/>
    <w:rsid w:val="12AD766B"/>
    <w:rsid w:val="12E110C3"/>
    <w:rsid w:val="12EC5387"/>
    <w:rsid w:val="12F0432E"/>
    <w:rsid w:val="12F926CC"/>
    <w:rsid w:val="12FB4D13"/>
    <w:rsid w:val="131C0E00"/>
    <w:rsid w:val="13525B1D"/>
    <w:rsid w:val="135861E7"/>
    <w:rsid w:val="13A06637"/>
    <w:rsid w:val="13BB1DF4"/>
    <w:rsid w:val="13C67017"/>
    <w:rsid w:val="13ED55A8"/>
    <w:rsid w:val="13F0090B"/>
    <w:rsid w:val="1404591B"/>
    <w:rsid w:val="147E2339"/>
    <w:rsid w:val="14A76F2E"/>
    <w:rsid w:val="14B51D8E"/>
    <w:rsid w:val="15204125"/>
    <w:rsid w:val="156313AF"/>
    <w:rsid w:val="1563684E"/>
    <w:rsid w:val="159C0252"/>
    <w:rsid w:val="15AF6EE5"/>
    <w:rsid w:val="15C71D62"/>
    <w:rsid w:val="15D66407"/>
    <w:rsid w:val="15E42958"/>
    <w:rsid w:val="15EC794B"/>
    <w:rsid w:val="163A0674"/>
    <w:rsid w:val="163D5A06"/>
    <w:rsid w:val="164A75BB"/>
    <w:rsid w:val="168323E5"/>
    <w:rsid w:val="16A2493E"/>
    <w:rsid w:val="16CB527B"/>
    <w:rsid w:val="16DE476A"/>
    <w:rsid w:val="16EA3C96"/>
    <w:rsid w:val="16F60275"/>
    <w:rsid w:val="16F8363C"/>
    <w:rsid w:val="170D258D"/>
    <w:rsid w:val="173C58DF"/>
    <w:rsid w:val="176C53FF"/>
    <w:rsid w:val="17CD6944"/>
    <w:rsid w:val="18241E34"/>
    <w:rsid w:val="18445C63"/>
    <w:rsid w:val="18792E7E"/>
    <w:rsid w:val="18AA18DB"/>
    <w:rsid w:val="18B57A0D"/>
    <w:rsid w:val="18CE2AA5"/>
    <w:rsid w:val="18DC5AC5"/>
    <w:rsid w:val="18F02D65"/>
    <w:rsid w:val="19017FDB"/>
    <w:rsid w:val="19063631"/>
    <w:rsid w:val="19483E8D"/>
    <w:rsid w:val="19C43A33"/>
    <w:rsid w:val="1A080577"/>
    <w:rsid w:val="1A200723"/>
    <w:rsid w:val="1A497867"/>
    <w:rsid w:val="1A7125E7"/>
    <w:rsid w:val="1A7218CB"/>
    <w:rsid w:val="1A875DD3"/>
    <w:rsid w:val="1A9E46F8"/>
    <w:rsid w:val="1AC1240C"/>
    <w:rsid w:val="1AC96109"/>
    <w:rsid w:val="1AD11A1D"/>
    <w:rsid w:val="1B11676E"/>
    <w:rsid w:val="1B136D43"/>
    <w:rsid w:val="1B244CD8"/>
    <w:rsid w:val="1B392961"/>
    <w:rsid w:val="1B4B710C"/>
    <w:rsid w:val="1B5D6CA7"/>
    <w:rsid w:val="1B6264C1"/>
    <w:rsid w:val="1B6E1964"/>
    <w:rsid w:val="1B7A75C6"/>
    <w:rsid w:val="1B8C3E1F"/>
    <w:rsid w:val="1B9E4930"/>
    <w:rsid w:val="1BB27AA1"/>
    <w:rsid w:val="1BFB5FAC"/>
    <w:rsid w:val="1BFF4BB3"/>
    <w:rsid w:val="1C026332"/>
    <w:rsid w:val="1C300EC7"/>
    <w:rsid w:val="1C3E6A0B"/>
    <w:rsid w:val="1CD53AA7"/>
    <w:rsid w:val="1D054FDC"/>
    <w:rsid w:val="1D392227"/>
    <w:rsid w:val="1D570900"/>
    <w:rsid w:val="1D5A219E"/>
    <w:rsid w:val="1D60162B"/>
    <w:rsid w:val="1DA653E3"/>
    <w:rsid w:val="1DB25B36"/>
    <w:rsid w:val="1DBE4E50"/>
    <w:rsid w:val="1DC3160A"/>
    <w:rsid w:val="1DC36941"/>
    <w:rsid w:val="1E291ADF"/>
    <w:rsid w:val="1E350B73"/>
    <w:rsid w:val="1E7352C5"/>
    <w:rsid w:val="1EB06519"/>
    <w:rsid w:val="1EC93490"/>
    <w:rsid w:val="1ED43166"/>
    <w:rsid w:val="1F0418E4"/>
    <w:rsid w:val="1F3D079B"/>
    <w:rsid w:val="1F645556"/>
    <w:rsid w:val="1F695677"/>
    <w:rsid w:val="1F762130"/>
    <w:rsid w:val="1FAF394A"/>
    <w:rsid w:val="1FC102B2"/>
    <w:rsid w:val="1FDA1682"/>
    <w:rsid w:val="1FF93FEF"/>
    <w:rsid w:val="20047018"/>
    <w:rsid w:val="200D519B"/>
    <w:rsid w:val="201C31DE"/>
    <w:rsid w:val="206362F9"/>
    <w:rsid w:val="20984237"/>
    <w:rsid w:val="209B2C72"/>
    <w:rsid w:val="210F0816"/>
    <w:rsid w:val="216058A9"/>
    <w:rsid w:val="216F2EED"/>
    <w:rsid w:val="21737E1E"/>
    <w:rsid w:val="21897A83"/>
    <w:rsid w:val="21DF0CC5"/>
    <w:rsid w:val="21EE7601"/>
    <w:rsid w:val="21F244C9"/>
    <w:rsid w:val="221B014E"/>
    <w:rsid w:val="226C4EFF"/>
    <w:rsid w:val="22844702"/>
    <w:rsid w:val="22C42120"/>
    <w:rsid w:val="22CE51C0"/>
    <w:rsid w:val="232F7EC0"/>
    <w:rsid w:val="235979EB"/>
    <w:rsid w:val="2365696D"/>
    <w:rsid w:val="23790966"/>
    <w:rsid w:val="23B60BE1"/>
    <w:rsid w:val="23D04D2E"/>
    <w:rsid w:val="23FA3B7B"/>
    <w:rsid w:val="24071ECB"/>
    <w:rsid w:val="241B1885"/>
    <w:rsid w:val="24406316"/>
    <w:rsid w:val="245242FF"/>
    <w:rsid w:val="246D645F"/>
    <w:rsid w:val="24A81CD2"/>
    <w:rsid w:val="24B94E35"/>
    <w:rsid w:val="24EF6B3A"/>
    <w:rsid w:val="25A86574"/>
    <w:rsid w:val="25C242B4"/>
    <w:rsid w:val="25CF7FBB"/>
    <w:rsid w:val="25D4414A"/>
    <w:rsid w:val="262A3DD8"/>
    <w:rsid w:val="266C44DA"/>
    <w:rsid w:val="269424E9"/>
    <w:rsid w:val="26B75F6B"/>
    <w:rsid w:val="26B97F35"/>
    <w:rsid w:val="27204881"/>
    <w:rsid w:val="278519EE"/>
    <w:rsid w:val="27A04C51"/>
    <w:rsid w:val="27E02F6A"/>
    <w:rsid w:val="27E84AAA"/>
    <w:rsid w:val="27F97454"/>
    <w:rsid w:val="28053A43"/>
    <w:rsid w:val="284B5177"/>
    <w:rsid w:val="28770012"/>
    <w:rsid w:val="28981765"/>
    <w:rsid w:val="28CC38CF"/>
    <w:rsid w:val="28F50BD5"/>
    <w:rsid w:val="28FB24A2"/>
    <w:rsid w:val="2906012E"/>
    <w:rsid w:val="290C6A42"/>
    <w:rsid w:val="291F28E4"/>
    <w:rsid w:val="293E2465"/>
    <w:rsid w:val="29712D49"/>
    <w:rsid w:val="2979665D"/>
    <w:rsid w:val="29806252"/>
    <w:rsid w:val="29857EEF"/>
    <w:rsid w:val="29D15EBB"/>
    <w:rsid w:val="2A2969A6"/>
    <w:rsid w:val="2A2D2D2C"/>
    <w:rsid w:val="2A4D10C0"/>
    <w:rsid w:val="2A5360B6"/>
    <w:rsid w:val="2A800AC4"/>
    <w:rsid w:val="2B3D31D3"/>
    <w:rsid w:val="2B6C1A1A"/>
    <w:rsid w:val="2BA20FFF"/>
    <w:rsid w:val="2BB84DBA"/>
    <w:rsid w:val="2BC854A9"/>
    <w:rsid w:val="2C0E57BF"/>
    <w:rsid w:val="2C182311"/>
    <w:rsid w:val="2C4B1870"/>
    <w:rsid w:val="2C7F1CDF"/>
    <w:rsid w:val="2C824D0A"/>
    <w:rsid w:val="2CAA5E21"/>
    <w:rsid w:val="2CDC1D24"/>
    <w:rsid w:val="2CFF5344"/>
    <w:rsid w:val="2D3B440B"/>
    <w:rsid w:val="2D6F45E8"/>
    <w:rsid w:val="2D7449E9"/>
    <w:rsid w:val="2D7A61F4"/>
    <w:rsid w:val="2DF42105"/>
    <w:rsid w:val="2DF572C5"/>
    <w:rsid w:val="2E0A1677"/>
    <w:rsid w:val="2E2537FC"/>
    <w:rsid w:val="2E310CF9"/>
    <w:rsid w:val="2E436E03"/>
    <w:rsid w:val="2E63744B"/>
    <w:rsid w:val="2E8D50D8"/>
    <w:rsid w:val="2ECB5E46"/>
    <w:rsid w:val="2EEB70FA"/>
    <w:rsid w:val="2F420848"/>
    <w:rsid w:val="2F5A3E02"/>
    <w:rsid w:val="2F9B48E5"/>
    <w:rsid w:val="2FC57247"/>
    <w:rsid w:val="301B4BDC"/>
    <w:rsid w:val="3029612C"/>
    <w:rsid w:val="308E1D12"/>
    <w:rsid w:val="309E3CCC"/>
    <w:rsid w:val="30BD7BDC"/>
    <w:rsid w:val="30E20834"/>
    <w:rsid w:val="30E47487"/>
    <w:rsid w:val="310A7E08"/>
    <w:rsid w:val="31215055"/>
    <w:rsid w:val="314174A5"/>
    <w:rsid w:val="317F7D0B"/>
    <w:rsid w:val="31A00873"/>
    <w:rsid w:val="31CD0D39"/>
    <w:rsid w:val="320004AD"/>
    <w:rsid w:val="320B5097"/>
    <w:rsid w:val="320F7907"/>
    <w:rsid w:val="32407409"/>
    <w:rsid w:val="32560D2E"/>
    <w:rsid w:val="325B2EC3"/>
    <w:rsid w:val="326D1CBA"/>
    <w:rsid w:val="326E0FBE"/>
    <w:rsid w:val="32921AF1"/>
    <w:rsid w:val="329A50BF"/>
    <w:rsid w:val="32CA4E86"/>
    <w:rsid w:val="33064502"/>
    <w:rsid w:val="33160808"/>
    <w:rsid w:val="33303942"/>
    <w:rsid w:val="335913F8"/>
    <w:rsid w:val="33AF2786"/>
    <w:rsid w:val="33B62560"/>
    <w:rsid w:val="33D45261"/>
    <w:rsid w:val="33D57E6D"/>
    <w:rsid w:val="33DA2F8C"/>
    <w:rsid w:val="33F407FF"/>
    <w:rsid w:val="342B3CDF"/>
    <w:rsid w:val="347E711B"/>
    <w:rsid w:val="34A42273"/>
    <w:rsid w:val="34A460C4"/>
    <w:rsid w:val="34CF75E5"/>
    <w:rsid w:val="34F251B7"/>
    <w:rsid w:val="350E789D"/>
    <w:rsid w:val="354F6756"/>
    <w:rsid w:val="359B0BD8"/>
    <w:rsid w:val="359B155F"/>
    <w:rsid w:val="35DC34F8"/>
    <w:rsid w:val="36227B06"/>
    <w:rsid w:val="363F7524"/>
    <w:rsid w:val="366E4D55"/>
    <w:rsid w:val="367F6A63"/>
    <w:rsid w:val="37446F8C"/>
    <w:rsid w:val="377C2DEE"/>
    <w:rsid w:val="37802305"/>
    <w:rsid w:val="37A322C6"/>
    <w:rsid w:val="37CB34A9"/>
    <w:rsid w:val="37D94172"/>
    <w:rsid w:val="38103E8B"/>
    <w:rsid w:val="383A5168"/>
    <w:rsid w:val="38C146E1"/>
    <w:rsid w:val="397650C3"/>
    <w:rsid w:val="39B202EA"/>
    <w:rsid w:val="39EA14BC"/>
    <w:rsid w:val="3A043EF8"/>
    <w:rsid w:val="3A133AAF"/>
    <w:rsid w:val="3A1C5565"/>
    <w:rsid w:val="3A43603C"/>
    <w:rsid w:val="3A6D7A92"/>
    <w:rsid w:val="3AA45613"/>
    <w:rsid w:val="3ABF2191"/>
    <w:rsid w:val="3B6D1E52"/>
    <w:rsid w:val="3BC05287"/>
    <w:rsid w:val="3BCB4190"/>
    <w:rsid w:val="3BD37450"/>
    <w:rsid w:val="3C0628E8"/>
    <w:rsid w:val="3C0E4427"/>
    <w:rsid w:val="3C3E664F"/>
    <w:rsid w:val="3C487939"/>
    <w:rsid w:val="3CC571DC"/>
    <w:rsid w:val="3CE21B3C"/>
    <w:rsid w:val="3CE37662"/>
    <w:rsid w:val="3CFD0F58"/>
    <w:rsid w:val="3D3048BC"/>
    <w:rsid w:val="3D422D97"/>
    <w:rsid w:val="3D5F08FC"/>
    <w:rsid w:val="3D7A320C"/>
    <w:rsid w:val="3D8D34ED"/>
    <w:rsid w:val="3DB00EAB"/>
    <w:rsid w:val="3DD27DC4"/>
    <w:rsid w:val="3DFA2EB5"/>
    <w:rsid w:val="3E410AE4"/>
    <w:rsid w:val="3E5D33CF"/>
    <w:rsid w:val="3E6E1153"/>
    <w:rsid w:val="3E8D0590"/>
    <w:rsid w:val="3E9B4698"/>
    <w:rsid w:val="3EA212E2"/>
    <w:rsid w:val="3EAB41B0"/>
    <w:rsid w:val="3EBB7ECD"/>
    <w:rsid w:val="3ED01A59"/>
    <w:rsid w:val="3EF83A0C"/>
    <w:rsid w:val="3EF84464"/>
    <w:rsid w:val="3EF868CF"/>
    <w:rsid w:val="3F136D5D"/>
    <w:rsid w:val="3F4C0293"/>
    <w:rsid w:val="3F4E4076"/>
    <w:rsid w:val="3F625B35"/>
    <w:rsid w:val="3F712CCA"/>
    <w:rsid w:val="3F984212"/>
    <w:rsid w:val="3F9C2EFE"/>
    <w:rsid w:val="3FAE55EA"/>
    <w:rsid w:val="3FE27341"/>
    <w:rsid w:val="3FF322B2"/>
    <w:rsid w:val="3FFC7A33"/>
    <w:rsid w:val="400A2891"/>
    <w:rsid w:val="402B1A4C"/>
    <w:rsid w:val="404401F2"/>
    <w:rsid w:val="404960FF"/>
    <w:rsid w:val="405E2F5C"/>
    <w:rsid w:val="406E3627"/>
    <w:rsid w:val="40723D81"/>
    <w:rsid w:val="407C4A95"/>
    <w:rsid w:val="409673B0"/>
    <w:rsid w:val="409E0428"/>
    <w:rsid w:val="40B01CBD"/>
    <w:rsid w:val="40B167A0"/>
    <w:rsid w:val="40BA1902"/>
    <w:rsid w:val="40E3409D"/>
    <w:rsid w:val="41126768"/>
    <w:rsid w:val="413369FE"/>
    <w:rsid w:val="413B5CBF"/>
    <w:rsid w:val="415723CD"/>
    <w:rsid w:val="415E024D"/>
    <w:rsid w:val="41613CD8"/>
    <w:rsid w:val="41916141"/>
    <w:rsid w:val="41FA565F"/>
    <w:rsid w:val="421502BE"/>
    <w:rsid w:val="423638A4"/>
    <w:rsid w:val="425C4756"/>
    <w:rsid w:val="42A20D62"/>
    <w:rsid w:val="42C7049C"/>
    <w:rsid w:val="42E31ED7"/>
    <w:rsid w:val="43173ADE"/>
    <w:rsid w:val="43344580"/>
    <w:rsid w:val="436B215F"/>
    <w:rsid w:val="436D0D42"/>
    <w:rsid w:val="439022B6"/>
    <w:rsid w:val="43A16DE2"/>
    <w:rsid w:val="43FF6CB2"/>
    <w:rsid w:val="44052BE6"/>
    <w:rsid w:val="441C79BF"/>
    <w:rsid w:val="44246C38"/>
    <w:rsid w:val="445A46AE"/>
    <w:rsid w:val="446B4420"/>
    <w:rsid w:val="44703A8A"/>
    <w:rsid w:val="44AD41D2"/>
    <w:rsid w:val="44C578EC"/>
    <w:rsid w:val="44DB7445"/>
    <w:rsid w:val="45004FCE"/>
    <w:rsid w:val="455602AA"/>
    <w:rsid w:val="45893DDB"/>
    <w:rsid w:val="459C36A0"/>
    <w:rsid w:val="45CB2A30"/>
    <w:rsid w:val="45EE31C2"/>
    <w:rsid w:val="45FD54EB"/>
    <w:rsid w:val="462D71DE"/>
    <w:rsid w:val="46310D39"/>
    <w:rsid w:val="464A1333"/>
    <w:rsid w:val="46601D24"/>
    <w:rsid w:val="46657D4C"/>
    <w:rsid w:val="46706AC2"/>
    <w:rsid w:val="468020EF"/>
    <w:rsid w:val="46AA2F9F"/>
    <w:rsid w:val="46B55B4D"/>
    <w:rsid w:val="46C45B69"/>
    <w:rsid w:val="46D020B6"/>
    <w:rsid w:val="46D70238"/>
    <w:rsid w:val="46F72913"/>
    <w:rsid w:val="474C6615"/>
    <w:rsid w:val="479223B1"/>
    <w:rsid w:val="47B02837"/>
    <w:rsid w:val="47BF0150"/>
    <w:rsid w:val="48004BE1"/>
    <w:rsid w:val="48142DC6"/>
    <w:rsid w:val="48444146"/>
    <w:rsid w:val="485A0FFB"/>
    <w:rsid w:val="485E5ED7"/>
    <w:rsid w:val="486B6955"/>
    <w:rsid w:val="48E857AF"/>
    <w:rsid w:val="49012E87"/>
    <w:rsid w:val="494C21E0"/>
    <w:rsid w:val="494D47E1"/>
    <w:rsid w:val="495B7ECC"/>
    <w:rsid w:val="49944B8C"/>
    <w:rsid w:val="49973CAE"/>
    <w:rsid w:val="49C83E68"/>
    <w:rsid w:val="4A196A5F"/>
    <w:rsid w:val="4A480C4B"/>
    <w:rsid w:val="4A5D0A54"/>
    <w:rsid w:val="4A7A22B5"/>
    <w:rsid w:val="4AD33BBB"/>
    <w:rsid w:val="4B141254"/>
    <w:rsid w:val="4B2E23F0"/>
    <w:rsid w:val="4B5A2126"/>
    <w:rsid w:val="4B6151FB"/>
    <w:rsid w:val="4B633C5C"/>
    <w:rsid w:val="4B7E3796"/>
    <w:rsid w:val="4B874756"/>
    <w:rsid w:val="4B9F32EE"/>
    <w:rsid w:val="4B9F6C7C"/>
    <w:rsid w:val="4BC24778"/>
    <w:rsid w:val="4C48536F"/>
    <w:rsid w:val="4C54716C"/>
    <w:rsid w:val="4C643B5A"/>
    <w:rsid w:val="4CA03E60"/>
    <w:rsid w:val="4CA5092F"/>
    <w:rsid w:val="4CBE5E71"/>
    <w:rsid w:val="4CD754F1"/>
    <w:rsid w:val="4D0C36AA"/>
    <w:rsid w:val="4D205258"/>
    <w:rsid w:val="4D221AE1"/>
    <w:rsid w:val="4D573E80"/>
    <w:rsid w:val="4D6764A9"/>
    <w:rsid w:val="4D7509BA"/>
    <w:rsid w:val="4DA04B81"/>
    <w:rsid w:val="4DBA7F6B"/>
    <w:rsid w:val="4DCE1C69"/>
    <w:rsid w:val="4DD2753E"/>
    <w:rsid w:val="4DD94895"/>
    <w:rsid w:val="4E2102A7"/>
    <w:rsid w:val="4E724CEA"/>
    <w:rsid w:val="4EA81029"/>
    <w:rsid w:val="4EBB3F9B"/>
    <w:rsid w:val="4EEE310B"/>
    <w:rsid w:val="4EF37BD9"/>
    <w:rsid w:val="4F075A14"/>
    <w:rsid w:val="4F0F25C2"/>
    <w:rsid w:val="4F1C2DDC"/>
    <w:rsid w:val="4F4E4E0F"/>
    <w:rsid w:val="4F847BF7"/>
    <w:rsid w:val="4F936CC6"/>
    <w:rsid w:val="4FF21832"/>
    <w:rsid w:val="50377F99"/>
    <w:rsid w:val="503A7A3F"/>
    <w:rsid w:val="506C5330"/>
    <w:rsid w:val="508C0FD3"/>
    <w:rsid w:val="50B60AA4"/>
    <w:rsid w:val="50C86E43"/>
    <w:rsid w:val="50ED7686"/>
    <w:rsid w:val="512135A5"/>
    <w:rsid w:val="516E191F"/>
    <w:rsid w:val="51892D67"/>
    <w:rsid w:val="51D709F0"/>
    <w:rsid w:val="51E53FFB"/>
    <w:rsid w:val="52092C3A"/>
    <w:rsid w:val="521768C3"/>
    <w:rsid w:val="521A6B4C"/>
    <w:rsid w:val="52397048"/>
    <w:rsid w:val="526F0461"/>
    <w:rsid w:val="52B92EE7"/>
    <w:rsid w:val="52BE04FE"/>
    <w:rsid w:val="52F420A1"/>
    <w:rsid w:val="5390431F"/>
    <w:rsid w:val="53AB390D"/>
    <w:rsid w:val="53C2401E"/>
    <w:rsid w:val="53C31E59"/>
    <w:rsid w:val="53E046FC"/>
    <w:rsid w:val="53EA0E7E"/>
    <w:rsid w:val="53F978BD"/>
    <w:rsid w:val="53FB308C"/>
    <w:rsid w:val="542601C8"/>
    <w:rsid w:val="547A3043"/>
    <w:rsid w:val="54B54870"/>
    <w:rsid w:val="54E571CC"/>
    <w:rsid w:val="54E96A60"/>
    <w:rsid w:val="55012924"/>
    <w:rsid w:val="55326F81"/>
    <w:rsid w:val="556C7FA3"/>
    <w:rsid w:val="557254BA"/>
    <w:rsid w:val="557F4356"/>
    <w:rsid w:val="55861739"/>
    <w:rsid w:val="55DB5C60"/>
    <w:rsid w:val="5630526E"/>
    <w:rsid w:val="563263D1"/>
    <w:rsid w:val="568B6CD2"/>
    <w:rsid w:val="56CB196F"/>
    <w:rsid w:val="56D42C59"/>
    <w:rsid w:val="56F3629C"/>
    <w:rsid w:val="57A30B62"/>
    <w:rsid w:val="57C353C8"/>
    <w:rsid w:val="57C80C74"/>
    <w:rsid w:val="57DE4B47"/>
    <w:rsid w:val="580730DA"/>
    <w:rsid w:val="58401B8D"/>
    <w:rsid w:val="588E02D3"/>
    <w:rsid w:val="58CD44A6"/>
    <w:rsid w:val="58F73E56"/>
    <w:rsid w:val="590314B6"/>
    <w:rsid w:val="59C075C1"/>
    <w:rsid w:val="59F842F5"/>
    <w:rsid w:val="5A117D34"/>
    <w:rsid w:val="5AAE70AA"/>
    <w:rsid w:val="5AC95113"/>
    <w:rsid w:val="5AD47365"/>
    <w:rsid w:val="5AEA0974"/>
    <w:rsid w:val="5B2D4D65"/>
    <w:rsid w:val="5B372BFB"/>
    <w:rsid w:val="5B612C78"/>
    <w:rsid w:val="5B727B4C"/>
    <w:rsid w:val="5B8C0D40"/>
    <w:rsid w:val="5B921ADA"/>
    <w:rsid w:val="5B9710F8"/>
    <w:rsid w:val="5BB27C1F"/>
    <w:rsid w:val="5BCB1125"/>
    <w:rsid w:val="5C004A87"/>
    <w:rsid w:val="5C0B5202"/>
    <w:rsid w:val="5C3B496D"/>
    <w:rsid w:val="5C622FF0"/>
    <w:rsid w:val="5C7B15E4"/>
    <w:rsid w:val="5CAB391D"/>
    <w:rsid w:val="5D16392B"/>
    <w:rsid w:val="5D167E3E"/>
    <w:rsid w:val="5D504448"/>
    <w:rsid w:val="5D644924"/>
    <w:rsid w:val="5D6A7A61"/>
    <w:rsid w:val="5D727E1D"/>
    <w:rsid w:val="5DA21D13"/>
    <w:rsid w:val="5DC50992"/>
    <w:rsid w:val="5DCF4E9B"/>
    <w:rsid w:val="5DDE46CF"/>
    <w:rsid w:val="5E1A44CF"/>
    <w:rsid w:val="5E432B21"/>
    <w:rsid w:val="5E5A7C06"/>
    <w:rsid w:val="5E6A1442"/>
    <w:rsid w:val="5E7552EC"/>
    <w:rsid w:val="5E837981"/>
    <w:rsid w:val="5E867889"/>
    <w:rsid w:val="5E971910"/>
    <w:rsid w:val="5EB24909"/>
    <w:rsid w:val="5ECF75EF"/>
    <w:rsid w:val="5F5B2F96"/>
    <w:rsid w:val="6003117F"/>
    <w:rsid w:val="603344AC"/>
    <w:rsid w:val="60410A08"/>
    <w:rsid w:val="604B2431"/>
    <w:rsid w:val="6060299A"/>
    <w:rsid w:val="607867C7"/>
    <w:rsid w:val="609135BC"/>
    <w:rsid w:val="609D66E4"/>
    <w:rsid w:val="60A51347"/>
    <w:rsid w:val="60DB04CD"/>
    <w:rsid w:val="60E770BE"/>
    <w:rsid w:val="611D0AE5"/>
    <w:rsid w:val="611E3321"/>
    <w:rsid w:val="61590278"/>
    <w:rsid w:val="618C5F4B"/>
    <w:rsid w:val="619D55D8"/>
    <w:rsid w:val="61C97437"/>
    <w:rsid w:val="61E178EC"/>
    <w:rsid w:val="61E75FC1"/>
    <w:rsid w:val="625240A6"/>
    <w:rsid w:val="62B61B9D"/>
    <w:rsid w:val="62BD7E9D"/>
    <w:rsid w:val="62E13D6C"/>
    <w:rsid w:val="62E726AE"/>
    <w:rsid w:val="62E80C7F"/>
    <w:rsid w:val="62E904DC"/>
    <w:rsid w:val="6321335F"/>
    <w:rsid w:val="635A73BD"/>
    <w:rsid w:val="638D45C8"/>
    <w:rsid w:val="63AE1B87"/>
    <w:rsid w:val="63B40C07"/>
    <w:rsid w:val="63B56258"/>
    <w:rsid w:val="63B86F9D"/>
    <w:rsid w:val="63FE43E4"/>
    <w:rsid w:val="640F1B91"/>
    <w:rsid w:val="64602BB1"/>
    <w:rsid w:val="6462388A"/>
    <w:rsid w:val="6496750A"/>
    <w:rsid w:val="64A42F55"/>
    <w:rsid w:val="64D63485"/>
    <w:rsid w:val="64DC5EFB"/>
    <w:rsid w:val="64FB72AB"/>
    <w:rsid w:val="651368A6"/>
    <w:rsid w:val="653D1756"/>
    <w:rsid w:val="657038D9"/>
    <w:rsid w:val="65821697"/>
    <w:rsid w:val="65A3781A"/>
    <w:rsid w:val="65A53FDF"/>
    <w:rsid w:val="65BE26CC"/>
    <w:rsid w:val="66212E26"/>
    <w:rsid w:val="6682301B"/>
    <w:rsid w:val="66BB5028"/>
    <w:rsid w:val="66D40487"/>
    <w:rsid w:val="67151A41"/>
    <w:rsid w:val="67283727"/>
    <w:rsid w:val="67472418"/>
    <w:rsid w:val="674B277C"/>
    <w:rsid w:val="67995DC9"/>
    <w:rsid w:val="679C4C2F"/>
    <w:rsid w:val="67B040BC"/>
    <w:rsid w:val="681F4A41"/>
    <w:rsid w:val="6872683E"/>
    <w:rsid w:val="68B436FC"/>
    <w:rsid w:val="68E02BDA"/>
    <w:rsid w:val="68E35834"/>
    <w:rsid w:val="68EE5176"/>
    <w:rsid w:val="68F309F7"/>
    <w:rsid w:val="69006D22"/>
    <w:rsid w:val="69180D13"/>
    <w:rsid w:val="691B78DF"/>
    <w:rsid w:val="691F59AD"/>
    <w:rsid w:val="69601EB7"/>
    <w:rsid w:val="69780C95"/>
    <w:rsid w:val="699E0CA5"/>
    <w:rsid w:val="69A33F72"/>
    <w:rsid w:val="69B503C5"/>
    <w:rsid w:val="69CA47C5"/>
    <w:rsid w:val="69EB5EC4"/>
    <w:rsid w:val="6A1B1DC5"/>
    <w:rsid w:val="6A305E70"/>
    <w:rsid w:val="6A6F0018"/>
    <w:rsid w:val="6A8E1555"/>
    <w:rsid w:val="6AC2575E"/>
    <w:rsid w:val="6AD506B9"/>
    <w:rsid w:val="6AD6279C"/>
    <w:rsid w:val="6B12219B"/>
    <w:rsid w:val="6B282560"/>
    <w:rsid w:val="6B417BAA"/>
    <w:rsid w:val="6B443A01"/>
    <w:rsid w:val="6B9D4CFC"/>
    <w:rsid w:val="6BA73DCD"/>
    <w:rsid w:val="6C0F6E65"/>
    <w:rsid w:val="6C155018"/>
    <w:rsid w:val="6C3175D6"/>
    <w:rsid w:val="6C373338"/>
    <w:rsid w:val="6C4258A4"/>
    <w:rsid w:val="6C606865"/>
    <w:rsid w:val="6C7C0DB6"/>
    <w:rsid w:val="6C8378C3"/>
    <w:rsid w:val="6C8D4AFB"/>
    <w:rsid w:val="6C9C5A58"/>
    <w:rsid w:val="6CF972E4"/>
    <w:rsid w:val="6D132535"/>
    <w:rsid w:val="6D3C0299"/>
    <w:rsid w:val="6D80389F"/>
    <w:rsid w:val="6D8524D2"/>
    <w:rsid w:val="6DA5433C"/>
    <w:rsid w:val="6DAB690F"/>
    <w:rsid w:val="6DB27C3F"/>
    <w:rsid w:val="6E167216"/>
    <w:rsid w:val="6E922B12"/>
    <w:rsid w:val="6E926BD8"/>
    <w:rsid w:val="6EB3713F"/>
    <w:rsid w:val="6EBA3E17"/>
    <w:rsid w:val="6ECC5B67"/>
    <w:rsid w:val="6F0B0F17"/>
    <w:rsid w:val="6F217EFC"/>
    <w:rsid w:val="6F305E87"/>
    <w:rsid w:val="6F4158DC"/>
    <w:rsid w:val="6F555FAE"/>
    <w:rsid w:val="6F567CE0"/>
    <w:rsid w:val="6FB379B7"/>
    <w:rsid w:val="6FCB59B1"/>
    <w:rsid w:val="6FEE6DD6"/>
    <w:rsid w:val="705D2CAC"/>
    <w:rsid w:val="707024CA"/>
    <w:rsid w:val="70763D6E"/>
    <w:rsid w:val="709E3013"/>
    <w:rsid w:val="70C765DA"/>
    <w:rsid w:val="70EB5A09"/>
    <w:rsid w:val="71121CE9"/>
    <w:rsid w:val="7131578F"/>
    <w:rsid w:val="71341ADC"/>
    <w:rsid w:val="713944D5"/>
    <w:rsid w:val="717E3429"/>
    <w:rsid w:val="71AA1F21"/>
    <w:rsid w:val="71AD2317"/>
    <w:rsid w:val="71B320EB"/>
    <w:rsid w:val="723948E4"/>
    <w:rsid w:val="72574327"/>
    <w:rsid w:val="726B4BC3"/>
    <w:rsid w:val="727A1734"/>
    <w:rsid w:val="72906290"/>
    <w:rsid w:val="72BA6194"/>
    <w:rsid w:val="72DA6EF7"/>
    <w:rsid w:val="7304762D"/>
    <w:rsid w:val="73704E3E"/>
    <w:rsid w:val="73EB6228"/>
    <w:rsid w:val="7419700F"/>
    <w:rsid w:val="743E0948"/>
    <w:rsid w:val="74647A24"/>
    <w:rsid w:val="74991B42"/>
    <w:rsid w:val="749B29EF"/>
    <w:rsid w:val="74E41BEE"/>
    <w:rsid w:val="75161A3A"/>
    <w:rsid w:val="752F2159"/>
    <w:rsid w:val="75711E57"/>
    <w:rsid w:val="75B733C9"/>
    <w:rsid w:val="75F93477"/>
    <w:rsid w:val="761400D4"/>
    <w:rsid w:val="761F2CDB"/>
    <w:rsid w:val="76297B0C"/>
    <w:rsid w:val="76622C6F"/>
    <w:rsid w:val="766B2D06"/>
    <w:rsid w:val="767216A4"/>
    <w:rsid w:val="768C534D"/>
    <w:rsid w:val="76A21419"/>
    <w:rsid w:val="76B719E1"/>
    <w:rsid w:val="76D04B88"/>
    <w:rsid w:val="76E22B8A"/>
    <w:rsid w:val="76F71FA2"/>
    <w:rsid w:val="770F4077"/>
    <w:rsid w:val="775054F0"/>
    <w:rsid w:val="777A76C6"/>
    <w:rsid w:val="778C0B71"/>
    <w:rsid w:val="77A0187C"/>
    <w:rsid w:val="77B55D41"/>
    <w:rsid w:val="77B75398"/>
    <w:rsid w:val="77F65107"/>
    <w:rsid w:val="780B7492"/>
    <w:rsid w:val="780D6D66"/>
    <w:rsid w:val="78144598"/>
    <w:rsid w:val="786F02B8"/>
    <w:rsid w:val="78713718"/>
    <w:rsid w:val="78801765"/>
    <w:rsid w:val="78807FAB"/>
    <w:rsid w:val="7892341F"/>
    <w:rsid w:val="78AE1D61"/>
    <w:rsid w:val="78C655F6"/>
    <w:rsid w:val="794254E5"/>
    <w:rsid w:val="79584F37"/>
    <w:rsid w:val="79624D56"/>
    <w:rsid w:val="79662415"/>
    <w:rsid w:val="79665F74"/>
    <w:rsid w:val="7985365C"/>
    <w:rsid w:val="79AB6356"/>
    <w:rsid w:val="79AD4AA0"/>
    <w:rsid w:val="79BC6814"/>
    <w:rsid w:val="79C22D70"/>
    <w:rsid w:val="79DA5722"/>
    <w:rsid w:val="7A48677B"/>
    <w:rsid w:val="7A592736"/>
    <w:rsid w:val="7A5E18B6"/>
    <w:rsid w:val="7A5E5F71"/>
    <w:rsid w:val="7A644FAE"/>
    <w:rsid w:val="7A923E9A"/>
    <w:rsid w:val="7AC54D17"/>
    <w:rsid w:val="7ACF4455"/>
    <w:rsid w:val="7AF44E64"/>
    <w:rsid w:val="7B261FC1"/>
    <w:rsid w:val="7B2C7E4B"/>
    <w:rsid w:val="7B600121"/>
    <w:rsid w:val="7B82325E"/>
    <w:rsid w:val="7BBA1159"/>
    <w:rsid w:val="7BDD1145"/>
    <w:rsid w:val="7C3A02ED"/>
    <w:rsid w:val="7C466CEA"/>
    <w:rsid w:val="7C9D2298"/>
    <w:rsid w:val="7CA67213"/>
    <w:rsid w:val="7CB9570E"/>
    <w:rsid w:val="7CBF7F26"/>
    <w:rsid w:val="7CC23740"/>
    <w:rsid w:val="7CCA6DEA"/>
    <w:rsid w:val="7CCB2C90"/>
    <w:rsid w:val="7CCF1BCB"/>
    <w:rsid w:val="7D4E5A6F"/>
    <w:rsid w:val="7DC32BB3"/>
    <w:rsid w:val="7DDA5AFF"/>
    <w:rsid w:val="7DE561BE"/>
    <w:rsid w:val="7DF80A70"/>
    <w:rsid w:val="7E025909"/>
    <w:rsid w:val="7E505F96"/>
    <w:rsid w:val="7E5C3CEC"/>
    <w:rsid w:val="7E723DC7"/>
    <w:rsid w:val="7E7F6689"/>
    <w:rsid w:val="7E8D1E54"/>
    <w:rsid w:val="7EC25EB2"/>
    <w:rsid w:val="7F606315"/>
    <w:rsid w:val="7FCB47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qFormat/>
    <w:uiPriority w:val="0"/>
    <w:pPr>
      <w:keepNext/>
      <w:keepLines/>
      <w:spacing w:line="360" w:lineRule="auto"/>
      <w:outlineLvl w:val="1"/>
    </w:pPr>
    <w:rPr>
      <w:rFonts w:ascii="Arial" w:hAnsi="Arial"/>
      <w:b/>
      <w:bCs/>
      <w:sz w:val="24"/>
      <w:szCs w:val="32"/>
    </w:rPr>
  </w:style>
  <w:style w:type="paragraph" w:styleId="4">
    <w:name w:val="heading 3"/>
    <w:basedOn w:val="1"/>
    <w:next w:val="1"/>
    <w:link w:val="50"/>
    <w:qFormat/>
    <w:uiPriority w:val="0"/>
    <w:pPr>
      <w:keepNext/>
      <w:keepLines/>
      <w:spacing w:before="260" w:beforeLines="0" w:after="260" w:afterLines="0" w:line="413" w:lineRule="auto"/>
      <w:outlineLvl w:val="2"/>
    </w:pPr>
    <w:rPr>
      <w:b/>
      <w:bCs/>
      <w:sz w:val="32"/>
      <w:szCs w:val="32"/>
    </w:rPr>
  </w:style>
  <w:style w:type="paragraph" w:styleId="5">
    <w:name w:val="heading 4"/>
    <w:basedOn w:val="1"/>
    <w:next w:val="1"/>
    <w:qFormat/>
    <w:uiPriority w:val="99"/>
    <w:pPr>
      <w:keepNext/>
      <w:keepLines/>
      <w:spacing w:before="280" w:beforeLines="0" w:after="290" w:afterLines="0" w:line="372" w:lineRule="auto"/>
      <w:outlineLvl w:val="3"/>
    </w:pPr>
    <w:rPr>
      <w:rFonts w:ascii="Arial" w:hAnsi="Arial" w:eastAsia="黑体"/>
      <w:b/>
      <w:bCs/>
      <w:sz w:val="28"/>
      <w:szCs w:val="28"/>
    </w:rPr>
  </w:style>
  <w:style w:type="character" w:default="1" w:styleId="35">
    <w:name w:val="Default Paragraph Font"/>
    <w:qFormat/>
    <w:uiPriority w:val="0"/>
  </w:style>
  <w:style w:type="table" w:default="1" w:styleId="33">
    <w:name w:val="Normal Table"/>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firstLineChars="200"/>
    </w:pPr>
  </w:style>
  <w:style w:type="paragraph" w:styleId="7">
    <w:name w:val="caption"/>
    <w:basedOn w:val="1"/>
    <w:next w:val="1"/>
    <w:qFormat/>
    <w:uiPriority w:val="0"/>
    <w:rPr>
      <w:rFonts w:ascii="Cambria" w:hAnsi="Cambria" w:eastAsia="黑体"/>
      <w:sz w:val="20"/>
    </w:rPr>
  </w:style>
  <w:style w:type="paragraph" w:styleId="8">
    <w:name w:val="Document Map"/>
    <w:basedOn w:val="1"/>
    <w:qFormat/>
    <w:uiPriority w:val="0"/>
    <w:pPr>
      <w:shd w:val="clear" w:color="auto" w:fill="000080"/>
    </w:pPr>
  </w:style>
  <w:style w:type="paragraph" w:styleId="9">
    <w:name w:val="toa heading"/>
    <w:basedOn w:val="1"/>
    <w:next w:val="1"/>
    <w:qFormat/>
    <w:uiPriority w:val="0"/>
    <w:pPr>
      <w:spacing w:before="120"/>
    </w:pPr>
    <w:rPr>
      <w:rFonts w:ascii="Arial" w:hAnsi="Arial"/>
      <w:sz w:val="24"/>
      <w:szCs w:val="20"/>
    </w:rPr>
  </w:style>
  <w:style w:type="paragraph" w:styleId="10">
    <w:name w:val="annotation text"/>
    <w:basedOn w:val="1"/>
    <w:qFormat/>
    <w:uiPriority w:val="0"/>
    <w:pPr>
      <w:jc w:val="left"/>
    </w:pPr>
  </w:style>
  <w:style w:type="paragraph" w:styleId="11">
    <w:name w:val="Body Text 3"/>
    <w:basedOn w:val="1"/>
    <w:qFormat/>
    <w:uiPriority w:val="0"/>
    <w:rPr>
      <w:rFonts w:hAnsi="Times New Roman"/>
      <w:kern w:val="0"/>
      <w:sz w:val="24"/>
      <w:szCs w:val="20"/>
    </w:rPr>
  </w:style>
  <w:style w:type="paragraph" w:styleId="12">
    <w:name w:val="Body Text"/>
    <w:basedOn w:val="1"/>
    <w:qFormat/>
    <w:uiPriority w:val="0"/>
    <w:rPr>
      <w:rFonts w:eastAsia="仿宋_GB2312"/>
      <w:sz w:val="32"/>
      <w:szCs w:val="20"/>
    </w:rPr>
  </w:style>
  <w:style w:type="paragraph" w:styleId="13">
    <w:name w:val="Body Text Indent"/>
    <w:basedOn w:val="1"/>
    <w:next w:val="14"/>
    <w:qFormat/>
    <w:uiPriority w:val="0"/>
    <w:pPr>
      <w:tabs>
        <w:tab w:val="left" w:pos="945"/>
        <w:tab w:val="left" w:pos="1155"/>
      </w:tabs>
      <w:ind w:firstLine="435"/>
    </w:pPr>
    <w:rPr>
      <w:rFonts w:ascii="Ari"/>
      <w:sz w:val="24"/>
      <w:szCs w:val="20"/>
    </w:rPr>
  </w:style>
  <w:style w:type="paragraph" w:styleId="14">
    <w:name w:val="envelope return"/>
    <w:basedOn w:val="1"/>
    <w:unhideWhenUsed/>
    <w:qFormat/>
    <w:uiPriority w:val="99"/>
    <w:pPr>
      <w:snapToGrid w:val="0"/>
    </w:pPr>
    <w:rPr>
      <w:rFonts w:ascii="Arial" w:hAnsi="Arial"/>
    </w:rPr>
  </w:style>
  <w:style w:type="paragraph" w:styleId="15">
    <w:name w:val="List 2"/>
    <w:basedOn w:val="1"/>
    <w:qFormat/>
    <w:uiPriority w:val="0"/>
    <w:pPr>
      <w:ind w:left="100" w:leftChars="200" w:hanging="200" w:hangingChars="200"/>
      <w:contextualSpacing/>
    </w:pPr>
  </w:style>
  <w:style w:type="paragraph" w:styleId="16">
    <w:name w:val="List Bullet 2"/>
    <w:basedOn w:val="1"/>
    <w:qFormat/>
    <w:uiPriority w:val="0"/>
    <w:pPr>
      <w:numPr>
        <w:ilvl w:val="0"/>
        <w:numId w:val="1"/>
      </w:numPr>
    </w:pPr>
  </w:style>
  <w:style w:type="paragraph" w:styleId="17">
    <w:name w:val="toc 3"/>
    <w:basedOn w:val="1"/>
    <w:next w:val="1"/>
    <w:qFormat/>
    <w:uiPriority w:val="0"/>
    <w:pPr>
      <w:tabs>
        <w:tab w:val="right" w:leader="dot" w:pos="9061"/>
      </w:tabs>
      <w:spacing w:line="400" w:lineRule="exact"/>
      <w:ind w:left="420"/>
      <w:jc w:val="center"/>
    </w:pPr>
    <w:rPr>
      <w:rFonts w:ascii="宋体" w:hAnsi="宋体"/>
      <w:b/>
      <w:iCs/>
      <w:sz w:val="36"/>
      <w:szCs w:val="36"/>
    </w:rPr>
  </w:style>
  <w:style w:type="paragraph" w:styleId="18">
    <w:name w:val="Plain Text"/>
    <w:basedOn w:val="1"/>
    <w:next w:val="12"/>
    <w:qFormat/>
    <w:uiPriority w:val="0"/>
    <w:rPr>
      <w:rFonts w:ascii="宋体" w:hAnsi="Courier New"/>
      <w:szCs w:val="20"/>
    </w:rPr>
  </w:style>
  <w:style w:type="paragraph" w:styleId="19">
    <w:name w:val="Date"/>
    <w:basedOn w:val="1"/>
    <w:next w:val="1"/>
    <w:link w:val="51"/>
    <w:qFormat/>
    <w:uiPriority w:val="0"/>
    <w:pPr>
      <w:ind w:left="100" w:leftChars="2500"/>
    </w:pPr>
  </w:style>
  <w:style w:type="paragraph" w:styleId="20">
    <w:name w:val="Body Text Indent 2"/>
    <w:basedOn w:val="1"/>
    <w:qFormat/>
    <w:uiPriority w:val="0"/>
    <w:pPr>
      <w:adjustRightInd w:val="0"/>
      <w:snapToGrid w:val="0"/>
      <w:spacing w:line="480" w:lineRule="exact"/>
      <w:ind w:firstLine="480" w:firstLineChars="200"/>
    </w:pPr>
    <w:rPr>
      <w:rFonts w:ascii="仿宋_GB2312" w:hAnsi="宋体" w:eastAsia="仿宋_GB2312"/>
      <w:sz w:val="24"/>
    </w:rPr>
  </w:style>
  <w:style w:type="paragraph" w:styleId="21">
    <w:name w:val="Balloon Text"/>
    <w:basedOn w:val="1"/>
    <w:qFormat/>
    <w:uiPriority w:val="0"/>
    <w:rPr>
      <w:sz w:val="18"/>
      <w:szCs w:val="18"/>
    </w:rPr>
  </w:style>
  <w:style w:type="paragraph" w:styleId="22">
    <w:name w:val="footer"/>
    <w:basedOn w:val="1"/>
    <w:link w:val="52"/>
    <w:qFormat/>
    <w:uiPriority w:val="99"/>
    <w:pPr>
      <w:tabs>
        <w:tab w:val="center" w:pos="4153"/>
        <w:tab w:val="right" w:pos="8306"/>
      </w:tabs>
      <w:snapToGrid w:val="0"/>
      <w:jc w:val="left"/>
    </w:pPr>
    <w:rPr>
      <w:rFonts w:eastAsia="仿宋_GB2312"/>
      <w:sz w:val="18"/>
      <w:szCs w:val="20"/>
    </w:rPr>
  </w:style>
  <w:style w:type="paragraph" w:styleId="23">
    <w:name w:val="header"/>
    <w:basedOn w:val="1"/>
    <w:link w:val="53"/>
    <w:qFormat/>
    <w:uiPriority w:val="99"/>
    <w:pPr>
      <w:pBdr>
        <w:bottom w:val="single" w:color="auto" w:sz="6" w:space="1"/>
      </w:pBdr>
      <w:tabs>
        <w:tab w:val="center" w:pos="4153"/>
        <w:tab w:val="right" w:pos="8306"/>
      </w:tabs>
      <w:snapToGrid w:val="0"/>
      <w:jc w:val="center"/>
    </w:pPr>
    <w:rPr>
      <w:rFonts w:eastAsia="仿宋_GB2312"/>
      <w:sz w:val="18"/>
      <w:szCs w:val="20"/>
    </w:rPr>
  </w:style>
  <w:style w:type="paragraph" w:styleId="24">
    <w:name w:val="toc 1"/>
    <w:basedOn w:val="1"/>
    <w:next w:val="1"/>
    <w:qFormat/>
    <w:uiPriority w:val="0"/>
  </w:style>
  <w:style w:type="paragraph" w:styleId="25">
    <w:name w:val="footnote text"/>
    <w:basedOn w:val="1"/>
    <w:qFormat/>
    <w:uiPriority w:val="0"/>
    <w:pPr>
      <w:snapToGrid w:val="0"/>
      <w:jc w:val="left"/>
    </w:pPr>
    <w:rPr>
      <w:sz w:val="18"/>
      <w:szCs w:val="18"/>
    </w:rPr>
  </w:style>
  <w:style w:type="paragraph" w:styleId="26">
    <w:name w:val="Body Text Indent 3"/>
    <w:basedOn w:val="1"/>
    <w:qFormat/>
    <w:uiPriority w:val="0"/>
    <w:pPr>
      <w:spacing w:after="120" w:afterLines="0"/>
      <w:ind w:left="420" w:leftChars="200"/>
    </w:pPr>
    <w:rPr>
      <w:sz w:val="16"/>
      <w:szCs w:val="16"/>
    </w:rPr>
  </w:style>
  <w:style w:type="paragraph" w:styleId="27">
    <w:name w:val="toc 2"/>
    <w:basedOn w:val="1"/>
    <w:next w:val="1"/>
    <w:qFormat/>
    <w:uiPriority w:val="0"/>
    <w:pPr>
      <w:ind w:left="420" w:leftChars="200"/>
    </w:pPr>
  </w:style>
  <w:style w:type="paragraph" w:styleId="28">
    <w:name w:val="Body Text 2"/>
    <w:basedOn w:val="1"/>
    <w:next w:val="1"/>
    <w:qFormat/>
    <w:uiPriority w:val="0"/>
    <w:pPr>
      <w:spacing w:line="360" w:lineRule="auto"/>
    </w:pPr>
    <w:rPr>
      <w:rFonts w:ascii="仿宋_GB2312" w:hAnsi="宋体" w:eastAsia="仿宋_GB2312"/>
      <w:b/>
      <w:bCs/>
      <w:sz w:val="24"/>
    </w:rPr>
  </w:style>
  <w:style w:type="paragraph" w:styleId="29">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30">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31">
    <w:name w:val="Body Text First Indent"/>
    <w:basedOn w:val="12"/>
    <w:next w:val="1"/>
    <w:qFormat/>
    <w:uiPriority w:val="0"/>
    <w:pPr>
      <w:spacing w:before="0" w:beforeLines="0"/>
      <w:ind w:firstLine="420" w:firstLineChars="100"/>
    </w:pPr>
    <w:rPr>
      <w:rFonts w:hint="eastAsia"/>
      <w:sz w:val="21"/>
    </w:rPr>
  </w:style>
  <w:style w:type="paragraph" w:styleId="32">
    <w:name w:val="Body Text First Indent 2"/>
    <w:basedOn w:val="13"/>
    <w:next w:val="1"/>
    <w:qFormat/>
    <w:uiPriority w:val="0"/>
    <w:pPr>
      <w:spacing w:after="120" w:afterLines="0" w:line="240" w:lineRule="auto"/>
      <w:ind w:left="420" w:leftChars="200" w:firstLine="420" w:firstLineChars="200"/>
    </w:pPr>
    <w:rPr>
      <w:rFonts w:ascii="Times New Roman" w:hAnsi="Times New Roman" w:eastAsia="宋体" w:cs="Times New Roman"/>
    </w:rPr>
  </w:style>
  <w:style w:type="table" w:styleId="34">
    <w:name w:val="Table Grid"/>
    <w:basedOn w:val="33"/>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style>
  <w:style w:type="character" w:styleId="37">
    <w:name w:val="page number"/>
    <w:basedOn w:val="35"/>
    <w:qFormat/>
    <w:uiPriority w:val="0"/>
  </w:style>
  <w:style w:type="character" w:styleId="38">
    <w:name w:val="FollowedHyperlink"/>
    <w:qFormat/>
    <w:uiPriority w:val="0"/>
    <w:rPr>
      <w:color w:val="333333"/>
      <w:sz w:val="18"/>
      <w:szCs w:val="18"/>
      <w:u w:val="none"/>
    </w:rPr>
  </w:style>
  <w:style w:type="character" w:styleId="39">
    <w:name w:val="Emphasis"/>
    <w:qFormat/>
    <w:uiPriority w:val="0"/>
  </w:style>
  <w:style w:type="character" w:styleId="40">
    <w:name w:val="HTML Definition"/>
    <w:qFormat/>
    <w:uiPriority w:val="0"/>
  </w:style>
  <w:style w:type="character" w:styleId="41">
    <w:name w:val="HTML Typewriter"/>
    <w:qFormat/>
    <w:uiPriority w:val="0"/>
    <w:rPr>
      <w:rFonts w:hint="default" w:ascii="monospace" w:hAnsi="monospace" w:eastAsia="monospace" w:cs="monospace"/>
      <w:sz w:val="20"/>
    </w:rPr>
  </w:style>
  <w:style w:type="character" w:styleId="42">
    <w:name w:val="HTML Acronym"/>
    <w:qFormat/>
    <w:uiPriority w:val="0"/>
  </w:style>
  <w:style w:type="character" w:styleId="43">
    <w:name w:val="HTML Variable"/>
    <w:qFormat/>
    <w:uiPriority w:val="0"/>
  </w:style>
  <w:style w:type="character" w:styleId="44">
    <w:name w:val="Hyperlink"/>
    <w:qFormat/>
    <w:uiPriority w:val="0"/>
    <w:rPr>
      <w:color w:val="333333"/>
      <w:sz w:val="18"/>
      <w:szCs w:val="18"/>
      <w:u w:val="none"/>
    </w:rPr>
  </w:style>
  <w:style w:type="character" w:styleId="45">
    <w:name w:val="HTML Code"/>
    <w:qFormat/>
    <w:uiPriority w:val="0"/>
    <w:rPr>
      <w:rFonts w:hint="default" w:ascii="monospace" w:hAnsi="monospace" w:eastAsia="monospace" w:cs="monospace"/>
      <w:sz w:val="20"/>
    </w:rPr>
  </w:style>
  <w:style w:type="character" w:styleId="46">
    <w:name w:val="HTML Cite"/>
    <w:qFormat/>
    <w:uiPriority w:val="0"/>
  </w:style>
  <w:style w:type="character" w:styleId="47">
    <w:name w:val="HTML Keyboard"/>
    <w:qFormat/>
    <w:uiPriority w:val="0"/>
    <w:rPr>
      <w:rFonts w:ascii="monospace" w:hAnsi="monospace" w:eastAsia="monospace" w:cs="monospace"/>
      <w:sz w:val="20"/>
    </w:rPr>
  </w:style>
  <w:style w:type="character" w:styleId="48">
    <w:name w:val="HTML Sample"/>
    <w:qFormat/>
    <w:uiPriority w:val="0"/>
    <w:rPr>
      <w:rFonts w:hint="default" w:ascii="monospace" w:hAnsi="monospace" w:eastAsia="monospace" w:cs="monospace"/>
    </w:rPr>
  </w:style>
  <w:style w:type="paragraph" w:customStyle="1" w:styleId="49">
    <w:name w:val="style4"/>
    <w:basedOn w:val="1"/>
    <w:next w:val="1"/>
    <w:unhideWhenUsed/>
    <w:qFormat/>
    <w:uiPriority w:val="0"/>
    <w:pPr>
      <w:widowControl/>
      <w:spacing w:before="100" w:beforeLines="0" w:beforeAutospacing="1" w:after="100" w:afterLines="0" w:afterAutospacing="1"/>
      <w:jc w:val="left"/>
    </w:pPr>
    <w:rPr>
      <w:rFonts w:hint="eastAsia" w:ascii="宋体" w:hAnsi="宋体"/>
      <w:kern w:val="0"/>
      <w:sz w:val="18"/>
    </w:rPr>
  </w:style>
  <w:style w:type="character" w:customStyle="1" w:styleId="50">
    <w:name w:val="标题 3 字符"/>
    <w:link w:val="4"/>
    <w:qFormat/>
    <w:uiPriority w:val="0"/>
    <w:rPr>
      <w:rFonts w:eastAsia="宋体"/>
      <w:b/>
      <w:bCs/>
      <w:kern w:val="2"/>
      <w:sz w:val="32"/>
      <w:szCs w:val="32"/>
      <w:lang w:val="en-US" w:eastAsia="zh-CN" w:bidi="ar-SA"/>
    </w:rPr>
  </w:style>
  <w:style w:type="character" w:customStyle="1" w:styleId="51">
    <w:name w:val="日期 字符"/>
    <w:link w:val="19"/>
    <w:qFormat/>
    <w:uiPriority w:val="0"/>
    <w:rPr>
      <w:kern w:val="2"/>
      <w:sz w:val="21"/>
      <w:szCs w:val="24"/>
    </w:rPr>
  </w:style>
  <w:style w:type="character" w:customStyle="1" w:styleId="52">
    <w:name w:val="页脚 字符"/>
    <w:link w:val="22"/>
    <w:qFormat/>
    <w:uiPriority w:val="99"/>
    <w:rPr>
      <w:rFonts w:eastAsia="仿宋_GB2312"/>
      <w:kern w:val="2"/>
      <w:sz w:val="18"/>
    </w:rPr>
  </w:style>
  <w:style w:type="character" w:customStyle="1" w:styleId="53">
    <w:name w:val="页眉 字符"/>
    <w:link w:val="23"/>
    <w:qFormat/>
    <w:uiPriority w:val="99"/>
    <w:rPr>
      <w:rFonts w:eastAsia="仿宋_GB2312"/>
      <w:kern w:val="2"/>
      <w:sz w:val="18"/>
    </w:rPr>
  </w:style>
  <w:style w:type="paragraph" w:customStyle="1" w:styleId="54">
    <w:name w:val="Default"/>
    <w:basedOn w:val="18"/>
    <w:next w:val="23"/>
    <w:qFormat/>
    <w:uiPriority w:val="0"/>
    <w:pPr>
      <w:autoSpaceDE w:val="0"/>
      <w:autoSpaceDN w:val="0"/>
      <w:adjustRightInd w:val="0"/>
      <w:jc w:val="left"/>
    </w:pPr>
    <w:rPr>
      <w:rFonts w:ascii="宋体" w:hAnsi="Times New Roman" w:cs="宋体"/>
      <w:color w:val="000000"/>
      <w:kern w:val="0"/>
      <w:sz w:val="24"/>
      <w:szCs w:val="24"/>
    </w:rPr>
  </w:style>
  <w:style w:type="paragraph" w:customStyle="1" w:styleId="55">
    <w:name w:val="无间隔1"/>
    <w:next w:val="7"/>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样式 正文首行缩进 2 + Arial"/>
    <w:basedOn w:val="1"/>
    <w:next w:val="1"/>
    <w:qFormat/>
    <w:uiPriority w:val="0"/>
    <w:pPr>
      <w:spacing w:after="120" w:line="320" w:lineRule="atLeast"/>
      <w:ind w:firstLine="200" w:firstLineChars="200"/>
    </w:pPr>
    <w:rPr>
      <w:rFonts w:ascii="Arial" w:hAnsi="Arial"/>
      <w:szCs w:val="21"/>
    </w:rPr>
  </w:style>
  <w:style w:type="character" w:customStyle="1" w:styleId="57">
    <w:name w:val="font11"/>
    <w:basedOn w:val="35"/>
    <w:qFormat/>
    <w:uiPriority w:val="0"/>
    <w:rPr>
      <w:kern w:val="2"/>
      <w:sz w:val="21"/>
      <w:szCs w:val="24"/>
      <w:lang w:val="en-US" w:eastAsia="zh-CN" w:bidi="ar-SA"/>
    </w:rPr>
  </w:style>
  <w:style w:type="paragraph" w:customStyle="1" w:styleId="58">
    <w:name w:val="大标题"/>
    <w:basedOn w:val="1"/>
    <w:next w:val="32"/>
    <w:qFormat/>
    <w:uiPriority w:val="0"/>
    <w:pPr>
      <w:jc w:val="center"/>
    </w:pPr>
    <w:rPr>
      <w:rFonts w:ascii="Arial" w:hAnsi="Arial"/>
      <w:b/>
      <w:sz w:val="28"/>
      <w:szCs w:val="24"/>
    </w:rPr>
  </w:style>
  <w:style w:type="paragraph" w:customStyle="1" w:styleId="59">
    <w:name w:val="2"/>
    <w:next w:val="1"/>
    <w:unhideWhenUsed/>
    <w:qFormat/>
    <w:uiPriority w:val="0"/>
    <w:pPr>
      <w:widowControl w:val="0"/>
      <w:jc w:val="both"/>
    </w:pPr>
    <w:rPr>
      <w:rFonts w:ascii="Times New Roman" w:hAnsi="Times New Roman" w:eastAsia="宋体" w:cs="Times New Roman"/>
      <w:sz w:val="21"/>
      <w:lang w:val="en-US" w:eastAsia="zh-CN" w:bidi="ar-SA"/>
    </w:rPr>
  </w:style>
  <w:style w:type="paragraph" w:customStyle="1" w:styleId="60">
    <w:name w:val="表格文字"/>
    <w:basedOn w:val="1"/>
    <w:next w:val="12"/>
    <w:qFormat/>
    <w:uiPriority w:val="0"/>
    <w:pPr>
      <w:wordWrap w:val="0"/>
      <w:ind w:firstLine="0" w:firstLineChars="0"/>
    </w:pPr>
    <w:rPr>
      <w:sz w:val="18"/>
    </w:rPr>
  </w:style>
  <w:style w:type="character" w:customStyle="1" w:styleId="61">
    <w:name w:val="_Style 3"/>
    <w:qFormat/>
    <w:uiPriority w:val="33"/>
    <w:rPr>
      <w:b/>
      <w:bCs/>
      <w:smallCaps/>
      <w:spacing w:val="5"/>
    </w:rPr>
  </w:style>
  <w:style w:type="character" w:customStyle="1" w:styleId="62">
    <w:name w:val="hover14"/>
    <w:qFormat/>
    <w:uiPriority w:val="0"/>
  </w:style>
  <w:style w:type="character" w:customStyle="1" w:styleId="63">
    <w:name w:val="font01"/>
    <w:qFormat/>
    <w:uiPriority w:val="0"/>
    <w:rPr>
      <w:rFonts w:hint="eastAsia" w:ascii="宋体" w:hAnsi="宋体" w:eastAsia="宋体" w:cs="宋体"/>
      <w:color w:val="000000"/>
      <w:sz w:val="18"/>
      <w:szCs w:val="18"/>
      <w:u w:val="none"/>
    </w:rPr>
  </w:style>
  <w:style w:type="character" w:customStyle="1" w:styleId="64">
    <w:name w:val="hover15"/>
    <w:qFormat/>
    <w:uiPriority w:val="0"/>
  </w:style>
  <w:style w:type="character" w:customStyle="1" w:styleId="65">
    <w:name w:val="hover16"/>
    <w:qFormat/>
    <w:uiPriority w:val="0"/>
  </w:style>
  <w:style w:type="character" w:customStyle="1" w:styleId="66">
    <w:name w:val="font21"/>
    <w:qFormat/>
    <w:uiPriority w:val="0"/>
    <w:rPr>
      <w:rFonts w:hint="default" w:ascii="Times New Roman" w:hAnsi="Times New Roman" w:cs="Times New Roman"/>
      <w:color w:val="000000"/>
      <w:sz w:val="22"/>
      <w:szCs w:val="22"/>
      <w:u w:val="none"/>
    </w:rPr>
  </w:style>
  <w:style w:type="character" w:customStyle="1" w:styleId="67">
    <w:name w:val="font51"/>
    <w:basedOn w:val="35"/>
    <w:qFormat/>
    <w:uiPriority w:val="0"/>
    <w:rPr>
      <w:rFonts w:hint="eastAsia" w:ascii="宋体" w:hAnsi="宋体" w:eastAsia="宋体" w:cs="宋体"/>
      <w:color w:val="000000"/>
      <w:sz w:val="22"/>
      <w:szCs w:val="22"/>
      <w:u w:val="none"/>
    </w:rPr>
  </w:style>
  <w:style w:type="paragraph" w:customStyle="1" w:styleId="68">
    <w:name w:val="Table Paragraph"/>
    <w:basedOn w:val="1"/>
    <w:qFormat/>
    <w:uiPriority w:val="1"/>
  </w:style>
  <w:style w:type="paragraph" w:customStyle="1" w:styleId="69">
    <w:name w:val="文档正文"/>
    <w:basedOn w:val="1"/>
    <w:qFormat/>
    <w:uiPriority w:val="0"/>
    <w:pPr>
      <w:adjustRightInd w:val="0"/>
      <w:spacing w:line="480" w:lineRule="atLeast"/>
      <w:ind w:firstLine="567"/>
      <w:textAlignment w:val="baseline"/>
    </w:pPr>
    <w:rPr>
      <w:rFonts w:ascii="仿宋_GB2312" w:eastAsia="仿宋_GB2312"/>
      <w:kern w:val="0"/>
      <w:sz w:val="28"/>
      <w:szCs w:val="20"/>
    </w:rPr>
  </w:style>
  <w:style w:type="paragraph" w:styleId="70">
    <w:name w:val="List Paragraph"/>
    <w:basedOn w:val="1"/>
    <w:qFormat/>
    <w:uiPriority w:val="34"/>
    <w:pPr>
      <w:ind w:firstLine="420" w:firstLineChars="200"/>
    </w:pPr>
  </w:style>
  <w:style w:type="paragraph" w:customStyle="1" w:styleId="71">
    <w:name w:val="样式 首行缩进:  2 字符"/>
    <w:basedOn w:val="1"/>
    <w:qFormat/>
    <w:uiPriority w:val="0"/>
    <w:pPr>
      <w:spacing w:line="400" w:lineRule="exact"/>
      <w:ind w:firstLine="200" w:firstLineChars="200"/>
    </w:pPr>
    <w:rPr>
      <w:rFonts w:cs="宋体"/>
      <w:sz w:val="24"/>
    </w:rPr>
  </w:style>
  <w:style w:type="paragraph" w:customStyle="1" w:styleId="72">
    <w:name w:val="p0"/>
    <w:basedOn w:val="1"/>
    <w:qFormat/>
    <w:uiPriority w:val="0"/>
    <w:pPr>
      <w:widowControl/>
    </w:pPr>
    <w:rPr>
      <w:kern w:val="0"/>
      <w:szCs w:val="21"/>
    </w:rPr>
  </w:style>
  <w:style w:type="paragraph" w:customStyle="1" w:styleId="73">
    <w:name w:val="列出段落1"/>
    <w:basedOn w:val="1"/>
    <w:qFormat/>
    <w:uiPriority w:val="0"/>
    <w:pPr>
      <w:ind w:firstLine="420" w:firstLineChars="200"/>
    </w:pPr>
    <w:rPr>
      <w:sz w:val="21"/>
    </w:rPr>
  </w:style>
  <w:style w:type="paragraph" w:customStyle="1" w:styleId="74">
    <w:name w:val="垃圾运输车"/>
    <w:basedOn w:val="1"/>
    <w:qFormat/>
    <w:uiPriority w:val="0"/>
    <w:pPr>
      <w:jc w:val="center"/>
    </w:pPr>
    <w:rPr>
      <w:rFonts w:ascii="宋体" w:hAnsi="宋体"/>
      <w:szCs w:val="21"/>
    </w:rPr>
  </w:style>
  <w:style w:type="paragraph" w:customStyle="1" w:styleId="75">
    <w:name w:val="简单回函地址"/>
    <w:basedOn w:val="1"/>
    <w:qFormat/>
    <w:uiPriority w:val="0"/>
    <w:rPr>
      <w:rFonts w:ascii="宋体" w:hAnsi="宋体"/>
      <w:bCs/>
      <w:color w:val="000000"/>
      <w:sz w:val="24"/>
      <w:szCs w:val="21"/>
    </w:rPr>
  </w:style>
  <w:style w:type="paragraph" w:customStyle="1" w:styleId="76">
    <w:name w:val="样式"/>
    <w:qFormat/>
    <w:uiPriority w:val="99"/>
    <w:pPr>
      <w:widowControl w:val="0"/>
      <w:autoSpaceDE w:val="0"/>
      <w:autoSpaceDN w:val="0"/>
      <w:adjustRightInd w:val="0"/>
    </w:pPr>
    <w:rPr>
      <w:rFonts w:ascii="宋体" w:hAnsi="宋体" w:eastAsia="宋体" w:cs="Times New Roman"/>
      <w:sz w:val="24"/>
      <w:szCs w:val="24"/>
      <w:lang w:val="en-US" w:eastAsia="zh-CN" w:bidi="ar-SA"/>
    </w:rPr>
  </w:style>
  <w:style w:type="paragraph" w:customStyle="1" w:styleId="77">
    <w:name w:val="标书-正文"/>
    <w:basedOn w:val="1"/>
    <w:qFormat/>
    <w:uiPriority w:val="0"/>
    <w:pPr>
      <w:spacing w:before="56" w:beforeLines="0" w:after="113" w:afterLines="0" w:line="360" w:lineRule="auto"/>
      <w:ind w:firstLine="200" w:firstLineChars="200"/>
    </w:pPr>
    <w:rPr>
      <w:rFonts w:ascii="Arial" w:hAnsi="Arial" w:eastAsia="宋体" w:cs="Arial"/>
      <w:sz w:val="24"/>
      <w:szCs w:val="20"/>
    </w:rPr>
  </w:style>
  <w:style w:type="paragraph" w:customStyle="1" w:styleId="78">
    <w:name w:val=" Char"/>
    <w:basedOn w:val="1"/>
    <w:qFormat/>
    <w:uiPriority w:val="0"/>
  </w:style>
  <w:style w:type="character" w:customStyle="1" w:styleId="79">
    <w:name w:val="hover17"/>
    <w:qFormat/>
    <w:uiPriority w:val="0"/>
  </w:style>
  <w:style w:type="character" w:customStyle="1" w:styleId="80">
    <w:name w:val="font91"/>
    <w:qFormat/>
    <w:uiPriority w:val="0"/>
    <w:rPr>
      <w:rFonts w:hint="eastAsia" w:ascii="宋体" w:hAnsi="宋体" w:eastAsia="宋体" w:cs="宋体"/>
      <w:color w:val="000000"/>
      <w:sz w:val="22"/>
      <w:szCs w:val="22"/>
      <w:u w:val="none"/>
    </w:rPr>
  </w:style>
  <w:style w:type="paragraph" w:customStyle="1" w:styleId="81">
    <w:name w:val="*正文"/>
    <w:basedOn w:val="1"/>
    <w:next w:val="1"/>
    <w:qFormat/>
    <w:uiPriority w:val="0"/>
    <w:pPr>
      <w:spacing w:line="360" w:lineRule="auto"/>
    </w:pPr>
    <w:rPr>
      <w:rFonts w:hAnsi="宋体"/>
      <w:kern w:val="0"/>
      <w:lang w:val="zh-CN"/>
    </w:rPr>
  </w:style>
  <w:style w:type="table" w:customStyle="1" w:styleId="82">
    <w:name w:val="Table Normal"/>
    <w:unhideWhenUsed/>
    <w:qFormat/>
    <w:uiPriority w:val="0"/>
    <w:rPr>
      <w:lang w:val="en-US" w:eastAsia="zh-CN" w:bidi="ar-SA"/>
    </w:rPr>
    <w:tblPr>
      <w:tblCellMar>
        <w:top w:w="0" w:type="dxa"/>
        <w:left w:w="0" w:type="dxa"/>
        <w:bottom w:w="0" w:type="dxa"/>
        <w:right w:w="0" w:type="dxa"/>
      </w:tblCellMar>
    </w:tblPr>
  </w:style>
  <w:style w:type="character" w:customStyle="1" w:styleId="83">
    <w:name w:val="fontstyle01"/>
    <w:basedOn w:val="35"/>
    <w:qFormat/>
    <w:uiPriority w:val="0"/>
    <w:rPr>
      <w:rFonts w:hint="eastAsia" w:ascii="宋体" w:hAnsi="宋体" w:eastAsia="宋体"/>
      <w:color w:val="000000"/>
      <w:sz w:val="24"/>
      <w:szCs w:val="24"/>
    </w:rPr>
  </w:style>
  <w:style w:type="character" w:customStyle="1" w:styleId="84">
    <w:name w:val="font41"/>
    <w:basedOn w:val="35"/>
    <w:qFormat/>
    <w:uiPriority w:val="0"/>
    <w:rPr>
      <w:rFonts w:hint="eastAsia" w:ascii="宋体" w:hAnsi="宋体" w:eastAsia="宋体"/>
      <w:color w:val="000000"/>
      <w:sz w:val="18"/>
      <w:u w:val="single"/>
    </w:rPr>
  </w:style>
  <w:style w:type="paragraph" w:customStyle="1" w:styleId="85">
    <w:name w:val="二级条标题"/>
    <w:basedOn w:val="1"/>
    <w:qFormat/>
    <w:uiPriority w:val="0"/>
    <w:pPr>
      <w:widowControl/>
      <w:numPr>
        <w:ilvl w:val="2"/>
        <w:numId w:val="2"/>
      </w:numPr>
      <w:spacing w:before="50" w:beforeLines="50" w:beforeAutospacing="0" w:after="50" w:afterLines="50" w:afterAutospacing="0"/>
      <w:jc w:val="left"/>
      <w:outlineLvl w:val="3"/>
    </w:pPr>
    <w:rPr>
      <w:rFonts w:ascii="黑体" w:eastAsia="黑体"/>
      <w:kern w:val="0"/>
      <w:szCs w:val="21"/>
    </w:rPr>
  </w:style>
  <w:style w:type="table" w:customStyle="1" w:styleId="86">
    <w:name w:val="网格型1"/>
    <w:basedOn w:val="87"/>
    <w:qFormat/>
    <w:uiPriority w:val="0"/>
    <w:pPr>
      <w:widowControl w:val="0"/>
      <w:jc w:val="both"/>
    </w:pPr>
  </w:style>
  <w:style w:type="table" w:customStyle="1" w:styleId="87">
    <w:name w:val="普通表格1"/>
    <w:qFormat/>
    <w:uiPriority w:val="0"/>
  </w:style>
  <w:style w:type="paragraph" w:customStyle="1" w:styleId="88">
    <w:name w:val="样式 标题 2 + Times New Roman 四号 非加粗 段前: 5 磅 段后: 0 磅 行距: 固定值 20..."/>
    <w:basedOn w:val="3"/>
    <w:qFormat/>
    <w:uiPriority w:val="0"/>
    <w:pPr>
      <w:numPr>
        <w:ilvl w:val="1"/>
        <w:numId w:val="0"/>
      </w:numPr>
      <w:spacing w:before="100" w:beforeLines="0" w:after="0" w:afterLines="0" w:line="400" w:lineRule="exact"/>
    </w:pPr>
    <w:rPr>
      <w:rFonts w:ascii="Times New Roman" w:hAnsi="Times New Roman" w:cs="宋体"/>
      <w:b w:val="0"/>
      <w:sz w:val="28"/>
      <w:szCs w:val="20"/>
    </w:rPr>
  </w:style>
  <w:style w:type="paragraph" w:customStyle="1" w:styleId="89">
    <w:name w:val="样式 标题 3 + (中文) 黑体 小四 非加粗 段前: 7.8 磅 段后: 0 磅 行距: 固定值 20 磅"/>
    <w:basedOn w:val="4"/>
    <w:qFormat/>
    <w:uiPriority w:val="0"/>
    <w:pPr>
      <w:numPr>
        <w:ilvl w:val="2"/>
        <w:numId w:val="0"/>
      </w:numPr>
      <w:spacing w:before="0" w:beforeLines="0" w:after="0" w:afterLines="0" w:line="400" w:lineRule="exact"/>
    </w:pPr>
    <w:rPr>
      <w:rFonts w:eastAsia="黑体" w:cs="宋体"/>
      <w:b w:val="0"/>
      <w:sz w:val="24"/>
      <w:szCs w:val="20"/>
    </w:rPr>
  </w:style>
  <w:style w:type="paragraph" w:customStyle="1" w:styleId="90">
    <w:name w:val="Normal_5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91">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正文_5_0"/>
    <w:qFormat/>
    <w:uiPriority w:val="0"/>
    <w:pPr>
      <w:widowControl w:val="0"/>
      <w:jc w:val="both"/>
    </w:pPr>
    <w:rPr>
      <w:rFonts w:ascii="Calibri" w:hAnsi="Calibri" w:eastAsia="宋体" w:cs="Times New Roman"/>
      <w:kern w:val="2"/>
      <w:sz w:val="21"/>
      <w:szCs w:val="24"/>
      <w:lang w:val="en-US" w:eastAsia="zh-CN" w:bidi="ar-SA"/>
    </w:rPr>
  </w:style>
  <w:style w:type="character" w:customStyle="1" w:styleId="93">
    <w:name w:val="hover18"/>
    <w:basedOn w:val="35"/>
    <w:qFormat/>
    <w:uiPriority w:val="0"/>
  </w:style>
  <w:style w:type="paragraph" w:customStyle="1" w:styleId="94">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72</Pages>
  <Words>11768</Words>
  <Characters>13332</Characters>
  <Lines>359</Lines>
  <Paragraphs>101</Paragraphs>
  <TotalTime>0</TotalTime>
  <ScaleCrop>false</ScaleCrop>
  <LinksUpToDate>false</LinksUpToDate>
  <CharactersWithSpaces>13529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2020-01-10T13:45:00Z</dcterms:created>
  <dc:creator>USER</dc:creator>
  <cp:lastModifiedBy>17656629397</cp:lastModifiedBy>
  <cp:lastPrinted>2026-05-29T10:33:00Z</cp:lastPrinted>
  <dcterms:modified xsi:type="dcterms:W3CDTF">2026-07-13T02:03:59Z</dcterms:modified>
  <dc:title>山东省公路高级技工学校新校区消火栓箱采购</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2F45D3041D6549E88F3F356B8048D82B_13</vt:lpwstr>
  </property>
  <property fmtid="{D5CDD505-2E9C-101B-9397-08002B2CF9AE}" pid="4" name="KSOTemplateDocerSaveRecord">
    <vt:lpwstr>eyJoZGlkIjoiMWZjZjVmNjdmODQ0ZmVlNGNmNmI2ZDYyYTZlYjNlNjQiLCJ1c2VySWQiOiIxNTUzODE2Mzc4In0=</vt:lpwstr>
  </property>
</Properties>
</file>