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39FD2">
      <w:pPr>
        <w:pStyle w:val="17"/>
        <w:jc w:val="center"/>
        <w:rPr>
          <w:rFonts w:hint="eastAsia" w:ascii="宋体" w:hAnsi="宋体" w:cs="宋体"/>
          <w:b/>
          <w:bCs/>
          <w:sz w:val="52"/>
          <w:szCs w:val="60"/>
          <w:lang w:val="zh-CN" w:eastAsia="zh-CN"/>
        </w:rPr>
      </w:pPr>
      <w:r>
        <w:rPr>
          <w:rFonts w:hint="eastAsia" w:ascii="宋体" w:hAnsi="宋体" w:cs="宋体"/>
          <w:b/>
          <w:bCs/>
          <w:sz w:val="52"/>
          <w:szCs w:val="60"/>
          <w:lang w:val="en-US" w:eastAsia="zh-CN"/>
        </w:rPr>
        <w:t>淮滨县公共交通和道路运输服务中心淮滨县通达客运站改造工程(场站改造建设）</w:t>
      </w:r>
    </w:p>
    <w:p w14:paraId="0E87B186">
      <w:pPr>
        <w:pStyle w:val="26"/>
        <w:rPr>
          <w:rFonts w:hint="eastAsia"/>
          <w:lang w:val="zh-CN" w:eastAsia="zh-CN"/>
        </w:rPr>
      </w:pPr>
    </w:p>
    <w:p w14:paraId="0F3415AA">
      <w:pPr>
        <w:rPr>
          <w:rFonts w:hint="eastAsia" w:ascii="宋体" w:hAnsi="宋体" w:eastAsia="宋体" w:cs="宋体"/>
          <w:color w:val="auto"/>
          <w:highlight w:val="none"/>
          <w:lang w:val="zh-CN" w:eastAsia="zh-CN"/>
        </w:rPr>
      </w:pPr>
    </w:p>
    <w:p w14:paraId="09900CD5">
      <w:pPr>
        <w:bidi w:val="0"/>
        <w:jc w:val="both"/>
        <w:rPr>
          <w:rFonts w:hint="eastAsia" w:ascii="宋体" w:hAnsi="宋体" w:eastAsia="宋体" w:cs="宋体"/>
          <w:b/>
          <w:bCs/>
          <w:sz w:val="112"/>
          <w:szCs w:val="192"/>
          <w:lang w:val="zh-CN"/>
        </w:rPr>
      </w:pPr>
      <w:bookmarkStart w:id="0" w:name="_Toc26589"/>
      <w:bookmarkStart w:id="1" w:name="_Toc24436"/>
      <w:bookmarkStart w:id="2" w:name="_Toc7227"/>
      <w:bookmarkStart w:id="1300" w:name="_GoBack"/>
      <w:bookmarkEnd w:id="1300"/>
    </w:p>
    <w:p w14:paraId="6920BCA5">
      <w:pPr>
        <w:bidi w:val="0"/>
        <w:jc w:val="center"/>
        <w:rPr>
          <w:rFonts w:hint="eastAsia" w:ascii="宋体" w:hAnsi="宋体" w:eastAsia="宋体" w:cs="宋体"/>
          <w:b/>
          <w:bCs/>
          <w:sz w:val="112"/>
          <w:szCs w:val="192"/>
          <w:lang w:val="zh-CN" w:eastAsia="zh-CN"/>
        </w:rPr>
      </w:pPr>
      <w:r>
        <w:rPr>
          <w:rFonts w:hint="eastAsia" w:ascii="宋体" w:hAnsi="宋体" w:eastAsia="宋体" w:cs="宋体"/>
          <w:b/>
          <w:bCs/>
          <w:sz w:val="112"/>
          <w:szCs w:val="192"/>
          <w:lang w:val="zh-CN"/>
        </w:rPr>
        <w:t>竞争性磋商文件</w:t>
      </w:r>
      <w:bookmarkEnd w:id="0"/>
      <w:bookmarkEnd w:id="1"/>
      <w:bookmarkEnd w:id="2"/>
    </w:p>
    <w:p w14:paraId="5F426125">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w:t>
      </w:r>
      <w:r>
        <w:rPr>
          <w:rFonts w:hint="eastAsia" w:ascii="宋体" w:hAnsi="宋体" w:eastAsia="宋体" w:cs="宋体"/>
          <w:b/>
          <w:bCs/>
          <w:sz w:val="32"/>
          <w:szCs w:val="32"/>
          <w:lang w:val="zh-CN" w:eastAsia="zh-CN"/>
        </w:rPr>
        <w:t>编号：</w:t>
      </w:r>
      <w:r>
        <w:rPr>
          <w:rFonts w:hint="eastAsia" w:ascii="宋体" w:hAnsi="宋体" w:cs="宋体"/>
          <w:b/>
          <w:bCs/>
          <w:sz w:val="32"/>
          <w:szCs w:val="32"/>
          <w:lang w:val="zh-CN" w:eastAsia="zh-CN"/>
        </w:rPr>
        <w:t>淮财磋商采购</w:t>
      </w:r>
      <w:r>
        <w:rPr>
          <w:rFonts w:hint="eastAsia" w:ascii="宋体" w:hAnsi="宋体" w:eastAsia="宋体" w:cs="宋体"/>
          <w:b/>
          <w:bCs/>
          <w:sz w:val="32"/>
          <w:szCs w:val="32"/>
          <w:lang w:val="zh-CN" w:eastAsia="zh-CN"/>
        </w:rPr>
        <w:t>-202</w:t>
      </w:r>
      <w:r>
        <w:rPr>
          <w:rFonts w:hint="eastAsia" w:ascii="宋体" w:hAnsi="宋体" w:eastAsia="宋体" w:cs="宋体"/>
          <w:b/>
          <w:bCs/>
          <w:sz w:val="32"/>
          <w:szCs w:val="32"/>
          <w:lang w:val="en-US" w:eastAsia="zh-CN"/>
        </w:rPr>
        <w:t>6</w:t>
      </w:r>
      <w:r>
        <w:rPr>
          <w:rFonts w:hint="eastAsia" w:ascii="宋体" w:hAnsi="宋体" w:eastAsia="宋体" w:cs="宋体"/>
          <w:b/>
          <w:bCs/>
          <w:sz w:val="32"/>
          <w:szCs w:val="32"/>
          <w:lang w:val="zh-CN" w:eastAsia="zh-CN"/>
        </w:rPr>
        <w:t>-</w:t>
      </w:r>
      <w:r>
        <w:rPr>
          <w:rFonts w:hint="eastAsia" w:ascii="宋体" w:hAnsi="宋体" w:cs="宋体"/>
          <w:b/>
          <w:bCs/>
          <w:sz w:val="32"/>
          <w:szCs w:val="32"/>
          <w:lang w:val="en-US" w:eastAsia="zh-CN"/>
        </w:rPr>
        <w:t>40</w:t>
      </w:r>
    </w:p>
    <w:p w14:paraId="619C61C4">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zh-CN" w:eastAsia="zh-CN"/>
        </w:rPr>
      </w:pPr>
    </w:p>
    <w:p w14:paraId="320FA928">
      <w:pPr>
        <w:widowControl w:val="0"/>
        <w:autoSpaceDE w:val="0"/>
        <w:autoSpaceDN w:val="0"/>
        <w:spacing w:after="100" w:afterLines="0"/>
        <w:ind w:firstLine="0" w:firstLineChars="0"/>
        <w:rPr>
          <w:rFonts w:hint="eastAsia" w:ascii="宋体" w:hAnsi="宋体" w:eastAsia="宋体" w:cs="宋体"/>
          <w:color w:val="auto"/>
          <w:sz w:val="24"/>
          <w:szCs w:val="24"/>
          <w:highlight w:val="none"/>
          <w:lang w:val="zh-CN" w:eastAsia="zh-CN" w:bidi="zh-CN"/>
        </w:rPr>
      </w:pPr>
    </w:p>
    <w:p w14:paraId="16AC81AA">
      <w:pPr>
        <w:widowControl w:val="0"/>
        <w:autoSpaceDE w:val="0"/>
        <w:autoSpaceDN w:val="0"/>
        <w:spacing w:after="100" w:afterLines="0"/>
        <w:ind w:firstLine="0" w:firstLineChars="0"/>
        <w:rPr>
          <w:rFonts w:hint="eastAsia" w:ascii="宋体" w:hAnsi="宋体" w:eastAsia="宋体" w:cs="宋体"/>
          <w:color w:val="auto"/>
          <w:sz w:val="24"/>
          <w:szCs w:val="24"/>
          <w:highlight w:val="none"/>
          <w:lang w:val="zh-CN" w:eastAsia="zh-CN" w:bidi="zh-CN"/>
        </w:rPr>
      </w:pPr>
    </w:p>
    <w:p w14:paraId="76A6C1C6">
      <w:pPr>
        <w:pStyle w:val="30"/>
        <w:ind w:left="0" w:leftChars="0" w:firstLine="0" w:firstLineChars="0"/>
        <w:rPr>
          <w:rFonts w:hint="eastAsia"/>
          <w:lang w:val="zh-CN" w:eastAsia="zh-CN"/>
        </w:rPr>
      </w:pPr>
      <w:bookmarkStart w:id="3" w:name="_Toc17662"/>
      <w:bookmarkStart w:id="4" w:name="_Toc20079"/>
    </w:p>
    <w:p w14:paraId="6BB8AA3B">
      <w:pPr>
        <w:bidi w:val="0"/>
        <w:rPr>
          <w:rFonts w:hint="eastAsia" w:ascii="宋体" w:hAnsi="宋体" w:eastAsia="宋体" w:cs="宋体"/>
          <w:lang w:val="zh-CN" w:eastAsia="zh-CN"/>
        </w:rPr>
      </w:pPr>
    </w:p>
    <w:p w14:paraId="6BBC44CC">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en-US" w:eastAsia="zh-CN"/>
        </w:rPr>
      </w:pPr>
      <w:bookmarkStart w:id="5" w:name="_Toc1681"/>
      <w:r>
        <w:rPr>
          <w:rFonts w:hint="eastAsia" w:ascii="宋体" w:hAnsi="宋体" w:eastAsia="宋体" w:cs="宋体"/>
          <w:b/>
          <w:bCs/>
          <w:sz w:val="32"/>
          <w:szCs w:val="32"/>
          <w:lang w:val="zh-CN" w:eastAsia="zh-CN"/>
        </w:rPr>
        <w:t>采</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eastAsia="zh-CN"/>
        </w:rPr>
        <w:t xml:space="preserve"> 购 </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eastAsia="zh-CN"/>
        </w:rPr>
        <w:t>人</w:t>
      </w:r>
      <w:r>
        <w:rPr>
          <w:rFonts w:hint="eastAsia" w:ascii="宋体" w:hAnsi="宋体" w:eastAsia="宋体" w:cs="宋体"/>
          <w:b/>
          <w:bCs/>
          <w:sz w:val="32"/>
          <w:szCs w:val="32"/>
          <w:lang w:val="zh-CN"/>
        </w:rPr>
        <w:t>：</w:t>
      </w:r>
      <w:bookmarkEnd w:id="3"/>
      <w:bookmarkEnd w:id="4"/>
      <w:bookmarkEnd w:id="5"/>
      <w:r>
        <w:rPr>
          <w:rFonts w:hint="eastAsia" w:ascii="宋体" w:hAnsi="宋体" w:cs="宋体"/>
          <w:b/>
          <w:bCs/>
          <w:sz w:val="32"/>
          <w:szCs w:val="32"/>
          <w:lang w:val="en-US" w:eastAsia="zh-CN"/>
        </w:rPr>
        <w:t xml:space="preserve">淮滨县公共交通和道路运输服务中心 </w:t>
      </w:r>
    </w:p>
    <w:p w14:paraId="0F334413">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zh-CN" w:eastAsia="zh-CN"/>
        </w:rPr>
      </w:pPr>
      <w:r>
        <w:rPr>
          <w:rFonts w:hint="eastAsia" w:ascii="宋体" w:hAnsi="宋体" w:eastAsia="宋体" w:cs="宋体"/>
          <w:b/>
          <w:bCs/>
          <w:sz w:val="32"/>
          <w:szCs w:val="32"/>
          <w:lang w:val="zh-CN" w:eastAsia="zh-CN"/>
        </w:rPr>
        <w:t>采购</w:t>
      </w:r>
      <w:r>
        <w:rPr>
          <w:rFonts w:hint="eastAsia" w:ascii="宋体" w:hAnsi="宋体" w:eastAsia="宋体" w:cs="宋体"/>
          <w:b/>
          <w:bCs/>
          <w:sz w:val="32"/>
          <w:szCs w:val="32"/>
          <w:lang w:val="zh-CN"/>
        </w:rPr>
        <w:t>代理机构：</w:t>
      </w:r>
      <w:r>
        <w:rPr>
          <w:rFonts w:hint="eastAsia" w:ascii="宋体" w:hAnsi="宋体" w:cs="宋体"/>
          <w:b/>
          <w:bCs/>
          <w:sz w:val="32"/>
          <w:szCs w:val="32"/>
          <w:lang w:val="zh-CN" w:eastAsia="zh-CN"/>
        </w:rPr>
        <w:t>河南君光工程管理咨询有限公司</w:t>
      </w:r>
    </w:p>
    <w:p w14:paraId="27A89D33">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rPr>
        <w:sectPr>
          <w:headerReference r:id="rId6" w:type="first"/>
          <w:footerReference r:id="rId8" w:type="first"/>
          <w:headerReference r:id="rId5" w:type="default"/>
          <w:footerReference r:id="rId7" w:type="default"/>
          <w:pgSz w:w="11905" w:h="16838"/>
          <w:pgMar w:top="1440" w:right="1247" w:bottom="1440" w:left="1247" w:header="850" w:footer="850" w:gutter="0"/>
          <w:pgBorders>
            <w:top w:val="none" w:sz="0" w:space="0"/>
            <w:left w:val="none" w:sz="0" w:space="0"/>
            <w:bottom w:val="none" w:sz="0" w:space="0"/>
            <w:right w:val="none" w:sz="0" w:space="0"/>
          </w:pgBorders>
          <w:pgNumType w:fmt="numberInDash"/>
          <w:cols w:space="0" w:num="1"/>
          <w:rtlGutter w:val="0"/>
          <w:docGrid w:type="lines" w:linePitch="317" w:charSpace="0"/>
        </w:sectPr>
      </w:pPr>
      <w:r>
        <w:rPr>
          <w:rFonts w:hint="eastAsia" w:ascii="宋体" w:hAnsi="宋体" w:eastAsia="宋体" w:cs="宋体"/>
          <w:b/>
          <w:bCs/>
          <w:sz w:val="32"/>
          <w:szCs w:val="32"/>
          <w:lang w:val="zh-CN"/>
        </w:rPr>
        <w:t>日</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rPr>
        <w:t>期：二</w:t>
      </w:r>
      <w:r>
        <w:rPr>
          <w:rFonts w:hint="eastAsia" w:ascii="宋体" w:hAnsi="宋体" w:cs="宋体"/>
          <w:b/>
          <w:bCs/>
          <w:sz w:val="32"/>
          <w:szCs w:val="32"/>
          <w:lang w:val="en-US" w:eastAsia="zh-CN"/>
        </w:rPr>
        <w:t>零</w:t>
      </w:r>
      <w:r>
        <w:rPr>
          <w:rFonts w:hint="eastAsia" w:ascii="宋体" w:hAnsi="宋体" w:eastAsia="宋体" w:cs="宋体"/>
          <w:b/>
          <w:bCs/>
          <w:sz w:val="32"/>
          <w:szCs w:val="32"/>
          <w:lang w:val="zh-CN"/>
        </w:rPr>
        <w:t>二</w:t>
      </w:r>
      <w:r>
        <w:rPr>
          <w:rFonts w:hint="eastAsia" w:ascii="宋体" w:hAnsi="宋体" w:eastAsia="宋体" w:cs="宋体"/>
          <w:b/>
          <w:bCs/>
          <w:sz w:val="32"/>
          <w:szCs w:val="32"/>
          <w:lang w:val="en-US" w:eastAsia="zh-CN"/>
        </w:rPr>
        <w:t>六</w:t>
      </w:r>
      <w:r>
        <w:rPr>
          <w:rFonts w:hint="eastAsia" w:ascii="宋体" w:hAnsi="宋体" w:eastAsia="宋体" w:cs="宋体"/>
          <w:b/>
          <w:bCs/>
          <w:sz w:val="32"/>
          <w:szCs w:val="32"/>
          <w:lang w:val="zh-CN"/>
        </w:rPr>
        <w:t>年</w:t>
      </w:r>
      <w:r>
        <w:rPr>
          <w:rFonts w:hint="eastAsia" w:ascii="宋体" w:hAnsi="宋体" w:cs="宋体"/>
          <w:b/>
          <w:bCs/>
          <w:sz w:val="32"/>
          <w:szCs w:val="32"/>
          <w:lang w:val="en-US" w:eastAsia="zh-CN"/>
        </w:rPr>
        <w:t>九</w:t>
      </w:r>
      <w:r>
        <w:rPr>
          <w:rFonts w:hint="eastAsia" w:ascii="宋体" w:hAnsi="宋体" w:eastAsia="宋体" w:cs="宋体"/>
          <w:b/>
          <w:bCs/>
          <w:sz w:val="32"/>
          <w:szCs w:val="32"/>
          <w:lang w:val="zh-CN" w:eastAsia="zh-CN"/>
        </w:rPr>
        <w:t>月</w:t>
      </w:r>
    </w:p>
    <w:p w14:paraId="2CD859BA">
      <w:pPr>
        <w:keepNext w:val="0"/>
        <w:keepLines w:val="0"/>
        <w:pageBreakBefore w:val="0"/>
        <w:widowControl w:val="0"/>
        <w:kinsoku/>
        <w:wordWrap/>
        <w:overflowPunct/>
        <w:topLinePunct w:val="0"/>
        <w:autoSpaceDE/>
        <w:autoSpaceDN/>
        <w:bidi w:val="0"/>
        <w:adjustRightInd w:val="0"/>
        <w:snapToGrid w:val="0"/>
        <w:spacing w:line="351" w:lineRule="auto"/>
        <w:jc w:val="center"/>
        <w:textAlignment w:val="auto"/>
        <w:rPr>
          <w:rFonts w:hint="eastAsia" w:ascii="宋体" w:hAnsi="宋体" w:eastAsia="宋体" w:cs="宋体"/>
          <w:b/>
          <w:bCs/>
          <w:sz w:val="44"/>
          <w:szCs w:val="44"/>
        </w:rPr>
      </w:pPr>
      <w:bookmarkStart w:id="6" w:name="_Toc25040"/>
      <w:r>
        <w:rPr>
          <w:rFonts w:hint="eastAsia" w:ascii="宋体" w:hAnsi="宋体" w:eastAsia="宋体" w:cs="宋体"/>
          <w:b/>
          <w:bCs/>
          <w:sz w:val="44"/>
          <w:szCs w:val="44"/>
        </w:rPr>
        <w:t>致政府采购供应商和代理机构的一封信</w:t>
      </w:r>
      <w:bookmarkEnd w:id="6"/>
    </w:p>
    <w:p w14:paraId="000971CA">
      <w:pPr>
        <w:keepNext w:val="0"/>
        <w:keepLines w:val="0"/>
        <w:pageBreakBefore w:val="0"/>
        <w:widowControl w:val="0"/>
        <w:kinsoku/>
        <w:wordWrap/>
        <w:overflowPunct/>
        <w:topLinePunct w:val="0"/>
        <w:autoSpaceDE/>
        <w:autoSpaceDN/>
        <w:bidi w:val="0"/>
        <w:adjustRightInd w:val="0"/>
        <w:snapToGrid w:val="0"/>
        <w:spacing w:line="351"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尊敬的政府采购供应商、代理机构：</w:t>
      </w:r>
    </w:p>
    <w:p w14:paraId="5F1BA33F">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您好！非常感谢您一直以来对</w:t>
      </w:r>
      <w:r>
        <w:rPr>
          <w:rFonts w:hint="eastAsia" w:ascii="宋体" w:hAnsi="宋体" w:eastAsia="宋体" w:cs="宋体"/>
          <w:sz w:val="24"/>
          <w:szCs w:val="24"/>
          <w:highlight w:val="none"/>
          <w:lang w:eastAsia="zh-CN"/>
        </w:rPr>
        <w:t>信阳市</w:t>
      </w:r>
      <w:r>
        <w:rPr>
          <w:rFonts w:hint="eastAsia" w:ascii="宋体" w:hAnsi="宋体" w:eastAsia="宋体" w:cs="宋体"/>
          <w:sz w:val="24"/>
          <w:szCs w:val="24"/>
          <w:highlight w:val="none"/>
        </w:rPr>
        <w:t>政府采购活动的关心和支持！</w:t>
      </w:r>
    </w:p>
    <w:p w14:paraId="07B464DF">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近年来，</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02FAE4D3">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sz w:val="24"/>
          <w:szCs w:val="24"/>
          <w:highlight w:val="none"/>
          <w:lang w:val="en-US" w:eastAsia="zh-CN"/>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w:t>
      </w:r>
      <w:r>
        <w:rPr>
          <w:rFonts w:hint="eastAsia" w:ascii="宋体" w:hAnsi="宋体" w:eastAsia="宋体" w:cs="宋体"/>
          <w:b w:val="0"/>
          <w:bCs w:val="0"/>
          <w:kern w:val="2"/>
          <w:sz w:val="24"/>
          <w:szCs w:val="24"/>
          <w:highlight w:val="none"/>
          <w:lang w:val="en-US" w:eastAsia="zh-CN" w:bidi="ar-SA"/>
        </w:rPr>
        <w:t>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34833D1A">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尽管做了一些工作，但我们深知，离贵公司的期望还有差距。恳请贵公司对我们的工作提出宝贵意见，并持续给予关注、支持和监督！</w:t>
      </w:r>
    </w:p>
    <w:p w14:paraId="0B2E000C">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sz w:val="24"/>
          <w:szCs w:val="24"/>
          <w:highlight w:val="none"/>
          <w:lang w:eastAsia="zh-CN"/>
        </w:rPr>
        <w:t>凡涉及信阳市政府采购领域营商环境的任何问题，贵公司均可通过专线电话03</w:t>
      </w:r>
      <w:r>
        <w:rPr>
          <w:rFonts w:hint="eastAsia" w:ascii="宋体" w:hAnsi="宋体" w:eastAsia="宋体" w:cs="宋体"/>
          <w:sz w:val="24"/>
          <w:szCs w:val="24"/>
          <w:highlight w:val="none"/>
          <w:lang w:val="en-US" w:eastAsia="zh-CN"/>
        </w:rPr>
        <w:t>76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6699123</w:t>
      </w:r>
      <w:r>
        <w:rPr>
          <w:rFonts w:hint="eastAsia" w:ascii="宋体" w:hAnsi="宋体" w:eastAsia="宋体" w:cs="宋体"/>
          <w:sz w:val="24"/>
          <w:szCs w:val="24"/>
          <w:highlight w:val="none"/>
          <w:lang w:eastAsia="zh-CN"/>
        </w:rPr>
        <w:t>、电子邮箱</w:t>
      </w:r>
      <w:r>
        <w:rPr>
          <w:rFonts w:hint="eastAsia" w:ascii="宋体" w:hAnsi="宋体" w:eastAsia="宋体" w:cs="宋体"/>
          <w:sz w:val="24"/>
          <w:szCs w:val="24"/>
          <w:highlight w:val="none"/>
          <w:lang w:val="en-US" w:eastAsia="zh-CN"/>
        </w:rPr>
        <w:t>czyszb228</w:t>
      </w:r>
      <w:r>
        <w:rPr>
          <w:rFonts w:hint="eastAsia" w:ascii="宋体" w:hAnsi="宋体" w:eastAsia="宋体" w:cs="宋体"/>
          <w:sz w:val="24"/>
          <w:szCs w:val="24"/>
          <w:highlight w:val="none"/>
          <w:lang w:eastAsia="zh-CN"/>
        </w:rPr>
        <w:t>@163.com，与信阳市财政</w:t>
      </w:r>
      <w:r>
        <w:rPr>
          <w:rFonts w:hint="eastAsia" w:ascii="宋体" w:hAnsi="宋体" w:eastAsia="宋体" w:cs="宋体"/>
          <w:b w:val="0"/>
          <w:bCs w:val="0"/>
          <w:kern w:val="2"/>
          <w:sz w:val="24"/>
          <w:szCs w:val="24"/>
          <w:highlight w:val="none"/>
          <w:lang w:val="en-US" w:eastAsia="zh-CN" w:bidi="ar-SA"/>
        </w:rPr>
        <w:t>局优化营商环境办公室</w:t>
      </w:r>
      <w:r>
        <w:rPr>
          <w:rFonts w:hint="eastAsia" w:ascii="宋体" w:hAnsi="宋体" w:eastAsia="宋体" w:cs="宋体"/>
          <w:sz w:val="24"/>
          <w:szCs w:val="24"/>
          <w:highlight w:val="none"/>
          <w:lang w:eastAsia="zh-CN"/>
        </w:rPr>
        <w:t>随时沟通交流</w:t>
      </w:r>
      <w:r>
        <w:rPr>
          <w:rFonts w:hint="eastAsia" w:ascii="宋体" w:hAnsi="宋体" w:eastAsia="宋体" w:cs="宋体"/>
          <w:b w:val="0"/>
          <w:bCs w:val="0"/>
          <w:kern w:val="2"/>
          <w:sz w:val="24"/>
          <w:szCs w:val="24"/>
          <w:highlight w:val="none"/>
          <w:lang w:val="en-US" w:eastAsia="zh-CN" w:bidi="ar-SA"/>
        </w:rPr>
        <w:t>，我们将竭诚为各位供应商服务，全力解决贵公司遇到的困难。</w:t>
      </w:r>
    </w:p>
    <w:p w14:paraId="76FF823F">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再次感谢贵公司对</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市政府采购工作的关心和支持！</w:t>
      </w:r>
    </w:p>
    <w:p w14:paraId="5A28354A">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right"/>
        <w:textAlignment w:val="auto"/>
        <w:rPr>
          <w:rFonts w:hint="eastAsia" w:ascii="宋体" w:hAnsi="宋体" w:eastAsia="宋体" w:cs="宋体"/>
          <w:b/>
          <w:sz w:val="36"/>
          <w:szCs w:val="36"/>
          <w:highlight w:val="none"/>
        </w:rPr>
        <w:sectPr>
          <w:footerReference r:id="rId11" w:type="first"/>
          <w:headerReference r:id="rId9" w:type="default"/>
          <w:footerReference r:id="rId10" w:type="default"/>
          <w:pgSz w:w="11905" w:h="16838"/>
          <w:pgMar w:top="1440" w:right="1247" w:bottom="1440" w:left="1247" w:header="850" w:footer="850" w:gutter="0"/>
          <w:pgNumType w:fmt="numberInDash" w:start="1"/>
          <w:cols w:space="0" w:num="1"/>
          <w:rtlGutter w:val="0"/>
          <w:docGrid w:type="lines" w:linePitch="317" w:charSpace="0"/>
        </w:sectPr>
      </w:pPr>
      <w:r>
        <w:rPr>
          <w:rFonts w:hint="eastAsia" w:ascii="宋体" w:hAnsi="宋体" w:eastAsia="宋体" w:cs="宋体"/>
          <w:sz w:val="24"/>
          <w:szCs w:val="24"/>
          <w:highlight w:val="none"/>
          <w:lang w:eastAsia="zh-CN"/>
        </w:rPr>
        <w:t>信阳市财政局</w:t>
      </w:r>
    </w:p>
    <w:sdt>
      <w:sdtPr>
        <w:rPr>
          <w:rFonts w:hint="eastAsia" w:ascii="宋体" w:hAnsi="宋体" w:eastAsia="宋体" w:cs="宋体"/>
          <w:b/>
          <w:bCs/>
          <w:kern w:val="2"/>
          <w:sz w:val="28"/>
          <w:szCs w:val="28"/>
          <w:lang w:val="en-US" w:eastAsia="zh-CN" w:bidi="ar-SA"/>
        </w:rPr>
        <w:id w:val="147480404"/>
        <w15:color w:val="DBDBDB"/>
        <w:docPartObj>
          <w:docPartGallery w:val="Table of Contents"/>
          <w:docPartUnique/>
        </w:docPartObj>
      </w:sdtPr>
      <w:sdtEndPr>
        <w:rPr>
          <w:rFonts w:hint="eastAsia" w:ascii="宋体" w:hAnsi="宋体" w:eastAsia="宋体" w:cs="宋体"/>
          <w:b/>
          <w:bCs/>
          <w:color w:val="auto"/>
          <w:kern w:val="0"/>
          <w:sz w:val="20"/>
          <w:szCs w:val="24"/>
          <w:highlight w:val="none"/>
          <w:lang w:val="en-US" w:eastAsia="zh-CN" w:bidi="ar-SA"/>
        </w:rPr>
      </w:sdtEndPr>
      <w:sdtContent>
        <w:p w14:paraId="602846E2">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rPr>
          </w:pPr>
          <w:r>
            <w:rPr>
              <w:rFonts w:hint="eastAsia" w:ascii="宋体" w:hAnsi="宋体" w:eastAsia="宋体" w:cs="宋体"/>
              <w:b/>
              <w:bCs/>
              <w:sz w:val="28"/>
              <w:szCs w:val="28"/>
            </w:rPr>
            <w:t>目录</w:t>
          </w:r>
        </w:p>
        <w:p w14:paraId="69111820">
          <w:pPr>
            <w:pStyle w:val="24"/>
            <w:tabs>
              <w:tab w:val="right" w:leader="dot" w:pos="9411"/>
            </w:tabs>
            <w:rPr>
              <w:b/>
              <w:bCs/>
            </w:rPr>
          </w:pPr>
          <w:r>
            <w:rPr>
              <w:rFonts w:hint="eastAsia" w:ascii="宋体" w:hAnsi="宋体" w:eastAsia="宋体" w:cs="宋体"/>
              <w:color w:val="auto"/>
              <w:kern w:val="0"/>
              <w:sz w:val="28"/>
              <w:szCs w:val="28"/>
              <w:highlight w:val="none"/>
              <w:lang w:val="en-US" w:eastAsia="zh-CN" w:bidi="ar-SA"/>
            </w:rPr>
            <w:fldChar w:fldCharType="begin"/>
          </w:r>
          <w:r>
            <w:rPr>
              <w:rFonts w:hint="eastAsia" w:ascii="宋体" w:hAnsi="宋体" w:eastAsia="宋体" w:cs="宋体"/>
              <w:color w:val="auto"/>
              <w:kern w:val="0"/>
              <w:sz w:val="28"/>
              <w:szCs w:val="28"/>
              <w:highlight w:val="none"/>
              <w:lang w:val="en-US" w:eastAsia="zh-CN" w:bidi="ar-SA"/>
            </w:rPr>
            <w:instrText xml:space="preserve">TOC \o "1-2" \h \u </w:instrText>
          </w:r>
          <w:r>
            <w:rPr>
              <w:rFonts w:hint="eastAsia" w:ascii="宋体" w:hAnsi="宋体" w:eastAsia="宋体" w:cs="宋体"/>
              <w:color w:val="auto"/>
              <w:kern w:val="0"/>
              <w:sz w:val="28"/>
              <w:szCs w:val="28"/>
              <w:highlight w:val="none"/>
              <w:lang w:val="en-US" w:eastAsia="zh-CN" w:bidi="ar-SA"/>
            </w:rPr>
            <w:fldChar w:fldCharType="separate"/>
          </w: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_Toc22283 </w:instrText>
          </w:r>
          <w:r>
            <w:rPr>
              <w:rFonts w:hint="eastAsia" w:ascii="宋体" w:hAnsi="宋体" w:eastAsia="宋体" w:cs="宋体"/>
              <w:b/>
              <w:bCs/>
              <w:kern w:val="0"/>
              <w:szCs w:val="28"/>
              <w:highlight w:val="none"/>
              <w:lang w:val="en-US" w:eastAsia="zh-CN" w:bidi="ar-SA"/>
            </w:rPr>
            <w:fldChar w:fldCharType="separate"/>
          </w:r>
          <w:r>
            <w:rPr>
              <w:rFonts w:hint="eastAsia" w:ascii="宋体" w:hAnsi="宋体" w:eastAsia="宋体" w:cs="宋体"/>
              <w:b/>
              <w:bCs/>
            </w:rPr>
            <w:t>电子招投标特别提示</w:t>
          </w:r>
          <w:r>
            <w:rPr>
              <w:b/>
              <w:bCs/>
            </w:rPr>
            <w:tab/>
          </w:r>
          <w:r>
            <w:rPr>
              <w:b/>
              <w:bCs/>
            </w:rPr>
            <w:fldChar w:fldCharType="begin"/>
          </w:r>
          <w:r>
            <w:rPr>
              <w:b/>
              <w:bCs/>
            </w:rPr>
            <w:instrText xml:space="preserve"> PAGEREF _Toc22283 \h </w:instrText>
          </w:r>
          <w:r>
            <w:rPr>
              <w:b/>
              <w:bCs/>
            </w:rPr>
            <w:fldChar w:fldCharType="separate"/>
          </w:r>
          <w:r>
            <w:rPr>
              <w:b/>
              <w:bCs/>
            </w:rPr>
            <w:t>1</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56E5572">
          <w:pPr>
            <w:pStyle w:val="24"/>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_Toc25731 </w:instrText>
          </w:r>
          <w:r>
            <w:rPr>
              <w:rFonts w:hint="eastAsia" w:ascii="宋体" w:hAnsi="宋体" w:eastAsia="宋体" w:cs="宋体"/>
              <w:b/>
              <w:bCs/>
              <w:kern w:val="0"/>
              <w:szCs w:val="28"/>
              <w:highlight w:val="none"/>
              <w:lang w:val="en-US" w:eastAsia="zh-CN" w:bidi="ar-SA"/>
            </w:rPr>
            <w:fldChar w:fldCharType="separate"/>
          </w:r>
          <w:r>
            <w:rPr>
              <w:rFonts w:hint="eastAsia"/>
              <w:b/>
              <w:bCs/>
            </w:rPr>
            <w:t xml:space="preserve">第一章 </w:t>
          </w:r>
          <w:r>
            <w:rPr>
              <w:rFonts w:hint="eastAsia"/>
              <w:b/>
              <w:bCs/>
              <w:lang w:eastAsia="zh-CN"/>
            </w:rPr>
            <w:t>竞争性</w:t>
          </w:r>
          <w:r>
            <w:rPr>
              <w:rFonts w:hint="eastAsia"/>
              <w:b/>
              <w:bCs/>
            </w:rPr>
            <w:t>磋商公告</w:t>
          </w:r>
          <w:r>
            <w:rPr>
              <w:b/>
              <w:bCs/>
            </w:rPr>
            <w:tab/>
          </w:r>
          <w:r>
            <w:rPr>
              <w:b/>
              <w:bCs/>
            </w:rPr>
            <w:fldChar w:fldCharType="begin"/>
          </w:r>
          <w:r>
            <w:rPr>
              <w:b/>
              <w:bCs/>
            </w:rPr>
            <w:instrText xml:space="preserve"> PAGEREF _Toc25731 \h </w:instrText>
          </w:r>
          <w:r>
            <w:rPr>
              <w:b/>
              <w:bCs/>
            </w:rPr>
            <w:fldChar w:fldCharType="separate"/>
          </w:r>
          <w:r>
            <w:rPr>
              <w:b/>
              <w:bCs/>
            </w:rPr>
            <w:t>1</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BE91AAD">
          <w:pPr>
            <w:pStyle w:val="24"/>
            <w:tabs>
              <w:tab w:val="right" w:leader="dot" w:pos="9411"/>
            </w:tabs>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_Toc20118 </w:instrText>
          </w:r>
          <w:r>
            <w:rPr>
              <w:rFonts w:hint="eastAsia" w:ascii="宋体" w:hAnsi="宋体" w:eastAsia="宋体" w:cs="宋体"/>
              <w:b/>
              <w:bCs/>
              <w:kern w:val="0"/>
              <w:szCs w:val="28"/>
              <w:highlight w:val="none"/>
              <w:lang w:val="en-US" w:eastAsia="zh-CN" w:bidi="ar-SA"/>
            </w:rPr>
            <w:fldChar w:fldCharType="separate"/>
          </w:r>
          <w:r>
            <w:rPr>
              <w:rFonts w:hint="eastAsia"/>
              <w:b/>
              <w:bCs/>
              <w:lang w:val="en-US" w:eastAsia="zh-CN"/>
            </w:rPr>
            <w:t>第二章 供应商须知</w:t>
          </w:r>
          <w:r>
            <w:rPr>
              <w:b/>
              <w:bCs/>
            </w:rPr>
            <w:tab/>
          </w:r>
          <w:r>
            <w:rPr>
              <w:b/>
              <w:bCs/>
            </w:rPr>
            <w:fldChar w:fldCharType="begin"/>
          </w:r>
          <w:r>
            <w:rPr>
              <w:b/>
              <w:bCs/>
            </w:rPr>
            <w:instrText xml:space="preserve"> PAGEREF _Toc20118 \h </w:instrText>
          </w:r>
          <w:r>
            <w:rPr>
              <w:b/>
              <w:bCs/>
            </w:rPr>
            <w:fldChar w:fldCharType="separate"/>
          </w:r>
          <w:r>
            <w:rPr>
              <w:b/>
              <w:bCs/>
            </w:rPr>
            <w:t>6</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31416D11">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_Toc23324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highlight w:val="none"/>
            </w:rPr>
            <w:t>供应商须知前附表</w:t>
          </w:r>
          <w:r>
            <w:tab/>
          </w:r>
          <w:r>
            <w:fldChar w:fldCharType="begin"/>
          </w:r>
          <w:r>
            <w:instrText xml:space="preserve"> PAGEREF _Toc23324 \h </w:instrText>
          </w:r>
          <w:r>
            <w:fldChar w:fldCharType="separate"/>
          </w:r>
          <w:r>
            <w:t>6</w:t>
          </w:r>
          <w:r>
            <w:fldChar w:fldCharType="end"/>
          </w:r>
          <w:r>
            <w:rPr>
              <w:rFonts w:hint="eastAsia" w:ascii="宋体" w:hAnsi="宋体" w:eastAsia="宋体" w:cs="宋体"/>
              <w:color w:val="auto"/>
              <w:kern w:val="0"/>
              <w:szCs w:val="28"/>
              <w:highlight w:val="none"/>
              <w:lang w:val="en-US" w:eastAsia="zh-CN" w:bidi="ar-SA"/>
            </w:rPr>
            <w:fldChar w:fldCharType="end"/>
          </w:r>
        </w:p>
        <w:p w14:paraId="207F5728">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_Toc3770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szCs w:val="22"/>
            </w:rPr>
            <w:t>河南省政府采购合同融资政策告知函</w:t>
          </w:r>
          <w:r>
            <w:tab/>
          </w:r>
          <w:r>
            <w:fldChar w:fldCharType="begin"/>
          </w:r>
          <w:r>
            <w:instrText xml:space="preserve"> PAGEREF _Toc3770 \h </w:instrText>
          </w:r>
          <w:r>
            <w:fldChar w:fldCharType="separate"/>
          </w:r>
          <w:r>
            <w:t>54</w:t>
          </w:r>
          <w:r>
            <w:fldChar w:fldCharType="end"/>
          </w:r>
          <w:r>
            <w:rPr>
              <w:rFonts w:hint="eastAsia" w:ascii="宋体" w:hAnsi="宋体" w:eastAsia="宋体" w:cs="宋体"/>
              <w:color w:val="auto"/>
              <w:kern w:val="0"/>
              <w:szCs w:val="28"/>
              <w:highlight w:val="none"/>
              <w:lang w:val="en-US" w:eastAsia="zh-CN" w:bidi="ar-SA"/>
            </w:rPr>
            <w:fldChar w:fldCharType="end"/>
          </w:r>
        </w:p>
        <w:p w14:paraId="7ACFEF6B">
          <w:pPr>
            <w:pStyle w:val="24"/>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_Toc31741 </w:instrText>
          </w:r>
          <w:r>
            <w:rPr>
              <w:rFonts w:hint="eastAsia" w:ascii="宋体" w:hAnsi="宋体" w:eastAsia="宋体" w:cs="宋体"/>
              <w:b/>
              <w:bCs/>
              <w:kern w:val="0"/>
              <w:szCs w:val="28"/>
              <w:highlight w:val="none"/>
              <w:lang w:val="en-US" w:eastAsia="zh-CN" w:bidi="ar-SA"/>
            </w:rPr>
            <w:fldChar w:fldCharType="separate"/>
          </w:r>
          <w:r>
            <w:rPr>
              <w:rFonts w:hint="eastAsia"/>
              <w:b/>
              <w:bCs/>
            </w:rPr>
            <w:t>第三章 评审办法（综合评分法）</w:t>
          </w:r>
          <w:r>
            <w:rPr>
              <w:b/>
              <w:bCs/>
            </w:rPr>
            <w:tab/>
          </w:r>
          <w:r>
            <w:rPr>
              <w:b/>
              <w:bCs/>
            </w:rPr>
            <w:fldChar w:fldCharType="begin"/>
          </w:r>
          <w:r>
            <w:rPr>
              <w:b/>
              <w:bCs/>
            </w:rPr>
            <w:instrText xml:space="preserve"> PAGEREF _Toc31741 \h </w:instrText>
          </w:r>
          <w:r>
            <w:rPr>
              <w:b/>
              <w:bCs/>
            </w:rPr>
            <w:fldChar w:fldCharType="separate"/>
          </w:r>
          <w:r>
            <w:rPr>
              <w:b/>
              <w:bCs/>
            </w:rPr>
            <w:t>20</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E6E8D3E">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_Toc8400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val="0"/>
              <w:highlight w:val="none"/>
            </w:rPr>
            <w:t>评审办法前附表</w:t>
          </w:r>
          <w:r>
            <w:tab/>
          </w:r>
          <w:r>
            <w:fldChar w:fldCharType="begin"/>
          </w:r>
          <w:r>
            <w:instrText xml:space="preserve"> PAGEREF _Toc8400 \h </w:instrText>
          </w:r>
          <w:r>
            <w:fldChar w:fldCharType="separate"/>
          </w:r>
          <w:r>
            <w:t>20</w:t>
          </w:r>
          <w:r>
            <w:fldChar w:fldCharType="end"/>
          </w:r>
          <w:r>
            <w:rPr>
              <w:rFonts w:hint="eastAsia" w:ascii="宋体" w:hAnsi="宋体" w:eastAsia="宋体" w:cs="宋体"/>
              <w:color w:val="auto"/>
              <w:kern w:val="0"/>
              <w:szCs w:val="28"/>
              <w:highlight w:val="none"/>
              <w:lang w:val="en-US" w:eastAsia="zh-CN" w:bidi="ar-SA"/>
            </w:rPr>
            <w:fldChar w:fldCharType="end"/>
          </w:r>
        </w:p>
        <w:p w14:paraId="358DBA15">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_Toc7606 </w:instrText>
          </w:r>
          <w:r>
            <w:rPr>
              <w:rFonts w:hint="eastAsia" w:ascii="宋体" w:hAnsi="宋体" w:eastAsia="宋体" w:cs="宋体"/>
              <w:kern w:val="0"/>
              <w:szCs w:val="28"/>
              <w:highlight w:val="none"/>
              <w:lang w:val="en-US" w:eastAsia="zh-CN" w:bidi="ar-SA"/>
            </w:rPr>
            <w:fldChar w:fldCharType="separate"/>
          </w:r>
          <w:r>
            <w:rPr>
              <w:rFonts w:hint="eastAsia"/>
            </w:rPr>
            <w:t>废标条件</w:t>
          </w:r>
          <w:r>
            <w:tab/>
          </w:r>
          <w:r>
            <w:fldChar w:fldCharType="begin"/>
          </w:r>
          <w:r>
            <w:instrText xml:space="preserve"> PAGEREF _Toc7606 \h </w:instrText>
          </w:r>
          <w:r>
            <w:fldChar w:fldCharType="separate"/>
          </w:r>
          <w:r>
            <w:t>28</w:t>
          </w:r>
          <w:r>
            <w:fldChar w:fldCharType="end"/>
          </w:r>
          <w:r>
            <w:rPr>
              <w:rFonts w:hint="eastAsia" w:ascii="宋体" w:hAnsi="宋体" w:eastAsia="宋体" w:cs="宋体"/>
              <w:color w:val="auto"/>
              <w:kern w:val="0"/>
              <w:szCs w:val="28"/>
              <w:highlight w:val="none"/>
              <w:lang w:val="en-US" w:eastAsia="zh-CN" w:bidi="ar-SA"/>
            </w:rPr>
            <w:fldChar w:fldCharType="end"/>
          </w:r>
        </w:p>
        <w:p w14:paraId="66DD070B">
          <w:pPr>
            <w:pStyle w:val="24"/>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_Toc4434 </w:instrText>
          </w:r>
          <w:r>
            <w:rPr>
              <w:rFonts w:hint="eastAsia" w:ascii="宋体" w:hAnsi="宋体" w:eastAsia="宋体" w:cs="宋体"/>
              <w:b/>
              <w:bCs/>
              <w:kern w:val="0"/>
              <w:szCs w:val="28"/>
              <w:highlight w:val="none"/>
              <w:lang w:val="en-US" w:eastAsia="zh-CN" w:bidi="ar-SA"/>
            </w:rPr>
            <w:fldChar w:fldCharType="separate"/>
          </w:r>
          <w:r>
            <w:rPr>
              <w:rFonts w:hint="eastAsia"/>
              <w:b/>
              <w:bCs/>
              <w:lang w:val="en-US" w:eastAsia="zh-CN"/>
            </w:rPr>
            <w:t xml:space="preserve">第四章 </w:t>
          </w:r>
          <w:r>
            <w:rPr>
              <w:rFonts w:hint="eastAsia"/>
              <w:b/>
              <w:bCs/>
            </w:rPr>
            <w:t>合同文本</w:t>
          </w:r>
          <w:r>
            <w:rPr>
              <w:rFonts w:hint="eastAsia"/>
              <w:b/>
              <w:bCs/>
              <w:lang w:eastAsia="zh-CN"/>
            </w:rPr>
            <w:t>（仅供参考）</w:t>
          </w:r>
          <w:r>
            <w:rPr>
              <w:b/>
              <w:bCs/>
            </w:rPr>
            <w:tab/>
          </w:r>
          <w:r>
            <w:rPr>
              <w:b/>
              <w:bCs/>
            </w:rPr>
            <w:fldChar w:fldCharType="begin"/>
          </w:r>
          <w:r>
            <w:rPr>
              <w:b/>
              <w:bCs/>
            </w:rPr>
            <w:instrText xml:space="preserve"> PAGEREF _Toc4434 \h </w:instrText>
          </w:r>
          <w:r>
            <w:rPr>
              <w:b/>
              <w:bCs/>
            </w:rPr>
            <w:fldChar w:fldCharType="separate"/>
          </w:r>
          <w:r>
            <w:rPr>
              <w:b/>
              <w:bCs/>
            </w:rPr>
            <w:t>29</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321EBAB2">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_Toc12867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第一部分 合同协议书</w:t>
          </w:r>
          <w:r>
            <w:tab/>
          </w:r>
          <w:r>
            <w:fldChar w:fldCharType="begin"/>
          </w:r>
          <w:r>
            <w:instrText xml:space="preserve"> PAGEREF _Toc12867 \h </w:instrText>
          </w:r>
          <w:r>
            <w:fldChar w:fldCharType="separate"/>
          </w:r>
          <w:r>
            <w:t>30</w:t>
          </w:r>
          <w:r>
            <w:fldChar w:fldCharType="end"/>
          </w:r>
          <w:r>
            <w:rPr>
              <w:rFonts w:hint="eastAsia" w:ascii="宋体" w:hAnsi="宋体" w:eastAsia="宋体" w:cs="宋体"/>
              <w:color w:val="auto"/>
              <w:kern w:val="0"/>
              <w:szCs w:val="28"/>
              <w:highlight w:val="none"/>
              <w:lang w:val="en-US" w:eastAsia="zh-CN" w:bidi="ar-SA"/>
            </w:rPr>
            <w:fldChar w:fldCharType="end"/>
          </w:r>
        </w:p>
        <w:p w14:paraId="6FA1CC7B">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_Toc27669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第二节 通用合同条款</w:t>
          </w:r>
          <w:r>
            <w:tab/>
          </w:r>
          <w:r>
            <w:fldChar w:fldCharType="begin"/>
          </w:r>
          <w:r>
            <w:instrText xml:space="preserve"> PAGEREF _Toc27669 \h </w:instrText>
          </w:r>
          <w:r>
            <w:fldChar w:fldCharType="separate"/>
          </w:r>
          <w:r>
            <w:t>32</w:t>
          </w:r>
          <w:r>
            <w:fldChar w:fldCharType="end"/>
          </w:r>
          <w:r>
            <w:rPr>
              <w:rFonts w:hint="eastAsia" w:ascii="宋体" w:hAnsi="宋体" w:eastAsia="宋体" w:cs="宋体"/>
              <w:color w:val="auto"/>
              <w:kern w:val="0"/>
              <w:szCs w:val="28"/>
              <w:highlight w:val="none"/>
              <w:lang w:val="en-US" w:eastAsia="zh-CN" w:bidi="ar-SA"/>
            </w:rPr>
            <w:fldChar w:fldCharType="end"/>
          </w:r>
        </w:p>
        <w:p w14:paraId="285C8D07">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_Toc30941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第三部分 专用合同条款</w:t>
          </w:r>
          <w:r>
            <w:tab/>
          </w:r>
          <w:r>
            <w:fldChar w:fldCharType="begin"/>
          </w:r>
          <w:r>
            <w:instrText xml:space="preserve"> PAGEREF _Toc30941 \h </w:instrText>
          </w:r>
          <w:r>
            <w:fldChar w:fldCharType="separate"/>
          </w:r>
          <w:r>
            <w:t>32</w:t>
          </w:r>
          <w:r>
            <w:fldChar w:fldCharType="end"/>
          </w:r>
          <w:r>
            <w:rPr>
              <w:rFonts w:hint="eastAsia" w:ascii="宋体" w:hAnsi="宋体" w:eastAsia="宋体" w:cs="宋体"/>
              <w:color w:val="auto"/>
              <w:kern w:val="0"/>
              <w:szCs w:val="28"/>
              <w:highlight w:val="none"/>
              <w:lang w:val="en-US" w:eastAsia="zh-CN" w:bidi="ar-SA"/>
            </w:rPr>
            <w:fldChar w:fldCharType="end"/>
          </w:r>
        </w:p>
        <w:p w14:paraId="0274421E">
          <w:pPr>
            <w:pStyle w:val="24"/>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_Toc13118 </w:instrText>
          </w:r>
          <w:r>
            <w:rPr>
              <w:rFonts w:hint="eastAsia" w:ascii="宋体" w:hAnsi="宋体" w:eastAsia="宋体" w:cs="宋体"/>
              <w:b/>
              <w:bCs/>
              <w:kern w:val="0"/>
              <w:szCs w:val="28"/>
              <w:highlight w:val="none"/>
              <w:lang w:val="en-US" w:eastAsia="zh-CN" w:bidi="ar-SA"/>
            </w:rPr>
            <w:fldChar w:fldCharType="separate"/>
          </w:r>
          <w:r>
            <w:rPr>
              <w:rFonts w:hint="eastAsia"/>
              <w:b/>
              <w:bCs/>
              <w:lang w:eastAsia="zh-CN"/>
            </w:rPr>
            <w:t>第五章</w:t>
          </w:r>
          <w:r>
            <w:rPr>
              <w:rFonts w:hint="eastAsia"/>
              <w:b/>
              <w:bCs/>
              <w:lang w:val="en-US" w:eastAsia="zh-CN"/>
            </w:rPr>
            <w:t xml:space="preserve"> </w:t>
          </w:r>
          <w:r>
            <w:rPr>
              <w:rFonts w:hint="eastAsia"/>
              <w:b/>
              <w:bCs/>
            </w:rPr>
            <w:t>工程量清单</w:t>
          </w:r>
          <w:r>
            <w:rPr>
              <w:b/>
              <w:bCs/>
            </w:rPr>
            <w:tab/>
          </w:r>
          <w:r>
            <w:rPr>
              <w:b/>
              <w:bCs/>
            </w:rPr>
            <w:fldChar w:fldCharType="begin"/>
          </w:r>
          <w:r>
            <w:rPr>
              <w:b/>
              <w:bCs/>
            </w:rPr>
            <w:instrText xml:space="preserve"> PAGEREF _Toc13118 \h </w:instrText>
          </w:r>
          <w:r>
            <w:rPr>
              <w:b/>
              <w:bCs/>
            </w:rPr>
            <w:fldChar w:fldCharType="separate"/>
          </w:r>
          <w:r>
            <w:rPr>
              <w:b/>
              <w:bCs/>
            </w:rPr>
            <w:t>33</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2B7F9EAB">
          <w:pPr>
            <w:pStyle w:val="24"/>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_Toc29599 </w:instrText>
          </w:r>
          <w:r>
            <w:rPr>
              <w:rFonts w:hint="eastAsia" w:ascii="宋体" w:hAnsi="宋体" w:eastAsia="宋体" w:cs="宋体"/>
              <w:b/>
              <w:bCs/>
              <w:kern w:val="0"/>
              <w:szCs w:val="28"/>
              <w:highlight w:val="none"/>
              <w:lang w:val="en-US" w:eastAsia="zh-CN" w:bidi="ar-SA"/>
            </w:rPr>
            <w:fldChar w:fldCharType="separate"/>
          </w:r>
          <w:r>
            <w:rPr>
              <w:rFonts w:hint="eastAsia"/>
              <w:b/>
              <w:bCs/>
              <w:lang w:eastAsia="zh-CN"/>
            </w:rPr>
            <w:t>第六章 竞争性磋商响应文件格式</w:t>
          </w:r>
          <w:r>
            <w:rPr>
              <w:b/>
              <w:bCs/>
            </w:rPr>
            <w:tab/>
          </w:r>
          <w:r>
            <w:rPr>
              <w:b/>
              <w:bCs/>
            </w:rPr>
            <w:fldChar w:fldCharType="begin"/>
          </w:r>
          <w:r>
            <w:rPr>
              <w:b/>
              <w:bCs/>
            </w:rPr>
            <w:instrText xml:space="preserve"> PAGEREF _Toc29599 \h </w:instrText>
          </w:r>
          <w:r>
            <w:rPr>
              <w:b/>
              <w:bCs/>
            </w:rPr>
            <w:fldChar w:fldCharType="separate"/>
          </w:r>
          <w:r>
            <w:rPr>
              <w:b/>
              <w:bCs/>
            </w:rPr>
            <w:t>34</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3ABEEC8E">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_Toc28379 </w:instrText>
          </w:r>
          <w:r>
            <w:rPr>
              <w:rFonts w:hint="eastAsia" w:ascii="宋体" w:hAnsi="宋体" w:eastAsia="宋体" w:cs="宋体"/>
              <w:kern w:val="0"/>
              <w:szCs w:val="28"/>
              <w:highlight w:val="none"/>
              <w:lang w:val="en-US" w:eastAsia="zh-CN" w:bidi="ar-SA"/>
            </w:rPr>
            <w:fldChar w:fldCharType="separate"/>
          </w:r>
          <w:r>
            <w:rPr>
              <w:rFonts w:hint="eastAsia"/>
              <w:lang w:val="zh-CN" w:eastAsia="zh-CN"/>
            </w:rPr>
            <w:t>一、</w:t>
          </w:r>
          <w:r>
            <w:rPr>
              <w:rFonts w:hint="eastAsia"/>
            </w:rPr>
            <w:t>磋商函及磋商函附录</w:t>
          </w:r>
          <w:r>
            <w:tab/>
          </w:r>
          <w:r>
            <w:fldChar w:fldCharType="begin"/>
          </w:r>
          <w:r>
            <w:instrText xml:space="preserve"> PAGEREF _Toc28379 \h </w:instrText>
          </w:r>
          <w:r>
            <w:fldChar w:fldCharType="separate"/>
          </w:r>
          <w:r>
            <w:t>36</w:t>
          </w:r>
          <w:r>
            <w:fldChar w:fldCharType="end"/>
          </w:r>
          <w:r>
            <w:rPr>
              <w:rFonts w:hint="eastAsia" w:ascii="宋体" w:hAnsi="宋体" w:eastAsia="宋体" w:cs="宋体"/>
              <w:color w:val="auto"/>
              <w:kern w:val="0"/>
              <w:szCs w:val="28"/>
              <w:highlight w:val="none"/>
              <w:lang w:val="en-US" w:eastAsia="zh-CN" w:bidi="ar-SA"/>
            </w:rPr>
            <w:fldChar w:fldCharType="end"/>
          </w:r>
        </w:p>
        <w:p w14:paraId="7C430B35">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_Toc26428 </w:instrText>
          </w:r>
          <w:r>
            <w:rPr>
              <w:rFonts w:hint="eastAsia" w:ascii="宋体" w:hAnsi="宋体" w:eastAsia="宋体" w:cs="宋体"/>
              <w:kern w:val="0"/>
              <w:szCs w:val="28"/>
              <w:highlight w:val="none"/>
              <w:lang w:val="en-US" w:eastAsia="zh-CN" w:bidi="ar-SA"/>
            </w:rPr>
            <w:fldChar w:fldCharType="separate"/>
          </w:r>
          <w:r>
            <w:rPr>
              <w:rFonts w:hint="eastAsia"/>
              <w:lang w:val="zh-CN" w:eastAsia="zh-CN"/>
            </w:rPr>
            <w:t>二、法定代表人（单位负责人）身份证明</w:t>
          </w:r>
          <w:r>
            <w:tab/>
          </w:r>
          <w:r>
            <w:fldChar w:fldCharType="begin"/>
          </w:r>
          <w:r>
            <w:instrText xml:space="preserve"> PAGEREF _Toc26428 \h </w:instrText>
          </w:r>
          <w:r>
            <w:fldChar w:fldCharType="separate"/>
          </w:r>
          <w:r>
            <w:t>38</w:t>
          </w:r>
          <w:r>
            <w:fldChar w:fldCharType="end"/>
          </w:r>
          <w:r>
            <w:rPr>
              <w:rFonts w:hint="eastAsia" w:ascii="宋体" w:hAnsi="宋体" w:eastAsia="宋体" w:cs="宋体"/>
              <w:color w:val="auto"/>
              <w:kern w:val="0"/>
              <w:szCs w:val="28"/>
              <w:highlight w:val="none"/>
              <w:lang w:val="en-US" w:eastAsia="zh-CN" w:bidi="ar-SA"/>
            </w:rPr>
            <w:fldChar w:fldCharType="end"/>
          </w:r>
        </w:p>
        <w:p w14:paraId="027049C7">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_Toc7495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三</w:t>
          </w:r>
          <w:r>
            <w:rPr>
              <w:rFonts w:hint="eastAsia"/>
              <w:lang w:val="zh-CN" w:eastAsia="zh-CN"/>
            </w:rPr>
            <w:t>、法定代表人授权书</w:t>
          </w:r>
          <w:r>
            <w:tab/>
          </w:r>
          <w:r>
            <w:fldChar w:fldCharType="begin"/>
          </w:r>
          <w:r>
            <w:instrText xml:space="preserve"> PAGEREF _Toc7495 \h </w:instrText>
          </w:r>
          <w:r>
            <w:fldChar w:fldCharType="separate"/>
          </w:r>
          <w:r>
            <w:t>39</w:t>
          </w:r>
          <w:r>
            <w:fldChar w:fldCharType="end"/>
          </w:r>
          <w:r>
            <w:rPr>
              <w:rFonts w:hint="eastAsia" w:ascii="宋体" w:hAnsi="宋体" w:eastAsia="宋体" w:cs="宋体"/>
              <w:color w:val="auto"/>
              <w:kern w:val="0"/>
              <w:szCs w:val="28"/>
              <w:highlight w:val="none"/>
              <w:lang w:val="en-US" w:eastAsia="zh-CN" w:bidi="ar-SA"/>
            </w:rPr>
            <w:fldChar w:fldCharType="end"/>
          </w:r>
        </w:p>
        <w:p w14:paraId="4358C7DF">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_Toc7631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四、已标价工程量清单</w:t>
          </w:r>
          <w:r>
            <w:tab/>
          </w:r>
          <w:r>
            <w:fldChar w:fldCharType="begin"/>
          </w:r>
          <w:r>
            <w:instrText xml:space="preserve"> PAGEREF _Toc7631 \h </w:instrText>
          </w:r>
          <w:r>
            <w:fldChar w:fldCharType="separate"/>
          </w:r>
          <w:r>
            <w:t>40</w:t>
          </w:r>
          <w:r>
            <w:fldChar w:fldCharType="end"/>
          </w:r>
          <w:r>
            <w:rPr>
              <w:rFonts w:hint="eastAsia" w:ascii="宋体" w:hAnsi="宋体" w:eastAsia="宋体" w:cs="宋体"/>
              <w:color w:val="auto"/>
              <w:kern w:val="0"/>
              <w:szCs w:val="28"/>
              <w:highlight w:val="none"/>
              <w:lang w:val="en-US" w:eastAsia="zh-CN" w:bidi="ar-SA"/>
            </w:rPr>
            <w:fldChar w:fldCharType="end"/>
          </w:r>
        </w:p>
        <w:p w14:paraId="1F068B66">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_Toc9698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五、施工组织设计方案</w:t>
          </w:r>
          <w:r>
            <w:tab/>
          </w:r>
          <w:r>
            <w:fldChar w:fldCharType="begin"/>
          </w:r>
          <w:r>
            <w:instrText xml:space="preserve"> PAGEREF _Toc9698 \h </w:instrText>
          </w:r>
          <w:r>
            <w:fldChar w:fldCharType="separate"/>
          </w:r>
          <w:r>
            <w:t>41</w:t>
          </w:r>
          <w:r>
            <w:fldChar w:fldCharType="end"/>
          </w:r>
          <w:r>
            <w:rPr>
              <w:rFonts w:hint="eastAsia" w:ascii="宋体" w:hAnsi="宋体" w:eastAsia="宋体" w:cs="宋体"/>
              <w:color w:val="auto"/>
              <w:kern w:val="0"/>
              <w:szCs w:val="28"/>
              <w:highlight w:val="none"/>
              <w:lang w:val="en-US" w:eastAsia="zh-CN" w:bidi="ar-SA"/>
            </w:rPr>
            <w:fldChar w:fldCharType="end"/>
          </w:r>
        </w:p>
        <w:p w14:paraId="71A5B4DE">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_Toc5657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六、项目管理机构</w:t>
          </w:r>
          <w:r>
            <w:tab/>
          </w:r>
          <w:r>
            <w:fldChar w:fldCharType="begin"/>
          </w:r>
          <w:r>
            <w:instrText xml:space="preserve"> PAGEREF _Toc5657 \h </w:instrText>
          </w:r>
          <w:r>
            <w:fldChar w:fldCharType="separate"/>
          </w:r>
          <w:r>
            <w:t>42</w:t>
          </w:r>
          <w:r>
            <w:fldChar w:fldCharType="end"/>
          </w:r>
          <w:r>
            <w:rPr>
              <w:rFonts w:hint="eastAsia" w:ascii="宋体" w:hAnsi="宋体" w:eastAsia="宋体" w:cs="宋体"/>
              <w:color w:val="auto"/>
              <w:kern w:val="0"/>
              <w:szCs w:val="28"/>
              <w:highlight w:val="none"/>
              <w:lang w:val="en-US" w:eastAsia="zh-CN" w:bidi="ar-SA"/>
            </w:rPr>
            <w:fldChar w:fldCharType="end"/>
          </w:r>
        </w:p>
        <w:p w14:paraId="264C7959">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_Toc31700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七、资格证明材料</w:t>
          </w:r>
          <w:r>
            <w:tab/>
          </w:r>
          <w:r>
            <w:fldChar w:fldCharType="begin"/>
          </w:r>
          <w:r>
            <w:instrText xml:space="preserve"> PAGEREF _Toc31700 \h </w:instrText>
          </w:r>
          <w:r>
            <w:fldChar w:fldCharType="separate"/>
          </w:r>
          <w:r>
            <w:t>45</w:t>
          </w:r>
          <w:r>
            <w:fldChar w:fldCharType="end"/>
          </w:r>
          <w:r>
            <w:rPr>
              <w:rFonts w:hint="eastAsia" w:ascii="宋体" w:hAnsi="宋体" w:eastAsia="宋体" w:cs="宋体"/>
              <w:color w:val="auto"/>
              <w:kern w:val="0"/>
              <w:szCs w:val="28"/>
              <w:highlight w:val="none"/>
              <w:lang w:val="en-US" w:eastAsia="zh-CN" w:bidi="ar-SA"/>
            </w:rPr>
            <w:fldChar w:fldCharType="end"/>
          </w:r>
        </w:p>
        <w:p w14:paraId="4B59D624">
          <w:pPr>
            <w:pStyle w:val="25"/>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_Toc30835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八、其他材料</w:t>
          </w:r>
          <w:r>
            <w:tab/>
          </w:r>
          <w:r>
            <w:fldChar w:fldCharType="begin"/>
          </w:r>
          <w:r>
            <w:instrText xml:space="preserve"> PAGEREF _Toc30835 \h </w:instrText>
          </w:r>
          <w:r>
            <w:fldChar w:fldCharType="separate"/>
          </w:r>
          <w:r>
            <w:t>46</w:t>
          </w:r>
          <w:r>
            <w:fldChar w:fldCharType="end"/>
          </w:r>
          <w:r>
            <w:rPr>
              <w:rFonts w:hint="eastAsia" w:ascii="宋体" w:hAnsi="宋体" w:eastAsia="宋体" w:cs="宋体"/>
              <w:color w:val="auto"/>
              <w:kern w:val="0"/>
              <w:szCs w:val="28"/>
              <w:highlight w:val="none"/>
              <w:lang w:val="en-US" w:eastAsia="zh-CN" w:bidi="ar-SA"/>
            </w:rPr>
            <w:fldChar w:fldCharType="end"/>
          </w:r>
        </w:p>
        <w:p w14:paraId="5C73CE46">
          <w:pPr>
            <w:pStyle w:val="15"/>
            <w:keepNext w:val="0"/>
            <w:keepLines w:val="0"/>
            <w:pageBreakBefore w:val="0"/>
            <w:tabs>
              <w:tab w:val="left" w:pos="2712"/>
              <w:tab w:val="left" w:pos="4658"/>
              <w:tab w:val="left" w:pos="5157"/>
              <w:tab w:val="left" w:pos="6554"/>
            </w:tabs>
            <w:kinsoku/>
            <w:wordWrap/>
            <w:overflowPunct/>
            <w:topLinePunct w:val="0"/>
            <w:autoSpaceDE/>
            <w:autoSpaceDN/>
            <w:bidi w:val="0"/>
            <w:adjustRightInd/>
            <w:snapToGrid/>
            <w:spacing w:line="360" w:lineRule="auto"/>
            <w:ind w:left="0"/>
            <w:jc w:val="center"/>
            <w:textAlignment w:val="auto"/>
            <w:outlineLvl w:val="9"/>
            <w:rPr>
              <w:rFonts w:hint="eastAsia" w:ascii="宋体" w:hAnsi="宋体" w:eastAsia="宋体" w:cs="宋体"/>
              <w:color w:val="auto"/>
              <w:kern w:val="0"/>
              <w:sz w:val="20"/>
              <w:szCs w:val="24"/>
              <w:highlight w:val="none"/>
              <w:lang w:val="en-US" w:eastAsia="zh-CN" w:bidi="ar-SA"/>
            </w:rPr>
          </w:pPr>
          <w:r>
            <w:rPr>
              <w:rFonts w:hint="eastAsia" w:ascii="宋体" w:hAnsi="宋体" w:eastAsia="宋体" w:cs="宋体"/>
              <w:color w:val="auto"/>
              <w:kern w:val="0"/>
              <w:szCs w:val="28"/>
              <w:highlight w:val="none"/>
              <w:lang w:val="en-US" w:eastAsia="zh-CN" w:bidi="ar-SA"/>
            </w:rPr>
            <w:fldChar w:fldCharType="end"/>
          </w:r>
        </w:p>
      </w:sdtContent>
    </w:sdt>
    <w:p w14:paraId="5215CB7A">
      <w:pPr>
        <w:pStyle w:val="15"/>
        <w:keepNext w:val="0"/>
        <w:keepLines w:val="0"/>
        <w:pageBreakBefore w:val="0"/>
        <w:tabs>
          <w:tab w:val="left" w:pos="2712"/>
          <w:tab w:val="left" w:pos="4658"/>
          <w:tab w:val="left" w:pos="5157"/>
          <w:tab w:val="left" w:pos="6554"/>
        </w:tabs>
        <w:kinsoku/>
        <w:wordWrap/>
        <w:overflowPunct/>
        <w:topLinePunct w:val="0"/>
        <w:autoSpaceDE/>
        <w:autoSpaceDN/>
        <w:bidi w:val="0"/>
        <w:adjustRightInd/>
        <w:snapToGrid/>
        <w:spacing w:line="360" w:lineRule="auto"/>
        <w:ind w:left="0"/>
        <w:jc w:val="center"/>
        <w:textAlignment w:val="auto"/>
        <w:outlineLvl w:val="9"/>
        <w:rPr>
          <w:rFonts w:hint="eastAsia" w:ascii="宋体" w:hAnsi="宋体" w:eastAsia="宋体" w:cs="宋体"/>
          <w:color w:val="auto"/>
          <w:kern w:val="0"/>
          <w:sz w:val="20"/>
          <w:szCs w:val="24"/>
          <w:highlight w:val="none"/>
          <w:lang w:val="en-US" w:eastAsia="zh-CN" w:bidi="ar-SA"/>
        </w:rPr>
        <w:sectPr>
          <w:headerReference r:id="rId12" w:type="default"/>
          <w:footerReference r:id="rId13" w:type="default"/>
          <w:pgSz w:w="11905" w:h="16838"/>
          <w:pgMar w:top="1440" w:right="1247" w:bottom="1440" w:left="1247" w:header="850" w:footer="850" w:gutter="0"/>
          <w:pgBorders>
            <w:top w:val="none" w:sz="0" w:space="0"/>
            <w:left w:val="none" w:sz="0" w:space="0"/>
            <w:bottom w:val="none" w:sz="0" w:space="0"/>
            <w:right w:val="none" w:sz="0" w:space="0"/>
          </w:pgBorders>
          <w:pgNumType w:fmt="numberInDash" w:start="1"/>
          <w:cols w:space="0" w:num="1"/>
          <w:rtlGutter w:val="0"/>
          <w:docGrid w:type="lines" w:linePitch="317" w:charSpace="0"/>
        </w:sectPr>
      </w:pPr>
    </w:p>
    <w:p w14:paraId="2162CFE4">
      <w:pPr>
        <w:pStyle w:val="5"/>
        <w:bidi w:val="0"/>
        <w:rPr>
          <w:rFonts w:hint="eastAsia" w:ascii="宋体" w:hAnsi="宋体" w:eastAsia="宋体" w:cs="宋体"/>
        </w:rPr>
      </w:pPr>
      <w:bookmarkStart w:id="7" w:name="_Toc22283"/>
      <w:bookmarkStart w:id="8" w:name="_Toc1431"/>
      <w:bookmarkStart w:id="9" w:name="_Toc21497"/>
      <w:r>
        <w:rPr>
          <w:rFonts w:hint="eastAsia" w:ascii="宋体" w:hAnsi="宋体" w:eastAsia="宋体" w:cs="宋体"/>
        </w:rPr>
        <w:t>电子招投标特别提示</w:t>
      </w:r>
      <w:bookmarkEnd w:id="7"/>
      <w:bookmarkEnd w:id="8"/>
      <w:bookmarkEnd w:id="9"/>
    </w:p>
    <w:p w14:paraId="734B1571">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0" w:name="_Toc29917"/>
      <w:bookmarkStart w:id="11" w:name="_Toc1939"/>
      <w:r>
        <w:rPr>
          <w:rFonts w:hint="eastAsia" w:ascii="宋体" w:hAnsi="宋体" w:eastAsia="宋体" w:cs="宋体"/>
          <w:b/>
          <w:bCs/>
          <w:color w:val="auto"/>
          <w:sz w:val="24"/>
          <w:szCs w:val="24"/>
          <w:highlight w:val="none"/>
          <w:u w:val="double"/>
        </w:rPr>
        <w:t>一、</w:t>
      </w:r>
      <w:r>
        <w:rPr>
          <w:rFonts w:hint="eastAsia" w:ascii="宋体" w:hAnsi="宋体" w:eastAsia="宋体" w:cs="宋体"/>
          <w:b/>
          <w:bCs/>
          <w:color w:val="auto"/>
          <w:sz w:val="24"/>
          <w:szCs w:val="24"/>
          <w:highlight w:val="none"/>
          <w:u w:val="double"/>
          <w:lang w:eastAsia="zh-CN"/>
        </w:rPr>
        <w:t>投标人</w:t>
      </w:r>
      <w:r>
        <w:rPr>
          <w:rFonts w:hint="eastAsia" w:ascii="宋体" w:hAnsi="宋体" w:eastAsia="宋体" w:cs="宋体"/>
          <w:b/>
          <w:bCs/>
          <w:color w:val="auto"/>
          <w:sz w:val="24"/>
          <w:szCs w:val="24"/>
          <w:highlight w:val="none"/>
          <w:u w:val="double"/>
        </w:rPr>
        <w:t>（供应商）注册</w:t>
      </w:r>
      <w:bookmarkEnd w:id="10"/>
      <w:bookmarkEnd w:id="11"/>
    </w:p>
    <w:p w14:paraId="5A38336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凡有意参加本项目的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（供应商），请</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“全国公共资源交易平台（河南省·信阳市）（</w:t>
      </w:r>
      <w:r>
        <w:rPr>
          <w:rFonts w:hint="eastAsia" w:ascii="宋体" w:hAnsi="宋体" w:eastAsia="宋体" w:cs="宋体"/>
          <w:color w:val="auto"/>
          <w:sz w:val="24"/>
          <w:szCs w:val="24"/>
          <w:highlight w:val="none"/>
          <w:lang w:eastAsia="zh-CN"/>
        </w:rPr>
        <w:t>https://ggzyjy.xinyang.gov.cn/</w:t>
      </w:r>
      <w:r>
        <w:rPr>
          <w:rFonts w:hint="eastAsia" w:ascii="宋体" w:hAnsi="宋体" w:eastAsia="宋体" w:cs="宋体"/>
          <w:color w:val="auto"/>
          <w:sz w:val="24"/>
          <w:szCs w:val="24"/>
          <w:highlight w:val="none"/>
        </w:rPr>
        <w:t>）”网站进行交易主体自主注册，按网站公告通知有关要求填报企业信息并上传有关原件扫描件至诚信库，不需携带原件到信阳市公共资源交易中心进行审核。</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（供应商）应对所上传材料的真实性、合法性、有效性负责，其上传的信息将全部对外公示，接受社会监督。</w:t>
      </w:r>
    </w:p>
    <w:p w14:paraId="1E82CFF0">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2" w:name="_Toc30563"/>
      <w:bookmarkStart w:id="13" w:name="_Toc28619"/>
      <w:r>
        <w:rPr>
          <w:rFonts w:hint="eastAsia" w:ascii="宋体" w:hAnsi="宋体" w:eastAsia="宋体" w:cs="宋体"/>
          <w:b/>
          <w:bCs/>
          <w:color w:val="auto"/>
          <w:sz w:val="24"/>
          <w:szCs w:val="24"/>
          <w:highlight w:val="none"/>
          <w:u w:val="double"/>
        </w:rPr>
        <w:t>二、办理CA数字证书</w:t>
      </w:r>
      <w:bookmarkEnd w:id="12"/>
      <w:bookmarkEnd w:id="13"/>
    </w:p>
    <w:p w14:paraId="41D28D39">
      <w:pPr>
        <w:keepNext w:val="0"/>
        <w:keepLines w:val="0"/>
        <w:pageBreakBefore w:val="0"/>
        <w:kinsoku/>
        <w:wordWrap/>
        <w:overflowPunct/>
        <w:topLinePunct w:val="0"/>
        <w:autoSpaceDE/>
        <w:autoSpaceDN/>
        <w:bidi w:val="0"/>
        <w:adjustRightInd w:val="0"/>
        <w:snapToGrid w:val="0"/>
        <w:spacing w:line="360" w:lineRule="auto"/>
        <w:ind w:left="0" w:leftChars="0" w:firstLine="45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完成企业诚信库注册后</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必须办理CA数字证书方可在网上办理招投标相关业务。供应商根据信阳市公共资源交易网通知公告栏目中《关于信阳市公共资源交易平台数字证书（CA）互认系统正式上线运行的通知》要求</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自行选择CA数字证书服务商</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线上、线下办理CA数字证书。</w:t>
      </w:r>
    </w:p>
    <w:p w14:paraId="5E445C52">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4" w:name="_Toc5326"/>
      <w:bookmarkStart w:id="15" w:name="_Toc5151"/>
      <w:r>
        <w:rPr>
          <w:rFonts w:hint="eastAsia" w:ascii="宋体" w:hAnsi="宋体" w:eastAsia="宋体" w:cs="宋体"/>
          <w:b/>
          <w:bCs/>
          <w:color w:val="auto"/>
          <w:sz w:val="24"/>
          <w:szCs w:val="24"/>
          <w:highlight w:val="none"/>
          <w:u w:val="double"/>
        </w:rPr>
        <w:t>三、招标（采购）文件获取方式</w:t>
      </w:r>
      <w:bookmarkEnd w:id="14"/>
      <w:bookmarkEnd w:id="15"/>
    </w:p>
    <w:p w14:paraId="3E28D54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（供应商）凭CA数字证书</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会员系统后，即可按网上提示免费下载招标（采购）文件及资料（操作程序详见信阳市公共资源交易中心网站下载中心栏目里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操作手册）。招标文件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*.XYZF格式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下载后需使用“信阳市投标文件制作工具软件”打开（该工具软件可在“全国公共资源交易平台（河南省·信阳市）（</w:t>
      </w:r>
      <w:r>
        <w:rPr>
          <w:rFonts w:hint="eastAsia" w:ascii="宋体" w:hAnsi="宋体" w:eastAsia="宋体" w:cs="宋体"/>
          <w:color w:val="auto"/>
          <w:sz w:val="24"/>
          <w:szCs w:val="24"/>
          <w:highlight w:val="none"/>
          <w:lang w:eastAsia="zh-CN"/>
        </w:rPr>
        <w:t>https://ggzyjy.xinyang.gov.cn/</w:t>
      </w:r>
      <w:r>
        <w:rPr>
          <w:rFonts w:hint="eastAsia" w:ascii="宋体" w:hAnsi="宋体" w:eastAsia="宋体" w:cs="宋体"/>
          <w:color w:val="auto"/>
          <w:sz w:val="24"/>
          <w:szCs w:val="24"/>
          <w:highlight w:val="none"/>
        </w:rPr>
        <w:t>）”网站下载中心栏目内下载或在招标文件领取页面下载）。</w:t>
      </w:r>
    </w:p>
    <w:p w14:paraId="2A099BF2">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6" w:name="_Toc1647"/>
      <w:bookmarkStart w:id="17" w:name="_Toc21554"/>
      <w:r>
        <w:rPr>
          <w:rFonts w:hint="eastAsia" w:ascii="宋体" w:hAnsi="宋体" w:eastAsia="宋体" w:cs="宋体"/>
          <w:b/>
          <w:bCs/>
          <w:color w:val="auto"/>
          <w:sz w:val="24"/>
          <w:szCs w:val="24"/>
          <w:highlight w:val="none"/>
          <w:u w:val="double"/>
        </w:rPr>
        <w:t>四、投标（响应）文件制作</w:t>
      </w:r>
      <w:bookmarkEnd w:id="16"/>
      <w:bookmarkEnd w:id="17"/>
    </w:p>
    <w:p w14:paraId="10255CBB">
      <w:pPr>
        <w:keepNext w:val="0"/>
        <w:keepLines w:val="0"/>
        <w:pageBreakBefore w:val="0"/>
        <w:tabs>
          <w:tab w:val="left" w:pos="0"/>
        </w:tabs>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投标（响应）文件应使用信阳市公共资源交易系统投标文件制作专用工具软件编制，投标（响应）文件格式为“*.XYTF”。</w:t>
      </w:r>
    </w:p>
    <w:p w14:paraId="202D3915">
      <w:pPr>
        <w:keepNext w:val="0"/>
        <w:keepLines w:val="0"/>
        <w:pageBreakBefore w:val="0"/>
        <w:tabs>
          <w:tab w:val="left" w:pos="0"/>
        </w:tabs>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（供应商）须在投标（响应）文件递交截止时间前制作并提交。</w:t>
      </w:r>
    </w:p>
    <w:p w14:paraId="5D9A381C">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8" w:name="_Toc29802"/>
      <w:bookmarkStart w:id="19" w:name="_Toc30115"/>
      <w:r>
        <w:rPr>
          <w:rFonts w:hint="eastAsia" w:ascii="宋体" w:hAnsi="宋体" w:eastAsia="宋体" w:cs="宋体"/>
          <w:b/>
          <w:bCs/>
          <w:color w:val="auto"/>
          <w:sz w:val="24"/>
          <w:szCs w:val="24"/>
          <w:highlight w:val="none"/>
          <w:u w:val="double"/>
        </w:rPr>
        <w:t>五、投标（响应）文件的签字和盖章要求</w:t>
      </w:r>
      <w:bookmarkEnd w:id="18"/>
      <w:bookmarkEnd w:id="19"/>
    </w:p>
    <w:p w14:paraId="45C44A8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11"/>
          <w:sz w:val="24"/>
          <w:szCs w:val="24"/>
          <w:highlight w:val="none"/>
        </w:rPr>
        <w:t>投标文件（响应）格式中所有要求</w:t>
      </w:r>
      <w:r>
        <w:rPr>
          <w:rFonts w:hint="eastAsia" w:ascii="宋体" w:hAnsi="宋体" w:eastAsia="宋体" w:cs="宋体"/>
          <w:color w:val="auto"/>
          <w:spacing w:val="-11"/>
          <w:sz w:val="24"/>
          <w:szCs w:val="24"/>
          <w:highlight w:val="none"/>
          <w:lang w:eastAsia="zh-CN"/>
        </w:rPr>
        <w:t>投标人</w:t>
      </w:r>
      <w:r>
        <w:rPr>
          <w:rFonts w:hint="eastAsia" w:ascii="宋体" w:hAnsi="宋体" w:eastAsia="宋体" w:cs="宋体"/>
          <w:color w:val="auto"/>
          <w:spacing w:val="-11"/>
          <w:sz w:val="24"/>
          <w:szCs w:val="24"/>
          <w:highlight w:val="none"/>
        </w:rPr>
        <w:t>（供应商）加盖公章的地方都须加盖</w:t>
      </w:r>
      <w:r>
        <w:rPr>
          <w:rFonts w:hint="eastAsia" w:ascii="宋体" w:hAnsi="宋体" w:eastAsia="宋体" w:cs="宋体"/>
          <w:color w:val="auto"/>
          <w:spacing w:val="-11"/>
          <w:sz w:val="24"/>
          <w:szCs w:val="24"/>
          <w:highlight w:val="none"/>
          <w:lang w:eastAsia="zh-CN"/>
        </w:rPr>
        <w:t>投标人</w:t>
      </w:r>
      <w:r>
        <w:rPr>
          <w:rFonts w:hint="eastAsia" w:ascii="宋体" w:hAnsi="宋体" w:eastAsia="宋体" w:cs="宋体"/>
          <w:color w:val="auto"/>
          <w:spacing w:val="-11"/>
          <w:sz w:val="24"/>
          <w:szCs w:val="24"/>
          <w:highlight w:val="none"/>
        </w:rPr>
        <w:t>（供应商）的 CA 印章。</w:t>
      </w:r>
    </w:p>
    <w:p w14:paraId="1154833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2、投标文件（响应）格式中所有要求法定代表人或其委托代理人签字或盖章的地方</w:t>
      </w:r>
      <w:r>
        <w:rPr>
          <w:rFonts w:hint="eastAsia" w:ascii="宋体" w:hAnsi="宋体" w:eastAsia="宋体" w:cs="宋体"/>
          <w:b/>
          <w:bCs/>
          <w:color w:val="auto"/>
          <w:sz w:val="24"/>
          <w:szCs w:val="24"/>
          <w:highlight w:val="none"/>
        </w:rPr>
        <w:t>（不含授权委托书委托人签字）</w:t>
      </w:r>
      <w:r>
        <w:rPr>
          <w:rFonts w:hint="eastAsia" w:ascii="宋体" w:hAnsi="宋体" w:eastAsia="宋体" w:cs="宋体"/>
          <w:color w:val="auto"/>
          <w:sz w:val="24"/>
          <w:szCs w:val="24"/>
          <w:highlight w:val="none"/>
        </w:rPr>
        <w:t>都须加盖法定代表人</w:t>
      </w:r>
      <w:r>
        <w:rPr>
          <w:rFonts w:hint="eastAsia" w:ascii="宋体" w:hAnsi="宋体" w:eastAsia="宋体" w:cs="宋体"/>
          <w:b/>
          <w:bCs/>
          <w:color w:val="auto"/>
          <w:sz w:val="24"/>
          <w:szCs w:val="24"/>
          <w:highlight w:val="none"/>
        </w:rPr>
        <w:t>CA 印章。</w:t>
      </w:r>
    </w:p>
    <w:p w14:paraId="4D6FF067">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0" w:name="_Toc31622"/>
      <w:bookmarkStart w:id="21" w:name="_Toc13965"/>
      <w:r>
        <w:rPr>
          <w:rFonts w:hint="eastAsia" w:ascii="宋体" w:hAnsi="宋体" w:eastAsia="宋体" w:cs="宋体"/>
          <w:b/>
          <w:bCs/>
          <w:color w:val="auto"/>
          <w:sz w:val="24"/>
          <w:szCs w:val="24"/>
          <w:highlight w:val="none"/>
          <w:u w:val="double"/>
        </w:rPr>
        <w:t>六、投标文件份数</w:t>
      </w:r>
      <w:bookmarkEnd w:id="20"/>
      <w:bookmarkEnd w:id="21"/>
    </w:p>
    <w:p w14:paraId="7F3CA88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加密的电子投标（响应）文件壹份（*.XYTF 格式，在会员系统指定位置上传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B5B5BC1">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2" w:name="_Toc26135"/>
      <w:bookmarkStart w:id="23" w:name="_Toc25967"/>
      <w:r>
        <w:rPr>
          <w:rFonts w:hint="eastAsia" w:ascii="宋体" w:hAnsi="宋体" w:eastAsia="宋体" w:cs="宋体"/>
          <w:b/>
          <w:bCs/>
          <w:color w:val="auto"/>
          <w:sz w:val="24"/>
          <w:szCs w:val="24"/>
          <w:highlight w:val="none"/>
          <w:u w:val="double"/>
        </w:rPr>
        <w:t>七、投标（响应）文件的递交</w:t>
      </w:r>
      <w:bookmarkEnd w:id="22"/>
      <w:bookmarkEnd w:id="23"/>
    </w:p>
    <w:p w14:paraId="2FFDFD4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1、电子投标（响应）文件的递交</w:t>
      </w:r>
    </w:p>
    <w:p w14:paraId="1A14FBF2">
      <w:pPr>
        <w:keepNext w:val="0"/>
        <w:keepLines w:val="0"/>
        <w:pageBreakBefore w:val="0"/>
        <w:kinsoku/>
        <w:wordWrap/>
        <w:overflowPunct/>
        <w:topLinePunct w:val="0"/>
        <w:autoSpaceDE/>
        <w:autoSpaceDN/>
        <w:bidi w:val="0"/>
        <w:adjustRightInd w:val="0"/>
        <w:snapToGrid w:val="0"/>
        <w:spacing w:line="360" w:lineRule="auto"/>
        <w:ind w:left="0" w:leftChars="0" w:firstLine="456" w:firstLineChars="200"/>
        <w:jc w:val="left"/>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各投标人（供应商）应在投标截止时间前上传加密的电子投标（响应）文件（*.XYTF）到会员系统的指定位置。上传的电子投标文件应使用</w:t>
      </w:r>
      <w:r>
        <w:rPr>
          <w:rFonts w:hint="eastAsia" w:ascii="宋体" w:hAnsi="宋体" w:eastAsia="宋体" w:cs="宋体"/>
          <w:color w:val="auto"/>
          <w:spacing w:val="-6"/>
          <w:sz w:val="24"/>
          <w:szCs w:val="24"/>
          <w:highlight w:val="none"/>
          <w:lang w:eastAsia="zh-CN"/>
        </w:rPr>
        <w:t>供应商</w:t>
      </w:r>
      <w:r>
        <w:rPr>
          <w:rFonts w:hint="eastAsia" w:ascii="宋体" w:hAnsi="宋体" w:eastAsia="宋体" w:cs="宋体"/>
          <w:color w:val="auto"/>
          <w:spacing w:val="-6"/>
          <w:sz w:val="24"/>
          <w:szCs w:val="24"/>
          <w:highlight w:val="none"/>
        </w:rPr>
        <w:t>CA数字证书认证并加密。上传时必须得到交易系统“上传成功”的确认回复后方为上传成功。请</w:t>
      </w:r>
      <w:r>
        <w:rPr>
          <w:rFonts w:hint="eastAsia" w:ascii="宋体" w:hAnsi="宋体" w:eastAsia="宋体" w:cs="宋体"/>
          <w:color w:val="auto"/>
          <w:spacing w:val="-6"/>
          <w:sz w:val="24"/>
          <w:szCs w:val="24"/>
          <w:highlight w:val="none"/>
          <w:lang w:eastAsia="zh-CN"/>
        </w:rPr>
        <w:t>投标人</w:t>
      </w:r>
      <w:r>
        <w:rPr>
          <w:rFonts w:hint="eastAsia" w:ascii="宋体" w:hAnsi="宋体" w:eastAsia="宋体" w:cs="宋体"/>
          <w:color w:val="auto"/>
          <w:spacing w:val="-6"/>
          <w:sz w:val="24"/>
          <w:szCs w:val="24"/>
          <w:highlight w:val="none"/>
        </w:rPr>
        <w:t>（供应商）在上传前务必认真检查上传投标（响应）文件是否完整、正确。</w:t>
      </w:r>
    </w:p>
    <w:p w14:paraId="208CA53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、除电子投标（响应）文件外，不再接受任何纸质文件、资料原件等。</w:t>
      </w:r>
    </w:p>
    <w:p w14:paraId="1D24130E">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4" w:name="_Toc16680"/>
      <w:bookmarkStart w:id="25" w:name="_Toc27739"/>
      <w:r>
        <w:rPr>
          <w:rFonts w:hint="eastAsia" w:ascii="宋体" w:hAnsi="宋体" w:eastAsia="宋体" w:cs="宋体"/>
          <w:b/>
          <w:bCs/>
          <w:color w:val="auto"/>
          <w:sz w:val="24"/>
          <w:szCs w:val="24"/>
          <w:highlight w:val="none"/>
          <w:u w:val="double"/>
        </w:rPr>
        <w:t>八、澄清与变更</w:t>
      </w:r>
      <w:bookmarkEnd w:id="24"/>
      <w:bookmarkEnd w:id="25"/>
    </w:p>
    <w:p w14:paraId="6F438C3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有疑问，以书面形式（包括信函、电报、传真等可以有形表现所载内容的形式），要求招标人（采购人）对招标（采购）文件予以澄清。澄清或修改的内容在信阳市公共资源交易系统“变更公告”或“答疑文件”菜单进行发布，</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（供应商）应在投标（响应）文件递交截止时间前及时查看澄清或修改内容，因</w:t>
      </w:r>
      <w:r>
        <w:rPr>
          <w:rFonts w:hint="eastAsia" w:ascii="宋体" w:hAnsi="宋体" w:eastAsia="宋体" w:cs="宋体"/>
          <w:color w:val="auto"/>
          <w:sz w:val="24"/>
          <w:szCs w:val="24"/>
          <w:highlight w:val="none"/>
          <w:lang w:eastAsia="zh-CN"/>
        </w:rPr>
        <w:t>投标人（供应商</w:t>
      </w:r>
      <w:r>
        <w:rPr>
          <w:rFonts w:hint="eastAsia" w:ascii="宋体" w:hAnsi="宋体" w:eastAsia="宋体" w:cs="宋体"/>
          <w:color w:val="auto"/>
          <w:sz w:val="24"/>
          <w:szCs w:val="24"/>
          <w:highlight w:val="none"/>
        </w:rPr>
        <w:t>）未及时查看而造成的后果自负。</w:t>
      </w:r>
    </w:p>
    <w:p w14:paraId="219ABD8C">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6" w:name="_Toc20568"/>
      <w:bookmarkStart w:id="27" w:name="_Toc9105"/>
      <w:r>
        <w:rPr>
          <w:rFonts w:hint="eastAsia" w:ascii="宋体" w:hAnsi="宋体" w:eastAsia="宋体" w:cs="宋体"/>
          <w:b/>
          <w:bCs/>
          <w:color w:val="auto"/>
          <w:sz w:val="24"/>
          <w:szCs w:val="24"/>
          <w:highlight w:val="none"/>
          <w:u w:val="double"/>
          <w:lang w:val="en-US" w:eastAsia="zh-CN"/>
        </w:rPr>
        <w:t>九、</w:t>
      </w:r>
      <w:r>
        <w:rPr>
          <w:rFonts w:hint="eastAsia" w:ascii="宋体" w:hAnsi="宋体" w:eastAsia="宋体" w:cs="宋体"/>
          <w:b/>
          <w:bCs/>
          <w:color w:val="auto"/>
          <w:sz w:val="24"/>
          <w:szCs w:val="24"/>
          <w:highlight w:val="none"/>
          <w:u w:val="double"/>
        </w:rPr>
        <w:t>其他注意事项</w:t>
      </w:r>
      <w:bookmarkEnd w:id="26"/>
      <w:bookmarkEnd w:id="27"/>
      <w:r>
        <w:rPr>
          <w:rFonts w:hint="eastAsia" w:ascii="宋体" w:hAnsi="宋体" w:eastAsia="宋体" w:cs="宋体"/>
          <w:b/>
          <w:bCs/>
          <w:color w:val="auto"/>
          <w:sz w:val="24"/>
          <w:szCs w:val="24"/>
          <w:highlight w:val="none"/>
          <w:u w:val="double"/>
        </w:rPr>
        <w:t xml:space="preserve"> </w:t>
      </w:r>
    </w:p>
    <w:p w14:paraId="21C03F13">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 xml:space="preserve">1、供应商编制投标文件时，涉及的营业执照、资质、获奖、社保、纳税等固定内容可在交易中心主体信用信息中录入。 </w:t>
      </w:r>
    </w:p>
    <w:p w14:paraId="30C02915">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36F1D087">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auto"/>
          <w:spacing w:val="0"/>
          <w:sz w:val="24"/>
          <w:szCs w:val="24"/>
          <w:highlight w:val="none"/>
          <w:u w:val="double"/>
          <w:lang w:val="en-US" w:eastAsia="zh-CN"/>
        </w:rPr>
      </w:pPr>
      <w:r>
        <w:rPr>
          <w:rFonts w:hint="eastAsia" w:ascii="宋体" w:hAnsi="宋体" w:eastAsia="宋体" w:cs="宋体"/>
          <w:b w:val="0"/>
          <w:bCs w:val="0"/>
          <w:color w:val="auto"/>
          <w:spacing w:val="0"/>
          <w:sz w:val="24"/>
          <w:szCs w:val="24"/>
          <w:highlight w:val="none"/>
          <w:u w:val="none"/>
          <w:lang w:val="en-US" w:eastAsia="zh-CN"/>
        </w:rPr>
        <w:t>3、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4A814359">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8" w:name="_Toc17903"/>
      <w:bookmarkStart w:id="29" w:name="_Toc12176"/>
      <w:r>
        <w:rPr>
          <w:rFonts w:hint="eastAsia" w:ascii="宋体" w:hAnsi="宋体" w:eastAsia="宋体" w:cs="宋体"/>
          <w:b/>
          <w:bCs/>
          <w:color w:val="auto"/>
          <w:sz w:val="24"/>
          <w:szCs w:val="24"/>
          <w:highlight w:val="none"/>
          <w:u w:val="double"/>
        </w:rPr>
        <w:t>十、特别提醒</w:t>
      </w:r>
      <w:bookmarkEnd w:id="28"/>
      <w:bookmarkEnd w:id="29"/>
    </w:p>
    <w:p w14:paraId="230B335A">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投标文件中的扫描件，在确保清晰的前提下，每张最好控制在500kb内，生成的加密电子投标文件最好不要超过50MB。</w:t>
      </w:r>
    </w:p>
    <w:p w14:paraId="3C2B707B">
      <w:pPr>
        <w:pStyle w:val="5"/>
        <w:bidi w:val="0"/>
        <w:rPr>
          <w:rFonts w:hint="eastAsia"/>
        </w:rPr>
        <w:sectPr>
          <w:footerReference r:id="rId15" w:type="first"/>
          <w:footerReference r:id="rId14" w:type="default"/>
          <w:pgSz w:w="11905" w:h="16838"/>
          <w:pgMar w:top="1440" w:right="1247" w:bottom="1440" w:left="1247" w:header="850" w:footer="850" w:gutter="0"/>
          <w:pgBorders>
            <w:top w:val="none" w:sz="0" w:space="0"/>
            <w:left w:val="none" w:sz="0" w:space="0"/>
            <w:bottom w:val="none" w:sz="0" w:space="0"/>
            <w:right w:val="none" w:sz="0" w:space="0"/>
          </w:pgBorders>
          <w:pgNumType w:fmt="decimal" w:start="1"/>
          <w:cols w:space="0" w:num="1"/>
          <w:rtlGutter w:val="0"/>
          <w:docGrid w:type="lines" w:linePitch="317" w:charSpace="0"/>
        </w:sectPr>
      </w:pPr>
      <w:bookmarkStart w:id="30" w:name="_Toc30363"/>
      <w:bookmarkStart w:id="31" w:name="_Toc17548"/>
      <w:bookmarkStart w:id="32" w:name="_Toc25731"/>
      <w:bookmarkStart w:id="33" w:name="_Toc25026"/>
    </w:p>
    <w:p w14:paraId="2B20E49F">
      <w:pPr>
        <w:pStyle w:val="5"/>
        <w:bidi w:val="0"/>
        <w:rPr>
          <w:rFonts w:hint="eastAsia"/>
        </w:rPr>
      </w:pPr>
      <w:r>
        <w:rPr>
          <w:rFonts w:hint="eastAsia"/>
        </w:rPr>
        <w:t xml:space="preserve">第一章 </w:t>
      </w:r>
      <w:r>
        <w:rPr>
          <w:rFonts w:hint="eastAsia"/>
          <w:lang w:eastAsia="zh-CN"/>
        </w:rPr>
        <w:t>竞争性</w:t>
      </w:r>
      <w:r>
        <w:rPr>
          <w:rFonts w:hint="eastAsia"/>
        </w:rPr>
        <w:t>磋商公告</w:t>
      </w:r>
      <w:bookmarkEnd w:id="30"/>
      <w:bookmarkEnd w:id="31"/>
      <w:bookmarkEnd w:id="32"/>
      <w:bookmarkEnd w:id="33"/>
    </w:p>
    <w:tbl>
      <w:tblPr>
        <w:tblStyle w:val="32"/>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0385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0" w:type="dxa"/>
          </w:tcPr>
          <w:p w14:paraId="0C856128">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color w:val="000000"/>
                <w:sz w:val="24"/>
                <w:szCs w:val="24"/>
                <w:highlight w:val="none"/>
              </w:rPr>
            </w:pPr>
            <w:bookmarkStart w:id="34" w:name="OLE_LINK1"/>
            <w:bookmarkStart w:id="35" w:name="_Toc8890"/>
            <w:bookmarkStart w:id="36" w:name="_Toc152042303"/>
            <w:bookmarkStart w:id="37" w:name="_Toc144974495"/>
            <w:bookmarkStart w:id="38" w:name="_Toc152045527"/>
            <w:r>
              <w:rPr>
                <w:rFonts w:hint="eastAsia" w:ascii="宋体" w:hAnsi="宋体" w:eastAsia="宋体" w:cs="宋体"/>
                <w:b/>
                <w:color w:val="000000"/>
                <w:sz w:val="24"/>
                <w:szCs w:val="24"/>
                <w:highlight w:val="none"/>
              </w:rPr>
              <w:t>项目概况</w:t>
            </w:r>
          </w:p>
          <w:p w14:paraId="14DFF844">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jc w:val="both"/>
              <w:textAlignment w:val="auto"/>
              <w:rPr>
                <w:rFonts w:hint="eastAsia" w:ascii="宋体" w:hAnsi="宋体" w:eastAsia="宋体" w:cs="宋体"/>
                <w:b/>
                <w:color w:val="000000"/>
                <w:sz w:val="24"/>
                <w:szCs w:val="24"/>
                <w:highlight w:val="none"/>
                <w:vertAlign w:val="baseline"/>
              </w:rPr>
            </w:pPr>
            <w:r>
              <w:rPr>
                <w:rFonts w:hint="eastAsia" w:ascii="宋体" w:hAnsi="宋体" w:eastAsia="宋体" w:cs="宋体"/>
                <w:bCs/>
                <w:color w:val="000000"/>
                <w:sz w:val="24"/>
                <w:szCs w:val="24"/>
                <w:highlight w:val="none"/>
                <w:lang w:eastAsia="zh-CN"/>
              </w:rPr>
              <w:t>淮滨县公共交通和道路运输服务中心淮滨县通达客运站改造工程(场站改造建设)</w:t>
            </w:r>
            <w:r>
              <w:rPr>
                <w:rFonts w:hint="eastAsia" w:ascii="宋体" w:hAnsi="宋体" w:eastAsia="宋体" w:cs="宋体"/>
                <w:bCs/>
                <w:color w:val="000000"/>
                <w:sz w:val="24"/>
                <w:szCs w:val="24"/>
                <w:highlight w:val="none"/>
              </w:rPr>
              <w:t>的潜在供应商应</w:t>
            </w:r>
            <w:r>
              <w:rPr>
                <w:rFonts w:hint="eastAsia" w:ascii="宋体" w:hAnsi="宋体" w:eastAsia="宋体" w:cs="宋体"/>
                <w:bCs/>
                <w:color w:val="000000"/>
                <w:sz w:val="24"/>
                <w:szCs w:val="24"/>
                <w:highlight w:val="none"/>
                <w:lang w:eastAsia="zh-CN"/>
              </w:rPr>
              <w:t>登录“全国公共资源交易平台（河南省·信阳市）（https://ggzyjy.xinyang.gov.cn）”网站，凭办理的企业身份认证锁（CA数字证书）登录会员系统进行网上投标获取磋商文件，并于</w:t>
            </w:r>
            <w:r>
              <w:rPr>
                <w:rFonts w:hint="eastAsia" w:ascii="宋体" w:hAnsi="宋体" w:eastAsia="宋体" w:cs="宋体"/>
                <w:bCs/>
                <w:color w:val="000000"/>
                <w:sz w:val="24"/>
                <w:szCs w:val="24"/>
                <w:highlight w:val="none"/>
                <w:lang w:val="en-US" w:eastAsia="zh-CN"/>
              </w:rPr>
              <w:t>2026</w:t>
            </w:r>
            <w:r>
              <w:rPr>
                <w:rFonts w:hint="eastAsia" w:ascii="宋体" w:hAnsi="宋体" w:eastAsia="宋体" w:cs="宋体"/>
                <w:bCs/>
                <w:color w:val="000000"/>
                <w:sz w:val="24"/>
                <w:szCs w:val="24"/>
                <w:highlight w:val="none"/>
                <w:lang w:eastAsia="zh-CN"/>
              </w:rPr>
              <w:t>年</w:t>
            </w:r>
            <w:r>
              <w:rPr>
                <w:rFonts w:hint="eastAsia" w:ascii="宋体" w:hAnsi="宋体" w:eastAsia="宋体" w:cs="宋体"/>
                <w:bCs/>
                <w:color w:val="000000"/>
                <w:sz w:val="24"/>
                <w:szCs w:val="24"/>
                <w:highlight w:val="none"/>
                <w:lang w:val="en-US" w:eastAsia="zh-CN"/>
              </w:rPr>
              <w:t>09</w:t>
            </w:r>
            <w:r>
              <w:rPr>
                <w:rFonts w:hint="eastAsia" w:ascii="宋体" w:hAnsi="宋体" w:eastAsia="宋体" w:cs="宋体"/>
                <w:bCs/>
                <w:color w:val="000000"/>
                <w:sz w:val="24"/>
                <w:szCs w:val="24"/>
                <w:highlight w:val="none"/>
                <w:lang w:eastAsia="zh-CN"/>
              </w:rPr>
              <w:t>月</w:t>
            </w:r>
            <w:r>
              <w:rPr>
                <w:rFonts w:hint="eastAsia" w:ascii="宋体" w:hAnsi="宋体" w:eastAsia="宋体" w:cs="宋体"/>
                <w:bCs/>
                <w:color w:val="000000"/>
                <w:sz w:val="24"/>
                <w:szCs w:val="24"/>
                <w:highlight w:val="none"/>
                <w:lang w:val="en-US" w:eastAsia="zh-CN"/>
              </w:rPr>
              <w:t>16</w:t>
            </w:r>
            <w:r>
              <w:rPr>
                <w:rFonts w:hint="eastAsia" w:ascii="宋体" w:hAnsi="宋体" w:eastAsia="宋体" w:cs="宋体"/>
                <w:bCs/>
                <w:color w:val="000000"/>
                <w:sz w:val="24"/>
                <w:szCs w:val="24"/>
                <w:highlight w:val="none"/>
                <w:lang w:eastAsia="zh-CN"/>
              </w:rPr>
              <w:t>日</w:t>
            </w:r>
            <w:r>
              <w:rPr>
                <w:rFonts w:hint="eastAsia" w:ascii="宋体" w:hAnsi="宋体" w:eastAsia="宋体" w:cs="宋体"/>
                <w:bCs/>
                <w:color w:val="000000"/>
                <w:sz w:val="24"/>
                <w:szCs w:val="24"/>
                <w:highlight w:val="none"/>
                <w:lang w:val="en-US" w:eastAsia="zh-CN"/>
              </w:rPr>
              <w:t>9</w:t>
            </w:r>
            <w:r>
              <w:rPr>
                <w:rFonts w:hint="eastAsia" w:ascii="宋体" w:hAnsi="宋体" w:eastAsia="宋体" w:cs="宋体"/>
                <w:bCs/>
                <w:color w:val="000000"/>
                <w:sz w:val="24"/>
                <w:szCs w:val="24"/>
                <w:highlight w:val="none"/>
                <w:lang w:eastAsia="zh-CN"/>
              </w:rPr>
              <w:t>时</w:t>
            </w:r>
            <w:r>
              <w:rPr>
                <w:rFonts w:hint="eastAsia" w:ascii="宋体" w:hAnsi="宋体" w:eastAsia="宋体" w:cs="宋体"/>
                <w:bCs/>
                <w:color w:val="000000"/>
                <w:sz w:val="24"/>
                <w:szCs w:val="24"/>
                <w:highlight w:val="none"/>
                <w:lang w:val="en-US" w:eastAsia="zh-CN"/>
              </w:rPr>
              <w:t>00</w:t>
            </w:r>
            <w:r>
              <w:rPr>
                <w:rFonts w:hint="eastAsia" w:ascii="宋体" w:hAnsi="宋体" w:eastAsia="宋体" w:cs="宋体"/>
                <w:bCs/>
                <w:color w:val="000000"/>
                <w:sz w:val="24"/>
                <w:szCs w:val="24"/>
                <w:highlight w:val="none"/>
                <w:lang w:eastAsia="zh-CN"/>
              </w:rPr>
              <w:t>分（北京时间</w:t>
            </w:r>
            <w:r>
              <w:rPr>
                <w:rFonts w:hint="eastAsia" w:ascii="宋体" w:hAnsi="宋体" w:eastAsia="宋体" w:cs="宋体"/>
                <w:bCs/>
                <w:color w:val="000000"/>
                <w:sz w:val="24"/>
                <w:szCs w:val="24"/>
                <w:highlight w:val="none"/>
              </w:rPr>
              <w:t>）前递交响应文件。</w:t>
            </w:r>
          </w:p>
        </w:tc>
      </w:tr>
    </w:tbl>
    <w:p w14:paraId="6797C9E8">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39" w:name="_Toc14610"/>
      <w:r>
        <w:rPr>
          <w:rFonts w:hint="eastAsia" w:ascii="宋体" w:hAnsi="宋体" w:eastAsia="宋体" w:cs="宋体"/>
          <w:b/>
          <w:bCs w:val="0"/>
          <w:color w:val="000000"/>
          <w:spacing w:val="0"/>
          <w:sz w:val="24"/>
          <w:szCs w:val="24"/>
          <w:highlight w:val="none"/>
          <w:lang w:eastAsia="zh-CN"/>
        </w:rPr>
        <w:t>一、项目基本情况</w:t>
      </w:r>
      <w:bookmarkEnd w:id="39"/>
    </w:p>
    <w:p w14:paraId="078B6961">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default"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rPr>
        <w:t>1、项目编号：</w:t>
      </w:r>
      <w:r>
        <w:rPr>
          <w:rFonts w:hint="eastAsia" w:ascii="宋体" w:hAnsi="宋体" w:eastAsia="宋体" w:cs="宋体"/>
          <w:bCs/>
          <w:color w:val="000000"/>
          <w:sz w:val="24"/>
          <w:szCs w:val="24"/>
          <w:highlight w:val="none"/>
          <w:lang w:eastAsia="zh-CN"/>
        </w:rPr>
        <w:t>淮财磋商采购-202</w:t>
      </w:r>
      <w:r>
        <w:rPr>
          <w:rFonts w:hint="eastAsia" w:ascii="宋体" w:hAnsi="宋体" w:eastAsia="宋体" w:cs="宋体"/>
          <w:bCs/>
          <w:color w:val="000000"/>
          <w:sz w:val="24"/>
          <w:szCs w:val="24"/>
          <w:highlight w:val="none"/>
          <w:lang w:val="en-US" w:eastAsia="zh-CN"/>
        </w:rPr>
        <w:t>6</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lang w:val="en-US" w:eastAsia="zh-CN"/>
        </w:rPr>
        <w:t>40</w:t>
      </w:r>
    </w:p>
    <w:p w14:paraId="29AE3C3F">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pacing w:val="-6"/>
          <w:sz w:val="24"/>
          <w:szCs w:val="24"/>
          <w:highlight w:val="none"/>
          <w:lang w:eastAsia="zh-CN"/>
        </w:rPr>
      </w:pPr>
      <w:r>
        <w:rPr>
          <w:rFonts w:hint="eastAsia" w:ascii="宋体" w:hAnsi="宋体" w:eastAsia="宋体" w:cs="宋体"/>
          <w:bCs/>
          <w:color w:val="000000"/>
          <w:spacing w:val="0"/>
          <w:sz w:val="24"/>
          <w:szCs w:val="24"/>
          <w:highlight w:val="none"/>
        </w:rPr>
        <w:t>2、项目名称：</w:t>
      </w:r>
      <w:r>
        <w:rPr>
          <w:rFonts w:hint="eastAsia" w:ascii="宋体" w:hAnsi="宋体" w:eastAsia="宋体" w:cs="宋体"/>
          <w:bCs/>
          <w:color w:val="000000"/>
          <w:spacing w:val="0"/>
          <w:sz w:val="24"/>
          <w:szCs w:val="24"/>
          <w:highlight w:val="none"/>
          <w:lang w:eastAsia="zh-CN"/>
        </w:rPr>
        <w:t>淮滨县公共交通和道路运输服务中心淮滨县通达客运站改造工程(场站改造建设)</w:t>
      </w:r>
    </w:p>
    <w:p w14:paraId="339EC473">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3、采购方式：竞争性磋商</w:t>
      </w:r>
    </w:p>
    <w:p w14:paraId="1C018472">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rPr>
        <w:t>4、预算金额：</w:t>
      </w:r>
      <w:r>
        <w:rPr>
          <w:rFonts w:hint="eastAsia" w:ascii="宋体" w:hAnsi="宋体" w:eastAsia="宋体" w:cs="宋体"/>
          <w:bCs/>
          <w:color w:val="000000"/>
          <w:sz w:val="24"/>
          <w:szCs w:val="24"/>
          <w:highlight w:val="none"/>
          <w:lang w:val="en-US" w:eastAsia="zh-CN"/>
        </w:rPr>
        <w:t xml:space="preserve">3961888.09元   </w:t>
      </w:r>
    </w:p>
    <w:p w14:paraId="30D1E5C6">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rPr>
        <w:t>最高限价</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lang w:val="en-US" w:eastAsia="zh-CN"/>
        </w:rPr>
        <w:t>3961888.09</w:t>
      </w:r>
      <w:r>
        <w:rPr>
          <w:rFonts w:hint="eastAsia" w:ascii="宋体" w:hAnsi="宋体" w:eastAsia="宋体" w:cs="宋体"/>
          <w:bCs/>
          <w:color w:val="000000"/>
          <w:sz w:val="24"/>
          <w:szCs w:val="24"/>
          <w:highlight w:val="none"/>
          <w:lang w:eastAsia="zh-CN"/>
        </w:rPr>
        <w:t>元</w:t>
      </w:r>
    </w:p>
    <w:tbl>
      <w:tblPr>
        <w:tblStyle w:val="32"/>
        <w:tblW w:w="10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536"/>
        <w:gridCol w:w="2544"/>
        <w:gridCol w:w="1453"/>
        <w:gridCol w:w="1529"/>
        <w:gridCol w:w="1278"/>
        <w:gridCol w:w="1454"/>
      </w:tblGrid>
      <w:tr w14:paraId="1132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71" w:type="dxa"/>
            <w:noWrap w:val="0"/>
            <w:vAlign w:val="center"/>
          </w:tcPr>
          <w:p w14:paraId="7E19693E">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序号</w:t>
            </w:r>
          </w:p>
        </w:tc>
        <w:tc>
          <w:tcPr>
            <w:tcW w:w="1536" w:type="dxa"/>
            <w:noWrap w:val="0"/>
            <w:vAlign w:val="center"/>
          </w:tcPr>
          <w:p w14:paraId="7195041E">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包号</w:t>
            </w:r>
          </w:p>
        </w:tc>
        <w:tc>
          <w:tcPr>
            <w:tcW w:w="2544" w:type="dxa"/>
            <w:noWrap w:val="0"/>
            <w:vAlign w:val="center"/>
          </w:tcPr>
          <w:p w14:paraId="2E2DF7DB">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包名称</w:t>
            </w:r>
          </w:p>
        </w:tc>
        <w:tc>
          <w:tcPr>
            <w:tcW w:w="1453" w:type="dxa"/>
            <w:noWrap w:val="0"/>
            <w:vAlign w:val="center"/>
          </w:tcPr>
          <w:p w14:paraId="16C5DE63">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包预算</w:t>
            </w:r>
          </w:p>
          <w:p w14:paraId="75505130">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val="en-US" w:eastAsia="zh-CN"/>
              </w:rPr>
              <w:t>（元）</w:t>
            </w:r>
          </w:p>
        </w:tc>
        <w:tc>
          <w:tcPr>
            <w:tcW w:w="1529" w:type="dxa"/>
            <w:noWrap w:val="0"/>
            <w:vAlign w:val="center"/>
          </w:tcPr>
          <w:p w14:paraId="38715EBB">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val="en-US" w:eastAsia="zh-CN"/>
              </w:rPr>
              <w:t>包最高限价（元）</w:t>
            </w:r>
          </w:p>
        </w:tc>
        <w:tc>
          <w:tcPr>
            <w:tcW w:w="1278" w:type="dxa"/>
            <w:noWrap w:val="0"/>
            <w:vAlign w:val="center"/>
          </w:tcPr>
          <w:p w14:paraId="493E1B3D">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是否专门面向中小企业</w:t>
            </w:r>
          </w:p>
        </w:tc>
        <w:tc>
          <w:tcPr>
            <w:tcW w:w="1454" w:type="dxa"/>
            <w:noWrap w:val="0"/>
            <w:vAlign w:val="center"/>
          </w:tcPr>
          <w:p w14:paraId="7A532F13">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采购预留金额（元）</w:t>
            </w:r>
          </w:p>
        </w:tc>
      </w:tr>
      <w:tr w14:paraId="1FCF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471" w:type="dxa"/>
            <w:noWrap w:val="0"/>
            <w:vAlign w:val="center"/>
          </w:tcPr>
          <w:p w14:paraId="3869A597">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1</w:t>
            </w:r>
          </w:p>
        </w:tc>
        <w:tc>
          <w:tcPr>
            <w:tcW w:w="1536" w:type="dxa"/>
            <w:noWrap w:val="0"/>
            <w:vAlign w:val="center"/>
          </w:tcPr>
          <w:p w14:paraId="6AB8F63C">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default"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淮财磋商采购-2026-40-1</w:t>
            </w:r>
          </w:p>
        </w:tc>
        <w:tc>
          <w:tcPr>
            <w:tcW w:w="2544" w:type="dxa"/>
            <w:noWrap w:val="0"/>
            <w:vAlign w:val="center"/>
          </w:tcPr>
          <w:p w14:paraId="6BCA7428">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淮滨县公共交通和道路运输服务中心淮滨县通达客运站改造工程(场站改造建设)</w:t>
            </w:r>
          </w:p>
        </w:tc>
        <w:tc>
          <w:tcPr>
            <w:tcW w:w="1453" w:type="dxa"/>
            <w:noWrap w:val="0"/>
            <w:vAlign w:val="center"/>
          </w:tcPr>
          <w:p w14:paraId="686359B3">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3961888.09</w:t>
            </w:r>
          </w:p>
        </w:tc>
        <w:tc>
          <w:tcPr>
            <w:tcW w:w="1529" w:type="dxa"/>
            <w:noWrap w:val="0"/>
            <w:vAlign w:val="center"/>
          </w:tcPr>
          <w:p w14:paraId="38471DD8">
            <w:pPr>
              <w:pStyle w:val="27"/>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3961888.09</w:t>
            </w:r>
          </w:p>
        </w:tc>
        <w:tc>
          <w:tcPr>
            <w:tcW w:w="1278" w:type="dxa"/>
            <w:noWrap w:val="0"/>
            <w:vAlign w:val="center"/>
          </w:tcPr>
          <w:p w14:paraId="54A7D2C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0" w:firstLineChars="0"/>
              <w:jc w:val="center"/>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color w:val="000000"/>
                <w:sz w:val="24"/>
                <w:szCs w:val="24"/>
                <w:highlight w:val="none"/>
                <w:vertAlign w:val="baseline"/>
                <w:lang w:val="en-US" w:eastAsia="zh-CN"/>
              </w:rPr>
              <w:t>是</w:t>
            </w:r>
          </w:p>
        </w:tc>
        <w:tc>
          <w:tcPr>
            <w:tcW w:w="1454" w:type="dxa"/>
            <w:noWrap w:val="0"/>
            <w:vAlign w:val="center"/>
          </w:tcPr>
          <w:p w14:paraId="25B6761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0" w:firstLineChars="0"/>
              <w:jc w:val="center"/>
              <w:textAlignment w:val="auto"/>
              <w:rPr>
                <w:rFonts w:hint="eastAsia" w:ascii="宋体" w:hAnsi="宋体" w:eastAsia="宋体" w:cs="宋体"/>
                <w:bCs/>
                <w:color w:val="C00000"/>
                <w:sz w:val="24"/>
                <w:szCs w:val="24"/>
                <w:highlight w:val="none"/>
                <w:lang w:val="en-US" w:eastAsia="zh-CN"/>
              </w:rPr>
            </w:pPr>
            <w:r>
              <w:rPr>
                <w:rFonts w:hint="eastAsia" w:ascii="宋体" w:hAnsi="宋体" w:cs="宋体"/>
                <w:color w:val="auto"/>
                <w:sz w:val="24"/>
                <w:szCs w:val="24"/>
                <w:highlight w:val="none"/>
                <w:vertAlign w:val="baseline"/>
                <w:lang w:val="en-US" w:eastAsia="zh-CN"/>
              </w:rPr>
              <w:t>3961888.09</w:t>
            </w:r>
          </w:p>
        </w:tc>
      </w:tr>
    </w:tbl>
    <w:p w14:paraId="39131EC8">
      <w:pPr>
        <w:pStyle w:val="27"/>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kern w:val="0"/>
          <w:sz w:val="24"/>
          <w:szCs w:val="24"/>
          <w:lang w:val="en-US" w:eastAsia="zh-CN" w:bidi="ar-SA"/>
        </w:rPr>
        <w:t>5、</w:t>
      </w:r>
      <w:r>
        <w:rPr>
          <w:rFonts w:hint="eastAsia" w:ascii="宋体" w:hAnsi="宋体" w:eastAsia="宋体" w:cs="宋体"/>
          <w:bCs/>
          <w:color w:val="000000"/>
          <w:sz w:val="24"/>
          <w:szCs w:val="24"/>
          <w:highlight w:val="none"/>
        </w:rPr>
        <w:t>采购需求：（包括但不限于标的的名称、数量、简要技术需求或服务要求等）</w:t>
      </w:r>
    </w:p>
    <w:p w14:paraId="79B3B2A1">
      <w:pPr>
        <w:pStyle w:val="27"/>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000000"/>
          <w:sz w:val="24"/>
          <w:szCs w:val="24"/>
          <w:highlight w:val="none"/>
        </w:rPr>
        <w:t>5.1</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采购内容</w:t>
      </w:r>
      <w:r>
        <w:rPr>
          <w:rFonts w:hint="eastAsia" w:ascii="宋体" w:hAnsi="宋体" w:eastAsia="宋体" w:cs="宋体"/>
          <w:bCs/>
          <w:color w:val="000000"/>
          <w:sz w:val="24"/>
          <w:szCs w:val="24"/>
          <w:highlight w:val="none"/>
          <w:lang w:val="en-US" w:eastAsia="zh-CN"/>
        </w:rPr>
        <w:t>：</w:t>
      </w:r>
      <w:r>
        <w:rPr>
          <w:rFonts w:hint="eastAsia" w:ascii="宋体" w:hAnsi="宋体" w:eastAsia="宋体" w:cs="宋体"/>
          <w:bCs/>
          <w:color w:val="auto"/>
          <w:sz w:val="24"/>
          <w:szCs w:val="24"/>
          <w:highlight w:val="none"/>
          <w:lang w:val="en-US" w:eastAsia="zh-CN"/>
        </w:rPr>
        <w:t>主要内容包括候车厅改造、公共卫生间改造、新增票据室、场区工程（包括道路、围墙、立缘石、自动伸缩门、自动抬杆、成品门卫房及道路标线等）、室外给水及雨污水改造等。</w:t>
      </w:r>
    </w:p>
    <w:p w14:paraId="2B3651A9">
      <w:pPr>
        <w:pStyle w:val="27"/>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5.2 资金来源：财政资金；</w:t>
      </w:r>
    </w:p>
    <w:p w14:paraId="32CAC8B8">
      <w:pPr>
        <w:pStyle w:val="27"/>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FF0000"/>
          <w:sz w:val="24"/>
          <w:szCs w:val="24"/>
          <w:highlight w:val="none"/>
        </w:rPr>
      </w:pPr>
      <w:r>
        <w:rPr>
          <w:rFonts w:hint="eastAsia" w:ascii="宋体" w:hAnsi="宋体" w:eastAsia="宋体" w:cs="宋体"/>
          <w:bCs/>
          <w:color w:val="000000"/>
          <w:sz w:val="24"/>
          <w:szCs w:val="24"/>
          <w:highlight w:val="none"/>
        </w:rPr>
        <w:t>5.</w:t>
      </w:r>
      <w:r>
        <w:rPr>
          <w:rFonts w:hint="eastAsia" w:ascii="宋体" w:hAnsi="宋体" w:eastAsia="宋体" w:cs="宋体"/>
          <w:bCs/>
          <w:color w:val="000000"/>
          <w:sz w:val="24"/>
          <w:szCs w:val="24"/>
          <w:highlight w:val="none"/>
          <w:lang w:val="en-US" w:eastAsia="zh-CN"/>
        </w:rPr>
        <w:t xml:space="preserve">3 </w:t>
      </w:r>
      <w:r>
        <w:rPr>
          <w:rFonts w:hint="eastAsia" w:ascii="宋体" w:hAnsi="宋体" w:eastAsia="宋体" w:cs="宋体"/>
          <w:bCs/>
          <w:color w:val="000000"/>
          <w:sz w:val="24"/>
          <w:szCs w:val="24"/>
          <w:highlight w:val="none"/>
          <w:lang w:eastAsia="zh-CN"/>
        </w:rPr>
        <w:t>计划</w:t>
      </w:r>
      <w:r>
        <w:rPr>
          <w:rFonts w:hint="eastAsia" w:ascii="宋体" w:hAnsi="宋体" w:eastAsia="宋体" w:cs="宋体"/>
          <w:bCs/>
          <w:color w:val="000000"/>
          <w:sz w:val="24"/>
          <w:szCs w:val="24"/>
          <w:highlight w:val="none"/>
        </w:rPr>
        <w:t>工</w:t>
      </w:r>
      <w:r>
        <w:rPr>
          <w:rFonts w:hint="eastAsia" w:ascii="宋体" w:hAnsi="宋体" w:eastAsia="宋体" w:cs="宋体"/>
          <w:bCs/>
          <w:color w:val="000000"/>
          <w:sz w:val="24"/>
          <w:szCs w:val="24"/>
          <w:highlight w:val="none"/>
          <w:lang w:val="en-US" w:eastAsia="zh-CN"/>
        </w:rPr>
        <w:t>期</w:t>
      </w:r>
      <w:r>
        <w:rPr>
          <w:rFonts w:hint="eastAsia" w:ascii="宋体" w:hAnsi="宋体" w:eastAsia="宋体" w:cs="宋体"/>
          <w:bCs/>
          <w:color w:val="auto"/>
          <w:sz w:val="24"/>
          <w:szCs w:val="24"/>
          <w:highlight w:val="none"/>
          <w:lang w:val="en-US" w:eastAsia="zh-CN"/>
        </w:rPr>
        <w:t>：60日历天；</w:t>
      </w:r>
    </w:p>
    <w:p w14:paraId="6F6EE6C6">
      <w:pPr>
        <w:pStyle w:val="27"/>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eastAsia="zh-CN"/>
        </w:rPr>
      </w:pPr>
      <w:r>
        <w:rPr>
          <w:rFonts w:hint="eastAsia" w:ascii="宋体" w:hAnsi="宋体" w:eastAsia="宋体" w:cs="宋体"/>
          <w:bCs/>
          <w:color w:val="000000"/>
          <w:sz w:val="24"/>
          <w:szCs w:val="24"/>
          <w:highlight w:val="none"/>
        </w:rPr>
        <w:t>5.</w:t>
      </w:r>
      <w:r>
        <w:rPr>
          <w:rFonts w:hint="eastAsia" w:ascii="宋体" w:hAnsi="宋体" w:eastAsia="宋体" w:cs="宋体"/>
          <w:bCs/>
          <w:color w:val="000000"/>
          <w:sz w:val="24"/>
          <w:szCs w:val="24"/>
          <w:highlight w:val="none"/>
          <w:lang w:val="en-US" w:eastAsia="zh-CN"/>
        </w:rPr>
        <w:t xml:space="preserve">4 </w:t>
      </w:r>
      <w:r>
        <w:rPr>
          <w:rFonts w:hint="eastAsia" w:ascii="宋体" w:hAnsi="宋体" w:eastAsia="宋体" w:cs="宋体"/>
          <w:bCs/>
          <w:color w:val="000000"/>
          <w:sz w:val="24"/>
          <w:szCs w:val="24"/>
          <w:highlight w:val="none"/>
        </w:rPr>
        <w:t>质量要求：</w:t>
      </w:r>
      <w:r>
        <w:rPr>
          <w:rFonts w:hint="eastAsia" w:ascii="宋体" w:hAnsi="宋体" w:eastAsia="宋体" w:cs="宋体"/>
          <w:bCs/>
          <w:color w:val="000000"/>
          <w:sz w:val="24"/>
          <w:szCs w:val="24"/>
          <w:highlight w:val="none"/>
          <w:lang w:eastAsia="zh-CN"/>
        </w:rPr>
        <w:t>合格。</w:t>
      </w:r>
    </w:p>
    <w:p w14:paraId="20F23454">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6、合同履行期限：</w:t>
      </w:r>
      <w:r>
        <w:rPr>
          <w:rFonts w:hint="eastAsia" w:ascii="宋体" w:hAnsi="宋体" w:eastAsia="宋体" w:cs="宋体"/>
          <w:bCs/>
          <w:color w:val="000000"/>
          <w:sz w:val="24"/>
          <w:szCs w:val="24"/>
          <w:highlight w:val="none"/>
          <w:u w:val="none"/>
          <w:lang w:val="en-US" w:eastAsia="zh-CN"/>
        </w:rPr>
        <w:t>同计划工期</w:t>
      </w:r>
      <w:r>
        <w:rPr>
          <w:rFonts w:hint="eastAsia" w:ascii="宋体" w:hAnsi="宋体" w:eastAsia="宋体" w:cs="宋体"/>
          <w:bCs/>
          <w:color w:val="000000"/>
          <w:sz w:val="24"/>
          <w:szCs w:val="24"/>
          <w:highlight w:val="none"/>
          <w:u w:val="none"/>
        </w:rPr>
        <w:t>。</w:t>
      </w:r>
    </w:p>
    <w:p w14:paraId="706DAD4A">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7、本项目是否接受联合体投标：否。</w:t>
      </w:r>
    </w:p>
    <w:p w14:paraId="3F117061">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8、是否接受进口产品：否</w:t>
      </w:r>
      <w:r>
        <w:rPr>
          <w:rFonts w:hint="eastAsia" w:ascii="宋体" w:hAnsi="宋体" w:eastAsia="宋体" w:cs="宋体"/>
          <w:color w:val="000000"/>
          <w:sz w:val="24"/>
          <w:szCs w:val="24"/>
          <w:highlight w:val="none"/>
          <w:lang w:eastAsia="zh-CN"/>
        </w:rPr>
        <w:t>。</w:t>
      </w:r>
    </w:p>
    <w:p w14:paraId="2319D52A">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9、是否专门面向中小企业：是</w:t>
      </w:r>
      <w:r>
        <w:rPr>
          <w:rFonts w:hint="eastAsia" w:ascii="宋体" w:hAnsi="宋体" w:eastAsia="宋体" w:cs="宋体"/>
          <w:color w:val="000000"/>
          <w:sz w:val="24"/>
          <w:szCs w:val="24"/>
          <w:highlight w:val="none"/>
          <w:lang w:eastAsia="zh-CN"/>
        </w:rPr>
        <w:t>。</w:t>
      </w:r>
    </w:p>
    <w:p w14:paraId="105E3FDC">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0" w:name="_Toc4383"/>
      <w:r>
        <w:rPr>
          <w:rFonts w:hint="eastAsia" w:ascii="宋体" w:hAnsi="宋体" w:eastAsia="宋体" w:cs="宋体"/>
          <w:b/>
          <w:bCs w:val="0"/>
          <w:color w:val="000000"/>
          <w:spacing w:val="0"/>
          <w:sz w:val="24"/>
          <w:szCs w:val="24"/>
          <w:highlight w:val="none"/>
          <w:lang w:eastAsia="zh-CN"/>
        </w:rPr>
        <w:t>二、申请人资格要求：</w:t>
      </w:r>
      <w:bookmarkEnd w:id="40"/>
    </w:p>
    <w:p w14:paraId="6A9FA909">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1、满足《中华人民共和国政府采购法》第二十二条规定</w:t>
      </w:r>
      <w:r>
        <w:rPr>
          <w:rFonts w:hint="eastAsia" w:ascii="宋体" w:hAnsi="宋体" w:eastAsia="宋体" w:cs="宋体"/>
          <w:color w:val="000000"/>
          <w:sz w:val="24"/>
          <w:szCs w:val="24"/>
          <w:highlight w:val="none"/>
          <w:lang w:eastAsia="zh-CN"/>
        </w:rPr>
        <w:t>；</w:t>
      </w:r>
    </w:p>
    <w:p w14:paraId="5C668A05">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2、落实政府采购政策满足的资格要求</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本项目</w:t>
      </w:r>
      <w:r>
        <w:rPr>
          <w:rFonts w:hint="eastAsia" w:ascii="宋体" w:hAnsi="宋体" w:eastAsia="宋体" w:cs="宋体"/>
          <w:b/>
          <w:bCs/>
          <w:color w:val="000000"/>
          <w:sz w:val="24"/>
          <w:szCs w:val="24"/>
          <w:highlight w:val="none"/>
          <w:lang w:eastAsia="zh-CN"/>
        </w:rPr>
        <w:t>专门面向中小企业。根据《政府采购促进中小企业发展管理办法》（财库【2020】46号）第四条之规定，在政府采购活动中，供应商提供的服务享受本办法规定的中小企业扶持政策（在工程采购项目中，工程由中小企业承建，即工程施工单位为中小企业），中小企业的其他主体的政府采购扶持政策本项目不适用。参加本项目的中小企业须提供《中小企业声明函》（格式详见</w:t>
      </w:r>
      <w:r>
        <w:rPr>
          <w:rFonts w:hint="eastAsia" w:ascii="宋体" w:hAnsi="宋体" w:eastAsia="宋体" w:cs="宋体"/>
          <w:b/>
          <w:bCs/>
          <w:color w:val="000000"/>
          <w:sz w:val="24"/>
          <w:szCs w:val="24"/>
          <w:highlight w:val="none"/>
          <w:lang w:val="en-US" w:eastAsia="zh-CN"/>
        </w:rPr>
        <w:t>磋商</w:t>
      </w:r>
      <w:r>
        <w:rPr>
          <w:rFonts w:hint="eastAsia" w:ascii="宋体" w:hAnsi="宋体" w:eastAsia="宋体" w:cs="宋体"/>
          <w:b/>
          <w:bCs/>
          <w:color w:val="000000"/>
          <w:sz w:val="24"/>
          <w:szCs w:val="24"/>
          <w:highlight w:val="none"/>
          <w:lang w:eastAsia="zh-CN"/>
        </w:rPr>
        <w:t>文件内《中小企业声明函》样本），不符合要求的声明函或未提供的将视为不符合资格要求</w:t>
      </w:r>
      <w:r>
        <w:rPr>
          <w:rFonts w:hint="eastAsia" w:ascii="宋体" w:hAnsi="宋体" w:eastAsia="宋体" w:cs="宋体"/>
          <w:b/>
          <w:bCs/>
          <w:color w:val="000000"/>
          <w:sz w:val="24"/>
          <w:szCs w:val="24"/>
          <w:highlight w:val="none"/>
        </w:rPr>
        <w:t>。</w:t>
      </w:r>
    </w:p>
    <w:p w14:paraId="6AF946FF">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SA"/>
        </w:rPr>
        <w:t>3、</w:t>
      </w:r>
      <w:r>
        <w:rPr>
          <w:rFonts w:hint="eastAsia" w:ascii="宋体" w:hAnsi="宋体" w:eastAsia="宋体" w:cs="宋体"/>
          <w:color w:val="000000"/>
          <w:kern w:val="0"/>
          <w:sz w:val="24"/>
          <w:szCs w:val="24"/>
          <w:highlight w:val="none"/>
        </w:rPr>
        <w:t>本项目的特定资格要求：</w:t>
      </w:r>
    </w:p>
    <w:p w14:paraId="65706812">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3.1 具有独立承担民事责任的能力；</w:t>
      </w:r>
    </w:p>
    <w:p w14:paraId="7A736266">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3.2 具有良好的商业信誉和健全的财务会计制度(提供</w:t>
      </w:r>
      <w:r>
        <w:rPr>
          <w:rFonts w:hint="eastAsia" w:ascii="宋体" w:hAnsi="宋体" w:cs="宋体"/>
          <w:color w:val="000000"/>
          <w:kern w:val="0"/>
          <w:sz w:val="24"/>
          <w:szCs w:val="24"/>
          <w:highlight w:val="none"/>
          <w:lang w:val="en-US" w:eastAsia="zh-CN"/>
        </w:rPr>
        <w:t>2025年</w:t>
      </w:r>
      <w:r>
        <w:rPr>
          <w:rFonts w:hint="eastAsia" w:ascii="宋体" w:hAnsi="宋体" w:eastAsia="宋体" w:cs="宋体"/>
          <w:color w:val="000000"/>
          <w:kern w:val="0"/>
          <w:sz w:val="24"/>
          <w:szCs w:val="24"/>
          <w:highlight w:val="none"/>
          <w:lang w:val="en-US" w:eastAsia="zh-CN"/>
        </w:rPr>
        <w:t>度经审计的财务审计报告，若企业成立年份不足的，提供开户行出具的资信证明</w:t>
      </w:r>
      <w:r>
        <w:rPr>
          <w:rFonts w:hint="eastAsia" w:ascii="宋体" w:hAnsi="宋体" w:cs="宋体"/>
          <w:color w:val="000000"/>
          <w:kern w:val="0"/>
          <w:sz w:val="24"/>
          <w:szCs w:val="24"/>
          <w:highlight w:val="none"/>
          <w:lang w:val="en-US" w:eastAsia="zh-CN"/>
        </w:rPr>
        <w:t>；提供健全的财务管理制度</w:t>
      </w:r>
      <w:r>
        <w:rPr>
          <w:rFonts w:hint="eastAsia" w:ascii="宋体" w:hAnsi="宋体" w:eastAsia="宋体" w:cs="宋体"/>
          <w:color w:val="000000"/>
          <w:kern w:val="0"/>
          <w:sz w:val="24"/>
          <w:szCs w:val="24"/>
          <w:highlight w:val="none"/>
          <w:lang w:val="en-US" w:eastAsia="zh-CN"/>
        </w:rPr>
        <w:t>)；</w:t>
      </w:r>
    </w:p>
    <w:p w14:paraId="63A662E7">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3.3 具有履行合同所必需的设备和专业技术能力(履行合同的法定营业执照及承诺书)；</w:t>
      </w:r>
    </w:p>
    <w:p w14:paraId="04D5F97C">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3.4 有依法缴纳税收和社会保障资金的良好记录(提供近</w:t>
      </w:r>
      <w:r>
        <w:rPr>
          <w:rFonts w:hint="eastAsia" w:ascii="宋体" w:hAnsi="宋体" w:cs="宋体"/>
          <w:color w:val="000000"/>
          <w:kern w:val="0"/>
          <w:sz w:val="24"/>
          <w:szCs w:val="24"/>
          <w:highlight w:val="none"/>
          <w:lang w:val="en-US" w:eastAsia="zh-CN"/>
        </w:rPr>
        <w:t>十二</w:t>
      </w:r>
      <w:r>
        <w:rPr>
          <w:rFonts w:hint="eastAsia" w:ascii="宋体" w:hAnsi="宋体" w:eastAsia="宋体" w:cs="宋体"/>
          <w:color w:val="000000"/>
          <w:kern w:val="0"/>
          <w:sz w:val="24"/>
          <w:szCs w:val="24"/>
          <w:highlight w:val="none"/>
          <w:lang w:val="en-US" w:eastAsia="zh-CN"/>
        </w:rPr>
        <w:t>个月中任意</w:t>
      </w:r>
      <w:r>
        <w:rPr>
          <w:rFonts w:hint="eastAsia" w:ascii="宋体" w:hAnsi="宋体" w:cs="宋体"/>
          <w:color w:val="000000"/>
          <w:kern w:val="0"/>
          <w:sz w:val="24"/>
          <w:szCs w:val="24"/>
          <w:highlight w:val="none"/>
          <w:lang w:val="en-US" w:eastAsia="zh-CN"/>
        </w:rPr>
        <w:t>三</w:t>
      </w:r>
      <w:r>
        <w:rPr>
          <w:rFonts w:hint="eastAsia" w:ascii="宋体" w:hAnsi="宋体" w:eastAsia="宋体" w:cs="宋体"/>
          <w:color w:val="000000"/>
          <w:kern w:val="0"/>
          <w:sz w:val="24"/>
          <w:szCs w:val="24"/>
          <w:highlight w:val="none"/>
          <w:lang w:val="en-US" w:eastAsia="zh-CN"/>
        </w:rPr>
        <w:t>个月</w:t>
      </w:r>
      <w:r>
        <w:rPr>
          <w:rFonts w:hint="eastAsia" w:ascii="宋体" w:hAnsi="宋体" w:eastAsia="宋体" w:cs="宋体"/>
          <w:color w:val="auto"/>
          <w:kern w:val="0"/>
          <w:sz w:val="24"/>
          <w:szCs w:val="24"/>
          <w:highlight w:val="none"/>
        </w:rPr>
        <w:t>依法缴纳税收和社会保障资金的证明材料</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依法免税或不需要缴纳社会保</w:t>
      </w:r>
      <w:r>
        <w:rPr>
          <w:rFonts w:hint="eastAsia" w:ascii="宋体" w:hAnsi="宋体" w:eastAsia="宋体" w:cs="宋体"/>
          <w:color w:val="000000"/>
          <w:kern w:val="0"/>
          <w:sz w:val="24"/>
          <w:szCs w:val="24"/>
          <w:highlight w:val="none"/>
        </w:rPr>
        <w:t>障资金的供应商，应提供相应证明文件</w:t>
      </w:r>
      <w:r>
        <w:rPr>
          <w:rFonts w:hint="eastAsia" w:ascii="宋体" w:hAnsi="宋体" w:eastAsia="宋体" w:cs="宋体"/>
          <w:color w:val="000000"/>
          <w:kern w:val="0"/>
          <w:sz w:val="24"/>
          <w:szCs w:val="24"/>
          <w:highlight w:val="none"/>
          <w:lang w:val="en-US" w:eastAsia="zh-CN"/>
        </w:rPr>
        <w:t>)；</w:t>
      </w:r>
    </w:p>
    <w:p w14:paraId="345EAB95">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3.5 参加政府采购活动前三年内，在经营活动中没有重大违法记录(提供书面承诺书)；</w:t>
      </w:r>
    </w:p>
    <w:p w14:paraId="484724F0">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3.6 供应商须具有</w:t>
      </w:r>
      <w:r>
        <w:rPr>
          <w:rFonts w:hint="eastAsia" w:ascii="宋体" w:hAnsi="宋体" w:cs="宋体"/>
          <w:color w:val="000000"/>
          <w:kern w:val="0"/>
          <w:sz w:val="24"/>
          <w:szCs w:val="24"/>
          <w:highlight w:val="none"/>
          <w:lang w:val="en-US" w:eastAsia="zh-CN"/>
        </w:rPr>
        <w:t>建筑工程施工总承包贰级及以上资质</w:t>
      </w:r>
      <w:r>
        <w:rPr>
          <w:rFonts w:hint="eastAsia" w:ascii="宋体" w:hAnsi="宋体" w:eastAsia="宋体" w:cs="宋体"/>
          <w:color w:val="000000"/>
          <w:kern w:val="0"/>
          <w:sz w:val="24"/>
          <w:szCs w:val="24"/>
          <w:highlight w:val="none"/>
          <w:lang w:val="en-US" w:eastAsia="zh-CN"/>
        </w:rPr>
        <w:t>，具有有效的安全生产许可证；拟派项目经理须具有</w:t>
      </w:r>
      <w:r>
        <w:rPr>
          <w:rFonts w:hint="eastAsia" w:ascii="宋体" w:hAnsi="宋体" w:cs="宋体"/>
          <w:color w:val="000000"/>
          <w:kern w:val="0"/>
          <w:sz w:val="24"/>
          <w:szCs w:val="24"/>
          <w:highlight w:val="none"/>
          <w:lang w:val="en-US" w:eastAsia="zh-CN"/>
        </w:rPr>
        <w:t>建筑工程专业贰级</w:t>
      </w:r>
      <w:r>
        <w:rPr>
          <w:rFonts w:hint="eastAsia" w:ascii="宋体" w:hAnsi="宋体" w:eastAsia="宋体" w:cs="宋体"/>
          <w:color w:val="000000"/>
          <w:kern w:val="0"/>
          <w:sz w:val="24"/>
          <w:szCs w:val="24"/>
          <w:highlight w:val="none"/>
          <w:lang w:val="en-US" w:eastAsia="zh-CN"/>
        </w:rPr>
        <w:t>及以上注册建造师资格（不含临时），具有有效的安全生产考核合格证，且未担任其他在建项目，项目经理须为供应商本单位人员，提供在本公司缴纳的养老保险证明(以当地社保部门出具的加盖社保部门印章或网络查询页为准，</w:t>
      </w:r>
      <w:r>
        <w:rPr>
          <w:rFonts w:hint="eastAsia" w:cs="Times New Roman"/>
          <w:lang w:val="en-US" w:eastAsia="zh-CN"/>
        </w:rPr>
        <w:t>养老保险证明须是单位整体缴纳清单或个人缴费明细表，</w:t>
      </w:r>
      <w:r>
        <w:rPr>
          <w:rFonts w:hint="eastAsia" w:ascii="宋体" w:hAnsi="宋体" w:eastAsia="宋体" w:cs="宋体"/>
          <w:color w:val="000000"/>
          <w:kern w:val="0"/>
          <w:sz w:val="24"/>
          <w:szCs w:val="24"/>
          <w:highlight w:val="none"/>
          <w:lang w:val="en-US" w:eastAsia="zh-CN"/>
        </w:rPr>
        <w:t>查询日期为</w:t>
      </w:r>
      <w:r>
        <w:rPr>
          <w:rFonts w:hint="eastAsia" w:ascii="宋体" w:hAnsi="宋体" w:eastAsia="宋体" w:cs="宋体"/>
          <w:b w:val="0"/>
          <w:bCs w:val="0"/>
          <w:kern w:val="2"/>
          <w:sz w:val="24"/>
          <w:szCs w:val="24"/>
          <w:highlight w:val="none"/>
          <w:lang w:val="en-US" w:eastAsia="zh-CN" w:bidi="ar-SA"/>
        </w:rPr>
        <w:t>公告发布之日起至投标截止之日止</w:t>
      </w:r>
      <w:r>
        <w:rPr>
          <w:rFonts w:hint="eastAsia" w:ascii="宋体" w:hAnsi="宋体" w:eastAsia="宋体" w:cs="宋体"/>
          <w:color w:val="000000"/>
          <w:kern w:val="0"/>
          <w:sz w:val="24"/>
          <w:szCs w:val="24"/>
          <w:highlight w:val="none"/>
          <w:lang w:val="en-US" w:eastAsia="zh-CN"/>
        </w:rPr>
        <w:t>)；</w:t>
      </w:r>
    </w:p>
    <w:p w14:paraId="44B4F7B2">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rPr>
        <w:t xml:space="preserve">3.7 </w:t>
      </w:r>
      <w:r>
        <w:rPr>
          <w:rFonts w:hint="eastAsia" w:ascii="宋体" w:hAnsi="宋体" w:eastAsia="宋体" w:cs="宋体"/>
          <w:b w:val="0"/>
          <w:bCs w:val="0"/>
          <w:kern w:val="2"/>
          <w:sz w:val="24"/>
          <w:szCs w:val="24"/>
          <w:highlight w:val="none"/>
          <w:lang w:val="en-US" w:eastAsia="zh-CN" w:bidi="ar-SA"/>
        </w:rPr>
        <w:t xml:space="preserve">根据《关于在政府采购活动中查询及使用信用记录有关问题的通知》财库[2016]125号文件和豫财购【2016】15号文件的规定，供应商应提供“信用中国”网站（www.creditchina.gov.cn）查询“失信被执行人”、“重大税收违法失信主体”和“严重失信主体名单查询”；中国政府采购网（www.ccgp.gov.cn）查询“政府采购严重违法失信行为记录名单”渠道查询自身信用记录，提供查询网页截图，查询截止时点为：从公告发布之日起至投标截止之日止。 </w:t>
      </w:r>
    </w:p>
    <w:p w14:paraId="0CA0A2DC">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000000"/>
          <w:kern w:val="0"/>
          <w:sz w:val="24"/>
          <w:szCs w:val="24"/>
          <w:highlight w:val="none"/>
        </w:rPr>
      </w:pPr>
      <w:r>
        <w:rPr>
          <w:rFonts w:hint="eastAsia" w:ascii="宋体" w:hAnsi="宋体" w:eastAsia="宋体" w:cs="宋体"/>
          <w:color w:val="000000"/>
          <w:kern w:val="0"/>
          <w:sz w:val="24"/>
          <w:szCs w:val="24"/>
          <w:highlight w:val="none"/>
          <w:lang w:val="en-US" w:eastAsia="zh-CN"/>
        </w:rPr>
        <w:t xml:space="preserve">3.8 </w:t>
      </w:r>
      <w:r>
        <w:rPr>
          <w:rFonts w:hint="eastAsia" w:ascii="宋体" w:hAnsi="宋体" w:eastAsia="宋体" w:cs="宋体"/>
          <w:color w:val="000000"/>
          <w:kern w:val="0"/>
          <w:sz w:val="24"/>
          <w:szCs w:val="24"/>
          <w:highlight w:val="none"/>
        </w:rPr>
        <w:t>单位负责人为同一人或者存在直接控股、管理关系的不同单位，不得同时参加同一合同项下的政府采购</w:t>
      </w:r>
      <w:r>
        <w:rPr>
          <w:rFonts w:hint="eastAsia" w:ascii="宋体" w:hAnsi="宋体" w:eastAsia="宋体" w:cs="宋体"/>
          <w:b w:val="0"/>
          <w:bCs w:val="0"/>
          <w:color w:val="000000"/>
          <w:kern w:val="0"/>
          <w:sz w:val="24"/>
          <w:szCs w:val="24"/>
          <w:highlight w:val="none"/>
        </w:rPr>
        <w:t>活动</w:t>
      </w:r>
      <w:r>
        <w:rPr>
          <w:rFonts w:hint="eastAsia" w:ascii="宋体" w:hAnsi="宋体" w:eastAsia="宋体" w:cs="宋体"/>
          <w:b w:val="0"/>
          <w:bCs w:val="0"/>
          <w:color w:val="000000"/>
          <w:kern w:val="0"/>
          <w:sz w:val="24"/>
          <w:szCs w:val="24"/>
          <w:highlight w:val="none"/>
          <w:lang w:val="en-US" w:eastAsia="zh-CN"/>
        </w:rPr>
        <w:t>（提供“国家企业信用信息公示系统”中公示的公司基础信息包含股东及出资信息的网站截图信息，</w:t>
      </w:r>
      <w:r>
        <w:rPr>
          <w:rFonts w:hint="eastAsia" w:ascii="宋体" w:hAnsi="宋体" w:eastAsia="宋体" w:cs="宋体"/>
          <w:b w:val="0"/>
          <w:bCs w:val="0"/>
          <w:color w:val="000000"/>
          <w:kern w:val="0"/>
          <w:sz w:val="24"/>
          <w:szCs w:val="24"/>
          <w:highlight w:val="none"/>
          <w:lang w:eastAsia="zh-CN"/>
        </w:rPr>
        <w:t>查询截止时点为：从公告发布之日起至投标截止之日止</w:t>
      </w:r>
      <w:r>
        <w:rPr>
          <w:rFonts w:hint="eastAsia" w:ascii="宋体" w:hAnsi="宋体" w:cs="宋体"/>
          <w:b w:val="0"/>
          <w:bCs w:val="0"/>
          <w:color w:val="000000"/>
          <w:kern w:val="0"/>
          <w:sz w:val="24"/>
          <w:szCs w:val="24"/>
          <w:highlight w:val="none"/>
          <w:lang w:eastAsia="zh-CN"/>
        </w:rPr>
        <w:t>；</w:t>
      </w:r>
      <w:r>
        <w:rPr>
          <w:rFonts w:hint="eastAsia"/>
        </w:rPr>
        <w:t>非企业性质单位在“国家企业信用信息公示系统”查询不到信息的，提供</w:t>
      </w:r>
      <w:r>
        <w:rPr>
          <w:rFonts w:hint="eastAsia" w:ascii="Times New Roman" w:eastAsia="宋体"/>
          <w:lang w:val="en-US" w:eastAsia="zh-CN"/>
        </w:rPr>
        <w:t>声明</w:t>
      </w:r>
      <w:r>
        <w:rPr>
          <w:rFonts w:hint="eastAsia"/>
        </w:rPr>
        <w:t>函</w:t>
      </w:r>
      <w:r>
        <w:rPr>
          <w:rFonts w:hint="eastAsia" w:ascii="宋体" w:hAnsi="宋体" w:eastAsia="宋体" w:cs="宋体"/>
          <w:b w:val="0"/>
          <w:bCs w:val="0"/>
          <w:color w:val="000000"/>
          <w:kern w:val="0"/>
          <w:sz w:val="24"/>
          <w:szCs w:val="24"/>
          <w:highlight w:val="none"/>
          <w:lang w:val="en-US" w:eastAsia="zh-CN"/>
        </w:rPr>
        <w:t>）。</w:t>
      </w:r>
    </w:p>
    <w:p w14:paraId="72D56009">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1" w:name="_Toc14318"/>
      <w:r>
        <w:rPr>
          <w:rFonts w:hint="eastAsia" w:ascii="宋体" w:hAnsi="宋体" w:eastAsia="宋体" w:cs="宋体"/>
          <w:b/>
          <w:bCs w:val="0"/>
          <w:color w:val="000000"/>
          <w:spacing w:val="0"/>
          <w:sz w:val="24"/>
          <w:szCs w:val="24"/>
          <w:highlight w:val="none"/>
          <w:lang w:eastAsia="zh-CN"/>
        </w:rPr>
        <w:t>三、获取采购文件</w:t>
      </w:r>
      <w:bookmarkEnd w:id="41"/>
    </w:p>
    <w:p w14:paraId="53C39AC6">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时间：2026年</w:t>
      </w:r>
      <w:r>
        <w:rPr>
          <w:rFonts w:hint="eastAsia" w:ascii="宋体" w:hAnsi="宋体" w:eastAsia="宋体" w:cs="宋体"/>
          <w:color w:val="000000"/>
          <w:kern w:val="0"/>
          <w:sz w:val="24"/>
          <w:szCs w:val="24"/>
          <w:highlight w:val="none"/>
          <w:lang w:val="en-US" w:eastAsia="zh-CN"/>
        </w:rPr>
        <w:t>09</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lang w:val="en-US" w:eastAsia="zh-CN"/>
        </w:rPr>
        <w:t>30</w:t>
      </w:r>
      <w:r>
        <w:rPr>
          <w:rFonts w:hint="eastAsia" w:ascii="宋体" w:hAnsi="宋体" w:eastAsia="宋体" w:cs="宋体"/>
          <w:color w:val="000000"/>
          <w:kern w:val="0"/>
          <w:sz w:val="24"/>
          <w:szCs w:val="24"/>
          <w:highlight w:val="none"/>
        </w:rPr>
        <w:t>日至 2026年</w:t>
      </w:r>
      <w:r>
        <w:rPr>
          <w:rFonts w:hint="eastAsia" w:ascii="宋体" w:hAnsi="宋体" w:eastAsia="宋体" w:cs="宋体"/>
          <w:color w:val="000000"/>
          <w:kern w:val="0"/>
          <w:sz w:val="24"/>
          <w:szCs w:val="24"/>
          <w:highlight w:val="none"/>
          <w:lang w:val="en-US" w:eastAsia="zh-CN"/>
        </w:rPr>
        <w:t>10</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lang w:val="en-US" w:eastAsia="zh-CN"/>
        </w:rPr>
        <w:t>12</w:t>
      </w:r>
      <w:r>
        <w:rPr>
          <w:rFonts w:hint="eastAsia" w:ascii="宋体" w:hAnsi="宋体" w:eastAsia="宋体" w:cs="宋体"/>
          <w:color w:val="000000"/>
          <w:kern w:val="0"/>
          <w:sz w:val="24"/>
          <w:szCs w:val="24"/>
          <w:highlight w:val="none"/>
        </w:rPr>
        <w:t>日，每天上午00:00至12:00，下午12:00至23:59（北京时间，法定节假日除外。）</w:t>
      </w:r>
    </w:p>
    <w:p w14:paraId="2881679A">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地点：</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“全国公共资源交易平台（河南省·信阳市）（https://ggzyjy.xinyang.gov.cn）”网站，凭办理的企业身份认证锁（CA数字证书）</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会员系统</w:t>
      </w:r>
      <w:r>
        <w:rPr>
          <w:rFonts w:hint="eastAsia" w:ascii="宋体" w:hAnsi="宋体" w:eastAsia="宋体" w:cs="宋体"/>
          <w:color w:val="000000"/>
          <w:kern w:val="0"/>
          <w:sz w:val="24"/>
          <w:szCs w:val="24"/>
          <w:highlight w:val="none"/>
          <w:lang w:val="en-US" w:eastAsia="zh-CN"/>
        </w:rPr>
        <w:t>获取磋商文件</w:t>
      </w:r>
      <w:r>
        <w:rPr>
          <w:rFonts w:hint="eastAsia" w:ascii="宋体" w:hAnsi="宋体" w:eastAsia="宋体" w:cs="宋体"/>
          <w:color w:val="000000"/>
          <w:kern w:val="0"/>
          <w:sz w:val="24"/>
          <w:szCs w:val="24"/>
          <w:highlight w:val="none"/>
        </w:rPr>
        <w:t>。</w:t>
      </w:r>
    </w:p>
    <w:p w14:paraId="123680B6">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方式：</w:t>
      </w:r>
    </w:p>
    <w:p w14:paraId="74F6C79E">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3.1 潜在供应商凭CA数字证书登录会员系统后，即可按网上提示免费下载招标（采购）文件及资料（操作程序详见信阳市公共资源交易中心网站下载中心栏目里投标人操作手册）。</w:t>
      </w:r>
    </w:p>
    <w:p w14:paraId="01195ED6">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请</w:t>
      </w:r>
      <w:r>
        <w:rPr>
          <w:rFonts w:hint="eastAsia" w:ascii="宋体" w:hAnsi="宋体" w:eastAsia="宋体" w:cs="宋体"/>
          <w:color w:val="000000"/>
          <w:kern w:val="0"/>
          <w:sz w:val="24"/>
          <w:szCs w:val="24"/>
          <w:highlight w:val="none"/>
          <w:lang w:val="en-US" w:eastAsia="zh-CN"/>
        </w:rPr>
        <w:t>供应商</w:t>
      </w:r>
      <w:r>
        <w:rPr>
          <w:rFonts w:hint="eastAsia" w:ascii="宋体" w:hAnsi="宋体" w:eastAsia="宋体" w:cs="宋体"/>
          <w:color w:val="000000"/>
          <w:kern w:val="0"/>
          <w:sz w:val="24"/>
          <w:szCs w:val="24"/>
          <w:highlight w:val="none"/>
        </w:rPr>
        <w:t>下载</w:t>
      </w:r>
      <w:r>
        <w:rPr>
          <w:rFonts w:hint="eastAsia" w:ascii="宋体" w:hAnsi="宋体" w:eastAsia="宋体" w:cs="宋体"/>
          <w:color w:val="000000"/>
          <w:kern w:val="0"/>
          <w:sz w:val="24"/>
          <w:szCs w:val="24"/>
          <w:highlight w:val="none"/>
          <w:lang w:val="en-US" w:eastAsia="zh-CN"/>
        </w:rPr>
        <w:t>招标（采购）文件</w:t>
      </w:r>
      <w:r>
        <w:rPr>
          <w:rFonts w:hint="eastAsia" w:ascii="宋体" w:hAnsi="宋体" w:eastAsia="宋体" w:cs="宋体"/>
          <w:color w:val="000000"/>
          <w:kern w:val="0"/>
          <w:sz w:val="24"/>
          <w:szCs w:val="24"/>
          <w:highlight w:val="none"/>
        </w:rPr>
        <w:t>后及时关注系统业务菜单（“答疑澄清文件领取”，“控制价文件领取”）内该项目是否有新的答疑澄清文件或控制价文件。如有请直接下载，不再另行通知。</w:t>
      </w:r>
    </w:p>
    <w:p w14:paraId="4C30A988">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售价：0元。</w:t>
      </w:r>
    </w:p>
    <w:p w14:paraId="688002B5">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2" w:name="_Toc7114"/>
      <w:r>
        <w:rPr>
          <w:rFonts w:hint="eastAsia" w:ascii="宋体" w:hAnsi="宋体" w:eastAsia="宋体" w:cs="宋体"/>
          <w:b/>
          <w:bCs w:val="0"/>
          <w:color w:val="000000"/>
          <w:spacing w:val="0"/>
          <w:sz w:val="24"/>
          <w:szCs w:val="24"/>
          <w:highlight w:val="none"/>
          <w:lang w:eastAsia="zh-CN"/>
        </w:rPr>
        <w:t>四、响应文件提交：</w:t>
      </w:r>
      <w:bookmarkEnd w:id="42"/>
    </w:p>
    <w:p w14:paraId="6D3EAAC9">
      <w:pPr>
        <w:pStyle w:val="27"/>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auto"/>
          <w:sz w:val="24"/>
          <w:szCs w:val="24"/>
          <w:highlight w:val="none"/>
        </w:rPr>
        <w:t>1、时间</w:t>
      </w:r>
      <w:r>
        <w:rPr>
          <w:rFonts w:hint="eastAsia" w:ascii="宋体" w:hAnsi="宋体" w:eastAsia="宋体" w:cs="宋体"/>
          <w:color w:val="000000"/>
          <w:kern w:val="0"/>
          <w:sz w:val="24"/>
          <w:szCs w:val="24"/>
          <w:highlight w:val="none"/>
          <w:lang w:val="en-US" w:eastAsia="zh-CN" w:bidi="ar-SA"/>
        </w:rPr>
        <w:t>：2026年10月16日9时00分（北京时间）；</w:t>
      </w:r>
    </w:p>
    <w:p w14:paraId="4A2AEC41">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bCs/>
          <w:color w:val="000000"/>
          <w:kern w:val="2"/>
          <w:sz w:val="24"/>
          <w:szCs w:val="24"/>
          <w:highlight w:val="none"/>
        </w:rPr>
        <w:t>地点</w:t>
      </w:r>
      <w:r>
        <w:rPr>
          <w:rFonts w:hint="eastAsia" w:ascii="宋体" w:hAnsi="宋体" w:eastAsia="宋体" w:cs="宋体"/>
          <w:bCs/>
          <w:color w:val="000000"/>
          <w:spacing w:val="-6"/>
          <w:kern w:val="2"/>
          <w:sz w:val="24"/>
          <w:szCs w:val="24"/>
          <w:highlight w:val="none"/>
        </w:rPr>
        <w:t>：</w:t>
      </w:r>
      <w:r>
        <w:rPr>
          <w:rFonts w:hint="eastAsia" w:ascii="宋体" w:hAnsi="宋体" w:eastAsia="宋体" w:cs="宋体"/>
          <w:bCs/>
          <w:spacing w:val="-6"/>
          <w:sz w:val="24"/>
          <w:szCs w:val="24"/>
          <w:highlight w:val="none"/>
        </w:rPr>
        <w:t>本项目为不见面开标项目，</w:t>
      </w:r>
      <w:r>
        <w:rPr>
          <w:rFonts w:hint="eastAsia" w:ascii="宋体" w:hAnsi="宋体" w:cs="宋体"/>
          <w:bCs/>
          <w:spacing w:val="-6"/>
          <w:sz w:val="24"/>
          <w:szCs w:val="24"/>
          <w:highlight w:val="none"/>
          <w:lang w:val="en-US" w:eastAsia="zh-CN"/>
        </w:rPr>
        <w:t>响应</w:t>
      </w:r>
      <w:r>
        <w:rPr>
          <w:rFonts w:hint="eastAsia" w:ascii="宋体" w:hAnsi="宋体" w:eastAsia="宋体" w:cs="宋体"/>
          <w:bCs/>
          <w:spacing w:val="-6"/>
          <w:sz w:val="24"/>
          <w:szCs w:val="24"/>
          <w:highlight w:val="none"/>
        </w:rPr>
        <w:t>文件递交地点为</w:t>
      </w:r>
      <w:r>
        <w:rPr>
          <w:rFonts w:hint="eastAsia" w:ascii="宋体" w:hAnsi="宋体" w:eastAsia="宋体" w:cs="宋体"/>
          <w:bCs/>
          <w:spacing w:val="-6"/>
          <w:sz w:val="24"/>
          <w:szCs w:val="24"/>
          <w:highlight w:val="none"/>
          <w:lang w:val="zh-CN"/>
        </w:rPr>
        <w:t>《全国公共资源交易平台</w:t>
      </w:r>
      <w:r>
        <w:rPr>
          <w:rFonts w:hint="eastAsia" w:ascii="宋体" w:hAnsi="宋体" w:eastAsia="宋体" w:cs="宋体"/>
          <w:bCs/>
          <w:spacing w:val="-6"/>
          <w:sz w:val="24"/>
          <w:szCs w:val="24"/>
          <w:highlight w:val="none"/>
        </w:rPr>
        <w:t>（</w:t>
      </w:r>
      <w:r>
        <w:rPr>
          <w:rFonts w:hint="eastAsia" w:ascii="宋体" w:hAnsi="宋体" w:eastAsia="宋体" w:cs="宋体"/>
          <w:bCs/>
          <w:spacing w:val="-6"/>
          <w:sz w:val="24"/>
          <w:szCs w:val="24"/>
          <w:highlight w:val="none"/>
          <w:lang w:val="zh-CN"/>
        </w:rPr>
        <w:t>河南省</w:t>
      </w:r>
      <w:r>
        <w:rPr>
          <w:rFonts w:hint="eastAsia" w:ascii="宋体" w:hAnsi="宋体" w:eastAsia="宋体" w:cs="宋体"/>
          <w:bCs/>
          <w:spacing w:val="-6"/>
          <w:sz w:val="24"/>
          <w:szCs w:val="24"/>
          <w:highlight w:val="none"/>
        </w:rPr>
        <w:t>·信阳市）</w:t>
      </w:r>
      <w:r>
        <w:rPr>
          <w:rFonts w:hint="eastAsia" w:ascii="宋体" w:hAnsi="宋体" w:eastAsia="宋体" w:cs="宋体"/>
          <w:bCs/>
          <w:spacing w:val="-6"/>
          <w:sz w:val="24"/>
          <w:szCs w:val="24"/>
          <w:highlight w:val="none"/>
          <w:lang w:val="zh-CN"/>
        </w:rPr>
        <w:t>》</w:t>
      </w:r>
      <w:r>
        <w:rPr>
          <w:rFonts w:hint="eastAsia" w:ascii="宋体" w:hAnsi="宋体" w:eastAsia="宋体" w:cs="宋体"/>
          <w:bCs/>
          <w:spacing w:val="-6"/>
          <w:sz w:val="24"/>
          <w:szCs w:val="24"/>
          <w:highlight w:val="none"/>
        </w:rPr>
        <w:t>（https://ggzyjy.xinyang.gov.cn/）电子招投标平台会员系统指定位置。</w:t>
      </w:r>
      <w:r>
        <w:rPr>
          <w:rFonts w:hint="eastAsia" w:ascii="宋体" w:hAnsi="宋体" w:eastAsia="宋体" w:cs="宋体"/>
          <w:kern w:val="0"/>
          <w:sz w:val="24"/>
          <w:szCs w:val="24"/>
          <w:highlight w:val="none"/>
        </w:rPr>
        <w:t>注：加密电子响应文件逾期上传采购人不予受理。</w:t>
      </w:r>
    </w:p>
    <w:p w14:paraId="1EF7B17D">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3" w:name="_Toc30668"/>
      <w:r>
        <w:rPr>
          <w:rFonts w:hint="eastAsia" w:ascii="宋体" w:hAnsi="宋体" w:eastAsia="宋体" w:cs="宋体"/>
          <w:b/>
          <w:bCs w:val="0"/>
          <w:color w:val="000000"/>
          <w:spacing w:val="0"/>
          <w:sz w:val="24"/>
          <w:szCs w:val="24"/>
          <w:highlight w:val="none"/>
          <w:lang w:eastAsia="zh-CN"/>
        </w:rPr>
        <w:t>五、响应文件的开启：</w:t>
      </w:r>
      <w:bookmarkEnd w:id="43"/>
    </w:p>
    <w:p w14:paraId="07822E4C">
      <w:pPr>
        <w:pStyle w:val="27"/>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000000"/>
          <w:kern w:val="0"/>
          <w:sz w:val="24"/>
          <w:szCs w:val="24"/>
          <w:highlight w:val="none"/>
          <w:lang w:val="en-US" w:eastAsia="zh-CN" w:bidi="ar-SA"/>
        </w:rPr>
        <w:t>2026年10月16日9时00分</w:t>
      </w:r>
      <w:r>
        <w:rPr>
          <w:rFonts w:hint="eastAsia" w:ascii="宋体" w:hAnsi="宋体" w:eastAsia="宋体" w:cs="宋体"/>
          <w:color w:val="auto"/>
          <w:kern w:val="0"/>
          <w:sz w:val="24"/>
          <w:szCs w:val="24"/>
          <w:highlight w:val="none"/>
          <w:lang w:val="en-US" w:eastAsia="zh-CN" w:bidi="ar-SA"/>
        </w:rPr>
        <w:t>（</w:t>
      </w:r>
      <w:r>
        <w:rPr>
          <w:rFonts w:hint="eastAsia" w:ascii="宋体" w:hAnsi="宋体" w:eastAsia="宋体" w:cs="宋体"/>
          <w:color w:val="auto"/>
          <w:sz w:val="24"/>
          <w:szCs w:val="24"/>
          <w:highlight w:val="none"/>
        </w:rPr>
        <w:t>北京时间）；</w:t>
      </w:r>
    </w:p>
    <w:p w14:paraId="64343E9C">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2、地点：</w:t>
      </w:r>
      <w:r>
        <w:rPr>
          <w:rFonts w:hint="eastAsia" w:ascii="宋体" w:hAnsi="宋体" w:cs="宋体"/>
          <w:kern w:val="0"/>
          <w:sz w:val="24"/>
          <w:szCs w:val="24"/>
          <w:highlight w:val="none"/>
          <w:lang w:val="en-US" w:eastAsia="zh-CN"/>
        </w:rPr>
        <w:t>淮滨县</w:t>
      </w:r>
      <w:r>
        <w:rPr>
          <w:rFonts w:hint="eastAsia" w:ascii="宋体" w:hAnsi="宋体" w:eastAsia="宋体" w:cs="宋体"/>
          <w:kern w:val="0"/>
          <w:sz w:val="24"/>
          <w:szCs w:val="24"/>
          <w:highlight w:val="none"/>
        </w:rPr>
        <w:t>公共资源交易中心AI机器人开标虚拟</w:t>
      </w:r>
      <w:r>
        <w:rPr>
          <w:rFonts w:hint="eastAsia" w:ascii="宋体" w:hAnsi="宋体" w:cs="宋体"/>
          <w:kern w:val="0"/>
          <w:sz w:val="24"/>
          <w:szCs w:val="24"/>
          <w:highlight w:val="none"/>
          <w:lang w:val="en-US" w:eastAsia="zh-CN"/>
        </w:rPr>
        <w:t>二</w:t>
      </w:r>
      <w:r>
        <w:rPr>
          <w:rFonts w:hint="eastAsia" w:ascii="宋体" w:hAnsi="宋体" w:eastAsia="宋体" w:cs="宋体"/>
          <w:color w:val="auto"/>
          <w:kern w:val="0"/>
          <w:sz w:val="24"/>
          <w:szCs w:val="24"/>
          <w:highlight w:val="none"/>
        </w:rPr>
        <w:t xml:space="preserve">厅  </w:t>
      </w:r>
    </w:p>
    <w:p w14:paraId="21199A0C">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4" w:name="_Toc23481"/>
      <w:r>
        <w:rPr>
          <w:rFonts w:hint="eastAsia" w:ascii="宋体" w:hAnsi="宋体" w:eastAsia="宋体" w:cs="宋体"/>
          <w:b/>
          <w:bCs w:val="0"/>
          <w:color w:val="000000"/>
          <w:spacing w:val="0"/>
          <w:sz w:val="24"/>
          <w:szCs w:val="24"/>
          <w:highlight w:val="none"/>
          <w:lang w:eastAsia="zh-CN"/>
        </w:rPr>
        <w:t>六、发布公告的媒介及招标公告期限：</w:t>
      </w:r>
      <w:bookmarkEnd w:id="44"/>
    </w:p>
    <w:p w14:paraId="7D1F6EB1">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000000"/>
          <w:sz w:val="24"/>
          <w:szCs w:val="24"/>
          <w:highlight w:val="none"/>
          <w:lang w:eastAsia="zh-CN"/>
        </w:rPr>
      </w:pPr>
      <w:r>
        <w:rPr>
          <w:rFonts w:hint="eastAsia" w:ascii="宋体" w:hAnsi="宋体" w:eastAsia="宋体" w:cs="宋体"/>
          <w:color w:val="000000"/>
          <w:kern w:val="0"/>
          <w:sz w:val="24"/>
          <w:szCs w:val="24"/>
          <w:highlight w:val="none"/>
        </w:rPr>
        <w:t>本次招标公告在《河南省政府采购网》、《全国公共资源交易平台（河南省·</w:t>
      </w:r>
      <w:r>
        <w:rPr>
          <w:rFonts w:hint="eastAsia" w:ascii="宋体" w:hAnsi="宋体" w:cs="宋体"/>
          <w:color w:val="000000"/>
          <w:kern w:val="0"/>
          <w:sz w:val="24"/>
          <w:szCs w:val="24"/>
          <w:highlight w:val="none"/>
          <w:lang w:val="en-US" w:eastAsia="zh-CN"/>
        </w:rPr>
        <w:t>淮滨县</w:t>
      </w:r>
      <w:r>
        <w:rPr>
          <w:rFonts w:hint="eastAsia" w:ascii="宋体" w:hAnsi="宋体" w:eastAsia="宋体" w:cs="宋体"/>
          <w:color w:val="000000"/>
          <w:kern w:val="0"/>
          <w:sz w:val="24"/>
          <w:szCs w:val="24"/>
          <w:highlight w:val="none"/>
        </w:rPr>
        <w:t>）》上发布</w:t>
      </w:r>
      <w:r>
        <w:rPr>
          <w:rFonts w:hint="eastAsia" w:ascii="宋体" w:hAnsi="宋体" w:eastAsia="宋体" w:cs="宋体"/>
          <w:color w:val="000000"/>
          <w:kern w:val="0"/>
          <w:sz w:val="24"/>
          <w:szCs w:val="24"/>
          <w:highlight w:val="none"/>
          <w:lang w:eastAsia="zh-CN"/>
        </w:rPr>
        <w:t>，招标公告期限为五个工作日。</w:t>
      </w:r>
    </w:p>
    <w:p w14:paraId="69B7F254">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5" w:name="_Toc23559"/>
      <w:r>
        <w:rPr>
          <w:rFonts w:hint="eastAsia" w:ascii="宋体" w:hAnsi="宋体" w:eastAsia="宋体" w:cs="宋体"/>
          <w:b/>
          <w:bCs w:val="0"/>
          <w:color w:val="000000"/>
          <w:spacing w:val="0"/>
          <w:sz w:val="24"/>
          <w:szCs w:val="24"/>
          <w:highlight w:val="none"/>
          <w:lang w:eastAsia="zh-CN"/>
        </w:rPr>
        <w:t>七、其他补充事宜：</w:t>
      </w:r>
      <w:bookmarkEnd w:id="45"/>
    </w:p>
    <w:p w14:paraId="6841D831">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rPr>
        <w:t>、</w:t>
      </w:r>
      <w:r>
        <w:rPr>
          <w:rFonts w:hint="eastAsia" w:ascii="宋体" w:hAnsi="宋体" w:eastAsia="宋体" w:cs="宋体"/>
          <w:color w:val="000000"/>
          <w:spacing w:val="0"/>
          <w:kern w:val="0"/>
          <w:sz w:val="24"/>
          <w:szCs w:val="24"/>
          <w:highlight w:val="none"/>
        </w:rPr>
        <w:t xml:space="preserve">本项目采用“不见面开标”交易方式，不见面开标大厅网址为 </w:t>
      </w:r>
      <w:r>
        <w:rPr>
          <w:rFonts w:hint="eastAsia" w:ascii="宋体" w:hAnsi="宋体" w:eastAsia="宋体" w:cs="宋体"/>
          <w:color w:val="000000"/>
          <w:spacing w:val="0"/>
          <w:kern w:val="0"/>
          <w:sz w:val="24"/>
          <w:szCs w:val="24"/>
          <w:highlight w:val="none"/>
          <w:lang w:eastAsia="zh-CN"/>
        </w:rPr>
        <w:t>https://ggzyjy.xinyang.gov.cn/BidOpening/bidhall/xinyang/login.html</w:t>
      </w:r>
      <w:r>
        <w:rPr>
          <w:rFonts w:hint="eastAsia" w:ascii="宋体" w:hAnsi="宋体" w:eastAsia="宋体" w:cs="宋体"/>
          <w:color w:val="000000"/>
          <w:spacing w:val="0"/>
          <w:kern w:val="0"/>
          <w:sz w:val="24"/>
          <w:szCs w:val="24"/>
          <w:highlight w:val="none"/>
        </w:rPr>
        <w:t>，投标人无需寄送和递交非加密的电子投标文件，无需到现场参加开标会议，无需到达现场提交原件资料。投标人应当在投标截止时间前，使用投标人CA数字证书登录不见面开标大厅，在线签到并准时参加开标活动，并在规定时间内完成投标文件解密、答疑澄清等。</w:t>
      </w:r>
    </w:p>
    <w:p w14:paraId="5438293D">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、逾</w:t>
      </w:r>
      <w:r>
        <w:rPr>
          <w:rFonts w:hint="eastAsia" w:ascii="宋体" w:hAnsi="宋体" w:eastAsia="宋体" w:cs="宋体"/>
          <w:color w:val="000000"/>
          <w:spacing w:val="-11"/>
          <w:kern w:val="0"/>
          <w:sz w:val="24"/>
          <w:szCs w:val="24"/>
          <w:highlight w:val="none"/>
        </w:rPr>
        <w:t>期解密或者没有准时在线参加开标活动导致的一切后果投标人自行承担。</w:t>
      </w:r>
    </w:p>
    <w:p w14:paraId="081F8F6E">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、不见面开标服务的具体事宜，请查阅信阳市公共资源交易中心网站首页—下载中心—信阳市不见面开标大厅系统操作手册 。</w:t>
      </w:r>
    </w:p>
    <w:p w14:paraId="64D37BB3">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、供应商注册：投标企业首先</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全国公共资源交易平台（河南省·信阳市）（https://ggzyjy.xinyang.gov.cn）”网站进行交易主体注册，按网站公告通知有关要求填报企业信息并上传有关原件扫描件至诚信库，不需携带原件到信阳市公共资源交易中心进行审核。供应商应对所上传材料的真实性、合法性、有效性负责，其上传的信息将全部对外公示，接受社会监督。</w:t>
      </w:r>
    </w:p>
    <w:p w14:paraId="16CD288B">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办理CA数字证书：完成企业诚信库注册后，必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2BADB789">
      <w:pPr>
        <w:keepNext w:val="0"/>
        <w:keepLines w:val="0"/>
        <w:pageBreakBefore w:val="0"/>
        <w:widowControl/>
        <w:kinsoku/>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特别提示：投标人在线签到时，应如</w:t>
      </w:r>
      <w:r>
        <w:rPr>
          <w:rFonts w:hint="eastAsia" w:ascii="宋体" w:hAnsi="宋体" w:eastAsia="宋体" w:cs="宋体"/>
          <w:b/>
          <w:bCs/>
          <w:color w:val="auto"/>
          <w:kern w:val="0"/>
          <w:sz w:val="24"/>
          <w:szCs w:val="24"/>
          <w:highlight w:val="none"/>
        </w:rPr>
        <w:t>实准确的填写授权委托人的联系电话，开标当天请务必保证电话保持畅通。</w:t>
      </w:r>
    </w:p>
    <w:p w14:paraId="6D8D4BD5">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、本项目代理服务费按“豫招协〔2023〕002号”规定的收费标准收取，收费金额不高于</w:t>
      </w:r>
      <w:r>
        <w:rPr>
          <w:rFonts w:hint="eastAsia" w:ascii="宋体" w:hAnsi="宋体" w:cs="宋体"/>
          <w:color w:val="auto"/>
          <w:kern w:val="0"/>
          <w:sz w:val="24"/>
          <w:szCs w:val="24"/>
          <w:highlight w:val="none"/>
          <w:lang w:val="en-US" w:eastAsia="zh-CN"/>
        </w:rPr>
        <w:t>41619</w:t>
      </w:r>
      <w:r>
        <w:rPr>
          <w:rFonts w:hint="eastAsia" w:ascii="宋体" w:hAnsi="宋体" w:eastAsia="宋体" w:cs="宋体"/>
          <w:color w:val="auto"/>
          <w:kern w:val="0"/>
          <w:sz w:val="24"/>
          <w:szCs w:val="24"/>
          <w:highlight w:val="none"/>
          <w:lang w:val="en-US" w:eastAsia="zh-CN"/>
        </w:rPr>
        <w:t>元</w:t>
      </w:r>
      <w:r>
        <w:rPr>
          <w:rFonts w:hint="eastAsia" w:ascii="宋体" w:hAnsi="宋体" w:cs="宋体"/>
          <w:color w:val="auto"/>
          <w:kern w:val="0"/>
          <w:sz w:val="24"/>
          <w:szCs w:val="24"/>
          <w:highlight w:val="none"/>
          <w:lang w:val="en-US" w:eastAsia="zh-CN"/>
        </w:rPr>
        <w:t>，由成交人支付</w:t>
      </w:r>
      <w:r>
        <w:rPr>
          <w:rFonts w:hint="eastAsia" w:ascii="宋体" w:hAnsi="宋体" w:eastAsia="宋体" w:cs="宋体"/>
          <w:color w:val="auto"/>
          <w:kern w:val="0"/>
          <w:sz w:val="24"/>
          <w:szCs w:val="24"/>
          <w:highlight w:val="none"/>
          <w:lang w:val="en-US" w:eastAsia="zh-CN"/>
        </w:rPr>
        <w:t>。</w:t>
      </w:r>
    </w:p>
    <w:p w14:paraId="1C1B59C6">
      <w:pPr>
        <w:pStyle w:val="27"/>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6" w:name="_Toc23315"/>
      <w:r>
        <w:rPr>
          <w:rFonts w:hint="eastAsia" w:ascii="宋体" w:hAnsi="宋体" w:eastAsia="宋体" w:cs="宋体"/>
          <w:b/>
          <w:bCs w:val="0"/>
          <w:color w:val="000000"/>
          <w:spacing w:val="0"/>
          <w:sz w:val="24"/>
          <w:szCs w:val="24"/>
          <w:highlight w:val="none"/>
          <w:lang w:eastAsia="zh-CN"/>
        </w:rPr>
        <w:t>八、凡对本次招标提出询问，请按照以下方式联系：</w:t>
      </w:r>
      <w:bookmarkEnd w:id="46"/>
    </w:p>
    <w:bookmarkEnd w:id="34"/>
    <w:p w14:paraId="4189A724">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采购人信息 </w:t>
      </w:r>
    </w:p>
    <w:p w14:paraId="381AA9F0">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000000"/>
          <w:kern w:val="0"/>
          <w:sz w:val="24"/>
          <w:szCs w:val="24"/>
          <w:highlight w:val="none"/>
          <w:lang w:eastAsia="zh-CN"/>
        </w:rPr>
      </w:pPr>
      <w:r>
        <w:rPr>
          <w:rFonts w:hint="eastAsia" w:ascii="宋体" w:hAnsi="宋体" w:eastAsia="宋体" w:cs="宋体"/>
          <w:bCs/>
          <w:color w:val="000000"/>
          <w:kern w:val="0"/>
          <w:sz w:val="24"/>
          <w:szCs w:val="24"/>
          <w:highlight w:val="none"/>
        </w:rPr>
        <w:t>采 购 人：</w:t>
      </w:r>
      <w:r>
        <w:rPr>
          <w:rFonts w:hint="eastAsia" w:ascii="宋体" w:hAnsi="宋体" w:cs="宋体"/>
          <w:bCs/>
          <w:color w:val="000000"/>
          <w:kern w:val="0"/>
          <w:sz w:val="24"/>
          <w:szCs w:val="24"/>
          <w:highlight w:val="none"/>
          <w:lang w:val="en-US" w:eastAsia="zh-CN"/>
        </w:rPr>
        <w:t xml:space="preserve">淮滨县公共交通和道路运输服务中心 </w:t>
      </w:r>
    </w:p>
    <w:p w14:paraId="0305D4D1">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地    址：</w:t>
      </w:r>
      <w:r>
        <w:rPr>
          <w:rFonts w:hint="eastAsia" w:ascii="宋体" w:hAnsi="宋体" w:cs="宋体"/>
          <w:bCs/>
          <w:color w:val="000000"/>
          <w:kern w:val="0"/>
          <w:sz w:val="24"/>
          <w:szCs w:val="24"/>
          <w:highlight w:val="none"/>
          <w:lang w:val="en-US" w:eastAsia="zh-CN"/>
        </w:rPr>
        <w:t>淮滨县五粮液大道</w:t>
      </w:r>
      <w:r>
        <w:rPr>
          <w:rFonts w:hint="eastAsia" w:ascii="宋体" w:hAnsi="宋体" w:eastAsia="宋体" w:cs="宋体"/>
          <w:bCs/>
          <w:color w:val="000000"/>
          <w:kern w:val="0"/>
          <w:sz w:val="24"/>
          <w:szCs w:val="24"/>
          <w:highlight w:val="none"/>
          <w:lang w:eastAsia="zh-CN"/>
        </w:rPr>
        <w:t xml:space="preserve"> </w:t>
      </w:r>
    </w:p>
    <w:p w14:paraId="307FEA72">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default"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联 系 人：</w:t>
      </w:r>
      <w:r>
        <w:rPr>
          <w:rFonts w:hint="eastAsia" w:ascii="宋体" w:hAnsi="宋体" w:cs="宋体"/>
          <w:bCs/>
          <w:color w:val="000000"/>
          <w:kern w:val="0"/>
          <w:sz w:val="24"/>
          <w:szCs w:val="24"/>
          <w:highlight w:val="none"/>
          <w:lang w:val="en-US" w:eastAsia="zh-CN"/>
        </w:rPr>
        <w:t>简彦军</w:t>
      </w:r>
    </w:p>
    <w:p w14:paraId="1FFDE792">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000000"/>
          <w:kern w:val="0"/>
          <w:sz w:val="24"/>
          <w:szCs w:val="24"/>
          <w:highlight w:val="none"/>
        </w:rPr>
        <w:t>联系电话：13949159111</w:t>
      </w:r>
    </w:p>
    <w:p w14:paraId="2293845B">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p>
    <w:p w14:paraId="5C77FD1E">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采购代理机构信息 </w:t>
      </w:r>
    </w:p>
    <w:p w14:paraId="5395CDAD">
      <w:pPr>
        <w:widowControl/>
        <w:spacing w:line="360" w:lineRule="auto"/>
        <w:ind w:firstLine="480"/>
        <w:jc w:val="left"/>
        <w:rPr>
          <w:rFonts w:hint="eastAsia" w:ascii="宋体" w:hAnsi="宋体" w:cs="宋体"/>
          <w:color w:val="auto"/>
          <w:kern w:val="0"/>
          <w:szCs w:val="21"/>
          <w:lang w:eastAsia="zh-CN"/>
        </w:rPr>
      </w:pPr>
      <w:r>
        <w:rPr>
          <w:rFonts w:hint="eastAsia" w:ascii="宋体" w:hAnsi="宋体" w:cs="宋体"/>
          <w:color w:val="auto"/>
          <w:kern w:val="0"/>
          <w:szCs w:val="21"/>
          <w:lang w:eastAsia="zh-CN"/>
        </w:rPr>
        <w:t>名</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lang w:eastAsia="zh-CN"/>
        </w:rPr>
        <w:t>称</w:t>
      </w:r>
      <w:r>
        <w:rPr>
          <w:rFonts w:hint="eastAsia" w:ascii="宋体" w:hAnsi="宋体" w:cs="宋体"/>
          <w:color w:val="auto"/>
          <w:kern w:val="0"/>
          <w:szCs w:val="21"/>
        </w:rPr>
        <w:t>：</w:t>
      </w:r>
      <w:r>
        <w:rPr>
          <w:rFonts w:hint="eastAsia" w:ascii="宋体" w:hAnsi="宋体" w:cs="宋体"/>
          <w:color w:val="auto"/>
          <w:kern w:val="0"/>
          <w:szCs w:val="21"/>
          <w:lang w:eastAsia="zh-CN"/>
        </w:rPr>
        <w:t>河南君光工程管理咨询有限公司</w:t>
      </w:r>
    </w:p>
    <w:p w14:paraId="318F3A50">
      <w:pPr>
        <w:widowControl/>
        <w:spacing w:line="360" w:lineRule="auto"/>
        <w:ind w:firstLine="480"/>
        <w:jc w:val="left"/>
        <w:rPr>
          <w:rFonts w:hint="eastAsia" w:ascii="宋体" w:hAnsi="宋体" w:cs="宋体"/>
          <w:color w:val="auto"/>
          <w:kern w:val="0"/>
          <w:szCs w:val="21"/>
        </w:rPr>
      </w:pPr>
      <w:r>
        <w:rPr>
          <w:rFonts w:hint="eastAsia" w:ascii="宋体" w:hAnsi="宋体" w:cs="宋体"/>
          <w:color w:val="auto"/>
          <w:kern w:val="0"/>
          <w:szCs w:val="21"/>
        </w:rPr>
        <w:t xml:space="preserve">地  </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址：信阳市羊山新区新七大道和谐广场1号电梯四楼</w:t>
      </w:r>
    </w:p>
    <w:p w14:paraId="5A7FE552">
      <w:pPr>
        <w:widowControl/>
        <w:spacing w:line="360" w:lineRule="auto"/>
        <w:ind w:firstLine="480"/>
        <w:jc w:val="left"/>
        <w:rPr>
          <w:rFonts w:hint="eastAsia" w:ascii="宋体" w:hAnsi="宋体" w:cs="宋体"/>
          <w:color w:val="auto"/>
          <w:kern w:val="0"/>
          <w:szCs w:val="21"/>
          <w:lang w:val="en-US" w:eastAsia="zh-CN"/>
        </w:rPr>
      </w:pPr>
      <w:r>
        <w:rPr>
          <w:rFonts w:hint="eastAsia" w:ascii="宋体" w:hAnsi="宋体" w:cs="宋体"/>
          <w:color w:val="auto"/>
          <w:kern w:val="0"/>
          <w:szCs w:val="21"/>
        </w:rPr>
        <w:t>联</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系</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人：</w:t>
      </w:r>
      <w:r>
        <w:rPr>
          <w:rFonts w:hint="eastAsia" w:ascii="宋体" w:hAnsi="宋体" w:cs="宋体"/>
          <w:color w:val="auto"/>
          <w:kern w:val="0"/>
          <w:szCs w:val="21"/>
          <w:lang w:val="en-US" w:eastAsia="zh-CN"/>
        </w:rPr>
        <w:t>杨磊</w:t>
      </w:r>
    </w:p>
    <w:p w14:paraId="6DE2841F">
      <w:pPr>
        <w:widowControl/>
        <w:spacing w:line="360" w:lineRule="auto"/>
        <w:ind w:firstLine="480"/>
        <w:jc w:val="left"/>
        <w:rPr>
          <w:rFonts w:hint="default" w:ascii="宋体" w:hAnsi="宋体" w:cs="宋体"/>
          <w:color w:val="auto"/>
          <w:kern w:val="0"/>
          <w:szCs w:val="21"/>
          <w:lang w:val="en-US" w:eastAsia="zh-CN"/>
        </w:rPr>
      </w:pPr>
      <w:r>
        <w:rPr>
          <w:rFonts w:hint="eastAsia" w:ascii="宋体" w:hAnsi="宋体" w:cs="宋体"/>
          <w:color w:val="auto"/>
          <w:kern w:val="0"/>
          <w:szCs w:val="21"/>
        </w:rPr>
        <w:t>联系方式：</w:t>
      </w:r>
      <w:r>
        <w:rPr>
          <w:rFonts w:hint="eastAsia" w:ascii="宋体" w:hAnsi="宋体" w:cs="宋体"/>
          <w:color w:val="auto"/>
          <w:kern w:val="0"/>
          <w:szCs w:val="21"/>
          <w:lang w:val="en-US" w:eastAsia="zh-CN"/>
        </w:rPr>
        <w:t>19350542621</w:t>
      </w:r>
    </w:p>
    <w:p w14:paraId="614EEC5A">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p>
    <w:p w14:paraId="5F1D66E2">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项目联系方式 </w:t>
      </w:r>
    </w:p>
    <w:p w14:paraId="46BAF9CB">
      <w:pPr>
        <w:widowControl/>
        <w:spacing w:line="360" w:lineRule="auto"/>
        <w:ind w:firstLine="480"/>
        <w:jc w:val="left"/>
        <w:rPr>
          <w:rFonts w:hint="eastAsia" w:ascii="宋体" w:hAnsi="宋体" w:cs="宋体"/>
          <w:color w:val="auto"/>
          <w:kern w:val="0"/>
          <w:szCs w:val="21"/>
          <w:lang w:val="en-US" w:eastAsia="zh-CN"/>
        </w:rPr>
      </w:pPr>
      <w:r>
        <w:rPr>
          <w:rFonts w:hint="eastAsia" w:ascii="宋体" w:hAnsi="宋体" w:cs="宋体"/>
          <w:color w:val="auto"/>
          <w:kern w:val="0"/>
          <w:szCs w:val="21"/>
        </w:rPr>
        <w:t>联</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系</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人：</w:t>
      </w:r>
      <w:r>
        <w:rPr>
          <w:rFonts w:hint="eastAsia" w:ascii="宋体" w:hAnsi="宋体" w:cs="宋体"/>
          <w:color w:val="auto"/>
          <w:kern w:val="0"/>
          <w:szCs w:val="21"/>
          <w:lang w:val="en-US" w:eastAsia="zh-CN"/>
        </w:rPr>
        <w:t>杨磊</w:t>
      </w:r>
    </w:p>
    <w:p w14:paraId="32760676">
      <w:pPr>
        <w:widowControl/>
        <w:spacing w:line="360" w:lineRule="auto"/>
        <w:ind w:firstLine="480"/>
        <w:jc w:val="left"/>
        <w:rPr>
          <w:rFonts w:hint="default" w:ascii="宋体" w:hAnsi="宋体" w:cs="宋体"/>
          <w:color w:val="auto"/>
          <w:kern w:val="0"/>
          <w:szCs w:val="21"/>
          <w:lang w:val="en-US" w:eastAsia="zh-CN"/>
        </w:rPr>
      </w:pPr>
      <w:r>
        <w:rPr>
          <w:rFonts w:hint="eastAsia" w:ascii="宋体" w:hAnsi="宋体" w:cs="宋体"/>
          <w:color w:val="auto"/>
          <w:kern w:val="0"/>
          <w:szCs w:val="21"/>
        </w:rPr>
        <w:t>联系方式：</w:t>
      </w:r>
      <w:r>
        <w:rPr>
          <w:rFonts w:hint="eastAsia" w:ascii="宋体" w:hAnsi="宋体" w:cs="宋体"/>
          <w:color w:val="auto"/>
          <w:kern w:val="0"/>
          <w:szCs w:val="21"/>
          <w:lang w:val="en-US" w:eastAsia="zh-CN"/>
        </w:rPr>
        <w:t>19350542621</w:t>
      </w:r>
    </w:p>
    <w:p w14:paraId="2D0681D0">
      <w:pPr>
        <w:pStyle w:val="5"/>
        <w:bidi w:val="0"/>
        <w:rPr>
          <w:rFonts w:hint="eastAsia" w:ascii="宋体" w:hAnsi="宋体" w:eastAsia="宋体" w:cs="宋体"/>
          <w:highlight w:val="none"/>
          <w:lang w:val="en-US" w:eastAsia="zh-CN"/>
        </w:rPr>
      </w:pPr>
      <w:r>
        <w:rPr>
          <w:rFonts w:hint="eastAsia" w:ascii="宋体" w:hAnsi="宋体" w:eastAsia="宋体" w:cs="宋体"/>
          <w:b/>
          <w:bCs w:val="0"/>
          <w:color w:val="auto"/>
          <w:szCs w:val="24"/>
          <w:highlight w:val="none"/>
        </w:rPr>
        <w:br w:type="page"/>
      </w:r>
      <w:bookmarkStart w:id="47" w:name="_Toc31204"/>
      <w:bookmarkStart w:id="48" w:name="_Toc4476"/>
      <w:bookmarkStart w:id="49" w:name="_Toc20118"/>
      <w:r>
        <w:rPr>
          <w:rFonts w:hint="eastAsia"/>
          <w:lang w:val="en-US" w:eastAsia="zh-CN"/>
        </w:rPr>
        <w:t>第二章 供应商须知</w:t>
      </w:r>
      <w:bookmarkEnd w:id="35"/>
      <w:bookmarkEnd w:id="36"/>
      <w:bookmarkEnd w:id="37"/>
      <w:bookmarkEnd w:id="38"/>
      <w:bookmarkEnd w:id="47"/>
      <w:bookmarkEnd w:id="48"/>
      <w:bookmarkEnd w:id="49"/>
    </w:p>
    <w:p w14:paraId="58FC0554">
      <w:pPr>
        <w:pStyle w:val="6"/>
        <w:numPr>
          <w:ilvl w:val="1"/>
          <w:numId w:val="0"/>
        </w:numPr>
        <w:bidi w:val="0"/>
        <w:ind w:leftChars="0"/>
        <w:jc w:val="center"/>
        <w:rPr>
          <w:rFonts w:hint="eastAsia" w:ascii="宋体" w:hAnsi="宋体" w:eastAsia="宋体" w:cs="宋体"/>
          <w:b/>
          <w:bCs/>
          <w:color w:val="auto"/>
          <w:highlight w:val="none"/>
        </w:rPr>
      </w:pPr>
      <w:bookmarkStart w:id="50" w:name="_Toc31048"/>
      <w:bookmarkStart w:id="51" w:name="_Toc152045528"/>
      <w:bookmarkStart w:id="52" w:name="_Toc455080107"/>
      <w:bookmarkStart w:id="53" w:name="_Toc144974496"/>
      <w:bookmarkStart w:id="54" w:name="_Toc23324"/>
      <w:bookmarkStart w:id="55" w:name="_Toc152042304"/>
      <w:bookmarkStart w:id="56" w:name="_Toc27072"/>
      <w:bookmarkStart w:id="57" w:name="_Toc471"/>
      <w:bookmarkStart w:id="58" w:name="_Toc30755"/>
      <w:bookmarkStart w:id="59" w:name="_Toc466298090"/>
      <w:r>
        <w:rPr>
          <w:rFonts w:hint="eastAsia" w:ascii="宋体" w:hAnsi="宋体" w:eastAsia="宋体" w:cs="宋体"/>
          <w:b/>
          <w:bCs/>
          <w:color w:val="auto"/>
          <w:highlight w:val="none"/>
        </w:rPr>
        <w:t>供应商须知前附表</w:t>
      </w:r>
      <w:bookmarkEnd w:id="50"/>
      <w:bookmarkEnd w:id="51"/>
      <w:bookmarkEnd w:id="52"/>
      <w:bookmarkEnd w:id="53"/>
      <w:bookmarkEnd w:id="54"/>
      <w:bookmarkEnd w:id="55"/>
      <w:bookmarkEnd w:id="56"/>
      <w:bookmarkEnd w:id="57"/>
      <w:bookmarkEnd w:id="58"/>
      <w:bookmarkEnd w:id="59"/>
    </w:p>
    <w:tbl>
      <w:tblPr>
        <w:tblStyle w:val="31"/>
        <w:tblW w:w="9919" w:type="dxa"/>
        <w:jc w:val="center"/>
        <w:tblLayout w:type="fixed"/>
        <w:tblCellMar>
          <w:top w:w="0" w:type="dxa"/>
          <w:left w:w="108" w:type="dxa"/>
          <w:bottom w:w="0" w:type="dxa"/>
          <w:right w:w="108" w:type="dxa"/>
        </w:tblCellMar>
      </w:tblPr>
      <w:tblGrid>
        <w:gridCol w:w="1119"/>
        <w:gridCol w:w="2163"/>
        <w:gridCol w:w="6637"/>
      </w:tblGrid>
      <w:tr w14:paraId="439F8797">
        <w:tblPrEx>
          <w:tblCellMar>
            <w:top w:w="0" w:type="dxa"/>
            <w:left w:w="108" w:type="dxa"/>
            <w:bottom w:w="0" w:type="dxa"/>
            <w:right w:w="108" w:type="dxa"/>
          </w:tblCellMar>
        </w:tblPrEx>
        <w:trPr>
          <w:trHeight w:val="23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764A02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A2ED3D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8A91B1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  列  内  容</w:t>
            </w:r>
          </w:p>
        </w:tc>
      </w:tr>
      <w:tr w14:paraId="41F81542">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7995207">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91437C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F7FAEE7">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bCs/>
                <w:color w:val="000000"/>
                <w:kern w:val="0"/>
                <w:sz w:val="24"/>
                <w:szCs w:val="24"/>
                <w:highlight w:val="none"/>
                <w:lang w:eastAsia="zh-CN"/>
              </w:rPr>
            </w:pPr>
            <w:r>
              <w:rPr>
                <w:rFonts w:hint="eastAsia" w:ascii="宋体" w:hAnsi="宋体" w:eastAsia="宋体" w:cs="宋体"/>
                <w:bCs/>
                <w:color w:val="000000"/>
                <w:kern w:val="0"/>
                <w:sz w:val="24"/>
                <w:szCs w:val="24"/>
                <w:highlight w:val="none"/>
              </w:rPr>
              <w:t>采 购 人：</w:t>
            </w:r>
            <w:r>
              <w:rPr>
                <w:rFonts w:hint="eastAsia" w:ascii="宋体" w:hAnsi="宋体" w:cs="宋体"/>
                <w:bCs/>
                <w:color w:val="000000"/>
                <w:kern w:val="0"/>
                <w:sz w:val="24"/>
                <w:szCs w:val="24"/>
                <w:highlight w:val="none"/>
                <w:lang w:val="en-US" w:eastAsia="zh-CN"/>
              </w:rPr>
              <w:t xml:space="preserve">淮滨县公共交通和道路运输服务中心 </w:t>
            </w:r>
          </w:p>
          <w:p w14:paraId="292B6427">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地    址：</w:t>
            </w:r>
            <w:r>
              <w:rPr>
                <w:rFonts w:hint="eastAsia" w:ascii="宋体" w:hAnsi="宋体" w:cs="宋体"/>
                <w:bCs/>
                <w:color w:val="000000"/>
                <w:kern w:val="0"/>
                <w:sz w:val="24"/>
                <w:szCs w:val="24"/>
                <w:highlight w:val="none"/>
                <w:lang w:val="en-US" w:eastAsia="zh-CN"/>
              </w:rPr>
              <w:t>淮滨县五粮液大道</w:t>
            </w:r>
            <w:r>
              <w:rPr>
                <w:rFonts w:hint="eastAsia" w:ascii="宋体" w:hAnsi="宋体" w:eastAsia="宋体" w:cs="宋体"/>
                <w:bCs/>
                <w:color w:val="000000"/>
                <w:kern w:val="0"/>
                <w:sz w:val="24"/>
                <w:szCs w:val="24"/>
                <w:highlight w:val="none"/>
                <w:lang w:eastAsia="zh-CN"/>
              </w:rPr>
              <w:t xml:space="preserve"> </w:t>
            </w:r>
          </w:p>
          <w:p w14:paraId="31EB3E18">
            <w:pPr>
              <w:keepNext w:val="0"/>
              <w:keepLines w:val="0"/>
              <w:pageBreakBefore w:val="0"/>
              <w:kinsoku/>
              <w:overflowPunct/>
              <w:topLinePunct w:val="0"/>
              <w:autoSpaceDE/>
              <w:autoSpaceDN/>
              <w:bidi w:val="0"/>
              <w:adjustRightInd w:val="0"/>
              <w:snapToGrid w:val="0"/>
              <w:spacing w:line="360" w:lineRule="auto"/>
              <w:textAlignment w:val="auto"/>
              <w:rPr>
                <w:rFonts w:hint="default"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联 系 人：</w:t>
            </w:r>
            <w:r>
              <w:rPr>
                <w:rFonts w:hint="eastAsia" w:ascii="宋体" w:hAnsi="宋体" w:cs="宋体"/>
                <w:bCs/>
                <w:color w:val="000000"/>
                <w:kern w:val="0"/>
                <w:sz w:val="24"/>
                <w:szCs w:val="24"/>
                <w:highlight w:val="none"/>
                <w:lang w:val="en-US" w:eastAsia="zh-CN"/>
              </w:rPr>
              <w:t>简彦军</w:t>
            </w:r>
          </w:p>
          <w:p w14:paraId="56D1EB99">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kern w:val="0"/>
                <w:sz w:val="24"/>
                <w:szCs w:val="24"/>
                <w:highlight w:val="none"/>
              </w:rPr>
              <w:t>联系电话：13949159111</w:t>
            </w:r>
          </w:p>
        </w:tc>
      </w:tr>
      <w:tr w14:paraId="2DE2D150">
        <w:tblPrEx>
          <w:tblCellMar>
            <w:top w:w="0" w:type="dxa"/>
            <w:left w:w="108" w:type="dxa"/>
            <w:bottom w:w="0" w:type="dxa"/>
            <w:right w:w="108" w:type="dxa"/>
          </w:tblCellMar>
        </w:tblPrEx>
        <w:trPr>
          <w:trHeight w:val="116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5E8C881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4691DD5">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924016B">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    称：河南君光工程管理咨询有限公司</w:t>
            </w:r>
          </w:p>
          <w:p w14:paraId="074EBD43">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    址：信阳市羊山新区新七大道和谐广场1号电梯四楼</w:t>
            </w:r>
          </w:p>
          <w:p w14:paraId="636B3F59">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 系 人：杨磊</w:t>
            </w:r>
          </w:p>
          <w:p w14:paraId="738D1EF2">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联系方式：19350542621</w:t>
            </w:r>
          </w:p>
        </w:tc>
      </w:tr>
      <w:tr w14:paraId="6C555E2A">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3B7297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5BEB8A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A9CC7B9">
            <w:pPr>
              <w:keepNext w:val="0"/>
              <w:keepLines w:val="0"/>
              <w:pageBreakBefore w:val="0"/>
              <w:kinsoku/>
              <w:wordWrap/>
              <w:overflowPunct/>
              <w:topLinePunct w:val="0"/>
              <w:autoSpaceDE/>
              <w:autoSpaceDN/>
              <w:bidi w:val="0"/>
              <w:adjustRightInd w:val="0"/>
              <w:snapToGrid w:val="0"/>
              <w:spacing w:line="360" w:lineRule="auto"/>
              <w:ind w:left="0" w:leftChars="0"/>
              <w:rPr>
                <w:rFonts w:hint="eastAsia" w:ascii="宋体" w:hAnsi="宋体" w:eastAsia="宋体" w:cs="宋体"/>
                <w:color w:val="auto"/>
                <w:sz w:val="24"/>
                <w:szCs w:val="24"/>
                <w:highlight w:val="none"/>
                <w:lang w:eastAsia="zh-CN"/>
              </w:rPr>
            </w:pPr>
            <w:r>
              <w:rPr>
                <w:rFonts w:hint="eastAsia" w:ascii="宋体" w:hAnsi="宋体" w:cs="宋体"/>
                <w:bCs/>
                <w:color w:val="auto"/>
                <w:sz w:val="24"/>
                <w:szCs w:val="24"/>
                <w:highlight w:val="none"/>
                <w:lang w:eastAsia="zh-CN"/>
              </w:rPr>
              <w:t>淮滨县公共交通和道路运输服务中心淮滨县通达客运站改造工程(场站改造建设)</w:t>
            </w:r>
          </w:p>
        </w:tc>
      </w:tr>
      <w:tr w14:paraId="180A871E">
        <w:tblPrEx>
          <w:tblCellMar>
            <w:top w:w="0" w:type="dxa"/>
            <w:left w:w="108" w:type="dxa"/>
            <w:bottom w:w="0" w:type="dxa"/>
            <w:right w:w="108" w:type="dxa"/>
          </w:tblCellMar>
        </w:tblPrEx>
        <w:trPr>
          <w:trHeight w:val="303"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599B2D7">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3C86C28">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采购内容</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25C32DE">
            <w:pPr>
              <w:pStyle w:val="27"/>
              <w:keepNext w:val="0"/>
              <w:keepLines w:val="0"/>
              <w:widowControl/>
              <w:suppressLineNumbers w:val="0"/>
              <w:spacing w:line="360" w:lineRule="auto"/>
              <w:jc w:val="both"/>
              <w:rPr>
                <w:rFonts w:hint="eastAsia" w:ascii="宋体" w:hAnsi="宋体" w:eastAsia="宋体" w:cs="宋体"/>
                <w:color w:val="auto"/>
                <w:sz w:val="24"/>
                <w:szCs w:val="24"/>
                <w:highlight w:val="none"/>
                <w:lang w:val="en-US" w:eastAsia="zh-CN"/>
              </w:rPr>
            </w:pPr>
            <w:bookmarkStart w:id="60" w:name="OLE_LINK2"/>
            <w:r>
              <w:rPr>
                <w:rFonts w:hint="eastAsia" w:ascii="宋体" w:hAnsi="宋体" w:eastAsia="宋体" w:cs="宋体"/>
                <w:bCs/>
                <w:color w:val="auto"/>
                <w:kern w:val="2"/>
                <w:sz w:val="24"/>
                <w:szCs w:val="24"/>
                <w:highlight w:val="none"/>
                <w:lang w:val="en-US" w:eastAsia="zh-CN" w:bidi="ar-SA"/>
              </w:rPr>
              <w:t>主要内容包括候车厅改造、公共卫生间改造、新增票据室、场区工程（包括道路、围墙、立缘石、自动伸缩门、自动抬杆、成品门卫房及道路标线等）、室外给水及雨污水改造等。</w:t>
            </w:r>
            <w:bookmarkEnd w:id="60"/>
          </w:p>
        </w:tc>
      </w:tr>
      <w:tr w14:paraId="3AC74BBF">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72F8A8E">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517F1D8">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计划工期</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CCACD41">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bCs/>
                <w:color w:val="auto"/>
                <w:sz w:val="24"/>
                <w:szCs w:val="24"/>
                <w:highlight w:val="none"/>
                <w:lang w:val="en-US" w:eastAsia="zh-CN"/>
              </w:rPr>
              <w:t>60</w:t>
            </w:r>
            <w:r>
              <w:rPr>
                <w:rFonts w:hint="eastAsia" w:ascii="宋体" w:hAnsi="宋体" w:eastAsia="宋体" w:cs="宋体"/>
                <w:bCs/>
                <w:color w:val="auto"/>
                <w:sz w:val="24"/>
                <w:szCs w:val="24"/>
                <w:highlight w:val="none"/>
                <w:lang w:val="en-US" w:eastAsia="zh-CN"/>
              </w:rPr>
              <w:t>日历天</w:t>
            </w:r>
          </w:p>
        </w:tc>
      </w:tr>
      <w:tr w14:paraId="1DC63182">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631EA6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CAB936D">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78CC8BC0">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sz w:val="24"/>
                <w:szCs w:val="24"/>
                <w:highlight w:val="none"/>
                <w:lang w:eastAsia="zh-CN"/>
              </w:rPr>
              <w:t>合格</w:t>
            </w:r>
          </w:p>
        </w:tc>
      </w:tr>
      <w:tr w14:paraId="54A05F7E">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EF571F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1.4.4</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2A9B6301">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219BBBC">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协商，以签订合同为准</w:t>
            </w:r>
          </w:p>
        </w:tc>
      </w:tr>
      <w:tr w14:paraId="4732D716">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F6E26E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1.4.5</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089C2F4">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资金来源</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EF809E8">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财政资金</w:t>
            </w:r>
          </w:p>
        </w:tc>
      </w:tr>
      <w:tr w14:paraId="7B66798E">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035A08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5686C37">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供应商资质条件及能力要求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323DEE5">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详见第一章 磋商公告“二、申请人资格要求”</w:t>
            </w:r>
          </w:p>
        </w:tc>
      </w:tr>
      <w:tr w14:paraId="4F37B5BC">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820997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923DB1E">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E457C22">
            <w:pPr>
              <w:pStyle w:val="16"/>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不接受</w:t>
            </w:r>
          </w:p>
        </w:tc>
      </w:tr>
      <w:tr w14:paraId="5B2D8D35">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65FCD8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4D5F1B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现场踏勘</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1897415">
            <w:pPr>
              <w:pStyle w:val="16"/>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w:t>
            </w:r>
            <w:r>
              <w:rPr>
                <w:rFonts w:hint="eastAsia" w:ascii="宋体" w:hAnsi="宋体" w:eastAsia="宋体" w:cs="宋体"/>
                <w:color w:val="auto"/>
                <w:sz w:val="24"/>
                <w:szCs w:val="24"/>
                <w:highlight w:val="none"/>
                <w:lang w:val="en-US" w:eastAsia="zh-CN"/>
              </w:rPr>
              <w:t>组织，潜在供应商自行踏勘</w:t>
            </w:r>
          </w:p>
        </w:tc>
      </w:tr>
      <w:tr w14:paraId="7A8AE2EB">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C7EE7F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9F2051E">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10EAE20">
            <w:pPr>
              <w:pStyle w:val="16"/>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不允许</w:t>
            </w:r>
          </w:p>
        </w:tc>
      </w:tr>
      <w:tr w14:paraId="57E27F0F">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2C46CB5">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C8A08E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构成磋商文件</w:t>
            </w:r>
          </w:p>
          <w:p w14:paraId="62032B9D">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的其他材料</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7E83499">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除磋商文件外，采购人在磋商期间发出的澄清、修改、补充、补遗和其它有效正式函件等内容均是磋商文件的组成部分</w:t>
            </w:r>
          </w:p>
        </w:tc>
      </w:tr>
      <w:tr w14:paraId="174644DB">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5DFDEB1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52F6D0E">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供应商要求澄清磋商文件的截止时间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92FF3A3">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1"/>
                <w:sz w:val="24"/>
                <w:szCs w:val="24"/>
                <w:highlight w:val="none"/>
              </w:rPr>
              <w:t>递交响应文件截止之日</w:t>
            </w:r>
            <w:r>
              <w:rPr>
                <w:rFonts w:hint="eastAsia" w:ascii="宋体" w:hAnsi="宋体" w:eastAsia="宋体" w:cs="宋体"/>
                <w:color w:val="auto"/>
                <w:spacing w:val="-11"/>
                <w:sz w:val="24"/>
                <w:szCs w:val="24"/>
                <w:highlight w:val="none"/>
                <w:u w:val="single"/>
              </w:rPr>
              <w:t>7</w:t>
            </w:r>
            <w:r>
              <w:rPr>
                <w:rFonts w:hint="eastAsia" w:ascii="宋体" w:hAnsi="宋体" w:eastAsia="宋体" w:cs="宋体"/>
                <w:color w:val="auto"/>
                <w:spacing w:val="-11"/>
                <w:sz w:val="24"/>
                <w:szCs w:val="24"/>
                <w:highlight w:val="none"/>
              </w:rPr>
              <w:t>天前（各供应商应将质疑问题在“公共资源交易中心”电子交易平台进行提问，并致电确认或以书面形式</w:t>
            </w:r>
            <w:r>
              <w:rPr>
                <w:rFonts w:hint="eastAsia" w:ascii="宋体" w:hAnsi="宋体" w:eastAsia="宋体" w:cs="宋体"/>
                <w:color w:val="auto"/>
                <w:spacing w:val="-11"/>
                <w:sz w:val="24"/>
                <w:szCs w:val="24"/>
                <w:highlight w:val="none"/>
                <w:lang w:eastAsia="zh-CN"/>
              </w:rPr>
              <w:t>，</w:t>
            </w:r>
            <w:r>
              <w:rPr>
                <w:rFonts w:hint="eastAsia" w:ascii="宋体" w:hAnsi="宋体" w:eastAsia="宋体" w:cs="宋体"/>
                <w:color w:val="auto"/>
                <w:spacing w:val="-11"/>
                <w:sz w:val="24"/>
                <w:szCs w:val="24"/>
                <w:highlight w:val="none"/>
              </w:rPr>
              <w:t>包括信函、电报、传真等可以有形地表现所载内容的形式，下同</w:t>
            </w:r>
            <w:r>
              <w:rPr>
                <w:rFonts w:hint="eastAsia" w:ascii="宋体" w:hAnsi="宋体" w:eastAsia="宋体" w:cs="宋体"/>
                <w:color w:val="auto"/>
                <w:spacing w:val="-11"/>
                <w:sz w:val="24"/>
                <w:szCs w:val="24"/>
                <w:highlight w:val="none"/>
                <w:lang w:val="en-US" w:eastAsia="zh-CN"/>
              </w:rPr>
              <w:t>）</w:t>
            </w:r>
            <w:r>
              <w:rPr>
                <w:rFonts w:hint="eastAsia" w:ascii="宋体" w:hAnsi="宋体" w:eastAsia="宋体" w:cs="宋体"/>
                <w:color w:val="auto"/>
                <w:spacing w:val="-11"/>
                <w:sz w:val="24"/>
                <w:szCs w:val="24"/>
                <w:highlight w:val="none"/>
                <w:lang w:eastAsia="zh-CN"/>
              </w:rPr>
              <w:t>。</w:t>
            </w:r>
          </w:p>
        </w:tc>
      </w:tr>
      <w:tr w14:paraId="74334252">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563FCD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8F3E564">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采购人澄清磋商文件的截止时间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FDA8208">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递交响应文件截止之日</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天前</w:t>
            </w:r>
          </w:p>
          <w:p w14:paraId="2E44CC63">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74EDED7C">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A6D619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5B8C29A">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供应商确认收到磋商文件澄清的时间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2CD1EEE">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在收到相应澄清文件后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p w14:paraId="5FA65070">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0E410849">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683648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FB74520">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供应商确认收到磋商文件修改的时间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CCEB74C">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在收到相应修改文件后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p w14:paraId="51C8730A">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279E2A4C">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8CE98F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A18E831">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w:t>
            </w:r>
          </w:p>
          <w:p w14:paraId="15CF92EF">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的其他材料</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5936B47">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供应商认为需要提交的其他证明材料</w:t>
            </w:r>
          </w:p>
        </w:tc>
      </w:tr>
      <w:tr w14:paraId="5E7C906A">
        <w:tblPrEx>
          <w:tblCellMar>
            <w:top w:w="0" w:type="dxa"/>
            <w:left w:w="108" w:type="dxa"/>
            <w:bottom w:w="0" w:type="dxa"/>
            <w:right w:w="108" w:type="dxa"/>
          </w:tblCellMar>
        </w:tblPrEx>
        <w:trPr>
          <w:trHeight w:val="27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BBAD80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8768C9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4EAC6E5">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截止之日起</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日历天</w:t>
            </w:r>
          </w:p>
        </w:tc>
      </w:tr>
      <w:tr w14:paraId="2E903045">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7161AA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6E8EA7C">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w:t>
            </w:r>
          </w:p>
          <w:p w14:paraId="1B948BA1">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备选磋商方案</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975C835">
            <w:pPr>
              <w:pStyle w:val="16"/>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不允许</w:t>
            </w:r>
          </w:p>
        </w:tc>
      </w:tr>
      <w:tr w14:paraId="19199EDF">
        <w:tblPrEx>
          <w:tblCellMar>
            <w:top w:w="0" w:type="dxa"/>
            <w:left w:w="108" w:type="dxa"/>
            <w:bottom w:w="0" w:type="dxa"/>
            <w:right w:w="108" w:type="dxa"/>
          </w:tblCellMar>
        </w:tblPrEx>
        <w:trPr>
          <w:trHeight w:val="2096"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6BA533D">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637914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电子响应文件</w:t>
            </w:r>
          </w:p>
          <w:p w14:paraId="4136F44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签字盖章要求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43A7761">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（1）所有要求供应商加盖公章的地方都须加盖供应商的 CA 印章。</w:t>
            </w:r>
          </w:p>
          <w:p w14:paraId="7EDB0140">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（2）所有要求法定代表人或其委托代理人签字或盖章的地方都须加盖法定代表人或其委托代理人的CA 印章。委托代理人签字或盖章且委托代理人没有CA印章的，响应文件中须附有委托代理人手写签字的扫描件。</w:t>
            </w:r>
          </w:p>
          <w:p w14:paraId="47125FBF">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注：根据《中华人民共和国电子签名法》第十四条规定：可靠的电子签名与手写签名或者盖章具有同等的法律效力，电子签名或盖章均视为有效的电子签名。</w:t>
            </w:r>
          </w:p>
        </w:tc>
      </w:tr>
      <w:tr w14:paraId="4E37A872">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29CAE08">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3.7.4</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1247A01">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响应文件份数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13720F9">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加密的电子响应文件壹份（*.XYTF 格式，在会员系统指定位置上传）</w:t>
            </w:r>
          </w:p>
        </w:tc>
      </w:tr>
      <w:tr w14:paraId="1D825E35">
        <w:tblPrEx>
          <w:tblCellMar>
            <w:top w:w="0" w:type="dxa"/>
            <w:left w:w="108" w:type="dxa"/>
            <w:bottom w:w="0" w:type="dxa"/>
            <w:right w:w="108" w:type="dxa"/>
          </w:tblCellMar>
        </w:tblPrEx>
        <w:trPr>
          <w:trHeight w:val="372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F9ABBBD">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0D3216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90810D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1、电子响应文件的递交</w:t>
            </w:r>
          </w:p>
          <w:p w14:paraId="362C2FE7">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各供应商应在响应文件提交时间前上传加密的电子响应文件（*.XYTF）到会员系统的指定位置。上传时必须得到交易系统“上传成功”的确认回复后方为上传成功。请供应商在上传前务必认真检查上传响应文件是否完整、正确。</w:t>
            </w:r>
          </w:p>
          <w:p w14:paraId="47C83180">
            <w:pPr>
              <w:keepNext w:val="0"/>
              <w:keepLines w:val="0"/>
              <w:pageBreakBefore w:val="0"/>
              <w:numPr>
                <w:ilvl w:val="0"/>
                <w:numId w:val="0"/>
              </w:numPr>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 xml:space="preserve">本项目采用“不见面开标”交易方式，不见面开标大厅网址为 </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color w:val="auto"/>
                <w:sz w:val="24"/>
                <w:szCs w:val="24"/>
                <w:highlight w:val="none"/>
                <w:lang w:val="en-US" w:eastAsia="zh-CN"/>
              </w:rPr>
              <w:t>，供应商无需寄送和递交非加密的电子响应文件，无需到现场参加开标会议，无需到达现场提交原件资料。</w:t>
            </w:r>
            <w:r>
              <w:rPr>
                <w:rFonts w:hint="eastAsia" w:ascii="宋体" w:hAnsi="宋体" w:eastAsia="宋体" w:cs="宋体"/>
                <w:color w:val="auto"/>
                <w:sz w:val="24"/>
                <w:szCs w:val="24"/>
                <w:highlight w:val="none"/>
                <w:lang w:val="en-US" w:eastAsia="zh-CN"/>
              </w:rPr>
              <w:fldChar w:fldCharType="end"/>
            </w:r>
          </w:p>
          <w:p w14:paraId="79AA2A92">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sz w:val="24"/>
                <w:szCs w:val="24"/>
                <w:highlight w:val="none"/>
                <w:lang w:eastAsia="zh-CN"/>
              </w:rPr>
            </w:pPr>
            <w:r>
              <w:rPr>
                <w:rFonts w:hint="eastAsia" w:ascii="宋体" w:hAnsi="宋体" w:eastAsia="宋体" w:cs="宋体"/>
                <w:b/>
                <w:bCs/>
                <w:color w:val="auto"/>
                <w:spacing w:val="-11"/>
                <w:sz w:val="24"/>
                <w:szCs w:val="24"/>
                <w:highlight w:val="none"/>
                <w:lang w:val="en-US" w:eastAsia="zh-CN"/>
              </w:rPr>
              <w:t>特别提示：</w:t>
            </w:r>
            <w:r>
              <w:rPr>
                <w:rFonts w:hint="eastAsia" w:ascii="宋体" w:hAnsi="宋体" w:eastAsia="宋体" w:cs="宋体"/>
                <w:b/>
                <w:bCs/>
                <w:color w:val="auto"/>
                <w:spacing w:val="-11"/>
                <w:sz w:val="24"/>
                <w:szCs w:val="24"/>
                <w:highlight w:val="none"/>
              </w:rPr>
              <w:t>磋商二次报价开始时，评标系统会自动将“开始二次报价的提醒短信”发送给各有效供应商。请供应商准时在线签到，并如实准确的填写授权委托人的移动联系电话，磋商当天务必保持电话畅通，且及时关注手机短信，否则由此引起的后果自负。如果已经显示倒计时（默认30分钟），则需要在倒计时结束前完成二次报价，否则视为放弃二次报价，其响应文件将被否决。</w:t>
            </w:r>
          </w:p>
        </w:tc>
      </w:tr>
      <w:tr w14:paraId="0C5911D1">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A7E34D5">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6F98127">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响应文件提交</w:t>
            </w:r>
          </w:p>
          <w:p w14:paraId="4DD0035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4EBD945">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2026年10月16日9时00分</w:t>
            </w:r>
          </w:p>
        </w:tc>
      </w:tr>
      <w:tr w14:paraId="30AC5707">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1C30AC3">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141259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磋商时间和地点</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FA51962">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磋商</w:t>
            </w:r>
            <w:r>
              <w:rPr>
                <w:rFonts w:hint="eastAsia" w:ascii="宋体" w:hAnsi="宋体" w:eastAsia="宋体" w:cs="宋体"/>
                <w:color w:val="000000"/>
                <w:kern w:val="0"/>
                <w:sz w:val="24"/>
                <w:szCs w:val="24"/>
                <w:highlight w:val="none"/>
              </w:rPr>
              <w:t>时间：同</w:t>
            </w:r>
            <w:r>
              <w:rPr>
                <w:rFonts w:hint="eastAsia" w:ascii="宋体" w:hAnsi="宋体" w:eastAsia="宋体" w:cs="宋体"/>
                <w:color w:val="000000"/>
                <w:sz w:val="24"/>
                <w:szCs w:val="24"/>
                <w:highlight w:val="none"/>
              </w:rPr>
              <w:t>响应文件提交</w:t>
            </w:r>
            <w:r>
              <w:rPr>
                <w:rFonts w:hint="eastAsia" w:ascii="宋体" w:hAnsi="宋体" w:eastAsia="宋体" w:cs="宋体"/>
                <w:color w:val="000000"/>
                <w:kern w:val="0"/>
                <w:sz w:val="24"/>
                <w:szCs w:val="24"/>
                <w:highlight w:val="none"/>
              </w:rPr>
              <w:t>截止时间</w:t>
            </w:r>
          </w:p>
          <w:p w14:paraId="59A52B7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rPr>
              <w:t>磋商</w:t>
            </w:r>
            <w:r>
              <w:rPr>
                <w:rFonts w:hint="eastAsia" w:ascii="宋体" w:hAnsi="宋体" w:eastAsia="宋体" w:cs="宋体"/>
                <w:color w:val="auto"/>
                <w:kern w:val="0"/>
                <w:sz w:val="24"/>
                <w:szCs w:val="24"/>
                <w:highlight w:val="none"/>
              </w:rPr>
              <w:t>地点：</w:t>
            </w:r>
            <w:r>
              <w:rPr>
                <w:rFonts w:hint="eastAsia" w:ascii="宋体" w:hAnsi="宋体" w:eastAsia="宋体" w:cs="宋体"/>
                <w:b w:val="0"/>
                <w:bCs w:val="0"/>
                <w:color w:val="auto"/>
                <w:kern w:val="0"/>
                <w:sz w:val="24"/>
                <w:szCs w:val="24"/>
                <w:highlight w:val="none"/>
              </w:rPr>
              <w:t>同</w:t>
            </w:r>
            <w:r>
              <w:rPr>
                <w:rFonts w:hint="eastAsia" w:ascii="宋体" w:hAnsi="宋体" w:eastAsia="宋体" w:cs="宋体"/>
                <w:b w:val="0"/>
                <w:bCs w:val="0"/>
                <w:color w:val="auto"/>
                <w:kern w:val="0"/>
                <w:sz w:val="24"/>
                <w:szCs w:val="24"/>
                <w:highlight w:val="none"/>
                <w:lang w:val="en-US" w:eastAsia="zh-CN"/>
              </w:rPr>
              <w:t>磋商</w:t>
            </w:r>
            <w:r>
              <w:rPr>
                <w:rFonts w:hint="eastAsia" w:ascii="宋体" w:hAnsi="宋体" w:eastAsia="宋体" w:cs="宋体"/>
                <w:b w:val="0"/>
                <w:bCs w:val="0"/>
                <w:color w:val="auto"/>
                <w:kern w:val="0"/>
                <w:sz w:val="24"/>
                <w:szCs w:val="24"/>
                <w:highlight w:val="none"/>
              </w:rPr>
              <w:t>公告开标地点</w:t>
            </w:r>
          </w:p>
        </w:tc>
      </w:tr>
      <w:tr w14:paraId="6103CABE">
        <w:tblPrEx>
          <w:tblCellMar>
            <w:top w:w="0" w:type="dxa"/>
            <w:left w:w="108" w:type="dxa"/>
            <w:bottom w:w="0" w:type="dxa"/>
            <w:right w:w="108" w:type="dxa"/>
          </w:tblCellMar>
        </w:tblPrEx>
        <w:trPr>
          <w:trHeight w:val="48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A39655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223FC4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磋商小组的组建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68A636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磋商小组构成：</w:t>
            </w:r>
            <w:r>
              <w:rPr>
                <w:rFonts w:hint="eastAsia" w:ascii="宋体" w:hAnsi="宋体" w:eastAsia="宋体" w:cs="宋体"/>
                <w:color w:val="auto"/>
                <w:spacing w:val="-11"/>
                <w:sz w:val="24"/>
                <w:szCs w:val="24"/>
                <w:highlight w:val="none"/>
              </w:rPr>
              <w:t>3人，其中业主评委1人，技术、经济类专家2人；</w:t>
            </w:r>
          </w:p>
          <w:p w14:paraId="3006EC7D">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专家确定方式：磋商前从政府采购专家库中随机抽取。</w:t>
            </w:r>
          </w:p>
        </w:tc>
      </w:tr>
      <w:tr w14:paraId="3431A80B">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C1ED8F9">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A6546F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是否授权磋商小组</w:t>
            </w:r>
          </w:p>
          <w:p w14:paraId="558DAFB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确定成交人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248DD64">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否；推荐的成交候选人数：</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3名</w:t>
            </w:r>
          </w:p>
        </w:tc>
      </w:tr>
      <w:tr w14:paraId="68CFCC47">
        <w:tblPrEx>
          <w:tblCellMar>
            <w:top w:w="0" w:type="dxa"/>
            <w:left w:w="108" w:type="dxa"/>
            <w:bottom w:w="0" w:type="dxa"/>
            <w:right w:w="108" w:type="dxa"/>
          </w:tblCellMar>
        </w:tblPrEx>
        <w:trPr>
          <w:trHeight w:val="273" w:hRule="atLeast"/>
          <w:jc w:val="center"/>
        </w:trPr>
        <w:tc>
          <w:tcPr>
            <w:tcW w:w="9919" w:type="dxa"/>
            <w:gridSpan w:val="3"/>
            <w:tcBorders>
              <w:top w:val="single" w:color="auto" w:sz="4" w:space="0"/>
              <w:left w:val="single" w:color="auto" w:sz="4" w:space="0"/>
              <w:bottom w:val="single" w:color="auto" w:sz="4" w:space="0"/>
              <w:right w:val="single" w:color="auto" w:sz="4" w:space="0"/>
            </w:tcBorders>
            <w:noWrap w:val="0"/>
            <w:vAlign w:val="center"/>
          </w:tcPr>
          <w:p w14:paraId="2726152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需要补充的其他内容</w:t>
            </w:r>
          </w:p>
        </w:tc>
      </w:tr>
      <w:tr w14:paraId="4BDFE235">
        <w:tblPrEx>
          <w:tblCellMar>
            <w:top w:w="0" w:type="dxa"/>
            <w:left w:w="108" w:type="dxa"/>
            <w:bottom w:w="0" w:type="dxa"/>
            <w:right w:w="108" w:type="dxa"/>
          </w:tblCellMar>
        </w:tblPrEx>
        <w:trPr>
          <w:trHeight w:val="33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915957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解释权</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294F2704">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构成本磋商文件的各个组成文件应互为解释，互为说明；如有不明确或不一致，按磋商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78D8C44">
        <w:tblPrEx>
          <w:tblCellMar>
            <w:top w:w="0" w:type="dxa"/>
            <w:left w:w="108" w:type="dxa"/>
            <w:bottom w:w="0" w:type="dxa"/>
            <w:right w:w="108" w:type="dxa"/>
          </w:tblCellMar>
        </w:tblPrEx>
        <w:trPr>
          <w:trHeight w:val="116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01984C4">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73AF9BF9">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t>1.代理费收费约定：</w:t>
            </w:r>
          </w:p>
          <w:p w14:paraId="1975F2AF">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t>本项目代理费由</w:t>
            </w:r>
            <w:r>
              <w:rPr>
                <w:rFonts w:hint="eastAsia" w:ascii="宋体" w:hAnsi="宋体" w:eastAsia="宋体" w:cs="宋体"/>
                <w:color w:val="auto"/>
                <w:spacing w:val="-11"/>
                <w:sz w:val="24"/>
                <w:szCs w:val="24"/>
                <w:highlight w:val="none"/>
                <w:lang w:val="en-US"/>
              </w:rPr>
              <w:t>成交</w:t>
            </w:r>
            <w:r>
              <w:rPr>
                <w:rFonts w:hint="eastAsia" w:ascii="宋体" w:hAnsi="宋体" w:eastAsia="宋体" w:cs="宋体"/>
                <w:color w:val="auto"/>
                <w:spacing w:val="-11"/>
                <w:sz w:val="24"/>
                <w:szCs w:val="24"/>
                <w:highlight w:val="none"/>
              </w:rPr>
              <w:t>企业支付，供应商报价应当包含该项目代理服务费。</w:t>
            </w:r>
          </w:p>
          <w:p w14:paraId="10B7854B">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bidi="zh-CN"/>
              </w:rPr>
            </w:pPr>
            <w:r>
              <w:rPr>
                <w:rFonts w:hint="eastAsia" w:ascii="宋体" w:hAnsi="宋体" w:eastAsia="宋体" w:cs="宋体"/>
                <w:color w:val="auto"/>
                <w:spacing w:val="-11"/>
                <w:sz w:val="24"/>
                <w:szCs w:val="24"/>
                <w:highlight w:val="none"/>
              </w:rPr>
              <w:t>2.本项目代理服务费按不高于“豫招协〔2023〕002号”规定的收费标准收取，</w:t>
            </w:r>
            <w:r>
              <w:rPr>
                <w:rFonts w:hint="eastAsia" w:ascii="宋体" w:hAnsi="宋体" w:eastAsia="宋体" w:cs="宋体"/>
                <w:color w:val="auto"/>
                <w:spacing w:val="-11"/>
                <w:sz w:val="24"/>
                <w:szCs w:val="24"/>
                <w:highlight w:val="none"/>
                <w:lang w:val="en-US" w:eastAsia="zh-CN"/>
              </w:rPr>
              <w:t>收费金额不高于</w:t>
            </w:r>
            <w:r>
              <w:rPr>
                <w:rFonts w:hint="eastAsia" w:ascii="宋体" w:hAnsi="宋体" w:cs="宋体"/>
                <w:color w:val="auto"/>
                <w:spacing w:val="-11"/>
                <w:sz w:val="24"/>
                <w:szCs w:val="24"/>
                <w:highlight w:val="none"/>
                <w:lang w:val="en-US" w:eastAsia="zh-CN"/>
              </w:rPr>
              <w:t>41619</w:t>
            </w:r>
            <w:r>
              <w:rPr>
                <w:rFonts w:hint="eastAsia" w:ascii="宋体" w:hAnsi="宋体" w:eastAsia="宋体" w:cs="宋体"/>
                <w:color w:val="auto"/>
                <w:spacing w:val="-11"/>
                <w:sz w:val="24"/>
                <w:szCs w:val="24"/>
                <w:highlight w:val="none"/>
              </w:rPr>
              <w:t>元。</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人领取</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通知时向采购代理机构一次性付清。本项目</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服务费的收取按差额定率累进法计算，单标段上限不得超过10万元。</w:t>
            </w:r>
          </w:p>
        </w:tc>
      </w:tr>
      <w:tr w14:paraId="6F50B945">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D430EB2">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w:t>
            </w:r>
          </w:p>
          <w:p w14:paraId="526D59AE">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控制价</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36606401">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本项目采购预算为人民币</w:t>
            </w:r>
            <w:r>
              <w:rPr>
                <w:rFonts w:hint="eastAsia" w:ascii="宋体" w:hAnsi="宋体" w:cs="宋体"/>
                <w:b/>
                <w:bCs/>
                <w:color w:val="auto"/>
                <w:sz w:val="24"/>
                <w:szCs w:val="24"/>
                <w:highlight w:val="none"/>
                <w:lang w:val="en-US" w:eastAsia="zh-CN"/>
              </w:rPr>
              <w:t>3961888.09</w:t>
            </w:r>
            <w:r>
              <w:rPr>
                <w:rFonts w:hint="eastAsia" w:ascii="宋体" w:hAnsi="宋体" w:eastAsia="宋体" w:cs="宋体"/>
                <w:color w:val="auto"/>
                <w:sz w:val="24"/>
                <w:szCs w:val="24"/>
                <w:highlight w:val="none"/>
                <w:lang w:eastAsia="zh-CN"/>
              </w:rPr>
              <w:t>元</w:t>
            </w:r>
            <w:r>
              <w:rPr>
                <w:rFonts w:hint="eastAsia" w:ascii="宋体" w:hAnsi="宋体" w:eastAsia="宋体" w:cs="宋体"/>
                <w:color w:val="auto"/>
                <w:sz w:val="24"/>
                <w:szCs w:val="24"/>
                <w:highlight w:val="none"/>
              </w:rPr>
              <w:t>，报价超过此价格的按无效响应处理。</w:t>
            </w:r>
          </w:p>
        </w:tc>
      </w:tr>
      <w:tr w14:paraId="668D3EF3">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6D30258">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bookmarkStart w:id="61" w:name="_Toc10694"/>
            <w:bookmarkStart w:id="62" w:name="_Toc144974497"/>
            <w:bookmarkStart w:id="63" w:name="_Toc10838"/>
            <w:bookmarkStart w:id="64" w:name="_Toc152045529"/>
            <w:bookmarkStart w:id="65" w:name="_Toc455080108"/>
            <w:bookmarkStart w:id="66" w:name="_Toc466298091"/>
            <w:bookmarkStart w:id="67" w:name="_Toc152042305"/>
            <w:r>
              <w:rPr>
                <w:rFonts w:hint="eastAsia" w:ascii="宋体" w:hAnsi="宋体" w:eastAsia="宋体" w:cs="宋体"/>
                <w:color w:val="auto"/>
                <w:spacing w:val="-11"/>
                <w:sz w:val="24"/>
                <w:szCs w:val="24"/>
                <w:highlight w:val="none"/>
              </w:rPr>
              <w:t>标书雷同性分析</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29466D65">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文件制作机器码、文件创建标识码有相同的按废标处理。</w:t>
            </w:r>
          </w:p>
        </w:tc>
      </w:tr>
      <w:tr w14:paraId="28B2F164">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679E68B">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lang w:val="en-US" w:eastAsia="zh-CN"/>
              </w:rPr>
              <w:t>本项目所属行业</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79B47714">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建筑业（依据中小企业划型标准规定（工信部联企业[2011]300号））。</w:t>
            </w:r>
          </w:p>
        </w:tc>
      </w:tr>
      <w:tr w14:paraId="783F9884">
        <w:tblPrEx>
          <w:tblCellMar>
            <w:top w:w="0" w:type="dxa"/>
            <w:left w:w="108" w:type="dxa"/>
            <w:bottom w:w="0" w:type="dxa"/>
            <w:right w:w="108" w:type="dxa"/>
          </w:tblCellMar>
        </w:tblPrEx>
        <w:trPr>
          <w:trHeight w:val="46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7AA00177">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pacing w:val="-11"/>
                <w:sz w:val="24"/>
                <w:szCs w:val="24"/>
                <w:highlight w:val="none"/>
                <w:lang w:val="en-US" w:eastAsia="zh-CN"/>
              </w:rPr>
            </w:pPr>
            <w:r>
              <w:rPr>
                <w:rFonts w:hint="eastAsia" w:ascii="宋体" w:hAnsi="宋体" w:eastAsia="宋体" w:cs="宋体"/>
                <w:color w:val="auto"/>
                <w:spacing w:val="-11"/>
                <w:sz w:val="24"/>
                <w:szCs w:val="24"/>
                <w:highlight w:val="none"/>
                <w:lang w:val="en-US" w:eastAsia="zh-CN"/>
              </w:rPr>
              <w:t>补充的其他内容</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77BCF4E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1.投标人在制作投标文件时，第六章  竞争性磋商响应文件格式的“已标价工程量清单”以给出的招标控制价和工程量清单中的项目名称为准，响应文件格式中的其他需要填写项目名称的地方均以招标文件前附表明确的项目名称为准。</w:t>
            </w:r>
          </w:p>
          <w:p w14:paraId="4246391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2.其他规定废标情形：</w:t>
            </w:r>
          </w:p>
          <w:p w14:paraId="545E914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根据信财购〔2022〕7 号文（信阳市财政局关于严禁在政府采购活动中串标围标促进投标企业诚实守信的通知）除政府采购法律法规规定的恶意串通、视同串通投标情形外，参与同一个标段(包)的供应商存在下列情形之一的，其响应文件将会判定为无效： </w:t>
            </w:r>
          </w:p>
          <w:p w14:paraId="517A4F2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（一）不同供应商的电子响应文件上传计算机的网卡MAC地址、CPU序列号和硬盘序列号等硬件信息相同的； </w:t>
            </w:r>
          </w:p>
          <w:p w14:paraId="768673D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（二）不同供应商的响应文件由同一电子设备编制、打印加密或者上传； </w:t>
            </w:r>
          </w:p>
          <w:p w14:paraId="45EB6BF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（三）不同供应商的响应文件由同一电子设备打印、复印，且无法合理解释的；</w:t>
            </w:r>
          </w:p>
          <w:p w14:paraId="198DFC2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（四）不同供应商的响应文件由同一人送达或者分发，或者不同供应商联系人为同一人或不同联系人的联系电话一致的； </w:t>
            </w:r>
          </w:p>
          <w:p w14:paraId="36DB59C0">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pacing w:val="-6"/>
                <w:sz w:val="24"/>
                <w:szCs w:val="24"/>
                <w:highlight w:val="none"/>
                <w:lang w:val="en-US" w:eastAsia="zh-CN"/>
              </w:rPr>
              <w:t>不同供应商的响应文件的内容存在两处以上细节错误一致，且无法合理解释的；</w:t>
            </w:r>
            <w:r>
              <w:rPr>
                <w:rFonts w:hint="eastAsia" w:ascii="宋体" w:hAnsi="宋体" w:eastAsia="宋体" w:cs="宋体"/>
                <w:color w:val="auto"/>
                <w:sz w:val="24"/>
                <w:szCs w:val="24"/>
                <w:highlight w:val="none"/>
                <w:lang w:val="en-US" w:eastAsia="zh-CN"/>
              </w:rPr>
              <w:t xml:space="preserve"> </w:t>
            </w:r>
          </w:p>
          <w:p w14:paraId="605CE22D">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（六）不同供应商的法定代表人、委托代理人、项目经理、项目负责人等由同一个单位缴纳社会保险或者领取报酬的； </w:t>
            </w:r>
          </w:p>
          <w:p w14:paraId="4320EAD3">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（七）不同供应商响应文件中法定代表人或者负责人签字出自同一人之手； </w:t>
            </w:r>
          </w:p>
          <w:p w14:paraId="4DDFBEE1">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（八）其他涉嫌串通的情形。</w:t>
            </w:r>
          </w:p>
        </w:tc>
      </w:tr>
    </w:tbl>
    <w:p w14:paraId="20F61400">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rPr>
      </w:pPr>
      <w:bookmarkStart w:id="68" w:name="_Toc21086"/>
      <w:bookmarkStart w:id="69" w:name="_Toc28605"/>
      <w:r>
        <w:rPr>
          <w:rFonts w:hint="eastAsia"/>
        </w:rPr>
        <w:t>1. 总则</w:t>
      </w:r>
      <w:bookmarkEnd w:id="61"/>
      <w:bookmarkEnd w:id="62"/>
      <w:bookmarkEnd w:id="63"/>
      <w:bookmarkEnd w:id="64"/>
      <w:bookmarkEnd w:id="65"/>
      <w:bookmarkEnd w:id="66"/>
      <w:bookmarkEnd w:id="67"/>
      <w:bookmarkEnd w:id="68"/>
      <w:bookmarkEnd w:id="69"/>
    </w:p>
    <w:p w14:paraId="00B198D9">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70" w:name="_Toc20827"/>
      <w:bookmarkStart w:id="71" w:name="_Toc318450675"/>
      <w:bookmarkStart w:id="72" w:name="_Toc274409866"/>
      <w:bookmarkStart w:id="73" w:name="_Toc21266"/>
      <w:bookmarkStart w:id="74" w:name="_Toc22014"/>
      <w:bookmarkStart w:id="75" w:name="_Toc490667828"/>
      <w:bookmarkStart w:id="76" w:name="_Toc455080109"/>
      <w:bookmarkStart w:id="77" w:name="_Toc281380952"/>
      <w:bookmarkStart w:id="78" w:name="_Toc31760"/>
      <w:bookmarkStart w:id="79" w:name="_Toc6747"/>
      <w:bookmarkStart w:id="80" w:name="_Toc455867769"/>
      <w:bookmarkStart w:id="81" w:name="_Toc29023"/>
      <w:bookmarkStart w:id="82" w:name="_Toc31404"/>
      <w:bookmarkStart w:id="83" w:name="_Toc1172"/>
      <w:bookmarkStart w:id="84" w:name="_Toc10273"/>
      <w:bookmarkStart w:id="85" w:name="_Toc21458"/>
      <w:bookmarkStart w:id="86" w:name="_Toc15709"/>
      <w:bookmarkStart w:id="87" w:name="_Toc9723"/>
      <w:bookmarkStart w:id="88" w:name="_Toc1880"/>
      <w:bookmarkStart w:id="89" w:name="_Toc466298092"/>
      <w:bookmarkStart w:id="90" w:name="_Toc658"/>
      <w:bookmarkStart w:id="91" w:name="_Toc152045531"/>
      <w:bookmarkStart w:id="92" w:name="_Toc144974499"/>
      <w:bookmarkStart w:id="93" w:name="_Toc152042307"/>
      <w:bookmarkStart w:id="94" w:name="_Toc144974565"/>
      <w:bookmarkStart w:id="95" w:name="_Toc455867814"/>
      <w:bookmarkStart w:id="96" w:name="_Toc466298137"/>
      <w:bookmarkStart w:id="97" w:name="_Toc152045598"/>
      <w:bookmarkStart w:id="98" w:name="_Toc455080154"/>
      <w:bookmarkStart w:id="99" w:name="_Toc152042375"/>
      <w:r>
        <w:rPr>
          <w:rFonts w:hint="eastAsia" w:ascii="宋体" w:hAnsi="宋体" w:eastAsia="宋体" w:cs="宋体"/>
          <w:b/>
          <w:bCs/>
          <w:color w:val="auto"/>
          <w:sz w:val="24"/>
          <w:szCs w:val="24"/>
          <w:highlight w:val="none"/>
        </w:rPr>
        <w:t>1.1 适用范围</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EE0C4C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1.1.1根据《中华人民共和国政府采购法》等有关法律、法规和规章的规定，编制本项目磋商文件。</w:t>
      </w:r>
      <w:bookmarkStart w:id="100" w:name="_Toc455080110"/>
      <w:bookmarkStart w:id="101" w:name="_Toc20084"/>
      <w:bookmarkStart w:id="102" w:name="_Toc32619"/>
      <w:bookmarkStart w:id="103" w:name="_Toc30891"/>
      <w:bookmarkStart w:id="104" w:name="_Toc10269"/>
      <w:bookmarkStart w:id="105" w:name="_Toc25773"/>
      <w:bookmarkStart w:id="106" w:name="_Toc455867770"/>
      <w:bookmarkStart w:id="107" w:name="_Toc24852"/>
      <w:bookmarkStart w:id="108" w:name="_Toc2874"/>
      <w:bookmarkStart w:id="109" w:name="_Toc318450676"/>
      <w:bookmarkStart w:id="110" w:name="_Toc11715"/>
      <w:bookmarkStart w:id="111" w:name="_Toc466298093"/>
      <w:bookmarkStart w:id="112" w:name="_Toc10556"/>
      <w:bookmarkStart w:id="113" w:name="_Toc490667829"/>
      <w:bookmarkStart w:id="114" w:name="_Toc3336"/>
      <w:bookmarkStart w:id="115" w:name="_Toc7237"/>
      <w:bookmarkStart w:id="116" w:name="_Toc281405468"/>
      <w:bookmarkStart w:id="117" w:name="_Toc274409867"/>
      <w:bookmarkStart w:id="118" w:name="_Toc710"/>
      <w:bookmarkStart w:id="119" w:name="_Toc2929"/>
    </w:p>
    <w:p w14:paraId="7363CB76">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招标项目说明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6CBB66A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本项目采购人：见供应商须知前附表。</w:t>
      </w:r>
    </w:p>
    <w:p w14:paraId="51AE4F3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本项目采购代理机构：见供应商须知前附表。</w:t>
      </w:r>
    </w:p>
    <w:p w14:paraId="7003C45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本项目名称：见供应商须知前附表。</w:t>
      </w:r>
    </w:p>
    <w:p w14:paraId="25FBE1F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20" w:name="_Toc743"/>
      <w:bookmarkStart w:id="121" w:name="_Toc18960"/>
      <w:bookmarkStart w:id="122" w:name="_Toc455080111"/>
      <w:bookmarkStart w:id="123" w:name="_Toc281405469"/>
      <w:bookmarkStart w:id="124" w:name="_Toc16931"/>
      <w:bookmarkStart w:id="125" w:name="_Toc4122"/>
      <w:bookmarkStart w:id="126" w:name="_Toc318450677"/>
      <w:bookmarkStart w:id="127" w:name="_Toc17016"/>
      <w:bookmarkStart w:id="128" w:name="_Toc1373"/>
      <w:bookmarkStart w:id="129" w:name="_Toc455867771"/>
      <w:bookmarkStart w:id="130" w:name="_Toc490667830"/>
      <w:bookmarkStart w:id="131" w:name="_Toc274409868"/>
      <w:bookmarkStart w:id="132" w:name="_Toc15274"/>
      <w:bookmarkStart w:id="133" w:name="_Toc466298094"/>
      <w:bookmarkStart w:id="134" w:name="_Toc22979"/>
      <w:bookmarkStart w:id="135" w:name="_Toc4952"/>
      <w:bookmarkStart w:id="136" w:name="_Toc20981"/>
      <w:bookmarkStart w:id="137" w:name="_Toc3279"/>
      <w:bookmarkStart w:id="138" w:name="_Toc4563"/>
      <w:bookmarkStart w:id="139" w:name="_Toc17146"/>
      <w:bookmarkStart w:id="140" w:name="_Toc3477"/>
      <w:r>
        <w:rPr>
          <w:rFonts w:hint="eastAsia" w:ascii="宋体" w:hAnsi="宋体" w:eastAsia="宋体" w:cs="宋体"/>
          <w:b/>
          <w:bCs/>
          <w:color w:val="auto"/>
          <w:sz w:val="24"/>
          <w:szCs w:val="24"/>
          <w:highlight w:val="none"/>
        </w:rPr>
        <w:t>1.3 定义及解释</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2167123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1.3.1采购人：依法进行政府采购的国家机关、事业单位、团体组织。</w:t>
      </w:r>
    </w:p>
    <w:p w14:paraId="176BC83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r>
        <w:rPr>
          <w:rFonts w:hint="eastAsia" w:ascii="宋体" w:hAnsi="宋体" w:eastAsia="宋体" w:cs="宋体"/>
          <w:color w:val="auto"/>
          <w:spacing w:val="-11"/>
          <w:sz w:val="24"/>
          <w:szCs w:val="24"/>
          <w:highlight w:val="none"/>
        </w:rPr>
        <w:t>采购代理机构：取得政府采购招标代理资质，受采购人委托组织招标活动的社会中介组织。</w:t>
      </w:r>
    </w:p>
    <w:p w14:paraId="0C1B5B4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1.3.3服务：</w:t>
      </w:r>
      <w:r>
        <w:rPr>
          <w:rFonts w:hint="eastAsia" w:ascii="宋体" w:hAnsi="宋体" w:eastAsia="宋体" w:cs="宋体"/>
          <w:color w:val="auto"/>
          <w:spacing w:val="-17"/>
          <w:sz w:val="24"/>
          <w:szCs w:val="24"/>
          <w:highlight w:val="none"/>
        </w:rPr>
        <w:t>系指根据本磋商文件规定供应商须承担的服务以及其他类似的义务等。</w:t>
      </w:r>
    </w:p>
    <w:p w14:paraId="6564477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w:t>
      </w:r>
      <w:r>
        <w:rPr>
          <w:rFonts w:hint="eastAsia" w:ascii="宋体" w:hAnsi="宋体" w:eastAsia="宋体" w:cs="宋体"/>
          <w:color w:val="auto"/>
          <w:spacing w:val="-11"/>
          <w:sz w:val="24"/>
          <w:szCs w:val="24"/>
          <w:highlight w:val="none"/>
        </w:rPr>
        <w:t>供应商：供应商是响应磋商文件、参加磋商竞争的中华人民共和国境内的法人、其它组织。</w:t>
      </w:r>
    </w:p>
    <w:p w14:paraId="4086832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1.3.5响应文件：指供应商根据磋商文件提交的所有文件。</w:t>
      </w:r>
    </w:p>
    <w:p w14:paraId="1095EEE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1.3.6磋商小组：依据</w:t>
      </w:r>
      <w:r>
        <w:rPr>
          <w:rFonts w:hint="eastAsia" w:ascii="宋体" w:hAnsi="宋体" w:eastAsia="宋体" w:cs="宋体"/>
          <w:color w:val="auto"/>
          <w:sz w:val="24"/>
          <w:szCs w:val="24"/>
          <w:highlight w:val="none"/>
          <w:lang w:bidi="en-US"/>
        </w:rPr>
        <w:t>《中华人民共和国政府采购法》及有关法律、法规的规定依法组建的专门负责本次评标工作的临时机构</w:t>
      </w:r>
      <w:r>
        <w:rPr>
          <w:rFonts w:hint="eastAsia" w:ascii="宋体" w:hAnsi="宋体" w:eastAsia="宋体" w:cs="宋体"/>
          <w:color w:val="auto"/>
          <w:sz w:val="24"/>
          <w:szCs w:val="24"/>
          <w:highlight w:val="none"/>
        </w:rPr>
        <w:t>。</w:t>
      </w:r>
    </w:p>
    <w:p w14:paraId="09C46C4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1.3.7偏离：响应文件的响应相对于磋商文件要求的偏差，该偏差优于磋商文件要求的为正偏离；劣于的，为负偏离。</w:t>
      </w:r>
    </w:p>
    <w:p w14:paraId="63A0DD0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1.3.8“日期”或“天”：指日历天。</w:t>
      </w:r>
    </w:p>
    <w:p w14:paraId="4091221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1.3.9合同：指依据本次服务采购招标结果签订的协议或合约文件。</w:t>
      </w:r>
    </w:p>
    <w:p w14:paraId="70570F4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1.3.10磋商文件中的标题或题名仅起引导作用，而不应视为对磋商文件内容的理解和解释。</w:t>
      </w:r>
    </w:p>
    <w:bookmarkEnd w:id="91"/>
    <w:bookmarkEnd w:id="92"/>
    <w:bookmarkEnd w:id="93"/>
    <w:p w14:paraId="3DA055A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rPr>
      </w:pPr>
      <w:bookmarkStart w:id="141" w:name="_Toc144974500"/>
      <w:bookmarkStart w:id="142" w:name="_Toc27407"/>
      <w:bookmarkStart w:id="143" w:name="_Toc17808"/>
      <w:bookmarkStart w:id="144" w:name="_Toc21766"/>
      <w:bookmarkStart w:id="145" w:name="_Toc14043"/>
      <w:bookmarkStart w:id="146" w:name="_Toc10894"/>
      <w:bookmarkStart w:id="147" w:name="_Toc19363"/>
      <w:bookmarkStart w:id="148" w:name="_Toc17908"/>
      <w:bookmarkStart w:id="149" w:name="_Toc318450678"/>
      <w:bookmarkStart w:id="150" w:name="_Toc455867772"/>
      <w:bookmarkStart w:id="151" w:name="_Toc16470"/>
      <w:bookmarkStart w:id="152" w:name="_Toc12752"/>
      <w:bookmarkStart w:id="153" w:name="_Toc152045532"/>
      <w:bookmarkStart w:id="154" w:name="_Toc152042308"/>
      <w:bookmarkStart w:id="155" w:name="_Toc455080112"/>
      <w:bookmarkStart w:id="156" w:name="_Toc466298095"/>
      <w:bookmarkStart w:id="157" w:name="_Toc32236"/>
      <w:bookmarkStart w:id="158" w:name="_Toc490667831"/>
      <w:bookmarkStart w:id="159" w:name="_Toc28591"/>
      <w:bookmarkStart w:id="160" w:name="_Toc32682"/>
      <w:bookmarkStart w:id="161" w:name="_Toc18562"/>
      <w:bookmarkStart w:id="162" w:name="_Toc6224"/>
      <w:r>
        <w:rPr>
          <w:rFonts w:hint="eastAsia" w:ascii="宋体" w:hAnsi="宋体" w:eastAsia="宋体" w:cs="宋体"/>
          <w:b/>
          <w:bCs/>
          <w:color w:val="auto"/>
          <w:sz w:val="24"/>
          <w:szCs w:val="24"/>
          <w:highlight w:val="none"/>
        </w:rPr>
        <w:t xml:space="preserve">1.4 </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hint="eastAsia" w:ascii="宋体" w:hAnsi="宋体" w:eastAsia="宋体" w:cs="宋体"/>
          <w:b/>
          <w:bCs/>
          <w:color w:val="auto"/>
          <w:sz w:val="24"/>
          <w:szCs w:val="24"/>
          <w:highlight w:val="none"/>
          <w:lang w:eastAsia="zh-CN"/>
        </w:rPr>
        <w:t>采购内容、计划工期、</w:t>
      </w:r>
      <w:r>
        <w:rPr>
          <w:rFonts w:hint="eastAsia" w:ascii="宋体" w:hAnsi="宋体" w:eastAsia="宋体" w:cs="宋体"/>
          <w:b/>
          <w:bCs/>
          <w:color w:val="auto"/>
          <w:sz w:val="24"/>
          <w:szCs w:val="24"/>
          <w:highlight w:val="none"/>
        </w:rPr>
        <w:t>质量要求</w:t>
      </w:r>
      <w:r>
        <w:rPr>
          <w:rFonts w:hint="eastAsia" w:ascii="宋体" w:hAnsi="宋体" w:eastAsia="宋体" w:cs="宋体"/>
          <w:b/>
          <w:bCs/>
          <w:color w:val="auto"/>
          <w:sz w:val="24"/>
          <w:szCs w:val="24"/>
          <w:highlight w:val="none"/>
          <w:lang w:eastAsia="zh-CN"/>
        </w:rPr>
        <w:t>、付款方式</w:t>
      </w:r>
      <w:bookmarkEnd w:id="159"/>
      <w:bookmarkEnd w:id="160"/>
      <w:bookmarkEnd w:id="161"/>
      <w:r>
        <w:rPr>
          <w:rFonts w:hint="eastAsia" w:ascii="宋体" w:hAnsi="宋体" w:eastAsia="宋体" w:cs="宋体"/>
          <w:b/>
          <w:bCs/>
          <w:color w:val="auto"/>
          <w:sz w:val="24"/>
          <w:szCs w:val="24"/>
          <w:highlight w:val="none"/>
          <w:lang w:val="en-US" w:eastAsia="zh-CN"/>
        </w:rPr>
        <w:t>及资金来源</w:t>
      </w:r>
      <w:bookmarkEnd w:id="162"/>
    </w:p>
    <w:p w14:paraId="238C19D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本次</w:t>
      </w:r>
      <w:r>
        <w:rPr>
          <w:rFonts w:hint="eastAsia" w:ascii="宋体" w:hAnsi="宋体" w:eastAsia="宋体" w:cs="宋体"/>
          <w:color w:val="auto"/>
          <w:sz w:val="24"/>
          <w:szCs w:val="24"/>
          <w:highlight w:val="none"/>
          <w:lang w:eastAsia="zh-CN"/>
        </w:rPr>
        <w:t>采购内容</w:t>
      </w:r>
      <w:r>
        <w:rPr>
          <w:rFonts w:hint="eastAsia" w:ascii="宋体" w:hAnsi="宋体" w:eastAsia="宋体" w:cs="宋体"/>
          <w:color w:val="auto"/>
          <w:sz w:val="24"/>
          <w:szCs w:val="24"/>
          <w:highlight w:val="none"/>
        </w:rPr>
        <w:t>：见供应商须知前附表。</w:t>
      </w:r>
    </w:p>
    <w:p w14:paraId="2B0B89A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本项目的</w:t>
      </w:r>
      <w:r>
        <w:rPr>
          <w:rFonts w:hint="eastAsia" w:ascii="宋体" w:hAnsi="宋体" w:eastAsia="宋体" w:cs="宋体"/>
          <w:color w:val="auto"/>
          <w:sz w:val="24"/>
          <w:szCs w:val="24"/>
          <w:highlight w:val="none"/>
          <w:lang w:eastAsia="zh-CN"/>
        </w:rPr>
        <w:t>计划工期</w:t>
      </w:r>
      <w:r>
        <w:rPr>
          <w:rFonts w:hint="eastAsia" w:ascii="宋体" w:hAnsi="宋体" w:eastAsia="宋体" w:cs="宋体"/>
          <w:color w:val="auto"/>
          <w:sz w:val="24"/>
          <w:szCs w:val="24"/>
          <w:highlight w:val="none"/>
        </w:rPr>
        <w:t>：见供应商须知前附表。</w:t>
      </w:r>
    </w:p>
    <w:p w14:paraId="030F974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1.4.3本项目的质量要求：见供应商须知前附表。</w:t>
      </w:r>
    </w:p>
    <w:p w14:paraId="2E93B74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eastAsia="zh-CN"/>
        </w:rPr>
        <w:t>付款方式</w:t>
      </w:r>
      <w:r>
        <w:rPr>
          <w:rFonts w:hint="eastAsia" w:ascii="宋体" w:hAnsi="宋体" w:eastAsia="宋体" w:cs="宋体"/>
          <w:color w:val="auto"/>
          <w:sz w:val="24"/>
          <w:szCs w:val="24"/>
          <w:highlight w:val="none"/>
        </w:rPr>
        <w:t>：见供应商须知前附表。</w:t>
      </w:r>
    </w:p>
    <w:p w14:paraId="35C9006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val="en-US" w:eastAsia="zh-CN"/>
        </w:rPr>
        <w:t>资金来源</w:t>
      </w:r>
      <w:r>
        <w:rPr>
          <w:rFonts w:hint="eastAsia" w:ascii="宋体" w:hAnsi="宋体" w:eastAsia="宋体" w:cs="宋体"/>
          <w:color w:val="auto"/>
          <w:sz w:val="24"/>
          <w:szCs w:val="24"/>
          <w:highlight w:val="none"/>
        </w:rPr>
        <w:t>：见供应商须知前附表。</w:t>
      </w:r>
      <w:bookmarkStart w:id="163" w:name="_Toc318450679"/>
      <w:bookmarkStart w:id="164" w:name="_Toc152042310"/>
      <w:bookmarkStart w:id="165" w:name="_Toc152045534"/>
      <w:bookmarkStart w:id="166" w:name="_Toc144974502"/>
      <w:bookmarkStart w:id="167" w:name="_Toc18689"/>
      <w:bookmarkStart w:id="168" w:name="_Toc18004"/>
      <w:bookmarkStart w:id="169" w:name="_Toc455080113"/>
      <w:bookmarkStart w:id="170" w:name="_Toc21697"/>
      <w:bookmarkStart w:id="171" w:name="_Toc22643"/>
      <w:bookmarkStart w:id="172" w:name="_Toc490667832"/>
      <w:bookmarkStart w:id="173" w:name="_Toc193"/>
      <w:bookmarkStart w:id="174" w:name="_Toc1602"/>
      <w:bookmarkStart w:id="175" w:name="_Toc5019"/>
      <w:bookmarkStart w:id="176" w:name="_Toc466298096"/>
      <w:bookmarkStart w:id="177" w:name="_Toc4301"/>
      <w:bookmarkStart w:id="178" w:name="_Toc32156"/>
      <w:bookmarkStart w:id="179" w:name="_Toc24496"/>
      <w:bookmarkStart w:id="180" w:name="_Toc455867773"/>
      <w:bookmarkStart w:id="181" w:name="_Toc4711"/>
      <w:bookmarkStart w:id="182" w:name="_Toc11063"/>
      <w:bookmarkStart w:id="183" w:name="_Toc7209"/>
    </w:p>
    <w:p w14:paraId="489743D8">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1.5 </w:t>
      </w:r>
      <w:bookmarkEnd w:id="163"/>
      <w:bookmarkEnd w:id="164"/>
      <w:bookmarkEnd w:id="165"/>
      <w:bookmarkEnd w:id="166"/>
      <w:r>
        <w:rPr>
          <w:rFonts w:hint="eastAsia" w:ascii="宋体" w:hAnsi="宋体" w:eastAsia="宋体" w:cs="宋体"/>
          <w:b/>
          <w:bCs/>
          <w:color w:val="auto"/>
          <w:sz w:val="24"/>
          <w:szCs w:val="24"/>
          <w:highlight w:val="none"/>
        </w:rPr>
        <w:t>供应商资质条件和能力</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3BC9E2E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1.5.1供应商资质及能力要求：见供应商须知前附表。</w:t>
      </w:r>
    </w:p>
    <w:p w14:paraId="2D7FAF3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1.5.2是否接受联合体：见供应商须知前附表。</w:t>
      </w:r>
      <w:bookmarkStart w:id="184" w:name="_Toc651"/>
      <w:bookmarkStart w:id="185" w:name="_Toc12403"/>
      <w:bookmarkStart w:id="186" w:name="_Toc152045535"/>
      <w:bookmarkStart w:id="187" w:name="_Toc11905"/>
      <w:bookmarkStart w:id="188" w:name="_Toc22641"/>
      <w:bookmarkStart w:id="189" w:name="_Toc24541"/>
      <w:bookmarkStart w:id="190" w:name="_Toc152042311"/>
      <w:bookmarkStart w:id="191" w:name="_Toc455080114"/>
      <w:bookmarkStart w:id="192" w:name="_Toc32446"/>
      <w:bookmarkStart w:id="193" w:name="_Toc318450680"/>
      <w:bookmarkStart w:id="194" w:name="_Toc5162"/>
      <w:bookmarkStart w:id="195" w:name="_Toc26188"/>
      <w:bookmarkStart w:id="196" w:name="_Toc981"/>
      <w:bookmarkStart w:id="197" w:name="_Toc490667833"/>
      <w:bookmarkStart w:id="198" w:name="_Toc144974503"/>
      <w:bookmarkStart w:id="199" w:name="_Toc28135"/>
      <w:bookmarkStart w:id="200" w:name="_Toc31854"/>
      <w:bookmarkStart w:id="201" w:name="_Toc466298097"/>
      <w:bookmarkStart w:id="202" w:name="_Toc16889"/>
      <w:bookmarkStart w:id="203" w:name="_Toc13119"/>
      <w:bookmarkStart w:id="204" w:name="_Toc9505"/>
      <w:bookmarkStart w:id="205" w:name="_Toc455867774"/>
    </w:p>
    <w:p w14:paraId="019B1E4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1.5.3投标供应商不得存在下列情形:</w:t>
      </w:r>
    </w:p>
    <w:p w14:paraId="0778249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(1)与采购人存在利害关系且可能影响采购公正性；</w:t>
      </w:r>
    </w:p>
    <w:p w14:paraId="2AFDB6A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(2)与本采购项目的其他投标供应商为同一个单位负责人；</w:t>
      </w:r>
    </w:p>
    <w:p w14:paraId="09E08D2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(3)与本采购项目的其他投标供应商存在直接控股、管理关系；</w:t>
      </w:r>
    </w:p>
    <w:p w14:paraId="023F9B3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pacing w:val="-6"/>
          <w:sz w:val="24"/>
          <w:szCs w:val="24"/>
          <w:highlight w:val="none"/>
          <w:lang w:val="en-US" w:eastAsia="zh-CN"/>
        </w:rPr>
        <w:t>为本采购项目提供整体设计、规范编制或者项目管理、监理、检测等服务；</w:t>
      </w:r>
    </w:p>
    <w:p w14:paraId="7A05504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(5)为本采购项目的采购代理机构或与采购代理机构同为一个法定代表人；</w:t>
      </w:r>
    </w:p>
    <w:p w14:paraId="3CFBBE4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(6)因违法经营受到刑事处罚或者责令停产停业、吊销许可证或者执照、较大数额罚款等行政处罚；</w:t>
      </w:r>
    </w:p>
    <w:p w14:paraId="76E17A0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(7)进入清算程序，或被宣告破产，或其他丧失履约能力的情形；</w:t>
      </w:r>
    </w:p>
    <w:p w14:paraId="73A948E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(8)法律法规或投标供应商须知前附表规定的其他情形。</w:t>
      </w:r>
    </w:p>
    <w:p w14:paraId="170A031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1.5.4供应商必须遵守国家相关法律、行政法规的规定，具有良好的信誉和诚实的商业道德。如果在本次招标投标活动中，被有关管理部门认定有违法行为，采购人有权拒绝其投标、取消其中标资格。投标供应商须在投标文件中提供相关承诺，加盖企业电子章、法定代表人及授权委托人签字，否则投标将被否决。</w:t>
      </w:r>
    </w:p>
    <w:p w14:paraId="7EA21C6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 费用承担</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1BAFC5F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供应商准备和参加磋商活动发生的费用自理，不论磋商的结果如何，采购人和采购代理机构在任何情况下均无义务和责任承担这些费用。</w:t>
      </w:r>
    </w:p>
    <w:p w14:paraId="5D6421C0">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06" w:name="_Toc15701"/>
      <w:bookmarkStart w:id="207" w:name="_Toc20145"/>
      <w:bookmarkStart w:id="208" w:name="_Toc144974504"/>
      <w:bookmarkStart w:id="209" w:name="_Toc26218"/>
      <w:bookmarkStart w:id="210" w:name="_Toc466298098"/>
      <w:bookmarkStart w:id="211" w:name="_Toc490667834"/>
      <w:bookmarkStart w:id="212" w:name="_Toc8055"/>
      <w:bookmarkStart w:id="213" w:name="_Toc2622"/>
      <w:bookmarkStart w:id="214" w:name="_Toc32053"/>
      <w:bookmarkStart w:id="215" w:name="_Toc6014"/>
      <w:bookmarkStart w:id="216" w:name="_Toc455080115"/>
      <w:bookmarkStart w:id="217" w:name="_Toc1879"/>
      <w:bookmarkStart w:id="218" w:name="_Toc152045536"/>
      <w:bookmarkStart w:id="219" w:name="_Toc318450681"/>
      <w:bookmarkStart w:id="220" w:name="_Toc455867775"/>
      <w:bookmarkStart w:id="221" w:name="_Toc5402"/>
      <w:bookmarkStart w:id="222" w:name="_Toc152042312"/>
      <w:bookmarkStart w:id="223" w:name="_Toc24601"/>
      <w:bookmarkStart w:id="224" w:name="_Toc22136"/>
      <w:bookmarkStart w:id="225" w:name="_Toc3326"/>
      <w:bookmarkStart w:id="226" w:name="_Toc7483"/>
      <w:bookmarkStart w:id="227" w:name="_Toc22800"/>
      <w:r>
        <w:rPr>
          <w:rFonts w:hint="eastAsia" w:ascii="宋体" w:hAnsi="宋体" w:eastAsia="宋体" w:cs="宋体"/>
          <w:b/>
          <w:bCs/>
          <w:color w:val="auto"/>
          <w:sz w:val="24"/>
          <w:szCs w:val="24"/>
          <w:highlight w:val="none"/>
        </w:rPr>
        <w:t>1.7 保密</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2A6EF07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参与磋商活动的各方应对磋商文件和响应文件中的商业和技术等秘密保密，违者应对由此造成的后果承担法律责任。 </w:t>
      </w:r>
    </w:p>
    <w:p w14:paraId="574F4F0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28" w:name="_Toc144974505"/>
      <w:bookmarkStart w:id="229" w:name="_Toc455867776"/>
      <w:bookmarkStart w:id="230" w:name="_Toc21055"/>
      <w:bookmarkStart w:id="231" w:name="_Toc13976"/>
      <w:bookmarkStart w:id="232" w:name="_Toc152045537"/>
      <w:bookmarkStart w:id="233" w:name="_Toc455080116"/>
      <w:bookmarkStart w:id="234" w:name="_Toc25517"/>
      <w:bookmarkStart w:id="235" w:name="_Toc30583"/>
      <w:bookmarkStart w:id="236" w:name="_Toc591"/>
      <w:bookmarkStart w:id="237" w:name="_Toc6615"/>
      <w:bookmarkStart w:id="238" w:name="_Toc152042313"/>
      <w:bookmarkStart w:id="239" w:name="_Toc30747"/>
      <w:bookmarkStart w:id="240" w:name="_Toc7031"/>
      <w:bookmarkStart w:id="241" w:name="_Toc14775"/>
      <w:bookmarkStart w:id="242" w:name="_Toc466298099"/>
      <w:bookmarkStart w:id="243" w:name="_Toc318450682"/>
      <w:bookmarkStart w:id="244" w:name="_Toc17880"/>
      <w:bookmarkStart w:id="245" w:name="_Toc21089"/>
      <w:bookmarkStart w:id="246" w:name="_Toc490667835"/>
      <w:bookmarkStart w:id="247" w:name="_Toc15673"/>
      <w:bookmarkStart w:id="248" w:name="_Toc3628"/>
      <w:bookmarkStart w:id="249" w:name="_Toc29318"/>
      <w:r>
        <w:rPr>
          <w:rFonts w:hint="eastAsia" w:ascii="宋体" w:hAnsi="宋体" w:eastAsia="宋体" w:cs="宋体"/>
          <w:b/>
          <w:bCs/>
          <w:color w:val="auto"/>
          <w:sz w:val="24"/>
          <w:szCs w:val="24"/>
          <w:highlight w:val="none"/>
        </w:rPr>
        <w:t>1.8 语言</w:t>
      </w:r>
      <w:bookmarkEnd w:id="228"/>
      <w:r>
        <w:rPr>
          <w:rFonts w:hint="eastAsia" w:ascii="宋体" w:hAnsi="宋体" w:eastAsia="宋体" w:cs="宋体"/>
          <w:b/>
          <w:bCs/>
          <w:color w:val="auto"/>
          <w:sz w:val="24"/>
          <w:szCs w:val="24"/>
          <w:highlight w:val="none"/>
        </w:rPr>
        <w:t>文字</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3A109FA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除专用术语外，与磋商有关的语言均使用中文。必要时专用术语应附有中文注释，</w:t>
      </w:r>
      <w:r>
        <w:rPr>
          <w:rFonts w:hint="eastAsia" w:ascii="宋体" w:hAnsi="宋体" w:eastAsia="宋体" w:cs="宋体"/>
          <w:color w:val="auto"/>
          <w:sz w:val="24"/>
          <w:szCs w:val="24"/>
          <w:highlight w:val="none"/>
          <w:lang w:bidi="en-US"/>
        </w:rPr>
        <w:t>对不同文字文本响应文件的解释发生异议的，以中文文本为准。</w:t>
      </w:r>
    </w:p>
    <w:p w14:paraId="2C8EF4C8">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50" w:name="_Toc152045538"/>
      <w:bookmarkStart w:id="251" w:name="_Toc14934"/>
      <w:bookmarkStart w:id="252" w:name="_Toc11812"/>
      <w:bookmarkStart w:id="253" w:name="_Toc9446"/>
      <w:bookmarkStart w:id="254" w:name="_Toc318450683"/>
      <w:bookmarkStart w:id="255" w:name="_Toc152042314"/>
      <w:bookmarkStart w:id="256" w:name="_Toc24337"/>
      <w:bookmarkStart w:id="257" w:name="_Toc144974506"/>
      <w:bookmarkStart w:id="258" w:name="_Toc27360"/>
      <w:bookmarkStart w:id="259" w:name="_Toc32507"/>
      <w:bookmarkStart w:id="260" w:name="_Toc4237"/>
      <w:bookmarkStart w:id="261" w:name="_Toc22378"/>
      <w:bookmarkStart w:id="262" w:name="_Toc455867777"/>
      <w:bookmarkStart w:id="263" w:name="_Toc18357"/>
      <w:bookmarkStart w:id="264" w:name="_Toc29149"/>
      <w:bookmarkStart w:id="265" w:name="_Toc490667836"/>
      <w:bookmarkStart w:id="266" w:name="_Toc455080117"/>
      <w:bookmarkStart w:id="267" w:name="_Toc22415"/>
      <w:bookmarkStart w:id="268" w:name="_Toc16122"/>
      <w:bookmarkStart w:id="269" w:name="_Toc2702"/>
      <w:bookmarkStart w:id="270" w:name="_Toc4501"/>
      <w:bookmarkStart w:id="271" w:name="_Toc466298100"/>
      <w:r>
        <w:rPr>
          <w:rFonts w:hint="eastAsia" w:ascii="宋体" w:hAnsi="宋体" w:eastAsia="宋体" w:cs="宋体"/>
          <w:b/>
          <w:bCs/>
          <w:color w:val="auto"/>
          <w:sz w:val="24"/>
          <w:szCs w:val="24"/>
          <w:highlight w:val="none"/>
        </w:rPr>
        <w:t>1.9 计量单位</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171B335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14:paraId="338B84A0">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272" w:name="_Toc318450684"/>
      <w:bookmarkStart w:id="273" w:name="_Toc144974508"/>
      <w:bookmarkStart w:id="274" w:name="_Toc338"/>
      <w:bookmarkStart w:id="275" w:name="_Toc27570"/>
      <w:bookmarkStart w:id="276" w:name="_Toc18589"/>
      <w:bookmarkStart w:id="277" w:name="_Toc152045540"/>
      <w:bookmarkStart w:id="278" w:name="_Toc19685"/>
      <w:bookmarkStart w:id="279" w:name="_Toc284"/>
      <w:bookmarkStart w:id="280" w:name="_Toc12027"/>
      <w:bookmarkStart w:id="281" w:name="_Toc455080118"/>
      <w:bookmarkStart w:id="282" w:name="_Toc31195"/>
      <w:bookmarkStart w:id="283" w:name="_Toc455867778"/>
      <w:bookmarkStart w:id="284" w:name="_Toc2508"/>
      <w:bookmarkStart w:id="285" w:name="_Toc29845"/>
      <w:bookmarkStart w:id="286" w:name="_Toc466298101"/>
      <w:bookmarkStart w:id="287" w:name="_Toc13675"/>
      <w:bookmarkStart w:id="288" w:name="_Toc490667837"/>
      <w:bookmarkStart w:id="289" w:name="_Toc152042316"/>
      <w:bookmarkStart w:id="290" w:name="_Toc13045"/>
      <w:bookmarkStart w:id="291" w:name="_Toc23993"/>
      <w:bookmarkStart w:id="292" w:name="_Toc28466"/>
      <w:bookmarkStart w:id="293" w:name="_Toc27281"/>
      <w:bookmarkStart w:id="294" w:name="_Toc23678"/>
      <w:bookmarkStart w:id="295" w:name="_Toc11744"/>
      <w:bookmarkStart w:id="296" w:name="_Toc318450685"/>
      <w:bookmarkStart w:id="297" w:name="_Toc32757"/>
      <w:bookmarkStart w:id="298" w:name="_Toc23635"/>
      <w:bookmarkStart w:id="299" w:name="_Toc12562"/>
      <w:bookmarkStart w:id="300" w:name="_Toc144974509"/>
      <w:bookmarkStart w:id="301" w:name="_Toc490667838"/>
      <w:bookmarkStart w:id="302" w:name="_Toc152045541"/>
      <w:bookmarkStart w:id="303" w:name="_Toc455080119"/>
      <w:bookmarkStart w:id="304" w:name="_Toc466298102"/>
      <w:bookmarkStart w:id="305" w:name="_Toc9182"/>
      <w:bookmarkStart w:id="306" w:name="_Toc455867779"/>
      <w:bookmarkStart w:id="307" w:name="_Toc3853"/>
      <w:bookmarkStart w:id="308" w:name="_Toc152042317"/>
      <w:bookmarkStart w:id="309" w:name="_Toc25208"/>
      <w:bookmarkStart w:id="310" w:name="_Toc24262"/>
      <w:bookmarkStart w:id="311" w:name="_Toc31725"/>
      <w:r>
        <w:rPr>
          <w:rFonts w:hint="eastAsia" w:ascii="宋体" w:hAnsi="宋体" w:eastAsia="宋体" w:cs="宋体"/>
          <w:b/>
          <w:bCs/>
          <w:color w:val="auto"/>
          <w:sz w:val="24"/>
          <w:szCs w:val="24"/>
          <w:highlight w:val="none"/>
        </w:rPr>
        <w:t xml:space="preserve">1.10 </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Fonts w:hint="eastAsia" w:ascii="宋体" w:hAnsi="宋体" w:eastAsia="宋体" w:cs="宋体"/>
          <w:b/>
          <w:bCs/>
          <w:color w:val="auto"/>
          <w:sz w:val="24"/>
          <w:szCs w:val="24"/>
          <w:highlight w:val="none"/>
          <w:lang w:eastAsia="zh-CN"/>
        </w:rPr>
        <w:t>现场踏勘</w:t>
      </w:r>
      <w:bookmarkEnd w:id="290"/>
      <w:bookmarkEnd w:id="291"/>
      <w:bookmarkEnd w:id="292"/>
      <w:bookmarkEnd w:id="293"/>
    </w:p>
    <w:p w14:paraId="2454139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不组织，潜在供应商自行踏勘，与之相关的所有费用自行承担。</w:t>
      </w:r>
    </w:p>
    <w:p w14:paraId="5926211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12" w:name="_Toc13554"/>
      <w:bookmarkStart w:id="313" w:name="_Toc10462"/>
      <w:bookmarkStart w:id="314" w:name="_Toc15590"/>
      <w:bookmarkStart w:id="315" w:name="_Toc6545"/>
      <w:r>
        <w:rPr>
          <w:rFonts w:hint="eastAsia" w:ascii="宋体" w:hAnsi="宋体" w:eastAsia="宋体" w:cs="宋体"/>
          <w:b/>
          <w:bCs/>
          <w:color w:val="auto"/>
          <w:sz w:val="24"/>
          <w:szCs w:val="24"/>
          <w:highlight w:val="none"/>
          <w:lang w:eastAsia="zh-CN"/>
        </w:rPr>
        <w:t>1.11分包</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06547A7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是否允许分包：见供应商须知前附表。</w:t>
      </w:r>
      <w:bookmarkStart w:id="316" w:name="_Toc144974510"/>
      <w:bookmarkStart w:id="317" w:name="_Toc152045542"/>
      <w:bookmarkStart w:id="318" w:name="_Toc152042318"/>
      <w:bookmarkStart w:id="319" w:name="_Toc455080120"/>
    </w:p>
    <w:bookmarkEnd w:id="316"/>
    <w:bookmarkEnd w:id="317"/>
    <w:bookmarkEnd w:id="318"/>
    <w:p w14:paraId="441E90AE">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320" w:name="_Toc30258"/>
      <w:bookmarkStart w:id="321" w:name="_Toc15360"/>
      <w:bookmarkStart w:id="322" w:name="_Toc12453"/>
      <w:bookmarkStart w:id="323" w:name="_Toc17824"/>
      <w:r>
        <w:rPr>
          <w:rFonts w:hint="eastAsia"/>
          <w:lang w:val="en-US" w:eastAsia="zh-CN"/>
        </w:rPr>
        <w:t>2.</w:t>
      </w:r>
      <w:r>
        <w:rPr>
          <w:rFonts w:hint="eastAsia"/>
          <w:lang w:eastAsia="zh-CN"/>
        </w:rPr>
        <w:t>磋商文件</w:t>
      </w:r>
      <w:bookmarkEnd w:id="319"/>
      <w:bookmarkEnd w:id="320"/>
      <w:bookmarkEnd w:id="321"/>
      <w:bookmarkEnd w:id="322"/>
      <w:bookmarkEnd w:id="323"/>
    </w:p>
    <w:p w14:paraId="4691898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24" w:name="_Toc11567"/>
      <w:bookmarkStart w:id="325" w:name="_Toc466298104"/>
      <w:bookmarkStart w:id="326" w:name="_Toc152045543"/>
      <w:bookmarkStart w:id="327" w:name="_Toc7999"/>
      <w:bookmarkStart w:id="328" w:name="_Toc490667840"/>
      <w:bookmarkStart w:id="329" w:name="_Toc1008"/>
      <w:bookmarkStart w:id="330" w:name="_Toc144974511"/>
      <w:bookmarkStart w:id="331" w:name="_Toc9780"/>
      <w:bookmarkStart w:id="332" w:name="_Toc3982"/>
      <w:bookmarkStart w:id="333" w:name="_Toc19750"/>
      <w:bookmarkStart w:id="334" w:name="_Toc14360"/>
      <w:bookmarkStart w:id="335" w:name="_Toc3230"/>
      <w:bookmarkStart w:id="336" w:name="_Toc455867781"/>
      <w:bookmarkStart w:id="337" w:name="_Toc32711"/>
      <w:bookmarkStart w:id="338" w:name="_Toc12640"/>
      <w:bookmarkStart w:id="339" w:name="_Toc455080121"/>
      <w:bookmarkStart w:id="340" w:name="_Toc318450687"/>
      <w:bookmarkStart w:id="341" w:name="_Toc18145"/>
      <w:bookmarkStart w:id="342" w:name="_Toc152042319"/>
      <w:bookmarkStart w:id="343" w:name="_Toc11599"/>
      <w:bookmarkStart w:id="344" w:name="_Toc12004"/>
      <w:bookmarkStart w:id="345" w:name="_Toc23649"/>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 xml:space="preserve"> 磋商文件的组成</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123BA40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本磋商文件包括：</w:t>
      </w:r>
    </w:p>
    <w:p w14:paraId="24D0559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竞争性</w:t>
      </w:r>
      <w:r>
        <w:rPr>
          <w:rFonts w:hint="eastAsia" w:ascii="宋体" w:hAnsi="宋体" w:eastAsia="宋体" w:cs="宋体"/>
          <w:color w:val="auto"/>
          <w:sz w:val="24"/>
          <w:szCs w:val="24"/>
          <w:highlight w:val="none"/>
        </w:rPr>
        <w:t>磋商公告；</w:t>
      </w:r>
    </w:p>
    <w:p w14:paraId="1563A3E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25B7018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（3）评审办法；</w:t>
      </w:r>
    </w:p>
    <w:p w14:paraId="6D80933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（4）合同文本；</w:t>
      </w:r>
    </w:p>
    <w:p w14:paraId="2CBF134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工程量清单</w:t>
      </w:r>
      <w:r>
        <w:rPr>
          <w:rFonts w:hint="eastAsia" w:ascii="宋体" w:hAnsi="宋体" w:eastAsia="宋体" w:cs="宋体"/>
          <w:color w:val="auto"/>
          <w:sz w:val="24"/>
          <w:szCs w:val="24"/>
          <w:highlight w:val="none"/>
        </w:rPr>
        <w:t>；</w:t>
      </w:r>
    </w:p>
    <w:p w14:paraId="6FDC593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（6）竞争性磋商响应文件格式；</w:t>
      </w:r>
    </w:p>
    <w:p w14:paraId="6EDF91D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根据本章第2.2款和第2.3款对磋商文件所作的澄清、修改，构成磋商文件的组成部分。</w:t>
      </w:r>
    </w:p>
    <w:p w14:paraId="4D90415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46" w:name="_Toc11239"/>
      <w:bookmarkStart w:id="347" w:name="_Toc5517"/>
      <w:bookmarkStart w:id="348" w:name="_Toc10003"/>
      <w:bookmarkStart w:id="349" w:name="_Toc28179"/>
      <w:bookmarkStart w:id="350" w:name="_Toc15658"/>
      <w:bookmarkStart w:id="351" w:name="_Toc152045546"/>
      <w:bookmarkStart w:id="352" w:name="_Toc152042322"/>
      <w:bookmarkStart w:id="353" w:name="_Toc144974514"/>
      <w:bookmarkStart w:id="354" w:name="_Toc455080124"/>
      <w:r>
        <w:rPr>
          <w:rFonts w:hint="eastAsia" w:ascii="宋体" w:hAnsi="宋体" w:eastAsia="宋体" w:cs="宋体"/>
          <w:b/>
          <w:bCs/>
          <w:color w:val="auto"/>
          <w:sz w:val="24"/>
          <w:szCs w:val="24"/>
          <w:highlight w:val="none"/>
          <w:lang w:eastAsia="zh-CN"/>
        </w:rPr>
        <w:t>2.2 磋商文件的澄清</w:t>
      </w:r>
      <w:bookmarkEnd w:id="346"/>
      <w:bookmarkEnd w:id="347"/>
      <w:bookmarkEnd w:id="348"/>
      <w:bookmarkEnd w:id="349"/>
      <w:bookmarkEnd w:id="350"/>
    </w:p>
    <w:p w14:paraId="00D0F20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供应商应仔细阅读和检查磋商文件的全部内容。如发现缺页或附件不全，应及时向采购人提出，以便补齐。如有疑问，应在供应商须知前附表规定的时间前以书面形式（包括信函、电报、传真等可以有形表现所载内容的形式，下同），要求采购人对磋商文件予以澄清。</w:t>
      </w:r>
    </w:p>
    <w:p w14:paraId="4AF9698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磋商文件的澄清将在供应商须知前附表规定的响应文件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截止时间5天前在信阳市公共资源交易系统“变更公告”或“答疑文件”将澄清内容予以发布，但不指明澄清问题的来源。如果澄清的内容可能影响响应文件编制且发出的时间距响应文件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截止时间不足5天，相应延长</w:t>
      </w:r>
      <w:r>
        <w:rPr>
          <w:rFonts w:hint="eastAsia" w:ascii="宋体" w:hAnsi="宋体" w:eastAsia="宋体" w:cs="宋体"/>
          <w:color w:val="auto"/>
          <w:sz w:val="24"/>
          <w:szCs w:val="24"/>
          <w:highlight w:val="none"/>
          <w:lang w:eastAsia="zh-CN"/>
        </w:rPr>
        <w:t>响应文件提交截止</w:t>
      </w:r>
      <w:r>
        <w:rPr>
          <w:rFonts w:hint="eastAsia" w:ascii="宋体" w:hAnsi="宋体" w:eastAsia="宋体" w:cs="宋体"/>
          <w:color w:val="auto"/>
          <w:sz w:val="24"/>
          <w:szCs w:val="24"/>
          <w:highlight w:val="none"/>
        </w:rPr>
        <w:t>时间。</w:t>
      </w:r>
    </w:p>
    <w:p w14:paraId="23B351A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2.2.3供应商应在响应文件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截止时间前及时查看澄清内容，因供应商未及时查看而造成的后果自负。</w:t>
      </w:r>
    </w:p>
    <w:p w14:paraId="6C72FEB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55" w:name="_Toc24663"/>
      <w:bookmarkStart w:id="356" w:name="_Toc8263"/>
      <w:bookmarkStart w:id="357" w:name="_Toc18443"/>
      <w:bookmarkStart w:id="358" w:name="_Toc21775"/>
      <w:bookmarkStart w:id="359" w:name="_Toc15285"/>
      <w:r>
        <w:rPr>
          <w:rFonts w:hint="eastAsia" w:ascii="宋体" w:hAnsi="宋体" w:eastAsia="宋体" w:cs="宋体"/>
          <w:b/>
          <w:bCs/>
          <w:color w:val="auto"/>
          <w:sz w:val="24"/>
          <w:szCs w:val="24"/>
          <w:highlight w:val="none"/>
          <w:lang w:eastAsia="zh-CN"/>
        </w:rPr>
        <w:t>2.3 磋商文件的修改</w:t>
      </w:r>
      <w:bookmarkEnd w:id="355"/>
      <w:bookmarkEnd w:id="356"/>
      <w:bookmarkEnd w:id="357"/>
      <w:bookmarkEnd w:id="358"/>
      <w:bookmarkEnd w:id="359"/>
    </w:p>
    <w:p w14:paraId="38DD473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w:t>
      </w:r>
      <w:r>
        <w:rPr>
          <w:rFonts w:hint="eastAsia" w:ascii="宋体" w:hAnsi="宋体" w:eastAsia="宋体" w:cs="宋体"/>
          <w:color w:val="auto"/>
          <w:spacing w:val="-6"/>
          <w:sz w:val="24"/>
          <w:szCs w:val="24"/>
          <w:highlight w:val="none"/>
        </w:rPr>
        <w:t>在响应文件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截止时间5天前，采购人可以修改磋商文件。如有修改，应在信阳市公共资源交易系统“变更公告”或“答疑文件”将修改内容予以发布。如果修改的内容可能影响响应文件编制且发出的时间距响应文件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截止时间不足5天，相应延长响应文件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w:t>
      </w:r>
    </w:p>
    <w:p w14:paraId="7DF3094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2.3.2当磋商文件的澄清、修改、补充等在同一内容的表述上不一致时，以最后在信阳市公共资源交易系统发出的文件为准。</w:t>
      </w:r>
    </w:p>
    <w:p w14:paraId="29399A0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2.3.3供应商应在响应文件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截止时间前及时查看修改内容，因供应商未及时查看而造成的后果自负。</w:t>
      </w:r>
      <w:bookmarkStart w:id="360" w:name="_Toc32477"/>
      <w:bookmarkStart w:id="361" w:name="_Toc4666"/>
      <w:bookmarkStart w:id="362" w:name="_Toc5206"/>
    </w:p>
    <w:p w14:paraId="12C0E65E">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r>
        <w:rPr>
          <w:rFonts w:hint="eastAsia"/>
          <w:lang w:eastAsia="zh-CN"/>
        </w:rPr>
        <w:t xml:space="preserve">3. </w:t>
      </w:r>
      <w:bookmarkEnd w:id="351"/>
      <w:bookmarkEnd w:id="352"/>
      <w:bookmarkEnd w:id="353"/>
      <w:r>
        <w:rPr>
          <w:rFonts w:hint="eastAsia"/>
          <w:lang w:eastAsia="zh-CN"/>
        </w:rPr>
        <w:t>响应文件</w:t>
      </w:r>
      <w:bookmarkEnd w:id="354"/>
      <w:bookmarkEnd w:id="360"/>
      <w:bookmarkEnd w:id="361"/>
      <w:bookmarkEnd w:id="362"/>
    </w:p>
    <w:p w14:paraId="35AD0B5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63" w:name="_Toc10096"/>
      <w:bookmarkStart w:id="364" w:name="_Toc152042323"/>
      <w:bookmarkStart w:id="365" w:name="_Toc318450691"/>
      <w:bookmarkStart w:id="366" w:name="_Toc144974515"/>
      <w:bookmarkStart w:id="367" w:name="_Toc15810"/>
      <w:bookmarkStart w:id="368" w:name="_Toc152045547"/>
      <w:bookmarkStart w:id="369" w:name="_Toc9716"/>
      <w:bookmarkStart w:id="370" w:name="_Toc27373"/>
      <w:bookmarkStart w:id="371" w:name="_Toc24440"/>
      <w:bookmarkStart w:id="372" w:name="_Toc19"/>
      <w:bookmarkStart w:id="373" w:name="_Toc16198"/>
      <w:bookmarkStart w:id="374" w:name="_Toc9273"/>
      <w:bookmarkStart w:id="375" w:name="_Toc490667844"/>
      <w:bookmarkStart w:id="376" w:name="_Toc30475"/>
      <w:r>
        <w:rPr>
          <w:rFonts w:hint="eastAsia" w:ascii="宋体" w:hAnsi="宋体" w:eastAsia="宋体" w:cs="宋体"/>
          <w:b/>
          <w:bCs/>
          <w:color w:val="auto"/>
          <w:sz w:val="24"/>
          <w:szCs w:val="24"/>
          <w:highlight w:val="none"/>
          <w:lang w:eastAsia="zh-CN"/>
        </w:rPr>
        <w:t>3.1 响应文件的组成</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2384AD00">
      <w:pPr>
        <w:pStyle w:val="54"/>
        <w:pageBreakBefore w:val="0"/>
        <w:widowControl w:val="0"/>
        <w:kinsoku/>
        <w:wordWrap/>
        <w:overflowPunct/>
        <w:topLinePunct w:val="0"/>
        <w:autoSpaceDE/>
        <w:autoSpaceDN/>
        <w:bidi w:val="0"/>
        <w:adjustRightInd w:val="0"/>
        <w:snapToGrid w:val="0"/>
        <w:spacing w:before="0" w:beforeLines="0" w:after="0" w:afterLines="0" w:line="360" w:lineRule="auto"/>
        <w:ind w:left="0" w:leftChars="0" w:firstLine="480" w:firstLineChars="200"/>
        <w:jc w:val="both"/>
        <w:textAlignment w:val="auto"/>
        <w:outlineLvl w:val="9"/>
        <w:rPr>
          <w:rFonts w:hint="eastAsia" w:ascii="宋体" w:hAnsi="宋体" w:eastAsia="宋体" w:cs="宋体"/>
          <w:color w:val="auto"/>
          <w:sz w:val="24"/>
          <w:szCs w:val="24"/>
          <w:highlight w:val="none"/>
          <w:lang w:eastAsia="zh-CN"/>
        </w:rPr>
      </w:pPr>
      <w:bookmarkStart w:id="377" w:name="_Toc22864"/>
      <w:bookmarkStart w:id="378" w:name="_Toc18750"/>
      <w:bookmarkStart w:id="379" w:name="_Toc779"/>
      <w:bookmarkStart w:id="380" w:name="_Toc8768"/>
      <w:bookmarkStart w:id="381" w:name="_Toc31931"/>
      <w:bookmarkStart w:id="382" w:name="_Toc31433"/>
      <w:bookmarkStart w:id="383" w:name="_Toc455867785"/>
      <w:bookmarkStart w:id="384" w:name="_Toc13280"/>
      <w:bookmarkStart w:id="385" w:name="_Toc455080125"/>
      <w:bookmarkStart w:id="386" w:name="_Toc466298108"/>
      <w:bookmarkStart w:id="387" w:name="_Toc490667845"/>
      <w:bookmarkStart w:id="388" w:name="_Toc12237"/>
      <w:bookmarkStart w:id="389" w:name="_Toc14492"/>
      <w:bookmarkStart w:id="390" w:name="_Toc17958"/>
      <w:r>
        <w:rPr>
          <w:rFonts w:hint="eastAsia" w:ascii="宋体" w:hAnsi="宋体" w:eastAsia="宋体" w:cs="宋体"/>
          <w:color w:val="auto"/>
          <w:sz w:val="24"/>
          <w:szCs w:val="24"/>
          <w:highlight w:val="none"/>
        </w:rPr>
        <w:t>详见</w:t>
      </w:r>
      <w:bookmarkStart w:id="391" w:name="_Toc144974516"/>
      <w:bookmarkStart w:id="392" w:name="_Toc152045548"/>
      <w:bookmarkStart w:id="393" w:name="_Toc318450692"/>
      <w:bookmarkStart w:id="394" w:name="_Toc26291"/>
      <w:bookmarkStart w:id="395" w:name="_Toc899"/>
      <w:bookmarkStart w:id="396" w:name="_Toc152042324"/>
      <w:bookmarkStart w:id="397" w:name="_Toc279156232"/>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w:t>
      </w:r>
      <w:bookmarkEnd w:id="377"/>
      <w:bookmarkEnd w:id="378"/>
      <w:bookmarkEnd w:id="379"/>
      <w:bookmarkEnd w:id="380"/>
      <w:bookmarkEnd w:id="381"/>
      <w:bookmarkEnd w:id="382"/>
      <w:bookmarkEnd w:id="383"/>
      <w:bookmarkEnd w:id="384"/>
      <w:bookmarkEnd w:id="385"/>
      <w:bookmarkEnd w:id="386"/>
      <w:bookmarkEnd w:id="387"/>
      <w:r>
        <w:rPr>
          <w:rFonts w:hint="eastAsia" w:ascii="宋体" w:hAnsi="宋体" w:eastAsia="宋体" w:cs="宋体"/>
          <w:color w:val="auto"/>
          <w:sz w:val="24"/>
          <w:szCs w:val="24"/>
          <w:highlight w:val="none"/>
          <w:lang w:eastAsia="zh-CN"/>
        </w:rPr>
        <w:t>。</w:t>
      </w:r>
      <w:bookmarkEnd w:id="388"/>
      <w:bookmarkEnd w:id="389"/>
      <w:bookmarkEnd w:id="390"/>
    </w:p>
    <w:p w14:paraId="667E567F">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3.2 磋商报价</w:t>
      </w:r>
      <w:bookmarkEnd w:id="391"/>
      <w:bookmarkEnd w:id="392"/>
      <w:bookmarkEnd w:id="393"/>
      <w:bookmarkEnd w:id="394"/>
      <w:bookmarkEnd w:id="395"/>
      <w:bookmarkEnd w:id="396"/>
      <w:bookmarkEnd w:id="397"/>
      <w:bookmarkStart w:id="398" w:name="_Toc12402"/>
      <w:bookmarkStart w:id="399" w:name="_Toc144974517"/>
      <w:bookmarkStart w:id="400" w:name="_Toc21600"/>
      <w:bookmarkStart w:id="401" w:name="_Toc25387"/>
      <w:bookmarkStart w:id="402" w:name="_Toc152042325"/>
      <w:bookmarkStart w:id="403" w:name="_Toc2425"/>
      <w:bookmarkStart w:id="404" w:name="_Toc11968"/>
      <w:bookmarkStart w:id="405" w:name="_Toc455080126"/>
      <w:bookmarkStart w:id="406" w:name="_Toc3624"/>
      <w:bookmarkStart w:id="407" w:name="_Toc7910"/>
      <w:bookmarkStart w:id="408" w:name="_Toc466298109"/>
      <w:bookmarkStart w:id="409" w:name="_Toc7105"/>
      <w:bookmarkStart w:id="410" w:name="_Toc29133"/>
      <w:bookmarkStart w:id="411" w:name="_Toc455867786"/>
      <w:bookmarkStart w:id="412" w:name="_Toc21680"/>
      <w:bookmarkStart w:id="413" w:name="_Toc490667846"/>
      <w:bookmarkStart w:id="414" w:name="_Toc152045549"/>
      <w:bookmarkStart w:id="415" w:name="_Toc318450693"/>
      <w:bookmarkStart w:id="416" w:name="_Toc6105"/>
    </w:p>
    <w:p w14:paraId="6E70D61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3.2.1本项目的磋商报价应按照磋商文件、补充通知、答疑纪要、现场情况、承包范围，并充分考虑</w:t>
      </w:r>
      <w:r>
        <w:rPr>
          <w:rFonts w:hint="eastAsia" w:ascii="宋体" w:hAnsi="宋体" w:eastAsia="宋体" w:cs="宋体"/>
          <w:b w:val="0"/>
          <w:bCs w:val="0"/>
          <w:color w:val="auto"/>
          <w:sz w:val="24"/>
          <w:szCs w:val="24"/>
          <w:highlight w:val="none"/>
          <w:lang w:eastAsia="zh-CN"/>
        </w:rPr>
        <w:t>施工</w:t>
      </w:r>
      <w:r>
        <w:rPr>
          <w:rFonts w:hint="eastAsia" w:ascii="宋体" w:hAnsi="宋体" w:eastAsia="宋体" w:cs="宋体"/>
          <w:b w:val="0"/>
          <w:bCs w:val="0"/>
          <w:color w:val="auto"/>
          <w:sz w:val="24"/>
          <w:szCs w:val="24"/>
          <w:highlight w:val="none"/>
        </w:rPr>
        <w:t>期间各类材料、人工市场风险和国家政策性调整等风险系数，由各响应人根据自身情况，在合理范围内，自主考虑、优惠报价，但不得低于企业成本，分二次报价：第一次报价必须按照磋商文件的报价格式填报，第二次报价在磋商中填报，第二次报价即为最终报价</w:t>
      </w:r>
      <w:bookmarkEnd w:id="398"/>
      <w:r>
        <w:rPr>
          <w:rFonts w:hint="eastAsia" w:ascii="宋体" w:hAnsi="宋体" w:eastAsia="宋体" w:cs="宋体"/>
          <w:b w:val="0"/>
          <w:bCs w:val="0"/>
          <w:color w:val="auto"/>
          <w:sz w:val="24"/>
          <w:szCs w:val="24"/>
          <w:highlight w:val="none"/>
        </w:rPr>
        <w:t>。</w:t>
      </w:r>
    </w:p>
    <w:p w14:paraId="27708031">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3.2.2供应商应充分了解该项目的总体情况以及影响磋商报价的其它要素，考虑施工期间的价格风险因素，成交价在合同实施期内不得调整，同时也不因市场价格变动而调整。</w:t>
      </w:r>
    </w:p>
    <w:p w14:paraId="1B465790">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bookmarkStart w:id="417" w:name="_Toc295"/>
      <w:bookmarkStart w:id="418" w:name="_Toc30228"/>
      <w:bookmarkStart w:id="419" w:name="_Toc7163"/>
      <w:bookmarkStart w:id="420" w:name="_Toc31538"/>
      <w:r>
        <w:rPr>
          <w:rFonts w:hint="eastAsia" w:ascii="宋体" w:hAnsi="宋体" w:eastAsia="宋体" w:cs="宋体"/>
          <w:b w:val="0"/>
          <w:bCs w:val="0"/>
          <w:color w:val="auto"/>
          <w:kern w:val="2"/>
          <w:sz w:val="24"/>
          <w:szCs w:val="24"/>
          <w:highlight w:val="none"/>
          <w:lang w:val="en-US" w:eastAsia="zh-CN" w:bidi="ar-SA"/>
        </w:rPr>
        <w:t>3.2.3 响应报价表中的大写金额和小写金额不一致的，以大写金额为准。</w:t>
      </w:r>
    </w:p>
    <w:p w14:paraId="5E7F5033">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3.2.4 投标总报价是评标的重要依据，但不是唯一依据，最低报价不是中标的决定因素。</w:t>
      </w:r>
    </w:p>
    <w:p w14:paraId="1A84A082">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3.2.5 全部报价均应以人民币为计量币种，并以人民币进行结算。</w:t>
      </w:r>
    </w:p>
    <w:p w14:paraId="071137B3">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3.2.6异常低价审查：</w:t>
      </w:r>
    </w:p>
    <w:p w14:paraId="2E54C121">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政府采购评审中出现下列情形之一的，评审委员会应当启动异常低价投标（响应）审查程序：</w:t>
      </w:r>
    </w:p>
    <w:p w14:paraId="033F7765">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1.投标（响应）报价低于全部通过符合性审查供应商投标（响应）报价平均值65%的，即投标（响应）报价〈全部通过符合性审查供应商投标（响应）报价平均值×65%；</w:t>
      </w:r>
    </w:p>
    <w:p w14:paraId="0F6D2FFF">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2.投标（响应）报价低于通过符合性审查的次低报价供应商投标（响应）报价65%的，即投标（响应）报价〈通过符合性审查的次低报价供应商投标（响应）报价×65%；</w:t>
      </w:r>
    </w:p>
    <w:p w14:paraId="7D278EF3">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3.投标（响应）报价低于采购项目最高限价65%的，即投标（响应）报价〈采购项目最高限价×65%；</w:t>
      </w:r>
    </w:p>
    <w:p w14:paraId="39520A4C">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4.评审委员会基于专业判断，认为供应商报价过低，有可能影响产品质量或者不能诚信履约的其他情形。</w:t>
      </w:r>
    </w:p>
    <w:p w14:paraId="0B2C9D2D">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05581F3">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6C2B4AF">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zh-CN" w:eastAsia="zh-CN" w:bidi="ar-SA"/>
        </w:rPr>
      </w:pPr>
      <w:r>
        <w:rPr>
          <w:rFonts w:hint="eastAsia" w:ascii="宋体" w:hAnsi="宋体" w:eastAsia="宋体" w:cs="宋体"/>
          <w:b w:val="0"/>
          <w:bCs w:val="0"/>
          <w:color w:val="auto"/>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1AFC2446">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3.3 磋商有效期</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10C1DA4E">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在供应商须知前附表规定的磋商有效期内，供应商不得要求撤销或修改其响应文件。</w:t>
      </w:r>
    </w:p>
    <w:p w14:paraId="07DFEA51">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3.3.2出现特殊情况需要延长磋商有效期的，采购人以书面形式通知所有供应商延长磋商有效期。供应商同意延长的，但不得要求或被允许修改或撤销其响应文件；供应商拒绝延长的，其响应文件失效。</w:t>
      </w:r>
      <w:bookmarkStart w:id="421" w:name="_Toc318450694"/>
      <w:bookmarkStart w:id="422" w:name="_Toc152042326"/>
      <w:bookmarkStart w:id="423" w:name="_Toc2505"/>
      <w:bookmarkStart w:id="424" w:name="_Toc4165"/>
      <w:bookmarkStart w:id="425" w:name="_Toc30697"/>
      <w:bookmarkStart w:id="426" w:name="_Toc7973"/>
      <w:bookmarkStart w:id="427" w:name="_Toc8406"/>
      <w:bookmarkStart w:id="428" w:name="_Toc455080127"/>
      <w:bookmarkStart w:id="429" w:name="_Toc152045550"/>
      <w:bookmarkStart w:id="430" w:name="_Toc490667847"/>
      <w:bookmarkStart w:id="431" w:name="_Toc22634"/>
      <w:bookmarkStart w:id="432" w:name="_Toc466298110"/>
      <w:bookmarkStart w:id="433" w:name="_Toc144974518"/>
      <w:bookmarkStart w:id="434" w:name="_Toc455867787"/>
      <w:bookmarkStart w:id="435" w:name="_Toc10370"/>
      <w:bookmarkStart w:id="436" w:name="_Toc7057"/>
      <w:bookmarkStart w:id="437" w:name="_Toc7618"/>
      <w:bookmarkStart w:id="438" w:name="_Toc32745"/>
      <w:bookmarkStart w:id="439" w:name="_Toc18477"/>
      <w:bookmarkStart w:id="440" w:name="_Toc13921"/>
      <w:bookmarkStart w:id="441" w:name="_Toc30973"/>
    </w:p>
    <w:p w14:paraId="13E7C012">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3.4 磋商保证金</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Start w:id="442" w:name="_Toc152042328"/>
      <w:bookmarkStart w:id="443" w:name="_Toc318450695"/>
      <w:bookmarkStart w:id="444" w:name="_Toc152045552"/>
      <w:bookmarkStart w:id="445" w:name="_Toc144974520"/>
      <w:r>
        <w:rPr>
          <w:rFonts w:hint="eastAsia" w:ascii="宋体" w:hAnsi="宋体" w:eastAsia="宋体" w:cs="宋体"/>
          <w:b/>
          <w:bCs/>
          <w:color w:val="auto"/>
          <w:sz w:val="24"/>
          <w:szCs w:val="24"/>
          <w:highlight w:val="none"/>
          <w:lang w:eastAsia="zh-CN"/>
        </w:rPr>
        <w:t>：无。</w:t>
      </w:r>
      <w:bookmarkEnd w:id="438"/>
      <w:bookmarkEnd w:id="439"/>
      <w:bookmarkEnd w:id="440"/>
      <w:bookmarkEnd w:id="441"/>
      <w:bookmarkStart w:id="446" w:name="_Toc2292"/>
      <w:bookmarkStart w:id="447" w:name="_Toc2794"/>
      <w:bookmarkStart w:id="448" w:name="_Toc11077"/>
      <w:bookmarkStart w:id="449" w:name="_Toc28307"/>
      <w:bookmarkStart w:id="450" w:name="_Toc490667848"/>
      <w:bookmarkStart w:id="451" w:name="_Toc22527"/>
      <w:bookmarkStart w:id="452" w:name="_Toc10721"/>
      <w:bookmarkStart w:id="453" w:name="_Toc20328"/>
      <w:bookmarkStart w:id="454" w:name="_Toc15547"/>
      <w:bookmarkStart w:id="455" w:name="_Toc455867788"/>
      <w:bookmarkStart w:id="456" w:name="_Toc16747"/>
      <w:bookmarkStart w:id="457" w:name="_Toc466298111"/>
      <w:bookmarkStart w:id="458" w:name="_Toc13680"/>
      <w:bookmarkStart w:id="459" w:name="_Toc17153"/>
      <w:bookmarkStart w:id="460" w:name="_Toc455080128"/>
      <w:bookmarkStart w:id="461" w:name="_Toc27579"/>
      <w:bookmarkStart w:id="462" w:name="_Toc22384"/>
    </w:p>
    <w:p w14:paraId="7212AF78">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3.5资格审查资料</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Start w:id="463" w:name="_Toc27738"/>
      <w:bookmarkStart w:id="464" w:name="_Toc4586"/>
      <w:bookmarkStart w:id="465" w:name="_Toc17625"/>
      <w:bookmarkStart w:id="466" w:name="_Toc21036"/>
      <w:bookmarkStart w:id="467" w:name="_Toc455080129"/>
      <w:bookmarkStart w:id="468" w:name="_Toc144974521"/>
      <w:bookmarkStart w:id="469" w:name="_Toc30442"/>
      <w:bookmarkStart w:id="470" w:name="_Toc318450696"/>
      <w:bookmarkStart w:id="471" w:name="_Toc152045553"/>
      <w:bookmarkStart w:id="472" w:name="_Toc490667849"/>
      <w:bookmarkStart w:id="473" w:name="_Toc11694"/>
      <w:bookmarkStart w:id="474" w:name="_Toc9015"/>
      <w:bookmarkStart w:id="475" w:name="_Toc19724"/>
      <w:bookmarkStart w:id="476" w:name="_Toc18915"/>
      <w:bookmarkStart w:id="477" w:name="_Toc1228"/>
      <w:bookmarkStart w:id="478" w:name="_Toc466298112"/>
      <w:bookmarkStart w:id="479" w:name="_Toc26258"/>
      <w:bookmarkStart w:id="480" w:name="_Toc3286"/>
      <w:bookmarkStart w:id="481" w:name="_Toc152042329"/>
      <w:bookmarkStart w:id="482" w:name="_Toc455867789"/>
      <w:bookmarkStart w:id="483" w:name="_Toc5132"/>
    </w:p>
    <w:bookmarkEnd w:id="463"/>
    <w:bookmarkEnd w:id="464"/>
    <w:bookmarkEnd w:id="465"/>
    <w:bookmarkEnd w:id="466"/>
    <w:p w14:paraId="60E57277">
      <w:pPr>
        <w:pageBreakBefore w:val="0"/>
        <w:widowControl w:val="0"/>
        <w:kinsoku/>
        <w:wordWrap/>
        <w:overflowPunct/>
        <w:topLinePunct w:val="0"/>
        <w:autoSpaceDE/>
        <w:autoSpaceDN/>
        <w:bidi w:val="0"/>
        <w:adjustRightInd w:val="0"/>
        <w:snapToGrid w:val="0"/>
        <w:spacing w:line="360" w:lineRule="auto"/>
        <w:ind w:firstLine="456" w:firstLineChars="200"/>
        <w:jc w:val="left"/>
        <w:textAlignment w:val="auto"/>
        <w:rPr>
          <w:rFonts w:hint="eastAsia" w:ascii="宋体" w:hAnsi="宋体" w:eastAsia="宋体" w:cs="宋体"/>
          <w:b w:val="0"/>
          <w:bCs w:val="0"/>
          <w:color w:val="auto"/>
          <w:spacing w:val="-6"/>
          <w:sz w:val="24"/>
          <w:szCs w:val="24"/>
          <w:highlight w:val="none"/>
          <w:lang w:val="en-US" w:eastAsia="zh-CN"/>
        </w:rPr>
      </w:pPr>
      <w:bookmarkStart w:id="484" w:name="_Toc15664"/>
      <w:bookmarkStart w:id="485" w:name="_Toc1207"/>
      <w:bookmarkStart w:id="486" w:name="_Toc31029"/>
      <w:bookmarkStart w:id="487" w:name="_Toc15296"/>
      <w:bookmarkStart w:id="488" w:name="_Toc23499"/>
      <w:bookmarkStart w:id="489" w:name="_Toc27694"/>
      <w:bookmarkStart w:id="490" w:name="_Toc27061"/>
      <w:bookmarkStart w:id="491" w:name="_Toc24859"/>
      <w:r>
        <w:rPr>
          <w:rFonts w:hint="eastAsia" w:ascii="宋体" w:hAnsi="宋体" w:eastAsia="宋体" w:cs="宋体"/>
          <w:b w:val="0"/>
          <w:bCs w:val="0"/>
          <w:color w:val="auto"/>
          <w:spacing w:val="-6"/>
          <w:sz w:val="24"/>
          <w:szCs w:val="24"/>
          <w:highlight w:val="none"/>
          <w:lang w:val="en-US" w:eastAsia="zh-CN"/>
        </w:rPr>
        <w:t>3.5.1</w:t>
      </w:r>
      <w:bookmarkEnd w:id="484"/>
      <w:bookmarkEnd w:id="485"/>
      <w:bookmarkEnd w:id="486"/>
      <w:bookmarkEnd w:id="487"/>
      <w:bookmarkStart w:id="492" w:name="_Toc6659"/>
      <w:bookmarkStart w:id="493" w:name="_Toc11346"/>
      <w:bookmarkStart w:id="494" w:name="_Toc3518"/>
      <w:bookmarkStart w:id="495" w:name="_Toc18099"/>
      <w:r>
        <w:rPr>
          <w:rFonts w:hint="eastAsia" w:ascii="宋体" w:hAnsi="宋体" w:eastAsia="宋体" w:cs="宋体"/>
          <w:b w:val="0"/>
          <w:bCs w:val="0"/>
          <w:color w:val="auto"/>
          <w:spacing w:val="-6"/>
          <w:sz w:val="24"/>
          <w:szCs w:val="24"/>
          <w:highlight w:val="none"/>
          <w:lang w:val="en-US" w:eastAsia="zh-CN"/>
        </w:rPr>
        <w:t>按照第二章供应商须知表“供应商须知前附表”1.5要求，提供其他相关材料。</w:t>
      </w:r>
    </w:p>
    <w:p w14:paraId="067A8520">
      <w:pPr>
        <w:pageBreakBefore w:val="0"/>
        <w:widowControl w:val="0"/>
        <w:kinsoku/>
        <w:wordWrap/>
        <w:overflowPunct/>
        <w:topLinePunct w:val="0"/>
        <w:autoSpaceDE/>
        <w:autoSpaceDN/>
        <w:bidi w:val="0"/>
        <w:adjustRightInd w:val="0"/>
        <w:snapToGrid w:val="0"/>
        <w:spacing w:line="360" w:lineRule="auto"/>
        <w:ind w:firstLine="456" w:firstLineChars="200"/>
        <w:jc w:val="left"/>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3.5.2近三年内供应商、法定代表人、授权委托人</w:t>
      </w:r>
      <w:r>
        <w:rPr>
          <w:rFonts w:hint="eastAsia" w:ascii="宋体" w:hAnsi="宋体" w:cs="宋体"/>
          <w:b w:val="0"/>
          <w:bCs w:val="0"/>
          <w:color w:val="auto"/>
          <w:spacing w:val="-6"/>
          <w:sz w:val="24"/>
          <w:szCs w:val="24"/>
          <w:highlight w:val="none"/>
          <w:lang w:val="en-US" w:eastAsia="zh-CN"/>
        </w:rPr>
        <w:t>及项目经理</w:t>
      </w:r>
      <w:r>
        <w:rPr>
          <w:rFonts w:hint="eastAsia" w:ascii="宋体" w:hAnsi="宋体" w:eastAsia="宋体" w:cs="宋体"/>
          <w:b w:val="0"/>
          <w:bCs w:val="0"/>
          <w:color w:val="auto"/>
          <w:spacing w:val="-6"/>
          <w:sz w:val="24"/>
          <w:szCs w:val="24"/>
          <w:highlight w:val="none"/>
          <w:lang w:val="en-US" w:eastAsia="zh-CN"/>
        </w:rPr>
        <w:t>不得存在行贿犯罪行为（须提供无行贿犯罪行为承诺书，加盖企业电子章及法定代表人、授权委托人</w:t>
      </w:r>
      <w:r>
        <w:rPr>
          <w:rFonts w:hint="eastAsia" w:ascii="宋体" w:hAnsi="宋体" w:cs="宋体"/>
          <w:b w:val="0"/>
          <w:bCs w:val="0"/>
          <w:color w:val="auto"/>
          <w:spacing w:val="-6"/>
          <w:sz w:val="24"/>
          <w:szCs w:val="24"/>
          <w:highlight w:val="none"/>
          <w:lang w:val="en-US" w:eastAsia="zh-CN"/>
        </w:rPr>
        <w:t>、项目经理</w:t>
      </w:r>
      <w:r>
        <w:rPr>
          <w:rFonts w:hint="eastAsia" w:ascii="宋体" w:hAnsi="宋体" w:eastAsia="宋体" w:cs="宋体"/>
          <w:b w:val="0"/>
          <w:bCs w:val="0"/>
          <w:color w:val="auto"/>
          <w:spacing w:val="-6"/>
          <w:sz w:val="24"/>
          <w:szCs w:val="24"/>
          <w:highlight w:val="none"/>
          <w:lang w:val="en-US" w:eastAsia="zh-CN"/>
        </w:rPr>
        <w:t>签字），未按要求提供的响应文件无效。</w:t>
      </w:r>
      <w:bookmarkEnd w:id="492"/>
      <w:bookmarkEnd w:id="493"/>
      <w:bookmarkEnd w:id="494"/>
      <w:bookmarkEnd w:id="495"/>
    </w:p>
    <w:p w14:paraId="2228BDD3">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3.6 备选方案</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8"/>
      <w:bookmarkEnd w:id="489"/>
      <w:bookmarkEnd w:id="490"/>
      <w:bookmarkEnd w:id="491"/>
    </w:p>
    <w:p w14:paraId="7A7AF22B">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除供应商须知前附表另有规定外，供应商不得递交备选磋商方案。</w:t>
      </w:r>
      <w:bookmarkStart w:id="496" w:name="_Toc144974522"/>
      <w:bookmarkStart w:id="497" w:name="_Toc466298113"/>
      <w:bookmarkStart w:id="498" w:name="_Toc5516"/>
      <w:bookmarkStart w:id="499" w:name="_Toc12541"/>
      <w:bookmarkStart w:id="500" w:name="_Toc28656"/>
      <w:bookmarkStart w:id="501" w:name="_Toc152045554"/>
      <w:bookmarkStart w:id="502" w:name="_Toc9237"/>
      <w:bookmarkStart w:id="503" w:name="_Toc490667850"/>
      <w:bookmarkStart w:id="504" w:name="_Toc7626"/>
      <w:bookmarkStart w:id="505" w:name="_Toc17697"/>
      <w:bookmarkStart w:id="506" w:name="_Toc152042330"/>
      <w:bookmarkStart w:id="507" w:name="_Toc7966"/>
      <w:bookmarkStart w:id="508" w:name="_Toc6171"/>
      <w:bookmarkStart w:id="509" w:name="_Toc318450697"/>
      <w:bookmarkStart w:id="510" w:name="_Toc455867790"/>
      <w:bookmarkStart w:id="511" w:name="_Toc25620"/>
      <w:bookmarkStart w:id="512" w:name="_Toc6323"/>
      <w:bookmarkStart w:id="513" w:name="_Toc12275"/>
      <w:bookmarkStart w:id="514" w:name="_Toc455080130"/>
      <w:bookmarkStart w:id="515" w:name="_Toc18912"/>
      <w:bookmarkStart w:id="516" w:name="_Toc5825"/>
    </w:p>
    <w:p w14:paraId="0F8810D8">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3.7 响应文件的编制</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4ADF9C76">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bookmarkStart w:id="517" w:name="_Toc455080131"/>
      <w:bookmarkStart w:id="518" w:name="_Toc144974523"/>
      <w:bookmarkStart w:id="519" w:name="_Toc152042331"/>
      <w:bookmarkStart w:id="520" w:name="_Toc152045555"/>
      <w:r>
        <w:rPr>
          <w:rFonts w:hint="eastAsia" w:ascii="宋体" w:hAnsi="宋体" w:eastAsia="宋体" w:cs="宋体"/>
          <w:color w:val="auto"/>
          <w:sz w:val="24"/>
          <w:szCs w:val="24"/>
          <w:highlight w:val="none"/>
        </w:rPr>
        <w:t>3.7.1响应文件应按</w:t>
      </w:r>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“竞争性磋商响应文件格式”进行编写，如有必要，可以增加附页，作为响应文件的组成部分。其中，磋商函附录在满足磋商文件实质性要求的基础上，可以提出比磋商文件要求更有利于采购人的承诺。</w:t>
      </w:r>
    </w:p>
    <w:p w14:paraId="1B7EF1FD">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3.7.2</w:t>
      </w:r>
      <w:r>
        <w:rPr>
          <w:rFonts w:hint="eastAsia" w:ascii="宋体" w:hAnsi="宋体" w:eastAsia="宋体" w:cs="宋体"/>
          <w:color w:val="auto"/>
          <w:spacing w:val="-6"/>
          <w:sz w:val="24"/>
          <w:szCs w:val="24"/>
          <w:highlight w:val="none"/>
        </w:rPr>
        <w:t>响应文件应当对磋商文件有关</w:t>
      </w:r>
      <w:r>
        <w:rPr>
          <w:rFonts w:hint="eastAsia" w:ascii="宋体" w:hAnsi="宋体" w:eastAsia="宋体" w:cs="宋体"/>
          <w:color w:val="auto"/>
          <w:spacing w:val="-6"/>
          <w:sz w:val="24"/>
          <w:szCs w:val="24"/>
          <w:highlight w:val="none"/>
          <w:lang w:eastAsia="zh-CN"/>
        </w:rPr>
        <w:t>计划工期</w:t>
      </w:r>
      <w:r>
        <w:rPr>
          <w:rFonts w:hint="eastAsia" w:ascii="宋体" w:hAnsi="宋体" w:eastAsia="宋体" w:cs="宋体"/>
          <w:color w:val="auto"/>
          <w:spacing w:val="-6"/>
          <w:sz w:val="24"/>
          <w:szCs w:val="24"/>
          <w:highlight w:val="none"/>
        </w:rPr>
        <w:t>、磋商有效期、质量要求、采购内容作出响应。</w:t>
      </w:r>
    </w:p>
    <w:p w14:paraId="5148E989">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3.7.3响应文件应使用信阳市公共资源交易系统</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制作专用工具软件编制，响应文件格式为“*.XYTF”。电子响应文件签字或盖章的具体要求见供应商须知前附表。供应商须在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递交截止时间前制作并提交。</w:t>
      </w:r>
    </w:p>
    <w:p w14:paraId="7742B781">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3.7.4 响应文件份数见供应商须知前附表。</w:t>
      </w:r>
      <w:bookmarkStart w:id="521" w:name="_Toc19433"/>
    </w:p>
    <w:p w14:paraId="19A508D3">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522" w:name="_Toc13389"/>
      <w:bookmarkStart w:id="523" w:name="_Toc1526"/>
      <w:bookmarkStart w:id="524" w:name="_Toc2438"/>
      <w:r>
        <w:rPr>
          <w:rFonts w:hint="eastAsia"/>
          <w:lang w:eastAsia="zh-CN"/>
        </w:rPr>
        <w:t xml:space="preserve">4. </w:t>
      </w:r>
      <w:bookmarkEnd w:id="517"/>
      <w:bookmarkEnd w:id="518"/>
      <w:bookmarkEnd w:id="519"/>
      <w:bookmarkEnd w:id="520"/>
      <w:r>
        <w:rPr>
          <w:rFonts w:hint="eastAsia"/>
          <w:lang w:eastAsia="zh-CN"/>
        </w:rPr>
        <w:t>磋商</w:t>
      </w:r>
      <w:bookmarkEnd w:id="521"/>
      <w:bookmarkEnd w:id="522"/>
      <w:bookmarkEnd w:id="523"/>
      <w:bookmarkEnd w:id="524"/>
      <w:bookmarkStart w:id="525" w:name="_Toc22961"/>
      <w:bookmarkStart w:id="526" w:name="_Toc16962"/>
      <w:bookmarkStart w:id="527" w:name="_Toc490667852"/>
      <w:bookmarkStart w:id="528" w:name="_Toc16783"/>
      <w:bookmarkStart w:id="529" w:name="_Toc26583"/>
      <w:bookmarkStart w:id="530" w:name="_Toc466298115"/>
      <w:bookmarkStart w:id="531" w:name="_Toc152042332"/>
      <w:bookmarkStart w:id="532" w:name="_Toc16344"/>
      <w:bookmarkStart w:id="533" w:name="_Toc31492"/>
      <w:bookmarkStart w:id="534" w:name="_Toc152045556"/>
      <w:bookmarkStart w:id="535" w:name="_Toc11243"/>
      <w:bookmarkStart w:id="536" w:name="_Toc318450699"/>
      <w:bookmarkStart w:id="537" w:name="_Toc455080132"/>
      <w:bookmarkStart w:id="538" w:name="_Toc455867792"/>
      <w:bookmarkStart w:id="539" w:name="_Toc26550"/>
      <w:bookmarkStart w:id="540" w:name="_Toc144974524"/>
      <w:bookmarkStart w:id="541" w:name="_Toc18820"/>
      <w:bookmarkStart w:id="542" w:name="_Toc21145"/>
    </w:p>
    <w:p w14:paraId="4ADD8381">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4.1 响应文件的</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Fonts w:hint="eastAsia" w:ascii="宋体" w:hAnsi="宋体" w:eastAsia="宋体" w:cs="宋体"/>
          <w:b/>
          <w:bCs/>
          <w:color w:val="auto"/>
          <w:sz w:val="24"/>
          <w:szCs w:val="24"/>
          <w:highlight w:val="none"/>
          <w:lang w:eastAsia="zh-CN"/>
        </w:rPr>
        <w:t>上传</w:t>
      </w:r>
      <w:bookmarkEnd w:id="542"/>
    </w:p>
    <w:p w14:paraId="4F43DB9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4.1.1网上上传的电子响应文件应使用供应商数字证书认证并加密。</w:t>
      </w:r>
    </w:p>
    <w:p w14:paraId="121FC0E9">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543" w:name="_Toc144974525"/>
      <w:bookmarkStart w:id="544" w:name="_Toc16832"/>
      <w:bookmarkStart w:id="545" w:name="_Toc5699"/>
      <w:bookmarkStart w:id="546" w:name="_Toc28272"/>
      <w:bookmarkStart w:id="547" w:name="_Toc30171"/>
      <w:bookmarkStart w:id="548" w:name="_Toc21072"/>
      <w:bookmarkStart w:id="549" w:name="_Toc7663"/>
      <w:bookmarkStart w:id="550" w:name="_Toc490667853"/>
      <w:bookmarkStart w:id="551" w:name="_Toc466298116"/>
      <w:bookmarkStart w:id="552" w:name="_Toc27132"/>
      <w:bookmarkStart w:id="553" w:name="_Toc152042333"/>
      <w:bookmarkStart w:id="554" w:name="_Toc152045557"/>
      <w:bookmarkStart w:id="555" w:name="_Toc455080133"/>
      <w:bookmarkStart w:id="556" w:name="_Toc455867793"/>
      <w:bookmarkStart w:id="557" w:name="_Toc25665"/>
      <w:bookmarkStart w:id="558" w:name="_Toc20259"/>
      <w:bookmarkStart w:id="559" w:name="_Toc462"/>
      <w:bookmarkStart w:id="560" w:name="_Toc8754"/>
      <w:bookmarkStart w:id="561" w:name="_Toc4767"/>
      <w:bookmarkStart w:id="562" w:name="_Toc318450700"/>
      <w:bookmarkStart w:id="563" w:name="_Toc21897"/>
      <w:r>
        <w:rPr>
          <w:rFonts w:hint="eastAsia" w:ascii="宋体" w:hAnsi="宋体" w:eastAsia="宋体" w:cs="宋体"/>
          <w:b/>
          <w:bCs/>
          <w:color w:val="auto"/>
          <w:sz w:val="24"/>
          <w:szCs w:val="24"/>
          <w:highlight w:val="none"/>
        </w:rPr>
        <w:t>4.2 响应文件的递交</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438239D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564" w:name="_Toc20281"/>
      <w:bookmarkStart w:id="565" w:name="_Toc144974526"/>
      <w:bookmarkStart w:id="566" w:name="_Toc455867794"/>
      <w:bookmarkStart w:id="567" w:name="_Toc455080134"/>
      <w:bookmarkStart w:id="568" w:name="_Toc318450701"/>
      <w:bookmarkStart w:id="569" w:name="_Toc21890"/>
      <w:bookmarkStart w:id="570" w:name="_Toc30860"/>
      <w:bookmarkStart w:id="571" w:name="_Toc2952"/>
      <w:bookmarkStart w:id="572" w:name="_Toc11817"/>
      <w:bookmarkStart w:id="573" w:name="_Toc5102"/>
      <w:bookmarkStart w:id="574" w:name="_Toc17161"/>
      <w:bookmarkStart w:id="575" w:name="_Toc152042334"/>
      <w:bookmarkStart w:id="576" w:name="_Toc26684"/>
      <w:bookmarkStart w:id="577" w:name="_Toc466298117"/>
      <w:bookmarkStart w:id="578" w:name="_Toc152045558"/>
      <w:bookmarkStart w:id="579" w:name="_Toc19951"/>
      <w:bookmarkStart w:id="580" w:name="_Toc490667854"/>
      <w:r>
        <w:rPr>
          <w:rFonts w:hint="eastAsia" w:ascii="宋体" w:hAnsi="宋体" w:eastAsia="宋体" w:cs="宋体"/>
          <w:color w:val="auto"/>
          <w:sz w:val="24"/>
          <w:szCs w:val="24"/>
          <w:highlight w:val="none"/>
        </w:rPr>
        <w:t>4.2.1电子响应文件的递交</w:t>
      </w:r>
    </w:p>
    <w:p w14:paraId="0FA741F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各供应商应在</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时间前上传加密的电子响应文件（*.XYTF）到会员系统的指定位置。上传的电子响应文件应使用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CA数字证书认证并加密。上传时必须得到交易系统“上传成功”的确认回复后方为上传成功。请供应商在上传前务必认真检查上传响应文件是否完整、正确。</w:t>
      </w:r>
    </w:p>
    <w:p w14:paraId="0EC44FC2">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581" w:name="_Toc19081"/>
      <w:bookmarkStart w:id="582" w:name="_Toc3825"/>
      <w:bookmarkStart w:id="583" w:name="_Toc22732"/>
      <w:bookmarkStart w:id="584" w:name="_Toc1790"/>
      <w:r>
        <w:rPr>
          <w:rFonts w:hint="eastAsia" w:ascii="宋体" w:hAnsi="宋体" w:eastAsia="宋体" w:cs="宋体"/>
          <w:b/>
          <w:bCs/>
          <w:color w:val="auto"/>
          <w:sz w:val="24"/>
          <w:szCs w:val="24"/>
          <w:highlight w:val="none"/>
        </w:rPr>
        <w:t>4.3 响应文件的修改与撤回</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30E8323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585" w:name="_Toc144974527"/>
      <w:bookmarkStart w:id="586" w:name="_Toc152045559"/>
      <w:bookmarkStart w:id="587" w:name="_Toc152042335"/>
      <w:bookmarkStart w:id="588" w:name="_Toc455080135"/>
      <w:r>
        <w:rPr>
          <w:rFonts w:hint="eastAsia" w:ascii="宋体" w:hAnsi="宋体" w:eastAsia="宋体" w:cs="宋体"/>
          <w:color w:val="auto"/>
          <w:sz w:val="24"/>
          <w:szCs w:val="24"/>
          <w:highlight w:val="none"/>
        </w:rPr>
        <w:t>4.3.1 在第一章“</w:t>
      </w:r>
      <w:r>
        <w:rPr>
          <w:rFonts w:hint="eastAsia" w:ascii="宋体" w:hAnsi="宋体" w:eastAsia="宋体" w:cs="宋体"/>
          <w:color w:val="auto"/>
          <w:sz w:val="24"/>
          <w:szCs w:val="24"/>
          <w:highlight w:val="none"/>
          <w:lang w:eastAsia="zh-CN"/>
        </w:rPr>
        <w:t>竞争性</w:t>
      </w:r>
      <w:r>
        <w:rPr>
          <w:rFonts w:hint="eastAsia" w:ascii="宋体" w:hAnsi="宋体" w:eastAsia="宋体" w:cs="宋体"/>
          <w:color w:val="auto"/>
          <w:sz w:val="24"/>
          <w:szCs w:val="24"/>
          <w:highlight w:val="none"/>
        </w:rPr>
        <w:t>磋商公告”规定的</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时间前，供应商可以多次修改或撤回已递交的响应文件，最终响应文件以</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时间前完成上传至信阳市公共资源交易中心交易系统最后一份响应文件为准。</w:t>
      </w:r>
    </w:p>
    <w:p w14:paraId="6093FDF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4.3.2修改的响应文件应按照本章第3.7条、第4.2条规定进行编制和递交。</w:t>
      </w:r>
    </w:p>
    <w:bookmarkEnd w:id="585"/>
    <w:bookmarkEnd w:id="586"/>
    <w:bookmarkEnd w:id="587"/>
    <w:p w14:paraId="0D6BAB72">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589" w:name="_Toc21327"/>
      <w:bookmarkStart w:id="590" w:name="_Toc14969"/>
      <w:bookmarkStart w:id="591" w:name="_Toc17063"/>
      <w:bookmarkStart w:id="592" w:name="_Toc27263"/>
      <w:r>
        <w:rPr>
          <w:rFonts w:hint="eastAsia"/>
          <w:lang w:val="zh-CN" w:eastAsia="zh-CN"/>
        </w:rPr>
        <w:t>5.</w:t>
      </w:r>
      <w:r>
        <w:rPr>
          <w:rFonts w:hint="eastAsia"/>
          <w:lang w:eastAsia="zh-CN"/>
        </w:rPr>
        <w:t>磋商开始</w:t>
      </w:r>
      <w:bookmarkEnd w:id="588"/>
      <w:bookmarkEnd w:id="589"/>
      <w:bookmarkEnd w:id="590"/>
      <w:bookmarkEnd w:id="591"/>
      <w:bookmarkEnd w:id="592"/>
      <w:bookmarkStart w:id="593" w:name="_Toc16040"/>
      <w:bookmarkStart w:id="594" w:name="_Toc20333"/>
      <w:bookmarkStart w:id="595" w:name="_Toc466298119"/>
      <w:bookmarkStart w:id="596" w:name="_Toc9969"/>
      <w:bookmarkStart w:id="597" w:name="_Toc455867796"/>
      <w:bookmarkStart w:id="598" w:name="_Toc25533"/>
      <w:bookmarkStart w:id="599" w:name="_Toc455080136"/>
      <w:bookmarkStart w:id="600" w:name="_Toc6763"/>
      <w:bookmarkStart w:id="601" w:name="_Toc26426"/>
      <w:bookmarkStart w:id="602" w:name="_Toc152042336"/>
      <w:bookmarkStart w:id="603" w:name="_Toc144974528"/>
      <w:bookmarkStart w:id="604" w:name="_Toc20660"/>
      <w:bookmarkStart w:id="605" w:name="_Toc318450703"/>
      <w:bookmarkStart w:id="606" w:name="_Toc25809"/>
      <w:bookmarkStart w:id="607" w:name="_Toc490667856"/>
      <w:bookmarkStart w:id="608" w:name="_Toc14"/>
      <w:bookmarkStart w:id="609" w:name="_Toc152045560"/>
    </w:p>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14:paraId="6DD62A1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610" w:name="_Toc25911"/>
      <w:bookmarkStart w:id="611" w:name="_Toc17491"/>
      <w:bookmarkStart w:id="612" w:name="_Toc455080137"/>
      <w:bookmarkStart w:id="613" w:name="_Toc30074"/>
      <w:bookmarkStart w:id="614" w:name="_Toc3865"/>
      <w:bookmarkStart w:id="615" w:name="_Toc152045561"/>
      <w:bookmarkStart w:id="616" w:name="_Toc30792"/>
      <w:bookmarkStart w:id="617" w:name="_Toc747"/>
      <w:bookmarkStart w:id="618" w:name="_Toc490667857"/>
      <w:bookmarkStart w:id="619" w:name="_Toc144974529"/>
      <w:bookmarkStart w:id="620" w:name="_Toc30965"/>
      <w:bookmarkStart w:id="621" w:name="_Toc152042337"/>
      <w:bookmarkStart w:id="622" w:name="_Toc455867797"/>
      <w:bookmarkStart w:id="623" w:name="_Toc466298120"/>
      <w:bookmarkStart w:id="624" w:name="_Toc18582"/>
      <w:bookmarkStart w:id="625" w:name="_Toc318450704"/>
      <w:bookmarkStart w:id="626" w:name="_Toc11148"/>
      <w:bookmarkStart w:id="627" w:name="_Toc9328"/>
      <w:r>
        <w:rPr>
          <w:rFonts w:hint="eastAsia" w:ascii="宋体" w:hAnsi="宋体" w:eastAsia="宋体" w:cs="宋体"/>
          <w:b/>
          <w:bCs/>
          <w:color w:val="auto"/>
          <w:sz w:val="24"/>
          <w:szCs w:val="24"/>
          <w:highlight w:val="none"/>
        </w:rPr>
        <w:t>5.1 磋商时间和地点</w:t>
      </w:r>
    </w:p>
    <w:p w14:paraId="0FBD2A9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5.1.1 </w:t>
      </w:r>
      <w:r>
        <w:rPr>
          <w:rFonts w:hint="eastAsia" w:ascii="宋体" w:hAnsi="宋体" w:eastAsia="宋体" w:cs="宋体"/>
          <w:color w:val="auto"/>
          <w:spacing w:val="0"/>
          <w:sz w:val="24"/>
          <w:szCs w:val="24"/>
          <w:highlight w:val="none"/>
        </w:rPr>
        <w:t>采购人在本章规定的</w:t>
      </w:r>
      <w:r>
        <w:rPr>
          <w:rFonts w:hint="eastAsia" w:ascii="宋体" w:hAnsi="宋体" w:eastAsia="宋体" w:cs="宋体"/>
          <w:color w:val="auto"/>
          <w:spacing w:val="0"/>
          <w:sz w:val="24"/>
          <w:szCs w:val="24"/>
          <w:highlight w:val="none"/>
          <w:lang w:eastAsia="zh-CN"/>
        </w:rPr>
        <w:t>响应文件提交</w:t>
      </w:r>
      <w:r>
        <w:rPr>
          <w:rFonts w:hint="eastAsia" w:ascii="宋体" w:hAnsi="宋体" w:eastAsia="宋体" w:cs="宋体"/>
          <w:color w:val="auto"/>
          <w:spacing w:val="0"/>
          <w:sz w:val="24"/>
          <w:szCs w:val="24"/>
          <w:highlight w:val="none"/>
        </w:rPr>
        <w:t>时间（</w:t>
      </w:r>
      <w:r>
        <w:rPr>
          <w:rFonts w:hint="eastAsia" w:ascii="宋体" w:hAnsi="宋体" w:eastAsia="宋体" w:cs="宋体"/>
          <w:color w:val="auto"/>
          <w:spacing w:val="0"/>
          <w:sz w:val="24"/>
          <w:szCs w:val="24"/>
          <w:highlight w:val="none"/>
          <w:lang w:eastAsia="zh-CN"/>
        </w:rPr>
        <w:t>开标</w:t>
      </w:r>
      <w:r>
        <w:rPr>
          <w:rFonts w:hint="eastAsia" w:ascii="宋体" w:hAnsi="宋体" w:eastAsia="宋体" w:cs="宋体"/>
          <w:color w:val="auto"/>
          <w:spacing w:val="0"/>
          <w:sz w:val="24"/>
          <w:szCs w:val="24"/>
          <w:highlight w:val="none"/>
        </w:rPr>
        <w:t>时间）和</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须知前附表规定的地点开标。</w:t>
      </w:r>
    </w:p>
    <w:p w14:paraId="4658345E">
      <w:pPr>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 xml:space="preserve">5.1.2 </w:t>
      </w:r>
      <w:r>
        <w:rPr>
          <w:rFonts w:hint="eastAsia" w:ascii="宋体" w:hAnsi="宋体" w:eastAsia="宋体" w:cs="宋体"/>
          <w:b/>
          <w:bCs/>
          <w:color w:val="auto"/>
          <w:sz w:val="24"/>
          <w:szCs w:val="24"/>
          <w:highlight w:val="none"/>
          <w:lang w:val="en-US" w:eastAsia="zh-CN"/>
        </w:rPr>
        <w:t xml:space="preserve">本项目采用“不见面开标”交易方式，不见面开标大厅网址为 </w:t>
      </w:r>
      <w:r>
        <w:rPr>
          <w:rFonts w:hint="eastAsia" w:ascii="宋体" w:hAnsi="宋体" w:eastAsia="宋体" w:cs="宋体"/>
          <w:b/>
          <w:bCs/>
          <w:color w:val="auto"/>
          <w:sz w:val="24"/>
          <w:szCs w:val="24"/>
          <w:highlight w:val="none"/>
          <w:lang w:val="en-US" w:eastAsia="zh-CN"/>
        </w:rPr>
        <w:fldChar w:fldCharType="begin"/>
      </w:r>
      <w:r>
        <w:rPr>
          <w:rFonts w:hint="eastAsia" w:ascii="宋体" w:hAnsi="宋体" w:eastAsia="宋体" w:cs="宋体"/>
          <w:b/>
          <w:bCs/>
          <w:color w:val="auto"/>
          <w:sz w:val="24"/>
          <w:szCs w:val="24"/>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b/>
          <w:bCs/>
          <w:color w:val="auto"/>
          <w:sz w:val="24"/>
          <w:szCs w:val="24"/>
          <w:highlight w:val="none"/>
          <w:lang w:val="en-US" w:eastAsia="zh-CN"/>
        </w:rPr>
        <w:fldChar w:fldCharType="separate"/>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b/>
          <w:bCs/>
          <w:color w:val="auto"/>
          <w:sz w:val="24"/>
          <w:szCs w:val="24"/>
          <w:highlight w:val="none"/>
          <w:lang w:val="en-US" w:eastAsia="zh-CN"/>
        </w:rPr>
        <w:t>，供应商无需寄送和递交</w:t>
      </w:r>
      <w:r>
        <w:rPr>
          <w:rFonts w:hint="eastAsia" w:ascii="宋体" w:hAnsi="宋体" w:eastAsia="宋体" w:cs="宋体"/>
          <w:b/>
          <w:bCs/>
          <w:color w:val="auto"/>
          <w:sz w:val="24"/>
          <w:szCs w:val="24"/>
          <w:highlight w:val="none"/>
        </w:rPr>
        <w:t>非加密的电子</w:t>
      </w:r>
      <w:r>
        <w:rPr>
          <w:rFonts w:hint="eastAsia" w:ascii="宋体" w:hAnsi="宋体" w:eastAsia="宋体" w:cs="宋体"/>
          <w:b/>
          <w:bCs/>
          <w:color w:val="auto"/>
          <w:sz w:val="24"/>
          <w:szCs w:val="24"/>
          <w:highlight w:val="none"/>
          <w:lang w:eastAsia="zh-CN"/>
        </w:rPr>
        <w:t>响应文件，</w:t>
      </w:r>
      <w:r>
        <w:rPr>
          <w:rFonts w:hint="eastAsia" w:ascii="宋体" w:hAnsi="宋体" w:eastAsia="宋体" w:cs="宋体"/>
          <w:b/>
          <w:bCs/>
          <w:color w:val="auto"/>
          <w:sz w:val="24"/>
          <w:szCs w:val="24"/>
          <w:highlight w:val="none"/>
          <w:lang w:val="en-US" w:eastAsia="zh-CN"/>
        </w:rPr>
        <w:t>无需到现场参加开标会议，无需到达现场提交原件资料。</w:t>
      </w:r>
      <w:r>
        <w:rPr>
          <w:rFonts w:hint="eastAsia" w:ascii="宋体" w:hAnsi="宋体" w:eastAsia="宋体" w:cs="宋体"/>
          <w:b/>
          <w:bCs/>
          <w:color w:val="auto"/>
          <w:sz w:val="24"/>
          <w:szCs w:val="24"/>
          <w:highlight w:val="none"/>
          <w:lang w:val="en-US" w:eastAsia="zh-CN"/>
        </w:rPr>
        <w:fldChar w:fldCharType="end"/>
      </w:r>
    </w:p>
    <w:p w14:paraId="483E935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供应商应当在响应文件提交时间前，使用供应商CA数字证书登录不见面开标大厅，在线签到并准时参加开标活动，并在规定时间内完成响应文件解密、答疑澄清等。</w:t>
      </w:r>
    </w:p>
    <w:p w14:paraId="215EE8B3">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2532A0D3">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不见面开标服务的具体事宜，请查阅信阳市公共资源交易中心网站首页—下载中心—信阳市不见面开标大厅系统操作手册 。</w:t>
      </w:r>
    </w:p>
    <w:p w14:paraId="1B425EB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开标</w:t>
      </w:r>
      <w:r>
        <w:rPr>
          <w:rFonts w:hint="eastAsia" w:ascii="宋体" w:hAnsi="宋体" w:eastAsia="宋体" w:cs="宋体"/>
          <w:b/>
          <w:bCs/>
          <w:color w:val="auto"/>
          <w:sz w:val="24"/>
          <w:szCs w:val="24"/>
          <w:highlight w:val="none"/>
          <w:lang w:eastAsia="zh-CN"/>
        </w:rPr>
        <w:t>过程中</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如有异议，须</w:t>
      </w:r>
      <w:r>
        <w:rPr>
          <w:rFonts w:hint="eastAsia" w:ascii="宋体" w:hAnsi="宋体" w:eastAsia="宋体" w:cs="宋体"/>
          <w:b/>
          <w:bCs/>
          <w:color w:val="auto"/>
          <w:sz w:val="24"/>
          <w:szCs w:val="24"/>
          <w:highlight w:val="none"/>
          <w:lang w:eastAsia="zh-CN"/>
        </w:rPr>
        <w:t>在开标结束前</w:t>
      </w:r>
      <w:r>
        <w:rPr>
          <w:rFonts w:hint="eastAsia" w:ascii="宋体" w:hAnsi="宋体" w:eastAsia="宋体" w:cs="宋体"/>
          <w:b/>
          <w:bCs/>
          <w:color w:val="auto"/>
          <w:sz w:val="24"/>
          <w:szCs w:val="24"/>
          <w:highlight w:val="none"/>
        </w:rPr>
        <w:t>通过系统提出，否则视同</w:t>
      </w:r>
      <w:r>
        <w:rPr>
          <w:rFonts w:hint="eastAsia" w:ascii="宋体" w:hAnsi="宋体" w:eastAsia="宋体" w:cs="宋体"/>
          <w:b/>
          <w:bCs/>
          <w:color w:val="auto"/>
          <w:sz w:val="24"/>
          <w:szCs w:val="24"/>
          <w:highlight w:val="none"/>
          <w:lang w:eastAsia="zh-CN"/>
        </w:rPr>
        <w:t>认可</w:t>
      </w:r>
      <w:r>
        <w:rPr>
          <w:rFonts w:hint="eastAsia" w:ascii="宋体" w:hAnsi="宋体" w:eastAsia="宋体" w:cs="宋体"/>
          <w:b/>
          <w:bCs/>
          <w:color w:val="auto"/>
          <w:sz w:val="24"/>
          <w:szCs w:val="24"/>
          <w:highlight w:val="none"/>
        </w:rPr>
        <w:t>开标记录</w:t>
      </w:r>
      <w:r>
        <w:rPr>
          <w:rFonts w:hint="eastAsia" w:ascii="宋体" w:hAnsi="宋体" w:eastAsia="宋体" w:cs="宋体"/>
          <w:b/>
          <w:bCs/>
          <w:color w:val="auto"/>
          <w:sz w:val="24"/>
          <w:szCs w:val="24"/>
          <w:highlight w:val="none"/>
          <w:lang w:eastAsia="zh-CN"/>
        </w:rPr>
        <w:t>。开标结束后，</w:t>
      </w:r>
      <w:r>
        <w:rPr>
          <w:rFonts w:hint="eastAsia" w:ascii="宋体" w:hAnsi="宋体" w:eastAsia="宋体" w:cs="宋体"/>
          <w:b/>
          <w:bCs/>
          <w:color w:val="auto"/>
          <w:sz w:val="24"/>
          <w:szCs w:val="24"/>
          <w:highlight w:val="none"/>
        </w:rPr>
        <w:t>对开标记录</w:t>
      </w:r>
      <w:r>
        <w:rPr>
          <w:rFonts w:hint="eastAsia" w:ascii="宋体" w:hAnsi="宋体" w:eastAsia="宋体" w:cs="宋体"/>
          <w:b/>
          <w:bCs/>
          <w:color w:val="auto"/>
          <w:sz w:val="24"/>
          <w:szCs w:val="24"/>
          <w:highlight w:val="none"/>
          <w:lang w:eastAsia="zh-CN"/>
        </w:rPr>
        <w:t>的</w:t>
      </w:r>
      <w:r>
        <w:rPr>
          <w:rFonts w:hint="eastAsia" w:ascii="宋体" w:hAnsi="宋体" w:eastAsia="宋体" w:cs="宋体"/>
          <w:b/>
          <w:bCs/>
          <w:color w:val="auto"/>
          <w:sz w:val="24"/>
          <w:szCs w:val="24"/>
          <w:highlight w:val="none"/>
        </w:rPr>
        <w:t>任何异议</w:t>
      </w:r>
      <w:r>
        <w:rPr>
          <w:rFonts w:hint="eastAsia" w:ascii="宋体" w:hAnsi="宋体" w:eastAsia="宋体" w:cs="宋体"/>
          <w:b/>
          <w:bCs/>
          <w:color w:val="auto"/>
          <w:sz w:val="24"/>
          <w:szCs w:val="24"/>
          <w:highlight w:val="none"/>
          <w:lang w:eastAsia="zh-CN"/>
        </w:rPr>
        <w:t>不再接受</w:t>
      </w:r>
      <w:r>
        <w:rPr>
          <w:rFonts w:hint="eastAsia" w:ascii="宋体" w:hAnsi="宋体" w:eastAsia="宋体" w:cs="宋体"/>
          <w:b/>
          <w:bCs/>
          <w:color w:val="auto"/>
          <w:sz w:val="24"/>
          <w:szCs w:val="24"/>
          <w:highlight w:val="none"/>
        </w:rPr>
        <w:t xml:space="preserve">。 </w:t>
      </w:r>
    </w:p>
    <w:p w14:paraId="4BE2D178">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628" w:name="_Toc2864"/>
      <w:bookmarkStart w:id="629" w:name="_Toc2061"/>
      <w:bookmarkStart w:id="630" w:name="_Toc8689"/>
      <w:r>
        <w:rPr>
          <w:rFonts w:hint="eastAsia" w:ascii="宋体" w:hAnsi="宋体" w:eastAsia="宋体" w:cs="宋体"/>
          <w:b/>
          <w:bCs/>
          <w:color w:val="auto"/>
          <w:sz w:val="24"/>
          <w:szCs w:val="24"/>
          <w:highlight w:val="none"/>
        </w:rPr>
        <w:t>5.2 磋商程序</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79FC739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bookmarkStart w:id="631" w:name="_Toc22975"/>
      <w:bookmarkStart w:id="632" w:name="_Toc14065"/>
      <w:bookmarkStart w:id="633" w:name="_Toc30485"/>
      <w:bookmarkStart w:id="634" w:name="_Toc1924"/>
      <w:bookmarkStart w:id="635" w:name="_Toc30403"/>
      <w:bookmarkStart w:id="636" w:name="_Toc152042338"/>
      <w:bookmarkStart w:id="637" w:name="_Toc144974530"/>
      <w:bookmarkStart w:id="638" w:name="_Toc152045562"/>
      <w:r>
        <w:rPr>
          <w:rFonts w:hint="eastAsia" w:ascii="宋体" w:hAnsi="宋体" w:eastAsia="宋体" w:cs="宋体"/>
          <w:color w:val="auto"/>
          <w:sz w:val="24"/>
          <w:szCs w:val="24"/>
          <w:highlight w:val="none"/>
          <w:lang w:val="en-US" w:eastAsia="zh-CN"/>
        </w:rPr>
        <w:t>5.2.1磋商小组对磋商文件进行熟悉确认。</w:t>
      </w:r>
      <w:bookmarkEnd w:id="631"/>
      <w:bookmarkEnd w:id="632"/>
      <w:bookmarkEnd w:id="633"/>
      <w:bookmarkEnd w:id="634"/>
      <w:bookmarkEnd w:id="635"/>
    </w:p>
    <w:p w14:paraId="244C221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5.2.2磋商小组推选组长，讨论、通过磋商工作流程和磋商要点。</w:t>
      </w:r>
    </w:p>
    <w:p w14:paraId="1EB0DC4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资格评审审查：磋商开始后，采购人依据磋商文件规定，对供应商进行审查，以确定磋商供应商是否具备参与磋商的资格。</w:t>
      </w:r>
    </w:p>
    <w:p w14:paraId="298AD4F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审审查：磋商开始后，磋商小组依据磋商文件规定，对通过</w:t>
      </w:r>
      <w:r>
        <w:rPr>
          <w:rFonts w:hint="eastAsia" w:ascii="宋体" w:hAnsi="宋体" w:eastAsia="宋体" w:cs="宋体"/>
          <w:color w:val="auto"/>
          <w:sz w:val="24"/>
          <w:szCs w:val="24"/>
          <w:highlight w:val="none"/>
          <w:lang w:eastAsia="zh-CN"/>
        </w:rPr>
        <w:t>资格</w:t>
      </w:r>
      <w:r>
        <w:rPr>
          <w:rFonts w:hint="eastAsia" w:ascii="宋体" w:hAnsi="宋体" w:eastAsia="宋体" w:cs="宋体"/>
          <w:color w:val="auto"/>
          <w:sz w:val="24"/>
          <w:szCs w:val="24"/>
          <w:highlight w:val="none"/>
        </w:rPr>
        <w:t>评审的供应商进行审查，以确定磋商供应商是否具备参与磋商的资格。</w:t>
      </w:r>
    </w:p>
    <w:p w14:paraId="2C88351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磋商小组对通过资格性和符合性审查的响应文件进行评估，确定与各竞标人磋商的具体内容。</w:t>
      </w:r>
    </w:p>
    <w:p w14:paraId="4E20B4F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磋商过程中，磋商小组可以根据磋商情况实质性变动招标需求中的技术、服务要求以及合同草案条款，但不得变动磋商文件中的其他内容。实质性变动的内容需经采购人(业主)代表确认。并以书面形式通知所有参加磋商的供应商，该变动是磋商文件的有效组成部分。供应商应当按照磋商文件的变动情况和磋商小组的要求重新提交响应文件并由其法定代表人或其授权代表签字或者加盖公章。由授权代表签字的应当附法定代表人授权书。供应商为自然人的应当由本人签字并附身份证。供应商应根据磋商小组的要求，以书面形式在规定时间内做出响应，未做出响应的响应文件将被视为无效竞标。若磋商小组没有实质性变动招标需求中的技术、服务要求以及合同草案条款，则供应商的最后报价不得高于首次报价，否则按废标处理。</w:t>
      </w:r>
    </w:p>
    <w:p w14:paraId="1910D55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磋商小组对符合招标需求的供应商进行两轮报价；供应商只有通过资格评审、</w:t>
      </w:r>
      <w:r>
        <w:rPr>
          <w:rFonts w:hint="eastAsia" w:ascii="宋体" w:hAnsi="宋体" w:eastAsia="宋体" w:cs="宋体"/>
          <w:color w:val="auto"/>
          <w:sz w:val="24"/>
          <w:szCs w:val="24"/>
          <w:highlight w:val="none"/>
          <w:lang w:eastAsia="zh-CN"/>
        </w:rPr>
        <w:t>符合</w:t>
      </w:r>
      <w:r>
        <w:rPr>
          <w:rFonts w:hint="eastAsia" w:ascii="宋体" w:hAnsi="宋体" w:eastAsia="宋体" w:cs="宋体"/>
          <w:color w:val="auto"/>
          <w:sz w:val="24"/>
          <w:szCs w:val="24"/>
          <w:highlight w:val="none"/>
        </w:rPr>
        <w:t>性评审后方可进入下一轮报价，在规定的时间内同时提交报价，最终报价不得超过</w:t>
      </w:r>
      <w:r>
        <w:rPr>
          <w:rFonts w:hint="eastAsia" w:ascii="宋体" w:hAnsi="宋体" w:eastAsia="宋体" w:cs="宋体"/>
          <w:color w:val="auto"/>
          <w:sz w:val="24"/>
          <w:szCs w:val="24"/>
          <w:highlight w:val="none"/>
          <w:lang w:val="en-US" w:eastAsia="zh-CN"/>
        </w:rPr>
        <w:t>磋商控制价</w:t>
      </w:r>
      <w:r>
        <w:rPr>
          <w:rFonts w:hint="eastAsia" w:ascii="宋体" w:hAnsi="宋体" w:eastAsia="宋体" w:cs="宋体"/>
          <w:color w:val="auto"/>
          <w:sz w:val="24"/>
          <w:szCs w:val="24"/>
          <w:highlight w:val="none"/>
        </w:rPr>
        <w:t>。</w:t>
      </w:r>
    </w:p>
    <w:p w14:paraId="5C2E525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经磋商确定最终招标需求，由磋商小组采用综合评分法对通过初步评审的供应商的响应文件进行综合评分。</w:t>
      </w:r>
    </w:p>
    <w:p w14:paraId="33B78853">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639" w:name="_Toc455080138"/>
      <w:bookmarkStart w:id="640" w:name="_Toc21785"/>
      <w:bookmarkStart w:id="641" w:name="_Toc9753"/>
      <w:bookmarkStart w:id="642" w:name="_Toc14039"/>
      <w:bookmarkStart w:id="643" w:name="_Toc8837"/>
      <w:r>
        <w:rPr>
          <w:rFonts w:hint="eastAsia"/>
          <w:lang w:eastAsia="zh-CN"/>
        </w:rPr>
        <w:t xml:space="preserve">6. </w:t>
      </w:r>
      <w:bookmarkEnd w:id="636"/>
      <w:bookmarkEnd w:id="637"/>
      <w:bookmarkEnd w:id="638"/>
      <w:r>
        <w:rPr>
          <w:rFonts w:hint="eastAsia"/>
          <w:lang w:eastAsia="zh-CN"/>
        </w:rPr>
        <w:t>磋商</w:t>
      </w:r>
      <w:bookmarkEnd w:id="639"/>
      <w:r>
        <w:rPr>
          <w:rFonts w:hint="eastAsia"/>
          <w:lang w:eastAsia="zh-CN"/>
        </w:rPr>
        <w:t>小组</w:t>
      </w:r>
      <w:bookmarkEnd w:id="640"/>
      <w:bookmarkEnd w:id="641"/>
      <w:bookmarkEnd w:id="642"/>
      <w:bookmarkEnd w:id="643"/>
    </w:p>
    <w:p w14:paraId="013C57C0">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644" w:name="_Toc318450706"/>
      <w:bookmarkStart w:id="645" w:name="_Toc144974531"/>
      <w:bookmarkStart w:id="646" w:name="_Toc9808"/>
      <w:bookmarkStart w:id="647" w:name="_Toc152045563"/>
      <w:bookmarkStart w:id="648" w:name="_Toc26098"/>
      <w:bookmarkStart w:id="649" w:name="_Toc22250"/>
      <w:bookmarkStart w:id="650" w:name="_Toc152042339"/>
      <w:bookmarkStart w:id="651" w:name="_Toc23138"/>
      <w:bookmarkStart w:id="652" w:name="_Toc25619"/>
      <w:bookmarkStart w:id="653" w:name="_Toc466298122"/>
      <w:bookmarkStart w:id="654" w:name="_Toc1574"/>
      <w:bookmarkStart w:id="655" w:name="_Toc455867799"/>
      <w:bookmarkStart w:id="656" w:name="_Toc919"/>
      <w:bookmarkStart w:id="657" w:name="_Toc8725"/>
      <w:bookmarkStart w:id="658" w:name="_Toc8157"/>
      <w:bookmarkStart w:id="659" w:name="_Toc18985"/>
      <w:bookmarkStart w:id="660" w:name="_Toc455080139"/>
      <w:bookmarkStart w:id="661" w:name="_Toc1546"/>
      <w:bookmarkStart w:id="662" w:name="_Toc11270"/>
      <w:bookmarkStart w:id="663" w:name="_Toc13978"/>
      <w:bookmarkStart w:id="664" w:name="_Toc490667859"/>
      <w:bookmarkStart w:id="665" w:name="_Toc1209"/>
      <w:r>
        <w:rPr>
          <w:rFonts w:hint="eastAsia" w:ascii="宋体" w:hAnsi="宋体" w:eastAsia="宋体" w:cs="宋体"/>
          <w:b/>
          <w:bCs/>
          <w:color w:val="auto"/>
          <w:sz w:val="24"/>
          <w:szCs w:val="24"/>
          <w:highlight w:val="none"/>
          <w:lang w:eastAsia="zh-CN"/>
        </w:rPr>
        <w:t>6.1</w:t>
      </w:r>
      <w:bookmarkEnd w:id="644"/>
      <w:bookmarkEnd w:id="645"/>
      <w:bookmarkEnd w:id="646"/>
      <w:bookmarkEnd w:id="647"/>
      <w:bookmarkEnd w:id="648"/>
      <w:bookmarkEnd w:id="649"/>
      <w:bookmarkEnd w:id="650"/>
      <w:r>
        <w:rPr>
          <w:rFonts w:hint="eastAsia" w:ascii="宋体" w:hAnsi="宋体" w:eastAsia="宋体" w:cs="宋体"/>
          <w:b/>
          <w:bCs/>
          <w:color w:val="auto"/>
          <w:sz w:val="24"/>
          <w:szCs w:val="24"/>
          <w:highlight w:val="none"/>
          <w:lang w:eastAsia="zh-CN"/>
        </w:rPr>
        <w:t>磋商小组</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71FC2C6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磋商由采购人依法组建的磋商小组负责。磋商小组由采购人代表以及有关技术、经济等方面的专家组成。磋商小组成员人数以及技术、经济等方面专家的确定方式见供应商须知前附表。</w:t>
      </w:r>
    </w:p>
    <w:p w14:paraId="6A6C92B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666" w:name="_Toc4435"/>
      <w:bookmarkStart w:id="667" w:name="_Toc152042340"/>
      <w:bookmarkStart w:id="668" w:name="_Toc466298123"/>
      <w:bookmarkStart w:id="669" w:name="_Toc144974532"/>
      <w:bookmarkStart w:id="670" w:name="_Toc7286"/>
      <w:bookmarkStart w:id="671" w:name="_Toc27035"/>
      <w:bookmarkStart w:id="672" w:name="_Toc21102"/>
      <w:bookmarkStart w:id="673" w:name="_Toc9532"/>
      <w:bookmarkStart w:id="674" w:name="_Toc8248"/>
      <w:bookmarkStart w:id="675" w:name="_Toc22143"/>
      <w:bookmarkStart w:id="676" w:name="_Toc8240"/>
      <w:bookmarkStart w:id="677" w:name="_Toc236"/>
      <w:bookmarkStart w:id="678" w:name="_Toc455080140"/>
      <w:bookmarkStart w:id="679" w:name="_Toc318450707"/>
      <w:bookmarkStart w:id="680" w:name="_Toc25721"/>
      <w:bookmarkStart w:id="681" w:name="_Toc152045564"/>
      <w:bookmarkStart w:id="682" w:name="_Toc490667860"/>
      <w:bookmarkStart w:id="683" w:name="_Toc23749"/>
      <w:bookmarkStart w:id="684" w:name="_Toc13368"/>
      <w:bookmarkStart w:id="685" w:name="_Toc455867800"/>
      <w:bookmarkStart w:id="686" w:name="_Toc16674"/>
      <w:bookmarkStart w:id="687" w:name="_Toc18044"/>
      <w:r>
        <w:rPr>
          <w:rFonts w:hint="eastAsia" w:ascii="宋体" w:hAnsi="宋体" w:eastAsia="宋体" w:cs="宋体"/>
          <w:b/>
          <w:bCs/>
          <w:color w:val="auto"/>
          <w:sz w:val="24"/>
          <w:szCs w:val="24"/>
          <w:highlight w:val="none"/>
          <w:lang w:eastAsia="zh-CN"/>
        </w:rPr>
        <w:t>6.2 磋商原则</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58828BB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磋商活动遵循公平、公正、科学和择优的原则。</w:t>
      </w:r>
      <w:bookmarkStart w:id="688" w:name="_Toc144974533"/>
      <w:bookmarkStart w:id="689" w:name="_Toc15595"/>
      <w:bookmarkStart w:id="690" w:name="_Toc152042341"/>
      <w:bookmarkStart w:id="691" w:name="_Toc152045565"/>
      <w:bookmarkStart w:id="692" w:name="_Toc16725"/>
      <w:bookmarkStart w:id="693" w:name="_Toc318450708"/>
      <w:bookmarkStart w:id="694" w:name="_Toc8705"/>
      <w:bookmarkStart w:id="695" w:name="_Toc490667861"/>
      <w:bookmarkStart w:id="696" w:name="_Toc24358"/>
      <w:bookmarkStart w:id="697" w:name="_Toc18756"/>
      <w:bookmarkStart w:id="698" w:name="_Toc28734"/>
      <w:bookmarkStart w:id="699" w:name="_Toc455080141"/>
      <w:bookmarkStart w:id="700" w:name="_Toc455867801"/>
      <w:bookmarkStart w:id="701" w:name="_Toc20062"/>
      <w:bookmarkStart w:id="702" w:name="_Toc466298124"/>
      <w:bookmarkStart w:id="703" w:name="_Toc3606"/>
      <w:bookmarkStart w:id="704" w:name="_Toc7890"/>
      <w:bookmarkStart w:id="705" w:name="_Toc27036"/>
    </w:p>
    <w:p w14:paraId="782E82E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06" w:name="_Toc26264"/>
      <w:r>
        <w:rPr>
          <w:rFonts w:hint="eastAsia" w:ascii="宋体" w:hAnsi="宋体" w:eastAsia="宋体" w:cs="宋体"/>
          <w:b/>
          <w:bCs/>
          <w:color w:val="auto"/>
          <w:sz w:val="24"/>
          <w:szCs w:val="24"/>
          <w:highlight w:val="none"/>
          <w:lang w:eastAsia="zh-CN"/>
        </w:rPr>
        <w:t xml:space="preserve">6.3 </w:t>
      </w:r>
      <w:bookmarkEnd w:id="688"/>
      <w:bookmarkEnd w:id="689"/>
      <w:bookmarkEnd w:id="690"/>
      <w:bookmarkEnd w:id="691"/>
      <w:bookmarkEnd w:id="692"/>
      <w:bookmarkEnd w:id="693"/>
      <w:bookmarkEnd w:id="694"/>
      <w:r>
        <w:rPr>
          <w:rFonts w:hint="eastAsia" w:ascii="宋体" w:hAnsi="宋体" w:eastAsia="宋体" w:cs="宋体"/>
          <w:b/>
          <w:bCs/>
          <w:color w:val="auto"/>
          <w:sz w:val="24"/>
          <w:szCs w:val="24"/>
          <w:highlight w:val="none"/>
          <w:lang w:eastAsia="zh-CN"/>
        </w:rPr>
        <w:t>磋商</w:t>
      </w:r>
      <w:bookmarkEnd w:id="695"/>
      <w:bookmarkEnd w:id="696"/>
      <w:bookmarkEnd w:id="697"/>
      <w:bookmarkEnd w:id="698"/>
      <w:bookmarkEnd w:id="699"/>
      <w:bookmarkEnd w:id="700"/>
      <w:bookmarkEnd w:id="701"/>
      <w:bookmarkEnd w:id="702"/>
      <w:bookmarkEnd w:id="703"/>
      <w:bookmarkEnd w:id="704"/>
      <w:bookmarkEnd w:id="705"/>
      <w:bookmarkEnd w:id="706"/>
    </w:p>
    <w:p w14:paraId="2A1B827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磋商小组按照第三章“评审办法”规定的方法、评审因素、标准和程序对响应文件进行评审。第三章“评审办法”没有规定的方法、评审因素和标准，不作为评标依据。</w:t>
      </w:r>
      <w:bookmarkStart w:id="707" w:name="_Toc144974534"/>
      <w:bookmarkStart w:id="708" w:name="_Toc9522"/>
      <w:bookmarkStart w:id="709" w:name="_Toc31221"/>
      <w:bookmarkStart w:id="710" w:name="_Toc17261"/>
      <w:bookmarkStart w:id="711" w:name="_Toc152045566"/>
      <w:bookmarkStart w:id="712" w:name="_Toc152042342"/>
      <w:bookmarkStart w:id="713" w:name="_Toc455080142"/>
    </w:p>
    <w:p w14:paraId="68C56080">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714" w:name="_Toc27856"/>
      <w:r>
        <w:rPr>
          <w:rFonts w:hint="eastAsia"/>
          <w:lang w:val="en-US" w:eastAsia="zh-CN"/>
        </w:rPr>
        <w:t>7</w:t>
      </w:r>
      <w:r>
        <w:rPr>
          <w:rFonts w:hint="eastAsia"/>
          <w:lang w:eastAsia="zh-CN"/>
        </w:rPr>
        <w:t>.</w:t>
      </w:r>
      <w:r>
        <w:rPr>
          <w:rFonts w:hint="eastAsia"/>
          <w:lang w:val="en-US" w:eastAsia="zh-CN"/>
        </w:rPr>
        <w:t xml:space="preserve"> </w:t>
      </w:r>
      <w:r>
        <w:rPr>
          <w:rFonts w:hint="eastAsia"/>
          <w:lang w:eastAsia="zh-CN"/>
        </w:rPr>
        <w:t>合同授予</w:t>
      </w:r>
      <w:bookmarkEnd w:id="707"/>
      <w:bookmarkEnd w:id="708"/>
      <w:bookmarkEnd w:id="709"/>
      <w:bookmarkEnd w:id="710"/>
      <w:bookmarkEnd w:id="711"/>
      <w:bookmarkEnd w:id="712"/>
      <w:bookmarkEnd w:id="713"/>
      <w:bookmarkEnd w:id="714"/>
      <w:bookmarkStart w:id="715" w:name="_Toc490667863"/>
      <w:bookmarkStart w:id="716" w:name="_Toc25316"/>
      <w:bookmarkStart w:id="717" w:name="_Toc28547"/>
      <w:bookmarkStart w:id="718" w:name="_Toc3487"/>
      <w:bookmarkStart w:id="719" w:name="_Toc14528"/>
      <w:bookmarkStart w:id="720" w:name="_Toc8087"/>
      <w:bookmarkStart w:id="721" w:name="_Toc318450710"/>
      <w:bookmarkStart w:id="722" w:name="_Toc22461"/>
      <w:bookmarkStart w:id="723" w:name="_Toc28919"/>
      <w:bookmarkStart w:id="724" w:name="_Toc20777"/>
      <w:bookmarkStart w:id="725" w:name="_Toc29664"/>
      <w:bookmarkStart w:id="726" w:name="_Toc7358"/>
      <w:bookmarkStart w:id="727" w:name="_Toc17660"/>
      <w:bookmarkStart w:id="728" w:name="_Toc152042343"/>
      <w:bookmarkStart w:id="729" w:name="_Toc466298126"/>
      <w:bookmarkStart w:id="730" w:name="_Toc29686"/>
      <w:bookmarkStart w:id="731" w:name="_Toc455080143"/>
      <w:bookmarkStart w:id="732" w:name="_Toc152045567"/>
      <w:bookmarkStart w:id="733" w:name="_Toc11409"/>
      <w:bookmarkStart w:id="734" w:name="_Toc144974535"/>
      <w:bookmarkStart w:id="735" w:name="_Toc455867803"/>
    </w:p>
    <w:p w14:paraId="1E22624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7.1 定标方式</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0DE9CA3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36" w:name="_Toc10868"/>
      <w:bookmarkStart w:id="737" w:name="_Toc7066"/>
      <w:bookmarkStart w:id="738" w:name="_Toc152045568"/>
      <w:bookmarkStart w:id="739" w:name="_Toc144974536"/>
      <w:bookmarkStart w:id="740" w:name="_Toc152042344"/>
      <w:bookmarkStart w:id="741" w:name="_Toc28254"/>
      <w:bookmarkStart w:id="742" w:name="_Toc318450711"/>
      <w:r>
        <w:rPr>
          <w:rFonts w:hint="eastAsia" w:ascii="宋体" w:hAnsi="宋体" w:eastAsia="宋体" w:cs="宋体"/>
          <w:color w:val="auto"/>
          <w:sz w:val="24"/>
          <w:szCs w:val="24"/>
          <w:highlight w:val="none"/>
        </w:rPr>
        <w:t>除供应商须知前附表规定磋商小组直接确定成交人外，采购人依据磋商小组推荐的成交候选人确定成交人，磋商小组推荐成交候选人的人数见供应商须知前附表。采购人将依序确定排名第一的供应商为成交人，若第一成交候选人放弃成交、因不可抗力不能履行合同，或者被查实存在影响成交结果的违法行为等情形，不符合成交条件的，采购人可以按照磋商小组提出的成交候选人名单排序依次确定其他成交候选人为成交人，也可以重新磋商。</w:t>
      </w:r>
    </w:p>
    <w:p w14:paraId="3E58772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43" w:name="_Toc28177"/>
      <w:bookmarkStart w:id="744" w:name="_Toc9897"/>
      <w:bookmarkStart w:id="745" w:name="_Toc15866"/>
      <w:bookmarkStart w:id="746" w:name="_Toc466298127"/>
      <w:bookmarkStart w:id="747" w:name="_Toc455867804"/>
      <w:bookmarkStart w:id="748" w:name="_Toc16163"/>
      <w:bookmarkStart w:id="749" w:name="_Toc30300"/>
      <w:bookmarkStart w:id="750" w:name="_Toc8777"/>
      <w:bookmarkStart w:id="751" w:name="_Toc5668"/>
      <w:bookmarkStart w:id="752" w:name="_Toc19781"/>
      <w:bookmarkStart w:id="753" w:name="_Toc15825"/>
      <w:bookmarkStart w:id="754" w:name="_Toc490667864"/>
      <w:bookmarkStart w:id="755" w:name="_Toc9775"/>
      <w:bookmarkStart w:id="756" w:name="_Toc5428"/>
      <w:bookmarkStart w:id="757" w:name="_Toc455080144"/>
      <w:r>
        <w:rPr>
          <w:rFonts w:hint="eastAsia" w:ascii="宋体" w:hAnsi="宋体" w:eastAsia="宋体" w:cs="宋体"/>
          <w:b/>
          <w:bCs/>
          <w:color w:val="auto"/>
          <w:sz w:val="24"/>
          <w:szCs w:val="24"/>
          <w:highlight w:val="none"/>
          <w:lang w:eastAsia="zh-CN"/>
        </w:rPr>
        <w:t>7.2 成交通知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6D1A659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在本章第3.3.1款规定的磋商有效期内，采购人以书面形式向成交人发出成交通知书。</w:t>
      </w:r>
    </w:p>
    <w:p w14:paraId="7DB5831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58" w:name="_Toc144974538"/>
      <w:bookmarkStart w:id="759" w:name="_Toc12663"/>
      <w:bookmarkStart w:id="760" w:name="_Toc152042346"/>
      <w:bookmarkStart w:id="761" w:name="_Toc9022"/>
      <w:bookmarkStart w:id="762" w:name="_Toc10082"/>
      <w:bookmarkStart w:id="763" w:name="_Toc152045570"/>
      <w:bookmarkStart w:id="764" w:name="_Toc15458"/>
      <w:bookmarkStart w:id="765" w:name="_Toc8886"/>
      <w:bookmarkStart w:id="766" w:name="_Toc490667865"/>
      <w:bookmarkStart w:id="767" w:name="_Toc318450712"/>
      <w:bookmarkStart w:id="768" w:name="_Toc13147"/>
      <w:bookmarkStart w:id="769" w:name="_Toc1704"/>
      <w:bookmarkStart w:id="770" w:name="_Toc455867805"/>
      <w:bookmarkStart w:id="771" w:name="_Toc466298128"/>
      <w:bookmarkStart w:id="772" w:name="_Toc21271"/>
      <w:bookmarkStart w:id="773" w:name="_Toc12508"/>
      <w:bookmarkStart w:id="774" w:name="_Toc26760"/>
      <w:bookmarkStart w:id="775" w:name="_Toc24026"/>
      <w:bookmarkStart w:id="776" w:name="_Toc26027"/>
      <w:bookmarkStart w:id="777" w:name="_Toc455080145"/>
      <w:bookmarkStart w:id="778" w:name="_Toc26655"/>
      <w:bookmarkStart w:id="779" w:name="_Toc26915"/>
      <w:r>
        <w:rPr>
          <w:rFonts w:hint="eastAsia" w:ascii="宋体" w:hAnsi="宋体" w:eastAsia="宋体" w:cs="宋体"/>
          <w:b/>
          <w:bCs/>
          <w:color w:val="auto"/>
          <w:sz w:val="24"/>
          <w:szCs w:val="24"/>
          <w:highlight w:val="none"/>
          <w:lang w:eastAsia="zh-CN"/>
        </w:rPr>
        <w:t>7.3 签订合同</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770C7EE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eastAsia="zh-CN"/>
        </w:rPr>
        <w:t>和</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eastAsia="zh-CN"/>
        </w:rPr>
        <w:t>应当</w:t>
      </w:r>
      <w:r>
        <w:rPr>
          <w:rFonts w:hint="eastAsia" w:ascii="宋体" w:hAnsi="宋体" w:eastAsia="宋体" w:cs="宋体"/>
          <w:color w:val="auto"/>
          <w:sz w:val="24"/>
          <w:szCs w:val="24"/>
          <w:highlight w:val="none"/>
        </w:rPr>
        <w:t>自中标通知书发出之日起</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个工作日内，根据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文件和</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文件订立书面合同。成交</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无正当理由拒签合同的，采购人取消其成交资格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发出成交通知书后，采购人无正当理由拒签合同的，给成交人造成损失的，还应当赔偿损失。  </w:t>
      </w:r>
      <w:bookmarkStart w:id="780" w:name="_Toc16866"/>
      <w:bookmarkStart w:id="781" w:name="_Toc805"/>
      <w:bookmarkStart w:id="782" w:name="_Toc3084"/>
      <w:bookmarkStart w:id="783" w:name="_Toc455080146"/>
      <w:bookmarkStart w:id="784" w:name="_Toc152045574"/>
      <w:bookmarkStart w:id="785" w:name="_Toc152042350"/>
      <w:bookmarkStart w:id="786" w:name="_Toc144974542"/>
    </w:p>
    <w:p w14:paraId="2CED6C69">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787" w:name="_Toc31634"/>
      <w:r>
        <w:rPr>
          <w:rFonts w:hint="eastAsia"/>
          <w:lang w:val="en-US" w:eastAsia="zh-CN"/>
        </w:rPr>
        <w:t>8</w:t>
      </w:r>
      <w:r>
        <w:rPr>
          <w:rFonts w:hint="eastAsia"/>
          <w:lang w:eastAsia="zh-CN"/>
        </w:rPr>
        <w:t>.</w:t>
      </w:r>
      <w:r>
        <w:rPr>
          <w:rFonts w:hint="eastAsia"/>
          <w:lang w:val="en-US" w:eastAsia="zh-CN"/>
        </w:rPr>
        <w:t xml:space="preserve"> </w:t>
      </w:r>
      <w:r>
        <w:rPr>
          <w:rFonts w:hint="eastAsia"/>
          <w:lang w:eastAsia="zh-CN"/>
        </w:rPr>
        <w:t>重新招标</w:t>
      </w:r>
      <w:bookmarkEnd w:id="780"/>
      <w:bookmarkEnd w:id="781"/>
      <w:bookmarkEnd w:id="782"/>
      <w:bookmarkEnd w:id="783"/>
      <w:bookmarkEnd w:id="787"/>
    </w:p>
    <w:p w14:paraId="22579EC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88" w:name="_Toc16556"/>
      <w:bookmarkStart w:id="789" w:name="_Toc14184"/>
      <w:r>
        <w:rPr>
          <w:rFonts w:hint="eastAsia" w:ascii="宋体" w:hAnsi="宋体" w:eastAsia="宋体" w:cs="宋体"/>
          <w:b/>
          <w:bCs/>
          <w:color w:val="auto"/>
          <w:sz w:val="24"/>
          <w:szCs w:val="24"/>
          <w:highlight w:val="none"/>
          <w:lang w:eastAsia="zh-CN"/>
        </w:rPr>
        <w:t>8.1 重新招标</w:t>
      </w:r>
      <w:bookmarkEnd w:id="788"/>
      <w:bookmarkEnd w:id="789"/>
    </w:p>
    <w:p w14:paraId="00A82E8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90" w:name="_Toc9985"/>
      <w:r>
        <w:rPr>
          <w:rFonts w:hint="eastAsia" w:ascii="宋体" w:hAnsi="宋体" w:eastAsia="宋体" w:cs="宋体"/>
          <w:color w:val="auto"/>
          <w:sz w:val="24"/>
          <w:szCs w:val="24"/>
          <w:highlight w:val="none"/>
        </w:rPr>
        <w:t>有下列情形之一的，采购人将重新招标：</w:t>
      </w:r>
      <w:bookmarkEnd w:id="790"/>
    </w:p>
    <w:p w14:paraId="6B8CCC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91" w:name="_Toc25063"/>
      <w:r>
        <w:rPr>
          <w:rFonts w:hint="eastAsia" w:ascii="宋体" w:hAnsi="宋体" w:eastAsia="宋体" w:cs="宋体"/>
          <w:color w:val="auto"/>
          <w:sz w:val="24"/>
          <w:szCs w:val="24"/>
          <w:highlight w:val="none"/>
        </w:rPr>
        <w:t>（1）提交响应文件截止时间止，供应商少于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个的；</w:t>
      </w:r>
      <w:bookmarkEnd w:id="791"/>
      <w:r>
        <w:rPr>
          <w:rFonts w:hint="eastAsia" w:ascii="宋体" w:hAnsi="宋体" w:eastAsia="宋体" w:cs="宋体"/>
          <w:color w:val="auto"/>
          <w:sz w:val="24"/>
          <w:szCs w:val="24"/>
          <w:highlight w:val="none"/>
        </w:rPr>
        <w:t xml:space="preserve"> </w:t>
      </w:r>
    </w:p>
    <w:p w14:paraId="561F945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92" w:name="_Toc17911"/>
      <w:r>
        <w:rPr>
          <w:rFonts w:hint="eastAsia" w:ascii="宋体" w:hAnsi="宋体" w:eastAsia="宋体" w:cs="宋体"/>
          <w:color w:val="auto"/>
          <w:sz w:val="24"/>
          <w:szCs w:val="24"/>
          <w:highlight w:val="none"/>
        </w:rPr>
        <w:t>（2）经磋商小组评审后否决所有响应文件的。</w:t>
      </w:r>
      <w:bookmarkEnd w:id="792"/>
      <w:bookmarkStart w:id="793" w:name="_Toc9996"/>
      <w:bookmarkStart w:id="794" w:name="_Toc15558"/>
      <w:bookmarkStart w:id="795" w:name="_Toc10011"/>
      <w:bookmarkStart w:id="796" w:name="_Toc455080147"/>
    </w:p>
    <w:p w14:paraId="133E2D7E">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r>
        <w:rPr>
          <w:rFonts w:hint="eastAsia"/>
          <w:lang w:eastAsia="zh-CN"/>
        </w:rPr>
        <w:t>9.</w:t>
      </w:r>
      <w:r>
        <w:rPr>
          <w:rFonts w:hint="eastAsia"/>
          <w:lang w:val="en-US" w:eastAsia="zh-CN"/>
        </w:rPr>
        <w:t xml:space="preserve"> </w:t>
      </w:r>
      <w:r>
        <w:rPr>
          <w:rFonts w:hint="eastAsia"/>
          <w:lang w:eastAsia="zh-CN"/>
        </w:rPr>
        <w:t>纪律和监督</w:t>
      </w:r>
      <w:bookmarkEnd w:id="784"/>
      <w:bookmarkEnd w:id="785"/>
      <w:bookmarkEnd w:id="786"/>
      <w:bookmarkEnd w:id="793"/>
      <w:bookmarkEnd w:id="794"/>
      <w:bookmarkEnd w:id="795"/>
      <w:bookmarkEnd w:id="796"/>
    </w:p>
    <w:p w14:paraId="38FC3F0E">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97" w:name="_Toc4"/>
      <w:bookmarkStart w:id="798" w:name="_Toc490667868"/>
      <w:bookmarkStart w:id="799" w:name="_Toc18997"/>
      <w:bookmarkStart w:id="800" w:name="_Toc466298131"/>
      <w:bookmarkStart w:id="801" w:name="_Toc27836"/>
      <w:bookmarkStart w:id="802" w:name="_Toc12992"/>
      <w:bookmarkStart w:id="803" w:name="_Toc15592"/>
      <w:bookmarkStart w:id="804" w:name="_Toc15769"/>
      <w:bookmarkStart w:id="805" w:name="_Toc318450714"/>
      <w:bookmarkStart w:id="806" w:name="_Toc19159"/>
      <w:bookmarkStart w:id="807" w:name="_Toc13970"/>
      <w:bookmarkStart w:id="808" w:name="_Toc455080148"/>
      <w:bookmarkStart w:id="809" w:name="_Toc2646"/>
      <w:bookmarkStart w:id="810" w:name="_Toc1282"/>
      <w:bookmarkStart w:id="811" w:name="_Toc697"/>
      <w:bookmarkStart w:id="812" w:name="_Toc152045575"/>
      <w:bookmarkStart w:id="813" w:name="_Toc144974543"/>
      <w:bookmarkStart w:id="814" w:name="_Toc20009"/>
      <w:bookmarkStart w:id="815" w:name="_Toc455867808"/>
      <w:bookmarkStart w:id="816" w:name="_Toc152042351"/>
      <w:bookmarkStart w:id="817" w:name="_Toc269"/>
      <w:bookmarkStart w:id="818" w:name="_Toc29231"/>
      <w:r>
        <w:rPr>
          <w:rFonts w:hint="eastAsia" w:ascii="宋体" w:hAnsi="宋体" w:eastAsia="宋体" w:cs="宋体"/>
          <w:b/>
          <w:bCs/>
          <w:color w:val="auto"/>
          <w:sz w:val="24"/>
          <w:szCs w:val="24"/>
          <w:highlight w:val="none"/>
          <w:lang w:eastAsia="zh-CN"/>
        </w:rPr>
        <w:t>9.1 对采购人的纪律要求</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756FA98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采购人不得泄漏磋商活动中应当保密的情况和资料，不得与供应商串通损害国家利益、社会公共利益或者他人合法权益。</w:t>
      </w:r>
    </w:p>
    <w:p w14:paraId="0A08A83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19" w:name="_Toc490667869"/>
      <w:bookmarkStart w:id="820" w:name="_Toc318450715"/>
      <w:bookmarkStart w:id="821" w:name="_Toc2132"/>
      <w:bookmarkStart w:id="822" w:name="_Toc559"/>
      <w:bookmarkStart w:id="823" w:name="_Toc455080149"/>
      <w:bookmarkStart w:id="824" w:name="_Toc3089"/>
      <w:bookmarkStart w:id="825" w:name="_Toc144974544"/>
      <w:bookmarkStart w:id="826" w:name="_Toc17040"/>
      <w:bookmarkStart w:id="827" w:name="_Toc466298132"/>
      <w:bookmarkStart w:id="828" w:name="_Toc7572"/>
      <w:bookmarkStart w:id="829" w:name="_Toc1743"/>
      <w:bookmarkStart w:id="830" w:name="_Toc21646"/>
      <w:bookmarkStart w:id="831" w:name="_Toc18604"/>
      <w:bookmarkStart w:id="832" w:name="_Toc27698"/>
      <w:bookmarkStart w:id="833" w:name="_Toc18204"/>
      <w:bookmarkStart w:id="834" w:name="_Toc152042352"/>
      <w:bookmarkStart w:id="835" w:name="_Toc21922"/>
      <w:bookmarkStart w:id="836" w:name="_Toc23323"/>
      <w:bookmarkStart w:id="837" w:name="_Toc20261"/>
      <w:bookmarkStart w:id="838" w:name="_Toc19167"/>
      <w:bookmarkStart w:id="839" w:name="_Toc152045576"/>
      <w:bookmarkStart w:id="840" w:name="_Toc455867809"/>
      <w:r>
        <w:rPr>
          <w:rFonts w:hint="eastAsia" w:ascii="宋体" w:hAnsi="宋体" w:eastAsia="宋体" w:cs="宋体"/>
          <w:b/>
          <w:bCs/>
          <w:color w:val="auto"/>
          <w:sz w:val="24"/>
          <w:szCs w:val="24"/>
          <w:highlight w:val="none"/>
          <w:lang w:eastAsia="zh-CN"/>
        </w:rPr>
        <w:t>9.2 对供应商的纪律要求</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434E386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供应商不得相互串通或者与采购人串通，不得向采购人或者谈判小组行贿谋取成交，不得以他人名义或者以其他方式弄虚作假骗取成交；供应商不得以任何方式干扰、影响评审工作。</w:t>
      </w:r>
    </w:p>
    <w:p w14:paraId="0FAA35F8">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41" w:name="_Toc30153"/>
      <w:bookmarkStart w:id="842" w:name="_Toc490667870"/>
      <w:bookmarkStart w:id="843" w:name="_Toc12177"/>
      <w:bookmarkStart w:id="844" w:name="_Toc32320"/>
      <w:bookmarkStart w:id="845" w:name="_Toc12316"/>
      <w:bookmarkStart w:id="846" w:name="_Toc19965"/>
      <w:bookmarkStart w:id="847" w:name="_Toc466298133"/>
      <w:bookmarkStart w:id="848" w:name="_Toc7107"/>
      <w:bookmarkStart w:id="849" w:name="_Toc455080150"/>
      <w:bookmarkStart w:id="850" w:name="_Toc455867810"/>
      <w:bookmarkStart w:id="851" w:name="_Toc12193"/>
      <w:bookmarkStart w:id="852" w:name="_Toc31001"/>
      <w:bookmarkStart w:id="853" w:name="_Toc152042353"/>
      <w:bookmarkStart w:id="854" w:name="_Toc29278"/>
      <w:bookmarkStart w:id="855" w:name="_Toc318450716"/>
      <w:bookmarkStart w:id="856" w:name="_Toc25241"/>
      <w:bookmarkStart w:id="857" w:name="_Toc152045577"/>
      <w:bookmarkStart w:id="858" w:name="_Toc9067"/>
      <w:bookmarkStart w:id="859" w:name="_Toc28813"/>
      <w:bookmarkStart w:id="860" w:name="_Toc25211"/>
      <w:bookmarkStart w:id="861" w:name="_Toc144974545"/>
      <w:bookmarkStart w:id="862" w:name="_Toc7439"/>
      <w:r>
        <w:rPr>
          <w:rFonts w:hint="eastAsia" w:ascii="宋体" w:hAnsi="宋体" w:eastAsia="宋体" w:cs="宋体"/>
          <w:b/>
          <w:bCs/>
          <w:color w:val="auto"/>
          <w:sz w:val="24"/>
          <w:szCs w:val="24"/>
          <w:highlight w:val="none"/>
          <w:lang w:eastAsia="zh-CN"/>
        </w:rPr>
        <w:t>9.3 对磋商小组成员的纪律要求</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7E275EB0">
      <w:pPr>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磋商小组成员不得收受他人的财物或者其他好处，不得向他人透漏对响应文件的评审和比较、成交候选人的推荐情况以及评标有关的其他情况。在磋商活动中，磋商小组成员不得擅离职守，影响评标程序正常进行，不得使用第三章“评审办法”没有规定的评审因素和标准进行评标。</w:t>
      </w:r>
    </w:p>
    <w:p w14:paraId="4A9CE9CC">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63" w:name="_Toc9063"/>
      <w:bookmarkStart w:id="864" w:name="_Toc318450717"/>
      <w:bookmarkStart w:id="865" w:name="_Toc11790"/>
      <w:bookmarkStart w:id="866" w:name="_Toc24"/>
      <w:bookmarkStart w:id="867" w:name="_Toc455867811"/>
      <w:bookmarkStart w:id="868" w:name="_Toc1295"/>
      <w:bookmarkStart w:id="869" w:name="_Toc26462"/>
      <w:bookmarkStart w:id="870" w:name="_Toc27559"/>
      <w:bookmarkStart w:id="871" w:name="_Toc7368"/>
      <w:bookmarkStart w:id="872" w:name="_Toc19485"/>
      <w:bookmarkStart w:id="873" w:name="_Toc490667871"/>
      <w:bookmarkStart w:id="874" w:name="_Toc22936"/>
      <w:bookmarkStart w:id="875" w:name="_Toc152045578"/>
      <w:bookmarkStart w:id="876" w:name="_Toc29608"/>
      <w:bookmarkStart w:id="877" w:name="_Toc152042354"/>
      <w:bookmarkStart w:id="878" w:name="_Toc455080151"/>
      <w:bookmarkStart w:id="879" w:name="_Toc23717"/>
      <w:bookmarkStart w:id="880" w:name="_Toc466298134"/>
      <w:bookmarkStart w:id="881" w:name="_Toc17987"/>
      <w:bookmarkStart w:id="882" w:name="_Toc235"/>
      <w:bookmarkStart w:id="883" w:name="_Toc20546"/>
      <w:bookmarkStart w:id="884" w:name="_Toc144974546"/>
      <w:r>
        <w:rPr>
          <w:rFonts w:hint="eastAsia" w:ascii="宋体" w:hAnsi="宋体" w:eastAsia="宋体" w:cs="宋体"/>
          <w:b/>
          <w:bCs/>
          <w:color w:val="auto"/>
          <w:sz w:val="24"/>
          <w:szCs w:val="24"/>
          <w:highlight w:val="none"/>
          <w:lang w:eastAsia="zh-CN"/>
        </w:rPr>
        <w:t>9.4 对与评标活动有关的工作人员的纪律要求</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14:paraId="36119A2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885" w:name="_Toc152042355"/>
      <w:r>
        <w:rPr>
          <w:rFonts w:hint="eastAsia" w:ascii="宋体" w:hAnsi="宋体" w:eastAsia="宋体" w:cs="宋体"/>
          <w:color w:val="auto"/>
          <w:sz w:val="24"/>
          <w:szCs w:val="24"/>
          <w:highlight w:val="none"/>
        </w:rPr>
        <w:t>与评标活动有关的工作人员不得收受他人的财物或者其他好处，不得向他人透漏对响应文件的评审和比较、成交候选人的推荐情况以及评标有关的其他情况。</w:t>
      </w:r>
      <w:r>
        <w:rPr>
          <w:rFonts w:hint="eastAsia" w:ascii="宋体" w:hAnsi="宋体" w:eastAsia="宋体" w:cs="宋体"/>
          <w:color w:val="auto"/>
          <w:spacing w:val="-6"/>
          <w:sz w:val="24"/>
          <w:szCs w:val="24"/>
          <w:highlight w:val="none"/>
        </w:rPr>
        <w:t>在评标活动中，与评标活动有关的工作人员不得擅离职守，影响评标程序正常进行。</w:t>
      </w:r>
      <w:bookmarkEnd w:id="885"/>
    </w:p>
    <w:p w14:paraId="50D258B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86" w:name="_Toc8074"/>
      <w:bookmarkStart w:id="887" w:name="_Toc25751"/>
      <w:bookmarkStart w:id="888" w:name="_Toc31010"/>
      <w:bookmarkStart w:id="889" w:name="_Toc455080152"/>
      <w:bookmarkStart w:id="890" w:name="_Toc152042356"/>
      <w:bookmarkStart w:id="891" w:name="_Toc318450718"/>
      <w:bookmarkStart w:id="892" w:name="_Toc6199"/>
      <w:bookmarkStart w:id="893" w:name="_Toc5504"/>
      <w:bookmarkStart w:id="894" w:name="_Toc1820"/>
      <w:bookmarkStart w:id="895" w:name="_Toc152045579"/>
      <w:bookmarkStart w:id="896" w:name="_Toc32675"/>
      <w:bookmarkStart w:id="897" w:name="_Toc4306"/>
      <w:bookmarkStart w:id="898" w:name="_Toc455867812"/>
      <w:bookmarkStart w:id="899" w:name="_Toc466298135"/>
      <w:bookmarkStart w:id="900" w:name="_Toc3617"/>
      <w:bookmarkStart w:id="901" w:name="_Toc3303"/>
      <w:bookmarkStart w:id="902" w:name="_Toc17735"/>
      <w:bookmarkStart w:id="903" w:name="_Toc25816"/>
      <w:bookmarkStart w:id="904" w:name="_Toc23551"/>
      <w:bookmarkStart w:id="905" w:name="_Toc21615"/>
      <w:bookmarkStart w:id="906" w:name="_Toc490667872"/>
      <w:r>
        <w:rPr>
          <w:rFonts w:hint="eastAsia" w:ascii="宋体" w:hAnsi="宋体" w:eastAsia="宋体" w:cs="宋体"/>
          <w:b/>
          <w:bCs/>
          <w:color w:val="auto"/>
          <w:sz w:val="24"/>
          <w:szCs w:val="24"/>
          <w:highlight w:val="none"/>
          <w:lang w:eastAsia="zh-CN"/>
        </w:rPr>
        <w:t>9.5 投诉</w:t>
      </w:r>
      <w:bookmarkEnd w:id="884"/>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455A42C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907" w:name="_Toc13747"/>
      <w:r>
        <w:rPr>
          <w:rFonts w:hint="eastAsia" w:ascii="宋体" w:hAnsi="宋体" w:eastAsia="宋体" w:cs="宋体"/>
          <w:color w:val="auto"/>
          <w:sz w:val="24"/>
          <w:szCs w:val="24"/>
          <w:highlight w:val="none"/>
        </w:rPr>
        <w:t>供应商和其他利害关系人认为本次磋商活动违反法律、法规和规章规定的，有权向有关行政监督部门投诉。</w:t>
      </w:r>
      <w:bookmarkEnd w:id="907"/>
    </w:p>
    <w:p w14:paraId="26739725">
      <w:pPr>
        <w:pStyle w:val="7"/>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908" w:name="_Toc144974547"/>
      <w:bookmarkStart w:id="909" w:name="_Toc152042357"/>
      <w:bookmarkStart w:id="910" w:name="_Toc21681"/>
      <w:bookmarkStart w:id="911" w:name="_Toc10380"/>
      <w:bookmarkStart w:id="912" w:name="_Toc14221"/>
      <w:bookmarkStart w:id="913" w:name="_Toc152045580"/>
      <w:bookmarkStart w:id="914" w:name="_Toc455080153"/>
      <w:bookmarkStart w:id="915" w:name="_Toc16094"/>
      <w:r>
        <w:rPr>
          <w:rFonts w:hint="eastAsia"/>
          <w:lang w:eastAsia="zh-CN"/>
        </w:rPr>
        <w:t>10. 需要补充的其他内容</w:t>
      </w:r>
      <w:bookmarkEnd w:id="908"/>
      <w:bookmarkEnd w:id="909"/>
      <w:bookmarkEnd w:id="910"/>
      <w:bookmarkEnd w:id="911"/>
      <w:bookmarkEnd w:id="912"/>
      <w:bookmarkEnd w:id="913"/>
      <w:bookmarkEnd w:id="914"/>
      <w:bookmarkEnd w:id="915"/>
    </w:p>
    <w:p w14:paraId="37D96FC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916" w:name="_Toc17627"/>
      <w:bookmarkStart w:id="917" w:name="_Toc490667874"/>
      <w:bookmarkStart w:id="918" w:name="_Toc24865"/>
      <w:bookmarkStart w:id="919" w:name="_Toc22486"/>
      <w:bookmarkStart w:id="920" w:name="_Toc5706"/>
      <w:bookmarkStart w:id="921" w:name="_Toc5176"/>
      <w:bookmarkStart w:id="922" w:name="_Toc26565"/>
      <w:bookmarkStart w:id="923" w:name="_Toc10636"/>
      <w:bookmarkStart w:id="924" w:name="_Toc14763"/>
      <w:r>
        <w:rPr>
          <w:rFonts w:hint="eastAsia" w:ascii="宋体" w:hAnsi="宋体" w:eastAsia="宋体" w:cs="宋体"/>
          <w:color w:val="auto"/>
          <w:sz w:val="24"/>
          <w:szCs w:val="24"/>
          <w:highlight w:val="none"/>
        </w:rPr>
        <w:t>需要补充的其他内容：见供应商须知前附表。</w:t>
      </w:r>
      <w:bookmarkEnd w:id="916"/>
      <w:bookmarkEnd w:id="917"/>
      <w:bookmarkEnd w:id="918"/>
      <w:bookmarkEnd w:id="919"/>
      <w:bookmarkEnd w:id="920"/>
      <w:bookmarkEnd w:id="921"/>
      <w:bookmarkEnd w:id="922"/>
      <w:bookmarkEnd w:id="923"/>
      <w:bookmarkEnd w:id="924"/>
    </w:p>
    <w:p w14:paraId="145B608B">
      <w:pPr>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bookmarkEnd w:id="94"/>
    <w:bookmarkEnd w:id="95"/>
    <w:bookmarkEnd w:id="96"/>
    <w:bookmarkEnd w:id="97"/>
    <w:bookmarkEnd w:id="98"/>
    <w:bookmarkEnd w:id="99"/>
    <w:p w14:paraId="4BEB34CA">
      <w:pPr>
        <w:pStyle w:val="5"/>
        <w:bidi w:val="0"/>
        <w:rPr>
          <w:rFonts w:hint="eastAsia" w:ascii="宋体" w:hAnsi="宋体" w:eastAsia="宋体" w:cs="宋体"/>
          <w:highlight w:val="none"/>
        </w:rPr>
      </w:pPr>
      <w:bookmarkStart w:id="925" w:name="_Toc31741"/>
      <w:bookmarkStart w:id="926" w:name="_Toc283"/>
      <w:bookmarkStart w:id="927" w:name="_Toc27153"/>
      <w:bookmarkStart w:id="928" w:name="_Toc144974577"/>
      <w:bookmarkStart w:id="929" w:name="_Toc152045609"/>
      <w:bookmarkStart w:id="930" w:name="_Toc14024"/>
      <w:bookmarkStart w:id="931" w:name="_Toc152042387"/>
      <w:r>
        <w:rPr>
          <w:rFonts w:hint="eastAsia"/>
        </w:rPr>
        <w:t>第三章 评审办法（综合评分法）</w:t>
      </w:r>
      <w:bookmarkEnd w:id="925"/>
      <w:bookmarkEnd w:id="926"/>
      <w:bookmarkEnd w:id="927"/>
    </w:p>
    <w:p w14:paraId="1B2F98A2">
      <w:pPr>
        <w:pStyle w:val="6"/>
        <w:numPr>
          <w:ilvl w:val="1"/>
          <w:numId w:val="0"/>
        </w:numPr>
        <w:bidi w:val="0"/>
        <w:ind w:left="0" w:leftChars="0" w:firstLine="0" w:firstLineChars="0"/>
        <w:jc w:val="center"/>
        <w:rPr>
          <w:rFonts w:hint="eastAsia" w:ascii="宋体" w:hAnsi="宋体" w:eastAsia="宋体" w:cs="宋体"/>
          <w:b/>
          <w:bCs w:val="0"/>
          <w:color w:val="auto"/>
          <w:highlight w:val="none"/>
        </w:rPr>
      </w:pPr>
      <w:bookmarkStart w:id="932" w:name="_Toc466298139"/>
      <w:bookmarkStart w:id="933" w:name="_Toc318450721"/>
      <w:bookmarkStart w:id="934" w:name="_Toc7453"/>
      <w:bookmarkStart w:id="935" w:name="_Toc28567"/>
      <w:bookmarkStart w:id="936" w:name="_Toc152045599"/>
      <w:bookmarkStart w:id="937" w:name="_Toc455080156"/>
      <w:bookmarkStart w:id="938" w:name="_Toc28069"/>
      <w:bookmarkStart w:id="939" w:name="_Toc27806"/>
      <w:bookmarkStart w:id="940" w:name="_Toc8400"/>
      <w:bookmarkStart w:id="941" w:name="_Toc152042376"/>
      <w:bookmarkStart w:id="942" w:name="_Toc144974566"/>
      <w:bookmarkStart w:id="943" w:name="_Toc455867816"/>
      <w:bookmarkStart w:id="944" w:name="_Toc281405527"/>
      <w:r>
        <w:rPr>
          <w:rFonts w:hint="eastAsia" w:ascii="宋体" w:hAnsi="宋体" w:eastAsia="宋体" w:cs="宋体"/>
          <w:b/>
          <w:bCs w:val="0"/>
          <w:color w:val="auto"/>
          <w:highlight w:val="none"/>
        </w:rPr>
        <w:t>评审办法前附表</w:t>
      </w:r>
      <w:bookmarkEnd w:id="932"/>
      <w:bookmarkEnd w:id="933"/>
      <w:bookmarkEnd w:id="934"/>
      <w:bookmarkEnd w:id="935"/>
      <w:bookmarkEnd w:id="936"/>
      <w:bookmarkEnd w:id="937"/>
      <w:bookmarkEnd w:id="938"/>
      <w:bookmarkEnd w:id="939"/>
      <w:bookmarkEnd w:id="940"/>
      <w:bookmarkEnd w:id="941"/>
      <w:bookmarkEnd w:id="942"/>
      <w:bookmarkEnd w:id="943"/>
      <w:bookmarkEnd w:id="944"/>
    </w:p>
    <w:tbl>
      <w:tblPr>
        <w:tblStyle w:val="31"/>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34"/>
        <w:gridCol w:w="1857"/>
        <w:gridCol w:w="2530"/>
        <w:gridCol w:w="3715"/>
      </w:tblGrid>
      <w:tr w14:paraId="7A7B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63AA2A31">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857" w:type="dxa"/>
            <w:noWrap w:val="0"/>
            <w:vAlign w:val="center"/>
          </w:tcPr>
          <w:p w14:paraId="13178C87">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评审因素</w:t>
            </w:r>
          </w:p>
        </w:tc>
        <w:tc>
          <w:tcPr>
            <w:tcW w:w="6245" w:type="dxa"/>
            <w:gridSpan w:val="2"/>
            <w:noWrap w:val="0"/>
            <w:vAlign w:val="center"/>
          </w:tcPr>
          <w:p w14:paraId="68DDCA9A">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评审标准</w:t>
            </w:r>
          </w:p>
        </w:tc>
      </w:tr>
      <w:tr w14:paraId="4ED2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restart"/>
            <w:noWrap w:val="0"/>
            <w:vAlign w:val="center"/>
          </w:tcPr>
          <w:p w14:paraId="0F53FE98">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2.1.1</w:t>
            </w:r>
          </w:p>
        </w:tc>
        <w:tc>
          <w:tcPr>
            <w:tcW w:w="1234" w:type="dxa"/>
            <w:vMerge w:val="restart"/>
            <w:noWrap w:val="0"/>
            <w:vAlign w:val="center"/>
          </w:tcPr>
          <w:p w14:paraId="21842DD3">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资格</w:t>
            </w:r>
            <w:r>
              <w:rPr>
                <w:rFonts w:hint="eastAsia" w:ascii="宋体" w:hAnsi="宋体" w:eastAsia="宋体" w:cs="宋体"/>
                <w:b/>
                <w:bCs/>
                <w:color w:val="auto"/>
                <w:sz w:val="24"/>
                <w:szCs w:val="24"/>
                <w:highlight w:val="none"/>
              </w:rPr>
              <w:t>评审标准</w:t>
            </w:r>
          </w:p>
        </w:tc>
        <w:tc>
          <w:tcPr>
            <w:tcW w:w="1857" w:type="dxa"/>
            <w:shd w:val="clear" w:color="auto" w:fill="auto"/>
            <w:noWrap w:val="0"/>
            <w:vAlign w:val="center"/>
          </w:tcPr>
          <w:p w14:paraId="6B3E6376">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符合《中华人民共和国政府采购法》第二十二条规定</w:t>
            </w:r>
          </w:p>
        </w:tc>
        <w:tc>
          <w:tcPr>
            <w:tcW w:w="6245" w:type="dxa"/>
            <w:gridSpan w:val="2"/>
            <w:noWrap w:val="0"/>
            <w:vAlign w:val="center"/>
          </w:tcPr>
          <w:p w14:paraId="52495F31">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23FA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703D8242">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46D55E39">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4AAC6194">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落实政府采购政策满足的资格要求</w:t>
            </w:r>
          </w:p>
        </w:tc>
        <w:tc>
          <w:tcPr>
            <w:tcW w:w="6245" w:type="dxa"/>
            <w:gridSpan w:val="2"/>
            <w:noWrap w:val="0"/>
            <w:vAlign w:val="center"/>
          </w:tcPr>
          <w:p w14:paraId="648BD523">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符合第二章“供应商须知”第1.5项规定</w:t>
            </w:r>
          </w:p>
        </w:tc>
      </w:tr>
      <w:tr w14:paraId="69AA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7C3C9A0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065D01B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62396711">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资质要求</w:t>
            </w:r>
          </w:p>
        </w:tc>
        <w:tc>
          <w:tcPr>
            <w:tcW w:w="6245" w:type="dxa"/>
            <w:gridSpan w:val="2"/>
            <w:noWrap w:val="0"/>
            <w:vAlign w:val="center"/>
          </w:tcPr>
          <w:p w14:paraId="5848F731">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1863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7565207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5378C40E">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3ADC8D3D">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拟派项目经理</w:t>
            </w:r>
          </w:p>
        </w:tc>
        <w:tc>
          <w:tcPr>
            <w:tcW w:w="6245" w:type="dxa"/>
            <w:gridSpan w:val="2"/>
            <w:noWrap w:val="0"/>
            <w:vAlign w:val="center"/>
          </w:tcPr>
          <w:p w14:paraId="565F922E">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06D0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18E83F9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2555C304">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1C52ADCD">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信用查询截图</w:t>
            </w:r>
          </w:p>
        </w:tc>
        <w:tc>
          <w:tcPr>
            <w:tcW w:w="6245" w:type="dxa"/>
            <w:gridSpan w:val="2"/>
            <w:noWrap w:val="0"/>
            <w:vAlign w:val="center"/>
          </w:tcPr>
          <w:p w14:paraId="0D47F013">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76DA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5A6FC774">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B304FAE">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44AB37C6">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6245" w:type="dxa"/>
            <w:gridSpan w:val="2"/>
            <w:noWrap w:val="0"/>
            <w:vAlign w:val="center"/>
          </w:tcPr>
          <w:p w14:paraId="51C35006">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符合第二章“供应商须知”规定</w:t>
            </w:r>
          </w:p>
        </w:tc>
      </w:tr>
      <w:tr w14:paraId="20AD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229" w:type="dxa"/>
            <w:gridSpan w:val="5"/>
            <w:noWrap w:val="0"/>
            <w:vAlign w:val="center"/>
          </w:tcPr>
          <w:p w14:paraId="5B1FA2CF">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注：本项目为资格后审，由采购人代表或代理机构人员进行资格性审查。资格性检查有一项不符合审查标准的，响应无效，不再进入符合性审查。</w:t>
            </w:r>
          </w:p>
        </w:tc>
      </w:tr>
      <w:tr w14:paraId="3042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93" w:type="dxa"/>
            <w:vMerge w:val="restart"/>
            <w:noWrap w:val="0"/>
            <w:vAlign w:val="center"/>
          </w:tcPr>
          <w:p w14:paraId="341D8AB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2.1.2</w:t>
            </w:r>
          </w:p>
        </w:tc>
        <w:tc>
          <w:tcPr>
            <w:tcW w:w="1234" w:type="dxa"/>
            <w:vMerge w:val="restart"/>
            <w:noWrap w:val="0"/>
            <w:vAlign w:val="center"/>
          </w:tcPr>
          <w:p w14:paraId="7DDB1C4E">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符合</w:t>
            </w:r>
            <w:r>
              <w:rPr>
                <w:rFonts w:hint="eastAsia" w:ascii="宋体" w:hAnsi="宋体" w:eastAsia="宋体" w:cs="宋体"/>
                <w:b/>
                <w:bCs/>
                <w:color w:val="auto"/>
                <w:sz w:val="24"/>
                <w:szCs w:val="24"/>
                <w:highlight w:val="none"/>
              </w:rPr>
              <w:t>性评审标准</w:t>
            </w:r>
          </w:p>
        </w:tc>
        <w:tc>
          <w:tcPr>
            <w:tcW w:w="1857" w:type="dxa"/>
            <w:noWrap w:val="0"/>
            <w:vAlign w:val="center"/>
          </w:tcPr>
          <w:p w14:paraId="120B53A8">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供应商名称</w:t>
            </w:r>
          </w:p>
        </w:tc>
        <w:tc>
          <w:tcPr>
            <w:tcW w:w="6245" w:type="dxa"/>
            <w:gridSpan w:val="2"/>
            <w:noWrap w:val="0"/>
            <w:vAlign w:val="center"/>
          </w:tcPr>
          <w:p w14:paraId="5D4D5157">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w:t>
            </w:r>
            <w:r>
              <w:rPr>
                <w:rFonts w:hint="eastAsia" w:ascii="宋体" w:hAnsi="宋体" w:eastAsia="宋体" w:cs="宋体"/>
                <w:color w:val="auto"/>
                <w:sz w:val="24"/>
                <w:szCs w:val="24"/>
                <w:highlight w:val="none"/>
                <w:lang w:eastAsia="zh-CN"/>
              </w:rPr>
              <w:t>、安全生产许可证</w:t>
            </w:r>
            <w:r>
              <w:rPr>
                <w:rFonts w:hint="eastAsia" w:ascii="宋体" w:hAnsi="宋体" w:cs="宋体"/>
                <w:color w:val="auto"/>
                <w:sz w:val="24"/>
                <w:szCs w:val="24"/>
                <w:highlight w:val="none"/>
                <w:lang w:val="en-US" w:eastAsia="zh-CN"/>
              </w:rPr>
              <w:t>等证件</w:t>
            </w:r>
            <w:r>
              <w:rPr>
                <w:rFonts w:hint="eastAsia" w:ascii="宋体" w:hAnsi="宋体" w:eastAsia="宋体" w:cs="宋体"/>
                <w:color w:val="auto"/>
                <w:sz w:val="24"/>
                <w:szCs w:val="24"/>
                <w:highlight w:val="none"/>
              </w:rPr>
              <w:t>一致</w:t>
            </w:r>
          </w:p>
        </w:tc>
      </w:tr>
      <w:tr w14:paraId="5D0F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7B63D1DD">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3AB1D95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2511434C">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磋商函签字盖章</w:t>
            </w:r>
          </w:p>
        </w:tc>
        <w:tc>
          <w:tcPr>
            <w:tcW w:w="6245" w:type="dxa"/>
            <w:gridSpan w:val="2"/>
            <w:noWrap w:val="0"/>
            <w:vAlign w:val="center"/>
          </w:tcPr>
          <w:p w14:paraId="38830346">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0"/>
                <w:sz w:val="24"/>
                <w:szCs w:val="24"/>
                <w:highlight w:val="none"/>
              </w:rPr>
              <w:t>符合</w:t>
            </w:r>
            <w:r>
              <w:rPr>
                <w:rFonts w:hint="eastAsia" w:ascii="宋体" w:hAnsi="宋体" w:eastAsia="宋体" w:cs="宋体"/>
                <w:color w:val="auto"/>
                <w:spacing w:val="0"/>
                <w:sz w:val="24"/>
                <w:szCs w:val="24"/>
                <w:highlight w:val="none"/>
                <w:lang w:eastAsia="zh-CN"/>
              </w:rPr>
              <w:t>第六章</w:t>
            </w:r>
            <w:r>
              <w:rPr>
                <w:rFonts w:hint="eastAsia" w:ascii="宋体" w:hAnsi="宋体" w:eastAsia="宋体" w:cs="宋体"/>
                <w:color w:val="auto"/>
                <w:spacing w:val="0"/>
                <w:sz w:val="24"/>
                <w:szCs w:val="24"/>
                <w:highlight w:val="none"/>
              </w:rPr>
              <w:t>“竞争性磋商响应文件格式”磋商函</w:t>
            </w:r>
            <w:r>
              <w:rPr>
                <w:rFonts w:hint="eastAsia" w:ascii="宋体" w:hAnsi="宋体" w:eastAsia="宋体" w:cs="宋体"/>
                <w:color w:val="auto"/>
                <w:spacing w:val="0"/>
                <w:sz w:val="24"/>
                <w:szCs w:val="24"/>
                <w:highlight w:val="none"/>
                <w:lang w:eastAsia="zh-CN"/>
              </w:rPr>
              <w:t>签字盖章</w:t>
            </w:r>
            <w:r>
              <w:rPr>
                <w:rFonts w:hint="eastAsia" w:ascii="宋体" w:hAnsi="宋体" w:eastAsia="宋体" w:cs="宋体"/>
                <w:color w:val="auto"/>
                <w:spacing w:val="0"/>
                <w:sz w:val="24"/>
                <w:szCs w:val="24"/>
                <w:highlight w:val="none"/>
              </w:rPr>
              <w:t>的要求</w:t>
            </w:r>
          </w:p>
        </w:tc>
      </w:tr>
      <w:tr w14:paraId="2133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893" w:type="dxa"/>
            <w:vMerge w:val="continue"/>
            <w:noWrap w:val="0"/>
            <w:vAlign w:val="center"/>
          </w:tcPr>
          <w:p w14:paraId="0A2ACEF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68A2B5D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0537C460">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响应文件格式</w:t>
            </w:r>
          </w:p>
        </w:tc>
        <w:tc>
          <w:tcPr>
            <w:tcW w:w="6245" w:type="dxa"/>
            <w:gridSpan w:val="2"/>
            <w:noWrap w:val="0"/>
            <w:vAlign w:val="center"/>
          </w:tcPr>
          <w:p w14:paraId="05FEFA88">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“竞争性磋商响应文件格式”的要求</w:t>
            </w:r>
          </w:p>
        </w:tc>
      </w:tr>
      <w:tr w14:paraId="2B73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1E87E00F">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749ECD8C">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1E5C3BA3">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6245" w:type="dxa"/>
            <w:gridSpan w:val="2"/>
            <w:noWrap w:val="0"/>
            <w:vAlign w:val="center"/>
          </w:tcPr>
          <w:p w14:paraId="35CC39D1">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只能有一个有效报价（第一次报价）</w:t>
            </w:r>
          </w:p>
        </w:tc>
      </w:tr>
      <w:tr w14:paraId="0236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3DCF4778">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3488F2A3">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64C05B4D">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响应内容</w:t>
            </w:r>
          </w:p>
        </w:tc>
        <w:tc>
          <w:tcPr>
            <w:tcW w:w="6245" w:type="dxa"/>
            <w:gridSpan w:val="2"/>
            <w:noWrap w:val="0"/>
            <w:vAlign w:val="center"/>
          </w:tcPr>
          <w:p w14:paraId="4651FDA9">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符合第二章“供应商须知”第1.4.1项规定</w:t>
            </w:r>
          </w:p>
        </w:tc>
      </w:tr>
      <w:tr w14:paraId="1BD2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6C2B9738">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3ABFC952">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680BE337">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计划工期</w:t>
            </w:r>
          </w:p>
        </w:tc>
        <w:tc>
          <w:tcPr>
            <w:tcW w:w="6245" w:type="dxa"/>
            <w:gridSpan w:val="2"/>
            <w:noWrap w:val="0"/>
            <w:vAlign w:val="center"/>
          </w:tcPr>
          <w:p w14:paraId="0F5E9553">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符合第二章“供应商须知”第1.4.2项规定</w:t>
            </w:r>
          </w:p>
        </w:tc>
      </w:tr>
      <w:tr w14:paraId="3006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5FABA69C">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7A4CD8B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6E514859">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eastAsia="zh-CN"/>
              </w:rPr>
              <w:t>要求</w:t>
            </w:r>
          </w:p>
        </w:tc>
        <w:tc>
          <w:tcPr>
            <w:tcW w:w="6245" w:type="dxa"/>
            <w:gridSpan w:val="2"/>
            <w:noWrap w:val="0"/>
            <w:vAlign w:val="center"/>
          </w:tcPr>
          <w:p w14:paraId="0427ADDD">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符合第二章“供应商须知”第1.4.3项规定</w:t>
            </w:r>
          </w:p>
        </w:tc>
      </w:tr>
      <w:tr w14:paraId="7CC1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4A5EA6FB">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3DEF02C">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0A84F2B1">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245" w:type="dxa"/>
            <w:gridSpan w:val="2"/>
            <w:noWrap w:val="0"/>
            <w:vAlign w:val="center"/>
          </w:tcPr>
          <w:p w14:paraId="143A7252">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符合第二章“供应商须知”第3.3.1项规定</w:t>
            </w:r>
          </w:p>
        </w:tc>
      </w:tr>
      <w:tr w14:paraId="78F9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E0DAA94">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90341E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2A85962F">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已标价工程量清单</w:t>
            </w:r>
          </w:p>
        </w:tc>
        <w:tc>
          <w:tcPr>
            <w:tcW w:w="6245" w:type="dxa"/>
            <w:gridSpan w:val="2"/>
            <w:noWrap w:val="0"/>
            <w:vAlign w:val="center"/>
          </w:tcPr>
          <w:p w14:paraId="72F78909">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符合“工程量清单”给出的子目编码、子目名称、子目特征、计量单位和工程量</w:t>
            </w:r>
          </w:p>
        </w:tc>
      </w:tr>
      <w:tr w14:paraId="0796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0C4885B">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E27156A">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7A6D346F">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6245" w:type="dxa"/>
            <w:gridSpan w:val="2"/>
            <w:noWrap w:val="0"/>
            <w:vAlign w:val="center"/>
          </w:tcPr>
          <w:p w14:paraId="32A65201">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磋商报价在规定的报价要求范围之内，未超出预算价</w:t>
            </w:r>
          </w:p>
        </w:tc>
      </w:tr>
      <w:tr w14:paraId="1A96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78D361BE">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bookmarkStart w:id="945" w:name="_Toc281405528"/>
            <w:bookmarkStart w:id="946" w:name="_Toc318450722"/>
            <w:bookmarkStart w:id="947" w:name="_Toc152042377"/>
            <w:bookmarkStart w:id="948" w:name="_Toc144974567"/>
            <w:bookmarkStart w:id="949" w:name="_Toc152045600"/>
            <w:bookmarkStart w:id="950" w:name="_Toc31578"/>
          </w:p>
        </w:tc>
        <w:tc>
          <w:tcPr>
            <w:tcW w:w="1234" w:type="dxa"/>
            <w:vMerge w:val="continue"/>
            <w:noWrap w:val="0"/>
            <w:vAlign w:val="center"/>
          </w:tcPr>
          <w:p w14:paraId="35A64C7C">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357F7766">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其他实质性响应</w:t>
            </w:r>
          </w:p>
        </w:tc>
        <w:tc>
          <w:tcPr>
            <w:tcW w:w="6245" w:type="dxa"/>
            <w:gridSpan w:val="2"/>
            <w:noWrap w:val="0"/>
            <w:vAlign w:val="center"/>
          </w:tcPr>
          <w:p w14:paraId="01910B8D">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响应磋商文件的其他实质性要求</w:t>
            </w:r>
          </w:p>
        </w:tc>
      </w:tr>
      <w:tr w14:paraId="6824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29" w:type="dxa"/>
            <w:gridSpan w:val="5"/>
            <w:noWrap w:val="0"/>
            <w:vAlign w:val="center"/>
          </w:tcPr>
          <w:p w14:paraId="06056D70">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注：磋商小组对符合资格的供应商的</w:t>
            </w:r>
            <w:r>
              <w:rPr>
                <w:rFonts w:hint="eastAsia" w:ascii="宋体" w:hAnsi="宋体" w:cs="宋体"/>
                <w:b/>
                <w:bCs/>
                <w:color w:val="auto"/>
                <w:spacing w:val="0"/>
                <w:sz w:val="24"/>
                <w:szCs w:val="24"/>
                <w:highlight w:val="none"/>
                <w:lang w:val="en-US" w:eastAsia="zh-CN"/>
              </w:rPr>
              <w:t>响应</w:t>
            </w:r>
            <w:r>
              <w:rPr>
                <w:rFonts w:hint="eastAsia" w:ascii="宋体" w:hAnsi="宋体" w:eastAsia="宋体" w:cs="宋体"/>
                <w:b/>
                <w:bCs/>
                <w:color w:val="auto"/>
                <w:spacing w:val="0"/>
                <w:sz w:val="24"/>
                <w:szCs w:val="24"/>
                <w:highlight w:val="none"/>
                <w:lang w:val="en-US" w:eastAsia="zh-CN"/>
              </w:rPr>
              <w:t>文件按照符合性审查标准进行符合性审查，以确定其是否满足竞争性磋商文件的实质性要求。符合性审查有一项不符合审查标准的，磋商小组应当否决其投标。</w:t>
            </w:r>
          </w:p>
        </w:tc>
      </w:tr>
      <w:tr w14:paraId="6FFF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22413E17">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857" w:type="dxa"/>
            <w:noWrap w:val="0"/>
            <w:vAlign w:val="center"/>
          </w:tcPr>
          <w:p w14:paraId="2C4CF8A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条款内容</w:t>
            </w:r>
          </w:p>
        </w:tc>
        <w:tc>
          <w:tcPr>
            <w:tcW w:w="6245" w:type="dxa"/>
            <w:gridSpan w:val="2"/>
            <w:noWrap w:val="0"/>
            <w:vAlign w:val="center"/>
          </w:tcPr>
          <w:p w14:paraId="3A9BAFFE">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编列内容</w:t>
            </w:r>
          </w:p>
        </w:tc>
      </w:tr>
      <w:tr w14:paraId="41CA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2831CE5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2.2.1</w:t>
            </w:r>
          </w:p>
        </w:tc>
        <w:tc>
          <w:tcPr>
            <w:tcW w:w="1857" w:type="dxa"/>
            <w:noWrap w:val="0"/>
            <w:vAlign w:val="center"/>
          </w:tcPr>
          <w:p w14:paraId="26B6A99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分值构成</w:t>
            </w:r>
          </w:p>
          <w:p w14:paraId="7FA6347E">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rPr>
              <w:t>（总分100分）</w:t>
            </w:r>
          </w:p>
        </w:tc>
        <w:tc>
          <w:tcPr>
            <w:tcW w:w="6245" w:type="dxa"/>
            <w:gridSpan w:val="2"/>
            <w:noWrap w:val="0"/>
            <w:vAlign w:val="center"/>
          </w:tcPr>
          <w:p w14:paraId="3DC28CB2">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 xml:space="preserve">分 </w:t>
            </w:r>
          </w:p>
          <w:p w14:paraId="0F96D77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分   </w:t>
            </w:r>
          </w:p>
          <w:p w14:paraId="6E9A8D81">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综合部分：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r>
      <w:tr w14:paraId="285A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noWrap w:val="0"/>
            <w:vAlign w:val="center"/>
          </w:tcPr>
          <w:p w14:paraId="141ED6F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2.2.2（1）</w:t>
            </w:r>
          </w:p>
        </w:tc>
        <w:tc>
          <w:tcPr>
            <w:tcW w:w="1234" w:type="dxa"/>
            <w:noWrap w:val="0"/>
            <w:vAlign w:val="center"/>
          </w:tcPr>
          <w:p w14:paraId="1713F72F">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商务</w:t>
            </w:r>
          </w:p>
          <w:p w14:paraId="6F7EE8AC">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部分</w:t>
            </w:r>
          </w:p>
          <w:p w14:paraId="3E4EBBAF">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lang w:eastAsia="zh-CN"/>
              </w:rPr>
              <w:t>（</w:t>
            </w:r>
            <w:r>
              <w:rPr>
                <w:rFonts w:hint="eastAsia" w:ascii="宋体" w:hAnsi="宋体" w:eastAsia="宋体" w:cs="宋体"/>
                <w:b/>
                <w:bCs/>
                <w:color w:val="auto"/>
                <w:spacing w:val="-11"/>
                <w:sz w:val="24"/>
                <w:szCs w:val="24"/>
                <w:highlight w:val="none"/>
                <w:lang w:val="en-US" w:eastAsia="zh-CN"/>
              </w:rPr>
              <w:t>30</w:t>
            </w:r>
            <w:r>
              <w:rPr>
                <w:rFonts w:hint="eastAsia" w:ascii="宋体" w:hAnsi="宋体" w:eastAsia="宋体" w:cs="宋体"/>
                <w:b/>
                <w:bCs/>
                <w:color w:val="auto"/>
                <w:spacing w:val="-11"/>
                <w:sz w:val="24"/>
                <w:szCs w:val="24"/>
                <w:highlight w:val="none"/>
              </w:rPr>
              <w:t>分）</w:t>
            </w:r>
          </w:p>
        </w:tc>
        <w:tc>
          <w:tcPr>
            <w:tcW w:w="1857" w:type="dxa"/>
            <w:noWrap w:val="0"/>
            <w:vAlign w:val="center"/>
          </w:tcPr>
          <w:p w14:paraId="4144315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36258FD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rPr>
              <w:t>分）</w:t>
            </w:r>
          </w:p>
        </w:tc>
        <w:tc>
          <w:tcPr>
            <w:tcW w:w="6245" w:type="dxa"/>
            <w:gridSpan w:val="2"/>
            <w:noWrap w:val="0"/>
            <w:vAlign w:val="center"/>
          </w:tcPr>
          <w:p w14:paraId="55F7A2E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所有竞争性磋商供应商的投标报价均不得高于</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控制价，否则按无效标处理。且以二次报价（最终报价）参与磋商报价评审。价格分统一采用低价优先法计算，即满足磋商文件要求且投标价格最低的</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报价为</w:t>
            </w:r>
            <w:r>
              <w:rPr>
                <w:rFonts w:hint="eastAsia" w:ascii="宋体" w:hAnsi="宋体" w:cs="宋体"/>
                <w:color w:val="auto"/>
                <w:sz w:val="24"/>
                <w:szCs w:val="24"/>
                <w:highlight w:val="none"/>
                <w:lang w:val="en-US" w:eastAsia="zh-CN"/>
              </w:rPr>
              <w:t>评标</w:t>
            </w:r>
            <w:r>
              <w:rPr>
                <w:rFonts w:hint="eastAsia" w:ascii="宋体" w:hAnsi="宋体" w:eastAsia="宋体" w:cs="宋体"/>
                <w:color w:val="auto"/>
                <w:sz w:val="24"/>
                <w:szCs w:val="24"/>
                <w:highlight w:val="none"/>
              </w:rPr>
              <w:t>基准价，其价格分为满分（</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分）。其他供应商的价格分统一按照下列公式计算：</w:t>
            </w:r>
          </w:p>
          <w:p w14:paraId="00D753C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投标报价得分=（评标基准价/投标报价）×</w:t>
            </w:r>
            <w:r>
              <w:rPr>
                <w:rFonts w:hint="eastAsia" w:ascii="宋体" w:hAnsi="宋体" w:eastAsia="宋体" w:cs="宋体"/>
                <w:b/>
                <w:bCs/>
                <w:color w:val="auto"/>
                <w:sz w:val="24"/>
                <w:szCs w:val="24"/>
                <w:highlight w:val="none"/>
                <w:lang w:val="en-US" w:eastAsia="zh-CN"/>
              </w:rPr>
              <w:t>30</w:t>
            </w:r>
          </w:p>
          <w:p w14:paraId="30258AA9">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注：1.价格分计算保留小数点后二位；</w:t>
            </w:r>
          </w:p>
          <w:p w14:paraId="208CDC3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2.因本项目为专门面向中小企业采购，故所有投标供应商不再享有其他政府采购扶持政策；</w:t>
            </w:r>
          </w:p>
          <w:p w14:paraId="4596368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3.属于异常低价情形的</w:t>
            </w:r>
            <w:r>
              <w:rPr>
                <w:rFonts w:hint="eastAsia" w:ascii="宋体" w:hAnsi="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lang w:val="en-US" w:eastAsia="zh-CN"/>
              </w:rPr>
              <w:t>应启动异常低价审查程序，详见磋商文件“异常低价审查”程序说明。</w:t>
            </w:r>
          </w:p>
        </w:tc>
      </w:tr>
      <w:tr w14:paraId="0EA4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restart"/>
            <w:noWrap w:val="0"/>
            <w:vAlign w:val="center"/>
          </w:tcPr>
          <w:p w14:paraId="29455B32">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2.2.2（2）</w:t>
            </w:r>
          </w:p>
        </w:tc>
        <w:tc>
          <w:tcPr>
            <w:tcW w:w="1234" w:type="dxa"/>
            <w:vMerge w:val="restart"/>
            <w:noWrap w:val="0"/>
            <w:vAlign w:val="center"/>
          </w:tcPr>
          <w:p w14:paraId="3C99E08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w:t>
            </w:r>
          </w:p>
          <w:p w14:paraId="71C4B387">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部分</w:t>
            </w:r>
          </w:p>
          <w:p w14:paraId="151F1A5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5</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分）</w:t>
            </w:r>
          </w:p>
        </w:tc>
        <w:tc>
          <w:tcPr>
            <w:tcW w:w="1857" w:type="dxa"/>
            <w:vMerge w:val="restart"/>
            <w:noWrap w:val="0"/>
            <w:vAlign w:val="center"/>
          </w:tcPr>
          <w:p w14:paraId="0898D4B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1"/>
                <w:kern w:val="0"/>
                <w:sz w:val="24"/>
                <w:szCs w:val="24"/>
                <w:highlight w:val="none"/>
              </w:rPr>
              <w:t>施工组织方案内容（</w:t>
            </w:r>
            <w:r>
              <w:rPr>
                <w:rFonts w:hint="eastAsia" w:ascii="宋体" w:hAnsi="宋体" w:cs="宋体"/>
                <w:b/>
                <w:bCs/>
                <w:color w:val="auto"/>
                <w:spacing w:val="1"/>
                <w:kern w:val="0"/>
                <w:sz w:val="24"/>
                <w:szCs w:val="24"/>
                <w:highlight w:val="none"/>
                <w:lang w:val="en-US" w:eastAsia="zh-CN"/>
              </w:rPr>
              <w:t>44</w:t>
            </w:r>
            <w:r>
              <w:rPr>
                <w:rFonts w:hint="eastAsia" w:ascii="宋体" w:hAnsi="宋体" w:eastAsia="宋体" w:cs="宋体"/>
                <w:b/>
                <w:bCs/>
                <w:color w:val="auto"/>
                <w:spacing w:val="1"/>
                <w:kern w:val="0"/>
                <w:sz w:val="24"/>
                <w:szCs w:val="24"/>
                <w:highlight w:val="none"/>
              </w:rPr>
              <w:t>分）</w:t>
            </w:r>
          </w:p>
        </w:tc>
        <w:tc>
          <w:tcPr>
            <w:tcW w:w="2530" w:type="dxa"/>
            <w:shd w:val="clear" w:color="auto" w:fill="auto"/>
            <w:noWrap w:val="0"/>
            <w:vAlign w:val="center"/>
          </w:tcPr>
          <w:p w14:paraId="3027C1C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lang w:val="en-US" w:eastAsia="zh-CN"/>
              </w:rPr>
              <w:t>施工方案</w:t>
            </w:r>
            <w:r>
              <w:rPr>
                <w:rFonts w:hint="eastAsia" w:ascii="宋体" w:hAnsi="宋体" w:eastAsia="宋体" w:cs="宋体"/>
                <w:b w:val="0"/>
                <w:bCs w:val="0"/>
                <w:color w:val="auto"/>
                <w:spacing w:val="1"/>
                <w:kern w:val="0"/>
                <w:sz w:val="24"/>
                <w:szCs w:val="24"/>
                <w:highlight w:val="none"/>
                <w:lang w:eastAsia="zh-CN"/>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lang w:val="en-US" w:eastAsia="zh-CN"/>
              </w:rPr>
              <w:t>分</w:t>
            </w:r>
            <w:r>
              <w:rPr>
                <w:rFonts w:hint="eastAsia" w:ascii="宋体" w:hAnsi="宋体" w:eastAsia="宋体" w:cs="宋体"/>
                <w:b w:val="0"/>
                <w:bCs w:val="0"/>
                <w:color w:val="auto"/>
                <w:spacing w:val="1"/>
                <w:kern w:val="0"/>
                <w:sz w:val="24"/>
                <w:szCs w:val="24"/>
                <w:highlight w:val="none"/>
                <w:lang w:eastAsia="zh-CN"/>
              </w:rPr>
              <w:t>）</w:t>
            </w:r>
          </w:p>
        </w:tc>
        <w:tc>
          <w:tcPr>
            <w:tcW w:w="3715" w:type="dxa"/>
            <w:shd w:val="clear" w:color="auto" w:fill="auto"/>
            <w:noWrap w:val="0"/>
            <w:vAlign w:val="center"/>
          </w:tcPr>
          <w:p w14:paraId="60FC1F77">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应包含但不限于：项目各分部分项工程主要施工工艺；施工技术措施；施工重点、难点及对应措施</w:t>
            </w:r>
            <w:r>
              <w:rPr>
                <w:rFonts w:hint="eastAsia" w:ascii="宋体" w:hAnsi="宋体" w:eastAsia="宋体" w:cs="宋体"/>
                <w:color w:val="auto"/>
                <w:sz w:val="24"/>
                <w:szCs w:val="24"/>
                <w:highlight w:val="none"/>
                <w:lang w:val="en-US" w:eastAsia="zh-CN"/>
              </w:rPr>
              <w:t>等得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w:t>
            </w:r>
          </w:p>
          <w:p w14:paraId="2473968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4EF4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4A5C2CD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627F9DF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0DC5C89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3BEF815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质量保证体系</w:t>
            </w:r>
            <w:r>
              <w:rPr>
                <w:rFonts w:hint="eastAsia" w:ascii="宋体" w:hAnsi="宋体" w:eastAsia="宋体" w:cs="宋体"/>
                <w:b w:val="0"/>
                <w:bCs w:val="0"/>
                <w:color w:val="auto"/>
                <w:spacing w:val="1"/>
                <w:kern w:val="0"/>
                <w:sz w:val="24"/>
                <w:szCs w:val="24"/>
                <w:highlight w:val="none"/>
                <w:lang w:val="en-US" w:eastAsia="zh-CN"/>
              </w:rPr>
              <w:t>与措施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1E2B3FF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目标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确保工程</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的技术组织措施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各分项工程</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保证措施</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610D544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5AC0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21A235BF">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61C4DBC7">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1D42B218">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74CDD92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lang w:val="en-US" w:eastAsia="zh-CN"/>
              </w:rPr>
              <w:t>环境保护管理体系与措施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7D147F8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环境保护管理体系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环境保护管理措施计划等方面</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3E50B509">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1058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20FB26C">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3A00EA0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18A65B7D">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0D875E6E">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安全文明施工措施（</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0940068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安全管理方案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文明施工方案等方面</w:t>
            </w:r>
            <w:r>
              <w:rPr>
                <w:rFonts w:hint="eastAsia" w:ascii="宋体" w:hAnsi="宋体" w:eastAsia="宋体" w:cs="宋体"/>
                <w:color w:val="auto"/>
                <w:sz w:val="24"/>
                <w:szCs w:val="24"/>
                <w:highlight w:val="none"/>
                <w:lang w:val="en-US" w:eastAsia="zh-CN"/>
              </w:rPr>
              <w:t>等得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13D4371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0BAC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B9978EF">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B145BB0">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6741A08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24F71845">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风险管理措施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5EEA159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风险防控管理措施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各阶段风险控制及应急措施等方面</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0A327897">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6CFE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21419ED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2B2C159">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6904E75A">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301D9350">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rPr>
              <w:t>劳动力进场安排进度及保证措施（</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6FE179F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应包含但不限于：各阶段劳动力计划表；各阶段劳动力进场计划；现场劳动力管理</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4DC64B1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6CFC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31483B8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6F3BCD6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6CF532BA">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2224FF3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rPr>
              <w:t>物资（材料）进场安排进度及保证</w:t>
            </w:r>
            <w:r>
              <w:rPr>
                <w:rFonts w:hint="eastAsia" w:ascii="宋体" w:hAnsi="宋体" w:eastAsia="宋体" w:cs="宋体"/>
                <w:b w:val="0"/>
                <w:bCs w:val="0"/>
                <w:color w:val="auto"/>
                <w:spacing w:val="1"/>
                <w:kern w:val="0"/>
                <w:sz w:val="24"/>
                <w:szCs w:val="24"/>
                <w:highlight w:val="none"/>
                <w:lang w:val="en-US" w:eastAsia="zh-CN"/>
              </w:rPr>
              <w:t>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25136AD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应包含但不限于：工程材料的采购计划；各阶段材料进场计划；材料质量的保证措施；材料的保管</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578BA5F7">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506E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3" w:type="dxa"/>
            <w:vMerge w:val="continue"/>
            <w:noWrap w:val="0"/>
            <w:vAlign w:val="center"/>
          </w:tcPr>
          <w:p w14:paraId="2779324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0A09D031">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7BE8B337">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23BE4A1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机械设备进场安排进度及保证措施（</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207AE90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应包含但不限于：施工现场配备机械设备的原则；各阶段机械设备进场计划；现场机械设备的管理</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1872E8B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7205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F4BB72F">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453302C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36CE532E">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1DADC40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lang w:val="en-US" w:eastAsia="zh-CN"/>
              </w:rPr>
              <w:t>施工进度表</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14C0DED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进度</w:t>
            </w:r>
            <w:r>
              <w:rPr>
                <w:rFonts w:hint="eastAsia" w:ascii="宋体" w:hAnsi="宋体" w:eastAsia="宋体" w:cs="宋体"/>
                <w:color w:val="auto"/>
                <w:sz w:val="24"/>
                <w:szCs w:val="24"/>
                <w:highlight w:val="none"/>
              </w:rPr>
              <w:t>编制合理、可行、满足</w:t>
            </w:r>
            <w:r>
              <w:rPr>
                <w:rFonts w:hint="eastAsia" w:ascii="宋体" w:hAnsi="宋体" w:eastAsia="宋体" w:cs="宋体"/>
                <w:color w:val="auto"/>
                <w:sz w:val="24"/>
                <w:szCs w:val="24"/>
                <w:highlight w:val="none"/>
                <w:lang w:val="en-US" w:eastAsia="zh-CN"/>
              </w:rPr>
              <w:t>磋商文</w:t>
            </w:r>
            <w:r>
              <w:rPr>
                <w:rFonts w:hint="eastAsia" w:ascii="宋体" w:hAnsi="宋体" w:eastAsia="宋体" w:cs="宋体"/>
                <w:color w:val="auto"/>
                <w:sz w:val="24"/>
                <w:szCs w:val="24"/>
                <w:highlight w:val="none"/>
              </w:rPr>
              <w:t>件对工期的要求</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p w14:paraId="487393B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未提供不得分。</w:t>
            </w:r>
          </w:p>
        </w:tc>
      </w:tr>
      <w:tr w14:paraId="223E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893" w:type="dxa"/>
            <w:vMerge w:val="continue"/>
            <w:noWrap w:val="0"/>
            <w:vAlign w:val="center"/>
          </w:tcPr>
          <w:p w14:paraId="24BB821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7BB906D5">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050AABBB">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kern w:val="2"/>
                <w:sz w:val="24"/>
                <w:szCs w:val="24"/>
                <w:highlight w:val="none"/>
                <w:lang w:val="en-US" w:eastAsia="zh-CN" w:bidi="ar-SA"/>
              </w:rPr>
            </w:pPr>
          </w:p>
        </w:tc>
        <w:tc>
          <w:tcPr>
            <w:tcW w:w="2530" w:type="dxa"/>
            <w:shd w:val="clear" w:color="auto" w:fill="auto"/>
            <w:noWrap w:val="0"/>
            <w:vAlign w:val="center"/>
          </w:tcPr>
          <w:p w14:paraId="519122F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施工总平面布置图</w:t>
            </w:r>
            <w:r>
              <w:rPr>
                <w:rFonts w:hint="eastAsia" w:ascii="宋体" w:hAnsi="宋体" w:eastAsia="宋体" w:cs="宋体"/>
                <w:b w:val="0"/>
                <w:bCs w:val="0"/>
                <w:color w:val="auto"/>
                <w:spacing w:val="1"/>
                <w:kern w:val="0"/>
                <w:sz w:val="24"/>
                <w:szCs w:val="24"/>
                <w:highlight w:val="none"/>
              </w:rPr>
              <w:t>（</w:t>
            </w:r>
            <w:r>
              <w:rPr>
                <w:rFonts w:hint="eastAsia" w:ascii="宋体" w:hAnsi="宋体" w:eastAsia="宋体" w:cs="宋体"/>
                <w:b w:val="0"/>
                <w:bCs w:val="0"/>
                <w:color w:val="auto"/>
                <w:spacing w:val="1"/>
                <w:kern w:val="0"/>
                <w:sz w:val="24"/>
                <w:szCs w:val="24"/>
                <w:highlight w:val="none"/>
                <w:lang w:val="en-US" w:eastAsia="zh-CN"/>
              </w:rPr>
              <w:t>3</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45DBE15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总体布置有针对性、合理、能较好满足施工需要</w:t>
            </w:r>
            <w:r>
              <w:rPr>
                <w:rFonts w:hint="eastAsia" w:ascii="宋体" w:hAnsi="宋体" w:eastAsia="宋体" w:cs="宋体"/>
                <w:color w:val="auto"/>
                <w:sz w:val="24"/>
                <w:szCs w:val="24"/>
                <w:highlight w:val="none"/>
                <w:lang w:val="en-US" w:eastAsia="zh-CN"/>
              </w:rPr>
              <w:t>得3分</w:t>
            </w:r>
            <w:r>
              <w:rPr>
                <w:rFonts w:hint="eastAsia" w:ascii="宋体" w:hAnsi="宋体" w:eastAsia="宋体" w:cs="宋体"/>
                <w:color w:val="auto"/>
                <w:sz w:val="24"/>
                <w:szCs w:val="24"/>
                <w:highlight w:val="none"/>
                <w:lang w:eastAsia="zh-CN"/>
              </w:rPr>
              <w:t>。</w:t>
            </w:r>
          </w:p>
          <w:p w14:paraId="39EA5CF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未提供不得分。</w:t>
            </w:r>
          </w:p>
        </w:tc>
      </w:tr>
      <w:tr w14:paraId="243F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C436DB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06500109">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8102" w:type="dxa"/>
            <w:gridSpan w:val="3"/>
            <w:noWrap w:val="0"/>
            <w:vAlign w:val="center"/>
          </w:tcPr>
          <w:p w14:paraId="787AE9E0">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pacing w:val="1"/>
                <w:kern w:val="0"/>
                <w:szCs w:val="21"/>
                <w:highlight w:val="none"/>
              </w:rPr>
              <w:t>说明：以上每项有则按所示分值得分，</w:t>
            </w:r>
            <w:r>
              <w:rPr>
                <w:rFonts w:hint="eastAsia" w:ascii="宋体" w:hAnsi="宋体" w:eastAsia="宋体" w:cs="宋体"/>
                <w:b/>
                <w:bCs/>
                <w:highlight w:val="none"/>
                <w:lang w:val="en-US" w:eastAsia="zh-CN"/>
              </w:rPr>
              <w:t>内容与本项目实际需求无关或该项内容</w:t>
            </w:r>
            <w:r>
              <w:rPr>
                <w:rFonts w:hint="eastAsia" w:ascii="宋体" w:hAnsi="宋体" w:cs="宋体"/>
                <w:b/>
                <w:bCs/>
                <w:color w:val="auto"/>
                <w:spacing w:val="1"/>
                <w:kern w:val="0"/>
                <w:szCs w:val="21"/>
                <w:highlight w:val="none"/>
              </w:rPr>
              <w:t>缺项经半数以上评委确认该项不得分。</w:t>
            </w:r>
          </w:p>
        </w:tc>
      </w:tr>
      <w:tr w14:paraId="5515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7F85D259">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4BCAE85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restart"/>
            <w:noWrap w:val="0"/>
            <w:vAlign w:val="center"/>
          </w:tcPr>
          <w:p w14:paraId="6870D842">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bCs/>
                <w:color w:val="auto"/>
                <w:spacing w:val="1"/>
                <w:kern w:val="0"/>
                <w:sz w:val="24"/>
                <w:szCs w:val="24"/>
                <w:highlight w:val="none"/>
              </w:rPr>
              <w:t>施工组织</w:t>
            </w:r>
            <w:r>
              <w:rPr>
                <w:rFonts w:hint="eastAsia" w:ascii="宋体" w:hAnsi="宋体" w:eastAsia="宋体" w:cs="宋体"/>
                <w:b/>
                <w:bCs/>
                <w:color w:val="auto"/>
                <w:spacing w:val="1"/>
                <w:kern w:val="0"/>
                <w:sz w:val="24"/>
                <w:szCs w:val="24"/>
                <w:highlight w:val="none"/>
                <w:lang w:val="en-US" w:eastAsia="zh-CN"/>
              </w:rPr>
              <w:t>设计</w:t>
            </w:r>
            <w:r>
              <w:rPr>
                <w:rFonts w:hint="eastAsia" w:ascii="宋体" w:hAnsi="宋体" w:eastAsia="宋体" w:cs="宋体"/>
                <w:b/>
                <w:bCs/>
                <w:color w:val="auto"/>
                <w:spacing w:val="1"/>
                <w:kern w:val="0"/>
                <w:sz w:val="24"/>
                <w:szCs w:val="24"/>
                <w:highlight w:val="none"/>
              </w:rPr>
              <w:t>方案</w:t>
            </w:r>
            <w:r>
              <w:rPr>
                <w:rFonts w:hint="eastAsia" w:ascii="宋体" w:hAnsi="宋体" w:eastAsia="宋体" w:cs="宋体"/>
                <w:b/>
                <w:bCs/>
                <w:color w:val="auto"/>
                <w:spacing w:val="1"/>
                <w:kern w:val="0"/>
                <w:sz w:val="24"/>
                <w:szCs w:val="24"/>
                <w:highlight w:val="none"/>
                <w:lang w:val="en-US" w:eastAsia="zh-CN"/>
              </w:rPr>
              <w:t>要具有针对性、可实施性</w:t>
            </w:r>
          </w:p>
          <w:p w14:paraId="3429660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1"/>
                <w:kern w:val="0"/>
                <w:sz w:val="24"/>
                <w:szCs w:val="24"/>
                <w:highlight w:val="none"/>
              </w:rPr>
              <w:t>（</w:t>
            </w:r>
            <w:r>
              <w:rPr>
                <w:rFonts w:hint="eastAsia" w:ascii="宋体" w:hAnsi="宋体" w:eastAsia="宋体" w:cs="宋体"/>
                <w:b/>
                <w:bCs/>
                <w:color w:val="auto"/>
                <w:spacing w:val="1"/>
                <w:kern w:val="0"/>
                <w:sz w:val="24"/>
                <w:szCs w:val="24"/>
                <w:highlight w:val="none"/>
                <w:lang w:val="en-US" w:eastAsia="zh-CN"/>
              </w:rPr>
              <w:t>6</w:t>
            </w:r>
            <w:r>
              <w:rPr>
                <w:rFonts w:hint="eastAsia" w:ascii="宋体" w:hAnsi="宋体" w:eastAsia="宋体" w:cs="宋体"/>
                <w:b/>
                <w:bCs/>
                <w:color w:val="auto"/>
                <w:spacing w:val="1"/>
                <w:kern w:val="0"/>
                <w:sz w:val="24"/>
                <w:szCs w:val="24"/>
                <w:highlight w:val="none"/>
              </w:rPr>
              <w:t>分）</w:t>
            </w:r>
          </w:p>
        </w:tc>
        <w:tc>
          <w:tcPr>
            <w:tcW w:w="6245" w:type="dxa"/>
            <w:gridSpan w:val="2"/>
            <w:noWrap w:val="0"/>
            <w:vAlign w:val="top"/>
          </w:tcPr>
          <w:p w14:paraId="4312AF3A">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有关“施工组织”内容是否齐全、准确、清晰及表达的准确性、条理性等：</w:t>
            </w:r>
          </w:p>
          <w:p w14:paraId="0B53E8CA">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优秀（方案内容非常齐全、准确、清晰，非常符合现场实际情况、具有很强的可操作性）得3分；</w:t>
            </w:r>
          </w:p>
          <w:p w14:paraId="0A30E08A">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一般（方案内容基本齐全、准确、清晰，基本符合现场实际情况、可操作性一般）得1分；</w:t>
            </w:r>
          </w:p>
          <w:p w14:paraId="64D858F3">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差（方案内容描述差流于形式）得0.2分；</w:t>
            </w:r>
          </w:p>
          <w:p w14:paraId="46BDD35D">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如“施工组织方案内容”全部各项内容均不提供，此项“</w:t>
            </w:r>
            <w:r>
              <w:rPr>
                <w:rFonts w:hint="eastAsia" w:ascii="宋体" w:hAnsi="宋体" w:eastAsia="宋体" w:cs="宋体"/>
                <w:color w:val="auto"/>
                <w:sz w:val="24"/>
                <w:szCs w:val="24"/>
                <w:highlight w:val="none"/>
              </w:rPr>
              <w:t>施工组织方案水平</w:t>
            </w:r>
            <w:r>
              <w:rPr>
                <w:rFonts w:hint="eastAsia" w:ascii="宋体" w:hAnsi="宋体" w:eastAsia="宋体" w:cs="宋体"/>
                <w:color w:val="auto"/>
                <w:sz w:val="24"/>
                <w:szCs w:val="24"/>
                <w:highlight w:val="none"/>
                <w:lang w:val="en-US" w:eastAsia="zh-CN"/>
              </w:rPr>
              <w:t>”不得分；</w:t>
            </w:r>
          </w:p>
          <w:p w14:paraId="76336568">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特别提示：评委评审时不能仅以页数篇幅作为评审依据，应根据供应商针对本项目实际情况编写的方案进行综合评审。</w:t>
            </w:r>
          </w:p>
        </w:tc>
      </w:tr>
      <w:tr w14:paraId="214E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20BB6802">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75078B00">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3F1890BA">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hint="eastAsia" w:ascii="宋体" w:hAnsi="宋体" w:eastAsia="宋体" w:cs="宋体"/>
                <w:color w:val="auto"/>
                <w:kern w:val="0"/>
                <w:sz w:val="24"/>
                <w:szCs w:val="24"/>
                <w:highlight w:val="none"/>
                <w:lang w:val="en-US" w:eastAsia="zh-CN" w:bidi="ar-SA"/>
              </w:rPr>
            </w:pPr>
          </w:p>
        </w:tc>
        <w:tc>
          <w:tcPr>
            <w:tcW w:w="6245" w:type="dxa"/>
            <w:gridSpan w:val="2"/>
            <w:noWrap w:val="0"/>
            <w:vAlign w:val="top"/>
          </w:tcPr>
          <w:p w14:paraId="728462C7">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有关“施工组织”各项主要内容的措施是否稳妥、计划是否周密、流水段的划分、各项交叉作业是否科学、切合实际，合理可行：</w:t>
            </w:r>
          </w:p>
          <w:p w14:paraId="5691B4AD">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各项主要内容的措施非常稳妥，计划非常周密，流水段的划分、各项交叉作业非常科学、切合实际、合理可行）得3分；</w:t>
            </w:r>
          </w:p>
          <w:p w14:paraId="20213DB5">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一般（各项主要内容的措施、计划、流水段的划分、各项交叉作业描述一般）得1分；</w:t>
            </w:r>
          </w:p>
          <w:p w14:paraId="7C151AA6">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差（各项主要内容的措施、计划、流水段的划分、各项交叉作业描述差流于形式）得0.2分；</w:t>
            </w:r>
          </w:p>
          <w:p w14:paraId="61A985F1">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如“施工组织方案内容”全部各项内容均不提供，此项“</w:t>
            </w:r>
            <w:r>
              <w:rPr>
                <w:rFonts w:hint="eastAsia" w:ascii="宋体" w:hAnsi="宋体" w:eastAsia="宋体" w:cs="宋体"/>
                <w:color w:val="auto"/>
                <w:sz w:val="24"/>
                <w:szCs w:val="24"/>
                <w:highlight w:val="none"/>
              </w:rPr>
              <w:t>施工组织方案水平</w:t>
            </w:r>
            <w:r>
              <w:rPr>
                <w:rFonts w:hint="eastAsia" w:ascii="宋体" w:hAnsi="宋体" w:eastAsia="宋体" w:cs="宋体"/>
                <w:color w:val="auto"/>
                <w:sz w:val="24"/>
                <w:szCs w:val="24"/>
                <w:highlight w:val="none"/>
                <w:lang w:val="en-US" w:eastAsia="zh-CN"/>
              </w:rPr>
              <w:t>”不得分；</w:t>
            </w:r>
          </w:p>
          <w:p w14:paraId="02944C2F">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特别提示：评委评审时不能仅以页数篇幅作为评审依据，应根据供应商针对本项目实际情况编写的方案进行综合评审。</w:t>
            </w:r>
          </w:p>
        </w:tc>
      </w:tr>
      <w:tr w14:paraId="0449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jc w:val="center"/>
        </w:trPr>
        <w:tc>
          <w:tcPr>
            <w:tcW w:w="893" w:type="dxa"/>
            <w:vMerge w:val="restart"/>
            <w:noWrap w:val="0"/>
            <w:vAlign w:val="center"/>
          </w:tcPr>
          <w:p w14:paraId="5856681E">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2.2.2（3）</w:t>
            </w:r>
          </w:p>
        </w:tc>
        <w:tc>
          <w:tcPr>
            <w:tcW w:w="1234" w:type="dxa"/>
            <w:vMerge w:val="restart"/>
            <w:noWrap w:val="0"/>
            <w:vAlign w:val="center"/>
          </w:tcPr>
          <w:p w14:paraId="4B1C756F">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p>
          <w:p w14:paraId="7D82A1F4">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综合部分</w:t>
            </w:r>
          </w:p>
          <w:p w14:paraId="116E588D">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20</w:t>
            </w:r>
            <w:r>
              <w:rPr>
                <w:rFonts w:hint="eastAsia" w:ascii="宋体" w:hAnsi="宋体" w:eastAsia="宋体" w:cs="宋体"/>
                <w:b/>
                <w:bCs/>
                <w:color w:val="auto"/>
                <w:sz w:val="24"/>
                <w:szCs w:val="24"/>
                <w:highlight w:val="none"/>
              </w:rPr>
              <w:t>分）</w:t>
            </w:r>
          </w:p>
        </w:tc>
        <w:tc>
          <w:tcPr>
            <w:tcW w:w="1857" w:type="dxa"/>
            <w:noWrap w:val="0"/>
            <w:vAlign w:val="center"/>
          </w:tcPr>
          <w:p w14:paraId="76E1B4BF">
            <w:pPr>
              <w:keepNext w:val="0"/>
              <w:keepLines w:val="0"/>
              <w:pageBreakBefore w:val="0"/>
              <w:widowControl w:val="0"/>
              <w:kinsoku/>
              <w:wordWrap/>
              <w:overflowPunct/>
              <w:topLinePunct w:val="0"/>
              <w:autoSpaceDE/>
              <w:autoSpaceDN/>
              <w:bidi w:val="0"/>
              <w:adjustRightInd/>
              <w:snapToGrid/>
              <w:spacing w:line="320" w:lineRule="exact"/>
              <w:ind w:firstLine="228" w:firstLineChars="100"/>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宋体"/>
                <w:color w:val="auto"/>
                <w:spacing w:val="-6"/>
                <w:kern w:val="2"/>
                <w:sz w:val="24"/>
                <w:szCs w:val="24"/>
                <w:highlight w:val="none"/>
                <w:lang w:val="en-US" w:eastAsia="zh-CN" w:bidi="ar-SA"/>
              </w:rPr>
              <w:t>业绩（</w:t>
            </w:r>
            <w:r>
              <w:rPr>
                <w:rFonts w:hint="eastAsia" w:ascii="宋体" w:hAnsi="宋体" w:cs="宋体"/>
                <w:color w:val="auto"/>
                <w:spacing w:val="-6"/>
                <w:kern w:val="2"/>
                <w:sz w:val="24"/>
                <w:szCs w:val="24"/>
                <w:highlight w:val="none"/>
                <w:lang w:val="en-US" w:eastAsia="zh-CN" w:bidi="ar-SA"/>
              </w:rPr>
              <w:t>6</w:t>
            </w:r>
            <w:r>
              <w:rPr>
                <w:rFonts w:hint="eastAsia" w:ascii="宋体" w:hAnsi="宋体" w:eastAsia="宋体" w:cs="宋体"/>
                <w:color w:val="auto"/>
                <w:spacing w:val="-6"/>
                <w:kern w:val="2"/>
                <w:sz w:val="24"/>
                <w:szCs w:val="24"/>
                <w:highlight w:val="none"/>
                <w:lang w:val="en-US" w:eastAsia="zh-CN" w:bidi="ar-SA"/>
              </w:rPr>
              <w:t>分）</w:t>
            </w:r>
          </w:p>
        </w:tc>
        <w:tc>
          <w:tcPr>
            <w:tcW w:w="6245" w:type="dxa"/>
            <w:gridSpan w:val="2"/>
            <w:noWrap w:val="0"/>
            <w:vAlign w:val="center"/>
          </w:tcPr>
          <w:p w14:paraId="253A09D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仿宋"/>
                <w:color w:val="auto"/>
                <w:sz w:val="24"/>
                <w:szCs w:val="24"/>
                <w:lang w:val="en-US" w:eastAsia="zh-CN"/>
              </w:rPr>
              <w:t>2023年</w:t>
            </w:r>
            <w:r>
              <w:rPr>
                <w:rFonts w:hint="eastAsia" w:ascii="宋体" w:hAnsi="宋体" w:cs="仿宋"/>
                <w:color w:val="auto"/>
                <w:sz w:val="24"/>
                <w:szCs w:val="24"/>
                <w:lang w:val="en-US" w:eastAsia="zh-CN"/>
              </w:rPr>
              <w:t>9</w:t>
            </w:r>
            <w:r>
              <w:rPr>
                <w:rFonts w:hint="eastAsia" w:ascii="宋体" w:hAnsi="宋体" w:eastAsia="宋体" w:cs="仿宋"/>
                <w:color w:val="auto"/>
                <w:sz w:val="24"/>
                <w:szCs w:val="24"/>
                <w:lang w:val="en-US" w:eastAsia="zh-CN"/>
              </w:rPr>
              <w:t>月份以来</w:t>
            </w:r>
            <w:r>
              <w:rPr>
                <w:rFonts w:hint="eastAsia" w:ascii="宋体" w:hAnsi="宋体" w:eastAsia="宋体" w:cs="仿宋"/>
                <w:color w:val="auto"/>
                <w:sz w:val="24"/>
                <w:szCs w:val="24"/>
              </w:rPr>
              <w:t>投标人承担过类似施工业绩的，每有一项得</w:t>
            </w:r>
            <w:r>
              <w:rPr>
                <w:rFonts w:hint="eastAsia" w:ascii="宋体" w:hAnsi="宋体" w:eastAsia="宋体" w:cs="仿宋"/>
                <w:color w:val="auto"/>
                <w:sz w:val="24"/>
                <w:szCs w:val="24"/>
                <w:lang w:val="en-US" w:eastAsia="zh-CN"/>
              </w:rPr>
              <w:t>2</w:t>
            </w:r>
            <w:r>
              <w:rPr>
                <w:rFonts w:hint="eastAsia" w:ascii="宋体" w:hAnsi="宋体" w:eastAsia="宋体" w:cs="仿宋"/>
                <w:color w:val="auto"/>
                <w:sz w:val="24"/>
                <w:szCs w:val="24"/>
              </w:rPr>
              <w:t>分，最多得</w:t>
            </w:r>
            <w:r>
              <w:rPr>
                <w:rFonts w:hint="eastAsia" w:ascii="宋体" w:hAnsi="宋体" w:cs="仿宋"/>
                <w:color w:val="auto"/>
                <w:sz w:val="24"/>
                <w:szCs w:val="24"/>
                <w:lang w:val="en-US" w:eastAsia="zh-CN"/>
              </w:rPr>
              <w:t>6</w:t>
            </w:r>
            <w:r>
              <w:rPr>
                <w:rFonts w:hint="eastAsia" w:ascii="宋体" w:hAnsi="宋体" w:eastAsia="宋体" w:cs="仿宋"/>
                <w:color w:val="auto"/>
                <w:sz w:val="24"/>
                <w:szCs w:val="24"/>
              </w:rPr>
              <w:t>分。（注：投标文件附中标通知书</w:t>
            </w:r>
            <w:r>
              <w:rPr>
                <w:rFonts w:hint="eastAsia" w:ascii="宋体" w:hAnsi="宋体" w:eastAsia="宋体" w:cs="仿宋"/>
                <w:color w:val="auto"/>
                <w:sz w:val="24"/>
                <w:szCs w:val="24"/>
                <w:lang w:eastAsia="zh-CN"/>
              </w:rPr>
              <w:t>、</w:t>
            </w:r>
            <w:r>
              <w:rPr>
                <w:rFonts w:hint="eastAsia" w:ascii="宋体" w:hAnsi="宋体" w:eastAsia="宋体" w:cs="仿宋"/>
                <w:color w:val="auto"/>
                <w:sz w:val="24"/>
                <w:szCs w:val="24"/>
              </w:rPr>
              <w:t>合同协议书扫描件并加盖电子签章）</w:t>
            </w:r>
          </w:p>
        </w:tc>
      </w:tr>
      <w:tr w14:paraId="5823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jc w:val="center"/>
        </w:trPr>
        <w:tc>
          <w:tcPr>
            <w:tcW w:w="893" w:type="dxa"/>
            <w:vMerge w:val="continue"/>
            <w:noWrap w:val="0"/>
            <w:vAlign w:val="center"/>
          </w:tcPr>
          <w:p w14:paraId="3106D14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20707140">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noWrap w:val="0"/>
            <w:vAlign w:val="center"/>
          </w:tcPr>
          <w:p w14:paraId="255FB912">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项目管理机构人员</w:t>
            </w:r>
          </w:p>
          <w:p w14:paraId="2DC2920B">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6245" w:type="dxa"/>
            <w:gridSpan w:val="2"/>
            <w:noWrap w:val="0"/>
            <w:vAlign w:val="center"/>
          </w:tcPr>
          <w:p w14:paraId="63B284CA">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rPr>
              <w:t>项目管理机构拟投入人员除项目经理及技术负责人外，同时具有施工员、质量员、安全员、材料员、资料员</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预算员（造价员</w:t>
            </w:r>
            <w:r>
              <w:rPr>
                <w:rFonts w:hint="eastAsia" w:ascii="宋体" w:hAnsi="宋体" w:cs="宋体"/>
                <w:color w:val="auto"/>
                <w:spacing w:val="-6"/>
                <w:sz w:val="24"/>
                <w:szCs w:val="24"/>
                <w:highlight w:val="none"/>
                <w:lang w:val="en-US" w:eastAsia="zh-CN"/>
              </w:rPr>
              <w:t>或者造价师</w:t>
            </w:r>
            <w:r>
              <w:rPr>
                <w:rFonts w:hint="eastAsia" w:ascii="宋体" w:hAnsi="宋体" w:eastAsia="宋体" w:cs="宋体"/>
                <w:color w:val="auto"/>
                <w:spacing w:val="-6"/>
                <w:sz w:val="24"/>
                <w:szCs w:val="24"/>
                <w:highlight w:val="none"/>
                <w:lang w:val="en-US" w:eastAsia="zh-CN"/>
              </w:rPr>
              <w:t>）</w:t>
            </w:r>
            <w:r>
              <w:rPr>
                <w:rFonts w:hint="eastAsia" w:ascii="宋体" w:hAnsi="宋体" w:eastAsia="宋体" w:cs="宋体"/>
                <w:color w:val="auto"/>
                <w:spacing w:val="-6"/>
                <w:sz w:val="24"/>
                <w:szCs w:val="24"/>
                <w:highlight w:val="none"/>
              </w:rPr>
              <w:t>等，以上岗位人员齐全的得</w:t>
            </w:r>
            <w:r>
              <w:rPr>
                <w:rFonts w:hint="eastAsia" w:ascii="宋体" w:hAnsi="宋体" w:cs="宋体"/>
                <w:color w:val="auto"/>
                <w:spacing w:val="-6"/>
                <w:sz w:val="24"/>
                <w:szCs w:val="24"/>
                <w:highlight w:val="none"/>
                <w:lang w:val="en-US" w:eastAsia="zh-CN"/>
              </w:rPr>
              <w:t>5</w:t>
            </w:r>
            <w:r>
              <w:rPr>
                <w:rFonts w:hint="eastAsia" w:ascii="宋体" w:hAnsi="宋体" w:eastAsia="宋体" w:cs="宋体"/>
                <w:color w:val="auto"/>
                <w:spacing w:val="-6"/>
                <w:sz w:val="24"/>
                <w:szCs w:val="24"/>
                <w:highlight w:val="none"/>
              </w:rPr>
              <w:t>分，人员不齐全的不得分</w:t>
            </w:r>
            <w:r>
              <w:rPr>
                <w:rFonts w:hint="eastAsia" w:ascii="宋体" w:hAnsi="宋体" w:eastAsia="宋体" w:cs="宋体"/>
                <w:color w:val="auto"/>
                <w:spacing w:val="-6"/>
                <w:sz w:val="24"/>
                <w:szCs w:val="24"/>
                <w:highlight w:val="none"/>
                <w:lang w:eastAsia="zh-CN"/>
              </w:rPr>
              <w:t>。</w:t>
            </w:r>
          </w:p>
          <w:p w14:paraId="2A082C43">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w:t>
            </w:r>
            <w:r>
              <w:rPr>
                <w:rFonts w:hint="eastAsia" w:ascii="宋体" w:hAnsi="宋体" w:eastAsia="宋体" w:cs="宋体"/>
                <w:b/>
                <w:bCs/>
                <w:color w:val="auto"/>
                <w:spacing w:val="0"/>
                <w:sz w:val="24"/>
                <w:szCs w:val="24"/>
                <w:highlight w:val="none"/>
              </w:rPr>
              <w:t>提供</w:t>
            </w:r>
            <w:r>
              <w:rPr>
                <w:rFonts w:hint="eastAsia" w:ascii="宋体" w:hAnsi="宋体" w:eastAsia="宋体" w:cs="宋体"/>
                <w:b/>
                <w:bCs/>
                <w:color w:val="auto"/>
                <w:spacing w:val="0"/>
                <w:sz w:val="24"/>
                <w:szCs w:val="24"/>
                <w:highlight w:val="none"/>
                <w:lang w:val="en-US" w:eastAsia="zh-CN"/>
              </w:rPr>
              <w:t>有效期内的</w:t>
            </w:r>
            <w:r>
              <w:rPr>
                <w:rFonts w:hint="eastAsia" w:ascii="宋体" w:hAnsi="宋体" w:eastAsia="宋体" w:cs="宋体"/>
                <w:b/>
                <w:bCs/>
                <w:color w:val="auto"/>
                <w:spacing w:val="0"/>
                <w:sz w:val="24"/>
                <w:szCs w:val="24"/>
                <w:highlight w:val="none"/>
              </w:rPr>
              <w:t>人员岗位证书</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身份证、劳动合同及社保证明材料扫描件</w:t>
            </w:r>
            <w:r>
              <w:rPr>
                <w:rFonts w:hint="eastAsia" w:ascii="宋体" w:hAnsi="宋体" w:eastAsia="宋体" w:cs="宋体"/>
                <w:b/>
                <w:bCs/>
                <w:color w:val="auto"/>
                <w:spacing w:val="0"/>
                <w:sz w:val="24"/>
                <w:szCs w:val="24"/>
                <w:highlight w:val="none"/>
                <w:lang w:eastAsia="zh-CN"/>
              </w:rPr>
              <w:t>，</w:t>
            </w:r>
            <w:r>
              <w:rPr>
                <w:rFonts w:hint="eastAsia" w:ascii="宋体" w:hAnsi="宋体" w:cs="宋体"/>
                <w:b/>
                <w:bCs/>
                <w:color w:val="auto"/>
                <w:spacing w:val="0"/>
                <w:sz w:val="24"/>
                <w:szCs w:val="24"/>
                <w:highlight w:val="none"/>
                <w:lang w:val="en-US" w:eastAsia="zh-CN"/>
              </w:rPr>
              <w:t>未提供或者</w:t>
            </w:r>
            <w:r>
              <w:rPr>
                <w:rFonts w:hint="eastAsia" w:ascii="宋体" w:hAnsi="宋体" w:eastAsia="宋体" w:cs="宋体"/>
                <w:b/>
                <w:bCs/>
                <w:color w:val="auto"/>
                <w:spacing w:val="0"/>
                <w:sz w:val="24"/>
                <w:szCs w:val="24"/>
                <w:highlight w:val="none"/>
                <w:lang w:val="en-US" w:eastAsia="zh-CN"/>
              </w:rPr>
              <w:t>提供不全</w:t>
            </w:r>
            <w:r>
              <w:rPr>
                <w:rFonts w:hint="eastAsia" w:ascii="宋体" w:hAnsi="宋体" w:cs="宋体"/>
                <w:b/>
                <w:bCs/>
                <w:color w:val="auto"/>
                <w:spacing w:val="0"/>
                <w:sz w:val="24"/>
                <w:szCs w:val="24"/>
                <w:highlight w:val="none"/>
                <w:lang w:val="en-US" w:eastAsia="zh-CN"/>
              </w:rPr>
              <w:t>均</w:t>
            </w:r>
            <w:r>
              <w:rPr>
                <w:rFonts w:hint="eastAsia" w:ascii="宋体" w:hAnsi="宋体" w:eastAsia="宋体" w:cs="宋体"/>
                <w:b/>
                <w:bCs/>
                <w:color w:val="auto"/>
                <w:spacing w:val="0"/>
                <w:sz w:val="24"/>
                <w:szCs w:val="24"/>
                <w:highlight w:val="none"/>
                <w:lang w:val="en-US" w:eastAsia="zh-CN"/>
              </w:rPr>
              <w:t>不得分。</w:t>
            </w:r>
          </w:p>
        </w:tc>
      </w:tr>
      <w:tr w14:paraId="3EDF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F1D065D">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5B48033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352B5ECD">
            <w:pPr>
              <w:pStyle w:val="58"/>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履职尽责承诺</w:t>
            </w:r>
          </w:p>
          <w:p w14:paraId="159D1225">
            <w:pPr>
              <w:pStyle w:val="58"/>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（3分）</w:t>
            </w:r>
          </w:p>
        </w:tc>
        <w:tc>
          <w:tcPr>
            <w:tcW w:w="6245" w:type="dxa"/>
            <w:gridSpan w:val="2"/>
            <w:noWrap w:val="0"/>
            <w:vAlign w:val="center"/>
          </w:tcPr>
          <w:p w14:paraId="3C1C1F1A">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磋商小组根据供应商书面保证技术措施落实到位的承诺和落实不到位的处理承诺，其中包括各关键岗位人员（项目负责人、技术负责人、质量员、安全员、材料员、</w:t>
            </w:r>
            <w:r>
              <w:rPr>
                <w:rFonts w:hint="eastAsia" w:ascii="宋体" w:hAnsi="宋体" w:eastAsia="宋体" w:cs="宋体"/>
                <w:color w:val="auto"/>
                <w:spacing w:val="-6"/>
                <w:sz w:val="24"/>
                <w:szCs w:val="24"/>
                <w:highlight w:val="none"/>
              </w:rPr>
              <w:t>资料员</w:t>
            </w:r>
            <w:r>
              <w:rPr>
                <w:rFonts w:hint="eastAsia" w:ascii="宋体" w:hAnsi="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预算员（造价员</w:t>
            </w:r>
            <w:r>
              <w:rPr>
                <w:rFonts w:hint="eastAsia" w:ascii="宋体" w:hAnsi="宋体" w:cs="宋体"/>
                <w:color w:val="auto"/>
                <w:spacing w:val="-6"/>
                <w:sz w:val="24"/>
                <w:szCs w:val="24"/>
                <w:highlight w:val="none"/>
                <w:lang w:val="en-US" w:eastAsia="zh-CN"/>
              </w:rPr>
              <w:t>或者造价师</w:t>
            </w:r>
            <w:r>
              <w:rPr>
                <w:rFonts w:hint="eastAsia" w:ascii="宋体" w:hAnsi="宋体" w:eastAsia="宋体" w:cs="宋体"/>
                <w:color w:val="auto"/>
                <w:spacing w:val="-6"/>
                <w:sz w:val="24"/>
                <w:szCs w:val="24"/>
                <w:highlight w:val="none"/>
                <w:lang w:val="en-US" w:eastAsia="zh-CN"/>
              </w:rPr>
              <w:t>）</w:t>
            </w:r>
            <w:r>
              <w:rPr>
                <w:rFonts w:hint="eastAsia" w:ascii="宋体" w:hAnsi="宋体" w:cs="宋体"/>
                <w:color w:val="auto"/>
                <w:spacing w:val="-6"/>
                <w:sz w:val="24"/>
                <w:szCs w:val="24"/>
                <w:highlight w:val="none"/>
                <w:lang w:val="en-US" w:eastAsia="zh-CN"/>
              </w:rPr>
              <w:t>、劳务员</w:t>
            </w:r>
            <w:r>
              <w:rPr>
                <w:rFonts w:hint="eastAsia" w:ascii="宋体" w:hAnsi="宋体" w:eastAsia="宋体" w:cs="宋体"/>
                <w:color w:val="000000"/>
                <w:sz w:val="24"/>
                <w:szCs w:val="24"/>
                <w:highlight w:val="none"/>
                <w:lang w:val="en-US" w:eastAsia="zh-CN"/>
              </w:rPr>
              <w:t>等）的在岗、更换等履职尽责承诺，提供供应商履约保证的全面、详实、可行、合法有效等情况进行综合评价：</w:t>
            </w:r>
          </w:p>
          <w:p w14:paraId="1A373DEE">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内容完整详细且合理可行，得3分;</w:t>
            </w:r>
          </w:p>
          <w:p w14:paraId="4F601371">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内容较完整较合理可行，得1分;</w:t>
            </w:r>
          </w:p>
          <w:p w14:paraId="1346FA51">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内容不够完整、不够合理得0.2分;</w:t>
            </w:r>
          </w:p>
          <w:p w14:paraId="4B542F6E">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无此项内容不得分。</w:t>
            </w:r>
          </w:p>
          <w:p w14:paraId="4EAA7DD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特别提示：评委评审时不能仅以页数篇幅作为评审依据，应根据供应商针对本项目实际情况编写的承诺进行综合评审。</w:t>
            </w:r>
          </w:p>
        </w:tc>
      </w:tr>
      <w:tr w14:paraId="3392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680A90EC">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604F2D4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0FF06975">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服务承诺</w:t>
            </w:r>
          </w:p>
          <w:p w14:paraId="4F90E209">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（3分）</w:t>
            </w:r>
          </w:p>
        </w:tc>
        <w:tc>
          <w:tcPr>
            <w:tcW w:w="6245" w:type="dxa"/>
            <w:gridSpan w:val="2"/>
            <w:noWrap w:val="0"/>
            <w:vAlign w:val="center"/>
          </w:tcPr>
          <w:p w14:paraId="108DABDA">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磋商小组根据供应商提供的服务承诺进行综合评价（包括但不限于</w:t>
            </w:r>
            <w:r>
              <w:rPr>
                <w:rFonts w:hint="eastAsia" w:ascii="宋体" w:hAnsi="宋体" w:eastAsia="宋体" w:cs="宋体"/>
                <w:b/>
                <w:bCs/>
                <w:color w:val="auto"/>
                <w:spacing w:val="-6"/>
                <w:sz w:val="24"/>
                <w:szCs w:val="24"/>
                <w:highlight w:val="none"/>
                <w:lang w:val="en-US" w:eastAsia="zh-CN"/>
              </w:rPr>
              <w:t>①承诺在施工期间，按照国家标准和行业规范，加强安全防护措施，安全文明施工，保证不发生各种安全事故，无人员伤亡事故，否则中标人承担由此发生的一切费用②保修期内、保修期外的服务承诺③供应商在服务承诺中应包含质量、工期、不转包不挂靠等服务承诺④资金不到位情况下，连续施工的承诺及措施⑤不拖欠工人工资，替甲方排忧解难，协调周边关系保证项目顺利实施的承诺及措施等方面）</w:t>
            </w:r>
            <w:r>
              <w:rPr>
                <w:rFonts w:hint="eastAsia" w:ascii="宋体" w:hAnsi="宋体" w:eastAsia="宋体" w:cs="宋体"/>
                <w:color w:val="000000"/>
                <w:sz w:val="24"/>
                <w:szCs w:val="24"/>
                <w:highlight w:val="none"/>
                <w:lang w:val="en-US" w:eastAsia="zh-CN"/>
              </w:rPr>
              <w:t>：</w:t>
            </w:r>
          </w:p>
          <w:p w14:paraId="56D416AD">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内容完整详细且合理可行，得3分;</w:t>
            </w:r>
          </w:p>
          <w:p w14:paraId="0F1DF07C">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内容较完整较合理可行，得1分;</w:t>
            </w:r>
          </w:p>
          <w:p w14:paraId="41CF79D9">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内容不够完整、不够合理得0.2分;</w:t>
            </w:r>
          </w:p>
          <w:p w14:paraId="086C53BA">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无此项内容不得分。</w:t>
            </w:r>
          </w:p>
          <w:p w14:paraId="657616AA">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特别提示：评委评审时不能仅以页数篇幅作为评审依据，应根据供应商针对本项目实际情况编写的承诺进行综合评审。</w:t>
            </w:r>
          </w:p>
        </w:tc>
      </w:tr>
      <w:tr w14:paraId="5CE4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45F31A6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2F1247D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2DE8B34A">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合理化建议</w:t>
            </w:r>
          </w:p>
          <w:p w14:paraId="32C97CDC">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（3分）</w:t>
            </w:r>
          </w:p>
        </w:tc>
        <w:tc>
          <w:tcPr>
            <w:tcW w:w="6245" w:type="dxa"/>
            <w:gridSpan w:val="2"/>
            <w:noWrap w:val="0"/>
            <w:vAlign w:val="center"/>
          </w:tcPr>
          <w:p w14:paraId="06FCBEAB">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磋商小组根据供应商提供的合理化建议进行综合评价（</w:t>
            </w:r>
            <w:r>
              <w:rPr>
                <w:rFonts w:hint="eastAsia" w:ascii="宋体" w:hAnsi="宋体" w:eastAsia="宋体" w:cs="宋体"/>
                <w:color w:val="auto"/>
                <w:sz w:val="24"/>
                <w:szCs w:val="24"/>
                <w:highlight w:val="none"/>
                <w:lang w:val="en-US" w:eastAsia="zh-CN"/>
              </w:rPr>
              <w:t>在保证工程质量标准的前提下</w:t>
            </w:r>
            <w:r>
              <w:rPr>
                <w:rFonts w:hint="eastAsia" w:ascii="宋体" w:hAnsi="宋体" w:eastAsia="宋体" w:cs="宋体"/>
                <w:color w:val="000000"/>
                <w:sz w:val="24"/>
                <w:szCs w:val="24"/>
                <w:highlight w:val="none"/>
                <w:lang w:val="en-US" w:eastAsia="zh-CN"/>
              </w:rPr>
              <w:t>包括但不限于</w:t>
            </w:r>
            <w:r>
              <w:rPr>
                <w:rFonts w:hint="eastAsia" w:ascii="宋体" w:hAnsi="宋体" w:eastAsia="宋体" w:cs="宋体"/>
                <w:b/>
                <w:bCs/>
                <w:color w:val="000000"/>
                <w:sz w:val="24"/>
                <w:szCs w:val="24"/>
                <w:highlight w:val="none"/>
                <w:lang w:val="en-US" w:eastAsia="zh-CN"/>
              </w:rPr>
              <w:t>①</w:t>
            </w:r>
            <w:r>
              <w:rPr>
                <w:rFonts w:hint="eastAsia" w:ascii="宋体" w:hAnsi="宋体" w:eastAsia="宋体" w:cs="宋体"/>
                <w:b/>
                <w:bCs/>
                <w:color w:val="auto"/>
                <w:sz w:val="24"/>
                <w:szCs w:val="24"/>
                <w:highlight w:val="none"/>
                <w:lang w:val="en-US" w:eastAsia="zh-CN"/>
              </w:rPr>
              <w:t>缩短工期</w:t>
            </w:r>
            <w:r>
              <w:rPr>
                <w:rFonts w:hint="eastAsia" w:ascii="宋体" w:hAnsi="宋体" w:eastAsia="宋体" w:cs="宋体"/>
                <w:b/>
                <w:bCs/>
                <w:color w:val="000000"/>
                <w:sz w:val="24"/>
                <w:szCs w:val="24"/>
                <w:highlight w:val="none"/>
                <w:lang w:val="en-US" w:eastAsia="zh-CN"/>
              </w:rPr>
              <w:t>②</w:t>
            </w:r>
            <w:r>
              <w:rPr>
                <w:rFonts w:hint="eastAsia" w:ascii="宋体" w:hAnsi="宋体" w:eastAsia="宋体" w:cs="宋体"/>
                <w:b/>
                <w:bCs/>
                <w:color w:val="auto"/>
                <w:sz w:val="24"/>
                <w:szCs w:val="24"/>
                <w:highlight w:val="none"/>
                <w:lang w:val="en-US" w:eastAsia="zh-CN"/>
              </w:rPr>
              <w:t>提高质量</w:t>
            </w:r>
            <w:r>
              <w:rPr>
                <w:rFonts w:hint="eastAsia" w:ascii="宋体" w:hAnsi="宋体" w:eastAsia="宋体" w:cs="宋体"/>
                <w:b/>
                <w:bCs/>
                <w:color w:val="000000"/>
                <w:sz w:val="24"/>
                <w:szCs w:val="24"/>
                <w:highlight w:val="none"/>
                <w:lang w:val="en-US" w:eastAsia="zh-CN"/>
              </w:rPr>
              <w:t>③</w:t>
            </w:r>
            <w:r>
              <w:rPr>
                <w:rFonts w:hint="eastAsia" w:ascii="宋体" w:hAnsi="宋体" w:eastAsia="宋体" w:cs="宋体"/>
                <w:b/>
                <w:bCs/>
                <w:color w:val="auto"/>
                <w:sz w:val="24"/>
                <w:szCs w:val="24"/>
                <w:highlight w:val="none"/>
                <w:lang w:val="en-US" w:eastAsia="zh-CN"/>
              </w:rPr>
              <w:t>节约成本</w:t>
            </w:r>
            <w:r>
              <w:rPr>
                <w:rFonts w:hint="eastAsia" w:ascii="宋体" w:hAnsi="宋体" w:eastAsia="宋体" w:cs="宋体"/>
                <w:b/>
                <w:bCs/>
                <w:color w:val="000000"/>
                <w:sz w:val="24"/>
                <w:szCs w:val="24"/>
                <w:highlight w:val="none"/>
                <w:lang w:val="en-US" w:eastAsia="zh-CN"/>
              </w:rPr>
              <w:t>④</w:t>
            </w:r>
            <w:r>
              <w:rPr>
                <w:rFonts w:hint="eastAsia" w:ascii="宋体" w:hAnsi="宋体" w:eastAsia="宋体" w:cs="宋体"/>
                <w:b/>
                <w:bCs/>
                <w:color w:val="auto"/>
                <w:sz w:val="24"/>
                <w:szCs w:val="24"/>
                <w:highlight w:val="none"/>
                <w:lang w:val="en-US" w:eastAsia="zh-CN"/>
              </w:rPr>
              <w:t>识别潜在风险等方面</w:t>
            </w:r>
            <w:r>
              <w:rPr>
                <w:rFonts w:hint="eastAsia" w:ascii="宋体" w:hAnsi="宋体" w:eastAsia="宋体" w:cs="宋体"/>
                <w:color w:val="auto"/>
                <w:sz w:val="24"/>
                <w:szCs w:val="24"/>
                <w:highlight w:val="none"/>
                <w:lang w:val="en-US" w:eastAsia="zh-CN"/>
              </w:rPr>
              <w:t>）：</w:t>
            </w:r>
          </w:p>
          <w:p w14:paraId="156F9892">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建议详细、针对性强、具有可行性和指导性得 3 分;</w:t>
            </w:r>
          </w:p>
          <w:p w14:paraId="75FF3CFE">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val="en-US" w:eastAsia="zh-CN"/>
              </w:rPr>
              <w:t>建议一般详细、较有针对性、较符合要求的得 1 分;</w:t>
            </w:r>
          </w:p>
          <w:p w14:paraId="59B1C90A">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val="en-US" w:eastAsia="zh-CN"/>
              </w:rPr>
              <w:t>建议和本项项目不相符或无关得 0.2 分;</w:t>
            </w:r>
          </w:p>
          <w:p w14:paraId="17AF8507">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无此项内容不得分。</w:t>
            </w:r>
          </w:p>
          <w:p w14:paraId="6EDE03CD">
            <w:pPr>
              <w:pStyle w:val="29"/>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特别提示：评委评审时不能仅以页数篇幅作为评审依据，应根据供应商针对本项目实际情况编写的建议进行综合评审。</w:t>
            </w:r>
          </w:p>
        </w:tc>
      </w:tr>
      <w:bookmarkEnd w:id="945"/>
      <w:bookmarkEnd w:id="946"/>
      <w:bookmarkEnd w:id="947"/>
      <w:bookmarkEnd w:id="948"/>
      <w:bookmarkEnd w:id="949"/>
      <w:bookmarkEnd w:id="950"/>
    </w:tbl>
    <w:p w14:paraId="2FFEBA85">
      <w:pPr>
        <w:pStyle w:val="7"/>
        <w:pageBreakBefore w:val="0"/>
        <w:widowControl w:val="0"/>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rPr>
      </w:pPr>
      <w:bookmarkStart w:id="951" w:name="_Toc2626"/>
      <w:bookmarkStart w:id="952" w:name="_Toc25104"/>
      <w:bookmarkStart w:id="953" w:name="_Toc21918"/>
      <w:r>
        <w:rPr>
          <w:rFonts w:hint="eastAsia"/>
          <w:lang w:val="en-US" w:eastAsia="zh-CN"/>
        </w:rPr>
        <w:t xml:space="preserve">1. </w:t>
      </w:r>
      <w:r>
        <w:rPr>
          <w:rFonts w:hint="eastAsia"/>
        </w:rPr>
        <w:t>评审方法</w:t>
      </w:r>
      <w:bookmarkEnd w:id="951"/>
      <w:bookmarkEnd w:id="952"/>
      <w:bookmarkEnd w:id="953"/>
    </w:p>
    <w:p w14:paraId="0BECDD0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en-US"/>
        </w:rPr>
        <w:t>本次评审采用综合评分法。磋商小组对满足磋商文件实质性要求的响应文件</w:t>
      </w:r>
      <w:r>
        <w:rPr>
          <w:rFonts w:hint="eastAsia" w:ascii="宋体" w:hAnsi="宋体" w:eastAsia="宋体" w:cs="宋体"/>
          <w:color w:val="auto"/>
          <w:sz w:val="24"/>
          <w:szCs w:val="24"/>
          <w:highlight w:val="none"/>
        </w:rPr>
        <w:t>，按照本章规定的评分标准进行打分，并按得分由高到低顺序推荐成交候选人，</w:t>
      </w:r>
      <w:r>
        <w:rPr>
          <w:rFonts w:hint="eastAsia" w:ascii="宋体" w:hAnsi="宋体" w:eastAsia="宋体" w:cs="宋体"/>
          <w:color w:val="auto"/>
          <w:kern w:val="0"/>
          <w:sz w:val="24"/>
          <w:szCs w:val="24"/>
          <w:highlight w:val="none"/>
        </w:rPr>
        <w:t>综合评分相等时，以报价得分高的优先；报价得分也相等的，由采购人自行确定。</w:t>
      </w:r>
      <w:bookmarkStart w:id="954" w:name="_Toc20837"/>
      <w:bookmarkStart w:id="955" w:name="_Toc466298140"/>
      <w:bookmarkStart w:id="956" w:name="_Toc29362"/>
      <w:bookmarkStart w:id="957" w:name="_Toc144974568"/>
      <w:bookmarkStart w:id="958" w:name="_Toc281405529"/>
      <w:bookmarkStart w:id="959" w:name="_Toc26131"/>
      <w:bookmarkStart w:id="960" w:name="_Toc152042378"/>
      <w:bookmarkStart w:id="961" w:name="_Toc318450723"/>
      <w:bookmarkStart w:id="962" w:name="_Toc152045601"/>
      <w:bookmarkStart w:id="963" w:name="_Toc6612"/>
      <w:bookmarkStart w:id="964" w:name="_Toc490667876"/>
      <w:bookmarkStart w:id="965" w:name="_Toc24936"/>
      <w:bookmarkStart w:id="966" w:name="_Toc455867817"/>
      <w:bookmarkStart w:id="967" w:name="_Toc5703"/>
      <w:bookmarkStart w:id="968" w:name="_Toc455080157"/>
    </w:p>
    <w:p w14:paraId="52F0D6A4">
      <w:pPr>
        <w:pStyle w:val="7"/>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rPr>
      </w:pPr>
      <w:bookmarkStart w:id="969" w:name="_Toc18472"/>
      <w:r>
        <w:rPr>
          <w:rFonts w:hint="eastAsia"/>
          <w:lang w:val="en-US" w:eastAsia="zh-CN"/>
        </w:rPr>
        <w:t xml:space="preserve">2. </w:t>
      </w:r>
      <w:r>
        <w:rPr>
          <w:rFonts w:hint="eastAsia"/>
        </w:rPr>
        <w:t>评审标准</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Start w:id="970" w:name="_Toc31037"/>
      <w:bookmarkStart w:id="971" w:name="_Toc2867"/>
      <w:bookmarkStart w:id="972" w:name="_Toc19934"/>
      <w:bookmarkStart w:id="973" w:name="_Toc6711"/>
      <w:bookmarkStart w:id="974" w:name="_Toc490667877"/>
      <w:bookmarkStart w:id="975" w:name="_Toc24558"/>
      <w:bookmarkStart w:id="976" w:name="_Toc25637"/>
      <w:bookmarkStart w:id="977" w:name="_Toc21120"/>
      <w:bookmarkStart w:id="978" w:name="_Toc144974569"/>
      <w:bookmarkStart w:id="979" w:name="_Toc455080158"/>
      <w:bookmarkStart w:id="980" w:name="_Toc455867818"/>
      <w:bookmarkStart w:id="981" w:name="_Toc281405530"/>
      <w:bookmarkStart w:id="982" w:name="_Toc152045602"/>
      <w:bookmarkStart w:id="983" w:name="_Toc318450724"/>
      <w:bookmarkStart w:id="984" w:name="_Toc466298141"/>
      <w:bookmarkStart w:id="985" w:name="_Toc15813"/>
      <w:bookmarkStart w:id="986" w:name="_Toc152042379"/>
      <w:bookmarkStart w:id="987" w:name="_Toc11223"/>
    </w:p>
    <w:p w14:paraId="55FB8F54">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 初步评审标准</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14:paraId="0C16889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2.1.1 </w:t>
      </w:r>
      <w:r>
        <w:rPr>
          <w:rFonts w:hint="eastAsia" w:ascii="宋体" w:hAnsi="宋体" w:eastAsia="宋体" w:cs="宋体"/>
          <w:color w:val="auto"/>
          <w:sz w:val="24"/>
          <w:szCs w:val="24"/>
          <w:highlight w:val="none"/>
          <w:lang w:eastAsia="zh-CN"/>
        </w:rPr>
        <w:t>资格</w:t>
      </w:r>
      <w:r>
        <w:rPr>
          <w:rFonts w:hint="eastAsia" w:ascii="宋体" w:hAnsi="宋体" w:eastAsia="宋体" w:cs="宋体"/>
          <w:color w:val="auto"/>
          <w:sz w:val="24"/>
          <w:szCs w:val="24"/>
          <w:highlight w:val="none"/>
        </w:rPr>
        <w:t>评审标准：见评审办法前附表。</w:t>
      </w:r>
    </w:p>
    <w:p w14:paraId="589AD2C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评审标准：见评审办法前附表。</w:t>
      </w:r>
    </w:p>
    <w:p w14:paraId="37EEAABC">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988" w:name="_Toc22439"/>
      <w:bookmarkStart w:id="989" w:name="_Toc281405531"/>
      <w:bookmarkStart w:id="990" w:name="_Toc21970"/>
      <w:bookmarkStart w:id="991" w:name="_Toc144974570"/>
      <w:bookmarkStart w:id="992" w:name="_Toc26179"/>
      <w:bookmarkStart w:id="993" w:name="_Toc24825"/>
      <w:bookmarkStart w:id="994" w:name="_Toc490667878"/>
      <w:bookmarkStart w:id="995" w:name="_Toc30189"/>
      <w:bookmarkStart w:id="996" w:name="_Toc152045603"/>
      <w:bookmarkStart w:id="997" w:name="_Toc17019"/>
      <w:bookmarkStart w:id="998" w:name="_Toc152042380"/>
      <w:bookmarkStart w:id="999" w:name="_Toc318450725"/>
      <w:bookmarkStart w:id="1000" w:name="_Toc455867819"/>
      <w:bookmarkStart w:id="1001" w:name="_Toc13412"/>
      <w:bookmarkStart w:id="1002" w:name="_Toc25492"/>
      <w:bookmarkStart w:id="1003" w:name="_Toc12013"/>
      <w:bookmarkStart w:id="1004" w:name="_Toc11061"/>
      <w:bookmarkStart w:id="1005" w:name="_Toc455080159"/>
      <w:bookmarkStart w:id="1006" w:name="_Toc466298142"/>
      <w:bookmarkStart w:id="1007" w:name="_Toc7284"/>
      <w:bookmarkStart w:id="1008" w:name="_Toc5184"/>
      <w:bookmarkStart w:id="1009" w:name="_Toc29297"/>
      <w:bookmarkStart w:id="1010" w:name="_Toc466298143"/>
      <w:bookmarkStart w:id="1011" w:name="_Toc17308"/>
      <w:bookmarkStart w:id="1012" w:name="_Toc32314"/>
      <w:bookmarkStart w:id="1013" w:name="_Toc490667879"/>
      <w:bookmarkStart w:id="1014" w:name="_Toc18127"/>
      <w:bookmarkStart w:id="1015" w:name="_Toc455867820"/>
      <w:bookmarkStart w:id="1016" w:name="_Toc16479"/>
      <w:bookmarkStart w:id="1017" w:name="_Toc281405532"/>
      <w:bookmarkStart w:id="1018" w:name="_Toc318450726"/>
      <w:bookmarkStart w:id="1019" w:name="_Toc455080160"/>
      <w:r>
        <w:rPr>
          <w:rFonts w:hint="eastAsia" w:ascii="宋体" w:hAnsi="宋体" w:eastAsia="宋体" w:cs="宋体"/>
          <w:b/>
          <w:bCs/>
          <w:color w:val="auto"/>
          <w:sz w:val="24"/>
          <w:szCs w:val="24"/>
          <w:highlight w:val="none"/>
        </w:rPr>
        <w:t>2.2 分值构成与评分标准</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657EB7E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分值构成</w:t>
      </w:r>
    </w:p>
    <w:p w14:paraId="3E3C4BB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（1）商务标：见评标办法前附表；</w:t>
      </w:r>
    </w:p>
    <w:p w14:paraId="1933FBB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（2）技术标：见评标办法前附表；</w:t>
      </w:r>
    </w:p>
    <w:p w14:paraId="250150A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综合</w:t>
      </w:r>
      <w:r>
        <w:rPr>
          <w:rFonts w:hint="eastAsia" w:ascii="宋体" w:hAnsi="宋体" w:eastAsia="宋体" w:cs="宋体"/>
          <w:color w:val="auto"/>
          <w:sz w:val="24"/>
          <w:szCs w:val="24"/>
          <w:highlight w:val="none"/>
        </w:rPr>
        <w:t>标：见评标办法前附表</w:t>
      </w:r>
      <w:r>
        <w:rPr>
          <w:rFonts w:hint="eastAsia" w:ascii="宋体" w:hAnsi="宋体" w:eastAsia="宋体" w:cs="宋体"/>
          <w:color w:val="auto"/>
          <w:sz w:val="24"/>
          <w:szCs w:val="24"/>
          <w:highlight w:val="none"/>
          <w:lang w:eastAsia="zh-CN"/>
        </w:rPr>
        <w:t>。</w:t>
      </w:r>
    </w:p>
    <w:p w14:paraId="53B8B13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评分标准</w:t>
      </w:r>
    </w:p>
    <w:p w14:paraId="5149DEA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.1商务标评分标准：见评标办法前附表；</w:t>
      </w:r>
    </w:p>
    <w:p w14:paraId="76BF44A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.2技术标评分标准：见评标办法前附表</w:t>
      </w:r>
      <w:r>
        <w:rPr>
          <w:rFonts w:hint="eastAsia" w:ascii="宋体" w:hAnsi="宋体" w:eastAsia="宋体" w:cs="宋体"/>
          <w:color w:val="auto"/>
          <w:sz w:val="24"/>
          <w:szCs w:val="24"/>
          <w:highlight w:val="none"/>
          <w:lang w:eastAsia="zh-CN"/>
        </w:rPr>
        <w:t>；</w:t>
      </w:r>
    </w:p>
    <w:p w14:paraId="695DCE4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综合</w:t>
      </w:r>
      <w:r>
        <w:rPr>
          <w:rFonts w:hint="eastAsia" w:ascii="宋体" w:hAnsi="宋体" w:eastAsia="宋体" w:cs="宋体"/>
          <w:color w:val="auto"/>
          <w:sz w:val="24"/>
          <w:szCs w:val="24"/>
          <w:highlight w:val="none"/>
        </w:rPr>
        <w:t>标评分标准：见评标办法前附表</w:t>
      </w:r>
      <w:r>
        <w:rPr>
          <w:rFonts w:hint="eastAsia" w:ascii="宋体" w:hAnsi="宋体" w:eastAsia="宋体" w:cs="宋体"/>
          <w:color w:val="auto"/>
          <w:sz w:val="24"/>
          <w:szCs w:val="24"/>
          <w:highlight w:val="none"/>
          <w:lang w:eastAsia="zh-CN"/>
        </w:rPr>
        <w:t>。</w:t>
      </w:r>
    </w:p>
    <w:p w14:paraId="352C7125">
      <w:pPr>
        <w:pStyle w:val="7"/>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val="en-US" w:eastAsia="zh-CN"/>
        </w:rPr>
      </w:pPr>
      <w:bookmarkStart w:id="1020" w:name="_Toc30178"/>
      <w:bookmarkStart w:id="1021" w:name="_Toc7879"/>
      <w:bookmarkStart w:id="1022" w:name="_Toc25451"/>
      <w:r>
        <w:rPr>
          <w:rFonts w:hint="eastAsia"/>
          <w:lang w:val="en-US" w:eastAsia="zh-CN"/>
        </w:rPr>
        <w:t>3. 评审程序</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14:paraId="2BA57881">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23" w:name="_Toc29614"/>
      <w:bookmarkStart w:id="1024" w:name="_Toc29092"/>
      <w:bookmarkStart w:id="1025" w:name="_Toc318450727"/>
      <w:bookmarkStart w:id="1026" w:name="_Toc281405533"/>
      <w:bookmarkStart w:id="1027" w:name="_Toc32043"/>
      <w:bookmarkStart w:id="1028" w:name="_Toc16892"/>
      <w:bookmarkStart w:id="1029" w:name="_Toc5427"/>
      <w:bookmarkStart w:id="1030" w:name="_Toc14633"/>
      <w:bookmarkStart w:id="1031" w:name="_Toc490667880"/>
      <w:bookmarkStart w:id="1032" w:name="_Toc2410"/>
      <w:bookmarkStart w:id="1033" w:name="_Toc18886"/>
      <w:bookmarkStart w:id="1034" w:name="_Toc9433"/>
      <w:bookmarkStart w:id="1035" w:name="_Toc7272"/>
      <w:bookmarkStart w:id="1036" w:name="_Toc466298144"/>
      <w:bookmarkStart w:id="1037" w:name="_Toc30986"/>
      <w:bookmarkStart w:id="1038" w:name="_Toc20248"/>
      <w:bookmarkStart w:id="1039" w:name="_Toc455867821"/>
      <w:bookmarkStart w:id="1040" w:name="_Toc455080161"/>
      <w:bookmarkStart w:id="1041" w:name="_Toc29916"/>
      <w:r>
        <w:rPr>
          <w:rFonts w:hint="eastAsia" w:ascii="宋体" w:hAnsi="宋体" w:eastAsia="宋体" w:cs="宋体"/>
          <w:b/>
          <w:bCs/>
          <w:color w:val="auto"/>
          <w:sz w:val="24"/>
          <w:szCs w:val="24"/>
          <w:highlight w:val="none"/>
        </w:rPr>
        <w:t>3.1 初步评审</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14:paraId="604A3F9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磋商小组依据本章第2.1款规定的标准对响应文件进行初步评审。有一项不符合评审标准的，作废标处理。</w:t>
      </w:r>
    </w:p>
    <w:p w14:paraId="3CD91DB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 供应商有以下情形之一的，其响应文件作无效处理：</w:t>
      </w:r>
    </w:p>
    <w:p w14:paraId="29FE4B6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（1）串通或弄虚作假或有其他违法行为的；</w:t>
      </w:r>
    </w:p>
    <w:p w14:paraId="3504D5E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（2）不按磋商小组要求澄清、说明或补正的；</w:t>
      </w:r>
    </w:p>
    <w:p w14:paraId="312229F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（3）未按规定格式填写、内容不全或关键字迹模糊、无法辨认的；</w:t>
      </w:r>
    </w:p>
    <w:p w14:paraId="5F82AC1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（4）响应文件附有采购人不能接受的条件；</w:t>
      </w:r>
    </w:p>
    <w:p w14:paraId="4A59F5B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（5）不符合磋商文件规定的其他实质性要求。</w:t>
      </w:r>
    </w:p>
    <w:p w14:paraId="35F9A1C5">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42" w:name="_Toc21570"/>
      <w:bookmarkStart w:id="1043" w:name="_Toc13386"/>
      <w:bookmarkStart w:id="1044" w:name="_Toc24788"/>
      <w:bookmarkStart w:id="1045" w:name="_Toc455867822"/>
      <w:bookmarkStart w:id="1046" w:name="_Toc31235"/>
      <w:bookmarkStart w:id="1047" w:name="_Toc490667881"/>
      <w:bookmarkStart w:id="1048" w:name="_Toc22101"/>
      <w:bookmarkStart w:id="1049" w:name="_Toc21032"/>
      <w:bookmarkStart w:id="1050" w:name="_Toc26049"/>
      <w:bookmarkStart w:id="1051" w:name="_Toc7121"/>
      <w:bookmarkStart w:id="1052" w:name="_Toc455080162"/>
      <w:bookmarkStart w:id="1053" w:name="_Toc18594"/>
      <w:bookmarkStart w:id="1054" w:name="_Toc466298145"/>
      <w:bookmarkStart w:id="1055" w:name="_Toc10692"/>
      <w:bookmarkStart w:id="1056" w:name="_Toc16964"/>
      <w:bookmarkStart w:id="1057" w:name="_Toc318450728"/>
      <w:bookmarkStart w:id="1058" w:name="_Toc281405534"/>
      <w:bookmarkStart w:id="1059" w:name="_Toc12406"/>
      <w:bookmarkStart w:id="1060" w:name="_Toc26280"/>
      <w:r>
        <w:rPr>
          <w:rFonts w:hint="eastAsia" w:ascii="宋体" w:hAnsi="宋体" w:eastAsia="宋体" w:cs="宋体"/>
          <w:b/>
          <w:bCs/>
          <w:color w:val="auto"/>
          <w:sz w:val="24"/>
          <w:szCs w:val="24"/>
          <w:highlight w:val="none"/>
        </w:rPr>
        <w:t>3.2 详细评审</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3078561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 磋商小组按本章第2.2款规定的量化因素和分值进行打分，并计算出综合评分得分。</w:t>
      </w:r>
    </w:p>
    <w:p w14:paraId="548B2CD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评分分值计算保留小数点后两位，小数点后第三位“四舍五入”。</w:t>
      </w:r>
    </w:p>
    <w:p w14:paraId="1329012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pacing w:val="-6"/>
          <w:sz w:val="24"/>
          <w:szCs w:val="24"/>
          <w:highlight w:val="none"/>
        </w:rPr>
        <w:t>供应商的最终得分以全部小组成员打分的算术平均值为准，作为该供应商的最终得分。</w:t>
      </w:r>
    </w:p>
    <w:p w14:paraId="5F13D7B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在磋商过程中，凡遇到磋商文件中无界定或界定不清、前后不一致使磋商小组意见有分歧且又难以协商一致的问题，均由磋商小组予以表决，获半数以上同意的即为通过，未获半数同意的即为否决。</w:t>
      </w:r>
    </w:p>
    <w:p w14:paraId="73942B20">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61" w:name="_Toc8813"/>
      <w:bookmarkStart w:id="1062" w:name="_Toc2657"/>
      <w:bookmarkStart w:id="1063" w:name="_Toc318450729"/>
      <w:bookmarkStart w:id="1064" w:name="_Toc32291"/>
      <w:bookmarkStart w:id="1065" w:name="_Toc455080163"/>
      <w:bookmarkStart w:id="1066" w:name="_Toc22084"/>
      <w:bookmarkStart w:id="1067" w:name="_Toc455867823"/>
      <w:bookmarkStart w:id="1068" w:name="_Toc331"/>
      <w:bookmarkStart w:id="1069" w:name="_Toc10153"/>
      <w:bookmarkStart w:id="1070" w:name="_Toc490667882"/>
      <w:bookmarkStart w:id="1071" w:name="_Toc8342"/>
      <w:bookmarkStart w:id="1072" w:name="_Toc18031"/>
      <w:bookmarkStart w:id="1073" w:name="_Toc24862"/>
      <w:bookmarkStart w:id="1074" w:name="_Toc12374"/>
      <w:bookmarkStart w:id="1075" w:name="_Toc28633"/>
      <w:bookmarkStart w:id="1076" w:name="_Toc11958"/>
      <w:bookmarkStart w:id="1077" w:name="_Toc3850"/>
      <w:bookmarkStart w:id="1078" w:name="_Toc281405535"/>
      <w:bookmarkStart w:id="1079" w:name="_Toc466298146"/>
      <w:r>
        <w:rPr>
          <w:rFonts w:hint="eastAsia" w:ascii="宋体" w:hAnsi="宋体" w:eastAsia="宋体" w:cs="宋体"/>
          <w:b/>
          <w:bCs/>
          <w:color w:val="auto"/>
          <w:sz w:val="24"/>
          <w:szCs w:val="24"/>
          <w:highlight w:val="none"/>
        </w:rPr>
        <w:t>3.3 响应文件的澄清和补正</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3DD0A5F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3.3.1在磋商过程中，磋商小组可以通过电子平台澄清说明要求供应商对所提交的响应文件中不明确的内容进行书面澄清或说明，或者对细微偏离进行补正。磋商小组不接受供应商主动提出的澄清、说明或补正。</w:t>
      </w:r>
    </w:p>
    <w:p w14:paraId="5019C02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澄清、说明和补正不得超出响应文件的范围或者改变响应文件的实质性内容（算术性错误修正的除外）。供应商的书面澄清、说明和补正属于响应文件的组成部分。</w:t>
      </w:r>
    </w:p>
    <w:p w14:paraId="51FF9CB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磋商小组对供应商提交的澄清、说明或补正有疑问的，可以要求供应商进一步澄清、说明或补正，直至满足磋商小组的要求。</w:t>
      </w:r>
    </w:p>
    <w:p w14:paraId="30F3443F">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80" w:name="_Toc22049"/>
      <w:bookmarkStart w:id="1081" w:name="_Toc30053"/>
      <w:bookmarkStart w:id="1082" w:name="_Toc19453"/>
      <w:bookmarkStart w:id="1083" w:name="_Toc455867824"/>
      <w:bookmarkStart w:id="1084" w:name="_Toc281405536"/>
      <w:bookmarkStart w:id="1085" w:name="_Toc22682"/>
      <w:bookmarkStart w:id="1086" w:name="_Toc19938"/>
      <w:bookmarkStart w:id="1087" w:name="_Toc318450730"/>
      <w:bookmarkStart w:id="1088" w:name="_Toc22986"/>
      <w:bookmarkStart w:id="1089" w:name="_Toc32183"/>
      <w:bookmarkStart w:id="1090" w:name="_Toc455080164"/>
      <w:bookmarkStart w:id="1091" w:name="_Toc26894"/>
      <w:bookmarkStart w:id="1092" w:name="_Toc16718"/>
      <w:bookmarkStart w:id="1093" w:name="_Toc466298147"/>
      <w:bookmarkStart w:id="1094" w:name="_Toc29957"/>
      <w:bookmarkStart w:id="1095" w:name="_Toc12311"/>
      <w:bookmarkStart w:id="1096" w:name="_Toc1857"/>
      <w:bookmarkStart w:id="1097" w:name="_Toc490667883"/>
      <w:bookmarkStart w:id="1098" w:name="_Toc5903"/>
      <w:r>
        <w:rPr>
          <w:rFonts w:hint="eastAsia" w:ascii="宋体" w:hAnsi="宋体" w:eastAsia="宋体" w:cs="宋体"/>
          <w:b/>
          <w:bCs/>
          <w:color w:val="auto"/>
          <w:sz w:val="24"/>
          <w:szCs w:val="24"/>
          <w:highlight w:val="none"/>
        </w:rPr>
        <w:t>3.4 评审结果</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14:paraId="7FDCFD4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3.4.1除第二章“供应商须知”前附表授权直接确定成交人外，磋商小组按照得分由高到低的顺序推荐成交候选人。</w:t>
      </w:r>
    </w:p>
    <w:p w14:paraId="0B356D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 磋商小组完成评审后，应当向采购人提交书面评审报告。</w:t>
      </w:r>
    </w:p>
    <w:p w14:paraId="7350E79D">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lang w:val="en-US" w:eastAsia="zh-CN"/>
        </w:rPr>
      </w:pPr>
    </w:p>
    <w:p w14:paraId="5E50AAA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val="0"/>
          <w:color w:val="auto"/>
          <w:sz w:val="32"/>
          <w:szCs w:val="32"/>
          <w:highlight w:val="none"/>
          <w:lang w:val="en-US" w:eastAsia="zh-CN"/>
        </w:rPr>
      </w:pPr>
      <w:bookmarkStart w:id="1099" w:name="_Toc4132"/>
      <w:bookmarkStart w:id="1100" w:name="_Toc11932"/>
      <w:r>
        <w:rPr>
          <w:rFonts w:hint="eastAsia" w:ascii="宋体" w:hAnsi="宋体" w:eastAsia="宋体" w:cs="宋体"/>
          <w:b/>
          <w:bCs w:val="0"/>
          <w:color w:val="auto"/>
          <w:sz w:val="32"/>
          <w:szCs w:val="32"/>
          <w:highlight w:val="none"/>
          <w:lang w:val="en-US" w:eastAsia="zh-CN"/>
        </w:rPr>
        <w:t>附件：废标条件</w:t>
      </w:r>
      <w:bookmarkEnd w:id="1099"/>
      <w:bookmarkEnd w:id="1100"/>
    </w:p>
    <w:p w14:paraId="759635FF">
      <w:pPr>
        <w:pStyle w:val="6"/>
        <w:pageBreakBefore w:val="0"/>
        <w:widowControl w:val="0"/>
        <w:kinsoku/>
        <w:wordWrap/>
        <w:overflowPunct/>
        <w:topLinePunct w:val="0"/>
        <w:autoSpaceDE/>
        <w:autoSpaceDN/>
        <w:bidi w:val="0"/>
        <w:adjustRightInd w:val="0"/>
        <w:snapToGrid w:val="0"/>
        <w:spacing w:line="360" w:lineRule="auto"/>
        <w:textAlignment w:val="auto"/>
        <w:rPr>
          <w:rFonts w:hint="eastAsia"/>
        </w:rPr>
      </w:pPr>
      <w:bookmarkStart w:id="1101" w:name="_Toc7606"/>
      <w:r>
        <w:rPr>
          <w:rFonts w:hint="eastAsia"/>
        </w:rPr>
        <w:t>废标条件</w:t>
      </w:r>
      <w:bookmarkEnd w:id="1101"/>
    </w:p>
    <w:p w14:paraId="0B862D6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val="0"/>
          <w:color w:val="auto"/>
          <w:sz w:val="28"/>
          <w:szCs w:val="28"/>
          <w:highlight w:val="none"/>
        </w:rPr>
      </w:pPr>
    </w:p>
    <w:p w14:paraId="53EDB9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本附件所集中列示的废标条件，是本章“评标办法”的组成部分，是对第二章“</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须知”和本章正文部分所规定的废标条件的总结和补充，如果出现相互矛盾的情况，以第二章“</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须知”和本章正文部分的规定为准。</w:t>
      </w:r>
    </w:p>
    <w:p w14:paraId="451F7A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1.未通过第三章评标办法</w:t>
      </w:r>
      <w:r>
        <w:rPr>
          <w:rFonts w:hint="eastAsia" w:ascii="宋体" w:hAnsi="宋体" w:eastAsia="宋体" w:cs="宋体"/>
          <w:b w:val="0"/>
          <w:bCs/>
          <w:color w:val="auto"/>
          <w:sz w:val="24"/>
          <w:szCs w:val="24"/>
          <w:highlight w:val="none"/>
          <w:lang w:eastAsia="zh-CN"/>
        </w:rPr>
        <w:t>资格评审、符合性评审的</w:t>
      </w:r>
      <w:r>
        <w:rPr>
          <w:rFonts w:hint="eastAsia" w:ascii="宋体" w:hAnsi="宋体" w:eastAsia="宋体" w:cs="宋体"/>
          <w:b w:val="0"/>
          <w:bCs/>
          <w:color w:val="auto"/>
          <w:sz w:val="24"/>
          <w:szCs w:val="24"/>
          <w:highlight w:val="none"/>
        </w:rPr>
        <w:t xml:space="preserve">； </w:t>
      </w:r>
    </w:p>
    <w:p w14:paraId="623FFB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.不按</w:t>
      </w:r>
      <w:r>
        <w:rPr>
          <w:rFonts w:hint="eastAsia" w:ascii="宋体" w:hAnsi="宋体" w:eastAsia="宋体" w:cs="宋体"/>
          <w:b w:val="0"/>
          <w:bCs/>
          <w:color w:val="auto"/>
          <w:sz w:val="24"/>
          <w:szCs w:val="24"/>
          <w:highlight w:val="none"/>
          <w:lang w:eastAsia="zh-CN"/>
        </w:rPr>
        <w:t>磋商小组</w:t>
      </w:r>
      <w:r>
        <w:rPr>
          <w:rFonts w:hint="eastAsia" w:ascii="宋体" w:hAnsi="宋体" w:eastAsia="宋体" w:cs="宋体"/>
          <w:b w:val="0"/>
          <w:bCs/>
          <w:color w:val="auto"/>
          <w:sz w:val="24"/>
          <w:szCs w:val="24"/>
          <w:highlight w:val="none"/>
        </w:rPr>
        <w:t>要求澄清、说明或补正的；</w:t>
      </w:r>
    </w:p>
    <w:p w14:paraId="6BE4441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磋商</w:t>
      </w:r>
      <w:r>
        <w:rPr>
          <w:rFonts w:hint="eastAsia" w:ascii="宋体" w:hAnsi="宋体" w:eastAsia="宋体" w:cs="宋体"/>
          <w:b w:val="0"/>
          <w:bCs/>
          <w:color w:val="auto"/>
          <w:sz w:val="24"/>
          <w:szCs w:val="24"/>
          <w:highlight w:val="none"/>
        </w:rPr>
        <w:t>报价有算术性错误，投标人不接受修正价格的；</w:t>
      </w:r>
    </w:p>
    <w:p w14:paraId="70D8481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.以他人的名义投标、以行贿手段谋取中标或者以其他弄虚作假方式投标的；</w:t>
      </w:r>
    </w:p>
    <w:p w14:paraId="3274B25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.属于串（围）标行为的；</w:t>
      </w:r>
    </w:p>
    <w:p w14:paraId="3316B28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磋商小组</w:t>
      </w:r>
      <w:r>
        <w:rPr>
          <w:rFonts w:hint="eastAsia" w:ascii="宋体" w:hAnsi="宋体" w:eastAsia="宋体" w:cs="宋体"/>
          <w:b w:val="0"/>
          <w:bCs/>
          <w:color w:val="auto"/>
          <w:sz w:val="24"/>
          <w:szCs w:val="24"/>
          <w:highlight w:val="none"/>
        </w:rPr>
        <w:t>认定投标人以低于成本报价竞标的；</w:t>
      </w:r>
    </w:p>
    <w:p w14:paraId="74DC22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7.文件制作机器码、文件创建标识码有相同的；</w:t>
      </w:r>
    </w:p>
    <w:p w14:paraId="2DC84BE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8.明显不符合技术规格、技术标准的要求；</w:t>
      </w:r>
    </w:p>
    <w:p w14:paraId="17710B5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9.不具备竞争性磋商文件中规定的资格要求的；</w:t>
      </w:r>
    </w:p>
    <w:p w14:paraId="486BBD8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10.</w:t>
      </w:r>
      <w:r>
        <w:rPr>
          <w:rFonts w:hint="eastAsia" w:ascii="宋体" w:hAnsi="宋体" w:eastAsia="宋体" w:cs="宋体"/>
          <w:b w:val="0"/>
          <w:bCs/>
          <w:color w:val="auto"/>
          <w:sz w:val="24"/>
          <w:szCs w:val="24"/>
          <w:highlight w:val="none"/>
        </w:rPr>
        <w:t>不符合</w:t>
      </w:r>
      <w:r>
        <w:rPr>
          <w:rFonts w:hint="eastAsia" w:ascii="宋体" w:hAnsi="宋体" w:eastAsia="宋体" w:cs="宋体"/>
          <w:b w:val="0"/>
          <w:bCs/>
          <w:color w:val="auto"/>
          <w:sz w:val="24"/>
          <w:szCs w:val="24"/>
          <w:highlight w:val="none"/>
          <w:lang w:eastAsia="zh-CN"/>
        </w:rPr>
        <w:t>竞争性磋商</w:t>
      </w:r>
      <w:r>
        <w:rPr>
          <w:rFonts w:hint="eastAsia" w:ascii="宋体" w:hAnsi="宋体" w:eastAsia="宋体" w:cs="宋体"/>
          <w:b w:val="0"/>
          <w:bCs/>
          <w:color w:val="auto"/>
          <w:sz w:val="24"/>
          <w:szCs w:val="24"/>
          <w:highlight w:val="none"/>
        </w:rPr>
        <w:t>文件规定的其他实质性要求及相关法律、法规或规章规定可以废标的其他情形。</w:t>
      </w:r>
    </w:p>
    <w:p w14:paraId="3451EBE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szCs w:val="24"/>
          <w:highlight w:val="none"/>
        </w:rPr>
      </w:pPr>
    </w:p>
    <w:bookmarkEnd w:id="928"/>
    <w:bookmarkEnd w:id="929"/>
    <w:bookmarkEnd w:id="930"/>
    <w:bookmarkEnd w:id="931"/>
    <w:p w14:paraId="744FDE3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color w:val="auto"/>
          <w:sz w:val="28"/>
          <w:szCs w:val="28"/>
          <w:highlight w:val="none"/>
          <w:lang w:val="en-US" w:eastAsia="zh-CN"/>
        </w:rPr>
      </w:pPr>
      <w:bookmarkStart w:id="1102" w:name="_Toc31782"/>
      <w:bookmarkStart w:id="1103" w:name="_Toc30627"/>
      <w:bookmarkStart w:id="1104" w:name="_Toc152042575"/>
      <w:bookmarkStart w:id="1105" w:name="_Toc152045786"/>
      <w:bookmarkStart w:id="1106" w:name="_Toc144974855"/>
    </w:p>
    <w:p w14:paraId="0646481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Cs w:val="0"/>
          <w:color w:val="auto"/>
          <w:sz w:val="28"/>
          <w:szCs w:val="28"/>
          <w:highlight w:val="none"/>
          <w:lang w:eastAsia="zh-CN"/>
        </w:rPr>
      </w:pPr>
      <w:r>
        <w:rPr>
          <w:rFonts w:hint="eastAsia" w:ascii="宋体" w:hAnsi="宋体" w:eastAsia="宋体" w:cs="宋体"/>
          <w:bCs w:val="0"/>
          <w:color w:val="auto"/>
          <w:sz w:val="28"/>
          <w:szCs w:val="28"/>
          <w:highlight w:val="none"/>
        </w:rPr>
        <w:br w:type="page"/>
      </w:r>
    </w:p>
    <w:p w14:paraId="6A5C2640">
      <w:pPr>
        <w:pStyle w:val="5"/>
        <w:bidi w:val="0"/>
        <w:rPr>
          <w:rFonts w:hint="eastAsia"/>
          <w:lang w:eastAsia="zh-CN"/>
        </w:rPr>
      </w:pPr>
      <w:bookmarkStart w:id="1107" w:name="_Toc4592"/>
      <w:bookmarkStart w:id="1108" w:name="_Toc2556"/>
      <w:bookmarkStart w:id="1109" w:name="_Toc4434"/>
      <w:r>
        <w:rPr>
          <w:rFonts w:hint="eastAsia"/>
          <w:lang w:val="en-US" w:eastAsia="zh-CN"/>
        </w:rPr>
        <w:t xml:space="preserve">第四章 </w:t>
      </w:r>
      <w:r>
        <w:rPr>
          <w:rFonts w:hint="eastAsia"/>
        </w:rPr>
        <w:t>合同文本</w:t>
      </w:r>
      <w:r>
        <w:rPr>
          <w:rFonts w:hint="eastAsia"/>
          <w:lang w:eastAsia="zh-CN"/>
        </w:rPr>
        <w:t>（仅供参考）</w:t>
      </w:r>
      <w:bookmarkEnd w:id="1107"/>
      <w:bookmarkEnd w:id="1108"/>
      <w:bookmarkEnd w:id="1109"/>
    </w:p>
    <w:bookmarkEnd w:id="1102"/>
    <w:bookmarkEnd w:id="1103"/>
    <w:p w14:paraId="3CFC891F">
      <w:pPr>
        <w:spacing w:line="1000" w:lineRule="exact"/>
        <w:jc w:val="center"/>
        <w:rPr>
          <w:rFonts w:hint="eastAsia" w:ascii="宋体" w:hAnsi="宋体" w:eastAsia="宋体" w:cs="宋体"/>
          <w:b/>
          <w:bCs/>
          <w:color w:val="auto"/>
          <w:sz w:val="52"/>
          <w:szCs w:val="52"/>
          <w:highlight w:val="none"/>
          <w:u w:val="single"/>
          <w:lang w:val="en-US" w:eastAsia="zh-CN"/>
        </w:rPr>
      </w:pPr>
      <w:bookmarkStart w:id="1110" w:name="_Toc296503025"/>
      <w:bookmarkStart w:id="1111" w:name="_Toc351203480"/>
      <w:bookmarkStart w:id="1112" w:name="_Toc296890982"/>
    </w:p>
    <w:p w14:paraId="281C439C">
      <w:pPr>
        <w:spacing w:line="1000" w:lineRule="exact"/>
        <w:jc w:val="center"/>
        <w:rPr>
          <w:rFonts w:hint="eastAsia" w:ascii="宋体" w:hAnsi="宋体" w:eastAsia="宋体" w:cs="宋体"/>
          <w:b/>
          <w:color w:val="auto"/>
          <w:sz w:val="44"/>
          <w:szCs w:val="44"/>
          <w:highlight w:val="none"/>
        </w:rPr>
      </w:pPr>
      <w:r>
        <w:rPr>
          <w:rFonts w:hint="eastAsia" w:ascii="宋体" w:hAnsi="宋体" w:eastAsia="宋体" w:cs="宋体"/>
          <w:b/>
          <w:bCs/>
          <w:color w:val="auto"/>
          <w:sz w:val="52"/>
          <w:szCs w:val="52"/>
          <w:highlight w:val="none"/>
          <w:u w:val="single"/>
          <w:lang w:val="en-US" w:eastAsia="zh-CN"/>
        </w:rPr>
        <w:t xml:space="preserve">                  </w:t>
      </w:r>
      <w:r>
        <w:rPr>
          <w:rFonts w:hint="eastAsia" w:ascii="宋体" w:hAnsi="宋体" w:eastAsia="宋体" w:cs="宋体"/>
          <w:b/>
          <w:bCs/>
          <w:color w:val="auto"/>
          <w:sz w:val="52"/>
          <w:szCs w:val="52"/>
          <w:highlight w:val="none"/>
        </w:rPr>
        <w:t>项目</w:t>
      </w:r>
      <w:r>
        <w:rPr>
          <w:rFonts w:hint="eastAsia" w:ascii="宋体" w:hAnsi="宋体" w:eastAsia="宋体" w:cs="宋体"/>
          <w:b/>
          <w:bCs/>
          <w:color w:val="auto"/>
          <w:sz w:val="52"/>
          <w:szCs w:val="52"/>
          <w:highlight w:val="none"/>
          <w:lang w:val="en-US" w:eastAsia="zh-CN"/>
        </w:rPr>
        <w:t>名称</w:t>
      </w:r>
      <w:r>
        <w:rPr>
          <w:rFonts w:hint="eastAsia" w:ascii="宋体" w:hAnsi="宋体" w:eastAsia="宋体" w:cs="宋体"/>
          <w:b/>
          <w:color w:val="auto"/>
          <w:sz w:val="48"/>
          <w:szCs w:val="48"/>
          <w:highlight w:val="none"/>
        </w:rPr>
        <w:t xml:space="preserve"> </w:t>
      </w:r>
    </w:p>
    <w:p w14:paraId="3979FF67">
      <w:pPr>
        <w:pStyle w:val="55"/>
        <w:spacing w:line="540" w:lineRule="exact"/>
        <w:jc w:val="center"/>
        <w:rPr>
          <w:rFonts w:hint="eastAsia" w:ascii="宋体" w:hAnsi="宋体" w:eastAsia="宋体" w:cs="宋体"/>
          <w:b w:val="0"/>
          <w:color w:val="auto"/>
          <w:sz w:val="44"/>
          <w:szCs w:val="44"/>
          <w:highlight w:val="none"/>
        </w:rPr>
      </w:pPr>
    </w:p>
    <w:p w14:paraId="288076DA">
      <w:pPr>
        <w:pStyle w:val="55"/>
        <w:spacing w:line="540" w:lineRule="exact"/>
        <w:jc w:val="center"/>
        <w:rPr>
          <w:rFonts w:hint="eastAsia" w:ascii="宋体" w:hAnsi="宋体" w:eastAsia="宋体" w:cs="宋体"/>
          <w:b w:val="0"/>
          <w:color w:val="auto"/>
          <w:sz w:val="44"/>
          <w:szCs w:val="44"/>
          <w:highlight w:val="none"/>
        </w:rPr>
      </w:pPr>
    </w:p>
    <w:p w14:paraId="5AED3788">
      <w:pPr>
        <w:pStyle w:val="55"/>
        <w:spacing w:line="540" w:lineRule="exact"/>
        <w:jc w:val="center"/>
        <w:rPr>
          <w:rFonts w:hint="eastAsia" w:ascii="宋体" w:hAnsi="宋体" w:eastAsia="宋体" w:cs="宋体"/>
          <w:b w:val="0"/>
          <w:color w:val="auto"/>
          <w:sz w:val="44"/>
          <w:szCs w:val="44"/>
          <w:highlight w:val="none"/>
        </w:rPr>
      </w:pPr>
    </w:p>
    <w:p w14:paraId="58D7F115">
      <w:pPr>
        <w:pStyle w:val="55"/>
        <w:spacing w:line="540" w:lineRule="exact"/>
        <w:jc w:val="both"/>
        <w:rPr>
          <w:rFonts w:hint="eastAsia" w:ascii="宋体" w:hAnsi="宋体" w:eastAsia="宋体" w:cs="宋体"/>
          <w:b w:val="0"/>
          <w:color w:val="auto"/>
          <w:sz w:val="44"/>
          <w:szCs w:val="44"/>
          <w:highlight w:val="none"/>
        </w:rPr>
      </w:pPr>
    </w:p>
    <w:p w14:paraId="39C7930F">
      <w:pPr>
        <w:jc w:val="center"/>
        <w:rPr>
          <w:rFonts w:hint="eastAsia" w:ascii="宋体" w:hAnsi="宋体" w:eastAsia="宋体" w:cs="宋体"/>
          <w:b/>
          <w:color w:val="auto"/>
          <w:sz w:val="52"/>
          <w:szCs w:val="52"/>
          <w:highlight w:val="none"/>
        </w:rPr>
      </w:pPr>
      <w:bookmarkStart w:id="1113" w:name="_Toc27076"/>
      <w:bookmarkStart w:id="1114" w:name="_Toc29573"/>
      <w:r>
        <w:rPr>
          <w:rFonts w:hint="eastAsia" w:ascii="宋体" w:hAnsi="宋体" w:eastAsia="宋体" w:cs="宋体"/>
          <w:b/>
          <w:color w:val="auto"/>
          <w:sz w:val="52"/>
          <w:szCs w:val="52"/>
          <w:highlight w:val="none"/>
        </w:rPr>
        <w:t>合</w:t>
      </w:r>
      <w:bookmarkEnd w:id="1113"/>
      <w:bookmarkEnd w:id="1114"/>
    </w:p>
    <w:p w14:paraId="58463983">
      <w:pPr>
        <w:jc w:val="center"/>
        <w:rPr>
          <w:rFonts w:hint="eastAsia" w:ascii="宋体" w:hAnsi="宋体" w:eastAsia="宋体" w:cs="宋体"/>
          <w:b/>
          <w:color w:val="auto"/>
          <w:sz w:val="52"/>
          <w:szCs w:val="52"/>
          <w:highlight w:val="none"/>
        </w:rPr>
      </w:pPr>
    </w:p>
    <w:p w14:paraId="3C60E2B5">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同</w:t>
      </w:r>
    </w:p>
    <w:p w14:paraId="0FD78500">
      <w:pPr>
        <w:jc w:val="center"/>
        <w:rPr>
          <w:rFonts w:hint="eastAsia" w:ascii="宋体" w:hAnsi="宋体" w:eastAsia="宋体" w:cs="宋体"/>
          <w:b/>
          <w:color w:val="auto"/>
          <w:sz w:val="52"/>
          <w:szCs w:val="52"/>
          <w:highlight w:val="none"/>
        </w:rPr>
      </w:pPr>
    </w:p>
    <w:p w14:paraId="3B11C532">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书</w:t>
      </w:r>
    </w:p>
    <w:p w14:paraId="239D56C7">
      <w:pPr>
        <w:pStyle w:val="55"/>
        <w:spacing w:line="540" w:lineRule="exact"/>
        <w:rPr>
          <w:rFonts w:hint="eastAsia" w:ascii="宋体" w:hAnsi="宋体" w:eastAsia="宋体" w:cs="宋体"/>
          <w:b w:val="0"/>
          <w:color w:val="auto"/>
          <w:sz w:val="30"/>
          <w:szCs w:val="30"/>
          <w:highlight w:val="none"/>
        </w:rPr>
      </w:pPr>
    </w:p>
    <w:p w14:paraId="6CE472C4">
      <w:pPr>
        <w:pStyle w:val="55"/>
        <w:spacing w:line="540" w:lineRule="exact"/>
        <w:rPr>
          <w:rFonts w:hint="eastAsia" w:ascii="宋体" w:hAnsi="宋体" w:eastAsia="宋体" w:cs="宋体"/>
          <w:b w:val="0"/>
          <w:color w:val="auto"/>
          <w:sz w:val="30"/>
          <w:szCs w:val="30"/>
          <w:highlight w:val="none"/>
        </w:rPr>
      </w:pPr>
    </w:p>
    <w:p w14:paraId="4126DE83">
      <w:pPr>
        <w:widowControl/>
        <w:tabs>
          <w:tab w:val="left" w:pos="5446"/>
        </w:tabs>
        <w:spacing w:line="360" w:lineRule="auto"/>
        <w:ind w:left="2211" w:leftChars="400" w:hanging="1251" w:hangingChars="417"/>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项 目 名 称 ：</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51A8B019">
      <w:pPr>
        <w:widowControl/>
        <w:tabs>
          <w:tab w:val="left" w:pos="5446"/>
        </w:tabs>
        <w:spacing w:line="360" w:lineRule="auto"/>
        <w:ind w:left="2211" w:leftChars="400" w:hanging="1251" w:hangingChars="417"/>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委托方（甲方）：</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24DAD2E4">
      <w:pPr>
        <w:widowControl/>
        <w:tabs>
          <w:tab w:val="left" w:pos="5326"/>
        </w:tabs>
        <w:spacing w:line="360" w:lineRule="auto"/>
        <w:ind w:left="2211" w:leftChars="400" w:hanging="1251" w:hangingChars="417"/>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承揽方（乙方）：</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0793EFCE">
      <w:pPr>
        <w:widowControl/>
        <w:spacing w:line="400" w:lineRule="exact"/>
        <w:jc w:val="center"/>
        <w:rPr>
          <w:rFonts w:hint="eastAsia" w:ascii="宋体" w:hAnsi="宋体" w:eastAsia="宋体" w:cs="宋体"/>
          <w:color w:val="auto"/>
          <w:sz w:val="28"/>
          <w:szCs w:val="28"/>
          <w:highlight w:val="none"/>
        </w:rPr>
      </w:pPr>
    </w:p>
    <w:p w14:paraId="5DF5ABBB">
      <w:pPr>
        <w:widowControl/>
        <w:spacing w:line="400" w:lineRule="exact"/>
        <w:jc w:val="center"/>
        <w:rPr>
          <w:rFonts w:hint="eastAsia" w:ascii="宋体" w:hAnsi="宋体" w:eastAsia="宋体" w:cs="宋体"/>
          <w:color w:val="auto"/>
          <w:sz w:val="28"/>
          <w:szCs w:val="28"/>
          <w:highlight w:val="none"/>
        </w:rPr>
      </w:pPr>
    </w:p>
    <w:p w14:paraId="25A839B9">
      <w:pPr>
        <w:spacing w:line="360" w:lineRule="auto"/>
        <w:jc w:val="center"/>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rPr>
        <w:t>签订日期：</w:t>
      </w:r>
      <w:r>
        <w:rPr>
          <w:rFonts w:hint="eastAsia" w:ascii="宋体" w:hAnsi="宋体" w:eastAsia="宋体" w:cs="宋体"/>
          <w:bCs/>
          <w:color w:val="auto"/>
          <w:sz w:val="30"/>
          <w:szCs w:val="30"/>
          <w:highlight w:val="none"/>
          <w:lang w:val="en-US" w:eastAsia="zh-CN"/>
        </w:rPr>
        <w:t xml:space="preserve">  </w:t>
      </w:r>
      <w:r>
        <w:rPr>
          <w:rFonts w:hint="eastAsia" w:ascii="宋体" w:hAnsi="宋体" w:eastAsia="宋体" w:cs="宋体"/>
          <w:bCs/>
          <w:color w:val="auto"/>
          <w:sz w:val="30"/>
          <w:szCs w:val="30"/>
          <w:highlight w:val="none"/>
        </w:rPr>
        <w:t xml:space="preserve">年 </w:t>
      </w:r>
      <w:r>
        <w:rPr>
          <w:rFonts w:hint="eastAsia" w:ascii="宋体" w:hAnsi="宋体" w:eastAsia="宋体" w:cs="宋体"/>
          <w:bCs/>
          <w:color w:val="auto"/>
          <w:sz w:val="30"/>
          <w:szCs w:val="30"/>
          <w:highlight w:val="none"/>
          <w:lang w:val="en-US" w:eastAsia="zh-CN"/>
        </w:rPr>
        <w:t xml:space="preserve"> </w:t>
      </w:r>
      <w:r>
        <w:rPr>
          <w:rFonts w:hint="eastAsia" w:ascii="宋体" w:hAnsi="宋体" w:eastAsia="宋体" w:cs="宋体"/>
          <w:bCs/>
          <w:color w:val="auto"/>
          <w:sz w:val="30"/>
          <w:szCs w:val="30"/>
          <w:highlight w:val="none"/>
        </w:rPr>
        <w:t>月  日</w:t>
      </w:r>
      <w:bookmarkStart w:id="1115" w:name="page38"/>
      <w:bookmarkEnd w:id="1115"/>
    </w:p>
    <w:bookmarkEnd w:id="1110"/>
    <w:bookmarkEnd w:id="1111"/>
    <w:bookmarkEnd w:id="1112"/>
    <w:p w14:paraId="1953E5E3">
      <w:pPr>
        <w:pStyle w:val="6"/>
        <w:bidi w:val="0"/>
        <w:rPr>
          <w:rFonts w:hint="eastAsia"/>
          <w:lang w:val="en-US" w:eastAsia="zh-CN"/>
        </w:rPr>
      </w:pPr>
      <w:bookmarkStart w:id="1116" w:name="_Toc12867"/>
      <w:bookmarkStart w:id="1117" w:name="_Toc11501"/>
      <w:bookmarkStart w:id="1118" w:name="_Toc27865"/>
      <w:r>
        <w:rPr>
          <w:rFonts w:hint="eastAsia"/>
          <w:lang w:val="en-US" w:eastAsia="zh-CN"/>
        </w:rPr>
        <w:t>第一部分 合同协议书</w:t>
      </w:r>
      <w:bookmarkEnd w:id="1116"/>
      <w:bookmarkEnd w:id="1117"/>
      <w:bookmarkEnd w:id="1118"/>
    </w:p>
    <w:p w14:paraId="7AC4E57D">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color w:val="auto"/>
          <w:sz w:val="24"/>
          <w:szCs w:val="24"/>
          <w:highlight w:val="none"/>
          <w:u w:val="single"/>
          <w:lang w:val="en-US" w:eastAsia="zh-CN"/>
        </w:rPr>
      </w:pPr>
      <w:r>
        <w:rPr>
          <w:rFonts w:hint="eastAsia" w:ascii="宋体" w:hAnsi="宋体" w:eastAsia="宋体" w:cs="宋体"/>
          <w:b/>
          <w:color w:val="auto"/>
          <w:sz w:val="24"/>
          <w:szCs w:val="24"/>
          <w:highlight w:val="none"/>
          <w:lang w:val="en-US" w:eastAsia="zh-CN"/>
        </w:rPr>
        <w:t>甲方</w:t>
      </w:r>
      <w:r>
        <w:rPr>
          <w:rFonts w:hint="eastAsia" w:ascii="宋体" w:hAnsi="宋体" w:eastAsia="宋体" w:cs="宋体"/>
          <w:b/>
          <w:color w:val="auto"/>
          <w:sz w:val="24"/>
          <w:szCs w:val="24"/>
          <w:highlight w:val="none"/>
        </w:rPr>
        <w:t>（全称）：</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lang w:val="en-US" w:eastAsia="zh-CN"/>
        </w:rPr>
        <w:t xml:space="preserve">                       </w:t>
      </w:r>
    </w:p>
    <w:p w14:paraId="6F757B9A">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color w:val="auto"/>
          <w:sz w:val="24"/>
          <w:szCs w:val="24"/>
          <w:highlight w:val="none"/>
          <w:u w:val="single"/>
          <w:lang w:val="en-US" w:eastAsia="zh-CN"/>
        </w:rPr>
      </w:pPr>
      <w:r>
        <w:rPr>
          <w:rFonts w:hint="eastAsia" w:ascii="宋体" w:hAnsi="宋体" w:eastAsia="宋体" w:cs="宋体"/>
          <w:b/>
          <w:color w:val="auto"/>
          <w:sz w:val="24"/>
          <w:szCs w:val="24"/>
          <w:highlight w:val="none"/>
          <w:lang w:val="en-US" w:eastAsia="zh-CN"/>
        </w:rPr>
        <w:t>乙方</w:t>
      </w:r>
      <w:r>
        <w:rPr>
          <w:rFonts w:hint="eastAsia" w:ascii="宋体" w:hAnsi="宋体" w:eastAsia="宋体" w:cs="宋体"/>
          <w:b/>
          <w:color w:val="auto"/>
          <w:sz w:val="24"/>
          <w:szCs w:val="24"/>
          <w:highlight w:val="none"/>
        </w:rPr>
        <w:t>（全称）：</w:t>
      </w:r>
      <w:r>
        <w:rPr>
          <w:rFonts w:hint="eastAsia" w:ascii="宋体" w:hAnsi="宋体" w:eastAsia="宋体" w:cs="宋体"/>
          <w:b/>
          <w:color w:val="auto"/>
          <w:sz w:val="24"/>
          <w:szCs w:val="24"/>
          <w:highlight w:val="none"/>
          <w:u w:val="single"/>
          <w:lang w:val="en-US" w:eastAsia="zh-CN"/>
        </w:rPr>
        <w:t xml:space="preserve">                                   </w:t>
      </w:r>
    </w:p>
    <w:p w14:paraId="492FFA12">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工程施工及有关事项协商一致，共同达成如下协议：</w:t>
      </w:r>
    </w:p>
    <w:p w14:paraId="7AE537B7">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19" w:name="_Toc351203481"/>
      <w:r>
        <w:rPr>
          <w:rFonts w:hint="eastAsia" w:ascii="宋体" w:hAnsi="宋体" w:eastAsia="宋体" w:cs="宋体"/>
          <w:b/>
          <w:bCs/>
          <w:color w:val="auto"/>
          <w:sz w:val="24"/>
          <w:szCs w:val="24"/>
          <w:highlight w:val="none"/>
          <w:lang w:val="en-US" w:eastAsia="zh-CN"/>
        </w:rPr>
        <w:t>一、工程概况</w:t>
      </w:r>
      <w:bookmarkEnd w:id="1119"/>
    </w:p>
    <w:p w14:paraId="0344937A">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FB8CA9D">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2.工程地点：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535E1EF5">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3.工程立项批准文号：</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1E6CA2F0">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4.资金来源：</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7C9196C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5.工程内容：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16EA0360">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群体工程应附《承包人承揽工程项目一览表》（附件1）。</w:t>
      </w:r>
    </w:p>
    <w:p w14:paraId="04BA3EE8">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kern w:val="2"/>
          <w:sz w:val="24"/>
          <w:szCs w:val="24"/>
          <w:highlight w:val="none"/>
          <w:lang w:val="en-US" w:eastAsia="zh-CN" w:bidi="ar-SA"/>
        </w:rPr>
        <w:t>6.</w:t>
      </w:r>
      <w:r>
        <w:rPr>
          <w:rFonts w:hint="eastAsia" w:ascii="宋体" w:hAnsi="宋体" w:eastAsia="宋体" w:cs="宋体"/>
          <w:bCs/>
          <w:color w:val="auto"/>
          <w:sz w:val="24"/>
          <w:szCs w:val="24"/>
          <w:highlight w:val="none"/>
        </w:rPr>
        <w:t>工程承包范围：</w:t>
      </w:r>
      <w:r>
        <w:rPr>
          <w:rFonts w:hint="eastAsia" w:ascii="宋体" w:hAnsi="宋体" w:eastAsia="宋体" w:cs="宋体"/>
          <w:bCs/>
          <w:color w:val="auto"/>
          <w:sz w:val="24"/>
          <w:szCs w:val="24"/>
          <w:highlight w:val="none"/>
          <w:u w:val="single"/>
          <w:lang w:val="en-US" w:eastAsia="zh-CN"/>
        </w:rPr>
        <w:t xml:space="preserve">                                         </w:t>
      </w:r>
    </w:p>
    <w:p w14:paraId="29D952D2">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u w:val="single"/>
          <w:lang w:val="en-US" w:eastAsia="zh-CN"/>
        </w:rPr>
        <w:t xml:space="preserve">                                                       。</w:t>
      </w:r>
    </w:p>
    <w:p w14:paraId="239AB8C6">
      <w:pPr>
        <w:pageBreakBefore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二、</w:t>
      </w:r>
      <w:r>
        <w:rPr>
          <w:rFonts w:hint="eastAsia" w:ascii="宋体" w:hAnsi="宋体" w:eastAsia="宋体" w:cs="宋体"/>
          <w:b/>
          <w:bCs/>
          <w:color w:val="auto"/>
          <w:sz w:val="24"/>
          <w:szCs w:val="24"/>
          <w:highlight w:val="none"/>
          <w:lang w:val="en-US" w:eastAsia="zh-CN"/>
        </w:rPr>
        <w:t>合同工期</w:t>
      </w:r>
    </w:p>
    <w:p w14:paraId="4CB8B7E8">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17FA310">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5ACFE517">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w:t>
      </w:r>
    </w:p>
    <w:p w14:paraId="52243562">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0" w:name="_Toc351203483"/>
      <w:r>
        <w:rPr>
          <w:rFonts w:hint="eastAsia" w:ascii="宋体" w:hAnsi="宋体" w:eastAsia="宋体" w:cs="宋体"/>
          <w:b/>
          <w:bCs/>
          <w:color w:val="auto"/>
          <w:sz w:val="24"/>
          <w:szCs w:val="24"/>
          <w:highlight w:val="none"/>
          <w:lang w:val="en-US" w:eastAsia="zh-CN"/>
        </w:rPr>
        <w:t>三、质量标准</w:t>
      </w:r>
      <w:bookmarkEnd w:id="1120"/>
    </w:p>
    <w:p w14:paraId="7EDE958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标准。</w:t>
      </w:r>
    </w:p>
    <w:p w14:paraId="41D8ABFF">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1" w:name="_Toc351203484"/>
      <w:r>
        <w:rPr>
          <w:rFonts w:hint="eastAsia" w:ascii="宋体" w:hAnsi="宋体" w:eastAsia="宋体" w:cs="宋体"/>
          <w:b/>
          <w:bCs/>
          <w:color w:val="auto"/>
          <w:sz w:val="24"/>
          <w:szCs w:val="24"/>
          <w:highlight w:val="none"/>
          <w:lang w:val="en-US" w:eastAsia="zh-CN"/>
        </w:rPr>
        <w:t>四、签约合同价与合同价格形式</w:t>
      </w:r>
      <w:bookmarkEnd w:id="1121"/>
      <w:r>
        <w:rPr>
          <w:rFonts w:hint="eastAsia" w:ascii="宋体" w:hAnsi="宋体" w:eastAsia="宋体" w:cs="宋体"/>
          <w:b/>
          <w:bCs/>
          <w:color w:val="auto"/>
          <w:sz w:val="24"/>
          <w:szCs w:val="24"/>
          <w:highlight w:val="none"/>
          <w:lang w:val="en-US" w:eastAsia="zh-CN"/>
        </w:rPr>
        <w:tab/>
      </w:r>
    </w:p>
    <w:p w14:paraId="04BD1B0B">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1.签约合同价为：</w:t>
      </w:r>
    </w:p>
    <w:p w14:paraId="27E9597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475B879">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五、工程款支付方式结款方式：</w:t>
      </w:r>
    </w:p>
    <w:p w14:paraId="75E510B2">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1.合同签订之日，甲方付给乙方</w:t>
      </w:r>
      <w:r>
        <w:rPr>
          <w:rFonts w:hint="eastAsia" w:ascii="宋体" w:hAnsi="宋体" w:eastAsia="宋体" w:cs="宋体"/>
          <w:b w:val="0"/>
          <w:color w:val="auto"/>
          <w:sz w:val="24"/>
          <w:szCs w:val="24"/>
          <w:highlight w:val="none"/>
          <w:u w:val="single"/>
          <w:lang w:val="en-US" w:eastAsia="zh-CN"/>
        </w:rPr>
        <w:t xml:space="preserve">        </w:t>
      </w:r>
      <w:r>
        <w:rPr>
          <w:rFonts w:hint="eastAsia" w:ascii="宋体" w:hAnsi="宋体" w:eastAsia="宋体" w:cs="宋体"/>
          <w:b w:val="0"/>
          <w:color w:val="auto"/>
          <w:sz w:val="24"/>
          <w:szCs w:val="24"/>
          <w:highlight w:val="none"/>
          <w:lang w:val="en-US" w:eastAsia="zh-CN"/>
        </w:rPr>
        <w:t>元为预付款。</w:t>
      </w:r>
    </w:p>
    <w:p w14:paraId="4D4F06E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 乙方材料及工人进场再付工程款</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p>
    <w:p w14:paraId="20C89A23">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3.工程全部结束验收合格后,甲方向乙方付清余款。</w:t>
      </w:r>
    </w:p>
    <w:p w14:paraId="0435ADB7">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 工程结束三天内为工程验收期，逾期视为工程合格。</w:t>
      </w:r>
    </w:p>
    <w:p w14:paraId="28514BF9">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六、项目经理</w:t>
      </w:r>
    </w:p>
    <w:p w14:paraId="682F263D">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5F931C37">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2" w:name="_Toc351203487"/>
      <w:r>
        <w:rPr>
          <w:rFonts w:hint="eastAsia" w:ascii="宋体" w:hAnsi="宋体" w:eastAsia="宋体" w:cs="宋体"/>
          <w:b/>
          <w:bCs/>
          <w:color w:val="auto"/>
          <w:sz w:val="24"/>
          <w:szCs w:val="24"/>
          <w:highlight w:val="none"/>
          <w:lang w:val="en-US" w:eastAsia="zh-CN"/>
        </w:rPr>
        <w:t>七、承诺</w:t>
      </w:r>
      <w:bookmarkEnd w:id="1122"/>
    </w:p>
    <w:p w14:paraId="2258D9EB">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1.发包人承诺按照法律规定履行项目审批手续、筹集工程建设资资金并按照合同约定的期限和方式支付合同价款</w:t>
      </w:r>
      <w:r>
        <w:rPr>
          <w:rFonts w:hint="eastAsia" w:ascii="宋体" w:hAnsi="宋体" w:eastAsia="宋体" w:cs="宋体"/>
          <w:bCs/>
          <w:color w:val="auto"/>
          <w:sz w:val="24"/>
          <w:szCs w:val="24"/>
          <w:highlight w:val="none"/>
          <w:lang w:eastAsia="zh-CN"/>
        </w:rPr>
        <w:t>。</w:t>
      </w:r>
    </w:p>
    <w:p w14:paraId="58051220">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bCs/>
          <w:color w:val="auto"/>
          <w:spacing w:val="-6"/>
          <w:sz w:val="24"/>
          <w:szCs w:val="24"/>
          <w:highlight w:val="none"/>
        </w:rPr>
        <w:t>承包人承诺按照法律规定及合同约定组织完成工程施工，确保工程质量和安全，不进行转包及违法分包，并在缺陷责任期及保修期内承担相应的工程维修责任。</w:t>
      </w:r>
    </w:p>
    <w:p w14:paraId="66CA04D5">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3.发包人和承包人通过招投标形式签订合同的，双方理解并承诺不再就同一工程另行签订与合同实质性内容相背离的协议。</w:t>
      </w:r>
    </w:p>
    <w:p w14:paraId="1FEC7742">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3" w:name="_Toc351203489"/>
      <w:r>
        <w:rPr>
          <w:rFonts w:hint="eastAsia" w:ascii="宋体" w:hAnsi="宋体" w:eastAsia="宋体" w:cs="宋体"/>
          <w:b/>
          <w:bCs/>
          <w:color w:val="auto"/>
          <w:sz w:val="24"/>
          <w:szCs w:val="24"/>
          <w:highlight w:val="none"/>
          <w:lang w:val="en-US" w:eastAsia="zh-CN"/>
        </w:rPr>
        <w:t>八、签订时间</w:t>
      </w:r>
      <w:bookmarkEnd w:id="1123"/>
    </w:p>
    <w:p w14:paraId="2764F01D">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本合同于</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日签订。</w:t>
      </w:r>
    </w:p>
    <w:p w14:paraId="2C7CFCC9">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val="0"/>
          <w:bCs/>
          <w:color w:val="auto"/>
          <w:sz w:val="24"/>
          <w:szCs w:val="24"/>
          <w:highlight w:val="none"/>
        </w:rPr>
      </w:pPr>
      <w:bookmarkStart w:id="1124" w:name="_Toc351203493"/>
      <w:r>
        <w:rPr>
          <w:rFonts w:hint="eastAsia" w:ascii="宋体" w:hAnsi="宋体" w:eastAsia="宋体" w:cs="宋体"/>
          <w:b w:val="0"/>
          <w:bCs/>
          <w:color w:val="auto"/>
          <w:sz w:val="24"/>
          <w:szCs w:val="24"/>
          <w:highlight w:val="none"/>
          <w:lang w:val="en-US" w:eastAsia="zh-CN"/>
        </w:rPr>
        <w:t>九</w:t>
      </w:r>
      <w:r>
        <w:rPr>
          <w:rFonts w:hint="eastAsia" w:ascii="宋体" w:hAnsi="宋体" w:eastAsia="宋体" w:cs="宋体"/>
          <w:b w:val="0"/>
          <w:bCs/>
          <w:color w:val="auto"/>
          <w:sz w:val="24"/>
          <w:szCs w:val="24"/>
          <w:highlight w:val="none"/>
        </w:rPr>
        <w:t>、合同份数</w:t>
      </w:r>
      <w:bookmarkEnd w:id="1124"/>
    </w:p>
    <w:p w14:paraId="15AD425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本合同一式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份，均具有同等法律效力，发包人执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份，承包人执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w:t>
      </w:r>
    </w:p>
    <w:p w14:paraId="1FFEAB1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p>
    <w:p w14:paraId="7C2B9E06">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发包人：  (公章)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承包人：  (公章)</w:t>
      </w:r>
    </w:p>
    <w:p w14:paraId="4F2B1F26">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法定代表人或其委托代理人：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法定代表人或其委托代理人：</w:t>
      </w:r>
    </w:p>
    <w:p w14:paraId="7EB40F7B">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（签字）</w:t>
      </w:r>
    </w:p>
    <w:p w14:paraId="653A69C3">
      <w:pPr>
        <w:pageBreakBefore w:val="0"/>
        <w:tabs>
          <w:tab w:val="left" w:pos="441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C9589EE">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p>
    <w:p w14:paraId="181E884D">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p>
    <w:p w14:paraId="1FD2B5ED">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p>
    <w:p w14:paraId="42A4F498">
      <w:pPr>
        <w:pStyle w:val="3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p>
    <w:p w14:paraId="44CCF7F0">
      <w:pPr>
        <w:pStyle w:val="3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合同融资注意事项：</w:t>
      </w:r>
    </w:p>
    <w:p w14:paraId="77958649">
      <w:pPr>
        <w:pStyle w:val="3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此合同可以用于政府采购合同融资。</w:t>
      </w:r>
      <w:r>
        <w:rPr>
          <w:rFonts w:hint="eastAsia" w:ascii="宋体" w:hAnsi="宋体" w:eastAsia="宋体" w:cs="宋体"/>
          <w:b/>
          <w:bCs/>
          <w:color w:val="auto"/>
          <w:sz w:val="24"/>
          <w:szCs w:val="24"/>
          <w:highlight w:val="none"/>
          <w:lang w:eastAsia="zh-CN"/>
        </w:rPr>
        <w:t>供应商预进行合同融资的，在签订合同时，供应商的合同账号需为合同融资行指定的账户和账号。</w:t>
      </w:r>
    </w:p>
    <w:p w14:paraId="2B2AE645">
      <w:pPr>
        <w:pStyle w:val="30"/>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预进行合同融资的合同，采购人在合同备案时，需将备案系统中供应商默认账户和账号修改为合同融资行指定的账户和账号，然后再提交合同备案。</w:t>
      </w:r>
    </w:p>
    <w:p w14:paraId="1BCABE8B">
      <w:pPr>
        <w:rPr>
          <w:rFonts w:hint="eastAsia" w:ascii="宋体" w:hAnsi="宋体" w:eastAsia="宋体" w:cs="宋体"/>
          <w:color w:val="auto"/>
          <w:highlight w:val="none"/>
          <w:lang w:val="en-US" w:eastAsia="zh-CN"/>
        </w:rPr>
      </w:pPr>
      <w:r>
        <w:rPr>
          <w:rFonts w:hint="eastAsia" w:ascii="宋体" w:hAnsi="宋体" w:eastAsia="宋体" w:cs="宋体"/>
          <w:b/>
          <w:bCs/>
          <w:color w:val="auto"/>
          <w:sz w:val="21"/>
          <w:szCs w:val="21"/>
          <w:highlight w:val="none"/>
          <w:lang w:eastAsia="zh-CN"/>
        </w:rPr>
        <w:br w:type="page"/>
      </w:r>
    </w:p>
    <w:p w14:paraId="5B175852">
      <w:pPr>
        <w:pStyle w:val="6"/>
        <w:bidi w:val="0"/>
        <w:rPr>
          <w:rFonts w:hint="eastAsia"/>
          <w:lang w:val="en-US" w:eastAsia="zh-CN"/>
        </w:rPr>
      </w:pPr>
      <w:bookmarkStart w:id="1125" w:name="_Toc30095"/>
      <w:bookmarkStart w:id="1126" w:name="_Toc7330"/>
      <w:bookmarkStart w:id="1127" w:name="_Toc27669"/>
      <w:r>
        <w:rPr>
          <w:rFonts w:hint="eastAsia"/>
          <w:lang w:val="en-US" w:eastAsia="zh-CN"/>
        </w:rPr>
        <w:t>第二节 通用合同条款</w:t>
      </w:r>
      <w:bookmarkEnd w:id="1125"/>
      <w:bookmarkEnd w:id="1126"/>
      <w:bookmarkEnd w:id="1127"/>
    </w:p>
    <w:p w14:paraId="01A87599">
      <w:pPr>
        <w:pageBreakBefore w:val="0"/>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采用（GF—2017—0201）标准合同文件中通用合同条款（此处略）。</w:t>
      </w:r>
    </w:p>
    <w:p w14:paraId="306FF0E9">
      <w:pPr>
        <w:pStyle w:val="7"/>
        <w:numPr>
          <w:ilvl w:val="2"/>
          <w:numId w:val="0"/>
        </w:numPr>
        <w:spacing w:before="0" w:beforeLines="0" w:after="0" w:afterLines="0" w:line="360" w:lineRule="auto"/>
        <w:jc w:val="center"/>
        <w:outlineLvl w:val="9"/>
        <w:rPr>
          <w:rFonts w:hint="eastAsia" w:ascii="宋体" w:hAnsi="宋体" w:eastAsia="宋体" w:cs="宋体"/>
          <w:color w:val="auto"/>
          <w:sz w:val="21"/>
          <w:szCs w:val="21"/>
          <w:highlight w:val="none"/>
        </w:rPr>
      </w:pPr>
      <w:bookmarkStart w:id="1128" w:name="_Toc14756"/>
    </w:p>
    <w:p w14:paraId="75BCBD34">
      <w:pPr>
        <w:pStyle w:val="7"/>
        <w:numPr>
          <w:ilvl w:val="2"/>
          <w:numId w:val="0"/>
        </w:numPr>
        <w:spacing w:before="0" w:beforeLines="0" w:after="0" w:afterLines="0" w:line="360" w:lineRule="auto"/>
        <w:jc w:val="center"/>
        <w:outlineLvl w:val="9"/>
        <w:rPr>
          <w:rFonts w:hint="eastAsia" w:ascii="宋体" w:hAnsi="宋体" w:eastAsia="宋体" w:cs="宋体"/>
          <w:color w:val="auto"/>
          <w:sz w:val="21"/>
          <w:szCs w:val="21"/>
          <w:highlight w:val="none"/>
        </w:rPr>
      </w:pPr>
    </w:p>
    <w:p w14:paraId="470F955D">
      <w:pPr>
        <w:spacing w:line="360" w:lineRule="auto"/>
        <w:rPr>
          <w:rFonts w:hint="eastAsia" w:ascii="宋体" w:hAnsi="宋体" w:eastAsia="宋体" w:cs="宋体"/>
          <w:color w:val="auto"/>
          <w:szCs w:val="21"/>
          <w:highlight w:val="none"/>
        </w:rPr>
      </w:pPr>
    </w:p>
    <w:p w14:paraId="37BD5EA2">
      <w:pPr>
        <w:spacing w:line="360" w:lineRule="auto"/>
        <w:rPr>
          <w:rFonts w:hint="eastAsia" w:ascii="宋体" w:hAnsi="宋体" w:eastAsia="宋体" w:cs="宋体"/>
          <w:color w:val="auto"/>
          <w:szCs w:val="21"/>
          <w:highlight w:val="none"/>
        </w:rPr>
      </w:pPr>
    </w:p>
    <w:p w14:paraId="3CC87A99">
      <w:pPr>
        <w:spacing w:line="360" w:lineRule="auto"/>
        <w:rPr>
          <w:rFonts w:hint="eastAsia" w:ascii="宋体" w:hAnsi="宋体" w:eastAsia="宋体" w:cs="宋体"/>
          <w:color w:val="auto"/>
          <w:szCs w:val="21"/>
          <w:highlight w:val="none"/>
        </w:rPr>
      </w:pPr>
    </w:p>
    <w:p w14:paraId="225A13EB">
      <w:pPr>
        <w:spacing w:line="360" w:lineRule="auto"/>
        <w:rPr>
          <w:rFonts w:hint="eastAsia" w:ascii="宋体" w:hAnsi="宋体" w:eastAsia="宋体" w:cs="宋体"/>
          <w:color w:val="auto"/>
          <w:szCs w:val="21"/>
          <w:highlight w:val="none"/>
        </w:rPr>
      </w:pPr>
    </w:p>
    <w:p w14:paraId="57BE4886">
      <w:pPr>
        <w:spacing w:line="360" w:lineRule="auto"/>
        <w:rPr>
          <w:rFonts w:hint="eastAsia" w:ascii="宋体" w:hAnsi="宋体" w:eastAsia="宋体" w:cs="宋体"/>
          <w:color w:val="auto"/>
          <w:szCs w:val="21"/>
          <w:highlight w:val="none"/>
        </w:rPr>
      </w:pPr>
    </w:p>
    <w:p w14:paraId="609C79A6">
      <w:pPr>
        <w:spacing w:line="360" w:lineRule="auto"/>
        <w:rPr>
          <w:rFonts w:hint="eastAsia" w:ascii="宋体" w:hAnsi="宋体" w:eastAsia="宋体" w:cs="宋体"/>
          <w:color w:val="auto"/>
          <w:szCs w:val="21"/>
          <w:highlight w:val="none"/>
        </w:rPr>
      </w:pPr>
    </w:p>
    <w:p w14:paraId="06B2AE15">
      <w:pPr>
        <w:pStyle w:val="6"/>
        <w:bidi w:val="0"/>
        <w:rPr>
          <w:rFonts w:hint="eastAsia"/>
          <w:lang w:val="en-US" w:eastAsia="zh-CN"/>
        </w:rPr>
      </w:pPr>
      <w:bookmarkStart w:id="1129" w:name="_Toc30941"/>
      <w:bookmarkStart w:id="1130" w:name="_Toc11876"/>
      <w:bookmarkStart w:id="1131" w:name="_Toc23110"/>
      <w:bookmarkStart w:id="1132" w:name="_Toc16359"/>
      <w:r>
        <w:rPr>
          <w:rFonts w:hint="eastAsia"/>
          <w:lang w:val="en-US" w:eastAsia="zh-CN"/>
        </w:rPr>
        <w:t>第三部分 专用合同条款</w:t>
      </w:r>
      <w:bookmarkEnd w:id="1128"/>
      <w:bookmarkEnd w:id="1129"/>
      <w:bookmarkEnd w:id="1130"/>
      <w:bookmarkEnd w:id="1131"/>
      <w:bookmarkEnd w:id="1132"/>
    </w:p>
    <w:p w14:paraId="62CFB9F4">
      <w:pPr>
        <w:pageBreakBefore w:val="0"/>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采用（GF—2017—0201）标准合同文件中通用合同条款（此处略）。</w:t>
      </w:r>
    </w:p>
    <w:p w14:paraId="7477CEBD">
      <w:pPr>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p>
    <w:p w14:paraId="2E788C27">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14:paraId="22A26336">
      <w:pPr>
        <w:pStyle w:val="5"/>
        <w:bidi w:val="0"/>
        <w:rPr>
          <w:rFonts w:hint="eastAsia"/>
        </w:rPr>
      </w:pPr>
      <w:bookmarkStart w:id="1133" w:name="_Toc13118"/>
      <w:bookmarkStart w:id="1134" w:name="_Toc14118"/>
      <w:bookmarkStart w:id="1135" w:name="_Toc25884"/>
      <w:r>
        <w:rPr>
          <w:rFonts w:hint="eastAsia"/>
          <w:lang w:eastAsia="zh-CN"/>
        </w:rPr>
        <w:t>第五章</w:t>
      </w:r>
      <w:r>
        <w:rPr>
          <w:rFonts w:hint="eastAsia"/>
          <w:lang w:val="en-US" w:eastAsia="zh-CN"/>
        </w:rPr>
        <w:t xml:space="preserve"> </w:t>
      </w:r>
      <w:r>
        <w:rPr>
          <w:rFonts w:hint="eastAsia"/>
        </w:rPr>
        <w:t>工程量清单</w:t>
      </w:r>
      <w:bookmarkEnd w:id="1133"/>
      <w:bookmarkEnd w:id="1134"/>
      <w:bookmarkEnd w:id="1135"/>
    </w:p>
    <w:p w14:paraId="3975D8CA">
      <w:pPr>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（另附）</w:t>
      </w:r>
    </w:p>
    <w:p w14:paraId="163E62B0">
      <w:pPr>
        <w:rPr>
          <w:rFonts w:hint="eastAsia" w:ascii="宋体" w:hAnsi="宋体" w:eastAsia="宋体" w:cs="宋体"/>
          <w:highlight w:val="none"/>
        </w:rPr>
      </w:pPr>
      <w:r>
        <w:rPr>
          <w:rFonts w:hint="eastAsia" w:ascii="宋体" w:hAnsi="宋体" w:eastAsia="宋体" w:cs="宋体"/>
          <w:kern w:val="2"/>
          <w:sz w:val="28"/>
          <w:szCs w:val="28"/>
          <w:highlight w:val="none"/>
          <w:lang w:val="en-US" w:eastAsia="zh-CN" w:bidi="ar-SA"/>
        </w:rPr>
        <w:br w:type="page"/>
      </w:r>
    </w:p>
    <w:bookmarkEnd w:id="1104"/>
    <w:bookmarkEnd w:id="1105"/>
    <w:bookmarkEnd w:id="1106"/>
    <w:p w14:paraId="53D06DD8">
      <w:pPr>
        <w:pStyle w:val="5"/>
        <w:bidi w:val="0"/>
        <w:rPr>
          <w:rFonts w:hint="eastAsia"/>
        </w:rPr>
      </w:pPr>
      <w:bookmarkStart w:id="1136" w:name="_Toc29599"/>
      <w:bookmarkStart w:id="1137" w:name="_Toc21984"/>
      <w:bookmarkStart w:id="1138" w:name="_Toc10018"/>
      <w:r>
        <w:rPr>
          <w:rFonts w:hint="eastAsia"/>
          <w:lang w:eastAsia="zh-CN"/>
        </w:rPr>
        <w:t>第六章 竞争性磋商响应文件格式</w:t>
      </w:r>
      <w:bookmarkEnd w:id="1136"/>
      <w:bookmarkEnd w:id="1137"/>
      <w:bookmarkEnd w:id="1138"/>
    </w:p>
    <w:p w14:paraId="33209262">
      <w:pPr>
        <w:spacing w:line="400" w:lineRule="exact"/>
        <w:rPr>
          <w:rFonts w:hint="eastAsia" w:ascii="宋体" w:hAnsi="宋体" w:eastAsia="宋体" w:cs="宋体"/>
          <w:color w:val="auto"/>
          <w:highlight w:val="none"/>
        </w:rPr>
      </w:pPr>
    </w:p>
    <w:p w14:paraId="15134C3F">
      <w:pPr>
        <w:spacing w:line="440" w:lineRule="exact"/>
        <w:jc w:val="right"/>
        <w:rPr>
          <w:rFonts w:hint="eastAsia" w:ascii="宋体" w:hAnsi="宋体" w:eastAsia="宋体" w:cs="宋体"/>
          <w:color w:val="auto"/>
          <w:sz w:val="24"/>
          <w:highlight w:val="none"/>
          <w:bdr w:val="single" w:color="auto" w:sz="4" w:space="0"/>
        </w:rPr>
      </w:pPr>
    </w:p>
    <w:p w14:paraId="2A069E4A">
      <w:pPr>
        <w:spacing w:line="440" w:lineRule="exact"/>
        <w:rPr>
          <w:rFonts w:hint="eastAsia" w:ascii="宋体" w:hAnsi="宋体" w:eastAsia="宋体" w:cs="宋体"/>
          <w:color w:val="auto"/>
          <w:sz w:val="24"/>
          <w:highlight w:val="none"/>
        </w:rPr>
      </w:pPr>
    </w:p>
    <w:p w14:paraId="3B86242E">
      <w:pPr>
        <w:jc w:val="center"/>
        <w:rPr>
          <w:rFonts w:hint="eastAsia" w:ascii="宋体" w:hAnsi="宋体" w:eastAsia="宋体" w:cs="宋体"/>
          <w:color w:val="auto"/>
          <w:sz w:val="28"/>
          <w:szCs w:val="28"/>
          <w:highlight w:val="none"/>
        </w:rPr>
      </w:pP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rPr>
        <w:t>（项目名称）</w:t>
      </w:r>
    </w:p>
    <w:p w14:paraId="28AA254C">
      <w:pPr>
        <w:jc w:val="center"/>
        <w:rPr>
          <w:rFonts w:hint="eastAsia" w:ascii="宋体" w:hAnsi="宋体" w:eastAsia="宋体" w:cs="宋体"/>
          <w:color w:val="auto"/>
          <w:sz w:val="28"/>
          <w:szCs w:val="28"/>
          <w:highlight w:val="none"/>
        </w:rPr>
      </w:pPr>
    </w:p>
    <w:p w14:paraId="7CE456FB">
      <w:pPr>
        <w:pStyle w:val="29"/>
        <w:rPr>
          <w:rFonts w:hint="eastAsia" w:ascii="宋体" w:hAnsi="宋体" w:eastAsia="宋体" w:cs="宋体"/>
          <w:color w:val="auto"/>
          <w:highlight w:val="none"/>
        </w:rPr>
      </w:pPr>
    </w:p>
    <w:p w14:paraId="2BF51229">
      <w:pPr>
        <w:jc w:val="center"/>
        <w:rPr>
          <w:rFonts w:hint="eastAsia" w:ascii="宋体" w:hAnsi="宋体" w:eastAsia="宋体" w:cs="宋体"/>
          <w:color w:val="auto"/>
          <w:sz w:val="96"/>
          <w:szCs w:val="96"/>
          <w:highlight w:val="none"/>
        </w:rPr>
      </w:pPr>
      <w:r>
        <w:rPr>
          <w:rFonts w:hint="eastAsia" w:ascii="宋体" w:hAnsi="宋体" w:eastAsia="宋体" w:cs="宋体"/>
          <w:b/>
          <w:bCs/>
          <w:color w:val="auto"/>
          <w:sz w:val="96"/>
          <w:szCs w:val="96"/>
          <w:highlight w:val="none"/>
        </w:rPr>
        <w:t>响 应 文 件</w:t>
      </w:r>
    </w:p>
    <w:p w14:paraId="2FBA3472">
      <w:pPr>
        <w:spacing w:line="400" w:lineRule="exact"/>
        <w:rPr>
          <w:rFonts w:hint="eastAsia" w:ascii="宋体" w:hAnsi="宋体" w:eastAsia="宋体" w:cs="宋体"/>
          <w:color w:val="auto"/>
          <w:sz w:val="28"/>
          <w:szCs w:val="28"/>
          <w:highlight w:val="none"/>
        </w:rPr>
      </w:pPr>
    </w:p>
    <w:p w14:paraId="2F467DAD">
      <w:pPr>
        <w:spacing w:line="400" w:lineRule="exact"/>
        <w:rPr>
          <w:rFonts w:hint="eastAsia" w:ascii="宋体" w:hAnsi="宋体" w:eastAsia="宋体" w:cs="宋体"/>
          <w:color w:val="auto"/>
          <w:sz w:val="28"/>
          <w:szCs w:val="28"/>
          <w:highlight w:val="none"/>
        </w:rPr>
      </w:pPr>
    </w:p>
    <w:p w14:paraId="1A8B6BCE">
      <w:pPr>
        <w:spacing w:line="400" w:lineRule="exact"/>
        <w:rPr>
          <w:rFonts w:hint="eastAsia" w:ascii="宋体" w:hAnsi="宋体" w:eastAsia="宋体" w:cs="宋体"/>
          <w:color w:val="auto"/>
          <w:sz w:val="28"/>
          <w:szCs w:val="28"/>
          <w:highlight w:val="none"/>
        </w:rPr>
      </w:pPr>
    </w:p>
    <w:p w14:paraId="67F8D7A1">
      <w:pPr>
        <w:spacing w:line="400" w:lineRule="exact"/>
        <w:rPr>
          <w:rFonts w:hint="eastAsia" w:ascii="宋体" w:hAnsi="宋体" w:eastAsia="宋体" w:cs="宋体"/>
          <w:color w:val="auto"/>
          <w:sz w:val="28"/>
          <w:szCs w:val="28"/>
          <w:highlight w:val="none"/>
        </w:rPr>
      </w:pPr>
    </w:p>
    <w:p w14:paraId="0A7EF251">
      <w:pPr>
        <w:spacing w:line="400" w:lineRule="exact"/>
        <w:rPr>
          <w:rFonts w:hint="eastAsia" w:ascii="宋体" w:hAnsi="宋体" w:eastAsia="宋体" w:cs="宋体"/>
          <w:color w:val="auto"/>
          <w:sz w:val="28"/>
          <w:szCs w:val="28"/>
          <w:highlight w:val="none"/>
        </w:rPr>
      </w:pPr>
    </w:p>
    <w:p w14:paraId="53DE6EA3">
      <w:pPr>
        <w:spacing w:line="400" w:lineRule="exact"/>
        <w:rPr>
          <w:rFonts w:hint="eastAsia" w:ascii="宋体" w:hAnsi="宋体" w:eastAsia="宋体" w:cs="宋体"/>
          <w:color w:val="auto"/>
          <w:sz w:val="28"/>
          <w:szCs w:val="28"/>
          <w:highlight w:val="none"/>
        </w:rPr>
      </w:pPr>
    </w:p>
    <w:p w14:paraId="4FB88769">
      <w:pPr>
        <w:spacing w:line="400" w:lineRule="exact"/>
        <w:rPr>
          <w:rFonts w:hint="eastAsia" w:ascii="宋体" w:hAnsi="宋体" w:eastAsia="宋体" w:cs="宋体"/>
          <w:color w:val="auto"/>
          <w:sz w:val="28"/>
          <w:szCs w:val="28"/>
          <w:highlight w:val="none"/>
        </w:rPr>
      </w:pPr>
    </w:p>
    <w:p w14:paraId="16C4862A">
      <w:pPr>
        <w:spacing w:line="400" w:lineRule="exact"/>
        <w:rPr>
          <w:rFonts w:hint="eastAsia" w:ascii="宋体" w:hAnsi="宋体" w:eastAsia="宋体" w:cs="宋体"/>
          <w:color w:val="auto"/>
          <w:sz w:val="28"/>
          <w:szCs w:val="28"/>
          <w:highlight w:val="none"/>
        </w:rPr>
      </w:pPr>
    </w:p>
    <w:p w14:paraId="53DBC984">
      <w:pPr>
        <w:spacing w:line="400" w:lineRule="exact"/>
        <w:rPr>
          <w:rFonts w:hint="eastAsia" w:ascii="宋体" w:hAnsi="宋体" w:eastAsia="宋体" w:cs="宋体"/>
          <w:color w:val="auto"/>
          <w:sz w:val="28"/>
          <w:szCs w:val="28"/>
          <w:highlight w:val="none"/>
        </w:rPr>
      </w:pPr>
    </w:p>
    <w:p w14:paraId="52A86987">
      <w:pPr>
        <w:pStyle w:val="30"/>
        <w:ind w:left="0" w:leftChars="0" w:firstLine="0" w:firstLineChars="0"/>
        <w:rPr>
          <w:rFonts w:hint="eastAsia" w:ascii="宋体" w:hAnsi="宋体" w:eastAsia="宋体" w:cs="宋体"/>
          <w:color w:val="auto"/>
          <w:highlight w:val="none"/>
        </w:rPr>
      </w:pPr>
    </w:p>
    <w:p w14:paraId="09F73657">
      <w:pPr>
        <w:spacing w:line="48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供应商：</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 xml:space="preserve"> （单位电子签章）</w:t>
      </w:r>
    </w:p>
    <w:p w14:paraId="4C5B3790">
      <w:pPr>
        <w:bidi w:val="0"/>
        <w:ind w:firstLine="904" w:firstLineChars="300"/>
        <w:rPr>
          <w:rFonts w:hint="eastAsia" w:ascii="宋体" w:hAnsi="宋体" w:eastAsia="宋体" w:cs="宋体"/>
          <w:b/>
          <w:bCs/>
          <w:color w:val="auto"/>
          <w:sz w:val="30"/>
          <w:szCs w:val="30"/>
          <w:highlight w:val="none"/>
        </w:rPr>
      </w:pPr>
      <w:bookmarkStart w:id="1139" w:name="_Toc351"/>
      <w:bookmarkStart w:id="1140" w:name="_Toc31260"/>
      <w:r>
        <w:rPr>
          <w:rFonts w:hint="eastAsia" w:ascii="宋体" w:hAnsi="宋体" w:eastAsia="宋体" w:cs="宋体"/>
          <w:b/>
          <w:bCs/>
          <w:color w:val="auto"/>
          <w:sz w:val="30"/>
          <w:szCs w:val="30"/>
          <w:highlight w:val="none"/>
        </w:rPr>
        <w:t>法定代表人或其委托代理人：</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（电子签名或盖章）</w:t>
      </w:r>
      <w:bookmarkEnd w:id="1139"/>
      <w:bookmarkEnd w:id="1140"/>
    </w:p>
    <w:p w14:paraId="4F382F86">
      <w:pPr>
        <w:spacing w:line="48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年</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月</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日</w:t>
      </w:r>
    </w:p>
    <w:p w14:paraId="1947D539">
      <w:pPr>
        <w:pStyle w:val="29"/>
        <w:rPr>
          <w:rFonts w:hint="eastAsia" w:ascii="宋体" w:hAnsi="宋体" w:eastAsia="宋体" w:cs="宋体"/>
        </w:rPr>
      </w:pPr>
    </w:p>
    <w:p w14:paraId="5C2CC3C4">
      <w:pPr>
        <w:pStyle w:val="30"/>
        <w:rPr>
          <w:rFonts w:hint="eastAsia" w:ascii="宋体" w:hAnsi="宋体" w:eastAsia="宋体" w:cs="宋体"/>
        </w:rPr>
      </w:pPr>
    </w:p>
    <w:p w14:paraId="2EE09C73">
      <w:pPr>
        <w:rPr>
          <w:rFonts w:hint="eastAsia" w:ascii="宋体" w:hAnsi="宋体" w:eastAsia="宋体" w:cs="宋体"/>
        </w:rPr>
      </w:pPr>
    </w:p>
    <w:p w14:paraId="54C46C79">
      <w:pPr>
        <w:pStyle w:val="29"/>
        <w:rPr>
          <w:rFonts w:hint="eastAsia"/>
        </w:rPr>
      </w:pPr>
    </w:p>
    <w:p w14:paraId="273117DF">
      <w:pPr>
        <w:spacing w:line="400" w:lineRule="exact"/>
        <w:rPr>
          <w:rFonts w:hint="eastAsia" w:ascii="宋体" w:hAnsi="宋体" w:eastAsia="宋体" w:cs="宋体"/>
          <w:color w:val="auto"/>
          <w:sz w:val="22"/>
          <w:szCs w:val="28"/>
          <w:highlight w:val="none"/>
        </w:rPr>
      </w:pPr>
    </w:p>
    <w:p w14:paraId="19C217EE">
      <w:pPr>
        <w:keepNext w:val="0"/>
        <w:keepLines w:val="0"/>
        <w:pageBreakBefore w:val="0"/>
        <w:widowControl w:val="0"/>
        <w:kinsoku/>
        <w:wordWrap/>
        <w:overflowPunct/>
        <w:topLinePunct w:val="0"/>
        <w:autoSpaceDE/>
        <w:autoSpaceDN/>
        <w:bidi w:val="0"/>
        <w:adjustRightInd/>
        <w:snapToGrid/>
        <w:spacing w:line="480" w:lineRule="auto"/>
        <w:ind w:left="720" w:leftChars="300" w:firstLine="4102" w:firstLineChars="1135"/>
        <w:textAlignment w:val="auto"/>
        <w:rPr>
          <w:rFonts w:hint="eastAsia" w:ascii="宋体" w:hAnsi="宋体" w:eastAsia="宋体" w:cs="宋体"/>
          <w:b/>
          <w:bCs/>
          <w:color w:val="auto"/>
          <w:sz w:val="36"/>
          <w:szCs w:val="36"/>
          <w:highlight w:val="none"/>
        </w:rPr>
      </w:pPr>
      <w:bookmarkStart w:id="1141" w:name="_Toc8978"/>
      <w:bookmarkStart w:id="1142" w:name="_Toc20198"/>
      <w:bookmarkStart w:id="1143" w:name="_Toc8893"/>
      <w:bookmarkStart w:id="1144" w:name="_Toc31864"/>
      <w:bookmarkStart w:id="1145" w:name="_Toc466298157"/>
      <w:bookmarkStart w:id="1146" w:name="_Toc144974856"/>
      <w:bookmarkStart w:id="1147" w:name="_Toc152042576"/>
      <w:bookmarkStart w:id="1148" w:name="_Toc152045787"/>
      <w:bookmarkStart w:id="1149" w:name="_Toc23770"/>
      <w:r>
        <w:rPr>
          <w:rFonts w:hint="eastAsia" w:ascii="宋体" w:hAnsi="宋体" w:eastAsia="宋体" w:cs="宋体"/>
          <w:b/>
          <w:bCs/>
          <w:color w:val="auto"/>
          <w:sz w:val="36"/>
          <w:szCs w:val="36"/>
          <w:highlight w:val="none"/>
        </w:rPr>
        <w:t>目    录</w:t>
      </w:r>
      <w:bookmarkEnd w:id="1141"/>
      <w:bookmarkEnd w:id="1142"/>
      <w:bookmarkEnd w:id="1143"/>
      <w:bookmarkEnd w:id="1144"/>
      <w:bookmarkEnd w:id="1145"/>
      <w:bookmarkEnd w:id="1146"/>
      <w:bookmarkEnd w:id="1147"/>
      <w:bookmarkEnd w:id="1148"/>
      <w:bookmarkEnd w:id="1149"/>
    </w:p>
    <w:p w14:paraId="65D5E87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color w:val="auto"/>
          <w:highlight w:val="none"/>
        </w:rPr>
      </w:pPr>
      <w:r>
        <w:rPr>
          <w:rFonts w:hint="eastAsia" w:ascii="宋体" w:hAnsi="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(目录格式</w:t>
      </w:r>
      <w:r>
        <w:rPr>
          <w:rFonts w:hint="eastAsia" w:ascii="宋体" w:hAnsi="宋体" w:cs="宋体"/>
          <w:b/>
          <w:bCs/>
          <w:color w:val="auto"/>
          <w:sz w:val="28"/>
          <w:szCs w:val="28"/>
          <w:highlight w:val="none"/>
          <w:lang w:val="en-US" w:eastAsia="zh-CN"/>
        </w:rPr>
        <w:t>依据磋商文件</w:t>
      </w:r>
      <w:r>
        <w:rPr>
          <w:rFonts w:hint="eastAsia" w:ascii="宋体" w:hAnsi="宋体" w:eastAsia="宋体" w:cs="宋体"/>
          <w:b/>
          <w:bCs/>
          <w:color w:val="auto"/>
          <w:sz w:val="28"/>
          <w:szCs w:val="28"/>
          <w:highlight w:val="none"/>
        </w:rPr>
        <w:t>自拟但须</w:t>
      </w:r>
      <w:r>
        <w:rPr>
          <w:rFonts w:hint="eastAsia" w:ascii="宋体" w:hAnsi="宋体" w:cs="宋体"/>
          <w:b/>
          <w:bCs/>
          <w:color w:val="auto"/>
          <w:sz w:val="28"/>
          <w:szCs w:val="28"/>
          <w:highlight w:val="none"/>
          <w:lang w:val="en-US" w:eastAsia="zh-CN"/>
        </w:rPr>
        <w:t>详细</w:t>
      </w:r>
      <w:r>
        <w:rPr>
          <w:rFonts w:hint="eastAsia" w:ascii="宋体" w:hAnsi="宋体" w:eastAsia="宋体" w:cs="宋体"/>
          <w:b/>
          <w:bCs/>
          <w:color w:val="auto"/>
          <w:sz w:val="28"/>
          <w:szCs w:val="28"/>
          <w:highlight w:val="none"/>
        </w:rPr>
        <w:t>清晰明了)</w:t>
      </w:r>
    </w:p>
    <w:p w14:paraId="1F480AEA">
      <w:pPr>
        <w:spacing w:line="540" w:lineRule="exact"/>
        <w:rPr>
          <w:rFonts w:hint="eastAsia" w:ascii="宋体" w:hAnsi="宋体" w:eastAsia="宋体" w:cs="宋体"/>
          <w:color w:val="auto"/>
          <w:highlight w:val="none"/>
        </w:rPr>
      </w:pPr>
    </w:p>
    <w:p w14:paraId="3CA6F7EA">
      <w:pPr>
        <w:spacing w:line="540" w:lineRule="exact"/>
        <w:rPr>
          <w:rFonts w:hint="eastAsia" w:ascii="宋体" w:hAnsi="宋体" w:eastAsia="宋体" w:cs="宋体"/>
          <w:color w:val="auto"/>
          <w:highlight w:val="none"/>
        </w:rPr>
      </w:pPr>
    </w:p>
    <w:p w14:paraId="3D5889C6">
      <w:pPr>
        <w:spacing w:line="540" w:lineRule="exact"/>
        <w:rPr>
          <w:rFonts w:hint="eastAsia" w:ascii="宋体" w:hAnsi="宋体" w:eastAsia="宋体" w:cs="宋体"/>
          <w:color w:val="auto"/>
          <w:highlight w:val="none"/>
        </w:rPr>
      </w:pPr>
    </w:p>
    <w:p w14:paraId="51B0E8C5">
      <w:pPr>
        <w:spacing w:line="540" w:lineRule="exact"/>
        <w:rPr>
          <w:rFonts w:hint="eastAsia" w:ascii="宋体" w:hAnsi="宋体" w:eastAsia="宋体" w:cs="宋体"/>
          <w:color w:val="auto"/>
          <w:highlight w:val="none"/>
        </w:rPr>
      </w:pPr>
    </w:p>
    <w:p w14:paraId="04719AE8">
      <w:pPr>
        <w:spacing w:line="540" w:lineRule="exact"/>
        <w:rPr>
          <w:rFonts w:hint="eastAsia" w:ascii="宋体" w:hAnsi="宋体" w:eastAsia="宋体" w:cs="宋体"/>
          <w:color w:val="auto"/>
          <w:highlight w:val="none"/>
        </w:rPr>
      </w:pPr>
    </w:p>
    <w:p w14:paraId="2675D470">
      <w:pPr>
        <w:spacing w:line="540" w:lineRule="exact"/>
        <w:rPr>
          <w:rFonts w:hint="eastAsia" w:ascii="宋体" w:hAnsi="宋体" w:eastAsia="宋体" w:cs="宋体"/>
          <w:color w:val="auto"/>
          <w:highlight w:val="none"/>
        </w:rPr>
      </w:pPr>
    </w:p>
    <w:p w14:paraId="39D342D0">
      <w:pPr>
        <w:spacing w:line="540" w:lineRule="exact"/>
        <w:rPr>
          <w:rFonts w:hint="eastAsia" w:ascii="宋体" w:hAnsi="宋体" w:eastAsia="宋体" w:cs="宋体"/>
          <w:color w:val="auto"/>
          <w:sz w:val="20"/>
          <w:szCs w:val="20"/>
          <w:highlight w:val="none"/>
        </w:rPr>
      </w:pPr>
    </w:p>
    <w:p w14:paraId="3D66ADDC">
      <w:pPr>
        <w:pStyle w:val="29"/>
        <w:rPr>
          <w:rFonts w:hint="eastAsia" w:ascii="宋体" w:hAnsi="宋体" w:eastAsia="宋体" w:cs="宋体"/>
          <w:color w:val="auto"/>
          <w:sz w:val="20"/>
          <w:szCs w:val="20"/>
          <w:highlight w:val="none"/>
        </w:rPr>
      </w:pPr>
    </w:p>
    <w:p w14:paraId="197E8C24">
      <w:pPr>
        <w:pStyle w:val="29"/>
        <w:rPr>
          <w:rFonts w:hint="eastAsia" w:ascii="宋体" w:hAnsi="宋体" w:eastAsia="宋体" w:cs="宋体"/>
          <w:color w:val="auto"/>
          <w:sz w:val="20"/>
          <w:szCs w:val="20"/>
          <w:highlight w:val="none"/>
        </w:rPr>
      </w:pPr>
    </w:p>
    <w:p w14:paraId="66C651DC">
      <w:pPr>
        <w:pStyle w:val="29"/>
        <w:rPr>
          <w:rFonts w:hint="eastAsia" w:ascii="宋体" w:hAnsi="宋体" w:eastAsia="宋体" w:cs="宋体"/>
          <w:color w:val="auto"/>
          <w:sz w:val="20"/>
          <w:szCs w:val="20"/>
          <w:highlight w:val="none"/>
        </w:rPr>
      </w:pPr>
    </w:p>
    <w:p w14:paraId="73546CFE">
      <w:pPr>
        <w:pStyle w:val="29"/>
        <w:rPr>
          <w:rFonts w:hint="eastAsia" w:ascii="宋体" w:hAnsi="宋体" w:eastAsia="宋体" w:cs="宋体"/>
          <w:color w:val="auto"/>
          <w:sz w:val="20"/>
          <w:szCs w:val="20"/>
          <w:highlight w:val="none"/>
        </w:rPr>
      </w:pPr>
    </w:p>
    <w:p w14:paraId="269D3E4F">
      <w:pPr>
        <w:pStyle w:val="29"/>
        <w:rPr>
          <w:rFonts w:hint="eastAsia" w:ascii="宋体" w:hAnsi="宋体" w:eastAsia="宋体" w:cs="宋体"/>
          <w:color w:val="auto"/>
          <w:sz w:val="20"/>
          <w:szCs w:val="20"/>
          <w:highlight w:val="none"/>
        </w:rPr>
      </w:pPr>
    </w:p>
    <w:p w14:paraId="68A62E40">
      <w:pPr>
        <w:pStyle w:val="29"/>
        <w:rPr>
          <w:rFonts w:hint="eastAsia" w:ascii="宋体" w:hAnsi="宋体" w:eastAsia="宋体" w:cs="宋体"/>
          <w:color w:val="auto"/>
          <w:sz w:val="20"/>
          <w:szCs w:val="20"/>
          <w:highlight w:val="none"/>
        </w:rPr>
      </w:pPr>
    </w:p>
    <w:p w14:paraId="4BF24A1E">
      <w:pPr>
        <w:pStyle w:val="29"/>
        <w:rPr>
          <w:rFonts w:hint="eastAsia" w:ascii="宋体" w:hAnsi="宋体" w:eastAsia="宋体" w:cs="宋体"/>
          <w:color w:val="auto"/>
          <w:sz w:val="20"/>
          <w:szCs w:val="20"/>
          <w:highlight w:val="none"/>
        </w:rPr>
      </w:pPr>
    </w:p>
    <w:p w14:paraId="144F1F48">
      <w:pPr>
        <w:pStyle w:val="29"/>
        <w:rPr>
          <w:rFonts w:hint="eastAsia" w:ascii="宋体" w:hAnsi="宋体" w:eastAsia="宋体" w:cs="宋体"/>
          <w:color w:val="auto"/>
          <w:sz w:val="20"/>
          <w:szCs w:val="20"/>
          <w:highlight w:val="none"/>
        </w:rPr>
      </w:pPr>
    </w:p>
    <w:p w14:paraId="60F7329B">
      <w:pPr>
        <w:pStyle w:val="29"/>
        <w:rPr>
          <w:rFonts w:hint="eastAsia" w:ascii="宋体" w:hAnsi="宋体" w:eastAsia="宋体" w:cs="宋体"/>
          <w:color w:val="auto"/>
          <w:sz w:val="20"/>
          <w:szCs w:val="20"/>
          <w:highlight w:val="none"/>
        </w:rPr>
      </w:pPr>
    </w:p>
    <w:p w14:paraId="254D82FC">
      <w:pPr>
        <w:pStyle w:val="29"/>
        <w:rPr>
          <w:rFonts w:hint="eastAsia" w:ascii="宋体" w:hAnsi="宋体" w:eastAsia="宋体" w:cs="宋体"/>
          <w:color w:val="auto"/>
          <w:sz w:val="20"/>
          <w:szCs w:val="20"/>
          <w:highlight w:val="none"/>
        </w:rPr>
      </w:pPr>
    </w:p>
    <w:p w14:paraId="1C7DF762">
      <w:pPr>
        <w:pStyle w:val="29"/>
        <w:rPr>
          <w:rFonts w:hint="eastAsia" w:ascii="宋体" w:hAnsi="宋体" w:eastAsia="宋体" w:cs="宋体"/>
          <w:color w:val="auto"/>
          <w:sz w:val="20"/>
          <w:szCs w:val="20"/>
          <w:highlight w:val="none"/>
        </w:rPr>
      </w:pPr>
    </w:p>
    <w:p w14:paraId="5B318152">
      <w:pPr>
        <w:spacing w:line="540" w:lineRule="exact"/>
        <w:rPr>
          <w:rFonts w:hint="eastAsia" w:ascii="宋体" w:hAnsi="宋体" w:eastAsia="宋体" w:cs="宋体"/>
          <w:color w:val="auto"/>
          <w:sz w:val="20"/>
          <w:szCs w:val="20"/>
          <w:highlight w:val="none"/>
        </w:rPr>
      </w:pPr>
    </w:p>
    <w:p w14:paraId="37960BE8">
      <w:pPr>
        <w:spacing w:line="540" w:lineRule="exact"/>
        <w:rPr>
          <w:rFonts w:hint="eastAsia" w:ascii="宋体" w:hAnsi="宋体" w:eastAsia="宋体" w:cs="宋体"/>
          <w:color w:val="auto"/>
          <w:sz w:val="20"/>
          <w:szCs w:val="20"/>
          <w:highlight w:val="none"/>
        </w:rPr>
      </w:pPr>
    </w:p>
    <w:p w14:paraId="2A77924C">
      <w:pPr>
        <w:spacing w:line="540" w:lineRule="exact"/>
        <w:rPr>
          <w:rFonts w:hint="eastAsia" w:ascii="宋体" w:hAnsi="宋体" w:eastAsia="宋体" w:cs="宋体"/>
          <w:color w:val="auto"/>
          <w:sz w:val="20"/>
          <w:szCs w:val="20"/>
          <w:highlight w:val="none"/>
        </w:rPr>
      </w:pPr>
    </w:p>
    <w:p w14:paraId="167EC516">
      <w:pPr>
        <w:spacing w:line="540" w:lineRule="exact"/>
        <w:rPr>
          <w:rFonts w:hint="eastAsia" w:ascii="宋体" w:hAnsi="宋体" w:eastAsia="宋体" w:cs="宋体"/>
          <w:color w:val="auto"/>
          <w:sz w:val="20"/>
          <w:szCs w:val="20"/>
          <w:highlight w:val="none"/>
        </w:rPr>
      </w:pPr>
    </w:p>
    <w:p w14:paraId="49812E8F">
      <w:pPr>
        <w:pStyle w:val="49"/>
        <w:rPr>
          <w:rFonts w:hint="eastAsia" w:ascii="宋体" w:hAnsi="宋体" w:eastAsia="宋体" w:cs="宋体"/>
          <w:color w:val="auto"/>
          <w:sz w:val="20"/>
          <w:szCs w:val="20"/>
          <w:highlight w:val="none"/>
        </w:rPr>
      </w:pPr>
    </w:p>
    <w:p w14:paraId="0439B948">
      <w:pPr>
        <w:pStyle w:val="6"/>
        <w:bidi w:val="0"/>
        <w:rPr>
          <w:rFonts w:hint="eastAsia"/>
        </w:rPr>
      </w:pPr>
      <w:bookmarkStart w:id="1150" w:name="_Toc144974857"/>
      <w:bookmarkStart w:id="1151" w:name="_Toc152045788"/>
      <w:bookmarkStart w:id="1152" w:name="_Toc152042577"/>
      <w:bookmarkStart w:id="1153" w:name="_Toc28379"/>
      <w:bookmarkStart w:id="1154" w:name="_Toc466298158"/>
      <w:bookmarkStart w:id="1155" w:name="_Toc8095"/>
      <w:bookmarkStart w:id="1156" w:name="_Toc15886"/>
      <w:bookmarkStart w:id="1157" w:name="_Toc11696"/>
      <w:bookmarkStart w:id="1158" w:name="_Toc19852"/>
      <w:bookmarkStart w:id="1159" w:name="_Toc16132"/>
      <w:bookmarkStart w:id="1160" w:name="_Toc9911"/>
      <w:r>
        <w:rPr>
          <w:rFonts w:hint="eastAsia"/>
          <w:lang w:val="zh-CN" w:eastAsia="zh-CN"/>
        </w:rPr>
        <w:t>一、</w:t>
      </w:r>
      <w:r>
        <w:rPr>
          <w:rFonts w:hint="eastAsia"/>
        </w:rPr>
        <w:t>磋商函及</w:t>
      </w:r>
      <w:bookmarkEnd w:id="1150"/>
      <w:bookmarkEnd w:id="1151"/>
      <w:bookmarkEnd w:id="1152"/>
      <w:r>
        <w:rPr>
          <w:rFonts w:hint="eastAsia"/>
        </w:rPr>
        <w:t>磋商函附录</w:t>
      </w:r>
      <w:bookmarkEnd w:id="1153"/>
      <w:bookmarkEnd w:id="1154"/>
      <w:bookmarkEnd w:id="1155"/>
      <w:bookmarkEnd w:id="1156"/>
      <w:bookmarkEnd w:id="1157"/>
      <w:bookmarkEnd w:id="1158"/>
      <w:bookmarkEnd w:id="1159"/>
      <w:bookmarkEnd w:id="1160"/>
    </w:p>
    <w:p w14:paraId="2AF4453B">
      <w:pPr>
        <w:pStyle w:val="7"/>
        <w:bidi w:val="0"/>
        <w:ind w:left="0" w:leftChars="0" w:firstLine="0" w:firstLineChars="0"/>
        <w:jc w:val="center"/>
        <w:rPr>
          <w:rFonts w:hint="eastAsia"/>
        </w:rPr>
      </w:pPr>
      <w:bookmarkStart w:id="1161" w:name="_Toc18705"/>
      <w:bookmarkStart w:id="1162" w:name="_Toc11855"/>
      <w:bookmarkStart w:id="1163" w:name="_Toc455867830"/>
      <w:bookmarkStart w:id="1164" w:name="_Toc8915"/>
      <w:bookmarkStart w:id="1165" w:name="_Toc4299"/>
      <w:bookmarkStart w:id="1166" w:name="_Toc26262"/>
      <w:bookmarkStart w:id="1167" w:name="_Toc318450744"/>
      <w:bookmarkStart w:id="1168" w:name="_Toc22749"/>
      <w:bookmarkStart w:id="1169" w:name="_Toc30581"/>
      <w:bookmarkStart w:id="1170" w:name="_Toc27885"/>
      <w:bookmarkStart w:id="1171" w:name="_Toc6005"/>
      <w:bookmarkStart w:id="1172" w:name="_Toc16901"/>
      <w:bookmarkStart w:id="1173" w:name="_Toc144974858"/>
      <w:bookmarkStart w:id="1174" w:name="_Toc490667892"/>
      <w:bookmarkStart w:id="1175" w:name="_Toc23888"/>
      <w:bookmarkStart w:id="1176" w:name="_Toc152042578"/>
      <w:bookmarkStart w:id="1177" w:name="_Toc152045789"/>
      <w:bookmarkStart w:id="1178" w:name="_Toc455080170"/>
      <w:bookmarkStart w:id="1179" w:name="_Toc23306"/>
      <w:bookmarkStart w:id="1180" w:name="_Toc466298159"/>
      <w:bookmarkStart w:id="1181" w:name="_Toc7278"/>
      <w:r>
        <w:rPr>
          <w:rFonts w:hint="eastAsia"/>
          <w:lang w:eastAsia="zh-CN"/>
        </w:rPr>
        <w:t>（</w:t>
      </w:r>
      <w:r>
        <w:rPr>
          <w:rFonts w:hint="eastAsia"/>
          <w:lang w:val="en-US" w:eastAsia="zh-CN"/>
        </w:rPr>
        <w:t>一</w:t>
      </w:r>
      <w:r>
        <w:rPr>
          <w:rFonts w:hint="eastAsia"/>
          <w:lang w:eastAsia="zh-CN"/>
        </w:rPr>
        <w:t>）</w:t>
      </w:r>
      <w:r>
        <w:rPr>
          <w:rFonts w:hint="eastAsia"/>
        </w:rPr>
        <w:t>磋商函</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14:paraId="40850CC7">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lang w:eastAsia="zh-CN"/>
        </w:rPr>
      </w:pPr>
      <w:bookmarkStart w:id="1182" w:name="_Toc447888814"/>
      <w:bookmarkStart w:id="1183" w:name="_Toc466298160"/>
      <w:bookmarkStart w:id="1184" w:name="_Toc490667893"/>
      <w:bookmarkStart w:id="1185" w:name="_Toc19056"/>
      <w:r>
        <w:rPr>
          <w:rFonts w:hint="eastAsia" w:ascii="宋体" w:hAnsi="宋体" w:eastAsia="宋体" w:cs="宋体"/>
          <w:color w:val="auto"/>
          <w:sz w:val="24"/>
          <w:szCs w:val="24"/>
          <w:highlight w:val="none"/>
          <w:u w:val="single"/>
        </w:rPr>
        <w:t>致 （采购人）</w:t>
      </w:r>
      <w:r>
        <w:rPr>
          <w:rFonts w:hint="eastAsia" w:ascii="宋体" w:hAnsi="宋体" w:eastAsia="宋体" w:cs="宋体"/>
          <w:color w:val="auto"/>
          <w:sz w:val="24"/>
          <w:szCs w:val="24"/>
          <w:highlight w:val="none"/>
          <w:u w:val="single"/>
          <w:lang w:eastAsia="zh-CN"/>
        </w:rPr>
        <w:t>：</w:t>
      </w:r>
    </w:p>
    <w:p w14:paraId="4A8C2572">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1．根据已收到的</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的竞争性磋商文件，遵照《中华人民共和国政府采购法》等有关规定，经考察和认真研究本项目竞争性磋商文件及其它有关文件后，愿以人民币（大写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元</w:t>
      </w:r>
      <w:r>
        <w:rPr>
          <w:rFonts w:hint="eastAsia" w:ascii="宋体" w:hAnsi="宋体" w:eastAsia="宋体" w:cs="宋体"/>
          <w:color w:val="auto"/>
          <w:sz w:val="24"/>
          <w:szCs w:val="24"/>
          <w:highlight w:val="none"/>
        </w:rPr>
        <w:t>）的磋商总报价作为第一次磋商报价，按合同约定实施和完成本项目，并承担其任何质量缺陷等问题所造成的任何损失。</w:t>
      </w:r>
    </w:p>
    <w:p w14:paraId="19447554">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pacing w:val="0"/>
          <w:sz w:val="24"/>
          <w:szCs w:val="24"/>
          <w:highlight w:val="none"/>
        </w:rPr>
        <w:t>我方已详细检查全部竞争性磋商文件包括澄清文件、补充通知（如有的话）及有关附件，并完全理解我方必须放弃提出含糊不清或误解的权力，愿按照磋商文件中的条款和要求按最后一次的报价做为最后报价。</w:t>
      </w:r>
    </w:p>
    <w:p w14:paraId="19C886C6">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3．我方在此承诺，我方若能成交，保证在</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期限内，全面履行竞争性磋商文件中规定的职责和义务。</w:t>
      </w:r>
    </w:p>
    <w:p w14:paraId="518BFF57">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4．如果我方成交，我方保证按合同条款中规定的内容执行；我方保证质量达到国家及行业现行标准规范规定的合格要求，并按竞争性磋商文件和有关规定提交一切资料。</w:t>
      </w:r>
    </w:p>
    <w:p w14:paraId="48758B59">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pacing w:val="-6"/>
          <w:sz w:val="24"/>
          <w:szCs w:val="24"/>
          <w:highlight w:val="none"/>
        </w:rPr>
        <w:t>我方同意从响应文件</w:t>
      </w:r>
      <w:r>
        <w:rPr>
          <w:rFonts w:hint="eastAsia" w:ascii="宋体" w:hAnsi="宋体" w:eastAsia="宋体" w:cs="宋体"/>
          <w:color w:val="auto"/>
          <w:spacing w:val="-6"/>
          <w:sz w:val="24"/>
          <w:szCs w:val="24"/>
          <w:highlight w:val="none"/>
          <w:lang w:eastAsia="zh-CN"/>
        </w:rPr>
        <w:t>提</w:t>
      </w:r>
      <w:r>
        <w:rPr>
          <w:rFonts w:hint="eastAsia" w:ascii="宋体" w:hAnsi="宋体" w:eastAsia="宋体" w:cs="宋体"/>
          <w:color w:val="auto"/>
          <w:spacing w:val="-6"/>
          <w:sz w:val="24"/>
          <w:szCs w:val="24"/>
          <w:highlight w:val="none"/>
        </w:rPr>
        <w:t>交截止日期起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none"/>
          <w:lang w:eastAsia="zh-CN"/>
        </w:rPr>
        <w:t>日历天</w:t>
      </w:r>
      <w:r>
        <w:rPr>
          <w:rFonts w:hint="eastAsia" w:ascii="宋体" w:hAnsi="宋体" w:eastAsia="宋体" w:cs="宋体"/>
          <w:color w:val="auto"/>
          <w:spacing w:val="-6"/>
          <w:sz w:val="24"/>
          <w:szCs w:val="24"/>
          <w:highlight w:val="none"/>
        </w:rPr>
        <w:t>保持磋商响应文件有效，在此有效期内，我方将严格遵守磋商响应文件的承诺，本磋商响应文件对我方具有约束力，并可随时被接受成交。</w:t>
      </w:r>
    </w:p>
    <w:p w14:paraId="37A7C993">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．除磋商响应文件所提交的资料外，我方同意随时接受贵方的检查、询问，并根据磋商需要补充贵方要求提交的资料。</w:t>
      </w:r>
    </w:p>
    <w:p w14:paraId="3CF449CD">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．如果我方成交后，我方没有任何正当理由而拒签合同，同时我方愿意补偿该项工作因我方延误所造成的经济损失。</w:t>
      </w:r>
    </w:p>
    <w:p w14:paraId="28EA75D6">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．我方愿接受合同条款中规定的合同价款计算和调整方式。</w:t>
      </w:r>
    </w:p>
    <w:p w14:paraId="0D0315CA">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pacing w:val="-6"/>
          <w:sz w:val="24"/>
          <w:szCs w:val="24"/>
          <w:highlight w:val="none"/>
        </w:rPr>
        <w:t>除非另外达成协议并生效，贵方的成交通知书和本磋商响应文件将成为约束我方的合同文件组成部分。</w:t>
      </w:r>
    </w:p>
    <w:p w14:paraId="4D409618">
      <w:pPr>
        <w:pStyle w:val="2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4F4402D6">
      <w:pPr>
        <w:pStyle w:val="2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38AF088C">
      <w:pPr>
        <w:pStyle w:val="2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2B35ABD2">
      <w:pPr>
        <w:pStyle w:val="7"/>
        <w:bidi w:val="0"/>
        <w:rPr>
          <w:rFonts w:hint="eastAsia"/>
          <w:lang w:eastAsia="zh-CN"/>
        </w:rPr>
      </w:pPr>
      <w:bookmarkStart w:id="1186" w:name="_Toc9443"/>
      <w:bookmarkStart w:id="1187" w:name="_Toc5662"/>
      <w:bookmarkStart w:id="1188" w:name="_Toc11398"/>
      <w:bookmarkStart w:id="1189" w:name="_Toc22104"/>
      <w:bookmarkStart w:id="1190" w:name="_Toc23695"/>
      <w:r>
        <w:rPr>
          <w:rFonts w:hint="eastAsia"/>
          <w:lang w:eastAsia="zh-CN"/>
        </w:rPr>
        <w:t>（二）</w:t>
      </w:r>
      <w:bookmarkEnd w:id="1182"/>
      <w:bookmarkEnd w:id="1183"/>
      <w:r>
        <w:rPr>
          <w:rFonts w:hint="eastAsia"/>
          <w:lang w:eastAsia="zh-CN"/>
        </w:rPr>
        <w:t>磋商函附录</w:t>
      </w:r>
      <w:bookmarkEnd w:id="1184"/>
      <w:bookmarkEnd w:id="1185"/>
      <w:bookmarkEnd w:id="1186"/>
      <w:bookmarkEnd w:id="1187"/>
      <w:bookmarkEnd w:id="1188"/>
      <w:bookmarkEnd w:id="1189"/>
      <w:bookmarkEnd w:id="1190"/>
    </w:p>
    <w:tbl>
      <w:tblPr>
        <w:tblStyle w:val="31"/>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1390"/>
        <w:gridCol w:w="1390"/>
        <w:gridCol w:w="1469"/>
        <w:gridCol w:w="1634"/>
        <w:gridCol w:w="1559"/>
      </w:tblGrid>
      <w:tr w14:paraId="2D24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260857C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名称</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6550B38F">
            <w:pPr>
              <w:rPr>
                <w:rFonts w:hint="eastAsia" w:ascii="宋体" w:hAnsi="宋体" w:eastAsia="宋体" w:cs="宋体"/>
                <w:color w:val="auto"/>
                <w:sz w:val="24"/>
                <w:szCs w:val="24"/>
                <w:highlight w:val="none"/>
              </w:rPr>
            </w:pPr>
          </w:p>
        </w:tc>
      </w:tr>
      <w:tr w14:paraId="3A9D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25F4A48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A68688D">
            <w:pPr>
              <w:rPr>
                <w:rFonts w:hint="eastAsia" w:ascii="宋体" w:hAnsi="宋体" w:eastAsia="宋体" w:cs="宋体"/>
                <w:color w:val="auto"/>
                <w:sz w:val="24"/>
                <w:szCs w:val="24"/>
                <w:highlight w:val="none"/>
              </w:rPr>
            </w:pPr>
          </w:p>
        </w:tc>
      </w:tr>
      <w:tr w14:paraId="1E85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7CED894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响应内容</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115E3CF4">
            <w:pPr>
              <w:rPr>
                <w:rFonts w:hint="eastAsia" w:ascii="宋体" w:hAnsi="宋体" w:eastAsia="宋体" w:cs="宋体"/>
                <w:color w:val="auto"/>
                <w:sz w:val="24"/>
                <w:szCs w:val="24"/>
                <w:highlight w:val="none"/>
              </w:rPr>
            </w:pPr>
          </w:p>
        </w:tc>
      </w:tr>
      <w:tr w14:paraId="4138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527B7A05">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项目经理</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67E999DE">
            <w:pPr>
              <w:jc w:val="center"/>
              <w:rPr>
                <w:rFonts w:hint="eastAsia" w:ascii="宋体" w:hAnsi="宋体" w:eastAsia="宋体" w:cs="宋体"/>
                <w:b w:val="0"/>
                <w:bCs w:val="0"/>
                <w:color w:val="auto"/>
                <w:kern w:val="2"/>
                <w:sz w:val="24"/>
                <w:szCs w:val="24"/>
                <w:highlight w:val="none"/>
                <w:lang w:val="en-US" w:eastAsia="zh-CN" w:bidi="ar-SA"/>
              </w:rPr>
            </w:pPr>
          </w:p>
        </w:tc>
        <w:tc>
          <w:tcPr>
            <w:tcW w:w="1390" w:type="dxa"/>
            <w:tcBorders>
              <w:top w:val="single" w:color="auto" w:sz="4" w:space="0"/>
              <w:left w:val="single" w:color="auto" w:sz="4" w:space="0"/>
              <w:bottom w:val="single" w:color="auto" w:sz="4" w:space="0"/>
              <w:right w:val="single" w:color="auto" w:sz="4" w:space="0"/>
            </w:tcBorders>
            <w:noWrap w:val="0"/>
            <w:vAlign w:val="center"/>
          </w:tcPr>
          <w:p w14:paraId="66574F0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级别</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0E99F54E">
            <w:pPr>
              <w:jc w:val="center"/>
              <w:rPr>
                <w:rFonts w:hint="eastAsia" w:ascii="宋体" w:hAnsi="宋体" w:eastAsia="宋体" w:cs="宋体"/>
                <w:color w:val="auto"/>
                <w:kern w:val="2"/>
                <w:sz w:val="24"/>
                <w:szCs w:val="24"/>
                <w:highlight w:val="none"/>
                <w:lang w:val="en-US" w:eastAsia="zh-CN" w:bidi="ar-SA"/>
              </w:rPr>
            </w:pPr>
          </w:p>
        </w:tc>
        <w:tc>
          <w:tcPr>
            <w:tcW w:w="1634" w:type="dxa"/>
            <w:tcBorders>
              <w:top w:val="single" w:color="auto" w:sz="4" w:space="0"/>
              <w:left w:val="single" w:color="auto" w:sz="4" w:space="0"/>
              <w:bottom w:val="single" w:color="auto" w:sz="4" w:space="0"/>
              <w:right w:val="single" w:color="auto" w:sz="4" w:space="0"/>
            </w:tcBorders>
            <w:noWrap w:val="0"/>
            <w:vAlign w:val="center"/>
          </w:tcPr>
          <w:p w14:paraId="6FA16C57">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证号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7CC50EE">
            <w:pPr>
              <w:rPr>
                <w:rFonts w:hint="eastAsia" w:ascii="宋体" w:hAnsi="宋体" w:eastAsia="宋体" w:cs="宋体"/>
                <w:b w:val="0"/>
                <w:bCs w:val="0"/>
                <w:color w:val="auto"/>
                <w:sz w:val="24"/>
                <w:szCs w:val="24"/>
                <w:highlight w:val="none"/>
              </w:rPr>
            </w:pPr>
          </w:p>
        </w:tc>
      </w:tr>
      <w:tr w14:paraId="3C9D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restart"/>
            <w:tcBorders>
              <w:top w:val="single" w:color="auto" w:sz="4" w:space="0"/>
              <w:left w:val="single" w:color="auto" w:sz="4" w:space="0"/>
              <w:right w:val="single" w:color="auto" w:sz="4" w:space="0"/>
            </w:tcBorders>
            <w:noWrap w:val="0"/>
            <w:vAlign w:val="center"/>
          </w:tcPr>
          <w:p w14:paraId="66F3BF6C">
            <w:pPr>
              <w:spacing w:line="3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总</w:t>
            </w:r>
            <w:r>
              <w:rPr>
                <w:rFonts w:hint="eastAsia" w:ascii="宋体" w:hAnsi="宋体" w:eastAsia="宋体" w:cs="宋体"/>
                <w:color w:val="auto"/>
                <w:sz w:val="24"/>
                <w:szCs w:val="24"/>
                <w:highlight w:val="none"/>
                <w:lang w:val="en-US" w:eastAsia="zh-CN"/>
              </w:rPr>
              <w:t>报</w:t>
            </w:r>
            <w:r>
              <w:rPr>
                <w:rFonts w:hint="eastAsia" w:ascii="宋体" w:hAnsi="宋体" w:eastAsia="宋体" w:cs="宋体"/>
                <w:color w:val="auto"/>
                <w:sz w:val="24"/>
                <w:szCs w:val="24"/>
                <w:highlight w:val="none"/>
              </w:rPr>
              <w:t>价</w:t>
            </w:r>
            <w:r>
              <w:rPr>
                <w:rFonts w:hint="eastAsia" w:ascii="宋体" w:hAnsi="宋体" w:eastAsia="宋体" w:cs="宋体"/>
                <w:color w:val="auto"/>
                <w:sz w:val="24"/>
                <w:szCs w:val="24"/>
                <w:highlight w:val="none"/>
                <w:lang w:eastAsia="zh-CN"/>
              </w:rPr>
              <w:t>（元）</w:t>
            </w:r>
          </w:p>
        </w:tc>
        <w:tc>
          <w:tcPr>
            <w:tcW w:w="4249" w:type="dxa"/>
            <w:gridSpan w:val="3"/>
            <w:tcBorders>
              <w:top w:val="single" w:color="auto" w:sz="4" w:space="0"/>
              <w:left w:val="single" w:color="auto" w:sz="4" w:space="0"/>
              <w:bottom w:val="single" w:color="auto" w:sz="4" w:space="0"/>
              <w:right w:val="single" w:color="auto" w:sz="4" w:space="0"/>
            </w:tcBorders>
            <w:noWrap w:val="0"/>
            <w:vAlign w:val="center"/>
          </w:tcPr>
          <w:p w14:paraId="2310845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p>
        </w:tc>
        <w:tc>
          <w:tcPr>
            <w:tcW w:w="3193" w:type="dxa"/>
            <w:gridSpan w:val="2"/>
            <w:tcBorders>
              <w:top w:val="single" w:color="auto" w:sz="4" w:space="0"/>
              <w:left w:val="single" w:color="auto" w:sz="4" w:space="0"/>
              <w:bottom w:val="single" w:color="auto" w:sz="4" w:space="0"/>
              <w:right w:val="single" w:color="auto" w:sz="4" w:space="0"/>
            </w:tcBorders>
            <w:noWrap w:val="0"/>
            <w:vAlign w:val="center"/>
          </w:tcPr>
          <w:p w14:paraId="3F02998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p>
        </w:tc>
      </w:tr>
      <w:tr w14:paraId="48B8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continue"/>
            <w:tcBorders>
              <w:left w:val="single" w:color="auto" w:sz="4" w:space="0"/>
              <w:bottom w:val="single" w:color="auto" w:sz="4" w:space="0"/>
              <w:right w:val="single" w:color="auto" w:sz="4" w:space="0"/>
            </w:tcBorders>
            <w:noWrap w:val="0"/>
            <w:vAlign w:val="center"/>
          </w:tcPr>
          <w:p w14:paraId="14F3C6AD">
            <w:pPr>
              <w:spacing w:line="360" w:lineRule="exact"/>
              <w:jc w:val="center"/>
              <w:rPr>
                <w:rFonts w:hint="eastAsia" w:ascii="宋体" w:hAnsi="宋体" w:eastAsia="宋体" w:cs="宋体"/>
                <w:color w:val="auto"/>
                <w:sz w:val="24"/>
                <w:szCs w:val="24"/>
                <w:highlight w:val="none"/>
              </w:rPr>
            </w:pP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486D4940">
            <w:pP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（供应商应在此填列第一次报价，但以供应商最后一次的磋商报价为成交价）</w:t>
            </w:r>
          </w:p>
        </w:tc>
      </w:tr>
      <w:tr w14:paraId="0D68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0936F8CD">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eastAsia="zh-CN"/>
              </w:rPr>
              <w:t>要求</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E349D81">
            <w:pPr>
              <w:jc w:val="center"/>
              <w:rPr>
                <w:rFonts w:hint="eastAsia" w:ascii="宋体" w:hAnsi="宋体" w:eastAsia="宋体" w:cs="宋体"/>
                <w:color w:val="auto"/>
                <w:sz w:val="24"/>
                <w:szCs w:val="24"/>
                <w:highlight w:val="none"/>
              </w:rPr>
            </w:pPr>
          </w:p>
        </w:tc>
      </w:tr>
      <w:tr w14:paraId="0521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26C0C47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计划</w:t>
            </w:r>
            <w:r>
              <w:rPr>
                <w:rFonts w:hint="eastAsia" w:ascii="宋体" w:hAnsi="宋体" w:eastAsia="宋体" w:cs="宋体"/>
                <w:color w:val="auto"/>
                <w:sz w:val="24"/>
                <w:szCs w:val="24"/>
                <w:highlight w:val="none"/>
              </w:rPr>
              <w:t>工期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38994763">
            <w:pPr>
              <w:jc w:val="center"/>
              <w:rPr>
                <w:rFonts w:hint="eastAsia" w:ascii="宋体" w:hAnsi="宋体" w:eastAsia="宋体" w:cs="宋体"/>
                <w:color w:val="auto"/>
                <w:sz w:val="24"/>
                <w:szCs w:val="24"/>
                <w:highlight w:val="none"/>
              </w:rPr>
            </w:pPr>
          </w:p>
        </w:tc>
      </w:tr>
      <w:tr w14:paraId="08C4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19FA0A0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EDF645A">
            <w:pPr>
              <w:jc w:val="center"/>
              <w:rPr>
                <w:rFonts w:hint="eastAsia" w:ascii="宋体" w:hAnsi="宋体" w:eastAsia="宋体" w:cs="宋体"/>
                <w:color w:val="auto"/>
                <w:sz w:val="24"/>
                <w:szCs w:val="24"/>
                <w:highlight w:val="none"/>
              </w:rPr>
            </w:pPr>
          </w:p>
        </w:tc>
      </w:tr>
      <w:tr w14:paraId="5140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71F201FB">
            <w:pPr>
              <w:jc w:val="center"/>
              <w:rPr>
                <w:rFonts w:hint="eastAsia" w:ascii="宋体" w:hAnsi="宋体" w:eastAsia="宋体" w:cs="宋体"/>
                <w:color w:val="auto"/>
                <w:sz w:val="24"/>
                <w:szCs w:val="24"/>
                <w:highlight w:val="none"/>
                <w:lang w:val="en-US" w:eastAsia="zh-CN"/>
              </w:rPr>
            </w:pPr>
            <w:bookmarkStart w:id="1191" w:name="_Toc2481"/>
            <w:bookmarkStart w:id="1192" w:name="_Toc466298161"/>
            <w:bookmarkStart w:id="1193" w:name="_Toc144974860"/>
            <w:bookmarkStart w:id="1194" w:name="_Toc287367268"/>
            <w:bookmarkStart w:id="1195" w:name="_Toc152042580"/>
            <w:bookmarkStart w:id="1196" w:name="_Toc152045791"/>
            <w:bookmarkStart w:id="1197" w:name="_Toc31033"/>
            <w:r>
              <w:rPr>
                <w:rFonts w:hint="eastAsia" w:ascii="宋体" w:hAnsi="宋体" w:eastAsia="宋体" w:cs="宋体"/>
                <w:color w:val="auto"/>
                <w:sz w:val="24"/>
                <w:szCs w:val="24"/>
                <w:highlight w:val="none"/>
                <w:lang w:val="en-US" w:eastAsia="zh-CN"/>
              </w:rPr>
              <w:t>备注</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09B8565B">
            <w:pPr>
              <w:jc w:val="center"/>
              <w:rPr>
                <w:rFonts w:hint="eastAsia" w:ascii="宋体" w:hAnsi="宋体" w:eastAsia="宋体" w:cs="宋体"/>
                <w:color w:val="auto"/>
                <w:sz w:val="24"/>
                <w:szCs w:val="24"/>
                <w:highlight w:val="none"/>
              </w:rPr>
            </w:pPr>
          </w:p>
        </w:tc>
      </w:tr>
    </w:tbl>
    <w:p w14:paraId="266F3EF5">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color w:val="auto"/>
          <w:szCs w:val="21"/>
          <w:highlight w:val="none"/>
        </w:rPr>
      </w:pPr>
    </w:p>
    <w:p w14:paraId="252E97F9">
      <w:pPr>
        <w:pStyle w:val="20"/>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color w:val="auto"/>
          <w:szCs w:val="21"/>
          <w:highlight w:val="none"/>
        </w:rPr>
      </w:pPr>
    </w:p>
    <w:p w14:paraId="7A73E9E4">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5987E348">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6D3929F3">
      <w:pPr>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17AF16E0">
      <w:pPr>
        <w:pStyle w:val="6"/>
        <w:bidi w:val="0"/>
        <w:rPr>
          <w:rFonts w:hint="eastAsia" w:ascii="宋体" w:hAnsi="宋体" w:eastAsia="宋体" w:cs="宋体"/>
          <w:b/>
          <w:bCs/>
          <w:color w:val="auto"/>
          <w:kern w:val="2"/>
          <w:szCs w:val="22"/>
          <w:highlight w:val="none"/>
          <w:lang w:val="zh-CN" w:eastAsia="zh-CN" w:bidi="zh-CN"/>
        </w:rPr>
      </w:pPr>
      <w:r>
        <w:rPr>
          <w:rFonts w:hint="eastAsia" w:ascii="宋体" w:hAnsi="宋体" w:eastAsia="宋体" w:cs="宋体"/>
          <w:color w:val="auto"/>
          <w:szCs w:val="21"/>
          <w:highlight w:val="none"/>
        </w:rPr>
        <w:br w:type="page"/>
      </w:r>
      <w:bookmarkEnd w:id="1191"/>
      <w:bookmarkEnd w:id="1192"/>
      <w:bookmarkEnd w:id="1193"/>
      <w:bookmarkEnd w:id="1194"/>
      <w:bookmarkEnd w:id="1195"/>
      <w:bookmarkEnd w:id="1196"/>
      <w:bookmarkEnd w:id="1197"/>
      <w:bookmarkStart w:id="1198" w:name="_Toc13661"/>
      <w:bookmarkStart w:id="1199" w:name="_Toc29067"/>
      <w:bookmarkStart w:id="1200" w:name="_Toc23767"/>
      <w:bookmarkStart w:id="1201" w:name="_Toc20037"/>
      <w:bookmarkStart w:id="1202" w:name="_Toc26428"/>
      <w:r>
        <w:rPr>
          <w:rFonts w:hint="eastAsia"/>
          <w:lang w:val="zh-CN" w:eastAsia="zh-CN"/>
        </w:rPr>
        <w:t>二、法定代表人（单位负责人）身份证明</w:t>
      </w:r>
      <w:bookmarkEnd w:id="1198"/>
      <w:bookmarkEnd w:id="1199"/>
      <w:bookmarkEnd w:id="1200"/>
      <w:bookmarkEnd w:id="1201"/>
      <w:bookmarkEnd w:id="1202"/>
    </w:p>
    <w:p w14:paraId="41855AA3">
      <w:pPr>
        <w:spacing w:line="440" w:lineRule="exact"/>
        <w:jc w:val="center"/>
        <w:rPr>
          <w:rFonts w:hint="eastAsia" w:ascii="宋体" w:hAnsi="宋体" w:eastAsia="宋体" w:cs="宋体"/>
          <w:color w:val="auto"/>
          <w:szCs w:val="21"/>
          <w:highlight w:val="none"/>
        </w:rPr>
      </w:pPr>
    </w:p>
    <w:p w14:paraId="437159AA">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39DD9FD">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E134A68">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DA2B162">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日</w:t>
      </w:r>
    </w:p>
    <w:p w14:paraId="0084E79F">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8B61757">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性别：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77C3CA60">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（供应商名称）的法定代表人。</w:t>
      </w:r>
    </w:p>
    <w:p w14:paraId="1C89BDEE">
      <w:pPr>
        <w:spacing w:line="360" w:lineRule="auto"/>
        <w:ind w:left="0" w:leftChars="0" w:firstLine="1680" w:firstLineChars="700"/>
        <w:rPr>
          <w:rFonts w:hint="eastAsia" w:ascii="宋体" w:hAnsi="宋体" w:eastAsia="宋体" w:cs="宋体"/>
          <w:color w:val="auto"/>
          <w:sz w:val="24"/>
          <w:szCs w:val="24"/>
          <w:highlight w:val="none"/>
        </w:rPr>
      </w:pPr>
    </w:p>
    <w:p w14:paraId="2929777A">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0DA8E974">
      <w:pPr>
        <w:spacing w:line="440" w:lineRule="exact"/>
        <w:rPr>
          <w:rFonts w:hint="eastAsia" w:ascii="宋体" w:hAnsi="宋体" w:eastAsia="宋体" w:cs="宋体"/>
          <w:color w:val="auto"/>
          <w:sz w:val="24"/>
          <w:szCs w:val="24"/>
          <w:highlight w:val="none"/>
        </w:rPr>
      </w:pPr>
    </w:p>
    <w:p w14:paraId="6043085A">
      <w:pPr>
        <w:pStyle w:val="20"/>
        <w:keepNext w:val="0"/>
        <w:keepLines w:val="0"/>
        <w:pageBreakBefore w:val="0"/>
        <w:widowControl w:val="0"/>
        <w:kinsoku/>
        <w:wordWrap/>
        <w:overflowPunct/>
        <w:topLinePunct w:val="0"/>
        <w:autoSpaceDE/>
        <w:autoSpaceDN/>
        <w:bidi w:val="0"/>
        <w:adjustRightInd/>
        <w:snapToGrid/>
        <w:spacing w:line="360" w:lineRule="auto"/>
        <w:ind w:left="960" w:leftChars="4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64EE6D6C">
      <w:pPr>
        <w:pStyle w:val="20"/>
        <w:keepNext w:val="0"/>
        <w:keepLines w:val="0"/>
        <w:pageBreakBefore w:val="0"/>
        <w:widowControl w:val="0"/>
        <w:kinsoku/>
        <w:wordWrap/>
        <w:overflowPunct/>
        <w:topLinePunct w:val="0"/>
        <w:autoSpaceDE/>
        <w:autoSpaceDN/>
        <w:bidi w:val="0"/>
        <w:adjustRightInd/>
        <w:snapToGrid/>
        <w:spacing w:line="360" w:lineRule="auto"/>
        <w:ind w:left="960" w:leftChars="4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06D83B8D">
      <w:pPr>
        <w:spacing w:line="440" w:lineRule="exact"/>
        <w:ind w:firstLine="960" w:firstLineChars="400"/>
        <w:jc w:val="both"/>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r>
        <w:rPr>
          <w:rFonts w:hint="eastAsia" w:ascii="宋体" w:hAnsi="宋体" w:eastAsia="宋体" w:cs="宋体"/>
          <w:color w:val="auto"/>
          <w:sz w:val="24"/>
          <w:szCs w:val="24"/>
          <w:highlight w:val="none"/>
        </w:rPr>
        <w:t xml:space="preserve"> </w:t>
      </w:r>
    </w:p>
    <w:p w14:paraId="31DCD2B6">
      <w:pPr>
        <w:spacing w:line="440" w:lineRule="exact"/>
        <w:jc w:val="center"/>
        <w:rPr>
          <w:rFonts w:hint="eastAsia" w:ascii="宋体" w:hAnsi="宋体" w:eastAsia="宋体" w:cs="宋体"/>
          <w:color w:val="auto"/>
          <w:sz w:val="24"/>
          <w:szCs w:val="24"/>
          <w:highlight w:val="none"/>
        </w:rPr>
      </w:pPr>
    </w:p>
    <w:p w14:paraId="7F496403">
      <w:pPr>
        <w:spacing w:line="440" w:lineRule="exact"/>
        <w:jc w:val="both"/>
        <w:rPr>
          <w:rFonts w:hint="eastAsia" w:ascii="宋体" w:hAnsi="宋体" w:eastAsia="宋体" w:cs="宋体"/>
          <w:color w:val="auto"/>
          <w:sz w:val="24"/>
          <w:szCs w:val="24"/>
          <w:highlight w:val="none"/>
        </w:rPr>
      </w:pPr>
    </w:p>
    <w:p w14:paraId="7C27CEB0">
      <w:pPr>
        <w:spacing w:line="440" w:lineRule="exact"/>
        <w:jc w:val="center"/>
        <w:rPr>
          <w:rFonts w:hint="eastAsia" w:ascii="宋体" w:hAnsi="宋体" w:eastAsia="宋体" w:cs="宋体"/>
          <w:color w:val="auto"/>
          <w:sz w:val="24"/>
          <w:szCs w:val="24"/>
          <w:highlight w:val="none"/>
        </w:rPr>
      </w:pPr>
    </w:p>
    <w:p w14:paraId="6872F1A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w:t>
      </w:r>
      <w:r>
        <w:rPr>
          <w:rFonts w:hint="eastAsia" w:ascii="宋体" w:hAnsi="宋体" w:eastAsia="宋体" w:cs="宋体"/>
          <w:color w:val="auto"/>
          <w:sz w:val="24"/>
          <w:szCs w:val="24"/>
          <w:highlight w:val="none"/>
        </w:rPr>
        <w:t>法定代表人</w:t>
      </w:r>
      <w:r>
        <w:rPr>
          <w:rFonts w:hint="eastAsia" w:ascii="宋体" w:hAnsi="宋体" w:cs="宋体"/>
          <w:color w:val="auto"/>
          <w:sz w:val="24"/>
          <w:szCs w:val="24"/>
          <w:highlight w:val="none"/>
          <w:lang w:val="en-US" w:eastAsia="zh-CN"/>
        </w:rPr>
        <w:t>有效的</w:t>
      </w:r>
      <w:r>
        <w:rPr>
          <w:rFonts w:hint="eastAsia" w:ascii="宋体" w:hAnsi="宋体" w:eastAsia="宋体" w:cs="宋体"/>
          <w:color w:val="auto"/>
          <w:sz w:val="24"/>
          <w:szCs w:val="24"/>
          <w:highlight w:val="none"/>
        </w:rPr>
        <w:t>身份证</w:t>
      </w:r>
      <w:r>
        <w:rPr>
          <w:rFonts w:hint="eastAsia" w:ascii="宋体" w:hAnsi="宋体" w:eastAsia="宋体" w:cs="宋体"/>
          <w:color w:val="auto"/>
          <w:sz w:val="24"/>
          <w:szCs w:val="24"/>
          <w:highlight w:val="none"/>
          <w:lang w:val="en-US" w:eastAsia="zh-CN"/>
        </w:rPr>
        <w:t>正反面</w:t>
      </w:r>
      <w:r>
        <w:rPr>
          <w:rFonts w:hint="eastAsia" w:ascii="宋体" w:hAnsi="宋体" w:eastAsia="宋体" w:cs="宋体"/>
          <w:color w:val="auto"/>
          <w:sz w:val="24"/>
          <w:szCs w:val="24"/>
          <w:highlight w:val="none"/>
        </w:rPr>
        <w:t>扫描件</w:t>
      </w:r>
    </w:p>
    <w:p w14:paraId="03C42662">
      <w:pPr>
        <w:rPr>
          <w:rFonts w:hint="eastAsia" w:ascii="宋体" w:hAnsi="宋体" w:eastAsia="宋体" w:cs="宋体"/>
          <w:b/>
          <w:bCs/>
          <w:color w:val="auto"/>
          <w:kern w:val="2"/>
          <w:sz w:val="36"/>
          <w:szCs w:val="22"/>
          <w:highlight w:val="none"/>
          <w:lang w:val="en-US" w:eastAsia="zh-CN" w:bidi="zh-CN"/>
        </w:rPr>
      </w:pPr>
      <w:bookmarkStart w:id="1203" w:name="_Toc466298162"/>
      <w:bookmarkStart w:id="1204" w:name="_Toc29453"/>
      <w:bookmarkStart w:id="1205" w:name="_Toc26203"/>
      <w:bookmarkStart w:id="1206" w:name="_Toc4123"/>
      <w:bookmarkStart w:id="1207" w:name="_Toc318989765"/>
      <w:bookmarkStart w:id="1208" w:name="_Toc441791190"/>
      <w:bookmarkStart w:id="1209" w:name="_Toc25250"/>
      <w:bookmarkStart w:id="1210" w:name="_Toc202941490"/>
      <w:r>
        <w:rPr>
          <w:rFonts w:hint="eastAsia" w:ascii="宋体" w:hAnsi="宋体" w:eastAsia="宋体" w:cs="宋体"/>
          <w:b/>
          <w:bCs/>
          <w:color w:val="auto"/>
          <w:kern w:val="2"/>
          <w:sz w:val="36"/>
          <w:szCs w:val="22"/>
          <w:highlight w:val="none"/>
          <w:lang w:val="en-US" w:eastAsia="zh-CN" w:bidi="zh-CN"/>
        </w:rPr>
        <w:br w:type="page"/>
      </w:r>
    </w:p>
    <w:p w14:paraId="40265365">
      <w:pPr>
        <w:pStyle w:val="6"/>
        <w:bidi w:val="0"/>
        <w:rPr>
          <w:rFonts w:hint="eastAsia"/>
          <w:lang w:val="zh-CN" w:eastAsia="zh-CN"/>
        </w:rPr>
      </w:pPr>
      <w:bookmarkStart w:id="1211" w:name="_Toc26146"/>
      <w:bookmarkStart w:id="1212" w:name="_Toc7495"/>
      <w:bookmarkStart w:id="1213" w:name="_Toc8851"/>
      <w:r>
        <w:rPr>
          <w:rFonts w:hint="eastAsia"/>
          <w:lang w:val="en-US" w:eastAsia="zh-CN"/>
        </w:rPr>
        <w:t>三</w:t>
      </w:r>
      <w:r>
        <w:rPr>
          <w:rFonts w:hint="eastAsia"/>
          <w:lang w:val="zh-CN" w:eastAsia="zh-CN"/>
        </w:rPr>
        <w:t>、法定代表人授权书</w:t>
      </w:r>
      <w:bookmarkEnd w:id="1203"/>
      <w:bookmarkEnd w:id="1204"/>
      <w:bookmarkEnd w:id="1205"/>
      <w:bookmarkEnd w:id="1206"/>
      <w:bookmarkEnd w:id="1207"/>
      <w:bookmarkEnd w:id="1208"/>
      <w:bookmarkEnd w:id="1209"/>
      <w:bookmarkEnd w:id="1210"/>
      <w:bookmarkEnd w:id="1211"/>
      <w:bookmarkEnd w:id="1212"/>
      <w:bookmarkEnd w:id="1213"/>
    </w:p>
    <w:p w14:paraId="4232C745">
      <w:pPr>
        <w:topLinePunct/>
        <w:spacing w:line="360" w:lineRule="auto"/>
        <w:ind w:firstLine="480" w:firstLineChars="200"/>
        <w:rPr>
          <w:rFonts w:hint="eastAsia" w:ascii="宋体" w:hAnsi="宋体" w:eastAsia="宋体" w:cs="宋体"/>
          <w:color w:val="auto"/>
          <w:szCs w:val="21"/>
          <w:highlight w:val="none"/>
        </w:rPr>
      </w:pPr>
    </w:p>
    <w:p w14:paraId="72ECDC04">
      <w:pPr>
        <w:topLinePunct/>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（供应商名称）的法定代表人，现委托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（项目名称）响应文件、签订合同和处理有关事宜，其法律后果由我方承担。</w:t>
      </w:r>
    </w:p>
    <w:p w14:paraId="4C23C6C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委托期限：</w:t>
      </w:r>
      <w:r>
        <w:rPr>
          <w:rFonts w:hint="eastAsia" w:ascii="宋体" w:hAnsi="宋体" w:eastAsia="宋体" w:cs="宋体"/>
          <w:color w:val="auto"/>
          <w:sz w:val="24"/>
          <w:szCs w:val="32"/>
          <w:highlight w:val="none"/>
        </w:rPr>
        <w:t>自本委托书签署之日起至</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有效期期满。</w:t>
      </w:r>
    </w:p>
    <w:p w14:paraId="42B404C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7BE13AFF">
      <w:pPr>
        <w:spacing w:line="440" w:lineRule="exact"/>
        <w:rPr>
          <w:rFonts w:hint="eastAsia" w:ascii="宋体" w:hAnsi="宋体" w:eastAsia="宋体" w:cs="宋体"/>
          <w:color w:val="auto"/>
          <w:sz w:val="24"/>
          <w:szCs w:val="24"/>
          <w:highlight w:val="none"/>
        </w:rPr>
      </w:pPr>
    </w:p>
    <w:p w14:paraId="5A7076A7">
      <w:pPr>
        <w:spacing w:line="440" w:lineRule="exact"/>
        <w:rPr>
          <w:rFonts w:hint="eastAsia" w:ascii="宋体" w:hAnsi="宋体" w:eastAsia="宋体" w:cs="宋体"/>
          <w:color w:val="auto"/>
          <w:sz w:val="24"/>
          <w:szCs w:val="24"/>
          <w:highlight w:val="none"/>
        </w:rPr>
      </w:pPr>
    </w:p>
    <w:p w14:paraId="13B97DAD">
      <w:pPr>
        <w:bidi w:val="0"/>
        <w:rPr>
          <w:rFonts w:hint="eastAsia" w:ascii="宋体" w:hAnsi="宋体" w:eastAsia="宋体" w:cs="宋体"/>
        </w:rPr>
      </w:pPr>
    </w:p>
    <w:p w14:paraId="716BF7D7">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159CEC54">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68BABC58">
      <w:pPr>
        <w:spacing w:line="360" w:lineRule="auto"/>
        <w:ind w:left="0" w:leftChars="0" w:firstLine="2940" w:firstLineChars="1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5570C27">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24C5D2DF">
      <w:pPr>
        <w:spacing w:line="360" w:lineRule="auto"/>
        <w:ind w:left="0" w:leftChars="0" w:firstLine="2940" w:firstLineChars="1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0DA8E880">
      <w:pPr>
        <w:spacing w:line="360" w:lineRule="auto"/>
        <w:ind w:firstLine="2880" w:firstLineChars="1200"/>
        <w:jc w:val="both"/>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4911C1BB">
      <w:pPr>
        <w:pStyle w:val="17"/>
        <w:rPr>
          <w:rFonts w:hint="eastAsia" w:ascii="宋体" w:hAnsi="宋体" w:eastAsia="宋体" w:cs="宋体"/>
          <w:color w:val="auto"/>
          <w:sz w:val="24"/>
          <w:szCs w:val="32"/>
          <w:highlight w:val="none"/>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768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8528" w:type="dxa"/>
            <w:noWrap w:val="0"/>
            <w:vAlign w:val="center"/>
          </w:tcPr>
          <w:p w14:paraId="4480CDCE">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附</w:t>
            </w:r>
            <w:r>
              <w:rPr>
                <w:rFonts w:hint="eastAsia" w:ascii="宋体" w:hAnsi="宋体" w:eastAsia="宋体" w:cs="宋体"/>
                <w:color w:val="auto"/>
                <w:sz w:val="24"/>
                <w:szCs w:val="24"/>
                <w:highlight w:val="none"/>
              </w:rPr>
              <w:t>委托代理人</w:t>
            </w:r>
            <w:r>
              <w:rPr>
                <w:rFonts w:hint="eastAsia" w:ascii="宋体" w:hAnsi="宋体" w:cs="宋体"/>
                <w:color w:val="auto"/>
                <w:sz w:val="24"/>
                <w:szCs w:val="24"/>
                <w:highlight w:val="none"/>
                <w:lang w:val="en-US" w:eastAsia="zh-CN"/>
              </w:rPr>
              <w:t>有效的</w:t>
            </w:r>
            <w:r>
              <w:rPr>
                <w:rFonts w:hint="eastAsia" w:ascii="宋体" w:hAnsi="宋体" w:eastAsia="宋体" w:cs="宋体"/>
                <w:color w:val="auto"/>
                <w:sz w:val="24"/>
                <w:szCs w:val="24"/>
                <w:highlight w:val="none"/>
              </w:rPr>
              <w:t>身份证扫描件</w:t>
            </w:r>
          </w:p>
          <w:p w14:paraId="2EFBBA66">
            <w:pPr>
              <w:spacing w:line="440" w:lineRule="exact"/>
              <w:jc w:val="center"/>
              <w:rPr>
                <w:rFonts w:hint="eastAsia" w:ascii="宋体" w:hAnsi="宋体" w:eastAsia="宋体" w:cs="宋体"/>
                <w:color w:val="auto"/>
                <w:szCs w:val="21"/>
                <w:highlight w:val="none"/>
              </w:rPr>
            </w:pPr>
          </w:p>
        </w:tc>
      </w:tr>
    </w:tbl>
    <w:p w14:paraId="28E43638">
      <w:pPr>
        <w:rPr>
          <w:rFonts w:hint="eastAsia" w:ascii="宋体" w:hAnsi="宋体" w:eastAsia="宋体" w:cs="宋体"/>
          <w:color w:val="auto"/>
          <w:highlight w:val="none"/>
        </w:rPr>
      </w:pPr>
      <w:bookmarkStart w:id="1214" w:name="_Toc144974862"/>
    </w:p>
    <w:bookmarkEnd w:id="1214"/>
    <w:p w14:paraId="4237D8C4">
      <w:pPr>
        <w:rPr>
          <w:rFonts w:hint="eastAsia" w:ascii="宋体" w:hAnsi="宋体" w:eastAsia="宋体" w:cs="宋体"/>
          <w:b/>
          <w:bCs/>
          <w:color w:val="auto"/>
          <w:kern w:val="2"/>
          <w:sz w:val="36"/>
          <w:szCs w:val="22"/>
          <w:highlight w:val="none"/>
          <w:lang w:val="en-US" w:eastAsia="zh-CN" w:bidi="zh-CN"/>
        </w:rPr>
      </w:pPr>
      <w:bookmarkStart w:id="1215" w:name="_Toc475624455"/>
      <w:bookmarkStart w:id="1216" w:name="_Toc21839"/>
      <w:bookmarkStart w:id="1217" w:name="_Toc25711"/>
      <w:bookmarkStart w:id="1218" w:name="_Toc17889"/>
      <w:r>
        <w:rPr>
          <w:rFonts w:hint="eastAsia" w:ascii="宋体" w:hAnsi="宋体" w:eastAsia="宋体" w:cs="宋体"/>
          <w:b/>
          <w:bCs/>
          <w:color w:val="auto"/>
          <w:kern w:val="2"/>
          <w:sz w:val="36"/>
          <w:szCs w:val="22"/>
          <w:highlight w:val="none"/>
          <w:lang w:val="en-US" w:eastAsia="zh-CN" w:bidi="zh-CN"/>
        </w:rPr>
        <w:br w:type="page"/>
      </w:r>
    </w:p>
    <w:p w14:paraId="3D0BE843">
      <w:pPr>
        <w:pStyle w:val="6"/>
        <w:bidi w:val="0"/>
        <w:rPr>
          <w:rFonts w:hint="eastAsia"/>
          <w:lang w:val="en-US" w:eastAsia="zh-CN"/>
        </w:rPr>
      </w:pPr>
      <w:bookmarkStart w:id="1219" w:name="_Toc7631"/>
      <w:bookmarkStart w:id="1220" w:name="_Toc25408"/>
      <w:bookmarkStart w:id="1221" w:name="_Toc27251"/>
      <w:bookmarkStart w:id="1222" w:name="_Toc8395"/>
      <w:r>
        <w:rPr>
          <w:rFonts w:hint="eastAsia"/>
          <w:lang w:val="en-US" w:eastAsia="zh-CN"/>
        </w:rPr>
        <w:t>四、</w:t>
      </w:r>
      <w:bookmarkEnd w:id="1215"/>
      <w:r>
        <w:rPr>
          <w:rFonts w:hint="eastAsia"/>
          <w:lang w:val="en-US" w:eastAsia="zh-CN"/>
        </w:rPr>
        <w:t>已标价工程量清单</w:t>
      </w:r>
      <w:bookmarkEnd w:id="1216"/>
      <w:bookmarkEnd w:id="1217"/>
      <w:bookmarkEnd w:id="1218"/>
      <w:bookmarkEnd w:id="1219"/>
      <w:bookmarkEnd w:id="1220"/>
      <w:bookmarkEnd w:id="1221"/>
      <w:bookmarkEnd w:id="1222"/>
    </w:p>
    <w:p w14:paraId="713CAE4B">
      <w:pPr>
        <w:pStyle w:val="6"/>
        <w:numPr>
          <w:ilvl w:val="1"/>
          <w:numId w:val="0"/>
        </w:numPr>
        <w:jc w:val="center"/>
        <w:outlineLvl w:val="9"/>
        <w:rPr>
          <w:rFonts w:hint="eastAsia" w:ascii="宋体" w:hAnsi="宋体" w:eastAsia="宋体" w:cs="宋体"/>
          <w:color w:val="auto"/>
          <w:sz w:val="28"/>
          <w:highlight w:val="none"/>
          <w:lang w:eastAsia="zh-CN"/>
        </w:rPr>
      </w:pPr>
    </w:p>
    <w:p w14:paraId="5FBEBED7">
      <w:pPr>
        <w:spacing w:line="460" w:lineRule="exact"/>
        <w:ind w:firstLine="360" w:firstLineChars="150"/>
        <w:rPr>
          <w:rFonts w:hint="eastAsia" w:ascii="宋体" w:hAnsi="宋体" w:eastAsia="宋体" w:cs="宋体"/>
          <w:color w:val="auto"/>
          <w:sz w:val="24"/>
          <w:highlight w:val="none"/>
        </w:rPr>
      </w:pPr>
    </w:p>
    <w:p w14:paraId="4F436C0A">
      <w:pPr>
        <w:spacing w:line="460" w:lineRule="exact"/>
        <w:rPr>
          <w:rFonts w:hint="eastAsia" w:ascii="宋体" w:hAnsi="宋体" w:eastAsia="宋体" w:cs="宋体"/>
          <w:color w:val="auto"/>
          <w:szCs w:val="21"/>
          <w:highlight w:val="none"/>
        </w:rPr>
      </w:pPr>
    </w:p>
    <w:p w14:paraId="63D4AD80">
      <w:pPr>
        <w:spacing w:line="460" w:lineRule="exact"/>
        <w:rPr>
          <w:rFonts w:hint="eastAsia" w:ascii="宋体" w:hAnsi="宋体" w:eastAsia="宋体" w:cs="宋体"/>
          <w:color w:val="auto"/>
          <w:szCs w:val="21"/>
          <w:highlight w:val="none"/>
        </w:rPr>
      </w:pPr>
    </w:p>
    <w:p w14:paraId="197A1467">
      <w:pPr>
        <w:spacing w:line="460" w:lineRule="exact"/>
        <w:rPr>
          <w:rFonts w:hint="eastAsia" w:ascii="宋体" w:hAnsi="宋体" w:eastAsia="宋体" w:cs="宋体"/>
          <w:color w:val="auto"/>
          <w:szCs w:val="21"/>
          <w:highlight w:val="none"/>
        </w:rPr>
      </w:pPr>
    </w:p>
    <w:p w14:paraId="557D1288">
      <w:pPr>
        <w:spacing w:line="460" w:lineRule="exact"/>
        <w:rPr>
          <w:rFonts w:hint="eastAsia" w:ascii="宋体" w:hAnsi="宋体" w:eastAsia="宋体" w:cs="宋体"/>
          <w:color w:val="auto"/>
          <w:szCs w:val="21"/>
          <w:highlight w:val="none"/>
        </w:rPr>
      </w:pPr>
    </w:p>
    <w:p w14:paraId="4A95CEBB">
      <w:pPr>
        <w:spacing w:line="460" w:lineRule="exact"/>
        <w:rPr>
          <w:rFonts w:hint="eastAsia" w:ascii="宋体" w:hAnsi="宋体" w:eastAsia="宋体" w:cs="宋体"/>
          <w:color w:val="auto"/>
          <w:szCs w:val="21"/>
          <w:highlight w:val="none"/>
        </w:rPr>
      </w:pPr>
    </w:p>
    <w:p w14:paraId="68FBC36C">
      <w:pPr>
        <w:spacing w:line="460" w:lineRule="exact"/>
        <w:rPr>
          <w:rFonts w:hint="eastAsia" w:ascii="宋体" w:hAnsi="宋体" w:eastAsia="宋体" w:cs="宋体"/>
          <w:color w:val="auto"/>
          <w:szCs w:val="21"/>
          <w:highlight w:val="none"/>
        </w:rPr>
      </w:pPr>
    </w:p>
    <w:p w14:paraId="0FA6B75B">
      <w:pPr>
        <w:spacing w:line="460" w:lineRule="exact"/>
        <w:rPr>
          <w:rFonts w:hint="eastAsia" w:ascii="宋体" w:hAnsi="宋体" w:eastAsia="宋体" w:cs="宋体"/>
          <w:color w:val="auto"/>
          <w:szCs w:val="21"/>
          <w:highlight w:val="none"/>
        </w:rPr>
      </w:pPr>
    </w:p>
    <w:p w14:paraId="20F3F3C7">
      <w:pPr>
        <w:spacing w:line="460" w:lineRule="exact"/>
        <w:rPr>
          <w:rFonts w:hint="eastAsia" w:ascii="宋体" w:hAnsi="宋体" w:eastAsia="宋体" w:cs="宋体"/>
          <w:color w:val="auto"/>
          <w:szCs w:val="21"/>
          <w:highlight w:val="none"/>
        </w:rPr>
      </w:pPr>
    </w:p>
    <w:p w14:paraId="6BD3EE2F">
      <w:pPr>
        <w:spacing w:line="460" w:lineRule="exact"/>
        <w:rPr>
          <w:rFonts w:hint="eastAsia" w:ascii="宋体" w:hAnsi="宋体" w:eastAsia="宋体" w:cs="宋体"/>
          <w:color w:val="auto"/>
          <w:szCs w:val="21"/>
          <w:highlight w:val="none"/>
        </w:rPr>
      </w:pPr>
    </w:p>
    <w:p w14:paraId="0F346BAE">
      <w:pPr>
        <w:spacing w:line="460" w:lineRule="exact"/>
        <w:rPr>
          <w:rFonts w:hint="eastAsia" w:ascii="宋体" w:hAnsi="宋体" w:eastAsia="宋体" w:cs="宋体"/>
          <w:color w:val="auto"/>
          <w:szCs w:val="21"/>
          <w:highlight w:val="none"/>
        </w:rPr>
      </w:pPr>
    </w:p>
    <w:p w14:paraId="48B2FEB3">
      <w:pPr>
        <w:spacing w:line="460" w:lineRule="exact"/>
        <w:rPr>
          <w:rFonts w:hint="eastAsia" w:ascii="宋体" w:hAnsi="宋体" w:eastAsia="宋体" w:cs="宋体"/>
          <w:color w:val="auto"/>
          <w:szCs w:val="21"/>
          <w:highlight w:val="none"/>
        </w:rPr>
      </w:pPr>
    </w:p>
    <w:p w14:paraId="5485B7F7">
      <w:pPr>
        <w:spacing w:line="460" w:lineRule="exact"/>
        <w:rPr>
          <w:rFonts w:hint="eastAsia" w:ascii="宋体" w:hAnsi="宋体" w:eastAsia="宋体" w:cs="宋体"/>
          <w:color w:val="auto"/>
          <w:szCs w:val="21"/>
          <w:highlight w:val="none"/>
        </w:rPr>
      </w:pPr>
    </w:p>
    <w:p w14:paraId="6CE9D574">
      <w:pPr>
        <w:spacing w:line="460" w:lineRule="exact"/>
        <w:rPr>
          <w:rFonts w:hint="eastAsia" w:ascii="宋体" w:hAnsi="宋体" w:eastAsia="宋体" w:cs="宋体"/>
          <w:color w:val="auto"/>
          <w:szCs w:val="21"/>
          <w:highlight w:val="none"/>
        </w:rPr>
      </w:pPr>
    </w:p>
    <w:p w14:paraId="56B6330C">
      <w:pPr>
        <w:spacing w:line="460" w:lineRule="exact"/>
        <w:rPr>
          <w:rFonts w:hint="eastAsia" w:ascii="宋体" w:hAnsi="宋体" w:eastAsia="宋体" w:cs="宋体"/>
          <w:color w:val="auto"/>
          <w:szCs w:val="21"/>
          <w:highlight w:val="none"/>
        </w:rPr>
      </w:pPr>
    </w:p>
    <w:p w14:paraId="248918CE">
      <w:pPr>
        <w:spacing w:line="460" w:lineRule="exact"/>
        <w:rPr>
          <w:rFonts w:hint="eastAsia" w:ascii="宋体" w:hAnsi="宋体" w:eastAsia="宋体" w:cs="宋体"/>
          <w:color w:val="auto"/>
          <w:szCs w:val="21"/>
          <w:highlight w:val="none"/>
        </w:rPr>
      </w:pPr>
    </w:p>
    <w:p w14:paraId="1281E1FD">
      <w:pPr>
        <w:spacing w:line="460" w:lineRule="exact"/>
        <w:rPr>
          <w:rFonts w:hint="eastAsia" w:ascii="宋体" w:hAnsi="宋体" w:eastAsia="宋体" w:cs="宋体"/>
          <w:color w:val="auto"/>
          <w:szCs w:val="21"/>
          <w:highlight w:val="none"/>
        </w:rPr>
      </w:pPr>
    </w:p>
    <w:p w14:paraId="11143832">
      <w:pPr>
        <w:spacing w:line="460" w:lineRule="exact"/>
        <w:rPr>
          <w:rFonts w:hint="eastAsia" w:ascii="宋体" w:hAnsi="宋体" w:eastAsia="宋体" w:cs="宋体"/>
          <w:color w:val="auto"/>
          <w:szCs w:val="21"/>
          <w:highlight w:val="none"/>
        </w:rPr>
      </w:pPr>
    </w:p>
    <w:p w14:paraId="0439F705">
      <w:pPr>
        <w:spacing w:line="460" w:lineRule="exact"/>
        <w:rPr>
          <w:rFonts w:hint="eastAsia" w:ascii="宋体" w:hAnsi="宋体" w:eastAsia="宋体" w:cs="宋体"/>
          <w:color w:val="auto"/>
          <w:szCs w:val="21"/>
          <w:highlight w:val="none"/>
        </w:rPr>
      </w:pPr>
    </w:p>
    <w:p w14:paraId="4888B60E">
      <w:pPr>
        <w:spacing w:line="460" w:lineRule="exact"/>
        <w:rPr>
          <w:rFonts w:hint="eastAsia" w:ascii="宋体" w:hAnsi="宋体" w:eastAsia="宋体" w:cs="宋体"/>
          <w:color w:val="auto"/>
          <w:szCs w:val="21"/>
          <w:highlight w:val="none"/>
        </w:rPr>
      </w:pPr>
    </w:p>
    <w:p w14:paraId="4B71DCC2">
      <w:pPr>
        <w:spacing w:line="460" w:lineRule="exact"/>
        <w:rPr>
          <w:rFonts w:hint="eastAsia" w:ascii="宋体" w:hAnsi="宋体" w:eastAsia="宋体" w:cs="宋体"/>
          <w:color w:val="auto"/>
          <w:szCs w:val="21"/>
          <w:highlight w:val="none"/>
        </w:rPr>
      </w:pPr>
    </w:p>
    <w:p w14:paraId="57968BA5">
      <w:pPr>
        <w:spacing w:line="460" w:lineRule="exact"/>
        <w:rPr>
          <w:rFonts w:hint="eastAsia" w:ascii="宋体" w:hAnsi="宋体" w:eastAsia="宋体" w:cs="宋体"/>
          <w:color w:val="auto"/>
          <w:szCs w:val="21"/>
          <w:highlight w:val="none"/>
        </w:rPr>
      </w:pPr>
    </w:p>
    <w:p w14:paraId="2A596D98">
      <w:pPr>
        <w:spacing w:line="460" w:lineRule="exact"/>
        <w:rPr>
          <w:rFonts w:hint="eastAsia" w:ascii="宋体" w:hAnsi="宋体" w:eastAsia="宋体" w:cs="宋体"/>
          <w:color w:val="auto"/>
          <w:szCs w:val="21"/>
          <w:highlight w:val="none"/>
        </w:rPr>
      </w:pPr>
    </w:p>
    <w:p w14:paraId="74953A06">
      <w:pPr>
        <w:spacing w:line="460" w:lineRule="exact"/>
        <w:rPr>
          <w:rFonts w:hint="eastAsia" w:ascii="宋体" w:hAnsi="宋体" w:eastAsia="宋体" w:cs="宋体"/>
          <w:color w:val="auto"/>
          <w:szCs w:val="21"/>
          <w:highlight w:val="none"/>
        </w:rPr>
      </w:pPr>
    </w:p>
    <w:p w14:paraId="0EDA7A74">
      <w:pPr>
        <w:spacing w:line="460" w:lineRule="exact"/>
        <w:rPr>
          <w:rFonts w:hint="eastAsia" w:ascii="宋体" w:hAnsi="宋体" w:eastAsia="宋体" w:cs="宋体"/>
          <w:color w:val="auto"/>
          <w:szCs w:val="21"/>
          <w:highlight w:val="none"/>
        </w:rPr>
      </w:pPr>
    </w:p>
    <w:p w14:paraId="572D7C6C">
      <w:pPr>
        <w:spacing w:line="460" w:lineRule="exact"/>
        <w:rPr>
          <w:rFonts w:hint="eastAsia" w:ascii="宋体" w:hAnsi="宋体" w:eastAsia="宋体" w:cs="宋体"/>
          <w:color w:val="auto"/>
          <w:szCs w:val="21"/>
          <w:highlight w:val="none"/>
        </w:rPr>
      </w:pPr>
    </w:p>
    <w:p w14:paraId="0149A5FD">
      <w:pPr>
        <w:pStyle w:val="6"/>
        <w:bidi w:val="0"/>
        <w:rPr>
          <w:rFonts w:hint="eastAsia"/>
          <w:lang w:val="en-US" w:eastAsia="zh-CN"/>
        </w:rPr>
      </w:pPr>
      <w:bookmarkStart w:id="1223" w:name="_Toc5450"/>
      <w:bookmarkStart w:id="1224" w:name="_Toc475624456"/>
      <w:bookmarkStart w:id="1225" w:name="_Toc22948"/>
      <w:bookmarkStart w:id="1226" w:name="_Toc5445"/>
      <w:bookmarkStart w:id="1227" w:name="_Toc3429"/>
      <w:bookmarkStart w:id="1228" w:name="_Toc8756"/>
      <w:bookmarkStart w:id="1229" w:name="_Toc9698"/>
      <w:bookmarkStart w:id="1230" w:name="_Toc25082"/>
      <w:r>
        <w:rPr>
          <w:rFonts w:hint="eastAsia"/>
          <w:lang w:val="en-US" w:eastAsia="zh-CN"/>
        </w:rPr>
        <w:t>五、施工组织设计</w:t>
      </w:r>
      <w:bookmarkEnd w:id="1223"/>
      <w:bookmarkEnd w:id="1224"/>
      <w:bookmarkEnd w:id="1225"/>
      <w:r>
        <w:rPr>
          <w:rFonts w:hint="eastAsia"/>
          <w:lang w:val="en-US" w:eastAsia="zh-CN"/>
        </w:rPr>
        <w:t>方案</w:t>
      </w:r>
      <w:bookmarkEnd w:id="1226"/>
      <w:bookmarkEnd w:id="1227"/>
      <w:bookmarkEnd w:id="1228"/>
      <w:bookmarkEnd w:id="1229"/>
      <w:bookmarkEnd w:id="1230"/>
    </w:p>
    <w:p w14:paraId="35BA4F86">
      <w:pPr>
        <w:spacing w:line="4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（格式自拟）</w:t>
      </w:r>
    </w:p>
    <w:p w14:paraId="6A001AE5">
      <w:pPr>
        <w:spacing w:line="420" w:lineRule="exact"/>
        <w:ind w:firstLine="480" w:firstLineChars="200"/>
        <w:rPr>
          <w:rFonts w:hint="eastAsia" w:ascii="宋体" w:hAnsi="宋体" w:eastAsia="宋体" w:cs="宋体"/>
          <w:color w:val="auto"/>
          <w:sz w:val="24"/>
          <w:szCs w:val="21"/>
          <w:highlight w:val="none"/>
        </w:rPr>
      </w:pPr>
    </w:p>
    <w:p w14:paraId="2D85F771">
      <w:pPr>
        <w:spacing w:line="420" w:lineRule="exact"/>
        <w:rPr>
          <w:rFonts w:hint="eastAsia" w:ascii="宋体" w:hAnsi="宋体" w:eastAsia="宋体" w:cs="宋体"/>
          <w:color w:val="auto"/>
          <w:szCs w:val="21"/>
          <w:highlight w:val="none"/>
        </w:rPr>
      </w:pPr>
    </w:p>
    <w:p w14:paraId="410C56A9">
      <w:pPr>
        <w:spacing w:line="420" w:lineRule="exact"/>
        <w:rPr>
          <w:rFonts w:hint="eastAsia" w:ascii="宋体" w:hAnsi="宋体" w:eastAsia="宋体" w:cs="宋体"/>
          <w:color w:val="auto"/>
          <w:szCs w:val="21"/>
          <w:highlight w:val="none"/>
        </w:rPr>
      </w:pPr>
    </w:p>
    <w:p w14:paraId="6DDC118A">
      <w:pPr>
        <w:spacing w:line="420" w:lineRule="exact"/>
        <w:rPr>
          <w:rFonts w:hint="eastAsia" w:ascii="宋体" w:hAnsi="宋体" w:eastAsia="宋体" w:cs="宋体"/>
          <w:color w:val="auto"/>
          <w:szCs w:val="21"/>
          <w:highlight w:val="none"/>
        </w:rPr>
      </w:pPr>
    </w:p>
    <w:p w14:paraId="0448686C">
      <w:pPr>
        <w:spacing w:line="420" w:lineRule="exact"/>
        <w:rPr>
          <w:rFonts w:hint="eastAsia" w:ascii="宋体" w:hAnsi="宋体" w:eastAsia="宋体" w:cs="宋体"/>
          <w:color w:val="auto"/>
          <w:szCs w:val="21"/>
          <w:highlight w:val="none"/>
        </w:rPr>
      </w:pPr>
    </w:p>
    <w:p w14:paraId="44F1AAE2">
      <w:pPr>
        <w:spacing w:line="420" w:lineRule="exact"/>
        <w:rPr>
          <w:rFonts w:hint="eastAsia" w:ascii="宋体" w:hAnsi="宋体" w:eastAsia="宋体" w:cs="宋体"/>
          <w:color w:val="auto"/>
          <w:szCs w:val="21"/>
          <w:highlight w:val="none"/>
        </w:rPr>
      </w:pPr>
    </w:p>
    <w:p w14:paraId="1A001746">
      <w:pPr>
        <w:spacing w:line="420" w:lineRule="exact"/>
        <w:rPr>
          <w:rFonts w:hint="eastAsia" w:ascii="宋体" w:hAnsi="宋体" w:eastAsia="宋体" w:cs="宋体"/>
          <w:color w:val="auto"/>
          <w:szCs w:val="21"/>
          <w:highlight w:val="none"/>
        </w:rPr>
      </w:pPr>
    </w:p>
    <w:p w14:paraId="509FCB15">
      <w:pPr>
        <w:spacing w:line="420" w:lineRule="exact"/>
        <w:rPr>
          <w:rFonts w:hint="eastAsia" w:ascii="宋体" w:hAnsi="宋体" w:eastAsia="宋体" w:cs="宋体"/>
          <w:color w:val="auto"/>
          <w:szCs w:val="21"/>
          <w:highlight w:val="none"/>
        </w:rPr>
      </w:pPr>
    </w:p>
    <w:p w14:paraId="58F36AC6">
      <w:pPr>
        <w:spacing w:line="420" w:lineRule="exact"/>
        <w:rPr>
          <w:rFonts w:hint="eastAsia" w:ascii="宋体" w:hAnsi="宋体" w:eastAsia="宋体" w:cs="宋体"/>
          <w:color w:val="auto"/>
          <w:szCs w:val="21"/>
          <w:highlight w:val="none"/>
        </w:rPr>
      </w:pPr>
    </w:p>
    <w:p w14:paraId="6C6E022F">
      <w:pPr>
        <w:spacing w:line="420" w:lineRule="exact"/>
        <w:rPr>
          <w:rFonts w:hint="eastAsia" w:ascii="宋体" w:hAnsi="宋体" w:eastAsia="宋体" w:cs="宋体"/>
          <w:color w:val="auto"/>
          <w:szCs w:val="21"/>
          <w:highlight w:val="none"/>
        </w:rPr>
      </w:pPr>
    </w:p>
    <w:p w14:paraId="0E2643E5">
      <w:pPr>
        <w:spacing w:line="420" w:lineRule="exact"/>
        <w:rPr>
          <w:rFonts w:hint="eastAsia" w:ascii="宋体" w:hAnsi="宋体" w:eastAsia="宋体" w:cs="宋体"/>
          <w:color w:val="auto"/>
          <w:szCs w:val="21"/>
          <w:highlight w:val="none"/>
        </w:rPr>
      </w:pPr>
    </w:p>
    <w:p w14:paraId="7456F3CE">
      <w:pPr>
        <w:spacing w:line="420" w:lineRule="exact"/>
        <w:rPr>
          <w:rFonts w:hint="eastAsia" w:ascii="宋体" w:hAnsi="宋体" w:eastAsia="宋体" w:cs="宋体"/>
          <w:color w:val="auto"/>
          <w:szCs w:val="21"/>
          <w:highlight w:val="none"/>
        </w:rPr>
      </w:pPr>
    </w:p>
    <w:p w14:paraId="157986F3">
      <w:pPr>
        <w:spacing w:line="420" w:lineRule="exact"/>
        <w:rPr>
          <w:rFonts w:hint="eastAsia" w:ascii="宋体" w:hAnsi="宋体" w:eastAsia="宋体" w:cs="宋体"/>
          <w:color w:val="auto"/>
          <w:szCs w:val="21"/>
          <w:highlight w:val="none"/>
        </w:rPr>
      </w:pPr>
    </w:p>
    <w:p w14:paraId="0365D6AF">
      <w:pPr>
        <w:spacing w:line="420" w:lineRule="exact"/>
        <w:rPr>
          <w:rFonts w:hint="eastAsia" w:ascii="宋体" w:hAnsi="宋体" w:eastAsia="宋体" w:cs="宋体"/>
          <w:color w:val="auto"/>
          <w:szCs w:val="21"/>
          <w:highlight w:val="none"/>
        </w:rPr>
      </w:pPr>
    </w:p>
    <w:p w14:paraId="41C7A0E8">
      <w:pPr>
        <w:spacing w:line="420" w:lineRule="exact"/>
        <w:rPr>
          <w:rFonts w:hint="eastAsia" w:ascii="宋体" w:hAnsi="宋体" w:eastAsia="宋体" w:cs="宋体"/>
          <w:color w:val="auto"/>
          <w:szCs w:val="21"/>
          <w:highlight w:val="none"/>
        </w:rPr>
      </w:pPr>
    </w:p>
    <w:p w14:paraId="0700942C">
      <w:pPr>
        <w:spacing w:line="420" w:lineRule="exact"/>
        <w:rPr>
          <w:rFonts w:hint="eastAsia" w:ascii="宋体" w:hAnsi="宋体" w:eastAsia="宋体" w:cs="宋体"/>
          <w:color w:val="auto"/>
          <w:szCs w:val="21"/>
          <w:highlight w:val="none"/>
        </w:rPr>
      </w:pPr>
    </w:p>
    <w:p w14:paraId="602B92AD">
      <w:pPr>
        <w:spacing w:line="420" w:lineRule="exact"/>
        <w:rPr>
          <w:rFonts w:hint="eastAsia" w:ascii="宋体" w:hAnsi="宋体" w:eastAsia="宋体" w:cs="宋体"/>
          <w:color w:val="auto"/>
          <w:szCs w:val="21"/>
          <w:highlight w:val="none"/>
        </w:rPr>
      </w:pPr>
    </w:p>
    <w:p w14:paraId="61BA7850">
      <w:pPr>
        <w:spacing w:line="420" w:lineRule="exact"/>
        <w:rPr>
          <w:rFonts w:hint="eastAsia" w:ascii="宋体" w:hAnsi="宋体" w:eastAsia="宋体" w:cs="宋体"/>
          <w:color w:val="auto"/>
          <w:szCs w:val="21"/>
          <w:highlight w:val="none"/>
        </w:rPr>
      </w:pPr>
    </w:p>
    <w:p w14:paraId="4F1D685F">
      <w:pPr>
        <w:spacing w:line="420" w:lineRule="exact"/>
        <w:rPr>
          <w:rFonts w:hint="eastAsia" w:ascii="宋体" w:hAnsi="宋体" w:eastAsia="宋体" w:cs="宋体"/>
          <w:color w:val="auto"/>
          <w:szCs w:val="21"/>
          <w:highlight w:val="none"/>
        </w:rPr>
      </w:pPr>
    </w:p>
    <w:p w14:paraId="649BB5D3">
      <w:pPr>
        <w:spacing w:line="420" w:lineRule="exact"/>
        <w:rPr>
          <w:rFonts w:hint="eastAsia" w:ascii="宋体" w:hAnsi="宋体" w:eastAsia="宋体" w:cs="宋体"/>
          <w:color w:val="auto"/>
          <w:szCs w:val="21"/>
          <w:highlight w:val="none"/>
        </w:rPr>
      </w:pPr>
    </w:p>
    <w:p w14:paraId="64CD0B4B">
      <w:pPr>
        <w:spacing w:line="420" w:lineRule="exact"/>
        <w:rPr>
          <w:rFonts w:hint="eastAsia" w:ascii="宋体" w:hAnsi="宋体" w:eastAsia="宋体" w:cs="宋体"/>
          <w:color w:val="auto"/>
          <w:szCs w:val="21"/>
          <w:highlight w:val="none"/>
        </w:rPr>
      </w:pPr>
    </w:p>
    <w:p w14:paraId="4EAE70DF">
      <w:pPr>
        <w:spacing w:line="420" w:lineRule="exact"/>
        <w:rPr>
          <w:rFonts w:hint="eastAsia" w:ascii="宋体" w:hAnsi="宋体" w:eastAsia="宋体" w:cs="宋体"/>
          <w:color w:val="auto"/>
          <w:szCs w:val="21"/>
          <w:highlight w:val="none"/>
          <w:lang w:eastAsia="zh-CN"/>
        </w:rPr>
      </w:pPr>
    </w:p>
    <w:p w14:paraId="4B70C3B7">
      <w:pPr>
        <w:pStyle w:val="29"/>
        <w:rPr>
          <w:rFonts w:hint="eastAsia"/>
          <w:lang w:eastAsia="zh-CN"/>
        </w:rPr>
      </w:pPr>
    </w:p>
    <w:p w14:paraId="2D2066C5">
      <w:pPr>
        <w:spacing w:line="420" w:lineRule="exact"/>
        <w:rPr>
          <w:rFonts w:hint="eastAsia" w:ascii="宋体" w:hAnsi="宋体" w:eastAsia="宋体" w:cs="宋体"/>
          <w:color w:val="auto"/>
          <w:szCs w:val="21"/>
          <w:highlight w:val="none"/>
        </w:rPr>
      </w:pPr>
    </w:p>
    <w:p w14:paraId="5A1AF144">
      <w:pPr>
        <w:pStyle w:val="29"/>
        <w:rPr>
          <w:rFonts w:hint="eastAsia" w:ascii="宋体" w:hAnsi="宋体" w:eastAsia="宋体" w:cs="宋体"/>
          <w:color w:val="auto"/>
          <w:highlight w:val="none"/>
        </w:rPr>
      </w:pPr>
    </w:p>
    <w:p w14:paraId="141CD637">
      <w:pPr>
        <w:spacing w:line="420" w:lineRule="exact"/>
        <w:rPr>
          <w:rFonts w:hint="eastAsia" w:ascii="宋体" w:hAnsi="宋体" w:eastAsia="宋体" w:cs="宋体"/>
          <w:color w:val="auto"/>
          <w:szCs w:val="21"/>
          <w:highlight w:val="none"/>
        </w:rPr>
      </w:pPr>
    </w:p>
    <w:p w14:paraId="0886E5A2">
      <w:pPr>
        <w:spacing w:line="420" w:lineRule="exact"/>
        <w:rPr>
          <w:rFonts w:hint="eastAsia" w:ascii="宋体" w:hAnsi="宋体" w:eastAsia="宋体" w:cs="宋体"/>
          <w:color w:val="auto"/>
          <w:szCs w:val="21"/>
          <w:highlight w:val="none"/>
        </w:rPr>
      </w:pPr>
    </w:p>
    <w:p w14:paraId="0A25A00D">
      <w:pPr>
        <w:pStyle w:val="6"/>
        <w:bidi w:val="0"/>
        <w:rPr>
          <w:rFonts w:hint="eastAsia"/>
          <w:lang w:val="en-US" w:eastAsia="zh-CN"/>
        </w:rPr>
      </w:pPr>
      <w:bookmarkStart w:id="1231" w:name="_Toc21733"/>
      <w:bookmarkStart w:id="1232" w:name="_Toc475624457"/>
      <w:bookmarkStart w:id="1233" w:name="_Toc5603"/>
      <w:bookmarkStart w:id="1234" w:name="_Toc20813"/>
      <w:bookmarkStart w:id="1235" w:name="_Toc7110"/>
      <w:bookmarkStart w:id="1236" w:name="_Toc29984"/>
      <w:bookmarkStart w:id="1237" w:name="_Toc5657"/>
      <w:bookmarkStart w:id="1238" w:name="_Toc9642"/>
      <w:r>
        <w:rPr>
          <w:rFonts w:hint="eastAsia"/>
          <w:lang w:val="en-US" w:eastAsia="zh-CN"/>
        </w:rPr>
        <w:t>六、项目管理机构</w:t>
      </w:r>
      <w:bookmarkEnd w:id="1231"/>
      <w:bookmarkEnd w:id="1232"/>
      <w:bookmarkEnd w:id="1233"/>
      <w:bookmarkEnd w:id="1234"/>
      <w:bookmarkEnd w:id="1235"/>
      <w:bookmarkEnd w:id="1236"/>
      <w:bookmarkEnd w:id="1237"/>
      <w:bookmarkEnd w:id="1238"/>
    </w:p>
    <w:p w14:paraId="0767B4EF">
      <w:pPr>
        <w:pStyle w:val="7"/>
        <w:bidi w:val="0"/>
        <w:ind w:left="0" w:leftChars="0" w:firstLine="0" w:firstLineChars="0"/>
        <w:jc w:val="center"/>
        <w:rPr>
          <w:rFonts w:hint="eastAsia"/>
          <w:lang w:eastAsia="zh-CN"/>
        </w:rPr>
      </w:pPr>
      <w:bookmarkStart w:id="1239" w:name="_Toc23249"/>
      <w:bookmarkStart w:id="1240" w:name="_Toc11166"/>
      <w:bookmarkStart w:id="1241" w:name="_Toc29937"/>
      <w:r>
        <w:rPr>
          <w:rFonts w:hint="eastAsia"/>
          <w:lang w:eastAsia="zh-CN"/>
        </w:rPr>
        <w:t>（一）项目管理机构组成表</w:t>
      </w:r>
      <w:bookmarkEnd w:id="1239"/>
      <w:bookmarkEnd w:id="1240"/>
      <w:bookmarkEnd w:id="1241"/>
    </w:p>
    <w:tbl>
      <w:tblPr>
        <w:tblStyle w:val="3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028"/>
        <w:gridCol w:w="1027"/>
        <w:gridCol w:w="1643"/>
        <w:gridCol w:w="1116"/>
        <w:gridCol w:w="1142"/>
        <w:gridCol w:w="1231"/>
        <w:gridCol w:w="1026"/>
      </w:tblGrid>
      <w:tr w14:paraId="4FED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restart"/>
            <w:noWrap w:val="0"/>
            <w:vAlign w:val="center"/>
          </w:tcPr>
          <w:p w14:paraId="380433D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028" w:type="dxa"/>
            <w:vMerge w:val="restart"/>
            <w:noWrap w:val="0"/>
            <w:vAlign w:val="center"/>
          </w:tcPr>
          <w:p w14:paraId="6FC0A16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027" w:type="dxa"/>
            <w:vMerge w:val="restart"/>
            <w:noWrap w:val="0"/>
            <w:vAlign w:val="center"/>
          </w:tcPr>
          <w:p w14:paraId="62958C1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5132" w:type="dxa"/>
            <w:gridSpan w:val="4"/>
            <w:noWrap w:val="0"/>
            <w:vAlign w:val="center"/>
          </w:tcPr>
          <w:p w14:paraId="13AE725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执业或职业资格证明</w:t>
            </w:r>
          </w:p>
        </w:tc>
        <w:tc>
          <w:tcPr>
            <w:tcW w:w="1026" w:type="dxa"/>
            <w:vMerge w:val="restart"/>
            <w:noWrap w:val="0"/>
            <w:vAlign w:val="center"/>
          </w:tcPr>
          <w:p w14:paraId="64232B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1D7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continue"/>
            <w:noWrap w:val="0"/>
            <w:vAlign w:val="center"/>
          </w:tcPr>
          <w:p w14:paraId="5AEABCBC">
            <w:pPr>
              <w:jc w:val="center"/>
              <w:rPr>
                <w:rFonts w:hint="eastAsia" w:ascii="宋体" w:hAnsi="宋体" w:eastAsia="宋体" w:cs="宋体"/>
                <w:color w:val="auto"/>
                <w:sz w:val="24"/>
                <w:szCs w:val="24"/>
                <w:highlight w:val="none"/>
              </w:rPr>
            </w:pPr>
          </w:p>
        </w:tc>
        <w:tc>
          <w:tcPr>
            <w:tcW w:w="1028" w:type="dxa"/>
            <w:vMerge w:val="continue"/>
            <w:noWrap w:val="0"/>
            <w:vAlign w:val="center"/>
          </w:tcPr>
          <w:p w14:paraId="294C7F3E">
            <w:pPr>
              <w:jc w:val="center"/>
              <w:rPr>
                <w:rFonts w:hint="eastAsia" w:ascii="宋体" w:hAnsi="宋体" w:eastAsia="宋体" w:cs="宋体"/>
                <w:color w:val="auto"/>
                <w:sz w:val="24"/>
                <w:szCs w:val="24"/>
                <w:highlight w:val="none"/>
              </w:rPr>
            </w:pPr>
          </w:p>
        </w:tc>
        <w:tc>
          <w:tcPr>
            <w:tcW w:w="1027" w:type="dxa"/>
            <w:vMerge w:val="continue"/>
            <w:noWrap w:val="0"/>
            <w:vAlign w:val="center"/>
          </w:tcPr>
          <w:p w14:paraId="48B04DD7">
            <w:pPr>
              <w:jc w:val="center"/>
              <w:rPr>
                <w:rFonts w:hint="eastAsia" w:ascii="宋体" w:hAnsi="宋体" w:eastAsia="宋体" w:cs="宋体"/>
                <w:color w:val="auto"/>
                <w:sz w:val="24"/>
                <w:szCs w:val="24"/>
                <w:highlight w:val="none"/>
              </w:rPr>
            </w:pPr>
          </w:p>
        </w:tc>
        <w:tc>
          <w:tcPr>
            <w:tcW w:w="1643" w:type="dxa"/>
            <w:noWrap w:val="0"/>
            <w:vAlign w:val="center"/>
          </w:tcPr>
          <w:p w14:paraId="13C20C3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证书名称</w:t>
            </w:r>
          </w:p>
        </w:tc>
        <w:tc>
          <w:tcPr>
            <w:tcW w:w="1116" w:type="dxa"/>
            <w:noWrap w:val="0"/>
            <w:vAlign w:val="center"/>
          </w:tcPr>
          <w:p w14:paraId="331DB9C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级别</w:t>
            </w:r>
          </w:p>
        </w:tc>
        <w:tc>
          <w:tcPr>
            <w:tcW w:w="1142" w:type="dxa"/>
            <w:noWrap w:val="0"/>
            <w:vAlign w:val="center"/>
          </w:tcPr>
          <w:p w14:paraId="571425B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证号</w:t>
            </w:r>
          </w:p>
        </w:tc>
        <w:tc>
          <w:tcPr>
            <w:tcW w:w="1231" w:type="dxa"/>
            <w:noWrap w:val="0"/>
            <w:vAlign w:val="center"/>
          </w:tcPr>
          <w:p w14:paraId="3804833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w:t>
            </w:r>
          </w:p>
        </w:tc>
        <w:tc>
          <w:tcPr>
            <w:tcW w:w="1026" w:type="dxa"/>
            <w:vMerge w:val="continue"/>
            <w:noWrap w:val="0"/>
            <w:vAlign w:val="center"/>
          </w:tcPr>
          <w:p w14:paraId="31AFC0AC">
            <w:pPr>
              <w:jc w:val="center"/>
              <w:rPr>
                <w:rFonts w:hint="eastAsia" w:ascii="宋体" w:hAnsi="宋体" w:eastAsia="宋体" w:cs="宋体"/>
                <w:color w:val="auto"/>
                <w:sz w:val="24"/>
                <w:szCs w:val="24"/>
                <w:highlight w:val="none"/>
              </w:rPr>
            </w:pPr>
          </w:p>
        </w:tc>
      </w:tr>
      <w:tr w14:paraId="21E3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D8E5F0B">
            <w:pPr>
              <w:jc w:val="center"/>
              <w:rPr>
                <w:rFonts w:hint="eastAsia" w:ascii="宋体" w:hAnsi="宋体" w:eastAsia="宋体" w:cs="宋体"/>
                <w:color w:val="auto"/>
                <w:sz w:val="24"/>
                <w:szCs w:val="24"/>
                <w:highlight w:val="none"/>
                <w:lang w:eastAsia="zh-CN"/>
              </w:rPr>
            </w:pPr>
          </w:p>
        </w:tc>
        <w:tc>
          <w:tcPr>
            <w:tcW w:w="1028" w:type="dxa"/>
            <w:noWrap w:val="0"/>
            <w:vAlign w:val="center"/>
          </w:tcPr>
          <w:p w14:paraId="4E2A52D2">
            <w:pPr>
              <w:jc w:val="center"/>
              <w:rPr>
                <w:rFonts w:hint="eastAsia" w:ascii="宋体" w:hAnsi="宋体" w:eastAsia="宋体" w:cs="宋体"/>
                <w:color w:val="auto"/>
                <w:sz w:val="24"/>
                <w:szCs w:val="24"/>
                <w:highlight w:val="none"/>
              </w:rPr>
            </w:pPr>
          </w:p>
        </w:tc>
        <w:tc>
          <w:tcPr>
            <w:tcW w:w="1027" w:type="dxa"/>
            <w:noWrap w:val="0"/>
            <w:vAlign w:val="center"/>
          </w:tcPr>
          <w:p w14:paraId="0FECD727">
            <w:pPr>
              <w:jc w:val="center"/>
              <w:rPr>
                <w:rFonts w:hint="eastAsia" w:ascii="宋体" w:hAnsi="宋体" w:eastAsia="宋体" w:cs="宋体"/>
                <w:color w:val="auto"/>
                <w:sz w:val="24"/>
                <w:szCs w:val="24"/>
                <w:highlight w:val="none"/>
              </w:rPr>
            </w:pPr>
          </w:p>
        </w:tc>
        <w:tc>
          <w:tcPr>
            <w:tcW w:w="1643" w:type="dxa"/>
            <w:noWrap w:val="0"/>
            <w:vAlign w:val="center"/>
          </w:tcPr>
          <w:p w14:paraId="526C2714">
            <w:pPr>
              <w:jc w:val="center"/>
              <w:rPr>
                <w:rFonts w:hint="eastAsia" w:ascii="宋体" w:hAnsi="宋体" w:eastAsia="宋体" w:cs="宋体"/>
                <w:color w:val="auto"/>
                <w:sz w:val="24"/>
                <w:szCs w:val="24"/>
                <w:highlight w:val="none"/>
              </w:rPr>
            </w:pPr>
          </w:p>
        </w:tc>
        <w:tc>
          <w:tcPr>
            <w:tcW w:w="1116" w:type="dxa"/>
            <w:noWrap w:val="0"/>
            <w:vAlign w:val="center"/>
          </w:tcPr>
          <w:p w14:paraId="56B8C516">
            <w:pPr>
              <w:jc w:val="center"/>
              <w:rPr>
                <w:rFonts w:hint="eastAsia" w:ascii="宋体" w:hAnsi="宋体" w:eastAsia="宋体" w:cs="宋体"/>
                <w:color w:val="auto"/>
                <w:sz w:val="24"/>
                <w:szCs w:val="24"/>
                <w:highlight w:val="none"/>
              </w:rPr>
            </w:pPr>
          </w:p>
        </w:tc>
        <w:tc>
          <w:tcPr>
            <w:tcW w:w="1142" w:type="dxa"/>
            <w:noWrap w:val="0"/>
            <w:vAlign w:val="center"/>
          </w:tcPr>
          <w:p w14:paraId="7777D6E7">
            <w:pPr>
              <w:jc w:val="center"/>
              <w:rPr>
                <w:rFonts w:hint="eastAsia" w:ascii="宋体" w:hAnsi="宋体" w:eastAsia="宋体" w:cs="宋体"/>
                <w:color w:val="auto"/>
                <w:sz w:val="24"/>
                <w:szCs w:val="24"/>
                <w:highlight w:val="none"/>
              </w:rPr>
            </w:pPr>
          </w:p>
        </w:tc>
        <w:tc>
          <w:tcPr>
            <w:tcW w:w="1231" w:type="dxa"/>
            <w:noWrap w:val="0"/>
            <w:vAlign w:val="center"/>
          </w:tcPr>
          <w:p w14:paraId="3F4E9A01">
            <w:pPr>
              <w:jc w:val="center"/>
              <w:rPr>
                <w:rFonts w:hint="eastAsia" w:ascii="宋体" w:hAnsi="宋体" w:eastAsia="宋体" w:cs="宋体"/>
                <w:color w:val="auto"/>
                <w:sz w:val="24"/>
                <w:szCs w:val="24"/>
                <w:highlight w:val="none"/>
              </w:rPr>
            </w:pPr>
          </w:p>
        </w:tc>
        <w:tc>
          <w:tcPr>
            <w:tcW w:w="1026" w:type="dxa"/>
            <w:noWrap w:val="0"/>
            <w:vAlign w:val="center"/>
          </w:tcPr>
          <w:p w14:paraId="72AD809A">
            <w:pPr>
              <w:jc w:val="center"/>
              <w:rPr>
                <w:rFonts w:hint="eastAsia" w:ascii="宋体" w:hAnsi="宋体" w:eastAsia="宋体" w:cs="宋体"/>
                <w:color w:val="auto"/>
                <w:sz w:val="24"/>
                <w:szCs w:val="24"/>
                <w:highlight w:val="none"/>
              </w:rPr>
            </w:pPr>
          </w:p>
        </w:tc>
      </w:tr>
      <w:tr w14:paraId="70C7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AE3F288">
            <w:pPr>
              <w:jc w:val="center"/>
              <w:rPr>
                <w:rFonts w:hint="eastAsia" w:ascii="宋体" w:hAnsi="宋体" w:eastAsia="宋体" w:cs="宋体"/>
                <w:color w:val="auto"/>
                <w:sz w:val="24"/>
                <w:szCs w:val="24"/>
                <w:highlight w:val="none"/>
                <w:lang w:eastAsia="zh-CN"/>
              </w:rPr>
            </w:pPr>
          </w:p>
        </w:tc>
        <w:tc>
          <w:tcPr>
            <w:tcW w:w="1028" w:type="dxa"/>
            <w:noWrap w:val="0"/>
            <w:vAlign w:val="center"/>
          </w:tcPr>
          <w:p w14:paraId="799CC7EE">
            <w:pPr>
              <w:jc w:val="center"/>
              <w:rPr>
                <w:rFonts w:hint="eastAsia" w:ascii="宋体" w:hAnsi="宋体" w:eastAsia="宋体" w:cs="宋体"/>
                <w:color w:val="auto"/>
                <w:sz w:val="24"/>
                <w:szCs w:val="24"/>
                <w:highlight w:val="none"/>
              </w:rPr>
            </w:pPr>
          </w:p>
        </w:tc>
        <w:tc>
          <w:tcPr>
            <w:tcW w:w="1027" w:type="dxa"/>
            <w:noWrap w:val="0"/>
            <w:vAlign w:val="center"/>
          </w:tcPr>
          <w:p w14:paraId="19FAD4DC">
            <w:pPr>
              <w:jc w:val="center"/>
              <w:rPr>
                <w:rFonts w:hint="eastAsia" w:ascii="宋体" w:hAnsi="宋体" w:eastAsia="宋体" w:cs="宋体"/>
                <w:color w:val="auto"/>
                <w:sz w:val="24"/>
                <w:szCs w:val="24"/>
                <w:highlight w:val="none"/>
              </w:rPr>
            </w:pPr>
          </w:p>
        </w:tc>
        <w:tc>
          <w:tcPr>
            <w:tcW w:w="1643" w:type="dxa"/>
            <w:noWrap w:val="0"/>
            <w:vAlign w:val="center"/>
          </w:tcPr>
          <w:p w14:paraId="294938F0">
            <w:pPr>
              <w:jc w:val="center"/>
              <w:rPr>
                <w:rFonts w:hint="eastAsia" w:ascii="宋体" w:hAnsi="宋体" w:eastAsia="宋体" w:cs="宋体"/>
                <w:color w:val="auto"/>
                <w:sz w:val="24"/>
                <w:szCs w:val="24"/>
                <w:highlight w:val="none"/>
              </w:rPr>
            </w:pPr>
          </w:p>
        </w:tc>
        <w:tc>
          <w:tcPr>
            <w:tcW w:w="1116" w:type="dxa"/>
            <w:noWrap w:val="0"/>
            <w:vAlign w:val="center"/>
          </w:tcPr>
          <w:p w14:paraId="530CD744">
            <w:pPr>
              <w:jc w:val="center"/>
              <w:rPr>
                <w:rFonts w:hint="eastAsia" w:ascii="宋体" w:hAnsi="宋体" w:eastAsia="宋体" w:cs="宋体"/>
                <w:color w:val="auto"/>
                <w:sz w:val="24"/>
                <w:szCs w:val="24"/>
                <w:highlight w:val="none"/>
              </w:rPr>
            </w:pPr>
          </w:p>
        </w:tc>
        <w:tc>
          <w:tcPr>
            <w:tcW w:w="1142" w:type="dxa"/>
            <w:noWrap w:val="0"/>
            <w:vAlign w:val="center"/>
          </w:tcPr>
          <w:p w14:paraId="31FF1EF3">
            <w:pPr>
              <w:jc w:val="center"/>
              <w:rPr>
                <w:rFonts w:hint="eastAsia" w:ascii="宋体" w:hAnsi="宋体" w:eastAsia="宋体" w:cs="宋体"/>
                <w:color w:val="auto"/>
                <w:sz w:val="24"/>
                <w:szCs w:val="24"/>
                <w:highlight w:val="none"/>
              </w:rPr>
            </w:pPr>
          </w:p>
        </w:tc>
        <w:tc>
          <w:tcPr>
            <w:tcW w:w="1231" w:type="dxa"/>
            <w:noWrap w:val="0"/>
            <w:vAlign w:val="center"/>
          </w:tcPr>
          <w:p w14:paraId="3B17C2DB">
            <w:pPr>
              <w:jc w:val="center"/>
              <w:rPr>
                <w:rFonts w:hint="eastAsia" w:ascii="宋体" w:hAnsi="宋体" w:eastAsia="宋体" w:cs="宋体"/>
                <w:color w:val="auto"/>
                <w:sz w:val="24"/>
                <w:szCs w:val="24"/>
                <w:highlight w:val="none"/>
              </w:rPr>
            </w:pPr>
          </w:p>
        </w:tc>
        <w:tc>
          <w:tcPr>
            <w:tcW w:w="1026" w:type="dxa"/>
            <w:noWrap w:val="0"/>
            <w:vAlign w:val="center"/>
          </w:tcPr>
          <w:p w14:paraId="0E942A90">
            <w:pPr>
              <w:jc w:val="center"/>
              <w:rPr>
                <w:rFonts w:hint="eastAsia" w:ascii="宋体" w:hAnsi="宋体" w:eastAsia="宋体" w:cs="宋体"/>
                <w:color w:val="auto"/>
                <w:sz w:val="24"/>
                <w:szCs w:val="24"/>
                <w:highlight w:val="none"/>
              </w:rPr>
            </w:pPr>
          </w:p>
        </w:tc>
      </w:tr>
      <w:tr w14:paraId="15CB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51442F64">
            <w:pPr>
              <w:jc w:val="center"/>
              <w:rPr>
                <w:rFonts w:hint="eastAsia" w:ascii="宋体" w:hAnsi="宋体" w:eastAsia="宋体" w:cs="宋体"/>
                <w:color w:val="auto"/>
                <w:sz w:val="24"/>
                <w:szCs w:val="24"/>
                <w:highlight w:val="none"/>
                <w:lang w:val="en-US" w:eastAsia="zh-CN"/>
              </w:rPr>
            </w:pPr>
          </w:p>
        </w:tc>
        <w:tc>
          <w:tcPr>
            <w:tcW w:w="1028" w:type="dxa"/>
            <w:noWrap w:val="0"/>
            <w:vAlign w:val="center"/>
          </w:tcPr>
          <w:p w14:paraId="3F4DF07E">
            <w:pPr>
              <w:jc w:val="center"/>
              <w:rPr>
                <w:rFonts w:hint="eastAsia" w:ascii="宋体" w:hAnsi="宋体" w:eastAsia="宋体" w:cs="宋体"/>
                <w:color w:val="auto"/>
                <w:sz w:val="24"/>
                <w:szCs w:val="24"/>
                <w:highlight w:val="none"/>
              </w:rPr>
            </w:pPr>
          </w:p>
        </w:tc>
        <w:tc>
          <w:tcPr>
            <w:tcW w:w="1027" w:type="dxa"/>
            <w:noWrap w:val="0"/>
            <w:vAlign w:val="center"/>
          </w:tcPr>
          <w:p w14:paraId="45701F54">
            <w:pPr>
              <w:jc w:val="center"/>
              <w:rPr>
                <w:rFonts w:hint="eastAsia" w:ascii="宋体" w:hAnsi="宋体" w:eastAsia="宋体" w:cs="宋体"/>
                <w:color w:val="auto"/>
                <w:sz w:val="24"/>
                <w:szCs w:val="24"/>
                <w:highlight w:val="none"/>
              </w:rPr>
            </w:pPr>
          </w:p>
        </w:tc>
        <w:tc>
          <w:tcPr>
            <w:tcW w:w="1643" w:type="dxa"/>
            <w:noWrap w:val="0"/>
            <w:vAlign w:val="center"/>
          </w:tcPr>
          <w:p w14:paraId="04F535D1">
            <w:pPr>
              <w:jc w:val="center"/>
              <w:rPr>
                <w:rFonts w:hint="eastAsia" w:ascii="宋体" w:hAnsi="宋体" w:eastAsia="宋体" w:cs="宋体"/>
                <w:color w:val="auto"/>
                <w:sz w:val="24"/>
                <w:szCs w:val="24"/>
                <w:highlight w:val="none"/>
              </w:rPr>
            </w:pPr>
          </w:p>
        </w:tc>
        <w:tc>
          <w:tcPr>
            <w:tcW w:w="1116" w:type="dxa"/>
            <w:noWrap w:val="0"/>
            <w:vAlign w:val="center"/>
          </w:tcPr>
          <w:p w14:paraId="787DE03E">
            <w:pPr>
              <w:jc w:val="center"/>
              <w:rPr>
                <w:rFonts w:hint="eastAsia" w:ascii="宋体" w:hAnsi="宋体" w:eastAsia="宋体" w:cs="宋体"/>
                <w:color w:val="auto"/>
                <w:sz w:val="24"/>
                <w:szCs w:val="24"/>
                <w:highlight w:val="none"/>
              </w:rPr>
            </w:pPr>
          </w:p>
        </w:tc>
        <w:tc>
          <w:tcPr>
            <w:tcW w:w="1142" w:type="dxa"/>
            <w:noWrap w:val="0"/>
            <w:vAlign w:val="center"/>
          </w:tcPr>
          <w:p w14:paraId="12E5EA72">
            <w:pPr>
              <w:jc w:val="center"/>
              <w:rPr>
                <w:rFonts w:hint="eastAsia" w:ascii="宋体" w:hAnsi="宋体" w:eastAsia="宋体" w:cs="宋体"/>
                <w:color w:val="auto"/>
                <w:sz w:val="24"/>
                <w:szCs w:val="24"/>
                <w:highlight w:val="none"/>
              </w:rPr>
            </w:pPr>
          </w:p>
        </w:tc>
        <w:tc>
          <w:tcPr>
            <w:tcW w:w="1231" w:type="dxa"/>
            <w:noWrap w:val="0"/>
            <w:vAlign w:val="center"/>
          </w:tcPr>
          <w:p w14:paraId="6462B397">
            <w:pPr>
              <w:jc w:val="center"/>
              <w:rPr>
                <w:rFonts w:hint="eastAsia" w:ascii="宋体" w:hAnsi="宋体" w:eastAsia="宋体" w:cs="宋体"/>
                <w:color w:val="auto"/>
                <w:sz w:val="24"/>
                <w:szCs w:val="24"/>
                <w:highlight w:val="none"/>
              </w:rPr>
            </w:pPr>
          </w:p>
        </w:tc>
        <w:tc>
          <w:tcPr>
            <w:tcW w:w="1026" w:type="dxa"/>
            <w:noWrap w:val="0"/>
            <w:vAlign w:val="center"/>
          </w:tcPr>
          <w:p w14:paraId="39BE36A1">
            <w:pPr>
              <w:jc w:val="center"/>
              <w:rPr>
                <w:rFonts w:hint="eastAsia" w:ascii="宋体" w:hAnsi="宋体" w:eastAsia="宋体" w:cs="宋体"/>
                <w:color w:val="auto"/>
                <w:sz w:val="24"/>
                <w:szCs w:val="24"/>
                <w:highlight w:val="none"/>
              </w:rPr>
            </w:pPr>
          </w:p>
        </w:tc>
      </w:tr>
      <w:tr w14:paraId="2C9B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ADD20AC">
            <w:pPr>
              <w:jc w:val="center"/>
              <w:rPr>
                <w:rFonts w:hint="eastAsia" w:ascii="宋体" w:hAnsi="宋体" w:eastAsia="宋体" w:cs="宋体"/>
                <w:color w:val="auto"/>
                <w:sz w:val="24"/>
                <w:szCs w:val="24"/>
                <w:highlight w:val="none"/>
              </w:rPr>
            </w:pPr>
          </w:p>
        </w:tc>
        <w:tc>
          <w:tcPr>
            <w:tcW w:w="1028" w:type="dxa"/>
            <w:noWrap w:val="0"/>
            <w:vAlign w:val="center"/>
          </w:tcPr>
          <w:p w14:paraId="36DB3F6E">
            <w:pPr>
              <w:jc w:val="center"/>
              <w:rPr>
                <w:rFonts w:hint="eastAsia" w:ascii="宋体" w:hAnsi="宋体" w:eastAsia="宋体" w:cs="宋体"/>
                <w:color w:val="auto"/>
                <w:sz w:val="24"/>
                <w:szCs w:val="24"/>
                <w:highlight w:val="none"/>
              </w:rPr>
            </w:pPr>
          </w:p>
        </w:tc>
        <w:tc>
          <w:tcPr>
            <w:tcW w:w="1027" w:type="dxa"/>
            <w:noWrap w:val="0"/>
            <w:vAlign w:val="center"/>
          </w:tcPr>
          <w:p w14:paraId="7CB57651">
            <w:pPr>
              <w:jc w:val="center"/>
              <w:rPr>
                <w:rFonts w:hint="eastAsia" w:ascii="宋体" w:hAnsi="宋体" w:eastAsia="宋体" w:cs="宋体"/>
                <w:color w:val="auto"/>
                <w:sz w:val="24"/>
                <w:szCs w:val="24"/>
                <w:highlight w:val="none"/>
              </w:rPr>
            </w:pPr>
          </w:p>
        </w:tc>
        <w:tc>
          <w:tcPr>
            <w:tcW w:w="1643" w:type="dxa"/>
            <w:noWrap w:val="0"/>
            <w:vAlign w:val="center"/>
          </w:tcPr>
          <w:p w14:paraId="466CB409">
            <w:pPr>
              <w:jc w:val="center"/>
              <w:rPr>
                <w:rFonts w:hint="eastAsia" w:ascii="宋体" w:hAnsi="宋体" w:eastAsia="宋体" w:cs="宋体"/>
                <w:color w:val="auto"/>
                <w:sz w:val="24"/>
                <w:szCs w:val="24"/>
                <w:highlight w:val="none"/>
              </w:rPr>
            </w:pPr>
          </w:p>
        </w:tc>
        <w:tc>
          <w:tcPr>
            <w:tcW w:w="1116" w:type="dxa"/>
            <w:noWrap w:val="0"/>
            <w:vAlign w:val="center"/>
          </w:tcPr>
          <w:p w14:paraId="32A8B1D7">
            <w:pPr>
              <w:jc w:val="center"/>
              <w:rPr>
                <w:rFonts w:hint="eastAsia" w:ascii="宋体" w:hAnsi="宋体" w:eastAsia="宋体" w:cs="宋体"/>
                <w:color w:val="auto"/>
                <w:sz w:val="24"/>
                <w:szCs w:val="24"/>
                <w:highlight w:val="none"/>
              </w:rPr>
            </w:pPr>
          </w:p>
        </w:tc>
        <w:tc>
          <w:tcPr>
            <w:tcW w:w="1142" w:type="dxa"/>
            <w:noWrap w:val="0"/>
            <w:vAlign w:val="center"/>
          </w:tcPr>
          <w:p w14:paraId="16485127">
            <w:pPr>
              <w:jc w:val="center"/>
              <w:rPr>
                <w:rFonts w:hint="eastAsia" w:ascii="宋体" w:hAnsi="宋体" w:eastAsia="宋体" w:cs="宋体"/>
                <w:color w:val="auto"/>
                <w:sz w:val="24"/>
                <w:szCs w:val="24"/>
                <w:highlight w:val="none"/>
              </w:rPr>
            </w:pPr>
          </w:p>
        </w:tc>
        <w:tc>
          <w:tcPr>
            <w:tcW w:w="1231" w:type="dxa"/>
            <w:noWrap w:val="0"/>
            <w:vAlign w:val="center"/>
          </w:tcPr>
          <w:p w14:paraId="57CE2443">
            <w:pPr>
              <w:jc w:val="center"/>
              <w:rPr>
                <w:rFonts w:hint="eastAsia" w:ascii="宋体" w:hAnsi="宋体" w:eastAsia="宋体" w:cs="宋体"/>
                <w:color w:val="auto"/>
                <w:sz w:val="24"/>
                <w:szCs w:val="24"/>
                <w:highlight w:val="none"/>
              </w:rPr>
            </w:pPr>
          </w:p>
        </w:tc>
        <w:tc>
          <w:tcPr>
            <w:tcW w:w="1026" w:type="dxa"/>
            <w:noWrap w:val="0"/>
            <w:vAlign w:val="center"/>
          </w:tcPr>
          <w:p w14:paraId="153B68C9">
            <w:pPr>
              <w:jc w:val="center"/>
              <w:rPr>
                <w:rFonts w:hint="eastAsia" w:ascii="宋体" w:hAnsi="宋体" w:eastAsia="宋体" w:cs="宋体"/>
                <w:color w:val="auto"/>
                <w:sz w:val="24"/>
                <w:szCs w:val="24"/>
                <w:highlight w:val="none"/>
              </w:rPr>
            </w:pPr>
          </w:p>
        </w:tc>
      </w:tr>
      <w:tr w14:paraId="43F1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2795182B">
            <w:pPr>
              <w:jc w:val="center"/>
              <w:rPr>
                <w:rFonts w:hint="eastAsia" w:ascii="宋体" w:hAnsi="宋体" w:eastAsia="宋体" w:cs="宋体"/>
                <w:color w:val="auto"/>
                <w:sz w:val="24"/>
                <w:szCs w:val="24"/>
                <w:highlight w:val="none"/>
              </w:rPr>
            </w:pPr>
          </w:p>
        </w:tc>
        <w:tc>
          <w:tcPr>
            <w:tcW w:w="1028" w:type="dxa"/>
            <w:noWrap w:val="0"/>
            <w:vAlign w:val="center"/>
          </w:tcPr>
          <w:p w14:paraId="2E8175BE">
            <w:pPr>
              <w:jc w:val="center"/>
              <w:rPr>
                <w:rFonts w:hint="eastAsia" w:ascii="宋体" w:hAnsi="宋体" w:eastAsia="宋体" w:cs="宋体"/>
                <w:color w:val="auto"/>
                <w:sz w:val="24"/>
                <w:szCs w:val="24"/>
                <w:highlight w:val="none"/>
              </w:rPr>
            </w:pPr>
          </w:p>
        </w:tc>
        <w:tc>
          <w:tcPr>
            <w:tcW w:w="1027" w:type="dxa"/>
            <w:noWrap w:val="0"/>
            <w:vAlign w:val="center"/>
          </w:tcPr>
          <w:p w14:paraId="4003E420">
            <w:pPr>
              <w:jc w:val="center"/>
              <w:rPr>
                <w:rFonts w:hint="eastAsia" w:ascii="宋体" w:hAnsi="宋体" w:eastAsia="宋体" w:cs="宋体"/>
                <w:color w:val="auto"/>
                <w:sz w:val="24"/>
                <w:szCs w:val="24"/>
                <w:highlight w:val="none"/>
              </w:rPr>
            </w:pPr>
          </w:p>
        </w:tc>
        <w:tc>
          <w:tcPr>
            <w:tcW w:w="1643" w:type="dxa"/>
            <w:noWrap w:val="0"/>
            <w:vAlign w:val="center"/>
          </w:tcPr>
          <w:p w14:paraId="6959DB98">
            <w:pPr>
              <w:jc w:val="center"/>
              <w:rPr>
                <w:rFonts w:hint="eastAsia" w:ascii="宋体" w:hAnsi="宋体" w:eastAsia="宋体" w:cs="宋体"/>
                <w:color w:val="auto"/>
                <w:sz w:val="24"/>
                <w:szCs w:val="24"/>
                <w:highlight w:val="none"/>
              </w:rPr>
            </w:pPr>
          </w:p>
        </w:tc>
        <w:tc>
          <w:tcPr>
            <w:tcW w:w="1116" w:type="dxa"/>
            <w:noWrap w:val="0"/>
            <w:vAlign w:val="center"/>
          </w:tcPr>
          <w:p w14:paraId="034BA6C0">
            <w:pPr>
              <w:jc w:val="center"/>
              <w:rPr>
                <w:rFonts w:hint="eastAsia" w:ascii="宋体" w:hAnsi="宋体" w:eastAsia="宋体" w:cs="宋体"/>
                <w:color w:val="auto"/>
                <w:sz w:val="24"/>
                <w:szCs w:val="24"/>
                <w:highlight w:val="none"/>
              </w:rPr>
            </w:pPr>
          </w:p>
        </w:tc>
        <w:tc>
          <w:tcPr>
            <w:tcW w:w="1142" w:type="dxa"/>
            <w:noWrap w:val="0"/>
            <w:vAlign w:val="center"/>
          </w:tcPr>
          <w:p w14:paraId="3A467D2B">
            <w:pPr>
              <w:jc w:val="center"/>
              <w:rPr>
                <w:rFonts w:hint="eastAsia" w:ascii="宋体" w:hAnsi="宋体" w:eastAsia="宋体" w:cs="宋体"/>
                <w:color w:val="auto"/>
                <w:sz w:val="24"/>
                <w:szCs w:val="24"/>
                <w:highlight w:val="none"/>
              </w:rPr>
            </w:pPr>
          </w:p>
        </w:tc>
        <w:tc>
          <w:tcPr>
            <w:tcW w:w="1231" w:type="dxa"/>
            <w:noWrap w:val="0"/>
            <w:vAlign w:val="center"/>
          </w:tcPr>
          <w:p w14:paraId="3034D564">
            <w:pPr>
              <w:jc w:val="center"/>
              <w:rPr>
                <w:rFonts w:hint="eastAsia" w:ascii="宋体" w:hAnsi="宋体" w:eastAsia="宋体" w:cs="宋体"/>
                <w:color w:val="auto"/>
                <w:sz w:val="24"/>
                <w:szCs w:val="24"/>
                <w:highlight w:val="none"/>
              </w:rPr>
            </w:pPr>
          </w:p>
        </w:tc>
        <w:tc>
          <w:tcPr>
            <w:tcW w:w="1026" w:type="dxa"/>
            <w:noWrap w:val="0"/>
            <w:vAlign w:val="center"/>
          </w:tcPr>
          <w:p w14:paraId="03FA7EBA">
            <w:pPr>
              <w:jc w:val="center"/>
              <w:rPr>
                <w:rFonts w:hint="eastAsia" w:ascii="宋体" w:hAnsi="宋体" w:eastAsia="宋体" w:cs="宋体"/>
                <w:color w:val="auto"/>
                <w:sz w:val="24"/>
                <w:szCs w:val="24"/>
                <w:highlight w:val="none"/>
              </w:rPr>
            </w:pPr>
          </w:p>
        </w:tc>
      </w:tr>
      <w:tr w14:paraId="31CA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56F42884">
            <w:pPr>
              <w:jc w:val="center"/>
              <w:rPr>
                <w:rFonts w:hint="eastAsia" w:ascii="宋体" w:hAnsi="宋体" w:eastAsia="宋体" w:cs="宋体"/>
                <w:color w:val="auto"/>
                <w:sz w:val="24"/>
                <w:szCs w:val="24"/>
                <w:highlight w:val="none"/>
              </w:rPr>
            </w:pPr>
          </w:p>
        </w:tc>
        <w:tc>
          <w:tcPr>
            <w:tcW w:w="1028" w:type="dxa"/>
            <w:noWrap w:val="0"/>
            <w:vAlign w:val="center"/>
          </w:tcPr>
          <w:p w14:paraId="4264E278">
            <w:pPr>
              <w:jc w:val="center"/>
              <w:rPr>
                <w:rFonts w:hint="eastAsia" w:ascii="宋体" w:hAnsi="宋体" w:eastAsia="宋体" w:cs="宋体"/>
                <w:color w:val="auto"/>
                <w:sz w:val="24"/>
                <w:szCs w:val="24"/>
                <w:highlight w:val="none"/>
              </w:rPr>
            </w:pPr>
          </w:p>
        </w:tc>
        <w:tc>
          <w:tcPr>
            <w:tcW w:w="1027" w:type="dxa"/>
            <w:noWrap w:val="0"/>
            <w:vAlign w:val="center"/>
          </w:tcPr>
          <w:p w14:paraId="38F8B192">
            <w:pPr>
              <w:jc w:val="center"/>
              <w:rPr>
                <w:rFonts w:hint="eastAsia" w:ascii="宋体" w:hAnsi="宋体" w:eastAsia="宋体" w:cs="宋体"/>
                <w:color w:val="auto"/>
                <w:sz w:val="24"/>
                <w:szCs w:val="24"/>
                <w:highlight w:val="none"/>
              </w:rPr>
            </w:pPr>
          </w:p>
        </w:tc>
        <w:tc>
          <w:tcPr>
            <w:tcW w:w="1643" w:type="dxa"/>
            <w:noWrap w:val="0"/>
            <w:vAlign w:val="center"/>
          </w:tcPr>
          <w:p w14:paraId="15BE01DA">
            <w:pPr>
              <w:jc w:val="center"/>
              <w:rPr>
                <w:rFonts w:hint="eastAsia" w:ascii="宋体" w:hAnsi="宋体" w:eastAsia="宋体" w:cs="宋体"/>
                <w:color w:val="auto"/>
                <w:sz w:val="24"/>
                <w:szCs w:val="24"/>
                <w:highlight w:val="none"/>
              </w:rPr>
            </w:pPr>
          </w:p>
        </w:tc>
        <w:tc>
          <w:tcPr>
            <w:tcW w:w="1116" w:type="dxa"/>
            <w:noWrap w:val="0"/>
            <w:vAlign w:val="center"/>
          </w:tcPr>
          <w:p w14:paraId="44B8943B">
            <w:pPr>
              <w:jc w:val="center"/>
              <w:rPr>
                <w:rFonts w:hint="eastAsia" w:ascii="宋体" w:hAnsi="宋体" w:eastAsia="宋体" w:cs="宋体"/>
                <w:color w:val="auto"/>
                <w:sz w:val="24"/>
                <w:szCs w:val="24"/>
                <w:highlight w:val="none"/>
              </w:rPr>
            </w:pPr>
          </w:p>
        </w:tc>
        <w:tc>
          <w:tcPr>
            <w:tcW w:w="1142" w:type="dxa"/>
            <w:noWrap w:val="0"/>
            <w:vAlign w:val="center"/>
          </w:tcPr>
          <w:p w14:paraId="547C4F7C">
            <w:pPr>
              <w:jc w:val="center"/>
              <w:rPr>
                <w:rFonts w:hint="eastAsia" w:ascii="宋体" w:hAnsi="宋体" w:eastAsia="宋体" w:cs="宋体"/>
                <w:color w:val="auto"/>
                <w:sz w:val="24"/>
                <w:szCs w:val="24"/>
                <w:highlight w:val="none"/>
              </w:rPr>
            </w:pPr>
          </w:p>
        </w:tc>
        <w:tc>
          <w:tcPr>
            <w:tcW w:w="1231" w:type="dxa"/>
            <w:noWrap w:val="0"/>
            <w:vAlign w:val="center"/>
          </w:tcPr>
          <w:p w14:paraId="7D9F29AE">
            <w:pPr>
              <w:jc w:val="center"/>
              <w:rPr>
                <w:rFonts w:hint="eastAsia" w:ascii="宋体" w:hAnsi="宋体" w:eastAsia="宋体" w:cs="宋体"/>
                <w:color w:val="auto"/>
                <w:sz w:val="24"/>
                <w:szCs w:val="24"/>
                <w:highlight w:val="none"/>
              </w:rPr>
            </w:pPr>
          </w:p>
        </w:tc>
        <w:tc>
          <w:tcPr>
            <w:tcW w:w="1026" w:type="dxa"/>
            <w:noWrap w:val="0"/>
            <w:vAlign w:val="center"/>
          </w:tcPr>
          <w:p w14:paraId="1162E9FF">
            <w:pPr>
              <w:jc w:val="center"/>
              <w:rPr>
                <w:rFonts w:hint="eastAsia" w:ascii="宋体" w:hAnsi="宋体" w:eastAsia="宋体" w:cs="宋体"/>
                <w:color w:val="auto"/>
                <w:sz w:val="24"/>
                <w:szCs w:val="24"/>
                <w:highlight w:val="none"/>
              </w:rPr>
            </w:pPr>
          </w:p>
        </w:tc>
      </w:tr>
      <w:tr w14:paraId="5312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7F3DEF2A">
            <w:pPr>
              <w:jc w:val="center"/>
              <w:rPr>
                <w:rFonts w:hint="eastAsia" w:ascii="宋体" w:hAnsi="宋体" w:eastAsia="宋体" w:cs="宋体"/>
                <w:color w:val="auto"/>
                <w:sz w:val="24"/>
                <w:szCs w:val="24"/>
                <w:highlight w:val="none"/>
              </w:rPr>
            </w:pPr>
          </w:p>
        </w:tc>
        <w:tc>
          <w:tcPr>
            <w:tcW w:w="1028" w:type="dxa"/>
            <w:noWrap w:val="0"/>
            <w:vAlign w:val="center"/>
          </w:tcPr>
          <w:p w14:paraId="6767E2B3">
            <w:pPr>
              <w:jc w:val="center"/>
              <w:rPr>
                <w:rFonts w:hint="eastAsia" w:ascii="宋体" w:hAnsi="宋体" w:eastAsia="宋体" w:cs="宋体"/>
                <w:color w:val="auto"/>
                <w:sz w:val="24"/>
                <w:szCs w:val="24"/>
                <w:highlight w:val="none"/>
              </w:rPr>
            </w:pPr>
          </w:p>
        </w:tc>
        <w:tc>
          <w:tcPr>
            <w:tcW w:w="1027" w:type="dxa"/>
            <w:noWrap w:val="0"/>
            <w:vAlign w:val="center"/>
          </w:tcPr>
          <w:p w14:paraId="717DCD08">
            <w:pPr>
              <w:jc w:val="center"/>
              <w:rPr>
                <w:rFonts w:hint="eastAsia" w:ascii="宋体" w:hAnsi="宋体" w:eastAsia="宋体" w:cs="宋体"/>
                <w:color w:val="auto"/>
                <w:sz w:val="24"/>
                <w:szCs w:val="24"/>
                <w:highlight w:val="none"/>
              </w:rPr>
            </w:pPr>
          </w:p>
        </w:tc>
        <w:tc>
          <w:tcPr>
            <w:tcW w:w="1643" w:type="dxa"/>
            <w:noWrap w:val="0"/>
            <w:vAlign w:val="center"/>
          </w:tcPr>
          <w:p w14:paraId="3CD5651A">
            <w:pPr>
              <w:jc w:val="center"/>
              <w:rPr>
                <w:rFonts w:hint="eastAsia" w:ascii="宋体" w:hAnsi="宋体" w:eastAsia="宋体" w:cs="宋体"/>
                <w:color w:val="auto"/>
                <w:sz w:val="24"/>
                <w:szCs w:val="24"/>
                <w:highlight w:val="none"/>
              </w:rPr>
            </w:pPr>
          </w:p>
        </w:tc>
        <w:tc>
          <w:tcPr>
            <w:tcW w:w="1116" w:type="dxa"/>
            <w:noWrap w:val="0"/>
            <w:vAlign w:val="center"/>
          </w:tcPr>
          <w:p w14:paraId="5FDDC888">
            <w:pPr>
              <w:jc w:val="center"/>
              <w:rPr>
                <w:rFonts w:hint="eastAsia" w:ascii="宋体" w:hAnsi="宋体" w:eastAsia="宋体" w:cs="宋体"/>
                <w:color w:val="auto"/>
                <w:sz w:val="24"/>
                <w:szCs w:val="24"/>
                <w:highlight w:val="none"/>
              </w:rPr>
            </w:pPr>
          </w:p>
        </w:tc>
        <w:tc>
          <w:tcPr>
            <w:tcW w:w="1142" w:type="dxa"/>
            <w:noWrap w:val="0"/>
            <w:vAlign w:val="center"/>
          </w:tcPr>
          <w:p w14:paraId="1D9852B2">
            <w:pPr>
              <w:jc w:val="center"/>
              <w:rPr>
                <w:rFonts w:hint="eastAsia" w:ascii="宋体" w:hAnsi="宋体" w:eastAsia="宋体" w:cs="宋体"/>
                <w:color w:val="auto"/>
                <w:sz w:val="24"/>
                <w:szCs w:val="24"/>
                <w:highlight w:val="none"/>
              </w:rPr>
            </w:pPr>
          </w:p>
        </w:tc>
        <w:tc>
          <w:tcPr>
            <w:tcW w:w="1231" w:type="dxa"/>
            <w:noWrap w:val="0"/>
            <w:vAlign w:val="center"/>
          </w:tcPr>
          <w:p w14:paraId="636549B4">
            <w:pPr>
              <w:jc w:val="center"/>
              <w:rPr>
                <w:rFonts w:hint="eastAsia" w:ascii="宋体" w:hAnsi="宋体" w:eastAsia="宋体" w:cs="宋体"/>
                <w:color w:val="auto"/>
                <w:sz w:val="24"/>
                <w:szCs w:val="24"/>
                <w:highlight w:val="none"/>
              </w:rPr>
            </w:pPr>
          </w:p>
        </w:tc>
        <w:tc>
          <w:tcPr>
            <w:tcW w:w="1026" w:type="dxa"/>
            <w:noWrap w:val="0"/>
            <w:vAlign w:val="center"/>
          </w:tcPr>
          <w:p w14:paraId="6D70B7C0">
            <w:pPr>
              <w:jc w:val="center"/>
              <w:rPr>
                <w:rFonts w:hint="eastAsia" w:ascii="宋体" w:hAnsi="宋体" w:eastAsia="宋体" w:cs="宋体"/>
                <w:color w:val="auto"/>
                <w:sz w:val="24"/>
                <w:szCs w:val="24"/>
                <w:highlight w:val="none"/>
              </w:rPr>
            </w:pPr>
          </w:p>
        </w:tc>
      </w:tr>
      <w:tr w14:paraId="2359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7DF6D8A">
            <w:pPr>
              <w:jc w:val="center"/>
              <w:rPr>
                <w:rFonts w:hint="eastAsia" w:ascii="宋体" w:hAnsi="宋体" w:eastAsia="宋体" w:cs="宋体"/>
                <w:color w:val="auto"/>
                <w:sz w:val="24"/>
                <w:szCs w:val="24"/>
                <w:highlight w:val="none"/>
              </w:rPr>
            </w:pPr>
          </w:p>
        </w:tc>
        <w:tc>
          <w:tcPr>
            <w:tcW w:w="1028" w:type="dxa"/>
            <w:noWrap w:val="0"/>
            <w:vAlign w:val="center"/>
          </w:tcPr>
          <w:p w14:paraId="71F480C9">
            <w:pPr>
              <w:jc w:val="center"/>
              <w:rPr>
                <w:rFonts w:hint="eastAsia" w:ascii="宋体" w:hAnsi="宋体" w:eastAsia="宋体" w:cs="宋体"/>
                <w:color w:val="auto"/>
                <w:sz w:val="24"/>
                <w:szCs w:val="24"/>
                <w:highlight w:val="none"/>
              </w:rPr>
            </w:pPr>
          </w:p>
        </w:tc>
        <w:tc>
          <w:tcPr>
            <w:tcW w:w="1027" w:type="dxa"/>
            <w:noWrap w:val="0"/>
            <w:vAlign w:val="center"/>
          </w:tcPr>
          <w:p w14:paraId="6A763C7E">
            <w:pPr>
              <w:jc w:val="center"/>
              <w:rPr>
                <w:rFonts w:hint="eastAsia" w:ascii="宋体" w:hAnsi="宋体" w:eastAsia="宋体" w:cs="宋体"/>
                <w:color w:val="auto"/>
                <w:sz w:val="24"/>
                <w:szCs w:val="24"/>
                <w:highlight w:val="none"/>
              </w:rPr>
            </w:pPr>
          </w:p>
        </w:tc>
        <w:tc>
          <w:tcPr>
            <w:tcW w:w="1643" w:type="dxa"/>
            <w:noWrap w:val="0"/>
            <w:vAlign w:val="center"/>
          </w:tcPr>
          <w:p w14:paraId="3144EBF5">
            <w:pPr>
              <w:jc w:val="center"/>
              <w:rPr>
                <w:rFonts w:hint="eastAsia" w:ascii="宋体" w:hAnsi="宋体" w:eastAsia="宋体" w:cs="宋体"/>
                <w:color w:val="auto"/>
                <w:sz w:val="24"/>
                <w:szCs w:val="24"/>
                <w:highlight w:val="none"/>
              </w:rPr>
            </w:pPr>
          </w:p>
        </w:tc>
        <w:tc>
          <w:tcPr>
            <w:tcW w:w="1116" w:type="dxa"/>
            <w:noWrap w:val="0"/>
            <w:vAlign w:val="center"/>
          </w:tcPr>
          <w:p w14:paraId="0C53C12C">
            <w:pPr>
              <w:jc w:val="center"/>
              <w:rPr>
                <w:rFonts w:hint="eastAsia" w:ascii="宋体" w:hAnsi="宋体" w:eastAsia="宋体" w:cs="宋体"/>
                <w:color w:val="auto"/>
                <w:sz w:val="24"/>
                <w:szCs w:val="24"/>
                <w:highlight w:val="none"/>
              </w:rPr>
            </w:pPr>
          </w:p>
        </w:tc>
        <w:tc>
          <w:tcPr>
            <w:tcW w:w="1142" w:type="dxa"/>
            <w:noWrap w:val="0"/>
            <w:vAlign w:val="center"/>
          </w:tcPr>
          <w:p w14:paraId="056B3A14">
            <w:pPr>
              <w:jc w:val="center"/>
              <w:rPr>
                <w:rFonts w:hint="eastAsia" w:ascii="宋体" w:hAnsi="宋体" w:eastAsia="宋体" w:cs="宋体"/>
                <w:color w:val="auto"/>
                <w:sz w:val="24"/>
                <w:szCs w:val="24"/>
                <w:highlight w:val="none"/>
              </w:rPr>
            </w:pPr>
          </w:p>
        </w:tc>
        <w:tc>
          <w:tcPr>
            <w:tcW w:w="1231" w:type="dxa"/>
            <w:noWrap w:val="0"/>
            <w:vAlign w:val="center"/>
          </w:tcPr>
          <w:p w14:paraId="0A47916A">
            <w:pPr>
              <w:jc w:val="center"/>
              <w:rPr>
                <w:rFonts w:hint="eastAsia" w:ascii="宋体" w:hAnsi="宋体" w:eastAsia="宋体" w:cs="宋体"/>
                <w:color w:val="auto"/>
                <w:sz w:val="24"/>
                <w:szCs w:val="24"/>
                <w:highlight w:val="none"/>
              </w:rPr>
            </w:pPr>
          </w:p>
        </w:tc>
        <w:tc>
          <w:tcPr>
            <w:tcW w:w="1026" w:type="dxa"/>
            <w:noWrap w:val="0"/>
            <w:vAlign w:val="center"/>
          </w:tcPr>
          <w:p w14:paraId="1A7B382F">
            <w:pPr>
              <w:jc w:val="center"/>
              <w:rPr>
                <w:rFonts w:hint="eastAsia" w:ascii="宋体" w:hAnsi="宋体" w:eastAsia="宋体" w:cs="宋体"/>
                <w:color w:val="auto"/>
                <w:sz w:val="24"/>
                <w:szCs w:val="24"/>
                <w:highlight w:val="none"/>
              </w:rPr>
            </w:pPr>
          </w:p>
        </w:tc>
      </w:tr>
      <w:tr w14:paraId="4B67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6BFB790">
            <w:pPr>
              <w:jc w:val="center"/>
              <w:rPr>
                <w:rFonts w:hint="eastAsia" w:ascii="宋体" w:hAnsi="宋体" w:eastAsia="宋体" w:cs="宋体"/>
                <w:color w:val="auto"/>
                <w:sz w:val="24"/>
                <w:szCs w:val="24"/>
                <w:highlight w:val="none"/>
              </w:rPr>
            </w:pPr>
          </w:p>
        </w:tc>
        <w:tc>
          <w:tcPr>
            <w:tcW w:w="1028" w:type="dxa"/>
            <w:noWrap w:val="0"/>
            <w:vAlign w:val="center"/>
          </w:tcPr>
          <w:p w14:paraId="5A955389">
            <w:pPr>
              <w:jc w:val="center"/>
              <w:rPr>
                <w:rFonts w:hint="eastAsia" w:ascii="宋体" w:hAnsi="宋体" w:eastAsia="宋体" w:cs="宋体"/>
                <w:color w:val="auto"/>
                <w:sz w:val="24"/>
                <w:szCs w:val="24"/>
                <w:highlight w:val="none"/>
              </w:rPr>
            </w:pPr>
          </w:p>
        </w:tc>
        <w:tc>
          <w:tcPr>
            <w:tcW w:w="1027" w:type="dxa"/>
            <w:noWrap w:val="0"/>
            <w:vAlign w:val="center"/>
          </w:tcPr>
          <w:p w14:paraId="584698BF">
            <w:pPr>
              <w:jc w:val="center"/>
              <w:rPr>
                <w:rFonts w:hint="eastAsia" w:ascii="宋体" w:hAnsi="宋体" w:eastAsia="宋体" w:cs="宋体"/>
                <w:color w:val="auto"/>
                <w:sz w:val="24"/>
                <w:szCs w:val="24"/>
                <w:highlight w:val="none"/>
              </w:rPr>
            </w:pPr>
          </w:p>
        </w:tc>
        <w:tc>
          <w:tcPr>
            <w:tcW w:w="1643" w:type="dxa"/>
            <w:noWrap w:val="0"/>
            <w:vAlign w:val="center"/>
          </w:tcPr>
          <w:p w14:paraId="63677865">
            <w:pPr>
              <w:jc w:val="center"/>
              <w:rPr>
                <w:rFonts w:hint="eastAsia" w:ascii="宋体" w:hAnsi="宋体" w:eastAsia="宋体" w:cs="宋体"/>
                <w:color w:val="auto"/>
                <w:sz w:val="24"/>
                <w:szCs w:val="24"/>
                <w:highlight w:val="none"/>
              </w:rPr>
            </w:pPr>
          </w:p>
        </w:tc>
        <w:tc>
          <w:tcPr>
            <w:tcW w:w="1116" w:type="dxa"/>
            <w:noWrap w:val="0"/>
            <w:vAlign w:val="center"/>
          </w:tcPr>
          <w:p w14:paraId="64C3F1C9">
            <w:pPr>
              <w:jc w:val="center"/>
              <w:rPr>
                <w:rFonts w:hint="eastAsia" w:ascii="宋体" w:hAnsi="宋体" w:eastAsia="宋体" w:cs="宋体"/>
                <w:color w:val="auto"/>
                <w:sz w:val="24"/>
                <w:szCs w:val="24"/>
                <w:highlight w:val="none"/>
              </w:rPr>
            </w:pPr>
          </w:p>
        </w:tc>
        <w:tc>
          <w:tcPr>
            <w:tcW w:w="1142" w:type="dxa"/>
            <w:noWrap w:val="0"/>
            <w:vAlign w:val="center"/>
          </w:tcPr>
          <w:p w14:paraId="2E6B1295">
            <w:pPr>
              <w:jc w:val="center"/>
              <w:rPr>
                <w:rFonts w:hint="eastAsia" w:ascii="宋体" w:hAnsi="宋体" w:eastAsia="宋体" w:cs="宋体"/>
                <w:color w:val="auto"/>
                <w:sz w:val="24"/>
                <w:szCs w:val="24"/>
                <w:highlight w:val="none"/>
              </w:rPr>
            </w:pPr>
          </w:p>
        </w:tc>
        <w:tc>
          <w:tcPr>
            <w:tcW w:w="1231" w:type="dxa"/>
            <w:noWrap w:val="0"/>
            <w:vAlign w:val="center"/>
          </w:tcPr>
          <w:p w14:paraId="628FE792">
            <w:pPr>
              <w:jc w:val="center"/>
              <w:rPr>
                <w:rFonts w:hint="eastAsia" w:ascii="宋体" w:hAnsi="宋体" w:eastAsia="宋体" w:cs="宋体"/>
                <w:color w:val="auto"/>
                <w:sz w:val="24"/>
                <w:szCs w:val="24"/>
                <w:highlight w:val="none"/>
              </w:rPr>
            </w:pPr>
          </w:p>
        </w:tc>
        <w:tc>
          <w:tcPr>
            <w:tcW w:w="1026" w:type="dxa"/>
            <w:noWrap w:val="0"/>
            <w:vAlign w:val="center"/>
          </w:tcPr>
          <w:p w14:paraId="48B7E25A">
            <w:pPr>
              <w:jc w:val="center"/>
              <w:rPr>
                <w:rFonts w:hint="eastAsia" w:ascii="宋体" w:hAnsi="宋体" w:eastAsia="宋体" w:cs="宋体"/>
                <w:color w:val="auto"/>
                <w:sz w:val="24"/>
                <w:szCs w:val="24"/>
                <w:highlight w:val="none"/>
              </w:rPr>
            </w:pPr>
          </w:p>
        </w:tc>
      </w:tr>
      <w:tr w14:paraId="11AF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47CE087">
            <w:pPr>
              <w:jc w:val="center"/>
              <w:rPr>
                <w:rFonts w:hint="eastAsia" w:ascii="宋体" w:hAnsi="宋体" w:eastAsia="宋体" w:cs="宋体"/>
                <w:color w:val="auto"/>
                <w:sz w:val="24"/>
                <w:szCs w:val="24"/>
                <w:highlight w:val="none"/>
              </w:rPr>
            </w:pPr>
          </w:p>
        </w:tc>
        <w:tc>
          <w:tcPr>
            <w:tcW w:w="1028" w:type="dxa"/>
            <w:noWrap w:val="0"/>
            <w:vAlign w:val="center"/>
          </w:tcPr>
          <w:p w14:paraId="63E39C51">
            <w:pPr>
              <w:jc w:val="center"/>
              <w:rPr>
                <w:rFonts w:hint="eastAsia" w:ascii="宋体" w:hAnsi="宋体" w:eastAsia="宋体" w:cs="宋体"/>
                <w:color w:val="auto"/>
                <w:sz w:val="24"/>
                <w:szCs w:val="24"/>
                <w:highlight w:val="none"/>
              </w:rPr>
            </w:pPr>
          </w:p>
        </w:tc>
        <w:tc>
          <w:tcPr>
            <w:tcW w:w="1027" w:type="dxa"/>
            <w:noWrap w:val="0"/>
            <w:vAlign w:val="center"/>
          </w:tcPr>
          <w:p w14:paraId="2AE6D379">
            <w:pPr>
              <w:jc w:val="center"/>
              <w:rPr>
                <w:rFonts w:hint="eastAsia" w:ascii="宋体" w:hAnsi="宋体" w:eastAsia="宋体" w:cs="宋体"/>
                <w:color w:val="auto"/>
                <w:sz w:val="24"/>
                <w:szCs w:val="24"/>
                <w:highlight w:val="none"/>
              </w:rPr>
            </w:pPr>
          </w:p>
        </w:tc>
        <w:tc>
          <w:tcPr>
            <w:tcW w:w="1643" w:type="dxa"/>
            <w:noWrap w:val="0"/>
            <w:vAlign w:val="center"/>
          </w:tcPr>
          <w:p w14:paraId="2AA0034D">
            <w:pPr>
              <w:jc w:val="center"/>
              <w:rPr>
                <w:rFonts w:hint="eastAsia" w:ascii="宋体" w:hAnsi="宋体" w:eastAsia="宋体" w:cs="宋体"/>
                <w:color w:val="auto"/>
                <w:sz w:val="24"/>
                <w:szCs w:val="24"/>
                <w:highlight w:val="none"/>
              </w:rPr>
            </w:pPr>
          </w:p>
        </w:tc>
        <w:tc>
          <w:tcPr>
            <w:tcW w:w="1116" w:type="dxa"/>
            <w:noWrap w:val="0"/>
            <w:vAlign w:val="center"/>
          </w:tcPr>
          <w:p w14:paraId="4B2D6860">
            <w:pPr>
              <w:jc w:val="center"/>
              <w:rPr>
                <w:rFonts w:hint="eastAsia" w:ascii="宋体" w:hAnsi="宋体" w:eastAsia="宋体" w:cs="宋体"/>
                <w:color w:val="auto"/>
                <w:sz w:val="24"/>
                <w:szCs w:val="24"/>
                <w:highlight w:val="none"/>
              </w:rPr>
            </w:pPr>
          </w:p>
        </w:tc>
        <w:tc>
          <w:tcPr>
            <w:tcW w:w="1142" w:type="dxa"/>
            <w:noWrap w:val="0"/>
            <w:vAlign w:val="center"/>
          </w:tcPr>
          <w:p w14:paraId="0FA800B5">
            <w:pPr>
              <w:jc w:val="center"/>
              <w:rPr>
                <w:rFonts w:hint="eastAsia" w:ascii="宋体" w:hAnsi="宋体" w:eastAsia="宋体" w:cs="宋体"/>
                <w:color w:val="auto"/>
                <w:sz w:val="24"/>
                <w:szCs w:val="24"/>
                <w:highlight w:val="none"/>
              </w:rPr>
            </w:pPr>
          </w:p>
        </w:tc>
        <w:tc>
          <w:tcPr>
            <w:tcW w:w="1231" w:type="dxa"/>
            <w:noWrap w:val="0"/>
            <w:vAlign w:val="center"/>
          </w:tcPr>
          <w:p w14:paraId="6A029B26">
            <w:pPr>
              <w:jc w:val="center"/>
              <w:rPr>
                <w:rFonts w:hint="eastAsia" w:ascii="宋体" w:hAnsi="宋体" w:eastAsia="宋体" w:cs="宋体"/>
                <w:color w:val="auto"/>
                <w:sz w:val="24"/>
                <w:szCs w:val="24"/>
                <w:highlight w:val="none"/>
              </w:rPr>
            </w:pPr>
          </w:p>
        </w:tc>
        <w:tc>
          <w:tcPr>
            <w:tcW w:w="1026" w:type="dxa"/>
            <w:noWrap w:val="0"/>
            <w:vAlign w:val="center"/>
          </w:tcPr>
          <w:p w14:paraId="438391C4">
            <w:pPr>
              <w:jc w:val="center"/>
              <w:rPr>
                <w:rFonts w:hint="eastAsia" w:ascii="宋体" w:hAnsi="宋体" w:eastAsia="宋体" w:cs="宋体"/>
                <w:color w:val="auto"/>
                <w:sz w:val="24"/>
                <w:szCs w:val="24"/>
                <w:highlight w:val="none"/>
              </w:rPr>
            </w:pPr>
          </w:p>
        </w:tc>
      </w:tr>
      <w:tr w14:paraId="242C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1A47D90">
            <w:pPr>
              <w:jc w:val="center"/>
              <w:rPr>
                <w:rFonts w:hint="eastAsia" w:ascii="宋体" w:hAnsi="宋体" w:eastAsia="宋体" w:cs="宋体"/>
                <w:color w:val="auto"/>
                <w:sz w:val="24"/>
                <w:szCs w:val="24"/>
                <w:highlight w:val="none"/>
              </w:rPr>
            </w:pPr>
          </w:p>
        </w:tc>
        <w:tc>
          <w:tcPr>
            <w:tcW w:w="1028" w:type="dxa"/>
            <w:noWrap w:val="0"/>
            <w:vAlign w:val="center"/>
          </w:tcPr>
          <w:p w14:paraId="6776EB4C">
            <w:pPr>
              <w:jc w:val="center"/>
              <w:rPr>
                <w:rFonts w:hint="eastAsia" w:ascii="宋体" w:hAnsi="宋体" w:eastAsia="宋体" w:cs="宋体"/>
                <w:color w:val="auto"/>
                <w:sz w:val="24"/>
                <w:szCs w:val="24"/>
                <w:highlight w:val="none"/>
              </w:rPr>
            </w:pPr>
          </w:p>
        </w:tc>
        <w:tc>
          <w:tcPr>
            <w:tcW w:w="1027" w:type="dxa"/>
            <w:noWrap w:val="0"/>
            <w:vAlign w:val="center"/>
          </w:tcPr>
          <w:p w14:paraId="2F74C17F">
            <w:pPr>
              <w:jc w:val="center"/>
              <w:rPr>
                <w:rFonts w:hint="eastAsia" w:ascii="宋体" w:hAnsi="宋体" w:eastAsia="宋体" w:cs="宋体"/>
                <w:color w:val="auto"/>
                <w:sz w:val="24"/>
                <w:szCs w:val="24"/>
                <w:highlight w:val="none"/>
              </w:rPr>
            </w:pPr>
          </w:p>
        </w:tc>
        <w:tc>
          <w:tcPr>
            <w:tcW w:w="1643" w:type="dxa"/>
            <w:noWrap w:val="0"/>
            <w:vAlign w:val="center"/>
          </w:tcPr>
          <w:p w14:paraId="77778E94">
            <w:pPr>
              <w:jc w:val="center"/>
              <w:rPr>
                <w:rFonts w:hint="eastAsia" w:ascii="宋体" w:hAnsi="宋体" w:eastAsia="宋体" w:cs="宋体"/>
                <w:color w:val="auto"/>
                <w:sz w:val="24"/>
                <w:szCs w:val="24"/>
                <w:highlight w:val="none"/>
              </w:rPr>
            </w:pPr>
          </w:p>
        </w:tc>
        <w:tc>
          <w:tcPr>
            <w:tcW w:w="1116" w:type="dxa"/>
            <w:noWrap w:val="0"/>
            <w:vAlign w:val="center"/>
          </w:tcPr>
          <w:p w14:paraId="2C595838">
            <w:pPr>
              <w:jc w:val="center"/>
              <w:rPr>
                <w:rFonts w:hint="eastAsia" w:ascii="宋体" w:hAnsi="宋体" w:eastAsia="宋体" w:cs="宋体"/>
                <w:color w:val="auto"/>
                <w:sz w:val="24"/>
                <w:szCs w:val="24"/>
                <w:highlight w:val="none"/>
              </w:rPr>
            </w:pPr>
          </w:p>
        </w:tc>
        <w:tc>
          <w:tcPr>
            <w:tcW w:w="1142" w:type="dxa"/>
            <w:noWrap w:val="0"/>
            <w:vAlign w:val="center"/>
          </w:tcPr>
          <w:p w14:paraId="53632389">
            <w:pPr>
              <w:jc w:val="center"/>
              <w:rPr>
                <w:rFonts w:hint="eastAsia" w:ascii="宋体" w:hAnsi="宋体" w:eastAsia="宋体" w:cs="宋体"/>
                <w:color w:val="auto"/>
                <w:sz w:val="24"/>
                <w:szCs w:val="24"/>
                <w:highlight w:val="none"/>
              </w:rPr>
            </w:pPr>
          </w:p>
        </w:tc>
        <w:tc>
          <w:tcPr>
            <w:tcW w:w="1231" w:type="dxa"/>
            <w:noWrap w:val="0"/>
            <w:vAlign w:val="center"/>
          </w:tcPr>
          <w:p w14:paraId="1B0499A4">
            <w:pPr>
              <w:jc w:val="center"/>
              <w:rPr>
                <w:rFonts w:hint="eastAsia" w:ascii="宋体" w:hAnsi="宋体" w:eastAsia="宋体" w:cs="宋体"/>
                <w:color w:val="auto"/>
                <w:sz w:val="24"/>
                <w:szCs w:val="24"/>
                <w:highlight w:val="none"/>
              </w:rPr>
            </w:pPr>
          </w:p>
        </w:tc>
        <w:tc>
          <w:tcPr>
            <w:tcW w:w="1026" w:type="dxa"/>
            <w:noWrap w:val="0"/>
            <w:vAlign w:val="center"/>
          </w:tcPr>
          <w:p w14:paraId="37D61713">
            <w:pPr>
              <w:jc w:val="center"/>
              <w:rPr>
                <w:rFonts w:hint="eastAsia" w:ascii="宋体" w:hAnsi="宋体" w:eastAsia="宋体" w:cs="宋体"/>
                <w:color w:val="auto"/>
                <w:sz w:val="24"/>
                <w:szCs w:val="24"/>
                <w:highlight w:val="none"/>
              </w:rPr>
            </w:pPr>
          </w:p>
        </w:tc>
      </w:tr>
      <w:tr w14:paraId="5300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CADA881">
            <w:pPr>
              <w:jc w:val="center"/>
              <w:rPr>
                <w:rFonts w:hint="eastAsia" w:ascii="宋体" w:hAnsi="宋体" w:eastAsia="宋体" w:cs="宋体"/>
                <w:color w:val="auto"/>
                <w:sz w:val="24"/>
                <w:szCs w:val="24"/>
                <w:highlight w:val="none"/>
              </w:rPr>
            </w:pPr>
          </w:p>
        </w:tc>
        <w:tc>
          <w:tcPr>
            <w:tcW w:w="1028" w:type="dxa"/>
            <w:noWrap w:val="0"/>
            <w:vAlign w:val="center"/>
          </w:tcPr>
          <w:p w14:paraId="4ECDFFBC">
            <w:pPr>
              <w:jc w:val="center"/>
              <w:rPr>
                <w:rFonts w:hint="eastAsia" w:ascii="宋体" w:hAnsi="宋体" w:eastAsia="宋体" w:cs="宋体"/>
                <w:color w:val="auto"/>
                <w:sz w:val="24"/>
                <w:szCs w:val="24"/>
                <w:highlight w:val="none"/>
              </w:rPr>
            </w:pPr>
          </w:p>
        </w:tc>
        <w:tc>
          <w:tcPr>
            <w:tcW w:w="1027" w:type="dxa"/>
            <w:noWrap w:val="0"/>
            <w:vAlign w:val="center"/>
          </w:tcPr>
          <w:p w14:paraId="25338F7C">
            <w:pPr>
              <w:jc w:val="center"/>
              <w:rPr>
                <w:rFonts w:hint="eastAsia" w:ascii="宋体" w:hAnsi="宋体" w:eastAsia="宋体" w:cs="宋体"/>
                <w:color w:val="auto"/>
                <w:sz w:val="24"/>
                <w:szCs w:val="24"/>
                <w:highlight w:val="none"/>
              </w:rPr>
            </w:pPr>
          </w:p>
        </w:tc>
        <w:tc>
          <w:tcPr>
            <w:tcW w:w="1643" w:type="dxa"/>
            <w:noWrap w:val="0"/>
            <w:vAlign w:val="center"/>
          </w:tcPr>
          <w:p w14:paraId="207E78F7">
            <w:pPr>
              <w:jc w:val="center"/>
              <w:rPr>
                <w:rFonts w:hint="eastAsia" w:ascii="宋体" w:hAnsi="宋体" w:eastAsia="宋体" w:cs="宋体"/>
                <w:color w:val="auto"/>
                <w:sz w:val="24"/>
                <w:szCs w:val="24"/>
                <w:highlight w:val="none"/>
              </w:rPr>
            </w:pPr>
          </w:p>
        </w:tc>
        <w:tc>
          <w:tcPr>
            <w:tcW w:w="1116" w:type="dxa"/>
            <w:noWrap w:val="0"/>
            <w:vAlign w:val="center"/>
          </w:tcPr>
          <w:p w14:paraId="21C0194A">
            <w:pPr>
              <w:jc w:val="center"/>
              <w:rPr>
                <w:rFonts w:hint="eastAsia" w:ascii="宋体" w:hAnsi="宋体" w:eastAsia="宋体" w:cs="宋体"/>
                <w:color w:val="auto"/>
                <w:sz w:val="24"/>
                <w:szCs w:val="24"/>
                <w:highlight w:val="none"/>
              </w:rPr>
            </w:pPr>
          </w:p>
        </w:tc>
        <w:tc>
          <w:tcPr>
            <w:tcW w:w="1142" w:type="dxa"/>
            <w:noWrap w:val="0"/>
            <w:vAlign w:val="center"/>
          </w:tcPr>
          <w:p w14:paraId="781FCA99">
            <w:pPr>
              <w:jc w:val="center"/>
              <w:rPr>
                <w:rFonts w:hint="eastAsia" w:ascii="宋体" w:hAnsi="宋体" w:eastAsia="宋体" w:cs="宋体"/>
                <w:color w:val="auto"/>
                <w:sz w:val="24"/>
                <w:szCs w:val="24"/>
                <w:highlight w:val="none"/>
              </w:rPr>
            </w:pPr>
          </w:p>
        </w:tc>
        <w:tc>
          <w:tcPr>
            <w:tcW w:w="1231" w:type="dxa"/>
            <w:noWrap w:val="0"/>
            <w:vAlign w:val="center"/>
          </w:tcPr>
          <w:p w14:paraId="2BAA8055">
            <w:pPr>
              <w:jc w:val="center"/>
              <w:rPr>
                <w:rFonts w:hint="eastAsia" w:ascii="宋体" w:hAnsi="宋体" w:eastAsia="宋体" w:cs="宋体"/>
                <w:color w:val="auto"/>
                <w:sz w:val="24"/>
                <w:szCs w:val="24"/>
                <w:highlight w:val="none"/>
              </w:rPr>
            </w:pPr>
          </w:p>
        </w:tc>
        <w:tc>
          <w:tcPr>
            <w:tcW w:w="1026" w:type="dxa"/>
            <w:noWrap w:val="0"/>
            <w:vAlign w:val="center"/>
          </w:tcPr>
          <w:p w14:paraId="1522734D">
            <w:pPr>
              <w:jc w:val="center"/>
              <w:rPr>
                <w:rFonts w:hint="eastAsia" w:ascii="宋体" w:hAnsi="宋体" w:eastAsia="宋体" w:cs="宋体"/>
                <w:color w:val="auto"/>
                <w:sz w:val="24"/>
                <w:szCs w:val="24"/>
                <w:highlight w:val="none"/>
              </w:rPr>
            </w:pPr>
          </w:p>
        </w:tc>
      </w:tr>
      <w:tr w14:paraId="0079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045A467">
            <w:pPr>
              <w:jc w:val="center"/>
              <w:rPr>
                <w:rFonts w:hint="eastAsia" w:ascii="宋体" w:hAnsi="宋体" w:eastAsia="宋体" w:cs="宋体"/>
                <w:color w:val="auto"/>
                <w:sz w:val="24"/>
                <w:szCs w:val="24"/>
                <w:highlight w:val="none"/>
              </w:rPr>
            </w:pPr>
          </w:p>
        </w:tc>
        <w:tc>
          <w:tcPr>
            <w:tcW w:w="1028" w:type="dxa"/>
            <w:noWrap w:val="0"/>
            <w:vAlign w:val="center"/>
          </w:tcPr>
          <w:p w14:paraId="33E5E1A7">
            <w:pPr>
              <w:jc w:val="center"/>
              <w:rPr>
                <w:rFonts w:hint="eastAsia" w:ascii="宋体" w:hAnsi="宋体" w:eastAsia="宋体" w:cs="宋体"/>
                <w:color w:val="auto"/>
                <w:sz w:val="24"/>
                <w:szCs w:val="24"/>
                <w:highlight w:val="none"/>
              </w:rPr>
            </w:pPr>
          </w:p>
        </w:tc>
        <w:tc>
          <w:tcPr>
            <w:tcW w:w="1027" w:type="dxa"/>
            <w:noWrap w:val="0"/>
            <w:vAlign w:val="center"/>
          </w:tcPr>
          <w:p w14:paraId="760FA439">
            <w:pPr>
              <w:jc w:val="center"/>
              <w:rPr>
                <w:rFonts w:hint="eastAsia" w:ascii="宋体" w:hAnsi="宋体" w:eastAsia="宋体" w:cs="宋体"/>
                <w:color w:val="auto"/>
                <w:sz w:val="24"/>
                <w:szCs w:val="24"/>
                <w:highlight w:val="none"/>
              </w:rPr>
            </w:pPr>
          </w:p>
        </w:tc>
        <w:tc>
          <w:tcPr>
            <w:tcW w:w="1643" w:type="dxa"/>
            <w:noWrap w:val="0"/>
            <w:vAlign w:val="center"/>
          </w:tcPr>
          <w:p w14:paraId="293574B7">
            <w:pPr>
              <w:jc w:val="center"/>
              <w:rPr>
                <w:rFonts w:hint="eastAsia" w:ascii="宋体" w:hAnsi="宋体" w:eastAsia="宋体" w:cs="宋体"/>
                <w:color w:val="auto"/>
                <w:sz w:val="24"/>
                <w:szCs w:val="24"/>
                <w:highlight w:val="none"/>
              </w:rPr>
            </w:pPr>
          </w:p>
        </w:tc>
        <w:tc>
          <w:tcPr>
            <w:tcW w:w="1116" w:type="dxa"/>
            <w:noWrap w:val="0"/>
            <w:vAlign w:val="center"/>
          </w:tcPr>
          <w:p w14:paraId="1C359AE2">
            <w:pPr>
              <w:jc w:val="center"/>
              <w:rPr>
                <w:rFonts w:hint="eastAsia" w:ascii="宋体" w:hAnsi="宋体" w:eastAsia="宋体" w:cs="宋体"/>
                <w:color w:val="auto"/>
                <w:sz w:val="24"/>
                <w:szCs w:val="24"/>
                <w:highlight w:val="none"/>
              </w:rPr>
            </w:pPr>
          </w:p>
        </w:tc>
        <w:tc>
          <w:tcPr>
            <w:tcW w:w="1142" w:type="dxa"/>
            <w:noWrap w:val="0"/>
            <w:vAlign w:val="center"/>
          </w:tcPr>
          <w:p w14:paraId="3E13F76A">
            <w:pPr>
              <w:jc w:val="center"/>
              <w:rPr>
                <w:rFonts w:hint="eastAsia" w:ascii="宋体" w:hAnsi="宋体" w:eastAsia="宋体" w:cs="宋体"/>
                <w:color w:val="auto"/>
                <w:sz w:val="24"/>
                <w:szCs w:val="24"/>
                <w:highlight w:val="none"/>
              </w:rPr>
            </w:pPr>
          </w:p>
        </w:tc>
        <w:tc>
          <w:tcPr>
            <w:tcW w:w="1231" w:type="dxa"/>
            <w:noWrap w:val="0"/>
            <w:vAlign w:val="center"/>
          </w:tcPr>
          <w:p w14:paraId="15058CB9">
            <w:pPr>
              <w:jc w:val="center"/>
              <w:rPr>
                <w:rFonts w:hint="eastAsia" w:ascii="宋体" w:hAnsi="宋体" w:eastAsia="宋体" w:cs="宋体"/>
                <w:color w:val="auto"/>
                <w:sz w:val="24"/>
                <w:szCs w:val="24"/>
                <w:highlight w:val="none"/>
              </w:rPr>
            </w:pPr>
          </w:p>
        </w:tc>
        <w:tc>
          <w:tcPr>
            <w:tcW w:w="1026" w:type="dxa"/>
            <w:noWrap w:val="0"/>
            <w:vAlign w:val="center"/>
          </w:tcPr>
          <w:p w14:paraId="293EB09F">
            <w:pPr>
              <w:jc w:val="center"/>
              <w:rPr>
                <w:rFonts w:hint="eastAsia" w:ascii="宋体" w:hAnsi="宋体" w:eastAsia="宋体" w:cs="宋体"/>
                <w:color w:val="auto"/>
                <w:sz w:val="24"/>
                <w:szCs w:val="24"/>
                <w:highlight w:val="none"/>
              </w:rPr>
            </w:pPr>
          </w:p>
        </w:tc>
      </w:tr>
      <w:tr w14:paraId="6412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27" w:type="dxa"/>
            <w:noWrap w:val="0"/>
            <w:vAlign w:val="center"/>
          </w:tcPr>
          <w:p w14:paraId="4376C97F">
            <w:pPr>
              <w:jc w:val="center"/>
              <w:rPr>
                <w:rFonts w:hint="eastAsia" w:ascii="宋体" w:hAnsi="宋体" w:eastAsia="宋体" w:cs="宋体"/>
                <w:color w:val="auto"/>
                <w:sz w:val="24"/>
                <w:szCs w:val="24"/>
                <w:highlight w:val="none"/>
              </w:rPr>
            </w:pPr>
          </w:p>
        </w:tc>
        <w:tc>
          <w:tcPr>
            <w:tcW w:w="1028" w:type="dxa"/>
            <w:noWrap w:val="0"/>
            <w:vAlign w:val="center"/>
          </w:tcPr>
          <w:p w14:paraId="1597EBE2">
            <w:pPr>
              <w:jc w:val="center"/>
              <w:rPr>
                <w:rFonts w:hint="eastAsia" w:ascii="宋体" w:hAnsi="宋体" w:eastAsia="宋体" w:cs="宋体"/>
                <w:color w:val="auto"/>
                <w:sz w:val="24"/>
                <w:szCs w:val="24"/>
                <w:highlight w:val="none"/>
              </w:rPr>
            </w:pPr>
          </w:p>
        </w:tc>
        <w:tc>
          <w:tcPr>
            <w:tcW w:w="1027" w:type="dxa"/>
            <w:noWrap w:val="0"/>
            <w:vAlign w:val="center"/>
          </w:tcPr>
          <w:p w14:paraId="30B2CF47">
            <w:pPr>
              <w:jc w:val="center"/>
              <w:rPr>
                <w:rFonts w:hint="eastAsia" w:ascii="宋体" w:hAnsi="宋体" w:eastAsia="宋体" w:cs="宋体"/>
                <w:color w:val="auto"/>
                <w:sz w:val="24"/>
                <w:szCs w:val="24"/>
                <w:highlight w:val="none"/>
              </w:rPr>
            </w:pPr>
          </w:p>
        </w:tc>
        <w:tc>
          <w:tcPr>
            <w:tcW w:w="1643" w:type="dxa"/>
            <w:noWrap w:val="0"/>
            <w:vAlign w:val="center"/>
          </w:tcPr>
          <w:p w14:paraId="283C8C2D">
            <w:pPr>
              <w:jc w:val="center"/>
              <w:rPr>
                <w:rFonts w:hint="eastAsia" w:ascii="宋体" w:hAnsi="宋体" w:eastAsia="宋体" w:cs="宋体"/>
                <w:color w:val="auto"/>
                <w:sz w:val="24"/>
                <w:szCs w:val="24"/>
                <w:highlight w:val="none"/>
              </w:rPr>
            </w:pPr>
          </w:p>
        </w:tc>
        <w:tc>
          <w:tcPr>
            <w:tcW w:w="1116" w:type="dxa"/>
            <w:noWrap w:val="0"/>
            <w:vAlign w:val="center"/>
          </w:tcPr>
          <w:p w14:paraId="72FF07A4">
            <w:pPr>
              <w:jc w:val="center"/>
              <w:rPr>
                <w:rFonts w:hint="eastAsia" w:ascii="宋体" w:hAnsi="宋体" w:eastAsia="宋体" w:cs="宋体"/>
                <w:color w:val="auto"/>
                <w:sz w:val="24"/>
                <w:szCs w:val="24"/>
                <w:highlight w:val="none"/>
              </w:rPr>
            </w:pPr>
          </w:p>
        </w:tc>
        <w:tc>
          <w:tcPr>
            <w:tcW w:w="1142" w:type="dxa"/>
            <w:noWrap w:val="0"/>
            <w:vAlign w:val="center"/>
          </w:tcPr>
          <w:p w14:paraId="5CEFB15E">
            <w:pPr>
              <w:jc w:val="center"/>
              <w:rPr>
                <w:rFonts w:hint="eastAsia" w:ascii="宋体" w:hAnsi="宋体" w:eastAsia="宋体" w:cs="宋体"/>
                <w:color w:val="auto"/>
                <w:sz w:val="24"/>
                <w:szCs w:val="24"/>
                <w:highlight w:val="none"/>
              </w:rPr>
            </w:pPr>
          </w:p>
        </w:tc>
        <w:tc>
          <w:tcPr>
            <w:tcW w:w="1231" w:type="dxa"/>
            <w:noWrap w:val="0"/>
            <w:vAlign w:val="center"/>
          </w:tcPr>
          <w:p w14:paraId="269F1C98">
            <w:pPr>
              <w:jc w:val="center"/>
              <w:rPr>
                <w:rFonts w:hint="eastAsia" w:ascii="宋体" w:hAnsi="宋体" w:eastAsia="宋体" w:cs="宋体"/>
                <w:color w:val="auto"/>
                <w:sz w:val="24"/>
                <w:szCs w:val="24"/>
                <w:highlight w:val="none"/>
              </w:rPr>
            </w:pPr>
          </w:p>
        </w:tc>
        <w:tc>
          <w:tcPr>
            <w:tcW w:w="1026" w:type="dxa"/>
            <w:noWrap w:val="0"/>
            <w:vAlign w:val="center"/>
          </w:tcPr>
          <w:p w14:paraId="4238E4EF">
            <w:pPr>
              <w:jc w:val="center"/>
              <w:rPr>
                <w:rFonts w:hint="eastAsia" w:ascii="宋体" w:hAnsi="宋体" w:eastAsia="宋体" w:cs="宋体"/>
                <w:color w:val="auto"/>
                <w:sz w:val="24"/>
                <w:szCs w:val="24"/>
                <w:highlight w:val="none"/>
              </w:rPr>
            </w:pPr>
          </w:p>
        </w:tc>
      </w:tr>
    </w:tbl>
    <w:p w14:paraId="079079B2">
      <w:pPr>
        <w:numPr>
          <w:ilvl w:val="3"/>
          <w:numId w:val="0"/>
        </w:numPr>
        <w:spacing w:before="0" w:beforeLines="0" w:after="0" w:afterLines="0" w:line="360" w:lineRule="auto"/>
        <w:jc w:val="center"/>
        <w:outlineLvl w:val="9"/>
        <w:rPr>
          <w:rFonts w:hint="eastAsia" w:ascii="宋体" w:hAnsi="宋体" w:eastAsia="宋体" w:cs="宋体"/>
          <w:color w:val="auto"/>
          <w:sz w:val="24"/>
          <w:highlight w:val="none"/>
        </w:rPr>
      </w:pPr>
      <w:bookmarkStart w:id="1242" w:name="_Toc320473738"/>
    </w:p>
    <w:p w14:paraId="77F3FA4B">
      <w:pPr>
        <w:numPr>
          <w:ilvl w:val="3"/>
          <w:numId w:val="0"/>
        </w:numPr>
        <w:spacing w:before="0" w:beforeLines="0" w:after="0" w:afterLines="0" w:line="360" w:lineRule="auto"/>
        <w:jc w:val="center"/>
        <w:outlineLvl w:val="9"/>
        <w:rPr>
          <w:rFonts w:hint="eastAsia" w:ascii="宋体" w:hAnsi="宋体" w:eastAsia="宋体" w:cs="宋体"/>
          <w:color w:val="auto"/>
          <w:sz w:val="24"/>
          <w:highlight w:val="none"/>
        </w:rPr>
      </w:pPr>
    </w:p>
    <w:p w14:paraId="1377DFF2">
      <w:pPr>
        <w:pStyle w:val="7"/>
        <w:bidi w:val="0"/>
        <w:rPr>
          <w:rFonts w:hint="eastAsia"/>
          <w:lang w:eastAsia="zh-CN"/>
        </w:rPr>
      </w:pPr>
      <w:bookmarkStart w:id="1243" w:name="_Toc21488"/>
      <w:bookmarkStart w:id="1244" w:name="_Toc11124"/>
      <w:bookmarkStart w:id="1245" w:name="_Toc8445"/>
      <w:r>
        <w:rPr>
          <w:rFonts w:hint="eastAsia"/>
          <w:lang w:eastAsia="zh-CN"/>
        </w:rPr>
        <w:t>（二）主要人员简历表</w:t>
      </w:r>
      <w:bookmarkEnd w:id="1243"/>
      <w:bookmarkEnd w:id="1244"/>
      <w:bookmarkEnd w:id="1245"/>
    </w:p>
    <w:p w14:paraId="123F6A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附1：项目经理简历表</w:t>
      </w:r>
    </w:p>
    <w:p w14:paraId="1AE0D033">
      <w:pPr>
        <w:pStyle w:val="49"/>
        <w:spacing w:line="50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项目经理应附建造师注册证书、安全生产考核合格证书、身份证</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社保</w:t>
      </w:r>
      <w:r>
        <w:rPr>
          <w:rFonts w:hint="eastAsia" w:ascii="宋体" w:hAnsi="宋体" w:eastAsia="宋体" w:cs="宋体"/>
          <w:color w:val="auto"/>
          <w:sz w:val="24"/>
          <w:szCs w:val="24"/>
          <w:highlight w:val="none"/>
        </w:rPr>
        <w:t>及未担任其他在施建设工程项目项目经理的承诺书</w:t>
      </w:r>
      <w:r>
        <w:rPr>
          <w:rFonts w:hint="eastAsia" w:ascii="宋体" w:hAnsi="宋体" w:eastAsia="宋体" w:cs="宋体"/>
          <w:color w:val="auto"/>
          <w:sz w:val="24"/>
          <w:szCs w:val="24"/>
          <w:highlight w:val="none"/>
          <w:lang w:val="en-US" w:eastAsia="zh-CN"/>
        </w:rPr>
        <w:t>等相关证明材料</w:t>
      </w:r>
      <w:r>
        <w:rPr>
          <w:rFonts w:hint="eastAsia" w:ascii="宋体" w:hAnsi="宋体" w:eastAsia="宋体" w:cs="宋体"/>
          <w:color w:val="auto"/>
          <w:sz w:val="24"/>
          <w:szCs w:val="24"/>
          <w:highlight w:val="none"/>
        </w:rPr>
        <w:t>。</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80"/>
        <w:gridCol w:w="776"/>
        <w:gridCol w:w="1561"/>
        <w:gridCol w:w="1557"/>
        <w:gridCol w:w="779"/>
        <w:gridCol w:w="1232"/>
        <w:gridCol w:w="1106"/>
      </w:tblGrid>
      <w:tr w14:paraId="383C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555" w:type="dxa"/>
            <w:noWrap w:val="0"/>
            <w:vAlign w:val="center"/>
          </w:tcPr>
          <w:p w14:paraId="2F68E831">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 名</w:t>
            </w:r>
          </w:p>
        </w:tc>
        <w:tc>
          <w:tcPr>
            <w:tcW w:w="1556" w:type="dxa"/>
            <w:gridSpan w:val="2"/>
            <w:noWrap w:val="0"/>
            <w:vAlign w:val="center"/>
          </w:tcPr>
          <w:p w14:paraId="58F9EEF7">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1561" w:type="dxa"/>
            <w:noWrap w:val="0"/>
            <w:vAlign w:val="center"/>
          </w:tcPr>
          <w:p w14:paraId="3249FEC3">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龄</w:t>
            </w:r>
          </w:p>
        </w:tc>
        <w:tc>
          <w:tcPr>
            <w:tcW w:w="1557" w:type="dxa"/>
            <w:noWrap w:val="0"/>
            <w:vAlign w:val="center"/>
          </w:tcPr>
          <w:p w14:paraId="273566B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011" w:type="dxa"/>
            <w:gridSpan w:val="2"/>
            <w:noWrap w:val="0"/>
            <w:vAlign w:val="center"/>
          </w:tcPr>
          <w:p w14:paraId="61A1CAE2">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学 历</w:t>
            </w:r>
          </w:p>
        </w:tc>
        <w:tc>
          <w:tcPr>
            <w:tcW w:w="1106" w:type="dxa"/>
            <w:noWrap w:val="0"/>
            <w:vAlign w:val="center"/>
          </w:tcPr>
          <w:p w14:paraId="1892D49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298C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5" w:type="dxa"/>
            <w:noWrap w:val="0"/>
            <w:vAlign w:val="center"/>
          </w:tcPr>
          <w:p w14:paraId="188CF504">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 称</w:t>
            </w:r>
          </w:p>
        </w:tc>
        <w:tc>
          <w:tcPr>
            <w:tcW w:w="1556" w:type="dxa"/>
            <w:gridSpan w:val="2"/>
            <w:noWrap w:val="0"/>
            <w:vAlign w:val="center"/>
          </w:tcPr>
          <w:p w14:paraId="629D528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1561" w:type="dxa"/>
            <w:noWrap w:val="0"/>
            <w:vAlign w:val="center"/>
          </w:tcPr>
          <w:p w14:paraId="3B7A6C5E">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 务</w:t>
            </w:r>
          </w:p>
        </w:tc>
        <w:tc>
          <w:tcPr>
            <w:tcW w:w="1557" w:type="dxa"/>
            <w:noWrap w:val="0"/>
            <w:vAlign w:val="center"/>
          </w:tcPr>
          <w:p w14:paraId="165C2279">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011" w:type="dxa"/>
            <w:gridSpan w:val="2"/>
            <w:noWrap w:val="0"/>
            <w:vAlign w:val="center"/>
          </w:tcPr>
          <w:p w14:paraId="5236BCA5">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拟在本合同任职</w:t>
            </w:r>
          </w:p>
        </w:tc>
        <w:tc>
          <w:tcPr>
            <w:tcW w:w="1106" w:type="dxa"/>
            <w:noWrap w:val="0"/>
            <w:vAlign w:val="center"/>
          </w:tcPr>
          <w:p w14:paraId="1D01366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5F5B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555" w:type="dxa"/>
            <w:noWrap w:val="0"/>
            <w:vAlign w:val="center"/>
          </w:tcPr>
          <w:p w14:paraId="50E9D60A">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毕业学校</w:t>
            </w:r>
          </w:p>
        </w:tc>
        <w:tc>
          <w:tcPr>
            <w:tcW w:w="7791" w:type="dxa"/>
            <w:gridSpan w:val="7"/>
            <w:noWrap w:val="0"/>
            <w:vAlign w:val="center"/>
          </w:tcPr>
          <w:p w14:paraId="141A191D">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年毕业于      学校       专业</w:t>
            </w:r>
          </w:p>
        </w:tc>
      </w:tr>
      <w:tr w14:paraId="686F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46" w:type="dxa"/>
            <w:gridSpan w:val="8"/>
            <w:noWrap w:val="0"/>
            <w:vAlign w:val="center"/>
          </w:tcPr>
          <w:p w14:paraId="3E57E620">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主要工作经历</w:t>
            </w:r>
          </w:p>
        </w:tc>
      </w:tr>
      <w:tr w14:paraId="7D33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35" w:type="dxa"/>
            <w:gridSpan w:val="2"/>
            <w:noWrap w:val="0"/>
            <w:vAlign w:val="center"/>
          </w:tcPr>
          <w:p w14:paraId="46FB8D18">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 间</w:t>
            </w:r>
          </w:p>
        </w:tc>
        <w:tc>
          <w:tcPr>
            <w:tcW w:w="2337" w:type="dxa"/>
            <w:gridSpan w:val="2"/>
            <w:noWrap w:val="0"/>
            <w:vAlign w:val="center"/>
          </w:tcPr>
          <w:p w14:paraId="08B958CD">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参加过的类似项目</w:t>
            </w:r>
          </w:p>
        </w:tc>
        <w:tc>
          <w:tcPr>
            <w:tcW w:w="2336" w:type="dxa"/>
            <w:gridSpan w:val="2"/>
            <w:noWrap w:val="0"/>
            <w:vAlign w:val="center"/>
          </w:tcPr>
          <w:p w14:paraId="3F3402F7">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担任职务</w:t>
            </w:r>
          </w:p>
        </w:tc>
        <w:tc>
          <w:tcPr>
            <w:tcW w:w="2338" w:type="dxa"/>
            <w:gridSpan w:val="2"/>
            <w:noWrap w:val="0"/>
            <w:vAlign w:val="center"/>
          </w:tcPr>
          <w:p w14:paraId="1503FC6C">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发包人及联系电话</w:t>
            </w:r>
          </w:p>
        </w:tc>
      </w:tr>
      <w:tr w14:paraId="3BEC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F254D8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759F6EA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67AF8C5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2B9F82A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5C9A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C50574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49EADDD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5644C9EC">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0C9F8BC5">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4E3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7AC874D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653ED6CB">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5332FE62">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11A129E5">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0218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F0D01E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604B6B8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7084FF1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73102993">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147B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03AC3D0C">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37AD3B4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1DA456B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32AB1D8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46EB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0BA9A2C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5B2D088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2ECD6E47">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3B34E5D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295D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4DBBCF08">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25953FC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562CE27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298503D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6304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89FDB8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2F22E763">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74A1424A">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61020FE0">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bl>
    <w:p w14:paraId="06FDFB14">
      <w:pPr>
        <w:pStyle w:val="6"/>
        <w:numPr>
          <w:ilvl w:val="1"/>
          <w:numId w:val="0"/>
        </w:numPr>
        <w:outlineLvl w:val="9"/>
        <w:rPr>
          <w:rFonts w:hint="eastAsia" w:ascii="宋体" w:hAnsi="宋体" w:eastAsia="宋体" w:cs="宋体"/>
          <w:color w:val="auto"/>
          <w:sz w:val="21"/>
          <w:szCs w:val="21"/>
          <w:highlight w:val="none"/>
        </w:rPr>
      </w:pPr>
    </w:p>
    <w:p w14:paraId="1F8DD5E1">
      <w:pPr>
        <w:rPr>
          <w:rFonts w:hint="eastAsia" w:ascii="宋体" w:hAnsi="宋体" w:eastAsia="宋体" w:cs="宋体"/>
          <w:color w:val="auto"/>
          <w:szCs w:val="21"/>
          <w:highlight w:val="none"/>
        </w:rPr>
      </w:pPr>
    </w:p>
    <w:p w14:paraId="154066B9">
      <w:pPr>
        <w:rPr>
          <w:rFonts w:hint="eastAsia" w:ascii="宋体" w:hAnsi="宋体" w:eastAsia="宋体" w:cs="宋体"/>
          <w:color w:val="auto"/>
          <w:szCs w:val="21"/>
          <w:highlight w:val="none"/>
        </w:rPr>
      </w:pPr>
    </w:p>
    <w:p w14:paraId="5AE518F5">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0464B0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w:t>
      </w: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：承诺书</w:t>
      </w:r>
    </w:p>
    <w:p w14:paraId="4DABE6E9">
      <w:pPr>
        <w:pStyle w:val="7"/>
        <w:bidi w:val="0"/>
        <w:rPr>
          <w:rFonts w:hint="eastAsia"/>
        </w:rPr>
      </w:pPr>
      <w:bookmarkStart w:id="1246" w:name="_Toc778"/>
      <w:bookmarkStart w:id="1247" w:name="_Toc22271"/>
      <w:bookmarkStart w:id="1248" w:name="_Toc13881"/>
      <w:bookmarkStart w:id="1249" w:name="_Toc4257"/>
      <w:r>
        <w:rPr>
          <w:rFonts w:hint="eastAsia"/>
        </w:rPr>
        <w:t>项目经理无在建项目承诺书</w:t>
      </w:r>
      <w:bookmarkEnd w:id="1246"/>
      <w:bookmarkEnd w:id="1247"/>
      <w:bookmarkEnd w:id="1248"/>
      <w:bookmarkEnd w:id="1249"/>
    </w:p>
    <w:p w14:paraId="204AE5E9">
      <w:pPr>
        <w:spacing w:after="312" w:afterLines="100"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7DD5B91E">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我方在此声明，我方拟派往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（工程名称）（以下简称“本工程”）的项目经理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w:t>
      </w:r>
      <w:r>
        <w:rPr>
          <w:rFonts w:hint="eastAsia" w:ascii="宋体" w:hAnsi="宋体" w:cs="宋体"/>
          <w:color w:val="auto"/>
          <w:sz w:val="24"/>
          <w:szCs w:val="24"/>
          <w:highlight w:val="none"/>
          <w:lang w:val="en-US" w:eastAsia="zh-CN"/>
        </w:rPr>
        <w:t>经理姓名</w:t>
      </w:r>
      <w:r>
        <w:rPr>
          <w:rFonts w:hint="eastAsia" w:ascii="宋体" w:hAnsi="宋体" w:eastAsia="宋体" w:cs="宋体"/>
          <w:color w:val="auto"/>
          <w:sz w:val="24"/>
          <w:szCs w:val="24"/>
          <w:highlight w:val="none"/>
        </w:rPr>
        <w:t>）现阶段没有担任任何在施建设工程项目的项目经理。</w:t>
      </w:r>
    </w:p>
    <w:p w14:paraId="197ABF43">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我方保证上述信息的真实和准确，并愿意承担因我方就此弄虚作假所引起的一切法律后果。</w:t>
      </w:r>
    </w:p>
    <w:p w14:paraId="1D3269F6">
      <w:pPr>
        <w:spacing w:line="600" w:lineRule="exact"/>
        <w:ind w:firstLine="480" w:firstLineChars="200"/>
        <w:rPr>
          <w:rFonts w:hint="eastAsia" w:ascii="宋体" w:hAnsi="宋体" w:eastAsia="宋体" w:cs="宋体"/>
          <w:color w:val="auto"/>
          <w:sz w:val="24"/>
          <w:szCs w:val="24"/>
          <w:highlight w:val="none"/>
        </w:rPr>
      </w:pPr>
    </w:p>
    <w:p w14:paraId="3EF7CF6A">
      <w:pPr>
        <w:spacing w:line="600" w:lineRule="exact"/>
        <w:ind w:firstLine="480" w:firstLineChars="200"/>
        <w:rPr>
          <w:rFonts w:hint="eastAsia" w:ascii="宋体" w:hAnsi="宋体" w:eastAsia="宋体" w:cs="宋体"/>
          <w:color w:val="auto"/>
          <w:sz w:val="24"/>
          <w:szCs w:val="24"/>
          <w:highlight w:val="none"/>
        </w:rPr>
      </w:pPr>
    </w:p>
    <w:p w14:paraId="11183CF8">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0205BB25">
      <w:pPr>
        <w:spacing w:line="600" w:lineRule="exact"/>
        <w:ind w:firstLine="480" w:firstLineChars="200"/>
        <w:rPr>
          <w:rFonts w:hint="eastAsia" w:ascii="宋体" w:hAnsi="宋体" w:eastAsia="宋体" w:cs="宋体"/>
          <w:color w:val="auto"/>
          <w:sz w:val="24"/>
          <w:szCs w:val="24"/>
          <w:highlight w:val="none"/>
        </w:rPr>
      </w:pPr>
    </w:p>
    <w:p w14:paraId="4498EDA6">
      <w:pPr>
        <w:spacing w:line="600" w:lineRule="exact"/>
        <w:ind w:firstLine="480" w:firstLineChars="200"/>
        <w:rPr>
          <w:rFonts w:hint="eastAsia" w:ascii="宋体" w:hAnsi="宋体" w:eastAsia="宋体" w:cs="宋体"/>
          <w:color w:val="auto"/>
          <w:sz w:val="24"/>
          <w:szCs w:val="24"/>
          <w:highlight w:val="none"/>
        </w:rPr>
      </w:pPr>
    </w:p>
    <w:p w14:paraId="375F84AD">
      <w:pPr>
        <w:spacing w:line="600" w:lineRule="exact"/>
        <w:ind w:firstLine="480" w:firstLineChars="200"/>
        <w:rPr>
          <w:rFonts w:hint="eastAsia" w:ascii="宋体" w:hAnsi="宋体" w:eastAsia="宋体" w:cs="宋体"/>
          <w:color w:val="auto"/>
          <w:szCs w:val="21"/>
          <w:highlight w:val="none"/>
        </w:rPr>
      </w:pPr>
    </w:p>
    <w:p w14:paraId="30E7CBFF">
      <w:pPr>
        <w:spacing w:line="600" w:lineRule="exact"/>
        <w:ind w:firstLine="480" w:firstLineChars="200"/>
        <w:rPr>
          <w:rFonts w:hint="eastAsia" w:ascii="宋体" w:hAnsi="宋体" w:eastAsia="宋体" w:cs="宋体"/>
          <w:color w:val="auto"/>
          <w:szCs w:val="21"/>
          <w:highlight w:val="none"/>
        </w:rPr>
      </w:pPr>
    </w:p>
    <w:p w14:paraId="6ED862A3">
      <w:pPr>
        <w:spacing w:line="600" w:lineRule="exact"/>
        <w:ind w:firstLine="480" w:firstLineChars="200"/>
        <w:rPr>
          <w:rFonts w:hint="eastAsia" w:ascii="宋体" w:hAnsi="宋体" w:eastAsia="宋体" w:cs="宋体"/>
          <w:color w:val="auto"/>
          <w:szCs w:val="21"/>
          <w:highlight w:val="none"/>
        </w:rPr>
      </w:pPr>
    </w:p>
    <w:p w14:paraId="76D93C39">
      <w:pPr>
        <w:spacing w:line="600" w:lineRule="exact"/>
        <w:ind w:firstLine="480" w:firstLineChars="200"/>
        <w:rPr>
          <w:rFonts w:hint="eastAsia" w:ascii="宋体" w:hAnsi="宋体" w:eastAsia="宋体" w:cs="宋体"/>
          <w:color w:val="auto"/>
          <w:szCs w:val="21"/>
          <w:highlight w:val="none"/>
        </w:rPr>
      </w:pPr>
    </w:p>
    <w:p w14:paraId="4BED34DA">
      <w:pPr>
        <w:pStyle w:val="20"/>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50FFBD49">
      <w:pPr>
        <w:pStyle w:val="20"/>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524D4387">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项目经理：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1098DFCE">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3F8F4F4A">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p>
    <w:bookmarkEnd w:id="1242"/>
    <w:p w14:paraId="20532F2F">
      <w:pPr>
        <w:rPr>
          <w:rFonts w:hint="eastAsia" w:ascii="宋体" w:hAnsi="宋体" w:eastAsia="宋体" w:cs="宋体"/>
          <w:color w:val="auto"/>
          <w:sz w:val="28"/>
          <w:highlight w:val="none"/>
          <w:lang w:eastAsia="zh-CN"/>
        </w:rPr>
      </w:pPr>
      <w:bookmarkStart w:id="1250" w:name="_Toc5437"/>
      <w:bookmarkStart w:id="1251" w:name="_Toc475624458"/>
      <w:bookmarkStart w:id="1252" w:name="_Toc11835"/>
      <w:r>
        <w:rPr>
          <w:rFonts w:hint="eastAsia" w:ascii="宋体" w:hAnsi="宋体" w:eastAsia="宋体" w:cs="宋体"/>
          <w:color w:val="auto"/>
          <w:sz w:val="28"/>
          <w:highlight w:val="none"/>
          <w:lang w:eastAsia="zh-CN"/>
        </w:rPr>
        <w:br w:type="page"/>
      </w:r>
    </w:p>
    <w:p w14:paraId="721921A1">
      <w:pPr>
        <w:pStyle w:val="6"/>
        <w:bidi w:val="0"/>
        <w:rPr>
          <w:rFonts w:hint="eastAsia"/>
          <w:lang w:val="en-US" w:eastAsia="zh-CN"/>
        </w:rPr>
      </w:pPr>
      <w:bookmarkStart w:id="1253" w:name="_Toc6952"/>
      <w:bookmarkStart w:id="1254" w:name="_Toc28147"/>
      <w:bookmarkStart w:id="1255" w:name="_Toc31839"/>
      <w:bookmarkStart w:id="1256" w:name="_Toc31700"/>
      <w:bookmarkStart w:id="1257" w:name="_Toc18178"/>
      <w:r>
        <w:rPr>
          <w:rFonts w:hint="eastAsia"/>
          <w:lang w:val="en-US" w:eastAsia="zh-CN"/>
        </w:rPr>
        <w:t>七、资格</w:t>
      </w:r>
      <w:bookmarkEnd w:id="1250"/>
      <w:bookmarkEnd w:id="1251"/>
      <w:r>
        <w:rPr>
          <w:rFonts w:hint="eastAsia"/>
          <w:lang w:val="en-US" w:eastAsia="zh-CN"/>
        </w:rPr>
        <w:t>证明材料</w:t>
      </w:r>
      <w:bookmarkEnd w:id="1252"/>
      <w:bookmarkEnd w:id="1253"/>
      <w:bookmarkEnd w:id="1254"/>
      <w:bookmarkEnd w:id="1255"/>
      <w:bookmarkEnd w:id="1256"/>
      <w:bookmarkEnd w:id="1257"/>
    </w:p>
    <w:p w14:paraId="66D9D056">
      <w:pPr>
        <w:pStyle w:val="7"/>
        <w:bidi w:val="0"/>
        <w:ind w:left="0" w:leftChars="0" w:firstLine="0" w:firstLineChars="0"/>
        <w:jc w:val="center"/>
        <w:rPr>
          <w:rFonts w:hint="eastAsia"/>
          <w:lang w:eastAsia="zh-CN"/>
        </w:rPr>
      </w:pPr>
      <w:bookmarkStart w:id="1258" w:name="_Toc19284"/>
      <w:bookmarkStart w:id="1259" w:name="_Toc18057"/>
      <w:bookmarkStart w:id="1260" w:name="_Toc1403"/>
      <w:bookmarkStart w:id="1261" w:name="_Toc456185719"/>
      <w:r>
        <w:rPr>
          <w:rFonts w:hint="eastAsia"/>
          <w:lang w:eastAsia="zh-CN"/>
        </w:rPr>
        <w:t>供应商基本情况表</w:t>
      </w:r>
      <w:bookmarkEnd w:id="1258"/>
      <w:bookmarkEnd w:id="1259"/>
      <w:bookmarkEnd w:id="1260"/>
      <w:bookmarkEnd w:id="1261"/>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968"/>
        <w:gridCol w:w="1102"/>
        <w:gridCol w:w="1071"/>
        <w:gridCol w:w="306"/>
        <w:gridCol w:w="210"/>
        <w:gridCol w:w="1344"/>
        <w:gridCol w:w="282"/>
        <w:gridCol w:w="765"/>
        <w:gridCol w:w="1529"/>
      </w:tblGrid>
      <w:tr w14:paraId="5E94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530B89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7577" w:type="dxa"/>
            <w:gridSpan w:val="9"/>
            <w:noWrap w:val="0"/>
            <w:vAlign w:val="center"/>
          </w:tcPr>
          <w:p w14:paraId="10C568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1022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2F9E9B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657" w:type="dxa"/>
            <w:gridSpan w:val="5"/>
            <w:noWrap w:val="0"/>
            <w:vAlign w:val="center"/>
          </w:tcPr>
          <w:p w14:paraId="397F27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2C2F06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576" w:type="dxa"/>
            <w:gridSpan w:val="3"/>
            <w:noWrap w:val="0"/>
            <w:vAlign w:val="center"/>
          </w:tcPr>
          <w:p w14:paraId="0A4F55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3770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222AF4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968" w:type="dxa"/>
            <w:noWrap w:val="0"/>
            <w:vAlign w:val="center"/>
          </w:tcPr>
          <w:p w14:paraId="330BA5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689" w:type="dxa"/>
            <w:gridSpan w:val="4"/>
            <w:noWrap w:val="0"/>
            <w:vAlign w:val="center"/>
          </w:tcPr>
          <w:p w14:paraId="2DEC6E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56A84F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2576" w:type="dxa"/>
            <w:gridSpan w:val="3"/>
            <w:noWrap w:val="0"/>
            <w:vAlign w:val="center"/>
          </w:tcPr>
          <w:p w14:paraId="0201D9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E94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continue"/>
            <w:noWrap w:val="0"/>
            <w:vAlign w:val="center"/>
          </w:tcPr>
          <w:p w14:paraId="12B060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968" w:type="dxa"/>
            <w:noWrap w:val="0"/>
            <w:vAlign w:val="center"/>
          </w:tcPr>
          <w:p w14:paraId="5BDBE3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tc>
        <w:tc>
          <w:tcPr>
            <w:tcW w:w="2689" w:type="dxa"/>
            <w:gridSpan w:val="4"/>
            <w:noWrap w:val="0"/>
            <w:vAlign w:val="center"/>
          </w:tcPr>
          <w:p w14:paraId="4DA07B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76870B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2576" w:type="dxa"/>
            <w:gridSpan w:val="3"/>
            <w:noWrap w:val="0"/>
            <w:vAlign w:val="center"/>
          </w:tcPr>
          <w:p w14:paraId="2BEBE6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54AC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1FF353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组织结构</w:t>
            </w:r>
          </w:p>
        </w:tc>
        <w:tc>
          <w:tcPr>
            <w:tcW w:w="7577" w:type="dxa"/>
            <w:gridSpan w:val="9"/>
            <w:noWrap w:val="0"/>
            <w:vAlign w:val="center"/>
          </w:tcPr>
          <w:p w14:paraId="21E968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2CF0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DB033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968" w:type="dxa"/>
            <w:noWrap w:val="0"/>
            <w:vAlign w:val="center"/>
          </w:tcPr>
          <w:p w14:paraId="0201F4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102" w:type="dxa"/>
            <w:noWrap w:val="0"/>
            <w:vAlign w:val="center"/>
          </w:tcPr>
          <w:p w14:paraId="7A7D77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77" w:type="dxa"/>
            <w:gridSpan w:val="2"/>
            <w:noWrap w:val="0"/>
            <w:vAlign w:val="center"/>
          </w:tcPr>
          <w:p w14:paraId="2868CC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36" w:type="dxa"/>
            <w:gridSpan w:val="3"/>
            <w:noWrap w:val="0"/>
            <w:vAlign w:val="center"/>
          </w:tcPr>
          <w:p w14:paraId="0E231C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765" w:type="dxa"/>
            <w:noWrap w:val="0"/>
            <w:vAlign w:val="center"/>
          </w:tcPr>
          <w:p w14:paraId="243CE4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29" w:type="dxa"/>
            <w:noWrap w:val="0"/>
            <w:vAlign w:val="center"/>
          </w:tcPr>
          <w:p w14:paraId="7EEB56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1365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279C01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968" w:type="dxa"/>
            <w:noWrap w:val="0"/>
            <w:vAlign w:val="center"/>
          </w:tcPr>
          <w:p w14:paraId="7DFB7B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102" w:type="dxa"/>
            <w:noWrap w:val="0"/>
            <w:vAlign w:val="center"/>
          </w:tcPr>
          <w:p w14:paraId="661F81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77" w:type="dxa"/>
            <w:gridSpan w:val="2"/>
            <w:noWrap w:val="0"/>
            <w:vAlign w:val="center"/>
          </w:tcPr>
          <w:p w14:paraId="63BBB5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36" w:type="dxa"/>
            <w:gridSpan w:val="3"/>
            <w:noWrap w:val="0"/>
            <w:vAlign w:val="center"/>
          </w:tcPr>
          <w:p w14:paraId="0DF646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765" w:type="dxa"/>
            <w:noWrap w:val="0"/>
            <w:vAlign w:val="center"/>
          </w:tcPr>
          <w:p w14:paraId="3C3FE5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29" w:type="dxa"/>
            <w:noWrap w:val="0"/>
            <w:vAlign w:val="center"/>
          </w:tcPr>
          <w:p w14:paraId="479682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2929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0192A8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2070" w:type="dxa"/>
            <w:gridSpan w:val="2"/>
            <w:noWrap w:val="0"/>
            <w:vAlign w:val="center"/>
          </w:tcPr>
          <w:p w14:paraId="37A0BD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5507" w:type="dxa"/>
            <w:gridSpan w:val="7"/>
            <w:noWrap w:val="0"/>
            <w:vAlign w:val="center"/>
          </w:tcPr>
          <w:p w14:paraId="1BE8DD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14:paraId="5138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525BA5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企业资质等级</w:t>
            </w:r>
          </w:p>
        </w:tc>
        <w:tc>
          <w:tcPr>
            <w:tcW w:w="2070" w:type="dxa"/>
            <w:gridSpan w:val="2"/>
            <w:noWrap w:val="0"/>
            <w:vAlign w:val="center"/>
          </w:tcPr>
          <w:p w14:paraId="68ECAD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restart"/>
            <w:noWrap w:val="0"/>
            <w:vAlign w:val="center"/>
          </w:tcPr>
          <w:p w14:paraId="3DB52D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2142" w:type="dxa"/>
            <w:gridSpan w:val="4"/>
            <w:noWrap w:val="0"/>
            <w:vAlign w:val="center"/>
          </w:tcPr>
          <w:p w14:paraId="33E7F4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2294" w:type="dxa"/>
            <w:gridSpan w:val="2"/>
            <w:noWrap w:val="0"/>
            <w:vAlign w:val="center"/>
          </w:tcPr>
          <w:p w14:paraId="3545A9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7497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783940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2070" w:type="dxa"/>
            <w:gridSpan w:val="2"/>
            <w:vMerge w:val="restart"/>
            <w:noWrap w:val="0"/>
            <w:vAlign w:val="center"/>
          </w:tcPr>
          <w:p w14:paraId="07B1A48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1071" w:type="dxa"/>
            <w:vMerge w:val="continue"/>
            <w:noWrap w:val="0"/>
            <w:vAlign w:val="center"/>
          </w:tcPr>
          <w:p w14:paraId="2F5FF0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0A1A35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高级职称人员</w:t>
            </w:r>
          </w:p>
        </w:tc>
        <w:tc>
          <w:tcPr>
            <w:tcW w:w="2294" w:type="dxa"/>
            <w:gridSpan w:val="2"/>
            <w:noWrap w:val="0"/>
            <w:vAlign w:val="center"/>
          </w:tcPr>
          <w:p w14:paraId="3D7877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652A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02" w:type="dxa"/>
            <w:vMerge w:val="continue"/>
            <w:noWrap w:val="0"/>
            <w:vAlign w:val="center"/>
          </w:tcPr>
          <w:p w14:paraId="2F93A1E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2070" w:type="dxa"/>
            <w:gridSpan w:val="2"/>
            <w:vMerge w:val="continue"/>
            <w:noWrap w:val="0"/>
            <w:vAlign w:val="center"/>
          </w:tcPr>
          <w:p w14:paraId="6BF16D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35BD2B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vMerge w:val="restart"/>
            <w:noWrap w:val="0"/>
            <w:vAlign w:val="center"/>
          </w:tcPr>
          <w:p w14:paraId="3F9F8A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中级职称人员</w:t>
            </w:r>
          </w:p>
        </w:tc>
        <w:tc>
          <w:tcPr>
            <w:tcW w:w="2294" w:type="dxa"/>
            <w:gridSpan w:val="2"/>
            <w:vMerge w:val="restart"/>
            <w:noWrap w:val="0"/>
            <w:vAlign w:val="center"/>
          </w:tcPr>
          <w:p w14:paraId="6D6808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65D2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D3593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安全生产许可证有效期</w:t>
            </w:r>
          </w:p>
        </w:tc>
        <w:tc>
          <w:tcPr>
            <w:tcW w:w="2070" w:type="dxa"/>
            <w:gridSpan w:val="2"/>
            <w:noWrap w:val="0"/>
            <w:vAlign w:val="center"/>
          </w:tcPr>
          <w:p w14:paraId="074E5E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315288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vMerge w:val="continue"/>
            <w:noWrap w:val="0"/>
            <w:vAlign w:val="center"/>
          </w:tcPr>
          <w:p w14:paraId="6193C9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294" w:type="dxa"/>
            <w:gridSpan w:val="2"/>
            <w:vMerge w:val="continue"/>
            <w:noWrap w:val="0"/>
            <w:vAlign w:val="center"/>
          </w:tcPr>
          <w:p w14:paraId="152E8A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14E5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10CE96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2070" w:type="dxa"/>
            <w:gridSpan w:val="2"/>
            <w:noWrap w:val="0"/>
            <w:vAlign w:val="center"/>
          </w:tcPr>
          <w:p w14:paraId="560DA9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7D56BD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597662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初级职称人员</w:t>
            </w:r>
          </w:p>
        </w:tc>
        <w:tc>
          <w:tcPr>
            <w:tcW w:w="2294" w:type="dxa"/>
            <w:gridSpan w:val="2"/>
            <w:noWrap w:val="0"/>
            <w:vAlign w:val="center"/>
          </w:tcPr>
          <w:p w14:paraId="378267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09BE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8D806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2070" w:type="dxa"/>
            <w:gridSpan w:val="2"/>
            <w:noWrap w:val="0"/>
            <w:vAlign w:val="center"/>
          </w:tcPr>
          <w:p w14:paraId="03F9C2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2D3D72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475995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  工</w:t>
            </w:r>
          </w:p>
        </w:tc>
        <w:tc>
          <w:tcPr>
            <w:tcW w:w="2294" w:type="dxa"/>
            <w:gridSpan w:val="2"/>
            <w:noWrap w:val="0"/>
            <w:vAlign w:val="center"/>
          </w:tcPr>
          <w:p w14:paraId="272D91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C97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E195E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2070" w:type="dxa"/>
            <w:gridSpan w:val="2"/>
            <w:noWrap w:val="0"/>
            <w:vAlign w:val="center"/>
          </w:tcPr>
          <w:p w14:paraId="79A150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2A1CDF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66CE95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拟派项目经理姓名</w:t>
            </w:r>
          </w:p>
        </w:tc>
        <w:tc>
          <w:tcPr>
            <w:tcW w:w="2294" w:type="dxa"/>
            <w:gridSpan w:val="2"/>
            <w:noWrap w:val="0"/>
            <w:vAlign w:val="center"/>
          </w:tcPr>
          <w:p w14:paraId="390105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7A8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602" w:type="dxa"/>
            <w:noWrap w:val="0"/>
            <w:vAlign w:val="center"/>
          </w:tcPr>
          <w:p w14:paraId="5885E5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7577" w:type="dxa"/>
            <w:gridSpan w:val="9"/>
            <w:noWrap w:val="0"/>
            <w:vAlign w:val="center"/>
          </w:tcPr>
          <w:p w14:paraId="10928D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3C06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38E20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577" w:type="dxa"/>
            <w:gridSpan w:val="9"/>
            <w:noWrap w:val="0"/>
            <w:vAlign w:val="center"/>
          </w:tcPr>
          <w:p w14:paraId="687E43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bl>
    <w:p w14:paraId="7035EECE">
      <w:pPr>
        <w:pStyle w:val="17"/>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lang w:val="en-US" w:eastAsia="zh-CN"/>
        </w:rPr>
        <w:t>注：根据供应商须知第1.5项的要求在本表后附供应商营业执照、资质证书、安全生产许可证</w:t>
      </w:r>
      <w:bookmarkStart w:id="1262" w:name="_Toc456185720"/>
      <w:r>
        <w:rPr>
          <w:rFonts w:hint="eastAsia" w:ascii="宋体" w:hAnsi="宋体" w:cs="宋体"/>
          <w:color w:val="auto"/>
          <w:sz w:val="24"/>
          <w:szCs w:val="24"/>
          <w:highlight w:val="none"/>
          <w:lang w:val="en-US" w:eastAsia="zh-CN"/>
        </w:rPr>
        <w:t>、信用查询</w:t>
      </w:r>
      <w:r>
        <w:rPr>
          <w:rFonts w:hint="eastAsia" w:ascii="宋体" w:hAnsi="宋体" w:eastAsia="宋体" w:cs="宋体"/>
          <w:color w:val="auto"/>
          <w:sz w:val="24"/>
          <w:szCs w:val="24"/>
          <w:highlight w:val="none"/>
          <w:lang w:val="en-US" w:eastAsia="zh-CN"/>
        </w:rPr>
        <w:t>等资格审查相关证明材料。</w:t>
      </w:r>
      <w:bookmarkEnd w:id="1262"/>
    </w:p>
    <w:p w14:paraId="7ECD669F">
      <w:pPr>
        <w:pStyle w:val="29"/>
        <w:ind w:firstLine="210"/>
        <w:rPr>
          <w:rFonts w:hint="eastAsia" w:ascii="宋体" w:hAnsi="宋体" w:eastAsia="宋体" w:cs="宋体"/>
          <w:color w:val="auto"/>
          <w:szCs w:val="21"/>
          <w:highlight w:val="none"/>
        </w:rPr>
      </w:pPr>
    </w:p>
    <w:p w14:paraId="48CCD9EA">
      <w:pPr>
        <w:pStyle w:val="6"/>
        <w:bidi w:val="0"/>
        <w:rPr>
          <w:rFonts w:hint="eastAsia"/>
          <w:lang w:val="en-US" w:eastAsia="zh-CN"/>
        </w:rPr>
      </w:pPr>
      <w:bookmarkStart w:id="1263" w:name="_Toc29238"/>
      <w:bookmarkStart w:id="1264" w:name="_Toc1454"/>
      <w:bookmarkStart w:id="1265" w:name="_Toc475624464"/>
      <w:bookmarkStart w:id="1266" w:name="_Toc26084"/>
      <w:bookmarkStart w:id="1267" w:name="_Toc10845"/>
      <w:bookmarkStart w:id="1268" w:name="_Toc2332"/>
      <w:bookmarkStart w:id="1269" w:name="_Toc30835"/>
      <w:bookmarkStart w:id="1270" w:name="_Toc23603"/>
      <w:r>
        <w:rPr>
          <w:rFonts w:hint="eastAsia"/>
          <w:lang w:val="en-US" w:eastAsia="zh-CN"/>
        </w:rPr>
        <w:t>八、其他材料</w:t>
      </w:r>
      <w:bookmarkEnd w:id="1263"/>
      <w:bookmarkEnd w:id="1264"/>
      <w:bookmarkEnd w:id="1265"/>
      <w:bookmarkEnd w:id="1266"/>
      <w:bookmarkEnd w:id="1267"/>
      <w:bookmarkEnd w:id="1268"/>
      <w:bookmarkEnd w:id="1269"/>
      <w:bookmarkEnd w:id="1270"/>
    </w:p>
    <w:p w14:paraId="45DC8CC3">
      <w:pPr>
        <w:pStyle w:val="7"/>
        <w:bidi w:val="0"/>
        <w:ind w:left="0" w:leftChars="0" w:firstLine="0" w:firstLineChars="0"/>
        <w:jc w:val="center"/>
        <w:rPr>
          <w:rFonts w:hint="eastAsia"/>
          <w:lang w:eastAsia="zh-CN"/>
        </w:rPr>
      </w:pPr>
      <w:bookmarkStart w:id="1271" w:name="_Toc13076"/>
      <w:bookmarkStart w:id="1272" w:name="_Toc18481"/>
      <w:bookmarkStart w:id="1273" w:name="_Toc457469585"/>
      <w:bookmarkStart w:id="1274" w:name="_Toc512"/>
      <w:r>
        <w:rPr>
          <w:rFonts w:hint="eastAsia"/>
          <w:lang w:eastAsia="zh-CN"/>
        </w:rPr>
        <w:t>（</w:t>
      </w:r>
      <w:r>
        <w:rPr>
          <w:rFonts w:hint="eastAsia"/>
          <w:lang w:val="en-US" w:eastAsia="zh-CN"/>
        </w:rPr>
        <w:t>一</w:t>
      </w:r>
      <w:r>
        <w:rPr>
          <w:rFonts w:hint="eastAsia"/>
          <w:lang w:eastAsia="zh-CN"/>
        </w:rPr>
        <w:t>）反商业贿赂承诺书</w:t>
      </w:r>
      <w:bookmarkEnd w:id="1271"/>
      <w:bookmarkEnd w:id="1272"/>
      <w:bookmarkEnd w:id="1273"/>
      <w:bookmarkEnd w:id="1274"/>
    </w:p>
    <w:p w14:paraId="769A0AB0">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我方承诺：</w:t>
      </w:r>
    </w:p>
    <w:p w14:paraId="666859B1">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u w:val="single"/>
          <w:lang w:val="en-US" w:eastAsia="zh-CN"/>
        </w:rPr>
        <w:t>采购</w:t>
      </w:r>
      <w:r>
        <w:rPr>
          <w:rFonts w:hint="eastAsia" w:ascii="宋体" w:hAnsi="宋体" w:eastAsia="宋体" w:cs="宋体"/>
          <w:color w:val="auto"/>
          <w:sz w:val="24"/>
          <w:szCs w:val="24"/>
          <w:highlight w:val="none"/>
          <w:u w:val="single"/>
          <w:lang w:val="zh-CN"/>
        </w:rPr>
        <w:t>编号：  ）</w:t>
      </w:r>
      <w:r>
        <w:rPr>
          <w:rFonts w:hint="eastAsia" w:ascii="宋体" w:hAnsi="宋体" w:eastAsia="宋体" w:cs="宋体"/>
          <w:color w:val="auto"/>
          <w:sz w:val="24"/>
          <w:szCs w:val="24"/>
          <w:highlight w:val="none"/>
          <w:lang w:val="zh-CN"/>
        </w:rPr>
        <w:t>磋商活动中，我方保证做到：</w:t>
      </w:r>
    </w:p>
    <w:p w14:paraId="76D5ACE7">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bookmarkStart w:id="1275" w:name="_Toc24408"/>
      <w:bookmarkStart w:id="1276" w:name="_Toc7871"/>
      <w:r>
        <w:rPr>
          <w:rFonts w:hint="eastAsia" w:ascii="宋体" w:hAnsi="宋体" w:eastAsia="宋体" w:cs="宋体"/>
          <w:color w:val="auto"/>
          <w:sz w:val="24"/>
          <w:szCs w:val="24"/>
          <w:highlight w:val="none"/>
          <w:lang w:val="zh-CN"/>
        </w:rPr>
        <w:t>一、公平竞争参加本次磋商采购活动。</w:t>
      </w:r>
      <w:bookmarkEnd w:id="1275"/>
      <w:bookmarkEnd w:id="1276"/>
    </w:p>
    <w:p w14:paraId="3D089843">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8DD33A2">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三、若出现上述行为，我方及参与投标的工</w:t>
      </w:r>
      <w:r>
        <w:rPr>
          <w:rFonts w:hint="eastAsia" w:ascii="宋体" w:hAnsi="宋体" w:eastAsia="宋体" w:cs="宋体"/>
          <w:color w:val="auto"/>
          <w:spacing w:val="-6"/>
          <w:sz w:val="24"/>
          <w:szCs w:val="24"/>
          <w:highlight w:val="none"/>
          <w:lang w:val="zh-CN"/>
        </w:rPr>
        <w:t>作人员愿意接受按照国家法律法规等有关规定给予的处罚。</w:t>
      </w:r>
    </w:p>
    <w:p w14:paraId="3222885A">
      <w:pPr>
        <w:spacing w:line="360" w:lineRule="auto"/>
        <w:ind w:left="645"/>
        <w:outlineLvl w:val="9"/>
        <w:rPr>
          <w:rFonts w:hint="eastAsia" w:ascii="宋体" w:hAnsi="宋体" w:eastAsia="宋体" w:cs="宋体"/>
          <w:color w:val="auto"/>
          <w:sz w:val="24"/>
          <w:szCs w:val="24"/>
          <w:highlight w:val="none"/>
        </w:rPr>
      </w:pPr>
    </w:p>
    <w:p w14:paraId="4A1401D4">
      <w:pPr>
        <w:spacing w:line="360" w:lineRule="auto"/>
        <w:ind w:left="645"/>
        <w:outlineLvl w:val="9"/>
        <w:rPr>
          <w:rFonts w:hint="eastAsia" w:ascii="宋体" w:hAnsi="宋体" w:eastAsia="宋体" w:cs="宋体"/>
          <w:color w:val="auto"/>
          <w:sz w:val="24"/>
          <w:szCs w:val="24"/>
          <w:highlight w:val="none"/>
        </w:rPr>
      </w:pPr>
    </w:p>
    <w:p w14:paraId="335CE877">
      <w:pPr>
        <w:spacing w:line="360" w:lineRule="auto"/>
        <w:ind w:left="645"/>
        <w:outlineLvl w:val="9"/>
        <w:rPr>
          <w:rFonts w:hint="eastAsia" w:ascii="宋体" w:hAnsi="宋体" w:eastAsia="宋体" w:cs="宋体"/>
          <w:color w:val="auto"/>
          <w:sz w:val="24"/>
          <w:szCs w:val="24"/>
          <w:highlight w:val="none"/>
        </w:rPr>
      </w:pPr>
    </w:p>
    <w:p w14:paraId="4F856251">
      <w:pPr>
        <w:spacing w:line="360" w:lineRule="auto"/>
        <w:ind w:left="645"/>
        <w:outlineLvl w:val="9"/>
        <w:rPr>
          <w:rFonts w:hint="eastAsia" w:ascii="宋体" w:hAnsi="宋体" w:eastAsia="宋体" w:cs="宋体"/>
          <w:color w:val="auto"/>
          <w:sz w:val="24"/>
          <w:szCs w:val="24"/>
          <w:highlight w:val="none"/>
        </w:rPr>
      </w:pPr>
    </w:p>
    <w:p w14:paraId="2CDB2861">
      <w:pPr>
        <w:spacing w:line="360" w:lineRule="auto"/>
        <w:outlineLvl w:val="9"/>
        <w:rPr>
          <w:rFonts w:hint="eastAsia" w:ascii="宋体" w:hAnsi="宋体" w:eastAsia="宋体" w:cs="宋体"/>
          <w:color w:val="auto"/>
          <w:sz w:val="24"/>
          <w:szCs w:val="24"/>
          <w:highlight w:val="none"/>
        </w:rPr>
      </w:pPr>
    </w:p>
    <w:p w14:paraId="568921F1">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69520C91">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52E8C467">
      <w:pPr>
        <w:bidi w:val="0"/>
        <w:ind w:firstLine="480" w:firstLineChars="200"/>
        <w:rPr>
          <w:rFonts w:hint="eastAsia" w:ascii="宋体" w:hAnsi="宋体" w:eastAsia="宋体" w:cs="宋体"/>
          <w:color w:val="auto"/>
          <w:sz w:val="24"/>
          <w:szCs w:val="24"/>
          <w:highlight w:val="none"/>
        </w:rPr>
      </w:pPr>
      <w:bookmarkStart w:id="1277" w:name="_Toc14013"/>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bookmarkEnd w:id="1277"/>
    </w:p>
    <w:p w14:paraId="4AD552E9">
      <w:pPr>
        <w:spacing w:line="360" w:lineRule="auto"/>
        <w:ind w:left="645"/>
        <w:outlineLvl w:val="9"/>
        <w:rPr>
          <w:rFonts w:hint="eastAsia" w:ascii="宋体" w:hAnsi="宋体" w:eastAsia="宋体" w:cs="宋体"/>
          <w:color w:val="auto"/>
          <w:szCs w:val="21"/>
          <w:highlight w:val="none"/>
        </w:rPr>
      </w:pPr>
    </w:p>
    <w:p w14:paraId="0F114FF1">
      <w:pPr>
        <w:pStyle w:val="29"/>
        <w:ind w:firstLine="210"/>
        <w:rPr>
          <w:rFonts w:hint="eastAsia" w:ascii="宋体" w:hAnsi="宋体" w:eastAsia="宋体" w:cs="宋体"/>
          <w:color w:val="auto"/>
          <w:szCs w:val="21"/>
          <w:highlight w:val="none"/>
        </w:rPr>
      </w:pPr>
    </w:p>
    <w:p w14:paraId="2D33FDBE">
      <w:pPr>
        <w:pStyle w:val="29"/>
        <w:ind w:firstLine="210"/>
        <w:rPr>
          <w:rFonts w:hint="eastAsia" w:ascii="宋体" w:hAnsi="宋体" w:eastAsia="宋体" w:cs="宋体"/>
          <w:color w:val="auto"/>
          <w:szCs w:val="21"/>
          <w:highlight w:val="none"/>
        </w:rPr>
      </w:pPr>
    </w:p>
    <w:p w14:paraId="02D116F1">
      <w:pPr>
        <w:pStyle w:val="29"/>
        <w:ind w:firstLine="0" w:firstLineChars="0"/>
        <w:rPr>
          <w:rFonts w:hint="eastAsia" w:ascii="宋体" w:hAnsi="宋体" w:eastAsia="宋体" w:cs="宋体"/>
          <w:color w:val="auto"/>
          <w:szCs w:val="21"/>
          <w:highlight w:val="none"/>
        </w:rPr>
      </w:pPr>
    </w:p>
    <w:p w14:paraId="485F0C7B">
      <w:pPr>
        <w:rPr>
          <w:rFonts w:hint="eastAsia" w:ascii="宋体" w:hAnsi="宋体" w:eastAsia="宋体" w:cs="宋体"/>
          <w:b/>
          <w:bCs/>
          <w:color w:val="auto"/>
          <w:sz w:val="24"/>
          <w:szCs w:val="24"/>
          <w:highlight w:val="none"/>
        </w:rPr>
      </w:pPr>
      <w:bookmarkStart w:id="1278" w:name="_Toc525210051"/>
      <w:bookmarkStart w:id="1279" w:name="_Toc523494085"/>
      <w:r>
        <w:rPr>
          <w:rFonts w:hint="eastAsia" w:ascii="宋体" w:hAnsi="宋体" w:eastAsia="宋体" w:cs="宋体"/>
          <w:b/>
          <w:bCs/>
          <w:color w:val="auto"/>
          <w:sz w:val="24"/>
          <w:szCs w:val="24"/>
          <w:highlight w:val="none"/>
        </w:rPr>
        <w:br w:type="page"/>
      </w:r>
    </w:p>
    <w:bookmarkEnd w:id="1278"/>
    <w:bookmarkEnd w:id="1279"/>
    <w:p w14:paraId="1AF734E3">
      <w:pPr>
        <w:pStyle w:val="7"/>
        <w:bidi w:val="0"/>
        <w:ind w:left="0" w:leftChars="0" w:firstLine="0" w:firstLineChars="0"/>
        <w:jc w:val="center"/>
        <w:rPr>
          <w:rFonts w:hint="eastAsia"/>
          <w:lang w:eastAsia="zh-CN"/>
        </w:rPr>
      </w:pPr>
      <w:bookmarkStart w:id="1280" w:name="_Toc9974"/>
      <w:bookmarkStart w:id="1281" w:name="_Toc27935"/>
      <w:bookmarkStart w:id="1282" w:name="_Toc22646"/>
      <w:r>
        <w:rPr>
          <w:rFonts w:hint="eastAsia"/>
          <w:lang w:eastAsia="zh-CN"/>
        </w:rPr>
        <w:t>（</w:t>
      </w:r>
      <w:r>
        <w:rPr>
          <w:rFonts w:hint="eastAsia"/>
          <w:lang w:val="en-US" w:eastAsia="zh-CN"/>
        </w:rPr>
        <w:t>二</w:t>
      </w:r>
      <w:r>
        <w:rPr>
          <w:rFonts w:hint="eastAsia"/>
          <w:lang w:eastAsia="zh-CN"/>
        </w:rPr>
        <w:t>）中小企业声明函（工程）</w:t>
      </w:r>
      <w:bookmarkEnd w:id="1280"/>
      <w:bookmarkEnd w:id="1281"/>
      <w:bookmarkEnd w:id="1282"/>
    </w:p>
    <w:p w14:paraId="45DCFD6A">
      <w:pPr>
        <w:spacing w:line="400" w:lineRule="exact"/>
        <w:rPr>
          <w:rFonts w:hint="eastAsia" w:ascii="宋体" w:hAnsi="宋体" w:eastAsia="宋体" w:cs="宋体"/>
          <w:color w:val="auto"/>
          <w:szCs w:val="21"/>
          <w:highlight w:val="none"/>
        </w:rPr>
      </w:pPr>
    </w:p>
    <w:p w14:paraId="3E082513">
      <w:pPr>
        <w:pStyle w:val="56"/>
        <w:spacing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本公司（联合体）郑重声明，根据《政府采购促进中小企业发展管理办法》（财库﹝2020﹞46 号）的规定，本公司（联合体）参加</w:t>
      </w:r>
      <w:r>
        <w:rPr>
          <w:rFonts w:hint="eastAsia" w:ascii="宋体" w:hAnsi="宋体" w:eastAsia="宋体" w:cs="宋体"/>
          <w:color w:val="auto"/>
          <w:kern w:val="2"/>
          <w:sz w:val="24"/>
          <w:szCs w:val="24"/>
          <w:highlight w:val="none"/>
          <w:u w:val="single"/>
          <w:lang w:val="en-US" w:eastAsia="zh-CN" w:bidi="ar-SA"/>
        </w:rPr>
        <w:t xml:space="preserve">           （单位名称）</w:t>
      </w:r>
      <w:r>
        <w:rPr>
          <w:rFonts w:hint="eastAsia" w:ascii="宋体" w:hAnsi="宋体" w:eastAsia="宋体" w:cs="宋体"/>
          <w:color w:val="auto"/>
          <w:kern w:val="2"/>
          <w:sz w:val="24"/>
          <w:szCs w:val="24"/>
          <w:highlight w:val="none"/>
          <w:lang w:val="en-US" w:eastAsia="zh-CN" w:bidi="ar-SA"/>
        </w:rPr>
        <w:t>的</w:t>
      </w:r>
      <w:r>
        <w:rPr>
          <w:rFonts w:hint="eastAsia" w:ascii="宋体" w:hAnsi="宋体" w:eastAsia="宋体" w:cs="宋体"/>
          <w:i w:val="0"/>
          <w:iCs w:val="0"/>
          <w:color w:val="auto"/>
          <w:kern w:val="2"/>
          <w:sz w:val="24"/>
          <w:szCs w:val="24"/>
          <w:highlight w:val="none"/>
          <w:u w:val="single"/>
          <w:lang w:val="en-US" w:eastAsia="zh-CN" w:bidi="ar-SA"/>
        </w:rPr>
        <w:t xml:space="preserve">         （项目名称）</w:t>
      </w:r>
      <w:r>
        <w:rPr>
          <w:rFonts w:hint="eastAsia" w:ascii="宋体" w:hAnsi="宋体" w:eastAsia="宋体" w:cs="宋体"/>
          <w:color w:val="auto"/>
          <w:kern w:val="2"/>
          <w:sz w:val="24"/>
          <w:szCs w:val="24"/>
          <w:highlight w:val="none"/>
          <w:lang w:val="en-US" w:eastAsia="zh-CN" w:bidi="ar-SA"/>
        </w:rPr>
        <w:t xml:space="preserve">采购活动，工程的施工单位全部为符合政策要求的中小企业。相关企业（含联合体中的中小企业、签订分包意向协议的中小企业）的具体情况如下： </w:t>
      </w:r>
    </w:p>
    <w:p w14:paraId="1FE8B2B5">
      <w:pPr>
        <w:pStyle w:val="56"/>
        <w:numPr>
          <w:ilvl w:val="0"/>
          <w:numId w:val="3"/>
        </w:num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color="auto"/>
          <w:lang w:val="en-US" w:eastAsia="zh-CN" w:bidi="ar-SA"/>
        </w:rPr>
        <w:t xml:space="preserve">        （标的名称）</w:t>
      </w:r>
      <w:r>
        <w:rPr>
          <w:rFonts w:hint="eastAsia" w:ascii="宋体" w:hAnsi="宋体" w:eastAsia="宋体" w:cs="宋体"/>
          <w:color w:val="auto"/>
          <w:kern w:val="2"/>
          <w:sz w:val="24"/>
          <w:szCs w:val="24"/>
          <w:highlight w:val="none"/>
          <w:lang w:val="en-US" w:eastAsia="zh-CN" w:bidi="ar-SA"/>
        </w:rPr>
        <w:t xml:space="preserve"> ，属于</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color="auto"/>
          <w:lang w:val="en-US" w:eastAsia="zh-CN" w:bidi="ar-SA"/>
        </w:rPr>
        <w:t>（建筑业）</w:t>
      </w:r>
      <w:r>
        <w:rPr>
          <w:rFonts w:hint="eastAsia" w:ascii="宋体" w:hAnsi="宋体" w:eastAsia="宋体" w:cs="宋体"/>
          <w:color w:val="auto"/>
          <w:kern w:val="2"/>
          <w:sz w:val="24"/>
          <w:szCs w:val="24"/>
          <w:highlight w:val="none"/>
          <w:lang w:val="en-US" w:eastAsia="zh-CN" w:bidi="ar-SA"/>
        </w:rPr>
        <w:t>； 承建（承接）企业为</w:t>
      </w:r>
      <w:r>
        <w:rPr>
          <w:rFonts w:hint="eastAsia" w:ascii="宋体" w:hAnsi="宋体" w:eastAsia="宋体" w:cs="宋体"/>
          <w:color w:val="auto"/>
          <w:kern w:val="2"/>
          <w:sz w:val="24"/>
          <w:szCs w:val="24"/>
          <w:highlight w:val="none"/>
          <w:u w:val="single" w:color="auto"/>
          <w:lang w:val="en-US" w:eastAsia="zh-CN" w:bidi="ar-SA"/>
        </w:rPr>
        <w:t xml:space="preserve">      （企业名称）</w:t>
      </w:r>
      <w:r>
        <w:rPr>
          <w:rFonts w:hint="eastAsia" w:ascii="宋体" w:hAnsi="宋体" w:eastAsia="宋体" w:cs="宋体"/>
          <w:color w:val="auto"/>
          <w:kern w:val="2"/>
          <w:sz w:val="24"/>
          <w:szCs w:val="24"/>
          <w:highlight w:val="none"/>
          <w:lang w:val="en-US" w:eastAsia="zh-CN" w:bidi="ar-SA"/>
        </w:rPr>
        <w:t>，从业人员</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人，营业收入为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color="auto"/>
          <w:lang w:val="en-US" w:eastAsia="zh-CN" w:bidi="ar-SA"/>
        </w:rPr>
        <w:t xml:space="preserve">        （中型企业、 小型企业、微型企业）</w:t>
      </w:r>
      <w:r>
        <w:rPr>
          <w:rFonts w:hint="eastAsia" w:ascii="宋体" w:hAnsi="宋体" w:eastAsia="宋体" w:cs="宋体"/>
          <w:color w:val="auto"/>
          <w:kern w:val="2"/>
          <w:sz w:val="24"/>
          <w:szCs w:val="24"/>
          <w:highlight w:val="none"/>
          <w:lang w:val="en-US" w:eastAsia="zh-CN" w:bidi="ar-SA"/>
        </w:rPr>
        <w:t>；</w:t>
      </w:r>
    </w:p>
    <w:p w14:paraId="6F96166D">
      <w:pPr>
        <w:pStyle w:val="56"/>
        <w:numPr>
          <w:ilvl w:val="0"/>
          <w:numId w:val="3"/>
        </w:numPr>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color="auto"/>
          <w:lang w:val="en-US" w:eastAsia="zh-CN" w:bidi="ar-SA"/>
        </w:rPr>
        <w:t xml:space="preserve">        （标的名称）</w:t>
      </w:r>
      <w:r>
        <w:rPr>
          <w:rFonts w:hint="eastAsia" w:ascii="宋体" w:hAnsi="宋体" w:eastAsia="宋体" w:cs="宋体"/>
          <w:color w:val="auto"/>
          <w:kern w:val="2"/>
          <w:sz w:val="24"/>
          <w:szCs w:val="24"/>
          <w:highlight w:val="none"/>
          <w:lang w:val="en-US" w:eastAsia="zh-CN" w:bidi="ar-SA"/>
        </w:rPr>
        <w:t xml:space="preserve"> ，属于</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color="auto"/>
          <w:lang w:val="en-US" w:eastAsia="zh-CN" w:bidi="ar-SA"/>
        </w:rPr>
        <w:t>（建筑业）</w:t>
      </w:r>
      <w:r>
        <w:rPr>
          <w:rFonts w:hint="eastAsia" w:ascii="宋体" w:hAnsi="宋体" w:eastAsia="宋体" w:cs="宋体"/>
          <w:color w:val="auto"/>
          <w:kern w:val="2"/>
          <w:sz w:val="24"/>
          <w:szCs w:val="24"/>
          <w:highlight w:val="none"/>
          <w:lang w:val="en-US" w:eastAsia="zh-CN" w:bidi="ar-SA"/>
        </w:rPr>
        <w:t>； 承建（承接）企业为</w:t>
      </w:r>
      <w:r>
        <w:rPr>
          <w:rFonts w:hint="eastAsia" w:ascii="宋体" w:hAnsi="宋体" w:eastAsia="宋体" w:cs="宋体"/>
          <w:color w:val="auto"/>
          <w:kern w:val="2"/>
          <w:sz w:val="24"/>
          <w:szCs w:val="24"/>
          <w:highlight w:val="none"/>
          <w:u w:val="single" w:color="auto"/>
          <w:lang w:val="en-US" w:eastAsia="zh-CN" w:bidi="ar-SA"/>
        </w:rPr>
        <w:t xml:space="preserve">      （企业名称）</w:t>
      </w:r>
      <w:r>
        <w:rPr>
          <w:rFonts w:hint="eastAsia" w:ascii="宋体" w:hAnsi="宋体" w:eastAsia="宋体" w:cs="宋体"/>
          <w:color w:val="auto"/>
          <w:kern w:val="2"/>
          <w:sz w:val="24"/>
          <w:szCs w:val="24"/>
          <w:highlight w:val="none"/>
          <w:lang w:val="en-US" w:eastAsia="zh-CN" w:bidi="ar-SA"/>
        </w:rPr>
        <w:t>，从业人员</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人，营业收入为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color="auto"/>
          <w:lang w:val="en-US" w:eastAsia="zh-CN" w:bidi="ar-SA"/>
        </w:rPr>
        <w:t xml:space="preserve">        （中型企业、 小型企业、微型企业）</w:t>
      </w:r>
      <w:r>
        <w:rPr>
          <w:rFonts w:hint="eastAsia" w:ascii="宋体" w:hAnsi="宋体" w:eastAsia="宋体" w:cs="宋体"/>
          <w:color w:val="auto"/>
          <w:kern w:val="2"/>
          <w:sz w:val="24"/>
          <w:szCs w:val="24"/>
          <w:highlight w:val="none"/>
          <w:lang w:val="en-US" w:eastAsia="zh-CN" w:bidi="ar-SA"/>
        </w:rPr>
        <w:t>；</w:t>
      </w:r>
    </w:p>
    <w:p w14:paraId="39C18E98">
      <w:pPr>
        <w:pStyle w:val="56"/>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p>
    <w:p w14:paraId="6F3A40BC">
      <w:pPr>
        <w:pStyle w:val="56"/>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bidi="ar-SA"/>
        </w:rPr>
      </w:pPr>
    </w:p>
    <w:p w14:paraId="02B68948">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29338222">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 法承担相应责任。</w:t>
      </w:r>
    </w:p>
    <w:p w14:paraId="558B8625">
      <w:pPr>
        <w:pStyle w:val="49"/>
        <w:spacing w:line="360" w:lineRule="auto"/>
        <w:ind w:firstLine="3360" w:firstLineChars="1400"/>
        <w:rPr>
          <w:rFonts w:hint="eastAsia" w:ascii="宋体" w:hAnsi="宋体" w:eastAsia="宋体" w:cs="宋体"/>
          <w:color w:val="auto"/>
          <w:kern w:val="2"/>
          <w:sz w:val="24"/>
          <w:szCs w:val="24"/>
          <w:highlight w:val="none"/>
          <w:lang w:val="en-US" w:eastAsia="zh-CN" w:bidi="ar-SA"/>
        </w:rPr>
      </w:pPr>
    </w:p>
    <w:p w14:paraId="3A240272">
      <w:pPr>
        <w:pStyle w:val="49"/>
        <w:spacing w:line="360" w:lineRule="auto"/>
        <w:ind w:left="0" w:leftChars="0" w:firstLine="5280" w:firstLineChars="2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企业名称（单位电子签章）：</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 xml:space="preserve">       </w:t>
      </w:r>
    </w:p>
    <w:p w14:paraId="41699FC0">
      <w:pPr>
        <w:pStyle w:val="49"/>
        <w:spacing w:line="360" w:lineRule="auto"/>
        <w:ind w:left="0" w:leftChars="0" w:firstLine="5280" w:firstLineChars="2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34CC8BB4">
      <w:pPr>
        <w:rPr>
          <w:rFonts w:hint="eastAsia" w:ascii="宋体" w:hAnsi="宋体" w:eastAsia="宋体" w:cs="宋体"/>
          <w:color w:val="auto"/>
          <w:sz w:val="24"/>
          <w:szCs w:val="32"/>
          <w:highlight w:val="none"/>
          <w:lang w:val="en-US" w:eastAsia="zh-CN"/>
        </w:rPr>
      </w:pPr>
    </w:p>
    <w:p w14:paraId="03054F55">
      <w:pPr>
        <w:pStyle w:val="14"/>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p>
    <w:p w14:paraId="7B09A928">
      <w:pPr>
        <w:pStyle w:val="14"/>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注：从业人员、营业收入、资产总额填报上一年度数据，无上一年度数据的新成立企业可不填报。</w:t>
      </w:r>
    </w:p>
    <w:p w14:paraId="75FE605D">
      <w:pPr>
        <w:rPr>
          <w:rFonts w:hint="eastAsia" w:ascii="宋体" w:hAnsi="宋体" w:eastAsia="宋体" w:cs="宋体"/>
          <w:b/>
          <w:bCs/>
          <w:color w:val="auto"/>
          <w:sz w:val="28"/>
          <w:szCs w:val="36"/>
          <w:highlight w:val="none"/>
          <w:lang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Cs w:val="21"/>
          <w:highlight w:val="none"/>
        </w:rPr>
        <w:br w:type="page"/>
      </w:r>
      <w:r>
        <w:rPr>
          <w:rFonts w:hint="eastAsia" w:ascii="宋体" w:hAnsi="宋体" w:eastAsia="宋体" w:cs="宋体"/>
          <w:b/>
          <w:bCs/>
          <w:color w:val="auto"/>
          <w:sz w:val="28"/>
          <w:szCs w:val="36"/>
          <w:highlight w:val="none"/>
        </w:rPr>
        <w:t>附件1</w:t>
      </w:r>
      <w:r>
        <w:rPr>
          <w:rFonts w:hint="eastAsia" w:ascii="宋体" w:hAnsi="宋体" w:eastAsia="宋体" w:cs="宋体"/>
          <w:b/>
          <w:bCs/>
          <w:color w:val="auto"/>
          <w:sz w:val="28"/>
          <w:szCs w:val="36"/>
          <w:highlight w:val="none"/>
          <w:lang w:eastAsia="zh-CN"/>
        </w:rPr>
        <w:t>：</w:t>
      </w:r>
    </w:p>
    <w:p w14:paraId="76D11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8"/>
          <w:kern w:val="0"/>
          <w:sz w:val="21"/>
          <w:szCs w:val="21"/>
          <w:highlight w:val="none"/>
        </w:rPr>
      </w:pPr>
      <w:r>
        <w:rPr>
          <w:rFonts w:hint="eastAsia" w:ascii="宋体" w:hAnsi="宋体" w:eastAsia="宋体" w:cs="宋体"/>
          <w:color w:val="auto"/>
          <w:highlight w:val="none"/>
        </w:rPr>
        <w:drawing>
          <wp:inline distT="0" distB="0" distL="114300" distR="114300">
            <wp:extent cx="5925185" cy="8126095"/>
            <wp:effectExtent l="0" t="0" r="1841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925185" cy="8126095"/>
                    </a:xfrm>
                    <a:prstGeom prst="rect">
                      <a:avLst/>
                    </a:prstGeom>
                    <a:noFill/>
                    <a:ln>
                      <a:noFill/>
                    </a:ln>
                  </pic:spPr>
                </pic:pic>
              </a:graphicData>
            </a:graphic>
          </wp:inline>
        </w:drawing>
      </w:r>
    </w:p>
    <w:p w14:paraId="718B27EC">
      <w:pPr>
        <w:spacing w:line="360" w:lineRule="auto"/>
        <w:ind w:firstLine="480" w:firstLineChars="200"/>
        <w:jc w:val="center"/>
        <w:rPr>
          <w:rFonts w:hint="eastAsia" w:ascii="宋体" w:hAnsi="宋体" w:eastAsia="宋体" w:cs="宋体"/>
          <w:color w:val="auto"/>
          <w:spacing w:val="8"/>
          <w:kern w:val="0"/>
          <w:sz w:val="21"/>
          <w:szCs w:val="21"/>
          <w:highlight w:val="none"/>
        </w:rPr>
      </w:pPr>
      <w:r>
        <w:rPr>
          <w:rFonts w:hint="eastAsia" w:ascii="宋体" w:hAnsi="宋体" w:eastAsia="宋体" w:cs="宋体"/>
          <w:color w:val="auto"/>
          <w:highlight w:val="none"/>
        </w:rPr>
        <w:drawing>
          <wp:inline distT="0" distB="0" distL="114300" distR="114300">
            <wp:extent cx="5245100" cy="6876415"/>
            <wp:effectExtent l="0" t="0" r="1270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0"/>
                    <a:stretch>
                      <a:fillRect/>
                    </a:stretch>
                  </pic:blipFill>
                  <pic:spPr>
                    <a:xfrm>
                      <a:off x="0" y="0"/>
                      <a:ext cx="5245100" cy="6876415"/>
                    </a:xfrm>
                    <a:prstGeom prst="rect">
                      <a:avLst/>
                    </a:prstGeom>
                    <a:noFill/>
                    <a:ln>
                      <a:noFill/>
                    </a:ln>
                  </pic:spPr>
                </pic:pic>
              </a:graphicData>
            </a:graphic>
          </wp:inline>
        </w:drawing>
      </w:r>
    </w:p>
    <w:p w14:paraId="600A9BAD">
      <w:pPr>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br w:type="page"/>
      </w:r>
    </w:p>
    <w:p w14:paraId="621918D4">
      <w:pPr>
        <w:pStyle w:val="7"/>
        <w:bidi w:val="0"/>
        <w:ind w:left="0" w:leftChars="0" w:firstLine="0" w:firstLineChars="0"/>
        <w:jc w:val="center"/>
        <w:rPr>
          <w:rFonts w:hint="eastAsia"/>
          <w:lang w:val="en-US" w:eastAsia="zh-CN"/>
        </w:rPr>
      </w:pPr>
      <w:bookmarkStart w:id="1283" w:name="_Toc13320"/>
      <w:bookmarkStart w:id="1284" w:name="_Toc30788"/>
      <w:bookmarkStart w:id="1285" w:name="_Toc1568"/>
      <w:r>
        <w:rPr>
          <w:rFonts w:hint="eastAsia"/>
          <w:lang w:val="en-US" w:eastAsia="zh-CN"/>
        </w:rPr>
        <w:t>（三）投标承诺函</w:t>
      </w:r>
      <w:bookmarkEnd w:id="1283"/>
      <w:bookmarkEnd w:id="1284"/>
      <w:bookmarkEnd w:id="1285"/>
    </w:p>
    <w:p w14:paraId="0C660FAD">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pacing w:val="8"/>
          <w:sz w:val="24"/>
          <w:szCs w:val="24"/>
          <w:highlight w:val="none"/>
          <w:shd w:val="clear" w:color="auto" w:fill="FFFFFF"/>
        </w:rPr>
      </w:pPr>
      <w:r>
        <w:rPr>
          <w:rFonts w:hint="eastAsia" w:ascii="宋体" w:hAnsi="宋体" w:eastAsia="宋体" w:cs="宋体"/>
          <w:color w:val="auto"/>
          <w:spacing w:val="8"/>
          <w:sz w:val="24"/>
          <w:szCs w:val="24"/>
          <w:highlight w:val="none"/>
          <w:u w:val="single"/>
          <w:shd w:val="clear" w:color="auto" w:fill="FFFFFF"/>
        </w:rPr>
        <w:t>致（采购人及采购代理机构）</w:t>
      </w:r>
      <w:r>
        <w:rPr>
          <w:rFonts w:hint="eastAsia" w:ascii="宋体" w:hAnsi="宋体" w:eastAsia="宋体" w:cs="宋体"/>
          <w:color w:val="auto"/>
          <w:spacing w:val="8"/>
          <w:sz w:val="24"/>
          <w:szCs w:val="24"/>
          <w:highlight w:val="none"/>
          <w:shd w:val="clear" w:color="auto" w:fill="FFFFFF"/>
        </w:rPr>
        <w:t>：</w:t>
      </w:r>
    </w:p>
    <w:p w14:paraId="0EF9F0B6">
      <w:pPr>
        <w:pageBreakBefore w:val="0"/>
        <w:widowControl w:val="0"/>
        <w:kinsoku/>
        <w:wordWrap/>
        <w:overflowPunct/>
        <w:topLinePunct w:val="0"/>
        <w:autoSpaceDE/>
        <w:autoSpaceDN/>
        <w:bidi w:val="0"/>
        <w:adjustRightInd w:val="0"/>
        <w:snapToGrid w:val="0"/>
        <w:spacing w:line="360" w:lineRule="auto"/>
        <w:ind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shd w:val="clear" w:color="auto" w:fill="FFFFFF"/>
        </w:rPr>
        <w:t>我</w:t>
      </w:r>
      <w:r>
        <w:rPr>
          <w:rFonts w:hint="eastAsia" w:ascii="宋体" w:hAnsi="宋体" w:eastAsia="宋体" w:cs="宋体"/>
          <w:color w:val="auto"/>
          <w:sz w:val="24"/>
          <w:szCs w:val="24"/>
          <w:highlight w:val="none"/>
        </w:rPr>
        <w:t>公司作为本次采购项目的供应商，根据磋商文件要求，现郑重承诺如下：</w:t>
      </w:r>
    </w:p>
    <w:p w14:paraId="5A0BC88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一、具备《中华人民共和国政府采购法》第二十二条第一款和本项目规定的条件：</w:t>
      </w:r>
    </w:p>
    <w:p w14:paraId="1D4B057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 　　</w:t>
      </w:r>
    </w:p>
    <w:p w14:paraId="06554F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 　</w:t>
      </w:r>
    </w:p>
    <w:p w14:paraId="7CB3674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 　　</w:t>
      </w:r>
    </w:p>
    <w:p w14:paraId="1343743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 　　</w:t>
      </w:r>
    </w:p>
    <w:p w14:paraId="63C6F79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4B8FC17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5525034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（七）根据采购项目提出的特殊条件。</w:t>
      </w:r>
    </w:p>
    <w:p w14:paraId="234E3FA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二、完全接受和满足本项目磋商文件中规定的实质性要求，如对磋商文件有异议，已经在</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时间届满前依法进行维权救济，不存在对磋商文件有异议的同时又参加投标以求侥幸中标或者为实现其他非法目的的行为。</w:t>
      </w:r>
    </w:p>
    <w:p w14:paraId="7FFAD29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三、参加本次招标采购活动，不存在与单位负责人为同一人或者存在直接控股、管理关系的其他供应商参与同一合同项下的政府采购活动的行为。    </w:t>
      </w:r>
    </w:p>
    <w:p w14:paraId="2268DE1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四、参加本次招标采购活动，不存在为采购项目提供整体设计、规范编制或者项目管理、监理、检测等服务的行为。</w:t>
      </w:r>
    </w:p>
    <w:p w14:paraId="3B3D2A2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五、参加本次招标采购活动，不存在和其他供应商在同一合同项下的采购项目中，同时委托同一个自然人、同一家庭的人员、同一单位的人员作为代理人的行为。</w:t>
      </w:r>
    </w:p>
    <w:p w14:paraId="34BEB2E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六、供应商参加本次政府采购活动要求在近三年内供应商和其法定代表人没有行贿犯罪行为。</w:t>
      </w:r>
    </w:p>
    <w:p w14:paraId="53DC32E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1286" w:name="_Toc28974"/>
      <w:bookmarkStart w:id="1287" w:name="_Toc3863"/>
      <w:r>
        <w:rPr>
          <w:rFonts w:hint="eastAsia" w:ascii="宋体" w:hAnsi="宋体" w:eastAsia="宋体" w:cs="宋体"/>
          <w:color w:val="auto"/>
          <w:sz w:val="24"/>
          <w:szCs w:val="24"/>
          <w:highlight w:val="none"/>
        </w:rPr>
        <w:t>七、参加本次招标采购活动，不存在联合体投标。</w:t>
      </w:r>
      <w:bookmarkEnd w:id="1286"/>
      <w:bookmarkEnd w:id="1287"/>
    </w:p>
    <w:p w14:paraId="435088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八、响应文件中提供的能够给予我公司带来优惠、好处的任何材料资料和技术、服务、商务等响应承诺情况都是真实的、有效的、合法的。</w:t>
      </w:r>
    </w:p>
    <w:p w14:paraId="25E752B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九、如本项目评标过程中需要提供样品，则我公司提供的样品即为中标后将要提供的中标产品，我公司对提供样品的性能和质量负责，因样品存在缺陷或者不符合</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要求导致未能中标的，我公司愿意承担相应不利后果。（如提供样品）    </w:t>
      </w:r>
    </w:p>
    <w:p w14:paraId="09F79D1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1288" w:name="_Toc5254"/>
      <w:bookmarkStart w:id="1289" w:name="_Toc5930"/>
      <w:r>
        <w:rPr>
          <w:rFonts w:hint="eastAsia" w:ascii="宋体" w:hAnsi="宋体" w:eastAsia="宋体" w:cs="宋体"/>
          <w:color w:val="auto"/>
          <w:sz w:val="24"/>
          <w:szCs w:val="24"/>
          <w:highlight w:val="none"/>
        </w:rPr>
        <w:t>十、存在以下行为之一的愿意接受相关部门的处理：</w:t>
      </w:r>
      <w:bookmarkEnd w:id="1288"/>
      <w:bookmarkEnd w:id="1289"/>
    </w:p>
    <w:p w14:paraId="504F87F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（一）投标有效期内撤销响应文件的；</w:t>
      </w:r>
    </w:p>
    <w:p w14:paraId="0BDBD20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（二）在采购人确定成交人以前放弃中标候选资格的；</w:t>
      </w:r>
    </w:p>
    <w:p w14:paraId="414D7EB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（三）由于成交人的原因未能按照</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的规定与采购人签订合同；</w:t>
      </w:r>
    </w:p>
    <w:p w14:paraId="10915A2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（四）由于成交人的原因未能按照</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的规定交纳履约保证金；</w:t>
      </w:r>
    </w:p>
    <w:p w14:paraId="6ED09E5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（五）在响应文件中提供虚假材料谋取中标；</w:t>
      </w:r>
    </w:p>
    <w:p w14:paraId="2D36BAF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（六）与采购人、其他供应商或者采购代理机构恶意串通的；</w:t>
      </w:r>
    </w:p>
    <w:p w14:paraId="73AD1EF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（七）磋商有效期内，供应商在政府采购活动中有违法、违规、违纪行为。</w:t>
      </w:r>
    </w:p>
    <w:p w14:paraId="4F1407D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由此产生的一切法律后果和责任由我公司承担。我公司声明放弃对此提出任何异议和追索的权利。</w:t>
      </w:r>
    </w:p>
    <w:p w14:paraId="061A0A6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本公司对上述承诺的内容事项真实性负责。如经查实上述承诺的内容事项存在虚假，我公司愿意接受以提供虚假材料谋取中标追究法律责任。</w:t>
      </w:r>
    </w:p>
    <w:p w14:paraId="7A491D4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A5DDF0C">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rPr>
      </w:pPr>
    </w:p>
    <w:p w14:paraId="145AE475">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highlight w:val="none"/>
        </w:rPr>
      </w:pPr>
    </w:p>
    <w:p w14:paraId="26F8E4F6">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（单位电子签章）</w:t>
      </w:r>
    </w:p>
    <w:p w14:paraId="15792512">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3DEEBD44">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pacing w:val="8"/>
          <w:sz w:val="24"/>
          <w:szCs w:val="24"/>
          <w:highlight w:val="none"/>
          <w:shd w:val="clear" w:color="auto" w:fill="FFFFFF"/>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AC18608">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br w:type="page"/>
      </w:r>
    </w:p>
    <w:p w14:paraId="57921839">
      <w:pPr>
        <w:pStyle w:val="7"/>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lang w:val="en-US" w:eastAsia="zh-CN"/>
        </w:rPr>
      </w:pPr>
      <w:bookmarkStart w:id="1290" w:name="_Toc12965"/>
      <w:bookmarkStart w:id="1291" w:name="_Toc23034"/>
      <w:bookmarkStart w:id="1292" w:name="_Toc19467"/>
      <w:r>
        <w:rPr>
          <w:rFonts w:hint="eastAsia"/>
          <w:lang w:val="en-US" w:eastAsia="zh-CN"/>
        </w:rPr>
        <w:t>（四）采购代理服务费承诺函</w:t>
      </w:r>
      <w:bookmarkEnd w:id="1290"/>
      <w:bookmarkEnd w:id="1291"/>
      <w:bookmarkEnd w:id="1292"/>
    </w:p>
    <w:p w14:paraId="7E2E7E9F">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auto"/>
          <w:highlight w:val="none"/>
          <w:lang w:val="en-US" w:eastAsia="zh-CN"/>
        </w:rPr>
      </w:pPr>
    </w:p>
    <w:p w14:paraId="71113A1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致（采购人及采购代理机构） ：</w:t>
      </w:r>
    </w:p>
    <w:p w14:paraId="744C99F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我们在贵公司组织的（项目名称：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）招标采购中若获中标（成交），我们保证在中标(成交）结果公告发布后5个工作日内，按</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的规定，以支票、银行转账、汇票或现金，向贵公司一次性支付招标代理服务费用。否则，由此产生的一切法律后果和责任由我公司承担。我公司声明放弃对此提出任何异议和追索的权利。</w:t>
      </w:r>
      <w:r>
        <w:rPr>
          <w:rFonts w:hint="eastAsia" w:ascii="宋体" w:hAnsi="宋体" w:eastAsia="宋体" w:cs="宋体"/>
          <w:color w:val="auto"/>
          <w:sz w:val="24"/>
          <w:szCs w:val="24"/>
          <w:highlight w:val="none"/>
          <w:lang w:val="en-US" w:eastAsia="zh-CN"/>
        </w:rPr>
        <w:t xml:space="preserve"> </w:t>
      </w:r>
    </w:p>
    <w:p w14:paraId="2A7B0C6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033CB97C">
      <w:pPr>
        <w:pStyle w:val="20"/>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4889DDD3">
      <w:pPr>
        <w:pStyle w:val="20"/>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3AE1A54A">
      <w:pPr>
        <w:pStyle w:val="20"/>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6CD6F0C4">
      <w:pPr>
        <w:pStyle w:val="20"/>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2D69EAF1">
      <w:pPr>
        <w:pStyle w:val="20"/>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3B4CAF27">
      <w:pPr>
        <w:pStyle w:val="20"/>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725EF263">
      <w:pPr>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     年    月    日</w:t>
      </w:r>
    </w:p>
    <w:p w14:paraId="3B3C5B1F">
      <w:pPr>
        <w:pStyle w:val="49"/>
        <w:rPr>
          <w:rFonts w:hint="eastAsia" w:ascii="宋体" w:hAnsi="宋体" w:eastAsia="宋体" w:cs="宋体"/>
          <w:color w:val="auto"/>
          <w:szCs w:val="21"/>
          <w:highlight w:val="none"/>
        </w:rPr>
      </w:pPr>
    </w:p>
    <w:p w14:paraId="0997811E">
      <w:pPr>
        <w:pStyle w:val="49"/>
        <w:rPr>
          <w:rFonts w:hint="eastAsia" w:ascii="宋体" w:hAnsi="宋体" w:eastAsia="宋体" w:cs="宋体"/>
          <w:color w:val="auto"/>
          <w:szCs w:val="21"/>
          <w:highlight w:val="none"/>
        </w:rPr>
      </w:pPr>
    </w:p>
    <w:p w14:paraId="7FD46F06">
      <w:pPr>
        <w:pStyle w:val="49"/>
        <w:rPr>
          <w:rFonts w:hint="eastAsia" w:ascii="宋体" w:hAnsi="宋体" w:eastAsia="宋体" w:cs="宋体"/>
          <w:color w:val="auto"/>
          <w:szCs w:val="21"/>
          <w:highlight w:val="none"/>
        </w:rPr>
      </w:pPr>
    </w:p>
    <w:p w14:paraId="0874EE87">
      <w:pPr>
        <w:pStyle w:val="49"/>
        <w:rPr>
          <w:rFonts w:hint="eastAsia" w:ascii="宋体" w:hAnsi="宋体" w:eastAsia="宋体" w:cs="宋体"/>
          <w:color w:val="auto"/>
          <w:szCs w:val="21"/>
          <w:highlight w:val="none"/>
        </w:rPr>
      </w:pPr>
    </w:p>
    <w:p w14:paraId="16FB75FA">
      <w:pPr>
        <w:pStyle w:val="49"/>
        <w:rPr>
          <w:rFonts w:hint="eastAsia" w:ascii="宋体" w:hAnsi="宋体" w:eastAsia="宋体" w:cs="宋体"/>
          <w:color w:val="auto"/>
          <w:szCs w:val="21"/>
          <w:highlight w:val="none"/>
        </w:rPr>
      </w:pPr>
    </w:p>
    <w:p w14:paraId="02F550FD">
      <w:pPr>
        <w:pStyle w:val="49"/>
        <w:rPr>
          <w:rFonts w:hint="eastAsia" w:ascii="宋体" w:hAnsi="宋体" w:eastAsia="宋体" w:cs="宋体"/>
          <w:color w:val="auto"/>
          <w:szCs w:val="21"/>
          <w:highlight w:val="none"/>
        </w:rPr>
      </w:pPr>
    </w:p>
    <w:p w14:paraId="4AEE027E">
      <w:pPr>
        <w:pStyle w:val="49"/>
        <w:rPr>
          <w:rFonts w:hint="eastAsia" w:ascii="宋体" w:hAnsi="宋体" w:eastAsia="宋体" w:cs="宋体"/>
          <w:color w:val="auto"/>
          <w:szCs w:val="21"/>
          <w:highlight w:val="none"/>
        </w:rPr>
      </w:pPr>
    </w:p>
    <w:p w14:paraId="6BC4C216">
      <w:pP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br w:type="page"/>
      </w:r>
    </w:p>
    <w:p w14:paraId="2100D89C">
      <w:pPr>
        <w:pStyle w:val="7"/>
        <w:bidi w:val="0"/>
        <w:ind w:left="0" w:leftChars="0" w:firstLine="0" w:firstLineChars="0"/>
        <w:jc w:val="center"/>
        <w:rPr>
          <w:rFonts w:hint="eastAsia"/>
          <w:lang w:val="en-US" w:eastAsia="zh-CN"/>
        </w:rPr>
      </w:pPr>
      <w:bookmarkStart w:id="1293" w:name="_Toc8192"/>
      <w:bookmarkStart w:id="1294" w:name="_Toc12647"/>
      <w:bookmarkStart w:id="1295" w:name="_Toc8051"/>
      <w:r>
        <w:rPr>
          <w:rFonts w:hint="eastAsia"/>
          <w:lang w:val="en-US" w:eastAsia="zh-CN"/>
        </w:rPr>
        <w:t>（五）供应商认为需要的其它资料</w:t>
      </w:r>
      <w:bookmarkEnd w:id="1293"/>
      <w:bookmarkEnd w:id="1294"/>
      <w:bookmarkEnd w:id="1295"/>
    </w:p>
    <w:p w14:paraId="7B2126B6">
      <w:pPr>
        <w:numPr>
          <w:ilvl w:val="0"/>
          <w:numId w:val="0"/>
        </w:numPr>
        <w:ind w:leftChars="200"/>
        <w:jc w:val="both"/>
        <w:rPr>
          <w:rFonts w:hint="eastAsia" w:ascii="宋体" w:hAnsi="宋体" w:eastAsia="宋体" w:cs="宋体"/>
          <w:b/>
          <w:color w:val="auto"/>
          <w:sz w:val="21"/>
          <w:szCs w:val="21"/>
          <w:highlight w:val="none"/>
        </w:rPr>
      </w:pPr>
    </w:p>
    <w:p w14:paraId="17D9DFE6">
      <w:pPr>
        <w:numPr>
          <w:ilvl w:val="0"/>
          <w:numId w:val="0"/>
        </w:numPr>
        <w:ind w:leftChars="200"/>
        <w:jc w:val="both"/>
        <w:rPr>
          <w:rFonts w:hint="eastAsia" w:ascii="宋体" w:hAnsi="宋体" w:eastAsia="宋体" w:cs="宋体"/>
          <w:b/>
          <w:color w:val="auto"/>
          <w:sz w:val="21"/>
          <w:szCs w:val="21"/>
          <w:highlight w:val="none"/>
        </w:rPr>
      </w:pPr>
    </w:p>
    <w:p w14:paraId="53291A51">
      <w:pPr>
        <w:numPr>
          <w:ilvl w:val="0"/>
          <w:numId w:val="0"/>
        </w:numPr>
        <w:ind w:leftChars="200"/>
        <w:jc w:val="both"/>
        <w:rPr>
          <w:rFonts w:hint="eastAsia" w:ascii="宋体" w:hAnsi="宋体" w:eastAsia="宋体" w:cs="宋体"/>
          <w:b/>
          <w:color w:val="auto"/>
          <w:sz w:val="21"/>
          <w:szCs w:val="21"/>
          <w:highlight w:val="none"/>
        </w:rPr>
      </w:pPr>
    </w:p>
    <w:p w14:paraId="3D111FDE">
      <w:pPr>
        <w:numPr>
          <w:ilvl w:val="0"/>
          <w:numId w:val="0"/>
        </w:numPr>
        <w:ind w:leftChars="200"/>
        <w:jc w:val="both"/>
        <w:rPr>
          <w:rFonts w:hint="eastAsia" w:ascii="宋体" w:hAnsi="宋体" w:eastAsia="宋体" w:cs="宋体"/>
          <w:b/>
          <w:color w:val="auto"/>
          <w:sz w:val="21"/>
          <w:szCs w:val="21"/>
          <w:highlight w:val="none"/>
        </w:rPr>
      </w:pPr>
    </w:p>
    <w:p w14:paraId="3FB90AAD">
      <w:pPr>
        <w:numPr>
          <w:ilvl w:val="0"/>
          <w:numId w:val="0"/>
        </w:numPr>
        <w:ind w:leftChars="200"/>
        <w:jc w:val="both"/>
        <w:rPr>
          <w:rFonts w:hint="eastAsia" w:ascii="宋体" w:hAnsi="宋体" w:eastAsia="宋体" w:cs="宋体"/>
          <w:b/>
          <w:color w:val="auto"/>
          <w:sz w:val="21"/>
          <w:szCs w:val="21"/>
          <w:highlight w:val="none"/>
        </w:rPr>
      </w:pPr>
    </w:p>
    <w:p w14:paraId="458EB662">
      <w:pPr>
        <w:numPr>
          <w:ilvl w:val="0"/>
          <w:numId w:val="0"/>
        </w:numPr>
        <w:ind w:leftChars="200"/>
        <w:jc w:val="both"/>
        <w:rPr>
          <w:rFonts w:hint="eastAsia" w:ascii="宋体" w:hAnsi="宋体" w:eastAsia="宋体" w:cs="宋体"/>
          <w:b/>
          <w:color w:val="auto"/>
          <w:sz w:val="21"/>
          <w:szCs w:val="21"/>
          <w:highlight w:val="none"/>
        </w:rPr>
      </w:pPr>
    </w:p>
    <w:p w14:paraId="4D1B929D">
      <w:pPr>
        <w:numPr>
          <w:ilvl w:val="0"/>
          <w:numId w:val="0"/>
        </w:numPr>
        <w:ind w:leftChars="200"/>
        <w:jc w:val="both"/>
        <w:rPr>
          <w:rFonts w:hint="eastAsia" w:ascii="宋体" w:hAnsi="宋体" w:eastAsia="宋体" w:cs="宋体"/>
          <w:b/>
          <w:color w:val="auto"/>
          <w:sz w:val="21"/>
          <w:szCs w:val="21"/>
          <w:highlight w:val="none"/>
        </w:rPr>
      </w:pPr>
    </w:p>
    <w:p w14:paraId="56107381">
      <w:pPr>
        <w:numPr>
          <w:ilvl w:val="0"/>
          <w:numId w:val="0"/>
        </w:numPr>
        <w:ind w:leftChars="200"/>
        <w:jc w:val="both"/>
        <w:rPr>
          <w:rFonts w:hint="eastAsia" w:ascii="宋体" w:hAnsi="宋体" w:eastAsia="宋体" w:cs="宋体"/>
          <w:b/>
          <w:color w:val="auto"/>
          <w:sz w:val="21"/>
          <w:szCs w:val="21"/>
          <w:highlight w:val="none"/>
        </w:rPr>
      </w:pPr>
    </w:p>
    <w:p w14:paraId="6200FDBD">
      <w:pPr>
        <w:numPr>
          <w:ilvl w:val="0"/>
          <w:numId w:val="0"/>
        </w:numPr>
        <w:ind w:leftChars="200"/>
        <w:jc w:val="both"/>
        <w:rPr>
          <w:rFonts w:hint="eastAsia" w:ascii="宋体" w:hAnsi="宋体" w:eastAsia="宋体" w:cs="宋体"/>
          <w:b/>
          <w:color w:val="auto"/>
          <w:sz w:val="21"/>
          <w:szCs w:val="21"/>
          <w:highlight w:val="none"/>
        </w:rPr>
      </w:pPr>
    </w:p>
    <w:p w14:paraId="7605BCA5">
      <w:pPr>
        <w:numPr>
          <w:ilvl w:val="0"/>
          <w:numId w:val="0"/>
        </w:numPr>
        <w:ind w:leftChars="200"/>
        <w:jc w:val="both"/>
        <w:rPr>
          <w:rFonts w:hint="eastAsia" w:ascii="宋体" w:hAnsi="宋体" w:eastAsia="宋体" w:cs="宋体"/>
          <w:b/>
          <w:color w:val="auto"/>
          <w:sz w:val="21"/>
          <w:szCs w:val="21"/>
          <w:highlight w:val="none"/>
        </w:rPr>
      </w:pPr>
    </w:p>
    <w:p w14:paraId="797316EA">
      <w:pPr>
        <w:numPr>
          <w:ilvl w:val="0"/>
          <w:numId w:val="0"/>
        </w:numPr>
        <w:ind w:leftChars="200"/>
        <w:jc w:val="both"/>
        <w:rPr>
          <w:rFonts w:hint="eastAsia" w:ascii="宋体" w:hAnsi="宋体" w:eastAsia="宋体" w:cs="宋体"/>
          <w:b/>
          <w:color w:val="auto"/>
          <w:sz w:val="21"/>
          <w:szCs w:val="21"/>
          <w:highlight w:val="none"/>
        </w:rPr>
      </w:pPr>
    </w:p>
    <w:p w14:paraId="3BEB3C04">
      <w:pPr>
        <w:numPr>
          <w:ilvl w:val="0"/>
          <w:numId w:val="0"/>
        </w:numPr>
        <w:ind w:leftChars="200"/>
        <w:jc w:val="both"/>
        <w:rPr>
          <w:rFonts w:hint="eastAsia" w:ascii="宋体" w:hAnsi="宋体" w:eastAsia="宋体" w:cs="宋体"/>
          <w:b/>
          <w:color w:val="auto"/>
          <w:sz w:val="21"/>
          <w:szCs w:val="21"/>
          <w:highlight w:val="none"/>
        </w:rPr>
      </w:pPr>
    </w:p>
    <w:p w14:paraId="419A298F">
      <w:pPr>
        <w:numPr>
          <w:ilvl w:val="0"/>
          <w:numId w:val="0"/>
        </w:numPr>
        <w:ind w:leftChars="200"/>
        <w:jc w:val="both"/>
        <w:rPr>
          <w:rFonts w:hint="eastAsia" w:ascii="宋体" w:hAnsi="宋体" w:eastAsia="宋体" w:cs="宋体"/>
          <w:b/>
          <w:color w:val="auto"/>
          <w:sz w:val="21"/>
          <w:szCs w:val="21"/>
          <w:highlight w:val="none"/>
        </w:rPr>
      </w:pPr>
    </w:p>
    <w:p w14:paraId="0E978B31">
      <w:pPr>
        <w:numPr>
          <w:ilvl w:val="0"/>
          <w:numId w:val="0"/>
        </w:numPr>
        <w:ind w:leftChars="200"/>
        <w:jc w:val="both"/>
        <w:rPr>
          <w:rFonts w:hint="eastAsia" w:ascii="宋体" w:hAnsi="宋体" w:eastAsia="宋体" w:cs="宋体"/>
          <w:b/>
          <w:color w:val="auto"/>
          <w:sz w:val="21"/>
          <w:szCs w:val="21"/>
          <w:highlight w:val="none"/>
        </w:rPr>
      </w:pPr>
    </w:p>
    <w:p w14:paraId="17E4C3AB">
      <w:pPr>
        <w:numPr>
          <w:ilvl w:val="0"/>
          <w:numId w:val="0"/>
        </w:numPr>
        <w:ind w:leftChars="200"/>
        <w:jc w:val="both"/>
        <w:rPr>
          <w:rFonts w:hint="eastAsia" w:ascii="宋体" w:hAnsi="宋体" w:eastAsia="宋体" w:cs="宋体"/>
          <w:b/>
          <w:color w:val="auto"/>
          <w:sz w:val="21"/>
          <w:szCs w:val="21"/>
          <w:highlight w:val="none"/>
        </w:rPr>
      </w:pPr>
    </w:p>
    <w:p w14:paraId="58D35949">
      <w:pPr>
        <w:numPr>
          <w:ilvl w:val="0"/>
          <w:numId w:val="0"/>
        </w:numPr>
        <w:ind w:leftChars="200"/>
        <w:jc w:val="both"/>
        <w:rPr>
          <w:rFonts w:hint="eastAsia" w:ascii="宋体" w:hAnsi="宋体" w:eastAsia="宋体" w:cs="宋体"/>
          <w:b/>
          <w:color w:val="auto"/>
          <w:sz w:val="21"/>
          <w:szCs w:val="21"/>
          <w:highlight w:val="none"/>
        </w:rPr>
      </w:pPr>
    </w:p>
    <w:p w14:paraId="1C4123F3">
      <w:pPr>
        <w:numPr>
          <w:ilvl w:val="0"/>
          <w:numId w:val="0"/>
        </w:numPr>
        <w:ind w:leftChars="200"/>
        <w:jc w:val="both"/>
        <w:rPr>
          <w:rFonts w:hint="eastAsia" w:ascii="宋体" w:hAnsi="宋体" w:eastAsia="宋体" w:cs="宋体"/>
          <w:b/>
          <w:color w:val="auto"/>
          <w:sz w:val="21"/>
          <w:szCs w:val="21"/>
          <w:highlight w:val="none"/>
        </w:rPr>
      </w:pPr>
    </w:p>
    <w:p w14:paraId="207B180A">
      <w:pPr>
        <w:numPr>
          <w:ilvl w:val="0"/>
          <w:numId w:val="0"/>
        </w:numPr>
        <w:ind w:leftChars="200"/>
        <w:jc w:val="both"/>
        <w:rPr>
          <w:rFonts w:hint="eastAsia" w:ascii="宋体" w:hAnsi="宋体" w:eastAsia="宋体" w:cs="宋体"/>
          <w:b/>
          <w:color w:val="auto"/>
          <w:sz w:val="21"/>
          <w:szCs w:val="21"/>
          <w:highlight w:val="none"/>
        </w:rPr>
      </w:pPr>
    </w:p>
    <w:p w14:paraId="20BA4545">
      <w:pPr>
        <w:numPr>
          <w:ilvl w:val="0"/>
          <w:numId w:val="0"/>
        </w:numPr>
        <w:ind w:leftChars="200"/>
        <w:jc w:val="both"/>
        <w:rPr>
          <w:rFonts w:hint="eastAsia" w:ascii="宋体" w:hAnsi="宋体" w:eastAsia="宋体" w:cs="宋体"/>
          <w:b/>
          <w:color w:val="auto"/>
          <w:sz w:val="21"/>
          <w:szCs w:val="21"/>
          <w:highlight w:val="none"/>
        </w:rPr>
      </w:pPr>
    </w:p>
    <w:p w14:paraId="5830A82D">
      <w:pPr>
        <w:numPr>
          <w:ilvl w:val="0"/>
          <w:numId w:val="0"/>
        </w:numPr>
        <w:ind w:leftChars="200"/>
        <w:jc w:val="both"/>
        <w:rPr>
          <w:rFonts w:hint="eastAsia" w:ascii="宋体" w:hAnsi="宋体" w:eastAsia="宋体" w:cs="宋体"/>
          <w:b/>
          <w:color w:val="auto"/>
          <w:sz w:val="21"/>
          <w:szCs w:val="21"/>
          <w:highlight w:val="none"/>
        </w:rPr>
      </w:pPr>
    </w:p>
    <w:p w14:paraId="537F291F">
      <w:pPr>
        <w:numPr>
          <w:ilvl w:val="0"/>
          <w:numId w:val="0"/>
        </w:numPr>
        <w:ind w:leftChars="200"/>
        <w:jc w:val="both"/>
        <w:rPr>
          <w:rFonts w:hint="eastAsia" w:ascii="宋体" w:hAnsi="宋体" w:eastAsia="宋体" w:cs="宋体"/>
          <w:b/>
          <w:color w:val="auto"/>
          <w:sz w:val="21"/>
          <w:szCs w:val="21"/>
          <w:highlight w:val="none"/>
        </w:rPr>
      </w:pPr>
    </w:p>
    <w:p w14:paraId="336D4AB1">
      <w:pPr>
        <w:numPr>
          <w:ilvl w:val="0"/>
          <w:numId w:val="0"/>
        </w:numPr>
        <w:ind w:leftChars="200"/>
        <w:jc w:val="both"/>
        <w:rPr>
          <w:rFonts w:hint="eastAsia" w:ascii="宋体" w:hAnsi="宋体" w:eastAsia="宋体" w:cs="宋体"/>
          <w:b/>
          <w:color w:val="auto"/>
          <w:sz w:val="21"/>
          <w:szCs w:val="21"/>
          <w:highlight w:val="none"/>
        </w:rPr>
      </w:pPr>
    </w:p>
    <w:p w14:paraId="1B2BDCB4">
      <w:pPr>
        <w:numPr>
          <w:ilvl w:val="0"/>
          <w:numId w:val="0"/>
        </w:numPr>
        <w:ind w:leftChars="200"/>
        <w:jc w:val="both"/>
        <w:rPr>
          <w:rFonts w:hint="eastAsia" w:ascii="宋体" w:hAnsi="宋体" w:eastAsia="宋体" w:cs="宋体"/>
          <w:b/>
          <w:color w:val="auto"/>
          <w:sz w:val="21"/>
          <w:szCs w:val="21"/>
          <w:highlight w:val="none"/>
        </w:rPr>
      </w:pPr>
    </w:p>
    <w:p w14:paraId="23D4ACC9">
      <w:pPr>
        <w:numPr>
          <w:ilvl w:val="0"/>
          <w:numId w:val="0"/>
        </w:numPr>
        <w:ind w:leftChars="200"/>
        <w:jc w:val="both"/>
        <w:rPr>
          <w:rFonts w:hint="eastAsia" w:ascii="宋体" w:hAnsi="宋体" w:eastAsia="宋体" w:cs="宋体"/>
          <w:b/>
          <w:color w:val="auto"/>
          <w:sz w:val="21"/>
          <w:szCs w:val="21"/>
          <w:highlight w:val="none"/>
        </w:rPr>
      </w:pPr>
    </w:p>
    <w:p w14:paraId="06E21EEA">
      <w:pPr>
        <w:numPr>
          <w:ilvl w:val="0"/>
          <w:numId w:val="0"/>
        </w:numPr>
        <w:ind w:leftChars="200"/>
        <w:jc w:val="both"/>
        <w:rPr>
          <w:rFonts w:hint="eastAsia" w:ascii="宋体" w:hAnsi="宋体" w:eastAsia="宋体" w:cs="宋体"/>
          <w:b/>
          <w:color w:val="auto"/>
          <w:sz w:val="21"/>
          <w:szCs w:val="21"/>
          <w:highlight w:val="none"/>
        </w:rPr>
      </w:pPr>
    </w:p>
    <w:p w14:paraId="383AF839">
      <w:pPr>
        <w:numPr>
          <w:ilvl w:val="0"/>
          <w:numId w:val="0"/>
        </w:numPr>
        <w:ind w:leftChars="200"/>
        <w:jc w:val="both"/>
        <w:rPr>
          <w:rFonts w:hint="eastAsia" w:ascii="宋体" w:hAnsi="宋体" w:eastAsia="宋体" w:cs="宋体"/>
          <w:b/>
          <w:color w:val="auto"/>
          <w:sz w:val="21"/>
          <w:szCs w:val="21"/>
          <w:highlight w:val="none"/>
        </w:rPr>
      </w:pPr>
    </w:p>
    <w:p w14:paraId="387F9E1A">
      <w:pPr>
        <w:numPr>
          <w:ilvl w:val="0"/>
          <w:numId w:val="0"/>
        </w:numPr>
        <w:ind w:leftChars="200"/>
        <w:jc w:val="both"/>
        <w:rPr>
          <w:rFonts w:hint="eastAsia" w:ascii="宋体" w:hAnsi="宋体" w:eastAsia="宋体" w:cs="宋体"/>
          <w:b/>
          <w:color w:val="auto"/>
          <w:sz w:val="21"/>
          <w:szCs w:val="21"/>
          <w:highlight w:val="none"/>
        </w:rPr>
      </w:pPr>
    </w:p>
    <w:p w14:paraId="3D26141F">
      <w:pPr>
        <w:numPr>
          <w:ilvl w:val="0"/>
          <w:numId w:val="0"/>
        </w:numPr>
        <w:ind w:leftChars="200"/>
        <w:jc w:val="both"/>
        <w:rPr>
          <w:rFonts w:hint="eastAsia" w:ascii="宋体" w:hAnsi="宋体" w:eastAsia="宋体" w:cs="宋体"/>
          <w:b/>
          <w:color w:val="auto"/>
          <w:sz w:val="21"/>
          <w:szCs w:val="21"/>
          <w:highlight w:val="none"/>
        </w:rPr>
      </w:pPr>
    </w:p>
    <w:p w14:paraId="2493A255">
      <w:pPr>
        <w:keepNext/>
        <w:keepLines/>
        <w:pageBreakBefore w:val="0"/>
        <w:widowControl w:val="0"/>
        <w:numPr>
          <w:ilvl w:val="1"/>
          <w:numId w:val="0"/>
        </w:numPr>
        <w:kinsoku/>
        <w:wordWrap/>
        <w:overflowPunct/>
        <w:topLinePunct w:val="0"/>
        <w:autoSpaceDE/>
        <w:autoSpaceDN/>
        <w:bidi w:val="0"/>
        <w:adjustRightInd w:val="0"/>
        <w:snapToGrid w:val="0"/>
        <w:spacing w:beforeLines="0" w:afterLines="0" w:line="360" w:lineRule="auto"/>
        <w:jc w:val="center"/>
        <w:textAlignment w:val="auto"/>
        <w:outlineLvl w:val="1"/>
        <w:rPr>
          <w:rFonts w:hint="eastAsia" w:ascii="宋体" w:hAnsi="宋体" w:eastAsia="宋体" w:cs="宋体"/>
          <w:b/>
          <w:bCs/>
          <w:color w:val="auto"/>
          <w:kern w:val="2"/>
          <w:sz w:val="36"/>
          <w:szCs w:val="22"/>
          <w:lang w:val="zh-CN" w:eastAsia="zh-CN" w:bidi="zh-CN"/>
        </w:rPr>
      </w:pPr>
      <w:bookmarkStart w:id="1296" w:name="_Toc2523"/>
      <w:bookmarkStart w:id="1297" w:name="_Toc3770"/>
      <w:bookmarkStart w:id="1298" w:name="_Toc4023"/>
      <w:r>
        <w:rPr>
          <w:rFonts w:hint="eastAsia" w:ascii="宋体" w:hAnsi="宋体" w:eastAsia="宋体" w:cs="宋体"/>
          <w:b/>
          <w:bCs/>
          <w:color w:val="auto"/>
          <w:kern w:val="2"/>
          <w:sz w:val="36"/>
          <w:szCs w:val="22"/>
          <w:lang w:val="zh-CN" w:eastAsia="zh-CN" w:bidi="zh-CN"/>
        </w:rPr>
        <w:t>河南省政府采购合同融资政策告知函</w:t>
      </w:r>
      <w:bookmarkEnd w:id="1296"/>
      <w:bookmarkEnd w:id="1297"/>
      <w:bookmarkEnd w:id="1298"/>
    </w:p>
    <w:p w14:paraId="5E45702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p>
    <w:p w14:paraId="1E87A5D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p>
    <w:p w14:paraId="63978A1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欢迎贵公司参与河南省政府采购活动！</w:t>
      </w:r>
    </w:p>
    <w:p w14:paraId="651B0E3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53B1C20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贷款渠道和提供贷款的金融机构，可在河南省政府采购网“河南省政府采购合同融资平台”和信阳市公共资源交易网金融服务支撑平台查询联系。</w:t>
      </w:r>
    </w:p>
    <w:p w14:paraId="273CCD31">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spacing w:val="8"/>
          <w:kern w:val="0"/>
          <w:sz w:val="24"/>
          <w:szCs w:val="24"/>
          <w:highlight w:val="none"/>
          <w:shd w:val="clear" w:color="080000" w:fill="FFFFFF"/>
          <w:lang w:val="en-US" w:eastAsia="zh-CN" w:bidi="ar-SA"/>
        </w:rPr>
      </w:pPr>
    </w:p>
    <w:p w14:paraId="3C0A641A">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spacing w:val="8"/>
          <w:kern w:val="0"/>
          <w:sz w:val="24"/>
          <w:szCs w:val="24"/>
          <w:highlight w:val="none"/>
          <w:shd w:val="clear" w:color="080000" w:fill="FFFFFF"/>
          <w:lang w:val="en-US" w:eastAsia="zh-CN" w:bidi="ar-SA"/>
        </w:rPr>
      </w:pPr>
      <w:r>
        <w:rPr>
          <w:rFonts w:hint="eastAsia" w:ascii="宋体" w:hAnsi="宋体" w:eastAsia="宋体" w:cs="宋体"/>
          <w:b/>
          <w:bCs/>
          <w:color w:val="auto"/>
          <w:spacing w:val="8"/>
          <w:kern w:val="0"/>
          <w:sz w:val="24"/>
          <w:szCs w:val="24"/>
          <w:highlight w:val="none"/>
          <w:shd w:val="clear" w:color="080000" w:fill="FFFFFF"/>
          <w:lang w:val="en-US" w:eastAsia="zh-CN" w:bidi="ar-SA"/>
        </w:rPr>
        <w:t>注：</w:t>
      </w:r>
    </w:p>
    <w:p w14:paraId="1CE3E3EC">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spacing w:val="8"/>
          <w:kern w:val="0"/>
          <w:sz w:val="24"/>
          <w:szCs w:val="24"/>
          <w:highlight w:val="none"/>
          <w:shd w:val="clear" w:color="080000" w:fill="FFFFFF"/>
          <w:lang w:val="en-US" w:eastAsia="zh-CN" w:bidi="ar-SA"/>
        </w:rPr>
        <w:t>1.</w:t>
      </w:r>
      <w:r>
        <w:rPr>
          <w:rFonts w:hint="eastAsia" w:ascii="宋体" w:hAnsi="宋体" w:eastAsia="宋体" w:cs="宋体"/>
          <w:b/>
          <w:bCs/>
          <w:color w:val="auto"/>
          <w:kern w:val="0"/>
          <w:sz w:val="24"/>
          <w:szCs w:val="24"/>
          <w:highlight w:val="none"/>
          <w:lang w:val="en-US" w:eastAsia="zh-CN" w:bidi="ar-SA"/>
        </w:rPr>
        <w:t>预进行合同融资的，在签订合同时，投标人的合同账号需为合同融资行指定的账户和账号。</w:t>
      </w:r>
    </w:p>
    <w:p w14:paraId="251E00D8">
      <w:pPr>
        <w:numPr>
          <w:ilvl w:val="0"/>
          <w:numId w:val="0"/>
        </w:numPr>
        <w:ind w:leftChars="200"/>
        <w:jc w:val="both"/>
        <w:rPr>
          <w:rFonts w:hint="eastAsia" w:ascii="宋体" w:hAnsi="宋体" w:eastAsia="宋体" w:cs="宋体"/>
          <w:b/>
          <w:color w:val="auto"/>
          <w:sz w:val="21"/>
          <w:szCs w:val="21"/>
          <w:highlight w:val="none"/>
        </w:rPr>
      </w:pPr>
      <w:bookmarkStart w:id="1299" w:name="_Toc8251"/>
      <w:r>
        <w:rPr>
          <w:rFonts w:hint="eastAsia" w:ascii="宋体" w:hAnsi="宋体" w:eastAsia="宋体" w:cs="宋体"/>
          <w:b/>
          <w:bCs/>
          <w:color w:val="auto"/>
          <w:kern w:val="0"/>
          <w:sz w:val="24"/>
          <w:szCs w:val="24"/>
          <w:highlight w:val="none"/>
          <w:lang w:val="en-US" w:eastAsia="zh-CN" w:bidi="ar-SA"/>
        </w:rPr>
        <w:t>2.预进行合同融资的，请提醒采购人在合同备案时，将备案系统中投标人默认账号修改后合同融资行指定的账户和账号，然后再提交合同备案。</w:t>
      </w:r>
      <w:bookmarkEnd w:id="1299"/>
    </w:p>
    <w:p w14:paraId="34AF6456">
      <w:pPr>
        <w:numPr>
          <w:ilvl w:val="0"/>
          <w:numId w:val="0"/>
        </w:numPr>
        <w:ind w:leftChars="200"/>
        <w:jc w:val="both"/>
        <w:rPr>
          <w:rFonts w:hint="eastAsia" w:ascii="宋体" w:hAnsi="宋体" w:eastAsia="宋体" w:cs="宋体"/>
          <w:b/>
          <w:color w:val="auto"/>
          <w:sz w:val="21"/>
          <w:szCs w:val="21"/>
          <w:highlight w:val="none"/>
        </w:rPr>
      </w:pPr>
    </w:p>
    <w:p w14:paraId="54F89A40">
      <w:pPr>
        <w:numPr>
          <w:ilvl w:val="0"/>
          <w:numId w:val="0"/>
        </w:numPr>
        <w:ind w:leftChars="200"/>
        <w:jc w:val="both"/>
        <w:rPr>
          <w:rFonts w:hint="eastAsia" w:ascii="宋体" w:hAnsi="宋体" w:eastAsia="宋体" w:cs="宋体"/>
          <w:b/>
          <w:color w:val="auto"/>
          <w:sz w:val="21"/>
          <w:szCs w:val="21"/>
          <w:highlight w:val="none"/>
        </w:rPr>
      </w:pPr>
    </w:p>
    <w:p w14:paraId="19A25FF4">
      <w:pPr>
        <w:numPr>
          <w:ilvl w:val="0"/>
          <w:numId w:val="0"/>
        </w:numPr>
        <w:ind w:leftChars="200"/>
        <w:jc w:val="both"/>
        <w:rPr>
          <w:rFonts w:hint="eastAsia" w:ascii="宋体" w:hAnsi="宋体" w:eastAsia="宋体" w:cs="宋体"/>
          <w:b/>
          <w:color w:val="auto"/>
          <w:sz w:val="21"/>
          <w:szCs w:val="21"/>
          <w:highlight w:val="none"/>
        </w:rPr>
      </w:pPr>
    </w:p>
    <w:p w14:paraId="18E4CB44">
      <w:pPr>
        <w:numPr>
          <w:ilvl w:val="0"/>
          <w:numId w:val="0"/>
        </w:numPr>
        <w:ind w:leftChars="200"/>
        <w:jc w:val="both"/>
        <w:rPr>
          <w:rFonts w:hint="eastAsia" w:ascii="宋体" w:hAnsi="宋体" w:eastAsia="宋体" w:cs="宋体"/>
          <w:b/>
          <w:color w:val="auto"/>
          <w:sz w:val="21"/>
          <w:szCs w:val="21"/>
          <w:highlight w:val="none"/>
        </w:rPr>
      </w:pPr>
    </w:p>
    <w:p w14:paraId="6014E736">
      <w:pPr>
        <w:numPr>
          <w:ilvl w:val="0"/>
          <w:numId w:val="0"/>
        </w:numPr>
        <w:ind w:leftChars="200"/>
        <w:jc w:val="both"/>
        <w:rPr>
          <w:rFonts w:hint="eastAsia" w:ascii="宋体" w:hAnsi="宋体" w:eastAsia="宋体" w:cs="宋体"/>
          <w:b/>
          <w:color w:val="auto"/>
          <w:sz w:val="21"/>
          <w:szCs w:val="21"/>
          <w:highlight w:val="none"/>
        </w:rPr>
      </w:pPr>
    </w:p>
    <w:p w14:paraId="142A4CDC">
      <w:pPr>
        <w:numPr>
          <w:ilvl w:val="0"/>
          <w:numId w:val="0"/>
        </w:numPr>
        <w:ind w:leftChars="200"/>
        <w:jc w:val="both"/>
        <w:rPr>
          <w:rFonts w:hint="eastAsia" w:ascii="宋体" w:hAnsi="宋体" w:eastAsia="宋体" w:cs="宋体"/>
          <w:b/>
          <w:color w:val="auto"/>
          <w:sz w:val="21"/>
          <w:szCs w:val="21"/>
          <w:highlight w:val="none"/>
        </w:rPr>
      </w:pPr>
    </w:p>
    <w:p w14:paraId="42C9E501">
      <w:pPr>
        <w:numPr>
          <w:ilvl w:val="0"/>
          <w:numId w:val="0"/>
        </w:numPr>
        <w:ind w:leftChars="200"/>
        <w:jc w:val="both"/>
        <w:rPr>
          <w:rFonts w:hint="eastAsia" w:ascii="宋体" w:hAnsi="宋体" w:eastAsia="宋体" w:cs="宋体"/>
          <w:b/>
          <w:color w:val="auto"/>
          <w:sz w:val="21"/>
          <w:szCs w:val="21"/>
          <w:highlight w:val="none"/>
        </w:rPr>
      </w:pPr>
    </w:p>
    <w:p w14:paraId="07EEB02B">
      <w:pPr>
        <w:numPr>
          <w:ilvl w:val="0"/>
          <w:numId w:val="0"/>
        </w:numPr>
        <w:ind w:leftChars="200"/>
        <w:jc w:val="both"/>
        <w:rPr>
          <w:rFonts w:hint="eastAsia" w:ascii="宋体" w:hAnsi="宋体" w:eastAsia="宋体" w:cs="宋体"/>
          <w:b/>
          <w:color w:val="auto"/>
          <w:sz w:val="21"/>
          <w:szCs w:val="21"/>
          <w:highlight w:val="none"/>
        </w:rPr>
      </w:pPr>
    </w:p>
    <w:p w14:paraId="636F0A25">
      <w:pPr>
        <w:numPr>
          <w:ilvl w:val="0"/>
          <w:numId w:val="0"/>
        </w:numPr>
        <w:ind w:leftChars="200"/>
        <w:jc w:val="both"/>
        <w:rPr>
          <w:rFonts w:hint="eastAsia" w:ascii="宋体" w:hAnsi="宋体" w:eastAsia="宋体" w:cs="宋体"/>
          <w:b/>
          <w:color w:val="auto"/>
          <w:sz w:val="21"/>
          <w:szCs w:val="21"/>
          <w:highlight w:val="none"/>
        </w:rPr>
      </w:pPr>
    </w:p>
    <w:p w14:paraId="17D8C8AB">
      <w:pPr>
        <w:numPr>
          <w:ilvl w:val="0"/>
          <w:numId w:val="0"/>
        </w:numPr>
        <w:ind w:leftChars="200"/>
        <w:jc w:val="both"/>
        <w:rPr>
          <w:rFonts w:hint="eastAsia" w:ascii="宋体" w:hAnsi="宋体" w:eastAsia="宋体" w:cs="宋体"/>
          <w:b/>
          <w:color w:val="auto"/>
          <w:sz w:val="21"/>
          <w:szCs w:val="21"/>
          <w:highlight w:val="none"/>
        </w:rPr>
      </w:pPr>
    </w:p>
    <w:p w14:paraId="7686BA08">
      <w:pPr>
        <w:numPr>
          <w:ilvl w:val="0"/>
          <w:numId w:val="0"/>
        </w:numPr>
        <w:ind w:leftChars="200"/>
        <w:jc w:val="both"/>
        <w:rPr>
          <w:rFonts w:hint="eastAsia" w:ascii="宋体" w:hAnsi="宋体" w:eastAsia="宋体" w:cs="宋体"/>
          <w:b/>
          <w:color w:val="auto"/>
          <w:sz w:val="21"/>
          <w:szCs w:val="21"/>
          <w:highlight w:val="none"/>
        </w:rPr>
      </w:pPr>
    </w:p>
    <w:p w14:paraId="1E32FA79">
      <w:pPr>
        <w:tabs>
          <w:tab w:val="left" w:pos="2712"/>
          <w:tab w:val="left" w:pos="4658"/>
          <w:tab w:val="left" w:pos="5157"/>
          <w:tab w:val="left" w:pos="6554"/>
        </w:tabs>
        <w:rPr>
          <w:rFonts w:hint="eastAsia" w:ascii="宋体" w:hAnsi="宋体" w:eastAsia="宋体" w:cs="宋体"/>
          <w:highlight w:val="none"/>
        </w:rPr>
      </w:pPr>
    </w:p>
    <w:sectPr>
      <w:headerReference r:id="rId16" w:type="default"/>
      <w:footerReference r:id="rId17" w:type="default"/>
      <w:pgSz w:w="11905" w:h="16838"/>
      <w:pgMar w:top="1440" w:right="1247" w:bottom="1440" w:left="1247" w:header="1134" w:footer="567" w:gutter="0"/>
      <w:pgBorders>
        <w:top w:val="none" w:sz="0" w:space="0"/>
        <w:left w:val="none" w:sz="0" w:space="0"/>
        <w:bottom w:val="none" w:sz="0" w:space="0"/>
        <w:right w:val="none" w:sz="0" w:space="0"/>
      </w:pgBorders>
      <w:pgNumType w:fmt="decimal" w:start="1"/>
      <w:cols w:space="0" w:num="1"/>
      <w:rtlGutter w:val="0"/>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2B6FA">
    <w:pPr>
      <w:pStyle w:val="22"/>
      <w:jc w:val="center"/>
    </w:pPr>
  </w:p>
  <w:p w14:paraId="651F461B">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79DE">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DBDCD">
    <w:pPr>
      <w:pStyle w:val="22"/>
      <w:rPr>
        <w:rFonts w:hint="eastAsia"/>
        <w:lang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3E5D">
    <w:pPr>
      <w:pStyle w:val="22"/>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0AC06">
    <w:pPr>
      <w:pStyle w:val="22"/>
      <w:rPr>
        <w:rFonts w:hint="default"/>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D6E9E">
    <w:pPr>
      <w:pStyle w:val="22"/>
      <w:rPr>
        <w:rFonts w:hint="default"/>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CDDE">
    <w:pPr>
      <w:pStyle w:val="22"/>
      <w:jc w:val="right"/>
    </w:pPr>
    <w:r>
      <w:rPr>
        <w:sz w:val="18"/>
      </w:rPr>
      <mc:AlternateContent>
        <mc:Choice Requires="wps">
          <w:drawing>
            <wp:anchor distT="0" distB="0" distL="114300" distR="114300" simplePos="0" relativeHeight="251660288" behindDoc="0" locked="0" layoutInCell="1" allowOverlap="1">
              <wp:simplePos x="0" y="0"/>
              <wp:positionH relativeFrom="margin">
                <wp:posOffset>2995930</wp:posOffset>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2A970B">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5.9pt;margin-top:0pt;height:144pt;width:144pt;mso-position-horizontal-relative:margin;mso-wrap-style:none;z-index:251660288;mso-width-relative:page;mso-height-relative:page;" filled="f" stroked="f" coordsize="21600,21600" o:gfxdata="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4MnVAAAACA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14:paraId="562A970B">
                    <w:pPr>
                      <w:pStyle w:val="22"/>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D0A0DC">
                          <w:pPr>
                            <w:pStyle w:val="22"/>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1FD0A0DC">
                    <w:pPr>
                      <w:pStyle w:val="22"/>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v:textbox>
            </v:shape>
          </w:pict>
        </mc:Fallback>
      </mc:AlternateContent>
    </w:r>
    <w:r>
      <w:rPr>
        <w:rFonts w:hint="eastAsia"/>
        <w:i/>
        <w:iCs/>
        <w:color w:val="0000FF"/>
        <w:lang w:eastAsia="zh-CN"/>
      </w:rPr>
      <w:t>河南君光工程管理咨询有限公司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C6553">
    <w:pPr>
      <w:pStyle w:val="23"/>
      <w:pBdr>
        <w:bottom w:val="none" w:color="auto" w:sz="0" w:space="1"/>
      </w:pBdr>
      <w:jc w:val="both"/>
      <w:rPr>
        <w:rFonts w:hint="default"/>
        <w:lang w:val="en-US" w:eastAsia="zh-CN"/>
      </w:rPr>
    </w:pPr>
    <w:r>
      <w:rPr>
        <w:rFonts w:hint="eastAsia"/>
        <w:lang w:val="en-US" w:eastAsia="zh-CN"/>
      </w:rPr>
      <w:t>河南君光工程管理咨询有限公司                                                             竞争性磋商文件</w:t>
    </w:r>
  </w:p>
  <w:p w14:paraId="0751A7A0">
    <w:pPr>
      <w:pStyle w:val="22"/>
      <w:rPr>
        <w:rFonts w:hint="eastAsia"/>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A62B7">
                          <w:pPr>
                            <w:pStyle w:val="2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75A62B7">
                    <w:pPr>
                      <w:pStyle w:val="2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A5C3E">
    <w:pPr>
      <w:pBdr>
        <w:bottom w:val="none" w:color="auto" w:sz="0" w:space="0"/>
      </w:pBdr>
      <w:jc w:val="right"/>
      <w:rPr>
        <w:rFonts w:hint="eastAsia" w:ascii="Times New Roman" w:hAnsi="Times New Roman"/>
        <w:i/>
        <w:iCs/>
        <w:color w:val="0000FF"/>
        <w:kern w:val="0"/>
        <w:sz w:val="18"/>
        <w:szCs w:val="18"/>
        <w:lang w:val="en-US" w:eastAsia="zh-CN" w:bidi="ar-SA"/>
      </w:rPr>
    </w:pPr>
    <w:r>
      <w:rPr>
        <w:rFonts w:hint="eastAsia" w:ascii="宋体" w:hAnsi="宋体"/>
        <w:sz w:val="15"/>
        <w:szCs w:val="15"/>
      </w:rPr>
      <w:t xml:space="preserve">       </w:t>
    </w:r>
    <w:r>
      <w:rPr>
        <w:rFonts w:hint="eastAsia" w:ascii="宋体" w:hAnsi="宋体"/>
        <w:i/>
        <w:iCs/>
        <w:color w:val="0000FF"/>
        <w:sz w:val="18"/>
        <w:szCs w:val="18"/>
      </w:rPr>
      <w:t xml:space="preserve">    </w:t>
    </w:r>
    <w:r>
      <w:rPr>
        <w:rFonts w:hint="eastAsia" w:ascii="Times New Roman" w:hAnsi="Times New Roman"/>
        <w:i/>
        <w:iCs/>
        <w:color w:val="0000FF"/>
        <w:kern w:val="0"/>
        <w:sz w:val="18"/>
        <w:szCs w:val="18"/>
        <w:lang w:val="en-US" w:eastAsia="zh-CN" w:bidi="ar-SA"/>
      </w:rPr>
      <w:t xml:space="preserve"> </w:t>
    </w:r>
  </w:p>
  <w:p w14:paraId="51023195">
    <w:pPr>
      <w:pStyle w:val="23"/>
      <w:pBdr>
        <w:bottom w:val="none" w:color="auto" w:sz="0" w:space="1"/>
      </w:pBdr>
      <w:jc w:val="center"/>
      <w:rPr>
        <w:rFonts w:hint="eastAsia" w:ascii="宋体" w:hAnsi="宋体" w:eastAsia="宋体"/>
        <w:sz w:val="15"/>
        <w:szCs w:val="15"/>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B1095">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B6152">
    <w:pPr>
      <w:pStyle w:val="23"/>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2A1D8">
    <w:pPr>
      <w:pStyle w:val="23"/>
      <w:pBdr>
        <w:bottom w:val="none" w:color="auto" w:sz="0" w:space="1"/>
      </w:pBdr>
      <w:rPr>
        <w:rFonts w:hint="eastAsia"/>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F7C5">
    <w:pPr>
      <w:pStyle w:val="23"/>
      <w:pBdr>
        <w:bottom w:val="none" w:color="auto" w:sz="0" w:space="1"/>
      </w:pBdr>
      <w:jc w:val="both"/>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B1189FD1"/>
    <w:multiLevelType w:val="multilevel"/>
    <w:tmpl w:val="B1189FD1"/>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1260" w:firstLine="0"/>
      </w:pPr>
      <w:rPr>
        <w:rFonts w:cs="Times New Roman"/>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pStyle w:val="8"/>
      <w:suff w:val="nothing"/>
      <w:lvlText w:val="    %2.%3.%4  "/>
      <w:lvlJc w:val="left"/>
      <w:pPr>
        <w:ind w:left="0" w:firstLine="0"/>
      </w:pPr>
      <w:rPr>
        <w:rFonts w:hint="eastAsia" w:ascii="仿宋_GB2312" w:eastAsia="仿宋_GB2312"/>
        <w:b/>
        <w:i w:val="0"/>
        <w:sz w:val="28"/>
        <w:szCs w:val="28"/>
      </w:rPr>
    </w:lvl>
    <w:lvl w:ilvl="4" w:tentative="0">
      <w:start w:val="1"/>
      <w:numFmt w:val="none"/>
      <w:pStyle w:val="9"/>
      <w:suff w:val="nothing"/>
      <w:lvlText w:val=""/>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abstractNum w:abstractNumId="2">
    <w:nsid w:val="47898249"/>
    <w:multiLevelType w:val="multilevel"/>
    <w:tmpl w:val="47898249"/>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pStyle w:val="52"/>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宋体"/>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jMzZlODdiYTAwYWRkNWNhYTVmM2QwOWFlNGRlNDEifQ=="/>
  </w:docVars>
  <w:rsids>
    <w:rsidRoot w:val="1EB847B6"/>
    <w:rsid w:val="000F5645"/>
    <w:rsid w:val="006B4F71"/>
    <w:rsid w:val="00836325"/>
    <w:rsid w:val="00D36316"/>
    <w:rsid w:val="02832A46"/>
    <w:rsid w:val="02A30447"/>
    <w:rsid w:val="02BE582C"/>
    <w:rsid w:val="02BF3353"/>
    <w:rsid w:val="03175D68"/>
    <w:rsid w:val="0341645D"/>
    <w:rsid w:val="0359026B"/>
    <w:rsid w:val="039C330F"/>
    <w:rsid w:val="03F27AE5"/>
    <w:rsid w:val="047654EA"/>
    <w:rsid w:val="04EB48D3"/>
    <w:rsid w:val="054C4C24"/>
    <w:rsid w:val="05A33BF0"/>
    <w:rsid w:val="05DF1813"/>
    <w:rsid w:val="062143F4"/>
    <w:rsid w:val="06654105"/>
    <w:rsid w:val="06813CFC"/>
    <w:rsid w:val="08241EB7"/>
    <w:rsid w:val="083D3697"/>
    <w:rsid w:val="08BA0844"/>
    <w:rsid w:val="08F9126E"/>
    <w:rsid w:val="0907015D"/>
    <w:rsid w:val="09207EA3"/>
    <w:rsid w:val="0969226A"/>
    <w:rsid w:val="09810AA5"/>
    <w:rsid w:val="09A019F0"/>
    <w:rsid w:val="09EC1D6D"/>
    <w:rsid w:val="0A10131B"/>
    <w:rsid w:val="0A180148"/>
    <w:rsid w:val="0A6E024D"/>
    <w:rsid w:val="0ADA472D"/>
    <w:rsid w:val="0B2D79F3"/>
    <w:rsid w:val="0B3A5C6C"/>
    <w:rsid w:val="0BC502F5"/>
    <w:rsid w:val="0C225D19"/>
    <w:rsid w:val="0C403CBD"/>
    <w:rsid w:val="0C8C128D"/>
    <w:rsid w:val="0D2A3ABE"/>
    <w:rsid w:val="0D5F61DC"/>
    <w:rsid w:val="0D687CCC"/>
    <w:rsid w:val="0D984545"/>
    <w:rsid w:val="0DC7288F"/>
    <w:rsid w:val="0E067C1C"/>
    <w:rsid w:val="0E2826F4"/>
    <w:rsid w:val="0E86793C"/>
    <w:rsid w:val="0EAC50D3"/>
    <w:rsid w:val="0F0F5662"/>
    <w:rsid w:val="0F350796"/>
    <w:rsid w:val="0F67724C"/>
    <w:rsid w:val="0FCB3337"/>
    <w:rsid w:val="0FDB0A7B"/>
    <w:rsid w:val="102139A6"/>
    <w:rsid w:val="102738BB"/>
    <w:rsid w:val="103C23A9"/>
    <w:rsid w:val="10957D29"/>
    <w:rsid w:val="10A42041"/>
    <w:rsid w:val="10F42143"/>
    <w:rsid w:val="1122167C"/>
    <w:rsid w:val="119309FC"/>
    <w:rsid w:val="11BC2671"/>
    <w:rsid w:val="12193171"/>
    <w:rsid w:val="12206279"/>
    <w:rsid w:val="12D40754"/>
    <w:rsid w:val="12F46273"/>
    <w:rsid w:val="13B011C1"/>
    <w:rsid w:val="14CE084F"/>
    <w:rsid w:val="151614F8"/>
    <w:rsid w:val="15AC59B8"/>
    <w:rsid w:val="15C058C3"/>
    <w:rsid w:val="15EA1D65"/>
    <w:rsid w:val="15F85ABC"/>
    <w:rsid w:val="1604663A"/>
    <w:rsid w:val="16585DEB"/>
    <w:rsid w:val="16596537"/>
    <w:rsid w:val="166A5379"/>
    <w:rsid w:val="16786B15"/>
    <w:rsid w:val="16B014D8"/>
    <w:rsid w:val="16CE2FE0"/>
    <w:rsid w:val="16E15B36"/>
    <w:rsid w:val="17283764"/>
    <w:rsid w:val="172D36C4"/>
    <w:rsid w:val="17467C1C"/>
    <w:rsid w:val="17A05F99"/>
    <w:rsid w:val="17C74823"/>
    <w:rsid w:val="183B1275"/>
    <w:rsid w:val="18F338FE"/>
    <w:rsid w:val="19851E8F"/>
    <w:rsid w:val="198E6CCC"/>
    <w:rsid w:val="19A75624"/>
    <w:rsid w:val="19CF48D7"/>
    <w:rsid w:val="1A2E3B89"/>
    <w:rsid w:val="1AB0701F"/>
    <w:rsid w:val="1AC85DBD"/>
    <w:rsid w:val="1B12748D"/>
    <w:rsid w:val="1B2129A5"/>
    <w:rsid w:val="1B417381"/>
    <w:rsid w:val="1B65526B"/>
    <w:rsid w:val="1BA57132"/>
    <w:rsid w:val="1BA809D0"/>
    <w:rsid w:val="1BD80175"/>
    <w:rsid w:val="1BE7217E"/>
    <w:rsid w:val="1C073948"/>
    <w:rsid w:val="1C317EDF"/>
    <w:rsid w:val="1C634127"/>
    <w:rsid w:val="1C674A6D"/>
    <w:rsid w:val="1C8C02F2"/>
    <w:rsid w:val="1C9E390D"/>
    <w:rsid w:val="1CA115A1"/>
    <w:rsid w:val="1DB15F0E"/>
    <w:rsid w:val="1DC13FCB"/>
    <w:rsid w:val="1DD808FA"/>
    <w:rsid w:val="1DF1242E"/>
    <w:rsid w:val="1E0C0080"/>
    <w:rsid w:val="1E236A34"/>
    <w:rsid w:val="1E7D5CD7"/>
    <w:rsid w:val="1E7F49B4"/>
    <w:rsid w:val="1E8A409C"/>
    <w:rsid w:val="1EB847B6"/>
    <w:rsid w:val="1EEA2DCE"/>
    <w:rsid w:val="1F393299"/>
    <w:rsid w:val="1F612F71"/>
    <w:rsid w:val="1F7A451A"/>
    <w:rsid w:val="1FAA1E71"/>
    <w:rsid w:val="1FE73CCD"/>
    <w:rsid w:val="1FF92307"/>
    <w:rsid w:val="20825778"/>
    <w:rsid w:val="20B02B54"/>
    <w:rsid w:val="20C469C5"/>
    <w:rsid w:val="21923ACB"/>
    <w:rsid w:val="21934186"/>
    <w:rsid w:val="219428FB"/>
    <w:rsid w:val="21EC08BF"/>
    <w:rsid w:val="21F1523E"/>
    <w:rsid w:val="220C2991"/>
    <w:rsid w:val="223C00C4"/>
    <w:rsid w:val="22627DA8"/>
    <w:rsid w:val="22E75054"/>
    <w:rsid w:val="23166B67"/>
    <w:rsid w:val="234611FA"/>
    <w:rsid w:val="23A203FB"/>
    <w:rsid w:val="23B67422"/>
    <w:rsid w:val="23C55B17"/>
    <w:rsid w:val="24812A37"/>
    <w:rsid w:val="24816262"/>
    <w:rsid w:val="251F3988"/>
    <w:rsid w:val="263A491A"/>
    <w:rsid w:val="26666710"/>
    <w:rsid w:val="26711A72"/>
    <w:rsid w:val="26B75F6B"/>
    <w:rsid w:val="26B91CE3"/>
    <w:rsid w:val="273C2047"/>
    <w:rsid w:val="273D152A"/>
    <w:rsid w:val="276C079B"/>
    <w:rsid w:val="27C32B0E"/>
    <w:rsid w:val="27FD1D81"/>
    <w:rsid w:val="281534ED"/>
    <w:rsid w:val="281D44F4"/>
    <w:rsid w:val="282835C4"/>
    <w:rsid w:val="2879797C"/>
    <w:rsid w:val="28B031D3"/>
    <w:rsid w:val="291B6C85"/>
    <w:rsid w:val="295D5179"/>
    <w:rsid w:val="29C5731F"/>
    <w:rsid w:val="29D67050"/>
    <w:rsid w:val="2A4D10C0"/>
    <w:rsid w:val="2A50295E"/>
    <w:rsid w:val="2A574095"/>
    <w:rsid w:val="2A6056B1"/>
    <w:rsid w:val="2A995003"/>
    <w:rsid w:val="2AB43C5C"/>
    <w:rsid w:val="2B3D1C1D"/>
    <w:rsid w:val="2B9C4B6B"/>
    <w:rsid w:val="2BB65EE6"/>
    <w:rsid w:val="2BD83540"/>
    <w:rsid w:val="2C79468E"/>
    <w:rsid w:val="2C8D1680"/>
    <w:rsid w:val="2C954FA0"/>
    <w:rsid w:val="2CBB283C"/>
    <w:rsid w:val="2CDA6697"/>
    <w:rsid w:val="2CDF1D27"/>
    <w:rsid w:val="2CFB39E3"/>
    <w:rsid w:val="2D3C366E"/>
    <w:rsid w:val="2D4D39AA"/>
    <w:rsid w:val="2DB9081B"/>
    <w:rsid w:val="2DC743E8"/>
    <w:rsid w:val="2F084679"/>
    <w:rsid w:val="2F476681"/>
    <w:rsid w:val="2F533DB7"/>
    <w:rsid w:val="2F7A7A11"/>
    <w:rsid w:val="2FD15F47"/>
    <w:rsid w:val="302F3016"/>
    <w:rsid w:val="305E54D0"/>
    <w:rsid w:val="30717AD3"/>
    <w:rsid w:val="307B75C9"/>
    <w:rsid w:val="31437AC3"/>
    <w:rsid w:val="31B97C29"/>
    <w:rsid w:val="31BE79F2"/>
    <w:rsid w:val="31D8053D"/>
    <w:rsid w:val="31E00A6C"/>
    <w:rsid w:val="31E90C11"/>
    <w:rsid w:val="328D1832"/>
    <w:rsid w:val="32BD2B5B"/>
    <w:rsid w:val="32CC2D9E"/>
    <w:rsid w:val="33006D9F"/>
    <w:rsid w:val="3304687F"/>
    <w:rsid w:val="331B4FEC"/>
    <w:rsid w:val="333948D8"/>
    <w:rsid w:val="336B6A5B"/>
    <w:rsid w:val="336D1314"/>
    <w:rsid w:val="33716D16"/>
    <w:rsid w:val="337E6A42"/>
    <w:rsid w:val="338434A3"/>
    <w:rsid w:val="33E162AB"/>
    <w:rsid w:val="349D49F2"/>
    <w:rsid w:val="34A4669F"/>
    <w:rsid w:val="356E45E1"/>
    <w:rsid w:val="357E4F1C"/>
    <w:rsid w:val="362E5264"/>
    <w:rsid w:val="364E6BA5"/>
    <w:rsid w:val="36502E4A"/>
    <w:rsid w:val="3664560E"/>
    <w:rsid w:val="37250E85"/>
    <w:rsid w:val="37CE4774"/>
    <w:rsid w:val="37E64902"/>
    <w:rsid w:val="38107BD1"/>
    <w:rsid w:val="381625C9"/>
    <w:rsid w:val="38B03C89"/>
    <w:rsid w:val="38EC7CF6"/>
    <w:rsid w:val="390019F4"/>
    <w:rsid w:val="39763A64"/>
    <w:rsid w:val="399752E8"/>
    <w:rsid w:val="399B34CA"/>
    <w:rsid w:val="3A23030D"/>
    <w:rsid w:val="3A7D77A0"/>
    <w:rsid w:val="3AAF26A3"/>
    <w:rsid w:val="3AD46C94"/>
    <w:rsid w:val="3B17312B"/>
    <w:rsid w:val="3B967CDA"/>
    <w:rsid w:val="3BCB0326"/>
    <w:rsid w:val="3C8A572C"/>
    <w:rsid w:val="3D12591E"/>
    <w:rsid w:val="3D633498"/>
    <w:rsid w:val="3DB159B2"/>
    <w:rsid w:val="3DB66D6B"/>
    <w:rsid w:val="3DB86D41"/>
    <w:rsid w:val="3EE002FD"/>
    <w:rsid w:val="3EE11ADE"/>
    <w:rsid w:val="3F293646"/>
    <w:rsid w:val="3F3441A5"/>
    <w:rsid w:val="3F485952"/>
    <w:rsid w:val="3F492533"/>
    <w:rsid w:val="3F792699"/>
    <w:rsid w:val="3F8003A1"/>
    <w:rsid w:val="3F9366BA"/>
    <w:rsid w:val="3FF97B90"/>
    <w:rsid w:val="400A58FE"/>
    <w:rsid w:val="404A3117"/>
    <w:rsid w:val="40670E30"/>
    <w:rsid w:val="410417E6"/>
    <w:rsid w:val="41122DB1"/>
    <w:rsid w:val="41200E85"/>
    <w:rsid w:val="415E7BFF"/>
    <w:rsid w:val="4199411A"/>
    <w:rsid w:val="41A95E23"/>
    <w:rsid w:val="421D6525"/>
    <w:rsid w:val="423324F9"/>
    <w:rsid w:val="425B7C9B"/>
    <w:rsid w:val="429C7BD0"/>
    <w:rsid w:val="42A57853"/>
    <w:rsid w:val="42AF3492"/>
    <w:rsid w:val="43704724"/>
    <w:rsid w:val="437664C4"/>
    <w:rsid w:val="43BA1161"/>
    <w:rsid w:val="441C64FF"/>
    <w:rsid w:val="445157F9"/>
    <w:rsid w:val="445D7FC4"/>
    <w:rsid w:val="446612A5"/>
    <w:rsid w:val="44785863"/>
    <w:rsid w:val="44C71617"/>
    <w:rsid w:val="44D32948"/>
    <w:rsid w:val="457A7DF8"/>
    <w:rsid w:val="459736E0"/>
    <w:rsid w:val="4603518A"/>
    <w:rsid w:val="4617099C"/>
    <w:rsid w:val="461D3BE5"/>
    <w:rsid w:val="465127CC"/>
    <w:rsid w:val="4654512D"/>
    <w:rsid w:val="46607F75"/>
    <w:rsid w:val="478D604D"/>
    <w:rsid w:val="47A977CA"/>
    <w:rsid w:val="47E811A5"/>
    <w:rsid w:val="47E979D7"/>
    <w:rsid w:val="48CF053E"/>
    <w:rsid w:val="48D125A1"/>
    <w:rsid w:val="48F826E7"/>
    <w:rsid w:val="492B1A78"/>
    <w:rsid w:val="49347B05"/>
    <w:rsid w:val="49351EAD"/>
    <w:rsid w:val="4A104F60"/>
    <w:rsid w:val="4AC44CCF"/>
    <w:rsid w:val="4B367721"/>
    <w:rsid w:val="4B531E57"/>
    <w:rsid w:val="4B5C6F5D"/>
    <w:rsid w:val="4B9862B4"/>
    <w:rsid w:val="4BDD57C4"/>
    <w:rsid w:val="4C53161C"/>
    <w:rsid w:val="4C5C7A55"/>
    <w:rsid w:val="4CE77D75"/>
    <w:rsid w:val="4D6C0776"/>
    <w:rsid w:val="4E241C24"/>
    <w:rsid w:val="4E471216"/>
    <w:rsid w:val="4E8F31A6"/>
    <w:rsid w:val="4EB8281A"/>
    <w:rsid w:val="4ECA2A97"/>
    <w:rsid w:val="4EFF7FF5"/>
    <w:rsid w:val="4FCD1B2E"/>
    <w:rsid w:val="4FD60C11"/>
    <w:rsid w:val="4FDD2FB0"/>
    <w:rsid w:val="4FEC63D6"/>
    <w:rsid w:val="4FEC781B"/>
    <w:rsid w:val="50157C07"/>
    <w:rsid w:val="50243DC2"/>
    <w:rsid w:val="508E5C23"/>
    <w:rsid w:val="50A373DC"/>
    <w:rsid w:val="50F72525"/>
    <w:rsid w:val="5126535E"/>
    <w:rsid w:val="5145686C"/>
    <w:rsid w:val="51A03146"/>
    <w:rsid w:val="51E11F6A"/>
    <w:rsid w:val="51E37D1E"/>
    <w:rsid w:val="51F268CB"/>
    <w:rsid w:val="52070FB5"/>
    <w:rsid w:val="522600F9"/>
    <w:rsid w:val="52487EAE"/>
    <w:rsid w:val="52F40498"/>
    <w:rsid w:val="53202F66"/>
    <w:rsid w:val="53676601"/>
    <w:rsid w:val="540B1521"/>
    <w:rsid w:val="542B571F"/>
    <w:rsid w:val="543D0F64"/>
    <w:rsid w:val="5463310B"/>
    <w:rsid w:val="548811A0"/>
    <w:rsid w:val="54BC0A6D"/>
    <w:rsid w:val="55530DEB"/>
    <w:rsid w:val="55572544"/>
    <w:rsid w:val="555E38D2"/>
    <w:rsid w:val="55D41CE6"/>
    <w:rsid w:val="5601161B"/>
    <w:rsid w:val="56024BA5"/>
    <w:rsid w:val="56446F6C"/>
    <w:rsid w:val="56521D3A"/>
    <w:rsid w:val="56AF4EB7"/>
    <w:rsid w:val="56C500AD"/>
    <w:rsid w:val="56E11790"/>
    <w:rsid w:val="574801A4"/>
    <w:rsid w:val="58751873"/>
    <w:rsid w:val="58816647"/>
    <w:rsid w:val="58B313D5"/>
    <w:rsid w:val="59026BD4"/>
    <w:rsid w:val="593F3A1A"/>
    <w:rsid w:val="59D143DE"/>
    <w:rsid w:val="59F1697A"/>
    <w:rsid w:val="5A932EA3"/>
    <w:rsid w:val="5B1E5FDD"/>
    <w:rsid w:val="5B783226"/>
    <w:rsid w:val="5B8F47E5"/>
    <w:rsid w:val="5BAF30D9"/>
    <w:rsid w:val="5C2047AC"/>
    <w:rsid w:val="5C281030"/>
    <w:rsid w:val="5C5123E2"/>
    <w:rsid w:val="5CB9741E"/>
    <w:rsid w:val="5DB5081F"/>
    <w:rsid w:val="5DBC1ADE"/>
    <w:rsid w:val="5EE5213B"/>
    <w:rsid w:val="5F1F2324"/>
    <w:rsid w:val="5F7563E8"/>
    <w:rsid w:val="5F876343"/>
    <w:rsid w:val="5F97010C"/>
    <w:rsid w:val="5FBD6931"/>
    <w:rsid w:val="5FC10FAF"/>
    <w:rsid w:val="60186B3C"/>
    <w:rsid w:val="60591866"/>
    <w:rsid w:val="60BA775B"/>
    <w:rsid w:val="610E6EE1"/>
    <w:rsid w:val="61A21E89"/>
    <w:rsid w:val="61E149CE"/>
    <w:rsid w:val="6242454C"/>
    <w:rsid w:val="62674759"/>
    <w:rsid w:val="62957D8D"/>
    <w:rsid w:val="62C751AC"/>
    <w:rsid w:val="62F81365"/>
    <w:rsid w:val="631149E6"/>
    <w:rsid w:val="63C42F63"/>
    <w:rsid w:val="64540CC2"/>
    <w:rsid w:val="645B10BD"/>
    <w:rsid w:val="64616F3B"/>
    <w:rsid w:val="649C7F73"/>
    <w:rsid w:val="65031979"/>
    <w:rsid w:val="65075D34"/>
    <w:rsid w:val="65423AF9"/>
    <w:rsid w:val="65842EE1"/>
    <w:rsid w:val="659A2736"/>
    <w:rsid w:val="65C504AF"/>
    <w:rsid w:val="65FD5958"/>
    <w:rsid w:val="660C2037"/>
    <w:rsid w:val="663F2746"/>
    <w:rsid w:val="66CE28D8"/>
    <w:rsid w:val="67160A9F"/>
    <w:rsid w:val="67C6054C"/>
    <w:rsid w:val="67EB7507"/>
    <w:rsid w:val="68246BE9"/>
    <w:rsid w:val="686E29FA"/>
    <w:rsid w:val="68B53114"/>
    <w:rsid w:val="68CF773F"/>
    <w:rsid w:val="68DC276A"/>
    <w:rsid w:val="69230C63"/>
    <w:rsid w:val="694B4271"/>
    <w:rsid w:val="694D0D4B"/>
    <w:rsid w:val="697F4FC5"/>
    <w:rsid w:val="69966816"/>
    <w:rsid w:val="6A0942FC"/>
    <w:rsid w:val="6A3C1FDC"/>
    <w:rsid w:val="6AC00E5F"/>
    <w:rsid w:val="6AC807EB"/>
    <w:rsid w:val="6AFA1D80"/>
    <w:rsid w:val="6B04562B"/>
    <w:rsid w:val="6B0869DC"/>
    <w:rsid w:val="6B8773E8"/>
    <w:rsid w:val="6C0D47CE"/>
    <w:rsid w:val="6C8B1C0B"/>
    <w:rsid w:val="6C9A123C"/>
    <w:rsid w:val="6CD16051"/>
    <w:rsid w:val="6CE76608"/>
    <w:rsid w:val="6D1B5CCF"/>
    <w:rsid w:val="6DC04CD2"/>
    <w:rsid w:val="6DCF45D4"/>
    <w:rsid w:val="6DF37AB2"/>
    <w:rsid w:val="6DF40E20"/>
    <w:rsid w:val="6DFE3927"/>
    <w:rsid w:val="6E021698"/>
    <w:rsid w:val="6E0D360D"/>
    <w:rsid w:val="6E214828"/>
    <w:rsid w:val="6E2B6E91"/>
    <w:rsid w:val="6E535B46"/>
    <w:rsid w:val="6E873A42"/>
    <w:rsid w:val="6E891568"/>
    <w:rsid w:val="6EB63CED"/>
    <w:rsid w:val="6F1126D9"/>
    <w:rsid w:val="6F2311AD"/>
    <w:rsid w:val="702F490B"/>
    <w:rsid w:val="70A83444"/>
    <w:rsid w:val="70DC4E19"/>
    <w:rsid w:val="70ED4030"/>
    <w:rsid w:val="70EE5F27"/>
    <w:rsid w:val="712224AF"/>
    <w:rsid w:val="712559EA"/>
    <w:rsid w:val="71465186"/>
    <w:rsid w:val="716B764B"/>
    <w:rsid w:val="71B27FA3"/>
    <w:rsid w:val="71EC2889"/>
    <w:rsid w:val="725B0C52"/>
    <w:rsid w:val="726C0848"/>
    <w:rsid w:val="72F359DF"/>
    <w:rsid w:val="731B027F"/>
    <w:rsid w:val="7395275D"/>
    <w:rsid w:val="747721DB"/>
    <w:rsid w:val="74896B26"/>
    <w:rsid w:val="74A013B9"/>
    <w:rsid w:val="74AD4992"/>
    <w:rsid w:val="75324CF7"/>
    <w:rsid w:val="753F69FD"/>
    <w:rsid w:val="754E52B9"/>
    <w:rsid w:val="755F6E10"/>
    <w:rsid w:val="757F3C53"/>
    <w:rsid w:val="759B0897"/>
    <w:rsid w:val="75D94B83"/>
    <w:rsid w:val="75EB5275"/>
    <w:rsid w:val="75FA0625"/>
    <w:rsid w:val="76041BD9"/>
    <w:rsid w:val="762235AC"/>
    <w:rsid w:val="764346F2"/>
    <w:rsid w:val="76492FBA"/>
    <w:rsid w:val="76627434"/>
    <w:rsid w:val="76C25B0F"/>
    <w:rsid w:val="76FE4310"/>
    <w:rsid w:val="77356A09"/>
    <w:rsid w:val="77F6233B"/>
    <w:rsid w:val="77F63A65"/>
    <w:rsid w:val="783C5EB8"/>
    <w:rsid w:val="78480F87"/>
    <w:rsid w:val="785C1A9B"/>
    <w:rsid w:val="78905891"/>
    <w:rsid w:val="78B32A76"/>
    <w:rsid w:val="790240B5"/>
    <w:rsid w:val="794A0FB3"/>
    <w:rsid w:val="799F3471"/>
    <w:rsid w:val="79B42CBC"/>
    <w:rsid w:val="7A291E51"/>
    <w:rsid w:val="7A3B22B0"/>
    <w:rsid w:val="7A3B5840"/>
    <w:rsid w:val="7A60132A"/>
    <w:rsid w:val="7A761BE6"/>
    <w:rsid w:val="7A945718"/>
    <w:rsid w:val="7AA80CC3"/>
    <w:rsid w:val="7AB26089"/>
    <w:rsid w:val="7AB4796D"/>
    <w:rsid w:val="7ABD40C5"/>
    <w:rsid w:val="7ABF4168"/>
    <w:rsid w:val="7AED7F62"/>
    <w:rsid w:val="7BCC5E74"/>
    <w:rsid w:val="7BE11633"/>
    <w:rsid w:val="7C1A5EF5"/>
    <w:rsid w:val="7C530849"/>
    <w:rsid w:val="7C686C61"/>
    <w:rsid w:val="7CDE33C7"/>
    <w:rsid w:val="7D7548FF"/>
    <w:rsid w:val="7D924422"/>
    <w:rsid w:val="7DA80709"/>
    <w:rsid w:val="7DDA1DE0"/>
    <w:rsid w:val="7DEB49CB"/>
    <w:rsid w:val="7E100579"/>
    <w:rsid w:val="7E417769"/>
    <w:rsid w:val="7E6C4274"/>
    <w:rsid w:val="7E7363EA"/>
    <w:rsid w:val="7E877EF0"/>
    <w:rsid w:val="7E9C1A39"/>
    <w:rsid w:val="7EB27693"/>
    <w:rsid w:val="7EF40C80"/>
    <w:rsid w:val="7F015C77"/>
    <w:rsid w:val="7F297F21"/>
    <w:rsid w:val="7F8A7395"/>
    <w:rsid w:val="7FDB6323"/>
    <w:rsid w:val="7FDC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5">
    <w:name w:val="heading 1"/>
    <w:basedOn w:val="1"/>
    <w:next w:val="1"/>
    <w:link w:val="50"/>
    <w:qFormat/>
    <w:uiPriority w:val="0"/>
    <w:pPr>
      <w:keepNext/>
      <w:keepLines/>
      <w:tabs>
        <w:tab w:val="left" w:pos="2712"/>
        <w:tab w:val="left" w:pos="4658"/>
        <w:tab w:val="left" w:pos="5157"/>
        <w:tab w:val="left" w:pos="6554"/>
      </w:tabs>
      <w:spacing w:before="20" w:beforeLines="0" w:after="20" w:afterLines="0" w:line="360" w:lineRule="auto"/>
      <w:jc w:val="center"/>
      <w:outlineLvl w:val="0"/>
    </w:pPr>
    <w:rPr>
      <w:b/>
      <w:bCs/>
      <w:kern w:val="44"/>
      <w:sz w:val="36"/>
      <w:szCs w:val="44"/>
    </w:rPr>
  </w:style>
  <w:style w:type="paragraph" w:styleId="6">
    <w:name w:val="heading 2"/>
    <w:basedOn w:val="1"/>
    <w:next w:val="1"/>
    <w:link w:val="51"/>
    <w:unhideWhenUsed/>
    <w:qFormat/>
    <w:uiPriority w:val="0"/>
    <w:pPr>
      <w:keepNext/>
      <w:keepLines/>
      <w:numPr>
        <w:ilvl w:val="1"/>
        <w:numId w:val="0"/>
      </w:numPr>
      <w:tabs>
        <w:tab w:val="left" w:pos="2712"/>
        <w:tab w:val="left" w:pos="4658"/>
        <w:tab w:val="left" w:pos="5157"/>
        <w:tab w:val="left" w:pos="6554"/>
      </w:tabs>
      <w:spacing w:beforeLines="0" w:afterLines="0" w:line="360" w:lineRule="auto"/>
      <w:jc w:val="center"/>
      <w:outlineLvl w:val="1"/>
    </w:pPr>
    <w:rPr>
      <w:rFonts w:ascii="微软雅黑" w:hAnsi="微软雅黑" w:cs="微软雅黑"/>
      <w:b/>
      <w:color w:val="auto"/>
      <w:sz w:val="28"/>
      <w:szCs w:val="20"/>
      <w:lang w:val="zh-CN" w:bidi="zh-CN"/>
    </w:rPr>
  </w:style>
  <w:style w:type="paragraph" w:styleId="7">
    <w:name w:val="heading 3"/>
    <w:basedOn w:val="1"/>
    <w:next w:val="1"/>
    <w:link w:val="53"/>
    <w:unhideWhenUsed/>
    <w:qFormat/>
    <w:uiPriority w:val="0"/>
    <w:pPr>
      <w:keepNext/>
      <w:keepLines/>
      <w:numPr>
        <w:ilvl w:val="2"/>
        <w:numId w:val="0"/>
      </w:numPr>
      <w:tabs>
        <w:tab w:val="left" w:pos="2712"/>
        <w:tab w:val="left" w:pos="4658"/>
        <w:tab w:val="left" w:pos="5157"/>
        <w:tab w:val="left" w:pos="6554"/>
      </w:tabs>
      <w:spacing w:beforeLines="0" w:beforeAutospacing="0" w:afterLines="0" w:afterAutospacing="0" w:line="360" w:lineRule="auto"/>
      <w:ind w:left="1260" w:firstLineChars="0"/>
      <w:jc w:val="center"/>
      <w:outlineLvl w:val="2"/>
    </w:pPr>
    <w:rPr>
      <w:rFonts w:ascii="宋体" w:hAnsi="宋体" w:cs="微软雅黑"/>
      <w:b/>
      <w:lang w:val="zh-CN" w:bidi="zh-CN"/>
    </w:rPr>
  </w:style>
  <w:style w:type="paragraph" w:styleId="8">
    <w:name w:val="heading 4"/>
    <w:basedOn w:val="1"/>
    <w:next w:val="1"/>
    <w:semiHidden/>
    <w:unhideWhenUsed/>
    <w:qFormat/>
    <w:uiPriority w:val="0"/>
    <w:pPr>
      <w:keepNext/>
      <w:keepLines/>
      <w:numPr>
        <w:ilvl w:val="3"/>
        <w:numId w:val="1"/>
      </w:numPr>
      <w:tabs>
        <w:tab w:val="left" w:pos="2712"/>
        <w:tab w:val="left" w:pos="4658"/>
        <w:tab w:val="left" w:pos="5157"/>
        <w:tab w:val="left" w:pos="6554"/>
      </w:tabs>
      <w:spacing w:before="280" w:beforeLines="0" w:beforeAutospacing="0" w:after="290" w:afterLines="0" w:afterAutospacing="0" w:line="372" w:lineRule="auto"/>
      <w:ind w:firstLineChars="0"/>
      <w:outlineLvl w:val="3"/>
    </w:pPr>
    <w:rPr>
      <w:rFonts w:ascii="Arial" w:hAnsi="Arial" w:eastAsia="黑体"/>
      <w:sz w:val="28"/>
    </w:rPr>
  </w:style>
  <w:style w:type="paragraph" w:styleId="9">
    <w:name w:val="heading 5"/>
    <w:basedOn w:val="1"/>
    <w:next w:val="1"/>
    <w:semiHidden/>
    <w:unhideWhenUsed/>
    <w:qFormat/>
    <w:uiPriority w:val="0"/>
    <w:pPr>
      <w:keepNext/>
      <w:keepLines/>
      <w:numPr>
        <w:ilvl w:val="4"/>
        <w:numId w:val="1"/>
      </w:numPr>
      <w:tabs>
        <w:tab w:val="left" w:pos="2712"/>
        <w:tab w:val="left" w:pos="4658"/>
        <w:tab w:val="left" w:pos="5157"/>
        <w:tab w:val="left" w:pos="6554"/>
      </w:tabs>
      <w:spacing w:before="280" w:beforeLines="0" w:beforeAutospacing="0" w:after="290" w:afterLines="0" w:afterAutospacing="0" w:line="372" w:lineRule="auto"/>
      <w:ind w:firstLineChars="0"/>
      <w:outlineLvl w:val="4"/>
    </w:pPr>
    <w:rPr>
      <w:sz w:val="28"/>
    </w:rPr>
  </w:style>
  <w:style w:type="paragraph" w:styleId="10">
    <w:name w:val="heading 6"/>
    <w:basedOn w:val="1"/>
    <w:next w:val="1"/>
    <w:semiHidden/>
    <w:unhideWhenUsed/>
    <w:qFormat/>
    <w:uiPriority w:val="0"/>
    <w:pPr>
      <w:keepNext/>
      <w:keepLines/>
      <w:numPr>
        <w:ilvl w:val="5"/>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5"/>
    </w:pPr>
    <w:rPr>
      <w:rFonts w:ascii="Arial" w:hAnsi="Arial" w:eastAsia="黑体"/>
      <w:sz w:val="24"/>
    </w:rPr>
  </w:style>
  <w:style w:type="paragraph" w:styleId="11">
    <w:name w:val="heading 7"/>
    <w:basedOn w:val="1"/>
    <w:next w:val="1"/>
    <w:semiHidden/>
    <w:unhideWhenUsed/>
    <w:qFormat/>
    <w:uiPriority w:val="0"/>
    <w:pPr>
      <w:keepNext/>
      <w:keepLines/>
      <w:numPr>
        <w:ilvl w:val="6"/>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6"/>
    </w:pPr>
    <w:rPr>
      <w:sz w:val="24"/>
    </w:rPr>
  </w:style>
  <w:style w:type="paragraph" w:styleId="12">
    <w:name w:val="heading 8"/>
    <w:basedOn w:val="1"/>
    <w:next w:val="1"/>
    <w:semiHidden/>
    <w:unhideWhenUsed/>
    <w:qFormat/>
    <w:uiPriority w:val="0"/>
    <w:pPr>
      <w:keepNext/>
      <w:keepLines/>
      <w:numPr>
        <w:ilvl w:val="7"/>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7"/>
    </w:pPr>
    <w:rPr>
      <w:rFonts w:ascii="Arial" w:hAnsi="Arial" w:eastAsia="黑体"/>
      <w:sz w:val="24"/>
    </w:rPr>
  </w:style>
  <w:style w:type="paragraph" w:styleId="13">
    <w:name w:val="heading 9"/>
    <w:basedOn w:val="1"/>
    <w:next w:val="1"/>
    <w:semiHidden/>
    <w:unhideWhenUsed/>
    <w:qFormat/>
    <w:uiPriority w:val="0"/>
    <w:pPr>
      <w:keepNext/>
      <w:keepLines/>
      <w:numPr>
        <w:ilvl w:val="8"/>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8"/>
    </w:pPr>
    <w:rPr>
      <w:rFonts w:ascii="Arial" w:hAnsi="Arial" w:eastAsia="黑体"/>
      <w:sz w:val="21"/>
    </w:rPr>
  </w:style>
  <w:style w:type="character" w:default="1" w:styleId="33">
    <w:name w:val="Default Paragraph Font"/>
    <w:semiHidden/>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customStyle="1" w:styleId="2">
    <w:name w:val="无间隔1"/>
    <w:basedOn w:val="3"/>
    <w:next w:val="4"/>
    <w:qFormat/>
    <w:uiPriority w:val="1"/>
    <w:pPr>
      <w:spacing w:line="400" w:lineRule="exact"/>
    </w:pPr>
    <w:rPr>
      <w:sz w:val="24"/>
    </w:rPr>
  </w:style>
  <w:style w:type="paragraph" w:customStyle="1" w:styleId="3">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styleId="4">
    <w:name w:val="caption"/>
    <w:basedOn w:val="1"/>
    <w:next w:val="1"/>
    <w:qFormat/>
    <w:uiPriority w:val="0"/>
    <w:rPr>
      <w:rFonts w:ascii="Cambria" w:hAnsi="Cambria" w:eastAsia="黑体"/>
      <w:sz w:val="20"/>
      <w:szCs w:val="20"/>
    </w:rPr>
  </w:style>
  <w:style w:type="paragraph" w:styleId="14">
    <w:name w:val="Normal Indent"/>
    <w:basedOn w:val="1"/>
    <w:qFormat/>
    <w:uiPriority w:val="0"/>
    <w:pPr>
      <w:ind w:firstLine="420" w:firstLineChars="200"/>
    </w:pPr>
    <w:rPr>
      <w:rFonts w:ascii="Times New Roman" w:hAnsi="Times New Roman"/>
    </w:rPr>
  </w:style>
  <w:style w:type="paragraph" w:styleId="15">
    <w:name w:val="annotation text"/>
    <w:basedOn w:val="1"/>
    <w:unhideWhenUsed/>
    <w:qFormat/>
    <w:uiPriority w:val="99"/>
    <w:pPr>
      <w:jc w:val="left"/>
    </w:pPr>
    <w:rPr>
      <w:rFonts w:ascii="Times New Roman" w:hAnsi="Times New Roman"/>
      <w:kern w:val="0"/>
      <w:sz w:val="20"/>
    </w:rPr>
  </w:style>
  <w:style w:type="paragraph" w:styleId="16">
    <w:name w:val="Body Text 3"/>
    <w:basedOn w:val="1"/>
    <w:qFormat/>
    <w:uiPriority w:val="0"/>
    <w:rPr>
      <w:rFonts w:hAnsi="Times New Roman"/>
      <w:kern w:val="0"/>
      <w:sz w:val="24"/>
      <w:szCs w:val="20"/>
    </w:rPr>
  </w:style>
  <w:style w:type="paragraph" w:styleId="17">
    <w:name w:val="Body Text"/>
    <w:basedOn w:val="1"/>
    <w:next w:val="1"/>
    <w:qFormat/>
    <w:uiPriority w:val="0"/>
    <w:pPr>
      <w:tabs>
        <w:tab w:val="left" w:pos="2712"/>
        <w:tab w:val="left" w:pos="4658"/>
        <w:tab w:val="left" w:pos="5157"/>
        <w:tab w:val="left" w:pos="6554"/>
      </w:tabs>
      <w:spacing w:after="120" w:afterLines="0" w:afterAutospacing="0"/>
    </w:pPr>
  </w:style>
  <w:style w:type="paragraph" w:styleId="18">
    <w:name w:val="Body Text Indent"/>
    <w:basedOn w:val="1"/>
    <w:next w:val="19"/>
    <w:qFormat/>
    <w:uiPriority w:val="0"/>
    <w:pPr>
      <w:spacing w:after="120" w:afterLines="0"/>
      <w:ind w:left="420" w:leftChars="200"/>
    </w:pPr>
    <w:rPr>
      <w:rFonts w:ascii="Times New Roman" w:hAnsi="Times New Roman"/>
      <w:kern w:val="0"/>
      <w:sz w:val="20"/>
    </w:rPr>
  </w:style>
  <w:style w:type="paragraph" w:styleId="19">
    <w:name w:val="envelope return"/>
    <w:basedOn w:val="1"/>
    <w:unhideWhenUsed/>
    <w:qFormat/>
    <w:uiPriority w:val="99"/>
    <w:pPr>
      <w:snapToGrid w:val="0"/>
    </w:pPr>
    <w:rPr>
      <w:rFonts w:ascii="Arial" w:hAnsi="Arial"/>
    </w:rPr>
  </w:style>
  <w:style w:type="paragraph" w:styleId="20">
    <w:name w:val="List 2"/>
    <w:basedOn w:val="1"/>
    <w:qFormat/>
    <w:uiPriority w:val="0"/>
    <w:pPr>
      <w:ind w:left="100" w:leftChars="200" w:hanging="200" w:hangingChars="200"/>
    </w:pPr>
  </w:style>
  <w:style w:type="paragraph" w:styleId="21">
    <w:name w:val="Plain Text"/>
    <w:basedOn w:val="1"/>
    <w:next w:val="17"/>
    <w:qFormat/>
    <w:uiPriority w:val="0"/>
    <w:rPr>
      <w:rFonts w:hAnsi="Courier New"/>
      <w:kern w:val="0"/>
      <w:sz w:val="20"/>
      <w:szCs w:val="21"/>
    </w:rPr>
  </w:style>
  <w:style w:type="paragraph" w:styleId="22">
    <w:name w:val="footer"/>
    <w:basedOn w:val="1"/>
    <w:qFormat/>
    <w:uiPriority w:val="0"/>
    <w:pPr>
      <w:tabs>
        <w:tab w:val="center" w:pos="4153"/>
        <w:tab w:val="right" w:pos="8306"/>
      </w:tabs>
      <w:snapToGrid w:val="0"/>
      <w:jc w:val="left"/>
    </w:pPr>
    <w:rPr>
      <w:rFonts w:ascii="Times New Roman" w:hAnsi="Times New Roman"/>
      <w:kern w:val="0"/>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4">
    <w:name w:val="toc 1"/>
    <w:basedOn w:val="1"/>
    <w:next w:val="1"/>
    <w:qFormat/>
    <w:uiPriority w:val="39"/>
    <w:pPr>
      <w:widowControl/>
      <w:spacing w:after="100" w:afterLines="0" w:line="276" w:lineRule="auto"/>
      <w:jc w:val="center"/>
    </w:pPr>
    <w:rPr>
      <w:rFonts w:ascii="Calibri" w:hAnsi="Calibri"/>
      <w:kern w:val="0"/>
      <w:sz w:val="22"/>
      <w:szCs w:val="22"/>
    </w:rPr>
  </w:style>
  <w:style w:type="paragraph" w:styleId="25">
    <w:name w:val="toc 2"/>
    <w:basedOn w:val="1"/>
    <w:next w:val="1"/>
    <w:qFormat/>
    <w:uiPriority w:val="39"/>
    <w:pPr>
      <w:widowControl/>
      <w:spacing w:after="100" w:afterLines="0" w:line="276" w:lineRule="auto"/>
      <w:ind w:left="220"/>
      <w:jc w:val="left"/>
    </w:pPr>
    <w:rPr>
      <w:rFonts w:ascii="Calibri" w:hAnsi="Calibri"/>
      <w:kern w:val="0"/>
      <w:sz w:val="22"/>
      <w:szCs w:val="22"/>
    </w:rPr>
  </w:style>
  <w:style w:type="paragraph" w:styleId="26">
    <w:name w:val="Body Text 2"/>
    <w:basedOn w:val="1"/>
    <w:next w:val="1"/>
    <w:qFormat/>
    <w:uiPriority w:val="0"/>
    <w:pPr>
      <w:spacing w:line="700" w:lineRule="exact"/>
    </w:pPr>
    <w:rPr>
      <w:sz w:val="28"/>
    </w:rPr>
  </w:style>
  <w:style w:type="paragraph" w:styleId="27">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28">
    <w:name w:val="Title"/>
    <w:basedOn w:val="1"/>
    <w:qFormat/>
    <w:uiPriority w:val="0"/>
    <w:pPr>
      <w:tabs>
        <w:tab w:val="left" w:pos="2712"/>
        <w:tab w:val="left" w:pos="4658"/>
        <w:tab w:val="left" w:pos="5157"/>
        <w:tab w:val="left" w:pos="6554"/>
      </w:tabs>
      <w:spacing w:before="240" w:beforeLines="0" w:beforeAutospacing="0" w:after="60" w:afterLines="0" w:afterAutospacing="0"/>
      <w:jc w:val="center"/>
      <w:outlineLvl w:val="0"/>
    </w:pPr>
    <w:rPr>
      <w:rFonts w:ascii="Arial" w:hAnsi="Arial"/>
      <w:sz w:val="32"/>
    </w:rPr>
  </w:style>
  <w:style w:type="paragraph" w:styleId="29">
    <w:name w:val="Body Text First Indent"/>
    <w:basedOn w:val="17"/>
    <w:next w:val="30"/>
    <w:qFormat/>
    <w:uiPriority w:val="0"/>
    <w:pPr>
      <w:adjustRightInd/>
      <w:spacing w:after="120" w:afterLines="0" w:line="240" w:lineRule="auto"/>
      <w:ind w:left="0" w:leftChars="0" w:right="0" w:rightChars="0" w:firstLine="420" w:firstLineChars="100"/>
      <w:jc w:val="both"/>
      <w:textAlignment w:val="auto"/>
    </w:pPr>
    <w:rPr>
      <w:rFonts w:ascii="Times New Roman" w:hAnsi="Times New Roman"/>
      <w:kern w:val="2"/>
      <w:sz w:val="21"/>
    </w:rPr>
  </w:style>
  <w:style w:type="paragraph" w:styleId="30">
    <w:name w:val="Body Text First Indent 2"/>
    <w:basedOn w:val="18"/>
    <w:next w:val="1"/>
    <w:unhideWhenUsed/>
    <w:qFormat/>
    <w:uiPriority w:val="0"/>
    <w:pPr>
      <w:widowControl/>
      <w:ind w:firstLine="200" w:firstLineChars="200"/>
      <w:jc w:val="left"/>
    </w:pPr>
    <w:rPr>
      <w:rFonts w:ascii="Calibri" w:hAnsi="Calibri" w:eastAsia="宋体" w:cs="Times New Roman"/>
      <w:sz w:val="28"/>
    </w:rPr>
  </w:style>
  <w:style w:type="table" w:styleId="32">
    <w:name w:val="Table Grid"/>
    <w:basedOn w:val="3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FollowedHyperlink"/>
    <w:basedOn w:val="33"/>
    <w:qFormat/>
    <w:uiPriority w:val="0"/>
    <w:rPr>
      <w:color w:val="800080"/>
      <w:u w:val="none"/>
    </w:rPr>
  </w:style>
  <w:style w:type="character" w:styleId="35">
    <w:name w:val="HTML Definition"/>
    <w:basedOn w:val="33"/>
    <w:qFormat/>
    <w:uiPriority w:val="0"/>
  </w:style>
  <w:style w:type="character" w:styleId="36">
    <w:name w:val="HTML Typewriter"/>
    <w:basedOn w:val="33"/>
    <w:qFormat/>
    <w:uiPriority w:val="0"/>
    <w:rPr>
      <w:rFonts w:hint="default" w:ascii="monospace" w:hAnsi="monospace" w:eastAsia="monospace" w:cs="monospace"/>
      <w:sz w:val="20"/>
    </w:rPr>
  </w:style>
  <w:style w:type="character" w:styleId="37">
    <w:name w:val="HTML Acronym"/>
    <w:basedOn w:val="33"/>
    <w:qFormat/>
    <w:uiPriority w:val="0"/>
  </w:style>
  <w:style w:type="character" w:styleId="38">
    <w:name w:val="HTML Variable"/>
    <w:basedOn w:val="33"/>
    <w:qFormat/>
    <w:uiPriority w:val="0"/>
  </w:style>
  <w:style w:type="character" w:styleId="39">
    <w:name w:val="Hyperlink"/>
    <w:basedOn w:val="33"/>
    <w:qFormat/>
    <w:uiPriority w:val="0"/>
    <w:rPr>
      <w:color w:val="0000FF"/>
      <w:u w:val="none"/>
    </w:rPr>
  </w:style>
  <w:style w:type="character" w:styleId="40">
    <w:name w:val="HTML Code"/>
    <w:basedOn w:val="33"/>
    <w:qFormat/>
    <w:uiPriority w:val="0"/>
    <w:rPr>
      <w:rFonts w:ascii="monospace" w:hAnsi="monospace" w:eastAsia="monospace" w:cs="monospace"/>
      <w:sz w:val="20"/>
    </w:rPr>
  </w:style>
  <w:style w:type="character" w:styleId="41">
    <w:name w:val="HTML Cite"/>
    <w:basedOn w:val="33"/>
    <w:qFormat/>
    <w:uiPriority w:val="0"/>
  </w:style>
  <w:style w:type="character" w:styleId="42">
    <w:name w:val="HTML Keyboard"/>
    <w:basedOn w:val="33"/>
    <w:qFormat/>
    <w:uiPriority w:val="0"/>
    <w:rPr>
      <w:rFonts w:hint="default" w:ascii="monospace" w:hAnsi="monospace" w:eastAsia="monospace" w:cs="monospace"/>
      <w:sz w:val="20"/>
    </w:rPr>
  </w:style>
  <w:style w:type="character" w:styleId="43">
    <w:name w:val="HTML Sample"/>
    <w:basedOn w:val="33"/>
    <w:qFormat/>
    <w:uiPriority w:val="0"/>
    <w:rPr>
      <w:rFonts w:hint="default" w:ascii="monospace" w:hAnsi="monospace" w:eastAsia="monospace" w:cs="monospace"/>
    </w:rPr>
  </w:style>
  <w:style w:type="paragraph" w:customStyle="1" w:styleId="44">
    <w:name w:val="样式 标题 2 + Times New Roman 四号 非加粗 段前: 5 磅 段后: 0 磅 行距: 固定值 20..."/>
    <w:basedOn w:val="6"/>
    <w:qFormat/>
    <w:uiPriority w:val="0"/>
    <w:rPr>
      <w:rFonts w:ascii="Times New Roman" w:hAnsi="Times New Roman" w:cs="宋体"/>
    </w:rPr>
  </w:style>
  <w:style w:type="paragraph" w:customStyle="1" w:styleId="45">
    <w:name w:val="正文文本1"/>
    <w:basedOn w:val="46"/>
    <w:next w:val="47"/>
    <w:qFormat/>
    <w:uiPriority w:val="0"/>
    <w:pPr>
      <w:spacing w:after="120"/>
    </w:pPr>
    <w:rPr>
      <w:rFonts w:ascii="Times New Roman" w:hAnsi="Times New Roman" w:eastAsia="宋体" w:cs="Times New Roman"/>
      <w:kern w:val="0"/>
      <w:sz w:val="20"/>
    </w:rPr>
  </w:style>
  <w:style w:type="paragraph" w:customStyle="1" w:styleId="46">
    <w:name w:val="正文1"/>
    <w:next w:val="45"/>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47">
    <w:name w:val="style4"/>
    <w:basedOn w:val="46"/>
    <w:next w:val="48"/>
    <w:qFormat/>
    <w:uiPriority w:val="0"/>
    <w:pPr>
      <w:widowControl/>
      <w:spacing w:beforeAutospacing="1" w:afterAutospacing="1"/>
      <w:jc w:val="left"/>
    </w:pPr>
    <w:rPr>
      <w:rFonts w:ascii="宋体" w:hAnsi="宋体" w:cs="宋体"/>
      <w:kern w:val="0"/>
      <w:sz w:val="18"/>
      <w:szCs w:val="18"/>
    </w:rPr>
  </w:style>
  <w:style w:type="paragraph" w:customStyle="1" w:styleId="48">
    <w:name w:val="2"/>
    <w:basedOn w:val="18"/>
    <w:next w:val="1"/>
    <w:qFormat/>
    <w:uiPriority w:val="0"/>
    <w:pPr>
      <w:widowControl w:val="0"/>
      <w:jc w:val="both"/>
    </w:pPr>
    <w:rPr>
      <w:rFonts w:ascii="Times New Roman" w:hAnsi="Times New Roman" w:eastAsia="宋体" w:cs="Times New Roman"/>
      <w:sz w:val="21"/>
      <w:lang w:val="en-US" w:eastAsia="zh-CN" w:bidi="ar-SA"/>
    </w:rPr>
  </w:style>
  <w:style w:type="paragraph" w:customStyle="1" w:styleId="49">
    <w:name w:val="Default"/>
    <w:basedOn w:val="2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50">
    <w:name w:val="标题 1 Char"/>
    <w:link w:val="5"/>
    <w:qFormat/>
    <w:uiPriority w:val="0"/>
    <w:rPr>
      <w:rFonts w:ascii="Times New Roman" w:hAnsi="Times New Roman" w:eastAsia="宋体"/>
      <w:b/>
      <w:bCs/>
      <w:kern w:val="44"/>
      <w:sz w:val="36"/>
      <w:szCs w:val="44"/>
      <w:lang w:bidi="ar-SA"/>
    </w:rPr>
  </w:style>
  <w:style w:type="character" w:customStyle="1" w:styleId="51">
    <w:name w:val="标题 2 Char"/>
    <w:link w:val="6"/>
    <w:qFormat/>
    <w:uiPriority w:val="0"/>
    <w:rPr>
      <w:rFonts w:ascii="微软雅黑" w:hAnsi="微软雅黑" w:eastAsia="宋体" w:cs="微软雅黑"/>
      <w:b/>
      <w:bCs/>
      <w:color w:val="auto"/>
      <w:kern w:val="0"/>
      <w:sz w:val="28"/>
      <w:szCs w:val="20"/>
      <w:lang w:val="zh-CN" w:eastAsia="zh-CN" w:bidi="zh-CN"/>
    </w:rPr>
  </w:style>
  <w:style w:type="paragraph" w:customStyle="1" w:styleId="52">
    <w:name w:val="标题4 11"/>
    <w:basedOn w:val="1"/>
    <w:qFormat/>
    <w:uiPriority w:val="0"/>
    <w:pPr>
      <w:numPr>
        <w:ilvl w:val="1"/>
        <w:numId w:val="2"/>
      </w:numPr>
      <w:tabs>
        <w:tab w:val="left" w:pos="2712"/>
        <w:tab w:val="left" w:pos="4658"/>
        <w:tab w:val="left" w:pos="5157"/>
        <w:tab w:val="left" w:pos="6554"/>
      </w:tabs>
      <w:ind w:firstLine="0" w:firstLineChars="0"/>
    </w:pPr>
  </w:style>
  <w:style w:type="character" w:customStyle="1" w:styleId="53">
    <w:name w:val="标题 3 Char"/>
    <w:link w:val="7"/>
    <w:qFormat/>
    <w:uiPriority w:val="0"/>
    <w:rPr>
      <w:rFonts w:ascii="宋体" w:hAnsi="宋体" w:eastAsia="宋体" w:cs="微软雅黑"/>
      <w:b/>
      <w:sz w:val="24"/>
      <w:szCs w:val="24"/>
      <w:lang w:val="zh-CN" w:bidi="zh-CN"/>
    </w:rPr>
  </w:style>
  <w:style w:type="paragraph" w:customStyle="1" w:styleId="54">
    <w:name w:val="样式 标题 3 + (中文) 黑体 小四 非加粗 段前: 7.8 磅 段后: 0 磅 行距: 固定值 20 磅"/>
    <w:basedOn w:val="7"/>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55">
    <w:name w:val="表"/>
    <w:qFormat/>
    <w:uiPriority w:val="0"/>
    <w:pPr>
      <w:widowControl w:val="0"/>
      <w:spacing w:line="360" w:lineRule="auto"/>
      <w:jc w:val="both"/>
    </w:pPr>
    <w:rPr>
      <w:rFonts w:ascii="宋体" w:hAnsi="宋体" w:eastAsia="宋体" w:cs="Times New Roman"/>
      <w:b/>
      <w:bCs/>
      <w:kern w:val="2"/>
      <w:sz w:val="21"/>
      <w:szCs w:val="22"/>
      <w:lang w:val="en-US" w:eastAsia="zh-CN" w:bidi="ar-SA"/>
    </w:rPr>
  </w:style>
  <w:style w:type="paragraph" w:customStyle="1" w:styleId="56">
    <w:name w:val="正文_5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7">
    <w:name w:val="p0"/>
    <w:basedOn w:val="1"/>
    <w:qFormat/>
    <w:uiPriority w:val="0"/>
    <w:rPr>
      <w:szCs w:val="21"/>
    </w:rPr>
  </w:style>
  <w:style w:type="paragraph" w:styleId="58">
    <w:name w:val="List Paragraph"/>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19362</Words>
  <Characters>20812</Characters>
  <Lines>0</Lines>
  <Paragraphs>0</Paragraphs>
  <TotalTime>55</TotalTime>
  <ScaleCrop>false</ScaleCrop>
  <LinksUpToDate>false</LinksUpToDate>
  <CharactersWithSpaces>21315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2024-12-10T01:34:00Z</dcterms:created>
  <dc:creator>米修素茶</dc:creator>
  <cp:lastModifiedBy>Administrator</cp:lastModifiedBy>
  <cp:lastPrinted>2026-07-23T07:15:00Z</cp:lastPrinted>
  <dcterms:modified xsi:type="dcterms:W3CDTF">2026-10-16T05:48:25Z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28A71B25EAF44498A118181D88172165_13</vt:lpwstr>
  </property>
  <property fmtid="{D5CDD505-2E9C-101B-9397-08002B2CF9AE}" pid="4" name="KSOTemplateDocerSaveRecord">
    <vt:lpwstr>eyJoZGlkIjoiNDJiODJmMzg0YjcwODQ4MzBiNWViNWUyODc4YjZiOTEiLCJ1c2VySWQiOiIxODE0NjA0MDUyIn0=</vt:lpwstr>
  </property>
</Properties>
</file>