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FDCBE0">
      <w:pPr>
        <w:widowControl w:val="0"/>
        <w:spacing w:after="120" w:afterLines="0" w:afterAutospacing="0" w:line="480" w:lineRule="auto"/>
        <w:jc w:val="center"/>
        <w:rPr>
          <w:rFonts w:hint="eastAsia" w:ascii="宋体" w:hAnsi="宋体" w:eastAsia="宋体" w:cs="宋体"/>
          <w:b/>
          <w:bCs/>
          <w:kern w:val="2"/>
          <w:sz w:val="52"/>
          <w:szCs w:val="52"/>
          <w:lang w:val="en-US" w:eastAsia="zh-CN" w:bidi="ar-SA"/>
        </w:rPr>
      </w:pPr>
    </w:p>
    <w:p w14:paraId="769727B3">
      <w:pPr>
        <w:widowControl w:val="0"/>
        <w:spacing w:after="120" w:afterLines="0" w:afterAutospacing="0" w:line="480" w:lineRule="auto"/>
        <w:jc w:val="center"/>
        <w:rPr>
          <w:rFonts w:hint="eastAsia" w:ascii="宋体" w:hAnsi="宋体" w:eastAsia="宋体" w:cs="宋体"/>
          <w:kern w:val="2"/>
          <w:sz w:val="52"/>
          <w:szCs w:val="52"/>
          <w:lang w:val="en-US" w:eastAsia="zh-CN" w:bidi="ar-SA"/>
        </w:rPr>
      </w:pPr>
      <w:r>
        <w:rPr>
          <w:rFonts w:hint="eastAsia" w:ascii="宋体" w:hAnsi="宋体" w:eastAsia="宋体" w:cs="宋体"/>
          <w:b/>
          <w:bCs/>
          <w:kern w:val="2"/>
          <w:sz w:val="52"/>
          <w:szCs w:val="52"/>
          <w:lang w:val="en-US" w:eastAsia="zh-CN" w:bidi="ar-SA"/>
        </w:rPr>
        <w:t>息县自然资源局息县国土空间总体规划动态调整完善项目</w:t>
      </w:r>
    </w:p>
    <w:p w14:paraId="5B01D7D7">
      <w:pPr>
        <w:widowControl w:val="0"/>
        <w:spacing w:after="120" w:afterLines="0" w:line="240" w:lineRule="auto"/>
        <w:ind w:left="420" w:leftChars="200" w:firstLine="420" w:firstLineChars="200"/>
        <w:jc w:val="both"/>
        <w:rPr>
          <w:rFonts w:hint="eastAsia" w:ascii="宋体" w:hAnsi="宋体" w:eastAsia="宋体" w:cs="宋体"/>
          <w:kern w:val="2"/>
          <w:sz w:val="21"/>
          <w:szCs w:val="22"/>
          <w:lang w:val="en-US" w:eastAsia="zh-CN" w:bidi="ar-SA"/>
        </w:rPr>
      </w:pPr>
    </w:p>
    <w:p w14:paraId="266A1E7A">
      <w:pPr>
        <w:widowControl w:val="0"/>
        <w:spacing w:after="120" w:afterLines="0" w:line="240" w:lineRule="auto"/>
        <w:ind w:left="420" w:leftChars="200" w:firstLine="482" w:firstLineChars="200"/>
        <w:jc w:val="center"/>
        <w:rPr>
          <w:rFonts w:hint="eastAsia" w:ascii="宋体" w:hAnsi="宋体" w:eastAsia="宋体" w:cs="宋体"/>
          <w:b/>
          <w:bCs/>
          <w:kern w:val="2"/>
          <w:sz w:val="24"/>
          <w:szCs w:val="28"/>
          <w:lang w:val="en-US" w:eastAsia="zh-CN" w:bidi="ar-SA"/>
        </w:rPr>
      </w:pPr>
      <w:r>
        <w:rPr>
          <w:rFonts w:hint="eastAsia" w:ascii="宋体" w:hAnsi="宋体" w:eastAsia="宋体" w:cs="宋体"/>
          <w:b/>
          <w:bCs/>
          <w:kern w:val="2"/>
          <w:sz w:val="24"/>
          <w:szCs w:val="28"/>
          <w:lang w:val="en-US" w:eastAsia="zh-CN" w:bidi="ar-SA"/>
        </w:rPr>
        <w:t>项目编号：息财磋商-2026-08-2</w:t>
      </w:r>
    </w:p>
    <w:p w14:paraId="528BB792">
      <w:pPr>
        <w:pStyle w:val="12"/>
        <w:rPr>
          <w:rFonts w:hint="eastAsia" w:ascii="宋体" w:hAnsi="宋体" w:eastAsia="宋体" w:cs="宋体"/>
          <w:kern w:val="2"/>
          <w:sz w:val="21"/>
          <w:szCs w:val="22"/>
          <w:lang w:val="en-US" w:eastAsia="zh-CN" w:bidi="ar-SA"/>
        </w:rPr>
      </w:pPr>
    </w:p>
    <w:p w14:paraId="480659FF">
      <w:pPr>
        <w:pStyle w:val="7"/>
        <w:rPr>
          <w:rFonts w:hint="eastAsia"/>
          <w:lang w:val="en-US" w:eastAsia="zh-CN"/>
        </w:rPr>
      </w:pPr>
    </w:p>
    <w:p w14:paraId="209ECDF7">
      <w:pPr>
        <w:pStyle w:val="7"/>
        <w:rPr>
          <w:rFonts w:hint="eastAsia" w:ascii="宋体" w:hAnsi="宋体" w:eastAsia="宋体" w:cs="宋体"/>
          <w:lang w:val="en-US" w:eastAsia="zh-CN"/>
        </w:rPr>
      </w:pPr>
    </w:p>
    <w:p w14:paraId="01D7E5C2">
      <w:pPr>
        <w:spacing w:line="600" w:lineRule="auto"/>
        <w:ind w:firstLine="1446" w:firstLineChars="200"/>
        <w:jc w:val="both"/>
        <w:rPr>
          <w:rFonts w:hint="eastAsia" w:ascii="宋体" w:hAnsi="宋体" w:eastAsia="宋体" w:cs="宋体"/>
          <w:b/>
          <w:kern w:val="15"/>
          <w:sz w:val="72"/>
          <w:szCs w:val="52"/>
        </w:rPr>
      </w:pPr>
      <w:r>
        <w:rPr>
          <w:rFonts w:hint="eastAsia" w:ascii="宋体" w:hAnsi="宋体" w:eastAsia="宋体" w:cs="宋体"/>
          <w:b/>
          <w:kern w:val="15"/>
          <w:sz w:val="72"/>
          <w:szCs w:val="52"/>
        </w:rPr>
        <w:t>竞争性</w:t>
      </w:r>
      <w:r>
        <w:rPr>
          <w:rFonts w:hint="eastAsia" w:ascii="宋体" w:hAnsi="宋体" w:eastAsia="宋体" w:cs="宋体"/>
          <w:b/>
          <w:kern w:val="15"/>
          <w:sz w:val="72"/>
          <w:szCs w:val="52"/>
          <w:lang w:eastAsia="zh-CN"/>
        </w:rPr>
        <w:t>磋商</w:t>
      </w:r>
      <w:r>
        <w:rPr>
          <w:rFonts w:hint="eastAsia" w:ascii="宋体" w:hAnsi="宋体" w:eastAsia="宋体" w:cs="宋体"/>
          <w:b/>
          <w:kern w:val="15"/>
          <w:sz w:val="72"/>
          <w:szCs w:val="52"/>
        </w:rPr>
        <w:t>文件</w:t>
      </w:r>
    </w:p>
    <w:p w14:paraId="5C9D2DCB">
      <w:pPr>
        <w:widowControl w:val="0"/>
        <w:spacing w:after="120" w:afterLines="0" w:afterAutospacing="0" w:line="600" w:lineRule="exact"/>
        <w:ind w:firstLine="210" w:firstLineChars="100"/>
        <w:jc w:val="both"/>
        <w:rPr>
          <w:rFonts w:hint="eastAsia" w:ascii="宋体" w:hAnsi="宋体" w:eastAsia="宋体" w:cs="宋体"/>
          <w:kern w:val="2"/>
          <w:sz w:val="21"/>
          <w:szCs w:val="22"/>
          <w:lang w:val="en-US" w:eastAsia="zh-CN" w:bidi="ar-SA"/>
        </w:rPr>
      </w:pPr>
    </w:p>
    <w:p w14:paraId="46B63949">
      <w:pPr>
        <w:autoSpaceDE w:val="0"/>
        <w:autoSpaceDN w:val="0"/>
        <w:spacing w:line="600" w:lineRule="exact"/>
        <w:ind w:firstLine="723" w:firstLineChars="200"/>
        <w:jc w:val="center"/>
        <w:rPr>
          <w:rFonts w:hint="eastAsia" w:ascii="宋体" w:hAnsi="宋体" w:eastAsia="宋体" w:cs="宋体"/>
          <w:b/>
          <w:sz w:val="36"/>
          <w:szCs w:val="36"/>
        </w:rPr>
      </w:pPr>
    </w:p>
    <w:p w14:paraId="089ECBED">
      <w:pPr>
        <w:spacing w:line="600" w:lineRule="exact"/>
        <w:ind w:firstLine="723" w:firstLineChars="200"/>
        <w:jc w:val="center"/>
        <w:rPr>
          <w:rFonts w:hint="eastAsia" w:ascii="宋体" w:hAnsi="宋体" w:eastAsia="宋体" w:cs="宋体"/>
          <w:b/>
          <w:sz w:val="36"/>
          <w:szCs w:val="36"/>
        </w:rPr>
      </w:pPr>
    </w:p>
    <w:p w14:paraId="65EE683A">
      <w:pPr>
        <w:spacing w:line="600" w:lineRule="exact"/>
        <w:ind w:firstLine="723" w:firstLineChars="200"/>
        <w:jc w:val="center"/>
        <w:rPr>
          <w:rFonts w:hint="eastAsia" w:ascii="宋体" w:hAnsi="宋体" w:eastAsia="宋体" w:cs="宋体"/>
          <w:b/>
          <w:sz w:val="36"/>
          <w:szCs w:val="36"/>
        </w:rPr>
      </w:pPr>
    </w:p>
    <w:p w14:paraId="00597EA2">
      <w:pPr>
        <w:spacing w:line="600" w:lineRule="exact"/>
        <w:ind w:firstLine="420" w:firstLineChars="200"/>
        <w:rPr>
          <w:rFonts w:hint="eastAsia" w:ascii="宋体" w:hAnsi="宋体" w:eastAsia="宋体" w:cs="宋体"/>
        </w:rPr>
      </w:pPr>
    </w:p>
    <w:p w14:paraId="2818A11F">
      <w:pPr>
        <w:spacing w:line="600" w:lineRule="exact"/>
        <w:ind w:left="0" w:leftChars="0" w:firstLine="0" w:firstLineChars="0"/>
        <w:rPr>
          <w:rFonts w:hint="eastAsia" w:ascii="宋体" w:hAnsi="宋体" w:eastAsia="宋体" w:cs="宋体"/>
          <w:b/>
          <w:bCs/>
          <w:color w:val="auto"/>
          <w:sz w:val="32"/>
          <w:szCs w:val="32"/>
          <w:lang w:val="en-US" w:eastAsia="zh-CN"/>
        </w:rPr>
      </w:pPr>
    </w:p>
    <w:p w14:paraId="2FC55647">
      <w:pPr>
        <w:spacing w:line="600" w:lineRule="exact"/>
        <w:ind w:left="0" w:leftChars="0" w:firstLine="0" w:firstLineChars="0"/>
        <w:rPr>
          <w:rFonts w:hint="eastAsia" w:ascii="宋体" w:hAnsi="宋体" w:eastAsia="宋体" w:cs="宋体"/>
          <w:b/>
          <w:bCs/>
          <w:color w:val="auto"/>
          <w:sz w:val="32"/>
          <w:szCs w:val="32"/>
          <w:lang w:val="en-US" w:eastAsia="zh-CN"/>
        </w:rPr>
      </w:pPr>
    </w:p>
    <w:p w14:paraId="1113E8A2">
      <w:pPr>
        <w:tabs>
          <w:tab w:val="left" w:pos="7860"/>
        </w:tabs>
        <w:spacing w:line="480" w:lineRule="auto"/>
        <w:ind w:left="0" w:leftChars="0" w:firstLine="643" w:firstLineChars="200"/>
        <w:rPr>
          <w:rFonts w:hint="eastAsia" w:ascii="宋体" w:hAnsi="宋体" w:eastAsia="宋体" w:cs="宋体"/>
          <w:b/>
          <w:bCs/>
          <w:color w:val="auto"/>
          <w:sz w:val="32"/>
          <w:szCs w:val="32"/>
          <w:lang w:eastAsia="zh-CN"/>
        </w:rPr>
      </w:pPr>
      <w:r>
        <w:rPr>
          <w:rFonts w:hint="eastAsia" w:ascii="宋体" w:hAnsi="宋体" w:eastAsia="宋体" w:cs="宋体"/>
          <w:b/>
          <w:bCs/>
          <w:color w:val="auto"/>
          <w:sz w:val="32"/>
          <w:szCs w:val="32"/>
          <w:lang w:val="en-US" w:eastAsia="zh-CN"/>
        </w:rPr>
        <w:t xml:space="preserve">采   购   </w:t>
      </w:r>
      <w:r>
        <w:rPr>
          <w:rFonts w:hint="eastAsia" w:ascii="宋体" w:hAnsi="宋体" w:eastAsia="宋体" w:cs="宋体"/>
          <w:b/>
          <w:bCs/>
          <w:color w:val="auto"/>
          <w:sz w:val="32"/>
          <w:szCs w:val="32"/>
        </w:rPr>
        <w:t xml:space="preserve">人: </w:t>
      </w:r>
      <w:r>
        <w:rPr>
          <w:rFonts w:hint="eastAsia" w:ascii="宋体" w:hAnsi="宋体" w:eastAsia="宋体" w:cs="宋体"/>
          <w:b/>
          <w:bCs/>
          <w:color w:val="auto"/>
          <w:sz w:val="32"/>
          <w:szCs w:val="32"/>
          <w:lang w:eastAsia="zh-CN"/>
        </w:rPr>
        <w:t>息县自然资源局</w:t>
      </w:r>
    </w:p>
    <w:p w14:paraId="525FDE66">
      <w:pPr>
        <w:tabs>
          <w:tab w:val="left" w:pos="7860"/>
        </w:tabs>
        <w:spacing w:line="480" w:lineRule="auto"/>
        <w:ind w:left="0" w:leftChars="0"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lang w:val="en-US" w:eastAsia="zh-CN"/>
        </w:rPr>
        <w:t>采购</w:t>
      </w:r>
      <w:r>
        <w:rPr>
          <w:rFonts w:hint="eastAsia" w:ascii="宋体" w:hAnsi="宋体" w:eastAsia="宋体" w:cs="宋体"/>
          <w:b/>
          <w:bCs/>
          <w:color w:val="auto"/>
          <w:sz w:val="32"/>
          <w:szCs w:val="32"/>
        </w:rPr>
        <w:t xml:space="preserve">代理机构: </w:t>
      </w:r>
      <w:r>
        <w:rPr>
          <w:rFonts w:hint="eastAsia" w:ascii="宋体" w:hAnsi="宋体" w:eastAsia="宋体" w:cs="宋体"/>
          <w:b/>
          <w:bCs/>
          <w:color w:val="auto"/>
          <w:sz w:val="32"/>
          <w:szCs w:val="32"/>
          <w:lang w:eastAsia="zh-CN"/>
        </w:rPr>
        <w:t>河南宏德建设管理有限公司</w:t>
      </w:r>
    </w:p>
    <w:p w14:paraId="34D4580A">
      <w:pPr>
        <w:spacing w:line="360" w:lineRule="auto"/>
        <w:ind w:left="0" w:leftChars="0" w:firstLine="643" w:firstLineChars="200"/>
        <w:rPr>
          <w:rFonts w:hint="eastAsia" w:ascii="宋体" w:hAnsi="宋体" w:eastAsia="宋体" w:cs="宋体"/>
          <w:b/>
          <w:sz w:val="32"/>
        </w:rPr>
      </w:pPr>
      <w:r>
        <w:rPr>
          <w:rFonts w:hint="eastAsia" w:ascii="宋体" w:hAnsi="宋体" w:eastAsia="宋体" w:cs="宋体"/>
          <w:b/>
          <w:bCs/>
          <w:color w:val="auto"/>
          <w:sz w:val="32"/>
          <w:szCs w:val="32"/>
          <w:highlight w:val="none"/>
        </w:rPr>
        <w:t>日        期</w:t>
      </w:r>
      <w:r>
        <w:rPr>
          <w:rFonts w:hint="eastAsia" w:ascii="宋体" w:hAnsi="宋体" w:eastAsia="宋体" w:cs="宋体"/>
          <w:b/>
          <w:bCs/>
          <w:color w:val="auto"/>
          <w:sz w:val="32"/>
          <w:szCs w:val="32"/>
        </w:rPr>
        <w:t>:</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sz w:val="32"/>
        </w:rPr>
        <w:t>二零二</w:t>
      </w:r>
      <w:r>
        <w:rPr>
          <w:rFonts w:hint="eastAsia" w:ascii="宋体" w:hAnsi="宋体" w:eastAsia="宋体" w:cs="宋体"/>
          <w:b/>
          <w:sz w:val="32"/>
          <w:lang w:eastAsia="zh-CN"/>
        </w:rPr>
        <w:t>六</w:t>
      </w:r>
      <w:r>
        <w:rPr>
          <w:rFonts w:hint="eastAsia" w:ascii="宋体" w:hAnsi="宋体" w:eastAsia="宋体" w:cs="宋体"/>
          <w:b/>
          <w:sz w:val="32"/>
        </w:rPr>
        <w:t>年</w:t>
      </w:r>
      <w:r>
        <w:rPr>
          <w:rFonts w:hint="eastAsia" w:ascii="宋体" w:hAnsi="宋体" w:eastAsia="宋体" w:cs="宋体"/>
          <w:b/>
          <w:sz w:val="32"/>
          <w:lang w:val="en-US" w:eastAsia="zh-CN"/>
        </w:rPr>
        <w:t>八</w:t>
      </w:r>
      <w:r>
        <w:rPr>
          <w:rFonts w:hint="eastAsia" w:ascii="宋体" w:hAnsi="宋体" w:eastAsia="宋体" w:cs="宋体"/>
          <w:b/>
          <w:sz w:val="32"/>
        </w:rPr>
        <w:t>月</w:t>
      </w:r>
    </w:p>
    <w:p w14:paraId="365F8BC2">
      <w:pPr>
        <w:keepNext w:val="0"/>
        <w:keepLines w:val="0"/>
        <w:pageBreakBefore/>
        <w:widowControl w:val="0"/>
        <w:kinsoku/>
        <w:wordWrap/>
        <w:overflowPunct/>
        <w:topLinePunct w:val="0"/>
        <w:autoSpaceDE/>
        <w:autoSpaceDN/>
        <w:bidi w:val="0"/>
        <w:adjustRightInd/>
        <w:snapToGrid/>
        <w:spacing w:line="360" w:lineRule="auto"/>
        <w:ind w:firstLine="939" w:firstLineChars="200"/>
        <w:jc w:val="center"/>
        <w:textAlignment w:val="auto"/>
        <w:outlineLvl w:val="0"/>
        <w:rPr>
          <w:rFonts w:hint="eastAsia" w:ascii="宋体" w:hAnsi="宋体" w:eastAsia="宋体" w:cs="宋体"/>
          <w:b/>
          <w:color w:val="auto"/>
          <w:spacing w:val="14"/>
          <w:kern w:val="0"/>
          <w:sz w:val="44"/>
          <w:szCs w:val="44"/>
          <w:lang w:val="en-US" w:eastAsia="zh-CN" w:bidi="ar-SA"/>
        </w:rPr>
      </w:pPr>
      <w:bookmarkStart w:id="0" w:name="_Toc8482"/>
      <w:r>
        <w:rPr>
          <w:rFonts w:hint="eastAsia" w:ascii="宋体" w:hAnsi="宋体" w:eastAsia="宋体" w:cs="宋体"/>
          <w:b/>
          <w:color w:val="auto"/>
          <w:spacing w:val="14"/>
          <w:kern w:val="0"/>
          <w:sz w:val="44"/>
          <w:szCs w:val="44"/>
          <w:lang w:val="en-US" w:eastAsia="zh-CN" w:bidi="ar-SA"/>
        </w:rPr>
        <w:t>目  录</w:t>
      </w:r>
      <w:bookmarkEnd w:id="0"/>
    </w:p>
    <w:sdt>
      <w:sdtPr>
        <w:rPr>
          <w:rFonts w:ascii="宋体" w:hAnsi="宋体" w:eastAsia="宋体" w:cstheme="minorBidi"/>
          <w:kern w:val="2"/>
          <w:sz w:val="21"/>
          <w:szCs w:val="22"/>
          <w:lang w:val="en-US" w:eastAsia="zh-CN" w:bidi="ar-SA"/>
        </w:rPr>
        <w:id w:val="147482277"/>
        <w15:color w:val="DBDBDB"/>
        <w:docPartObj>
          <w:docPartGallery w:val="Table of Contents"/>
          <w:docPartUnique/>
        </w:docPartObj>
      </w:sdtPr>
      <w:sdtEndPr>
        <w:rPr>
          <w:rFonts w:hint="eastAsia" w:ascii="宋体" w:hAnsi="宋体" w:eastAsia="宋体" w:cs="宋体"/>
          <w:kern w:val="2"/>
          <w:sz w:val="28"/>
          <w:szCs w:val="44"/>
          <w:highlight w:val="none"/>
          <w:lang w:val="en-US" w:eastAsia="zh-CN" w:bidi="ar-SA"/>
        </w:rPr>
      </w:sdtEndPr>
      <w:sdtContent>
        <w:p w14:paraId="58BE1DBB">
          <w:pPr>
            <w:spacing w:before="0" w:beforeLines="0" w:after="0" w:afterLines="0" w:line="240" w:lineRule="auto"/>
            <w:ind w:left="0" w:leftChars="0" w:right="0" w:rightChars="0" w:firstLine="0" w:firstLineChars="0"/>
            <w:jc w:val="center"/>
          </w:pPr>
        </w:p>
        <w:p w14:paraId="5DD2777C">
          <w:pPr>
            <w:pStyle w:val="24"/>
            <w:tabs>
              <w:tab w:val="right" w:leader="dot" w:pos="8299"/>
            </w:tabs>
            <w:spacing w:line="720" w:lineRule="auto"/>
            <w:rPr>
              <w:rFonts w:hint="eastAsia" w:ascii="宋体" w:hAnsi="宋体" w:eastAsia="宋体" w:cs="宋体"/>
              <w:sz w:val="32"/>
              <w:szCs w:val="40"/>
            </w:rPr>
          </w:pPr>
          <w:r>
            <w:rPr>
              <w:rFonts w:hint="eastAsia" w:ascii="宋体" w:hAnsi="宋体" w:eastAsia="宋体" w:cs="宋体"/>
              <w:kern w:val="2"/>
              <w:sz w:val="48"/>
              <w:szCs w:val="48"/>
              <w:highlight w:val="none"/>
              <w:lang w:val="en-US" w:eastAsia="zh-CN" w:bidi="ar-SA"/>
            </w:rPr>
            <w:fldChar w:fldCharType="begin"/>
          </w:r>
          <w:r>
            <w:rPr>
              <w:rFonts w:hint="eastAsia" w:ascii="宋体" w:hAnsi="宋体" w:eastAsia="宋体" w:cs="宋体"/>
              <w:kern w:val="2"/>
              <w:sz w:val="48"/>
              <w:szCs w:val="48"/>
              <w:highlight w:val="none"/>
              <w:lang w:val="en-US" w:eastAsia="zh-CN" w:bidi="ar-SA"/>
            </w:rPr>
            <w:instrText xml:space="preserve">TOC \o "1-1" \h \u </w:instrText>
          </w:r>
          <w:r>
            <w:rPr>
              <w:rFonts w:hint="eastAsia" w:ascii="宋体" w:hAnsi="宋体" w:eastAsia="宋体" w:cs="宋体"/>
              <w:kern w:val="2"/>
              <w:sz w:val="48"/>
              <w:szCs w:val="48"/>
              <w:highlight w:val="none"/>
              <w:lang w:val="en-US" w:eastAsia="zh-CN" w:bidi="ar-SA"/>
            </w:rPr>
            <w:fldChar w:fldCharType="separate"/>
          </w:r>
          <w:r>
            <w:rPr>
              <w:rFonts w:hint="eastAsia" w:ascii="宋体" w:hAnsi="宋体" w:eastAsia="宋体" w:cs="宋体"/>
              <w:kern w:val="2"/>
              <w:sz w:val="32"/>
              <w:szCs w:val="48"/>
              <w:highlight w:val="none"/>
              <w:lang w:val="en-US" w:eastAsia="zh-CN" w:bidi="ar-SA"/>
            </w:rPr>
            <w:fldChar w:fldCharType="begin"/>
          </w:r>
          <w:r>
            <w:rPr>
              <w:rFonts w:hint="eastAsia" w:ascii="宋体" w:hAnsi="宋体" w:eastAsia="宋体" w:cs="宋体"/>
              <w:kern w:val="2"/>
              <w:sz w:val="32"/>
              <w:szCs w:val="48"/>
              <w:highlight w:val="none"/>
              <w:lang w:val="en-US" w:eastAsia="zh-CN" w:bidi="ar-SA"/>
            </w:rPr>
            <w:instrText xml:space="preserve"> HYPERLINK \l _Toc17881 </w:instrText>
          </w:r>
          <w:r>
            <w:rPr>
              <w:rFonts w:hint="eastAsia" w:ascii="宋体" w:hAnsi="宋体" w:eastAsia="宋体" w:cs="宋体"/>
              <w:kern w:val="2"/>
              <w:sz w:val="32"/>
              <w:szCs w:val="48"/>
              <w:highlight w:val="none"/>
              <w:lang w:val="en-US" w:eastAsia="zh-CN" w:bidi="ar-SA"/>
            </w:rPr>
            <w:fldChar w:fldCharType="separate"/>
          </w:r>
          <w:r>
            <w:rPr>
              <w:rFonts w:hint="eastAsia" w:ascii="宋体" w:hAnsi="宋体" w:eastAsia="宋体" w:cs="宋体"/>
              <w:bCs/>
              <w:kern w:val="0"/>
              <w:sz w:val="32"/>
              <w:szCs w:val="48"/>
              <w:lang w:val="en-US" w:eastAsia="zh-CN" w:bidi="ar-SA"/>
            </w:rPr>
            <w:t>第一章 竞争性磋商公告</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_Toc17881 \h </w:instrText>
          </w:r>
          <w:r>
            <w:rPr>
              <w:rFonts w:hint="eastAsia" w:ascii="宋体" w:hAnsi="宋体" w:eastAsia="宋体" w:cs="宋体"/>
              <w:sz w:val="32"/>
              <w:szCs w:val="40"/>
            </w:rPr>
            <w:fldChar w:fldCharType="separate"/>
          </w:r>
          <w:r>
            <w:rPr>
              <w:rFonts w:hint="eastAsia" w:ascii="宋体" w:hAnsi="宋体" w:eastAsia="宋体" w:cs="宋体"/>
              <w:sz w:val="32"/>
              <w:szCs w:val="40"/>
            </w:rPr>
            <w:t>1</w:t>
          </w:r>
          <w:r>
            <w:rPr>
              <w:rFonts w:hint="eastAsia" w:ascii="宋体" w:hAnsi="宋体" w:eastAsia="宋体" w:cs="宋体"/>
              <w:sz w:val="32"/>
              <w:szCs w:val="40"/>
            </w:rPr>
            <w:fldChar w:fldCharType="end"/>
          </w:r>
          <w:r>
            <w:rPr>
              <w:rFonts w:hint="eastAsia" w:ascii="宋体" w:hAnsi="宋体" w:eastAsia="宋体" w:cs="宋体"/>
              <w:kern w:val="2"/>
              <w:sz w:val="32"/>
              <w:szCs w:val="48"/>
              <w:highlight w:val="none"/>
              <w:lang w:val="en-US" w:eastAsia="zh-CN" w:bidi="ar-SA"/>
            </w:rPr>
            <w:fldChar w:fldCharType="end"/>
          </w:r>
        </w:p>
        <w:p w14:paraId="7069CCE2">
          <w:pPr>
            <w:pStyle w:val="24"/>
            <w:tabs>
              <w:tab w:val="right" w:leader="dot" w:pos="8299"/>
            </w:tabs>
            <w:spacing w:line="720" w:lineRule="auto"/>
            <w:rPr>
              <w:rFonts w:hint="eastAsia" w:ascii="宋体" w:hAnsi="宋体" w:eastAsia="宋体" w:cs="宋体"/>
              <w:sz w:val="32"/>
              <w:szCs w:val="40"/>
            </w:rPr>
          </w:pPr>
          <w:r>
            <w:rPr>
              <w:rFonts w:hint="eastAsia" w:ascii="宋体" w:hAnsi="宋体" w:eastAsia="宋体" w:cs="宋体"/>
              <w:kern w:val="2"/>
              <w:sz w:val="32"/>
              <w:szCs w:val="48"/>
              <w:highlight w:val="none"/>
              <w:lang w:val="en-US" w:eastAsia="zh-CN" w:bidi="ar-SA"/>
            </w:rPr>
            <w:fldChar w:fldCharType="begin"/>
          </w:r>
          <w:r>
            <w:rPr>
              <w:rFonts w:hint="eastAsia" w:ascii="宋体" w:hAnsi="宋体" w:eastAsia="宋体" w:cs="宋体"/>
              <w:kern w:val="2"/>
              <w:sz w:val="32"/>
              <w:szCs w:val="48"/>
              <w:highlight w:val="none"/>
              <w:lang w:val="en-US" w:eastAsia="zh-CN" w:bidi="ar-SA"/>
            </w:rPr>
            <w:instrText xml:space="preserve"> HYPERLINK \l _Toc22801 </w:instrText>
          </w:r>
          <w:r>
            <w:rPr>
              <w:rFonts w:hint="eastAsia" w:ascii="宋体" w:hAnsi="宋体" w:eastAsia="宋体" w:cs="宋体"/>
              <w:kern w:val="2"/>
              <w:sz w:val="32"/>
              <w:szCs w:val="48"/>
              <w:highlight w:val="none"/>
              <w:lang w:val="en-US" w:eastAsia="zh-CN" w:bidi="ar-SA"/>
            </w:rPr>
            <w:fldChar w:fldCharType="separate"/>
          </w:r>
          <w:r>
            <w:rPr>
              <w:rFonts w:hint="eastAsia" w:ascii="宋体" w:hAnsi="宋体" w:eastAsia="宋体" w:cs="宋体"/>
              <w:bCs w:val="0"/>
              <w:sz w:val="32"/>
              <w:szCs w:val="40"/>
            </w:rPr>
            <w:t>第二章 供应商须知</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_Toc22801 \h </w:instrText>
          </w:r>
          <w:r>
            <w:rPr>
              <w:rFonts w:hint="eastAsia" w:ascii="宋体" w:hAnsi="宋体" w:eastAsia="宋体" w:cs="宋体"/>
              <w:sz w:val="32"/>
              <w:szCs w:val="40"/>
            </w:rPr>
            <w:fldChar w:fldCharType="separate"/>
          </w:r>
          <w:r>
            <w:rPr>
              <w:rFonts w:hint="eastAsia" w:ascii="宋体" w:hAnsi="宋体" w:eastAsia="宋体" w:cs="宋体"/>
              <w:sz w:val="32"/>
              <w:szCs w:val="40"/>
            </w:rPr>
            <w:t>4</w:t>
          </w:r>
          <w:r>
            <w:rPr>
              <w:rFonts w:hint="eastAsia" w:ascii="宋体" w:hAnsi="宋体" w:eastAsia="宋体" w:cs="宋体"/>
              <w:sz w:val="32"/>
              <w:szCs w:val="40"/>
            </w:rPr>
            <w:fldChar w:fldCharType="end"/>
          </w:r>
          <w:r>
            <w:rPr>
              <w:rFonts w:hint="eastAsia" w:ascii="宋体" w:hAnsi="宋体" w:eastAsia="宋体" w:cs="宋体"/>
              <w:kern w:val="2"/>
              <w:sz w:val="32"/>
              <w:szCs w:val="48"/>
              <w:highlight w:val="none"/>
              <w:lang w:val="en-US" w:eastAsia="zh-CN" w:bidi="ar-SA"/>
            </w:rPr>
            <w:fldChar w:fldCharType="end"/>
          </w:r>
        </w:p>
        <w:p w14:paraId="09AC6F18">
          <w:pPr>
            <w:pStyle w:val="24"/>
            <w:tabs>
              <w:tab w:val="right" w:leader="dot" w:pos="8299"/>
            </w:tabs>
            <w:spacing w:line="720" w:lineRule="auto"/>
            <w:rPr>
              <w:rFonts w:hint="eastAsia" w:ascii="宋体" w:hAnsi="宋体" w:eastAsia="宋体" w:cs="宋体"/>
              <w:sz w:val="32"/>
              <w:szCs w:val="40"/>
            </w:rPr>
          </w:pPr>
          <w:r>
            <w:rPr>
              <w:rFonts w:hint="eastAsia" w:ascii="宋体" w:hAnsi="宋体" w:eastAsia="宋体" w:cs="宋体"/>
              <w:kern w:val="2"/>
              <w:sz w:val="32"/>
              <w:szCs w:val="48"/>
              <w:highlight w:val="none"/>
              <w:lang w:val="en-US" w:eastAsia="zh-CN" w:bidi="ar-SA"/>
            </w:rPr>
            <w:fldChar w:fldCharType="begin"/>
          </w:r>
          <w:r>
            <w:rPr>
              <w:rFonts w:hint="eastAsia" w:ascii="宋体" w:hAnsi="宋体" w:eastAsia="宋体" w:cs="宋体"/>
              <w:kern w:val="2"/>
              <w:sz w:val="32"/>
              <w:szCs w:val="48"/>
              <w:highlight w:val="none"/>
              <w:lang w:val="en-US" w:eastAsia="zh-CN" w:bidi="ar-SA"/>
            </w:rPr>
            <w:instrText xml:space="preserve"> HYPERLINK \l _Toc10301 </w:instrText>
          </w:r>
          <w:r>
            <w:rPr>
              <w:rFonts w:hint="eastAsia" w:ascii="宋体" w:hAnsi="宋体" w:eastAsia="宋体" w:cs="宋体"/>
              <w:kern w:val="2"/>
              <w:sz w:val="32"/>
              <w:szCs w:val="48"/>
              <w:highlight w:val="none"/>
              <w:lang w:val="en-US" w:eastAsia="zh-CN" w:bidi="ar-SA"/>
            </w:rPr>
            <w:fldChar w:fldCharType="separate"/>
          </w:r>
          <w:r>
            <w:rPr>
              <w:rFonts w:hint="eastAsia" w:ascii="宋体" w:hAnsi="宋体" w:eastAsia="宋体" w:cs="宋体"/>
              <w:kern w:val="44"/>
              <w:sz w:val="32"/>
              <w:szCs w:val="48"/>
            </w:rPr>
            <w:t>第三章  评审办法（综合评分法）</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_Toc10301 \h </w:instrText>
          </w:r>
          <w:r>
            <w:rPr>
              <w:rFonts w:hint="eastAsia" w:ascii="宋体" w:hAnsi="宋体" w:eastAsia="宋体" w:cs="宋体"/>
              <w:sz w:val="32"/>
              <w:szCs w:val="40"/>
            </w:rPr>
            <w:fldChar w:fldCharType="separate"/>
          </w:r>
          <w:r>
            <w:rPr>
              <w:rFonts w:hint="eastAsia" w:ascii="宋体" w:hAnsi="宋体" w:eastAsia="宋体" w:cs="宋体"/>
              <w:sz w:val="32"/>
              <w:szCs w:val="40"/>
            </w:rPr>
            <w:t>19</w:t>
          </w:r>
          <w:r>
            <w:rPr>
              <w:rFonts w:hint="eastAsia" w:ascii="宋体" w:hAnsi="宋体" w:eastAsia="宋体" w:cs="宋体"/>
              <w:sz w:val="32"/>
              <w:szCs w:val="40"/>
            </w:rPr>
            <w:fldChar w:fldCharType="end"/>
          </w:r>
          <w:r>
            <w:rPr>
              <w:rFonts w:hint="eastAsia" w:ascii="宋体" w:hAnsi="宋体" w:eastAsia="宋体" w:cs="宋体"/>
              <w:kern w:val="2"/>
              <w:sz w:val="32"/>
              <w:szCs w:val="48"/>
              <w:highlight w:val="none"/>
              <w:lang w:val="en-US" w:eastAsia="zh-CN" w:bidi="ar-SA"/>
            </w:rPr>
            <w:fldChar w:fldCharType="end"/>
          </w:r>
        </w:p>
        <w:p w14:paraId="1D1B7714">
          <w:pPr>
            <w:pStyle w:val="24"/>
            <w:tabs>
              <w:tab w:val="right" w:leader="dot" w:pos="8299"/>
            </w:tabs>
            <w:spacing w:line="720" w:lineRule="auto"/>
            <w:rPr>
              <w:rFonts w:hint="eastAsia" w:ascii="宋体" w:hAnsi="宋体" w:eastAsia="宋体" w:cs="宋体"/>
              <w:sz w:val="32"/>
              <w:szCs w:val="40"/>
            </w:rPr>
          </w:pPr>
          <w:r>
            <w:rPr>
              <w:rFonts w:hint="eastAsia" w:ascii="宋体" w:hAnsi="宋体" w:eastAsia="宋体" w:cs="宋体"/>
              <w:kern w:val="2"/>
              <w:sz w:val="32"/>
              <w:szCs w:val="48"/>
              <w:highlight w:val="none"/>
              <w:lang w:val="en-US" w:eastAsia="zh-CN" w:bidi="ar-SA"/>
            </w:rPr>
            <w:fldChar w:fldCharType="begin"/>
          </w:r>
          <w:r>
            <w:rPr>
              <w:rFonts w:hint="eastAsia" w:ascii="宋体" w:hAnsi="宋体" w:eastAsia="宋体" w:cs="宋体"/>
              <w:kern w:val="2"/>
              <w:sz w:val="32"/>
              <w:szCs w:val="48"/>
              <w:highlight w:val="none"/>
              <w:lang w:val="en-US" w:eastAsia="zh-CN" w:bidi="ar-SA"/>
            </w:rPr>
            <w:instrText xml:space="preserve"> HYPERLINK \l _Toc14700 </w:instrText>
          </w:r>
          <w:r>
            <w:rPr>
              <w:rFonts w:hint="eastAsia" w:ascii="宋体" w:hAnsi="宋体" w:eastAsia="宋体" w:cs="宋体"/>
              <w:kern w:val="2"/>
              <w:sz w:val="32"/>
              <w:szCs w:val="48"/>
              <w:highlight w:val="none"/>
              <w:lang w:val="en-US" w:eastAsia="zh-CN" w:bidi="ar-SA"/>
            </w:rPr>
            <w:fldChar w:fldCharType="separate"/>
          </w:r>
          <w:r>
            <w:rPr>
              <w:rFonts w:hint="eastAsia" w:ascii="宋体" w:hAnsi="宋体" w:eastAsia="宋体" w:cs="宋体"/>
              <w:bCs/>
              <w:sz w:val="32"/>
              <w:szCs w:val="48"/>
            </w:rPr>
            <w:t xml:space="preserve">第四章  </w:t>
          </w:r>
          <w:r>
            <w:rPr>
              <w:rFonts w:hint="eastAsia" w:ascii="宋体" w:hAnsi="宋体" w:eastAsia="宋体" w:cs="宋体"/>
              <w:sz w:val="32"/>
              <w:szCs w:val="48"/>
            </w:rPr>
            <w:t>河南省政府采购合同</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_Toc14700 \h </w:instrText>
          </w:r>
          <w:r>
            <w:rPr>
              <w:rFonts w:hint="eastAsia" w:ascii="宋体" w:hAnsi="宋体" w:eastAsia="宋体" w:cs="宋体"/>
              <w:sz w:val="32"/>
              <w:szCs w:val="40"/>
            </w:rPr>
            <w:fldChar w:fldCharType="separate"/>
          </w:r>
          <w:r>
            <w:rPr>
              <w:rFonts w:hint="eastAsia" w:ascii="宋体" w:hAnsi="宋体" w:eastAsia="宋体" w:cs="宋体"/>
              <w:sz w:val="32"/>
              <w:szCs w:val="40"/>
            </w:rPr>
            <w:t>26</w:t>
          </w:r>
          <w:r>
            <w:rPr>
              <w:rFonts w:hint="eastAsia" w:ascii="宋体" w:hAnsi="宋体" w:eastAsia="宋体" w:cs="宋体"/>
              <w:sz w:val="32"/>
              <w:szCs w:val="40"/>
            </w:rPr>
            <w:fldChar w:fldCharType="end"/>
          </w:r>
          <w:r>
            <w:rPr>
              <w:rFonts w:hint="eastAsia" w:ascii="宋体" w:hAnsi="宋体" w:eastAsia="宋体" w:cs="宋体"/>
              <w:kern w:val="2"/>
              <w:sz w:val="32"/>
              <w:szCs w:val="48"/>
              <w:highlight w:val="none"/>
              <w:lang w:val="en-US" w:eastAsia="zh-CN" w:bidi="ar-SA"/>
            </w:rPr>
            <w:fldChar w:fldCharType="end"/>
          </w:r>
        </w:p>
        <w:p w14:paraId="7F472A00">
          <w:pPr>
            <w:pStyle w:val="24"/>
            <w:tabs>
              <w:tab w:val="right" w:leader="dot" w:pos="8299"/>
            </w:tabs>
            <w:spacing w:line="720" w:lineRule="auto"/>
            <w:rPr>
              <w:rFonts w:hint="eastAsia" w:ascii="宋体" w:hAnsi="宋体" w:eastAsia="宋体" w:cs="宋体"/>
              <w:sz w:val="32"/>
              <w:szCs w:val="40"/>
            </w:rPr>
          </w:pPr>
          <w:r>
            <w:rPr>
              <w:rFonts w:hint="eastAsia" w:ascii="宋体" w:hAnsi="宋体" w:eastAsia="宋体" w:cs="宋体"/>
              <w:kern w:val="2"/>
              <w:sz w:val="32"/>
              <w:szCs w:val="48"/>
              <w:highlight w:val="none"/>
              <w:lang w:val="en-US" w:eastAsia="zh-CN" w:bidi="ar-SA"/>
            </w:rPr>
            <w:fldChar w:fldCharType="begin"/>
          </w:r>
          <w:r>
            <w:rPr>
              <w:rFonts w:hint="eastAsia" w:ascii="宋体" w:hAnsi="宋体" w:eastAsia="宋体" w:cs="宋体"/>
              <w:kern w:val="2"/>
              <w:sz w:val="32"/>
              <w:szCs w:val="48"/>
              <w:highlight w:val="none"/>
              <w:lang w:val="en-US" w:eastAsia="zh-CN" w:bidi="ar-SA"/>
            </w:rPr>
            <w:instrText xml:space="preserve"> HYPERLINK \l _Toc32313 </w:instrText>
          </w:r>
          <w:r>
            <w:rPr>
              <w:rFonts w:hint="eastAsia" w:ascii="宋体" w:hAnsi="宋体" w:eastAsia="宋体" w:cs="宋体"/>
              <w:kern w:val="2"/>
              <w:sz w:val="32"/>
              <w:szCs w:val="48"/>
              <w:highlight w:val="none"/>
              <w:lang w:val="en-US" w:eastAsia="zh-CN" w:bidi="ar-SA"/>
            </w:rPr>
            <w:fldChar w:fldCharType="separate"/>
          </w:r>
          <w:r>
            <w:rPr>
              <w:rFonts w:hint="eastAsia" w:ascii="宋体" w:hAnsi="宋体" w:eastAsia="宋体" w:cs="宋体"/>
              <w:bCs/>
              <w:kern w:val="2"/>
              <w:sz w:val="32"/>
              <w:szCs w:val="48"/>
              <w:lang w:val="en-US" w:eastAsia="zh-CN" w:bidi="ar-SA"/>
            </w:rPr>
            <w:t xml:space="preserve">第五章 </w:t>
          </w:r>
          <w:r>
            <w:rPr>
              <w:rFonts w:hint="eastAsia" w:ascii="宋体" w:hAnsi="宋体" w:eastAsia="宋体" w:cs="宋体"/>
              <w:bCs/>
              <w:kern w:val="2"/>
              <w:sz w:val="32"/>
              <w:szCs w:val="48"/>
              <w:highlight w:val="none"/>
              <w:lang w:val="en-US" w:eastAsia="zh-CN" w:bidi="ar-SA"/>
            </w:rPr>
            <w:t>采购需求</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_Toc32313 \h </w:instrText>
          </w:r>
          <w:r>
            <w:rPr>
              <w:rFonts w:hint="eastAsia" w:ascii="宋体" w:hAnsi="宋体" w:eastAsia="宋体" w:cs="宋体"/>
              <w:sz w:val="32"/>
              <w:szCs w:val="40"/>
            </w:rPr>
            <w:fldChar w:fldCharType="separate"/>
          </w:r>
          <w:r>
            <w:rPr>
              <w:rFonts w:hint="eastAsia" w:ascii="宋体" w:hAnsi="宋体" w:eastAsia="宋体" w:cs="宋体"/>
              <w:sz w:val="32"/>
              <w:szCs w:val="40"/>
            </w:rPr>
            <w:t>33</w:t>
          </w:r>
          <w:r>
            <w:rPr>
              <w:rFonts w:hint="eastAsia" w:ascii="宋体" w:hAnsi="宋体" w:eastAsia="宋体" w:cs="宋体"/>
              <w:sz w:val="32"/>
              <w:szCs w:val="40"/>
            </w:rPr>
            <w:fldChar w:fldCharType="end"/>
          </w:r>
          <w:r>
            <w:rPr>
              <w:rFonts w:hint="eastAsia" w:ascii="宋体" w:hAnsi="宋体" w:eastAsia="宋体" w:cs="宋体"/>
              <w:kern w:val="2"/>
              <w:sz w:val="32"/>
              <w:szCs w:val="48"/>
              <w:highlight w:val="none"/>
              <w:lang w:val="en-US" w:eastAsia="zh-CN" w:bidi="ar-SA"/>
            </w:rPr>
            <w:fldChar w:fldCharType="end"/>
          </w:r>
        </w:p>
        <w:p w14:paraId="257A8861">
          <w:pPr>
            <w:pStyle w:val="24"/>
            <w:tabs>
              <w:tab w:val="right" w:leader="dot" w:pos="8299"/>
            </w:tabs>
            <w:spacing w:line="720" w:lineRule="auto"/>
            <w:rPr>
              <w:rFonts w:hint="eastAsia" w:ascii="宋体" w:hAnsi="宋体" w:eastAsia="宋体" w:cs="宋体"/>
              <w:sz w:val="32"/>
              <w:szCs w:val="40"/>
            </w:rPr>
          </w:pPr>
          <w:r>
            <w:rPr>
              <w:rFonts w:hint="eastAsia" w:ascii="宋体" w:hAnsi="宋体" w:eastAsia="宋体" w:cs="宋体"/>
              <w:kern w:val="2"/>
              <w:sz w:val="32"/>
              <w:szCs w:val="48"/>
              <w:highlight w:val="none"/>
              <w:lang w:val="en-US" w:eastAsia="zh-CN" w:bidi="ar-SA"/>
            </w:rPr>
            <w:fldChar w:fldCharType="begin"/>
          </w:r>
          <w:r>
            <w:rPr>
              <w:rFonts w:hint="eastAsia" w:ascii="宋体" w:hAnsi="宋体" w:eastAsia="宋体" w:cs="宋体"/>
              <w:kern w:val="2"/>
              <w:sz w:val="32"/>
              <w:szCs w:val="48"/>
              <w:highlight w:val="none"/>
              <w:lang w:val="en-US" w:eastAsia="zh-CN" w:bidi="ar-SA"/>
            </w:rPr>
            <w:instrText xml:space="preserve"> HYPERLINK \l _Toc10614 </w:instrText>
          </w:r>
          <w:r>
            <w:rPr>
              <w:rFonts w:hint="eastAsia" w:ascii="宋体" w:hAnsi="宋体" w:eastAsia="宋体" w:cs="宋体"/>
              <w:kern w:val="2"/>
              <w:sz w:val="32"/>
              <w:szCs w:val="48"/>
              <w:highlight w:val="none"/>
              <w:lang w:val="en-US" w:eastAsia="zh-CN" w:bidi="ar-SA"/>
            </w:rPr>
            <w:fldChar w:fldCharType="separate"/>
          </w:r>
          <w:r>
            <w:rPr>
              <w:rFonts w:hint="eastAsia" w:ascii="宋体" w:hAnsi="宋体" w:eastAsia="宋体" w:cs="宋体"/>
              <w:bCs/>
              <w:kern w:val="2"/>
              <w:sz w:val="32"/>
              <w:szCs w:val="48"/>
              <w:highlight w:val="none"/>
              <w:lang w:val="en-US" w:eastAsia="zh-CN" w:bidi="ar-SA"/>
            </w:rPr>
            <w:t>第六章  响应文件格式</w:t>
          </w:r>
          <w:r>
            <w:rPr>
              <w:rFonts w:hint="eastAsia" w:ascii="宋体" w:hAnsi="宋体" w:eastAsia="宋体" w:cs="宋体"/>
              <w:sz w:val="32"/>
              <w:szCs w:val="40"/>
            </w:rPr>
            <w:tab/>
          </w:r>
          <w:r>
            <w:rPr>
              <w:rFonts w:hint="eastAsia" w:ascii="宋体" w:hAnsi="宋体" w:eastAsia="宋体" w:cs="宋体"/>
              <w:sz w:val="32"/>
              <w:szCs w:val="40"/>
            </w:rPr>
            <w:fldChar w:fldCharType="begin"/>
          </w:r>
          <w:r>
            <w:rPr>
              <w:rFonts w:hint="eastAsia" w:ascii="宋体" w:hAnsi="宋体" w:eastAsia="宋体" w:cs="宋体"/>
              <w:sz w:val="32"/>
              <w:szCs w:val="40"/>
            </w:rPr>
            <w:instrText xml:space="preserve"> PAGEREF _Toc10614 \h </w:instrText>
          </w:r>
          <w:r>
            <w:rPr>
              <w:rFonts w:hint="eastAsia" w:ascii="宋体" w:hAnsi="宋体" w:eastAsia="宋体" w:cs="宋体"/>
              <w:sz w:val="32"/>
              <w:szCs w:val="40"/>
            </w:rPr>
            <w:fldChar w:fldCharType="separate"/>
          </w:r>
          <w:r>
            <w:rPr>
              <w:rFonts w:hint="eastAsia" w:ascii="宋体" w:hAnsi="宋体" w:eastAsia="宋体" w:cs="宋体"/>
              <w:sz w:val="32"/>
              <w:szCs w:val="40"/>
            </w:rPr>
            <w:t>34</w:t>
          </w:r>
          <w:r>
            <w:rPr>
              <w:rFonts w:hint="eastAsia" w:ascii="宋体" w:hAnsi="宋体" w:eastAsia="宋体" w:cs="宋体"/>
              <w:sz w:val="32"/>
              <w:szCs w:val="40"/>
            </w:rPr>
            <w:fldChar w:fldCharType="end"/>
          </w:r>
          <w:r>
            <w:rPr>
              <w:rFonts w:hint="eastAsia" w:ascii="宋体" w:hAnsi="宋体" w:eastAsia="宋体" w:cs="宋体"/>
              <w:kern w:val="2"/>
              <w:sz w:val="32"/>
              <w:szCs w:val="48"/>
              <w:highlight w:val="none"/>
              <w:lang w:val="en-US" w:eastAsia="zh-CN" w:bidi="ar-SA"/>
            </w:rPr>
            <w:fldChar w:fldCharType="end"/>
          </w:r>
        </w:p>
        <w:p w14:paraId="178D6301">
          <w:pPr>
            <w:pStyle w:val="24"/>
            <w:keepNext w:val="0"/>
            <w:keepLines w:val="0"/>
            <w:pageBreakBefore w:val="0"/>
            <w:tabs>
              <w:tab w:val="right" w:leader="dot" w:pos="8299"/>
            </w:tabs>
            <w:kinsoku/>
            <w:wordWrap/>
            <w:overflowPunct/>
            <w:topLinePunct w:val="0"/>
            <w:autoSpaceDE/>
            <w:autoSpaceDN/>
            <w:bidi w:val="0"/>
            <w:adjustRightInd/>
            <w:snapToGrid/>
            <w:spacing w:line="720" w:lineRule="auto"/>
            <w:textAlignment w:val="auto"/>
            <w:rPr>
              <w:rFonts w:hint="eastAsia" w:ascii="宋体" w:hAnsi="宋体" w:eastAsia="宋体" w:cs="宋体"/>
              <w:kern w:val="2"/>
              <w:sz w:val="28"/>
              <w:szCs w:val="44"/>
              <w:highlight w:val="none"/>
              <w:lang w:val="en-US" w:eastAsia="zh-CN" w:bidi="ar-SA"/>
            </w:rPr>
          </w:pPr>
          <w:r>
            <w:rPr>
              <w:rFonts w:hint="eastAsia" w:ascii="宋体" w:hAnsi="宋体" w:eastAsia="宋体" w:cs="宋体"/>
              <w:kern w:val="2"/>
              <w:sz w:val="32"/>
              <w:szCs w:val="48"/>
              <w:highlight w:val="none"/>
              <w:lang w:val="en-US" w:eastAsia="zh-CN" w:bidi="ar-SA"/>
            </w:rPr>
            <w:fldChar w:fldCharType="end"/>
          </w:r>
        </w:p>
      </w:sdtContent>
    </w:sdt>
    <w:p w14:paraId="2FE9BDB1">
      <w:pPr>
        <w:rPr>
          <w:rFonts w:hint="eastAsia"/>
          <w:lang w:val="en-US" w:eastAsia="zh-CN"/>
        </w:rPr>
      </w:pPr>
    </w:p>
    <w:p w14:paraId="4FB2BD39">
      <w:pPr>
        <w:pStyle w:val="24"/>
        <w:keepNext w:val="0"/>
        <w:keepLines w:val="0"/>
        <w:pageBreakBefore w:val="0"/>
        <w:tabs>
          <w:tab w:val="right" w:leader="dot" w:pos="8299"/>
        </w:tabs>
        <w:kinsoku/>
        <w:wordWrap/>
        <w:overflowPunct/>
        <w:topLinePunct w:val="0"/>
        <w:autoSpaceDE/>
        <w:autoSpaceDN/>
        <w:bidi w:val="0"/>
        <w:adjustRightInd/>
        <w:snapToGrid/>
        <w:spacing w:line="720" w:lineRule="auto"/>
        <w:textAlignment w:val="auto"/>
        <w:rPr>
          <w:rFonts w:hint="eastAsia" w:ascii="宋体" w:hAnsi="宋体" w:eastAsia="宋体" w:cs="宋体"/>
          <w:sz w:val="32"/>
          <w:szCs w:val="40"/>
        </w:rPr>
      </w:pPr>
      <w:r>
        <w:rPr>
          <w:rFonts w:hint="eastAsia" w:ascii="宋体" w:hAnsi="宋体" w:eastAsia="宋体" w:cs="宋体"/>
          <w:kern w:val="2"/>
          <w:sz w:val="32"/>
          <w:szCs w:val="32"/>
          <w:highlight w:val="none"/>
          <w:lang w:val="en-US" w:eastAsia="zh-CN" w:bidi="ar-SA"/>
        </w:rPr>
        <w:fldChar w:fldCharType="begin"/>
      </w:r>
      <w:r>
        <w:rPr>
          <w:rFonts w:hint="eastAsia" w:ascii="宋体" w:hAnsi="宋体" w:eastAsia="宋体" w:cs="宋体"/>
          <w:kern w:val="2"/>
          <w:sz w:val="32"/>
          <w:szCs w:val="32"/>
          <w:highlight w:val="none"/>
          <w:lang w:val="en-US" w:eastAsia="zh-CN" w:bidi="ar-SA"/>
        </w:rPr>
        <w:instrText xml:space="preserve">TOC \o "1-3" \h \u </w:instrText>
      </w:r>
      <w:r>
        <w:rPr>
          <w:rFonts w:hint="eastAsia" w:ascii="宋体" w:hAnsi="宋体" w:eastAsia="宋体" w:cs="宋体"/>
          <w:kern w:val="2"/>
          <w:sz w:val="32"/>
          <w:szCs w:val="32"/>
          <w:highlight w:val="none"/>
          <w:lang w:val="en-US" w:eastAsia="zh-CN" w:bidi="ar-SA"/>
        </w:rPr>
        <w:fldChar w:fldCharType="separate"/>
      </w:r>
    </w:p>
    <w:p w14:paraId="0F911B41">
      <w:pPr>
        <w:keepNext w:val="0"/>
        <w:keepLines w:val="0"/>
        <w:pageBreakBefore w:val="0"/>
        <w:kinsoku/>
        <w:wordWrap/>
        <w:overflowPunct/>
        <w:topLinePunct w:val="0"/>
        <w:autoSpaceDE/>
        <w:autoSpaceDN/>
        <w:bidi w:val="0"/>
        <w:adjustRightInd/>
        <w:snapToGrid/>
        <w:spacing w:after="0" w:afterLines="0" w:line="720" w:lineRule="auto"/>
        <w:ind w:left="0" w:leftChars="-95" w:hanging="199" w:hangingChars="83"/>
        <w:textAlignment w:val="auto"/>
        <w:rPr>
          <w:rFonts w:hint="eastAsia" w:ascii="宋体" w:hAnsi="宋体" w:eastAsia="宋体" w:cs="宋体"/>
          <w:lang w:eastAsia="zh-CN"/>
        </w:rPr>
        <w:sectPr>
          <w:headerReference r:id="rId3" w:type="default"/>
          <w:pgSz w:w="11905" w:h="16838"/>
          <w:pgMar w:top="1440" w:right="1803" w:bottom="1440" w:left="1803" w:header="227" w:footer="850" w:gutter="0"/>
          <w:pgBorders>
            <w:top w:val="none" w:sz="0" w:space="0"/>
            <w:left w:val="none" w:sz="0" w:space="0"/>
            <w:bottom w:val="none" w:sz="0" w:space="0"/>
            <w:right w:val="none" w:sz="0" w:space="0"/>
          </w:pgBorders>
          <w:pgNumType w:fmt="decimal"/>
          <w:cols w:space="720" w:num="1"/>
          <w:rtlGutter w:val="0"/>
          <w:docGrid w:type="lines" w:linePitch="349" w:charSpace="0"/>
        </w:sectPr>
      </w:pPr>
      <w:r>
        <w:rPr>
          <w:rFonts w:hint="eastAsia" w:ascii="宋体" w:hAnsi="宋体" w:eastAsia="宋体" w:cs="宋体"/>
          <w:kern w:val="2"/>
          <w:sz w:val="24"/>
          <w:szCs w:val="32"/>
          <w:highlight w:val="none"/>
          <w:lang w:val="en-US" w:eastAsia="zh-CN" w:bidi="ar-SA"/>
        </w:rPr>
        <w:fldChar w:fldCharType="end"/>
      </w:r>
    </w:p>
    <w:p w14:paraId="78299508">
      <w:pPr>
        <w:widowControl/>
        <w:tabs>
          <w:tab w:val="right" w:leader="underscore" w:pos="8296"/>
        </w:tabs>
        <w:spacing w:after="0" w:afterLines="0" w:line="360" w:lineRule="auto"/>
        <w:ind w:left="0" w:firstLine="643" w:firstLineChars="200"/>
        <w:jc w:val="center"/>
        <w:outlineLvl w:val="0"/>
        <w:rPr>
          <w:rFonts w:hint="eastAsia" w:ascii="宋体" w:hAnsi="宋体" w:eastAsia="宋体" w:cs="宋体"/>
          <w:b/>
          <w:bCs/>
          <w:color w:val="auto"/>
          <w:kern w:val="0"/>
          <w:sz w:val="32"/>
          <w:szCs w:val="32"/>
          <w:lang w:val="en-US" w:eastAsia="zh-CN" w:bidi="ar-SA"/>
        </w:rPr>
      </w:pPr>
      <w:bookmarkStart w:id="1" w:name="_Toc30363"/>
      <w:bookmarkStart w:id="2" w:name="_Toc13654"/>
      <w:bookmarkStart w:id="3" w:name="_Toc17881"/>
      <w:r>
        <w:rPr>
          <w:rFonts w:hint="eastAsia" w:ascii="宋体" w:hAnsi="宋体" w:eastAsia="宋体" w:cs="宋体"/>
          <w:b/>
          <w:bCs/>
          <w:color w:val="auto"/>
          <w:kern w:val="0"/>
          <w:sz w:val="32"/>
          <w:szCs w:val="32"/>
          <w:lang w:val="en-US" w:eastAsia="zh-CN" w:bidi="ar-SA"/>
        </w:rPr>
        <w:t xml:space="preserve">第一章 </w:t>
      </w:r>
      <w:bookmarkEnd w:id="1"/>
      <w:r>
        <w:rPr>
          <w:rFonts w:hint="eastAsia" w:ascii="宋体" w:hAnsi="宋体" w:eastAsia="宋体" w:cs="宋体"/>
          <w:b/>
          <w:bCs/>
          <w:color w:val="auto"/>
          <w:kern w:val="0"/>
          <w:sz w:val="32"/>
          <w:szCs w:val="32"/>
          <w:lang w:val="en-US" w:eastAsia="zh-CN" w:bidi="ar-SA"/>
        </w:rPr>
        <w:t>竞争性磋商公告</w:t>
      </w:r>
      <w:bookmarkEnd w:id="2"/>
      <w:bookmarkEnd w:id="3"/>
    </w:p>
    <w:p w14:paraId="2160AE5E">
      <w:pPr>
        <w:keepNext w:val="0"/>
        <w:keepLines w:val="0"/>
        <w:pageBreakBefore w:val="0"/>
        <w:widowControl/>
        <w:kinsoku/>
        <w:wordWrap/>
        <w:overflowPunct/>
        <w:topLinePunct w:val="0"/>
        <w:autoSpaceDE/>
        <w:autoSpaceDN/>
        <w:bidi w:val="0"/>
        <w:adjustRightInd/>
        <w:snapToGrid/>
        <w:spacing w:before="0" w:after="0" w:line="500" w:lineRule="exact"/>
        <w:ind w:left="0" w:firstLine="643" w:firstLineChars="200"/>
        <w:jc w:val="center"/>
        <w:textAlignment w:val="auto"/>
        <w:rPr>
          <w:rFonts w:hint="eastAsia" w:ascii="宋体" w:hAnsi="宋体" w:eastAsia="宋体" w:cs="宋体"/>
          <w:b/>
          <w:bCs/>
          <w:kern w:val="0"/>
          <w:sz w:val="32"/>
          <w:szCs w:val="32"/>
          <w:lang w:val="en-US" w:eastAsia="zh-CN" w:bidi="ar-SA"/>
        </w:rPr>
      </w:pPr>
      <w:bookmarkStart w:id="4" w:name="OLE_LINK1"/>
      <w:bookmarkStart w:id="5" w:name="_Toc152045527"/>
      <w:bookmarkStart w:id="6" w:name="_Toc152042303"/>
      <w:bookmarkStart w:id="7" w:name="_Toc144974495"/>
      <w:r>
        <w:rPr>
          <w:rFonts w:hint="eastAsia" w:ascii="宋体" w:hAnsi="宋体" w:eastAsia="宋体" w:cs="宋体"/>
          <w:b/>
          <w:bCs/>
          <w:kern w:val="0"/>
          <w:sz w:val="32"/>
          <w:szCs w:val="32"/>
          <w:lang w:val="en-US" w:eastAsia="zh-CN" w:bidi="ar-SA"/>
        </w:rPr>
        <w:t>息县自然资源局息县国土空间总体规划动态调整完善项目</w:t>
      </w:r>
    </w:p>
    <w:p w14:paraId="32C3F5F2">
      <w:pPr>
        <w:keepNext w:val="0"/>
        <w:keepLines w:val="0"/>
        <w:pageBreakBefore w:val="0"/>
        <w:widowControl/>
        <w:kinsoku/>
        <w:wordWrap/>
        <w:overflowPunct/>
        <w:topLinePunct w:val="0"/>
        <w:autoSpaceDE/>
        <w:autoSpaceDN/>
        <w:bidi w:val="0"/>
        <w:adjustRightInd/>
        <w:snapToGrid/>
        <w:spacing w:before="0" w:after="0" w:line="500" w:lineRule="exact"/>
        <w:ind w:left="0" w:firstLine="643" w:firstLineChars="200"/>
        <w:jc w:val="center"/>
        <w:textAlignment w:val="auto"/>
        <w:rPr>
          <w:rFonts w:hint="eastAsia" w:ascii="宋体" w:hAnsi="宋体" w:eastAsia="宋体" w:cs="宋体"/>
          <w:b/>
          <w:bCs/>
          <w:kern w:val="0"/>
          <w:sz w:val="32"/>
          <w:szCs w:val="32"/>
          <w:lang w:val="en-US" w:eastAsia="zh-CN" w:bidi="ar-SA"/>
        </w:rPr>
      </w:pPr>
      <w:r>
        <w:rPr>
          <w:rFonts w:hint="eastAsia" w:ascii="宋体" w:hAnsi="宋体" w:eastAsia="宋体" w:cs="宋体"/>
          <w:b/>
          <w:bCs/>
          <w:kern w:val="0"/>
          <w:sz w:val="32"/>
          <w:szCs w:val="32"/>
          <w:lang w:val="en-US" w:eastAsia="zh-CN" w:bidi="ar-SA"/>
        </w:rPr>
        <w:t>竞争性磋商公告</w:t>
      </w:r>
    </w:p>
    <w:p w14:paraId="4A208649">
      <w:pPr>
        <w:widowControl w:val="0"/>
        <w:jc w:val="both"/>
        <w:rPr>
          <w:rFonts w:hint="eastAsia" w:ascii="宋体" w:hAnsi="宋体" w:eastAsia="宋体" w:cs="宋体"/>
          <w:sz w:val="21"/>
          <w:szCs w:val="22"/>
          <w:lang w:val="en-US" w:eastAsia="zh-CN" w:bidi="ar-SA"/>
        </w:rPr>
      </w:pPr>
    </w:p>
    <w:p w14:paraId="410207BE">
      <w:pPr>
        <w:pBdr>
          <w:top w:val="single" w:color="auto" w:sz="4" w:space="1"/>
          <w:left w:val="single" w:color="auto" w:sz="4" w:space="4"/>
          <w:bottom w:val="single" w:color="auto" w:sz="4" w:space="1"/>
          <w:right w:val="single" w:color="auto" w:sz="4" w:space="4"/>
        </w:pBdr>
        <w:spacing w:line="360" w:lineRule="auto"/>
        <w:ind w:left="0" w:leftChars="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项</w:t>
      </w:r>
      <w:r>
        <w:rPr>
          <w:rFonts w:hint="eastAsia" w:ascii="宋体" w:hAnsi="宋体" w:eastAsia="宋体" w:cs="宋体"/>
          <w:sz w:val="24"/>
          <w:szCs w:val="24"/>
          <w:highlight w:val="none"/>
        </w:rPr>
        <w:t>目概况</w:t>
      </w:r>
    </w:p>
    <w:p w14:paraId="48B87DF1">
      <w:pPr>
        <w:pBdr>
          <w:top w:val="single" w:color="auto" w:sz="4" w:space="1"/>
          <w:left w:val="single" w:color="auto" w:sz="4" w:space="4"/>
          <w:bottom w:val="single" w:color="auto" w:sz="4" w:space="1"/>
          <w:right w:val="single" w:color="auto" w:sz="4" w:space="4"/>
        </w:pBd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u w:val="single"/>
          <w:lang w:eastAsia="zh-CN"/>
        </w:rPr>
        <w:t>息县自然资源局息县国土空间总体规划动态调整完善项目</w:t>
      </w:r>
      <w:r>
        <w:rPr>
          <w:rFonts w:hint="eastAsia" w:ascii="宋体" w:hAnsi="宋体" w:eastAsia="宋体" w:cs="宋体"/>
          <w:sz w:val="24"/>
          <w:szCs w:val="24"/>
          <w:highlight w:val="none"/>
        </w:rPr>
        <w:t>采购项目的潜在供应商应在“全国公共资源交易平台（河南省·信阳市）信阳市公共资源交易中心息县分中心官方网站”凭办理的企业身份认证锁（CA数字证书）登录会员系统获取磋商文件，并于</w:t>
      </w:r>
      <w:bookmarkStart w:id="1226" w:name="_GoBack"/>
      <w:bookmarkEnd w:id="1226"/>
      <w:r>
        <w:rPr>
          <w:rFonts w:hint="eastAsia" w:ascii="宋体" w:hAnsi="宋体" w:eastAsia="宋体" w:cs="宋体"/>
          <w:color w:val="auto"/>
          <w:sz w:val="24"/>
          <w:szCs w:val="24"/>
          <w:highlight w:val="none"/>
          <w:u w:val="single"/>
          <w:lang w:val="en-US" w:eastAsia="zh-CN"/>
        </w:rPr>
        <w:t>2026年9月7日</w:t>
      </w:r>
      <w:r>
        <w:rPr>
          <w:rFonts w:hint="eastAsia" w:ascii="宋体" w:hAnsi="宋体" w:eastAsia="宋体" w:cs="宋体"/>
          <w:bCs/>
          <w:color w:val="auto"/>
          <w:sz w:val="24"/>
          <w:szCs w:val="24"/>
          <w:highlight w:val="none"/>
          <w:u w:val="single"/>
          <w:lang w:val="en-US" w:eastAsia="zh-CN"/>
        </w:rPr>
        <w:t>9</w:t>
      </w:r>
      <w:r>
        <w:rPr>
          <w:rFonts w:hint="eastAsia" w:ascii="宋体" w:hAnsi="宋体" w:eastAsia="宋体" w:cs="宋体"/>
          <w:bCs/>
          <w:color w:val="auto"/>
          <w:sz w:val="24"/>
          <w:szCs w:val="24"/>
          <w:highlight w:val="none"/>
          <w:u w:val="none"/>
        </w:rPr>
        <w:t>点</w:t>
      </w:r>
      <w:r>
        <w:rPr>
          <w:rFonts w:hint="eastAsia" w:ascii="宋体" w:hAnsi="宋体" w:eastAsia="宋体" w:cs="宋体"/>
          <w:bCs/>
          <w:color w:val="auto"/>
          <w:sz w:val="24"/>
          <w:szCs w:val="24"/>
          <w:highlight w:val="none"/>
          <w:u w:val="single"/>
          <w:lang w:val="en-US" w:eastAsia="zh-CN"/>
        </w:rPr>
        <w:t>30</w:t>
      </w:r>
      <w:r>
        <w:rPr>
          <w:rFonts w:hint="eastAsia" w:ascii="宋体" w:hAnsi="宋体" w:eastAsia="宋体" w:cs="宋体"/>
          <w:bCs/>
          <w:color w:val="auto"/>
          <w:sz w:val="24"/>
          <w:szCs w:val="24"/>
          <w:highlight w:val="none"/>
          <w:u w:val="none"/>
        </w:rPr>
        <w:t>分</w:t>
      </w:r>
      <w:r>
        <w:rPr>
          <w:rFonts w:hint="eastAsia" w:ascii="宋体" w:hAnsi="宋体" w:eastAsia="宋体" w:cs="宋体"/>
          <w:bCs/>
          <w:sz w:val="24"/>
          <w:szCs w:val="24"/>
          <w:highlight w:val="none"/>
        </w:rPr>
        <w:t>（北京时间）前提交响应文件</w:t>
      </w:r>
      <w:r>
        <w:rPr>
          <w:rFonts w:hint="eastAsia" w:ascii="宋体" w:hAnsi="宋体" w:eastAsia="宋体" w:cs="宋体"/>
          <w:sz w:val="24"/>
          <w:szCs w:val="24"/>
          <w:highlight w:val="none"/>
        </w:rPr>
        <w:t>。</w:t>
      </w:r>
    </w:p>
    <w:p w14:paraId="154D2B0D">
      <w:pPr>
        <w:keepNext/>
        <w:keepLines/>
        <w:pageBreakBefore w:val="0"/>
        <w:widowControl w:val="0"/>
        <w:tabs>
          <w:tab w:val="left" w:pos="525"/>
        </w:tabs>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1"/>
        <w:rPr>
          <w:rFonts w:hint="eastAsia" w:ascii="宋体" w:hAnsi="宋体" w:eastAsia="宋体" w:cs="宋体"/>
          <w:b w:val="0"/>
          <w:kern w:val="2"/>
          <w:sz w:val="24"/>
          <w:szCs w:val="24"/>
          <w:highlight w:val="none"/>
          <w:lang w:val="en-US" w:eastAsia="zh-CN" w:bidi="ar-SA"/>
        </w:rPr>
      </w:pPr>
      <w:bookmarkStart w:id="8" w:name="_Toc27258"/>
      <w:bookmarkStart w:id="9" w:name="_Toc13077"/>
      <w:bookmarkStart w:id="10" w:name="_Toc19595"/>
      <w:bookmarkStart w:id="11" w:name="_Toc13689"/>
      <w:bookmarkStart w:id="12" w:name="_Toc1732"/>
      <w:bookmarkStart w:id="13" w:name="_Toc35393798"/>
      <w:bookmarkStart w:id="14" w:name="_Toc24425"/>
      <w:bookmarkStart w:id="15" w:name="_Toc30364"/>
      <w:bookmarkStart w:id="16" w:name="_Toc12313"/>
      <w:bookmarkStart w:id="17" w:name="_Toc35393629"/>
      <w:bookmarkStart w:id="18" w:name="_Toc28359089"/>
      <w:bookmarkStart w:id="19" w:name="_Toc28359012"/>
      <w:bookmarkStart w:id="20" w:name="_Toc21477"/>
      <w:bookmarkStart w:id="21" w:name="_Toc18501"/>
      <w:r>
        <w:rPr>
          <w:rFonts w:hint="eastAsia" w:ascii="宋体" w:hAnsi="宋体" w:eastAsia="宋体" w:cs="宋体"/>
          <w:b w:val="0"/>
          <w:kern w:val="2"/>
          <w:sz w:val="24"/>
          <w:szCs w:val="24"/>
          <w:highlight w:val="none"/>
          <w:lang w:val="en-US" w:eastAsia="zh-CN" w:bidi="ar-SA"/>
        </w:rPr>
        <w:t>一、项目基本情况</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25998C19">
      <w:pPr>
        <w:keepNext w:val="0"/>
        <w:keepLines w:val="0"/>
        <w:pageBreakBefore w:val="0"/>
        <w:widowControl w:val="0"/>
        <w:kinsoku/>
        <w:wordWrap/>
        <w:overflowPunct/>
        <w:topLinePunct w:val="0"/>
        <w:autoSpaceDE/>
        <w:autoSpaceDN/>
        <w:bidi w:val="0"/>
        <w:adjustRightInd/>
        <w:snapToGrid/>
        <w:spacing w:line="240" w:lineRule="auto"/>
        <w:ind w:left="0" w:leftChars="0" w:firstLine="547" w:firstLineChars="228"/>
        <w:textAlignment w:val="auto"/>
        <w:rPr>
          <w:rFonts w:hint="eastAsia" w:ascii="宋体" w:hAnsi="宋体" w:eastAsia="宋体" w:cs="宋体"/>
          <w:color w:val="auto"/>
          <w:sz w:val="24"/>
          <w:szCs w:val="24"/>
          <w:highlight w:val="yellow"/>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编号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息财磋商-2026-08-2</w:t>
      </w:r>
    </w:p>
    <w:p w14:paraId="6EABB02C">
      <w:pPr>
        <w:keepNext w:val="0"/>
        <w:keepLines w:val="0"/>
        <w:pageBreakBefore w:val="0"/>
        <w:widowControl w:val="0"/>
        <w:kinsoku/>
        <w:wordWrap/>
        <w:overflowPunct/>
        <w:topLinePunct w:val="0"/>
        <w:autoSpaceDE/>
        <w:autoSpaceDN/>
        <w:bidi w:val="0"/>
        <w:adjustRightInd/>
        <w:snapToGrid/>
        <w:spacing w:line="240" w:lineRule="auto"/>
        <w:ind w:left="0" w:leftChars="0" w:firstLine="547" w:firstLineChars="228"/>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lang w:eastAsia="zh-CN"/>
        </w:rPr>
        <w:t>息县自然资源局息县国土空间总体规划动态调整完善项目</w:t>
      </w:r>
    </w:p>
    <w:p w14:paraId="4CA8C0DF">
      <w:pPr>
        <w:keepNext w:val="0"/>
        <w:keepLines w:val="0"/>
        <w:pageBreakBefore w:val="0"/>
        <w:widowControl w:val="0"/>
        <w:kinsoku/>
        <w:wordWrap/>
        <w:overflowPunct/>
        <w:topLinePunct w:val="0"/>
        <w:autoSpaceDE/>
        <w:autoSpaceDN/>
        <w:bidi w:val="0"/>
        <w:adjustRightInd/>
        <w:snapToGrid/>
        <w:spacing w:line="240" w:lineRule="auto"/>
        <w:ind w:left="0" w:leftChars="0" w:firstLine="547" w:firstLineChars="228"/>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采购方式：</w:t>
      </w:r>
      <w:r>
        <w:rPr>
          <w:rFonts w:hint="eastAsia" w:ascii="宋体" w:hAnsi="宋体" w:eastAsia="宋体" w:cs="宋体"/>
          <w:sz w:val="24"/>
          <w:szCs w:val="24"/>
          <w:highlight w:val="none"/>
          <w:lang w:eastAsia="zh-CN"/>
        </w:rPr>
        <w:t>竞争性磋商</w:t>
      </w:r>
    </w:p>
    <w:p w14:paraId="148DA029">
      <w:pPr>
        <w:keepNext w:val="0"/>
        <w:keepLines w:val="0"/>
        <w:pageBreakBefore w:val="0"/>
        <w:widowControl w:val="0"/>
        <w:kinsoku/>
        <w:wordWrap/>
        <w:overflowPunct/>
        <w:topLinePunct w:val="0"/>
        <w:autoSpaceDE/>
        <w:autoSpaceDN/>
        <w:bidi w:val="0"/>
        <w:adjustRightInd/>
        <w:snapToGrid/>
        <w:spacing w:line="240" w:lineRule="auto"/>
        <w:ind w:left="0" w:leftChars="0" w:firstLine="547" w:firstLineChars="228"/>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560000.00</w:t>
      </w:r>
      <w:r>
        <w:rPr>
          <w:rFonts w:hint="eastAsia" w:ascii="宋体" w:hAnsi="宋体" w:eastAsia="宋体" w:cs="宋体"/>
          <w:color w:val="auto"/>
          <w:sz w:val="24"/>
          <w:szCs w:val="24"/>
          <w:highlight w:val="none"/>
        </w:rPr>
        <w:t xml:space="preserve">元 </w:t>
      </w:r>
    </w:p>
    <w:p w14:paraId="6A037792">
      <w:pPr>
        <w:keepNext w:val="0"/>
        <w:keepLines w:val="0"/>
        <w:pageBreakBefore w:val="0"/>
        <w:widowControl w:val="0"/>
        <w:kinsoku/>
        <w:wordWrap/>
        <w:overflowPunct/>
        <w:topLinePunct w:val="0"/>
        <w:autoSpaceDE/>
        <w:autoSpaceDN/>
        <w:bidi w:val="0"/>
        <w:adjustRightInd/>
        <w:snapToGrid/>
        <w:spacing w:line="240" w:lineRule="auto"/>
        <w:ind w:left="0" w:leftChars="0" w:firstLine="784" w:firstLineChars="3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560000.00</w:t>
      </w:r>
      <w:r>
        <w:rPr>
          <w:rFonts w:hint="eastAsia" w:ascii="宋体" w:hAnsi="宋体" w:eastAsia="宋体" w:cs="宋体"/>
          <w:color w:val="auto"/>
          <w:sz w:val="24"/>
          <w:szCs w:val="24"/>
          <w:highlight w:val="none"/>
        </w:rPr>
        <w:t>元</w:t>
      </w:r>
    </w:p>
    <w:tbl>
      <w:tblPr>
        <w:tblStyle w:val="34"/>
        <w:tblW w:w="99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2616"/>
        <w:gridCol w:w="2795"/>
        <w:gridCol w:w="1918"/>
        <w:gridCol w:w="1920"/>
      </w:tblGrid>
      <w:tr w14:paraId="404C0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17" w:type="dxa"/>
          </w:tcPr>
          <w:p w14:paraId="64CCDD90">
            <w:pPr>
              <w:widowControl w:val="0"/>
              <w:spacing w:after="120" w:afterLines="0" w:afterAutospacing="0" w:line="240" w:lineRule="auto"/>
              <w:ind w:left="0" w:leftChars="0" w:firstLine="0" w:firstLineChars="0"/>
              <w:jc w:val="both"/>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vertAlign w:val="baseline"/>
                <w:lang w:val="en-US" w:eastAsia="zh-CN" w:bidi="ar-SA"/>
              </w:rPr>
              <w:t>序号</w:t>
            </w:r>
          </w:p>
        </w:tc>
        <w:tc>
          <w:tcPr>
            <w:tcW w:w="2616" w:type="dxa"/>
          </w:tcPr>
          <w:p w14:paraId="444CDCB3">
            <w:pPr>
              <w:widowControl w:val="0"/>
              <w:spacing w:after="120" w:afterLines="0" w:afterAutospacing="0" w:line="240" w:lineRule="auto"/>
              <w:ind w:firstLine="240" w:firstLineChars="100"/>
              <w:jc w:val="center"/>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vertAlign w:val="baseline"/>
                <w:lang w:val="en-US" w:eastAsia="zh-CN" w:bidi="ar-SA"/>
              </w:rPr>
              <w:t>包号</w:t>
            </w:r>
          </w:p>
        </w:tc>
        <w:tc>
          <w:tcPr>
            <w:tcW w:w="2795" w:type="dxa"/>
          </w:tcPr>
          <w:p w14:paraId="589BB180">
            <w:pPr>
              <w:widowControl w:val="0"/>
              <w:spacing w:after="120" w:afterLines="0" w:afterAutospacing="0" w:line="240" w:lineRule="auto"/>
              <w:ind w:firstLine="240" w:firstLineChars="100"/>
              <w:jc w:val="center"/>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vertAlign w:val="baseline"/>
                <w:lang w:val="en-US" w:eastAsia="zh-CN" w:bidi="ar-SA"/>
              </w:rPr>
              <w:t>包名称</w:t>
            </w:r>
          </w:p>
        </w:tc>
        <w:tc>
          <w:tcPr>
            <w:tcW w:w="1918" w:type="dxa"/>
          </w:tcPr>
          <w:p w14:paraId="27D40A2F">
            <w:pPr>
              <w:widowControl w:val="0"/>
              <w:spacing w:after="120" w:afterLines="0" w:afterAutospacing="0" w:line="240" w:lineRule="auto"/>
              <w:ind w:left="0" w:leftChars="0" w:firstLine="0" w:firstLineChars="0"/>
              <w:jc w:val="both"/>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vertAlign w:val="baseline"/>
                <w:lang w:val="en-US" w:eastAsia="zh-CN" w:bidi="ar-SA"/>
              </w:rPr>
              <w:t>包预算（元）</w:t>
            </w:r>
          </w:p>
        </w:tc>
        <w:tc>
          <w:tcPr>
            <w:tcW w:w="1920" w:type="dxa"/>
          </w:tcPr>
          <w:p w14:paraId="73B0F3D8">
            <w:pPr>
              <w:widowControl w:val="0"/>
              <w:spacing w:after="120" w:afterLines="0" w:afterAutospacing="0" w:line="240" w:lineRule="auto"/>
              <w:ind w:left="0" w:leftChars="0" w:firstLine="0" w:firstLineChars="0"/>
              <w:jc w:val="both"/>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vertAlign w:val="baseline"/>
                <w:lang w:val="en-US" w:eastAsia="zh-CN" w:bidi="ar-SA"/>
              </w:rPr>
              <w:t>包最高限价（元）</w:t>
            </w:r>
          </w:p>
        </w:tc>
      </w:tr>
      <w:tr w14:paraId="196B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717" w:type="dxa"/>
          </w:tcPr>
          <w:p w14:paraId="0A1E203A">
            <w:pPr>
              <w:widowControl w:val="0"/>
              <w:spacing w:after="120" w:afterLines="0" w:afterAutospacing="0" w:line="240" w:lineRule="auto"/>
              <w:ind w:firstLine="240" w:firstLineChars="100"/>
              <w:jc w:val="both"/>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vertAlign w:val="baseline"/>
                <w:lang w:val="en-US" w:eastAsia="zh-CN" w:bidi="ar-SA"/>
              </w:rPr>
              <w:t>1</w:t>
            </w:r>
          </w:p>
        </w:tc>
        <w:tc>
          <w:tcPr>
            <w:tcW w:w="2616" w:type="dxa"/>
          </w:tcPr>
          <w:p w14:paraId="61359C41">
            <w:pPr>
              <w:widowControl w:val="0"/>
              <w:spacing w:after="120" w:afterLines="0" w:afterAutospacing="0" w:line="240" w:lineRule="auto"/>
              <w:ind w:left="0" w:leftChars="0" w:firstLine="0" w:firstLineChars="0"/>
              <w:jc w:val="both"/>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lang w:val="en-US" w:eastAsia="zh-CN" w:bidi="ar-SA"/>
              </w:rPr>
              <w:t>息财磋商-2026-08-2</w:t>
            </w:r>
          </w:p>
        </w:tc>
        <w:tc>
          <w:tcPr>
            <w:tcW w:w="2795" w:type="dxa"/>
            <w:vAlign w:val="center"/>
          </w:tcPr>
          <w:p w14:paraId="62E77BDB">
            <w:pPr>
              <w:widowControl w:val="0"/>
              <w:spacing w:after="120" w:afterLines="0" w:afterAutospacing="0" w:line="240" w:lineRule="auto"/>
              <w:ind w:left="0" w:leftChars="0" w:firstLine="0" w:firstLineChars="0"/>
              <w:jc w:val="center"/>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kern w:val="2"/>
                <w:sz w:val="24"/>
                <w:szCs w:val="24"/>
                <w:highlight w:val="none"/>
                <w:lang w:val="en-US" w:eastAsia="zh-CN" w:bidi="ar-SA"/>
              </w:rPr>
              <w:t>息县自然资源局息县国土空间总体规划动态调整完善项目</w:t>
            </w:r>
          </w:p>
        </w:tc>
        <w:tc>
          <w:tcPr>
            <w:tcW w:w="1918" w:type="dxa"/>
          </w:tcPr>
          <w:p w14:paraId="13A6C4E6">
            <w:pPr>
              <w:spacing w:line="240" w:lineRule="auto"/>
              <w:ind w:left="0" w:leftChars="0" w:firstLine="0" w:firstLineChars="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560000.00</w:t>
            </w:r>
          </w:p>
        </w:tc>
        <w:tc>
          <w:tcPr>
            <w:tcW w:w="1920" w:type="dxa"/>
          </w:tcPr>
          <w:p w14:paraId="7E03E578">
            <w:pPr>
              <w:spacing w:line="240" w:lineRule="auto"/>
              <w:ind w:left="0" w:leftChars="0" w:firstLine="0" w:firstLineChars="0"/>
              <w:jc w:val="center"/>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lang w:val="en-US" w:eastAsia="zh-CN"/>
              </w:rPr>
              <w:t>560000.00</w:t>
            </w:r>
          </w:p>
        </w:tc>
      </w:tr>
    </w:tbl>
    <w:p w14:paraId="4F92BACD">
      <w:pPr>
        <w:spacing w:line="240" w:lineRule="auto"/>
        <w:ind w:left="0" w:leftChars="0" w:firstLine="420" w:firstLineChars="17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5.采购需求：</w:t>
      </w:r>
    </w:p>
    <w:p w14:paraId="79C4539D">
      <w:pPr>
        <w:pageBreakBefore w:val="0"/>
        <w:kinsoku/>
        <w:wordWrap/>
        <w:overflowPunct/>
        <w:topLinePunct w:val="0"/>
        <w:autoSpaceDE/>
        <w:autoSpaceDN/>
        <w:bidi w:val="0"/>
        <w:adjustRightInd/>
        <w:snapToGrid/>
        <w:spacing w:line="240" w:lineRule="auto"/>
        <w:ind w:firstLine="638" w:firstLineChars="266"/>
        <w:jc w:val="left"/>
        <w:textAlignment w:val="auto"/>
        <w:rPr>
          <w:rFonts w:hint="eastAsia" w:ascii="宋体" w:hAnsi="宋体" w:eastAsia="宋体" w:cs="宋体"/>
          <w:sz w:val="24"/>
          <w:highlight w:val="none"/>
        </w:rPr>
      </w:pPr>
      <w:r>
        <w:rPr>
          <w:rFonts w:hint="eastAsia" w:ascii="宋体" w:hAnsi="宋体" w:eastAsia="宋体" w:cs="宋体"/>
          <w:sz w:val="24"/>
          <w:highlight w:val="none"/>
        </w:rPr>
        <w:t>5.1</w:t>
      </w:r>
      <w:r>
        <w:rPr>
          <w:rFonts w:hint="eastAsia" w:ascii="宋体" w:hAnsi="宋体" w:eastAsia="宋体" w:cs="宋体"/>
          <w:sz w:val="24"/>
          <w:highlight w:val="none"/>
          <w:lang w:eastAsia="zh-CN"/>
        </w:rPr>
        <w:t>磋商</w:t>
      </w:r>
      <w:r>
        <w:rPr>
          <w:rFonts w:hint="eastAsia" w:ascii="宋体" w:hAnsi="宋体" w:eastAsia="宋体" w:cs="宋体"/>
          <w:sz w:val="24"/>
          <w:highlight w:val="none"/>
        </w:rPr>
        <w:t>内容：</w:t>
      </w:r>
      <w:r>
        <w:rPr>
          <w:rFonts w:hint="eastAsia" w:ascii="宋体" w:hAnsi="宋体" w:eastAsia="宋体" w:cs="宋体"/>
          <w:sz w:val="24"/>
          <w:highlight w:val="none"/>
          <w:lang w:val="en-US" w:eastAsia="zh-CN"/>
        </w:rPr>
        <w:t>息县国土空间总体规划动态调整完善</w:t>
      </w:r>
    </w:p>
    <w:p w14:paraId="7508E61A">
      <w:pPr>
        <w:pageBreakBefore w:val="0"/>
        <w:kinsoku/>
        <w:wordWrap/>
        <w:overflowPunct/>
        <w:topLinePunct w:val="0"/>
        <w:autoSpaceDE/>
        <w:autoSpaceDN/>
        <w:bidi w:val="0"/>
        <w:adjustRightInd/>
        <w:snapToGrid/>
        <w:spacing w:line="240" w:lineRule="auto"/>
        <w:ind w:firstLine="638" w:firstLineChars="266"/>
        <w:jc w:val="left"/>
        <w:textAlignment w:val="auto"/>
        <w:rPr>
          <w:rFonts w:hint="eastAsia" w:ascii="宋体" w:hAnsi="宋体" w:eastAsia="宋体" w:cs="宋体"/>
          <w:sz w:val="24"/>
          <w:highlight w:val="none"/>
        </w:rPr>
      </w:pPr>
      <w:r>
        <w:rPr>
          <w:rFonts w:hint="eastAsia" w:ascii="宋体" w:hAnsi="宋体" w:eastAsia="宋体" w:cs="宋体"/>
          <w:sz w:val="24"/>
          <w:highlight w:val="none"/>
        </w:rPr>
        <w:t>5.2资金来源：财政资金，已落实</w:t>
      </w:r>
    </w:p>
    <w:p w14:paraId="1D18F19C">
      <w:pPr>
        <w:pageBreakBefore w:val="0"/>
        <w:kinsoku/>
        <w:wordWrap/>
        <w:overflowPunct/>
        <w:topLinePunct w:val="0"/>
        <w:autoSpaceDE/>
        <w:autoSpaceDN/>
        <w:bidi w:val="0"/>
        <w:adjustRightInd/>
        <w:snapToGrid/>
        <w:spacing w:line="240" w:lineRule="auto"/>
        <w:ind w:firstLine="638" w:firstLineChars="266"/>
        <w:jc w:val="left"/>
        <w:textAlignment w:val="auto"/>
        <w:rPr>
          <w:rFonts w:hint="eastAsia" w:ascii="宋体" w:hAnsi="宋体" w:eastAsia="宋体" w:cs="宋体"/>
          <w:sz w:val="24"/>
          <w:highlight w:val="none"/>
          <w:lang w:val="en-US" w:eastAsia="zh-CN"/>
        </w:rPr>
      </w:pPr>
      <w:r>
        <w:rPr>
          <w:rFonts w:hint="eastAsia" w:ascii="宋体" w:hAnsi="宋体" w:eastAsia="宋体" w:cs="宋体"/>
          <w:sz w:val="24"/>
          <w:highlight w:val="none"/>
        </w:rPr>
        <w:t>5.3服务期限：</w:t>
      </w:r>
      <w:r>
        <w:rPr>
          <w:rFonts w:hint="eastAsia" w:ascii="宋体" w:hAnsi="宋体" w:eastAsia="宋体" w:cs="宋体"/>
          <w:sz w:val="24"/>
          <w:highlight w:val="none"/>
          <w:lang w:val="en-US" w:eastAsia="zh-CN"/>
        </w:rPr>
        <w:t>自签订合同之日起20日历天完成，并按要求提交成果文件</w:t>
      </w:r>
    </w:p>
    <w:p w14:paraId="1052B69D">
      <w:pPr>
        <w:pageBreakBefore w:val="0"/>
        <w:kinsoku/>
        <w:wordWrap/>
        <w:overflowPunct/>
        <w:topLinePunct w:val="0"/>
        <w:autoSpaceDE/>
        <w:autoSpaceDN/>
        <w:bidi w:val="0"/>
        <w:adjustRightInd/>
        <w:snapToGrid/>
        <w:spacing w:line="240" w:lineRule="auto"/>
        <w:ind w:firstLine="638" w:firstLineChars="266"/>
        <w:jc w:val="left"/>
        <w:textAlignment w:val="auto"/>
        <w:rPr>
          <w:rFonts w:hint="eastAsia" w:ascii="宋体" w:hAnsi="宋体" w:eastAsia="宋体" w:cs="宋体"/>
          <w:sz w:val="24"/>
          <w:highlight w:val="none"/>
          <w:lang w:eastAsia="zh-CN"/>
        </w:rPr>
      </w:pPr>
      <w:r>
        <w:rPr>
          <w:rFonts w:hint="eastAsia" w:ascii="宋体" w:hAnsi="宋体" w:eastAsia="宋体" w:cs="宋体"/>
          <w:sz w:val="24"/>
          <w:highlight w:val="none"/>
        </w:rPr>
        <w:t>5.4质量要求：</w:t>
      </w:r>
      <w:r>
        <w:rPr>
          <w:rFonts w:hint="eastAsia" w:ascii="宋体" w:hAnsi="宋体" w:eastAsia="宋体" w:cs="宋体"/>
          <w:sz w:val="24"/>
          <w:highlight w:val="none"/>
          <w:lang w:eastAsia="zh-CN"/>
        </w:rPr>
        <w:t>符合国家及行业相关标准，达到采购人要求</w:t>
      </w:r>
    </w:p>
    <w:p w14:paraId="13C3C962">
      <w:pPr>
        <w:pageBreakBefore w:val="0"/>
        <w:kinsoku/>
        <w:wordWrap/>
        <w:overflowPunct/>
        <w:topLinePunct w:val="0"/>
        <w:autoSpaceDE/>
        <w:autoSpaceDN/>
        <w:bidi w:val="0"/>
        <w:adjustRightInd/>
        <w:snapToGrid/>
        <w:spacing w:line="240" w:lineRule="auto"/>
        <w:ind w:firstLine="638" w:firstLineChars="266"/>
        <w:jc w:val="left"/>
        <w:textAlignment w:val="auto"/>
        <w:rPr>
          <w:rFonts w:hint="eastAsia" w:ascii="宋体" w:hAnsi="宋体" w:eastAsia="宋体" w:cs="宋体"/>
          <w:sz w:val="24"/>
          <w:highlight w:val="none"/>
        </w:rPr>
      </w:pPr>
      <w:r>
        <w:rPr>
          <w:rFonts w:hint="eastAsia" w:ascii="宋体" w:hAnsi="宋体" w:eastAsia="宋体" w:cs="宋体"/>
          <w:sz w:val="24"/>
          <w:highlight w:val="none"/>
        </w:rPr>
        <w:t>5.5标段划分：本项目共划分为1个标段</w:t>
      </w:r>
    </w:p>
    <w:p w14:paraId="576BE258">
      <w:pPr>
        <w:pageBreakBefore w:val="0"/>
        <w:kinsoku/>
        <w:wordWrap/>
        <w:overflowPunct/>
        <w:topLinePunct w:val="0"/>
        <w:autoSpaceDE/>
        <w:autoSpaceDN/>
        <w:bidi w:val="0"/>
        <w:adjustRightInd/>
        <w:snapToGrid/>
        <w:spacing w:line="240" w:lineRule="auto"/>
        <w:ind w:firstLine="638" w:firstLineChars="266"/>
        <w:jc w:val="left"/>
        <w:textAlignment w:val="auto"/>
        <w:rPr>
          <w:rFonts w:hint="default" w:ascii="宋体" w:hAnsi="宋体" w:eastAsia="宋体" w:cs="宋体"/>
          <w:sz w:val="24"/>
          <w:highlight w:val="none"/>
          <w:lang w:val="en-US" w:eastAsia="zh-CN"/>
        </w:rPr>
      </w:pPr>
      <w:r>
        <w:rPr>
          <w:rFonts w:hint="eastAsia" w:ascii="宋体" w:hAnsi="宋体" w:eastAsia="宋体" w:cs="宋体"/>
          <w:sz w:val="24"/>
          <w:highlight w:val="none"/>
          <w:lang w:val="en-US" w:eastAsia="zh-CN"/>
        </w:rPr>
        <w:t>5.6本次招投标实行全流程电子招投标，实行远程异地评标。</w:t>
      </w:r>
    </w:p>
    <w:p w14:paraId="32EB0C17">
      <w:pPr>
        <w:spacing w:line="240" w:lineRule="auto"/>
        <w:ind w:left="0" w:leftChars="0" w:firstLine="420" w:firstLineChars="175"/>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6.合同履行期限：</w:t>
      </w:r>
      <w:r>
        <w:rPr>
          <w:rFonts w:hint="eastAsia" w:ascii="宋体" w:hAnsi="宋体" w:eastAsia="宋体" w:cs="宋体"/>
          <w:sz w:val="24"/>
          <w:highlight w:val="none"/>
          <w:lang w:val="en-US" w:eastAsia="zh-CN"/>
        </w:rPr>
        <w:t>自签订合同之日起20日历天完成，并按要求提交成果文件</w:t>
      </w:r>
    </w:p>
    <w:p w14:paraId="31D902D0">
      <w:pPr>
        <w:spacing w:line="240" w:lineRule="auto"/>
        <w:ind w:left="0" w:leftChars="0" w:firstLine="420" w:firstLineChars="175"/>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7.本项目（是/否）接受联合体投标：否</w:t>
      </w:r>
    </w:p>
    <w:p w14:paraId="7CEED48D">
      <w:pPr>
        <w:spacing w:line="240" w:lineRule="auto"/>
        <w:ind w:left="0" w:leftChars="0" w:firstLine="420" w:firstLineChars="175"/>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8.是否接受进口产品：否</w:t>
      </w:r>
    </w:p>
    <w:p w14:paraId="38084F70">
      <w:pPr>
        <w:spacing w:line="240" w:lineRule="auto"/>
        <w:ind w:left="0" w:leftChars="0" w:firstLine="420" w:firstLineChars="175"/>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9.是否专门面向中小企业：</w:t>
      </w:r>
      <w:r>
        <w:rPr>
          <w:rFonts w:hint="eastAsia" w:eastAsia="宋体" w:cs="宋体"/>
          <w:b w:val="0"/>
          <w:bCs/>
          <w:sz w:val="24"/>
          <w:szCs w:val="24"/>
          <w:highlight w:val="none"/>
          <w:lang w:val="en-US" w:eastAsia="zh-CN"/>
        </w:rPr>
        <w:t>是</w:t>
      </w:r>
    </w:p>
    <w:p w14:paraId="56064EB3">
      <w:pPr>
        <w:keepNext/>
        <w:keepLines/>
        <w:pageBreakBefore w:val="0"/>
        <w:widowControl w:val="0"/>
        <w:tabs>
          <w:tab w:val="left" w:pos="525"/>
        </w:tabs>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1"/>
        <w:rPr>
          <w:rFonts w:hint="eastAsia" w:ascii="宋体" w:hAnsi="宋体" w:eastAsia="宋体" w:cs="宋体"/>
          <w:b w:val="0"/>
          <w:kern w:val="2"/>
          <w:sz w:val="24"/>
          <w:szCs w:val="24"/>
          <w:highlight w:val="none"/>
          <w:lang w:val="en-US" w:eastAsia="zh-CN" w:bidi="ar-SA"/>
        </w:rPr>
      </w:pPr>
      <w:bookmarkStart w:id="22" w:name="_Toc22314"/>
      <w:bookmarkStart w:id="23" w:name="_Toc12712"/>
      <w:bookmarkStart w:id="24" w:name="_Toc5685"/>
      <w:bookmarkStart w:id="25" w:name="_Toc35393799"/>
      <w:bookmarkStart w:id="26" w:name="_Toc35393630"/>
      <w:bookmarkStart w:id="27" w:name="_Toc18864"/>
      <w:bookmarkStart w:id="28" w:name="_Toc8368"/>
      <w:bookmarkStart w:id="29" w:name="_Toc5017"/>
      <w:bookmarkStart w:id="30" w:name="_Toc28359090"/>
      <w:bookmarkStart w:id="31" w:name="_Toc30543"/>
      <w:bookmarkStart w:id="32" w:name="_Toc19866"/>
      <w:bookmarkStart w:id="33" w:name="_Toc11451"/>
      <w:bookmarkStart w:id="34" w:name="_Toc28359013"/>
      <w:bookmarkStart w:id="35" w:name="_Toc8367"/>
      <w:r>
        <w:rPr>
          <w:rFonts w:hint="eastAsia" w:ascii="宋体" w:hAnsi="宋体" w:eastAsia="宋体" w:cs="宋体"/>
          <w:b w:val="0"/>
          <w:kern w:val="2"/>
          <w:sz w:val="24"/>
          <w:szCs w:val="24"/>
          <w:highlight w:val="none"/>
          <w:lang w:val="en-US" w:eastAsia="zh-CN" w:bidi="ar-SA"/>
        </w:rPr>
        <w:t>二、申请人的资格要求</w:t>
      </w:r>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5EFC82DF">
      <w:pPr>
        <w:spacing w:line="240" w:lineRule="auto"/>
        <w:ind w:left="0" w:leftChars="0" w:firstLine="420" w:firstLineChars="175"/>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1.满足《中华人民共和国政府采购法》第二十二条规定；</w:t>
      </w:r>
    </w:p>
    <w:p w14:paraId="3BE992DD">
      <w:pPr>
        <w:spacing w:line="240" w:lineRule="auto"/>
        <w:ind w:left="0" w:leftChars="0" w:firstLine="420" w:firstLineChars="175"/>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2.落实政府采购政策需满足的资格要求：本项目专门面向中小企业采购。</w:t>
      </w:r>
    </w:p>
    <w:p w14:paraId="6E9AEBA6">
      <w:pPr>
        <w:spacing w:line="240" w:lineRule="auto"/>
        <w:ind w:left="0" w:leftChars="0" w:firstLine="420" w:firstLineChars="175"/>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目专门面向中小企业采购，参加本项目的中小企业须提供《中小企业声明函》（格式详见文件内《中小企业声明函》样本），不符合要求的声明函或未提供的将视为不符合资格要求，监狱企业及残疾人福利性单位同等于中小企业。</w:t>
      </w:r>
    </w:p>
    <w:p w14:paraId="3DB3F346">
      <w:pPr>
        <w:pageBreakBefore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3.本项目的特定资格要求：</w:t>
      </w:r>
    </w:p>
    <w:p w14:paraId="1ED6FF1B">
      <w:pPr>
        <w:keepNext w:val="0"/>
        <w:keepLines w:val="0"/>
        <w:pageBreakBefore w:val="0"/>
        <w:widowControl/>
        <w:kinsoku/>
        <w:wordWrap/>
        <w:overflowPunct/>
        <w:topLinePunct w:val="0"/>
        <w:autoSpaceDE/>
        <w:autoSpaceDN/>
        <w:bidi w:val="0"/>
        <w:adjustRightInd/>
        <w:snapToGrid/>
        <w:spacing w:after="0" w:afterLines="0" w:line="240" w:lineRule="auto"/>
        <w:ind w:firstLine="480" w:firstLineChars="200"/>
        <w:jc w:val="left"/>
        <w:textAlignment w:val="auto"/>
        <w:outlineLvl w:val="9"/>
        <w:rPr>
          <w:rFonts w:hint="eastAsia" w:ascii="宋体" w:hAnsi="宋体" w:eastAsia="宋体" w:cs="宋体"/>
          <w:b w:val="0"/>
          <w:bCs w:val="0"/>
          <w:kern w:val="2"/>
          <w:sz w:val="24"/>
          <w:szCs w:val="24"/>
          <w:highlight w:val="none"/>
          <w:lang w:val="en-US" w:eastAsia="zh-CN" w:bidi="ar-SA"/>
        </w:rPr>
      </w:pPr>
      <w:bookmarkStart w:id="36" w:name="_Toc25923"/>
      <w:bookmarkStart w:id="37" w:name="_Toc7135"/>
      <w:bookmarkStart w:id="38" w:name="_Toc7836"/>
      <w:bookmarkStart w:id="39" w:name="_Toc32073"/>
      <w:r>
        <w:rPr>
          <w:rFonts w:hint="eastAsia" w:ascii="宋体" w:hAnsi="宋体" w:eastAsia="宋体" w:cs="宋体"/>
          <w:b w:val="0"/>
          <w:bCs w:val="0"/>
          <w:kern w:val="2"/>
          <w:sz w:val="24"/>
          <w:szCs w:val="24"/>
          <w:highlight w:val="none"/>
          <w:lang w:val="en-US" w:eastAsia="zh-CN" w:bidi="ar-SA"/>
        </w:rPr>
        <w:t>3.1资质要求：</w:t>
      </w:r>
      <w:bookmarkEnd w:id="36"/>
      <w:r>
        <w:rPr>
          <w:rFonts w:hint="eastAsia" w:ascii="宋体" w:hAnsi="宋体" w:eastAsia="宋体" w:cs="宋体"/>
          <w:b w:val="0"/>
          <w:bCs w:val="0"/>
          <w:kern w:val="2"/>
          <w:sz w:val="24"/>
          <w:szCs w:val="24"/>
          <w:highlight w:val="none"/>
          <w:lang w:val="en-US" w:eastAsia="zh-CN" w:bidi="ar-SA"/>
        </w:rPr>
        <w:t>供应商须具备城乡规划（国土空间规划）编制资质乙级及以上资质证书；拟派项目负责人须同时具备：①注册城乡规划师职业资格证书（证书由人力资源社会保障部联合住房和城乡建设部或自然资源部核发）；②中国城市规划协会核发有效的注册城乡规划师注册证书，注册执业单位与投标单位一致，处于注册有效期内；并提供需提供2026年1月1日以来本单位为其缴纳的任意1个月社保证明；</w:t>
      </w:r>
    </w:p>
    <w:p w14:paraId="6E205D1B">
      <w:pPr>
        <w:keepNext w:val="0"/>
        <w:keepLines w:val="0"/>
        <w:pageBreakBefore w:val="0"/>
        <w:widowControl/>
        <w:kinsoku/>
        <w:wordWrap/>
        <w:overflowPunct/>
        <w:topLinePunct w:val="0"/>
        <w:autoSpaceDE/>
        <w:autoSpaceDN/>
        <w:bidi w:val="0"/>
        <w:adjustRightInd/>
        <w:snapToGrid/>
        <w:spacing w:after="0" w:afterLines="0" w:line="240" w:lineRule="auto"/>
        <w:ind w:firstLine="480" w:firstLineChars="200"/>
        <w:jc w:val="left"/>
        <w:textAlignment w:val="auto"/>
        <w:outlineLvl w:val="9"/>
        <w:rPr>
          <w:rFonts w:hint="eastAsia" w:ascii="宋体" w:hAnsi="宋体" w:eastAsia="宋体" w:cs="宋体"/>
          <w:b w:val="0"/>
          <w:bCs w:val="0"/>
          <w:kern w:val="2"/>
          <w:sz w:val="24"/>
          <w:szCs w:val="24"/>
          <w:highlight w:val="none"/>
          <w:lang w:val="en-US" w:eastAsia="zh-CN" w:bidi="ar-SA"/>
        </w:rPr>
      </w:pPr>
      <w:bookmarkStart w:id="40" w:name="_Toc9805"/>
      <w:r>
        <w:rPr>
          <w:rFonts w:hint="eastAsia" w:ascii="宋体" w:hAnsi="宋体" w:eastAsia="宋体" w:cs="宋体"/>
          <w:b w:val="0"/>
          <w:bCs w:val="0"/>
          <w:kern w:val="2"/>
          <w:sz w:val="24"/>
          <w:szCs w:val="24"/>
          <w:highlight w:val="none"/>
          <w:lang w:val="en-US" w:eastAsia="zh-CN" w:bidi="ar-SA"/>
        </w:rPr>
        <w:t>3.2信誉要求：</w:t>
      </w:r>
      <w:bookmarkEnd w:id="37"/>
      <w:bookmarkEnd w:id="38"/>
      <w:bookmarkEnd w:id="39"/>
      <w:bookmarkEnd w:id="40"/>
      <w:r>
        <w:rPr>
          <w:rFonts w:hint="eastAsia" w:ascii="宋体" w:hAnsi="宋体" w:eastAsia="宋体" w:cs="宋体"/>
          <w:b w:val="0"/>
          <w:bCs w:val="0"/>
          <w:kern w:val="2"/>
          <w:sz w:val="24"/>
          <w:szCs w:val="24"/>
          <w:highlight w:val="none"/>
          <w:lang w:val="en-US" w:eastAsia="zh-CN" w:bidi="ar-SA"/>
        </w:rPr>
        <w:t>单位负责人为同一人或者存在直接控股、管理关系的不同单位，不得同时参加同一合同项下的政府采购活动【提供“国家企业信用信息公示系统”中公示的公司基础信息包含股东及出资信息截图】</w:t>
      </w:r>
    </w:p>
    <w:p w14:paraId="715C3583">
      <w:pPr>
        <w:spacing w:line="240" w:lineRule="auto"/>
        <w:ind w:firstLine="480" w:firstLineChars="200"/>
        <w:jc w:val="left"/>
        <w:rPr>
          <w:rFonts w:hint="eastAsia" w:ascii="宋体" w:hAnsi="宋体" w:eastAsia="宋体" w:cs="宋体"/>
          <w:b w:val="0"/>
          <w:bCs w:val="0"/>
          <w:sz w:val="24"/>
          <w:szCs w:val="28"/>
          <w:highlight w:val="none"/>
        </w:rPr>
      </w:pPr>
      <w:r>
        <w:rPr>
          <w:rFonts w:hint="eastAsia" w:ascii="宋体" w:hAnsi="宋体" w:eastAsia="宋体" w:cs="宋体"/>
          <w:b w:val="0"/>
          <w:bCs w:val="0"/>
          <w:sz w:val="24"/>
          <w:szCs w:val="28"/>
          <w:highlight w:val="none"/>
          <w:lang w:val="en-US" w:eastAsia="zh-CN"/>
        </w:rPr>
        <w:t>3.3</w:t>
      </w:r>
      <w:bookmarkStart w:id="41" w:name="_Toc17803"/>
      <w:bookmarkStart w:id="42" w:name="_Toc22088"/>
      <w:bookmarkStart w:id="43" w:name="_Toc23704"/>
      <w:bookmarkStart w:id="44" w:name="_Toc8327"/>
      <w:bookmarkStart w:id="45" w:name="_Toc28876"/>
      <w:bookmarkStart w:id="46" w:name="_Toc27024"/>
      <w:bookmarkStart w:id="47" w:name="_Toc14044"/>
      <w:bookmarkStart w:id="48" w:name="_Toc13112"/>
      <w:r>
        <w:rPr>
          <w:rFonts w:hint="eastAsia" w:ascii="宋体" w:hAnsi="宋体" w:eastAsia="宋体" w:cs="宋体"/>
          <w:b w:val="0"/>
          <w:bCs w:val="0"/>
          <w:sz w:val="24"/>
          <w:szCs w:val="28"/>
          <w:highlight w:val="none"/>
        </w:rPr>
        <w:t>具有独立承担民事责任的能力（提供有效的营业执照或其他组织证明文件）；</w:t>
      </w:r>
    </w:p>
    <w:p w14:paraId="2531BBBF">
      <w:pPr>
        <w:spacing w:line="240" w:lineRule="auto"/>
        <w:ind w:firstLine="480" w:firstLineChars="200"/>
        <w:jc w:val="left"/>
        <w:rPr>
          <w:rFonts w:hint="eastAsia" w:ascii="宋体" w:hAnsi="宋体" w:eastAsia="宋体" w:cs="宋体"/>
          <w:b w:val="0"/>
          <w:bCs w:val="0"/>
          <w:sz w:val="24"/>
          <w:szCs w:val="28"/>
          <w:highlight w:val="none"/>
        </w:rPr>
      </w:pPr>
      <w:r>
        <w:rPr>
          <w:rFonts w:hint="eastAsia" w:ascii="宋体" w:hAnsi="宋体" w:eastAsia="宋体" w:cs="宋体"/>
          <w:b w:val="0"/>
          <w:bCs w:val="0"/>
          <w:sz w:val="24"/>
          <w:szCs w:val="28"/>
          <w:highlight w:val="none"/>
        </w:rPr>
        <w:t>3.</w:t>
      </w:r>
      <w:r>
        <w:rPr>
          <w:rFonts w:hint="eastAsia" w:ascii="宋体" w:hAnsi="宋体" w:eastAsia="宋体" w:cs="宋体"/>
          <w:b w:val="0"/>
          <w:bCs w:val="0"/>
          <w:sz w:val="24"/>
          <w:szCs w:val="28"/>
          <w:highlight w:val="none"/>
          <w:lang w:val="en-US" w:eastAsia="zh-CN"/>
        </w:rPr>
        <w:t>4</w:t>
      </w:r>
      <w:r>
        <w:rPr>
          <w:rFonts w:hint="eastAsia" w:ascii="宋体" w:hAnsi="宋体" w:eastAsia="宋体" w:cs="宋体"/>
          <w:b w:val="0"/>
          <w:bCs w:val="0"/>
          <w:sz w:val="24"/>
          <w:szCs w:val="28"/>
          <w:highlight w:val="none"/>
        </w:rPr>
        <w:t>有良好的商业信誉和健全的财务会计制度（提供</w:t>
      </w:r>
      <w:r>
        <w:rPr>
          <w:rFonts w:hint="eastAsia" w:ascii="宋体" w:hAnsi="宋体" w:eastAsia="宋体" w:cs="宋体"/>
          <w:b w:val="0"/>
          <w:bCs w:val="0"/>
          <w:sz w:val="24"/>
          <w:szCs w:val="28"/>
          <w:highlight w:val="none"/>
          <w:lang w:val="en-US" w:eastAsia="zh-CN"/>
        </w:rPr>
        <w:t>2025年度</w:t>
      </w:r>
      <w:r>
        <w:rPr>
          <w:rFonts w:hint="eastAsia" w:ascii="宋体" w:hAnsi="宋体" w:eastAsia="宋体" w:cs="宋体"/>
          <w:b w:val="0"/>
          <w:bCs w:val="0"/>
          <w:sz w:val="24"/>
          <w:szCs w:val="28"/>
          <w:highlight w:val="none"/>
        </w:rPr>
        <w:t>的财务审计报告，若企业成立年份不足1年，则需提供开户行出具的资信证明）；</w:t>
      </w:r>
    </w:p>
    <w:p w14:paraId="50A86B98">
      <w:pPr>
        <w:spacing w:line="240" w:lineRule="auto"/>
        <w:ind w:firstLine="480" w:firstLineChars="200"/>
        <w:jc w:val="left"/>
        <w:rPr>
          <w:rFonts w:hint="eastAsia" w:ascii="宋体" w:hAnsi="宋体" w:eastAsia="宋体" w:cs="宋体"/>
          <w:b w:val="0"/>
          <w:bCs w:val="0"/>
          <w:sz w:val="24"/>
          <w:szCs w:val="28"/>
          <w:highlight w:val="none"/>
        </w:rPr>
      </w:pPr>
      <w:r>
        <w:rPr>
          <w:rFonts w:hint="eastAsia" w:ascii="宋体" w:hAnsi="宋体" w:eastAsia="宋体" w:cs="宋体"/>
          <w:b w:val="0"/>
          <w:bCs w:val="0"/>
          <w:sz w:val="24"/>
          <w:szCs w:val="28"/>
          <w:highlight w:val="none"/>
        </w:rPr>
        <w:t>3.</w:t>
      </w:r>
      <w:r>
        <w:rPr>
          <w:rFonts w:hint="eastAsia" w:ascii="宋体" w:hAnsi="宋体" w:eastAsia="宋体" w:cs="宋体"/>
          <w:b w:val="0"/>
          <w:bCs w:val="0"/>
          <w:sz w:val="24"/>
          <w:szCs w:val="28"/>
          <w:highlight w:val="none"/>
          <w:lang w:val="en-US" w:eastAsia="zh-CN"/>
        </w:rPr>
        <w:t>5</w:t>
      </w:r>
      <w:r>
        <w:rPr>
          <w:rFonts w:hint="eastAsia" w:ascii="宋体" w:hAnsi="宋体" w:eastAsia="宋体" w:cs="宋体"/>
          <w:b w:val="0"/>
          <w:bCs w:val="0"/>
          <w:sz w:val="24"/>
          <w:szCs w:val="28"/>
          <w:highlight w:val="none"/>
        </w:rPr>
        <w:t>具有履行合同所必须的设备和专业技术能力（提供承诺书）；</w:t>
      </w:r>
    </w:p>
    <w:p w14:paraId="31FA5641">
      <w:pPr>
        <w:spacing w:line="240" w:lineRule="auto"/>
        <w:ind w:firstLine="480" w:firstLineChars="200"/>
        <w:jc w:val="left"/>
        <w:rPr>
          <w:rFonts w:hint="eastAsia" w:ascii="宋体" w:hAnsi="宋体" w:eastAsia="宋体" w:cs="宋体"/>
          <w:b w:val="0"/>
          <w:bCs w:val="0"/>
          <w:sz w:val="24"/>
          <w:szCs w:val="28"/>
          <w:highlight w:val="none"/>
        </w:rPr>
      </w:pPr>
      <w:r>
        <w:rPr>
          <w:rFonts w:hint="eastAsia" w:ascii="宋体" w:hAnsi="宋体" w:eastAsia="宋体" w:cs="宋体"/>
          <w:b w:val="0"/>
          <w:bCs w:val="0"/>
          <w:sz w:val="24"/>
          <w:szCs w:val="28"/>
          <w:highlight w:val="none"/>
        </w:rPr>
        <w:t>3.</w:t>
      </w:r>
      <w:r>
        <w:rPr>
          <w:rFonts w:hint="eastAsia" w:ascii="宋体" w:hAnsi="宋体" w:eastAsia="宋体" w:cs="宋体"/>
          <w:b w:val="0"/>
          <w:bCs w:val="0"/>
          <w:sz w:val="24"/>
          <w:szCs w:val="28"/>
          <w:highlight w:val="none"/>
          <w:lang w:val="en-US" w:eastAsia="zh-CN"/>
        </w:rPr>
        <w:t>6</w:t>
      </w:r>
      <w:r>
        <w:rPr>
          <w:rFonts w:hint="eastAsia" w:ascii="宋体" w:hAnsi="宋体" w:eastAsia="宋体" w:cs="宋体"/>
          <w:b w:val="0"/>
          <w:bCs w:val="0"/>
          <w:sz w:val="24"/>
          <w:szCs w:val="28"/>
          <w:highlight w:val="none"/>
        </w:rPr>
        <w:t>具有依法缴纳税收和社会保障资金的良好记录【提供2025年1月份以来任意3个月的已依法缴纳税收和社会保障资金的凭据，依法免税或不需要缴纳社会保障资金的供应商，应提供相应证明文件，新成立公司按实际月份提供。（如依法免税的，则须提供相关部门出具的证明文件。如投标人在规定的时间段内没有发生业务的，则提供税务部门出具的纳税证明，或加盖税务部门公章的纳税申报表。）】；</w:t>
      </w:r>
    </w:p>
    <w:p w14:paraId="2C936789">
      <w:pPr>
        <w:spacing w:line="240" w:lineRule="auto"/>
        <w:ind w:firstLine="480" w:firstLineChars="200"/>
        <w:jc w:val="left"/>
        <w:rPr>
          <w:rFonts w:hint="eastAsia" w:ascii="宋体" w:hAnsi="宋体" w:eastAsia="宋体" w:cs="宋体"/>
          <w:b w:val="0"/>
          <w:bCs w:val="0"/>
          <w:sz w:val="24"/>
          <w:szCs w:val="28"/>
          <w:highlight w:val="none"/>
          <w:lang w:eastAsia="zh-CN"/>
        </w:rPr>
      </w:pPr>
      <w:r>
        <w:rPr>
          <w:rFonts w:hint="eastAsia" w:ascii="宋体" w:hAnsi="宋体" w:eastAsia="宋体" w:cs="宋体"/>
          <w:b w:val="0"/>
          <w:bCs w:val="0"/>
          <w:sz w:val="24"/>
          <w:szCs w:val="28"/>
          <w:highlight w:val="none"/>
        </w:rPr>
        <w:t>3.</w:t>
      </w:r>
      <w:r>
        <w:rPr>
          <w:rFonts w:hint="eastAsia" w:ascii="宋体" w:hAnsi="宋体" w:eastAsia="宋体" w:cs="宋体"/>
          <w:b w:val="0"/>
          <w:bCs w:val="0"/>
          <w:sz w:val="24"/>
          <w:szCs w:val="28"/>
          <w:highlight w:val="none"/>
          <w:lang w:val="en-US" w:eastAsia="zh-CN"/>
        </w:rPr>
        <w:t>7</w:t>
      </w:r>
      <w:r>
        <w:rPr>
          <w:rFonts w:hint="eastAsia" w:ascii="宋体" w:hAnsi="宋体" w:eastAsia="宋体" w:cs="宋体"/>
          <w:b w:val="0"/>
          <w:bCs w:val="0"/>
          <w:sz w:val="24"/>
          <w:szCs w:val="28"/>
          <w:highlight w:val="none"/>
        </w:rPr>
        <w:t>参加政府采购活动前三年内在经营活动中没有重大违法记录的证明材料（提供承诺书）</w:t>
      </w:r>
      <w:r>
        <w:rPr>
          <w:rFonts w:hint="eastAsia" w:ascii="宋体" w:hAnsi="宋体" w:eastAsia="宋体" w:cs="宋体"/>
          <w:b w:val="0"/>
          <w:bCs w:val="0"/>
          <w:sz w:val="24"/>
          <w:szCs w:val="28"/>
          <w:highlight w:val="none"/>
          <w:lang w:eastAsia="zh-CN"/>
        </w:rPr>
        <w:t>；</w:t>
      </w:r>
    </w:p>
    <w:p w14:paraId="4F91068D">
      <w:pPr>
        <w:spacing w:line="240" w:lineRule="auto"/>
        <w:ind w:firstLine="480" w:firstLineChars="200"/>
        <w:jc w:val="left"/>
        <w:rPr>
          <w:rFonts w:hint="default" w:ascii="宋体" w:hAnsi="宋体" w:eastAsia="宋体" w:cs="宋体"/>
          <w:b w:val="0"/>
          <w:bCs w:val="0"/>
          <w:sz w:val="24"/>
          <w:szCs w:val="28"/>
          <w:highlight w:val="none"/>
          <w:lang w:val="en-US" w:eastAsia="zh-CN"/>
        </w:rPr>
      </w:pPr>
      <w:r>
        <w:rPr>
          <w:rFonts w:hint="eastAsia" w:ascii="宋体" w:hAnsi="宋体" w:eastAsia="宋体" w:cs="宋体"/>
          <w:b w:val="0"/>
          <w:bCs w:val="0"/>
          <w:sz w:val="24"/>
          <w:szCs w:val="28"/>
          <w:highlight w:val="none"/>
          <w:lang w:val="en-US" w:eastAsia="zh-CN"/>
        </w:rPr>
        <w:t>3.8未被列入失信被执行人、重大税收违法失信主体、政府采购严重违法失信行为记录名单的证明材料（提供网页截图）。</w:t>
      </w:r>
    </w:p>
    <w:p w14:paraId="59970D78">
      <w:pPr>
        <w:keepNext/>
        <w:keepLines/>
        <w:pageBreakBefore w:val="0"/>
        <w:widowControl w:val="0"/>
        <w:tabs>
          <w:tab w:val="left" w:pos="525"/>
        </w:tabs>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1"/>
        <w:rPr>
          <w:rFonts w:hint="eastAsia" w:ascii="宋体" w:hAnsi="宋体" w:eastAsia="宋体" w:cs="宋体"/>
          <w:b w:val="0"/>
          <w:kern w:val="2"/>
          <w:sz w:val="24"/>
          <w:szCs w:val="24"/>
          <w:lang w:val="en-US" w:eastAsia="zh-CN" w:bidi="ar-SA"/>
        </w:rPr>
      </w:pPr>
      <w:bookmarkStart w:id="49" w:name="_Toc18432"/>
      <w:r>
        <w:rPr>
          <w:rFonts w:hint="eastAsia" w:ascii="宋体" w:hAnsi="宋体" w:eastAsia="宋体" w:cs="宋体"/>
          <w:b w:val="0"/>
          <w:kern w:val="2"/>
          <w:sz w:val="24"/>
          <w:szCs w:val="24"/>
          <w:lang w:val="en-US" w:eastAsia="zh-CN" w:bidi="ar-SA"/>
        </w:rPr>
        <w:t>三、获取采购文件</w:t>
      </w:r>
      <w:bookmarkEnd w:id="41"/>
      <w:bookmarkEnd w:id="42"/>
      <w:bookmarkEnd w:id="43"/>
      <w:bookmarkEnd w:id="44"/>
      <w:bookmarkEnd w:id="45"/>
      <w:bookmarkEnd w:id="46"/>
      <w:bookmarkEnd w:id="47"/>
      <w:bookmarkEnd w:id="48"/>
      <w:bookmarkEnd w:id="49"/>
    </w:p>
    <w:p w14:paraId="7C86BE10">
      <w:pPr>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时间：</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24</w:t>
      </w:r>
      <w:r>
        <w:rPr>
          <w:rFonts w:hint="eastAsia" w:ascii="宋体" w:hAnsi="宋体" w:eastAsia="宋体" w:cs="宋体"/>
          <w:sz w:val="24"/>
          <w:szCs w:val="24"/>
          <w:highlight w:val="none"/>
        </w:rPr>
        <w:t>日</w:t>
      </w:r>
      <w:r>
        <w:rPr>
          <w:rFonts w:hint="eastAsia" w:ascii="宋体" w:hAnsi="宋体" w:eastAsia="宋体" w:cs="宋体"/>
          <w:kern w:val="0"/>
          <w:sz w:val="24"/>
          <w:szCs w:val="24"/>
          <w:highlight w:val="none"/>
        </w:rPr>
        <w:t>00时00分至</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28</w:t>
      </w:r>
      <w:r>
        <w:rPr>
          <w:rFonts w:hint="eastAsia" w:ascii="宋体" w:hAnsi="宋体" w:eastAsia="宋体" w:cs="宋体"/>
          <w:sz w:val="24"/>
          <w:szCs w:val="24"/>
          <w:highlight w:val="none"/>
        </w:rPr>
        <w:t>日</w:t>
      </w:r>
      <w:r>
        <w:rPr>
          <w:rFonts w:hint="eastAsia" w:ascii="宋体" w:hAnsi="宋体" w:eastAsia="宋体" w:cs="宋体"/>
          <w:kern w:val="0"/>
          <w:sz w:val="24"/>
          <w:szCs w:val="24"/>
          <w:highlight w:val="none"/>
          <w:shd w:val="clear" w:color="auto" w:fill="FFFFFF"/>
          <w:lang w:bidi="ar"/>
        </w:rPr>
        <w:t>23时59分</w:t>
      </w:r>
      <w:r>
        <w:rPr>
          <w:rFonts w:hint="eastAsia" w:ascii="宋体" w:hAnsi="宋体" w:eastAsia="宋体" w:cs="宋体"/>
          <w:sz w:val="24"/>
          <w:szCs w:val="24"/>
          <w:highlight w:val="none"/>
        </w:rPr>
        <w:t>（北京时间，法定节假日除外）</w:t>
      </w:r>
    </w:p>
    <w:p w14:paraId="422E1D28">
      <w:pPr>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u w:val="single"/>
        </w:rPr>
      </w:pPr>
      <w:r>
        <w:rPr>
          <w:rFonts w:hint="eastAsia" w:ascii="宋体" w:hAnsi="宋体" w:eastAsia="宋体" w:cs="宋体"/>
          <w:sz w:val="24"/>
          <w:szCs w:val="24"/>
          <w:lang w:val="en-US" w:eastAsia="zh-CN"/>
        </w:rPr>
        <w:t>2.</w:t>
      </w:r>
      <w:r>
        <w:rPr>
          <w:rFonts w:hint="eastAsia" w:ascii="宋体" w:hAnsi="宋体" w:eastAsia="宋体" w:cs="宋体"/>
          <w:sz w:val="24"/>
          <w:szCs w:val="24"/>
        </w:rPr>
        <w:t>地点：全国公共资源交易平台（河南省·信阳市）信阳市公共资源交易中心息县分中心官方网站凭办理的企业身份认证锁（CA数字证书）登录会员系统</w:t>
      </w:r>
    </w:p>
    <w:p w14:paraId="302FB22C">
      <w:pPr>
        <w:pageBreakBefore w:val="0"/>
        <w:kinsoku/>
        <w:wordWrap/>
        <w:overflowPunct/>
        <w:topLinePunct w:val="0"/>
        <w:autoSpaceDE/>
        <w:autoSpaceDN/>
        <w:bidi w:val="0"/>
        <w:adjustRightInd/>
        <w:snapToGrid/>
        <w:spacing w:line="24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方式</w:t>
      </w:r>
      <w:r>
        <w:rPr>
          <w:rFonts w:hint="eastAsia" w:ascii="宋体" w:hAnsi="宋体" w:cs="宋体"/>
          <w:sz w:val="24"/>
          <w:szCs w:val="24"/>
          <w:highlight w:val="none"/>
        </w:rPr>
        <w:t>投标供应商凭CA数字证书登录会员系统后，即可按网上提示下载招标文件及资料（操作程序详见信阳市公共资源交易中心网站下载中心栏目里投标供应商操作手册）。招标文件(*.XYZF格式)下载后需使用“信阳市投标文件制作工具软件”打开（该工具软件可在</w:t>
      </w:r>
      <w:r>
        <w:rPr>
          <w:rFonts w:hint="eastAsia" w:ascii="宋体" w:hAnsi="宋体" w:eastAsia="宋体" w:cs="宋体"/>
          <w:color w:val="auto"/>
          <w:kern w:val="0"/>
          <w:sz w:val="24"/>
          <w:szCs w:val="24"/>
          <w:highlight w:val="none"/>
          <w:lang w:val="en-US" w:eastAsia="zh-CN"/>
        </w:rPr>
        <w:t>“全国公共资源交易平台（河南省·信阳市）（https://ggzyjy.xinyang.gov.cn）”</w:t>
      </w:r>
      <w:r>
        <w:rPr>
          <w:rFonts w:hint="eastAsia" w:ascii="宋体" w:hAnsi="宋体" w:cs="宋体"/>
          <w:sz w:val="24"/>
          <w:szCs w:val="24"/>
          <w:highlight w:val="none"/>
        </w:rPr>
        <w:t>网站下载中心栏目内下载或招标文件领取页面下载）。请供应商下载文件后及时关注系统业务菜单内该项目是否有新的答疑澄清文件。如有请直接下载，不再另行通知。</w:t>
      </w:r>
    </w:p>
    <w:p w14:paraId="06E8BB74">
      <w:pPr>
        <w:pageBreakBefore w:val="0"/>
        <w:kinsoku/>
        <w:wordWrap/>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4.售价：0元/份</w:t>
      </w:r>
    </w:p>
    <w:p w14:paraId="6D57D663">
      <w:pPr>
        <w:keepNext/>
        <w:keepLines/>
        <w:pageBreakBefore w:val="0"/>
        <w:widowControl w:val="0"/>
        <w:tabs>
          <w:tab w:val="left" w:pos="525"/>
        </w:tabs>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1"/>
        <w:rPr>
          <w:rFonts w:hint="eastAsia" w:ascii="宋体" w:hAnsi="宋体" w:eastAsia="宋体" w:cs="宋体"/>
          <w:b w:val="0"/>
          <w:kern w:val="2"/>
          <w:sz w:val="24"/>
          <w:szCs w:val="24"/>
          <w:highlight w:val="none"/>
          <w:lang w:val="en-US" w:eastAsia="zh-CN" w:bidi="ar-SA"/>
        </w:rPr>
      </w:pPr>
      <w:bookmarkStart w:id="50" w:name="_Toc13005"/>
      <w:bookmarkStart w:id="51" w:name="_Toc9764"/>
      <w:bookmarkStart w:id="52" w:name="_Toc21396"/>
      <w:bookmarkStart w:id="53" w:name="_Toc35393632"/>
      <w:bookmarkStart w:id="54" w:name="_Toc17930"/>
      <w:bookmarkStart w:id="55" w:name="_Toc15454"/>
      <w:bookmarkStart w:id="56" w:name="_Toc7673"/>
      <w:bookmarkStart w:id="57" w:name="_Toc25172"/>
      <w:bookmarkStart w:id="58" w:name="_Toc4347"/>
      <w:bookmarkStart w:id="59" w:name="_Toc35393801"/>
      <w:bookmarkStart w:id="60" w:name="_Toc296"/>
      <w:bookmarkStart w:id="61" w:name="_Toc28359015"/>
      <w:bookmarkStart w:id="62" w:name="_Toc12880"/>
      <w:bookmarkStart w:id="63" w:name="_Toc28359092"/>
      <w:r>
        <w:rPr>
          <w:rFonts w:hint="eastAsia" w:ascii="宋体" w:hAnsi="宋体" w:eastAsia="宋体" w:cs="宋体"/>
          <w:b w:val="0"/>
          <w:kern w:val="2"/>
          <w:sz w:val="24"/>
          <w:szCs w:val="24"/>
          <w:highlight w:val="none"/>
          <w:lang w:val="en-US" w:eastAsia="zh-CN" w:bidi="ar-SA"/>
        </w:rPr>
        <w:t>四、响应文件提交</w:t>
      </w:r>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3EAFEB77">
      <w:pPr>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8"/>
          <w:highlight w:val="yellow"/>
        </w:rPr>
      </w:pPr>
      <w:bookmarkStart w:id="64" w:name="_Toc28020"/>
      <w:bookmarkStart w:id="65" w:name="_Toc31312"/>
      <w:bookmarkStart w:id="66" w:name="_Toc13915"/>
      <w:bookmarkStart w:id="67" w:name="_Toc28359016"/>
      <w:bookmarkStart w:id="68" w:name="_Toc14105"/>
      <w:bookmarkStart w:id="69" w:name="_Toc35393802"/>
      <w:bookmarkStart w:id="70" w:name="_Toc32160"/>
      <w:bookmarkStart w:id="71" w:name="_Toc9779"/>
      <w:bookmarkStart w:id="72" w:name="_Toc28359093"/>
      <w:bookmarkStart w:id="73" w:name="_Toc35393633"/>
      <w:bookmarkStart w:id="74" w:name="_Toc12139"/>
      <w:bookmarkStart w:id="75" w:name="_Toc26030"/>
      <w:r>
        <w:rPr>
          <w:rFonts w:hint="eastAsia" w:ascii="宋体" w:hAnsi="宋体" w:eastAsia="宋体" w:cs="宋体"/>
          <w:sz w:val="24"/>
          <w:szCs w:val="28"/>
          <w:highlight w:val="none"/>
        </w:rPr>
        <w:t>1.时间：</w:t>
      </w:r>
      <w:r>
        <w:rPr>
          <w:rFonts w:hint="eastAsia" w:ascii="宋体" w:hAnsi="宋体" w:eastAsia="宋体" w:cs="宋体"/>
          <w:sz w:val="24"/>
          <w:szCs w:val="24"/>
          <w:highlight w:val="none"/>
          <w:u w:val="single"/>
          <w:lang w:val="en-US" w:eastAsia="zh-CN"/>
        </w:rPr>
        <w:t>2026年9月7日</w:t>
      </w:r>
      <w:r>
        <w:rPr>
          <w:rFonts w:hint="eastAsia" w:ascii="宋体" w:hAnsi="宋体" w:eastAsia="宋体" w:cs="宋体"/>
          <w:bCs/>
          <w:sz w:val="24"/>
          <w:szCs w:val="24"/>
          <w:highlight w:val="none"/>
          <w:u w:val="single"/>
          <w:lang w:val="en-US" w:eastAsia="zh-CN"/>
        </w:rPr>
        <w:t>09</w:t>
      </w:r>
      <w:r>
        <w:rPr>
          <w:rFonts w:hint="eastAsia" w:ascii="宋体" w:hAnsi="宋体" w:eastAsia="宋体" w:cs="宋体"/>
          <w:bCs/>
          <w:sz w:val="24"/>
          <w:szCs w:val="24"/>
          <w:highlight w:val="none"/>
          <w:u w:val="single"/>
        </w:rPr>
        <w:t>点</w:t>
      </w:r>
      <w:r>
        <w:rPr>
          <w:rFonts w:hint="eastAsia" w:ascii="宋体" w:hAnsi="宋体" w:eastAsia="宋体" w:cs="宋体"/>
          <w:bCs/>
          <w:sz w:val="24"/>
          <w:szCs w:val="24"/>
          <w:highlight w:val="none"/>
          <w:u w:val="single"/>
          <w:lang w:val="en-US" w:eastAsia="zh-CN"/>
        </w:rPr>
        <w:t>30</w:t>
      </w:r>
      <w:r>
        <w:rPr>
          <w:rFonts w:hint="eastAsia" w:ascii="宋体" w:hAnsi="宋体" w:eastAsia="宋体" w:cs="宋体"/>
          <w:bCs/>
          <w:sz w:val="24"/>
          <w:szCs w:val="24"/>
          <w:highlight w:val="none"/>
          <w:u w:val="single"/>
        </w:rPr>
        <w:t>分</w:t>
      </w:r>
      <w:r>
        <w:rPr>
          <w:rFonts w:hint="eastAsia" w:ascii="宋体" w:hAnsi="宋体" w:eastAsia="宋体" w:cs="宋体"/>
          <w:sz w:val="24"/>
          <w:szCs w:val="28"/>
          <w:highlight w:val="none"/>
        </w:rPr>
        <w:t>（北京时间）</w:t>
      </w:r>
      <w:bookmarkEnd w:id="64"/>
      <w:bookmarkEnd w:id="65"/>
      <w:bookmarkEnd w:id="66"/>
    </w:p>
    <w:p w14:paraId="1C2F4774">
      <w:pPr>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8"/>
          <w:highlight w:val="none"/>
          <w:lang w:eastAsia="zh-CN"/>
        </w:rPr>
      </w:pPr>
      <w:bookmarkStart w:id="76" w:name="_Toc18177"/>
      <w:bookmarkStart w:id="77" w:name="_Toc20841"/>
      <w:bookmarkStart w:id="78" w:name="_Toc19561"/>
      <w:r>
        <w:rPr>
          <w:rFonts w:hint="eastAsia" w:ascii="宋体" w:hAnsi="宋体" w:eastAsia="宋体" w:cs="宋体"/>
          <w:sz w:val="24"/>
          <w:szCs w:val="28"/>
          <w:highlight w:val="none"/>
        </w:rPr>
        <w:t>2.地点：</w:t>
      </w:r>
      <w:bookmarkEnd w:id="76"/>
      <w:bookmarkEnd w:id="77"/>
      <w:bookmarkEnd w:id="78"/>
      <w:r>
        <w:rPr>
          <w:rFonts w:hint="eastAsia" w:ascii="宋体" w:hAnsi="宋体" w:eastAsia="宋体" w:cs="宋体"/>
          <w:sz w:val="24"/>
          <w:szCs w:val="28"/>
          <w:highlight w:val="none"/>
          <w:lang w:eastAsia="zh-CN"/>
        </w:rPr>
        <w:t>全国公共资源交易平台（河南省·信阳市）信阳市公共资源交易中心息县分中心不见面开标大厅</w:t>
      </w:r>
    </w:p>
    <w:p w14:paraId="5D9221DF">
      <w:pPr>
        <w:keepNext w:val="0"/>
        <w:keepLines w:val="0"/>
        <w:pageBreakBefore w:val="0"/>
        <w:widowControl w:val="0"/>
        <w:tabs>
          <w:tab w:val="left" w:pos="525"/>
        </w:tabs>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1"/>
        <w:rPr>
          <w:rFonts w:hint="eastAsia" w:ascii="宋体" w:hAnsi="宋体" w:eastAsia="宋体" w:cs="宋体"/>
          <w:b w:val="0"/>
          <w:kern w:val="2"/>
          <w:sz w:val="24"/>
          <w:szCs w:val="24"/>
          <w:highlight w:val="none"/>
          <w:lang w:val="en-US" w:eastAsia="zh-CN" w:bidi="ar-SA"/>
        </w:rPr>
      </w:pPr>
      <w:bookmarkStart w:id="79" w:name="_Toc11502"/>
      <w:bookmarkStart w:id="80" w:name="_Toc25454"/>
      <w:bookmarkStart w:id="81" w:name="_Toc11467"/>
      <w:r>
        <w:rPr>
          <w:rFonts w:hint="eastAsia" w:ascii="宋体" w:hAnsi="宋体" w:eastAsia="宋体" w:cs="宋体"/>
          <w:b w:val="0"/>
          <w:kern w:val="2"/>
          <w:sz w:val="24"/>
          <w:szCs w:val="24"/>
          <w:highlight w:val="none"/>
          <w:lang w:val="en-US" w:eastAsia="zh-CN" w:bidi="ar-SA"/>
        </w:rPr>
        <w:t>五、响应文件开启</w:t>
      </w:r>
      <w:bookmarkEnd w:id="67"/>
      <w:bookmarkEnd w:id="68"/>
      <w:bookmarkEnd w:id="69"/>
      <w:bookmarkEnd w:id="70"/>
      <w:bookmarkEnd w:id="71"/>
      <w:bookmarkEnd w:id="72"/>
      <w:bookmarkEnd w:id="73"/>
      <w:bookmarkEnd w:id="74"/>
      <w:bookmarkEnd w:id="75"/>
      <w:bookmarkEnd w:id="79"/>
      <w:bookmarkEnd w:id="80"/>
      <w:bookmarkEnd w:id="81"/>
    </w:p>
    <w:p w14:paraId="74F6A0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8"/>
          <w:highlight w:val="yellow"/>
        </w:rPr>
      </w:pPr>
      <w:bookmarkStart w:id="82" w:name="_Toc16984"/>
      <w:bookmarkStart w:id="83" w:name="_Toc16565"/>
      <w:bookmarkStart w:id="84" w:name="_Toc28359017"/>
      <w:bookmarkStart w:id="85" w:name="_Toc35393803"/>
      <w:bookmarkStart w:id="86" w:name="_Toc30046"/>
      <w:bookmarkStart w:id="87" w:name="_Toc35393634"/>
      <w:bookmarkStart w:id="88" w:name="_Toc1477"/>
      <w:bookmarkStart w:id="89" w:name="_Toc15559"/>
      <w:bookmarkStart w:id="90" w:name="_Toc28359094"/>
      <w:bookmarkStart w:id="91" w:name="_Toc4683"/>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截止时间：</w:t>
      </w:r>
      <w:r>
        <w:rPr>
          <w:rFonts w:hint="eastAsia" w:ascii="宋体" w:hAnsi="宋体" w:eastAsia="宋体" w:cs="宋体"/>
          <w:sz w:val="24"/>
          <w:szCs w:val="24"/>
          <w:highlight w:val="none"/>
          <w:u w:val="single"/>
          <w:lang w:val="en-US" w:eastAsia="zh-CN"/>
        </w:rPr>
        <w:t>2026年9月7日</w:t>
      </w:r>
      <w:r>
        <w:rPr>
          <w:rFonts w:hint="eastAsia" w:ascii="宋体" w:hAnsi="宋体" w:eastAsia="宋体" w:cs="宋体"/>
          <w:sz w:val="24"/>
          <w:szCs w:val="24"/>
          <w:highlight w:val="none"/>
          <w:u w:val="single"/>
          <w:lang w:eastAsia="zh-CN"/>
        </w:rPr>
        <w:t>09点30分</w:t>
      </w:r>
      <w:r>
        <w:rPr>
          <w:rFonts w:hint="eastAsia" w:ascii="宋体" w:hAnsi="宋体" w:eastAsia="宋体" w:cs="宋体"/>
          <w:sz w:val="24"/>
          <w:szCs w:val="28"/>
          <w:highlight w:val="none"/>
        </w:rPr>
        <w:t>（北京时间）</w:t>
      </w:r>
    </w:p>
    <w:p w14:paraId="36718585">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Cs/>
          <w:sz w:val="24"/>
          <w:szCs w:val="24"/>
          <w:highlight w:val="yellow"/>
          <w:u w:val="singl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地点：</w:t>
      </w:r>
      <w:r>
        <w:rPr>
          <w:rFonts w:hint="eastAsia" w:ascii="宋体" w:hAnsi="宋体" w:eastAsia="宋体" w:cs="宋体"/>
          <w:sz w:val="24"/>
          <w:szCs w:val="28"/>
          <w:lang w:eastAsia="zh-CN"/>
        </w:rPr>
        <w:t>全国公共资源交易平台（河南省·信阳市）信阳市公共资源交易中心息县分中心不见面开标大厅</w:t>
      </w:r>
    </w:p>
    <w:p w14:paraId="132FFDA3">
      <w:pPr>
        <w:keepNext w:val="0"/>
        <w:keepLines/>
        <w:pageBreakBefore w:val="0"/>
        <w:widowControl w:val="0"/>
        <w:tabs>
          <w:tab w:val="left" w:pos="525"/>
        </w:tabs>
        <w:kinsoku/>
        <w:wordWrap/>
        <w:overflowPunct/>
        <w:topLinePunct w:val="0"/>
        <w:autoSpaceDE/>
        <w:autoSpaceDN/>
        <w:bidi w:val="0"/>
        <w:adjustRightInd/>
        <w:snapToGrid/>
        <w:spacing w:before="0" w:after="0" w:afterLines="0" w:line="240" w:lineRule="auto"/>
        <w:ind w:left="0" w:leftChars="0" w:firstLine="0" w:firstLineChars="0"/>
        <w:jc w:val="both"/>
        <w:textAlignment w:val="auto"/>
        <w:outlineLvl w:val="1"/>
        <w:rPr>
          <w:rFonts w:hint="eastAsia" w:ascii="宋体" w:hAnsi="宋体" w:eastAsia="宋体" w:cs="宋体"/>
          <w:b w:val="0"/>
          <w:kern w:val="2"/>
          <w:sz w:val="24"/>
          <w:szCs w:val="24"/>
          <w:lang w:val="en-US" w:eastAsia="zh-CN" w:bidi="ar-SA"/>
        </w:rPr>
      </w:pPr>
      <w:bookmarkStart w:id="92" w:name="_Toc13341"/>
      <w:bookmarkStart w:id="93" w:name="_Toc28248"/>
      <w:bookmarkStart w:id="94" w:name="_Toc670"/>
      <w:r>
        <w:rPr>
          <w:rFonts w:hint="eastAsia" w:ascii="宋体" w:hAnsi="宋体" w:eastAsia="宋体" w:cs="宋体"/>
          <w:b w:val="0"/>
          <w:kern w:val="2"/>
          <w:sz w:val="24"/>
          <w:szCs w:val="24"/>
          <w:lang w:val="en-US" w:eastAsia="zh-CN" w:bidi="ar-SA"/>
        </w:rPr>
        <w:t>六、</w:t>
      </w:r>
      <w:bookmarkEnd w:id="82"/>
      <w:bookmarkEnd w:id="83"/>
      <w:bookmarkEnd w:id="84"/>
      <w:bookmarkEnd w:id="85"/>
      <w:bookmarkEnd w:id="86"/>
      <w:bookmarkEnd w:id="87"/>
      <w:bookmarkEnd w:id="88"/>
      <w:bookmarkEnd w:id="89"/>
      <w:bookmarkEnd w:id="90"/>
      <w:bookmarkEnd w:id="91"/>
      <w:r>
        <w:rPr>
          <w:rFonts w:hint="eastAsia" w:ascii="宋体" w:hAnsi="宋体" w:eastAsia="宋体" w:cs="宋体"/>
          <w:b w:val="0"/>
          <w:kern w:val="2"/>
          <w:sz w:val="24"/>
          <w:szCs w:val="24"/>
          <w:lang w:val="en-US" w:eastAsia="zh-CN" w:bidi="ar-SA"/>
        </w:rPr>
        <w:t>发布公告的媒介及公告期限</w:t>
      </w:r>
      <w:bookmarkEnd w:id="92"/>
      <w:bookmarkEnd w:id="93"/>
      <w:bookmarkEnd w:id="94"/>
    </w:p>
    <w:p w14:paraId="5B5BBF0E">
      <w:pPr>
        <w:keepNext w:val="0"/>
        <w:keepLines/>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kern w:val="0"/>
          <w:sz w:val="24"/>
          <w:szCs w:val="24"/>
        </w:rPr>
      </w:pPr>
      <w:r>
        <w:rPr>
          <w:rFonts w:hint="eastAsia" w:ascii="宋体" w:hAnsi="宋体" w:eastAsia="宋体" w:cs="宋体"/>
          <w:b w:val="0"/>
          <w:bCs/>
          <w:kern w:val="2"/>
          <w:sz w:val="24"/>
          <w:szCs w:val="24"/>
          <w:highlight w:val="none"/>
          <w:lang w:val="en-US" w:eastAsia="zh-CN" w:bidi="ar-SA"/>
        </w:rPr>
        <w:t xml:space="preserve">本次公告在《河南省政府采购网》、《全国公共资源交易平台（河南省·信阳市）信阳市公共资源交易中心息县分中心》上发布。 </w:t>
      </w:r>
      <w:r>
        <w:rPr>
          <w:rFonts w:hint="eastAsia" w:ascii="宋体" w:hAnsi="宋体" w:eastAsia="宋体" w:cs="宋体"/>
          <w:kern w:val="0"/>
          <w:sz w:val="24"/>
          <w:szCs w:val="24"/>
        </w:rPr>
        <w:t>自本公告发布之日起</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个工作日。</w:t>
      </w:r>
    </w:p>
    <w:p w14:paraId="19645659">
      <w:pPr>
        <w:keepNext w:val="0"/>
        <w:keepLines/>
        <w:pageBreakBefore w:val="0"/>
        <w:widowControl w:val="0"/>
        <w:tabs>
          <w:tab w:val="left" w:pos="525"/>
        </w:tabs>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1"/>
        <w:rPr>
          <w:rFonts w:hint="eastAsia" w:ascii="宋体" w:hAnsi="宋体" w:eastAsia="宋体" w:cs="宋体"/>
          <w:b w:val="0"/>
          <w:bCs/>
          <w:kern w:val="2"/>
          <w:sz w:val="24"/>
          <w:szCs w:val="24"/>
          <w:highlight w:val="none"/>
          <w:lang w:val="en-US" w:eastAsia="zh-CN" w:bidi="ar-SA"/>
        </w:rPr>
      </w:pPr>
      <w:bookmarkStart w:id="95" w:name="_Toc23087"/>
      <w:bookmarkStart w:id="96" w:name="_Toc3672"/>
      <w:bookmarkStart w:id="97" w:name="_Toc30608"/>
      <w:bookmarkStart w:id="98" w:name="_Toc35393804"/>
      <w:bookmarkStart w:id="99" w:name="_Toc27625"/>
      <w:bookmarkStart w:id="100" w:name="_Toc30345"/>
      <w:bookmarkStart w:id="101" w:name="_Toc18292"/>
      <w:bookmarkStart w:id="102" w:name="_Toc35393635"/>
      <w:bookmarkStart w:id="103" w:name="_Toc7373"/>
      <w:bookmarkStart w:id="104" w:name="_Toc26494"/>
      <w:bookmarkStart w:id="105" w:name="_Toc9859"/>
      <w:bookmarkStart w:id="106" w:name="_Toc22572"/>
      <w:r>
        <w:rPr>
          <w:rFonts w:hint="eastAsia" w:ascii="宋体" w:hAnsi="宋体" w:eastAsia="宋体" w:cs="宋体"/>
          <w:b w:val="0"/>
          <w:kern w:val="2"/>
          <w:sz w:val="24"/>
          <w:szCs w:val="24"/>
          <w:lang w:val="en-US" w:eastAsia="zh-CN" w:bidi="ar-SA"/>
        </w:rPr>
        <w:t>七、其他补充事宜</w:t>
      </w:r>
      <w:bookmarkEnd w:id="95"/>
      <w:bookmarkEnd w:id="96"/>
      <w:bookmarkEnd w:id="97"/>
      <w:bookmarkEnd w:id="98"/>
      <w:bookmarkEnd w:id="99"/>
      <w:bookmarkEnd w:id="100"/>
      <w:bookmarkEnd w:id="101"/>
      <w:bookmarkEnd w:id="102"/>
      <w:bookmarkEnd w:id="103"/>
      <w:bookmarkEnd w:id="104"/>
      <w:bookmarkEnd w:id="105"/>
      <w:bookmarkEnd w:id="106"/>
      <w:bookmarkStart w:id="107" w:name="_Toc30418"/>
      <w:bookmarkStart w:id="108" w:name="_Toc35393636"/>
      <w:bookmarkStart w:id="109" w:name="_Toc35393805"/>
      <w:bookmarkStart w:id="110" w:name="_Toc28359018"/>
      <w:bookmarkStart w:id="111" w:name="_Toc28359095"/>
    </w:p>
    <w:p w14:paraId="744C8BA8">
      <w:pPr>
        <w:keepNext w:val="0"/>
        <w:keepLines w:val="0"/>
        <w:pageBreakBefore w:val="0"/>
        <w:widowControl w:val="0"/>
        <w:kinsoku/>
        <w:wordWrap w:val="0"/>
        <w:overflowPunct/>
        <w:topLinePunct w:val="0"/>
        <w:autoSpaceDE/>
        <w:autoSpaceDN/>
        <w:bidi w:val="0"/>
        <w:adjustRightInd/>
        <w:snapToGrid/>
        <w:spacing w:after="0" w:afterLines="0" w:afterAutospacing="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bookmarkStart w:id="112" w:name="_Toc25440"/>
      <w:r>
        <w:rPr>
          <w:rFonts w:hint="eastAsia" w:ascii="宋体" w:hAnsi="宋体" w:eastAsia="宋体" w:cs="宋体"/>
          <w:b w:val="0"/>
          <w:kern w:val="2"/>
          <w:sz w:val="24"/>
          <w:szCs w:val="24"/>
          <w:lang w:val="en-US" w:eastAsia="zh-CN" w:bidi="ar-SA"/>
        </w:rPr>
        <w:t>1.本项目采用“不见面开标”交易方式，不见面开标大厅网址为 https://ggzyjy.xinyang.gov.cn/，投标供应商无需寄送和递交非加密的电子投标文件，无需到现场参加开标会议，无需到达现场提交原件资料。</w:t>
      </w:r>
      <w:bookmarkEnd w:id="112"/>
      <w:r>
        <w:rPr>
          <w:rFonts w:hint="eastAsia" w:ascii="宋体" w:hAnsi="宋体" w:eastAsia="宋体" w:cs="宋体"/>
          <w:b w:val="0"/>
          <w:kern w:val="2"/>
          <w:sz w:val="24"/>
          <w:szCs w:val="24"/>
          <w:lang w:val="en-US" w:eastAsia="zh-CN" w:bidi="ar-SA"/>
        </w:rPr>
        <w:t xml:space="preserve">   </w:t>
      </w:r>
    </w:p>
    <w:p w14:paraId="5C90DDEF">
      <w:pPr>
        <w:pageBreakBefore w:val="0"/>
        <w:widowControl w:val="0"/>
        <w:kinsoku/>
        <w:wordWrap/>
        <w:overflowPunct/>
        <w:topLinePunct w:val="0"/>
        <w:autoSpaceDE/>
        <w:autoSpaceDN/>
        <w:bidi w:val="0"/>
        <w:adjustRightInd/>
        <w:snapToGrid/>
        <w:spacing w:line="240" w:lineRule="auto"/>
        <w:ind w:left="0" w:leftChars="0" w:firstLine="420" w:firstLineChars="175"/>
        <w:textAlignment w:val="auto"/>
        <w:outlineLvl w:val="9"/>
        <w:rPr>
          <w:rFonts w:hint="eastAsia" w:ascii="宋体" w:hAnsi="宋体" w:eastAsia="宋体" w:cs="宋体"/>
          <w:sz w:val="24"/>
          <w:szCs w:val="22"/>
          <w:lang w:val="en-US" w:eastAsia="zh-CN"/>
        </w:rPr>
      </w:pPr>
      <w:r>
        <w:rPr>
          <w:rFonts w:hint="eastAsia" w:ascii="宋体" w:hAnsi="宋体" w:eastAsia="宋体" w:cs="宋体"/>
          <w:sz w:val="24"/>
          <w:szCs w:val="22"/>
          <w:lang w:val="en-US" w:eastAsia="zh-CN"/>
        </w:rPr>
        <w:t>2.投标供应商应当在投标截止时间前，使用投标供应商CA数字证书登录不见面开标大厅，在线签到并准时参加开标活动，并在规定时间内完成投标文件解密、答疑澄清等。</w:t>
      </w:r>
    </w:p>
    <w:p w14:paraId="32D1FDFF">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bookmarkStart w:id="113" w:name="_Toc1355"/>
      <w:bookmarkStart w:id="114" w:name="_Toc14405"/>
      <w:bookmarkStart w:id="115" w:name="_Toc365"/>
      <w:bookmarkStart w:id="116" w:name="_Toc21883"/>
      <w:bookmarkStart w:id="117" w:name="_Toc10500"/>
      <w:bookmarkStart w:id="118" w:name="_Toc828"/>
      <w:r>
        <w:rPr>
          <w:rFonts w:hint="eastAsia" w:ascii="宋体" w:hAnsi="宋体" w:eastAsia="宋体" w:cs="宋体"/>
          <w:b w:val="0"/>
          <w:kern w:val="2"/>
          <w:sz w:val="24"/>
          <w:szCs w:val="24"/>
          <w:lang w:val="en-US" w:eastAsia="zh-CN" w:bidi="ar-SA"/>
        </w:rPr>
        <w:t>3.逾期解密或者没有准时在线参加开标活动导致的一切后果投标供应商自行承担。</w:t>
      </w:r>
      <w:bookmarkEnd w:id="113"/>
      <w:bookmarkEnd w:id="114"/>
      <w:bookmarkEnd w:id="115"/>
      <w:bookmarkEnd w:id="116"/>
      <w:bookmarkEnd w:id="117"/>
      <w:bookmarkEnd w:id="118"/>
    </w:p>
    <w:p w14:paraId="023310B6">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bookmarkStart w:id="119" w:name="_Toc29309"/>
      <w:bookmarkStart w:id="120" w:name="_Toc19622"/>
      <w:bookmarkStart w:id="121" w:name="_Toc9417"/>
      <w:bookmarkStart w:id="122" w:name="_Toc3310"/>
      <w:bookmarkStart w:id="123" w:name="_Toc13017"/>
      <w:bookmarkStart w:id="124" w:name="_Toc25971"/>
      <w:r>
        <w:rPr>
          <w:rFonts w:hint="eastAsia" w:ascii="宋体" w:hAnsi="宋体" w:eastAsia="宋体" w:cs="宋体"/>
          <w:b w:val="0"/>
          <w:kern w:val="2"/>
          <w:sz w:val="24"/>
          <w:szCs w:val="24"/>
          <w:lang w:val="en-US" w:eastAsia="zh-CN" w:bidi="ar-SA"/>
        </w:rPr>
        <w:t>4.不见面开标服务的具体事宜，请查阅信阳市公共资源交易中心网站首页—下载中心—信阳市不见面开标大厅系统操作手册。</w:t>
      </w:r>
      <w:bookmarkEnd w:id="119"/>
      <w:bookmarkEnd w:id="120"/>
      <w:bookmarkEnd w:id="121"/>
      <w:bookmarkEnd w:id="122"/>
      <w:bookmarkEnd w:id="123"/>
      <w:bookmarkEnd w:id="124"/>
    </w:p>
    <w:p w14:paraId="1BDABC11">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5.本项目代理服务费按“豫招协〔2023〕002号”规定的收费标准收取</w:t>
      </w:r>
    </w:p>
    <w:p w14:paraId="2A7D6886">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6.监督单位信息</w:t>
      </w:r>
    </w:p>
    <w:p w14:paraId="08500F98">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名 称：息县财政局政府采购股　　</w:t>
      </w:r>
    </w:p>
    <w:p w14:paraId="5C4FCAEC">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地　址：息县谯楼街488号</w:t>
      </w:r>
    </w:p>
    <w:p w14:paraId="22893895">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联系方式： 0376-5935027　　 　　</w:t>
      </w:r>
    </w:p>
    <w:p w14:paraId="3F822D02">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left="0" w:leftChars="0" w:firstLine="420" w:firstLineChars="175"/>
        <w:jc w:val="both"/>
        <w:textAlignment w:val="auto"/>
        <w:outlineLvl w:val="9"/>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7.受理异议单位</w:t>
      </w:r>
    </w:p>
    <w:p w14:paraId="4809F5FF">
      <w:pPr>
        <w:pageBreakBefore w:val="0"/>
        <w:kinsoku/>
        <w:overflowPunct/>
        <w:topLinePunct w:val="0"/>
        <w:bidi w:val="0"/>
        <w:snapToGrid/>
        <w:spacing w:line="240" w:lineRule="auto"/>
        <w:ind w:firstLine="480" w:firstLineChars="200"/>
        <w:jc w:val="left"/>
        <w:outlineLvl w:val="9"/>
        <w:rPr>
          <w:rFonts w:hint="eastAsia" w:ascii="宋体" w:hAnsi="宋体" w:eastAsia="宋体" w:cs="宋体"/>
          <w:b w:val="0"/>
          <w:bCs w:val="0"/>
          <w:sz w:val="24"/>
          <w:highlight w:val="none"/>
          <w:u w:val="none"/>
        </w:rPr>
      </w:pPr>
      <w:r>
        <w:rPr>
          <w:rFonts w:hint="eastAsia" w:ascii="宋体" w:hAnsi="宋体" w:eastAsia="宋体" w:cs="宋体"/>
          <w:b w:val="0"/>
          <w:bCs w:val="0"/>
          <w:sz w:val="24"/>
          <w:highlight w:val="none"/>
          <w:u w:val="none"/>
        </w:rPr>
        <w:t>名称：</w:t>
      </w:r>
      <w:r>
        <w:rPr>
          <w:rFonts w:hint="eastAsia" w:ascii="宋体" w:hAnsi="宋体" w:eastAsia="宋体" w:cs="宋体"/>
          <w:b w:val="0"/>
          <w:bCs w:val="0"/>
          <w:sz w:val="24"/>
          <w:highlight w:val="none"/>
          <w:u w:val="none"/>
          <w:lang w:eastAsia="zh-CN"/>
        </w:rPr>
        <w:t>息县自然资源局</w:t>
      </w:r>
      <w:r>
        <w:rPr>
          <w:rFonts w:hint="eastAsia" w:ascii="宋体" w:hAnsi="宋体" w:eastAsia="宋体" w:cs="宋体"/>
          <w:b w:val="0"/>
          <w:bCs w:val="0"/>
          <w:sz w:val="24"/>
          <w:highlight w:val="none"/>
          <w:u w:val="none"/>
        </w:rPr>
        <w:t>　　</w:t>
      </w:r>
    </w:p>
    <w:p w14:paraId="4AFC8633">
      <w:pPr>
        <w:pageBreakBefore w:val="0"/>
        <w:kinsoku/>
        <w:overflowPunct/>
        <w:topLinePunct w:val="0"/>
        <w:bidi w:val="0"/>
        <w:snapToGrid/>
        <w:spacing w:line="240" w:lineRule="auto"/>
        <w:ind w:firstLine="480" w:firstLineChars="200"/>
        <w:jc w:val="left"/>
        <w:outlineLvl w:val="9"/>
        <w:rPr>
          <w:rFonts w:hint="eastAsia" w:ascii="宋体" w:hAnsi="宋体" w:eastAsia="宋体" w:cs="宋体"/>
          <w:b w:val="0"/>
          <w:bCs w:val="0"/>
          <w:sz w:val="24"/>
          <w:highlight w:val="none"/>
          <w:u w:val="none"/>
        </w:rPr>
      </w:pPr>
      <w:r>
        <w:rPr>
          <w:rFonts w:hint="eastAsia" w:ascii="宋体" w:hAnsi="宋体" w:eastAsia="宋体" w:cs="宋体"/>
          <w:b w:val="0"/>
          <w:bCs w:val="0"/>
          <w:sz w:val="24"/>
          <w:highlight w:val="none"/>
          <w:u w:val="none"/>
        </w:rPr>
        <w:t>地址：信阳市息县千佛庵路           　　</w:t>
      </w:r>
    </w:p>
    <w:p w14:paraId="3146F628">
      <w:pPr>
        <w:pageBreakBefore w:val="0"/>
        <w:kinsoku/>
        <w:overflowPunct/>
        <w:topLinePunct w:val="0"/>
        <w:bidi w:val="0"/>
        <w:snapToGrid/>
        <w:spacing w:line="240" w:lineRule="auto"/>
        <w:ind w:firstLine="480" w:firstLineChars="200"/>
        <w:jc w:val="left"/>
        <w:outlineLvl w:val="9"/>
        <w:rPr>
          <w:rFonts w:hint="eastAsia" w:ascii="宋体" w:hAnsi="宋体" w:eastAsia="宋体" w:cs="宋体"/>
          <w:b w:val="0"/>
          <w:bCs w:val="0"/>
          <w:sz w:val="24"/>
          <w:highlight w:val="none"/>
          <w:u w:val="none"/>
        </w:rPr>
      </w:pPr>
      <w:r>
        <w:rPr>
          <w:rFonts w:hint="eastAsia" w:ascii="宋体" w:hAnsi="宋体" w:eastAsia="宋体" w:cs="宋体"/>
          <w:b w:val="0"/>
          <w:bCs w:val="0"/>
          <w:sz w:val="24"/>
          <w:highlight w:val="none"/>
          <w:u w:val="none"/>
        </w:rPr>
        <w:t>联系人：</w:t>
      </w:r>
      <w:r>
        <w:rPr>
          <w:rFonts w:hint="eastAsia" w:ascii="宋体" w:hAnsi="宋体" w:eastAsia="宋体" w:cs="宋体"/>
          <w:b w:val="0"/>
          <w:bCs w:val="0"/>
          <w:sz w:val="24"/>
          <w:highlight w:val="none"/>
          <w:u w:val="none"/>
          <w:lang w:val="en-US" w:eastAsia="zh-CN"/>
        </w:rPr>
        <w:t>刘华</w:t>
      </w:r>
      <w:r>
        <w:rPr>
          <w:rFonts w:hint="eastAsia" w:ascii="宋体" w:hAnsi="宋体" w:eastAsia="宋体" w:cs="宋体"/>
          <w:b w:val="0"/>
          <w:bCs w:val="0"/>
          <w:sz w:val="24"/>
          <w:highlight w:val="none"/>
          <w:u w:val="none"/>
        </w:rPr>
        <w:t xml:space="preserve">       　</w:t>
      </w:r>
      <w:r>
        <w:rPr>
          <w:rFonts w:hint="eastAsia" w:ascii="宋体" w:hAnsi="宋体" w:eastAsia="宋体" w:cs="宋体"/>
          <w:b w:val="0"/>
          <w:bCs w:val="0"/>
          <w:sz w:val="24"/>
          <w:highlight w:val="none"/>
          <w:u w:val="none"/>
          <w:lang w:val="en-US" w:eastAsia="zh-CN"/>
        </w:rPr>
        <w:t xml:space="preserve">     </w:t>
      </w:r>
      <w:r>
        <w:rPr>
          <w:rFonts w:hint="eastAsia" w:ascii="宋体" w:hAnsi="宋体" w:eastAsia="宋体" w:cs="宋体"/>
          <w:b w:val="0"/>
          <w:bCs w:val="0"/>
          <w:sz w:val="24"/>
          <w:highlight w:val="none"/>
          <w:u w:val="none"/>
        </w:rPr>
        <w:t xml:space="preserve">  　</w:t>
      </w:r>
    </w:p>
    <w:p w14:paraId="15172B2C">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firstLine="480" w:firstLineChars="200"/>
        <w:jc w:val="both"/>
        <w:textAlignment w:val="auto"/>
        <w:outlineLvl w:val="9"/>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bCs w:val="0"/>
          <w:sz w:val="24"/>
          <w:highlight w:val="none"/>
          <w:u w:val="none"/>
        </w:rPr>
        <w:t>联系方式：</w:t>
      </w:r>
      <w:r>
        <w:rPr>
          <w:rFonts w:hint="eastAsia" w:ascii="宋体" w:hAnsi="宋体" w:eastAsia="宋体" w:cs="宋体"/>
          <w:b w:val="0"/>
          <w:bCs w:val="0"/>
          <w:sz w:val="24"/>
          <w:highlight w:val="none"/>
          <w:u w:val="none"/>
          <w:lang w:val="en-US" w:eastAsia="zh-CN"/>
        </w:rPr>
        <w:t>13949172661</w:t>
      </w:r>
    </w:p>
    <w:p w14:paraId="38AF99BB">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firstLine="482" w:firstLineChars="200"/>
        <w:jc w:val="both"/>
        <w:textAlignment w:val="auto"/>
        <w:outlineLvl w:val="9"/>
        <w:rPr>
          <w:rFonts w:hint="eastAsia" w:ascii="宋体" w:hAnsi="宋体" w:eastAsia="宋体" w:cs="宋体"/>
          <w:b/>
          <w:bCs/>
          <w:kern w:val="2"/>
          <w:sz w:val="24"/>
          <w:szCs w:val="24"/>
          <w:lang w:val="en-US" w:eastAsia="zh-CN" w:bidi="ar-SA"/>
        </w:rPr>
      </w:pPr>
      <w:bookmarkStart w:id="125" w:name="_Toc3440"/>
      <w:bookmarkStart w:id="126" w:name="_Toc11887"/>
      <w:bookmarkStart w:id="127" w:name="_Toc17916"/>
      <w:bookmarkStart w:id="128" w:name="_Toc27520"/>
      <w:bookmarkStart w:id="129" w:name="_Toc21828"/>
      <w:bookmarkStart w:id="130" w:name="_Toc13587"/>
      <w:r>
        <w:rPr>
          <w:rFonts w:hint="eastAsia" w:ascii="宋体" w:hAnsi="宋体" w:eastAsia="宋体" w:cs="宋体"/>
          <w:b/>
          <w:bCs/>
          <w:kern w:val="2"/>
          <w:sz w:val="24"/>
          <w:szCs w:val="24"/>
          <w:lang w:val="en-US" w:eastAsia="zh-CN" w:bidi="ar-SA"/>
        </w:rPr>
        <w:t>特别提示：投标供应商在线签到时，应如实准确的填写授权委托人的联系电话，开标当天请务必保证电话保持畅通。</w:t>
      </w:r>
      <w:bookmarkEnd w:id="125"/>
      <w:bookmarkEnd w:id="126"/>
      <w:bookmarkEnd w:id="127"/>
      <w:bookmarkEnd w:id="128"/>
      <w:bookmarkEnd w:id="129"/>
      <w:bookmarkEnd w:id="130"/>
    </w:p>
    <w:p w14:paraId="127C7E3B">
      <w:pPr>
        <w:keepNext/>
        <w:keepLines/>
        <w:pageBreakBefore w:val="0"/>
        <w:widowControl w:val="0"/>
        <w:tabs>
          <w:tab w:val="left" w:pos="525"/>
        </w:tabs>
        <w:kinsoku/>
        <w:wordWrap/>
        <w:overflowPunct/>
        <w:topLinePunct w:val="0"/>
        <w:autoSpaceDE/>
        <w:autoSpaceDN/>
        <w:bidi w:val="0"/>
        <w:adjustRightInd/>
        <w:snapToGrid/>
        <w:spacing w:before="0" w:beforeLines="0" w:after="0" w:afterLines="0" w:line="240" w:lineRule="auto"/>
        <w:ind w:left="0" w:leftChars="0" w:firstLine="0" w:firstLineChars="0"/>
        <w:jc w:val="both"/>
        <w:textAlignment w:val="auto"/>
        <w:outlineLvl w:val="9"/>
        <w:rPr>
          <w:rFonts w:hint="eastAsia" w:ascii="宋体" w:hAnsi="宋体" w:eastAsia="宋体" w:cs="宋体"/>
          <w:b w:val="0"/>
          <w:kern w:val="2"/>
          <w:sz w:val="24"/>
          <w:szCs w:val="24"/>
          <w:lang w:val="en-US" w:eastAsia="zh-CN" w:bidi="ar-SA"/>
        </w:rPr>
      </w:pPr>
      <w:bookmarkStart w:id="131" w:name="_Toc17324"/>
      <w:bookmarkStart w:id="132" w:name="_Toc27"/>
      <w:bookmarkStart w:id="133" w:name="_Toc1319"/>
      <w:bookmarkStart w:id="134" w:name="_Toc14014"/>
      <w:bookmarkStart w:id="135" w:name="_Toc4486"/>
      <w:bookmarkStart w:id="136" w:name="_Toc20033"/>
      <w:bookmarkStart w:id="137" w:name="_Toc6682"/>
      <w:bookmarkStart w:id="138" w:name="_Toc7923"/>
      <w:bookmarkStart w:id="139" w:name="_Toc3504"/>
      <w:r>
        <w:rPr>
          <w:rFonts w:hint="eastAsia" w:ascii="宋体" w:hAnsi="宋体" w:eastAsia="宋体" w:cs="宋体"/>
          <w:b w:val="0"/>
          <w:kern w:val="2"/>
          <w:sz w:val="24"/>
          <w:szCs w:val="24"/>
          <w:lang w:val="en-US" w:eastAsia="zh-CN" w:bidi="ar-SA"/>
        </w:rPr>
        <w:t>八、凡对本次采购提出询问，请按以下方式联系。</w:t>
      </w:r>
      <w:bookmarkEnd w:id="107"/>
      <w:bookmarkEnd w:id="108"/>
      <w:bookmarkEnd w:id="109"/>
      <w:bookmarkEnd w:id="110"/>
      <w:bookmarkEnd w:id="111"/>
      <w:bookmarkEnd w:id="131"/>
      <w:bookmarkEnd w:id="132"/>
      <w:bookmarkEnd w:id="133"/>
      <w:bookmarkEnd w:id="134"/>
      <w:bookmarkEnd w:id="135"/>
      <w:bookmarkEnd w:id="136"/>
      <w:bookmarkEnd w:id="137"/>
      <w:bookmarkEnd w:id="138"/>
      <w:bookmarkEnd w:id="139"/>
    </w:p>
    <w:p w14:paraId="72D6C9D2">
      <w:pPr>
        <w:pageBreakBefore w:val="0"/>
        <w:widowControl/>
        <w:kinsoku/>
        <w:overflowPunct/>
        <w:topLinePunct w:val="0"/>
        <w:bidi w:val="0"/>
        <w:snapToGrid/>
        <w:spacing w:line="240" w:lineRule="auto"/>
        <w:ind w:firstLine="240" w:firstLineChars="100"/>
        <w:jc w:val="left"/>
        <w:outlineLvl w:val="9"/>
        <w:rPr>
          <w:rFonts w:hint="eastAsia" w:ascii="宋体" w:hAnsi="宋体" w:eastAsia="宋体" w:cs="宋体"/>
          <w:b w:val="0"/>
          <w:bCs w:val="0"/>
          <w:sz w:val="24"/>
        </w:rPr>
      </w:pPr>
      <w:r>
        <w:rPr>
          <w:rFonts w:hint="eastAsia" w:ascii="宋体" w:hAnsi="宋体" w:eastAsia="宋体" w:cs="宋体"/>
          <w:b w:val="0"/>
          <w:bCs w:val="0"/>
          <w:sz w:val="24"/>
        </w:rPr>
        <w:t>1.</w:t>
      </w:r>
      <w:r>
        <w:rPr>
          <w:rFonts w:hint="eastAsia" w:ascii="宋体" w:hAnsi="宋体" w:eastAsia="宋体" w:cs="宋体"/>
          <w:b w:val="0"/>
          <w:bCs w:val="0"/>
          <w:sz w:val="24"/>
          <w:lang w:val="en-US" w:eastAsia="zh-CN"/>
        </w:rPr>
        <w:t>采购人</w:t>
      </w:r>
      <w:r>
        <w:rPr>
          <w:rFonts w:hint="eastAsia" w:ascii="宋体" w:hAnsi="宋体" w:eastAsia="宋体" w:cs="宋体"/>
          <w:b w:val="0"/>
          <w:bCs w:val="0"/>
          <w:sz w:val="24"/>
        </w:rPr>
        <w:t>信息</w:t>
      </w:r>
    </w:p>
    <w:p w14:paraId="0FC72BC7">
      <w:pPr>
        <w:pageBreakBefore w:val="0"/>
        <w:kinsoku/>
        <w:overflowPunct/>
        <w:topLinePunct w:val="0"/>
        <w:bidi w:val="0"/>
        <w:snapToGrid/>
        <w:spacing w:line="240" w:lineRule="auto"/>
        <w:ind w:left="1079" w:leftChars="371" w:hanging="300" w:hangingChars="125"/>
        <w:jc w:val="left"/>
        <w:outlineLvl w:val="9"/>
        <w:rPr>
          <w:rFonts w:hint="eastAsia" w:ascii="宋体" w:hAnsi="宋体" w:eastAsia="宋体" w:cs="宋体"/>
          <w:b w:val="0"/>
          <w:bCs w:val="0"/>
          <w:sz w:val="24"/>
          <w:highlight w:val="none"/>
          <w:u w:val="none"/>
        </w:rPr>
      </w:pPr>
      <w:r>
        <w:rPr>
          <w:rFonts w:hint="eastAsia" w:ascii="宋体" w:hAnsi="宋体" w:eastAsia="宋体" w:cs="宋体"/>
          <w:b w:val="0"/>
          <w:bCs w:val="0"/>
          <w:sz w:val="24"/>
          <w:highlight w:val="none"/>
          <w:u w:val="none"/>
        </w:rPr>
        <w:t>名称：</w:t>
      </w:r>
      <w:r>
        <w:rPr>
          <w:rFonts w:hint="eastAsia" w:ascii="宋体" w:hAnsi="宋体" w:eastAsia="宋体" w:cs="宋体"/>
          <w:b w:val="0"/>
          <w:bCs w:val="0"/>
          <w:sz w:val="24"/>
          <w:highlight w:val="none"/>
          <w:u w:val="none"/>
          <w:lang w:eastAsia="zh-CN"/>
        </w:rPr>
        <w:t>息县自然资源局</w:t>
      </w:r>
      <w:r>
        <w:rPr>
          <w:rFonts w:hint="eastAsia" w:ascii="宋体" w:hAnsi="宋体" w:eastAsia="宋体" w:cs="宋体"/>
          <w:b w:val="0"/>
          <w:bCs w:val="0"/>
          <w:sz w:val="24"/>
          <w:highlight w:val="none"/>
          <w:u w:val="none"/>
        </w:rPr>
        <w:t>　　</w:t>
      </w:r>
    </w:p>
    <w:p w14:paraId="6231BB6C">
      <w:pPr>
        <w:pageBreakBefore w:val="0"/>
        <w:kinsoku/>
        <w:overflowPunct/>
        <w:topLinePunct w:val="0"/>
        <w:bidi w:val="0"/>
        <w:snapToGrid/>
        <w:spacing w:line="240" w:lineRule="auto"/>
        <w:ind w:left="1079" w:leftChars="371" w:hanging="300" w:hangingChars="125"/>
        <w:jc w:val="left"/>
        <w:outlineLvl w:val="9"/>
        <w:rPr>
          <w:rFonts w:hint="eastAsia" w:ascii="宋体" w:hAnsi="宋体" w:eastAsia="宋体" w:cs="宋体"/>
          <w:b w:val="0"/>
          <w:bCs w:val="0"/>
          <w:sz w:val="24"/>
          <w:highlight w:val="none"/>
          <w:u w:val="none"/>
        </w:rPr>
      </w:pPr>
      <w:r>
        <w:rPr>
          <w:rFonts w:hint="eastAsia" w:ascii="宋体" w:hAnsi="宋体" w:eastAsia="宋体" w:cs="宋体"/>
          <w:b w:val="0"/>
          <w:bCs w:val="0"/>
          <w:sz w:val="24"/>
          <w:highlight w:val="none"/>
          <w:u w:val="none"/>
        </w:rPr>
        <w:t>地址：信阳市息县千佛庵路           　　</w:t>
      </w:r>
    </w:p>
    <w:p w14:paraId="3C42142D">
      <w:pPr>
        <w:pageBreakBefore w:val="0"/>
        <w:kinsoku/>
        <w:overflowPunct/>
        <w:topLinePunct w:val="0"/>
        <w:bidi w:val="0"/>
        <w:snapToGrid/>
        <w:spacing w:line="240" w:lineRule="auto"/>
        <w:ind w:firstLine="720" w:firstLineChars="300"/>
        <w:jc w:val="left"/>
        <w:outlineLvl w:val="9"/>
        <w:rPr>
          <w:rFonts w:hint="eastAsia" w:ascii="宋体" w:hAnsi="宋体" w:eastAsia="宋体" w:cs="宋体"/>
          <w:b w:val="0"/>
          <w:bCs w:val="0"/>
          <w:sz w:val="24"/>
          <w:highlight w:val="none"/>
          <w:u w:val="none"/>
        </w:rPr>
      </w:pPr>
      <w:r>
        <w:rPr>
          <w:rFonts w:hint="eastAsia" w:ascii="宋体" w:hAnsi="宋体" w:eastAsia="宋体" w:cs="宋体"/>
          <w:b w:val="0"/>
          <w:bCs w:val="0"/>
          <w:sz w:val="24"/>
          <w:highlight w:val="none"/>
          <w:u w:val="none"/>
        </w:rPr>
        <w:t>联系人：</w:t>
      </w:r>
      <w:r>
        <w:rPr>
          <w:rFonts w:hint="eastAsia" w:ascii="宋体" w:hAnsi="宋体" w:eastAsia="宋体" w:cs="宋体"/>
          <w:b w:val="0"/>
          <w:bCs w:val="0"/>
          <w:sz w:val="24"/>
          <w:highlight w:val="none"/>
          <w:u w:val="none"/>
          <w:lang w:val="en-US" w:eastAsia="zh-CN"/>
        </w:rPr>
        <w:t>刘华</w:t>
      </w:r>
      <w:r>
        <w:rPr>
          <w:rFonts w:hint="eastAsia" w:ascii="宋体" w:hAnsi="宋体" w:eastAsia="宋体" w:cs="宋体"/>
          <w:b w:val="0"/>
          <w:bCs w:val="0"/>
          <w:sz w:val="24"/>
          <w:highlight w:val="none"/>
          <w:u w:val="none"/>
        </w:rPr>
        <w:t xml:space="preserve">       　</w:t>
      </w:r>
      <w:r>
        <w:rPr>
          <w:rFonts w:hint="eastAsia" w:ascii="宋体" w:hAnsi="宋体" w:eastAsia="宋体" w:cs="宋体"/>
          <w:b w:val="0"/>
          <w:bCs w:val="0"/>
          <w:sz w:val="24"/>
          <w:highlight w:val="none"/>
          <w:u w:val="none"/>
          <w:lang w:val="en-US" w:eastAsia="zh-CN"/>
        </w:rPr>
        <w:t xml:space="preserve">     </w:t>
      </w:r>
      <w:r>
        <w:rPr>
          <w:rFonts w:hint="eastAsia" w:ascii="宋体" w:hAnsi="宋体" w:eastAsia="宋体" w:cs="宋体"/>
          <w:b w:val="0"/>
          <w:bCs w:val="0"/>
          <w:sz w:val="24"/>
          <w:highlight w:val="none"/>
          <w:u w:val="none"/>
        </w:rPr>
        <w:t xml:space="preserve">  　</w:t>
      </w:r>
    </w:p>
    <w:p w14:paraId="3E0AD259">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ind w:firstLine="720" w:firstLineChars="300"/>
        <w:jc w:val="both"/>
        <w:textAlignment w:val="auto"/>
        <w:outlineLvl w:val="9"/>
        <w:rPr>
          <w:rFonts w:hint="default" w:ascii="宋体" w:hAnsi="宋体" w:eastAsia="宋体" w:cs="宋体"/>
          <w:b w:val="0"/>
          <w:kern w:val="2"/>
          <w:sz w:val="24"/>
          <w:szCs w:val="24"/>
          <w:highlight w:val="none"/>
          <w:lang w:val="en-US" w:eastAsia="zh-CN" w:bidi="ar-SA"/>
        </w:rPr>
      </w:pPr>
      <w:r>
        <w:rPr>
          <w:rFonts w:hint="eastAsia" w:ascii="宋体" w:hAnsi="宋体" w:eastAsia="宋体" w:cs="宋体"/>
          <w:b w:val="0"/>
          <w:bCs w:val="0"/>
          <w:sz w:val="24"/>
          <w:highlight w:val="none"/>
          <w:u w:val="none"/>
        </w:rPr>
        <w:t>联系方式：</w:t>
      </w:r>
      <w:r>
        <w:rPr>
          <w:rFonts w:hint="eastAsia" w:ascii="宋体" w:hAnsi="宋体" w:eastAsia="宋体" w:cs="宋体"/>
          <w:b w:val="0"/>
          <w:bCs w:val="0"/>
          <w:sz w:val="24"/>
          <w:highlight w:val="none"/>
          <w:u w:val="none"/>
          <w:lang w:val="en-US" w:eastAsia="zh-CN"/>
        </w:rPr>
        <w:t>13949172661</w:t>
      </w:r>
    </w:p>
    <w:p w14:paraId="3DBA68D6">
      <w:pPr>
        <w:spacing w:line="240" w:lineRule="auto"/>
        <w:ind w:firstLine="240" w:firstLineChars="100"/>
        <w:jc w:val="left"/>
        <w:outlineLvl w:val="9"/>
        <w:rPr>
          <w:rFonts w:hint="eastAsia" w:ascii="宋体" w:hAnsi="宋体" w:eastAsia="宋体" w:cs="宋体"/>
          <w:sz w:val="24"/>
          <w:u w:val="none"/>
        </w:rPr>
      </w:pPr>
      <w:r>
        <w:rPr>
          <w:rFonts w:hint="eastAsia" w:ascii="宋体" w:hAnsi="宋体" w:eastAsia="宋体" w:cs="宋体"/>
          <w:sz w:val="24"/>
          <w:u w:val="none"/>
        </w:rPr>
        <w:t>2.采购代理机构信息</w:t>
      </w:r>
    </w:p>
    <w:p w14:paraId="11BE7E02">
      <w:pPr>
        <w:keepNext w:val="0"/>
        <w:keepLines w:val="0"/>
        <w:pageBreakBefore w:val="0"/>
        <w:widowControl w:val="0"/>
        <w:tabs>
          <w:tab w:val="left" w:pos="525"/>
        </w:tabs>
        <w:kinsoku/>
        <w:wordWrap w:val="0"/>
        <w:overflowPunct/>
        <w:topLinePunct w:val="0"/>
        <w:autoSpaceDE/>
        <w:autoSpaceDN/>
        <w:bidi w:val="0"/>
        <w:adjustRightInd/>
        <w:snapToGrid/>
        <w:spacing w:after="0" w:afterLines="0" w:line="240" w:lineRule="auto"/>
        <w:ind w:left="210" w:leftChars="100" w:firstLine="480" w:firstLineChars="200"/>
        <w:jc w:val="left"/>
        <w:textAlignment w:val="auto"/>
        <w:outlineLvl w:val="9"/>
        <w:rPr>
          <w:rFonts w:hint="eastAsia" w:ascii="宋体" w:hAnsi="宋体" w:eastAsia="宋体" w:cs="宋体"/>
          <w:sz w:val="24"/>
          <w:szCs w:val="24"/>
          <w:u w:val="none"/>
          <w:lang w:eastAsia="zh-CN"/>
        </w:rPr>
      </w:pPr>
      <w:bookmarkStart w:id="140" w:name="_Toc31536"/>
      <w:bookmarkStart w:id="141" w:name="_Toc11976"/>
      <w:bookmarkStart w:id="142" w:name="_Toc18552"/>
      <w:bookmarkStart w:id="143" w:name="_Toc29599"/>
      <w:bookmarkStart w:id="144" w:name="_Toc118"/>
      <w:bookmarkStart w:id="145" w:name="_Toc11498"/>
      <w:bookmarkStart w:id="146" w:name="_Toc1399"/>
      <w:bookmarkStart w:id="147" w:name="_Toc11475"/>
      <w:bookmarkStart w:id="148" w:name="_Toc17234"/>
      <w:bookmarkStart w:id="149" w:name="_Toc17214"/>
      <w:r>
        <w:rPr>
          <w:rFonts w:hint="eastAsia" w:ascii="宋体" w:hAnsi="宋体" w:eastAsia="宋体" w:cs="宋体"/>
          <w:sz w:val="24"/>
          <w:szCs w:val="24"/>
          <w:u w:val="none"/>
        </w:rPr>
        <w:t>名称：</w:t>
      </w:r>
      <w:r>
        <w:rPr>
          <w:rFonts w:hint="eastAsia" w:ascii="宋体" w:hAnsi="宋体" w:eastAsia="宋体" w:cs="宋体"/>
          <w:sz w:val="24"/>
          <w:szCs w:val="24"/>
          <w:u w:val="none"/>
          <w:lang w:eastAsia="zh-CN"/>
        </w:rPr>
        <w:t>河南宏德建设管理有限公司</w:t>
      </w:r>
    </w:p>
    <w:p w14:paraId="31D3FAA2">
      <w:pPr>
        <w:keepNext w:val="0"/>
        <w:keepLines w:val="0"/>
        <w:pageBreakBefore w:val="0"/>
        <w:widowControl w:val="0"/>
        <w:tabs>
          <w:tab w:val="left" w:pos="525"/>
        </w:tabs>
        <w:kinsoku/>
        <w:wordWrap w:val="0"/>
        <w:overflowPunct/>
        <w:topLinePunct w:val="0"/>
        <w:autoSpaceDE/>
        <w:autoSpaceDN/>
        <w:bidi w:val="0"/>
        <w:adjustRightInd/>
        <w:snapToGrid/>
        <w:spacing w:after="0" w:afterLines="0" w:line="240" w:lineRule="auto"/>
        <w:ind w:left="210" w:leftChars="100" w:firstLine="480" w:firstLineChars="200"/>
        <w:jc w:val="left"/>
        <w:textAlignment w:val="auto"/>
        <w:outlineLvl w:val="9"/>
        <w:rPr>
          <w:rFonts w:hint="eastAsia" w:ascii="宋体" w:hAnsi="宋体" w:eastAsia="宋体" w:cs="宋体"/>
          <w:sz w:val="24"/>
          <w:szCs w:val="24"/>
          <w:u w:val="none"/>
          <w:lang w:eastAsia="zh-CN"/>
        </w:rPr>
      </w:pPr>
      <w:r>
        <w:rPr>
          <w:rFonts w:hint="eastAsia" w:ascii="宋体" w:hAnsi="宋体" w:eastAsia="宋体" w:cs="宋体"/>
          <w:sz w:val="24"/>
          <w:szCs w:val="24"/>
          <w:u w:val="none"/>
        </w:rPr>
        <w:t>地址：</w:t>
      </w:r>
      <w:r>
        <w:rPr>
          <w:rFonts w:hint="eastAsia" w:ascii="宋体" w:hAnsi="宋体" w:eastAsia="宋体" w:cs="宋体"/>
          <w:sz w:val="24"/>
          <w:szCs w:val="24"/>
          <w:u w:val="none"/>
          <w:lang w:eastAsia="zh-CN"/>
        </w:rPr>
        <w:t>南阳市宛城区仲景街道孔明大道建业凯旋广场 20 号楼 11层</w:t>
      </w:r>
    </w:p>
    <w:p w14:paraId="57AEA533">
      <w:pPr>
        <w:keepNext w:val="0"/>
        <w:keepLines w:val="0"/>
        <w:pageBreakBefore w:val="0"/>
        <w:widowControl w:val="0"/>
        <w:tabs>
          <w:tab w:val="left" w:pos="525"/>
        </w:tabs>
        <w:kinsoku/>
        <w:wordWrap w:val="0"/>
        <w:overflowPunct/>
        <w:topLinePunct w:val="0"/>
        <w:autoSpaceDE/>
        <w:autoSpaceDN/>
        <w:bidi w:val="0"/>
        <w:adjustRightInd/>
        <w:snapToGrid/>
        <w:spacing w:after="0" w:afterLines="0" w:line="240" w:lineRule="auto"/>
        <w:ind w:left="210" w:leftChars="100" w:firstLine="480" w:firstLineChars="200"/>
        <w:jc w:val="left"/>
        <w:textAlignment w:val="auto"/>
        <w:outlineLvl w:val="9"/>
        <w:rPr>
          <w:rFonts w:hint="eastAsia" w:ascii="宋体" w:hAnsi="宋体" w:eastAsia="宋体" w:cs="宋体"/>
          <w:sz w:val="24"/>
          <w:szCs w:val="24"/>
          <w:u w:val="none"/>
          <w:lang w:eastAsia="zh-CN"/>
        </w:rPr>
      </w:pPr>
      <w:r>
        <w:rPr>
          <w:rFonts w:hint="eastAsia" w:ascii="宋体" w:hAnsi="宋体" w:eastAsia="宋体" w:cs="宋体"/>
          <w:sz w:val="24"/>
          <w:szCs w:val="24"/>
          <w:u w:val="none"/>
        </w:rPr>
        <w:t>联系人：</w:t>
      </w:r>
      <w:r>
        <w:rPr>
          <w:rFonts w:hint="eastAsia" w:ascii="宋体" w:hAnsi="宋体" w:eastAsia="宋体" w:cs="宋体"/>
          <w:sz w:val="24"/>
          <w:szCs w:val="24"/>
          <w:u w:val="none"/>
          <w:lang w:eastAsia="zh-CN"/>
        </w:rPr>
        <w:t>夏云帅</w:t>
      </w:r>
    </w:p>
    <w:p w14:paraId="6AF30C03">
      <w:pPr>
        <w:keepNext w:val="0"/>
        <w:keepLines w:val="0"/>
        <w:pageBreakBefore w:val="0"/>
        <w:widowControl w:val="0"/>
        <w:tabs>
          <w:tab w:val="left" w:pos="525"/>
        </w:tabs>
        <w:kinsoku/>
        <w:wordWrap w:val="0"/>
        <w:overflowPunct/>
        <w:topLinePunct w:val="0"/>
        <w:autoSpaceDE/>
        <w:autoSpaceDN/>
        <w:bidi w:val="0"/>
        <w:adjustRightInd/>
        <w:snapToGrid/>
        <w:spacing w:after="0" w:afterLines="0" w:line="240" w:lineRule="auto"/>
        <w:ind w:left="210" w:leftChars="100" w:firstLine="480" w:firstLineChars="200"/>
        <w:jc w:val="left"/>
        <w:textAlignment w:val="auto"/>
        <w:outlineLvl w:val="9"/>
        <w:rPr>
          <w:rFonts w:hint="eastAsia" w:ascii="宋体" w:hAnsi="宋体" w:eastAsia="宋体" w:cs="宋体"/>
          <w:b/>
          <w:kern w:val="2"/>
          <w:sz w:val="24"/>
          <w:szCs w:val="24"/>
          <w:highlight w:val="none"/>
          <w:u w:val="none"/>
          <w:lang w:val="en-US" w:eastAsia="zh-CN" w:bidi="ar-SA"/>
        </w:rPr>
      </w:pPr>
      <w:r>
        <w:rPr>
          <w:rFonts w:hint="eastAsia" w:ascii="宋体" w:hAnsi="宋体" w:eastAsia="宋体" w:cs="宋体"/>
          <w:sz w:val="24"/>
          <w:szCs w:val="24"/>
          <w:u w:val="none"/>
        </w:rPr>
        <w:t>联系方式：</w:t>
      </w:r>
      <w:r>
        <w:rPr>
          <w:rFonts w:hint="eastAsia" w:ascii="宋体" w:hAnsi="宋体" w:eastAsia="宋体" w:cs="宋体"/>
          <w:sz w:val="24"/>
          <w:szCs w:val="24"/>
          <w:u w:val="none"/>
          <w:lang w:eastAsia="zh-CN"/>
        </w:rPr>
        <w:t>17716354679</w:t>
      </w:r>
      <w:r>
        <w:rPr>
          <w:rFonts w:hint="eastAsia" w:ascii="宋体" w:hAnsi="宋体" w:eastAsia="宋体" w:cs="宋体"/>
          <w:b w:val="0"/>
          <w:bCs w:val="0"/>
          <w:kern w:val="2"/>
          <w:sz w:val="24"/>
          <w:szCs w:val="24"/>
          <w:highlight w:val="none"/>
          <w:u w:val="none"/>
          <w:lang w:val="en-US" w:eastAsia="zh-CN" w:bidi="ar-SA"/>
        </w:rPr>
        <w:t xml:space="preserve">       </w:t>
      </w:r>
      <w:r>
        <w:rPr>
          <w:rFonts w:hint="eastAsia" w:ascii="宋体" w:hAnsi="宋体" w:eastAsia="宋体" w:cs="宋体"/>
          <w:b/>
          <w:kern w:val="2"/>
          <w:sz w:val="24"/>
          <w:szCs w:val="24"/>
          <w:highlight w:val="none"/>
          <w:u w:val="none"/>
          <w:lang w:val="en-US" w:eastAsia="zh-CN" w:bidi="ar-SA"/>
        </w:rPr>
        <w:t xml:space="preserve">      </w:t>
      </w:r>
    </w:p>
    <w:p w14:paraId="653730C0">
      <w:pPr>
        <w:keepNext w:val="0"/>
        <w:keepLines w:val="0"/>
        <w:pageBreakBefore w:val="0"/>
        <w:widowControl w:val="0"/>
        <w:tabs>
          <w:tab w:val="left" w:pos="525"/>
        </w:tabs>
        <w:kinsoku/>
        <w:wordWrap w:val="0"/>
        <w:overflowPunct/>
        <w:topLinePunct w:val="0"/>
        <w:autoSpaceDE/>
        <w:autoSpaceDN/>
        <w:bidi w:val="0"/>
        <w:adjustRightInd/>
        <w:snapToGrid/>
        <w:spacing w:after="0" w:afterLines="0" w:line="240" w:lineRule="auto"/>
        <w:ind w:firstLine="240" w:firstLineChars="100"/>
        <w:jc w:val="left"/>
        <w:textAlignment w:val="auto"/>
        <w:outlineLvl w:val="9"/>
        <w:rPr>
          <w:rFonts w:hint="eastAsia" w:ascii="宋体" w:hAnsi="宋体" w:eastAsia="宋体" w:cs="宋体"/>
          <w:b w:val="0"/>
          <w:kern w:val="2"/>
          <w:sz w:val="24"/>
          <w:szCs w:val="24"/>
          <w:u w:val="none"/>
          <w:lang w:val="en-US" w:eastAsia="zh-CN" w:bidi="ar-SA"/>
        </w:rPr>
      </w:pPr>
      <w:bookmarkStart w:id="150" w:name="_Toc25680"/>
      <w:r>
        <w:rPr>
          <w:rFonts w:hint="eastAsia" w:ascii="宋体" w:hAnsi="宋体" w:eastAsia="宋体" w:cs="宋体"/>
          <w:b w:val="0"/>
          <w:kern w:val="2"/>
          <w:sz w:val="24"/>
          <w:szCs w:val="24"/>
          <w:u w:val="none"/>
          <w:lang w:val="en-US" w:eastAsia="zh-CN" w:bidi="ar-SA"/>
        </w:rPr>
        <w:t>3.</w:t>
      </w:r>
      <w:bookmarkEnd w:id="140"/>
      <w:bookmarkEnd w:id="141"/>
      <w:bookmarkEnd w:id="142"/>
      <w:bookmarkEnd w:id="143"/>
      <w:bookmarkEnd w:id="144"/>
      <w:bookmarkEnd w:id="145"/>
      <w:bookmarkEnd w:id="146"/>
      <w:bookmarkEnd w:id="147"/>
      <w:bookmarkEnd w:id="148"/>
      <w:bookmarkEnd w:id="149"/>
      <w:bookmarkEnd w:id="150"/>
      <w:bookmarkStart w:id="151" w:name="_Toc17428"/>
      <w:bookmarkStart w:id="152" w:name="_Toc18164"/>
      <w:bookmarkStart w:id="153" w:name="_Toc30706"/>
      <w:bookmarkStart w:id="154" w:name="_Toc25908"/>
      <w:bookmarkStart w:id="155" w:name="_Toc24610"/>
      <w:r>
        <w:rPr>
          <w:rFonts w:hint="eastAsia" w:ascii="宋体" w:hAnsi="宋体" w:eastAsia="宋体" w:cs="宋体"/>
          <w:b w:val="0"/>
          <w:kern w:val="2"/>
          <w:sz w:val="24"/>
          <w:szCs w:val="24"/>
          <w:u w:val="none"/>
          <w:lang w:val="en-US" w:eastAsia="zh-CN" w:bidi="ar-SA"/>
        </w:rPr>
        <w:t>项目联系方式</w:t>
      </w:r>
      <w:bookmarkEnd w:id="151"/>
      <w:bookmarkEnd w:id="152"/>
      <w:bookmarkEnd w:id="153"/>
      <w:bookmarkEnd w:id="154"/>
      <w:bookmarkEnd w:id="155"/>
    </w:p>
    <w:p w14:paraId="2653DF05">
      <w:pPr>
        <w:keepNext w:val="0"/>
        <w:keepLines w:val="0"/>
        <w:pageBreakBefore w:val="0"/>
        <w:widowControl w:val="0"/>
        <w:kinsoku/>
        <w:wordWrap w:val="0"/>
        <w:overflowPunct/>
        <w:topLinePunct w:val="0"/>
        <w:autoSpaceDE/>
        <w:autoSpaceDN/>
        <w:bidi w:val="0"/>
        <w:adjustRightInd/>
        <w:snapToGrid/>
        <w:spacing w:line="240" w:lineRule="auto"/>
        <w:ind w:firstLine="720" w:firstLineChars="300"/>
        <w:jc w:val="both"/>
        <w:textAlignment w:val="auto"/>
        <w:outlineLvl w:val="9"/>
        <w:rPr>
          <w:rFonts w:hint="eastAsia" w:ascii="宋体" w:hAnsi="宋体" w:eastAsia="宋体" w:cs="宋体"/>
          <w:kern w:val="2"/>
          <w:sz w:val="24"/>
          <w:szCs w:val="24"/>
          <w:highlight w:val="none"/>
          <w:u w:val="none"/>
          <w:lang w:val="en-US" w:eastAsia="zh-CN" w:bidi="ar-SA"/>
        </w:rPr>
      </w:pPr>
      <w:r>
        <w:rPr>
          <w:rFonts w:hint="eastAsia" w:ascii="宋体" w:hAnsi="宋体" w:eastAsia="宋体" w:cs="宋体"/>
          <w:kern w:val="2"/>
          <w:sz w:val="24"/>
          <w:szCs w:val="24"/>
          <w:highlight w:val="none"/>
          <w:u w:val="none"/>
          <w:lang w:val="en-US" w:eastAsia="zh-CN" w:bidi="ar-SA"/>
        </w:rPr>
        <w:t>项目联系人：</w:t>
      </w:r>
      <w:r>
        <w:rPr>
          <w:rFonts w:hint="eastAsia" w:ascii="宋体" w:hAnsi="宋体" w:eastAsia="宋体" w:cs="宋体"/>
          <w:sz w:val="24"/>
          <w:szCs w:val="24"/>
          <w:u w:val="none"/>
          <w:lang w:eastAsia="zh-CN"/>
        </w:rPr>
        <w:t>夏云帅</w:t>
      </w:r>
      <w:r>
        <w:rPr>
          <w:rFonts w:hint="eastAsia" w:ascii="宋体" w:hAnsi="宋体" w:eastAsia="宋体" w:cs="宋体"/>
          <w:kern w:val="2"/>
          <w:sz w:val="24"/>
          <w:szCs w:val="24"/>
          <w:highlight w:val="none"/>
          <w:u w:val="none"/>
          <w:lang w:val="en-US" w:eastAsia="zh-CN" w:bidi="ar-SA"/>
        </w:rPr>
        <w:t xml:space="preserve">                     </w:t>
      </w:r>
    </w:p>
    <w:p w14:paraId="6B49F511">
      <w:pPr>
        <w:keepNext w:val="0"/>
        <w:keepLines w:val="0"/>
        <w:pageBreakBefore w:val="0"/>
        <w:widowControl w:val="0"/>
        <w:kinsoku/>
        <w:wordWrap w:val="0"/>
        <w:overflowPunct/>
        <w:topLinePunct w:val="0"/>
        <w:autoSpaceDE/>
        <w:autoSpaceDN/>
        <w:bidi w:val="0"/>
        <w:adjustRightInd/>
        <w:snapToGrid/>
        <w:spacing w:line="240" w:lineRule="auto"/>
        <w:ind w:firstLine="720" w:firstLineChars="300"/>
        <w:textAlignment w:val="auto"/>
        <w:outlineLvl w:val="9"/>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电话：</w:t>
      </w:r>
      <w:r>
        <w:rPr>
          <w:rFonts w:hint="eastAsia" w:ascii="宋体" w:hAnsi="宋体" w:eastAsia="宋体" w:cs="宋体"/>
          <w:sz w:val="24"/>
          <w:szCs w:val="24"/>
          <w:u w:val="none"/>
          <w:lang w:eastAsia="zh-CN"/>
        </w:rPr>
        <w:t>17716354679</w:t>
      </w:r>
      <w:r>
        <w:rPr>
          <w:rFonts w:hint="eastAsia" w:ascii="宋体" w:hAnsi="宋体" w:eastAsia="宋体" w:cs="宋体"/>
          <w:sz w:val="24"/>
          <w:szCs w:val="24"/>
          <w:highlight w:val="none"/>
          <w:u w:val="none"/>
        </w:rPr>
        <w:t xml:space="preserve">　　 </w:t>
      </w:r>
    </w:p>
    <w:bookmarkEnd w:id="4"/>
    <w:p w14:paraId="7F126F44">
      <w:pPr>
        <w:keepNext w:val="0"/>
        <w:keepLines w:val="0"/>
        <w:pageBreakBefore/>
        <w:widowControl/>
        <w:kinsoku/>
        <w:wordWrap/>
        <w:overflowPunct/>
        <w:topLinePunct w:val="0"/>
        <w:autoSpaceDE/>
        <w:autoSpaceDN/>
        <w:bidi w:val="0"/>
        <w:adjustRightInd/>
        <w:snapToGrid/>
        <w:spacing w:line="360" w:lineRule="auto"/>
        <w:ind w:firstLine="3617" w:firstLineChars="1126"/>
        <w:jc w:val="both"/>
        <w:textAlignment w:val="auto"/>
        <w:outlineLvl w:val="0"/>
        <w:rPr>
          <w:rFonts w:hint="eastAsia" w:ascii="宋体" w:hAnsi="宋体" w:eastAsia="宋体" w:cs="宋体"/>
          <w:b/>
          <w:bCs w:val="0"/>
          <w:color w:val="auto"/>
          <w:sz w:val="32"/>
        </w:rPr>
      </w:pPr>
      <w:bookmarkStart w:id="156" w:name="_Toc27184"/>
      <w:bookmarkStart w:id="157" w:name="_Toc8890"/>
      <w:bookmarkStart w:id="158" w:name="_Toc22801"/>
      <w:r>
        <w:rPr>
          <w:rFonts w:hint="eastAsia" w:ascii="宋体" w:hAnsi="宋体" w:eastAsia="宋体" w:cs="宋体"/>
          <w:b/>
          <w:bCs w:val="0"/>
          <w:color w:val="auto"/>
          <w:sz w:val="32"/>
        </w:rPr>
        <w:t>第二章 供应商须知</w:t>
      </w:r>
      <w:bookmarkEnd w:id="5"/>
      <w:bookmarkEnd w:id="6"/>
      <w:bookmarkEnd w:id="7"/>
      <w:bookmarkEnd w:id="156"/>
      <w:bookmarkEnd w:id="157"/>
      <w:bookmarkEnd w:id="158"/>
    </w:p>
    <w:p w14:paraId="34F2896B">
      <w:pPr>
        <w:keepNext/>
        <w:keepLines/>
        <w:widowControl w:val="0"/>
        <w:numPr>
          <w:ilvl w:val="1"/>
          <w:numId w:val="0"/>
        </w:numPr>
        <w:spacing w:before="100" w:beforeLines="0" w:after="0" w:afterLines="0" w:line="400" w:lineRule="exact"/>
        <w:ind w:firstLine="3935" w:firstLineChars="1400"/>
        <w:jc w:val="left"/>
        <w:outlineLvl w:val="1"/>
        <w:rPr>
          <w:rFonts w:hint="eastAsia" w:ascii="宋体" w:hAnsi="宋体" w:eastAsia="宋体" w:cs="宋体"/>
          <w:b/>
          <w:bCs/>
          <w:color w:val="auto"/>
          <w:kern w:val="2"/>
          <w:sz w:val="28"/>
          <w:szCs w:val="20"/>
          <w:lang w:val="en-US" w:eastAsia="zh-CN" w:bidi="ar-SA"/>
        </w:rPr>
      </w:pPr>
      <w:bookmarkStart w:id="159" w:name="_Toc152042304"/>
      <w:bookmarkStart w:id="160" w:name="_Toc27072"/>
      <w:bookmarkStart w:id="161" w:name="_Toc466298090"/>
      <w:bookmarkStart w:id="162" w:name="_Toc144974496"/>
      <w:bookmarkStart w:id="163" w:name="_Toc4061"/>
      <w:bookmarkStart w:id="164" w:name="_Toc152045528"/>
      <w:bookmarkStart w:id="165" w:name="_Toc455080107"/>
      <w:bookmarkStart w:id="166" w:name="_Toc471"/>
      <w:r>
        <w:rPr>
          <w:rFonts w:hint="eastAsia" w:ascii="宋体" w:hAnsi="宋体" w:eastAsia="宋体" w:cs="宋体"/>
          <w:b/>
          <w:bCs/>
          <w:color w:val="auto"/>
          <w:kern w:val="2"/>
          <w:sz w:val="28"/>
          <w:szCs w:val="20"/>
          <w:lang w:val="en-US" w:eastAsia="zh-CN" w:bidi="ar-SA"/>
        </w:rPr>
        <w:t>供应商须知前附表</w:t>
      </w:r>
      <w:bookmarkEnd w:id="159"/>
      <w:bookmarkEnd w:id="160"/>
      <w:bookmarkEnd w:id="161"/>
      <w:bookmarkEnd w:id="162"/>
      <w:bookmarkEnd w:id="163"/>
      <w:bookmarkEnd w:id="164"/>
      <w:bookmarkEnd w:id="165"/>
      <w:bookmarkEnd w:id="166"/>
    </w:p>
    <w:tbl>
      <w:tblPr>
        <w:tblStyle w:val="33"/>
        <w:tblW w:w="10362" w:type="dxa"/>
        <w:tblInd w:w="-173" w:type="dxa"/>
        <w:tblLayout w:type="fixed"/>
        <w:tblCellMar>
          <w:top w:w="0" w:type="dxa"/>
          <w:left w:w="108" w:type="dxa"/>
          <w:bottom w:w="0" w:type="dxa"/>
          <w:right w:w="108" w:type="dxa"/>
        </w:tblCellMar>
      </w:tblPr>
      <w:tblGrid>
        <w:gridCol w:w="1153"/>
        <w:gridCol w:w="1804"/>
        <w:gridCol w:w="7405"/>
      </w:tblGrid>
      <w:tr w14:paraId="7E67F330">
        <w:tblPrEx>
          <w:tblCellMar>
            <w:top w:w="0" w:type="dxa"/>
            <w:left w:w="108" w:type="dxa"/>
            <w:bottom w:w="0" w:type="dxa"/>
            <w:right w:w="108" w:type="dxa"/>
          </w:tblCellMar>
        </w:tblPrEx>
        <w:trPr>
          <w:trHeight w:val="3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685D037C">
            <w:pPr>
              <w:jc w:val="center"/>
              <w:rPr>
                <w:rFonts w:hint="eastAsia" w:ascii="宋体" w:hAnsi="宋体" w:eastAsia="宋体" w:cs="宋体"/>
                <w:sz w:val="24"/>
                <w:szCs w:val="28"/>
              </w:rPr>
            </w:pPr>
            <w:r>
              <w:rPr>
                <w:rFonts w:hint="eastAsia" w:ascii="宋体" w:hAnsi="宋体" w:eastAsia="宋体" w:cs="宋体"/>
                <w:sz w:val="24"/>
                <w:szCs w:val="28"/>
              </w:rPr>
              <w:t>条款号</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55061B0F">
            <w:pPr>
              <w:rPr>
                <w:rFonts w:hint="eastAsia" w:ascii="宋体" w:hAnsi="宋体" w:eastAsia="宋体" w:cs="宋体"/>
                <w:sz w:val="24"/>
                <w:szCs w:val="28"/>
              </w:rPr>
            </w:pPr>
            <w:r>
              <w:rPr>
                <w:rFonts w:hint="eastAsia" w:ascii="宋体" w:hAnsi="宋体" w:eastAsia="宋体" w:cs="宋体"/>
                <w:sz w:val="24"/>
                <w:szCs w:val="28"/>
              </w:rPr>
              <w:t>条款名称</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76D4ABFE">
            <w:pPr>
              <w:adjustRightInd w:val="0"/>
              <w:spacing w:line="360" w:lineRule="auto"/>
              <w:ind w:firstLine="480" w:firstLineChars="200"/>
              <w:jc w:val="center"/>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编  列  内  容</w:t>
            </w:r>
          </w:p>
        </w:tc>
      </w:tr>
      <w:tr w14:paraId="178B6480">
        <w:tblPrEx>
          <w:tblCellMar>
            <w:top w:w="0" w:type="dxa"/>
            <w:left w:w="108" w:type="dxa"/>
            <w:bottom w:w="0" w:type="dxa"/>
            <w:right w:w="108" w:type="dxa"/>
          </w:tblCellMar>
        </w:tblPrEx>
        <w:tc>
          <w:tcPr>
            <w:tcW w:w="1153" w:type="dxa"/>
            <w:tcBorders>
              <w:top w:val="single" w:color="auto" w:sz="4" w:space="0"/>
              <w:left w:val="single" w:color="auto" w:sz="4" w:space="0"/>
              <w:bottom w:val="single" w:color="auto" w:sz="4" w:space="0"/>
              <w:right w:val="single" w:color="auto" w:sz="4" w:space="0"/>
            </w:tcBorders>
            <w:noWrap w:val="0"/>
            <w:vAlign w:val="center"/>
          </w:tcPr>
          <w:p w14:paraId="6DF69C8A">
            <w:pPr>
              <w:jc w:val="center"/>
              <w:rPr>
                <w:rFonts w:hint="eastAsia" w:ascii="宋体" w:hAnsi="宋体" w:eastAsia="宋体" w:cs="宋体"/>
                <w:sz w:val="24"/>
                <w:szCs w:val="28"/>
              </w:rPr>
            </w:pPr>
            <w:r>
              <w:rPr>
                <w:rFonts w:hint="eastAsia" w:ascii="宋体" w:hAnsi="宋体" w:eastAsia="宋体" w:cs="宋体"/>
                <w:sz w:val="24"/>
                <w:szCs w:val="28"/>
              </w:rPr>
              <w:t>1.2.1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1B301C1">
            <w:pPr>
              <w:rPr>
                <w:rFonts w:hint="eastAsia" w:ascii="宋体" w:hAnsi="宋体" w:eastAsia="宋体" w:cs="宋体"/>
                <w:sz w:val="24"/>
                <w:szCs w:val="28"/>
              </w:rPr>
            </w:pPr>
            <w:r>
              <w:rPr>
                <w:rFonts w:hint="eastAsia" w:ascii="宋体" w:hAnsi="宋体" w:eastAsia="宋体" w:cs="宋体"/>
                <w:sz w:val="24"/>
                <w:szCs w:val="28"/>
              </w:rPr>
              <w:t>采购人</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7DBE78C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采购人：</w:t>
            </w:r>
            <w:r>
              <w:rPr>
                <w:rFonts w:hint="eastAsia" w:ascii="宋体" w:hAnsi="宋体" w:eastAsia="宋体" w:cs="宋体"/>
                <w:kern w:val="0"/>
                <w:sz w:val="24"/>
                <w:szCs w:val="24"/>
                <w:highlight w:val="none"/>
                <w:lang w:eastAsia="zh-CN"/>
              </w:rPr>
              <w:t>息县自然资源局</w:t>
            </w:r>
          </w:p>
          <w:p w14:paraId="31165AA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地址：信阳市息县千佛庵路</w:t>
            </w:r>
          </w:p>
          <w:p w14:paraId="50BB22FF">
            <w:pPr>
              <w:pageBreakBefore w:val="0"/>
              <w:kinsoku/>
              <w:overflowPunct/>
              <w:topLinePunct w:val="0"/>
              <w:bidi w:val="0"/>
              <w:snapToGrid/>
              <w:spacing w:line="240" w:lineRule="auto"/>
              <w:jc w:val="left"/>
              <w:outlineLvl w:val="9"/>
              <w:rPr>
                <w:rFonts w:hint="eastAsia" w:ascii="宋体" w:hAnsi="宋体" w:eastAsia="宋体" w:cs="宋体"/>
                <w:b w:val="0"/>
                <w:bCs w:val="0"/>
                <w:sz w:val="24"/>
                <w:highlight w:val="none"/>
                <w:u w:val="none"/>
              </w:rPr>
            </w:pPr>
            <w:r>
              <w:rPr>
                <w:rFonts w:hint="eastAsia" w:ascii="宋体" w:hAnsi="宋体" w:eastAsia="宋体" w:cs="宋体"/>
                <w:b w:val="0"/>
                <w:bCs w:val="0"/>
                <w:sz w:val="24"/>
                <w:highlight w:val="none"/>
                <w:u w:val="none"/>
              </w:rPr>
              <w:t>联系人：</w:t>
            </w:r>
            <w:r>
              <w:rPr>
                <w:rFonts w:hint="eastAsia" w:ascii="宋体" w:hAnsi="宋体" w:eastAsia="宋体" w:cs="宋体"/>
                <w:b w:val="0"/>
                <w:bCs w:val="0"/>
                <w:sz w:val="24"/>
                <w:highlight w:val="none"/>
                <w:u w:val="none"/>
                <w:lang w:val="en-US" w:eastAsia="zh-CN"/>
              </w:rPr>
              <w:t>刘华</w:t>
            </w:r>
            <w:r>
              <w:rPr>
                <w:rFonts w:hint="eastAsia" w:ascii="宋体" w:hAnsi="宋体" w:eastAsia="宋体" w:cs="宋体"/>
                <w:b w:val="0"/>
                <w:bCs w:val="0"/>
                <w:sz w:val="24"/>
                <w:highlight w:val="none"/>
                <w:u w:val="none"/>
              </w:rPr>
              <w:t xml:space="preserve">       　</w:t>
            </w:r>
            <w:r>
              <w:rPr>
                <w:rFonts w:hint="eastAsia" w:ascii="宋体" w:hAnsi="宋体" w:eastAsia="宋体" w:cs="宋体"/>
                <w:b w:val="0"/>
                <w:bCs w:val="0"/>
                <w:sz w:val="24"/>
                <w:highlight w:val="none"/>
                <w:u w:val="none"/>
                <w:lang w:val="en-US" w:eastAsia="zh-CN"/>
              </w:rPr>
              <w:t xml:space="preserve">     </w:t>
            </w:r>
            <w:r>
              <w:rPr>
                <w:rFonts w:hint="eastAsia" w:ascii="宋体" w:hAnsi="宋体" w:eastAsia="宋体" w:cs="宋体"/>
                <w:b w:val="0"/>
                <w:bCs w:val="0"/>
                <w:sz w:val="24"/>
                <w:highlight w:val="none"/>
                <w:u w:val="none"/>
              </w:rPr>
              <w:t xml:space="preserve">  　</w:t>
            </w:r>
          </w:p>
          <w:p w14:paraId="447F1FA3">
            <w:pPr>
              <w:keepNext/>
              <w:keepLines/>
              <w:pageBreakBefore w:val="0"/>
              <w:widowControl w:val="0"/>
              <w:numPr>
                <w:ilvl w:val="0"/>
                <w:numId w:val="0"/>
              </w:numPr>
              <w:kinsoku/>
              <w:wordWrap/>
              <w:overflowPunct/>
              <w:topLinePunct w:val="0"/>
              <w:autoSpaceDE/>
              <w:autoSpaceDN/>
              <w:bidi w:val="0"/>
              <w:adjustRightInd/>
              <w:snapToGrid/>
              <w:spacing w:before="0" w:after="0" w:afterLines="0" w:line="240" w:lineRule="auto"/>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val="0"/>
                <w:bCs w:val="0"/>
                <w:sz w:val="24"/>
                <w:highlight w:val="none"/>
                <w:u w:val="none"/>
              </w:rPr>
              <w:t>联系方式：</w:t>
            </w:r>
            <w:r>
              <w:rPr>
                <w:rFonts w:hint="eastAsia" w:ascii="宋体" w:hAnsi="宋体" w:eastAsia="宋体" w:cs="宋体"/>
                <w:b w:val="0"/>
                <w:bCs w:val="0"/>
                <w:sz w:val="24"/>
                <w:highlight w:val="none"/>
                <w:u w:val="none"/>
                <w:lang w:val="en-US" w:eastAsia="zh-CN"/>
              </w:rPr>
              <w:t>13949172661</w:t>
            </w:r>
          </w:p>
        </w:tc>
      </w:tr>
      <w:tr w14:paraId="42A7150F">
        <w:tblPrEx>
          <w:tblCellMar>
            <w:top w:w="0" w:type="dxa"/>
            <w:left w:w="108" w:type="dxa"/>
            <w:bottom w:w="0" w:type="dxa"/>
            <w:right w:w="108" w:type="dxa"/>
          </w:tblCellMar>
        </w:tblPrEx>
        <w:trPr>
          <w:trHeight w:val="1768"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3EE0E8BA">
            <w:pPr>
              <w:jc w:val="center"/>
              <w:rPr>
                <w:rFonts w:hint="eastAsia" w:ascii="宋体" w:hAnsi="宋体" w:eastAsia="宋体" w:cs="宋体"/>
                <w:sz w:val="24"/>
                <w:szCs w:val="28"/>
              </w:rPr>
            </w:pPr>
            <w:r>
              <w:rPr>
                <w:rFonts w:hint="eastAsia" w:ascii="宋体" w:hAnsi="宋体" w:eastAsia="宋体" w:cs="宋体"/>
                <w:sz w:val="24"/>
                <w:szCs w:val="28"/>
              </w:rPr>
              <w:t>1.2.2</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6FB776B2">
            <w:pPr>
              <w:rPr>
                <w:rFonts w:hint="eastAsia" w:ascii="宋体" w:hAnsi="宋体" w:eastAsia="宋体" w:cs="宋体"/>
                <w:sz w:val="24"/>
                <w:szCs w:val="28"/>
              </w:rPr>
            </w:pPr>
            <w:r>
              <w:rPr>
                <w:rFonts w:hint="eastAsia" w:ascii="宋体" w:hAnsi="宋体" w:eastAsia="宋体" w:cs="宋体"/>
                <w:sz w:val="24"/>
                <w:szCs w:val="28"/>
              </w:rPr>
              <w:t>采购代理机构</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7C210699">
            <w:pPr>
              <w:keepNext w:val="0"/>
              <w:keepLines w:val="0"/>
              <w:pageBreakBefore w:val="0"/>
              <w:widowControl w:val="0"/>
              <w:kinsoku/>
              <w:wordWrap/>
              <w:overflowPunct/>
              <w:topLinePunct w:val="0"/>
              <w:bidi w:val="0"/>
              <w:snapToGrid/>
              <w:spacing w:line="500" w:lineRule="exact"/>
              <w:ind w:firstLine="0" w:firstLineChars="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采购代理机构：</w:t>
            </w:r>
            <w:r>
              <w:rPr>
                <w:rFonts w:hint="eastAsia" w:ascii="宋体" w:hAnsi="宋体" w:eastAsia="宋体" w:cs="宋体"/>
                <w:kern w:val="0"/>
                <w:sz w:val="24"/>
                <w:szCs w:val="24"/>
                <w:highlight w:val="none"/>
                <w:lang w:eastAsia="zh-CN"/>
              </w:rPr>
              <w:t>河南宏德建设管理有限公司</w:t>
            </w:r>
          </w:p>
          <w:p w14:paraId="7D8C3267">
            <w:pPr>
              <w:keepNext w:val="0"/>
              <w:keepLines w:val="0"/>
              <w:pageBreakBefore w:val="0"/>
              <w:widowControl w:val="0"/>
              <w:kinsoku/>
              <w:wordWrap/>
              <w:overflowPunct/>
              <w:topLinePunct w:val="0"/>
              <w:bidi w:val="0"/>
              <w:snapToGrid/>
              <w:spacing w:line="500" w:lineRule="exact"/>
              <w:ind w:firstLine="0" w:firstLineChars="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地址：南阳市宛城区仲景街道孔明大道建业凯旋广场 20 号楼 11层</w:t>
            </w:r>
          </w:p>
          <w:p w14:paraId="0DA248DB">
            <w:pPr>
              <w:keepNext w:val="0"/>
              <w:keepLines w:val="0"/>
              <w:pageBreakBefore w:val="0"/>
              <w:widowControl w:val="0"/>
              <w:kinsoku/>
              <w:wordWrap/>
              <w:overflowPunct/>
              <w:topLinePunct w:val="0"/>
              <w:bidi w:val="0"/>
              <w:snapToGrid/>
              <w:spacing w:line="500" w:lineRule="exact"/>
              <w:ind w:firstLine="0" w:firstLineChars="0"/>
              <w:jc w:val="left"/>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联系人：夏云帅</w:t>
            </w:r>
          </w:p>
          <w:p w14:paraId="5CDDF418">
            <w:pPr>
              <w:keepNext w:val="0"/>
              <w:keepLines w:val="0"/>
              <w:pageBreakBefore w:val="0"/>
              <w:widowControl w:val="0"/>
              <w:kinsoku/>
              <w:wordWrap/>
              <w:overflowPunct/>
              <w:topLinePunct w:val="0"/>
              <w:bidi w:val="0"/>
              <w:snapToGrid/>
              <w:spacing w:line="500" w:lineRule="exact"/>
              <w:ind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kern w:val="0"/>
                <w:sz w:val="24"/>
                <w:szCs w:val="24"/>
                <w:highlight w:val="none"/>
                <w:lang w:eastAsia="zh-CN"/>
              </w:rPr>
              <w:t xml:space="preserve">联系方式：17716354679 </w:t>
            </w:r>
          </w:p>
        </w:tc>
      </w:tr>
      <w:tr w14:paraId="7195DBBC">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1C199068">
            <w:pPr>
              <w:jc w:val="center"/>
              <w:rPr>
                <w:rFonts w:hint="eastAsia" w:ascii="宋体" w:hAnsi="宋体" w:eastAsia="宋体" w:cs="宋体"/>
                <w:sz w:val="24"/>
                <w:szCs w:val="28"/>
              </w:rPr>
            </w:pPr>
            <w:r>
              <w:rPr>
                <w:rFonts w:hint="eastAsia" w:ascii="宋体" w:hAnsi="宋体" w:eastAsia="宋体" w:cs="宋体"/>
                <w:sz w:val="24"/>
                <w:szCs w:val="28"/>
              </w:rPr>
              <w:t>1.2.3</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652A7AB3">
            <w:pPr>
              <w:rPr>
                <w:rFonts w:hint="eastAsia" w:ascii="宋体" w:hAnsi="宋体" w:eastAsia="宋体" w:cs="宋体"/>
                <w:sz w:val="24"/>
                <w:szCs w:val="28"/>
              </w:rPr>
            </w:pPr>
            <w:r>
              <w:rPr>
                <w:rFonts w:hint="eastAsia" w:ascii="宋体" w:hAnsi="宋体" w:eastAsia="宋体" w:cs="宋体"/>
                <w:sz w:val="24"/>
                <w:szCs w:val="28"/>
              </w:rPr>
              <w:t>项目名称</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1E8C9D94">
            <w:pPr>
              <w:keepNext w:val="0"/>
              <w:keepLines w:val="0"/>
              <w:pageBreakBefore w:val="0"/>
              <w:widowControl w:val="0"/>
              <w:kinsoku/>
              <w:wordWrap/>
              <w:overflowPunct/>
              <w:topLinePunct w:val="0"/>
              <w:bidi w:val="0"/>
              <w:snapToGrid/>
              <w:spacing w:line="500" w:lineRule="exact"/>
              <w:ind w:left="0" w:leftChars="0" w:firstLine="0" w:firstLineChars="0"/>
              <w:rPr>
                <w:rFonts w:hint="eastAsia" w:ascii="宋体" w:hAnsi="宋体" w:eastAsia="宋体" w:cs="宋体"/>
                <w:color w:val="auto"/>
                <w:sz w:val="24"/>
                <w:szCs w:val="24"/>
                <w:lang w:eastAsia="zh-CN"/>
              </w:rPr>
            </w:pPr>
            <w:r>
              <w:rPr>
                <w:rFonts w:hint="eastAsia" w:ascii="宋体" w:hAnsi="宋体" w:eastAsia="宋体" w:cs="宋体"/>
                <w:color w:val="000000"/>
                <w:sz w:val="24"/>
                <w:lang w:eastAsia="zh-CN"/>
              </w:rPr>
              <w:t>息县自然资源局息县国土空间总体规划动态调整完善项目</w:t>
            </w:r>
          </w:p>
        </w:tc>
      </w:tr>
      <w:tr w14:paraId="5BA56720">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063E8458">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1.2.4</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4B356050">
            <w:pPr>
              <w:rPr>
                <w:rFonts w:hint="eastAsia" w:ascii="宋体" w:hAnsi="宋体" w:eastAsia="宋体" w:cs="宋体"/>
                <w:sz w:val="24"/>
                <w:szCs w:val="28"/>
                <w:lang w:val="en-US" w:eastAsia="zh-CN"/>
              </w:rPr>
            </w:pPr>
            <w:r>
              <w:rPr>
                <w:rFonts w:hint="eastAsia" w:ascii="宋体" w:hAnsi="宋体" w:eastAsia="宋体" w:cs="宋体"/>
                <w:sz w:val="24"/>
                <w:szCs w:val="28"/>
                <w:lang w:eastAsia="zh-CN"/>
              </w:rPr>
              <w:t>采购</w:t>
            </w:r>
            <w:r>
              <w:rPr>
                <w:rFonts w:hint="eastAsia" w:ascii="宋体" w:hAnsi="宋体" w:eastAsia="宋体" w:cs="宋体"/>
                <w:sz w:val="24"/>
                <w:szCs w:val="28"/>
              </w:rPr>
              <w:t>方式</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4CAD94A2">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rPr>
                <w:rFonts w:hint="eastAsia" w:ascii="宋体" w:hAnsi="宋体" w:eastAsia="宋体" w:cs="宋体"/>
                <w:color w:val="000000"/>
                <w:spacing w:val="1"/>
                <w:kern w:val="0"/>
                <w:sz w:val="24"/>
                <w:szCs w:val="24"/>
                <w:lang w:val="en-US" w:eastAsia="zh-CN" w:bidi="ar-SA"/>
              </w:rPr>
            </w:pPr>
            <w:r>
              <w:rPr>
                <w:rFonts w:hint="eastAsia" w:ascii="宋体" w:hAnsi="宋体" w:eastAsia="宋体" w:cs="宋体"/>
                <w:color w:val="000000"/>
                <w:spacing w:val="1"/>
                <w:kern w:val="0"/>
                <w:sz w:val="24"/>
                <w:szCs w:val="24"/>
                <w:lang w:val="en-US" w:eastAsia="zh-CN" w:bidi="ar-SA"/>
              </w:rPr>
              <w:t>竞争性磋商</w:t>
            </w:r>
          </w:p>
        </w:tc>
      </w:tr>
      <w:tr w14:paraId="23FD2EFD">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4132FB09">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1.2.5</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2B5E0E46">
            <w:pPr>
              <w:rPr>
                <w:rFonts w:hint="eastAsia" w:ascii="宋体" w:hAnsi="宋体" w:eastAsia="宋体" w:cs="宋体"/>
                <w:sz w:val="24"/>
                <w:szCs w:val="28"/>
                <w:lang w:val="en-US" w:eastAsia="zh-CN"/>
              </w:rPr>
            </w:pPr>
            <w:r>
              <w:rPr>
                <w:rFonts w:hint="eastAsia" w:ascii="宋体" w:hAnsi="宋体" w:eastAsia="宋体" w:cs="宋体"/>
                <w:sz w:val="24"/>
                <w:szCs w:val="28"/>
                <w:lang w:eastAsia="zh-CN"/>
              </w:rPr>
              <w:t>采购预算价</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46119349">
            <w:pPr>
              <w:keepNext w:val="0"/>
              <w:keepLines w:val="0"/>
              <w:pageBreakBefore w:val="0"/>
              <w:widowControl w:val="0"/>
              <w:kinsoku/>
              <w:wordWrap/>
              <w:overflowPunct/>
              <w:topLinePunct w:val="0"/>
              <w:bidi w:val="0"/>
              <w:snapToGrid/>
              <w:spacing w:line="500" w:lineRule="exact"/>
              <w:ind w:firstLine="0" w:firstLineChars="0"/>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采购预算价：</w:t>
            </w:r>
            <w:r>
              <w:rPr>
                <w:rFonts w:hint="eastAsia" w:ascii="宋体" w:hAnsi="宋体" w:eastAsia="宋体" w:cs="宋体"/>
                <w:color w:val="000000"/>
                <w:kern w:val="0"/>
                <w:sz w:val="24"/>
                <w:szCs w:val="24"/>
                <w:highlight w:val="none"/>
                <w:lang w:val="en-US" w:eastAsia="zh-CN"/>
              </w:rPr>
              <w:t>560000.00</w:t>
            </w:r>
            <w:r>
              <w:rPr>
                <w:rFonts w:hint="eastAsia" w:ascii="宋体" w:hAnsi="宋体" w:eastAsia="宋体" w:cs="宋体"/>
                <w:color w:val="000000"/>
                <w:kern w:val="0"/>
                <w:sz w:val="24"/>
                <w:szCs w:val="24"/>
                <w:highlight w:val="none"/>
              </w:rPr>
              <w:t>元</w:t>
            </w:r>
          </w:p>
          <w:p w14:paraId="4253FA67">
            <w:pPr>
              <w:keepNext w:val="0"/>
              <w:keepLines w:val="0"/>
              <w:pageBreakBefore w:val="0"/>
              <w:widowControl w:val="0"/>
              <w:kinsoku/>
              <w:wordWrap/>
              <w:overflowPunct/>
              <w:topLinePunct w:val="0"/>
              <w:bidi w:val="0"/>
              <w:snapToGrid/>
              <w:spacing w:line="500" w:lineRule="exact"/>
              <w:ind w:firstLine="0" w:firstLineChars="0"/>
              <w:jc w:val="both"/>
              <w:textAlignment w:val="auto"/>
              <w:rPr>
                <w:rFonts w:hint="eastAsia" w:ascii="宋体" w:hAnsi="宋体" w:eastAsia="宋体" w:cs="宋体"/>
                <w:b w:val="0"/>
                <w:bCs w:val="0"/>
                <w:color w:val="000000"/>
                <w:kern w:val="0"/>
                <w:sz w:val="24"/>
                <w:szCs w:val="24"/>
                <w:highlight w:val="none"/>
                <w:lang w:val="en-US" w:eastAsia="zh-CN" w:bidi="ar-SA"/>
              </w:rPr>
            </w:pPr>
            <w:r>
              <w:rPr>
                <w:rFonts w:hint="eastAsia" w:ascii="宋体" w:hAnsi="宋体" w:eastAsia="宋体" w:cs="宋体"/>
                <w:b/>
                <w:bCs/>
                <w:color w:val="000000"/>
                <w:kern w:val="0"/>
                <w:sz w:val="24"/>
                <w:szCs w:val="24"/>
                <w:highlight w:val="none"/>
                <w:lang w:val="en-US" w:eastAsia="zh-CN" w:bidi="ar-SA"/>
              </w:rPr>
              <w:t>注：各供应商响应报价超过采购预算价，按无效投标处理</w:t>
            </w:r>
          </w:p>
        </w:tc>
      </w:tr>
      <w:tr w14:paraId="05D0CB84">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5A0A4127">
            <w:pPr>
              <w:jc w:val="center"/>
              <w:rPr>
                <w:rFonts w:hint="eastAsia" w:ascii="宋体" w:hAnsi="宋体" w:eastAsia="宋体" w:cs="宋体"/>
                <w:sz w:val="24"/>
                <w:szCs w:val="28"/>
              </w:rPr>
            </w:pPr>
            <w:r>
              <w:rPr>
                <w:rFonts w:hint="eastAsia" w:ascii="宋体" w:hAnsi="宋体" w:eastAsia="宋体" w:cs="宋体"/>
                <w:sz w:val="24"/>
                <w:szCs w:val="28"/>
              </w:rPr>
              <w:t>1.4.1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54F6C85F">
            <w:pPr>
              <w:rPr>
                <w:rFonts w:hint="eastAsia" w:ascii="宋体" w:hAnsi="宋体" w:eastAsia="宋体" w:cs="宋体"/>
                <w:sz w:val="24"/>
                <w:szCs w:val="28"/>
                <w:lang w:eastAsia="zh-CN"/>
              </w:rPr>
            </w:pPr>
            <w:r>
              <w:rPr>
                <w:rFonts w:hint="eastAsia" w:ascii="宋体" w:hAnsi="宋体" w:eastAsia="宋体" w:cs="宋体"/>
                <w:sz w:val="24"/>
                <w:szCs w:val="28"/>
                <w:lang w:eastAsia="zh-CN"/>
              </w:rPr>
              <w:t>磋商内容</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49AFA6F6">
            <w:pPr>
              <w:keepNext w:val="0"/>
              <w:keepLines w:val="0"/>
              <w:pageBreakBefore w:val="0"/>
              <w:widowControl w:val="0"/>
              <w:kinsoku/>
              <w:wordWrap/>
              <w:overflowPunct/>
              <w:topLinePunct w:val="0"/>
              <w:bidi w:val="0"/>
              <w:snapToGrid/>
              <w:spacing w:line="500" w:lineRule="exact"/>
              <w:ind w:left="0" w:leftChars="0"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000000"/>
                <w:sz w:val="24"/>
                <w:lang w:eastAsia="zh-CN"/>
              </w:rPr>
              <w:t>息县国土空间总体规划动态调整完善</w:t>
            </w:r>
          </w:p>
        </w:tc>
      </w:tr>
      <w:tr w14:paraId="58BF63D7">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7D6C8DB1">
            <w:pPr>
              <w:jc w:val="center"/>
              <w:rPr>
                <w:rFonts w:hint="eastAsia" w:ascii="宋体" w:hAnsi="宋体" w:eastAsia="宋体" w:cs="宋体"/>
                <w:sz w:val="24"/>
                <w:szCs w:val="28"/>
              </w:rPr>
            </w:pPr>
            <w:r>
              <w:rPr>
                <w:rFonts w:hint="eastAsia" w:ascii="宋体" w:hAnsi="宋体" w:eastAsia="宋体" w:cs="宋体"/>
                <w:sz w:val="24"/>
                <w:szCs w:val="28"/>
              </w:rPr>
              <w:t>1.4.2</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639A0F5F">
            <w:pPr>
              <w:rPr>
                <w:rFonts w:hint="eastAsia" w:ascii="宋体" w:hAnsi="宋体" w:eastAsia="宋体" w:cs="宋体"/>
                <w:sz w:val="24"/>
                <w:szCs w:val="28"/>
                <w:lang w:eastAsia="zh-CN"/>
              </w:rPr>
            </w:pPr>
            <w:r>
              <w:rPr>
                <w:rFonts w:hint="eastAsia" w:ascii="宋体" w:hAnsi="宋体" w:eastAsia="宋体" w:cs="宋体"/>
                <w:sz w:val="24"/>
                <w:szCs w:val="28"/>
              </w:rPr>
              <w:t>质量要求</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35C0910C">
            <w:pPr>
              <w:keepNext w:val="0"/>
              <w:keepLines w:val="0"/>
              <w:pageBreakBefore w:val="0"/>
              <w:widowControl w:val="0"/>
              <w:kinsoku/>
              <w:wordWrap/>
              <w:overflowPunct/>
              <w:topLinePunct w:val="0"/>
              <w:bidi w:val="0"/>
              <w:snapToGrid/>
              <w:spacing w:line="500" w:lineRule="exact"/>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sz w:val="24"/>
                <w:szCs w:val="24"/>
                <w:highlight w:val="none"/>
                <w:lang w:eastAsia="zh-CN"/>
              </w:rPr>
              <w:t>符合国家及行业相关标准，达到采购人要求</w:t>
            </w:r>
          </w:p>
        </w:tc>
      </w:tr>
      <w:tr w14:paraId="537E2E69">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3783A353">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1.4.3</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2EC5A1A9">
            <w:pPr>
              <w:rPr>
                <w:rFonts w:hint="eastAsia" w:ascii="宋体" w:hAnsi="宋体" w:eastAsia="宋体" w:cs="宋体"/>
                <w:sz w:val="24"/>
                <w:szCs w:val="28"/>
                <w:lang w:eastAsia="zh-CN"/>
              </w:rPr>
            </w:pPr>
            <w:r>
              <w:rPr>
                <w:rFonts w:hint="eastAsia" w:ascii="宋体" w:hAnsi="宋体" w:eastAsia="宋体" w:cs="宋体"/>
                <w:sz w:val="24"/>
                <w:szCs w:val="28"/>
                <w:lang w:eastAsia="zh-CN"/>
              </w:rPr>
              <w:t>服务期限</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C084E7B">
            <w:pPr>
              <w:keepNext w:val="0"/>
              <w:keepLines w:val="0"/>
              <w:pageBreakBefore w:val="0"/>
              <w:widowControl w:val="0"/>
              <w:kinsoku/>
              <w:wordWrap/>
              <w:overflowPunct/>
              <w:topLinePunct w:val="0"/>
              <w:autoSpaceDE w:val="0"/>
              <w:autoSpaceDN w:val="0"/>
              <w:bidi w:val="0"/>
              <w:adjustRightInd w:val="0"/>
              <w:snapToGrid/>
              <w:spacing w:line="500" w:lineRule="exact"/>
              <w:ind w:firstLine="0" w:firstLineChars="0"/>
              <w:jc w:val="left"/>
              <w:rPr>
                <w:rFonts w:hint="eastAsia" w:ascii="宋体" w:hAnsi="宋体" w:eastAsia="宋体" w:cs="宋体"/>
                <w:color w:val="auto"/>
                <w:sz w:val="24"/>
                <w:szCs w:val="24"/>
                <w:highlight w:val="none"/>
                <w:lang w:eastAsia="zh-CN"/>
              </w:rPr>
            </w:pPr>
            <w:r>
              <w:rPr>
                <w:rFonts w:hint="eastAsia" w:ascii="宋体" w:hAnsi="宋体" w:eastAsia="宋体" w:cs="宋体"/>
                <w:sz w:val="24"/>
                <w:highlight w:val="none"/>
                <w:lang w:val="en-US" w:eastAsia="zh-CN"/>
              </w:rPr>
              <w:t>自签订合同之日起20日历天完成，并按要求提交成果文件</w:t>
            </w:r>
          </w:p>
        </w:tc>
      </w:tr>
      <w:tr w14:paraId="458EE4F1">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1FACDE12">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1.4.4</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77BB8C45">
            <w:p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付款方式</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6BA08EF8">
            <w:pPr>
              <w:keepNext w:val="0"/>
              <w:keepLines w:val="0"/>
              <w:pageBreakBefore w:val="0"/>
              <w:widowControl w:val="0"/>
              <w:kinsoku/>
              <w:wordWrap/>
              <w:overflowPunct/>
              <w:topLinePunct w:val="0"/>
              <w:bidi w:val="0"/>
              <w:snapToGrid/>
              <w:spacing w:line="500" w:lineRule="exact"/>
              <w:ind w:left="0" w:leftChars="0"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由甲乙双方协商决定</w:t>
            </w:r>
          </w:p>
        </w:tc>
      </w:tr>
      <w:tr w14:paraId="3180970B">
        <w:tblPrEx>
          <w:tblCellMar>
            <w:top w:w="0" w:type="dxa"/>
            <w:left w:w="108" w:type="dxa"/>
            <w:bottom w:w="0" w:type="dxa"/>
            <w:right w:w="108" w:type="dxa"/>
          </w:tblCellMar>
        </w:tblPrEx>
        <w:trPr>
          <w:trHeight w:val="5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104BF439">
            <w:pPr>
              <w:jc w:val="center"/>
              <w:rPr>
                <w:rFonts w:hint="eastAsia" w:ascii="宋体" w:hAnsi="宋体" w:eastAsia="宋体" w:cs="宋体"/>
                <w:sz w:val="24"/>
                <w:szCs w:val="28"/>
                <w:lang w:val="en-US" w:eastAsia="zh-CN"/>
              </w:rPr>
            </w:pPr>
            <w:r>
              <w:rPr>
                <w:rFonts w:hint="eastAsia" w:ascii="宋体" w:hAnsi="宋体" w:eastAsia="宋体" w:cs="宋体"/>
                <w:sz w:val="24"/>
                <w:szCs w:val="28"/>
              </w:rPr>
              <w:t>1.4.</w:t>
            </w:r>
            <w:r>
              <w:rPr>
                <w:rFonts w:hint="eastAsia" w:ascii="宋体" w:hAnsi="宋体" w:eastAsia="宋体" w:cs="宋体"/>
                <w:sz w:val="24"/>
                <w:szCs w:val="28"/>
                <w:lang w:val="en-US" w:eastAsia="zh-CN"/>
              </w:rPr>
              <w:t>5</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54F824A1">
            <w:pPr>
              <w:rPr>
                <w:rFonts w:hint="eastAsia" w:ascii="宋体" w:hAnsi="宋体" w:eastAsia="宋体" w:cs="宋体"/>
                <w:sz w:val="24"/>
                <w:szCs w:val="28"/>
              </w:rPr>
            </w:pPr>
            <w:r>
              <w:rPr>
                <w:rFonts w:hint="eastAsia" w:ascii="宋体" w:hAnsi="宋体" w:eastAsia="宋体" w:cs="宋体"/>
                <w:sz w:val="24"/>
                <w:szCs w:val="28"/>
                <w:lang w:val="en-US" w:eastAsia="zh-CN"/>
              </w:rPr>
              <w:t>资格审查方式</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2EA7DDA8">
            <w:pPr>
              <w:keepNext w:val="0"/>
              <w:keepLines w:val="0"/>
              <w:pageBreakBefore w:val="0"/>
              <w:widowControl w:val="0"/>
              <w:kinsoku/>
              <w:wordWrap/>
              <w:overflowPunct/>
              <w:topLinePunct w:val="0"/>
              <w:bidi w:val="0"/>
              <w:snapToGrid/>
              <w:spacing w:line="500" w:lineRule="exact"/>
              <w:ind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kern w:val="2"/>
                <w:sz w:val="24"/>
                <w:szCs w:val="24"/>
                <w:lang w:val="en-US" w:eastAsia="zh-CN" w:bidi="ar-SA"/>
              </w:rPr>
              <w:t>资格后审</w:t>
            </w:r>
          </w:p>
        </w:tc>
      </w:tr>
      <w:tr w14:paraId="7F69D4AF">
        <w:tblPrEx>
          <w:tblCellMar>
            <w:top w:w="0" w:type="dxa"/>
            <w:left w:w="108" w:type="dxa"/>
            <w:bottom w:w="0" w:type="dxa"/>
            <w:right w:w="108" w:type="dxa"/>
          </w:tblCellMar>
        </w:tblPrEx>
        <w:tc>
          <w:tcPr>
            <w:tcW w:w="1153" w:type="dxa"/>
            <w:tcBorders>
              <w:top w:val="single" w:color="auto" w:sz="4" w:space="0"/>
              <w:left w:val="single" w:color="auto" w:sz="4" w:space="0"/>
              <w:bottom w:val="single" w:color="auto" w:sz="4" w:space="0"/>
              <w:right w:val="single" w:color="auto" w:sz="4" w:space="0"/>
            </w:tcBorders>
            <w:noWrap w:val="0"/>
            <w:vAlign w:val="center"/>
          </w:tcPr>
          <w:p w14:paraId="539D0CB6">
            <w:pPr>
              <w:jc w:val="center"/>
              <w:rPr>
                <w:rFonts w:hint="eastAsia" w:ascii="宋体" w:hAnsi="宋体" w:eastAsia="宋体" w:cs="宋体"/>
                <w:sz w:val="24"/>
                <w:szCs w:val="28"/>
              </w:rPr>
            </w:pPr>
            <w:r>
              <w:rPr>
                <w:rFonts w:hint="eastAsia" w:ascii="宋体" w:hAnsi="宋体" w:eastAsia="宋体" w:cs="宋体"/>
                <w:sz w:val="24"/>
                <w:szCs w:val="28"/>
              </w:rPr>
              <w:t>1.5.1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6F8A2D6">
            <w:pPr>
              <w:rPr>
                <w:rFonts w:hint="eastAsia" w:ascii="宋体" w:hAnsi="宋体" w:eastAsia="宋体" w:cs="宋体"/>
                <w:sz w:val="24"/>
                <w:szCs w:val="28"/>
              </w:rPr>
            </w:pPr>
            <w:r>
              <w:rPr>
                <w:rFonts w:hint="eastAsia" w:ascii="宋体" w:hAnsi="宋体" w:eastAsia="宋体" w:cs="宋体"/>
                <w:sz w:val="24"/>
                <w:szCs w:val="28"/>
              </w:rPr>
              <w:t>供应商资质条件及能力要求</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75B3C747">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kern w:val="0"/>
                <w:sz w:val="24"/>
                <w:szCs w:val="24"/>
                <w:lang w:val="en-US" w:eastAsia="zh-CN" w:bidi="ar-SA"/>
              </w:rPr>
            </w:pPr>
            <w:r>
              <w:rPr>
                <w:rFonts w:hint="eastAsia" w:ascii="宋体" w:hAnsi="宋体" w:eastAsia="宋体" w:cs="宋体"/>
                <w:kern w:val="0"/>
                <w:sz w:val="24"/>
                <w:szCs w:val="24"/>
                <w:lang w:val="en-US" w:eastAsia="zh-CN" w:bidi="ar-SA"/>
              </w:rPr>
              <w:t>详见磋商公告</w:t>
            </w:r>
          </w:p>
        </w:tc>
      </w:tr>
      <w:tr w14:paraId="1173C52A">
        <w:tblPrEx>
          <w:tblCellMar>
            <w:top w:w="0" w:type="dxa"/>
            <w:left w:w="108" w:type="dxa"/>
            <w:bottom w:w="0" w:type="dxa"/>
            <w:right w:w="108" w:type="dxa"/>
          </w:tblCellMar>
        </w:tblPrEx>
        <w:trPr>
          <w:trHeight w:val="39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6F627CB4">
            <w:pPr>
              <w:jc w:val="center"/>
              <w:rPr>
                <w:rFonts w:hint="eastAsia" w:ascii="宋体" w:hAnsi="宋体" w:eastAsia="宋体" w:cs="宋体"/>
                <w:sz w:val="24"/>
                <w:szCs w:val="28"/>
              </w:rPr>
            </w:pPr>
            <w:r>
              <w:rPr>
                <w:rFonts w:hint="eastAsia" w:ascii="宋体" w:hAnsi="宋体" w:eastAsia="宋体" w:cs="宋体"/>
                <w:sz w:val="24"/>
                <w:szCs w:val="28"/>
              </w:rPr>
              <w:t>1.5.2</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3B84335A">
            <w:pPr>
              <w:rPr>
                <w:rFonts w:hint="eastAsia" w:ascii="宋体" w:hAnsi="宋体" w:eastAsia="宋体" w:cs="宋体"/>
                <w:sz w:val="24"/>
                <w:szCs w:val="28"/>
              </w:rPr>
            </w:pPr>
            <w:r>
              <w:rPr>
                <w:rFonts w:hint="eastAsia" w:ascii="宋体" w:hAnsi="宋体" w:eastAsia="宋体" w:cs="宋体"/>
                <w:sz w:val="24"/>
                <w:szCs w:val="28"/>
              </w:rPr>
              <w:t>是否接受联合体</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70BA132">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不接受</w:t>
            </w:r>
          </w:p>
        </w:tc>
      </w:tr>
      <w:tr w14:paraId="51035BA5">
        <w:tblPrEx>
          <w:tblCellMar>
            <w:top w:w="0" w:type="dxa"/>
            <w:left w:w="108" w:type="dxa"/>
            <w:bottom w:w="0" w:type="dxa"/>
            <w:right w:w="108" w:type="dxa"/>
          </w:tblCellMar>
        </w:tblPrEx>
        <w:trPr>
          <w:trHeight w:val="56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4E42B176">
            <w:pPr>
              <w:jc w:val="center"/>
              <w:rPr>
                <w:rFonts w:hint="eastAsia" w:ascii="宋体" w:hAnsi="宋体" w:eastAsia="宋体" w:cs="宋体"/>
                <w:sz w:val="24"/>
                <w:szCs w:val="28"/>
              </w:rPr>
            </w:pPr>
            <w:r>
              <w:rPr>
                <w:rFonts w:hint="eastAsia" w:ascii="宋体" w:hAnsi="宋体" w:eastAsia="宋体" w:cs="宋体"/>
                <w:sz w:val="24"/>
                <w:szCs w:val="28"/>
              </w:rPr>
              <w:t>1.10</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7E3DAFEF">
            <w:pPr>
              <w:rPr>
                <w:rFonts w:hint="eastAsia" w:ascii="宋体" w:hAnsi="宋体" w:eastAsia="宋体" w:cs="宋体"/>
                <w:sz w:val="24"/>
                <w:szCs w:val="28"/>
                <w:lang w:eastAsia="zh-CN"/>
              </w:rPr>
            </w:pPr>
            <w:r>
              <w:rPr>
                <w:rFonts w:hint="eastAsia" w:ascii="宋体" w:hAnsi="宋体" w:eastAsia="宋体" w:cs="宋体"/>
                <w:sz w:val="24"/>
                <w:szCs w:val="28"/>
                <w:lang w:eastAsia="zh-CN"/>
              </w:rPr>
              <w:t>现场踏勘</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0C282E70">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自行踏勘</w:t>
            </w:r>
          </w:p>
        </w:tc>
      </w:tr>
      <w:tr w14:paraId="05A81943">
        <w:tblPrEx>
          <w:tblCellMar>
            <w:top w:w="0" w:type="dxa"/>
            <w:left w:w="108" w:type="dxa"/>
            <w:bottom w:w="0" w:type="dxa"/>
            <w:right w:w="108" w:type="dxa"/>
          </w:tblCellMar>
        </w:tblPrEx>
        <w:trPr>
          <w:trHeight w:val="564"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21CEA1A9">
            <w:pPr>
              <w:jc w:val="center"/>
              <w:rPr>
                <w:rFonts w:hint="eastAsia" w:ascii="宋体" w:hAnsi="宋体" w:eastAsia="宋体" w:cs="宋体"/>
                <w:sz w:val="24"/>
                <w:szCs w:val="28"/>
              </w:rPr>
            </w:pPr>
            <w:r>
              <w:rPr>
                <w:rFonts w:hint="eastAsia" w:ascii="宋体" w:hAnsi="宋体" w:eastAsia="宋体" w:cs="宋体"/>
                <w:sz w:val="24"/>
                <w:szCs w:val="28"/>
              </w:rPr>
              <w:t>1.11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45005116">
            <w:pPr>
              <w:rPr>
                <w:rFonts w:hint="eastAsia" w:ascii="宋体" w:hAnsi="宋体" w:eastAsia="宋体" w:cs="宋体"/>
                <w:sz w:val="24"/>
                <w:szCs w:val="28"/>
              </w:rPr>
            </w:pPr>
            <w:r>
              <w:rPr>
                <w:rFonts w:hint="eastAsia" w:ascii="宋体" w:hAnsi="宋体" w:eastAsia="宋体" w:cs="宋体"/>
                <w:sz w:val="24"/>
                <w:szCs w:val="28"/>
              </w:rPr>
              <w:t>分包</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2778F6FB">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不允许</w:t>
            </w:r>
          </w:p>
        </w:tc>
      </w:tr>
      <w:tr w14:paraId="412904C3">
        <w:tblPrEx>
          <w:tblCellMar>
            <w:top w:w="0" w:type="dxa"/>
            <w:left w:w="108" w:type="dxa"/>
            <w:bottom w:w="0" w:type="dxa"/>
            <w:right w:w="108" w:type="dxa"/>
          </w:tblCellMar>
        </w:tblPrEx>
        <w:trPr>
          <w:trHeight w:val="469" w:hRule="atLeast"/>
        </w:trPr>
        <w:tc>
          <w:tcPr>
            <w:tcW w:w="115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961C5C">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1.12</w:t>
            </w:r>
          </w:p>
        </w:tc>
        <w:tc>
          <w:tcPr>
            <w:tcW w:w="18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9869BE">
            <w:pPr>
              <w:rPr>
                <w:rFonts w:hint="eastAsia" w:ascii="宋体" w:hAnsi="宋体" w:eastAsia="宋体" w:cs="宋体"/>
                <w:sz w:val="24"/>
                <w:szCs w:val="28"/>
                <w:lang w:val="en-US" w:eastAsia="zh-CN"/>
              </w:rPr>
            </w:pPr>
            <w:r>
              <w:rPr>
                <w:rFonts w:hint="eastAsia" w:ascii="宋体" w:hAnsi="宋体" w:eastAsia="宋体" w:cs="宋体"/>
                <w:sz w:val="24"/>
                <w:szCs w:val="28"/>
              </w:rPr>
              <w:t>偏离</w:t>
            </w:r>
          </w:p>
        </w:tc>
        <w:tc>
          <w:tcPr>
            <w:tcW w:w="740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94E928">
            <w:pPr>
              <w:keepNext w:val="0"/>
              <w:keepLines w:val="0"/>
              <w:pageBreakBefore w:val="0"/>
              <w:numPr>
                <w:ilvl w:val="0"/>
                <w:numId w:val="0"/>
              </w:numPr>
              <w:kinsoku/>
              <w:wordWrap/>
              <w:overflowPunct/>
              <w:topLinePunct w:val="0"/>
              <w:autoSpaceDE/>
              <w:autoSpaceDN/>
              <w:bidi w:val="0"/>
              <w:adjustRightInd w:val="0"/>
              <w:snapToGrid w:val="0"/>
              <w:spacing w:line="500" w:lineRule="exac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rPr>
              <w:t>不允许偏离招标文件规定的实质性要求和条件</w:t>
            </w:r>
          </w:p>
        </w:tc>
      </w:tr>
      <w:tr w14:paraId="114F67FC">
        <w:tblPrEx>
          <w:tblCellMar>
            <w:top w:w="0" w:type="dxa"/>
            <w:left w:w="108" w:type="dxa"/>
            <w:bottom w:w="0" w:type="dxa"/>
            <w:right w:w="108" w:type="dxa"/>
          </w:tblCellMar>
        </w:tblPrEx>
        <w:trPr>
          <w:trHeight w:val="469"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2BDEACD6">
            <w:pPr>
              <w:jc w:val="center"/>
              <w:rPr>
                <w:rFonts w:hint="eastAsia" w:ascii="宋体" w:hAnsi="宋体" w:eastAsia="宋体" w:cs="宋体"/>
                <w:sz w:val="24"/>
                <w:szCs w:val="28"/>
              </w:rPr>
            </w:pPr>
            <w:r>
              <w:rPr>
                <w:rFonts w:hint="eastAsia" w:ascii="宋体" w:hAnsi="宋体" w:eastAsia="宋体" w:cs="宋体"/>
                <w:sz w:val="24"/>
                <w:szCs w:val="28"/>
              </w:rPr>
              <w:t>2.1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33BB26B">
            <w:pPr>
              <w:rPr>
                <w:rFonts w:hint="eastAsia" w:ascii="宋体" w:hAnsi="宋体" w:eastAsia="宋体" w:cs="宋体"/>
                <w:sz w:val="24"/>
                <w:szCs w:val="28"/>
              </w:rPr>
            </w:pPr>
            <w:r>
              <w:rPr>
                <w:rFonts w:hint="eastAsia" w:ascii="宋体" w:hAnsi="宋体" w:eastAsia="宋体" w:cs="宋体"/>
                <w:sz w:val="24"/>
                <w:szCs w:val="28"/>
              </w:rPr>
              <w:t>构成磋商文件</w:t>
            </w:r>
          </w:p>
          <w:p w14:paraId="11B74814">
            <w:pPr>
              <w:rPr>
                <w:rFonts w:hint="eastAsia" w:ascii="宋体" w:hAnsi="宋体" w:eastAsia="宋体" w:cs="宋体"/>
                <w:sz w:val="24"/>
                <w:szCs w:val="28"/>
              </w:rPr>
            </w:pPr>
            <w:r>
              <w:rPr>
                <w:rFonts w:hint="eastAsia" w:ascii="宋体" w:hAnsi="宋体" w:eastAsia="宋体" w:cs="宋体"/>
                <w:sz w:val="24"/>
                <w:szCs w:val="28"/>
              </w:rPr>
              <w:t>的其他材料</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063FB8B6">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除磋商文件外，采购人在磋商期间发出的澄清、修改、补充、补遗和其它有效正式函件等内容均是磋商文件的组成部分</w:t>
            </w:r>
          </w:p>
        </w:tc>
      </w:tr>
      <w:tr w14:paraId="7908D821">
        <w:tblPrEx>
          <w:tblCellMar>
            <w:top w:w="0" w:type="dxa"/>
            <w:left w:w="108" w:type="dxa"/>
            <w:bottom w:w="0" w:type="dxa"/>
            <w:right w:w="108" w:type="dxa"/>
          </w:tblCellMar>
        </w:tblPrEx>
        <w:trPr>
          <w:trHeight w:val="9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13ADA038">
            <w:pPr>
              <w:jc w:val="center"/>
              <w:rPr>
                <w:rFonts w:hint="eastAsia" w:ascii="宋体" w:hAnsi="宋体" w:eastAsia="宋体" w:cs="宋体"/>
                <w:sz w:val="24"/>
                <w:szCs w:val="28"/>
              </w:rPr>
            </w:pPr>
            <w:r>
              <w:rPr>
                <w:rFonts w:hint="eastAsia" w:ascii="宋体" w:hAnsi="宋体" w:eastAsia="宋体" w:cs="宋体"/>
                <w:sz w:val="24"/>
                <w:szCs w:val="28"/>
              </w:rPr>
              <w:t>2.2.1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55AAA323">
            <w:pPr>
              <w:rPr>
                <w:rFonts w:hint="eastAsia" w:ascii="宋体" w:hAnsi="宋体" w:eastAsia="宋体" w:cs="宋体"/>
                <w:sz w:val="24"/>
                <w:szCs w:val="28"/>
              </w:rPr>
            </w:pPr>
            <w:r>
              <w:rPr>
                <w:rFonts w:hint="eastAsia" w:ascii="宋体" w:hAnsi="宋体" w:eastAsia="宋体" w:cs="宋体"/>
                <w:sz w:val="24"/>
                <w:szCs w:val="28"/>
              </w:rPr>
              <w:t>供应商</w:t>
            </w:r>
            <w:r>
              <w:rPr>
                <w:rFonts w:hint="eastAsia" w:ascii="宋体" w:hAnsi="宋体" w:eastAsia="宋体" w:cs="宋体"/>
                <w:sz w:val="24"/>
                <w:szCs w:val="28"/>
                <w:lang w:eastAsia="zh-CN"/>
              </w:rPr>
              <w:t>提出问题的</w:t>
            </w:r>
            <w:r>
              <w:rPr>
                <w:rFonts w:hint="eastAsia" w:ascii="宋体" w:hAnsi="宋体" w:eastAsia="宋体" w:cs="宋体"/>
                <w:sz w:val="24"/>
                <w:szCs w:val="28"/>
              </w:rPr>
              <w:t>截止时间</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FC0B416">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公告发布之日起</w:t>
            </w:r>
            <w:r>
              <w:rPr>
                <w:rFonts w:hint="eastAsia" w:ascii="宋体" w:hAnsi="宋体" w:eastAsia="宋体" w:cs="宋体"/>
                <w:color w:val="auto"/>
                <w:sz w:val="24"/>
                <w:szCs w:val="24"/>
                <w:lang w:val="en-US" w:eastAsia="zh-CN"/>
              </w:rPr>
              <w:t>7个工作日内</w:t>
            </w:r>
          </w:p>
        </w:tc>
      </w:tr>
      <w:tr w14:paraId="7217A831">
        <w:tblPrEx>
          <w:tblCellMar>
            <w:top w:w="0" w:type="dxa"/>
            <w:left w:w="108" w:type="dxa"/>
            <w:bottom w:w="0" w:type="dxa"/>
            <w:right w:w="108" w:type="dxa"/>
          </w:tblCellMar>
        </w:tblPrEx>
        <w:trPr>
          <w:trHeight w:val="9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455D7163">
            <w:pPr>
              <w:jc w:val="center"/>
              <w:rPr>
                <w:rFonts w:hint="eastAsia" w:ascii="宋体" w:hAnsi="宋体" w:eastAsia="宋体" w:cs="宋体"/>
                <w:sz w:val="24"/>
                <w:szCs w:val="28"/>
              </w:rPr>
            </w:pPr>
            <w:r>
              <w:rPr>
                <w:rFonts w:hint="eastAsia" w:ascii="宋体" w:hAnsi="宋体" w:eastAsia="宋体" w:cs="宋体"/>
                <w:sz w:val="24"/>
                <w:szCs w:val="28"/>
              </w:rPr>
              <w:t>2.2.2</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5AAA1BD3">
            <w:pPr>
              <w:rPr>
                <w:rFonts w:hint="eastAsia" w:ascii="宋体" w:hAnsi="宋体" w:eastAsia="宋体" w:cs="宋体"/>
                <w:sz w:val="24"/>
                <w:szCs w:val="28"/>
              </w:rPr>
            </w:pPr>
            <w:r>
              <w:rPr>
                <w:rFonts w:hint="eastAsia" w:ascii="宋体" w:hAnsi="宋体" w:eastAsia="宋体" w:cs="宋体"/>
                <w:sz w:val="24"/>
                <w:szCs w:val="28"/>
              </w:rPr>
              <w:t>采购人澄清磋商文件的截止时间</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1913FE63">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递交响应文件截止之日5天前</w:t>
            </w:r>
          </w:p>
        </w:tc>
      </w:tr>
      <w:tr w14:paraId="2DBA42C3">
        <w:tblPrEx>
          <w:tblCellMar>
            <w:top w:w="0" w:type="dxa"/>
            <w:left w:w="108" w:type="dxa"/>
            <w:bottom w:w="0" w:type="dxa"/>
            <w:right w:w="108" w:type="dxa"/>
          </w:tblCellMar>
        </w:tblPrEx>
        <w:trPr>
          <w:trHeight w:val="1142"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39DA46C3">
            <w:pPr>
              <w:jc w:val="center"/>
              <w:rPr>
                <w:rFonts w:hint="eastAsia" w:ascii="宋体" w:hAnsi="宋体" w:eastAsia="宋体" w:cs="宋体"/>
                <w:sz w:val="24"/>
                <w:szCs w:val="28"/>
              </w:rPr>
            </w:pPr>
            <w:r>
              <w:rPr>
                <w:rFonts w:hint="eastAsia" w:ascii="宋体" w:hAnsi="宋体" w:eastAsia="宋体" w:cs="宋体"/>
                <w:sz w:val="24"/>
                <w:szCs w:val="28"/>
              </w:rPr>
              <w:t>2.2.3</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2078369A">
            <w:pPr>
              <w:rPr>
                <w:rFonts w:hint="eastAsia" w:ascii="宋体" w:hAnsi="宋体" w:eastAsia="宋体" w:cs="宋体"/>
                <w:sz w:val="24"/>
                <w:szCs w:val="28"/>
              </w:rPr>
            </w:pPr>
            <w:r>
              <w:rPr>
                <w:rFonts w:hint="eastAsia" w:ascii="宋体" w:hAnsi="宋体" w:eastAsia="宋体" w:cs="宋体"/>
                <w:sz w:val="24"/>
                <w:szCs w:val="28"/>
              </w:rPr>
              <w:t>供应商确认收到磋商文件澄清的时间</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730A3FA">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在收到相应澄清文件后 24 小时内</w:t>
            </w:r>
          </w:p>
        </w:tc>
      </w:tr>
      <w:tr w14:paraId="5F453D6C">
        <w:tblPrEx>
          <w:tblCellMar>
            <w:top w:w="0" w:type="dxa"/>
            <w:left w:w="108" w:type="dxa"/>
            <w:bottom w:w="0" w:type="dxa"/>
            <w:right w:w="108" w:type="dxa"/>
          </w:tblCellMar>
        </w:tblPrEx>
        <w:tc>
          <w:tcPr>
            <w:tcW w:w="1153" w:type="dxa"/>
            <w:tcBorders>
              <w:top w:val="single" w:color="auto" w:sz="4" w:space="0"/>
              <w:left w:val="single" w:color="auto" w:sz="4" w:space="0"/>
              <w:bottom w:val="single" w:color="auto" w:sz="4" w:space="0"/>
              <w:right w:val="single" w:color="auto" w:sz="4" w:space="0"/>
            </w:tcBorders>
            <w:noWrap w:val="0"/>
            <w:vAlign w:val="center"/>
          </w:tcPr>
          <w:p w14:paraId="56D1ECF4">
            <w:pPr>
              <w:jc w:val="center"/>
              <w:rPr>
                <w:rFonts w:hint="eastAsia" w:ascii="宋体" w:hAnsi="宋体" w:eastAsia="宋体" w:cs="宋体"/>
                <w:sz w:val="24"/>
                <w:szCs w:val="28"/>
              </w:rPr>
            </w:pPr>
            <w:r>
              <w:rPr>
                <w:rFonts w:hint="eastAsia" w:ascii="宋体" w:hAnsi="宋体" w:eastAsia="宋体" w:cs="宋体"/>
                <w:sz w:val="24"/>
                <w:szCs w:val="28"/>
              </w:rPr>
              <w:t>2.3.2</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F3595EF">
            <w:pPr>
              <w:rPr>
                <w:rFonts w:hint="eastAsia" w:ascii="宋体" w:hAnsi="宋体" w:eastAsia="宋体" w:cs="宋体"/>
                <w:sz w:val="24"/>
                <w:szCs w:val="28"/>
              </w:rPr>
            </w:pPr>
            <w:r>
              <w:rPr>
                <w:rFonts w:hint="eastAsia" w:ascii="宋体" w:hAnsi="宋体" w:eastAsia="宋体" w:cs="宋体"/>
                <w:sz w:val="24"/>
                <w:szCs w:val="28"/>
              </w:rPr>
              <w:t>供应商确认收到磋商文件修改的时间</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3AEB88A2">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u w:val="none"/>
              </w:rPr>
            </w:pPr>
            <w:r>
              <w:rPr>
                <w:rFonts w:hint="eastAsia" w:ascii="宋体" w:hAnsi="宋体" w:eastAsia="宋体" w:cs="宋体"/>
                <w:color w:val="auto"/>
                <w:sz w:val="24"/>
                <w:szCs w:val="24"/>
                <w:u w:val="none"/>
              </w:rPr>
              <w:t>在收到相应修改文件后 24 小时内</w:t>
            </w:r>
          </w:p>
        </w:tc>
      </w:tr>
      <w:tr w14:paraId="5B9FE895">
        <w:tblPrEx>
          <w:tblCellMar>
            <w:top w:w="0" w:type="dxa"/>
            <w:left w:w="108" w:type="dxa"/>
            <w:bottom w:w="0" w:type="dxa"/>
            <w:right w:w="108" w:type="dxa"/>
          </w:tblCellMar>
        </w:tblPrEx>
        <w:tc>
          <w:tcPr>
            <w:tcW w:w="1153" w:type="dxa"/>
            <w:tcBorders>
              <w:top w:val="single" w:color="auto" w:sz="4" w:space="0"/>
              <w:left w:val="single" w:color="auto" w:sz="4" w:space="0"/>
              <w:bottom w:val="single" w:color="auto" w:sz="4" w:space="0"/>
              <w:right w:val="single" w:color="auto" w:sz="4" w:space="0"/>
            </w:tcBorders>
            <w:noWrap w:val="0"/>
            <w:vAlign w:val="center"/>
          </w:tcPr>
          <w:p w14:paraId="3FC5C1A0">
            <w:pPr>
              <w:jc w:val="center"/>
              <w:rPr>
                <w:rFonts w:hint="eastAsia" w:ascii="宋体" w:hAnsi="宋体" w:eastAsia="宋体" w:cs="宋体"/>
                <w:sz w:val="24"/>
                <w:szCs w:val="28"/>
              </w:rPr>
            </w:pPr>
            <w:r>
              <w:rPr>
                <w:rFonts w:hint="eastAsia" w:ascii="宋体" w:hAnsi="宋体" w:eastAsia="宋体" w:cs="宋体"/>
                <w:sz w:val="24"/>
                <w:szCs w:val="28"/>
              </w:rPr>
              <w:t>3.1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3DA4C309">
            <w:pPr>
              <w:rPr>
                <w:rFonts w:hint="eastAsia" w:ascii="宋体" w:hAnsi="宋体" w:eastAsia="宋体" w:cs="宋体"/>
                <w:sz w:val="24"/>
                <w:szCs w:val="28"/>
              </w:rPr>
            </w:pPr>
            <w:r>
              <w:rPr>
                <w:rFonts w:hint="eastAsia" w:ascii="宋体" w:hAnsi="宋体" w:eastAsia="宋体" w:cs="宋体"/>
                <w:sz w:val="24"/>
                <w:szCs w:val="28"/>
              </w:rPr>
              <w:t>构成响应文件</w:t>
            </w:r>
          </w:p>
          <w:p w14:paraId="23E43B81">
            <w:pPr>
              <w:rPr>
                <w:rFonts w:hint="eastAsia" w:ascii="宋体" w:hAnsi="宋体" w:eastAsia="宋体" w:cs="宋体"/>
                <w:sz w:val="24"/>
                <w:szCs w:val="28"/>
              </w:rPr>
            </w:pPr>
            <w:r>
              <w:rPr>
                <w:rFonts w:hint="eastAsia" w:ascii="宋体" w:hAnsi="宋体" w:eastAsia="宋体" w:cs="宋体"/>
                <w:sz w:val="24"/>
                <w:szCs w:val="28"/>
              </w:rPr>
              <w:t>的其他材料</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7BA3C9C0">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供应商认为需要提交的其他证明材料</w:t>
            </w:r>
          </w:p>
        </w:tc>
      </w:tr>
      <w:tr w14:paraId="430ABCFE">
        <w:tblPrEx>
          <w:tblCellMar>
            <w:top w:w="0" w:type="dxa"/>
            <w:left w:w="108" w:type="dxa"/>
            <w:bottom w:w="0" w:type="dxa"/>
            <w:right w:w="108" w:type="dxa"/>
          </w:tblCellMar>
        </w:tblPrEx>
        <w:trPr>
          <w:trHeight w:val="705"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7B7DD839">
            <w:pPr>
              <w:jc w:val="center"/>
              <w:rPr>
                <w:rFonts w:hint="eastAsia" w:ascii="宋体" w:hAnsi="宋体" w:eastAsia="宋体" w:cs="宋体"/>
                <w:sz w:val="24"/>
                <w:szCs w:val="28"/>
              </w:rPr>
            </w:pPr>
            <w:r>
              <w:rPr>
                <w:rFonts w:hint="eastAsia" w:ascii="宋体" w:hAnsi="宋体" w:eastAsia="宋体" w:cs="宋体"/>
                <w:sz w:val="24"/>
                <w:szCs w:val="28"/>
              </w:rPr>
              <w:t>3.3.1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44BA34CB">
            <w:pPr>
              <w:rPr>
                <w:rFonts w:hint="eastAsia" w:ascii="宋体" w:hAnsi="宋体" w:eastAsia="宋体" w:cs="宋体"/>
                <w:sz w:val="24"/>
                <w:szCs w:val="28"/>
              </w:rPr>
            </w:pPr>
            <w:r>
              <w:rPr>
                <w:rFonts w:hint="eastAsia" w:ascii="宋体" w:hAnsi="宋体" w:eastAsia="宋体" w:cs="宋体"/>
                <w:sz w:val="24"/>
                <w:szCs w:val="28"/>
              </w:rPr>
              <w:t>磋商有效期</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8436C54">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kern w:val="0"/>
                <w:sz w:val="24"/>
                <w:szCs w:val="24"/>
              </w:rPr>
              <w:t>60日历天（响应文件截止之日起）</w:t>
            </w:r>
          </w:p>
        </w:tc>
      </w:tr>
      <w:tr w14:paraId="21AC3F5D">
        <w:tblPrEx>
          <w:tblCellMar>
            <w:top w:w="0" w:type="dxa"/>
            <w:left w:w="108" w:type="dxa"/>
            <w:bottom w:w="0" w:type="dxa"/>
            <w:right w:w="108" w:type="dxa"/>
          </w:tblCellMar>
        </w:tblPrEx>
        <w:trPr>
          <w:trHeight w:val="552"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6E60A979">
            <w:pPr>
              <w:jc w:val="center"/>
              <w:rPr>
                <w:rFonts w:hint="eastAsia" w:ascii="宋体" w:hAnsi="宋体" w:eastAsia="宋体" w:cs="宋体"/>
                <w:sz w:val="24"/>
                <w:szCs w:val="28"/>
                <w:lang w:val="en-US" w:eastAsia="zh-CN"/>
              </w:rPr>
            </w:pPr>
            <w:r>
              <w:rPr>
                <w:rFonts w:hint="eastAsia" w:ascii="宋体" w:hAnsi="宋体" w:eastAsia="宋体" w:cs="宋体"/>
                <w:sz w:val="24"/>
                <w:szCs w:val="28"/>
              </w:rPr>
              <w:t>3.2.3</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6133AB90">
            <w:pPr>
              <w:rPr>
                <w:rFonts w:hint="eastAsia" w:ascii="宋体" w:hAnsi="宋体" w:eastAsia="宋体" w:cs="宋体"/>
                <w:sz w:val="24"/>
                <w:szCs w:val="28"/>
                <w:lang w:val="en-US" w:eastAsia="zh-CN"/>
              </w:rPr>
            </w:pPr>
            <w:r>
              <w:rPr>
                <w:rFonts w:hint="eastAsia" w:ascii="宋体" w:hAnsi="宋体" w:eastAsia="宋体" w:cs="宋体"/>
                <w:sz w:val="24"/>
                <w:szCs w:val="28"/>
              </w:rPr>
              <w:t>报价方式</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9A4519E">
            <w:pPr>
              <w:keepNext w:val="0"/>
              <w:keepLines w:val="0"/>
              <w:pageBreakBefore w:val="0"/>
              <w:widowControl w:val="0"/>
              <w:kinsoku/>
              <w:wordWrap/>
              <w:overflowPunct/>
              <w:topLinePunct w:val="0"/>
              <w:bidi w:val="0"/>
              <w:snapToGrid/>
              <w:spacing w:line="500" w:lineRule="exact"/>
              <w:ind w:left="0" w:leftChars="0" w:firstLine="0" w:firstLineChars="0"/>
              <w:jc w:val="left"/>
              <w:textAlignment w:val="center"/>
              <w:rPr>
                <w:rFonts w:hint="eastAsia" w:ascii="宋体" w:hAnsi="宋体" w:eastAsia="宋体" w:cs="宋体"/>
                <w:color w:val="auto"/>
                <w:kern w:val="2"/>
                <w:sz w:val="24"/>
                <w:szCs w:val="32"/>
                <w:lang w:val="en-US" w:eastAsia="zh-CN" w:bidi="ar-SA"/>
              </w:rPr>
            </w:pPr>
            <w:r>
              <w:rPr>
                <w:rFonts w:hint="eastAsia" w:ascii="宋体" w:hAnsi="宋体" w:eastAsia="宋体" w:cs="宋体"/>
                <w:color w:val="auto"/>
                <w:sz w:val="24"/>
                <w:szCs w:val="28"/>
              </w:rPr>
              <w:t>自主报价</w:t>
            </w:r>
          </w:p>
        </w:tc>
      </w:tr>
      <w:tr w14:paraId="78EAF89B">
        <w:tblPrEx>
          <w:tblCellMar>
            <w:top w:w="0" w:type="dxa"/>
            <w:left w:w="108" w:type="dxa"/>
            <w:bottom w:w="0" w:type="dxa"/>
            <w:right w:w="108" w:type="dxa"/>
          </w:tblCellMar>
        </w:tblPrEx>
        <w:tc>
          <w:tcPr>
            <w:tcW w:w="1153" w:type="dxa"/>
            <w:tcBorders>
              <w:top w:val="single" w:color="auto" w:sz="4" w:space="0"/>
              <w:left w:val="single" w:color="auto" w:sz="4" w:space="0"/>
              <w:bottom w:val="single" w:color="auto" w:sz="4" w:space="0"/>
              <w:right w:val="single" w:color="auto" w:sz="4" w:space="0"/>
            </w:tcBorders>
            <w:noWrap w:val="0"/>
            <w:vAlign w:val="center"/>
          </w:tcPr>
          <w:p w14:paraId="24F81C31">
            <w:pPr>
              <w:jc w:val="center"/>
              <w:rPr>
                <w:rFonts w:hint="eastAsia" w:ascii="宋体" w:hAnsi="宋体" w:eastAsia="宋体" w:cs="宋体"/>
                <w:sz w:val="24"/>
                <w:szCs w:val="28"/>
              </w:rPr>
            </w:pPr>
            <w:r>
              <w:rPr>
                <w:rFonts w:hint="eastAsia" w:ascii="宋体" w:hAnsi="宋体" w:eastAsia="宋体" w:cs="宋体"/>
                <w:sz w:val="24"/>
                <w:szCs w:val="28"/>
              </w:rPr>
              <w:t>3.6</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036124D4">
            <w:pPr>
              <w:rPr>
                <w:rFonts w:hint="eastAsia" w:ascii="宋体" w:hAnsi="宋体" w:eastAsia="宋体" w:cs="宋体"/>
                <w:sz w:val="24"/>
                <w:szCs w:val="28"/>
              </w:rPr>
            </w:pPr>
            <w:r>
              <w:rPr>
                <w:rFonts w:hint="eastAsia" w:ascii="宋体" w:hAnsi="宋体" w:eastAsia="宋体" w:cs="宋体"/>
                <w:sz w:val="24"/>
                <w:szCs w:val="28"/>
              </w:rPr>
              <w:t>是否允许递交备选磋商方案</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F247E65">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不允许</w:t>
            </w:r>
          </w:p>
        </w:tc>
      </w:tr>
      <w:tr w14:paraId="3A50B981">
        <w:tblPrEx>
          <w:tblCellMar>
            <w:top w:w="0" w:type="dxa"/>
            <w:left w:w="108" w:type="dxa"/>
            <w:bottom w:w="0" w:type="dxa"/>
            <w:right w:w="108" w:type="dxa"/>
          </w:tblCellMar>
        </w:tblPrEx>
        <w:trPr>
          <w:trHeight w:val="166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59B0CB34">
            <w:pPr>
              <w:jc w:val="center"/>
              <w:rPr>
                <w:rFonts w:hint="eastAsia" w:ascii="宋体" w:hAnsi="宋体" w:eastAsia="宋体" w:cs="宋体"/>
                <w:sz w:val="24"/>
                <w:szCs w:val="28"/>
              </w:rPr>
            </w:pPr>
            <w:r>
              <w:rPr>
                <w:rFonts w:hint="eastAsia" w:ascii="宋体" w:hAnsi="宋体" w:eastAsia="宋体" w:cs="宋体"/>
                <w:sz w:val="24"/>
                <w:szCs w:val="28"/>
              </w:rPr>
              <w:t>3.7.3</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66A4143B">
            <w:pPr>
              <w:rPr>
                <w:rFonts w:hint="eastAsia" w:ascii="宋体" w:hAnsi="宋体" w:eastAsia="宋体" w:cs="宋体"/>
                <w:sz w:val="24"/>
                <w:szCs w:val="28"/>
              </w:rPr>
            </w:pPr>
            <w:r>
              <w:rPr>
                <w:rFonts w:hint="eastAsia" w:ascii="宋体" w:hAnsi="宋体" w:eastAsia="宋体" w:cs="宋体"/>
                <w:sz w:val="24"/>
                <w:szCs w:val="28"/>
              </w:rPr>
              <w:t>电子响应文件</w:t>
            </w:r>
          </w:p>
          <w:p w14:paraId="38586F72">
            <w:pPr>
              <w:rPr>
                <w:rFonts w:hint="eastAsia" w:ascii="宋体" w:hAnsi="宋体" w:eastAsia="宋体" w:cs="宋体"/>
                <w:sz w:val="24"/>
                <w:szCs w:val="28"/>
              </w:rPr>
            </w:pPr>
            <w:r>
              <w:rPr>
                <w:rFonts w:hint="eastAsia" w:ascii="宋体" w:hAnsi="宋体" w:eastAsia="宋体" w:cs="宋体"/>
                <w:sz w:val="24"/>
                <w:szCs w:val="28"/>
              </w:rPr>
              <w:t>签字盖章要求</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51879B8">
            <w:pPr>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1、所有要求供应商加盖公章的地方都须加盖供应商的 CA 印章。</w:t>
            </w:r>
          </w:p>
          <w:p w14:paraId="014AAE75">
            <w:pPr>
              <w:keepNext w:val="0"/>
              <w:keepLines w:val="0"/>
              <w:pageBreakBefore w:val="0"/>
              <w:widowControl w:val="0"/>
              <w:kinsoku/>
              <w:wordWrap/>
              <w:overflowPunct/>
              <w:topLinePunct w:val="0"/>
              <w:autoSpaceDE/>
              <w:autoSpaceDN/>
              <w:bidi w:val="0"/>
              <w:adjustRightInd w:val="0"/>
              <w:snapToGrid/>
              <w:spacing w:line="500" w:lineRule="exact"/>
              <w:ind w:left="0" w:leftChars="0" w:firstLine="0" w:firstLineChars="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2、所有要求法定代表人或其委托代理人签字的地方都须法定代表人或其委托代理人加盖CA印章或签字。</w:t>
            </w:r>
          </w:p>
        </w:tc>
      </w:tr>
      <w:tr w14:paraId="49A5CE33">
        <w:tblPrEx>
          <w:tblCellMar>
            <w:top w:w="0" w:type="dxa"/>
            <w:left w:w="108" w:type="dxa"/>
            <w:bottom w:w="0" w:type="dxa"/>
            <w:right w:w="108" w:type="dxa"/>
          </w:tblCellMar>
        </w:tblPrEx>
        <w:trPr>
          <w:trHeight w:val="788"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09445A7A">
            <w:pPr>
              <w:jc w:val="center"/>
              <w:rPr>
                <w:rFonts w:hint="eastAsia" w:ascii="宋体" w:hAnsi="宋体" w:eastAsia="宋体" w:cs="宋体"/>
                <w:sz w:val="24"/>
                <w:szCs w:val="28"/>
              </w:rPr>
            </w:pPr>
            <w:r>
              <w:rPr>
                <w:rFonts w:hint="eastAsia" w:ascii="宋体" w:hAnsi="宋体" w:eastAsia="宋体" w:cs="宋体"/>
                <w:sz w:val="24"/>
                <w:szCs w:val="28"/>
              </w:rPr>
              <w:t>3.7.4</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5DF0A4D">
            <w:pPr>
              <w:rPr>
                <w:rFonts w:hint="eastAsia" w:ascii="宋体" w:hAnsi="宋体" w:eastAsia="宋体" w:cs="宋体"/>
                <w:sz w:val="24"/>
                <w:szCs w:val="28"/>
              </w:rPr>
            </w:pPr>
            <w:r>
              <w:rPr>
                <w:rFonts w:hint="eastAsia" w:ascii="宋体" w:hAnsi="宋体" w:eastAsia="宋体" w:cs="宋体"/>
                <w:sz w:val="24"/>
                <w:szCs w:val="28"/>
              </w:rPr>
              <w:t>响应文件份数</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237BC90B">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加密的电子响应文件壹份（*.XYTF 格式，在会员系统指定位置上传）</w:t>
            </w:r>
          </w:p>
        </w:tc>
      </w:tr>
      <w:tr w14:paraId="1A451D7B">
        <w:tblPrEx>
          <w:tblCellMar>
            <w:top w:w="0" w:type="dxa"/>
            <w:left w:w="108" w:type="dxa"/>
            <w:bottom w:w="0" w:type="dxa"/>
            <w:right w:w="108" w:type="dxa"/>
          </w:tblCellMar>
        </w:tblPrEx>
        <w:trPr>
          <w:trHeight w:val="617"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475FBE11">
            <w:pPr>
              <w:jc w:val="center"/>
              <w:rPr>
                <w:rFonts w:hint="eastAsia" w:ascii="宋体" w:hAnsi="宋体" w:eastAsia="宋体" w:cs="宋体"/>
                <w:sz w:val="24"/>
                <w:szCs w:val="28"/>
              </w:rPr>
            </w:pPr>
            <w:r>
              <w:rPr>
                <w:rFonts w:hint="eastAsia" w:ascii="宋体" w:hAnsi="宋体" w:eastAsia="宋体" w:cs="宋体"/>
                <w:sz w:val="24"/>
                <w:szCs w:val="28"/>
              </w:rPr>
              <w:t>4.2</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007EE332">
            <w:pPr>
              <w:rPr>
                <w:rFonts w:hint="eastAsia" w:ascii="宋体" w:hAnsi="宋体" w:eastAsia="宋体" w:cs="宋体"/>
                <w:sz w:val="24"/>
                <w:szCs w:val="28"/>
              </w:rPr>
            </w:pPr>
            <w:r>
              <w:rPr>
                <w:rFonts w:hint="eastAsia" w:ascii="宋体" w:hAnsi="宋体" w:eastAsia="宋体" w:cs="宋体"/>
                <w:sz w:val="24"/>
                <w:szCs w:val="28"/>
              </w:rPr>
              <w:t>响应文件的递交</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372D8EE1">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1、电子响应文件的递交</w:t>
            </w:r>
          </w:p>
          <w:p w14:paraId="73FB63EF">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各供应商应在响应文件提交截止时间前上传加密的电子响应文件（*.XYTF）到会员系统的指定位置。上传时必须得到交易系统“上传成功”的确认回复后方为上传成功。请供应商在上传前务必认真检查上传响应文件是否完整、正确。</w:t>
            </w:r>
          </w:p>
          <w:p w14:paraId="16C5420F">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2、本项目采用“不见面开标”交易方式，不见面开标大厅网址为 </w:t>
            </w:r>
            <w:r>
              <w:rPr>
                <w:rFonts w:hint="eastAsia" w:ascii="宋体" w:hAnsi="宋体" w:eastAsia="宋体" w:cs="宋体"/>
                <w:color w:val="auto"/>
                <w:sz w:val="24"/>
                <w:szCs w:val="24"/>
                <w:lang w:val="en-US" w:eastAsia="zh-CN"/>
              </w:rPr>
              <w:fldChar w:fldCharType="begin"/>
            </w:r>
            <w:r>
              <w:rPr>
                <w:rFonts w:hint="eastAsia" w:ascii="宋体" w:hAnsi="宋体" w:eastAsia="宋体" w:cs="宋体"/>
                <w:color w:val="auto"/>
                <w:sz w:val="24"/>
                <w:szCs w:val="24"/>
                <w:lang w:val="en-US" w:eastAsia="zh-CN"/>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color w:val="auto"/>
                <w:sz w:val="24"/>
                <w:szCs w:val="24"/>
                <w:lang w:val="en-US" w:eastAsia="zh-CN"/>
              </w:rPr>
              <w:fldChar w:fldCharType="separate"/>
            </w:r>
            <w:r>
              <w:rPr>
                <w:rFonts w:hint="eastAsia" w:ascii="宋体" w:hAnsi="宋体" w:eastAsia="宋体" w:cs="宋体"/>
                <w:color w:val="auto"/>
                <w:sz w:val="24"/>
                <w:szCs w:val="24"/>
                <w:lang w:val="en-US" w:eastAsia="zh-CN"/>
              </w:rPr>
              <w:t>https://ggzyjy.xinyang.gov.cn/，供应商无需寄送和递交非加密的电子响应文件，无需到现场参加开标会议，无需到达现场提交原件资料。</w:t>
            </w:r>
            <w:r>
              <w:rPr>
                <w:rFonts w:hint="eastAsia" w:ascii="宋体" w:hAnsi="宋体" w:eastAsia="宋体" w:cs="宋体"/>
                <w:color w:val="auto"/>
                <w:sz w:val="24"/>
                <w:szCs w:val="24"/>
                <w:lang w:val="en-US" w:eastAsia="zh-CN"/>
              </w:rPr>
              <w:fldChar w:fldCharType="end"/>
            </w:r>
          </w:p>
        </w:tc>
      </w:tr>
      <w:tr w14:paraId="393D75D5">
        <w:tblPrEx>
          <w:tblCellMar>
            <w:top w:w="0" w:type="dxa"/>
            <w:left w:w="108" w:type="dxa"/>
            <w:bottom w:w="0" w:type="dxa"/>
            <w:right w:w="108" w:type="dxa"/>
          </w:tblCellMar>
        </w:tblPrEx>
        <w:trPr>
          <w:trHeight w:val="911"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036016F0">
            <w:pPr>
              <w:jc w:val="center"/>
              <w:rPr>
                <w:rFonts w:hint="eastAsia" w:ascii="宋体" w:hAnsi="宋体" w:eastAsia="宋体" w:cs="宋体"/>
                <w:sz w:val="24"/>
                <w:szCs w:val="28"/>
              </w:rPr>
            </w:pPr>
            <w:r>
              <w:rPr>
                <w:rFonts w:hint="eastAsia" w:ascii="宋体" w:hAnsi="宋体" w:eastAsia="宋体" w:cs="宋体"/>
                <w:sz w:val="24"/>
                <w:szCs w:val="28"/>
              </w:rPr>
              <w:t>5.1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4943E3D8">
            <w:pPr>
              <w:rPr>
                <w:rFonts w:hint="eastAsia" w:ascii="宋体" w:hAnsi="宋体" w:eastAsia="宋体" w:cs="宋体"/>
                <w:sz w:val="24"/>
                <w:szCs w:val="28"/>
              </w:rPr>
            </w:pPr>
            <w:r>
              <w:rPr>
                <w:rFonts w:hint="eastAsia" w:ascii="宋体" w:hAnsi="宋体" w:eastAsia="宋体" w:cs="宋体"/>
                <w:sz w:val="24"/>
                <w:szCs w:val="28"/>
              </w:rPr>
              <w:t>提交响应文件</w:t>
            </w:r>
          </w:p>
          <w:p w14:paraId="1ED2A0C5">
            <w:pPr>
              <w:rPr>
                <w:rFonts w:hint="eastAsia" w:ascii="宋体" w:hAnsi="宋体" w:eastAsia="宋体" w:cs="宋体"/>
                <w:sz w:val="24"/>
                <w:szCs w:val="28"/>
              </w:rPr>
            </w:pPr>
            <w:r>
              <w:rPr>
                <w:rFonts w:hint="eastAsia" w:ascii="宋体" w:hAnsi="宋体" w:eastAsia="宋体" w:cs="宋体"/>
                <w:sz w:val="24"/>
                <w:szCs w:val="28"/>
              </w:rPr>
              <w:t>截止时间</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07AC193">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highlight w:val="green"/>
              </w:rPr>
            </w:pPr>
            <w:r>
              <w:rPr>
                <w:rFonts w:hint="eastAsia" w:ascii="宋体" w:hAnsi="宋体" w:eastAsia="宋体" w:cs="宋体"/>
                <w:sz w:val="24"/>
                <w:szCs w:val="24"/>
                <w:highlight w:val="none"/>
                <w:u w:val="single"/>
                <w:lang w:val="en-US" w:eastAsia="zh-CN"/>
              </w:rPr>
              <w:t>2026年9月7日</w:t>
            </w:r>
            <w:r>
              <w:rPr>
                <w:rFonts w:hint="eastAsia" w:ascii="宋体" w:hAnsi="宋体" w:eastAsia="宋体" w:cs="宋体"/>
                <w:bCs/>
                <w:sz w:val="24"/>
                <w:szCs w:val="24"/>
                <w:highlight w:val="none"/>
                <w:u w:val="single"/>
                <w:lang w:val="en-US" w:eastAsia="zh-CN"/>
              </w:rPr>
              <w:t>09</w:t>
            </w:r>
            <w:r>
              <w:rPr>
                <w:rFonts w:hint="eastAsia" w:ascii="宋体" w:hAnsi="宋体" w:eastAsia="宋体" w:cs="宋体"/>
                <w:bCs/>
                <w:sz w:val="24"/>
                <w:szCs w:val="24"/>
                <w:highlight w:val="none"/>
                <w:u w:val="single"/>
              </w:rPr>
              <w:t>点</w:t>
            </w:r>
            <w:r>
              <w:rPr>
                <w:rFonts w:hint="eastAsia" w:ascii="宋体" w:hAnsi="宋体" w:eastAsia="宋体" w:cs="宋体"/>
                <w:bCs/>
                <w:sz w:val="24"/>
                <w:szCs w:val="24"/>
                <w:highlight w:val="none"/>
                <w:u w:val="single"/>
                <w:lang w:val="en-US" w:eastAsia="zh-CN"/>
              </w:rPr>
              <w:t>30</w:t>
            </w:r>
            <w:r>
              <w:rPr>
                <w:rFonts w:hint="eastAsia" w:ascii="宋体" w:hAnsi="宋体" w:eastAsia="宋体" w:cs="宋体"/>
                <w:bCs/>
                <w:sz w:val="24"/>
                <w:szCs w:val="24"/>
                <w:highlight w:val="none"/>
                <w:u w:val="single"/>
              </w:rPr>
              <w:t>分</w:t>
            </w:r>
            <w:r>
              <w:rPr>
                <w:rFonts w:hint="eastAsia" w:ascii="宋体" w:hAnsi="宋体" w:eastAsia="宋体" w:cs="宋体"/>
                <w:i w:val="0"/>
                <w:iCs w:val="0"/>
                <w:color w:val="000000"/>
                <w:spacing w:val="-6"/>
                <w:kern w:val="0"/>
                <w:sz w:val="24"/>
                <w:szCs w:val="24"/>
                <w:highlight w:val="none"/>
              </w:rPr>
              <w:t>（北京时间）</w:t>
            </w:r>
          </w:p>
        </w:tc>
      </w:tr>
      <w:tr w14:paraId="5CB04D78">
        <w:tblPrEx>
          <w:tblCellMar>
            <w:top w:w="0" w:type="dxa"/>
            <w:left w:w="108" w:type="dxa"/>
            <w:bottom w:w="0" w:type="dxa"/>
            <w:right w:w="108" w:type="dxa"/>
          </w:tblCellMar>
        </w:tblPrEx>
        <w:trPr>
          <w:trHeight w:val="685"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171D5CA9">
            <w:pPr>
              <w:jc w:val="center"/>
              <w:rPr>
                <w:rFonts w:hint="eastAsia" w:ascii="宋体" w:hAnsi="宋体" w:eastAsia="宋体" w:cs="宋体"/>
                <w:sz w:val="24"/>
                <w:szCs w:val="28"/>
              </w:rPr>
            </w:pPr>
            <w:r>
              <w:rPr>
                <w:rFonts w:hint="eastAsia" w:ascii="宋体" w:hAnsi="宋体" w:eastAsia="宋体" w:cs="宋体"/>
                <w:sz w:val="24"/>
                <w:szCs w:val="28"/>
              </w:rPr>
              <w:t>5.1.1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9562935">
            <w:pPr>
              <w:rPr>
                <w:rFonts w:hint="eastAsia" w:ascii="宋体" w:hAnsi="宋体" w:eastAsia="宋体" w:cs="宋体"/>
                <w:sz w:val="24"/>
                <w:szCs w:val="28"/>
              </w:rPr>
            </w:pPr>
            <w:r>
              <w:rPr>
                <w:rFonts w:hint="eastAsia" w:ascii="宋体" w:hAnsi="宋体" w:eastAsia="宋体" w:cs="宋体"/>
                <w:sz w:val="24"/>
                <w:szCs w:val="28"/>
              </w:rPr>
              <w:t>磋商时间和地点</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68DF657C">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rPr>
                <w:rFonts w:hint="eastAsia" w:ascii="宋体" w:hAnsi="宋体" w:eastAsia="宋体" w:cs="宋体"/>
                <w:color w:val="auto"/>
                <w:kern w:val="0"/>
                <w:sz w:val="24"/>
                <w:szCs w:val="24"/>
              </w:rPr>
            </w:pPr>
            <w:r>
              <w:rPr>
                <w:rFonts w:hint="eastAsia" w:ascii="宋体" w:hAnsi="宋体" w:eastAsia="宋体" w:cs="宋体"/>
                <w:color w:val="auto"/>
                <w:sz w:val="24"/>
                <w:szCs w:val="24"/>
              </w:rPr>
              <w:t>磋商</w:t>
            </w:r>
            <w:r>
              <w:rPr>
                <w:rFonts w:hint="eastAsia" w:ascii="宋体" w:hAnsi="宋体" w:eastAsia="宋体" w:cs="宋体"/>
                <w:color w:val="auto"/>
                <w:kern w:val="0"/>
                <w:sz w:val="24"/>
                <w:szCs w:val="24"/>
              </w:rPr>
              <w:t>时间：同</w:t>
            </w:r>
            <w:r>
              <w:rPr>
                <w:rFonts w:hint="eastAsia" w:ascii="宋体" w:hAnsi="宋体" w:eastAsia="宋体" w:cs="宋体"/>
                <w:color w:val="auto"/>
                <w:sz w:val="24"/>
                <w:szCs w:val="24"/>
              </w:rPr>
              <w:t>响应文件提交</w:t>
            </w:r>
            <w:r>
              <w:rPr>
                <w:rFonts w:hint="eastAsia" w:ascii="宋体" w:hAnsi="宋体" w:eastAsia="宋体" w:cs="宋体"/>
                <w:color w:val="auto"/>
                <w:kern w:val="0"/>
                <w:sz w:val="24"/>
                <w:szCs w:val="24"/>
              </w:rPr>
              <w:t>截止时间</w:t>
            </w:r>
          </w:p>
          <w:p w14:paraId="4EAAE375">
            <w:pPr>
              <w:keepNext w:val="0"/>
              <w:keepLines w:val="0"/>
              <w:pageBreakBefore w:val="0"/>
              <w:widowControl w:val="0"/>
              <w:kinsoku/>
              <w:wordWrap/>
              <w:overflowPunct/>
              <w:topLinePunct w:val="0"/>
              <w:bidi w:val="0"/>
              <w:snapToGrid/>
              <w:spacing w:line="500" w:lineRule="exact"/>
              <w:ind w:left="0" w:leftChars="0" w:firstLine="0" w:firstLineChars="0"/>
              <w:jc w:val="lef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磋商</w:t>
            </w:r>
            <w:r>
              <w:rPr>
                <w:rFonts w:hint="eastAsia" w:ascii="宋体" w:hAnsi="宋体" w:eastAsia="宋体" w:cs="宋体"/>
                <w:color w:val="auto"/>
                <w:kern w:val="0"/>
                <w:sz w:val="24"/>
                <w:szCs w:val="24"/>
              </w:rPr>
              <w:t>地点：</w:t>
            </w:r>
            <w:r>
              <w:rPr>
                <w:rFonts w:hint="eastAsia" w:ascii="宋体" w:hAnsi="宋体" w:eastAsia="宋体" w:cs="宋体"/>
                <w:sz w:val="24"/>
                <w:szCs w:val="24"/>
                <w:lang w:eastAsia="zh-CN"/>
              </w:rPr>
              <w:t>全国公共资源交易平台（河南省·信阳市）信阳市公共资源交易中心息县分中心不见面开标大厅</w:t>
            </w:r>
          </w:p>
        </w:tc>
      </w:tr>
      <w:tr w14:paraId="7D31B130">
        <w:tblPrEx>
          <w:tblCellMar>
            <w:top w:w="0" w:type="dxa"/>
            <w:left w:w="108" w:type="dxa"/>
            <w:bottom w:w="0" w:type="dxa"/>
            <w:right w:w="108" w:type="dxa"/>
          </w:tblCellMar>
        </w:tblPrEx>
        <w:trPr>
          <w:trHeight w:val="544"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0287D660">
            <w:pPr>
              <w:jc w:val="center"/>
              <w:rPr>
                <w:rFonts w:hint="eastAsia" w:ascii="宋体" w:hAnsi="宋体" w:eastAsia="宋体" w:cs="宋体"/>
                <w:sz w:val="24"/>
                <w:szCs w:val="28"/>
              </w:rPr>
            </w:pPr>
            <w:r>
              <w:rPr>
                <w:rFonts w:hint="eastAsia" w:ascii="宋体" w:hAnsi="宋体" w:eastAsia="宋体" w:cs="宋体"/>
                <w:sz w:val="24"/>
                <w:szCs w:val="28"/>
              </w:rPr>
              <w:t>6.1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58A36F46">
            <w:pPr>
              <w:rPr>
                <w:rFonts w:hint="eastAsia" w:ascii="宋体" w:hAnsi="宋体" w:eastAsia="宋体" w:cs="宋体"/>
                <w:sz w:val="24"/>
                <w:szCs w:val="28"/>
              </w:rPr>
            </w:pPr>
            <w:r>
              <w:rPr>
                <w:rFonts w:hint="eastAsia" w:ascii="宋体" w:hAnsi="宋体" w:eastAsia="宋体" w:cs="宋体"/>
                <w:sz w:val="24"/>
                <w:szCs w:val="28"/>
              </w:rPr>
              <w:t>磋商小组的组建</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7FD7B8C9">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left"/>
              <w:rPr>
                <w:rFonts w:hint="eastAsia" w:ascii="宋体" w:hAnsi="宋体" w:eastAsia="宋体" w:cs="宋体"/>
                <w:color w:val="auto"/>
                <w:sz w:val="24"/>
                <w:szCs w:val="24"/>
              </w:rPr>
            </w:pPr>
            <w:r>
              <w:rPr>
                <w:rFonts w:hint="eastAsia" w:ascii="宋体" w:hAnsi="宋体" w:eastAsia="宋体" w:cs="宋体"/>
                <w:color w:val="auto"/>
                <w:sz w:val="24"/>
                <w:szCs w:val="24"/>
              </w:rPr>
              <w:t>磋商小组构成：</w:t>
            </w:r>
            <w:r>
              <w:rPr>
                <w:rFonts w:hint="eastAsia" w:ascii="宋体" w:hAnsi="宋体" w:eastAsia="宋体" w:cs="宋体"/>
                <w:color w:val="auto"/>
                <w:sz w:val="24"/>
                <w:szCs w:val="24"/>
                <w:u w:val="single"/>
                <w:lang w:val="en-US" w:eastAsia="zh-CN"/>
              </w:rPr>
              <w:t xml:space="preserve"> 3 </w:t>
            </w:r>
            <w:r>
              <w:rPr>
                <w:rFonts w:hint="eastAsia" w:ascii="宋体" w:hAnsi="宋体" w:eastAsia="宋体" w:cs="宋体"/>
                <w:color w:val="auto"/>
                <w:sz w:val="24"/>
                <w:szCs w:val="24"/>
              </w:rPr>
              <w:t>人，其中业主评委</w:t>
            </w:r>
            <w:r>
              <w:rPr>
                <w:rFonts w:hint="eastAsia" w:ascii="宋体" w:hAnsi="宋体" w:eastAsia="宋体" w:cs="宋体"/>
                <w:color w:val="auto"/>
                <w:sz w:val="24"/>
                <w:szCs w:val="24"/>
                <w:u w:val="single"/>
                <w:lang w:val="en-US" w:eastAsia="zh-CN"/>
              </w:rPr>
              <w:t xml:space="preserve"> 1 </w:t>
            </w:r>
            <w:r>
              <w:rPr>
                <w:rFonts w:hint="eastAsia" w:ascii="宋体" w:hAnsi="宋体" w:eastAsia="宋体" w:cs="宋体"/>
                <w:color w:val="auto"/>
                <w:sz w:val="24"/>
                <w:szCs w:val="24"/>
              </w:rPr>
              <w:t>人，技术、经济类专家</w:t>
            </w:r>
            <w:r>
              <w:rPr>
                <w:rFonts w:hint="eastAsia" w:ascii="宋体" w:hAnsi="宋体" w:eastAsia="宋体" w:cs="宋体"/>
                <w:color w:val="auto"/>
                <w:sz w:val="24"/>
                <w:szCs w:val="24"/>
                <w:u w:val="single"/>
                <w:lang w:val="en-US" w:eastAsia="zh-CN"/>
              </w:rPr>
              <w:t xml:space="preserve"> 2 </w:t>
            </w:r>
            <w:r>
              <w:rPr>
                <w:rFonts w:hint="eastAsia" w:ascii="宋体" w:hAnsi="宋体" w:eastAsia="宋体" w:cs="宋体"/>
                <w:color w:val="auto"/>
                <w:sz w:val="24"/>
                <w:szCs w:val="24"/>
              </w:rPr>
              <w:t>人；</w:t>
            </w:r>
          </w:p>
          <w:p w14:paraId="3F33666A">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kern w:val="0"/>
                <w:sz w:val="24"/>
                <w:szCs w:val="24"/>
              </w:rPr>
              <w:t>专家确定方式：磋商前从政府采购专家库中随机抽取。</w:t>
            </w:r>
          </w:p>
        </w:tc>
      </w:tr>
      <w:tr w14:paraId="2511F8A8">
        <w:tblPrEx>
          <w:tblCellMar>
            <w:top w:w="0" w:type="dxa"/>
            <w:left w:w="108" w:type="dxa"/>
            <w:bottom w:w="0" w:type="dxa"/>
            <w:right w:w="108" w:type="dxa"/>
          </w:tblCellMar>
        </w:tblPrEx>
        <w:trPr>
          <w:trHeight w:val="735"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044C08B0">
            <w:pPr>
              <w:jc w:val="center"/>
              <w:rPr>
                <w:rFonts w:hint="eastAsia" w:ascii="宋体" w:hAnsi="宋体" w:eastAsia="宋体" w:cs="宋体"/>
                <w:sz w:val="24"/>
                <w:szCs w:val="28"/>
              </w:rPr>
            </w:pPr>
            <w:r>
              <w:rPr>
                <w:rFonts w:hint="eastAsia" w:ascii="宋体" w:hAnsi="宋体" w:eastAsia="宋体" w:cs="宋体"/>
                <w:sz w:val="24"/>
                <w:szCs w:val="28"/>
              </w:rPr>
              <w:t>7.1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1B17D7A">
            <w:pPr>
              <w:rPr>
                <w:rFonts w:hint="eastAsia" w:ascii="宋体" w:hAnsi="宋体" w:eastAsia="宋体" w:cs="宋体"/>
                <w:sz w:val="24"/>
                <w:szCs w:val="28"/>
              </w:rPr>
            </w:pPr>
            <w:r>
              <w:rPr>
                <w:rFonts w:hint="eastAsia" w:ascii="宋体" w:hAnsi="宋体" w:eastAsia="宋体" w:cs="宋体"/>
                <w:sz w:val="24"/>
                <w:szCs w:val="28"/>
              </w:rPr>
              <w:t>是否授权磋商小组确定成交人</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073BC5D5">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否；推荐的成交候选人数：3名</w:t>
            </w:r>
          </w:p>
        </w:tc>
      </w:tr>
      <w:tr w14:paraId="37A9F50B">
        <w:tblPrEx>
          <w:tblCellMar>
            <w:top w:w="0" w:type="dxa"/>
            <w:left w:w="108" w:type="dxa"/>
            <w:bottom w:w="0" w:type="dxa"/>
            <w:right w:w="108" w:type="dxa"/>
          </w:tblCellMar>
        </w:tblPrEx>
        <w:trPr>
          <w:trHeight w:val="735"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0CA7D4C7">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7.3</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7B329DF0">
            <w:pPr>
              <w:rPr>
                <w:rFonts w:hint="eastAsia" w:ascii="宋体" w:hAnsi="宋体" w:eastAsia="宋体" w:cs="宋体"/>
                <w:sz w:val="24"/>
                <w:szCs w:val="28"/>
                <w:lang w:val="en-US" w:eastAsia="zh-CN"/>
              </w:rPr>
            </w:pPr>
            <w:r>
              <w:rPr>
                <w:rFonts w:hint="eastAsia" w:ascii="宋体" w:hAnsi="宋体" w:eastAsia="宋体" w:cs="宋体"/>
                <w:sz w:val="24"/>
                <w:szCs w:val="28"/>
              </w:rPr>
              <w:t>履约</w:t>
            </w:r>
            <w:r>
              <w:rPr>
                <w:rFonts w:hint="eastAsia" w:ascii="宋体" w:hAnsi="宋体" w:eastAsia="宋体" w:cs="宋体"/>
                <w:sz w:val="24"/>
                <w:szCs w:val="28"/>
                <w:lang w:eastAsia="zh-CN"/>
              </w:rPr>
              <w:t>保证金</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58BE3573">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auto"/>
                <w:sz w:val="24"/>
                <w:szCs w:val="24"/>
                <w:lang w:val="en-US" w:eastAsia="zh-CN"/>
              </w:rPr>
              <w:t>无</w:t>
            </w:r>
          </w:p>
        </w:tc>
      </w:tr>
      <w:tr w14:paraId="60888FA7">
        <w:tblPrEx>
          <w:tblCellMar>
            <w:top w:w="0" w:type="dxa"/>
            <w:left w:w="108" w:type="dxa"/>
            <w:bottom w:w="0" w:type="dxa"/>
            <w:right w:w="108" w:type="dxa"/>
          </w:tblCellMar>
        </w:tblPrEx>
        <w:trPr>
          <w:trHeight w:val="714" w:hRule="atLeast"/>
        </w:trPr>
        <w:tc>
          <w:tcPr>
            <w:tcW w:w="10362" w:type="dxa"/>
            <w:gridSpan w:val="3"/>
            <w:tcBorders>
              <w:top w:val="single" w:color="auto" w:sz="4" w:space="0"/>
              <w:left w:val="single" w:color="auto" w:sz="4" w:space="0"/>
              <w:bottom w:val="single" w:color="auto" w:sz="4" w:space="0"/>
              <w:right w:val="single" w:color="auto" w:sz="4" w:space="0"/>
            </w:tcBorders>
            <w:noWrap w:val="0"/>
            <w:vAlign w:val="center"/>
          </w:tcPr>
          <w:p w14:paraId="6E4E1C94">
            <w:pPr>
              <w:rPr>
                <w:rFonts w:hint="eastAsia" w:ascii="宋体" w:hAnsi="宋体" w:eastAsia="宋体" w:cs="宋体"/>
                <w:sz w:val="24"/>
                <w:szCs w:val="28"/>
              </w:rPr>
            </w:pPr>
            <w:r>
              <w:rPr>
                <w:rFonts w:hint="eastAsia" w:ascii="宋体" w:hAnsi="宋体" w:eastAsia="宋体" w:cs="宋体"/>
                <w:sz w:val="24"/>
                <w:szCs w:val="28"/>
                <w:lang w:val="en-US" w:eastAsia="zh-CN"/>
              </w:rPr>
              <w:t>10.</w:t>
            </w:r>
            <w:r>
              <w:rPr>
                <w:rFonts w:hint="eastAsia" w:ascii="宋体" w:hAnsi="宋体" w:eastAsia="宋体" w:cs="宋体"/>
                <w:sz w:val="24"/>
                <w:szCs w:val="28"/>
              </w:rPr>
              <w:t>需要补充的其他内容</w:t>
            </w:r>
          </w:p>
        </w:tc>
      </w:tr>
      <w:tr w14:paraId="2CE0848F">
        <w:tblPrEx>
          <w:tblCellMar>
            <w:top w:w="0" w:type="dxa"/>
            <w:left w:w="108" w:type="dxa"/>
            <w:bottom w:w="0" w:type="dxa"/>
            <w:right w:w="108" w:type="dxa"/>
          </w:tblCellMar>
        </w:tblPrEx>
        <w:trPr>
          <w:trHeight w:val="56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4A5E6708">
            <w:pPr>
              <w:jc w:val="center"/>
              <w:rPr>
                <w:rFonts w:hint="eastAsia" w:ascii="宋体" w:hAnsi="宋体" w:eastAsia="宋体" w:cs="宋体"/>
                <w:sz w:val="24"/>
                <w:szCs w:val="28"/>
              </w:rPr>
            </w:pPr>
            <w:r>
              <w:rPr>
                <w:rFonts w:hint="eastAsia" w:ascii="宋体" w:hAnsi="宋体" w:eastAsia="宋体" w:cs="宋体"/>
                <w:sz w:val="24"/>
                <w:szCs w:val="28"/>
                <w:lang w:val="en-US" w:eastAsia="zh-CN"/>
              </w:rPr>
              <w:t>10.1</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6E11CB3D">
            <w:pPr>
              <w:rPr>
                <w:rFonts w:hint="eastAsia" w:ascii="宋体" w:hAnsi="宋体" w:eastAsia="宋体" w:cs="宋体"/>
                <w:sz w:val="24"/>
                <w:szCs w:val="28"/>
              </w:rPr>
            </w:pPr>
            <w:r>
              <w:rPr>
                <w:rFonts w:hint="eastAsia" w:ascii="宋体" w:hAnsi="宋体" w:eastAsia="宋体" w:cs="宋体"/>
                <w:sz w:val="24"/>
                <w:szCs w:val="28"/>
              </w:rPr>
              <w:t>解释权</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217AEA6A">
            <w:pPr>
              <w:keepNext w:val="0"/>
              <w:keepLines w:val="0"/>
              <w:pageBreakBefore w:val="0"/>
              <w:widowControl w:val="0"/>
              <w:kinsoku/>
              <w:wordWrap/>
              <w:overflowPunct/>
              <w:topLinePunct w:val="0"/>
              <w:bidi w:val="0"/>
              <w:adjustRightInd w:val="0"/>
              <w:snapToGrid/>
              <w:spacing w:line="500" w:lineRule="exact"/>
              <w:ind w:left="0" w:leftChars="0" w:firstLine="0" w:firstLineChars="0"/>
              <w:jc w:val="left"/>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构成本磋商文件的各个组成文件应互为解释，互为说明；如有不明确或不一致，按</w:t>
            </w:r>
            <w:r>
              <w:rPr>
                <w:rFonts w:hint="eastAsia" w:ascii="宋体" w:hAnsi="宋体" w:eastAsia="宋体" w:cs="宋体"/>
                <w:color w:val="auto"/>
                <w:sz w:val="24"/>
                <w:szCs w:val="24"/>
                <w:lang w:eastAsia="zh-CN"/>
              </w:rPr>
              <w:t>竞争性磋商公告</w:t>
            </w:r>
            <w:r>
              <w:rPr>
                <w:rFonts w:hint="eastAsia" w:ascii="宋体" w:hAnsi="宋体" w:eastAsia="宋体" w:cs="宋体"/>
                <w:color w:val="auto"/>
                <w:sz w:val="24"/>
                <w:szCs w:val="24"/>
              </w:rPr>
              <w:t>、供应商须知、评审办法、</w:t>
            </w:r>
            <w:r>
              <w:rPr>
                <w:rFonts w:hint="eastAsia" w:ascii="宋体" w:hAnsi="宋体" w:eastAsia="宋体" w:cs="宋体"/>
                <w:color w:val="auto"/>
                <w:sz w:val="24"/>
                <w:szCs w:val="24"/>
                <w:lang w:eastAsia="zh-CN"/>
              </w:rPr>
              <w:t>竞争性磋商响应文件格式</w:t>
            </w:r>
            <w:r>
              <w:rPr>
                <w:rFonts w:hint="eastAsia" w:ascii="宋体" w:hAnsi="宋体" w:eastAsia="宋体" w:cs="宋体"/>
                <w:color w:val="auto"/>
                <w:sz w:val="24"/>
                <w:szCs w:val="24"/>
              </w:rPr>
              <w:t>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575EDB59">
        <w:tblPrEx>
          <w:tblCellMar>
            <w:top w:w="0" w:type="dxa"/>
            <w:left w:w="108" w:type="dxa"/>
            <w:bottom w:w="0" w:type="dxa"/>
            <w:right w:w="108" w:type="dxa"/>
          </w:tblCellMar>
        </w:tblPrEx>
        <w:trPr>
          <w:trHeight w:val="485"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56ACF7E2">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10.2</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92B5349">
            <w:pP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采购代理服务费</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34C8D206">
            <w:pPr>
              <w:keepNext w:val="0"/>
              <w:keepLines w:val="0"/>
              <w:pageBreakBefore w:val="0"/>
              <w:widowControl w:val="0"/>
              <w:kinsoku/>
              <w:wordWrap/>
              <w:overflowPunct/>
              <w:topLinePunct w:val="0"/>
              <w:bidi w:val="0"/>
              <w:snapToGrid/>
              <w:spacing w:line="500" w:lineRule="exact"/>
              <w:ind w:left="0" w:leftChars="0" w:firstLine="0" w:firstLineChars="0"/>
              <w:jc w:val="left"/>
              <w:rPr>
                <w:rFonts w:hint="eastAsia" w:ascii="宋体" w:hAnsi="宋体" w:eastAsia="宋体" w:cs="宋体"/>
                <w:color w:val="auto"/>
                <w:kern w:val="2"/>
                <w:sz w:val="24"/>
                <w:szCs w:val="24"/>
                <w:lang w:val="en-US" w:eastAsia="zh-CN" w:bidi="ar-SA"/>
              </w:rPr>
            </w:pPr>
            <w:r>
              <w:rPr>
                <w:rFonts w:hint="eastAsia" w:ascii="宋体" w:hAnsi="宋体" w:eastAsia="宋体" w:cs="宋体"/>
                <w:sz w:val="24"/>
                <w:szCs w:val="24"/>
              </w:rPr>
              <w:t>本次</w:t>
            </w:r>
            <w:r>
              <w:rPr>
                <w:rFonts w:hint="eastAsia" w:ascii="宋体" w:hAnsi="宋体" w:eastAsia="宋体" w:cs="宋体"/>
                <w:sz w:val="24"/>
                <w:szCs w:val="24"/>
                <w:lang w:eastAsia="zh-CN"/>
              </w:rPr>
              <w:t>采购</w:t>
            </w:r>
            <w:r>
              <w:rPr>
                <w:rFonts w:hint="eastAsia" w:ascii="宋体" w:hAnsi="宋体" w:eastAsia="宋体" w:cs="宋体"/>
                <w:sz w:val="24"/>
                <w:szCs w:val="24"/>
              </w:rPr>
              <w:t>代理服务费由中标人支付，参照《招标代理合同》约定及</w:t>
            </w:r>
            <w:r>
              <w:rPr>
                <w:rFonts w:hint="eastAsia" w:ascii="宋体" w:hAnsi="宋体" w:eastAsia="宋体" w:cs="宋体"/>
                <w:sz w:val="24"/>
                <w:szCs w:val="24"/>
                <w:lang w:eastAsia="zh-CN"/>
              </w:rPr>
              <w:t>河南省招投标协会关于印发</w:t>
            </w:r>
            <w:r>
              <w:rPr>
                <w:rFonts w:hint="eastAsia" w:ascii="宋体" w:hAnsi="宋体" w:eastAsia="宋体" w:cs="宋体"/>
                <w:sz w:val="24"/>
                <w:szCs w:val="24"/>
              </w:rPr>
              <w:t>《</w:t>
            </w:r>
            <w:r>
              <w:rPr>
                <w:rFonts w:hint="eastAsia" w:ascii="宋体" w:hAnsi="宋体" w:eastAsia="宋体" w:cs="宋体"/>
                <w:sz w:val="24"/>
                <w:szCs w:val="24"/>
                <w:lang w:eastAsia="zh-CN"/>
              </w:rPr>
              <w:t>河南省招标代理服务收费指导意见</w:t>
            </w:r>
            <w:r>
              <w:rPr>
                <w:rFonts w:hint="eastAsia" w:ascii="宋体" w:hAnsi="宋体" w:eastAsia="宋体" w:cs="宋体"/>
                <w:sz w:val="24"/>
                <w:szCs w:val="24"/>
              </w:rPr>
              <w:t>》</w:t>
            </w:r>
            <w:r>
              <w:rPr>
                <w:rFonts w:hint="eastAsia" w:ascii="宋体" w:hAnsi="宋体" w:eastAsia="宋体" w:cs="宋体"/>
                <w:sz w:val="24"/>
                <w:szCs w:val="24"/>
                <w:lang w:eastAsia="zh-CN"/>
              </w:rPr>
              <w:t>的通知</w:t>
            </w:r>
            <w:r>
              <w:rPr>
                <w:rFonts w:hint="eastAsia" w:ascii="宋体" w:hAnsi="宋体" w:eastAsia="宋体" w:cs="宋体"/>
                <w:sz w:val="24"/>
                <w:szCs w:val="24"/>
              </w:rPr>
              <w:t>（</w:t>
            </w:r>
            <w:r>
              <w:rPr>
                <w:rFonts w:hint="eastAsia" w:ascii="宋体" w:hAnsi="宋体" w:eastAsia="宋体" w:cs="宋体"/>
                <w:sz w:val="24"/>
                <w:szCs w:val="24"/>
                <w:lang w:eastAsia="zh-CN"/>
              </w:rPr>
              <w:t>豫招协</w:t>
            </w:r>
            <w:r>
              <w:rPr>
                <w:rFonts w:hint="eastAsia" w:ascii="宋体" w:hAnsi="宋体" w:eastAsia="宋体" w:cs="宋体"/>
                <w:sz w:val="24"/>
                <w:szCs w:val="24"/>
              </w:rPr>
              <w:t>[20</w:t>
            </w:r>
            <w:r>
              <w:rPr>
                <w:rFonts w:hint="eastAsia" w:ascii="宋体" w:hAnsi="宋体" w:eastAsia="宋体" w:cs="宋体"/>
                <w:sz w:val="24"/>
                <w:szCs w:val="24"/>
                <w:lang w:val="en-US" w:eastAsia="zh-CN"/>
              </w:rPr>
              <w:t>23</w:t>
            </w:r>
            <w:r>
              <w:rPr>
                <w:rFonts w:hint="eastAsia" w:ascii="宋体" w:hAnsi="宋体" w:eastAsia="宋体" w:cs="宋体"/>
                <w:sz w:val="24"/>
                <w:szCs w:val="24"/>
              </w:rPr>
              <w:t>]</w:t>
            </w:r>
            <w:r>
              <w:rPr>
                <w:rFonts w:hint="eastAsia" w:ascii="宋体" w:hAnsi="宋体" w:eastAsia="宋体" w:cs="宋体"/>
                <w:sz w:val="24"/>
                <w:szCs w:val="24"/>
                <w:lang w:val="en-US" w:eastAsia="zh-CN"/>
              </w:rPr>
              <w:t>002</w:t>
            </w:r>
            <w:r>
              <w:rPr>
                <w:rFonts w:hint="eastAsia" w:ascii="宋体" w:hAnsi="宋体" w:eastAsia="宋体" w:cs="宋体"/>
                <w:sz w:val="24"/>
                <w:szCs w:val="24"/>
              </w:rPr>
              <w:t>号）中规定。</w:t>
            </w:r>
          </w:p>
        </w:tc>
      </w:tr>
      <w:tr w14:paraId="43CE05DF">
        <w:tblPrEx>
          <w:tblCellMar>
            <w:top w:w="0" w:type="dxa"/>
            <w:left w:w="108" w:type="dxa"/>
            <w:bottom w:w="0" w:type="dxa"/>
            <w:right w:w="108" w:type="dxa"/>
          </w:tblCellMar>
        </w:tblPrEx>
        <w:trPr>
          <w:trHeight w:val="80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6A0F828D">
            <w:pPr>
              <w:jc w:val="center"/>
              <w:rPr>
                <w:rFonts w:hint="eastAsia" w:ascii="宋体" w:hAnsi="宋体" w:eastAsia="宋体" w:cs="宋体"/>
                <w:sz w:val="24"/>
                <w:szCs w:val="28"/>
                <w:lang w:val="en-US" w:eastAsia="zh-CN"/>
              </w:rPr>
            </w:pPr>
            <w:bookmarkStart w:id="167" w:name="_Toc10694"/>
            <w:bookmarkStart w:id="168" w:name="_Toc152045529"/>
            <w:bookmarkStart w:id="169" w:name="_Toc152042305"/>
            <w:bookmarkStart w:id="170" w:name="_Toc144974497"/>
            <w:bookmarkStart w:id="171" w:name="_Toc455080108"/>
            <w:bookmarkStart w:id="172" w:name="_Toc466298091"/>
            <w:r>
              <w:rPr>
                <w:rFonts w:hint="eastAsia" w:ascii="宋体" w:hAnsi="宋体" w:eastAsia="宋体" w:cs="宋体"/>
                <w:sz w:val="24"/>
                <w:szCs w:val="28"/>
                <w:lang w:val="en-US" w:eastAsia="zh-CN"/>
              </w:rPr>
              <w:t>10.3</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EAF2A02">
            <w:pPr>
              <w:rPr>
                <w:rFonts w:hint="eastAsia" w:ascii="宋体" w:hAnsi="宋体" w:eastAsia="宋体" w:cs="宋体"/>
                <w:sz w:val="24"/>
                <w:szCs w:val="28"/>
                <w:lang w:val="en-US" w:eastAsia="zh-CN"/>
              </w:rPr>
            </w:pPr>
            <w:r>
              <w:rPr>
                <w:rFonts w:hint="eastAsia" w:ascii="宋体" w:hAnsi="宋体" w:eastAsia="宋体" w:cs="宋体"/>
                <w:sz w:val="24"/>
                <w:szCs w:val="28"/>
              </w:rPr>
              <w:t>标书雷同性分析</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44B68A7A">
            <w:pPr>
              <w:keepNext w:val="0"/>
              <w:keepLines w:val="0"/>
              <w:pageBreakBefore w:val="0"/>
              <w:widowControl w:val="0"/>
              <w:kinsoku/>
              <w:wordWrap/>
              <w:overflowPunct/>
              <w:topLinePunct w:val="0"/>
              <w:bidi w:val="0"/>
              <w:snapToGrid/>
              <w:spacing w:line="500" w:lineRule="exact"/>
              <w:ind w:firstLine="0" w:firstLineChars="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z w:val="24"/>
                <w:szCs w:val="24"/>
              </w:rPr>
              <w:t>文件制作机器码、文件创建标识码有相同的按废标处理。</w:t>
            </w:r>
          </w:p>
        </w:tc>
      </w:tr>
      <w:tr w14:paraId="456E73AD">
        <w:tblPrEx>
          <w:tblCellMar>
            <w:top w:w="0" w:type="dxa"/>
            <w:left w:w="108" w:type="dxa"/>
            <w:bottom w:w="0" w:type="dxa"/>
            <w:right w:w="108" w:type="dxa"/>
          </w:tblCellMar>
        </w:tblPrEx>
        <w:trPr>
          <w:trHeight w:val="80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69DAA47B">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10.4</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7CF2AD16">
            <w:pPr>
              <w:rPr>
                <w:rFonts w:hint="eastAsia" w:ascii="宋体" w:hAnsi="宋体" w:eastAsia="宋体" w:cs="宋体"/>
                <w:sz w:val="24"/>
                <w:szCs w:val="28"/>
                <w:lang w:val="en-US" w:eastAsia="zh-CN"/>
              </w:rPr>
            </w:pPr>
            <w:r>
              <w:rPr>
                <w:rFonts w:hint="eastAsia" w:ascii="宋体" w:hAnsi="宋体" w:eastAsia="宋体" w:cs="宋体"/>
                <w:sz w:val="24"/>
                <w:szCs w:val="28"/>
              </w:rPr>
              <w:t>注意事项</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4609C038">
            <w:pPr>
              <w:keepNext w:val="0"/>
              <w:keepLines w:val="0"/>
              <w:pageBreakBefore w:val="0"/>
              <w:widowControl w:val="0"/>
              <w:kinsoku/>
              <w:wordWrap/>
              <w:overflowPunct/>
              <w:topLinePunct w:val="0"/>
              <w:bidi w:val="0"/>
              <w:snapToGrid/>
              <w:spacing w:line="500" w:lineRule="exact"/>
              <w:ind w:firstLine="0" w:firstLineChars="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z w:val="24"/>
                <w:szCs w:val="24"/>
              </w:rPr>
              <w:t>根据《信阳市财政局关于在政府采购项目中对上传诚信库信息的使用进行调整的通知》（信财购【2021】12号）相关规定，专家评审只需对投标文件进行评审，并以</w:t>
            </w:r>
            <w:r>
              <w:rPr>
                <w:rFonts w:hint="eastAsia" w:ascii="宋体" w:hAnsi="宋体" w:eastAsia="宋体" w:cs="宋体"/>
                <w:b w:val="0"/>
                <w:bCs w:val="0"/>
                <w:sz w:val="24"/>
                <w:szCs w:val="24"/>
                <w:lang w:eastAsia="zh-CN"/>
              </w:rPr>
              <w:t>响应</w:t>
            </w:r>
            <w:r>
              <w:rPr>
                <w:rFonts w:hint="eastAsia" w:ascii="宋体" w:hAnsi="宋体" w:eastAsia="宋体" w:cs="宋体"/>
                <w:b w:val="0"/>
                <w:bCs w:val="0"/>
                <w:sz w:val="24"/>
                <w:szCs w:val="24"/>
              </w:rPr>
              <w:t>文件的响应为唯一评审依据，不再比对主体信用信息。</w:t>
            </w:r>
          </w:p>
        </w:tc>
      </w:tr>
      <w:tr w14:paraId="32C85761">
        <w:tblPrEx>
          <w:tblCellMar>
            <w:top w:w="0" w:type="dxa"/>
            <w:left w:w="108" w:type="dxa"/>
            <w:bottom w:w="0" w:type="dxa"/>
            <w:right w:w="108" w:type="dxa"/>
          </w:tblCellMar>
        </w:tblPrEx>
        <w:trPr>
          <w:trHeight w:val="80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3F276A3F">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10.5</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19DB7D8D">
            <w:pPr>
              <w:rPr>
                <w:rFonts w:hint="eastAsia" w:ascii="宋体" w:hAnsi="宋体" w:eastAsia="宋体" w:cs="宋体"/>
                <w:sz w:val="24"/>
                <w:szCs w:val="28"/>
                <w:lang w:val="en-US" w:eastAsia="zh-CN"/>
              </w:rPr>
            </w:pPr>
            <w:r>
              <w:rPr>
                <w:rFonts w:hint="eastAsia" w:ascii="宋体" w:hAnsi="宋体" w:eastAsia="宋体" w:cs="宋体"/>
                <w:sz w:val="24"/>
                <w:szCs w:val="28"/>
              </w:rPr>
              <w:t>质疑相关事项</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606A295C">
            <w:pPr>
              <w:keepNext w:val="0"/>
              <w:keepLines w:val="0"/>
              <w:pageBreakBefore w:val="0"/>
              <w:widowControl w:val="0"/>
              <w:kinsoku/>
              <w:wordWrap/>
              <w:overflowPunct/>
              <w:topLinePunct w:val="0"/>
              <w:bidi w:val="0"/>
              <w:snapToGrid/>
              <w:spacing w:line="500" w:lineRule="exact"/>
              <w:ind w:firstLine="0" w:firstLineChars="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z w:val="24"/>
                <w:szCs w:val="24"/>
              </w:rPr>
              <w:t>供应商认为采购文件、采购过程、中标或者成交结果使自己的权益受到损害的，可以在知道或者应知其权益受到损害之日起7个工作日内，以书面形式一次性向采购人、采购代理机构提出针对同一采购程序环节的质疑。</w:t>
            </w:r>
          </w:p>
        </w:tc>
      </w:tr>
      <w:tr w14:paraId="269E3A0A">
        <w:tblPrEx>
          <w:tblCellMar>
            <w:top w:w="0" w:type="dxa"/>
            <w:left w:w="108" w:type="dxa"/>
            <w:bottom w:w="0" w:type="dxa"/>
            <w:right w:w="108" w:type="dxa"/>
          </w:tblCellMar>
        </w:tblPrEx>
        <w:trPr>
          <w:trHeight w:val="800" w:hRule="atLeast"/>
        </w:trPr>
        <w:tc>
          <w:tcPr>
            <w:tcW w:w="1153" w:type="dxa"/>
            <w:tcBorders>
              <w:top w:val="single" w:color="auto" w:sz="4" w:space="0"/>
              <w:left w:val="single" w:color="auto" w:sz="4" w:space="0"/>
              <w:bottom w:val="single" w:color="auto" w:sz="4" w:space="0"/>
              <w:right w:val="single" w:color="auto" w:sz="4" w:space="0"/>
            </w:tcBorders>
            <w:noWrap w:val="0"/>
            <w:vAlign w:val="center"/>
          </w:tcPr>
          <w:p w14:paraId="5383AF46">
            <w:pPr>
              <w:jc w:val="center"/>
              <w:rPr>
                <w:rFonts w:hint="eastAsia" w:ascii="宋体" w:hAnsi="宋体" w:eastAsia="宋体" w:cs="宋体"/>
                <w:sz w:val="24"/>
                <w:szCs w:val="28"/>
                <w:lang w:val="en-US" w:eastAsia="zh-CN"/>
              </w:rPr>
            </w:pPr>
            <w:r>
              <w:rPr>
                <w:rFonts w:hint="eastAsia" w:ascii="宋体" w:hAnsi="宋体" w:eastAsia="宋体" w:cs="宋体"/>
                <w:sz w:val="24"/>
                <w:szCs w:val="28"/>
                <w:lang w:val="en-US" w:eastAsia="zh-CN"/>
              </w:rPr>
              <w:t>10.6</w:t>
            </w:r>
          </w:p>
        </w:tc>
        <w:tc>
          <w:tcPr>
            <w:tcW w:w="1804" w:type="dxa"/>
            <w:tcBorders>
              <w:top w:val="single" w:color="auto" w:sz="4" w:space="0"/>
              <w:left w:val="single" w:color="auto" w:sz="4" w:space="0"/>
              <w:bottom w:val="single" w:color="auto" w:sz="4" w:space="0"/>
              <w:right w:val="single" w:color="auto" w:sz="4" w:space="0"/>
            </w:tcBorders>
            <w:noWrap w:val="0"/>
            <w:vAlign w:val="center"/>
          </w:tcPr>
          <w:p w14:paraId="7ED1F208">
            <w:pPr>
              <w:rPr>
                <w:rFonts w:hint="eastAsia" w:ascii="宋体" w:hAnsi="宋体" w:eastAsia="宋体" w:cs="宋体"/>
                <w:sz w:val="24"/>
                <w:szCs w:val="28"/>
                <w:lang w:val="en-US" w:eastAsia="zh-CN"/>
              </w:rPr>
            </w:pPr>
            <w:r>
              <w:rPr>
                <w:rFonts w:hint="eastAsia" w:ascii="宋体" w:hAnsi="宋体" w:eastAsia="宋体" w:cs="宋体"/>
                <w:sz w:val="24"/>
                <w:szCs w:val="28"/>
              </w:rPr>
              <w:t>技术支持</w:t>
            </w:r>
          </w:p>
        </w:tc>
        <w:tc>
          <w:tcPr>
            <w:tcW w:w="7405" w:type="dxa"/>
            <w:tcBorders>
              <w:top w:val="single" w:color="auto" w:sz="4" w:space="0"/>
              <w:left w:val="single" w:color="auto" w:sz="4" w:space="0"/>
              <w:bottom w:val="single" w:color="auto" w:sz="4" w:space="0"/>
              <w:right w:val="single" w:color="auto" w:sz="4" w:space="0"/>
            </w:tcBorders>
            <w:noWrap w:val="0"/>
            <w:vAlign w:val="center"/>
          </w:tcPr>
          <w:p w14:paraId="6C6D6493">
            <w:pPr>
              <w:keepNext w:val="0"/>
              <w:keepLines w:val="0"/>
              <w:pageBreakBefore w:val="0"/>
              <w:widowControl w:val="0"/>
              <w:kinsoku/>
              <w:wordWrap/>
              <w:overflowPunct/>
              <w:topLinePunct w:val="0"/>
              <w:bidi w:val="0"/>
              <w:snapToGrid/>
              <w:spacing w:line="500" w:lineRule="exact"/>
              <w:ind w:firstLine="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息县公共资源交易中心</w:t>
            </w:r>
          </w:p>
          <w:p w14:paraId="54040E34">
            <w:pPr>
              <w:keepNext w:val="0"/>
              <w:keepLines w:val="0"/>
              <w:pageBreakBefore w:val="0"/>
              <w:widowControl w:val="0"/>
              <w:kinsoku/>
              <w:wordWrap/>
              <w:overflowPunct/>
              <w:topLinePunct w:val="0"/>
              <w:bidi w:val="0"/>
              <w:snapToGrid/>
              <w:spacing w:line="500" w:lineRule="exact"/>
              <w:ind w:firstLine="0" w:firstLineChars="0"/>
              <w:rPr>
                <w:rFonts w:hint="eastAsia" w:ascii="宋体" w:hAnsi="宋体" w:eastAsia="宋体" w:cs="宋体"/>
                <w:b w:val="0"/>
                <w:bCs w:val="0"/>
                <w:sz w:val="24"/>
                <w:szCs w:val="24"/>
              </w:rPr>
            </w:pPr>
            <w:r>
              <w:rPr>
                <w:rFonts w:hint="eastAsia" w:ascii="宋体" w:hAnsi="宋体" w:eastAsia="宋体" w:cs="宋体"/>
                <w:b w:val="0"/>
                <w:bCs w:val="0"/>
                <w:sz w:val="24"/>
                <w:szCs w:val="24"/>
              </w:rPr>
              <w:t>地    址：河南省信阳市息县市民之家</w:t>
            </w:r>
          </w:p>
          <w:p w14:paraId="49779ACA">
            <w:pPr>
              <w:keepNext w:val="0"/>
              <w:keepLines w:val="0"/>
              <w:pageBreakBefore w:val="0"/>
              <w:widowControl w:val="0"/>
              <w:kinsoku/>
              <w:wordWrap/>
              <w:overflowPunct/>
              <w:topLinePunct w:val="0"/>
              <w:bidi w:val="0"/>
              <w:snapToGrid/>
              <w:spacing w:line="500" w:lineRule="exact"/>
              <w:ind w:firstLine="0" w:firstLineChars="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sz w:val="24"/>
                <w:szCs w:val="24"/>
              </w:rPr>
              <w:t xml:space="preserve">电子交易系统技术支持电话：4009980000、0376-6369667  </w:t>
            </w:r>
          </w:p>
        </w:tc>
      </w:tr>
    </w:tbl>
    <w:p w14:paraId="4FB9A525">
      <w:pPr>
        <w:spacing w:before="0" w:beforeLines="0" w:line="360" w:lineRule="auto"/>
        <w:rPr>
          <w:rFonts w:hint="eastAsia" w:ascii="宋体" w:hAnsi="宋体" w:eastAsia="宋体" w:cs="宋体"/>
          <w:b/>
          <w:bCs/>
          <w:color w:val="auto"/>
          <w:sz w:val="24"/>
          <w:szCs w:val="24"/>
        </w:rPr>
        <w:sectPr>
          <w:footerReference r:id="rId4" w:type="default"/>
          <w:pgSz w:w="11905" w:h="16838"/>
          <w:pgMar w:top="1213" w:right="1236" w:bottom="1270" w:left="1236" w:header="340" w:footer="850" w:gutter="0"/>
          <w:pgBorders>
            <w:top w:val="none" w:sz="0" w:space="0"/>
            <w:left w:val="none" w:sz="0" w:space="0"/>
            <w:bottom w:val="none" w:sz="0" w:space="0"/>
            <w:right w:val="none" w:sz="0" w:space="0"/>
          </w:pgBorders>
          <w:pgNumType w:fmt="decimal" w:start="1"/>
          <w:cols w:space="720" w:num="1"/>
          <w:rtlGutter w:val="0"/>
          <w:docGrid w:type="lines" w:linePitch="349" w:charSpace="0"/>
        </w:sectPr>
      </w:pPr>
    </w:p>
    <w:p w14:paraId="4BDE097C">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center"/>
        <w:textAlignment w:val="auto"/>
        <w:outlineLvl w:val="1"/>
        <w:rPr>
          <w:rFonts w:hint="eastAsia" w:ascii="宋体" w:hAnsi="宋体" w:eastAsia="宋体" w:cs="宋体"/>
          <w:b w:val="0"/>
          <w:color w:val="auto"/>
          <w:kern w:val="2"/>
          <w:sz w:val="24"/>
          <w:szCs w:val="24"/>
          <w:lang w:val="en-US" w:eastAsia="zh-CN" w:bidi="ar-SA"/>
        </w:rPr>
      </w:pPr>
      <w:bookmarkStart w:id="173" w:name="_Toc30679"/>
      <w:r>
        <w:rPr>
          <w:rFonts w:hint="eastAsia" w:ascii="宋体" w:hAnsi="宋体" w:eastAsia="宋体" w:cs="宋体"/>
          <w:b/>
          <w:bCs/>
          <w:color w:val="auto"/>
          <w:kern w:val="2"/>
          <w:sz w:val="24"/>
          <w:szCs w:val="24"/>
          <w:lang w:val="en-US" w:eastAsia="zh-CN" w:bidi="ar-SA"/>
        </w:rPr>
        <w:t>1. 总则</w:t>
      </w:r>
      <w:bookmarkEnd w:id="167"/>
      <w:bookmarkEnd w:id="168"/>
      <w:bookmarkEnd w:id="169"/>
      <w:bookmarkEnd w:id="170"/>
      <w:bookmarkEnd w:id="171"/>
      <w:bookmarkEnd w:id="172"/>
      <w:bookmarkEnd w:id="173"/>
    </w:p>
    <w:p w14:paraId="2FDE4FA9">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174" w:name="_Toc455080109"/>
      <w:bookmarkStart w:id="175" w:name="_Toc21266"/>
      <w:bookmarkStart w:id="176" w:name="_Toc6747"/>
      <w:bookmarkStart w:id="177" w:name="_Toc455867769"/>
      <w:bookmarkStart w:id="178" w:name="_Toc21458"/>
      <w:bookmarkStart w:id="179" w:name="_Toc1172"/>
      <w:bookmarkStart w:id="180" w:name="_Toc16489"/>
      <w:bookmarkStart w:id="181" w:name="_Toc10273"/>
      <w:bookmarkStart w:id="182" w:name="_Toc274409866"/>
      <w:bookmarkStart w:id="183" w:name="_Toc658"/>
      <w:bookmarkStart w:id="184" w:name="_Toc281380952"/>
      <w:bookmarkStart w:id="185" w:name="_Toc31404"/>
      <w:bookmarkStart w:id="186" w:name="_Toc490667828"/>
      <w:bookmarkStart w:id="187" w:name="_Toc466298092"/>
      <w:bookmarkStart w:id="188" w:name="_Toc4184"/>
      <w:bookmarkStart w:id="189" w:name="_Toc318450675"/>
      <w:bookmarkStart w:id="190" w:name="_Toc20827"/>
      <w:bookmarkStart w:id="191" w:name="_Toc15709"/>
      <w:bookmarkStart w:id="192" w:name="_Toc15893"/>
      <w:bookmarkStart w:id="193" w:name="_Toc29023"/>
      <w:bookmarkStart w:id="194" w:name="_Toc152045531"/>
      <w:bookmarkStart w:id="195" w:name="_Toc152042307"/>
      <w:bookmarkStart w:id="196" w:name="_Toc144974499"/>
      <w:r>
        <w:rPr>
          <w:rFonts w:hint="eastAsia" w:ascii="宋体" w:hAnsi="宋体" w:eastAsia="宋体" w:cs="宋体"/>
          <w:b/>
          <w:bCs/>
          <w:color w:val="auto"/>
          <w:kern w:val="2"/>
          <w:sz w:val="24"/>
          <w:szCs w:val="24"/>
          <w:lang w:val="en-US" w:eastAsia="zh-CN" w:bidi="ar-SA"/>
        </w:rPr>
        <w:t>1.1 适用范围</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221E7353">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1.1.1根据《中华人民共和国政府采购法》等有关法律、法规和规章的规定，编制本项目磋商文件。</w:t>
      </w:r>
    </w:p>
    <w:p w14:paraId="0F29E1E4">
      <w:pPr>
        <w:keepNext/>
        <w:keepLines/>
        <w:pageBreakBefore w:val="0"/>
        <w:widowControl w:val="0"/>
        <w:numPr>
          <w:ilvl w:val="2"/>
          <w:numId w:val="0"/>
        </w:numPr>
        <w:tabs>
          <w:tab w:val="left" w:pos="7410"/>
        </w:tabs>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197" w:name="_Toc710"/>
      <w:bookmarkStart w:id="198" w:name="_Toc10269"/>
      <w:bookmarkStart w:id="199" w:name="_Toc274409867"/>
      <w:bookmarkStart w:id="200" w:name="_Toc466298093"/>
      <w:bookmarkStart w:id="201" w:name="_Toc490667829"/>
      <w:bookmarkStart w:id="202" w:name="_Toc28038"/>
      <w:bookmarkStart w:id="203" w:name="_Toc455867770"/>
      <w:bookmarkStart w:id="204" w:name="_Toc3336"/>
      <w:bookmarkStart w:id="205" w:name="_Toc318450676"/>
      <w:bookmarkStart w:id="206" w:name="_Toc32619"/>
      <w:bookmarkStart w:id="207" w:name="_Toc10556"/>
      <w:bookmarkStart w:id="208" w:name="_Toc2929"/>
      <w:bookmarkStart w:id="209" w:name="_Toc821"/>
      <w:bookmarkStart w:id="210" w:name="_Toc30891"/>
      <w:bookmarkStart w:id="211" w:name="_Toc5601"/>
      <w:bookmarkStart w:id="212" w:name="_Toc281405468"/>
      <w:bookmarkStart w:id="213" w:name="_Toc24852"/>
      <w:bookmarkStart w:id="214" w:name="_Toc25773"/>
      <w:bookmarkStart w:id="215" w:name="_Toc455080110"/>
      <w:bookmarkStart w:id="216" w:name="_Toc7237"/>
      <w:r>
        <w:rPr>
          <w:rFonts w:hint="eastAsia" w:ascii="宋体" w:hAnsi="宋体" w:eastAsia="宋体" w:cs="宋体"/>
          <w:b/>
          <w:bCs/>
          <w:color w:val="auto"/>
          <w:kern w:val="2"/>
          <w:sz w:val="24"/>
          <w:szCs w:val="24"/>
          <w:lang w:val="en-US" w:eastAsia="zh-CN" w:bidi="ar-SA"/>
        </w:rPr>
        <w:t>1.2 招标项目说明</w:t>
      </w:r>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2F2320A3">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1.2.1 本项目采购人：见供应商须知前附表。</w:t>
      </w:r>
    </w:p>
    <w:p w14:paraId="095DBE1B">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1.2.2 本项目采购代理机构：见供应商须知前附表。</w:t>
      </w:r>
    </w:p>
    <w:p w14:paraId="31A20806">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1.2.3 本项目名称：见供应商须知前附表。</w:t>
      </w:r>
    </w:p>
    <w:p w14:paraId="3C4AF198">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1.2.4 本项目采购方式</w:t>
      </w:r>
      <w:r>
        <w:rPr>
          <w:rFonts w:hint="eastAsia" w:ascii="宋体" w:hAnsi="宋体" w:eastAsia="宋体" w:cs="宋体"/>
          <w:color w:val="auto"/>
          <w:sz w:val="24"/>
          <w:szCs w:val="24"/>
        </w:rPr>
        <w:t>：见供应商须知前附表。</w:t>
      </w:r>
    </w:p>
    <w:p w14:paraId="06CACF24">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1.2.5 本项目采购预算价</w:t>
      </w:r>
      <w:r>
        <w:rPr>
          <w:rFonts w:hint="eastAsia" w:ascii="宋体" w:hAnsi="宋体" w:eastAsia="宋体" w:cs="宋体"/>
          <w:color w:val="auto"/>
          <w:sz w:val="24"/>
          <w:szCs w:val="24"/>
        </w:rPr>
        <w:t>：见供应商须知前附表。</w:t>
      </w:r>
    </w:p>
    <w:p w14:paraId="7D2869E8">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217" w:name="_Toc11371"/>
      <w:bookmarkStart w:id="218" w:name="_Toc1373"/>
      <w:bookmarkStart w:id="219" w:name="_Toc4952"/>
      <w:bookmarkStart w:id="220" w:name="_Toc274409868"/>
      <w:bookmarkStart w:id="221" w:name="_Toc18960"/>
      <w:bookmarkStart w:id="222" w:name="_Toc17146"/>
      <w:bookmarkStart w:id="223" w:name="_Toc15806"/>
      <w:bookmarkStart w:id="224" w:name="_Toc4563"/>
      <w:bookmarkStart w:id="225" w:name="_Toc22979"/>
      <w:bookmarkStart w:id="226" w:name="_Toc455080111"/>
      <w:bookmarkStart w:id="227" w:name="_Toc318450677"/>
      <w:bookmarkStart w:id="228" w:name="_Toc455867771"/>
      <w:bookmarkStart w:id="229" w:name="_Toc490667830"/>
      <w:bookmarkStart w:id="230" w:name="_Toc466298094"/>
      <w:bookmarkStart w:id="231" w:name="_Toc16931"/>
      <w:bookmarkStart w:id="232" w:name="_Toc4122"/>
      <w:bookmarkStart w:id="233" w:name="_Toc3477"/>
      <w:bookmarkStart w:id="234" w:name="_Toc30947"/>
      <w:bookmarkStart w:id="235" w:name="_Toc281405469"/>
      <w:bookmarkStart w:id="236" w:name="_Toc17016"/>
      <w:r>
        <w:rPr>
          <w:rFonts w:hint="eastAsia" w:ascii="宋体" w:hAnsi="宋体" w:eastAsia="宋体" w:cs="宋体"/>
          <w:b/>
          <w:bCs/>
          <w:color w:val="auto"/>
          <w:kern w:val="2"/>
          <w:sz w:val="24"/>
          <w:szCs w:val="24"/>
          <w:lang w:val="en-US" w:eastAsia="zh-CN" w:bidi="ar-SA"/>
        </w:rPr>
        <w:t>1.3 定义及解释</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22575729">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1.3.1采购人：依法进行政府采购的国家机关、事业单位、团体组织。</w:t>
      </w:r>
    </w:p>
    <w:p w14:paraId="7734F792">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1.3.2采购代理机构：取得政府采购招标代理资质，受采购人委托组织招标活动的社会中介组织。</w:t>
      </w:r>
    </w:p>
    <w:p w14:paraId="43EDFBDB">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1.3.3服务：系指根据本磋商文件规定供应商须承担的服务以及其他类似的义务等。</w:t>
      </w:r>
    </w:p>
    <w:p w14:paraId="130D95CA">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1.3.4供应商：供应商是响应磋商文件、参加磋商竞争的中华人民共和国境内的法人、其它组织。</w:t>
      </w:r>
    </w:p>
    <w:p w14:paraId="7F243DDA">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1.3.5响应文件：指供应商根据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提交的所有文件。</w:t>
      </w:r>
    </w:p>
    <w:p w14:paraId="54F7720F">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1.3.6磋商小组：依据</w:t>
      </w:r>
      <w:r>
        <w:rPr>
          <w:rFonts w:hint="eastAsia" w:ascii="宋体" w:hAnsi="宋体" w:eastAsia="宋体" w:cs="宋体"/>
          <w:color w:val="auto"/>
          <w:sz w:val="24"/>
          <w:szCs w:val="24"/>
          <w:lang w:bidi="en-US"/>
        </w:rPr>
        <w:t>《中华人民共和国政府采购法》及有关法律、法规的规定依法组建的专门负责本次评标工作的临时机构</w:t>
      </w:r>
      <w:r>
        <w:rPr>
          <w:rFonts w:hint="eastAsia" w:ascii="宋体" w:hAnsi="宋体" w:eastAsia="宋体" w:cs="宋体"/>
          <w:color w:val="auto"/>
          <w:sz w:val="24"/>
          <w:szCs w:val="24"/>
        </w:rPr>
        <w:t>。</w:t>
      </w:r>
    </w:p>
    <w:p w14:paraId="5B6C0109">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1.3.7偏离：响应文件的响应相对于</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要求的偏差，该偏差优于</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要求的为正偏离；劣于的，为负偏离。</w:t>
      </w:r>
    </w:p>
    <w:p w14:paraId="7AF6CB92">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1.3.8“日期”或“天”：指日历天。</w:t>
      </w:r>
    </w:p>
    <w:p w14:paraId="7BCFF192">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1.3.9合同：指依据本次服务采购招标结果签订的协议或合约文件。</w:t>
      </w:r>
    </w:p>
    <w:p w14:paraId="0290CB14">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1.3.10</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中的标题或题名仅起引导作用，而不应视为对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内容的理解和解释。</w:t>
      </w:r>
    </w:p>
    <w:bookmarkEnd w:id="194"/>
    <w:bookmarkEnd w:id="195"/>
    <w:bookmarkEnd w:id="196"/>
    <w:p w14:paraId="38F704E4">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237" w:name="_Toc12752"/>
      <w:bookmarkStart w:id="238" w:name="_Toc144974500"/>
      <w:bookmarkStart w:id="239" w:name="_Toc19363"/>
      <w:bookmarkStart w:id="240" w:name="_Toc152042308"/>
      <w:bookmarkStart w:id="241" w:name="_Toc17908"/>
      <w:bookmarkStart w:id="242" w:name="_Toc17808"/>
      <w:bookmarkStart w:id="243" w:name="_Toc32236"/>
      <w:bookmarkStart w:id="244" w:name="_Toc21766"/>
      <w:bookmarkStart w:id="245" w:name="_Toc10894"/>
      <w:bookmarkStart w:id="246" w:name="_Toc27407"/>
      <w:bookmarkStart w:id="247" w:name="_Toc14043"/>
      <w:bookmarkStart w:id="248" w:name="_Toc152045532"/>
      <w:bookmarkStart w:id="249" w:name="_Toc16470"/>
      <w:bookmarkStart w:id="250" w:name="_Toc318450678"/>
      <w:bookmarkStart w:id="251" w:name="_Toc455867772"/>
      <w:bookmarkStart w:id="252" w:name="_Toc466298095"/>
      <w:bookmarkStart w:id="253" w:name="_Toc490667831"/>
      <w:bookmarkStart w:id="254" w:name="_Toc455080112"/>
      <w:bookmarkStart w:id="255" w:name="_Toc3614"/>
      <w:bookmarkStart w:id="256" w:name="_Toc24472"/>
      <w:bookmarkStart w:id="257" w:name="_Toc18067"/>
      <w:r>
        <w:rPr>
          <w:rFonts w:hint="eastAsia" w:ascii="宋体" w:hAnsi="宋体" w:eastAsia="宋体" w:cs="宋体"/>
          <w:b/>
          <w:bCs/>
          <w:color w:val="auto"/>
          <w:kern w:val="2"/>
          <w:sz w:val="24"/>
          <w:szCs w:val="24"/>
          <w:lang w:val="en-US" w:eastAsia="zh-CN" w:bidi="ar-SA"/>
        </w:rPr>
        <w:t>1.4 磋商内容、质量要求、服务期限、付款方式和</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Fonts w:hint="eastAsia" w:ascii="宋体" w:hAnsi="宋体" w:eastAsia="宋体" w:cs="宋体"/>
          <w:b/>
          <w:bCs/>
          <w:color w:val="auto"/>
          <w:kern w:val="2"/>
          <w:sz w:val="24"/>
          <w:szCs w:val="24"/>
          <w:lang w:val="en-US" w:eastAsia="zh-CN" w:bidi="ar-SA"/>
        </w:rPr>
        <w:t>资格审查方式</w:t>
      </w:r>
      <w:bookmarkEnd w:id="255"/>
      <w:bookmarkEnd w:id="256"/>
      <w:bookmarkEnd w:id="257"/>
    </w:p>
    <w:p w14:paraId="778960CF">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1.4.1 本次</w:t>
      </w:r>
      <w:r>
        <w:rPr>
          <w:rFonts w:hint="eastAsia" w:ascii="宋体" w:hAnsi="宋体" w:eastAsia="宋体" w:cs="宋体"/>
          <w:color w:val="auto"/>
          <w:sz w:val="24"/>
          <w:szCs w:val="24"/>
          <w:lang w:eastAsia="zh-CN"/>
        </w:rPr>
        <w:t>磋商内容</w:t>
      </w:r>
      <w:r>
        <w:rPr>
          <w:rFonts w:hint="eastAsia" w:ascii="宋体" w:hAnsi="宋体" w:eastAsia="宋体" w:cs="宋体"/>
          <w:color w:val="auto"/>
          <w:sz w:val="24"/>
          <w:szCs w:val="24"/>
        </w:rPr>
        <w:t>：见供应商须知前附表。</w:t>
      </w:r>
    </w:p>
    <w:p w14:paraId="4D8C6A5F">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1.4.2 本项目的质量要求：见供应商须知前附表。</w:t>
      </w:r>
    </w:p>
    <w:p w14:paraId="614F1643">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1.4.3本项目的</w:t>
      </w:r>
      <w:r>
        <w:rPr>
          <w:rFonts w:hint="eastAsia" w:ascii="宋体" w:hAnsi="宋体" w:eastAsia="宋体" w:cs="宋体"/>
          <w:color w:val="auto"/>
          <w:sz w:val="24"/>
          <w:szCs w:val="24"/>
          <w:lang w:eastAsia="zh-CN"/>
        </w:rPr>
        <w:t>服务期限</w:t>
      </w:r>
      <w:r>
        <w:rPr>
          <w:rFonts w:hint="eastAsia" w:ascii="宋体" w:hAnsi="宋体" w:eastAsia="宋体" w:cs="宋体"/>
          <w:color w:val="auto"/>
          <w:sz w:val="24"/>
          <w:szCs w:val="24"/>
        </w:rPr>
        <w:t>：见供应商须知前附表。</w:t>
      </w:r>
    </w:p>
    <w:p w14:paraId="3431B4BD">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1.4.</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本项目的</w:t>
      </w:r>
      <w:r>
        <w:rPr>
          <w:rFonts w:hint="eastAsia" w:ascii="宋体" w:hAnsi="宋体" w:eastAsia="宋体" w:cs="宋体"/>
          <w:color w:val="auto"/>
          <w:sz w:val="24"/>
          <w:szCs w:val="24"/>
          <w:lang w:val="en-US" w:eastAsia="zh-CN"/>
        </w:rPr>
        <w:t>付款方式</w:t>
      </w:r>
      <w:r>
        <w:rPr>
          <w:rFonts w:hint="eastAsia" w:ascii="宋体" w:hAnsi="宋体" w:eastAsia="宋体" w:cs="宋体"/>
          <w:color w:val="auto"/>
          <w:sz w:val="24"/>
          <w:szCs w:val="24"/>
        </w:rPr>
        <w:t>：见供应商须知前附表。</w:t>
      </w:r>
    </w:p>
    <w:p w14:paraId="08F311A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1.4.5</w:t>
      </w:r>
      <w:r>
        <w:rPr>
          <w:rFonts w:hint="eastAsia" w:ascii="宋体" w:hAnsi="宋体" w:eastAsia="宋体" w:cs="宋体"/>
          <w:color w:val="auto"/>
          <w:sz w:val="24"/>
          <w:szCs w:val="24"/>
        </w:rPr>
        <w:t>本项目的</w:t>
      </w:r>
      <w:r>
        <w:rPr>
          <w:rFonts w:hint="eastAsia" w:ascii="宋体" w:hAnsi="宋体" w:eastAsia="宋体" w:cs="宋体"/>
          <w:color w:val="auto"/>
          <w:sz w:val="24"/>
          <w:szCs w:val="24"/>
          <w:lang w:val="en-US" w:eastAsia="zh-CN"/>
        </w:rPr>
        <w:t>资格审查方式：</w:t>
      </w:r>
      <w:r>
        <w:rPr>
          <w:rFonts w:hint="eastAsia" w:ascii="宋体" w:hAnsi="宋体" w:eastAsia="宋体" w:cs="宋体"/>
          <w:color w:val="auto"/>
          <w:sz w:val="24"/>
          <w:szCs w:val="24"/>
        </w:rPr>
        <w:t>见供应商须知前附表。</w:t>
      </w:r>
    </w:p>
    <w:p w14:paraId="09E2A011">
      <w:pPr>
        <w:keepNext w:val="0"/>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258" w:name="_Toc318450679"/>
      <w:bookmarkStart w:id="259" w:name="_Toc152042310"/>
      <w:bookmarkStart w:id="260" w:name="_Toc152045534"/>
      <w:bookmarkStart w:id="261" w:name="_Toc144974502"/>
      <w:bookmarkStart w:id="262" w:name="_Toc490667832"/>
      <w:bookmarkStart w:id="263" w:name="_Toc455867773"/>
      <w:bookmarkStart w:id="264" w:name="_Toc1602"/>
      <w:bookmarkStart w:id="265" w:name="_Toc466298096"/>
      <w:bookmarkStart w:id="266" w:name="_Toc30762"/>
      <w:bookmarkStart w:id="267" w:name="_Toc18689"/>
      <w:bookmarkStart w:id="268" w:name="_Toc4301"/>
      <w:bookmarkStart w:id="269" w:name="_Toc18004"/>
      <w:bookmarkStart w:id="270" w:name="_Toc7209"/>
      <w:bookmarkStart w:id="271" w:name="_Toc32156"/>
      <w:bookmarkStart w:id="272" w:name="_Toc22643"/>
      <w:bookmarkStart w:id="273" w:name="_Toc30405"/>
      <w:bookmarkStart w:id="274" w:name="_Toc6698"/>
      <w:bookmarkStart w:id="275" w:name="_Toc11063"/>
      <w:bookmarkStart w:id="276" w:name="_Toc4711"/>
      <w:bookmarkStart w:id="277" w:name="_Toc455080113"/>
      <w:bookmarkStart w:id="278" w:name="_Toc5019"/>
      <w:r>
        <w:rPr>
          <w:rFonts w:hint="eastAsia" w:ascii="宋体" w:hAnsi="宋体" w:eastAsia="宋体" w:cs="宋体"/>
          <w:b/>
          <w:bCs/>
          <w:color w:val="auto"/>
          <w:kern w:val="2"/>
          <w:sz w:val="24"/>
          <w:szCs w:val="24"/>
          <w:lang w:val="en-US" w:eastAsia="zh-CN" w:bidi="ar-SA"/>
        </w:rPr>
        <w:t xml:space="preserve">1.5 </w:t>
      </w:r>
      <w:bookmarkEnd w:id="258"/>
      <w:bookmarkEnd w:id="259"/>
      <w:bookmarkEnd w:id="260"/>
      <w:bookmarkEnd w:id="261"/>
      <w:r>
        <w:rPr>
          <w:rFonts w:hint="eastAsia" w:ascii="宋体" w:hAnsi="宋体" w:eastAsia="宋体" w:cs="宋体"/>
          <w:b/>
          <w:bCs/>
          <w:color w:val="auto"/>
          <w:kern w:val="2"/>
          <w:sz w:val="24"/>
          <w:szCs w:val="24"/>
          <w:lang w:val="en-US" w:eastAsia="zh-CN" w:bidi="ar-SA"/>
        </w:rPr>
        <w:t>供应商资质条件和能力</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009D10C5">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bookmarkStart w:id="279" w:name="_Toc18919"/>
      <w:bookmarkStart w:id="280" w:name="_Toc16889"/>
      <w:bookmarkStart w:id="281" w:name="_Toc32189"/>
      <w:bookmarkStart w:id="282" w:name="_Toc981"/>
      <w:bookmarkStart w:id="283" w:name="_Toc10042"/>
      <w:bookmarkStart w:id="284" w:name="_Toc5162"/>
      <w:bookmarkStart w:id="285" w:name="_Toc466298097"/>
      <w:bookmarkStart w:id="286" w:name="_Toc11905"/>
      <w:bookmarkStart w:id="287" w:name="_Toc651"/>
      <w:bookmarkStart w:id="288" w:name="_Toc152045535"/>
      <w:bookmarkStart w:id="289" w:name="_Toc31854"/>
      <w:bookmarkStart w:id="290" w:name="_Toc455080114"/>
      <w:bookmarkStart w:id="291" w:name="_Toc318450680"/>
      <w:bookmarkStart w:id="292" w:name="_Toc9505"/>
      <w:bookmarkStart w:id="293" w:name="_Toc12403"/>
      <w:bookmarkStart w:id="294" w:name="_Toc144974503"/>
      <w:bookmarkStart w:id="295" w:name="_Toc28135"/>
      <w:bookmarkStart w:id="296" w:name="_Toc455867774"/>
      <w:bookmarkStart w:id="297" w:name="_Toc490667833"/>
      <w:bookmarkStart w:id="298" w:name="_Toc32446"/>
      <w:bookmarkStart w:id="299" w:name="_Toc152042311"/>
      <w:r>
        <w:rPr>
          <w:rFonts w:hint="eastAsia" w:ascii="宋体" w:hAnsi="宋体" w:eastAsia="宋体" w:cs="宋体"/>
          <w:b w:val="0"/>
          <w:color w:val="auto"/>
          <w:kern w:val="2"/>
          <w:sz w:val="24"/>
          <w:szCs w:val="24"/>
          <w:lang w:val="en-US" w:eastAsia="zh-CN" w:bidi="ar-SA"/>
        </w:rPr>
        <w:t>1.5.1供应商资质及能力要求：见供应商须知前附表。</w:t>
      </w:r>
    </w:p>
    <w:p w14:paraId="5DDE9B20">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1.5.2是否接受联合体：见供应商须知前附表。</w:t>
      </w:r>
    </w:p>
    <w:p w14:paraId="7A0707EB">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1.5.3投标供应商不得存在下列情形:</w:t>
      </w:r>
    </w:p>
    <w:p w14:paraId="05609C8A">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(1)与采购人存在利害关系且可能影响采购公正性；</w:t>
      </w:r>
    </w:p>
    <w:p w14:paraId="7BBF8061">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(2)与本采购项目的其他投标供应商为同一个单位负责人；</w:t>
      </w:r>
    </w:p>
    <w:p w14:paraId="4836B79B">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(3)与本采购项目的其他投标供应商存在直接控股、管理关系；</w:t>
      </w:r>
    </w:p>
    <w:p w14:paraId="40155E46">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(4)为本采购项目提供整体设计、规范编制或者项目管理、监理、检测等服务；</w:t>
      </w:r>
    </w:p>
    <w:p w14:paraId="16651AB4">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(5)为本采购项目的采购代理机构或与采购代理机构同为一个法定代表人；</w:t>
      </w:r>
    </w:p>
    <w:p w14:paraId="151FDD7D">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(6)因违法经营受到刑事处罚或者责令停产停业、吊销许可证或者执照、较大数额罚款等行政处罚；</w:t>
      </w:r>
    </w:p>
    <w:p w14:paraId="39D1BBD6">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(7)进入清算程序，或被宣告破产，或其他丧失履约能力的情形；</w:t>
      </w:r>
    </w:p>
    <w:p w14:paraId="1303562C">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(8)法律法规或投标供应商须知前附表规定的其他情形。</w:t>
      </w:r>
    </w:p>
    <w:p w14:paraId="3271A8B0">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1.6 费用承担</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02219C2B">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供应商准备和参加磋商活动发生的费用自理，不论磋商的结果如何，采购人和采购代理机构在任何情况下均无义务和责任承担这些费用。</w:t>
      </w:r>
    </w:p>
    <w:p w14:paraId="5DC1FBAA">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300" w:name="_Toc22136"/>
      <w:bookmarkStart w:id="301" w:name="_Toc5402"/>
      <w:bookmarkStart w:id="302" w:name="_Toc152045536"/>
      <w:bookmarkStart w:id="303" w:name="_Toc455080115"/>
      <w:bookmarkStart w:id="304" w:name="_Toc152042312"/>
      <w:bookmarkStart w:id="305" w:name="_Toc466298098"/>
      <w:bookmarkStart w:id="306" w:name="_Toc6014"/>
      <w:bookmarkStart w:id="307" w:name="_Toc8055"/>
      <w:bookmarkStart w:id="308" w:name="_Toc20145"/>
      <w:bookmarkStart w:id="309" w:name="_Toc22800"/>
      <w:bookmarkStart w:id="310" w:name="_Toc144974504"/>
      <w:bookmarkStart w:id="311" w:name="_Toc318450681"/>
      <w:bookmarkStart w:id="312" w:name="_Toc7754"/>
      <w:bookmarkStart w:id="313" w:name="_Toc32053"/>
      <w:bookmarkStart w:id="314" w:name="_Toc490667834"/>
      <w:bookmarkStart w:id="315" w:name="_Toc455867775"/>
      <w:bookmarkStart w:id="316" w:name="_Toc2622"/>
      <w:bookmarkStart w:id="317" w:name="_Toc1879"/>
      <w:bookmarkStart w:id="318" w:name="_Toc10457"/>
      <w:bookmarkStart w:id="319" w:name="_Toc15120"/>
      <w:bookmarkStart w:id="320" w:name="_Toc24601"/>
      <w:r>
        <w:rPr>
          <w:rFonts w:hint="eastAsia" w:ascii="宋体" w:hAnsi="宋体" w:eastAsia="宋体" w:cs="宋体"/>
          <w:b/>
          <w:bCs/>
          <w:color w:val="auto"/>
          <w:kern w:val="2"/>
          <w:sz w:val="24"/>
          <w:szCs w:val="24"/>
          <w:lang w:val="en-US" w:eastAsia="zh-CN" w:bidi="ar-SA"/>
        </w:rPr>
        <w:t>1.7 保密</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p>
    <w:p w14:paraId="520B9FEE">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参与磋商活动的各方应对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 xml:space="preserve">和响应文件中的商业和技术等秘密保密，违者应对由此造成的后果承担法律责任。 </w:t>
      </w:r>
    </w:p>
    <w:p w14:paraId="3B3DB6A2">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321" w:name="_Toc144974505"/>
      <w:bookmarkStart w:id="322" w:name="_Toc13976"/>
      <w:bookmarkStart w:id="323" w:name="_Toc318450682"/>
      <w:bookmarkStart w:id="324" w:name="_Toc12517"/>
      <w:bookmarkStart w:id="325" w:name="_Toc7031"/>
      <w:bookmarkStart w:id="326" w:name="_Toc152042313"/>
      <w:bookmarkStart w:id="327" w:name="_Toc15673"/>
      <w:bookmarkStart w:id="328" w:name="_Toc30747"/>
      <w:bookmarkStart w:id="329" w:name="_Toc25517"/>
      <w:bookmarkStart w:id="330" w:name="_Toc152045537"/>
      <w:bookmarkStart w:id="331" w:name="_Toc21089"/>
      <w:bookmarkStart w:id="332" w:name="_Toc6615"/>
      <w:bookmarkStart w:id="333" w:name="_Toc455867776"/>
      <w:bookmarkStart w:id="334" w:name="_Toc3628"/>
      <w:bookmarkStart w:id="335" w:name="_Toc30583"/>
      <w:bookmarkStart w:id="336" w:name="_Toc490667835"/>
      <w:bookmarkStart w:id="337" w:name="_Toc466298099"/>
      <w:bookmarkStart w:id="338" w:name="_Toc3421"/>
      <w:bookmarkStart w:id="339" w:name="_Toc25921"/>
      <w:bookmarkStart w:id="340" w:name="_Toc455080116"/>
      <w:bookmarkStart w:id="341" w:name="_Toc14775"/>
      <w:r>
        <w:rPr>
          <w:rFonts w:hint="eastAsia" w:ascii="宋体" w:hAnsi="宋体" w:eastAsia="宋体" w:cs="宋体"/>
          <w:b/>
          <w:bCs/>
          <w:color w:val="auto"/>
          <w:kern w:val="2"/>
          <w:sz w:val="24"/>
          <w:szCs w:val="24"/>
          <w:lang w:val="en-US" w:eastAsia="zh-CN" w:bidi="ar-SA"/>
        </w:rPr>
        <w:t>1.8 语言</w:t>
      </w:r>
      <w:bookmarkEnd w:id="321"/>
      <w:r>
        <w:rPr>
          <w:rFonts w:hint="eastAsia" w:ascii="宋体" w:hAnsi="宋体" w:eastAsia="宋体" w:cs="宋体"/>
          <w:b/>
          <w:bCs/>
          <w:color w:val="auto"/>
          <w:kern w:val="2"/>
          <w:sz w:val="24"/>
          <w:szCs w:val="24"/>
          <w:lang w:val="en-US" w:eastAsia="zh-CN" w:bidi="ar-SA"/>
        </w:rPr>
        <w:t>文字</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43E3BCBD">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除专用术语外，与磋商有关的语言均使用中文。必要时专用术语应附有中文注释，</w:t>
      </w:r>
      <w:r>
        <w:rPr>
          <w:rFonts w:hint="eastAsia" w:ascii="宋体" w:hAnsi="宋体" w:eastAsia="宋体" w:cs="宋体"/>
          <w:color w:val="auto"/>
          <w:sz w:val="24"/>
          <w:szCs w:val="24"/>
          <w:lang w:bidi="en-US"/>
        </w:rPr>
        <w:t>对不同文字文本响应文件的解释发生异议的，以中文文本为准。</w:t>
      </w:r>
    </w:p>
    <w:p w14:paraId="1AE88436">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342" w:name="_Toc455080117"/>
      <w:bookmarkStart w:id="343" w:name="_Toc24337"/>
      <w:bookmarkStart w:id="344" w:name="_Toc4501"/>
      <w:bookmarkStart w:id="345" w:name="_Toc318450683"/>
      <w:bookmarkStart w:id="346" w:name="_Toc32507"/>
      <w:bookmarkStart w:id="347" w:name="_Toc144974506"/>
      <w:bookmarkStart w:id="348" w:name="_Toc22415"/>
      <w:bookmarkStart w:id="349" w:name="_Toc152042314"/>
      <w:bookmarkStart w:id="350" w:name="_Toc4237"/>
      <w:bookmarkStart w:id="351" w:name="_Toc22378"/>
      <w:bookmarkStart w:id="352" w:name="_Toc152045538"/>
      <w:bookmarkStart w:id="353" w:name="_Toc9446"/>
      <w:bookmarkStart w:id="354" w:name="_Toc534"/>
      <w:bookmarkStart w:id="355" w:name="_Toc21516"/>
      <w:bookmarkStart w:id="356" w:name="_Toc18357"/>
      <w:bookmarkStart w:id="357" w:name="_Toc2702"/>
      <w:bookmarkStart w:id="358" w:name="_Toc466298100"/>
      <w:bookmarkStart w:id="359" w:name="_Toc28755"/>
      <w:bookmarkStart w:id="360" w:name="_Toc14934"/>
      <w:bookmarkStart w:id="361" w:name="_Toc490667836"/>
      <w:bookmarkStart w:id="362" w:name="_Toc455867777"/>
      <w:r>
        <w:rPr>
          <w:rFonts w:hint="eastAsia" w:ascii="宋体" w:hAnsi="宋体" w:eastAsia="宋体" w:cs="宋体"/>
          <w:b/>
          <w:bCs/>
          <w:color w:val="auto"/>
          <w:kern w:val="2"/>
          <w:sz w:val="24"/>
          <w:szCs w:val="24"/>
          <w:lang w:val="en-US" w:eastAsia="zh-CN" w:bidi="ar-SA"/>
        </w:rPr>
        <w:t>1.9 计量单位</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10D87C7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所有计量均采用中华人民共和国法定计量单位。</w:t>
      </w:r>
    </w:p>
    <w:p w14:paraId="7CAFE59F">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363" w:name="_Toc490667837"/>
      <w:bookmarkStart w:id="364" w:name="_Toc12027"/>
      <w:bookmarkStart w:id="365" w:name="_Toc318450684"/>
      <w:bookmarkStart w:id="366" w:name="_Toc18589"/>
      <w:bookmarkStart w:id="367" w:name="_Toc13675"/>
      <w:bookmarkStart w:id="368" w:name="_Toc144974508"/>
      <w:bookmarkStart w:id="369" w:name="_Toc455080118"/>
      <w:bookmarkStart w:id="370" w:name="_Toc284"/>
      <w:bookmarkStart w:id="371" w:name="_Toc455867778"/>
      <w:bookmarkStart w:id="372" w:name="_Toc27570"/>
      <w:bookmarkStart w:id="373" w:name="_Toc338"/>
      <w:bookmarkStart w:id="374" w:name="_Toc152045540"/>
      <w:bookmarkStart w:id="375" w:name="_Toc31195"/>
      <w:bookmarkStart w:id="376" w:name="_Toc19685"/>
      <w:bookmarkStart w:id="377" w:name="_Toc2508"/>
      <w:bookmarkStart w:id="378" w:name="_Toc29845"/>
      <w:bookmarkStart w:id="379" w:name="_Toc466298101"/>
      <w:bookmarkStart w:id="380" w:name="_Toc152042316"/>
      <w:bookmarkStart w:id="381" w:name="_Toc13277"/>
      <w:bookmarkStart w:id="382" w:name="_Toc31462"/>
      <w:bookmarkStart w:id="383" w:name="_Toc4044"/>
      <w:r>
        <w:rPr>
          <w:rFonts w:hint="eastAsia" w:ascii="宋体" w:hAnsi="宋体" w:eastAsia="宋体" w:cs="宋体"/>
          <w:b/>
          <w:bCs/>
          <w:color w:val="auto"/>
          <w:kern w:val="2"/>
          <w:sz w:val="24"/>
          <w:szCs w:val="24"/>
          <w:lang w:val="en-US" w:eastAsia="zh-CN" w:bidi="ar-SA"/>
        </w:rPr>
        <w:t xml:space="preserve">1.10 </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rPr>
          <w:rFonts w:hint="eastAsia" w:ascii="宋体" w:hAnsi="宋体" w:eastAsia="宋体" w:cs="宋体"/>
          <w:b/>
          <w:bCs/>
          <w:color w:val="auto"/>
          <w:kern w:val="2"/>
          <w:sz w:val="24"/>
          <w:szCs w:val="24"/>
          <w:lang w:val="en-US" w:eastAsia="zh-CN" w:bidi="ar-SA"/>
        </w:rPr>
        <w:t>现场踏勘</w:t>
      </w:r>
      <w:bookmarkEnd w:id="381"/>
    </w:p>
    <w:p w14:paraId="7D46FDA8">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val="0"/>
          <w:bCs w:val="0"/>
          <w:color w:val="auto"/>
          <w:kern w:val="2"/>
          <w:sz w:val="24"/>
          <w:szCs w:val="24"/>
          <w:lang w:val="en-US" w:eastAsia="zh-CN" w:bidi="ar-SA"/>
        </w:rPr>
      </w:pPr>
      <w:bookmarkStart w:id="384" w:name="_Toc11622"/>
      <w:r>
        <w:rPr>
          <w:rFonts w:hint="eastAsia" w:ascii="宋体" w:hAnsi="宋体" w:eastAsia="宋体" w:cs="宋体"/>
          <w:b w:val="0"/>
          <w:bCs w:val="0"/>
          <w:color w:val="auto"/>
          <w:kern w:val="2"/>
          <w:sz w:val="24"/>
          <w:szCs w:val="24"/>
          <w:lang w:val="en-US" w:eastAsia="zh-CN" w:bidi="ar-SA"/>
        </w:rPr>
        <w:t>自行踏勘，与之相关的费用，供应商自行承担。</w:t>
      </w:r>
      <w:bookmarkEnd w:id="382"/>
      <w:bookmarkEnd w:id="383"/>
      <w:bookmarkEnd w:id="384"/>
    </w:p>
    <w:p w14:paraId="0CDB74F0">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385" w:name="_Toc32757"/>
      <w:bookmarkStart w:id="386" w:name="_Toc20185"/>
      <w:bookmarkStart w:id="387" w:name="_Toc490667838"/>
      <w:bookmarkStart w:id="388" w:name="_Toc466298102"/>
      <w:bookmarkStart w:id="389" w:name="_Toc25208"/>
      <w:bookmarkStart w:id="390" w:name="_Toc24262"/>
      <w:bookmarkStart w:id="391" w:name="_Toc455867779"/>
      <w:bookmarkStart w:id="392" w:name="_Toc152042317"/>
      <w:bookmarkStart w:id="393" w:name="_Toc455080119"/>
      <w:bookmarkStart w:id="394" w:name="_Toc144974509"/>
      <w:bookmarkStart w:id="395" w:name="_Toc23635"/>
      <w:bookmarkStart w:id="396" w:name="_Toc9182"/>
      <w:bookmarkStart w:id="397" w:name="_Toc5765"/>
      <w:bookmarkStart w:id="398" w:name="_Toc23678"/>
      <w:bookmarkStart w:id="399" w:name="_Toc3853"/>
      <w:bookmarkStart w:id="400" w:name="_Toc12562"/>
      <w:bookmarkStart w:id="401" w:name="_Toc11744"/>
      <w:bookmarkStart w:id="402" w:name="_Toc318450685"/>
      <w:bookmarkStart w:id="403" w:name="_Toc23842"/>
      <w:bookmarkStart w:id="404" w:name="_Toc152045541"/>
      <w:bookmarkStart w:id="405" w:name="_Toc31725"/>
      <w:r>
        <w:rPr>
          <w:rFonts w:hint="eastAsia" w:ascii="宋体" w:hAnsi="宋体" w:eastAsia="宋体" w:cs="宋体"/>
          <w:b/>
          <w:bCs/>
          <w:color w:val="auto"/>
          <w:kern w:val="2"/>
          <w:sz w:val="24"/>
          <w:szCs w:val="24"/>
          <w:lang w:val="en-US" w:eastAsia="zh-CN" w:bidi="ar-SA"/>
        </w:rPr>
        <w:t>1.11分包</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p>
    <w:p w14:paraId="62DC17A6">
      <w:pPr>
        <w:pageBreakBefore w:val="0"/>
        <w:kinsoku/>
        <w:wordWrap/>
        <w:overflowPunct/>
        <w:topLinePunct w:val="0"/>
        <w:bidi w:val="0"/>
        <w:snapToGrid/>
        <w:spacing w:line="500" w:lineRule="exact"/>
        <w:ind w:firstLine="648" w:firstLineChars="27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是否允许分包：见供应商须知前附表。</w:t>
      </w:r>
      <w:bookmarkStart w:id="406" w:name="_Toc152045542"/>
      <w:bookmarkStart w:id="407" w:name="_Toc144974510"/>
      <w:bookmarkStart w:id="408" w:name="_Toc152042318"/>
      <w:bookmarkStart w:id="409" w:name="_Toc455080120"/>
    </w:p>
    <w:p w14:paraId="3B77346F">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410" w:name="_Toc24087"/>
      <w:r>
        <w:rPr>
          <w:rFonts w:hint="eastAsia" w:ascii="宋体" w:hAnsi="宋体" w:eastAsia="宋体" w:cs="宋体"/>
          <w:b/>
          <w:bCs/>
          <w:color w:val="auto"/>
          <w:kern w:val="2"/>
          <w:sz w:val="24"/>
          <w:szCs w:val="24"/>
          <w:lang w:val="en-US" w:eastAsia="zh-CN" w:bidi="ar-SA"/>
        </w:rPr>
        <w:t>1.12偏离</w:t>
      </w:r>
      <w:bookmarkEnd w:id="410"/>
    </w:p>
    <w:p w14:paraId="75183219">
      <w:pPr>
        <w:keepNext/>
        <w:keepLines/>
        <w:pageBreakBefore w:val="0"/>
        <w:widowControl w:val="0"/>
        <w:numPr>
          <w:ilvl w:val="2"/>
          <w:numId w:val="0"/>
        </w:numPr>
        <w:kinsoku/>
        <w:wordWrap/>
        <w:overflowPunct/>
        <w:topLinePunct w:val="0"/>
        <w:bidi w:val="0"/>
        <w:snapToGrid/>
        <w:spacing w:before="0" w:beforeLines="0" w:after="0" w:afterLines="0" w:line="500" w:lineRule="exact"/>
        <w:ind w:left="0" w:leftChars="0" w:firstLine="420" w:firstLineChars="175"/>
        <w:jc w:val="left"/>
        <w:textAlignment w:val="auto"/>
        <w:outlineLvl w:val="9"/>
        <w:rPr>
          <w:rFonts w:hint="eastAsia" w:ascii="宋体" w:hAnsi="宋体" w:eastAsia="宋体" w:cs="宋体"/>
          <w:b w:val="0"/>
          <w:bCs w:val="0"/>
          <w:color w:val="auto"/>
          <w:kern w:val="2"/>
          <w:sz w:val="24"/>
          <w:szCs w:val="24"/>
          <w:lang w:val="en-US" w:eastAsia="zh-CN" w:bidi="ar-SA"/>
        </w:rPr>
      </w:pPr>
      <w:bookmarkStart w:id="411" w:name="_Toc15146"/>
      <w:r>
        <w:rPr>
          <w:rFonts w:hint="eastAsia" w:ascii="宋体" w:hAnsi="宋体" w:eastAsia="宋体" w:cs="宋体"/>
          <w:b w:val="0"/>
          <w:bCs w:val="0"/>
          <w:color w:val="auto"/>
          <w:kern w:val="2"/>
          <w:sz w:val="24"/>
          <w:szCs w:val="24"/>
          <w:lang w:val="en-US" w:eastAsia="zh-CN" w:bidi="ar-SA"/>
        </w:rPr>
        <w:t>1.12.1响应文件应当对竞争性措施文件的实质性要求和条件作出满足性或更有利于采购人的响应，否则，投标供应商的响应将被否决。</w:t>
      </w:r>
      <w:bookmarkEnd w:id="411"/>
    </w:p>
    <w:bookmarkEnd w:id="406"/>
    <w:bookmarkEnd w:id="407"/>
    <w:bookmarkEnd w:id="408"/>
    <w:p w14:paraId="5D248181">
      <w:pPr>
        <w:pageBreakBefore w:val="0"/>
        <w:kinsoku/>
        <w:wordWrap/>
        <w:overflowPunct/>
        <w:topLinePunct w:val="0"/>
        <w:bidi w:val="0"/>
        <w:snapToGrid/>
        <w:spacing w:before="0" w:beforeLines="0" w:after="0" w:afterLines="0" w:line="500" w:lineRule="exact"/>
        <w:ind w:left="0" w:leftChars="0" w:firstLine="422" w:firstLineChars="175"/>
        <w:textAlignment w:val="auto"/>
        <w:outlineLvl w:val="1"/>
        <w:rPr>
          <w:rFonts w:hint="eastAsia" w:ascii="宋体" w:hAnsi="宋体" w:eastAsia="宋体" w:cs="宋体"/>
          <w:b/>
          <w:bCs/>
          <w:color w:val="auto"/>
          <w:sz w:val="24"/>
          <w:szCs w:val="24"/>
          <w:lang w:eastAsia="zh-CN"/>
        </w:rPr>
      </w:pPr>
      <w:bookmarkStart w:id="412" w:name="_Toc12453"/>
      <w:bookmarkStart w:id="413" w:name="_Toc21350"/>
      <w:r>
        <w:rPr>
          <w:rFonts w:hint="eastAsia" w:ascii="宋体" w:hAnsi="宋体" w:eastAsia="宋体" w:cs="宋体"/>
          <w:b/>
          <w:bCs/>
          <w:color w:val="auto"/>
          <w:sz w:val="24"/>
          <w:szCs w:val="24"/>
        </w:rPr>
        <w:t>2.</w:t>
      </w:r>
      <w:bookmarkEnd w:id="409"/>
      <w:bookmarkEnd w:id="412"/>
      <w:r>
        <w:rPr>
          <w:rFonts w:hint="eastAsia" w:ascii="宋体" w:hAnsi="宋体" w:eastAsia="宋体" w:cs="宋体"/>
          <w:b/>
          <w:bCs/>
          <w:color w:val="auto"/>
          <w:sz w:val="24"/>
          <w:szCs w:val="24"/>
          <w:lang w:eastAsia="zh-CN"/>
        </w:rPr>
        <w:t>竞争性磋商文件</w:t>
      </w:r>
      <w:bookmarkEnd w:id="413"/>
    </w:p>
    <w:p w14:paraId="03E8EC02">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414" w:name="_Toc10398"/>
      <w:bookmarkStart w:id="415" w:name="_Toc455867781"/>
      <w:bookmarkStart w:id="416" w:name="_Toc144974511"/>
      <w:bookmarkStart w:id="417" w:name="_Toc152042319"/>
      <w:bookmarkStart w:id="418" w:name="_Toc12004"/>
      <w:bookmarkStart w:id="419" w:name="_Toc11567"/>
      <w:bookmarkStart w:id="420" w:name="_Toc11599"/>
      <w:bookmarkStart w:id="421" w:name="_Toc16486"/>
      <w:bookmarkStart w:id="422" w:name="_Toc9780"/>
      <w:bookmarkStart w:id="423" w:name="_Toc23649"/>
      <w:bookmarkStart w:id="424" w:name="_Toc32711"/>
      <w:bookmarkStart w:id="425" w:name="_Toc12640"/>
      <w:bookmarkStart w:id="426" w:name="_Toc490667840"/>
      <w:bookmarkStart w:id="427" w:name="_Toc7999"/>
      <w:bookmarkStart w:id="428" w:name="_Toc1008"/>
      <w:bookmarkStart w:id="429" w:name="_Toc466298104"/>
      <w:bookmarkStart w:id="430" w:name="_Toc3982"/>
      <w:bookmarkStart w:id="431" w:name="_Toc455080121"/>
      <w:bookmarkStart w:id="432" w:name="_Toc152045543"/>
      <w:bookmarkStart w:id="433" w:name="_Toc16220"/>
      <w:bookmarkStart w:id="434" w:name="_Toc318450687"/>
      <w:r>
        <w:rPr>
          <w:rFonts w:hint="eastAsia" w:ascii="宋体" w:hAnsi="宋体" w:eastAsia="宋体" w:cs="宋体"/>
          <w:b/>
          <w:bCs/>
          <w:color w:val="auto"/>
          <w:kern w:val="2"/>
          <w:sz w:val="24"/>
          <w:szCs w:val="24"/>
          <w:lang w:val="en-US" w:eastAsia="zh-CN" w:bidi="ar-SA"/>
        </w:rPr>
        <w:t>2.1 竞争性磋商文件的组成</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760393FC">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本</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包括：</w:t>
      </w:r>
    </w:p>
    <w:p w14:paraId="41362C41">
      <w:pPr>
        <w:pageBreakBefore w:val="0"/>
        <w:kinsoku/>
        <w:wordWrap/>
        <w:overflowPunct/>
        <w:topLinePunct w:val="0"/>
        <w:bidi w:val="0"/>
        <w:snapToGrid/>
        <w:spacing w:line="500" w:lineRule="exact"/>
        <w:ind w:left="0" w:leftChars="0" w:firstLine="840" w:firstLineChars="3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竞争性磋商公告</w:t>
      </w:r>
      <w:r>
        <w:rPr>
          <w:rFonts w:hint="eastAsia" w:ascii="宋体" w:hAnsi="宋体" w:eastAsia="宋体" w:cs="宋体"/>
          <w:color w:val="auto"/>
          <w:sz w:val="24"/>
          <w:szCs w:val="24"/>
        </w:rPr>
        <w:t>；</w:t>
      </w:r>
    </w:p>
    <w:p w14:paraId="3354F5D7">
      <w:pPr>
        <w:pageBreakBefore w:val="0"/>
        <w:kinsoku/>
        <w:wordWrap/>
        <w:overflowPunct/>
        <w:topLinePunct w:val="0"/>
        <w:bidi w:val="0"/>
        <w:snapToGrid/>
        <w:spacing w:line="500" w:lineRule="exact"/>
        <w:ind w:left="0" w:leftChars="0" w:firstLine="840" w:firstLineChars="3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（2）供应商须知；</w:t>
      </w:r>
    </w:p>
    <w:p w14:paraId="66C9605D">
      <w:pPr>
        <w:pageBreakBefore w:val="0"/>
        <w:kinsoku/>
        <w:wordWrap/>
        <w:overflowPunct/>
        <w:topLinePunct w:val="0"/>
        <w:bidi w:val="0"/>
        <w:snapToGrid/>
        <w:spacing w:line="500" w:lineRule="exact"/>
        <w:ind w:left="0" w:leftChars="0" w:firstLine="840" w:firstLineChars="3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（3）评审办法；</w:t>
      </w:r>
    </w:p>
    <w:p w14:paraId="400D08DF">
      <w:pPr>
        <w:pageBreakBefore w:val="0"/>
        <w:kinsoku/>
        <w:wordWrap/>
        <w:overflowPunct/>
        <w:topLinePunct w:val="0"/>
        <w:bidi w:val="0"/>
        <w:snapToGrid/>
        <w:spacing w:line="500" w:lineRule="exact"/>
        <w:ind w:left="0" w:leftChars="0" w:firstLine="840" w:firstLineChars="3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r>
        <w:rPr>
          <w:rFonts w:hint="eastAsia" w:ascii="宋体" w:hAnsi="宋体" w:eastAsia="宋体" w:cs="宋体"/>
          <w:color w:val="auto"/>
          <w:sz w:val="24"/>
          <w:szCs w:val="24"/>
          <w:lang w:eastAsia="zh-CN"/>
        </w:rPr>
        <w:t>河南省政府采购合同</w:t>
      </w:r>
      <w:r>
        <w:rPr>
          <w:rFonts w:hint="eastAsia" w:ascii="宋体" w:hAnsi="宋体" w:eastAsia="宋体" w:cs="宋体"/>
          <w:color w:val="auto"/>
          <w:sz w:val="24"/>
          <w:szCs w:val="24"/>
        </w:rPr>
        <w:t>；</w:t>
      </w:r>
    </w:p>
    <w:p w14:paraId="7353CE76">
      <w:pPr>
        <w:pageBreakBefore w:val="0"/>
        <w:kinsoku/>
        <w:wordWrap/>
        <w:overflowPunct/>
        <w:topLinePunct w:val="0"/>
        <w:bidi w:val="0"/>
        <w:snapToGrid/>
        <w:spacing w:line="500" w:lineRule="exact"/>
        <w:ind w:left="0" w:leftChars="0" w:firstLine="840" w:firstLineChars="3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采购需求</w:t>
      </w:r>
      <w:r>
        <w:rPr>
          <w:rFonts w:hint="eastAsia" w:ascii="宋体" w:hAnsi="宋体" w:eastAsia="宋体" w:cs="宋体"/>
          <w:color w:val="auto"/>
          <w:sz w:val="24"/>
          <w:szCs w:val="24"/>
        </w:rPr>
        <w:t>；</w:t>
      </w:r>
    </w:p>
    <w:p w14:paraId="593E744C">
      <w:pPr>
        <w:pageBreakBefore w:val="0"/>
        <w:kinsoku/>
        <w:wordWrap/>
        <w:overflowPunct/>
        <w:topLinePunct w:val="0"/>
        <w:bidi w:val="0"/>
        <w:snapToGrid/>
        <w:spacing w:line="500" w:lineRule="exact"/>
        <w:ind w:left="0" w:leftChars="0" w:firstLine="840" w:firstLineChars="35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（6）</w:t>
      </w:r>
      <w:r>
        <w:rPr>
          <w:rFonts w:hint="eastAsia" w:ascii="宋体" w:hAnsi="宋体" w:eastAsia="宋体" w:cs="宋体"/>
          <w:color w:val="auto"/>
          <w:sz w:val="24"/>
          <w:szCs w:val="24"/>
          <w:lang w:eastAsia="zh-CN"/>
        </w:rPr>
        <w:t>响应文件格式</w:t>
      </w:r>
      <w:r>
        <w:rPr>
          <w:rFonts w:hint="eastAsia" w:ascii="宋体" w:hAnsi="宋体" w:eastAsia="宋体" w:cs="宋体"/>
          <w:color w:val="auto"/>
          <w:sz w:val="24"/>
          <w:szCs w:val="24"/>
        </w:rPr>
        <w:t>；</w:t>
      </w:r>
    </w:p>
    <w:p w14:paraId="03BA060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根据本章第2.2款和第2.3款对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所作的澄清、修改，构成</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的组成部分。</w:t>
      </w:r>
    </w:p>
    <w:p w14:paraId="5DCF752D">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435" w:name="_Toc15658"/>
      <w:bookmarkStart w:id="436" w:name="_Toc9575"/>
      <w:bookmarkStart w:id="437" w:name="_Toc12414"/>
      <w:bookmarkStart w:id="438" w:name="_Toc1079"/>
      <w:bookmarkStart w:id="439" w:name="_Toc152045546"/>
      <w:bookmarkStart w:id="440" w:name="_Toc152042322"/>
      <w:bookmarkStart w:id="441" w:name="_Toc144974514"/>
      <w:bookmarkStart w:id="442" w:name="_Toc455080124"/>
      <w:r>
        <w:rPr>
          <w:rFonts w:hint="eastAsia" w:ascii="宋体" w:hAnsi="宋体" w:eastAsia="宋体" w:cs="宋体"/>
          <w:b/>
          <w:bCs/>
          <w:color w:val="auto"/>
          <w:kern w:val="2"/>
          <w:sz w:val="24"/>
          <w:szCs w:val="24"/>
          <w:lang w:val="en-US" w:eastAsia="zh-CN" w:bidi="ar-SA"/>
        </w:rPr>
        <w:t>2.2 竞争性磋商文件的澄清</w:t>
      </w:r>
      <w:bookmarkEnd w:id="435"/>
      <w:bookmarkEnd w:id="436"/>
      <w:bookmarkEnd w:id="437"/>
      <w:bookmarkEnd w:id="438"/>
    </w:p>
    <w:p w14:paraId="5F8ECD0A">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2.2.1供应商应仔细阅读和检查</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全部内容。如发现缺页或附件不全，应及时向采购人提出，以便补齐。如有疑问，应在供应商须知前附表规定的时间前以书面形式（包括信函、电报、传真等可以有形表现所载内容的形式，下同），要求采购人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予以澄清。</w:t>
      </w:r>
    </w:p>
    <w:p w14:paraId="6945BCAD">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2.2.2 </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澄清将在供应商须知前附表规定的响应文件递交截止时间5天前在信阳市公共资源交易系统“变更公告”或“答疑文件”将澄清内容予以发布，但不指明澄清问题的来源。如果澄清的内容可能影响响应文件编制且发出的时间距响应文件递交截止时间不足5天，相应延长投标截止时间。</w:t>
      </w:r>
    </w:p>
    <w:p w14:paraId="08B8F80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2.2.3供应商应在响应文件递交截止时间前及时查看澄清内容，因供应商未及时查看而造成的后果自负。</w:t>
      </w:r>
    </w:p>
    <w:p w14:paraId="57DFC23A">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443" w:name="_Toc8263"/>
      <w:bookmarkStart w:id="444" w:name="_Toc5133"/>
      <w:bookmarkStart w:id="445" w:name="_Toc5355"/>
      <w:bookmarkStart w:id="446" w:name="_Toc6958"/>
      <w:r>
        <w:rPr>
          <w:rFonts w:hint="eastAsia" w:ascii="宋体" w:hAnsi="宋体" w:eastAsia="宋体" w:cs="宋体"/>
          <w:b/>
          <w:bCs/>
          <w:color w:val="auto"/>
          <w:kern w:val="2"/>
          <w:sz w:val="24"/>
          <w:szCs w:val="24"/>
          <w:lang w:val="en-US" w:eastAsia="zh-CN" w:bidi="ar-SA"/>
        </w:rPr>
        <w:t>2.3 竞争性磋商文件的修改</w:t>
      </w:r>
      <w:bookmarkEnd w:id="443"/>
      <w:bookmarkEnd w:id="444"/>
      <w:bookmarkEnd w:id="445"/>
      <w:bookmarkEnd w:id="446"/>
    </w:p>
    <w:p w14:paraId="2F5ADD5A">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2.3.1 在响应文件递交截止时间5天前，采购人可以修改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如有修改，应在信阳市公共资源交易系统“变更公告”或“答疑文件”将修改内容予以发布。如果修改的内容可能影响响应文件编制且发出的时间距响应文件递交截止时间不足5天，相应延长响应文件递交截止时间。</w:t>
      </w:r>
    </w:p>
    <w:p w14:paraId="7EF6F186">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2.3.2当</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的澄清、修改、补充等在同一内容的表述上不一致时，以最后在信阳市公共资源交易系统发出的文件为准。</w:t>
      </w:r>
    </w:p>
    <w:p w14:paraId="746D2E18">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2.3.3供应商应在响应文件递交截止时间前及时查看修改内容，因供应商未及时查看而造成的后果自负。</w:t>
      </w:r>
    </w:p>
    <w:p w14:paraId="6BE37245">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both"/>
        <w:textAlignment w:val="auto"/>
        <w:outlineLvl w:val="1"/>
        <w:rPr>
          <w:rFonts w:hint="eastAsia" w:ascii="宋体" w:hAnsi="宋体" w:eastAsia="宋体" w:cs="宋体"/>
          <w:b/>
          <w:bCs/>
          <w:color w:val="auto"/>
          <w:kern w:val="2"/>
          <w:sz w:val="24"/>
          <w:szCs w:val="24"/>
          <w:lang w:val="en-US" w:eastAsia="zh-CN" w:bidi="ar-SA"/>
        </w:rPr>
      </w:pPr>
      <w:bookmarkStart w:id="447" w:name="_Toc4666"/>
      <w:bookmarkStart w:id="448" w:name="_Toc4371"/>
      <w:r>
        <w:rPr>
          <w:rFonts w:hint="eastAsia" w:ascii="宋体" w:hAnsi="宋体" w:eastAsia="宋体" w:cs="宋体"/>
          <w:b/>
          <w:bCs/>
          <w:color w:val="auto"/>
          <w:kern w:val="2"/>
          <w:sz w:val="24"/>
          <w:szCs w:val="24"/>
          <w:lang w:val="en-US" w:eastAsia="zh-CN" w:bidi="ar-SA"/>
        </w:rPr>
        <w:t xml:space="preserve">3. </w:t>
      </w:r>
      <w:bookmarkEnd w:id="439"/>
      <w:bookmarkEnd w:id="440"/>
      <w:bookmarkEnd w:id="441"/>
      <w:r>
        <w:rPr>
          <w:rFonts w:hint="eastAsia" w:ascii="宋体" w:hAnsi="宋体" w:eastAsia="宋体" w:cs="宋体"/>
          <w:b/>
          <w:bCs/>
          <w:color w:val="auto"/>
          <w:kern w:val="2"/>
          <w:sz w:val="24"/>
          <w:szCs w:val="24"/>
          <w:lang w:val="en-US" w:eastAsia="zh-CN" w:bidi="ar-SA"/>
        </w:rPr>
        <w:t>响应文件</w:t>
      </w:r>
      <w:bookmarkEnd w:id="442"/>
      <w:bookmarkEnd w:id="447"/>
      <w:bookmarkEnd w:id="448"/>
    </w:p>
    <w:p w14:paraId="7105D50A">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449" w:name="_Toc318450691"/>
      <w:bookmarkStart w:id="450" w:name="_Toc152042323"/>
      <w:bookmarkStart w:id="451" w:name="_Toc15810"/>
      <w:bookmarkStart w:id="452" w:name="_Toc16198"/>
      <w:bookmarkStart w:id="453" w:name="_Toc144974515"/>
      <w:bookmarkStart w:id="454" w:name="_Toc10096"/>
      <w:bookmarkStart w:id="455" w:name="_Toc9273"/>
      <w:bookmarkStart w:id="456" w:name="_Toc27373"/>
      <w:bookmarkStart w:id="457" w:name="_Toc24440"/>
      <w:bookmarkStart w:id="458" w:name="_Toc490667844"/>
      <w:bookmarkStart w:id="459" w:name="_Toc635"/>
      <w:bookmarkStart w:id="460" w:name="_Toc152045547"/>
      <w:r>
        <w:rPr>
          <w:rFonts w:hint="eastAsia" w:ascii="宋体" w:hAnsi="宋体" w:eastAsia="宋体" w:cs="宋体"/>
          <w:b/>
          <w:bCs/>
          <w:color w:val="auto"/>
          <w:kern w:val="2"/>
          <w:sz w:val="24"/>
          <w:szCs w:val="24"/>
          <w:lang w:val="en-US" w:eastAsia="zh-CN" w:bidi="ar-SA"/>
        </w:rPr>
        <w:t>3.1 响应文件的组成</w:t>
      </w:r>
      <w:bookmarkEnd w:id="449"/>
      <w:bookmarkEnd w:id="450"/>
      <w:bookmarkEnd w:id="451"/>
      <w:bookmarkEnd w:id="452"/>
      <w:bookmarkEnd w:id="453"/>
      <w:bookmarkEnd w:id="454"/>
      <w:bookmarkEnd w:id="455"/>
      <w:bookmarkEnd w:id="456"/>
      <w:bookmarkEnd w:id="457"/>
      <w:bookmarkEnd w:id="458"/>
      <w:bookmarkEnd w:id="459"/>
      <w:bookmarkEnd w:id="460"/>
    </w:p>
    <w:p w14:paraId="571670CC">
      <w:pPr>
        <w:pageBreakBefore w:val="0"/>
        <w:widowControl/>
        <w:kinsoku/>
        <w:wordWrap/>
        <w:overflowPunct/>
        <w:topLinePunct w:val="0"/>
        <w:bidi w:val="0"/>
        <w:snapToGrid/>
        <w:spacing w:line="500" w:lineRule="exact"/>
        <w:ind w:left="0" w:leftChars="0" w:firstLine="480" w:firstLineChars="200"/>
        <w:jc w:val="left"/>
        <w:textAlignment w:val="auto"/>
        <w:rPr>
          <w:rFonts w:hint="eastAsia" w:ascii="宋体" w:hAnsi="宋体" w:eastAsia="宋体" w:cs="宋体"/>
          <w:color w:val="000000"/>
          <w:sz w:val="24"/>
          <w:szCs w:val="24"/>
        </w:rPr>
      </w:pPr>
      <w:bookmarkStart w:id="461" w:name="_Toc26291"/>
      <w:bookmarkStart w:id="462" w:name="_Toc152042324"/>
      <w:bookmarkStart w:id="463" w:name="_Toc152045548"/>
      <w:bookmarkStart w:id="464" w:name="_Toc144974516"/>
      <w:bookmarkStart w:id="465" w:name="_Toc899"/>
      <w:bookmarkStart w:id="466" w:name="_Toc279156232"/>
      <w:bookmarkStart w:id="467" w:name="_Toc318450692"/>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文件应包括下列内容</w:t>
      </w:r>
      <w:r>
        <w:rPr>
          <w:rFonts w:hint="eastAsia" w:ascii="宋体" w:hAnsi="宋体" w:eastAsia="宋体" w:cs="宋体"/>
          <w:b/>
          <w:bCs/>
          <w:color w:val="000000"/>
          <w:sz w:val="24"/>
          <w:szCs w:val="24"/>
        </w:rPr>
        <w:t>：详见第六章“响应文件格式”</w:t>
      </w:r>
    </w:p>
    <w:p w14:paraId="21C8DE96">
      <w:pPr>
        <w:pageBreakBefore w:val="0"/>
        <w:kinsoku/>
        <w:wordWrap/>
        <w:overflowPunct/>
        <w:topLinePunct w:val="0"/>
        <w:bidi w:val="0"/>
        <w:snapToGrid/>
        <w:spacing w:line="5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3.2 磋商报价</w:t>
      </w:r>
      <w:bookmarkEnd w:id="461"/>
      <w:bookmarkEnd w:id="462"/>
      <w:bookmarkEnd w:id="463"/>
      <w:bookmarkEnd w:id="464"/>
      <w:bookmarkEnd w:id="465"/>
      <w:bookmarkEnd w:id="466"/>
      <w:bookmarkEnd w:id="467"/>
    </w:p>
    <w:p w14:paraId="55211334">
      <w:pPr>
        <w:pageBreakBefore w:val="0"/>
        <w:tabs>
          <w:tab w:val="left" w:pos="0"/>
          <w:tab w:val="left" w:pos="1050"/>
        </w:tabs>
        <w:kinsoku/>
        <w:wordWrap/>
        <w:overflowPunct/>
        <w:topLinePunct w:val="0"/>
        <w:bidi w:val="0"/>
        <w:snapToGrid/>
        <w:spacing w:line="500" w:lineRule="exact"/>
        <w:ind w:firstLine="417" w:firstLineChars="174"/>
        <w:textAlignment w:val="auto"/>
        <w:rPr>
          <w:rFonts w:hint="eastAsia" w:ascii="宋体" w:hAnsi="宋体" w:eastAsia="宋体" w:cs="宋体"/>
          <w:color w:val="auto"/>
          <w:sz w:val="24"/>
          <w:szCs w:val="24"/>
          <w:highlight w:val="none"/>
        </w:rPr>
      </w:pPr>
      <w:bookmarkStart w:id="468" w:name="_Toc12402"/>
      <w:bookmarkStart w:id="469" w:name="_Toc6105"/>
      <w:bookmarkStart w:id="470" w:name="_Toc455867786"/>
      <w:bookmarkStart w:id="471" w:name="_Toc2425"/>
      <w:bookmarkStart w:id="472" w:name="_Toc490667846"/>
      <w:bookmarkStart w:id="473" w:name="_Toc11968"/>
      <w:bookmarkStart w:id="474" w:name="_Toc21680"/>
      <w:bookmarkStart w:id="475" w:name="_Toc152045549"/>
      <w:bookmarkStart w:id="476" w:name="_Toc25387"/>
      <w:bookmarkStart w:id="477" w:name="_Toc7910"/>
      <w:bookmarkStart w:id="478" w:name="_Toc455080126"/>
      <w:bookmarkStart w:id="479" w:name="_Toc466298109"/>
      <w:bookmarkStart w:id="480" w:name="_Toc144974517"/>
      <w:bookmarkStart w:id="481" w:name="_Toc21600"/>
      <w:bookmarkStart w:id="482" w:name="_Toc3624"/>
      <w:bookmarkStart w:id="483" w:name="_Toc29133"/>
      <w:bookmarkStart w:id="484" w:name="_Toc318450693"/>
      <w:bookmarkStart w:id="485" w:name="_Toc152042325"/>
      <w:bookmarkStart w:id="486" w:name="_Toc7105"/>
      <w:r>
        <w:rPr>
          <w:rFonts w:hint="eastAsia" w:ascii="宋体" w:hAnsi="宋体" w:eastAsia="宋体" w:cs="宋体"/>
          <w:color w:val="auto"/>
          <w:sz w:val="24"/>
          <w:szCs w:val="24"/>
          <w:highlight w:val="none"/>
        </w:rPr>
        <w:t>3.2.1本项目的磋商报价应按照</w:t>
      </w:r>
      <w:r>
        <w:rPr>
          <w:rFonts w:hint="eastAsia" w:ascii="宋体" w:hAnsi="宋体" w:eastAsia="宋体" w:cs="宋体"/>
          <w:color w:val="auto"/>
          <w:sz w:val="24"/>
          <w:szCs w:val="24"/>
          <w:highlight w:val="none"/>
          <w:lang w:eastAsia="zh-CN"/>
        </w:rPr>
        <w:t>竞争性磋商文件</w:t>
      </w:r>
      <w:r>
        <w:rPr>
          <w:rFonts w:hint="eastAsia" w:ascii="宋体" w:hAnsi="宋体" w:eastAsia="宋体" w:cs="宋体"/>
          <w:color w:val="auto"/>
          <w:sz w:val="24"/>
          <w:szCs w:val="24"/>
          <w:highlight w:val="none"/>
        </w:rPr>
        <w:t>、补充通知、答疑纪要、现场情况、</w:t>
      </w:r>
      <w:r>
        <w:rPr>
          <w:rFonts w:hint="eastAsia" w:ascii="宋体" w:hAnsi="宋体" w:eastAsia="宋体" w:cs="宋体"/>
          <w:sz w:val="24"/>
          <w:szCs w:val="24"/>
          <w:highlight w:val="none"/>
        </w:rPr>
        <w:t>服务</w:t>
      </w:r>
      <w:r>
        <w:rPr>
          <w:rFonts w:hint="eastAsia" w:ascii="宋体" w:hAnsi="宋体" w:eastAsia="宋体" w:cs="宋体"/>
          <w:color w:val="auto"/>
          <w:sz w:val="24"/>
          <w:szCs w:val="24"/>
          <w:highlight w:val="none"/>
        </w:rPr>
        <w:t>范围，并充分考虑</w:t>
      </w:r>
      <w:r>
        <w:rPr>
          <w:rFonts w:hint="eastAsia" w:ascii="宋体" w:hAnsi="宋体" w:eastAsia="宋体" w:cs="宋体"/>
          <w:sz w:val="24"/>
          <w:szCs w:val="24"/>
          <w:highlight w:val="none"/>
        </w:rPr>
        <w:t>服务</w:t>
      </w:r>
      <w:r>
        <w:rPr>
          <w:rFonts w:hint="eastAsia" w:ascii="宋体" w:hAnsi="宋体" w:eastAsia="宋体" w:cs="宋体"/>
          <w:color w:val="auto"/>
          <w:sz w:val="24"/>
          <w:szCs w:val="24"/>
          <w:highlight w:val="none"/>
        </w:rPr>
        <w:t>期间各类材料、人工市场风险和国家政策性调整等风险系数，由各响应人根据自身情况，在合理范围内，自主考虑、优惠报价，报告编制费、差旅费、监测费、税费、培训费等服务期间所发生的所有费用，但不得低于企业成本，分二次报价：第一次报价必须按照</w:t>
      </w:r>
      <w:r>
        <w:rPr>
          <w:rFonts w:hint="eastAsia" w:ascii="宋体" w:hAnsi="宋体" w:eastAsia="宋体" w:cs="宋体"/>
          <w:color w:val="auto"/>
          <w:sz w:val="24"/>
          <w:szCs w:val="24"/>
          <w:highlight w:val="none"/>
          <w:lang w:eastAsia="zh-CN"/>
        </w:rPr>
        <w:t>竞争性磋商文件</w:t>
      </w:r>
      <w:r>
        <w:rPr>
          <w:rFonts w:hint="eastAsia" w:ascii="宋体" w:hAnsi="宋体" w:eastAsia="宋体" w:cs="宋体"/>
          <w:color w:val="auto"/>
          <w:sz w:val="24"/>
          <w:szCs w:val="24"/>
          <w:highlight w:val="none"/>
        </w:rPr>
        <w:t>的报价格式填报，第二次报价在磋商中填报，第二次报价（不得高于</w:t>
      </w: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rPr>
        <w:t>一次报价）即为最终报价</w:t>
      </w:r>
      <w:bookmarkEnd w:id="468"/>
      <w:r>
        <w:rPr>
          <w:rFonts w:hint="eastAsia" w:ascii="宋体" w:hAnsi="宋体" w:eastAsia="宋体" w:cs="宋体"/>
          <w:color w:val="auto"/>
          <w:sz w:val="24"/>
          <w:szCs w:val="24"/>
          <w:highlight w:val="none"/>
        </w:rPr>
        <w:t>。</w:t>
      </w:r>
    </w:p>
    <w:p w14:paraId="43D4666E">
      <w:pPr>
        <w:pageBreakBefore w:val="0"/>
        <w:tabs>
          <w:tab w:val="left" w:pos="0"/>
          <w:tab w:val="left" w:pos="1050"/>
        </w:tabs>
        <w:kinsoku/>
        <w:wordWrap/>
        <w:overflowPunct/>
        <w:topLinePunct w:val="0"/>
        <w:bidi w:val="0"/>
        <w:snapToGrid/>
        <w:spacing w:line="500" w:lineRule="exact"/>
        <w:ind w:firstLine="417" w:firstLineChars="17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3.2.2供应商应充分了解该项目的总体情况以及影响磋商报价的其它要素，考虑</w:t>
      </w:r>
      <w:r>
        <w:rPr>
          <w:rFonts w:hint="eastAsia" w:ascii="宋体" w:hAnsi="宋体" w:eastAsia="宋体" w:cs="宋体"/>
          <w:color w:val="auto"/>
          <w:sz w:val="24"/>
          <w:szCs w:val="24"/>
          <w:highlight w:val="none"/>
          <w:lang w:eastAsia="zh-CN"/>
        </w:rPr>
        <w:t>服务期间</w:t>
      </w:r>
      <w:r>
        <w:rPr>
          <w:rFonts w:hint="eastAsia" w:ascii="宋体" w:hAnsi="宋体" w:eastAsia="宋体" w:cs="宋体"/>
          <w:color w:val="auto"/>
          <w:sz w:val="24"/>
          <w:szCs w:val="24"/>
          <w:highlight w:val="none"/>
        </w:rPr>
        <w:t>的价格风险因素，成交价在合同实施期内不得调整，同时也不因市场价格变动而调整。</w:t>
      </w:r>
    </w:p>
    <w:p w14:paraId="02EFE2A2">
      <w:pPr>
        <w:pageBreakBefore w:val="0"/>
        <w:tabs>
          <w:tab w:val="left" w:pos="0"/>
          <w:tab w:val="left" w:pos="1050"/>
        </w:tabs>
        <w:kinsoku/>
        <w:wordWrap/>
        <w:overflowPunct/>
        <w:topLinePunct w:val="0"/>
        <w:bidi w:val="0"/>
        <w:snapToGrid/>
        <w:spacing w:line="500" w:lineRule="exact"/>
        <w:ind w:firstLine="417" w:firstLineChars="174"/>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 响应报价表中的大写金额和小写金额不一致的，以大写金额为准。</w:t>
      </w:r>
    </w:p>
    <w:p w14:paraId="163D3392">
      <w:pPr>
        <w:pageBreakBefore w:val="0"/>
        <w:tabs>
          <w:tab w:val="left" w:pos="0"/>
          <w:tab w:val="left" w:pos="1050"/>
        </w:tabs>
        <w:kinsoku/>
        <w:wordWrap/>
        <w:overflowPunct/>
        <w:topLinePunct w:val="0"/>
        <w:bidi w:val="0"/>
        <w:snapToGrid/>
        <w:spacing w:line="500" w:lineRule="exact"/>
        <w:ind w:firstLine="417" w:firstLineChars="174"/>
        <w:textAlignment w:val="auto"/>
        <w:rPr>
          <w:rFonts w:hint="eastAsia" w:ascii="宋体" w:hAnsi="宋体" w:eastAsia="宋体" w:cs="宋体"/>
          <w:b/>
          <w:bCs/>
          <w:color w:val="auto"/>
          <w:sz w:val="24"/>
          <w:szCs w:val="24"/>
        </w:rPr>
      </w:pPr>
      <w:r>
        <w:rPr>
          <w:rFonts w:hint="eastAsia" w:ascii="宋体" w:hAnsi="宋体" w:eastAsia="宋体" w:cs="宋体"/>
          <w:b w:val="0"/>
          <w:bCs w:val="0"/>
          <w:color w:val="auto"/>
          <w:sz w:val="24"/>
          <w:szCs w:val="24"/>
        </w:rPr>
        <w:t>3.2.4供应商的报价明显低于其他通过符合性审查供应商的报价，有可能影响</w:t>
      </w:r>
      <w:r>
        <w:rPr>
          <w:rFonts w:hint="eastAsia" w:ascii="宋体" w:hAnsi="宋体" w:eastAsia="宋体" w:cs="宋体"/>
          <w:b w:val="0"/>
          <w:bCs w:val="0"/>
          <w:color w:val="auto"/>
          <w:sz w:val="24"/>
          <w:szCs w:val="24"/>
          <w:lang w:eastAsia="zh-CN"/>
        </w:rPr>
        <w:t>产品</w:t>
      </w:r>
      <w:r>
        <w:rPr>
          <w:rFonts w:hint="eastAsia" w:ascii="宋体" w:hAnsi="宋体" w:eastAsia="宋体" w:cs="宋体"/>
          <w:b w:val="0"/>
          <w:bCs w:val="0"/>
          <w:color w:val="auto"/>
          <w:sz w:val="24"/>
          <w:szCs w:val="24"/>
        </w:rPr>
        <w:t>质量或者不能诚信履约的，磋商委员会应当要求其在磋商现场</w:t>
      </w:r>
      <w:r>
        <w:rPr>
          <w:rFonts w:hint="eastAsia" w:ascii="宋体" w:hAnsi="宋体" w:eastAsia="宋体" w:cs="宋体"/>
          <w:b w:val="0"/>
          <w:bCs w:val="0"/>
          <w:color w:val="auto"/>
          <w:kern w:val="0"/>
          <w:sz w:val="24"/>
          <w:szCs w:val="24"/>
          <w:lang w:eastAsia="zh-CN"/>
        </w:rPr>
        <w:t>（或电子交易系统）</w:t>
      </w:r>
      <w:r>
        <w:rPr>
          <w:rFonts w:hint="eastAsia" w:ascii="宋体" w:hAnsi="宋体" w:eastAsia="宋体" w:cs="宋体"/>
          <w:b w:val="0"/>
          <w:bCs w:val="0"/>
          <w:color w:val="auto"/>
          <w:sz w:val="24"/>
          <w:szCs w:val="24"/>
        </w:rPr>
        <w:t>合理的时间内提供书面说明</w:t>
      </w:r>
      <w:r>
        <w:rPr>
          <w:rFonts w:hint="eastAsia" w:ascii="宋体" w:hAnsi="宋体" w:eastAsia="宋体" w:cs="宋体"/>
          <w:b w:val="0"/>
          <w:bCs w:val="0"/>
          <w:color w:val="auto"/>
          <w:kern w:val="0"/>
          <w:sz w:val="24"/>
          <w:szCs w:val="24"/>
          <w:lang w:eastAsia="zh-CN"/>
        </w:rPr>
        <w:t>（或电子澄清说明文件）</w:t>
      </w:r>
      <w:r>
        <w:rPr>
          <w:rFonts w:hint="eastAsia" w:ascii="宋体" w:hAnsi="宋体" w:eastAsia="宋体" w:cs="宋体"/>
          <w:b w:val="0"/>
          <w:bCs w:val="0"/>
          <w:color w:val="auto"/>
          <w:sz w:val="24"/>
          <w:szCs w:val="24"/>
        </w:rPr>
        <w:t xml:space="preserve">，必要时提交相关证明材料；供应商不能证明其报价合理性的，磋商委员会应当将其作为无效投标处理。 </w:t>
      </w:r>
      <w:r>
        <w:rPr>
          <w:rFonts w:hint="eastAsia" w:ascii="宋体" w:hAnsi="宋体" w:eastAsia="宋体" w:cs="宋体"/>
          <w:b/>
          <w:bCs/>
          <w:color w:val="auto"/>
          <w:sz w:val="24"/>
          <w:szCs w:val="24"/>
        </w:rPr>
        <w:t xml:space="preserve"> </w:t>
      </w:r>
    </w:p>
    <w:p w14:paraId="46843D99">
      <w:pPr>
        <w:spacing w:line="500" w:lineRule="exact"/>
        <w:ind w:firstLine="482"/>
        <w:rPr>
          <w:rFonts w:ascii="宋体" w:hAnsi="宋体" w:eastAsia="宋体" w:cs="宋体"/>
          <w:b/>
          <w:bCs/>
          <w:sz w:val="24"/>
          <w:szCs w:val="24"/>
          <w:lang w:val="zh-CN"/>
        </w:rPr>
      </w:pPr>
      <w:r>
        <w:rPr>
          <w:rFonts w:hint="eastAsia" w:ascii="宋体" w:hAnsi="宋体" w:eastAsia="宋体" w:cs="宋体"/>
          <w:b/>
          <w:bCs/>
          <w:color w:val="auto"/>
          <w:sz w:val="24"/>
          <w:szCs w:val="24"/>
          <w:lang w:val="en-US" w:eastAsia="zh-CN"/>
        </w:rPr>
        <w:t>3.2.5</w:t>
      </w:r>
      <w:r>
        <w:rPr>
          <w:rFonts w:hint="eastAsia" w:ascii="宋体" w:hAnsi="宋体" w:eastAsia="宋体" w:cs="宋体"/>
          <w:b/>
          <w:bCs/>
          <w:color w:val="auto"/>
          <w:sz w:val="24"/>
          <w:szCs w:val="24"/>
          <w:lang w:val="zh-CN"/>
        </w:rPr>
        <w:t>小型微型企业认定及评标价格评审</w:t>
      </w:r>
      <w:r>
        <w:rPr>
          <w:rFonts w:hint="eastAsia" w:ascii="宋体" w:hAnsi="宋体" w:eastAsia="宋体" w:cs="宋体"/>
          <w:b/>
          <w:bCs/>
          <w:sz w:val="24"/>
          <w:szCs w:val="24"/>
          <w:lang w:val="zh-CN"/>
        </w:rPr>
        <w:t>（本项目专门面向中小企业，无价格折扣）</w:t>
      </w:r>
    </w:p>
    <w:p w14:paraId="0DCB7593">
      <w:pPr>
        <w:spacing w:line="520" w:lineRule="exact"/>
        <w:ind w:firstLine="480"/>
        <w:rPr>
          <w:rFonts w:hint="eastAsia" w:ascii="宋体" w:hAnsi="宋体" w:eastAsia="宋体" w:cs="宋体"/>
          <w:sz w:val="24"/>
          <w:szCs w:val="24"/>
          <w:lang w:val="zh-CN"/>
        </w:rPr>
      </w:pPr>
      <w:r>
        <w:rPr>
          <w:rFonts w:hint="eastAsia" w:ascii="宋体" w:hAnsi="宋体" w:eastAsia="宋体" w:cs="宋体"/>
          <w:sz w:val="24"/>
          <w:szCs w:val="24"/>
          <w:lang w:val="zh-CN"/>
        </w:rPr>
        <w:t>3.3.1根据《政府采购促进中小企业发展管理办法》（财库[2020]46号）的规定、《工业和信息化部、国家统计局、国家发展和改革委员会、财政部关于印发中小企业划型标准规定的通知》（工信部联企业[2011]300号）、河南省财政厅河南省工业和信息化厅《关于政府采购促进小型微型企业发展的实施意见》（豫财购[2013]14号）文件规定，专门面向中小企业采购项目，无价格折扣。</w:t>
      </w:r>
    </w:p>
    <w:p w14:paraId="2CD7C7D1">
      <w:pPr>
        <w:spacing w:line="520" w:lineRule="exact"/>
        <w:ind w:firstLine="480"/>
        <w:rPr>
          <w:rFonts w:hint="eastAsia" w:ascii="宋体" w:hAnsi="宋体" w:eastAsia="宋体" w:cs="宋体"/>
          <w:sz w:val="24"/>
          <w:szCs w:val="24"/>
          <w:lang w:val="zh-CN"/>
        </w:rPr>
      </w:pPr>
      <w:r>
        <w:rPr>
          <w:rFonts w:hint="eastAsia" w:ascii="宋体" w:hAnsi="宋体" w:eastAsia="宋体" w:cs="宋体"/>
          <w:sz w:val="24"/>
          <w:szCs w:val="24"/>
          <w:lang w:val="zh-CN"/>
        </w:rPr>
        <w:t>3.3.2根据财政部、司法部联合印发《关于政府采购支持监狱企业发展有关问题的通知》（财库【2014】68号）文件规定，凡监狱企业参加政府采购活动视同小型、微型企业，但必须提供由省级以上监狱管理局、戒毒管理局（含新疆生产建设兵团）出具的属于监狱企业的证明文件。</w:t>
      </w:r>
    </w:p>
    <w:p w14:paraId="36CB0291">
      <w:pPr>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zh-CN"/>
        </w:rPr>
        <w:t>3.3.3根据财库(2017)141号文件规定，在政府采购活动中，残疾人福利性单位视同小型、微型企业。符合条件的残疾人福利性单位在参加政府采购活动时，应当提供《残疾人福利性单位声明函》(见文件格式)，并对声明的真实性负责</w:t>
      </w:r>
      <w:r>
        <w:rPr>
          <w:rFonts w:hint="eastAsia" w:ascii="宋体" w:hAnsi="宋体" w:eastAsia="宋体" w:cs="宋体"/>
          <w:sz w:val="24"/>
          <w:szCs w:val="24"/>
        </w:rPr>
        <w:t>。</w:t>
      </w:r>
    </w:p>
    <w:p w14:paraId="25B45777">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487" w:name="_Toc9694"/>
      <w:bookmarkStart w:id="488" w:name="_Toc25823"/>
      <w:bookmarkStart w:id="489" w:name="_Toc31973"/>
      <w:r>
        <w:rPr>
          <w:rFonts w:hint="eastAsia" w:ascii="宋体" w:hAnsi="宋体" w:eastAsia="宋体" w:cs="宋体"/>
          <w:b/>
          <w:bCs/>
          <w:color w:val="auto"/>
          <w:kern w:val="2"/>
          <w:sz w:val="24"/>
          <w:szCs w:val="24"/>
          <w:lang w:val="en-US" w:eastAsia="zh-CN" w:bidi="ar-SA"/>
        </w:rPr>
        <w:t>3.3 磋商有效期</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5A0837E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3.3.1 在供应商须知前附表规定的磋商有效期内，供应商不得要求撤销或修改其响应文件。</w:t>
      </w:r>
    </w:p>
    <w:p w14:paraId="72E7149A">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3.3.2出现特殊情况需要延长磋商有效期的，采购人以书面形式通知所有供应商延长磋商有效期。供应商同意延长的，但不得要求或被允许修改或撤销其响应文件；供应商拒绝延长的，其响应文件失效。 </w:t>
      </w:r>
    </w:p>
    <w:p w14:paraId="70E1C1AB">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490" w:name="_Toc10370"/>
      <w:bookmarkStart w:id="491" w:name="_Toc7973"/>
      <w:bookmarkStart w:id="492" w:name="_Toc455080127"/>
      <w:bookmarkStart w:id="493" w:name="_Toc152045550"/>
      <w:bookmarkStart w:id="494" w:name="_Toc2505"/>
      <w:bookmarkStart w:id="495" w:name="_Toc318450694"/>
      <w:bookmarkStart w:id="496" w:name="_Toc22634"/>
      <w:bookmarkStart w:id="497" w:name="_Toc152042326"/>
      <w:bookmarkStart w:id="498" w:name="_Toc7618"/>
      <w:bookmarkStart w:id="499" w:name="_Toc4165"/>
      <w:bookmarkStart w:id="500" w:name="_Toc466298110"/>
      <w:bookmarkStart w:id="501" w:name="_Toc30697"/>
      <w:bookmarkStart w:id="502" w:name="_Toc8406"/>
      <w:bookmarkStart w:id="503" w:name="_Toc490667847"/>
      <w:bookmarkStart w:id="504" w:name="_Toc7057"/>
      <w:bookmarkStart w:id="505" w:name="_Toc455867787"/>
      <w:bookmarkStart w:id="506" w:name="_Toc144974518"/>
      <w:bookmarkStart w:id="507" w:name="_Toc5986"/>
      <w:bookmarkStart w:id="508" w:name="_Toc9771"/>
      <w:bookmarkStart w:id="509" w:name="_Toc6451"/>
      <w:bookmarkStart w:id="510" w:name="_Toc13921"/>
      <w:r>
        <w:rPr>
          <w:rFonts w:hint="eastAsia" w:ascii="宋体" w:hAnsi="宋体" w:eastAsia="宋体" w:cs="宋体"/>
          <w:b/>
          <w:bCs/>
          <w:color w:val="auto"/>
          <w:kern w:val="2"/>
          <w:sz w:val="24"/>
          <w:szCs w:val="24"/>
          <w:lang w:val="en-US" w:eastAsia="zh-CN" w:bidi="ar-SA"/>
        </w:rPr>
        <w:t>3.4 磋商保证金</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Start w:id="511" w:name="_Toc318450695"/>
      <w:bookmarkStart w:id="512" w:name="_Toc152045552"/>
      <w:bookmarkStart w:id="513" w:name="_Toc144974520"/>
      <w:bookmarkStart w:id="514" w:name="_Toc152042328"/>
      <w:r>
        <w:rPr>
          <w:rFonts w:hint="eastAsia" w:ascii="宋体" w:hAnsi="宋体" w:eastAsia="宋体" w:cs="宋体"/>
          <w:b/>
          <w:bCs/>
          <w:color w:val="auto"/>
          <w:kern w:val="2"/>
          <w:sz w:val="24"/>
          <w:szCs w:val="24"/>
          <w:lang w:val="en-US" w:eastAsia="zh-CN" w:bidi="ar-SA"/>
        </w:rPr>
        <w:t>：无。</w:t>
      </w:r>
      <w:bookmarkEnd w:id="507"/>
      <w:bookmarkEnd w:id="508"/>
      <w:bookmarkEnd w:id="509"/>
      <w:bookmarkEnd w:id="510"/>
    </w:p>
    <w:p w14:paraId="489ECD52">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515" w:name="_Toc20328"/>
      <w:bookmarkStart w:id="516" w:name="_Toc548"/>
      <w:bookmarkStart w:id="517" w:name="_Toc17153"/>
      <w:bookmarkStart w:id="518" w:name="_Toc16747"/>
      <w:bookmarkStart w:id="519" w:name="_Toc455080128"/>
      <w:bookmarkStart w:id="520" w:name="_Toc5200"/>
      <w:bookmarkStart w:id="521" w:name="_Toc455867788"/>
      <w:bookmarkStart w:id="522" w:name="_Toc13680"/>
      <w:bookmarkStart w:id="523" w:name="_Toc466298111"/>
      <w:bookmarkStart w:id="524" w:name="_Toc2794"/>
      <w:bookmarkStart w:id="525" w:name="_Toc490667848"/>
      <w:bookmarkStart w:id="526" w:name="_Toc22527"/>
      <w:bookmarkStart w:id="527" w:name="_Toc11077"/>
      <w:bookmarkStart w:id="528" w:name="_Toc22384"/>
      <w:bookmarkStart w:id="529" w:name="_Toc15547"/>
      <w:bookmarkStart w:id="530" w:name="_Toc27579"/>
      <w:bookmarkStart w:id="531" w:name="_Toc6849"/>
      <w:r>
        <w:rPr>
          <w:rFonts w:hint="eastAsia" w:ascii="宋体" w:hAnsi="宋体" w:eastAsia="宋体" w:cs="宋体"/>
          <w:b/>
          <w:bCs/>
          <w:color w:val="auto"/>
          <w:kern w:val="2"/>
          <w:sz w:val="24"/>
          <w:szCs w:val="24"/>
          <w:lang w:val="en-US" w:eastAsia="zh-CN" w:bidi="ar-SA"/>
        </w:rPr>
        <w:t>3.5资格审查资料</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14:paraId="50D1FB42">
      <w:pPr>
        <w:keepNext/>
        <w:keepLines/>
        <w:pageBreakBefore w:val="0"/>
        <w:widowControl w:val="0"/>
        <w:numPr>
          <w:ilvl w:val="2"/>
          <w:numId w:val="0"/>
        </w:numPr>
        <w:kinsoku/>
        <w:wordWrap/>
        <w:overflowPunct/>
        <w:topLinePunct w:val="0"/>
        <w:bidi w:val="0"/>
        <w:snapToGrid/>
        <w:spacing w:before="0" w:beforeLines="0" w:after="0" w:afterLines="0" w:line="500" w:lineRule="exact"/>
        <w:ind w:firstLine="360" w:firstLineChars="150"/>
        <w:jc w:val="left"/>
        <w:textAlignment w:val="auto"/>
        <w:outlineLvl w:val="9"/>
        <w:rPr>
          <w:rFonts w:hint="eastAsia" w:ascii="宋体" w:hAnsi="宋体" w:eastAsia="宋体" w:cs="宋体"/>
          <w:b w:val="0"/>
          <w:color w:val="auto"/>
          <w:kern w:val="2"/>
          <w:sz w:val="24"/>
          <w:szCs w:val="24"/>
          <w:lang w:val="en-US" w:eastAsia="zh-CN" w:bidi="ar-SA"/>
        </w:rPr>
      </w:pPr>
      <w:bookmarkStart w:id="532" w:name="_Toc1398"/>
      <w:bookmarkStart w:id="533" w:name="_Toc11313"/>
      <w:bookmarkStart w:id="534" w:name="_Toc4626"/>
      <w:bookmarkStart w:id="535" w:name="_Toc4586"/>
      <w:bookmarkStart w:id="536" w:name="_Toc26258"/>
      <w:bookmarkStart w:id="537" w:name="_Toc144974521"/>
      <w:bookmarkStart w:id="538" w:name="_Toc11694"/>
      <w:bookmarkStart w:id="539" w:name="_Toc30442"/>
      <w:bookmarkStart w:id="540" w:name="_Toc19724"/>
      <w:bookmarkStart w:id="541" w:name="_Toc9015"/>
      <w:bookmarkStart w:id="542" w:name="_Toc1228"/>
      <w:bookmarkStart w:id="543" w:name="_Toc490667849"/>
      <w:bookmarkStart w:id="544" w:name="_Toc466298112"/>
      <w:bookmarkStart w:id="545" w:name="_Toc152042329"/>
      <w:bookmarkStart w:id="546" w:name="_Toc318450696"/>
      <w:bookmarkStart w:id="547" w:name="_Toc18915"/>
      <w:bookmarkStart w:id="548" w:name="_Toc152045553"/>
      <w:bookmarkStart w:id="549" w:name="_Toc3286"/>
      <w:bookmarkStart w:id="550" w:name="_Toc5132"/>
      <w:bookmarkStart w:id="551" w:name="_Toc455080129"/>
      <w:bookmarkStart w:id="552" w:name="_Toc455867789"/>
      <w:r>
        <w:rPr>
          <w:rFonts w:hint="eastAsia" w:ascii="宋体" w:hAnsi="宋体" w:eastAsia="宋体" w:cs="宋体"/>
          <w:b w:val="0"/>
          <w:color w:val="auto"/>
          <w:kern w:val="2"/>
          <w:sz w:val="24"/>
          <w:szCs w:val="24"/>
          <w:lang w:val="en-US" w:eastAsia="zh-CN" w:bidi="ar-SA"/>
        </w:rPr>
        <w:t>按照第二章供应商须知表“供应商须知前附表”1.5.1要求，提供其他相关材料。</w:t>
      </w:r>
      <w:bookmarkEnd w:id="532"/>
      <w:bookmarkEnd w:id="533"/>
      <w:bookmarkEnd w:id="534"/>
      <w:bookmarkEnd w:id="535"/>
    </w:p>
    <w:p w14:paraId="102682B8">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553" w:name="_Toc8698"/>
      <w:bookmarkStart w:id="554" w:name="_Toc18996"/>
      <w:bookmarkStart w:id="555" w:name="_Toc13912"/>
      <w:bookmarkStart w:id="556" w:name="_Toc24859"/>
      <w:r>
        <w:rPr>
          <w:rFonts w:hint="eastAsia" w:ascii="宋体" w:hAnsi="宋体" w:eastAsia="宋体" w:cs="宋体"/>
          <w:b/>
          <w:bCs/>
          <w:color w:val="auto"/>
          <w:kern w:val="2"/>
          <w:sz w:val="24"/>
          <w:szCs w:val="24"/>
          <w:lang w:val="en-US" w:eastAsia="zh-CN" w:bidi="ar-SA"/>
        </w:rPr>
        <w:t>3.6 备选方案</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p w14:paraId="0AA39384">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除供应商须知前附表另有规定外，供应商不得递交备选磋商方案。</w:t>
      </w:r>
    </w:p>
    <w:p w14:paraId="57122833">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557" w:name="_Toc6700"/>
      <w:bookmarkStart w:id="558" w:name="_Toc5516"/>
      <w:bookmarkStart w:id="559" w:name="_Toc455080130"/>
      <w:bookmarkStart w:id="560" w:name="_Toc455867790"/>
      <w:bookmarkStart w:id="561" w:name="_Toc144974522"/>
      <w:bookmarkStart w:id="562" w:name="_Toc7626"/>
      <w:bookmarkStart w:id="563" w:name="_Toc7966"/>
      <w:bookmarkStart w:id="564" w:name="_Toc17697"/>
      <w:bookmarkStart w:id="565" w:name="_Toc12541"/>
      <w:bookmarkStart w:id="566" w:name="_Toc18912"/>
      <w:bookmarkStart w:id="567" w:name="_Toc6323"/>
      <w:bookmarkStart w:id="568" w:name="_Toc152042330"/>
      <w:bookmarkStart w:id="569" w:name="_Toc12275"/>
      <w:bookmarkStart w:id="570" w:name="_Toc152045554"/>
      <w:bookmarkStart w:id="571" w:name="_Toc28273"/>
      <w:bookmarkStart w:id="572" w:name="_Toc318450697"/>
      <w:bookmarkStart w:id="573" w:name="_Toc25620"/>
      <w:bookmarkStart w:id="574" w:name="_Toc490667850"/>
      <w:bookmarkStart w:id="575" w:name="_Toc466298113"/>
      <w:bookmarkStart w:id="576" w:name="_Toc28656"/>
      <w:bookmarkStart w:id="577" w:name="_Toc6109"/>
      <w:r>
        <w:rPr>
          <w:rFonts w:hint="eastAsia" w:ascii="宋体" w:hAnsi="宋体" w:eastAsia="宋体" w:cs="宋体"/>
          <w:b/>
          <w:bCs/>
          <w:color w:val="auto"/>
          <w:kern w:val="2"/>
          <w:sz w:val="24"/>
          <w:szCs w:val="24"/>
          <w:lang w:val="en-US" w:eastAsia="zh-CN" w:bidi="ar-SA"/>
        </w:rPr>
        <w:t>3.7 响应文件的编制</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31659AB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bookmarkStart w:id="578" w:name="_Toc144974523"/>
      <w:bookmarkStart w:id="579" w:name="_Toc152042331"/>
      <w:bookmarkStart w:id="580" w:name="_Toc455080131"/>
      <w:bookmarkStart w:id="581" w:name="_Toc152045555"/>
      <w:r>
        <w:rPr>
          <w:rFonts w:hint="eastAsia" w:ascii="宋体" w:hAnsi="宋体" w:eastAsia="宋体" w:cs="宋体"/>
          <w:color w:val="auto"/>
          <w:sz w:val="24"/>
          <w:szCs w:val="24"/>
        </w:rPr>
        <w:t>3.7.1响应文件应按</w:t>
      </w:r>
      <w:r>
        <w:rPr>
          <w:rFonts w:hint="eastAsia" w:ascii="宋体" w:hAnsi="宋体" w:eastAsia="宋体" w:cs="宋体"/>
          <w:color w:val="auto"/>
          <w:sz w:val="24"/>
          <w:szCs w:val="24"/>
          <w:lang w:eastAsia="zh-CN"/>
        </w:rPr>
        <w:t>第六章</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响应文件格式</w:t>
      </w:r>
      <w:r>
        <w:rPr>
          <w:rFonts w:hint="eastAsia" w:ascii="宋体" w:hAnsi="宋体" w:eastAsia="宋体" w:cs="宋体"/>
          <w:color w:val="auto"/>
          <w:sz w:val="24"/>
          <w:szCs w:val="24"/>
        </w:rPr>
        <w:t>”进行编写，如有必要，可以增加附页，作为响应文件的组成部分。其中，</w:t>
      </w:r>
      <w:r>
        <w:rPr>
          <w:rFonts w:hint="eastAsia" w:ascii="宋体" w:hAnsi="宋体" w:eastAsia="宋体" w:cs="宋体"/>
          <w:color w:val="auto"/>
          <w:sz w:val="24"/>
          <w:szCs w:val="24"/>
          <w:lang w:eastAsia="zh-CN"/>
        </w:rPr>
        <w:t>响应函</w:t>
      </w:r>
      <w:r>
        <w:rPr>
          <w:rFonts w:hint="eastAsia" w:ascii="宋体" w:hAnsi="宋体" w:eastAsia="宋体" w:cs="宋体"/>
          <w:color w:val="auto"/>
          <w:sz w:val="24"/>
          <w:szCs w:val="24"/>
        </w:rPr>
        <w:t>附录在满足</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实质性要求的基础上，可以提出比</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要求更有利于采购人的承诺。</w:t>
      </w:r>
    </w:p>
    <w:p w14:paraId="099A641E">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3.7.2 响应文件应当对</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有关</w:t>
      </w:r>
      <w:r>
        <w:rPr>
          <w:rFonts w:hint="eastAsia" w:ascii="宋体" w:hAnsi="宋体" w:eastAsia="宋体" w:cs="宋体"/>
          <w:color w:val="auto"/>
          <w:sz w:val="24"/>
          <w:szCs w:val="24"/>
          <w:lang w:eastAsia="zh-CN"/>
        </w:rPr>
        <w:t>服务期限</w:t>
      </w:r>
      <w:r>
        <w:rPr>
          <w:rFonts w:hint="eastAsia" w:ascii="宋体" w:hAnsi="宋体" w:eastAsia="宋体" w:cs="宋体"/>
          <w:color w:val="auto"/>
          <w:sz w:val="24"/>
          <w:szCs w:val="24"/>
        </w:rPr>
        <w:t>、磋商有效期、质量要求、</w:t>
      </w:r>
      <w:r>
        <w:rPr>
          <w:rFonts w:hint="eastAsia" w:ascii="宋体" w:hAnsi="宋体" w:eastAsia="宋体" w:cs="宋体"/>
          <w:color w:val="auto"/>
          <w:sz w:val="24"/>
          <w:szCs w:val="24"/>
          <w:lang w:eastAsia="zh-CN"/>
        </w:rPr>
        <w:t>磋商内容</w:t>
      </w:r>
      <w:r>
        <w:rPr>
          <w:rFonts w:hint="eastAsia" w:ascii="宋体" w:hAnsi="宋体" w:eastAsia="宋体" w:cs="宋体"/>
          <w:color w:val="auto"/>
          <w:sz w:val="24"/>
          <w:szCs w:val="24"/>
        </w:rPr>
        <w:t>作出响应。</w:t>
      </w:r>
    </w:p>
    <w:p w14:paraId="3372E1DD">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7.3</w:t>
      </w:r>
      <w:r>
        <w:rPr>
          <w:rFonts w:hint="eastAsia" w:ascii="宋体" w:hAnsi="宋体" w:eastAsia="宋体" w:cs="宋体"/>
          <w:color w:val="auto"/>
          <w:sz w:val="24"/>
          <w:szCs w:val="24"/>
        </w:rPr>
        <w:t>供应商应按照招标文件的要求，规范、明确、准时的提交</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文件。供应商对所提供的全部资料的合法性、真实性做出响应承诺，格式自拟，否则投标将被否决。</w:t>
      </w:r>
      <w:r>
        <w:rPr>
          <w:rFonts w:hint="eastAsia" w:ascii="宋体" w:hAnsi="宋体" w:eastAsia="宋体" w:cs="宋体"/>
          <w:color w:val="auto"/>
          <w:sz w:val="24"/>
          <w:szCs w:val="24"/>
          <w:lang w:val="en-US" w:eastAsia="zh-CN"/>
        </w:rPr>
        <w:t xml:space="preserve">  </w:t>
      </w:r>
    </w:p>
    <w:p w14:paraId="0B09DFEC">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3.7.</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响应文件应使用信阳市公共资源交易系统投标文件制作专用工具软件编制，</w:t>
      </w:r>
      <w:r>
        <w:rPr>
          <w:rFonts w:hint="eastAsia" w:ascii="宋体" w:hAnsi="宋体" w:eastAsia="宋体" w:cs="宋体"/>
          <w:color w:val="auto"/>
          <w:sz w:val="24"/>
          <w:szCs w:val="24"/>
          <w:lang w:eastAsia="zh-CN"/>
        </w:rPr>
        <w:t>竞争性磋商响应文件格式</w:t>
      </w:r>
      <w:r>
        <w:rPr>
          <w:rFonts w:hint="eastAsia" w:ascii="宋体" w:hAnsi="宋体" w:eastAsia="宋体" w:cs="宋体"/>
          <w:color w:val="auto"/>
          <w:sz w:val="24"/>
          <w:szCs w:val="24"/>
        </w:rPr>
        <w:t>为“*.XYTF”。电子响应文件签字或盖章的具体要求见供应商须知前附表。）供应商须在</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递交截止时间前制作并提交。</w:t>
      </w:r>
    </w:p>
    <w:p w14:paraId="084DD930">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3.7.</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响应文件份数见供应商须知前附表。</w:t>
      </w:r>
    </w:p>
    <w:p w14:paraId="7B6B8472">
      <w:pPr>
        <w:pageBreakBefore w:val="0"/>
        <w:kinsoku/>
        <w:wordWrap/>
        <w:overflowPunct/>
        <w:topLinePunct w:val="0"/>
        <w:bidi w:val="0"/>
        <w:snapToGrid/>
        <w:spacing w:before="0" w:beforeLines="0" w:after="0" w:afterLines="0" w:line="500" w:lineRule="exact"/>
        <w:textAlignment w:val="auto"/>
        <w:rPr>
          <w:rFonts w:hint="eastAsia" w:ascii="宋体" w:hAnsi="宋体" w:eastAsia="宋体" w:cs="宋体"/>
          <w:b/>
          <w:bCs/>
          <w:color w:val="auto"/>
          <w:sz w:val="24"/>
          <w:szCs w:val="24"/>
        </w:rPr>
        <w:sectPr>
          <w:pgSz w:w="11905" w:h="16838"/>
          <w:pgMar w:top="1213" w:right="1236" w:bottom="1270" w:left="1236" w:header="340" w:footer="850" w:gutter="0"/>
          <w:pgBorders>
            <w:top w:val="none" w:sz="0" w:space="0"/>
            <w:left w:val="none" w:sz="0" w:space="0"/>
            <w:bottom w:val="none" w:sz="0" w:space="0"/>
            <w:right w:val="none" w:sz="0" w:space="0"/>
          </w:pgBorders>
          <w:pgNumType w:fmt="decimal"/>
          <w:cols w:space="720" w:num="1"/>
          <w:rtlGutter w:val="0"/>
          <w:docGrid w:type="lines" w:linePitch="349" w:charSpace="0"/>
        </w:sectPr>
      </w:pPr>
      <w:bookmarkStart w:id="582" w:name="_Toc19433"/>
    </w:p>
    <w:p w14:paraId="7D4EA084">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center"/>
        <w:textAlignment w:val="auto"/>
        <w:outlineLvl w:val="1"/>
        <w:rPr>
          <w:rFonts w:hint="eastAsia" w:ascii="宋体" w:hAnsi="宋体" w:eastAsia="宋体" w:cs="宋体"/>
          <w:b/>
          <w:bCs/>
          <w:color w:val="auto"/>
          <w:kern w:val="2"/>
          <w:sz w:val="24"/>
          <w:szCs w:val="24"/>
          <w:lang w:val="en-US" w:eastAsia="zh-CN" w:bidi="ar-SA"/>
        </w:rPr>
      </w:pPr>
      <w:bookmarkStart w:id="583" w:name="_Toc20697"/>
      <w:r>
        <w:rPr>
          <w:rFonts w:hint="eastAsia" w:ascii="宋体" w:hAnsi="宋体" w:eastAsia="宋体" w:cs="宋体"/>
          <w:b/>
          <w:bCs/>
          <w:color w:val="auto"/>
          <w:kern w:val="2"/>
          <w:sz w:val="24"/>
          <w:szCs w:val="24"/>
          <w:lang w:val="en-US" w:eastAsia="zh-CN" w:bidi="ar-SA"/>
        </w:rPr>
        <w:t xml:space="preserve">4. </w:t>
      </w:r>
      <w:bookmarkEnd w:id="578"/>
      <w:bookmarkEnd w:id="579"/>
      <w:bookmarkEnd w:id="580"/>
      <w:bookmarkEnd w:id="581"/>
      <w:r>
        <w:rPr>
          <w:rFonts w:hint="eastAsia" w:ascii="宋体" w:hAnsi="宋体" w:eastAsia="宋体" w:cs="宋体"/>
          <w:b/>
          <w:bCs/>
          <w:color w:val="auto"/>
          <w:kern w:val="2"/>
          <w:sz w:val="24"/>
          <w:szCs w:val="24"/>
          <w:lang w:val="en-US" w:eastAsia="zh-CN" w:bidi="ar-SA"/>
        </w:rPr>
        <w:t>磋商</w:t>
      </w:r>
      <w:bookmarkEnd w:id="582"/>
      <w:bookmarkEnd w:id="583"/>
    </w:p>
    <w:p w14:paraId="59009243">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584" w:name="_Toc16344"/>
      <w:bookmarkStart w:id="585" w:name="_Toc26583"/>
      <w:bookmarkStart w:id="586" w:name="_Toc490667852"/>
      <w:bookmarkStart w:id="587" w:name="_Toc455080132"/>
      <w:bookmarkStart w:id="588" w:name="_Toc455867792"/>
      <w:bookmarkStart w:id="589" w:name="_Toc144974524"/>
      <w:bookmarkStart w:id="590" w:name="_Toc18820"/>
      <w:bookmarkStart w:id="591" w:name="_Toc318450699"/>
      <w:bookmarkStart w:id="592" w:name="_Toc11243"/>
      <w:bookmarkStart w:id="593" w:name="_Toc22961"/>
      <w:bookmarkStart w:id="594" w:name="_Toc152042332"/>
      <w:bookmarkStart w:id="595" w:name="_Toc16962"/>
      <w:bookmarkStart w:id="596" w:name="_Toc16783"/>
      <w:bookmarkStart w:id="597" w:name="_Toc26550"/>
      <w:bookmarkStart w:id="598" w:name="_Toc152045556"/>
      <w:bookmarkStart w:id="599" w:name="_Toc466298115"/>
      <w:bookmarkStart w:id="600" w:name="_Toc31492"/>
      <w:bookmarkStart w:id="601" w:name="_Toc21145"/>
      <w:bookmarkStart w:id="602" w:name="_Toc15161"/>
      <w:bookmarkStart w:id="603" w:name="_Toc24554"/>
      <w:bookmarkStart w:id="604" w:name="_Toc21351"/>
      <w:r>
        <w:rPr>
          <w:rFonts w:hint="eastAsia" w:ascii="宋体" w:hAnsi="宋体" w:eastAsia="宋体" w:cs="宋体"/>
          <w:b/>
          <w:bCs/>
          <w:color w:val="auto"/>
          <w:kern w:val="2"/>
          <w:sz w:val="24"/>
          <w:szCs w:val="24"/>
          <w:lang w:val="en-US" w:eastAsia="zh-CN" w:bidi="ar-SA"/>
        </w:rPr>
        <w:t>4.1 响应文件的</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Fonts w:hint="eastAsia" w:ascii="宋体" w:hAnsi="宋体" w:eastAsia="宋体" w:cs="宋体"/>
          <w:b/>
          <w:bCs/>
          <w:color w:val="auto"/>
          <w:kern w:val="2"/>
          <w:sz w:val="24"/>
          <w:szCs w:val="24"/>
          <w:lang w:val="en-US" w:eastAsia="zh-CN" w:bidi="ar-SA"/>
        </w:rPr>
        <w:t>上传</w:t>
      </w:r>
      <w:bookmarkEnd w:id="601"/>
      <w:bookmarkEnd w:id="602"/>
      <w:bookmarkEnd w:id="603"/>
      <w:bookmarkEnd w:id="604"/>
    </w:p>
    <w:p w14:paraId="765D1145">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4.1.1网上上传的电子响应文件应使用供应商数字证书认证并加密。</w:t>
      </w:r>
    </w:p>
    <w:p w14:paraId="1100E0F4">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605" w:name="_Toc8754"/>
      <w:bookmarkStart w:id="606" w:name="_Toc2784"/>
      <w:bookmarkStart w:id="607" w:name="_Toc152042333"/>
      <w:bookmarkStart w:id="608" w:name="_Toc21897"/>
      <w:bookmarkStart w:id="609" w:name="_Toc318450700"/>
      <w:bookmarkStart w:id="610" w:name="_Toc4767"/>
      <w:bookmarkStart w:id="611" w:name="_Toc16832"/>
      <w:bookmarkStart w:id="612" w:name="_Toc144974525"/>
      <w:bookmarkStart w:id="613" w:name="_Toc455867793"/>
      <w:bookmarkStart w:id="614" w:name="_Toc31952"/>
      <w:bookmarkStart w:id="615" w:name="_Toc7663"/>
      <w:bookmarkStart w:id="616" w:name="_Toc466298116"/>
      <w:bookmarkStart w:id="617" w:name="_Toc28272"/>
      <w:bookmarkStart w:id="618" w:name="_Toc152045557"/>
      <w:bookmarkStart w:id="619" w:name="_Toc21072"/>
      <w:bookmarkStart w:id="620" w:name="_Toc462"/>
      <w:bookmarkStart w:id="621" w:name="_Toc27420"/>
      <w:bookmarkStart w:id="622" w:name="_Toc20259"/>
      <w:bookmarkStart w:id="623" w:name="_Toc455080133"/>
      <w:bookmarkStart w:id="624" w:name="_Toc27132"/>
      <w:bookmarkStart w:id="625" w:name="_Toc490667853"/>
      <w:r>
        <w:rPr>
          <w:rFonts w:hint="eastAsia" w:ascii="宋体" w:hAnsi="宋体" w:eastAsia="宋体" w:cs="宋体"/>
          <w:b/>
          <w:bCs/>
          <w:color w:val="auto"/>
          <w:kern w:val="2"/>
          <w:sz w:val="24"/>
          <w:szCs w:val="24"/>
          <w:lang w:val="en-US" w:eastAsia="zh-CN" w:bidi="ar-SA"/>
        </w:rPr>
        <w:t>4.2 响应文件的递交</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394FA29D">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highlight w:val="white"/>
        </w:rPr>
      </w:pPr>
      <w:bookmarkStart w:id="626" w:name="_Toc152045558"/>
      <w:bookmarkStart w:id="627" w:name="_Toc152042334"/>
      <w:bookmarkStart w:id="628" w:name="_Toc466298117"/>
      <w:bookmarkStart w:id="629" w:name="_Toc455867794"/>
      <w:bookmarkStart w:id="630" w:name="_Toc19951"/>
      <w:bookmarkStart w:id="631" w:name="_Toc318450701"/>
      <w:bookmarkStart w:id="632" w:name="_Toc144974526"/>
      <w:bookmarkStart w:id="633" w:name="_Toc490667854"/>
      <w:bookmarkStart w:id="634" w:name="_Toc5102"/>
      <w:bookmarkStart w:id="635" w:name="_Toc30860"/>
      <w:bookmarkStart w:id="636" w:name="_Toc20281"/>
      <w:bookmarkStart w:id="637" w:name="_Toc26684"/>
      <w:bookmarkStart w:id="638" w:name="_Toc21890"/>
      <w:bookmarkStart w:id="639" w:name="_Toc11817"/>
      <w:bookmarkStart w:id="640" w:name="_Toc2952"/>
      <w:bookmarkStart w:id="641" w:name="_Toc455080134"/>
      <w:bookmarkStart w:id="642" w:name="_Toc17161"/>
      <w:r>
        <w:rPr>
          <w:rFonts w:hint="eastAsia" w:ascii="宋体" w:hAnsi="宋体" w:eastAsia="宋体" w:cs="宋体"/>
          <w:color w:val="auto"/>
          <w:sz w:val="24"/>
          <w:szCs w:val="24"/>
          <w:highlight w:val="white"/>
        </w:rPr>
        <w:t>4.2.1电子响应文件的递交</w:t>
      </w:r>
    </w:p>
    <w:p w14:paraId="38CD374F">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highlight w:val="white"/>
        </w:rPr>
      </w:pPr>
      <w:r>
        <w:rPr>
          <w:rFonts w:hint="eastAsia" w:ascii="宋体" w:hAnsi="宋体" w:eastAsia="宋体" w:cs="宋体"/>
          <w:color w:val="auto"/>
          <w:sz w:val="24"/>
          <w:szCs w:val="24"/>
          <w:highlight w:val="white"/>
        </w:rPr>
        <w:t>各供应商应在</w:t>
      </w:r>
      <w:r>
        <w:rPr>
          <w:rFonts w:hint="eastAsia" w:ascii="宋体" w:hAnsi="宋体" w:eastAsia="宋体" w:cs="宋体"/>
          <w:color w:val="auto"/>
          <w:sz w:val="24"/>
          <w:szCs w:val="24"/>
          <w:highlight w:val="white"/>
          <w:lang w:eastAsia="zh-CN"/>
        </w:rPr>
        <w:t>响应文件提交截止时间前</w:t>
      </w:r>
      <w:r>
        <w:rPr>
          <w:rFonts w:hint="eastAsia" w:ascii="宋体" w:hAnsi="宋体" w:eastAsia="宋体" w:cs="宋体"/>
          <w:color w:val="auto"/>
          <w:sz w:val="24"/>
          <w:szCs w:val="24"/>
          <w:highlight w:val="white"/>
        </w:rPr>
        <w:t>上传加密的电子响应文件（*.XYTF）到会员系统的指定位置。上传的电子响应文件应使用</w:t>
      </w:r>
      <w:r>
        <w:rPr>
          <w:rFonts w:hint="eastAsia" w:ascii="宋体" w:hAnsi="宋体" w:eastAsia="宋体" w:cs="宋体"/>
          <w:color w:val="auto"/>
          <w:sz w:val="24"/>
          <w:szCs w:val="24"/>
          <w:highlight w:val="white"/>
          <w:lang w:eastAsia="zh-CN"/>
        </w:rPr>
        <w:t>供应商</w:t>
      </w:r>
      <w:r>
        <w:rPr>
          <w:rFonts w:hint="eastAsia" w:ascii="宋体" w:hAnsi="宋体" w:eastAsia="宋体" w:cs="宋体"/>
          <w:color w:val="auto"/>
          <w:sz w:val="24"/>
          <w:szCs w:val="24"/>
          <w:highlight w:val="white"/>
        </w:rPr>
        <w:t>CA数字证书认证并加密。上传时必须得到交易系统“上传成功”的确认回复后方为上传成功。请供应商在上传前务必认真检查上传响应文件是否完整、正确。</w:t>
      </w:r>
    </w:p>
    <w:p w14:paraId="063AE0C4">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643" w:name="_Toc13257"/>
      <w:bookmarkStart w:id="644" w:name="_Toc27477"/>
      <w:bookmarkStart w:id="645" w:name="_Toc1790"/>
      <w:bookmarkStart w:id="646" w:name="_Toc12730"/>
      <w:r>
        <w:rPr>
          <w:rFonts w:hint="eastAsia" w:ascii="宋体" w:hAnsi="宋体" w:eastAsia="宋体" w:cs="宋体"/>
          <w:b/>
          <w:bCs/>
          <w:color w:val="auto"/>
          <w:kern w:val="2"/>
          <w:sz w:val="24"/>
          <w:szCs w:val="24"/>
          <w:lang w:val="en-US" w:eastAsia="zh-CN" w:bidi="ar-SA"/>
        </w:rPr>
        <w:t>4.3 响应文件的修改与撤回</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p>
    <w:p w14:paraId="6CA14503">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bookmarkStart w:id="647" w:name="_Toc152042335"/>
      <w:bookmarkStart w:id="648" w:name="_Toc152045559"/>
      <w:bookmarkStart w:id="649" w:name="_Toc144974527"/>
      <w:bookmarkStart w:id="650" w:name="_Toc455080135"/>
      <w:r>
        <w:rPr>
          <w:rFonts w:hint="eastAsia" w:ascii="宋体" w:hAnsi="宋体" w:eastAsia="宋体" w:cs="宋体"/>
          <w:color w:val="auto"/>
          <w:sz w:val="24"/>
          <w:szCs w:val="24"/>
        </w:rPr>
        <w:t>4.3.1 在第一章“</w:t>
      </w:r>
      <w:r>
        <w:rPr>
          <w:rFonts w:hint="eastAsia" w:ascii="宋体" w:hAnsi="宋体" w:eastAsia="宋体" w:cs="宋体"/>
          <w:color w:val="auto"/>
          <w:sz w:val="24"/>
          <w:szCs w:val="24"/>
          <w:lang w:eastAsia="zh-CN"/>
        </w:rPr>
        <w:t>竞争性磋商公告</w:t>
      </w:r>
      <w:r>
        <w:rPr>
          <w:rFonts w:hint="eastAsia" w:ascii="宋体" w:hAnsi="宋体" w:eastAsia="宋体" w:cs="宋体"/>
          <w:color w:val="auto"/>
          <w:sz w:val="24"/>
          <w:szCs w:val="24"/>
        </w:rPr>
        <w:t>”规定的</w:t>
      </w:r>
      <w:r>
        <w:rPr>
          <w:rFonts w:hint="eastAsia" w:ascii="宋体" w:hAnsi="宋体" w:eastAsia="宋体" w:cs="宋体"/>
          <w:color w:val="auto"/>
          <w:sz w:val="24"/>
          <w:szCs w:val="24"/>
          <w:lang w:eastAsia="zh-CN"/>
        </w:rPr>
        <w:t>响应文件提交</w:t>
      </w:r>
      <w:r>
        <w:rPr>
          <w:rFonts w:hint="eastAsia" w:ascii="宋体" w:hAnsi="宋体" w:eastAsia="宋体" w:cs="宋体"/>
          <w:color w:val="auto"/>
          <w:sz w:val="24"/>
          <w:szCs w:val="24"/>
        </w:rPr>
        <w:t>截止时间前，供应商可以多次修改或撤回已递交的响应文件，最终响应文件以</w:t>
      </w:r>
      <w:r>
        <w:rPr>
          <w:rFonts w:hint="eastAsia" w:ascii="宋体" w:hAnsi="宋体" w:eastAsia="宋体" w:cs="宋体"/>
          <w:color w:val="auto"/>
          <w:sz w:val="24"/>
          <w:szCs w:val="24"/>
          <w:lang w:eastAsia="zh-CN"/>
        </w:rPr>
        <w:t>响应文件提交截止时间前</w:t>
      </w:r>
      <w:r>
        <w:rPr>
          <w:rFonts w:hint="eastAsia" w:ascii="宋体" w:hAnsi="宋体" w:eastAsia="宋体" w:cs="宋体"/>
          <w:color w:val="auto"/>
          <w:sz w:val="24"/>
          <w:szCs w:val="24"/>
        </w:rPr>
        <w:t>完成上传至信阳市公共资源交易中心交易系统最后一份响应文件为准。</w:t>
      </w:r>
    </w:p>
    <w:p w14:paraId="6C446107">
      <w:pPr>
        <w:pageBreakBefore w:val="0"/>
        <w:kinsoku/>
        <w:wordWrap/>
        <w:overflowPunct/>
        <w:topLinePunct w:val="0"/>
        <w:bidi w:val="0"/>
        <w:snapToGrid/>
        <w:spacing w:line="500" w:lineRule="exact"/>
        <w:ind w:firstLine="480" w:firstLineChars="20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4.3.2修改的响应文件应按照本章第3.7条、第4.2条规定进行编制和递交。</w:t>
      </w:r>
      <w:bookmarkEnd w:id="647"/>
      <w:bookmarkEnd w:id="648"/>
      <w:bookmarkEnd w:id="649"/>
      <w:bookmarkStart w:id="651" w:name="_Toc14969"/>
      <w:bookmarkStart w:id="652" w:name="_Toc30023"/>
    </w:p>
    <w:p w14:paraId="60556E3D">
      <w:pPr>
        <w:pageBreakBefore w:val="0"/>
        <w:kinsoku/>
        <w:wordWrap/>
        <w:overflowPunct/>
        <w:topLinePunct w:val="0"/>
        <w:bidi w:val="0"/>
        <w:snapToGrid/>
        <w:spacing w:line="500" w:lineRule="exact"/>
        <w:ind w:firstLine="482" w:firstLineChars="200"/>
        <w:jc w:val="both"/>
        <w:textAlignment w:val="auto"/>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rPr>
        <w:t>5.磋商开始</w:t>
      </w:r>
      <w:bookmarkEnd w:id="650"/>
      <w:bookmarkEnd w:id="651"/>
      <w:bookmarkEnd w:id="652"/>
      <w:bookmarkStart w:id="653" w:name="_Toc20660"/>
      <w:bookmarkStart w:id="654" w:name="_Toc14"/>
      <w:bookmarkStart w:id="655" w:name="_Toc20333"/>
      <w:bookmarkStart w:id="656" w:name="_Toc9969"/>
      <w:bookmarkStart w:id="657" w:name="_Toc490667856"/>
      <w:bookmarkStart w:id="658" w:name="_Toc318450703"/>
      <w:bookmarkStart w:id="659" w:name="_Toc455867796"/>
      <w:bookmarkStart w:id="660" w:name="_Toc152042336"/>
      <w:bookmarkStart w:id="661" w:name="_Toc455080136"/>
      <w:bookmarkStart w:id="662" w:name="_Toc25533"/>
      <w:bookmarkStart w:id="663" w:name="_Toc16040"/>
      <w:bookmarkStart w:id="664" w:name="_Toc6763"/>
      <w:bookmarkStart w:id="665" w:name="_Toc25809"/>
      <w:bookmarkStart w:id="666" w:name="_Toc466298119"/>
      <w:bookmarkStart w:id="667" w:name="_Toc152045560"/>
      <w:bookmarkStart w:id="668" w:name="_Toc26426"/>
      <w:bookmarkStart w:id="669" w:name="_Toc144974528"/>
    </w:p>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14:paraId="050605CA">
      <w:pPr>
        <w:pageBreakBefore w:val="0"/>
        <w:kinsoku/>
        <w:wordWrap/>
        <w:overflowPunct/>
        <w:topLinePunct w:val="0"/>
        <w:bidi w:val="0"/>
        <w:snapToGrid/>
        <w:spacing w:line="500" w:lineRule="exact"/>
        <w:ind w:firstLine="482" w:firstLineChars="200"/>
        <w:textAlignment w:val="auto"/>
        <w:rPr>
          <w:rFonts w:hint="eastAsia" w:ascii="宋体" w:hAnsi="宋体" w:eastAsia="宋体" w:cs="宋体"/>
          <w:b/>
          <w:bCs/>
          <w:color w:val="auto"/>
          <w:sz w:val="24"/>
          <w:szCs w:val="24"/>
        </w:rPr>
      </w:pPr>
      <w:bookmarkStart w:id="670" w:name="_Toc18582"/>
      <w:bookmarkStart w:id="671" w:name="_Toc30074"/>
      <w:bookmarkStart w:id="672" w:name="_Toc152042337"/>
      <w:bookmarkStart w:id="673" w:name="_Toc3865"/>
      <w:bookmarkStart w:id="674" w:name="_Toc30965"/>
      <w:bookmarkStart w:id="675" w:name="_Toc25911"/>
      <w:bookmarkStart w:id="676" w:name="_Toc318450704"/>
      <w:bookmarkStart w:id="677" w:name="_Toc747"/>
      <w:bookmarkStart w:id="678" w:name="_Toc11148"/>
      <w:bookmarkStart w:id="679" w:name="_Toc490667857"/>
      <w:bookmarkStart w:id="680" w:name="_Toc30792"/>
      <w:bookmarkStart w:id="681" w:name="_Toc455867797"/>
      <w:bookmarkStart w:id="682" w:name="_Toc455080137"/>
      <w:bookmarkStart w:id="683" w:name="_Toc9328"/>
      <w:bookmarkStart w:id="684" w:name="_Toc152045561"/>
      <w:bookmarkStart w:id="685" w:name="_Toc144974529"/>
      <w:bookmarkStart w:id="686" w:name="_Toc17491"/>
      <w:bookmarkStart w:id="687" w:name="_Toc466298120"/>
      <w:r>
        <w:rPr>
          <w:rFonts w:hint="eastAsia" w:ascii="宋体" w:hAnsi="宋体" w:eastAsia="宋体" w:cs="宋体"/>
          <w:b/>
          <w:bCs/>
          <w:color w:val="auto"/>
          <w:sz w:val="24"/>
          <w:szCs w:val="24"/>
        </w:rPr>
        <w:t>5.1 磋商时间和地点</w:t>
      </w:r>
    </w:p>
    <w:p w14:paraId="5ABD4BEA">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5.1.1 采购人在本章规定的投标截止时间（</w:t>
      </w:r>
      <w:r>
        <w:rPr>
          <w:rFonts w:hint="eastAsia" w:ascii="宋体" w:hAnsi="宋体" w:eastAsia="宋体" w:cs="宋体"/>
          <w:color w:val="auto"/>
          <w:sz w:val="24"/>
          <w:szCs w:val="24"/>
          <w:lang w:eastAsia="zh-CN"/>
        </w:rPr>
        <w:t>开标</w:t>
      </w:r>
      <w:r>
        <w:rPr>
          <w:rFonts w:hint="eastAsia" w:ascii="宋体" w:hAnsi="宋体" w:eastAsia="宋体" w:cs="宋体"/>
          <w:color w:val="auto"/>
          <w:sz w:val="24"/>
          <w:szCs w:val="24"/>
        </w:rPr>
        <w:t>时间）和</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须知前附表规定的地点开标。</w:t>
      </w:r>
    </w:p>
    <w:p w14:paraId="7419A62C">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 xml:space="preserve">5.1.2 </w:t>
      </w:r>
      <w:r>
        <w:rPr>
          <w:rFonts w:hint="eastAsia" w:ascii="宋体" w:hAnsi="宋体" w:eastAsia="宋体" w:cs="宋体"/>
          <w:b w:val="0"/>
          <w:bCs w:val="0"/>
          <w:color w:val="auto"/>
          <w:sz w:val="24"/>
          <w:szCs w:val="24"/>
          <w:lang w:val="en-US" w:eastAsia="zh-CN"/>
        </w:rPr>
        <w:t xml:space="preserve">本项目采用“不见面开标”交易方式，不见面开标大厅网址为 </w:t>
      </w:r>
      <w:r>
        <w:rPr>
          <w:rFonts w:hint="eastAsia" w:ascii="宋体" w:hAnsi="宋体" w:eastAsia="宋体" w:cs="宋体"/>
          <w:b w:val="0"/>
          <w:bCs w:val="0"/>
          <w:color w:val="auto"/>
          <w:sz w:val="24"/>
          <w:szCs w:val="24"/>
          <w:lang w:val="en-US" w:eastAsia="zh-CN"/>
        </w:rPr>
        <w:fldChar w:fldCharType="begin"/>
      </w:r>
      <w:r>
        <w:rPr>
          <w:rFonts w:hint="eastAsia" w:ascii="宋体" w:hAnsi="宋体" w:eastAsia="宋体" w:cs="宋体"/>
          <w:b w:val="0"/>
          <w:bCs w:val="0"/>
          <w:color w:val="auto"/>
          <w:sz w:val="24"/>
          <w:szCs w:val="24"/>
          <w:lang w:val="en-US" w:eastAsia="zh-CN"/>
        </w:rPr>
        <w:instrText xml:space="preserve"> HYPERLINK "http://117.158.91.68:8095/xxhy，投标人无需寄送和递交非加密的电子投标文件，无需到现场参加开标会议，无需到达现场提交原件资料。" </w:instrText>
      </w:r>
      <w:r>
        <w:rPr>
          <w:rFonts w:hint="eastAsia" w:ascii="宋体" w:hAnsi="宋体" w:eastAsia="宋体" w:cs="宋体"/>
          <w:b w:val="0"/>
          <w:bCs w:val="0"/>
          <w:color w:val="auto"/>
          <w:sz w:val="24"/>
          <w:szCs w:val="24"/>
          <w:lang w:val="en-US" w:eastAsia="zh-CN"/>
        </w:rPr>
        <w:fldChar w:fldCharType="separate"/>
      </w:r>
      <w:r>
        <w:rPr>
          <w:rFonts w:hint="eastAsia" w:ascii="宋体" w:hAnsi="宋体" w:eastAsia="宋体" w:cs="宋体"/>
          <w:b w:val="0"/>
          <w:bCs w:val="0"/>
          <w:color w:val="auto"/>
          <w:sz w:val="24"/>
          <w:szCs w:val="24"/>
          <w:lang w:val="en-US" w:eastAsia="zh-CN"/>
        </w:rPr>
        <w:t>http://https://ggzyjy.xinyang.gov.cn，供应商无需寄送和递交</w:t>
      </w:r>
      <w:r>
        <w:rPr>
          <w:rFonts w:hint="eastAsia" w:ascii="宋体" w:hAnsi="宋体" w:eastAsia="宋体" w:cs="宋体"/>
          <w:b w:val="0"/>
          <w:bCs w:val="0"/>
          <w:color w:val="auto"/>
          <w:sz w:val="24"/>
          <w:szCs w:val="24"/>
        </w:rPr>
        <w:t>非加密的电子</w:t>
      </w:r>
      <w:r>
        <w:rPr>
          <w:rFonts w:hint="eastAsia" w:ascii="宋体" w:hAnsi="宋体" w:eastAsia="宋体" w:cs="宋体"/>
          <w:b w:val="0"/>
          <w:bCs w:val="0"/>
          <w:color w:val="auto"/>
          <w:sz w:val="24"/>
          <w:szCs w:val="24"/>
          <w:lang w:eastAsia="zh-CN"/>
        </w:rPr>
        <w:t>响应文件，</w:t>
      </w:r>
      <w:r>
        <w:rPr>
          <w:rFonts w:hint="eastAsia" w:ascii="宋体" w:hAnsi="宋体" w:eastAsia="宋体" w:cs="宋体"/>
          <w:b w:val="0"/>
          <w:bCs w:val="0"/>
          <w:color w:val="auto"/>
          <w:sz w:val="24"/>
          <w:szCs w:val="24"/>
          <w:lang w:val="en-US" w:eastAsia="zh-CN"/>
        </w:rPr>
        <w:t>无需到现场参加开标会议，无需到达现场提交原件资料。</w:t>
      </w:r>
      <w:r>
        <w:rPr>
          <w:rFonts w:hint="eastAsia" w:ascii="宋体" w:hAnsi="宋体" w:eastAsia="宋体" w:cs="宋体"/>
          <w:b w:val="0"/>
          <w:bCs w:val="0"/>
          <w:color w:val="auto"/>
          <w:sz w:val="24"/>
          <w:szCs w:val="24"/>
          <w:lang w:val="en-US" w:eastAsia="zh-CN"/>
        </w:rPr>
        <w:fldChar w:fldCharType="end"/>
      </w:r>
    </w:p>
    <w:p w14:paraId="47FB62B8">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供应商应当在响应文件提交截止时间前，使用供应商CA数字证书登录不见面开标大厅，在线签到并准时参加开标活动，并在规定时间内完成响应文件解密、答疑澄清等。</w:t>
      </w:r>
    </w:p>
    <w:p w14:paraId="01B54161">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供应商需在解密开始后10分钟内完成解密（当供应商过多时，解密时间可以适当延长）。在响应文件解密过程中，因供应商原因（如供应商准备不到位、电脑网络问题等），造成无法及时解密的，将被退回响应文件。</w:t>
      </w:r>
    </w:p>
    <w:p w14:paraId="1CB62880">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不见面开标服务的具体事宜，请查阅信阳市公共资源交易中心网站首页—下载中心—信阳市不见面开标大厅系统操作手册。</w:t>
      </w:r>
    </w:p>
    <w:p w14:paraId="7E014063">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开标</w:t>
      </w:r>
      <w:r>
        <w:rPr>
          <w:rFonts w:hint="eastAsia" w:ascii="宋体" w:hAnsi="宋体" w:eastAsia="宋体" w:cs="宋体"/>
          <w:b w:val="0"/>
          <w:bCs w:val="0"/>
          <w:color w:val="auto"/>
          <w:sz w:val="24"/>
          <w:szCs w:val="24"/>
          <w:lang w:eastAsia="zh-CN"/>
        </w:rPr>
        <w:t>过程中</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如有异议，须</w:t>
      </w:r>
      <w:r>
        <w:rPr>
          <w:rFonts w:hint="eastAsia" w:ascii="宋体" w:hAnsi="宋体" w:eastAsia="宋体" w:cs="宋体"/>
          <w:b w:val="0"/>
          <w:bCs w:val="0"/>
          <w:color w:val="auto"/>
          <w:sz w:val="24"/>
          <w:szCs w:val="24"/>
          <w:lang w:eastAsia="zh-CN"/>
        </w:rPr>
        <w:t>在开标结束前</w:t>
      </w:r>
      <w:r>
        <w:rPr>
          <w:rFonts w:hint="eastAsia" w:ascii="宋体" w:hAnsi="宋体" w:eastAsia="宋体" w:cs="宋体"/>
          <w:b w:val="0"/>
          <w:bCs w:val="0"/>
          <w:color w:val="auto"/>
          <w:sz w:val="24"/>
          <w:szCs w:val="24"/>
        </w:rPr>
        <w:t>通过系统提出，否则视同</w:t>
      </w:r>
      <w:r>
        <w:rPr>
          <w:rFonts w:hint="eastAsia" w:ascii="宋体" w:hAnsi="宋体" w:eastAsia="宋体" w:cs="宋体"/>
          <w:b w:val="0"/>
          <w:bCs w:val="0"/>
          <w:color w:val="auto"/>
          <w:sz w:val="24"/>
          <w:szCs w:val="24"/>
          <w:lang w:eastAsia="zh-CN"/>
        </w:rPr>
        <w:t>认可</w:t>
      </w:r>
      <w:r>
        <w:rPr>
          <w:rFonts w:hint="eastAsia" w:ascii="宋体" w:hAnsi="宋体" w:eastAsia="宋体" w:cs="宋体"/>
          <w:b w:val="0"/>
          <w:bCs w:val="0"/>
          <w:color w:val="auto"/>
          <w:sz w:val="24"/>
          <w:szCs w:val="24"/>
        </w:rPr>
        <w:t>开标记录</w:t>
      </w:r>
      <w:r>
        <w:rPr>
          <w:rFonts w:hint="eastAsia" w:ascii="宋体" w:hAnsi="宋体" w:eastAsia="宋体" w:cs="宋体"/>
          <w:b w:val="0"/>
          <w:bCs w:val="0"/>
          <w:color w:val="auto"/>
          <w:sz w:val="24"/>
          <w:szCs w:val="24"/>
          <w:lang w:eastAsia="zh-CN"/>
        </w:rPr>
        <w:t>。开标结束后，</w:t>
      </w:r>
      <w:r>
        <w:rPr>
          <w:rFonts w:hint="eastAsia" w:ascii="宋体" w:hAnsi="宋体" w:eastAsia="宋体" w:cs="宋体"/>
          <w:b w:val="0"/>
          <w:bCs w:val="0"/>
          <w:color w:val="auto"/>
          <w:sz w:val="24"/>
          <w:szCs w:val="24"/>
        </w:rPr>
        <w:t>对开标记录</w:t>
      </w:r>
      <w:r>
        <w:rPr>
          <w:rFonts w:hint="eastAsia" w:ascii="宋体" w:hAnsi="宋体" w:eastAsia="宋体" w:cs="宋体"/>
          <w:b w:val="0"/>
          <w:bCs w:val="0"/>
          <w:color w:val="auto"/>
          <w:sz w:val="24"/>
          <w:szCs w:val="24"/>
          <w:lang w:eastAsia="zh-CN"/>
        </w:rPr>
        <w:t>的</w:t>
      </w:r>
      <w:r>
        <w:rPr>
          <w:rFonts w:hint="eastAsia" w:ascii="宋体" w:hAnsi="宋体" w:eastAsia="宋体" w:cs="宋体"/>
          <w:b w:val="0"/>
          <w:bCs w:val="0"/>
          <w:color w:val="auto"/>
          <w:sz w:val="24"/>
          <w:szCs w:val="24"/>
        </w:rPr>
        <w:t>任何异议</w:t>
      </w:r>
      <w:r>
        <w:rPr>
          <w:rFonts w:hint="eastAsia" w:ascii="宋体" w:hAnsi="宋体" w:eastAsia="宋体" w:cs="宋体"/>
          <w:b w:val="0"/>
          <w:bCs w:val="0"/>
          <w:color w:val="auto"/>
          <w:sz w:val="24"/>
          <w:szCs w:val="24"/>
          <w:lang w:eastAsia="zh-CN"/>
        </w:rPr>
        <w:t>不再接受</w:t>
      </w:r>
      <w:r>
        <w:rPr>
          <w:rFonts w:hint="eastAsia" w:ascii="宋体" w:hAnsi="宋体" w:eastAsia="宋体" w:cs="宋体"/>
          <w:b w:val="0"/>
          <w:bCs w:val="0"/>
          <w:color w:val="auto"/>
          <w:sz w:val="24"/>
          <w:szCs w:val="24"/>
        </w:rPr>
        <w:t xml:space="preserve">。 </w:t>
      </w:r>
    </w:p>
    <w:p w14:paraId="6499A491">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688" w:name="_Toc98"/>
      <w:bookmarkStart w:id="689" w:name="_Toc25217"/>
      <w:bookmarkStart w:id="690" w:name="_Toc7224"/>
      <w:r>
        <w:rPr>
          <w:rFonts w:hint="eastAsia" w:ascii="宋体" w:hAnsi="宋体" w:eastAsia="宋体" w:cs="宋体"/>
          <w:b/>
          <w:bCs/>
          <w:color w:val="auto"/>
          <w:kern w:val="2"/>
          <w:sz w:val="24"/>
          <w:szCs w:val="24"/>
          <w:lang w:val="en-US" w:eastAsia="zh-CN" w:bidi="ar-SA"/>
        </w:rPr>
        <w:t>5.2 磋商程序</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14:paraId="7A0E945E">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0"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691" w:name="_Toc20931"/>
      <w:bookmarkStart w:id="692" w:name="_Toc30403"/>
      <w:bookmarkStart w:id="693" w:name="_Toc31888"/>
      <w:bookmarkStart w:id="694" w:name="_Toc23409"/>
      <w:r>
        <w:rPr>
          <w:rFonts w:hint="eastAsia" w:ascii="宋体" w:hAnsi="宋体" w:eastAsia="宋体" w:cs="宋体"/>
          <w:b w:val="0"/>
          <w:color w:val="auto"/>
          <w:kern w:val="2"/>
          <w:sz w:val="24"/>
          <w:szCs w:val="24"/>
          <w:lang w:val="en-US" w:eastAsia="zh-CN" w:bidi="ar-SA"/>
        </w:rPr>
        <w:t>5.2.1磋商小组对竞争性磋商文件进行熟悉确认。</w:t>
      </w:r>
      <w:bookmarkEnd w:id="691"/>
      <w:bookmarkEnd w:id="692"/>
      <w:bookmarkEnd w:id="693"/>
      <w:bookmarkEnd w:id="694"/>
    </w:p>
    <w:p w14:paraId="241395C6">
      <w:pPr>
        <w:pageBreakBefore w:val="0"/>
        <w:kinsoku/>
        <w:wordWrap/>
        <w:overflowPunct/>
        <w:topLinePunct w:val="0"/>
        <w:bidi w:val="0"/>
        <w:snapToGrid/>
        <w:spacing w:line="500" w:lineRule="exact"/>
        <w:ind w:firstLine="540" w:firstLineChars="225"/>
        <w:textAlignment w:val="auto"/>
        <w:rPr>
          <w:rFonts w:hint="eastAsia" w:ascii="宋体" w:hAnsi="宋体" w:eastAsia="宋体" w:cs="宋体"/>
          <w:color w:val="auto"/>
          <w:sz w:val="24"/>
          <w:szCs w:val="24"/>
        </w:rPr>
      </w:pPr>
      <w:bookmarkStart w:id="695" w:name="_Toc152042338"/>
      <w:bookmarkStart w:id="696" w:name="_Toc144974530"/>
      <w:bookmarkStart w:id="697" w:name="_Toc152045562"/>
      <w:r>
        <w:rPr>
          <w:rFonts w:hint="eastAsia" w:ascii="宋体" w:hAnsi="宋体" w:eastAsia="宋体" w:cs="宋体"/>
          <w:color w:val="auto"/>
          <w:sz w:val="24"/>
          <w:szCs w:val="24"/>
        </w:rPr>
        <w:t>5.2.2磋商小组推选组长，讨论、通过磋商工作流程和磋商要点。</w:t>
      </w:r>
    </w:p>
    <w:p w14:paraId="62A99FB5">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资格评审审查：采购人依据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规定，</w:t>
      </w:r>
      <w:r>
        <w:rPr>
          <w:rFonts w:hint="eastAsia" w:ascii="宋体" w:hAnsi="宋体" w:eastAsia="宋体" w:cs="宋体"/>
          <w:color w:val="auto"/>
          <w:sz w:val="24"/>
          <w:szCs w:val="24"/>
          <w:lang w:eastAsia="zh-CN"/>
        </w:rPr>
        <w:t>对</w:t>
      </w:r>
      <w:r>
        <w:rPr>
          <w:rFonts w:hint="eastAsia" w:ascii="宋体" w:hAnsi="宋体" w:eastAsia="宋体" w:cs="宋体"/>
          <w:color w:val="auto"/>
          <w:sz w:val="24"/>
          <w:szCs w:val="24"/>
        </w:rPr>
        <w:t>供应商进行审查，以确定磋商供应商是否具备参与磋商的资格。根据磋商文件资格条件要求提供相关证明材料的扫描件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未按要求提供的</w:t>
      </w: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文件无效。</w:t>
      </w:r>
    </w:p>
    <w:p w14:paraId="6B5FEB8B">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符合性</w:t>
      </w:r>
      <w:r>
        <w:rPr>
          <w:rFonts w:hint="eastAsia" w:ascii="宋体" w:hAnsi="宋体" w:eastAsia="宋体" w:cs="宋体"/>
          <w:color w:val="auto"/>
          <w:sz w:val="24"/>
          <w:szCs w:val="24"/>
        </w:rPr>
        <w:t>评审审查：磋商开始后，磋商小组依据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规定，对通过资格评审的供应商进行审查，以确定磋商供应商是否具备参与磋商的资格。</w:t>
      </w:r>
    </w:p>
    <w:p w14:paraId="13490DC2">
      <w:pPr>
        <w:pageBreakBefore w:val="0"/>
        <w:kinsoku/>
        <w:wordWrap/>
        <w:overflowPunct/>
        <w:topLinePunct w:val="0"/>
        <w:bidi w:val="0"/>
        <w:snapToGrid/>
        <w:spacing w:line="500" w:lineRule="exact"/>
        <w:ind w:firstLine="540" w:firstLineChars="225"/>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磋商小组对通过资格性和符合性审查的响应文件进行评估，确定与各竞标人磋商的具体内容。</w:t>
      </w:r>
    </w:p>
    <w:p w14:paraId="76545D5E">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5.2.</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磋商过程中，磋商小组可以根据磋商情况实质性变动招标需求中的技术、服务要求以及合同草案条款，但不得变动</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中的其他内容。实质性变动的内容需经采购人(业主)代表确认。并以书面形式通知所有参加磋商的供应商，该变动是</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的有效组成部分。供应商应当按照</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招标需求中的技术、服务要求以及合同草案条款，则供应商的最后报价不得高于首次报价，否则按废标处理。</w:t>
      </w:r>
    </w:p>
    <w:p w14:paraId="23DF3AB3">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磋商小组对符合招标需求的供应商进行两轮报价；供应商只有通过资格评审</w:t>
      </w:r>
      <w:r>
        <w:rPr>
          <w:rFonts w:hint="eastAsia" w:ascii="宋体" w:hAnsi="宋体" w:eastAsia="宋体" w:cs="宋体"/>
          <w:color w:val="auto"/>
          <w:sz w:val="24"/>
          <w:szCs w:val="24"/>
          <w:lang w:eastAsia="zh-CN"/>
        </w:rPr>
        <w:t>及符合性</w:t>
      </w:r>
      <w:r>
        <w:rPr>
          <w:rFonts w:hint="eastAsia" w:ascii="宋体" w:hAnsi="宋体" w:eastAsia="宋体" w:cs="宋体"/>
          <w:color w:val="auto"/>
          <w:sz w:val="24"/>
          <w:szCs w:val="24"/>
        </w:rPr>
        <w:t>评审后方可进入下一轮报价，在规定的时间内同时提交报价，最终报价不得超过响应文件中报价。</w:t>
      </w:r>
    </w:p>
    <w:p w14:paraId="17FC6E8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5.2.8磋商文件能够详细列明采购标的的技术、服务要求的，磋商结束后，磋商小组应当要求所有实质性响应的供应商在规定时间内提交最后报价，提交最后报价的供应商不得少于3家。　　</w:t>
      </w:r>
    </w:p>
    <w:p w14:paraId="58DCA5CB">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5.2.9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提交最后报价。</w:t>
      </w:r>
    </w:p>
    <w:p w14:paraId="624AE452">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5.2.10最后报价是供应商响应文件的有效组成部分。</w:t>
      </w:r>
    </w:p>
    <w:p w14:paraId="63E70316">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5.2.11经磋商确定最终招标需求，由磋商小组采用综合评分法对通过初步评审的供应商的响应文件进行综合评分。</w:t>
      </w:r>
      <w:bookmarkStart w:id="698" w:name="_Toc455080138"/>
      <w:bookmarkStart w:id="699" w:name="_Toc14039"/>
      <w:bookmarkStart w:id="700" w:name="_Toc27343"/>
    </w:p>
    <w:p w14:paraId="60698A15">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both"/>
        <w:textAlignment w:val="auto"/>
        <w:outlineLvl w:val="1"/>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 xml:space="preserve">6. </w:t>
      </w:r>
      <w:bookmarkEnd w:id="695"/>
      <w:bookmarkEnd w:id="696"/>
      <w:bookmarkEnd w:id="697"/>
      <w:r>
        <w:rPr>
          <w:rFonts w:hint="eastAsia" w:ascii="宋体" w:hAnsi="宋体" w:eastAsia="宋体" w:cs="宋体"/>
          <w:b/>
          <w:bCs/>
          <w:color w:val="auto"/>
          <w:kern w:val="2"/>
          <w:sz w:val="24"/>
          <w:szCs w:val="24"/>
          <w:lang w:val="en-US" w:eastAsia="zh-CN" w:bidi="ar-SA"/>
        </w:rPr>
        <w:t>磋商</w:t>
      </w:r>
      <w:bookmarkEnd w:id="698"/>
      <w:r>
        <w:rPr>
          <w:rFonts w:hint="eastAsia" w:ascii="宋体" w:hAnsi="宋体" w:eastAsia="宋体" w:cs="宋体"/>
          <w:b/>
          <w:bCs/>
          <w:color w:val="auto"/>
          <w:kern w:val="2"/>
          <w:sz w:val="24"/>
          <w:szCs w:val="24"/>
          <w:lang w:val="en-US" w:eastAsia="zh-CN" w:bidi="ar-SA"/>
        </w:rPr>
        <w:t>小组</w:t>
      </w:r>
      <w:bookmarkEnd w:id="699"/>
      <w:bookmarkEnd w:id="700"/>
    </w:p>
    <w:p w14:paraId="7138EA12">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701" w:name="_Toc152045563"/>
      <w:bookmarkStart w:id="702" w:name="_Toc26098"/>
      <w:bookmarkStart w:id="703" w:name="_Toc144974531"/>
      <w:bookmarkStart w:id="704" w:name="_Toc152042339"/>
      <w:bookmarkStart w:id="705" w:name="_Toc9808"/>
      <w:bookmarkStart w:id="706" w:name="_Toc22250"/>
      <w:bookmarkStart w:id="707" w:name="_Toc318450706"/>
      <w:bookmarkStart w:id="708" w:name="_Toc18985"/>
      <w:bookmarkStart w:id="709" w:name="_Toc466298122"/>
      <w:bookmarkStart w:id="710" w:name="_Toc8157"/>
      <w:bookmarkStart w:id="711" w:name="_Toc455080139"/>
      <w:bookmarkStart w:id="712" w:name="_Toc17775"/>
      <w:bookmarkStart w:id="713" w:name="_Toc17591"/>
      <w:bookmarkStart w:id="714" w:name="_Toc2827"/>
      <w:bookmarkStart w:id="715" w:name="_Toc490667859"/>
      <w:bookmarkStart w:id="716" w:name="_Toc455867799"/>
      <w:bookmarkStart w:id="717" w:name="_Toc1574"/>
      <w:bookmarkStart w:id="718" w:name="_Toc23138"/>
      <w:bookmarkStart w:id="719" w:name="_Toc1546"/>
      <w:bookmarkStart w:id="720" w:name="_Toc8725"/>
      <w:bookmarkStart w:id="721" w:name="_Toc13978"/>
      <w:r>
        <w:rPr>
          <w:rFonts w:hint="eastAsia" w:ascii="宋体" w:hAnsi="宋体" w:eastAsia="宋体" w:cs="宋体"/>
          <w:b/>
          <w:bCs/>
          <w:color w:val="auto"/>
          <w:kern w:val="2"/>
          <w:sz w:val="24"/>
          <w:szCs w:val="24"/>
          <w:lang w:val="en-US" w:eastAsia="zh-CN" w:bidi="ar-SA"/>
        </w:rPr>
        <w:t>6.1</w:t>
      </w:r>
      <w:bookmarkEnd w:id="701"/>
      <w:bookmarkEnd w:id="702"/>
      <w:bookmarkEnd w:id="703"/>
      <w:bookmarkEnd w:id="704"/>
      <w:bookmarkEnd w:id="705"/>
      <w:bookmarkEnd w:id="706"/>
      <w:bookmarkEnd w:id="707"/>
      <w:r>
        <w:rPr>
          <w:rFonts w:hint="eastAsia" w:ascii="宋体" w:hAnsi="宋体" w:eastAsia="宋体" w:cs="宋体"/>
          <w:b/>
          <w:bCs/>
          <w:color w:val="auto"/>
          <w:kern w:val="2"/>
          <w:sz w:val="24"/>
          <w:szCs w:val="24"/>
          <w:lang w:val="en-US" w:eastAsia="zh-CN" w:bidi="ar-SA"/>
        </w:rPr>
        <w:t>磋商小组</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14:paraId="39177760">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磋商由采购人依法组建的磋商小组负责。磋商小组由采购人代表以及有关技术、经济等方面的专家组成。磋商小组成员人数以及技术、经济等方面专家的确定方式见供应商须知前附表。</w:t>
      </w:r>
    </w:p>
    <w:p w14:paraId="6C21FA68">
      <w:pPr>
        <w:keepNext/>
        <w:keepLines/>
        <w:pageBreakBefore w:val="0"/>
        <w:widowControl w:val="0"/>
        <w:numPr>
          <w:ilvl w:val="2"/>
          <w:numId w:val="0"/>
        </w:numPr>
        <w:tabs>
          <w:tab w:val="left" w:pos="2620"/>
        </w:tabs>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722" w:name="_Toc22143"/>
      <w:bookmarkStart w:id="723" w:name="_Toc27035"/>
      <w:bookmarkStart w:id="724" w:name="_Toc152045564"/>
      <w:bookmarkStart w:id="725" w:name="_Toc21102"/>
      <w:bookmarkStart w:id="726" w:name="_Toc8240"/>
      <w:bookmarkStart w:id="727" w:name="_Toc152042340"/>
      <w:bookmarkStart w:id="728" w:name="_Toc9532"/>
      <w:bookmarkStart w:id="729" w:name="_Toc318450707"/>
      <w:bookmarkStart w:id="730" w:name="_Toc4435"/>
      <w:bookmarkStart w:id="731" w:name="_Toc455080140"/>
      <w:bookmarkStart w:id="732" w:name="_Toc8248"/>
      <w:bookmarkStart w:id="733" w:name="_Toc16354"/>
      <w:bookmarkStart w:id="734" w:name="_Toc32658"/>
      <w:bookmarkStart w:id="735" w:name="_Toc466298123"/>
      <w:bookmarkStart w:id="736" w:name="_Toc13368"/>
      <w:bookmarkStart w:id="737" w:name="_Toc25721"/>
      <w:bookmarkStart w:id="738" w:name="_Toc144974532"/>
      <w:bookmarkStart w:id="739" w:name="_Toc455867800"/>
      <w:bookmarkStart w:id="740" w:name="_Toc23514"/>
      <w:bookmarkStart w:id="741" w:name="_Toc490667860"/>
      <w:bookmarkStart w:id="742" w:name="_Toc7286"/>
      <w:r>
        <w:rPr>
          <w:rFonts w:hint="eastAsia" w:ascii="宋体" w:hAnsi="宋体" w:eastAsia="宋体" w:cs="宋体"/>
          <w:b/>
          <w:bCs/>
          <w:color w:val="auto"/>
          <w:kern w:val="2"/>
          <w:sz w:val="24"/>
          <w:szCs w:val="24"/>
          <w:lang w:val="en-US" w:eastAsia="zh-CN" w:bidi="ar-SA"/>
        </w:rPr>
        <w:t>6.2 磋商原则</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112B9465">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磋商活动遵循公平、公正、科学和择优的原则。</w:t>
      </w:r>
    </w:p>
    <w:p w14:paraId="7ED27994">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val="0"/>
          <w:color w:val="auto"/>
          <w:kern w:val="2"/>
          <w:sz w:val="24"/>
          <w:szCs w:val="24"/>
          <w:lang w:val="en-US" w:eastAsia="zh-CN" w:bidi="ar-SA"/>
        </w:rPr>
      </w:pPr>
      <w:bookmarkStart w:id="743" w:name="_Toc318450708"/>
      <w:bookmarkStart w:id="744" w:name="_Toc16725"/>
      <w:bookmarkStart w:id="745" w:name="_Toc8705"/>
      <w:bookmarkStart w:id="746" w:name="_Toc152042341"/>
      <w:bookmarkStart w:id="747" w:name="_Toc152045565"/>
      <w:bookmarkStart w:id="748" w:name="_Toc15595"/>
      <w:bookmarkStart w:id="749" w:name="_Toc144974533"/>
      <w:bookmarkStart w:id="750" w:name="_Toc15766"/>
      <w:bookmarkStart w:id="751" w:name="_Toc24358"/>
      <w:bookmarkStart w:id="752" w:name="_Toc309"/>
      <w:bookmarkStart w:id="753" w:name="_Toc4438"/>
      <w:bookmarkStart w:id="754" w:name="_Toc3606"/>
      <w:bookmarkStart w:id="755" w:name="_Toc455080141"/>
      <w:bookmarkStart w:id="756" w:name="_Toc28734"/>
      <w:bookmarkStart w:id="757" w:name="_Toc455867801"/>
      <w:bookmarkStart w:id="758" w:name="_Toc27036"/>
      <w:bookmarkStart w:id="759" w:name="_Toc20062"/>
      <w:bookmarkStart w:id="760" w:name="_Toc7890"/>
      <w:bookmarkStart w:id="761" w:name="_Toc490667861"/>
      <w:bookmarkStart w:id="762" w:name="_Toc466298124"/>
      <w:bookmarkStart w:id="763" w:name="_Toc18756"/>
      <w:r>
        <w:rPr>
          <w:rFonts w:hint="eastAsia" w:ascii="宋体" w:hAnsi="宋体" w:eastAsia="宋体" w:cs="宋体"/>
          <w:b/>
          <w:bCs/>
          <w:color w:val="auto"/>
          <w:kern w:val="2"/>
          <w:sz w:val="24"/>
          <w:szCs w:val="24"/>
          <w:lang w:val="en-US" w:eastAsia="zh-CN" w:bidi="ar-SA"/>
        </w:rPr>
        <w:t xml:space="preserve">6.3 </w:t>
      </w:r>
      <w:bookmarkEnd w:id="743"/>
      <w:bookmarkEnd w:id="744"/>
      <w:bookmarkEnd w:id="745"/>
      <w:bookmarkEnd w:id="746"/>
      <w:bookmarkEnd w:id="747"/>
      <w:bookmarkEnd w:id="748"/>
      <w:bookmarkEnd w:id="749"/>
      <w:r>
        <w:rPr>
          <w:rFonts w:hint="eastAsia" w:ascii="宋体" w:hAnsi="宋体" w:eastAsia="宋体" w:cs="宋体"/>
          <w:b/>
          <w:bCs/>
          <w:color w:val="auto"/>
          <w:kern w:val="2"/>
          <w:sz w:val="24"/>
          <w:szCs w:val="24"/>
          <w:lang w:val="en-US" w:eastAsia="zh-CN" w:bidi="ar-SA"/>
        </w:rPr>
        <w:t>磋商</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5B8E6CBC">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0" w:firstLineChars="20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磋商小组按照第三章“评审办法”规定的方法、评审因素、标准和程序对响应文件进行评审。第三章“评审办法”没有规定的方法、评审因素和标准，不作为评标依据。</w:t>
      </w:r>
      <w:bookmarkStart w:id="764" w:name="_Toc8665"/>
      <w:bookmarkStart w:id="765" w:name="_Toc9522"/>
      <w:bookmarkStart w:id="766" w:name="_Toc152045566"/>
      <w:bookmarkStart w:id="767" w:name="_Toc455080142"/>
      <w:bookmarkStart w:id="768" w:name="_Toc144974534"/>
      <w:bookmarkStart w:id="769" w:name="_Toc152042342"/>
    </w:p>
    <w:p w14:paraId="3ABEBFA0">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both"/>
        <w:textAlignment w:val="auto"/>
        <w:outlineLvl w:val="1"/>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7. 合同授予</w:t>
      </w:r>
      <w:bookmarkEnd w:id="764"/>
      <w:bookmarkEnd w:id="765"/>
      <w:bookmarkEnd w:id="766"/>
      <w:bookmarkEnd w:id="767"/>
      <w:bookmarkEnd w:id="768"/>
      <w:bookmarkEnd w:id="769"/>
    </w:p>
    <w:p w14:paraId="07108541">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770" w:name="_Toc28229"/>
      <w:bookmarkStart w:id="771" w:name="_Toc490667863"/>
      <w:bookmarkStart w:id="772" w:name="_Toc20777"/>
      <w:bookmarkStart w:id="773" w:name="_Toc1757"/>
      <w:bookmarkStart w:id="774" w:name="_Toc144974535"/>
      <w:bookmarkStart w:id="775" w:name="_Toc22461"/>
      <w:bookmarkStart w:id="776" w:name="_Toc7358"/>
      <w:bookmarkStart w:id="777" w:name="_Toc29686"/>
      <w:bookmarkStart w:id="778" w:name="_Toc152045567"/>
      <w:bookmarkStart w:id="779" w:name="_Toc11409"/>
      <w:bookmarkStart w:id="780" w:name="_Toc29664"/>
      <w:bookmarkStart w:id="781" w:name="_Toc25316"/>
      <w:bookmarkStart w:id="782" w:name="_Toc28919"/>
      <w:bookmarkStart w:id="783" w:name="_Toc17660"/>
      <w:bookmarkStart w:id="784" w:name="_Toc152042343"/>
      <w:bookmarkStart w:id="785" w:name="_Toc23103"/>
      <w:bookmarkStart w:id="786" w:name="_Toc14528"/>
      <w:bookmarkStart w:id="787" w:name="_Toc466298126"/>
      <w:bookmarkStart w:id="788" w:name="_Toc318450710"/>
      <w:bookmarkStart w:id="789" w:name="_Toc455867803"/>
      <w:bookmarkStart w:id="790" w:name="_Toc455080143"/>
      <w:r>
        <w:rPr>
          <w:rFonts w:hint="eastAsia" w:ascii="宋体" w:hAnsi="宋体" w:eastAsia="宋体" w:cs="宋体"/>
          <w:b/>
          <w:bCs/>
          <w:color w:val="auto"/>
          <w:kern w:val="2"/>
          <w:sz w:val="24"/>
          <w:szCs w:val="24"/>
          <w:lang w:val="en-US" w:eastAsia="zh-CN" w:bidi="ar-SA"/>
        </w:rPr>
        <w:t>7.1 定标方式</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14:paraId="03B2F861">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bookmarkStart w:id="791" w:name="_Toc318450711"/>
      <w:bookmarkStart w:id="792" w:name="_Toc144974536"/>
      <w:bookmarkStart w:id="793" w:name="_Toc152042344"/>
      <w:bookmarkStart w:id="794" w:name="_Toc28254"/>
      <w:bookmarkStart w:id="795" w:name="_Toc10868"/>
      <w:bookmarkStart w:id="796" w:name="_Toc7066"/>
      <w:bookmarkStart w:id="797" w:name="_Toc152045568"/>
      <w:r>
        <w:rPr>
          <w:rFonts w:hint="eastAsia" w:ascii="宋体" w:hAnsi="宋体" w:eastAsia="宋体" w:cs="宋体"/>
          <w:color w:val="auto"/>
          <w:sz w:val="24"/>
          <w:szCs w:val="24"/>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要求提交履约保证金，或者被查实存在影响成交结果的违法行为等情形，不符合成交条件的，采购人可以按照磋商小组提出的成交候选人名单排序依次确定其他成交候选人为成交人，也可以重新磋商。</w:t>
      </w:r>
    </w:p>
    <w:p w14:paraId="5DBE0111">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798" w:name="_Toc9775"/>
      <w:bookmarkStart w:id="799" w:name="_Toc28177"/>
      <w:bookmarkStart w:id="800" w:name="_Toc490667864"/>
      <w:bookmarkStart w:id="801" w:name="_Toc15825"/>
      <w:bookmarkStart w:id="802" w:name="_Toc22485"/>
      <w:bookmarkStart w:id="803" w:name="_Toc455080144"/>
      <w:bookmarkStart w:id="804" w:name="_Toc29772"/>
      <w:bookmarkStart w:id="805" w:name="_Toc5428"/>
      <w:bookmarkStart w:id="806" w:name="_Toc31654"/>
      <w:bookmarkStart w:id="807" w:name="_Toc16163"/>
      <w:bookmarkStart w:id="808" w:name="_Toc455867804"/>
      <w:bookmarkStart w:id="809" w:name="_Toc5668"/>
      <w:bookmarkStart w:id="810" w:name="_Toc466298127"/>
      <w:bookmarkStart w:id="811" w:name="_Toc9897"/>
      <w:r>
        <w:rPr>
          <w:rFonts w:hint="eastAsia" w:ascii="宋体" w:hAnsi="宋体" w:eastAsia="宋体" w:cs="宋体"/>
          <w:b/>
          <w:bCs/>
          <w:color w:val="auto"/>
          <w:kern w:val="2"/>
          <w:sz w:val="24"/>
          <w:szCs w:val="24"/>
          <w:lang w:val="en-US" w:eastAsia="zh-CN" w:bidi="ar-SA"/>
        </w:rPr>
        <w:t>7.2 成交通知</w:t>
      </w:r>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p>
    <w:p w14:paraId="09B94E58">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在本章第3.3.1款规定的磋商有效期内，采购人以书面形式向成交人发出成交通知书，同时将成交结果通知未成交的供应商。</w:t>
      </w:r>
    </w:p>
    <w:p w14:paraId="5DACADD7">
      <w:pPr>
        <w:pageBreakBefore w:val="0"/>
        <w:kinsoku/>
        <w:wordWrap/>
        <w:overflowPunct/>
        <w:topLinePunct w:val="0"/>
        <w:bidi w:val="0"/>
        <w:snapToGrid/>
        <w:spacing w:line="500" w:lineRule="exact"/>
        <w:ind w:firstLine="482" w:firstLineChars="20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sz w:val="24"/>
          <w:szCs w:val="24"/>
          <w:lang w:val="en-US" w:eastAsia="zh-CN"/>
        </w:rPr>
        <w:t>7.3 履约保证金</w:t>
      </w:r>
      <w:bookmarkStart w:id="812" w:name="_Toc13002"/>
      <w:bookmarkStart w:id="813" w:name="_Toc26058"/>
      <w:bookmarkStart w:id="814" w:name="_Toc1168"/>
      <w:bookmarkStart w:id="815" w:name="_Toc152045570"/>
      <w:bookmarkStart w:id="816" w:name="_Toc26655"/>
      <w:bookmarkStart w:id="817" w:name="_Toc455080145"/>
      <w:bookmarkStart w:id="818" w:name="_Toc26915"/>
      <w:bookmarkStart w:id="819" w:name="_Toc26760"/>
      <w:bookmarkStart w:id="820" w:name="_Toc24026"/>
      <w:bookmarkStart w:id="821" w:name="_Toc455867805"/>
      <w:bookmarkStart w:id="822" w:name="_Toc10082"/>
      <w:bookmarkStart w:id="823" w:name="_Toc15458"/>
      <w:bookmarkStart w:id="824" w:name="_Toc152042346"/>
      <w:bookmarkStart w:id="825" w:name="_Toc466298128"/>
      <w:bookmarkStart w:id="826" w:name="_Toc318450712"/>
      <w:bookmarkStart w:id="827" w:name="_Toc144974538"/>
      <w:bookmarkStart w:id="828" w:name="_Toc490667865"/>
      <w:bookmarkStart w:id="829" w:name="_Toc13147"/>
      <w:bookmarkStart w:id="830" w:name="_Toc8886"/>
      <w:bookmarkStart w:id="831" w:name="_Toc12663"/>
      <w:bookmarkStart w:id="832" w:name="_Toc21271"/>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kern w:val="2"/>
          <w:sz w:val="24"/>
          <w:szCs w:val="24"/>
          <w:lang w:val="en-US" w:eastAsia="zh-CN" w:bidi="ar-SA"/>
        </w:rPr>
        <w:t>免收履约保证金</w:t>
      </w:r>
      <w:bookmarkEnd w:id="812"/>
      <w:bookmarkEnd w:id="813"/>
      <w:bookmarkEnd w:id="814"/>
    </w:p>
    <w:p w14:paraId="21ECDE8C">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833" w:name="_Toc2451"/>
      <w:bookmarkStart w:id="834" w:name="_Toc17236"/>
      <w:bookmarkStart w:id="835" w:name="_Toc101"/>
      <w:r>
        <w:rPr>
          <w:rFonts w:hint="eastAsia" w:ascii="宋体" w:hAnsi="宋体" w:eastAsia="宋体" w:cs="宋体"/>
          <w:b/>
          <w:bCs/>
          <w:color w:val="auto"/>
          <w:kern w:val="2"/>
          <w:sz w:val="24"/>
          <w:szCs w:val="24"/>
          <w:lang w:val="en-US" w:eastAsia="zh-CN" w:bidi="ar-SA"/>
        </w:rPr>
        <w:t>7.4 签订合同</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4C42F725">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.1采购人和成交人应当自成交通知书发出之日起</w:t>
      </w:r>
      <w:r>
        <w:rPr>
          <w:rFonts w:hint="eastAsia" w:ascii="宋体" w:hAnsi="宋体" w:eastAsia="宋体" w:cs="宋体"/>
          <w:color w:val="auto"/>
          <w:sz w:val="24"/>
          <w:szCs w:val="24"/>
          <w:lang w:val="en-US" w:eastAsia="zh-CN"/>
        </w:rPr>
        <w:t>2-7</w:t>
      </w:r>
      <w:r>
        <w:rPr>
          <w:rFonts w:hint="eastAsia" w:ascii="宋体" w:hAnsi="宋体" w:eastAsia="宋体" w:cs="宋体"/>
          <w:color w:val="auto"/>
          <w:sz w:val="24"/>
          <w:szCs w:val="24"/>
        </w:rPr>
        <w:t>天内，根据</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 xml:space="preserve">和成交人的响应文件订立书面合同。成交人无正当理由拒签合同的，采购人取消其成交资格，其磋商保证金不予退还；给采购人造成的损失超过磋商保证金数额的，成交人还应当对超过部分予以赔偿。 </w:t>
      </w:r>
    </w:p>
    <w:p w14:paraId="5D42DBDF">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.2 发出成交通知书后，采购人无正当理由拒签合同的，采购人向成交人退还磋商保证金；给成交人造成损失的，还应当赔偿损失。</w:t>
      </w:r>
      <w:bookmarkStart w:id="836" w:name="_Toc455080146"/>
      <w:bookmarkStart w:id="837" w:name="_Toc16866"/>
      <w:bookmarkStart w:id="838" w:name="_Toc9221"/>
      <w:bookmarkStart w:id="839" w:name="_Toc144974542"/>
      <w:bookmarkStart w:id="840" w:name="_Toc152045574"/>
      <w:bookmarkStart w:id="841" w:name="_Toc152042350"/>
    </w:p>
    <w:p w14:paraId="54A252C7">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both"/>
        <w:textAlignment w:val="auto"/>
        <w:outlineLvl w:val="1"/>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8.重新招标</w:t>
      </w:r>
      <w:bookmarkEnd w:id="836"/>
      <w:bookmarkEnd w:id="837"/>
      <w:bookmarkEnd w:id="838"/>
    </w:p>
    <w:p w14:paraId="6D96BFE4">
      <w:pPr>
        <w:pageBreakBefore w:val="0"/>
        <w:kinsoku/>
        <w:wordWrap/>
        <w:overflowPunct/>
        <w:topLinePunct w:val="0"/>
        <w:bidi w:val="0"/>
        <w:snapToGrid/>
        <w:spacing w:line="500" w:lineRule="exact"/>
        <w:ind w:firstLine="482" w:firstLineChars="200"/>
        <w:textAlignment w:val="auto"/>
        <w:rPr>
          <w:rFonts w:hint="eastAsia" w:ascii="宋体" w:hAnsi="宋体" w:eastAsia="宋体" w:cs="宋体"/>
          <w:color w:val="auto"/>
          <w:sz w:val="24"/>
          <w:szCs w:val="24"/>
        </w:rPr>
      </w:pPr>
      <w:bookmarkStart w:id="842" w:name="_Toc16556"/>
      <w:r>
        <w:rPr>
          <w:rFonts w:hint="eastAsia" w:ascii="宋体" w:hAnsi="宋体" w:eastAsia="宋体" w:cs="宋体"/>
          <w:b/>
          <w:bCs/>
          <w:color w:val="auto"/>
          <w:sz w:val="24"/>
          <w:szCs w:val="24"/>
        </w:rPr>
        <w:t>8.1 重新招标</w:t>
      </w:r>
      <w:bookmarkEnd w:id="842"/>
    </w:p>
    <w:p w14:paraId="3A259450">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bookmarkStart w:id="843" w:name="_Toc9985"/>
      <w:r>
        <w:rPr>
          <w:rFonts w:hint="eastAsia" w:ascii="宋体" w:hAnsi="宋体" w:eastAsia="宋体" w:cs="宋体"/>
          <w:color w:val="auto"/>
          <w:sz w:val="24"/>
          <w:szCs w:val="24"/>
        </w:rPr>
        <w:t>有下列情形之一的，采购人将重新招标：</w:t>
      </w:r>
      <w:bookmarkEnd w:id="843"/>
    </w:p>
    <w:p w14:paraId="159E355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bookmarkStart w:id="844" w:name="_Toc25063"/>
      <w:r>
        <w:rPr>
          <w:rFonts w:hint="eastAsia" w:ascii="宋体" w:hAnsi="宋体" w:eastAsia="宋体" w:cs="宋体"/>
          <w:color w:val="auto"/>
          <w:sz w:val="24"/>
          <w:szCs w:val="24"/>
        </w:rPr>
        <w:t xml:space="preserve">   （1）提交响应文件截止时间止，供应商少于</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个的；</w:t>
      </w:r>
      <w:bookmarkEnd w:id="844"/>
      <w:r>
        <w:rPr>
          <w:rFonts w:hint="eastAsia" w:ascii="宋体" w:hAnsi="宋体" w:eastAsia="宋体" w:cs="宋体"/>
          <w:color w:val="auto"/>
          <w:sz w:val="24"/>
          <w:szCs w:val="24"/>
        </w:rPr>
        <w:t xml:space="preserve"> </w:t>
      </w:r>
    </w:p>
    <w:p w14:paraId="19CAE922">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bookmarkStart w:id="845" w:name="_Toc17911"/>
      <w:r>
        <w:rPr>
          <w:rFonts w:hint="eastAsia" w:ascii="宋体" w:hAnsi="宋体" w:eastAsia="宋体" w:cs="宋体"/>
          <w:color w:val="auto"/>
          <w:sz w:val="24"/>
          <w:szCs w:val="24"/>
        </w:rPr>
        <w:t>（2）经磋商小组评审后否决所有响应文件的。</w:t>
      </w:r>
      <w:bookmarkEnd w:id="845"/>
    </w:p>
    <w:p w14:paraId="3DD2004C">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both"/>
        <w:textAlignment w:val="auto"/>
        <w:outlineLvl w:val="1"/>
        <w:rPr>
          <w:rFonts w:hint="eastAsia" w:ascii="宋体" w:hAnsi="宋体" w:eastAsia="宋体" w:cs="宋体"/>
          <w:b/>
          <w:bCs/>
          <w:color w:val="auto"/>
          <w:kern w:val="2"/>
          <w:sz w:val="24"/>
          <w:szCs w:val="24"/>
          <w:lang w:val="en-US" w:eastAsia="zh-CN" w:bidi="ar-SA"/>
        </w:rPr>
      </w:pPr>
      <w:bookmarkStart w:id="846" w:name="_Toc9996"/>
      <w:bookmarkStart w:id="847" w:name="_Toc23608"/>
      <w:bookmarkStart w:id="848" w:name="_Toc455080147"/>
      <w:r>
        <w:rPr>
          <w:rFonts w:hint="eastAsia" w:ascii="宋体" w:hAnsi="宋体" w:eastAsia="宋体" w:cs="宋体"/>
          <w:b/>
          <w:bCs/>
          <w:color w:val="auto"/>
          <w:kern w:val="2"/>
          <w:sz w:val="24"/>
          <w:szCs w:val="24"/>
          <w:lang w:val="en-US" w:eastAsia="zh-CN" w:bidi="ar-SA"/>
        </w:rPr>
        <w:t>9.纪律和监督</w:t>
      </w:r>
      <w:bookmarkEnd w:id="839"/>
      <w:bookmarkEnd w:id="840"/>
      <w:bookmarkEnd w:id="841"/>
      <w:bookmarkEnd w:id="846"/>
      <w:bookmarkEnd w:id="847"/>
      <w:bookmarkEnd w:id="848"/>
    </w:p>
    <w:p w14:paraId="130C97C7">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849" w:name="_Toc13970"/>
      <w:bookmarkStart w:id="850" w:name="_Toc152042351"/>
      <w:bookmarkStart w:id="851" w:name="_Toc490667868"/>
      <w:bookmarkStart w:id="852" w:name="_Toc15769"/>
      <w:bookmarkStart w:id="853" w:name="_Toc20763"/>
      <w:bookmarkStart w:id="854" w:name="_Toc144974543"/>
      <w:bookmarkStart w:id="855" w:name="_Toc15592"/>
      <w:bookmarkStart w:id="856" w:name="_Toc455080148"/>
      <w:bookmarkStart w:id="857" w:name="_Toc455867808"/>
      <w:bookmarkStart w:id="858" w:name="_Toc269"/>
      <w:bookmarkStart w:id="859" w:name="_Toc152045575"/>
      <w:bookmarkStart w:id="860" w:name="_Toc1282"/>
      <w:bookmarkStart w:id="861" w:name="_Toc19159"/>
      <w:bookmarkStart w:id="862" w:name="_Toc6319"/>
      <w:bookmarkStart w:id="863" w:name="_Toc29300"/>
      <w:bookmarkStart w:id="864" w:name="_Toc466298131"/>
      <w:bookmarkStart w:id="865" w:name="_Toc318450714"/>
      <w:bookmarkStart w:id="866" w:name="_Toc20009"/>
      <w:bookmarkStart w:id="867" w:name="_Toc697"/>
      <w:bookmarkStart w:id="868" w:name="_Toc27836"/>
      <w:bookmarkStart w:id="869" w:name="_Toc12992"/>
      <w:r>
        <w:rPr>
          <w:rFonts w:hint="eastAsia" w:ascii="宋体" w:hAnsi="宋体" w:eastAsia="宋体" w:cs="宋体"/>
          <w:b/>
          <w:bCs/>
          <w:color w:val="auto"/>
          <w:kern w:val="2"/>
          <w:sz w:val="24"/>
          <w:szCs w:val="24"/>
          <w:lang w:val="en-US" w:eastAsia="zh-CN" w:bidi="ar-SA"/>
        </w:rPr>
        <w:t>9.1 对采购人的纪律要求</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42A5509B">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采购人不得泄漏磋商活动中应当保密的情况和资料，不得与供应商串通损害国家利益、社会公共利益或者他人合法权益。</w:t>
      </w:r>
    </w:p>
    <w:p w14:paraId="22E03130">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val="0"/>
          <w:color w:val="auto"/>
          <w:kern w:val="2"/>
          <w:sz w:val="24"/>
          <w:szCs w:val="24"/>
          <w:lang w:val="en-US" w:eastAsia="zh-CN" w:bidi="ar-SA"/>
        </w:rPr>
      </w:pPr>
      <w:bookmarkStart w:id="870" w:name="_Toc20261"/>
      <w:bookmarkStart w:id="871" w:name="_Toc490667869"/>
      <w:bookmarkStart w:id="872" w:name="_Toc3020"/>
      <w:bookmarkStart w:id="873" w:name="_Toc16171"/>
      <w:bookmarkStart w:id="874" w:name="_Toc17040"/>
      <w:bookmarkStart w:id="875" w:name="_Toc3089"/>
      <w:bookmarkStart w:id="876" w:name="_Toc18604"/>
      <w:bookmarkStart w:id="877" w:name="_Toc152042352"/>
      <w:bookmarkStart w:id="878" w:name="_Toc27698"/>
      <w:bookmarkStart w:id="879" w:name="_Toc466298132"/>
      <w:bookmarkStart w:id="880" w:name="_Toc21646"/>
      <w:bookmarkStart w:id="881" w:name="_Toc7572"/>
      <w:bookmarkStart w:id="882" w:name="_Toc455080149"/>
      <w:bookmarkStart w:id="883" w:name="_Toc1743"/>
      <w:bookmarkStart w:id="884" w:name="_Toc19167"/>
      <w:bookmarkStart w:id="885" w:name="_Toc152045576"/>
      <w:bookmarkStart w:id="886" w:name="_Toc455867809"/>
      <w:bookmarkStart w:id="887" w:name="_Toc17906"/>
      <w:bookmarkStart w:id="888" w:name="_Toc144974544"/>
      <w:bookmarkStart w:id="889" w:name="_Toc318450715"/>
      <w:bookmarkStart w:id="890" w:name="_Toc18204"/>
      <w:r>
        <w:rPr>
          <w:rFonts w:hint="eastAsia" w:ascii="宋体" w:hAnsi="宋体" w:eastAsia="宋体" w:cs="宋体"/>
          <w:b/>
          <w:bCs/>
          <w:color w:val="auto"/>
          <w:kern w:val="2"/>
          <w:sz w:val="24"/>
          <w:szCs w:val="24"/>
          <w:lang w:val="en-US" w:eastAsia="zh-CN" w:bidi="ar-SA"/>
        </w:rPr>
        <w:t>9.2 对供应商的纪律要求</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p>
    <w:p w14:paraId="64823DC9">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供应商不得相互串通或者与采购人串通，不得向采购人或者谈判小组行贿谋取成交，不得以他人名义或者以其他方式弄虚作假骗取成交；供应商不得以任何方式干扰、影响评审工作。</w:t>
      </w:r>
    </w:p>
    <w:p w14:paraId="41B5F2E5">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891" w:name="_Toc30334"/>
      <w:bookmarkStart w:id="892" w:name="_Toc12177"/>
      <w:bookmarkStart w:id="893" w:name="_Toc144974545"/>
      <w:bookmarkStart w:id="894" w:name="_Toc152042353"/>
      <w:bookmarkStart w:id="895" w:name="_Toc7107"/>
      <w:bookmarkStart w:id="896" w:name="_Toc17086"/>
      <w:bookmarkStart w:id="897" w:name="_Toc318450716"/>
      <w:bookmarkStart w:id="898" w:name="_Toc31001"/>
      <w:bookmarkStart w:id="899" w:name="_Toc19965"/>
      <w:bookmarkStart w:id="900" w:name="_Toc32320"/>
      <w:bookmarkStart w:id="901" w:name="_Toc25241"/>
      <w:bookmarkStart w:id="902" w:name="_Toc490667870"/>
      <w:bookmarkStart w:id="903" w:name="_Toc455080150"/>
      <w:bookmarkStart w:id="904" w:name="_Toc455867810"/>
      <w:bookmarkStart w:id="905" w:name="_Toc7439"/>
      <w:bookmarkStart w:id="906" w:name="_Toc28813"/>
      <w:bookmarkStart w:id="907" w:name="_Toc30153"/>
      <w:bookmarkStart w:id="908" w:name="_Toc25211"/>
      <w:bookmarkStart w:id="909" w:name="_Toc10521"/>
      <w:bookmarkStart w:id="910" w:name="_Toc152045577"/>
      <w:bookmarkStart w:id="911" w:name="_Toc466298133"/>
      <w:r>
        <w:rPr>
          <w:rFonts w:hint="eastAsia" w:ascii="宋体" w:hAnsi="宋体" w:eastAsia="宋体" w:cs="宋体"/>
          <w:b/>
          <w:bCs/>
          <w:color w:val="auto"/>
          <w:kern w:val="2"/>
          <w:sz w:val="24"/>
          <w:szCs w:val="24"/>
          <w:lang w:val="en-US" w:eastAsia="zh-CN" w:bidi="ar-SA"/>
        </w:rPr>
        <w:t>9.3 对磋商小组成员的纪律要求</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3FD889B9">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14:paraId="77A8B022">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val="0"/>
          <w:color w:val="auto"/>
          <w:kern w:val="2"/>
          <w:sz w:val="24"/>
          <w:szCs w:val="24"/>
          <w:lang w:val="en-US" w:eastAsia="zh-CN" w:bidi="ar-SA"/>
        </w:rPr>
      </w:pPr>
      <w:bookmarkStart w:id="912" w:name="_Toc30691"/>
      <w:bookmarkStart w:id="913" w:name="_Toc152042354"/>
      <w:bookmarkStart w:id="914" w:name="_Toc490667871"/>
      <w:bookmarkStart w:id="915" w:name="_Toc152045578"/>
      <w:bookmarkStart w:id="916" w:name="_Toc24"/>
      <w:bookmarkStart w:id="917" w:name="_Toc235"/>
      <w:bookmarkStart w:id="918" w:name="_Toc455867811"/>
      <w:bookmarkStart w:id="919" w:name="_Toc19485"/>
      <w:bookmarkStart w:id="920" w:name="_Toc31979"/>
      <w:bookmarkStart w:id="921" w:name="_Toc27559"/>
      <w:bookmarkStart w:id="922" w:name="_Toc9063"/>
      <w:bookmarkStart w:id="923" w:name="_Toc455080151"/>
      <w:bookmarkStart w:id="924" w:name="_Toc466298134"/>
      <w:bookmarkStart w:id="925" w:name="_Toc26462"/>
      <w:bookmarkStart w:id="926" w:name="_Toc20546"/>
      <w:bookmarkStart w:id="927" w:name="_Toc1295"/>
      <w:bookmarkStart w:id="928" w:name="_Toc318450717"/>
      <w:bookmarkStart w:id="929" w:name="_Toc23717"/>
      <w:bookmarkStart w:id="930" w:name="_Toc17935"/>
      <w:bookmarkStart w:id="931" w:name="_Toc7368"/>
      <w:bookmarkStart w:id="932" w:name="_Toc144974546"/>
      <w:r>
        <w:rPr>
          <w:rFonts w:hint="eastAsia" w:ascii="宋体" w:hAnsi="宋体" w:eastAsia="宋体" w:cs="宋体"/>
          <w:b/>
          <w:bCs/>
          <w:color w:val="auto"/>
          <w:kern w:val="2"/>
          <w:sz w:val="24"/>
          <w:szCs w:val="24"/>
          <w:lang w:val="en-US" w:eastAsia="zh-CN" w:bidi="ar-SA"/>
        </w:rPr>
        <w:t>9.4 对与评标活动有关的工作人员的纪律要求</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14:paraId="33BAA747">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bookmarkStart w:id="933" w:name="_Toc152042355"/>
      <w:r>
        <w:rPr>
          <w:rFonts w:hint="eastAsia" w:ascii="宋体" w:hAnsi="宋体" w:eastAsia="宋体" w:cs="宋体"/>
          <w:color w:val="auto"/>
          <w:sz w:val="24"/>
          <w:szCs w:val="24"/>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933"/>
    </w:p>
    <w:p w14:paraId="042228F0">
      <w:pPr>
        <w:keepNext/>
        <w:keepLines/>
        <w:pageBreakBefore w:val="0"/>
        <w:widowControl w:val="0"/>
        <w:numPr>
          <w:ilvl w:val="2"/>
          <w:numId w:val="0"/>
        </w:numPr>
        <w:kinsoku/>
        <w:wordWrap/>
        <w:overflowPunct/>
        <w:topLinePunct w:val="0"/>
        <w:bidi w:val="0"/>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934" w:name="_Toc455867812"/>
      <w:bookmarkStart w:id="935" w:name="_Toc318450718"/>
      <w:bookmarkStart w:id="936" w:name="_Toc32675"/>
      <w:bookmarkStart w:id="937" w:name="_Toc466298135"/>
      <w:bookmarkStart w:id="938" w:name="_Toc152042356"/>
      <w:bookmarkStart w:id="939" w:name="_Toc3303"/>
      <w:bookmarkStart w:id="940" w:name="_Toc18060"/>
      <w:bookmarkStart w:id="941" w:name="_Toc1820"/>
      <w:bookmarkStart w:id="942" w:name="_Toc25751"/>
      <w:bookmarkStart w:id="943" w:name="_Toc5504"/>
      <w:bookmarkStart w:id="944" w:name="_Toc14727"/>
      <w:bookmarkStart w:id="945" w:name="_Toc14748"/>
      <w:bookmarkStart w:id="946" w:name="_Toc3617"/>
      <w:bookmarkStart w:id="947" w:name="_Toc31010"/>
      <w:bookmarkStart w:id="948" w:name="_Toc8074"/>
      <w:bookmarkStart w:id="949" w:name="_Toc490667872"/>
      <w:bookmarkStart w:id="950" w:name="_Toc152045579"/>
      <w:bookmarkStart w:id="951" w:name="_Toc6199"/>
      <w:bookmarkStart w:id="952" w:name="_Toc455080152"/>
      <w:bookmarkStart w:id="953" w:name="_Toc17735"/>
      <w:r>
        <w:rPr>
          <w:rFonts w:hint="eastAsia" w:ascii="宋体" w:hAnsi="宋体" w:eastAsia="宋体" w:cs="宋体"/>
          <w:b/>
          <w:bCs/>
          <w:color w:val="auto"/>
          <w:kern w:val="2"/>
          <w:sz w:val="24"/>
          <w:szCs w:val="24"/>
          <w:lang w:val="en-US" w:eastAsia="zh-CN" w:bidi="ar-SA"/>
        </w:rPr>
        <w:t>9.5 投诉</w:t>
      </w:r>
      <w:bookmarkEnd w:id="932"/>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14:paraId="3C2386DF">
      <w:pPr>
        <w:pageBreakBefore w:val="0"/>
        <w:kinsoku/>
        <w:wordWrap/>
        <w:overflowPunct/>
        <w:topLinePunct w:val="0"/>
        <w:bidi w:val="0"/>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供应商和其他利害关系人认为本次磋商活动违反法律、法规和规章规定的，有权向有关行政监督部门投诉。</w:t>
      </w:r>
    </w:p>
    <w:p w14:paraId="690D8361">
      <w:pPr>
        <w:keepNext/>
        <w:keepLines/>
        <w:pageBreakBefore w:val="0"/>
        <w:widowControl w:val="0"/>
        <w:numPr>
          <w:ilvl w:val="1"/>
          <w:numId w:val="0"/>
        </w:numPr>
        <w:kinsoku/>
        <w:wordWrap/>
        <w:overflowPunct/>
        <w:topLinePunct w:val="0"/>
        <w:bidi w:val="0"/>
        <w:snapToGrid/>
        <w:spacing w:before="0" w:beforeLines="0" w:after="0" w:afterLines="0" w:line="500" w:lineRule="exact"/>
        <w:ind w:firstLine="482" w:firstLineChars="200"/>
        <w:jc w:val="both"/>
        <w:textAlignment w:val="auto"/>
        <w:outlineLvl w:val="1"/>
        <w:rPr>
          <w:rFonts w:hint="eastAsia" w:ascii="宋体" w:hAnsi="宋体" w:eastAsia="宋体" w:cs="宋体"/>
          <w:b/>
          <w:bCs/>
          <w:color w:val="auto"/>
          <w:kern w:val="2"/>
          <w:sz w:val="24"/>
          <w:szCs w:val="24"/>
          <w:lang w:val="en-US" w:eastAsia="zh-CN" w:bidi="ar-SA"/>
        </w:rPr>
      </w:pPr>
      <w:bookmarkStart w:id="954" w:name="_Toc144974547"/>
      <w:bookmarkStart w:id="955" w:name="_Toc152045580"/>
      <w:bookmarkStart w:id="956" w:name="_Toc14221"/>
      <w:bookmarkStart w:id="957" w:name="_Toc26270"/>
      <w:bookmarkStart w:id="958" w:name="_Toc455080153"/>
      <w:bookmarkStart w:id="959" w:name="_Toc152042357"/>
      <w:r>
        <w:rPr>
          <w:rFonts w:hint="eastAsia" w:ascii="宋体" w:hAnsi="宋体" w:eastAsia="宋体" w:cs="宋体"/>
          <w:b/>
          <w:bCs/>
          <w:color w:val="auto"/>
          <w:kern w:val="2"/>
          <w:sz w:val="24"/>
          <w:szCs w:val="24"/>
          <w:lang w:val="en-US" w:eastAsia="zh-CN" w:bidi="ar-SA"/>
        </w:rPr>
        <w:t>10. 需要补充的其他内容</w:t>
      </w:r>
      <w:bookmarkEnd w:id="954"/>
      <w:bookmarkEnd w:id="955"/>
      <w:bookmarkEnd w:id="956"/>
      <w:bookmarkEnd w:id="957"/>
      <w:bookmarkEnd w:id="958"/>
      <w:bookmarkEnd w:id="959"/>
    </w:p>
    <w:p w14:paraId="32D8C93D">
      <w:pPr>
        <w:spacing w:line="600" w:lineRule="exact"/>
        <w:ind w:firstLine="480" w:firstLineChars="200"/>
        <w:jc w:val="both"/>
        <w:outlineLvl w:val="9"/>
        <w:rPr>
          <w:rFonts w:hint="eastAsia" w:ascii="宋体" w:hAnsi="宋体" w:eastAsia="宋体" w:cs="宋体"/>
          <w:b w:val="0"/>
          <w:bCs/>
          <w:color w:val="auto"/>
          <w:kern w:val="44"/>
          <w:sz w:val="24"/>
          <w:szCs w:val="24"/>
        </w:rPr>
      </w:pPr>
      <w:bookmarkStart w:id="960" w:name="_Toc21452"/>
      <w:bookmarkStart w:id="961" w:name="_Toc28866"/>
      <w:bookmarkStart w:id="962" w:name="_Toc466298137"/>
      <w:bookmarkStart w:id="963" w:name="_Toc455080154"/>
      <w:bookmarkStart w:id="964" w:name="_Toc6192"/>
      <w:bookmarkStart w:id="965" w:name="_Toc455867814"/>
      <w:bookmarkStart w:id="966" w:name="_Toc144974565"/>
      <w:bookmarkStart w:id="967" w:name="_Toc152042375"/>
      <w:bookmarkStart w:id="968" w:name="_Toc152045598"/>
      <w:r>
        <w:rPr>
          <w:rFonts w:hint="eastAsia" w:ascii="宋体" w:hAnsi="宋体" w:eastAsia="宋体" w:cs="宋体"/>
          <w:b w:val="0"/>
          <w:bCs/>
          <w:color w:val="auto"/>
          <w:kern w:val="44"/>
          <w:sz w:val="24"/>
          <w:szCs w:val="24"/>
        </w:rPr>
        <w:t>需要补充的其他内容：见供应商须知前附表。</w:t>
      </w:r>
      <w:bookmarkEnd w:id="960"/>
      <w:bookmarkEnd w:id="961"/>
      <w:r>
        <w:rPr>
          <w:rFonts w:hint="eastAsia" w:ascii="宋体" w:hAnsi="宋体" w:eastAsia="宋体" w:cs="宋体"/>
          <w:b w:val="0"/>
          <w:bCs/>
          <w:color w:val="auto"/>
          <w:kern w:val="44"/>
          <w:sz w:val="24"/>
          <w:szCs w:val="24"/>
        </w:rPr>
        <w:t xml:space="preserve"> </w:t>
      </w:r>
    </w:p>
    <w:p w14:paraId="73C0D141">
      <w:pPr>
        <w:widowControl w:val="0"/>
        <w:spacing w:after="120" w:afterLines="0" w:afterAutospacing="0" w:line="600" w:lineRule="exact"/>
        <w:ind w:firstLine="321" w:firstLineChars="100"/>
        <w:jc w:val="both"/>
        <w:rPr>
          <w:rFonts w:hint="eastAsia" w:ascii="宋体" w:hAnsi="宋体" w:eastAsia="宋体" w:cs="宋体"/>
          <w:b/>
          <w:color w:val="auto"/>
          <w:kern w:val="44"/>
          <w:sz w:val="32"/>
          <w:szCs w:val="32"/>
          <w:lang w:val="en-US" w:eastAsia="zh-CN" w:bidi="ar-SA"/>
        </w:rPr>
      </w:pPr>
    </w:p>
    <w:p w14:paraId="639341F2">
      <w:pPr>
        <w:widowControl w:val="0"/>
        <w:spacing w:after="120" w:afterLines="0" w:line="240" w:lineRule="auto"/>
        <w:ind w:left="420" w:leftChars="200" w:firstLine="643" w:firstLineChars="200"/>
        <w:jc w:val="both"/>
        <w:rPr>
          <w:rFonts w:hint="eastAsia" w:ascii="宋体" w:hAnsi="宋体" w:eastAsia="宋体" w:cs="宋体"/>
          <w:b/>
          <w:color w:val="auto"/>
          <w:kern w:val="44"/>
          <w:sz w:val="32"/>
          <w:szCs w:val="32"/>
          <w:lang w:val="en-US" w:eastAsia="zh-CN" w:bidi="ar-SA"/>
        </w:rPr>
      </w:pPr>
    </w:p>
    <w:p w14:paraId="4F86F7E3">
      <w:pPr>
        <w:spacing w:line="600" w:lineRule="exact"/>
        <w:ind w:firstLine="420" w:firstLineChars="200"/>
        <w:rPr>
          <w:rFonts w:hint="eastAsia" w:ascii="宋体" w:hAnsi="宋体" w:eastAsia="宋体" w:cs="宋体"/>
        </w:rPr>
      </w:pPr>
    </w:p>
    <w:p w14:paraId="1E4A1BA4">
      <w:pPr>
        <w:jc w:val="center"/>
        <w:outlineLvl w:val="0"/>
        <w:rPr>
          <w:rFonts w:hint="eastAsia" w:ascii="宋体" w:hAnsi="宋体" w:eastAsia="宋体" w:cs="宋体"/>
          <w:b/>
          <w:color w:val="auto"/>
          <w:kern w:val="44"/>
          <w:sz w:val="32"/>
          <w:szCs w:val="32"/>
        </w:rPr>
        <w:sectPr>
          <w:pgSz w:w="11905" w:h="16838"/>
          <w:pgMar w:top="1213" w:right="1236" w:bottom="1270" w:left="1236" w:header="340" w:footer="850" w:gutter="0"/>
          <w:pgBorders>
            <w:top w:val="none" w:sz="0" w:space="0"/>
            <w:left w:val="none" w:sz="0" w:space="0"/>
            <w:bottom w:val="none" w:sz="0" w:space="0"/>
            <w:right w:val="none" w:sz="0" w:space="0"/>
          </w:pgBorders>
          <w:pgNumType w:fmt="decimal"/>
          <w:cols w:space="720" w:num="1"/>
          <w:rtlGutter w:val="0"/>
          <w:docGrid w:type="lines" w:linePitch="349" w:charSpace="0"/>
        </w:sectPr>
      </w:pPr>
    </w:p>
    <w:p w14:paraId="1ABA8B80">
      <w:pPr>
        <w:spacing w:line="600" w:lineRule="exact"/>
        <w:ind w:firstLine="643" w:firstLineChars="200"/>
        <w:jc w:val="center"/>
        <w:outlineLvl w:val="0"/>
        <w:rPr>
          <w:rFonts w:hint="eastAsia" w:ascii="宋体" w:hAnsi="宋体" w:eastAsia="宋体" w:cs="宋体"/>
          <w:bCs/>
          <w:color w:val="auto"/>
          <w:sz w:val="32"/>
          <w:szCs w:val="32"/>
        </w:rPr>
      </w:pPr>
      <w:bookmarkStart w:id="969" w:name="_Toc10301"/>
      <w:bookmarkStart w:id="970" w:name="_Toc19988"/>
      <w:r>
        <w:rPr>
          <w:rFonts w:hint="eastAsia" w:ascii="宋体" w:hAnsi="宋体" w:eastAsia="宋体" w:cs="宋体"/>
          <w:b/>
          <w:color w:val="auto"/>
          <w:kern w:val="44"/>
          <w:sz w:val="32"/>
          <w:szCs w:val="32"/>
        </w:rPr>
        <w:t>第三章  评审办法（综合评分法）</w:t>
      </w:r>
      <w:bookmarkEnd w:id="962"/>
      <w:bookmarkEnd w:id="963"/>
      <w:bookmarkEnd w:id="964"/>
      <w:bookmarkEnd w:id="965"/>
      <w:bookmarkEnd w:id="969"/>
      <w:bookmarkEnd w:id="970"/>
    </w:p>
    <w:bookmarkEnd w:id="966"/>
    <w:bookmarkEnd w:id="967"/>
    <w:bookmarkEnd w:id="968"/>
    <w:p w14:paraId="003E8876">
      <w:pPr>
        <w:spacing w:line="600" w:lineRule="exact"/>
        <w:ind w:firstLine="480" w:firstLineChars="200"/>
        <w:jc w:val="center"/>
        <w:outlineLvl w:val="1"/>
        <w:rPr>
          <w:rFonts w:hint="eastAsia" w:ascii="宋体" w:hAnsi="宋体" w:eastAsia="宋体" w:cs="宋体"/>
          <w:color w:val="auto"/>
          <w:sz w:val="24"/>
        </w:rPr>
      </w:pPr>
      <w:bookmarkStart w:id="971" w:name="_Toc152045599"/>
      <w:bookmarkStart w:id="972" w:name="_Toc455867816"/>
      <w:bookmarkStart w:id="973" w:name="_Toc152042376"/>
      <w:bookmarkStart w:id="974" w:name="_Toc27806"/>
      <w:bookmarkStart w:id="975" w:name="_Toc28069"/>
      <w:bookmarkStart w:id="976" w:name="_Toc26044"/>
      <w:bookmarkStart w:id="977" w:name="_Toc281405527"/>
      <w:bookmarkStart w:id="978" w:name="_Toc466298139"/>
      <w:bookmarkStart w:id="979" w:name="_Toc32374"/>
      <w:bookmarkStart w:id="980" w:name="_Toc144974566"/>
      <w:bookmarkStart w:id="981" w:name="_Toc455080156"/>
      <w:bookmarkStart w:id="982" w:name="_Toc9630"/>
      <w:bookmarkStart w:id="983" w:name="_Toc318450721"/>
      <w:r>
        <w:rPr>
          <w:rFonts w:hint="eastAsia" w:ascii="宋体" w:hAnsi="宋体" w:eastAsia="宋体" w:cs="宋体"/>
          <w:color w:val="auto"/>
          <w:sz w:val="24"/>
        </w:rPr>
        <w:t>评审办法前附表</w:t>
      </w:r>
      <w:bookmarkEnd w:id="971"/>
      <w:bookmarkEnd w:id="972"/>
      <w:bookmarkEnd w:id="973"/>
      <w:bookmarkEnd w:id="974"/>
      <w:bookmarkEnd w:id="975"/>
      <w:bookmarkEnd w:id="976"/>
      <w:bookmarkEnd w:id="977"/>
      <w:bookmarkEnd w:id="978"/>
      <w:bookmarkEnd w:id="979"/>
      <w:bookmarkEnd w:id="980"/>
      <w:bookmarkEnd w:id="981"/>
      <w:bookmarkEnd w:id="982"/>
      <w:bookmarkEnd w:id="983"/>
    </w:p>
    <w:tbl>
      <w:tblPr>
        <w:tblStyle w:val="33"/>
        <w:tblW w:w="10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6"/>
        <w:gridCol w:w="1305"/>
        <w:gridCol w:w="2137"/>
        <w:gridCol w:w="5959"/>
      </w:tblGrid>
      <w:tr w14:paraId="25DF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12DB4E91">
            <w:pPr>
              <w:spacing w:line="460" w:lineRule="exact"/>
              <w:ind w:firstLine="482" w:firstLineChars="200"/>
              <w:jc w:val="center"/>
              <w:rPr>
                <w:rFonts w:hint="eastAsia" w:ascii="宋体" w:hAnsi="宋体" w:eastAsia="宋体" w:cs="宋体"/>
                <w:b/>
                <w:bCs w:val="0"/>
                <w:sz w:val="24"/>
                <w:szCs w:val="24"/>
              </w:rPr>
            </w:pPr>
            <w:r>
              <w:rPr>
                <w:rFonts w:hint="eastAsia" w:ascii="宋体" w:hAnsi="宋体" w:eastAsia="宋体" w:cs="宋体"/>
                <w:b/>
                <w:bCs w:val="0"/>
                <w:sz w:val="24"/>
                <w:szCs w:val="24"/>
              </w:rPr>
              <w:t>条款号</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4DE1529B">
            <w:pPr>
              <w:spacing w:line="460" w:lineRule="exact"/>
              <w:ind w:firstLine="482" w:firstLineChars="200"/>
              <w:jc w:val="center"/>
              <w:rPr>
                <w:rFonts w:hint="eastAsia" w:ascii="宋体" w:hAnsi="宋体" w:eastAsia="宋体" w:cs="宋体"/>
                <w:b/>
                <w:bCs w:val="0"/>
                <w:sz w:val="24"/>
                <w:szCs w:val="24"/>
              </w:rPr>
            </w:pPr>
            <w:r>
              <w:rPr>
                <w:rFonts w:hint="eastAsia" w:ascii="宋体" w:hAnsi="宋体" w:eastAsia="宋体" w:cs="宋体"/>
                <w:b/>
                <w:bCs w:val="0"/>
                <w:sz w:val="24"/>
                <w:szCs w:val="24"/>
              </w:rPr>
              <w:t>评审因素</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1E571972">
            <w:pPr>
              <w:spacing w:line="460" w:lineRule="exact"/>
              <w:ind w:firstLine="482" w:firstLineChars="200"/>
              <w:jc w:val="center"/>
              <w:rPr>
                <w:rFonts w:hint="eastAsia" w:ascii="宋体" w:hAnsi="宋体" w:eastAsia="宋体" w:cs="宋体"/>
                <w:b/>
                <w:bCs w:val="0"/>
                <w:sz w:val="24"/>
                <w:szCs w:val="24"/>
              </w:rPr>
            </w:pPr>
            <w:r>
              <w:rPr>
                <w:rFonts w:hint="eastAsia" w:ascii="宋体" w:hAnsi="宋体" w:eastAsia="宋体" w:cs="宋体"/>
                <w:b/>
                <w:bCs w:val="0"/>
                <w:sz w:val="24"/>
                <w:szCs w:val="24"/>
              </w:rPr>
              <w:t>评审标准</w:t>
            </w:r>
          </w:p>
        </w:tc>
      </w:tr>
      <w:tr w14:paraId="133F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1146" w:type="dxa"/>
            <w:vMerge w:val="restart"/>
            <w:tcBorders>
              <w:top w:val="single" w:color="000000" w:sz="4" w:space="0"/>
              <w:left w:val="single" w:color="000000" w:sz="4" w:space="0"/>
              <w:right w:val="single" w:color="auto" w:sz="4" w:space="0"/>
            </w:tcBorders>
            <w:noWrap w:val="0"/>
            <w:vAlign w:val="center"/>
          </w:tcPr>
          <w:p w14:paraId="54A9AC0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2.1.1</w:t>
            </w:r>
          </w:p>
        </w:tc>
        <w:tc>
          <w:tcPr>
            <w:tcW w:w="1305" w:type="dxa"/>
            <w:vMerge w:val="restart"/>
            <w:tcBorders>
              <w:top w:val="single" w:color="000000" w:sz="4" w:space="0"/>
              <w:left w:val="single" w:color="auto" w:sz="4" w:space="0"/>
              <w:right w:val="single" w:color="000000" w:sz="4" w:space="0"/>
            </w:tcBorders>
            <w:noWrap w:val="0"/>
            <w:vAlign w:val="center"/>
          </w:tcPr>
          <w:p w14:paraId="316EB85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资格</w:t>
            </w:r>
          </w:p>
          <w:p w14:paraId="26B9AB2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rPr>
            </w:pPr>
            <w:r>
              <w:rPr>
                <w:rFonts w:hint="eastAsia" w:ascii="宋体" w:hAnsi="宋体" w:eastAsia="宋体" w:cs="宋体"/>
                <w:sz w:val="24"/>
                <w:szCs w:val="24"/>
              </w:rPr>
              <w:t>评审标准</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2ED25BF2">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sz w:val="24"/>
                <w:szCs w:val="24"/>
              </w:rPr>
            </w:pPr>
            <w:r>
              <w:rPr>
                <w:rFonts w:hint="eastAsia" w:ascii="宋体" w:hAnsi="宋体" w:eastAsia="宋体" w:cs="宋体"/>
                <w:color w:val="000000"/>
                <w:sz w:val="24"/>
                <w:szCs w:val="24"/>
              </w:rPr>
              <w:t>符合《中华人民共和国政府采购法》第</w:t>
            </w:r>
            <w:r>
              <w:rPr>
                <w:rFonts w:hint="eastAsia" w:ascii="宋体" w:hAnsi="宋体" w:eastAsia="宋体" w:cs="宋体"/>
                <w:color w:val="000000"/>
                <w:sz w:val="24"/>
                <w:szCs w:val="24"/>
                <w:lang w:eastAsia="zh-CN"/>
              </w:rPr>
              <w:t>二十二</w:t>
            </w:r>
            <w:r>
              <w:rPr>
                <w:rFonts w:hint="eastAsia" w:ascii="宋体" w:hAnsi="宋体" w:eastAsia="宋体" w:cs="宋体"/>
                <w:color w:val="000000"/>
                <w:sz w:val="24"/>
                <w:szCs w:val="24"/>
              </w:rPr>
              <w:t>条规定</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2FD792A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须知”规定</w:t>
            </w:r>
          </w:p>
        </w:tc>
      </w:tr>
      <w:tr w14:paraId="5605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14:paraId="77CB6178">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14:paraId="5F56B70F">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048CD72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政府采购政策</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28BD00F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须知”规定</w:t>
            </w:r>
          </w:p>
        </w:tc>
      </w:tr>
      <w:tr w14:paraId="4EDA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146" w:type="dxa"/>
            <w:vMerge w:val="continue"/>
            <w:tcBorders>
              <w:left w:val="single" w:color="000000" w:sz="4" w:space="0"/>
              <w:right w:val="single" w:color="auto" w:sz="4" w:space="0"/>
            </w:tcBorders>
            <w:noWrap w:val="0"/>
            <w:vAlign w:val="center"/>
          </w:tcPr>
          <w:p w14:paraId="3484D1EF">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14:paraId="6BE332CA">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21970FB6">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特定资格要求</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097FBDE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须知”规定</w:t>
            </w:r>
          </w:p>
        </w:tc>
      </w:tr>
      <w:tr w14:paraId="0436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05766447">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619049C3">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09813608">
            <w:pPr>
              <w:keepNext w:val="0"/>
              <w:keepLines w:val="0"/>
              <w:pageBreakBefore w:val="0"/>
              <w:widowControl w:val="0"/>
              <w:kinsoku/>
              <w:wordWrap/>
              <w:overflowPunct/>
              <w:topLinePunct w:val="0"/>
              <w:autoSpaceDE/>
              <w:autoSpaceDN/>
              <w:bidi w:val="0"/>
              <w:adjustRightInd/>
              <w:snapToGrid/>
              <w:spacing w:line="500" w:lineRule="exact"/>
              <w:ind w:right="105" w:rightChars="5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color w:val="000000"/>
                <w:sz w:val="24"/>
                <w:szCs w:val="24"/>
              </w:rPr>
              <w:t>其他要求</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520BC76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kern w:val="2"/>
                <w:sz w:val="24"/>
                <w:szCs w:val="24"/>
                <w:lang w:val="en-US" w:eastAsia="zh-CN" w:bidi="ar-SA"/>
              </w:rPr>
            </w:pPr>
            <w:r>
              <w:rPr>
                <w:rFonts w:hint="eastAsia" w:ascii="宋体" w:hAnsi="宋体" w:eastAsia="宋体" w:cs="宋体"/>
                <w:color w:val="000000"/>
                <w:sz w:val="24"/>
                <w:szCs w:val="24"/>
              </w:rPr>
              <w:t>符合</w:t>
            </w:r>
            <w:r>
              <w:rPr>
                <w:rFonts w:hint="eastAsia" w:ascii="宋体" w:hAnsi="宋体" w:eastAsia="宋体" w:cs="宋体"/>
                <w:color w:val="000000"/>
                <w:sz w:val="24"/>
                <w:szCs w:val="24"/>
                <w:lang w:eastAsia="zh-CN"/>
              </w:rPr>
              <w:t>磋商文件</w:t>
            </w:r>
            <w:r>
              <w:rPr>
                <w:rFonts w:hint="eastAsia" w:ascii="宋体" w:hAnsi="宋体" w:eastAsia="宋体" w:cs="宋体"/>
                <w:color w:val="000000"/>
                <w:sz w:val="24"/>
                <w:szCs w:val="24"/>
              </w:rPr>
              <w:t>规定</w:t>
            </w:r>
          </w:p>
        </w:tc>
      </w:tr>
      <w:tr w14:paraId="16DD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34C25DAE">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0F72512C">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56674D4B">
            <w:pPr>
              <w:keepNext w:val="0"/>
              <w:keepLines w:val="0"/>
              <w:pageBreakBefore w:val="0"/>
              <w:widowControl w:val="0"/>
              <w:kinsoku/>
              <w:wordWrap/>
              <w:overflowPunct/>
              <w:topLinePunct w:val="0"/>
              <w:autoSpaceDE w:val="0"/>
              <w:autoSpaceDN w:val="0"/>
              <w:bidi w:val="0"/>
              <w:adjustRightInd w:val="0"/>
              <w:snapToGrid/>
              <w:spacing w:line="500" w:lineRule="exact"/>
              <w:ind w:left="0" w:leftChars="0"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color w:val="000000"/>
                <w:kern w:val="0"/>
                <w:sz w:val="24"/>
                <w:szCs w:val="24"/>
                <w:lang w:val="en-US" w:eastAsia="zh-CN"/>
              </w:rPr>
              <w:t>标书雷同性分析</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17F5ADE9">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kern w:val="2"/>
                <w:sz w:val="24"/>
                <w:szCs w:val="24"/>
                <w:lang w:val="en-US" w:eastAsia="zh-CN" w:bidi="ar-SA"/>
              </w:rPr>
            </w:pPr>
            <w:r>
              <w:rPr>
                <w:rFonts w:hint="eastAsia" w:ascii="宋体" w:hAnsi="宋体" w:eastAsia="宋体" w:cs="宋体"/>
                <w:b/>
                <w:bCs/>
                <w:sz w:val="24"/>
                <w:szCs w:val="24"/>
                <w:lang w:val="en-US" w:eastAsia="zh-CN"/>
              </w:rPr>
              <w:t>文件制作机器码、文件创建标识码有相同的按废标处理。</w:t>
            </w:r>
          </w:p>
        </w:tc>
      </w:tr>
      <w:tr w14:paraId="1649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1146" w:type="dxa"/>
            <w:vMerge w:val="continue"/>
            <w:tcBorders>
              <w:left w:val="single" w:color="000000" w:sz="4" w:space="0"/>
              <w:bottom w:val="single" w:color="000000" w:sz="4" w:space="0"/>
              <w:right w:val="single" w:color="auto" w:sz="4" w:space="0"/>
            </w:tcBorders>
            <w:noWrap w:val="0"/>
            <w:vAlign w:val="center"/>
          </w:tcPr>
          <w:p w14:paraId="60101D11">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51C704A1">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8096" w:type="dxa"/>
            <w:gridSpan w:val="2"/>
            <w:tcBorders>
              <w:top w:val="single" w:color="000000" w:sz="4" w:space="0"/>
              <w:left w:val="single" w:color="000000" w:sz="4" w:space="0"/>
              <w:bottom w:val="single" w:color="000000" w:sz="4" w:space="0"/>
              <w:right w:val="single" w:color="000000" w:sz="4" w:space="0"/>
            </w:tcBorders>
            <w:noWrap w:val="0"/>
            <w:vAlign w:val="center"/>
          </w:tcPr>
          <w:p w14:paraId="172BE3E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both"/>
              <w:textAlignment w:val="auto"/>
              <w:rPr>
                <w:rFonts w:hint="eastAsia" w:ascii="宋体" w:hAnsi="宋体" w:eastAsia="宋体" w:cs="宋体"/>
                <w:b/>
                <w:sz w:val="24"/>
                <w:szCs w:val="24"/>
              </w:rPr>
            </w:pPr>
            <w:r>
              <w:rPr>
                <w:rFonts w:hint="eastAsia" w:ascii="宋体" w:hAnsi="宋体" w:eastAsia="宋体" w:cs="宋体"/>
                <w:b/>
                <w:sz w:val="24"/>
                <w:szCs w:val="24"/>
              </w:rPr>
              <w:t>注：</w:t>
            </w:r>
            <w:r>
              <w:rPr>
                <w:rFonts w:hint="eastAsia" w:ascii="宋体" w:hAnsi="宋体" w:eastAsia="宋体" w:cs="宋体"/>
                <w:b/>
                <w:sz w:val="24"/>
                <w:szCs w:val="24"/>
                <w:lang w:eastAsia="zh-CN"/>
              </w:rPr>
              <w:t>响应</w:t>
            </w:r>
            <w:r>
              <w:rPr>
                <w:rFonts w:hint="eastAsia" w:ascii="宋体" w:hAnsi="宋体" w:eastAsia="宋体" w:cs="宋体"/>
                <w:b/>
                <w:sz w:val="24"/>
                <w:szCs w:val="24"/>
              </w:rPr>
              <w:t>文件中附原件扫描件，资料不全或不合格者视为未通过资格审查</w:t>
            </w:r>
          </w:p>
        </w:tc>
      </w:tr>
      <w:tr w14:paraId="6713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restart"/>
            <w:tcBorders>
              <w:top w:val="single" w:color="000000" w:sz="4" w:space="0"/>
              <w:left w:val="single" w:color="000000" w:sz="4" w:space="0"/>
              <w:right w:val="single" w:color="auto" w:sz="4" w:space="0"/>
            </w:tcBorders>
            <w:noWrap w:val="0"/>
            <w:vAlign w:val="center"/>
          </w:tcPr>
          <w:p w14:paraId="1968E15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r>
              <w:rPr>
                <w:rFonts w:hint="eastAsia" w:ascii="宋体" w:hAnsi="宋体" w:eastAsia="宋体" w:cs="宋体"/>
                <w:b/>
                <w:sz w:val="24"/>
                <w:szCs w:val="24"/>
              </w:rPr>
              <w:t>2.1.2</w:t>
            </w:r>
          </w:p>
          <w:p w14:paraId="70931459">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restart"/>
            <w:tcBorders>
              <w:top w:val="single" w:color="000000" w:sz="4" w:space="0"/>
              <w:left w:val="single" w:color="auto" w:sz="4" w:space="0"/>
              <w:right w:val="single" w:color="000000" w:sz="4" w:space="0"/>
            </w:tcBorders>
            <w:noWrap w:val="0"/>
            <w:vAlign w:val="center"/>
          </w:tcPr>
          <w:p w14:paraId="46AFDE15">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符合性</w:t>
            </w:r>
          </w:p>
          <w:p w14:paraId="2ED44B6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rPr>
            </w:pPr>
            <w:r>
              <w:rPr>
                <w:rFonts w:hint="eastAsia" w:ascii="宋体" w:hAnsi="宋体" w:eastAsia="宋体" w:cs="宋体"/>
                <w:sz w:val="24"/>
                <w:szCs w:val="24"/>
              </w:rPr>
              <w:t>评审标准</w:t>
            </w:r>
          </w:p>
          <w:p w14:paraId="1FE20790">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p w14:paraId="54FA3F1C">
            <w:pPr>
              <w:keepNext w:val="0"/>
              <w:keepLines w:val="0"/>
              <w:pageBreakBefore w:val="0"/>
              <w:widowControl w:val="0"/>
              <w:kinsoku/>
              <w:wordWrap/>
              <w:overflowPunct/>
              <w:topLinePunct w:val="0"/>
              <w:autoSpaceDE/>
              <w:autoSpaceDN/>
              <w:bidi w:val="0"/>
              <w:adjustRightInd/>
              <w:snapToGrid/>
              <w:spacing w:line="500" w:lineRule="exact"/>
              <w:ind w:left="0" w:leftChars="0" w:firstLine="241" w:firstLineChars="100"/>
              <w:jc w:val="both"/>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1CEDA79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名称</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450E5E96">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与营业执照一致</w:t>
            </w:r>
          </w:p>
        </w:tc>
      </w:tr>
      <w:tr w14:paraId="3DFC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right w:val="single" w:color="auto" w:sz="4" w:space="0"/>
            </w:tcBorders>
            <w:noWrap w:val="0"/>
            <w:vAlign w:val="center"/>
          </w:tcPr>
          <w:p w14:paraId="037B00E8">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14:paraId="7A930E1B">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1EDE30C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响应内容</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50454AA4">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须知”规定</w:t>
            </w:r>
          </w:p>
        </w:tc>
      </w:tr>
      <w:tr w14:paraId="748A3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right w:val="single" w:color="auto" w:sz="4" w:space="0"/>
            </w:tcBorders>
            <w:noWrap w:val="0"/>
            <w:vAlign w:val="center"/>
          </w:tcPr>
          <w:p w14:paraId="141032A5">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left"/>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14:paraId="186D8B52">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2D1B58D1">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文件签字盖章</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0B381F75">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符合</w:t>
            </w:r>
            <w:r>
              <w:rPr>
                <w:rFonts w:hint="eastAsia" w:ascii="宋体" w:hAnsi="宋体" w:eastAsia="宋体" w:cs="宋体"/>
                <w:color w:val="000000"/>
                <w:sz w:val="24"/>
                <w:szCs w:val="24"/>
                <w:lang w:eastAsia="zh-CN"/>
              </w:rPr>
              <w:t>磋商文件</w:t>
            </w:r>
            <w:r>
              <w:rPr>
                <w:rFonts w:hint="eastAsia" w:ascii="宋体" w:hAnsi="宋体" w:eastAsia="宋体" w:cs="宋体"/>
                <w:color w:val="000000"/>
                <w:sz w:val="24"/>
                <w:szCs w:val="24"/>
              </w:rPr>
              <w:t>规定</w:t>
            </w:r>
          </w:p>
        </w:tc>
      </w:tr>
      <w:tr w14:paraId="07215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right w:val="single" w:color="auto" w:sz="4" w:space="0"/>
            </w:tcBorders>
            <w:noWrap w:val="0"/>
            <w:vAlign w:val="center"/>
          </w:tcPr>
          <w:p w14:paraId="54A7109E">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14:paraId="47843D7E">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4F7C033D">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质量</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64F89BF6">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须知”规定</w:t>
            </w:r>
          </w:p>
        </w:tc>
      </w:tr>
      <w:tr w14:paraId="732A9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right w:val="single" w:color="auto" w:sz="4" w:space="0"/>
            </w:tcBorders>
            <w:noWrap w:val="0"/>
            <w:vAlign w:val="center"/>
          </w:tcPr>
          <w:p w14:paraId="3ACC8DB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1305" w:type="dxa"/>
            <w:vMerge w:val="continue"/>
            <w:tcBorders>
              <w:left w:val="single" w:color="auto" w:sz="4" w:space="0"/>
              <w:right w:val="single" w:color="000000" w:sz="4" w:space="0"/>
            </w:tcBorders>
            <w:noWrap w:val="0"/>
            <w:vAlign w:val="center"/>
          </w:tcPr>
          <w:p w14:paraId="1652C617">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6C1404CB">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服务期限</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5F282C8E">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须知”规定</w:t>
            </w:r>
          </w:p>
        </w:tc>
      </w:tr>
      <w:tr w14:paraId="363D1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bottom w:val="single" w:color="000000" w:sz="4" w:space="0"/>
              <w:right w:val="single" w:color="auto" w:sz="4" w:space="0"/>
            </w:tcBorders>
            <w:noWrap w:val="0"/>
            <w:vAlign w:val="center"/>
          </w:tcPr>
          <w:p w14:paraId="44AF9BA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2C003A39">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1C37E9C0">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磋商</w:t>
            </w:r>
            <w:r>
              <w:rPr>
                <w:rFonts w:hint="eastAsia" w:ascii="宋体" w:hAnsi="宋体" w:eastAsia="宋体" w:cs="宋体"/>
                <w:color w:val="000000"/>
                <w:sz w:val="24"/>
                <w:szCs w:val="24"/>
              </w:rPr>
              <w:t>有效期</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609D80F8">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符合第二章“</w:t>
            </w:r>
            <w:r>
              <w:rPr>
                <w:rFonts w:hint="eastAsia" w:ascii="宋体" w:hAnsi="宋体" w:eastAsia="宋体" w:cs="宋体"/>
                <w:color w:val="000000"/>
                <w:sz w:val="24"/>
                <w:szCs w:val="24"/>
                <w:lang w:eastAsia="zh-CN"/>
              </w:rPr>
              <w:t>投标供应商</w:t>
            </w:r>
            <w:r>
              <w:rPr>
                <w:rFonts w:hint="eastAsia" w:ascii="宋体" w:hAnsi="宋体" w:eastAsia="宋体" w:cs="宋体"/>
                <w:color w:val="000000"/>
                <w:sz w:val="24"/>
                <w:szCs w:val="24"/>
              </w:rPr>
              <w:t>须知”规定</w:t>
            </w:r>
          </w:p>
        </w:tc>
      </w:tr>
      <w:tr w14:paraId="41C41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bottom w:val="single" w:color="000000" w:sz="4" w:space="0"/>
              <w:right w:val="single" w:color="auto" w:sz="4" w:space="0"/>
            </w:tcBorders>
            <w:noWrap w:val="0"/>
            <w:vAlign w:val="center"/>
          </w:tcPr>
          <w:p w14:paraId="102DF50E">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10C4631A">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3D5F52AA">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报价唯一</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36E4A207">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只有一个有效报价</w:t>
            </w:r>
          </w:p>
        </w:tc>
      </w:tr>
      <w:tr w14:paraId="1695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bottom w:val="single" w:color="000000" w:sz="4" w:space="0"/>
              <w:right w:val="single" w:color="auto" w:sz="4" w:space="0"/>
            </w:tcBorders>
            <w:noWrap w:val="0"/>
            <w:vAlign w:val="center"/>
          </w:tcPr>
          <w:p w14:paraId="2E84ED14">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44E21758">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21543939">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报价</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72818465">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报价</w:t>
            </w:r>
            <w:r>
              <w:rPr>
                <w:rFonts w:hint="eastAsia" w:ascii="宋体" w:hAnsi="宋体" w:eastAsia="宋体" w:cs="宋体"/>
                <w:color w:val="000000"/>
                <w:sz w:val="24"/>
                <w:szCs w:val="24"/>
                <w:lang w:eastAsia="zh-CN"/>
              </w:rPr>
              <w:t>均</w:t>
            </w:r>
            <w:r>
              <w:rPr>
                <w:rFonts w:hint="eastAsia" w:ascii="宋体" w:hAnsi="宋体" w:eastAsia="宋体" w:cs="宋体"/>
                <w:color w:val="000000"/>
                <w:sz w:val="24"/>
                <w:szCs w:val="24"/>
              </w:rPr>
              <w:t>不超过</w:t>
            </w:r>
            <w:r>
              <w:rPr>
                <w:rFonts w:hint="eastAsia" w:ascii="宋体" w:hAnsi="宋体" w:eastAsia="宋体" w:cs="宋体"/>
                <w:color w:val="000000"/>
                <w:sz w:val="24"/>
                <w:szCs w:val="24"/>
                <w:lang w:eastAsia="zh-CN"/>
              </w:rPr>
              <w:t>采购预算价</w:t>
            </w:r>
          </w:p>
        </w:tc>
      </w:tr>
      <w:tr w14:paraId="56B6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bottom w:val="single" w:color="000000" w:sz="4" w:space="0"/>
              <w:right w:val="single" w:color="auto" w:sz="4" w:space="0"/>
            </w:tcBorders>
            <w:noWrap w:val="0"/>
            <w:vAlign w:val="center"/>
          </w:tcPr>
          <w:p w14:paraId="4EF37B93">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47D624E2">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6E2AFD21">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合同条款响应</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55FF8D11">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提供合同条款完全响应承诺函</w:t>
            </w:r>
          </w:p>
        </w:tc>
      </w:tr>
      <w:tr w14:paraId="45636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7" w:hRule="exact"/>
          <w:jc w:val="center"/>
        </w:trPr>
        <w:tc>
          <w:tcPr>
            <w:tcW w:w="1146" w:type="dxa"/>
            <w:vMerge w:val="continue"/>
            <w:tcBorders>
              <w:left w:val="single" w:color="000000" w:sz="4" w:space="0"/>
              <w:bottom w:val="single" w:color="000000" w:sz="4" w:space="0"/>
              <w:right w:val="single" w:color="auto" w:sz="4" w:space="0"/>
            </w:tcBorders>
            <w:noWrap w:val="0"/>
            <w:vAlign w:val="center"/>
          </w:tcPr>
          <w:p w14:paraId="6E4D5EE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1305" w:type="dxa"/>
            <w:vMerge w:val="continue"/>
            <w:tcBorders>
              <w:left w:val="single" w:color="auto" w:sz="4" w:space="0"/>
              <w:bottom w:val="single" w:color="000000" w:sz="4" w:space="0"/>
              <w:right w:val="single" w:color="000000" w:sz="4" w:space="0"/>
            </w:tcBorders>
            <w:noWrap w:val="0"/>
            <w:vAlign w:val="center"/>
          </w:tcPr>
          <w:p w14:paraId="7D169000">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2E0BD4C8">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其他要求</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0C342163">
            <w:pPr>
              <w:keepNext w:val="0"/>
              <w:keepLines w:val="0"/>
              <w:pageBreakBefore w:val="0"/>
              <w:widowControl w:val="0"/>
              <w:kinsoku/>
              <w:wordWrap/>
              <w:overflowPunct/>
              <w:topLinePunct w:val="0"/>
              <w:autoSpaceDE/>
              <w:autoSpaceDN/>
              <w:bidi w:val="0"/>
              <w:adjustRightInd/>
              <w:snapToGrid/>
              <w:spacing w:line="500" w:lineRule="exact"/>
              <w:ind w:left="0" w:leftChars="0" w:right="105" w:rightChars="50" w:firstLine="0" w:firstLineChars="0"/>
              <w:jc w:val="left"/>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符合</w:t>
            </w:r>
            <w:r>
              <w:rPr>
                <w:rFonts w:hint="eastAsia" w:ascii="宋体" w:hAnsi="宋体" w:eastAsia="宋体" w:cs="宋体"/>
                <w:color w:val="000000"/>
                <w:sz w:val="24"/>
                <w:szCs w:val="24"/>
                <w:lang w:eastAsia="zh-CN"/>
              </w:rPr>
              <w:t>磋商文件</w:t>
            </w:r>
            <w:r>
              <w:rPr>
                <w:rFonts w:hint="eastAsia" w:ascii="宋体" w:hAnsi="宋体" w:eastAsia="宋体" w:cs="宋体"/>
                <w:color w:val="000000"/>
                <w:sz w:val="24"/>
                <w:szCs w:val="24"/>
              </w:rPr>
              <w:t>规定</w:t>
            </w:r>
          </w:p>
        </w:tc>
      </w:tr>
      <w:tr w14:paraId="0E7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052A510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r>
              <w:rPr>
                <w:rFonts w:hint="eastAsia" w:ascii="宋体" w:hAnsi="宋体" w:eastAsia="宋体" w:cs="宋体"/>
                <w:b/>
                <w:sz w:val="24"/>
                <w:szCs w:val="24"/>
              </w:rPr>
              <w:t>条款号</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3CB20842">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r>
              <w:rPr>
                <w:rFonts w:hint="eastAsia" w:ascii="宋体" w:hAnsi="宋体" w:eastAsia="宋体" w:cs="宋体"/>
                <w:b/>
                <w:sz w:val="24"/>
                <w:szCs w:val="24"/>
              </w:rPr>
              <w:t>条款内容</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42AE6070">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sz w:val="24"/>
                <w:szCs w:val="24"/>
              </w:rPr>
            </w:pPr>
            <w:r>
              <w:rPr>
                <w:rFonts w:hint="eastAsia" w:ascii="宋体" w:hAnsi="宋体" w:eastAsia="宋体" w:cs="宋体"/>
                <w:b/>
                <w:sz w:val="24"/>
                <w:szCs w:val="24"/>
              </w:rPr>
              <w:t>编列内容</w:t>
            </w:r>
          </w:p>
        </w:tc>
      </w:tr>
      <w:tr w14:paraId="2E918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0" w:hRule="atLeast"/>
          <w:jc w:val="center"/>
        </w:trPr>
        <w:tc>
          <w:tcPr>
            <w:tcW w:w="2451" w:type="dxa"/>
            <w:gridSpan w:val="2"/>
            <w:tcBorders>
              <w:top w:val="single" w:color="000000" w:sz="4" w:space="0"/>
              <w:left w:val="single" w:color="000000" w:sz="4" w:space="0"/>
              <w:bottom w:val="single" w:color="000000" w:sz="4" w:space="0"/>
              <w:right w:val="single" w:color="000000" w:sz="4" w:space="0"/>
            </w:tcBorders>
            <w:noWrap w:val="0"/>
            <w:vAlign w:val="center"/>
          </w:tcPr>
          <w:p w14:paraId="61513B51">
            <w:pPr>
              <w:keepNext w:val="0"/>
              <w:keepLines w:val="0"/>
              <w:pageBreakBefore w:val="0"/>
              <w:widowControl w:val="0"/>
              <w:kinsoku/>
              <w:wordWrap/>
              <w:overflowPunct/>
              <w:topLinePunct w:val="0"/>
              <w:autoSpaceDE/>
              <w:autoSpaceDN/>
              <w:bidi w:val="0"/>
              <w:adjustRightInd/>
              <w:snapToGrid/>
              <w:spacing w:line="500" w:lineRule="exact"/>
              <w:ind w:firstLine="964" w:firstLineChars="400"/>
              <w:jc w:val="both"/>
              <w:textAlignment w:val="auto"/>
              <w:rPr>
                <w:rFonts w:hint="eastAsia" w:ascii="宋体" w:hAnsi="宋体" w:eastAsia="宋体" w:cs="宋体"/>
                <w:b/>
                <w:sz w:val="24"/>
                <w:szCs w:val="24"/>
              </w:rPr>
            </w:pPr>
            <w:r>
              <w:rPr>
                <w:rFonts w:hint="eastAsia" w:ascii="宋体" w:hAnsi="宋体" w:eastAsia="宋体" w:cs="宋体"/>
                <w:b/>
                <w:sz w:val="24"/>
                <w:szCs w:val="24"/>
              </w:rPr>
              <w:t>2.2.1</w:t>
            </w:r>
          </w:p>
        </w:tc>
        <w:tc>
          <w:tcPr>
            <w:tcW w:w="2137" w:type="dxa"/>
            <w:tcBorders>
              <w:top w:val="single" w:color="000000" w:sz="4" w:space="0"/>
              <w:left w:val="single" w:color="000000" w:sz="4" w:space="0"/>
              <w:bottom w:val="single" w:color="000000" w:sz="4" w:space="0"/>
              <w:right w:val="single" w:color="000000" w:sz="4" w:space="0"/>
            </w:tcBorders>
            <w:noWrap w:val="0"/>
            <w:vAlign w:val="center"/>
          </w:tcPr>
          <w:p w14:paraId="28143D6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分值构成</w:t>
            </w:r>
          </w:p>
          <w:p w14:paraId="1F894422">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both"/>
              <w:textAlignment w:val="auto"/>
              <w:rPr>
                <w:rFonts w:hint="eastAsia" w:ascii="宋体" w:hAnsi="宋体" w:eastAsia="宋体" w:cs="宋体"/>
                <w:b/>
                <w:sz w:val="24"/>
                <w:szCs w:val="24"/>
              </w:rPr>
            </w:pPr>
            <w:r>
              <w:rPr>
                <w:rFonts w:hint="eastAsia" w:ascii="宋体" w:hAnsi="宋体" w:eastAsia="宋体" w:cs="宋体"/>
                <w:color w:val="000000"/>
                <w:sz w:val="24"/>
                <w:szCs w:val="24"/>
              </w:rPr>
              <w:t>（总分100分）</w:t>
            </w:r>
          </w:p>
        </w:tc>
        <w:tc>
          <w:tcPr>
            <w:tcW w:w="5959" w:type="dxa"/>
            <w:tcBorders>
              <w:top w:val="single" w:color="000000" w:sz="4" w:space="0"/>
              <w:left w:val="single" w:color="000000" w:sz="4" w:space="0"/>
              <w:bottom w:val="single" w:color="000000" w:sz="4" w:space="0"/>
              <w:right w:val="single" w:color="000000" w:sz="4" w:space="0"/>
            </w:tcBorders>
            <w:noWrap w:val="0"/>
            <w:vAlign w:val="center"/>
          </w:tcPr>
          <w:p w14:paraId="722FFFC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sz w:val="24"/>
                <w:szCs w:val="24"/>
              </w:rPr>
              <w:t>商务</w:t>
            </w:r>
            <w:r>
              <w:rPr>
                <w:rFonts w:hint="eastAsia" w:ascii="宋体" w:hAnsi="宋体" w:eastAsia="宋体" w:cs="宋体"/>
                <w:sz w:val="24"/>
                <w:szCs w:val="24"/>
                <w:lang w:eastAsia="zh-CN"/>
              </w:rPr>
              <w:t>标</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15  </w:t>
            </w:r>
            <w:r>
              <w:rPr>
                <w:rFonts w:hint="eastAsia" w:ascii="宋体" w:hAnsi="宋体" w:eastAsia="宋体" w:cs="宋体"/>
                <w:color w:val="000000"/>
                <w:sz w:val="24"/>
                <w:szCs w:val="24"/>
              </w:rPr>
              <w:t>分</w:t>
            </w:r>
          </w:p>
          <w:p w14:paraId="55D3606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sz w:val="24"/>
                <w:szCs w:val="24"/>
                <w:highlight w:val="none"/>
                <w:lang w:val="en-US" w:eastAsia="zh-CN"/>
              </w:rPr>
            </w:pPr>
            <w:r>
              <w:rPr>
                <w:rFonts w:hint="eastAsia" w:ascii="宋体" w:hAnsi="宋体" w:eastAsia="宋体" w:cs="宋体"/>
                <w:color w:val="000000"/>
                <w:sz w:val="24"/>
                <w:szCs w:val="24"/>
              </w:rPr>
              <w:t>技术</w:t>
            </w:r>
            <w:r>
              <w:rPr>
                <w:rFonts w:hint="eastAsia" w:ascii="宋体" w:hAnsi="宋体" w:eastAsia="宋体" w:cs="宋体"/>
                <w:color w:val="000000"/>
                <w:sz w:val="24"/>
                <w:szCs w:val="24"/>
                <w:lang w:eastAsia="zh-CN"/>
              </w:rPr>
              <w:t>标</w:t>
            </w:r>
            <w:r>
              <w:rPr>
                <w:rFonts w:hint="eastAsia" w:ascii="宋体" w:hAnsi="宋体" w:eastAsia="宋体" w:cs="宋体"/>
                <w:color w:val="000000"/>
                <w:sz w:val="24"/>
                <w:szCs w:val="24"/>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 xml:space="preserve">45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分</w:t>
            </w:r>
          </w:p>
          <w:p w14:paraId="34FD468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宋体" w:hAnsi="宋体" w:eastAsia="宋体" w:cs="宋体"/>
                <w:b/>
                <w:sz w:val="24"/>
                <w:szCs w:val="24"/>
                <w:lang w:val="en-US" w:eastAsia="zh-CN"/>
              </w:rPr>
            </w:pPr>
            <w:r>
              <w:rPr>
                <w:rFonts w:hint="eastAsia" w:ascii="宋体" w:hAnsi="宋体" w:eastAsia="宋体" w:cs="宋体"/>
                <w:sz w:val="24"/>
                <w:szCs w:val="24"/>
                <w:highlight w:val="none"/>
              </w:rPr>
              <w:t>综合</w:t>
            </w:r>
            <w:r>
              <w:rPr>
                <w:rFonts w:hint="eastAsia" w:ascii="宋体" w:hAnsi="宋体" w:eastAsia="宋体" w:cs="宋体"/>
                <w:sz w:val="24"/>
                <w:szCs w:val="24"/>
                <w:highlight w:val="none"/>
                <w:lang w:eastAsia="zh-CN"/>
              </w:rPr>
              <w:t>标</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40</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rPr>
              <w:t>分</w:t>
            </w:r>
          </w:p>
        </w:tc>
      </w:tr>
      <w:tr w14:paraId="22E53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1" w:hRule="atLeast"/>
          <w:jc w:val="center"/>
        </w:trPr>
        <w:tc>
          <w:tcPr>
            <w:tcW w:w="2451" w:type="dxa"/>
            <w:gridSpan w:val="2"/>
            <w:tcBorders>
              <w:top w:val="single" w:color="000000" w:sz="4" w:space="0"/>
              <w:left w:val="single" w:color="000000" w:sz="4" w:space="0"/>
              <w:bottom w:val="single" w:color="000000" w:sz="4" w:space="0"/>
              <w:right w:val="single" w:color="auto" w:sz="4" w:space="0"/>
            </w:tcBorders>
            <w:noWrap w:val="0"/>
            <w:vAlign w:val="center"/>
          </w:tcPr>
          <w:p w14:paraId="351268D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rPr>
            </w:pPr>
            <w:r>
              <w:rPr>
                <w:rFonts w:hint="eastAsia" w:ascii="宋体" w:hAnsi="宋体" w:eastAsia="宋体" w:cs="宋体"/>
                <w:b/>
                <w:sz w:val="24"/>
                <w:szCs w:val="24"/>
              </w:rPr>
              <w:t>条款号</w:t>
            </w:r>
          </w:p>
        </w:tc>
        <w:tc>
          <w:tcPr>
            <w:tcW w:w="2137" w:type="dxa"/>
            <w:tcBorders>
              <w:top w:val="single" w:color="000000" w:sz="4" w:space="0"/>
              <w:left w:val="single" w:color="auto" w:sz="4" w:space="0"/>
              <w:bottom w:val="single" w:color="000000" w:sz="4" w:space="0"/>
              <w:right w:val="single" w:color="auto" w:sz="4" w:space="0"/>
            </w:tcBorders>
            <w:noWrap w:val="0"/>
            <w:vAlign w:val="center"/>
          </w:tcPr>
          <w:p w14:paraId="29192893">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rPr>
              <w:t>评分因素</w:t>
            </w:r>
          </w:p>
        </w:tc>
        <w:tc>
          <w:tcPr>
            <w:tcW w:w="5959" w:type="dxa"/>
            <w:tcBorders>
              <w:top w:val="single" w:color="000000" w:sz="4" w:space="0"/>
              <w:left w:val="single" w:color="auto" w:sz="4" w:space="0"/>
              <w:bottom w:val="single" w:color="000000" w:sz="4" w:space="0"/>
              <w:right w:val="single" w:color="000000" w:sz="4" w:space="0"/>
            </w:tcBorders>
            <w:noWrap w:val="0"/>
            <w:vAlign w:val="center"/>
          </w:tcPr>
          <w:p w14:paraId="7814E88C">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评审标准</w:t>
            </w:r>
          </w:p>
        </w:tc>
      </w:tr>
      <w:tr w14:paraId="0DBB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26" w:hRule="atLeast"/>
          <w:jc w:val="center"/>
        </w:trPr>
        <w:tc>
          <w:tcPr>
            <w:tcW w:w="1146" w:type="dxa"/>
            <w:tcBorders>
              <w:top w:val="single" w:color="000000" w:sz="4" w:space="0"/>
              <w:left w:val="single" w:color="000000" w:sz="4" w:space="0"/>
              <w:right w:val="single" w:color="000000" w:sz="4" w:space="0"/>
            </w:tcBorders>
            <w:noWrap w:val="0"/>
            <w:vAlign w:val="center"/>
          </w:tcPr>
          <w:p w14:paraId="5924897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2.2.2</w:t>
            </w:r>
          </w:p>
          <w:p w14:paraId="4A3C5CC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rPr>
              <w:t>）</w:t>
            </w:r>
          </w:p>
          <w:p w14:paraId="2542451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kern w:val="2"/>
                <w:sz w:val="24"/>
                <w:szCs w:val="24"/>
                <w:lang w:val="en-US" w:eastAsia="zh-CN" w:bidi="ar-SA"/>
              </w:rPr>
            </w:pPr>
          </w:p>
        </w:tc>
        <w:tc>
          <w:tcPr>
            <w:tcW w:w="1305" w:type="dxa"/>
            <w:tcBorders>
              <w:top w:val="single" w:color="000000" w:sz="4" w:space="0"/>
              <w:left w:val="single" w:color="000000" w:sz="4" w:space="0"/>
              <w:right w:val="single" w:color="auto" w:sz="4" w:space="0"/>
            </w:tcBorders>
            <w:noWrap w:val="0"/>
            <w:vAlign w:val="center"/>
          </w:tcPr>
          <w:p w14:paraId="4536016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商务标</w:t>
            </w:r>
          </w:p>
          <w:p w14:paraId="00981E7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评分标准</w:t>
            </w:r>
          </w:p>
          <w:p w14:paraId="0C189F0A">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分）</w:t>
            </w:r>
          </w:p>
        </w:tc>
        <w:tc>
          <w:tcPr>
            <w:tcW w:w="2137" w:type="dxa"/>
            <w:tcBorders>
              <w:top w:val="single" w:color="000000" w:sz="4" w:space="0"/>
              <w:left w:val="single" w:color="auto" w:sz="4" w:space="0"/>
              <w:bottom w:val="single" w:color="auto" w:sz="4" w:space="0"/>
              <w:right w:val="single" w:color="auto" w:sz="4" w:space="0"/>
            </w:tcBorders>
            <w:noWrap w:val="0"/>
            <w:tcMar>
              <w:top w:w="0" w:type="dxa"/>
              <w:left w:w="113" w:type="dxa"/>
              <w:bottom w:w="0" w:type="dxa"/>
              <w:right w:w="0" w:type="dxa"/>
            </w:tcMar>
            <w:vAlign w:val="center"/>
          </w:tcPr>
          <w:p w14:paraId="3690AA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磋商报价</w:t>
            </w:r>
          </w:p>
          <w:p w14:paraId="43412C8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15</w:t>
            </w:r>
            <w:r>
              <w:rPr>
                <w:rFonts w:hint="eastAsia" w:ascii="宋体" w:hAnsi="宋体" w:eastAsia="宋体" w:cs="宋体"/>
                <w:sz w:val="24"/>
                <w:szCs w:val="24"/>
                <w:highlight w:val="none"/>
              </w:rPr>
              <w:t>分）</w:t>
            </w:r>
          </w:p>
        </w:tc>
        <w:tc>
          <w:tcPr>
            <w:tcW w:w="5959" w:type="dxa"/>
            <w:tcBorders>
              <w:top w:val="single" w:color="000000" w:sz="4" w:space="0"/>
              <w:left w:val="single" w:color="auto" w:sz="4" w:space="0"/>
              <w:bottom w:val="single" w:color="auto" w:sz="4" w:space="0"/>
              <w:right w:val="single" w:color="000000" w:sz="4" w:space="0"/>
            </w:tcBorders>
            <w:noWrap w:val="0"/>
            <w:tcMar>
              <w:top w:w="0" w:type="dxa"/>
              <w:left w:w="113" w:type="dxa"/>
              <w:bottom w:w="0" w:type="dxa"/>
              <w:right w:w="0" w:type="dxa"/>
            </w:tcMar>
            <w:vAlign w:val="center"/>
          </w:tcPr>
          <w:p w14:paraId="6D9DB0AD">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报价分采用低价优先法计算，即满足招标文件要求且最终报价最低的有效投标报价为评标基准价，其价格分为满分。其他供应商的价格分统一按照下列公式计算：投标报价得分=（评标基准价/投标报价）×15分。</w:t>
            </w:r>
          </w:p>
          <w:p w14:paraId="0A83677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注：1.价格分计算保留小数点后二位 </w:t>
            </w:r>
          </w:p>
          <w:p w14:paraId="75979D6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color w:val="auto"/>
                <w:sz w:val="24"/>
                <w:szCs w:val="24"/>
                <w:lang w:val="en-US" w:eastAsia="zh-CN"/>
              </w:rPr>
              <w:t>2.供应商在投标报价中的投标报价明显低于其他通过符合性审查供应商的投标报价（建议比控制价低30%的）且该供应商技术等主要指标有大量或明显故意不符，可能影响采购质量或者项目履约的，应当要求在投标系统合理的时间内上传书面说明，供应商不能证明其报价合理性的，评标委员会应当将其做为无效投标处理。</w:t>
            </w:r>
          </w:p>
        </w:tc>
      </w:tr>
      <w:tr w14:paraId="403E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restart"/>
            <w:tcBorders>
              <w:top w:val="single" w:color="000000" w:sz="4" w:space="0"/>
              <w:left w:val="single" w:color="000000" w:sz="4" w:space="0"/>
              <w:right w:val="single" w:color="000000" w:sz="4" w:space="0"/>
            </w:tcBorders>
            <w:noWrap w:val="0"/>
            <w:vAlign w:val="center"/>
          </w:tcPr>
          <w:p w14:paraId="4484196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2.2.2</w:t>
            </w:r>
          </w:p>
          <w:p w14:paraId="47FBE2C4">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w:t>
            </w:r>
          </w:p>
        </w:tc>
        <w:tc>
          <w:tcPr>
            <w:tcW w:w="1305" w:type="dxa"/>
            <w:vMerge w:val="restart"/>
            <w:tcBorders>
              <w:top w:val="single" w:color="000000" w:sz="4" w:space="0"/>
              <w:left w:val="single" w:color="000000" w:sz="4" w:space="0"/>
              <w:right w:val="single" w:color="auto" w:sz="4" w:space="0"/>
            </w:tcBorders>
            <w:noWrap w:val="0"/>
            <w:vAlign w:val="center"/>
          </w:tcPr>
          <w:p w14:paraId="30DB11F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技术标</w:t>
            </w:r>
          </w:p>
          <w:p w14:paraId="65E07BBD">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评分标准</w:t>
            </w:r>
          </w:p>
          <w:p w14:paraId="07CCBBDE">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45</w:t>
            </w:r>
            <w:r>
              <w:rPr>
                <w:rFonts w:hint="eastAsia" w:ascii="宋体" w:hAnsi="宋体" w:eastAsia="宋体" w:cs="宋体"/>
                <w:sz w:val="24"/>
                <w:szCs w:val="24"/>
                <w:highlight w:val="none"/>
              </w:rPr>
              <w:t>分）</w:t>
            </w:r>
          </w:p>
          <w:p w14:paraId="47BA8B99">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default" w:ascii="宋体" w:hAnsi="宋体" w:eastAsia="宋体" w:cs="宋体"/>
                <w:sz w:val="24"/>
                <w:szCs w:val="24"/>
                <w:highlight w:val="none"/>
                <w:lang w:val="en-US" w:eastAsia="zh-CN"/>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2F96E84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规划背景和项目认知（5分)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48E4937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供应商提供对本项目的理解程度以及对项目所在地现状情况的整体认知，能够结合地方的管理要求和实际情况，进行项目背景解读，确保对项目的理解认识到位，工作思路清晰等，得 5分。缺项不得分。</w:t>
            </w:r>
          </w:p>
        </w:tc>
      </w:tr>
      <w:tr w14:paraId="177F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188C32D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1305" w:type="dxa"/>
            <w:vMerge w:val="continue"/>
            <w:tcBorders>
              <w:left w:val="single" w:color="000000" w:sz="4" w:space="0"/>
              <w:right w:val="single" w:color="auto" w:sz="4" w:space="0"/>
            </w:tcBorders>
            <w:noWrap w:val="0"/>
            <w:vAlign w:val="center"/>
          </w:tcPr>
          <w:p w14:paraId="5BDBC15E">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7B83D5D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服务方案（5分）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1110EEA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根据供应商对本项目服务的内容、工作程序及方法等各种保障措施进行评价：（1）方案内容齐全、清晰合理且可操作性强，能够完全满足采购需求的得 5分；（2）方案内容一般、清晰合理，可操作一般，能够基本满足采购需求 的得 3分；（3）方案与实际有偏差或者相关内容需优化后才能满足项目需求的得 1分；（4）缺项不得分。</w:t>
            </w:r>
          </w:p>
        </w:tc>
      </w:tr>
      <w:tr w14:paraId="39665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47219B8F">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1305" w:type="dxa"/>
            <w:vMerge w:val="continue"/>
            <w:tcBorders>
              <w:left w:val="single" w:color="000000" w:sz="4" w:space="0"/>
              <w:right w:val="single" w:color="auto" w:sz="4" w:space="0"/>
            </w:tcBorders>
            <w:noWrap w:val="0"/>
            <w:vAlign w:val="center"/>
          </w:tcPr>
          <w:p w14:paraId="11E727AC">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4B2777E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项目实施重点、难点、关键过程分析及对策（5分）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040CB5A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供应商对项目的工作重点、难点、关键过程进行分析，并提供应对措施的情况进行等进行评价：（1）重点、难点、过程分析针对性强、分析深刻、切实可行的得5分；（2）重点、难点、过程分析针对性较强、分析较深刻的得3分；（3）重点、难点、过程分析针对性不太强、分析不太深刻的得1分；（4）缺项不得分。</w:t>
            </w:r>
          </w:p>
        </w:tc>
      </w:tr>
      <w:tr w14:paraId="4420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03E5B1FE">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1305" w:type="dxa"/>
            <w:vMerge w:val="continue"/>
            <w:tcBorders>
              <w:left w:val="single" w:color="000000" w:sz="4" w:space="0"/>
              <w:right w:val="single" w:color="auto" w:sz="4" w:space="0"/>
            </w:tcBorders>
            <w:noWrap w:val="0"/>
            <w:vAlign w:val="center"/>
          </w:tcPr>
          <w:p w14:paraId="0CA5C7F3">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287C0FB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技术保障（5分）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7485D30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根据供应商拟投入本项目的技术人员力量、设施设备情况等，确保人员安排合理，能够保障项目的顺利完成等进行评价：（1）技术保障措施内容非常齐全、安排非常合理可行，能够完全满足招标文件要求的得 5分； （2）技术保障措施内容齐全、安排合理可行，能够基本满足招标文件要求的得 3分； （3）技术保障措施方案一般、安排可行性一般的得 1分。 （4）缺项不得分。</w:t>
            </w:r>
          </w:p>
        </w:tc>
      </w:tr>
      <w:tr w14:paraId="194F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0AC2D0D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1305" w:type="dxa"/>
            <w:vMerge w:val="continue"/>
            <w:tcBorders>
              <w:left w:val="single" w:color="000000" w:sz="4" w:space="0"/>
              <w:right w:val="single" w:color="auto" w:sz="4" w:space="0"/>
            </w:tcBorders>
            <w:noWrap w:val="0"/>
            <w:vAlign w:val="center"/>
          </w:tcPr>
          <w:p w14:paraId="1AEA5095">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47FD1AF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进度保证措施（7分）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1568827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供应商有明确的计划时间节点，能够完全满足招标文件要求的得7分。缺项不得分。</w:t>
            </w:r>
          </w:p>
        </w:tc>
      </w:tr>
      <w:tr w14:paraId="04B24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7F3844C2">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1305" w:type="dxa"/>
            <w:vMerge w:val="continue"/>
            <w:tcBorders>
              <w:left w:val="single" w:color="000000" w:sz="4" w:space="0"/>
              <w:right w:val="single" w:color="auto" w:sz="4" w:space="0"/>
            </w:tcBorders>
            <w:noWrap w:val="0"/>
            <w:vAlign w:val="center"/>
          </w:tcPr>
          <w:p w14:paraId="1EA53731">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59E55F0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质量保证措施</w:t>
            </w:r>
            <w:r>
              <w:rPr>
                <w:rFonts w:hint="eastAsia" w:ascii="宋体" w:hAnsi="宋体" w:eastAsia="宋体" w:cs="宋体"/>
                <w:color w:val="auto"/>
                <w:sz w:val="24"/>
                <w:szCs w:val="24"/>
                <w:lang w:val="zh-CN"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val="zh-CN" w:eastAsia="zh-CN"/>
              </w:rPr>
              <w:t>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008FF61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供应商对本项目服务质量保障措施清晰合理且可操作性强，能够完全满足招标文件要求的得7分。缺项不得分。</w:t>
            </w:r>
          </w:p>
        </w:tc>
      </w:tr>
      <w:tr w14:paraId="3E70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12134F19">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1305" w:type="dxa"/>
            <w:vMerge w:val="continue"/>
            <w:tcBorders>
              <w:left w:val="single" w:color="000000" w:sz="4" w:space="0"/>
              <w:right w:val="single" w:color="auto" w:sz="4" w:space="0"/>
            </w:tcBorders>
            <w:noWrap w:val="0"/>
            <w:vAlign w:val="center"/>
          </w:tcPr>
          <w:p w14:paraId="3849226A">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613FE4CB">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保密方案（6分）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68BC2A2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根据供应商对项目保密管理方案及保密措施严谨性、科学性、完全满足招标文件要求的得6分。缺项不得分。</w:t>
            </w:r>
          </w:p>
        </w:tc>
      </w:tr>
      <w:tr w14:paraId="1595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294A4AF0">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color w:val="auto"/>
                <w:sz w:val="24"/>
                <w:szCs w:val="24"/>
              </w:rPr>
            </w:pPr>
          </w:p>
        </w:tc>
        <w:tc>
          <w:tcPr>
            <w:tcW w:w="1305" w:type="dxa"/>
            <w:vMerge w:val="continue"/>
            <w:tcBorders>
              <w:left w:val="single" w:color="000000" w:sz="4" w:space="0"/>
              <w:right w:val="single" w:color="auto" w:sz="4" w:space="0"/>
            </w:tcBorders>
            <w:noWrap w:val="0"/>
            <w:vAlign w:val="center"/>
          </w:tcPr>
          <w:p w14:paraId="3B4A305F">
            <w:pPr>
              <w:keepNext w:val="0"/>
              <w:keepLines w:val="0"/>
              <w:pageBreakBefore w:val="0"/>
              <w:widowControl w:val="0"/>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sz w:val="24"/>
                <w:szCs w:val="24"/>
                <w:highlight w:val="none"/>
              </w:rPr>
            </w:pPr>
          </w:p>
        </w:tc>
        <w:tc>
          <w:tcPr>
            <w:tcW w:w="2137" w:type="dxa"/>
            <w:tcBorders>
              <w:top w:val="single" w:color="000000"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44111709">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整体方案水平（5分）</w:t>
            </w:r>
          </w:p>
        </w:tc>
        <w:tc>
          <w:tcPr>
            <w:tcW w:w="5959" w:type="dxa"/>
            <w:tcBorders>
              <w:top w:val="single" w:color="000000" w:sz="4" w:space="0"/>
              <w:left w:val="single" w:color="auto" w:sz="4" w:space="0"/>
              <w:bottom w:val="single" w:color="auto" w:sz="4" w:space="0"/>
              <w:right w:val="single" w:color="000000" w:sz="4" w:space="0"/>
            </w:tcBorders>
            <w:shd w:val="clear" w:color="auto" w:fill="auto"/>
            <w:noWrap w:val="0"/>
            <w:tcMar>
              <w:top w:w="0" w:type="dxa"/>
              <w:left w:w="113" w:type="dxa"/>
              <w:bottom w:w="0" w:type="dxa"/>
              <w:right w:w="0" w:type="dxa"/>
            </w:tcMar>
            <w:vAlign w:val="center"/>
          </w:tcPr>
          <w:p w14:paraId="02BC6AC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评标委员会根据以上“技术方案”各项主要内容是否完整科学、措施是否稳妥切合实际、计划是否周密、方案是否可行等进行综合评分：（1）“技术方案”各项主要内容完整科学、措施稳妥非常切合实际、计划周密、方案可行性高的得 5 分；（2）“技术方案”各项主要内容较为完整科学、措施较稳妥较切合实际、计划较为周密、方案可行性较高的得 3 分；（3）“技术方案”各项主要内容一般完整科学、措施一般稳妥切合实际、计划一般周密、方案可行性一般的得 1分；（4）“技术方案”各项主要内容不完整不科学、措施不稳妥不切合实际、计划不周密、方案可行性低的本项得 0.5 分。</w:t>
            </w:r>
          </w:p>
        </w:tc>
      </w:tr>
      <w:tr w14:paraId="2538B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5" w:hRule="atLeast"/>
          <w:jc w:val="center"/>
        </w:trPr>
        <w:tc>
          <w:tcPr>
            <w:tcW w:w="1146" w:type="dxa"/>
            <w:vMerge w:val="restart"/>
            <w:tcBorders>
              <w:top w:val="single" w:color="000000" w:sz="4" w:space="0"/>
              <w:left w:val="single" w:color="000000" w:sz="4" w:space="0"/>
              <w:right w:val="single" w:color="000000" w:sz="4" w:space="0"/>
            </w:tcBorders>
            <w:noWrap w:val="0"/>
            <w:vAlign w:val="center"/>
          </w:tcPr>
          <w:p w14:paraId="43432FB1">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2.2.2</w:t>
            </w:r>
          </w:p>
          <w:p w14:paraId="57FEEDCA">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w:t>
            </w:r>
          </w:p>
          <w:p w14:paraId="235C206D">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szCs w:val="24"/>
              </w:rPr>
            </w:pPr>
          </w:p>
        </w:tc>
        <w:tc>
          <w:tcPr>
            <w:tcW w:w="1305" w:type="dxa"/>
            <w:vMerge w:val="restart"/>
            <w:tcBorders>
              <w:top w:val="single" w:color="000000" w:sz="4" w:space="0"/>
              <w:left w:val="single" w:color="000000" w:sz="4" w:space="0"/>
              <w:right w:val="single" w:color="auto" w:sz="4" w:space="0"/>
            </w:tcBorders>
            <w:noWrap w:val="0"/>
            <w:vAlign w:val="center"/>
          </w:tcPr>
          <w:p w14:paraId="244B83CB">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综合标</w:t>
            </w:r>
          </w:p>
          <w:p w14:paraId="5D7B3EC8">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评分标准</w:t>
            </w:r>
          </w:p>
          <w:p w14:paraId="08F63ED4">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0" w:firstLineChars="10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40</w:t>
            </w:r>
            <w:r>
              <w:rPr>
                <w:rFonts w:hint="eastAsia" w:ascii="宋体" w:hAnsi="宋体" w:eastAsia="宋体" w:cs="宋体"/>
                <w:color w:val="auto"/>
                <w:sz w:val="24"/>
                <w:szCs w:val="24"/>
              </w:rPr>
              <w:t>分）</w:t>
            </w:r>
          </w:p>
          <w:p w14:paraId="2A5DFD17">
            <w:pPr>
              <w:keepNext w:val="0"/>
              <w:keepLines w:val="0"/>
              <w:pageBreakBefore w:val="0"/>
              <w:widowControl w:val="0"/>
              <w:tabs>
                <w:tab w:val="left" w:pos="-191"/>
              </w:tabs>
              <w:kinsoku/>
              <w:wordWrap/>
              <w:overflowPunct/>
              <w:topLinePunct w:val="0"/>
              <w:autoSpaceDE/>
              <w:autoSpaceDN/>
              <w:bidi w:val="0"/>
              <w:adjustRightInd/>
              <w:snapToGrid/>
              <w:spacing w:line="500" w:lineRule="exact"/>
              <w:ind w:left="0" w:leftChars="0" w:firstLine="240" w:firstLineChars="100"/>
              <w:jc w:val="center"/>
              <w:textAlignment w:val="auto"/>
              <w:rPr>
                <w:rFonts w:hint="default" w:ascii="宋体" w:hAnsi="宋体" w:eastAsia="宋体" w:cs="宋体"/>
                <w:color w:val="auto"/>
                <w:sz w:val="24"/>
                <w:szCs w:val="24"/>
                <w:lang w:val="en-US" w:eastAsia="zh-CN"/>
              </w:rPr>
            </w:pPr>
          </w:p>
        </w:tc>
        <w:tc>
          <w:tcPr>
            <w:tcW w:w="213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70DB52E5">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企业业绩（15分）</w:t>
            </w:r>
          </w:p>
        </w:tc>
        <w:tc>
          <w:tcPr>
            <w:tcW w:w="5959"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4ABEBE0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供应商自2023年1月1日以来承担过国土空间规划、国土空间总体规划动态完善类项目业绩，每提供一份得3分，本项最多得 15分。</w:t>
            </w:r>
          </w:p>
          <w:p w14:paraId="10FC30C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注：投标文件中需附合同原件扫描件，时间以合同签订时间为准，未提供的不得分。</w:t>
            </w:r>
          </w:p>
        </w:tc>
      </w:tr>
      <w:tr w14:paraId="4DB8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1E85E70D">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firstLine="420" w:firstLineChars="200"/>
              <w:jc w:val="both"/>
              <w:textAlignment w:val="auto"/>
              <w:rPr>
                <w:rFonts w:hint="eastAsia" w:ascii="宋体" w:hAnsi="宋体" w:eastAsia="宋体" w:cs="宋体"/>
                <w:kern w:val="2"/>
                <w:sz w:val="21"/>
                <w:szCs w:val="22"/>
                <w:lang w:val="en-US" w:eastAsia="zh-CN" w:bidi="ar-SA"/>
              </w:rPr>
            </w:pPr>
          </w:p>
        </w:tc>
        <w:tc>
          <w:tcPr>
            <w:tcW w:w="1305" w:type="dxa"/>
            <w:vMerge w:val="continue"/>
            <w:tcBorders>
              <w:left w:val="single" w:color="000000" w:sz="4" w:space="0"/>
              <w:right w:val="single" w:color="auto" w:sz="4" w:space="0"/>
            </w:tcBorders>
            <w:noWrap w:val="0"/>
            <w:vAlign w:val="center"/>
          </w:tcPr>
          <w:p w14:paraId="771C0F89">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firstLine="420" w:firstLineChars="200"/>
              <w:jc w:val="both"/>
              <w:textAlignment w:val="auto"/>
              <w:rPr>
                <w:rFonts w:hint="eastAsia" w:ascii="宋体" w:hAnsi="宋体" w:eastAsia="宋体" w:cs="宋体"/>
                <w:color w:val="auto"/>
                <w:kern w:val="2"/>
                <w:sz w:val="21"/>
                <w:szCs w:val="22"/>
                <w:lang w:val="en-US" w:eastAsia="zh-CN" w:bidi="ar-SA"/>
              </w:rPr>
            </w:pPr>
          </w:p>
        </w:tc>
        <w:tc>
          <w:tcPr>
            <w:tcW w:w="213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498CB09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企业人员配备</w:t>
            </w:r>
          </w:p>
          <w:p w14:paraId="2C86AAA6">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（17分）</w:t>
            </w:r>
          </w:p>
        </w:tc>
        <w:tc>
          <w:tcPr>
            <w:tcW w:w="5959"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14364B7F">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目组成员（除项目负责人外）具有中级及以上职称的，每提供一名有效的成员得1分，具有副高级及以上职称且具有中国城市规划协会核发有效的注册城乡规划师注册证书，注册执业单位与投标单位一致，处于注册有效期内；每提供一名有效的成员得3分，本项最高得17分。</w:t>
            </w:r>
          </w:p>
          <w:p w14:paraId="3B047152">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注：一人多证不重复计算，按高等级计。以上人员为本单位人员，需提供2026年1月1日以来本单位为其缴纳的任意1个月社保证明。</w:t>
            </w:r>
          </w:p>
        </w:tc>
      </w:tr>
      <w:tr w14:paraId="142E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19E1FD44">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firstLine="420" w:firstLineChars="200"/>
              <w:jc w:val="both"/>
              <w:textAlignment w:val="auto"/>
              <w:rPr>
                <w:rFonts w:hint="eastAsia" w:ascii="宋体" w:hAnsi="宋体" w:eastAsia="宋体" w:cs="宋体"/>
                <w:kern w:val="2"/>
                <w:sz w:val="21"/>
                <w:szCs w:val="22"/>
                <w:lang w:val="en-US" w:eastAsia="zh-CN" w:bidi="ar-SA"/>
              </w:rPr>
            </w:pPr>
          </w:p>
        </w:tc>
        <w:tc>
          <w:tcPr>
            <w:tcW w:w="1305" w:type="dxa"/>
            <w:vMerge w:val="continue"/>
            <w:tcBorders>
              <w:left w:val="single" w:color="000000" w:sz="4" w:space="0"/>
              <w:right w:val="single" w:color="auto" w:sz="4" w:space="0"/>
            </w:tcBorders>
            <w:noWrap w:val="0"/>
            <w:vAlign w:val="center"/>
          </w:tcPr>
          <w:p w14:paraId="0C9AC631">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firstLine="420" w:firstLineChars="200"/>
              <w:jc w:val="both"/>
              <w:textAlignment w:val="auto"/>
              <w:rPr>
                <w:rFonts w:hint="eastAsia" w:ascii="宋体" w:hAnsi="宋体" w:eastAsia="宋体" w:cs="宋体"/>
                <w:color w:val="auto"/>
                <w:kern w:val="2"/>
                <w:sz w:val="21"/>
                <w:szCs w:val="22"/>
                <w:lang w:val="en-US" w:eastAsia="zh-CN" w:bidi="ar-SA"/>
              </w:rPr>
            </w:pPr>
          </w:p>
        </w:tc>
        <w:tc>
          <w:tcPr>
            <w:tcW w:w="213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0162C698">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企业实力</w:t>
            </w:r>
          </w:p>
          <w:p w14:paraId="6A2B303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（6分）</w:t>
            </w:r>
          </w:p>
        </w:tc>
        <w:tc>
          <w:tcPr>
            <w:tcW w:w="5959"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3B2ABF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供应商具有有效内的环境管理体系认证证书、职业健康安全管理体系认证证书、质量管理体系认证证书、信息安全管理体系认证证书，每提供一项得1.5分，满分6分。</w:t>
            </w:r>
          </w:p>
          <w:p w14:paraId="61BC0DF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注：提供有效期内的认证证书扫描件并加盖单位公章，同时提供在“全国认证认可信息公共服务平台”证书查询截图，未提供的不得分。</w:t>
            </w:r>
          </w:p>
        </w:tc>
      </w:tr>
      <w:tr w14:paraId="2DBDD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jc w:val="center"/>
        </w:trPr>
        <w:tc>
          <w:tcPr>
            <w:tcW w:w="1146" w:type="dxa"/>
            <w:vMerge w:val="continue"/>
            <w:tcBorders>
              <w:left w:val="single" w:color="000000" w:sz="4" w:space="0"/>
              <w:right w:val="single" w:color="000000" w:sz="4" w:space="0"/>
            </w:tcBorders>
            <w:noWrap w:val="0"/>
            <w:vAlign w:val="center"/>
          </w:tcPr>
          <w:p w14:paraId="6C61F7AA">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firstLine="420" w:firstLineChars="200"/>
              <w:jc w:val="both"/>
              <w:textAlignment w:val="auto"/>
              <w:rPr>
                <w:rFonts w:hint="eastAsia" w:ascii="宋体" w:hAnsi="宋体" w:eastAsia="宋体" w:cs="宋体"/>
                <w:kern w:val="2"/>
                <w:sz w:val="21"/>
                <w:szCs w:val="22"/>
                <w:lang w:val="en-US" w:eastAsia="zh-CN" w:bidi="ar-SA"/>
              </w:rPr>
            </w:pPr>
          </w:p>
        </w:tc>
        <w:tc>
          <w:tcPr>
            <w:tcW w:w="1305" w:type="dxa"/>
            <w:vMerge w:val="continue"/>
            <w:tcBorders>
              <w:left w:val="single" w:color="000000" w:sz="4" w:space="0"/>
              <w:right w:val="single" w:color="auto" w:sz="4" w:space="0"/>
            </w:tcBorders>
            <w:noWrap w:val="0"/>
            <w:vAlign w:val="center"/>
          </w:tcPr>
          <w:p w14:paraId="6AFD63E8">
            <w:pPr>
              <w:keepNext w:val="0"/>
              <w:keepLines w:val="0"/>
              <w:pageBreakBefore w:val="0"/>
              <w:widowControl w:val="0"/>
              <w:kinsoku/>
              <w:wordWrap/>
              <w:overflowPunct/>
              <w:topLinePunct w:val="0"/>
              <w:autoSpaceDE/>
              <w:autoSpaceDN/>
              <w:bidi w:val="0"/>
              <w:adjustRightInd/>
              <w:snapToGrid/>
              <w:spacing w:after="120" w:afterLines="0" w:afterAutospacing="0" w:line="500" w:lineRule="exact"/>
              <w:ind w:firstLine="420" w:firstLineChars="200"/>
              <w:jc w:val="both"/>
              <w:textAlignment w:val="auto"/>
              <w:rPr>
                <w:rFonts w:hint="eastAsia" w:ascii="宋体" w:hAnsi="宋体" w:eastAsia="宋体" w:cs="宋体"/>
                <w:color w:val="auto"/>
                <w:kern w:val="2"/>
                <w:sz w:val="21"/>
                <w:szCs w:val="22"/>
                <w:lang w:val="en-US" w:eastAsia="zh-CN" w:bidi="ar-SA"/>
              </w:rPr>
            </w:pPr>
          </w:p>
        </w:tc>
        <w:tc>
          <w:tcPr>
            <w:tcW w:w="2137"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39D9E9F1">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服务承诺</w:t>
            </w:r>
          </w:p>
          <w:p w14:paraId="34A53724">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（2分）</w:t>
            </w:r>
          </w:p>
        </w:tc>
        <w:tc>
          <w:tcPr>
            <w:tcW w:w="5959" w:type="dxa"/>
            <w:tcBorders>
              <w:top w:val="single" w:color="auto" w:sz="4" w:space="0"/>
              <w:left w:val="single" w:color="auto" w:sz="4" w:space="0"/>
              <w:bottom w:val="single" w:color="auto" w:sz="4" w:space="0"/>
              <w:right w:val="single" w:color="auto" w:sz="4" w:space="0"/>
            </w:tcBorders>
            <w:shd w:val="clear" w:color="auto" w:fill="auto"/>
            <w:noWrap w:val="0"/>
            <w:tcMar>
              <w:top w:w="0" w:type="dxa"/>
              <w:left w:w="113" w:type="dxa"/>
              <w:bottom w:w="0" w:type="dxa"/>
              <w:right w:w="0" w:type="dxa"/>
            </w:tcMar>
            <w:vAlign w:val="center"/>
          </w:tcPr>
          <w:p w14:paraId="7123350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承诺在接到采购人通知后2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小时内到达采购人指定地点开展技术服务的得</w:t>
            </w:r>
            <w:r>
              <w:rPr>
                <w:rFonts w:hint="eastAsia" w:ascii="宋体" w:hAnsi="宋体" w:eastAsia="宋体" w:cs="宋体"/>
                <w:color w:val="auto"/>
                <w:sz w:val="24"/>
                <w:szCs w:val="24"/>
                <w:highlight w:val="none"/>
                <w:lang w:val="en-US"/>
              </w:rPr>
              <w:t>2</w:t>
            </w:r>
            <w:r>
              <w:rPr>
                <w:rFonts w:hint="eastAsia" w:ascii="宋体" w:hAnsi="宋体" w:eastAsia="宋体" w:cs="宋体"/>
                <w:color w:val="auto"/>
                <w:sz w:val="24"/>
                <w:szCs w:val="24"/>
                <w:highlight w:val="none"/>
              </w:rPr>
              <w:t>分。</w:t>
            </w:r>
          </w:p>
          <w:p w14:paraId="76F9F6F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提供承诺函，格式自拟，否则不得分。</w:t>
            </w:r>
          </w:p>
        </w:tc>
      </w:tr>
    </w:tbl>
    <w:p w14:paraId="0B7EEBD4">
      <w:pPr>
        <w:rPr>
          <w:rFonts w:hint="eastAsia" w:ascii="宋体" w:hAnsi="宋体" w:eastAsia="宋体" w:cs="宋体"/>
          <w:color w:val="auto"/>
        </w:rPr>
        <w:sectPr>
          <w:footerReference r:id="rId5" w:type="default"/>
          <w:pgSz w:w="11905" w:h="16838"/>
          <w:pgMar w:top="1213" w:right="1236" w:bottom="1270" w:left="1236" w:header="340" w:footer="850" w:gutter="0"/>
          <w:pgBorders>
            <w:top w:val="none" w:sz="0" w:space="0"/>
            <w:left w:val="none" w:sz="0" w:space="0"/>
            <w:bottom w:val="none" w:sz="0" w:space="0"/>
            <w:right w:val="none" w:sz="0" w:space="0"/>
          </w:pgBorders>
          <w:pgNumType w:fmt="decimal"/>
          <w:cols w:space="720" w:num="1"/>
          <w:rtlGutter w:val="0"/>
          <w:docGrid w:type="lines" w:linePitch="349" w:charSpace="0"/>
        </w:sectPr>
      </w:pPr>
      <w:bookmarkStart w:id="984" w:name="_Toc144974567"/>
      <w:bookmarkStart w:id="985" w:name="_Toc281405528"/>
      <w:bookmarkStart w:id="986" w:name="_Toc31578"/>
      <w:bookmarkStart w:id="987" w:name="_Toc318450722"/>
      <w:bookmarkStart w:id="988" w:name="_Toc152042377"/>
      <w:bookmarkStart w:id="989" w:name="_Toc152045600"/>
    </w:p>
    <w:p w14:paraId="4814A7B7">
      <w:pPr>
        <w:pageBreakBefore w:val="0"/>
        <w:widowControl w:val="0"/>
        <w:numPr>
          <w:ilvl w:val="0"/>
          <w:numId w:val="2"/>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24"/>
        </w:rPr>
      </w:pPr>
      <w:bookmarkStart w:id="990" w:name="_Toc20676"/>
      <w:bookmarkStart w:id="991" w:name="_Toc19942"/>
      <w:bookmarkStart w:id="992" w:name="_Toc8590"/>
      <w:r>
        <w:rPr>
          <w:rFonts w:hint="eastAsia" w:ascii="宋体" w:hAnsi="宋体" w:eastAsia="宋体" w:cs="宋体"/>
          <w:b/>
          <w:bCs/>
          <w:color w:val="auto"/>
          <w:sz w:val="24"/>
          <w:szCs w:val="24"/>
        </w:rPr>
        <w:t>评审方法</w:t>
      </w:r>
      <w:bookmarkEnd w:id="984"/>
      <w:bookmarkEnd w:id="985"/>
      <w:bookmarkEnd w:id="986"/>
      <w:bookmarkEnd w:id="987"/>
      <w:bookmarkEnd w:id="988"/>
      <w:bookmarkEnd w:id="989"/>
      <w:bookmarkEnd w:id="990"/>
      <w:bookmarkEnd w:id="991"/>
      <w:bookmarkEnd w:id="992"/>
    </w:p>
    <w:p w14:paraId="56E89B4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lang w:bidi="en-US"/>
        </w:rPr>
      </w:pPr>
      <w:r>
        <w:rPr>
          <w:rFonts w:hint="eastAsia" w:ascii="宋体" w:hAnsi="宋体" w:eastAsia="宋体" w:cs="宋体"/>
          <w:color w:val="auto"/>
          <w:sz w:val="24"/>
          <w:szCs w:val="24"/>
          <w:lang w:val="en-US" w:eastAsia="zh-CN" w:bidi="en-US"/>
        </w:rPr>
        <w:t>1.1</w:t>
      </w:r>
      <w:r>
        <w:rPr>
          <w:rFonts w:hint="eastAsia" w:ascii="宋体" w:hAnsi="宋体" w:eastAsia="宋体" w:cs="宋体"/>
          <w:color w:val="auto"/>
          <w:sz w:val="24"/>
          <w:szCs w:val="24"/>
          <w:lang w:bidi="en-US"/>
        </w:rPr>
        <w:t>本次评审采用综合评分法。</w:t>
      </w:r>
    </w:p>
    <w:p w14:paraId="239F754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lang w:bidi="en-US"/>
        </w:rPr>
        <w:t>磋商小组对满足</w:t>
      </w:r>
      <w:r>
        <w:rPr>
          <w:rFonts w:hint="eastAsia" w:ascii="宋体" w:hAnsi="宋体" w:eastAsia="宋体" w:cs="宋体"/>
          <w:color w:val="auto"/>
          <w:sz w:val="24"/>
          <w:szCs w:val="24"/>
          <w:lang w:eastAsia="zh-CN" w:bidi="en-US"/>
        </w:rPr>
        <w:t>竞争性磋商文件</w:t>
      </w:r>
      <w:r>
        <w:rPr>
          <w:rFonts w:hint="eastAsia" w:ascii="宋体" w:hAnsi="宋体" w:eastAsia="宋体" w:cs="宋体"/>
          <w:color w:val="auto"/>
          <w:sz w:val="24"/>
          <w:szCs w:val="24"/>
          <w:lang w:bidi="en-US"/>
        </w:rPr>
        <w:t>实质性要求的响应文件</w:t>
      </w:r>
      <w:r>
        <w:rPr>
          <w:rFonts w:hint="eastAsia" w:ascii="宋体" w:hAnsi="宋体" w:eastAsia="宋体" w:cs="宋体"/>
          <w:color w:val="auto"/>
          <w:sz w:val="24"/>
          <w:szCs w:val="24"/>
        </w:rPr>
        <w:t>，按照本章规定的评分标准进行打分，并按得分由高到低顺序推荐成交候选人，</w:t>
      </w:r>
      <w:r>
        <w:rPr>
          <w:rFonts w:hint="eastAsia" w:ascii="宋体" w:hAnsi="宋体" w:eastAsia="宋体" w:cs="宋体"/>
          <w:color w:val="auto"/>
          <w:kern w:val="0"/>
          <w:sz w:val="24"/>
          <w:szCs w:val="24"/>
        </w:rPr>
        <w:t>综合评分相等时，以报价得分高的优先；报价得分也相等的，由采购人自行确定。</w:t>
      </w:r>
      <w:bookmarkStart w:id="993" w:name="_Toc24936"/>
      <w:bookmarkStart w:id="994" w:name="_Toc281405529"/>
      <w:bookmarkStart w:id="995" w:name="_Toc29362"/>
      <w:bookmarkStart w:id="996" w:name="_Toc152042378"/>
      <w:bookmarkStart w:id="997" w:name="_Toc144974568"/>
      <w:bookmarkStart w:id="998" w:name="_Toc455080157"/>
      <w:bookmarkStart w:id="999" w:name="_Toc20837"/>
      <w:bookmarkStart w:id="1000" w:name="_Toc26131"/>
      <w:bookmarkStart w:id="1001" w:name="_Toc466298140"/>
      <w:bookmarkStart w:id="1002" w:name="_Toc318450723"/>
      <w:bookmarkStart w:id="1003" w:name="_Toc455867817"/>
      <w:bookmarkStart w:id="1004" w:name="_Toc6612"/>
      <w:bookmarkStart w:id="1005" w:name="_Toc152045601"/>
      <w:bookmarkStart w:id="1006" w:name="_Toc490667876"/>
    </w:p>
    <w:p w14:paraId="6AFD441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8"/>
          <w:lang w:val="en-US" w:eastAsia="zh-CN"/>
        </w:rPr>
      </w:pPr>
      <w:r>
        <w:rPr>
          <w:rFonts w:hint="eastAsia" w:ascii="宋体" w:hAnsi="宋体" w:eastAsia="宋体" w:cs="宋体"/>
          <w:color w:val="auto"/>
          <w:kern w:val="0"/>
          <w:sz w:val="24"/>
          <w:szCs w:val="24"/>
          <w:lang w:val="en-US" w:eastAsia="zh-CN"/>
        </w:rPr>
        <w:t>1.2</w:t>
      </w:r>
      <w:r>
        <w:rPr>
          <w:rFonts w:hint="eastAsia" w:ascii="宋体" w:hAnsi="宋体" w:eastAsia="宋体" w:cs="宋体"/>
          <w:color w:val="000000"/>
          <w:sz w:val="24"/>
          <w:szCs w:val="24"/>
        </w:rPr>
        <w:t>经评标委员会初步评审后有效投标不足3个的，评标委员会应予废标。</w:t>
      </w:r>
    </w:p>
    <w:p w14:paraId="3987F44D">
      <w:pPr>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评审标准</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Start w:id="1007" w:name="_Toc455867818"/>
      <w:bookmarkStart w:id="1008" w:name="_Toc281405530"/>
      <w:bookmarkStart w:id="1009" w:name="_Toc152042379"/>
      <w:bookmarkStart w:id="1010" w:name="_Toc19934"/>
      <w:bookmarkStart w:id="1011" w:name="_Toc11223"/>
      <w:bookmarkStart w:id="1012" w:name="_Toc455080158"/>
      <w:bookmarkStart w:id="1013" w:name="_Toc21120"/>
      <w:bookmarkStart w:id="1014" w:name="_Toc466298141"/>
      <w:bookmarkStart w:id="1015" w:name="_Toc6711"/>
      <w:bookmarkStart w:id="1016" w:name="_Toc152045602"/>
      <w:bookmarkStart w:id="1017" w:name="_Toc25637"/>
      <w:bookmarkStart w:id="1018" w:name="_Toc318450724"/>
      <w:bookmarkStart w:id="1019" w:name="_Toc31037"/>
      <w:bookmarkStart w:id="1020" w:name="_Toc24558"/>
      <w:bookmarkStart w:id="1021" w:name="_Toc15813"/>
      <w:bookmarkStart w:id="1022" w:name="_Toc144974569"/>
      <w:bookmarkStart w:id="1023" w:name="_Toc490667877"/>
      <w:bookmarkStart w:id="1024" w:name="_Toc2867"/>
    </w:p>
    <w:p w14:paraId="21529D6C">
      <w:pPr>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2.1 初步评审标准</w:t>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1E68E78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2.1.1 资格检查评审标准：见评审办法前附表。</w:t>
      </w:r>
    </w:p>
    <w:p w14:paraId="4F91386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符合</w:t>
      </w:r>
      <w:r>
        <w:rPr>
          <w:rFonts w:hint="eastAsia" w:ascii="宋体" w:hAnsi="宋体" w:eastAsia="宋体" w:cs="宋体"/>
          <w:color w:val="auto"/>
          <w:sz w:val="24"/>
          <w:szCs w:val="24"/>
        </w:rPr>
        <w:t>性检查评审标准：见评审办法前附表。</w:t>
      </w:r>
    </w:p>
    <w:p w14:paraId="694284BD">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1025" w:name="_Toc490667878"/>
      <w:bookmarkStart w:id="1026" w:name="_Toc318450725"/>
      <w:bookmarkStart w:id="1027" w:name="_Toc466298142"/>
      <w:bookmarkStart w:id="1028" w:name="_Toc12013"/>
      <w:bookmarkStart w:id="1029" w:name="_Toc30189"/>
      <w:bookmarkStart w:id="1030" w:name="_Toc30479"/>
      <w:bookmarkStart w:id="1031" w:name="_Toc455080159"/>
      <w:bookmarkStart w:id="1032" w:name="_Toc144974570"/>
      <w:bookmarkStart w:id="1033" w:name="_Toc152045603"/>
      <w:bookmarkStart w:id="1034" w:name="_Toc7284"/>
      <w:bookmarkStart w:id="1035" w:name="_Toc26179"/>
      <w:bookmarkStart w:id="1036" w:name="_Toc25492"/>
      <w:bookmarkStart w:id="1037" w:name="_Toc4136"/>
      <w:bookmarkStart w:id="1038" w:name="_Toc455867819"/>
      <w:bookmarkStart w:id="1039" w:name="_Toc24825"/>
      <w:bookmarkStart w:id="1040" w:name="_Toc9662"/>
      <w:bookmarkStart w:id="1041" w:name="_Toc11061"/>
      <w:bookmarkStart w:id="1042" w:name="_Toc152042380"/>
      <w:bookmarkStart w:id="1043" w:name="_Toc22439"/>
      <w:bookmarkStart w:id="1044" w:name="_Toc21970"/>
      <w:bookmarkStart w:id="1045" w:name="_Toc281405531"/>
      <w:r>
        <w:rPr>
          <w:rFonts w:hint="eastAsia" w:ascii="宋体" w:hAnsi="宋体" w:eastAsia="宋体" w:cs="宋体"/>
          <w:b/>
          <w:bCs/>
          <w:color w:val="auto"/>
          <w:kern w:val="2"/>
          <w:sz w:val="24"/>
          <w:szCs w:val="24"/>
          <w:lang w:val="en-US" w:eastAsia="zh-CN" w:bidi="ar-SA"/>
        </w:rPr>
        <w:t>2.2 分值构成与评分标准</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14:paraId="0794088D">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（1）商务标：见评审办法前附表；</w:t>
      </w:r>
    </w:p>
    <w:p w14:paraId="15D6389C">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（2）技术标：见评审办法前附表；</w:t>
      </w:r>
    </w:p>
    <w:p w14:paraId="7818E2B1">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（3）综合标：见评审办法前附表。</w:t>
      </w:r>
    </w:p>
    <w:p w14:paraId="732F8FEE">
      <w:pPr>
        <w:keepNext/>
        <w:keepLines/>
        <w:pageBreakBefore w:val="0"/>
        <w:widowControl w:val="0"/>
        <w:numPr>
          <w:ilvl w:val="1"/>
          <w:numId w:val="0"/>
        </w:numPr>
        <w:kinsoku/>
        <w:wordWrap/>
        <w:overflowPunct/>
        <w:topLinePunct w:val="0"/>
        <w:autoSpaceDE/>
        <w:autoSpaceDN/>
        <w:bidi w:val="0"/>
        <w:adjustRightInd/>
        <w:snapToGrid/>
        <w:spacing w:before="0" w:beforeLines="0" w:after="0" w:afterLines="0" w:line="500" w:lineRule="exact"/>
        <w:ind w:firstLine="482" w:firstLineChars="200"/>
        <w:jc w:val="both"/>
        <w:textAlignment w:val="auto"/>
        <w:outlineLvl w:val="1"/>
        <w:rPr>
          <w:rFonts w:hint="eastAsia" w:ascii="宋体" w:hAnsi="宋体" w:eastAsia="宋体" w:cs="宋体"/>
          <w:b/>
          <w:bCs/>
          <w:color w:val="auto"/>
          <w:kern w:val="2"/>
          <w:sz w:val="24"/>
          <w:szCs w:val="24"/>
          <w:lang w:val="en-US" w:eastAsia="zh-CN" w:bidi="ar-SA"/>
        </w:rPr>
      </w:pPr>
      <w:bookmarkStart w:id="1046" w:name="_Toc17308"/>
      <w:bookmarkStart w:id="1047" w:name="_Toc32314"/>
      <w:bookmarkStart w:id="1048" w:name="_Toc318450726"/>
      <w:bookmarkStart w:id="1049" w:name="_Toc16479"/>
      <w:bookmarkStart w:id="1050" w:name="_Toc29233"/>
      <w:bookmarkStart w:id="1051" w:name="_Toc490667879"/>
      <w:bookmarkStart w:id="1052" w:name="_Toc5270"/>
      <w:bookmarkStart w:id="1053" w:name="_Toc281405532"/>
      <w:bookmarkStart w:id="1054" w:name="_Toc26113"/>
      <w:bookmarkStart w:id="1055" w:name="_Toc455867820"/>
      <w:bookmarkStart w:id="1056" w:name="_Toc466298143"/>
      <w:bookmarkStart w:id="1057" w:name="_Toc18127"/>
      <w:bookmarkStart w:id="1058" w:name="_Toc455080160"/>
      <w:bookmarkStart w:id="1059" w:name="_Toc29297"/>
      <w:r>
        <w:rPr>
          <w:rFonts w:hint="eastAsia" w:ascii="宋体" w:hAnsi="宋体" w:eastAsia="宋体" w:cs="宋体"/>
          <w:b/>
          <w:bCs/>
          <w:color w:val="auto"/>
          <w:kern w:val="2"/>
          <w:sz w:val="24"/>
          <w:szCs w:val="24"/>
          <w:lang w:val="en-US" w:eastAsia="zh-CN" w:bidi="ar-SA"/>
        </w:rPr>
        <w:t>3. 评审程序</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p>
    <w:p w14:paraId="52C0C10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1060" w:name="_Toc318450727"/>
      <w:bookmarkStart w:id="1061" w:name="_Toc14633"/>
      <w:bookmarkStart w:id="1062" w:name="_Toc455080161"/>
      <w:bookmarkStart w:id="1063" w:name="_Toc7272"/>
      <w:bookmarkStart w:id="1064" w:name="_Toc16892"/>
      <w:bookmarkStart w:id="1065" w:name="_Toc29614"/>
      <w:bookmarkStart w:id="1066" w:name="_Toc29092"/>
      <w:bookmarkStart w:id="1067" w:name="_Toc18886"/>
      <w:bookmarkStart w:id="1068" w:name="_Toc466298144"/>
      <w:bookmarkStart w:id="1069" w:name="_Toc5427"/>
      <w:bookmarkStart w:id="1070" w:name="_Toc23936"/>
      <w:bookmarkStart w:id="1071" w:name="_Toc455867821"/>
      <w:bookmarkStart w:id="1072" w:name="_Toc25798"/>
      <w:bookmarkStart w:id="1073" w:name="_Toc22972"/>
      <w:bookmarkStart w:id="1074" w:name="_Toc281405533"/>
      <w:bookmarkStart w:id="1075" w:name="_Toc9433"/>
      <w:bookmarkStart w:id="1076" w:name="_Toc30986"/>
      <w:bookmarkStart w:id="1077" w:name="_Toc2410"/>
      <w:bookmarkStart w:id="1078" w:name="_Toc490667880"/>
      <w:r>
        <w:rPr>
          <w:rFonts w:hint="eastAsia" w:ascii="宋体" w:hAnsi="宋体" w:eastAsia="宋体" w:cs="宋体"/>
          <w:b/>
          <w:bCs/>
          <w:color w:val="auto"/>
          <w:kern w:val="2"/>
          <w:sz w:val="24"/>
          <w:szCs w:val="24"/>
          <w:lang w:val="en-US" w:eastAsia="zh-CN" w:bidi="ar-SA"/>
        </w:rPr>
        <w:t>3.1 初步评审</w:t>
      </w:r>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p w14:paraId="05CC6B66">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bCs/>
          <w:color w:val="000000"/>
          <w:sz w:val="24"/>
          <w:szCs w:val="24"/>
        </w:rPr>
      </w:pPr>
      <w:bookmarkStart w:id="1079" w:name="_Toc21570"/>
      <w:bookmarkStart w:id="1080" w:name="_Toc22101"/>
      <w:bookmarkStart w:id="1081" w:name="_Toc281405534"/>
      <w:bookmarkStart w:id="1082" w:name="_Toc455080162"/>
      <w:bookmarkStart w:id="1083" w:name="_Toc10692"/>
      <w:bookmarkStart w:id="1084" w:name="_Toc490667881"/>
      <w:bookmarkStart w:id="1085" w:name="_Toc21032"/>
      <w:bookmarkStart w:id="1086" w:name="_Toc16964"/>
      <w:bookmarkStart w:id="1087" w:name="_Toc7121"/>
      <w:bookmarkStart w:id="1088" w:name="_Toc26049"/>
      <w:bookmarkStart w:id="1089" w:name="_Toc466298145"/>
      <w:bookmarkStart w:id="1090" w:name="_Toc13386"/>
      <w:bookmarkStart w:id="1091" w:name="_Toc26280"/>
      <w:bookmarkStart w:id="1092" w:name="_Toc12406"/>
      <w:bookmarkStart w:id="1093" w:name="_Toc455867822"/>
      <w:bookmarkStart w:id="1094" w:name="_Toc318450728"/>
      <w:r>
        <w:rPr>
          <w:rFonts w:hint="eastAsia" w:ascii="宋体" w:hAnsi="宋体" w:eastAsia="宋体" w:cs="宋体"/>
          <w:color w:val="000000"/>
          <w:sz w:val="24"/>
          <w:szCs w:val="24"/>
        </w:rPr>
        <w:t>3.1.1只有通过资格审查的</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才能进入</w:t>
      </w:r>
      <w:r>
        <w:rPr>
          <w:rFonts w:hint="eastAsia" w:ascii="宋体" w:hAnsi="宋体" w:eastAsia="宋体" w:cs="宋体"/>
          <w:color w:val="000000"/>
          <w:sz w:val="24"/>
          <w:szCs w:val="24"/>
          <w:lang w:eastAsia="zh-CN"/>
        </w:rPr>
        <w:t>符合性评审</w:t>
      </w:r>
      <w:r>
        <w:rPr>
          <w:rFonts w:hint="eastAsia" w:ascii="宋体" w:hAnsi="宋体" w:eastAsia="宋体" w:cs="宋体"/>
          <w:color w:val="000000"/>
          <w:sz w:val="24"/>
          <w:szCs w:val="24"/>
        </w:rPr>
        <w:t>。评标委员会依据</w:t>
      </w:r>
      <w:r>
        <w:rPr>
          <w:rFonts w:hint="eastAsia" w:ascii="宋体" w:hAnsi="宋体" w:eastAsia="宋体" w:cs="宋体"/>
          <w:color w:val="000000"/>
          <w:sz w:val="24"/>
          <w:szCs w:val="24"/>
          <w:lang w:val="en-US" w:eastAsia="zh-CN"/>
        </w:rPr>
        <w:t>2.1.2</w:t>
      </w:r>
      <w:r>
        <w:rPr>
          <w:rFonts w:hint="eastAsia" w:ascii="宋体" w:hAnsi="宋体" w:eastAsia="宋体" w:cs="宋体"/>
          <w:color w:val="000000"/>
          <w:sz w:val="24"/>
          <w:szCs w:val="24"/>
        </w:rPr>
        <w:t>规定的内容和标准对</w:t>
      </w:r>
      <w:r>
        <w:rPr>
          <w:rFonts w:hint="eastAsia" w:ascii="宋体" w:hAnsi="宋体" w:eastAsia="宋体" w:cs="宋体"/>
          <w:color w:val="000000"/>
          <w:sz w:val="24"/>
          <w:szCs w:val="24"/>
          <w:lang w:eastAsia="zh-CN"/>
        </w:rPr>
        <w:t>响应</w:t>
      </w:r>
      <w:r>
        <w:rPr>
          <w:rFonts w:hint="eastAsia" w:ascii="宋体" w:hAnsi="宋体" w:eastAsia="宋体" w:cs="宋体"/>
          <w:color w:val="000000"/>
          <w:sz w:val="24"/>
          <w:szCs w:val="24"/>
        </w:rPr>
        <w:t>文件进行</w:t>
      </w:r>
      <w:r>
        <w:rPr>
          <w:rFonts w:hint="eastAsia" w:ascii="宋体" w:hAnsi="宋体" w:eastAsia="宋体" w:cs="宋体"/>
          <w:color w:val="000000"/>
          <w:sz w:val="24"/>
          <w:szCs w:val="24"/>
          <w:lang w:eastAsia="zh-CN"/>
        </w:rPr>
        <w:t>符合性审查</w:t>
      </w:r>
      <w:r>
        <w:rPr>
          <w:rFonts w:hint="eastAsia" w:ascii="宋体" w:hAnsi="宋体" w:eastAsia="宋体" w:cs="宋体"/>
          <w:color w:val="000000"/>
          <w:sz w:val="24"/>
          <w:szCs w:val="24"/>
        </w:rPr>
        <w:t>。</w:t>
      </w:r>
      <w:r>
        <w:rPr>
          <w:rFonts w:hint="eastAsia" w:ascii="宋体" w:hAnsi="宋体" w:eastAsia="宋体" w:cs="宋体"/>
          <w:b/>
          <w:bCs/>
          <w:color w:val="000000"/>
          <w:sz w:val="24"/>
          <w:szCs w:val="24"/>
        </w:rPr>
        <w:t>有一项不符合评审标准的，其投标做无效</w:t>
      </w:r>
      <w:r>
        <w:rPr>
          <w:rFonts w:hint="eastAsia" w:ascii="宋体" w:hAnsi="宋体" w:eastAsia="宋体" w:cs="宋体"/>
          <w:b/>
          <w:bCs/>
          <w:color w:val="000000"/>
          <w:sz w:val="24"/>
          <w:szCs w:val="24"/>
          <w:lang w:eastAsia="zh-CN"/>
        </w:rPr>
        <w:t>投标</w:t>
      </w:r>
      <w:r>
        <w:rPr>
          <w:rFonts w:hint="eastAsia" w:ascii="宋体" w:hAnsi="宋体" w:eastAsia="宋体" w:cs="宋体"/>
          <w:b/>
          <w:bCs/>
          <w:color w:val="000000"/>
          <w:sz w:val="24"/>
          <w:szCs w:val="24"/>
        </w:rPr>
        <w:t>处理，不得进入详细评审。</w:t>
      </w:r>
    </w:p>
    <w:p w14:paraId="0E27C85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3.1.2 供应商有以下情形之一的，其响应文件作无效处理：</w:t>
      </w:r>
    </w:p>
    <w:p w14:paraId="109FF00D">
      <w:pPr>
        <w:pageBreakBefore w:val="0"/>
        <w:widowControl w:val="0"/>
        <w:kinsoku/>
        <w:wordWrap/>
        <w:overflowPunct/>
        <w:topLinePunct w:val="0"/>
        <w:autoSpaceDE/>
        <w:autoSpaceDN/>
        <w:bidi w:val="0"/>
        <w:adjustRightInd/>
        <w:snapToGrid/>
        <w:spacing w:line="500" w:lineRule="exact"/>
        <w:ind w:left="0" w:leftChars="0" w:firstLine="1058" w:firstLineChars="4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）串通或弄虚作假或有其他违法行为的；</w:t>
      </w:r>
    </w:p>
    <w:p w14:paraId="50522C74">
      <w:pPr>
        <w:pageBreakBefore w:val="0"/>
        <w:widowControl w:val="0"/>
        <w:kinsoku/>
        <w:wordWrap/>
        <w:overflowPunct/>
        <w:topLinePunct w:val="0"/>
        <w:autoSpaceDE/>
        <w:autoSpaceDN/>
        <w:bidi w:val="0"/>
        <w:adjustRightInd/>
        <w:snapToGrid/>
        <w:spacing w:line="500" w:lineRule="exact"/>
        <w:ind w:left="0" w:leftChars="0" w:firstLine="1058" w:firstLineChars="4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）不按磋商小组要求澄清、说明或补正的；</w:t>
      </w:r>
    </w:p>
    <w:p w14:paraId="4AFF36B6">
      <w:pPr>
        <w:pageBreakBefore w:val="0"/>
        <w:widowControl w:val="0"/>
        <w:kinsoku/>
        <w:wordWrap/>
        <w:overflowPunct/>
        <w:topLinePunct w:val="0"/>
        <w:autoSpaceDE/>
        <w:autoSpaceDN/>
        <w:bidi w:val="0"/>
        <w:adjustRightInd/>
        <w:snapToGrid/>
        <w:spacing w:line="500" w:lineRule="exact"/>
        <w:ind w:left="0" w:leftChars="0" w:firstLine="1058" w:firstLineChars="4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）未按规定格式填写、内容不全或关键字迹模糊、无法辨认的；</w:t>
      </w:r>
    </w:p>
    <w:p w14:paraId="4F6BF429">
      <w:pPr>
        <w:pageBreakBefore w:val="0"/>
        <w:widowControl w:val="0"/>
        <w:kinsoku/>
        <w:wordWrap/>
        <w:overflowPunct/>
        <w:topLinePunct w:val="0"/>
        <w:autoSpaceDE/>
        <w:autoSpaceDN/>
        <w:bidi w:val="0"/>
        <w:adjustRightInd/>
        <w:snapToGrid/>
        <w:spacing w:line="500" w:lineRule="exact"/>
        <w:ind w:left="0" w:leftChars="0" w:firstLine="1058" w:firstLineChars="4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）响应文件附有采购人不能接受的条件；</w:t>
      </w:r>
    </w:p>
    <w:p w14:paraId="1F0174A6">
      <w:pPr>
        <w:pageBreakBefore w:val="0"/>
        <w:widowControl w:val="0"/>
        <w:kinsoku/>
        <w:wordWrap/>
        <w:overflowPunct/>
        <w:topLinePunct w:val="0"/>
        <w:autoSpaceDE/>
        <w:autoSpaceDN/>
        <w:bidi w:val="0"/>
        <w:adjustRightInd/>
        <w:snapToGrid/>
        <w:spacing w:line="500" w:lineRule="exact"/>
        <w:ind w:left="0" w:leftChars="0" w:firstLine="1058" w:firstLineChars="441"/>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）不符合</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规定的其他实质性要求。</w:t>
      </w:r>
    </w:p>
    <w:p w14:paraId="5693A8B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1095" w:name="_Toc1098"/>
      <w:bookmarkStart w:id="1096" w:name="_Toc22160"/>
      <w:bookmarkStart w:id="1097" w:name="_Toc9462"/>
      <w:r>
        <w:rPr>
          <w:rFonts w:hint="eastAsia" w:ascii="宋体" w:hAnsi="宋体" w:eastAsia="宋体" w:cs="宋体"/>
          <w:b/>
          <w:bCs/>
          <w:color w:val="auto"/>
          <w:kern w:val="2"/>
          <w:sz w:val="24"/>
          <w:szCs w:val="24"/>
          <w:lang w:val="en-US" w:eastAsia="zh-CN" w:bidi="ar-SA"/>
        </w:rPr>
        <w:t>3.2 详细评审</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p>
    <w:p w14:paraId="21A968B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3.2.1 磋商小组按本章第2.2款规定的量化因素和分值进行打分，并计算出综合评分得分。</w:t>
      </w:r>
    </w:p>
    <w:p w14:paraId="7BCE6CB0">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3.2.2 评分分值计算保留小数点后两位，小数点后第三位“四舍五入”。</w:t>
      </w:r>
    </w:p>
    <w:p w14:paraId="5A26769A">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3.2.3供应商的最终得分以全部小组成员打分的算术平均值为准，作为该供应商的最终得分。</w:t>
      </w:r>
    </w:p>
    <w:p w14:paraId="6EAEAD4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3.2.4在磋商过程中，凡遇到</w:t>
      </w:r>
      <w:r>
        <w:rPr>
          <w:rFonts w:hint="eastAsia" w:ascii="宋体" w:hAnsi="宋体" w:eastAsia="宋体" w:cs="宋体"/>
          <w:color w:val="auto"/>
          <w:sz w:val="24"/>
          <w:szCs w:val="24"/>
          <w:lang w:eastAsia="zh-CN"/>
        </w:rPr>
        <w:t>竞争性磋商文件</w:t>
      </w:r>
      <w:r>
        <w:rPr>
          <w:rFonts w:hint="eastAsia" w:ascii="宋体" w:hAnsi="宋体" w:eastAsia="宋体" w:cs="宋体"/>
          <w:color w:val="auto"/>
          <w:sz w:val="24"/>
          <w:szCs w:val="24"/>
        </w:rPr>
        <w:t>中无界定或界定不清、前后不一致使磋商小组意见有分歧且又难以协商一致的问题，均由磋商小组予以表决，获半数以上同意的即为通过，未获半数同意的即为否决。</w:t>
      </w:r>
    </w:p>
    <w:p w14:paraId="54BCB78F">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firstLine="482" w:firstLineChars="200"/>
        <w:jc w:val="left"/>
        <w:textAlignment w:val="auto"/>
        <w:outlineLvl w:val="9"/>
        <w:rPr>
          <w:rFonts w:hint="eastAsia" w:ascii="宋体" w:hAnsi="宋体" w:eastAsia="宋体" w:cs="宋体"/>
          <w:b/>
          <w:bCs/>
          <w:color w:val="auto"/>
          <w:kern w:val="2"/>
          <w:sz w:val="24"/>
          <w:szCs w:val="24"/>
          <w:lang w:val="en-US" w:eastAsia="zh-CN" w:bidi="ar-SA"/>
        </w:rPr>
      </w:pPr>
      <w:bookmarkStart w:id="1098" w:name="_Toc455867823"/>
      <w:bookmarkStart w:id="1099" w:name="_Toc13980"/>
      <w:bookmarkStart w:id="1100" w:name="_Toc10153"/>
      <w:bookmarkStart w:id="1101" w:name="_Toc12374"/>
      <w:bookmarkStart w:id="1102" w:name="_Toc331"/>
      <w:bookmarkStart w:id="1103" w:name="_Toc22084"/>
      <w:bookmarkStart w:id="1104" w:name="_Toc8813"/>
      <w:bookmarkStart w:id="1105" w:name="_Toc11958"/>
      <w:bookmarkStart w:id="1106" w:name="_Toc455080163"/>
      <w:bookmarkStart w:id="1107" w:name="_Toc281405535"/>
      <w:bookmarkStart w:id="1108" w:name="_Toc23825"/>
      <w:bookmarkStart w:id="1109" w:name="_Toc24862"/>
      <w:bookmarkStart w:id="1110" w:name="_Toc490667882"/>
      <w:bookmarkStart w:id="1111" w:name="_Toc8342"/>
      <w:bookmarkStart w:id="1112" w:name="_Toc28633"/>
      <w:bookmarkStart w:id="1113" w:name="_Toc318450729"/>
      <w:bookmarkStart w:id="1114" w:name="_Toc2657"/>
      <w:bookmarkStart w:id="1115" w:name="_Toc466298146"/>
      <w:bookmarkStart w:id="1116" w:name="_Toc29593"/>
      <w:r>
        <w:rPr>
          <w:rFonts w:hint="eastAsia" w:ascii="宋体" w:hAnsi="宋体" w:eastAsia="宋体" w:cs="宋体"/>
          <w:b/>
          <w:bCs/>
          <w:color w:val="auto"/>
          <w:kern w:val="2"/>
          <w:sz w:val="24"/>
          <w:szCs w:val="24"/>
          <w:lang w:val="en-US" w:eastAsia="zh-CN" w:bidi="ar-SA"/>
        </w:rPr>
        <w:t>3.3 响应文件的澄清和补正</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14:paraId="4D8D1C53">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3.3.1在磋商过程中，磋商小组可以书面形式要求供应商对所提交的响应文件中不明确的内容进行书面澄清或说明，或者对细微偏离进行补正。磋商小组不接受供应商主动提出的澄清、说明或补正。</w:t>
      </w:r>
    </w:p>
    <w:p w14:paraId="79A5042B">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3.3.2 澄清、说明和补正不得超出响应文件的范围或者改变响应文件的实质性内容（算术性错误修正的除外）。供应商的书面澄清、说明和补正属于响应文件的组成部分。</w:t>
      </w:r>
    </w:p>
    <w:p w14:paraId="0A0BF46E">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3.3.3 磋商小组对供应商提交的澄清、说明或补正有疑问的，可以要求供应商进一步澄清、说明或补正，直至满足磋商小组的要求。</w:t>
      </w:r>
    </w:p>
    <w:p w14:paraId="3D18C168">
      <w:pPr>
        <w:keepNext/>
        <w:keepLines/>
        <w:pageBreakBefore w:val="0"/>
        <w:widowControl w:val="0"/>
        <w:numPr>
          <w:ilvl w:val="2"/>
          <w:numId w:val="0"/>
        </w:numPr>
        <w:kinsoku/>
        <w:wordWrap/>
        <w:overflowPunct/>
        <w:topLinePunct w:val="0"/>
        <w:autoSpaceDE/>
        <w:autoSpaceDN/>
        <w:bidi w:val="0"/>
        <w:adjustRightInd/>
        <w:snapToGrid/>
        <w:spacing w:before="0" w:beforeLines="0" w:after="0" w:afterLines="0" w:line="500" w:lineRule="exact"/>
        <w:ind w:firstLine="480" w:firstLineChars="200"/>
        <w:jc w:val="left"/>
        <w:textAlignment w:val="auto"/>
        <w:outlineLvl w:val="9"/>
        <w:rPr>
          <w:rFonts w:hint="eastAsia" w:ascii="宋体" w:hAnsi="宋体" w:eastAsia="宋体" w:cs="宋体"/>
          <w:b w:val="0"/>
          <w:color w:val="auto"/>
          <w:kern w:val="2"/>
          <w:sz w:val="24"/>
          <w:szCs w:val="24"/>
          <w:lang w:val="en-US" w:eastAsia="zh-CN" w:bidi="ar-SA"/>
        </w:rPr>
      </w:pPr>
      <w:bookmarkStart w:id="1117" w:name="_Toc19938"/>
      <w:bookmarkStart w:id="1118" w:name="_Toc30053"/>
      <w:bookmarkStart w:id="1119" w:name="_Toc1857"/>
      <w:bookmarkStart w:id="1120" w:name="_Toc318450730"/>
      <w:bookmarkStart w:id="1121" w:name="_Toc26894"/>
      <w:bookmarkStart w:id="1122" w:name="_Toc5903"/>
      <w:bookmarkStart w:id="1123" w:name="_Toc32183"/>
      <w:bookmarkStart w:id="1124" w:name="_Toc22986"/>
      <w:bookmarkStart w:id="1125" w:name="_Toc281405536"/>
      <w:bookmarkStart w:id="1126" w:name="_Toc22682"/>
      <w:bookmarkStart w:id="1127" w:name="_Toc490667883"/>
      <w:bookmarkStart w:id="1128" w:name="_Toc466298147"/>
      <w:bookmarkStart w:id="1129" w:name="_Toc13305"/>
      <w:bookmarkStart w:id="1130" w:name="_Toc22049"/>
      <w:bookmarkStart w:id="1131" w:name="_Toc19453"/>
      <w:bookmarkStart w:id="1132" w:name="_Toc455080164"/>
      <w:bookmarkStart w:id="1133" w:name="_Toc6209"/>
      <w:bookmarkStart w:id="1134" w:name="_Toc13842"/>
      <w:bookmarkStart w:id="1135" w:name="_Toc455867824"/>
      <w:r>
        <w:rPr>
          <w:rFonts w:hint="eastAsia" w:ascii="宋体" w:hAnsi="宋体" w:eastAsia="宋体" w:cs="宋体"/>
          <w:b w:val="0"/>
          <w:color w:val="auto"/>
          <w:kern w:val="2"/>
          <w:sz w:val="24"/>
          <w:szCs w:val="24"/>
          <w:lang w:val="en-US" w:eastAsia="zh-CN" w:bidi="ar-SA"/>
        </w:rPr>
        <w:t>3.4 评审结果</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14:paraId="2AFCC01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3.4.1除第二章“供应商须知”前附表授权直接确定成交人外，磋商小组按照得分由高到低的顺序推荐成交候选人。</w:t>
      </w:r>
    </w:p>
    <w:p w14:paraId="48949228">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3.4.2 磋商小组完成评审后，应当向采购人提交书面评审报告。</w:t>
      </w:r>
    </w:p>
    <w:p w14:paraId="6C43C2A7">
      <w:pPr>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bookmarkStart w:id="1136" w:name="_Toc14024"/>
      <w:bookmarkStart w:id="1137" w:name="_Toc152042387"/>
      <w:bookmarkStart w:id="1138" w:name="_Toc152045609"/>
      <w:bookmarkStart w:id="1139" w:name="_Toc144974577"/>
      <w:r>
        <w:rPr>
          <w:rFonts w:hint="eastAsia" w:ascii="宋体" w:hAnsi="宋体" w:eastAsia="宋体" w:cs="宋体"/>
          <w:color w:val="auto"/>
          <w:sz w:val="24"/>
          <w:szCs w:val="24"/>
        </w:rPr>
        <w:t>3.4.</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评标结果同时在</w:t>
      </w:r>
      <w:r>
        <w:rPr>
          <w:rFonts w:hint="eastAsia" w:ascii="宋体" w:hAnsi="宋体" w:eastAsia="宋体" w:cs="宋体"/>
          <w:color w:val="auto"/>
          <w:sz w:val="24"/>
          <w:szCs w:val="24"/>
          <w:lang w:val="en-US" w:eastAsia="zh-CN"/>
        </w:rPr>
        <w:t>《河南省政府采购网》、《全国公共资源交易平台（河南省·息县）》</w:t>
      </w:r>
      <w:r>
        <w:rPr>
          <w:rFonts w:hint="eastAsia" w:ascii="宋体" w:hAnsi="宋体" w:eastAsia="宋体" w:cs="宋体"/>
          <w:color w:val="auto"/>
          <w:sz w:val="24"/>
          <w:szCs w:val="24"/>
        </w:rPr>
        <w:t>公示。</w:t>
      </w:r>
    </w:p>
    <w:p w14:paraId="590523F4">
      <w:pPr>
        <w:spacing w:line="600" w:lineRule="exact"/>
        <w:ind w:firstLine="560" w:firstLineChars="200"/>
        <w:rPr>
          <w:rFonts w:hint="eastAsia" w:ascii="宋体" w:hAnsi="宋体" w:eastAsia="宋体" w:cs="宋体"/>
          <w:bCs/>
          <w:color w:val="auto"/>
          <w:sz w:val="28"/>
          <w:szCs w:val="28"/>
        </w:rPr>
      </w:pPr>
    </w:p>
    <w:p w14:paraId="4A41242A">
      <w:pPr>
        <w:widowControl w:val="0"/>
        <w:spacing w:after="120" w:afterLines="0" w:afterAutospacing="0" w:line="600" w:lineRule="exact"/>
        <w:ind w:firstLine="280" w:firstLineChars="100"/>
        <w:jc w:val="both"/>
        <w:rPr>
          <w:rFonts w:hint="eastAsia" w:ascii="宋体" w:hAnsi="宋体" w:eastAsia="宋体" w:cs="宋体"/>
          <w:bCs/>
          <w:color w:val="auto"/>
          <w:kern w:val="2"/>
          <w:sz w:val="28"/>
          <w:szCs w:val="28"/>
          <w:lang w:val="en-US" w:eastAsia="zh-CN" w:bidi="ar-SA"/>
        </w:rPr>
      </w:pPr>
    </w:p>
    <w:p w14:paraId="1E71B683">
      <w:pPr>
        <w:widowControl w:val="0"/>
        <w:tabs>
          <w:tab w:val="left" w:pos="945"/>
          <w:tab w:val="left" w:pos="1155"/>
        </w:tabs>
        <w:spacing w:after="120" w:afterLines="0" w:line="240" w:lineRule="auto"/>
        <w:ind w:left="420" w:leftChars="200" w:firstLine="560" w:firstLineChars="200"/>
        <w:jc w:val="both"/>
        <w:rPr>
          <w:rFonts w:hint="eastAsia" w:ascii="宋体" w:hAnsi="宋体" w:eastAsia="宋体" w:cs="宋体"/>
          <w:bCs/>
          <w:color w:val="auto"/>
          <w:kern w:val="2"/>
          <w:sz w:val="28"/>
          <w:szCs w:val="28"/>
          <w:lang w:val="en-US" w:eastAsia="zh-CN" w:bidi="ar-SA"/>
        </w:rPr>
      </w:pPr>
    </w:p>
    <w:p w14:paraId="279CB869">
      <w:pPr>
        <w:spacing w:line="600" w:lineRule="exact"/>
        <w:ind w:firstLine="560" w:firstLineChars="200"/>
        <w:rPr>
          <w:rFonts w:hint="eastAsia" w:ascii="宋体" w:hAnsi="宋体" w:eastAsia="宋体" w:cs="宋体"/>
          <w:bCs/>
          <w:color w:val="auto"/>
          <w:sz w:val="28"/>
          <w:szCs w:val="28"/>
        </w:rPr>
      </w:pPr>
    </w:p>
    <w:p w14:paraId="5616F6A2">
      <w:pPr>
        <w:widowControl w:val="0"/>
        <w:tabs>
          <w:tab w:val="left" w:pos="945"/>
          <w:tab w:val="left" w:pos="1155"/>
        </w:tabs>
        <w:spacing w:after="120" w:afterLines="0" w:line="240" w:lineRule="auto"/>
        <w:ind w:left="420" w:leftChars="200" w:firstLine="560" w:firstLineChars="200"/>
        <w:jc w:val="both"/>
        <w:rPr>
          <w:rFonts w:hint="eastAsia" w:ascii="宋体" w:hAnsi="宋体" w:eastAsia="宋体" w:cs="宋体"/>
          <w:bCs/>
          <w:color w:val="auto"/>
          <w:kern w:val="2"/>
          <w:sz w:val="28"/>
          <w:szCs w:val="28"/>
          <w:lang w:val="en-US" w:eastAsia="zh-CN" w:bidi="ar-SA"/>
        </w:rPr>
      </w:pPr>
    </w:p>
    <w:p w14:paraId="10805760">
      <w:pPr>
        <w:keepNext/>
        <w:keepLines/>
        <w:pageBreakBefore w:val="0"/>
        <w:widowControl w:val="0"/>
        <w:numPr>
          <w:ilvl w:val="0"/>
          <w:numId w:val="0"/>
        </w:numPr>
        <w:kinsoku/>
        <w:wordWrap/>
        <w:overflowPunct/>
        <w:topLinePunct w:val="0"/>
        <w:bidi w:val="0"/>
        <w:spacing w:after="0" w:afterLines="0" w:line="400" w:lineRule="exact"/>
        <w:jc w:val="left"/>
        <w:outlineLvl w:val="2"/>
        <w:rPr>
          <w:rFonts w:hint="eastAsia" w:ascii="宋体" w:hAnsi="宋体" w:eastAsia="宋体" w:cs="宋体"/>
          <w:b/>
          <w:color w:val="000000"/>
          <w:kern w:val="2"/>
          <w:sz w:val="24"/>
          <w:szCs w:val="24"/>
          <w:lang w:val="en-US" w:eastAsia="zh-CN" w:bidi="ar-SA"/>
        </w:rPr>
      </w:pPr>
      <w:bookmarkStart w:id="1140" w:name="_Toc14774"/>
      <w:bookmarkStart w:id="1141" w:name="_Toc31487"/>
      <w:bookmarkStart w:id="1142" w:name="_Toc27173"/>
      <w:r>
        <w:rPr>
          <w:rFonts w:hint="eastAsia" w:ascii="宋体" w:hAnsi="宋体" w:eastAsia="宋体" w:cs="宋体"/>
          <w:b/>
          <w:color w:val="000000"/>
          <w:kern w:val="2"/>
          <w:sz w:val="24"/>
          <w:szCs w:val="24"/>
          <w:lang w:val="en-US" w:eastAsia="zh-CN" w:bidi="ar-SA"/>
        </w:rPr>
        <w:t>附件：废标条件</w:t>
      </w:r>
      <w:bookmarkEnd w:id="1140"/>
      <w:bookmarkEnd w:id="1141"/>
      <w:bookmarkEnd w:id="1142"/>
    </w:p>
    <w:p w14:paraId="7E56D463">
      <w:pPr>
        <w:pageBreakBefore w:val="0"/>
        <w:kinsoku/>
        <w:wordWrap/>
        <w:overflowPunct/>
        <w:topLinePunct w:val="0"/>
        <w:bidi w:val="0"/>
        <w:spacing w:line="480" w:lineRule="auto"/>
        <w:ind w:firstLine="482" w:firstLineChars="200"/>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废标条件</w:t>
      </w:r>
    </w:p>
    <w:p w14:paraId="7745E696">
      <w:pPr>
        <w:pageBreakBefore w:val="0"/>
        <w:kinsoku/>
        <w:wordWrap/>
        <w:overflowPunct/>
        <w:topLinePunct w:val="0"/>
        <w:bidi w:val="0"/>
        <w:spacing w:line="480" w:lineRule="auto"/>
        <w:ind w:firstLine="482" w:firstLineChars="200"/>
        <w:rPr>
          <w:rFonts w:hint="eastAsia" w:ascii="宋体" w:hAnsi="宋体" w:eastAsia="宋体" w:cs="宋体"/>
          <w:b/>
          <w:color w:val="000000"/>
          <w:sz w:val="24"/>
          <w:szCs w:val="24"/>
        </w:rPr>
      </w:pPr>
    </w:p>
    <w:p w14:paraId="01BDA146">
      <w:pPr>
        <w:pageBreakBefore w:val="0"/>
        <w:kinsoku/>
        <w:wordWrap/>
        <w:overflowPunct/>
        <w:topLinePunct w:val="0"/>
        <w:bidi w:val="0"/>
        <w:spacing w:line="360" w:lineRule="auto"/>
        <w:ind w:firstLine="723" w:firstLineChars="300"/>
        <w:rPr>
          <w:rFonts w:hint="eastAsia" w:ascii="宋体" w:hAnsi="宋体" w:eastAsia="宋体" w:cs="宋体"/>
          <w:b/>
          <w:color w:val="000000"/>
          <w:sz w:val="24"/>
          <w:szCs w:val="24"/>
        </w:rPr>
      </w:pPr>
      <w:r>
        <w:rPr>
          <w:rFonts w:hint="eastAsia" w:ascii="宋体" w:hAnsi="宋体" w:eastAsia="宋体" w:cs="宋体"/>
          <w:b/>
          <w:color w:val="000000"/>
          <w:sz w:val="24"/>
          <w:szCs w:val="24"/>
        </w:rPr>
        <w:t>本附件所集中列示的废标条件，是本章“评标办法”的组成部分，是对第二章“</w:t>
      </w:r>
      <w:r>
        <w:rPr>
          <w:rFonts w:hint="eastAsia" w:ascii="宋体" w:hAnsi="宋体" w:eastAsia="宋体" w:cs="宋体"/>
          <w:b/>
          <w:color w:val="000000"/>
          <w:sz w:val="24"/>
          <w:szCs w:val="24"/>
          <w:lang w:eastAsia="zh-CN"/>
        </w:rPr>
        <w:t>供应商</w:t>
      </w:r>
      <w:r>
        <w:rPr>
          <w:rFonts w:hint="eastAsia" w:ascii="宋体" w:hAnsi="宋体" w:eastAsia="宋体" w:cs="宋体"/>
          <w:b/>
          <w:color w:val="000000"/>
          <w:sz w:val="24"/>
          <w:szCs w:val="24"/>
        </w:rPr>
        <w:t>须知”和本章正文部分所规定的废标条件的总结和补充，如果出现相互矛盾的情况，以第二章“</w:t>
      </w:r>
      <w:r>
        <w:rPr>
          <w:rFonts w:hint="eastAsia" w:ascii="宋体" w:hAnsi="宋体" w:eastAsia="宋体" w:cs="宋体"/>
          <w:b/>
          <w:color w:val="000000"/>
          <w:sz w:val="24"/>
          <w:szCs w:val="24"/>
          <w:lang w:eastAsia="zh-CN"/>
        </w:rPr>
        <w:t>供应商</w:t>
      </w:r>
      <w:r>
        <w:rPr>
          <w:rFonts w:hint="eastAsia" w:ascii="宋体" w:hAnsi="宋体" w:eastAsia="宋体" w:cs="宋体"/>
          <w:b/>
          <w:color w:val="000000"/>
          <w:sz w:val="24"/>
          <w:szCs w:val="24"/>
        </w:rPr>
        <w:t>须知”和本章正文部分的规定为准。</w:t>
      </w:r>
    </w:p>
    <w:p w14:paraId="6EC41E4A">
      <w:pPr>
        <w:pageBreakBefore w:val="0"/>
        <w:kinsoku/>
        <w:wordWrap/>
        <w:overflowPunct/>
        <w:topLinePunct w:val="0"/>
        <w:bidi w:val="0"/>
        <w:spacing w:line="360" w:lineRule="auto"/>
        <w:ind w:left="0" w:leftChars="0" w:firstLine="219" w:firstLineChars="91"/>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    1.未通过第三章评标办法</w:t>
      </w:r>
      <w:r>
        <w:rPr>
          <w:rFonts w:hint="eastAsia" w:ascii="宋体" w:hAnsi="宋体" w:eastAsia="宋体" w:cs="宋体"/>
          <w:b/>
          <w:color w:val="000000"/>
          <w:sz w:val="24"/>
          <w:szCs w:val="24"/>
          <w:lang w:eastAsia="zh-CN"/>
        </w:rPr>
        <w:t>资格评审、符合性评审的</w:t>
      </w:r>
      <w:r>
        <w:rPr>
          <w:rFonts w:hint="eastAsia" w:ascii="宋体" w:hAnsi="宋体" w:eastAsia="宋体" w:cs="宋体"/>
          <w:b/>
          <w:color w:val="000000"/>
          <w:sz w:val="24"/>
          <w:szCs w:val="24"/>
        </w:rPr>
        <w:t xml:space="preserve">； </w:t>
      </w:r>
    </w:p>
    <w:p w14:paraId="5F0AEB26">
      <w:pPr>
        <w:pageBreakBefore w:val="0"/>
        <w:kinsoku/>
        <w:wordWrap/>
        <w:overflowPunct/>
        <w:topLinePunct w:val="0"/>
        <w:bidi w:val="0"/>
        <w:spacing w:line="360" w:lineRule="auto"/>
        <w:ind w:left="0" w:leftChars="0" w:firstLine="219" w:firstLineChars="91"/>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 </w:t>
      </w:r>
      <w:r>
        <w:rPr>
          <w:rFonts w:hint="eastAsia" w:ascii="宋体" w:hAnsi="宋体" w:eastAsia="宋体" w:cs="宋体"/>
          <w:b/>
          <w:color w:val="000000"/>
          <w:sz w:val="24"/>
          <w:szCs w:val="24"/>
          <w:lang w:val="en-US" w:eastAsia="zh-CN"/>
        </w:rPr>
        <w:t xml:space="preserve">  </w:t>
      </w:r>
      <w:r>
        <w:rPr>
          <w:rFonts w:hint="eastAsia" w:ascii="宋体" w:hAnsi="宋体" w:eastAsia="宋体" w:cs="宋体"/>
          <w:b/>
          <w:color w:val="000000"/>
          <w:sz w:val="24"/>
          <w:szCs w:val="24"/>
        </w:rPr>
        <w:t xml:space="preserve"> </w:t>
      </w:r>
      <w:r>
        <w:rPr>
          <w:rFonts w:hint="eastAsia" w:ascii="宋体" w:hAnsi="宋体" w:eastAsia="宋体" w:cs="宋体"/>
          <w:b/>
          <w:color w:val="000000"/>
          <w:sz w:val="24"/>
          <w:szCs w:val="24"/>
          <w:lang w:val="en-US" w:eastAsia="zh-CN"/>
        </w:rPr>
        <w:t>2</w:t>
      </w:r>
      <w:r>
        <w:rPr>
          <w:rFonts w:hint="eastAsia" w:ascii="宋体" w:hAnsi="宋体" w:eastAsia="宋体" w:cs="宋体"/>
          <w:b/>
          <w:color w:val="000000"/>
          <w:sz w:val="24"/>
          <w:szCs w:val="24"/>
        </w:rPr>
        <w:t>.不按</w:t>
      </w:r>
      <w:r>
        <w:rPr>
          <w:rFonts w:hint="eastAsia" w:ascii="宋体" w:hAnsi="宋体" w:eastAsia="宋体" w:cs="宋体"/>
          <w:b/>
          <w:color w:val="000000"/>
          <w:sz w:val="24"/>
          <w:szCs w:val="24"/>
          <w:lang w:eastAsia="zh-CN"/>
        </w:rPr>
        <w:t>磋商小组</w:t>
      </w:r>
      <w:r>
        <w:rPr>
          <w:rFonts w:hint="eastAsia" w:ascii="宋体" w:hAnsi="宋体" w:eastAsia="宋体" w:cs="宋体"/>
          <w:b/>
          <w:color w:val="000000"/>
          <w:sz w:val="24"/>
          <w:szCs w:val="24"/>
        </w:rPr>
        <w:t>要求澄清、说明或补正的；</w:t>
      </w:r>
    </w:p>
    <w:p w14:paraId="4A3879B4">
      <w:pPr>
        <w:pageBreakBefore w:val="0"/>
        <w:kinsoku/>
        <w:wordWrap/>
        <w:overflowPunct/>
        <w:topLinePunct w:val="0"/>
        <w:bidi w:val="0"/>
        <w:spacing w:line="360" w:lineRule="auto"/>
        <w:ind w:left="0" w:leftChars="0" w:firstLine="219" w:firstLineChars="91"/>
        <w:rPr>
          <w:rFonts w:hint="eastAsia" w:ascii="宋体" w:hAnsi="宋体" w:eastAsia="宋体" w:cs="宋体"/>
          <w:b/>
          <w:color w:val="000000"/>
          <w:sz w:val="24"/>
          <w:szCs w:val="24"/>
        </w:rPr>
      </w:pPr>
      <w:r>
        <w:rPr>
          <w:rFonts w:hint="eastAsia" w:ascii="宋体" w:hAnsi="宋体" w:eastAsia="宋体" w:cs="宋体"/>
          <w:b/>
          <w:color w:val="000000"/>
          <w:sz w:val="24"/>
          <w:szCs w:val="24"/>
        </w:rPr>
        <w:t xml:space="preserve">    </w:t>
      </w:r>
      <w:r>
        <w:rPr>
          <w:rFonts w:hint="eastAsia" w:ascii="宋体" w:hAnsi="宋体" w:eastAsia="宋体" w:cs="宋体"/>
          <w:b/>
          <w:color w:val="000000"/>
          <w:sz w:val="24"/>
          <w:szCs w:val="24"/>
          <w:lang w:val="en-US" w:eastAsia="zh-CN"/>
        </w:rPr>
        <w:t>3</w:t>
      </w:r>
      <w:r>
        <w:rPr>
          <w:rFonts w:hint="eastAsia" w:ascii="宋体" w:hAnsi="宋体" w:eastAsia="宋体" w:cs="宋体"/>
          <w:b/>
          <w:color w:val="000000"/>
          <w:sz w:val="24"/>
          <w:szCs w:val="24"/>
        </w:rPr>
        <w:t>.</w:t>
      </w:r>
      <w:r>
        <w:rPr>
          <w:rFonts w:hint="eastAsia" w:ascii="宋体" w:hAnsi="宋体" w:eastAsia="宋体" w:cs="宋体"/>
          <w:b/>
          <w:color w:val="000000"/>
          <w:sz w:val="24"/>
          <w:szCs w:val="24"/>
          <w:lang w:eastAsia="zh-CN"/>
        </w:rPr>
        <w:t>磋商</w:t>
      </w:r>
      <w:r>
        <w:rPr>
          <w:rFonts w:hint="eastAsia" w:ascii="宋体" w:hAnsi="宋体" w:eastAsia="宋体" w:cs="宋体"/>
          <w:b/>
          <w:color w:val="000000"/>
          <w:sz w:val="24"/>
          <w:szCs w:val="24"/>
        </w:rPr>
        <w:t>报价有算术性错误，</w:t>
      </w:r>
      <w:r>
        <w:rPr>
          <w:rFonts w:hint="eastAsia" w:ascii="宋体" w:hAnsi="宋体" w:eastAsia="宋体" w:cs="宋体"/>
          <w:b/>
          <w:color w:val="000000"/>
          <w:sz w:val="24"/>
          <w:szCs w:val="24"/>
          <w:lang w:eastAsia="zh-CN"/>
        </w:rPr>
        <w:t>投标供应商</w:t>
      </w:r>
      <w:r>
        <w:rPr>
          <w:rFonts w:hint="eastAsia" w:ascii="宋体" w:hAnsi="宋体" w:eastAsia="宋体" w:cs="宋体"/>
          <w:b/>
          <w:color w:val="000000"/>
          <w:sz w:val="24"/>
          <w:szCs w:val="24"/>
        </w:rPr>
        <w:t>不接受修正价格的；</w:t>
      </w:r>
    </w:p>
    <w:p w14:paraId="7D139B60">
      <w:pPr>
        <w:pageBreakBefore w:val="0"/>
        <w:kinsoku/>
        <w:wordWrap/>
        <w:overflowPunct/>
        <w:topLinePunct w:val="0"/>
        <w:bidi w:val="0"/>
        <w:spacing w:line="360" w:lineRule="auto"/>
        <w:ind w:left="0" w:leftChars="0" w:firstLine="699" w:firstLineChars="290"/>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4</w:t>
      </w:r>
      <w:r>
        <w:rPr>
          <w:rFonts w:hint="eastAsia" w:ascii="宋体" w:hAnsi="宋体" w:eastAsia="宋体" w:cs="宋体"/>
          <w:b/>
          <w:color w:val="000000"/>
          <w:sz w:val="24"/>
          <w:szCs w:val="24"/>
        </w:rPr>
        <w:t>.以他人的名义投标、以行贿手段谋取中标或者以其他弄虚作假方式投标的；</w:t>
      </w:r>
    </w:p>
    <w:p w14:paraId="08382E53">
      <w:pPr>
        <w:pageBreakBefore w:val="0"/>
        <w:kinsoku/>
        <w:wordWrap/>
        <w:overflowPunct/>
        <w:topLinePunct w:val="0"/>
        <w:bidi w:val="0"/>
        <w:spacing w:line="360" w:lineRule="auto"/>
        <w:ind w:left="0" w:leftChars="0" w:firstLine="699" w:firstLineChars="290"/>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5</w:t>
      </w:r>
      <w:r>
        <w:rPr>
          <w:rFonts w:hint="eastAsia" w:ascii="宋体" w:hAnsi="宋体" w:eastAsia="宋体" w:cs="宋体"/>
          <w:b/>
          <w:color w:val="000000"/>
          <w:sz w:val="24"/>
          <w:szCs w:val="24"/>
        </w:rPr>
        <w:t>.属于串（围）标行为的；</w:t>
      </w:r>
    </w:p>
    <w:p w14:paraId="589DD623">
      <w:pPr>
        <w:pageBreakBefore w:val="0"/>
        <w:kinsoku/>
        <w:wordWrap/>
        <w:overflowPunct/>
        <w:topLinePunct w:val="0"/>
        <w:bidi w:val="0"/>
        <w:spacing w:line="360" w:lineRule="auto"/>
        <w:ind w:left="0" w:leftChars="0" w:firstLine="699" w:firstLineChars="290"/>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6</w:t>
      </w:r>
      <w:r>
        <w:rPr>
          <w:rFonts w:hint="eastAsia" w:ascii="宋体" w:hAnsi="宋体" w:eastAsia="宋体" w:cs="宋体"/>
          <w:b/>
          <w:color w:val="000000"/>
          <w:sz w:val="24"/>
          <w:szCs w:val="24"/>
        </w:rPr>
        <w:t>.评标委员会认定</w:t>
      </w:r>
      <w:r>
        <w:rPr>
          <w:rFonts w:hint="eastAsia" w:ascii="宋体" w:hAnsi="宋体" w:eastAsia="宋体" w:cs="宋体"/>
          <w:b/>
          <w:color w:val="000000"/>
          <w:sz w:val="24"/>
          <w:szCs w:val="24"/>
          <w:lang w:eastAsia="zh-CN"/>
        </w:rPr>
        <w:t>投标供应商</w:t>
      </w:r>
      <w:r>
        <w:rPr>
          <w:rFonts w:hint="eastAsia" w:ascii="宋体" w:hAnsi="宋体" w:eastAsia="宋体" w:cs="宋体"/>
          <w:b/>
          <w:color w:val="000000"/>
          <w:sz w:val="24"/>
          <w:szCs w:val="24"/>
        </w:rPr>
        <w:t>以低于成本报价竞标的；</w:t>
      </w:r>
    </w:p>
    <w:p w14:paraId="4C650EA1">
      <w:pPr>
        <w:pageBreakBefore w:val="0"/>
        <w:kinsoku/>
        <w:wordWrap/>
        <w:overflowPunct/>
        <w:topLinePunct w:val="0"/>
        <w:bidi w:val="0"/>
        <w:spacing w:line="360" w:lineRule="auto"/>
        <w:ind w:left="0" w:leftChars="0" w:firstLine="699" w:firstLineChars="290"/>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7.</w:t>
      </w:r>
      <w:r>
        <w:rPr>
          <w:rFonts w:hint="eastAsia" w:ascii="宋体" w:hAnsi="宋体" w:eastAsia="宋体" w:cs="宋体"/>
          <w:b/>
          <w:color w:val="000000"/>
          <w:sz w:val="24"/>
          <w:szCs w:val="24"/>
        </w:rPr>
        <w:t>明显不符合技术规格、技术标准的要求；</w:t>
      </w:r>
    </w:p>
    <w:p w14:paraId="4E531E88">
      <w:pPr>
        <w:pageBreakBefore w:val="0"/>
        <w:kinsoku/>
        <w:wordWrap/>
        <w:overflowPunct/>
        <w:topLinePunct w:val="0"/>
        <w:bidi w:val="0"/>
        <w:spacing w:line="360" w:lineRule="auto"/>
        <w:ind w:left="0" w:leftChars="0" w:firstLine="460" w:firstLineChars="191"/>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 xml:space="preserve">  8.文件制作机器码、文件创建标识码有相同的；</w:t>
      </w:r>
    </w:p>
    <w:p w14:paraId="22413905">
      <w:pPr>
        <w:spacing w:line="360" w:lineRule="auto"/>
        <w:ind w:left="0" w:leftChars="0" w:firstLine="699" w:firstLineChars="290"/>
        <w:rPr>
          <w:rFonts w:hint="eastAsia" w:ascii="宋体" w:hAnsi="宋体" w:eastAsia="宋体" w:cs="宋体"/>
          <w:bCs/>
          <w:color w:val="auto"/>
          <w:sz w:val="24"/>
          <w:szCs w:val="24"/>
        </w:rPr>
      </w:pPr>
      <w:r>
        <w:rPr>
          <w:rFonts w:hint="eastAsia" w:ascii="宋体" w:hAnsi="宋体" w:eastAsia="宋体" w:cs="宋体"/>
          <w:b/>
          <w:color w:val="000000"/>
          <w:sz w:val="24"/>
          <w:szCs w:val="24"/>
          <w:lang w:val="en-US" w:eastAsia="zh-CN"/>
        </w:rPr>
        <w:t>9.</w:t>
      </w:r>
      <w:r>
        <w:rPr>
          <w:rFonts w:hint="eastAsia" w:ascii="宋体" w:hAnsi="宋体" w:eastAsia="宋体" w:cs="宋体"/>
          <w:b/>
          <w:color w:val="000000"/>
          <w:sz w:val="24"/>
          <w:szCs w:val="24"/>
        </w:rPr>
        <w:t>不符合</w:t>
      </w:r>
      <w:r>
        <w:rPr>
          <w:rFonts w:hint="eastAsia" w:ascii="宋体" w:hAnsi="宋体" w:eastAsia="宋体" w:cs="宋体"/>
          <w:b/>
          <w:color w:val="000000"/>
          <w:sz w:val="24"/>
          <w:szCs w:val="24"/>
          <w:lang w:eastAsia="zh-CN"/>
        </w:rPr>
        <w:t>竞争性磋商</w:t>
      </w:r>
      <w:r>
        <w:rPr>
          <w:rFonts w:hint="eastAsia" w:ascii="宋体" w:hAnsi="宋体" w:eastAsia="宋体" w:cs="宋体"/>
          <w:b/>
          <w:color w:val="000000"/>
          <w:sz w:val="24"/>
          <w:szCs w:val="24"/>
        </w:rPr>
        <w:t>文件规定的其他实质性要求及相关法律、法规或规章规定可以废标的其他情形。</w:t>
      </w:r>
    </w:p>
    <w:p w14:paraId="48466236">
      <w:pPr>
        <w:widowControl w:val="0"/>
        <w:spacing w:after="120" w:afterLines="0" w:afterAutospacing="0" w:line="600" w:lineRule="exact"/>
        <w:ind w:firstLine="280" w:firstLineChars="100"/>
        <w:jc w:val="both"/>
        <w:rPr>
          <w:rFonts w:hint="eastAsia" w:ascii="宋体" w:hAnsi="宋体" w:eastAsia="宋体" w:cs="宋体"/>
          <w:bCs/>
          <w:color w:val="auto"/>
          <w:kern w:val="2"/>
          <w:sz w:val="28"/>
          <w:szCs w:val="28"/>
          <w:lang w:val="en-US" w:eastAsia="zh-CN" w:bidi="ar-SA"/>
        </w:rPr>
      </w:pPr>
    </w:p>
    <w:p w14:paraId="3DCEAEC8">
      <w:pPr>
        <w:widowControl w:val="0"/>
        <w:tabs>
          <w:tab w:val="left" w:pos="945"/>
          <w:tab w:val="left" w:pos="1155"/>
        </w:tabs>
        <w:spacing w:after="120" w:afterLines="0" w:line="240" w:lineRule="auto"/>
        <w:ind w:left="420" w:leftChars="200" w:firstLine="560" w:firstLineChars="200"/>
        <w:jc w:val="both"/>
        <w:rPr>
          <w:rFonts w:hint="eastAsia" w:ascii="宋体" w:hAnsi="宋体" w:eastAsia="宋体" w:cs="宋体"/>
          <w:bCs/>
          <w:color w:val="auto"/>
          <w:kern w:val="2"/>
          <w:sz w:val="28"/>
          <w:szCs w:val="28"/>
          <w:lang w:val="en-US" w:eastAsia="zh-CN" w:bidi="ar-SA"/>
        </w:rPr>
      </w:pPr>
    </w:p>
    <w:p w14:paraId="2048774D">
      <w:pPr>
        <w:spacing w:line="600" w:lineRule="exact"/>
        <w:ind w:firstLine="560" w:firstLineChars="200"/>
        <w:rPr>
          <w:rFonts w:hint="eastAsia" w:ascii="宋体" w:hAnsi="宋体" w:eastAsia="宋体" w:cs="宋体"/>
          <w:bCs/>
          <w:color w:val="auto"/>
          <w:sz w:val="28"/>
          <w:szCs w:val="28"/>
        </w:rPr>
      </w:pPr>
    </w:p>
    <w:p w14:paraId="2879B004">
      <w:pPr>
        <w:widowControl w:val="0"/>
        <w:spacing w:after="120" w:afterLines="0" w:afterAutospacing="0" w:line="600" w:lineRule="exact"/>
        <w:ind w:firstLine="280" w:firstLineChars="100"/>
        <w:jc w:val="both"/>
        <w:rPr>
          <w:rFonts w:hint="eastAsia" w:ascii="宋体" w:hAnsi="宋体" w:eastAsia="宋体" w:cs="宋体"/>
          <w:bCs/>
          <w:color w:val="auto"/>
          <w:kern w:val="2"/>
          <w:sz w:val="28"/>
          <w:szCs w:val="28"/>
          <w:lang w:val="en-US" w:eastAsia="zh-CN" w:bidi="ar-SA"/>
        </w:rPr>
      </w:pPr>
    </w:p>
    <w:p w14:paraId="00400AEB">
      <w:pPr>
        <w:widowControl w:val="0"/>
        <w:tabs>
          <w:tab w:val="left" w:pos="945"/>
          <w:tab w:val="left" w:pos="1155"/>
        </w:tabs>
        <w:spacing w:after="120" w:afterLines="0" w:line="240" w:lineRule="auto"/>
        <w:ind w:left="420" w:leftChars="200" w:firstLine="560" w:firstLineChars="200"/>
        <w:jc w:val="both"/>
        <w:rPr>
          <w:rFonts w:hint="eastAsia" w:ascii="宋体" w:hAnsi="宋体" w:eastAsia="宋体" w:cs="宋体"/>
          <w:bCs/>
          <w:color w:val="auto"/>
          <w:kern w:val="2"/>
          <w:sz w:val="28"/>
          <w:szCs w:val="28"/>
          <w:lang w:val="en-US" w:eastAsia="zh-CN" w:bidi="ar-SA"/>
        </w:rPr>
      </w:pPr>
    </w:p>
    <w:p w14:paraId="7942CD01">
      <w:pPr>
        <w:spacing w:line="600" w:lineRule="exact"/>
        <w:ind w:firstLine="560" w:firstLineChars="200"/>
        <w:rPr>
          <w:rFonts w:hint="eastAsia" w:ascii="宋体" w:hAnsi="宋体" w:eastAsia="宋体" w:cs="宋体"/>
          <w:bCs/>
          <w:color w:val="auto"/>
          <w:sz w:val="28"/>
          <w:szCs w:val="28"/>
        </w:rPr>
      </w:pPr>
    </w:p>
    <w:bookmarkEnd w:id="1136"/>
    <w:bookmarkEnd w:id="1137"/>
    <w:bookmarkEnd w:id="1138"/>
    <w:bookmarkEnd w:id="1139"/>
    <w:p w14:paraId="34307888">
      <w:pPr>
        <w:spacing w:line="400" w:lineRule="exact"/>
        <w:ind w:firstLine="643" w:firstLineChars="200"/>
        <w:jc w:val="center"/>
        <w:outlineLvl w:val="0"/>
        <w:rPr>
          <w:rFonts w:hint="eastAsia" w:ascii="宋体" w:hAnsi="宋体" w:eastAsia="宋体" w:cs="宋体"/>
          <w:b/>
          <w:bCs/>
          <w:color w:val="auto"/>
          <w:sz w:val="32"/>
          <w:szCs w:val="32"/>
        </w:rPr>
      </w:pPr>
      <w:bookmarkStart w:id="1143" w:name="_Toc24319"/>
      <w:bookmarkStart w:id="1144" w:name="_Toc14700"/>
      <w:bookmarkStart w:id="1145" w:name="_Toc14158"/>
      <w:bookmarkStart w:id="1146" w:name="_Toc152042575"/>
      <w:bookmarkStart w:id="1147" w:name="_Toc144974855"/>
      <w:bookmarkStart w:id="1148" w:name="_Toc152045786"/>
      <w:r>
        <w:rPr>
          <w:rFonts w:hint="eastAsia" w:ascii="宋体" w:hAnsi="宋体" w:eastAsia="宋体" w:cs="宋体"/>
          <w:b/>
          <w:bCs/>
          <w:color w:val="auto"/>
          <w:sz w:val="32"/>
          <w:szCs w:val="32"/>
        </w:rPr>
        <w:t xml:space="preserve">第四章  </w:t>
      </w:r>
      <w:r>
        <w:rPr>
          <w:rFonts w:hint="eastAsia" w:ascii="宋体" w:hAnsi="宋体" w:eastAsia="宋体" w:cs="宋体"/>
          <w:b/>
          <w:color w:val="auto"/>
          <w:sz w:val="32"/>
          <w:szCs w:val="32"/>
        </w:rPr>
        <w:t>河南省政府采购合同</w:t>
      </w:r>
      <w:bookmarkEnd w:id="1143"/>
      <w:bookmarkEnd w:id="1144"/>
    </w:p>
    <w:p w14:paraId="32A6FB9F">
      <w:pPr>
        <w:spacing w:line="400" w:lineRule="exact"/>
        <w:ind w:firstLine="450" w:firstLineChars="150"/>
        <w:rPr>
          <w:rFonts w:hint="eastAsia" w:ascii="宋体" w:hAnsi="宋体" w:eastAsia="宋体" w:cs="宋体"/>
          <w:color w:val="auto"/>
          <w:sz w:val="30"/>
          <w:szCs w:val="30"/>
        </w:rPr>
      </w:pPr>
    </w:p>
    <w:p w14:paraId="2886C3A4">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eastAsia="宋体" w:cs="宋体"/>
          <w:sz w:val="24"/>
          <w:szCs w:val="24"/>
        </w:rPr>
      </w:pPr>
      <w:bookmarkStart w:id="1149" w:name="_Toc331685783"/>
      <w:r>
        <w:rPr>
          <w:rFonts w:hint="eastAsia" w:ascii="宋体" w:hAnsi="宋体" w:eastAsia="宋体" w:cs="宋体"/>
          <w:spacing w:val="10"/>
          <w:sz w:val="24"/>
          <w:szCs w:val="24"/>
        </w:rPr>
        <w:t>采购人（采购人</w:t>
      </w:r>
      <w:r>
        <w:rPr>
          <w:rFonts w:hint="eastAsia" w:ascii="宋体" w:hAnsi="宋体" w:eastAsia="宋体" w:cs="宋体"/>
          <w:spacing w:val="-2"/>
          <w:sz w:val="24"/>
          <w:szCs w:val="24"/>
        </w:rPr>
        <w:t>）：</w:t>
      </w:r>
      <w:r>
        <w:rPr>
          <w:rFonts w:hint="eastAsia" w:ascii="宋体" w:hAnsi="宋体" w:eastAsia="宋体" w:cs="宋体"/>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10"/>
          <w:sz w:val="24"/>
          <w:szCs w:val="24"/>
        </w:rPr>
        <w:t>以下简称甲方）</w:t>
      </w:r>
    </w:p>
    <w:p w14:paraId="69535D50">
      <w:pPr>
        <w:keepNext w:val="0"/>
        <w:keepLines w:val="0"/>
        <w:pageBreakBefore w:val="0"/>
        <w:widowControl w:val="0"/>
        <w:kinsoku/>
        <w:wordWrap/>
        <w:overflowPunct/>
        <w:topLinePunct w:val="0"/>
        <w:autoSpaceDE/>
        <w:autoSpaceDN/>
        <w:bidi w:val="0"/>
        <w:adjustRightInd/>
        <w:snapToGrid/>
        <w:spacing w:line="240" w:lineRule="auto"/>
        <w:ind w:left="420"/>
        <w:textAlignment w:val="auto"/>
        <w:rPr>
          <w:rFonts w:hint="eastAsia" w:ascii="宋体" w:hAnsi="宋体" w:eastAsia="宋体" w:cs="宋体"/>
          <w:sz w:val="24"/>
          <w:szCs w:val="24"/>
        </w:rPr>
      </w:pPr>
      <w:r>
        <w:rPr>
          <w:rFonts w:hint="eastAsia" w:ascii="宋体" w:hAnsi="宋体" w:eastAsia="宋体" w:cs="宋体"/>
          <w:spacing w:val="10"/>
          <w:sz w:val="24"/>
          <w:szCs w:val="24"/>
        </w:rPr>
        <w:t>供应商（供应商</w:t>
      </w:r>
      <w:r>
        <w:rPr>
          <w:rFonts w:hint="eastAsia" w:ascii="宋体" w:hAnsi="宋体" w:eastAsia="宋体" w:cs="宋体"/>
          <w:spacing w:val="-2"/>
          <w:sz w:val="24"/>
          <w:szCs w:val="24"/>
        </w:rPr>
        <w:t>）：</w:t>
      </w:r>
      <w:r>
        <w:rPr>
          <w:rFonts w:hint="eastAsia" w:ascii="宋体" w:hAnsi="宋体" w:eastAsia="宋体" w:cs="宋体"/>
          <w:sz w:val="24"/>
          <w:szCs w:val="24"/>
        </w:rPr>
        <w:t xml:space="preserve">                      </w:t>
      </w:r>
      <w:r>
        <w:rPr>
          <w:rFonts w:hint="eastAsia" w:ascii="宋体" w:hAnsi="宋体" w:eastAsia="宋体" w:cs="宋体"/>
          <w:spacing w:val="-2"/>
          <w:sz w:val="24"/>
          <w:szCs w:val="24"/>
        </w:rPr>
        <w:t>（</w:t>
      </w:r>
      <w:r>
        <w:rPr>
          <w:rFonts w:hint="eastAsia" w:ascii="宋体" w:hAnsi="宋体" w:eastAsia="宋体" w:cs="宋体"/>
          <w:spacing w:val="10"/>
          <w:sz w:val="24"/>
          <w:szCs w:val="24"/>
        </w:rPr>
        <w:t>以下简称乙方）</w:t>
      </w:r>
    </w:p>
    <w:p w14:paraId="13AA09EF">
      <w:pPr>
        <w:keepNext w:val="0"/>
        <w:keepLines w:val="0"/>
        <w:pageBreakBefore w:val="0"/>
        <w:widowControl w:val="0"/>
        <w:kinsoku/>
        <w:wordWrap/>
        <w:overflowPunct/>
        <w:topLinePunct w:val="0"/>
        <w:autoSpaceDE/>
        <w:autoSpaceDN/>
        <w:bidi w:val="0"/>
        <w:adjustRightInd/>
        <w:snapToGrid/>
        <w:spacing w:line="240" w:lineRule="auto"/>
        <w:ind w:left="422"/>
        <w:textAlignment w:val="auto"/>
        <w:rPr>
          <w:rFonts w:hint="eastAsia" w:ascii="宋体" w:hAnsi="宋体" w:eastAsia="宋体" w:cs="宋体"/>
          <w:sz w:val="24"/>
          <w:szCs w:val="24"/>
        </w:rPr>
      </w:pPr>
      <w:r>
        <w:rPr>
          <w:rFonts w:hint="eastAsia" w:ascii="宋体" w:hAnsi="宋体" w:eastAsia="宋体" w:cs="宋体"/>
          <w:spacing w:val="9"/>
          <w:sz w:val="24"/>
          <w:szCs w:val="24"/>
        </w:rPr>
        <w:t>经甲乙双方充分协商，特订立本合同，以便共同遵守。</w:t>
      </w:r>
    </w:p>
    <w:p w14:paraId="0EC07288">
      <w:pPr>
        <w:keepNext w:val="0"/>
        <w:keepLines w:val="0"/>
        <w:pageBreakBefore w:val="0"/>
        <w:widowControl w:val="0"/>
        <w:kinsoku/>
        <w:wordWrap/>
        <w:overflowPunct/>
        <w:topLinePunct w:val="0"/>
        <w:autoSpaceDE/>
        <w:autoSpaceDN/>
        <w:bidi w:val="0"/>
        <w:adjustRightInd/>
        <w:snapToGrid/>
        <w:spacing w:line="240" w:lineRule="auto"/>
        <w:ind w:left="21" w:right="70" w:firstLine="399"/>
        <w:textAlignment w:val="auto"/>
        <w:rPr>
          <w:rFonts w:hint="eastAsia" w:ascii="宋体" w:hAnsi="宋体" w:eastAsia="宋体" w:cs="宋体"/>
          <w:sz w:val="24"/>
          <w:szCs w:val="24"/>
        </w:rPr>
      </w:pPr>
      <w:r>
        <w:rPr>
          <w:rFonts w:hint="eastAsia" w:ascii="宋体" w:hAnsi="宋体" w:eastAsia="宋体" w:cs="宋体"/>
          <w:spacing w:val="6"/>
          <w:sz w:val="24"/>
          <w:szCs w:val="24"/>
        </w:rPr>
        <w:t>根据</w:t>
      </w:r>
      <w:r>
        <w:rPr>
          <w:rFonts w:hint="eastAsia" w:ascii="宋体" w:hAnsi="宋体" w:eastAsia="宋体" w:cs="宋体"/>
          <w:spacing w:val="6"/>
          <w:sz w:val="24"/>
          <w:szCs w:val="24"/>
          <w:u w:val="single" w:color="auto"/>
        </w:rPr>
        <w:t xml:space="preserve">           项目名称</w:t>
      </w:r>
      <w:r>
        <w:rPr>
          <w:rFonts w:hint="eastAsia" w:ascii="宋体" w:hAnsi="宋体" w:eastAsia="宋体" w:cs="宋体"/>
          <w:spacing w:val="35"/>
          <w:sz w:val="24"/>
          <w:szCs w:val="24"/>
          <w:u w:val="single" w:color="auto"/>
        </w:rPr>
        <w:t xml:space="preserve"> </w:t>
      </w:r>
      <w:r>
        <w:rPr>
          <w:rFonts w:hint="eastAsia" w:ascii="宋体" w:hAnsi="宋体" w:eastAsia="宋体" w:cs="宋体"/>
          <w:spacing w:val="6"/>
          <w:sz w:val="24"/>
          <w:szCs w:val="24"/>
        </w:rPr>
        <w:t>的采购结果，按照《中华人民共和国政府采购法》、《中华人民共和国</w:t>
      </w:r>
      <w:r>
        <w:rPr>
          <w:rFonts w:hint="eastAsia" w:ascii="宋体" w:hAnsi="宋体" w:eastAsia="宋体" w:cs="宋体"/>
          <w:spacing w:val="9"/>
          <w:sz w:val="24"/>
          <w:szCs w:val="24"/>
        </w:rPr>
        <w:t>民法典》的规定，经双方协商，本着平等互利和诚实信用的原则，一致同意签订本合同如下。</w:t>
      </w:r>
    </w:p>
    <w:p w14:paraId="48E4C9F0">
      <w:pPr>
        <w:keepNext w:val="0"/>
        <w:keepLines w:val="0"/>
        <w:pageBreakBefore w:val="0"/>
        <w:widowControl w:val="0"/>
        <w:kinsoku/>
        <w:wordWrap/>
        <w:overflowPunct/>
        <w:topLinePunct w:val="0"/>
        <w:autoSpaceDE/>
        <w:autoSpaceDN/>
        <w:bidi w:val="0"/>
        <w:adjustRightInd/>
        <w:snapToGrid/>
        <w:spacing w:line="240" w:lineRule="auto"/>
        <w:ind w:left="4"/>
        <w:textAlignment w:val="auto"/>
        <w:rPr>
          <w:rFonts w:hint="eastAsia" w:ascii="宋体" w:hAnsi="宋体" w:eastAsia="宋体" w:cs="宋体"/>
          <w:sz w:val="24"/>
          <w:szCs w:val="24"/>
        </w:rPr>
      </w:pPr>
      <w:r>
        <w:rPr>
          <w:rFonts w:hint="eastAsia" w:ascii="宋体" w:hAnsi="宋体" w:eastAsia="宋体" w:cs="宋体"/>
          <w:b/>
          <w:bCs/>
          <w:spacing w:val="6"/>
          <w:sz w:val="24"/>
          <w:szCs w:val="24"/>
        </w:rPr>
        <w:t>一、合同金额</w:t>
      </w:r>
    </w:p>
    <w:p w14:paraId="013DE6C2">
      <w:pPr>
        <w:keepNext w:val="0"/>
        <w:keepLines w:val="0"/>
        <w:pageBreakBefore w:val="0"/>
        <w:widowControl w:val="0"/>
        <w:kinsoku/>
        <w:wordWrap/>
        <w:overflowPunct/>
        <w:topLinePunct w:val="0"/>
        <w:autoSpaceDE/>
        <w:autoSpaceDN/>
        <w:bidi w:val="0"/>
        <w:adjustRightInd/>
        <w:snapToGrid/>
        <w:spacing w:line="240" w:lineRule="auto"/>
        <w:ind w:left="421"/>
        <w:textAlignment w:val="auto"/>
        <w:rPr>
          <w:rFonts w:hint="eastAsia" w:ascii="宋体" w:hAnsi="宋体" w:eastAsia="宋体" w:cs="宋体"/>
          <w:sz w:val="24"/>
          <w:szCs w:val="24"/>
        </w:rPr>
      </w:pPr>
      <w:r>
        <w:rPr>
          <w:rFonts w:hint="eastAsia" w:ascii="宋体" w:hAnsi="宋体" w:eastAsia="宋体" w:cs="宋体"/>
          <w:spacing w:val="5"/>
          <w:sz w:val="24"/>
          <w:szCs w:val="24"/>
        </w:rPr>
        <w:t>合同金额为（大写</w:t>
      </w:r>
      <w:r>
        <w:rPr>
          <w:rFonts w:hint="eastAsia" w:ascii="宋体" w:hAnsi="宋体" w:eastAsia="宋体" w:cs="宋体"/>
          <w:spacing w:val="13"/>
          <w:sz w:val="24"/>
          <w:szCs w:val="24"/>
        </w:rPr>
        <w:t>）：</w:t>
      </w:r>
      <w:r>
        <w:rPr>
          <w:rFonts w:hint="eastAsia" w:ascii="宋体" w:hAnsi="宋体" w:eastAsia="宋体" w:cs="宋体"/>
          <w:spacing w:val="5"/>
          <w:sz w:val="24"/>
          <w:szCs w:val="24"/>
          <w:u w:val="single" w:color="auto"/>
        </w:rPr>
        <w:t xml:space="preserve">              </w:t>
      </w:r>
      <w:r>
        <w:rPr>
          <w:rFonts w:hint="eastAsia" w:ascii="宋体" w:hAnsi="宋体" w:eastAsia="宋体" w:cs="宋体"/>
          <w:spacing w:val="18"/>
          <w:sz w:val="24"/>
          <w:szCs w:val="24"/>
        </w:rPr>
        <w:t xml:space="preserve"> </w:t>
      </w:r>
      <w:r>
        <w:rPr>
          <w:rFonts w:hint="eastAsia" w:ascii="宋体" w:hAnsi="宋体" w:eastAsia="宋体" w:cs="宋体"/>
          <w:spacing w:val="5"/>
          <w:sz w:val="24"/>
          <w:szCs w:val="24"/>
        </w:rPr>
        <w:t>(￥</w:t>
      </w:r>
      <w:r>
        <w:rPr>
          <w:rFonts w:hint="eastAsia" w:ascii="宋体" w:hAnsi="宋体" w:eastAsia="宋体" w:cs="宋体"/>
          <w:spacing w:val="-77"/>
          <w:sz w:val="24"/>
          <w:szCs w:val="24"/>
        </w:rPr>
        <w:t xml:space="preserve"> </w:t>
      </w:r>
      <w:r>
        <w:rPr>
          <w:rFonts w:hint="eastAsia" w:ascii="宋体" w:hAnsi="宋体" w:eastAsia="宋体" w:cs="宋体"/>
          <w:spacing w:val="5"/>
          <w:sz w:val="24"/>
          <w:szCs w:val="24"/>
          <w:u w:val="single" w:color="auto"/>
        </w:rPr>
        <w:t xml:space="preserve">               </w:t>
      </w:r>
      <w:r>
        <w:rPr>
          <w:rFonts w:hint="eastAsia" w:ascii="宋体" w:hAnsi="宋体" w:eastAsia="宋体" w:cs="宋体"/>
          <w:spacing w:val="-88"/>
          <w:sz w:val="24"/>
          <w:szCs w:val="24"/>
        </w:rPr>
        <w:t xml:space="preserve"> </w:t>
      </w:r>
      <w:r>
        <w:rPr>
          <w:rFonts w:hint="eastAsia" w:ascii="宋体" w:hAnsi="宋体" w:eastAsia="宋体" w:cs="宋体"/>
          <w:spacing w:val="5"/>
          <w:sz w:val="24"/>
          <w:szCs w:val="24"/>
        </w:rPr>
        <w:t>元）人民币。</w:t>
      </w:r>
    </w:p>
    <w:p w14:paraId="17FBA077">
      <w:pPr>
        <w:keepNext w:val="0"/>
        <w:keepLines w:val="0"/>
        <w:pageBreakBefore w:val="0"/>
        <w:widowControl w:val="0"/>
        <w:kinsoku/>
        <w:wordWrap/>
        <w:overflowPunct/>
        <w:topLinePunct w:val="0"/>
        <w:autoSpaceDE/>
        <w:autoSpaceDN/>
        <w:bidi w:val="0"/>
        <w:adjustRightInd/>
        <w:snapToGrid/>
        <w:spacing w:line="240" w:lineRule="auto"/>
        <w:ind w:left="4"/>
        <w:textAlignment w:val="auto"/>
        <w:rPr>
          <w:rFonts w:hint="eastAsia" w:ascii="宋体" w:hAnsi="宋体" w:eastAsia="宋体" w:cs="宋体"/>
          <w:sz w:val="24"/>
          <w:szCs w:val="24"/>
        </w:rPr>
      </w:pPr>
      <w:r>
        <w:rPr>
          <w:rFonts w:hint="eastAsia" w:ascii="宋体" w:hAnsi="宋体" w:eastAsia="宋体" w:cs="宋体"/>
          <w:b/>
          <w:bCs/>
          <w:spacing w:val="6"/>
          <w:sz w:val="24"/>
          <w:szCs w:val="24"/>
        </w:rPr>
        <w:t>二、</w:t>
      </w:r>
      <w:r>
        <w:rPr>
          <w:rFonts w:hint="eastAsia" w:ascii="宋体" w:hAnsi="宋体" w:eastAsia="宋体" w:cs="宋体"/>
          <w:b/>
          <w:bCs/>
          <w:color w:val="auto"/>
          <w:spacing w:val="-2"/>
          <w:sz w:val="24"/>
          <w:szCs w:val="24"/>
          <w:highlight w:val="none"/>
          <w:lang w:eastAsia="zh-CN"/>
        </w:rPr>
        <w:t>服务范围、内容、技术标准及成果质量与计次规则</w:t>
      </w:r>
    </w:p>
    <w:p w14:paraId="625D6BD7">
      <w:pPr>
        <w:keepNext w:val="0"/>
        <w:keepLines w:val="0"/>
        <w:pageBreakBefore w:val="0"/>
        <w:widowControl w:val="0"/>
        <w:kinsoku/>
        <w:wordWrap/>
        <w:overflowPunct/>
        <w:topLinePunct w:val="0"/>
        <w:autoSpaceDE/>
        <w:autoSpaceDN/>
        <w:bidi w:val="0"/>
        <w:adjustRightInd/>
        <w:snapToGrid/>
        <w:spacing w:line="240" w:lineRule="auto"/>
        <w:ind w:left="25" w:right="13" w:firstLine="478"/>
        <w:jc w:val="both"/>
        <w:textAlignment w:val="auto"/>
        <w:rPr>
          <w:rFonts w:hint="eastAsia" w:ascii="宋体" w:hAnsi="宋体" w:eastAsia="宋体" w:cs="宋体"/>
          <w:sz w:val="24"/>
          <w:szCs w:val="24"/>
          <w:lang w:eastAsia="zh-CN"/>
        </w:rPr>
      </w:pPr>
      <w:r>
        <w:rPr>
          <w:rFonts w:hint="eastAsia" w:ascii="宋体" w:hAnsi="宋体" w:eastAsia="宋体" w:cs="宋体"/>
          <w:color w:val="auto"/>
          <w:spacing w:val="-3"/>
          <w:sz w:val="24"/>
          <w:szCs w:val="24"/>
          <w:highlight w:val="none"/>
          <w:lang w:eastAsia="zh-CN"/>
        </w:rPr>
        <w:t>本合同属于政府采购技术服务合同，服务内容包括息县国土空间总体规划2026年度动态维护</w:t>
      </w:r>
      <w:r>
        <w:rPr>
          <w:rFonts w:hint="eastAsia" w:ascii="宋体" w:hAnsi="宋体" w:eastAsia="宋体" w:cs="宋体"/>
          <w:color w:val="auto"/>
          <w:spacing w:val="-3"/>
          <w:sz w:val="24"/>
          <w:szCs w:val="24"/>
          <w:highlight w:val="none"/>
          <w:lang w:val="en-US" w:eastAsia="zh-CN"/>
        </w:rPr>
        <w:t>方案</w:t>
      </w:r>
      <w:r>
        <w:rPr>
          <w:rFonts w:hint="eastAsia" w:ascii="宋体" w:hAnsi="宋体" w:eastAsia="宋体" w:cs="宋体"/>
          <w:color w:val="auto"/>
          <w:spacing w:val="-2"/>
          <w:sz w:val="24"/>
          <w:szCs w:val="24"/>
          <w:highlight w:val="none"/>
          <w:lang w:eastAsia="zh-CN"/>
        </w:rPr>
        <w:t>、规划数据库建设及相关配套服务。乙方保证具备</w:t>
      </w:r>
      <w:r>
        <w:rPr>
          <w:rFonts w:hint="eastAsia" w:ascii="宋体" w:hAnsi="宋体" w:eastAsia="宋体" w:cs="宋体"/>
          <w:color w:val="auto"/>
          <w:spacing w:val="-3"/>
          <w:sz w:val="24"/>
          <w:szCs w:val="24"/>
          <w:highlight w:val="none"/>
          <w:lang w:eastAsia="zh-CN"/>
        </w:rPr>
        <w:t>承担本项目所需的城乡规划编制单位资质及相应技术能力，资</w:t>
      </w:r>
      <w:r>
        <w:rPr>
          <w:rFonts w:hint="eastAsia" w:ascii="宋体" w:hAnsi="宋体" w:eastAsia="宋体" w:cs="宋体"/>
          <w:color w:val="auto"/>
          <w:spacing w:val="-3"/>
          <w:sz w:val="24"/>
          <w:szCs w:val="24"/>
          <w:lang w:eastAsia="zh-CN"/>
        </w:rPr>
        <w:t>质证书</w:t>
      </w:r>
      <w:r>
        <w:rPr>
          <w:rFonts w:hint="eastAsia" w:ascii="宋体" w:hAnsi="宋体" w:eastAsia="宋体" w:cs="宋体"/>
          <w:color w:val="auto"/>
          <w:spacing w:val="-1"/>
          <w:sz w:val="24"/>
          <w:szCs w:val="24"/>
          <w:lang w:eastAsia="zh-CN"/>
        </w:rPr>
        <w:t>真</w:t>
      </w:r>
      <w:r>
        <w:rPr>
          <w:rFonts w:hint="eastAsia" w:ascii="宋体" w:hAnsi="宋体" w:eastAsia="宋体" w:cs="宋体"/>
          <w:spacing w:val="-1"/>
          <w:sz w:val="24"/>
          <w:szCs w:val="24"/>
          <w:lang w:eastAsia="zh-CN"/>
        </w:rPr>
        <w:t>实有效且在有效期内，对成果的合法性、合规性承担全部责任。</w:t>
      </w:r>
    </w:p>
    <w:p w14:paraId="34FF13A3">
      <w:pPr>
        <w:keepNext w:val="0"/>
        <w:keepLines w:val="0"/>
        <w:pageBreakBefore w:val="0"/>
        <w:widowControl w:val="0"/>
        <w:kinsoku/>
        <w:wordWrap/>
        <w:overflowPunct/>
        <w:topLinePunct w:val="0"/>
        <w:autoSpaceDE/>
        <w:autoSpaceDN/>
        <w:bidi w:val="0"/>
        <w:adjustRightInd/>
        <w:snapToGrid/>
        <w:spacing w:line="240" w:lineRule="auto"/>
        <w:ind w:left="18" w:right="13" w:firstLine="517"/>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乙方应于合同签订后3日内提交项目团队全部人员的资质证书、社保证明供甲方核验；投标文件中承诺的项目负责人、技术骨干、注册规划师均为本单位</w:t>
      </w:r>
      <w:r>
        <w:rPr>
          <w:rFonts w:hint="eastAsia" w:ascii="宋体" w:hAnsi="宋体" w:eastAsia="宋体" w:cs="宋体"/>
          <w:spacing w:val="-1"/>
          <w:sz w:val="24"/>
          <w:szCs w:val="24"/>
          <w:lang w:eastAsia="zh-CN"/>
        </w:rPr>
        <w:t>正式在职人员。</w:t>
      </w:r>
    </w:p>
    <w:p w14:paraId="38A129B5">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11"/>
          <w:sz w:val="24"/>
          <w:szCs w:val="24"/>
          <w:lang w:eastAsia="zh-CN"/>
        </w:rPr>
        <w:t>（一）服务范围</w:t>
      </w:r>
    </w:p>
    <w:p w14:paraId="565F7651">
      <w:pPr>
        <w:keepNext w:val="0"/>
        <w:keepLines w:val="0"/>
        <w:pageBreakBefore w:val="0"/>
        <w:widowControl w:val="0"/>
        <w:kinsoku/>
        <w:wordWrap/>
        <w:overflowPunct/>
        <w:topLinePunct w:val="0"/>
        <w:autoSpaceDE/>
        <w:autoSpaceDN/>
        <w:bidi w:val="0"/>
        <w:adjustRightInd/>
        <w:snapToGrid/>
        <w:spacing w:line="240" w:lineRule="auto"/>
        <w:ind w:left="25" w:right="13" w:firstLine="478"/>
        <w:jc w:val="both"/>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本次动态维护工作的空间覆盖范围与已批复的《总体规划》范围一致，为</w:t>
      </w:r>
      <w:r>
        <w:rPr>
          <w:rFonts w:hint="eastAsia" w:ascii="宋体" w:hAnsi="宋体" w:eastAsia="宋体" w:cs="宋体"/>
          <w:spacing w:val="-3"/>
          <w:sz w:val="24"/>
          <w:szCs w:val="24"/>
          <w:lang w:val="en-US" w:eastAsia="zh-CN"/>
        </w:rPr>
        <w:t>息县</w:t>
      </w:r>
      <w:r>
        <w:rPr>
          <w:rFonts w:hint="eastAsia" w:ascii="宋体" w:hAnsi="宋体" w:eastAsia="宋体" w:cs="宋体"/>
          <w:spacing w:val="-3"/>
          <w:sz w:val="24"/>
          <w:szCs w:val="24"/>
          <w:lang w:eastAsia="zh-CN"/>
        </w:rPr>
        <w:t>行政辖区内全部国土空间，包括县域和中心城区两个层次。</w:t>
      </w:r>
    </w:p>
    <w:p w14:paraId="511F120A">
      <w:pPr>
        <w:keepNext w:val="0"/>
        <w:keepLines w:val="0"/>
        <w:pageBreakBefore w:val="0"/>
        <w:widowControl w:val="0"/>
        <w:kinsoku/>
        <w:wordWrap/>
        <w:overflowPunct/>
        <w:topLinePunct w:val="0"/>
        <w:autoSpaceDE/>
        <w:autoSpaceDN/>
        <w:bidi w:val="0"/>
        <w:adjustRightInd/>
        <w:snapToGrid/>
        <w:spacing w:line="240" w:lineRule="auto"/>
        <w:ind w:left="25" w:right="13" w:firstLine="478"/>
        <w:jc w:val="both"/>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eastAsia="zh-CN"/>
        </w:rPr>
        <w:t>县域：息县行政管辖范围，包括谯楼街道办事处、龙湖街道办事处、淮河街道办事处、濮公山管理区、包信镇、夏庄镇、项店镇、曹黄林镇、东岳镇、小茴店镇、八里岔乡、孙庙乡、路口乡、张陶乡、彭店乡、杨店乡、白土店乡、岗李店乡、长陵乡、陈棚乡、临河乡、关店乡</w:t>
      </w:r>
      <w:r>
        <w:rPr>
          <w:rFonts w:hint="eastAsia" w:ascii="宋体" w:hAnsi="宋体" w:eastAsia="宋体" w:cs="宋体"/>
          <w:spacing w:val="-3"/>
          <w:sz w:val="24"/>
          <w:szCs w:val="24"/>
          <w:lang w:val="en-US" w:eastAsia="zh-CN"/>
        </w:rPr>
        <w:t>共3</w:t>
      </w:r>
      <w:r>
        <w:rPr>
          <w:rFonts w:hint="eastAsia" w:ascii="宋体" w:hAnsi="宋体" w:eastAsia="宋体" w:cs="宋体"/>
          <w:spacing w:val="-3"/>
          <w:sz w:val="24"/>
          <w:szCs w:val="24"/>
          <w:lang w:eastAsia="zh-CN"/>
        </w:rPr>
        <w:t>个街道办事处、</w:t>
      </w:r>
      <w:r>
        <w:rPr>
          <w:rFonts w:hint="eastAsia" w:ascii="宋体" w:hAnsi="宋体" w:eastAsia="宋体" w:cs="宋体"/>
          <w:spacing w:val="-3"/>
          <w:sz w:val="24"/>
          <w:szCs w:val="24"/>
          <w:lang w:val="en-US" w:eastAsia="zh-CN"/>
        </w:rPr>
        <w:t>1个管理区、</w:t>
      </w:r>
      <w:r>
        <w:rPr>
          <w:rFonts w:hint="eastAsia" w:ascii="宋体" w:hAnsi="宋体" w:eastAsia="宋体" w:cs="宋体"/>
          <w:spacing w:val="-3"/>
          <w:sz w:val="24"/>
          <w:szCs w:val="24"/>
          <w:lang w:eastAsia="zh-CN"/>
        </w:rPr>
        <w:t>6个镇、12个乡。国土面积1892</w:t>
      </w:r>
      <w:r>
        <w:rPr>
          <w:rFonts w:hint="eastAsia" w:ascii="宋体" w:hAnsi="宋体" w:eastAsia="宋体" w:cs="宋体"/>
          <w:spacing w:val="-3"/>
          <w:sz w:val="24"/>
          <w:szCs w:val="24"/>
          <w:lang w:val="en-US" w:eastAsia="zh-CN"/>
        </w:rPr>
        <w:t>.</w:t>
      </w:r>
      <w:r>
        <w:rPr>
          <w:rFonts w:hint="eastAsia" w:ascii="宋体" w:hAnsi="宋体" w:eastAsia="宋体" w:cs="宋体"/>
          <w:spacing w:val="-3"/>
          <w:sz w:val="24"/>
          <w:szCs w:val="24"/>
          <w:lang w:eastAsia="zh-CN"/>
        </w:rPr>
        <w:t>47平方公里。</w:t>
      </w:r>
    </w:p>
    <w:p w14:paraId="19C9E843">
      <w:pPr>
        <w:keepNext w:val="0"/>
        <w:keepLines w:val="0"/>
        <w:pageBreakBefore w:val="0"/>
        <w:widowControl w:val="0"/>
        <w:kinsoku/>
        <w:wordWrap/>
        <w:overflowPunct/>
        <w:topLinePunct w:val="0"/>
        <w:autoSpaceDE/>
        <w:autoSpaceDN/>
        <w:bidi w:val="0"/>
        <w:adjustRightInd/>
        <w:snapToGrid/>
        <w:spacing w:line="240" w:lineRule="auto"/>
        <w:ind w:left="25" w:right="13" w:firstLine="478"/>
        <w:jc w:val="both"/>
        <w:textAlignment w:val="auto"/>
        <w:rPr>
          <w:rFonts w:hint="eastAsia" w:ascii="宋体" w:hAnsi="宋体" w:eastAsia="宋体" w:cs="宋体"/>
          <w:spacing w:val="-3"/>
          <w:sz w:val="24"/>
          <w:szCs w:val="24"/>
          <w:lang w:eastAsia="zh-CN"/>
        </w:rPr>
      </w:pPr>
      <w:r>
        <w:rPr>
          <w:rFonts w:hint="eastAsia" w:ascii="宋体" w:hAnsi="宋体" w:eastAsia="宋体" w:cs="宋体"/>
          <w:spacing w:val="-3"/>
          <w:sz w:val="24"/>
          <w:szCs w:val="24"/>
          <w:lang w:val="en-US" w:eastAsia="zh-CN"/>
        </w:rPr>
        <w:t>中心</w:t>
      </w:r>
      <w:r>
        <w:rPr>
          <w:rFonts w:hint="eastAsia" w:ascii="宋体" w:hAnsi="宋体" w:eastAsia="宋体" w:cs="宋体"/>
          <w:spacing w:val="-3"/>
          <w:sz w:val="24"/>
          <w:szCs w:val="24"/>
          <w:lang w:eastAsia="zh-CN"/>
        </w:rPr>
        <w:t>城区：中心城区范围北至外环路、西至西南环路、东至宏达路，向南跨淮河至濮公山组团和临港组团，中心城区面积74.</w:t>
      </w:r>
      <w:r>
        <w:rPr>
          <w:rFonts w:hint="eastAsia" w:ascii="宋体" w:hAnsi="宋体" w:eastAsia="宋体" w:cs="宋体"/>
          <w:spacing w:val="-3"/>
          <w:sz w:val="24"/>
          <w:szCs w:val="24"/>
          <w:lang w:val="en-US" w:eastAsia="zh-CN"/>
        </w:rPr>
        <w:t>53</w:t>
      </w:r>
      <w:r>
        <w:rPr>
          <w:rFonts w:hint="eastAsia" w:ascii="宋体" w:hAnsi="宋体" w:eastAsia="宋体" w:cs="宋体"/>
          <w:spacing w:val="-3"/>
          <w:sz w:val="24"/>
          <w:szCs w:val="24"/>
          <w:lang w:eastAsia="zh-CN"/>
        </w:rPr>
        <w:t>平方公里。</w:t>
      </w:r>
    </w:p>
    <w:p w14:paraId="71E00E34">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（二）编制内容</w:t>
      </w:r>
    </w:p>
    <w:p w14:paraId="3B8DE61D">
      <w:pPr>
        <w:keepNext w:val="0"/>
        <w:keepLines w:val="0"/>
        <w:pageBreakBefore w:val="0"/>
        <w:widowControl w:val="0"/>
        <w:kinsoku/>
        <w:wordWrap/>
        <w:overflowPunct/>
        <w:topLinePunct w:val="0"/>
        <w:autoSpaceDE/>
        <w:autoSpaceDN/>
        <w:bidi w:val="0"/>
        <w:adjustRightInd/>
        <w:snapToGrid/>
        <w:spacing w:line="240" w:lineRule="auto"/>
        <w:ind w:left="33" w:right="13" w:firstLine="497"/>
        <w:jc w:val="both"/>
        <w:textAlignment w:val="auto"/>
        <w:rPr>
          <w:rFonts w:hint="eastAsia" w:ascii="宋体" w:hAnsi="宋体" w:eastAsia="宋体" w:cs="宋体"/>
          <w:sz w:val="24"/>
          <w:szCs w:val="24"/>
          <w:lang w:eastAsia="zh-CN"/>
        </w:rPr>
      </w:pPr>
      <w:r>
        <w:rPr>
          <w:rFonts w:hint="eastAsia" w:ascii="宋体" w:hAnsi="宋体" w:eastAsia="宋体" w:cs="宋体"/>
          <w:spacing w:val="-5"/>
          <w:sz w:val="24"/>
          <w:szCs w:val="24"/>
          <w:lang w:eastAsia="zh-CN"/>
        </w:rPr>
        <w:t>息县国土空间总体规划2026年度动态维护</w:t>
      </w:r>
      <w:r>
        <w:rPr>
          <w:rFonts w:hint="eastAsia" w:ascii="宋体" w:hAnsi="宋体" w:eastAsia="宋体" w:cs="宋体"/>
          <w:spacing w:val="-5"/>
          <w:sz w:val="24"/>
          <w:szCs w:val="24"/>
          <w:lang w:val="en-US" w:eastAsia="zh-CN"/>
        </w:rPr>
        <w:t>编制项目</w:t>
      </w:r>
      <w:r>
        <w:rPr>
          <w:rFonts w:hint="eastAsia" w:ascii="宋体" w:hAnsi="宋体" w:eastAsia="宋体" w:cs="宋体"/>
          <w:spacing w:val="-2"/>
          <w:sz w:val="24"/>
          <w:szCs w:val="24"/>
          <w:lang w:eastAsia="zh-CN"/>
        </w:rPr>
        <w:t>全部编制内容包含</w:t>
      </w:r>
      <w:r>
        <w:rPr>
          <w:rFonts w:hint="eastAsia" w:ascii="宋体" w:hAnsi="宋体" w:eastAsia="宋体" w:cs="宋体"/>
          <w:spacing w:val="-2"/>
          <w:sz w:val="24"/>
          <w:szCs w:val="24"/>
          <w:lang w:val="en-US" w:eastAsia="zh-CN"/>
        </w:rPr>
        <w:t>两</w:t>
      </w:r>
      <w:r>
        <w:rPr>
          <w:rFonts w:hint="eastAsia" w:ascii="宋体" w:hAnsi="宋体" w:eastAsia="宋体" w:cs="宋体"/>
          <w:spacing w:val="-2"/>
          <w:sz w:val="24"/>
          <w:szCs w:val="24"/>
          <w:lang w:eastAsia="zh-CN"/>
        </w:rPr>
        <w:t>类工作：</w:t>
      </w:r>
    </w:p>
    <w:p w14:paraId="4DC1BEE0">
      <w:pPr>
        <w:keepNext w:val="0"/>
        <w:keepLines w:val="0"/>
        <w:pageBreakBefore w:val="0"/>
        <w:widowControl w:val="0"/>
        <w:kinsoku/>
        <w:wordWrap/>
        <w:overflowPunct/>
        <w:topLinePunct w:val="0"/>
        <w:autoSpaceDE/>
        <w:autoSpaceDN/>
        <w:bidi w:val="0"/>
        <w:adjustRightInd/>
        <w:snapToGrid/>
        <w:spacing w:line="240" w:lineRule="auto"/>
        <w:ind w:left="499"/>
        <w:jc w:val="both"/>
        <w:textAlignment w:val="auto"/>
        <w:rPr>
          <w:rFonts w:hint="eastAsia" w:ascii="宋体" w:hAnsi="宋体" w:eastAsia="宋体" w:cs="宋体"/>
          <w:b/>
          <w:bCs/>
          <w:spacing w:val="-2"/>
          <w:sz w:val="24"/>
          <w:szCs w:val="24"/>
          <w:highlight w:val="none"/>
          <w:lang w:eastAsia="zh-CN"/>
        </w:rPr>
      </w:pPr>
      <w:r>
        <w:rPr>
          <w:rFonts w:hint="eastAsia" w:ascii="宋体" w:hAnsi="宋体" w:eastAsia="宋体" w:cs="宋体"/>
          <w:b/>
          <w:bCs/>
          <w:spacing w:val="-2"/>
          <w:sz w:val="24"/>
          <w:szCs w:val="24"/>
          <w:highlight w:val="none"/>
          <w:lang w:eastAsia="zh-CN"/>
        </w:rPr>
        <w:t>1.息县国土空间总体规划2026年度动态维护</w:t>
      </w:r>
      <w:r>
        <w:rPr>
          <w:rFonts w:hint="eastAsia" w:ascii="宋体" w:hAnsi="宋体" w:eastAsia="宋体" w:cs="宋体"/>
          <w:b/>
          <w:bCs/>
          <w:spacing w:val="-2"/>
          <w:sz w:val="24"/>
          <w:szCs w:val="24"/>
          <w:highlight w:val="none"/>
          <w:lang w:val="en-US" w:eastAsia="zh-CN"/>
        </w:rPr>
        <w:t>方案</w:t>
      </w:r>
      <w:r>
        <w:rPr>
          <w:rFonts w:hint="eastAsia" w:ascii="宋体" w:hAnsi="宋体" w:eastAsia="宋体" w:cs="宋体"/>
          <w:b/>
          <w:bCs/>
          <w:spacing w:val="-2"/>
          <w:sz w:val="24"/>
          <w:szCs w:val="24"/>
          <w:highlight w:val="none"/>
          <w:lang w:eastAsia="zh-CN"/>
        </w:rPr>
        <w:t>编制；</w:t>
      </w:r>
    </w:p>
    <w:p w14:paraId="1CC47723">
      <w:pPr>
        <w:keepNext w:val="0"/>
        <w:keepLines w:val="0"/>
        <w:pageBreakBefore w:val="0"/>
        <w:widowControl w:val="0"/>
        <w:kinsoku/>
        <w:wordWrap/>
        <w:overflowPunct/>
        <w:topLinePunct w:val="0"/>
        <w:autoSpaceDE/>
        <w:autoSpaceDN/>
        <w:bidi w:val="0"/>
        <w:adjustRightInd/>
        <w:snapToGrid/>
        <w:spacing w:line="240" w:lineRule="auto"/>
        <w:ind w:left="499"/>
        <w:jc w:val="both"/>
        <w:textAlignment w:val="auto"/>
        <w:rPr>
          <w:rFonts w:hint="eastAsia" w:ascii="宋体" w:hAnsi="宋体" w:eastAsia="宋体" w:cs="宋体"/>
          <w:b/>
          <w:bCs/>
          <w:spacing w:val="-2"/>
          <w:sz w:val="24"/>
          <w:szCs w:val="24"/>
          <w:highlight w:val="none"/>
          <w:lang w:eastAsia="zh-CN"/>
        </w:rPr>
      </w:pPr>
      <w:r>
        <w:rPr>
          <w:rFonts w:hint="eastAsia" w:ascii="宋体" w:hAnsi="宋体" w:eastAsia="宋体" w:cs="宋体"/>
          <w:b/>
          <w:bCs/>
          <w:spacing w:val="-2"/>
          <w:sz w:val="24"/>
          <w:szCs w:val="24"/>
          <w:highlight w:val="none"/>
          <w:lang w:eastAsia="zh-CN"/>
        </w:rPr>
        <w:t>2.规划数据库建设与成果汇交。</w:t>
      </w:r>
    </w:p>
    <w:p w14:paraId="066AB96C">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highlight w:val="none"/>
          <w:lang w:eastAsia="zh-CN"/>
        </w:rPr>
      </w:pPr>
      <w:r>
        <w:rPr>
          <w:rFonts w:hint="eastAsia" w:ascii="宋体" w:hAnsi="宋体" w:eastAsia="宋体" w:cs="宋体"/>
          <w:b/>
          <w:bCs/>
          <w:spacing w:val="-5"/>
          <w:sz w:val="24"/>
          <w:szCs w:val="24"/>
          <w:highlight w:val="none"/>
          <w:lang w:eastAsia="zh-CN"/>
        </w:rPr>
        <w:t>（三）技术标准及成果质量与计次规则</w:t>
      </w:r>
    </w:p>
    <w:p w14:paraId="475829B1">
      <w:pPr>
        <w:keepNext w:val="0"/>
        <w:keepLines w:val="0"/>
        <w:pageBreakBefore w:val="0"/>
        <w:widowControl w:val="0"/>
        <w:kinsoku/>
        <w:wordWrap/>
        <w:overflowPunct/>
        <w:topLinePunct w:val="0"/>
        <w:autoSpaceDE/>
        <w:autoSpaceDN/>
        <w:bidi w:val="0"/>
        <w:adjustRightInd/>
        <w:snapToGrid/>
        <w:spacing w:line="240" w:lineRule="auto"/>
        <w:ind w:left="29"/>
        <w:jc w:val="both"/>
        <w:textAlignment w:val="auto"/>
        <w:outlineLvl w:val="2"/>
        <w:rPr>
          <w:rFonts w:hint="eastAsia" w:ascii="宋体" w:hAnsi="宋体" w:eastAsia="宋体" w:cs="宋体"/>
          <w:sz w:val="24"/>
          <w:szCs w:val="24"/>
          <w:highlight w:val="none"/>
          <w:lang w:eastAsia="zh-CN"/>
        </w:rPr>
      </w:pPr>
      <w:r>
        <w:rPr>
          <w:rFonts w:hint="eastAsia" w:ascii="宋体" w:hAnsi="宋体" w:eastAsia="宋体" w:cs="宋体"/>
          <w:b/>
          <w:bCs/>
          <w:spacing w:val="-4"/>
          <w:sz w:val="24"/>
          <w:szCs w:val="24"/>
          <w:highlight w:val="none"/>
          <w:lang w:eastAsia="zh-CN"/>
        </w:rPr>
        <w:t>1.技术标准</w:t>
      </w:r>
    </w:p>
    <w:p w14:paraId="1C4453C1">
      <w:pPr>
        <w:keepNext w:val="0"/>
        <w:keepLines w:val="0"/>
        <w:pageBreakBefore w:val="0"/>
        <w:widowControl w:val="0"/>
        <w:kinsoku/>
        <w:wordWrap/>
        <w:overflowPunct/>
        <w:topLinePunct w:val="0"/>
        <w:autoSpaceDE/>
        <w:autoSpaceDN/>
        <w:bidi w:val="0"/>
        <w:adjustRightInd/>
        <w:snapToGrid/>
        <w:spacing w:line="240" w:lineRule="auto"/>
        <w:ind w:left="34" w:right="13" w:firstLine="501"/>
        <w:jc w:val="both"/>
        <w:textAlignment w:val="auto"/>
        <w:rPr>
          <w:rFonts w:hint="eastAsia" w:ascii="宋体" w:hAnsi="宋体" w:eastAsia="宋体" w:cs="宋体"/>
          <w:sz w:val="24"/>
          <w:szCs w:val="24"/>
          <w:highlight w:val="none"/>
          <w:lang w:eastAsia="zh-CN"/>
        </w:rPr>
      </w:pPr>
      <w:r>
        <w:rPr>
          <w:rFonts w:hint="eastAsia" w:ascii="宋体" w:hAnsi="宋体" w:eastAsia="宋体" w:cs="宋体"/>
          <w:spacing w:val="-4"/>
          <w:sz w:val="24"/>
          <w:szCs w:val="24"/>
          <w:highlight w:val="none"/>
          <w:lang w:eastAsia="zh-CN"/>
        </w:rPr>
        <w:t>乙方交付的全部成果应当符合下列标准，满足技术审查、专家论</w:t>
      </w:r>
      <w:r>
        <w:rPr>
          <w:rFonts w:hint="eastAsia" w:ascii="宋体" w:hAnsi="宋体" w:eastAsia="宋体" w:cs="宋体"/>
          <w:spacing w:val="-5"/>
          <w:sz w:val="24"/>
          <w:szCs w:val="24"/>
          <w:highlight w:val="none"/>
          <w:lang w:eastAsia="zh-CN"/>
        </w:rPr>
        <w:t>证、正式批</w:t>
      </w:r>
      <w:r>
        <w:rPr>
          <w:rFonts w:hint="eastAsia" w:ascii="宋体" w:hAnsi="宋体" w:eastAsia="宋体" w:cs="宋体"/>
          <w:spacing w:val="-3"/>
          <w:sz w:val="24"/>
          <w:szCs w:val="24"/>
          <w:highlight w:val="none"/>
          <w:lang w:eastAsia="zh-CN"/>
        </w:rPr>
        <w:t>复及入库汇交要求：</w:t>
      </w:r>
    </w:p>
    <w:p w14:paraId="044DCE89">
      <w:pPr>
        <w:keepNext w:val="0"/>
        <w:keepLines w:val="0"/>
        <w:pageBreakBefore w:val="0"/>
        <w:widowControl w:val="0"/>
        <w:kinsoku/>
        <w:wordWrap/>
        <w:overflowPunct/>
        <w:topLinePunct w:val="0"/>
        <w:autoSpaceDE/>
        <w:autoSpaceDN/>
        <w:bidi w:val="0"/>
        <w:adjustRightInd/>
        <w:snapToGrid/>
        <w:spacing w:line="240" w:lineRule="auto"/>
        <w:ind w:left="20" w:right="66" w:firstLine="538"/>
        <w:jc w:val="both"/>
        <w:textAlignment w:val="auto"/>
        <w:rPr>
          <w:rFonts w:hint="eastAsia" w:ascii="宋体" w:hAnsi="宋体" w:eastAsia="宋体" w:cs="宋体"/>
          <w:spacing w:val="-1"/>
          <w:sz w:val="24"/>
          <w:szCs w:val="24"/>
          <w:highlight w:val="none"/>
          <w:lang w:eastAsia="zh-CN"/>
        </w:rPr>
      </w:pPr>
      <w:r>
        <w:rPr>
          <w:rFonts w:hint="eastAsia" w:ascii="宋体" w:hAnsi="宋体" w:eastAsia="宋体" w:cs="宋体"/>
          <w:sz w:val="24"/>
          <w:szCs w:val="24"/>
          <w:highlight w:val="none"/>
          <w:lang w:eastAsia="zh-CN"/>
        </w:rPr>
        <w:t>(1)国家现行国土空间规划、城乡规划、测绘</w:t>
      </w:r>
      <w:r>
        <w:rPr>
          <w:rFonts w:hint="eastAsia" w:ascii="宋体" w:hAnsi="宋体" w:eastAsia="宋体" w:cs="宋体"/>
          <w:spacing w:val="-1"/>
          <w:sz w:val="24"/>
          <w:szCs w:val="24"/>
          <w:highlight w:val="none"/>
          <w:lang w:eastAsia="zh-CN"/>
        </w:rPr>
        <w:t>地理信息、保密管理等相关法律法规、技术标准与规范；</w:t>
      </w:r>
    </w:p>
    <w:p w14:paraId="3FD0AD5D">
      <w:pPr>
        <w:keepNext w:val="0"/>
        <w:keepLines w:val="0"/>
        <w:pageBreakBefore w:val="0"/>
        <w:widowControl w:val="0"/>
        <w:kinsoku/>
        <w:wordWrap/>
        <w:overflowPunct/>
        <w:topLinePunct w:val="0"/>
        <w:autoSpaceDE/>
        <w:autoSpaceDN/>
        <w:bidi w:val="0"/>
        <w:adjustRightInd/>
        <w:snapToGrid/>
        <w:spacing w:line="240" w:lineRule="auto"/>
        <w:ind w:left="26" w:right="70" w:firstLine="477"/>
        <w:jc w:val="both"/>
        <w:textAlignment w:val="auto"/>
        <w:rPr>
          <w:rFonts w:hint="eastAsia" w:ascii="宋体" w:hAnsi="宋体" w:eastAsia="宋体" w:cs="宋体"/>
          <w:spacing w:val="-1"/>
          <w:sz w:val="24"/>
          <w:szCs w:val="24"/>
          <w:highlight w:val="none"/>
          <w:lang w:eastAsia="zh-CN"/>
        </w:rPr>
      </w:pPr>
      <w:r>
        <w:rPr>
          <w:rFonts w:hint="eastAsia" w:ascii="宋体" w:hAnsi="宋体" w:eastAsia="宋体" w:cs="宋体"/>
          <w:spacing w:val="-1"/>
          <w:sz w:val="24"/>
          <w:szCs w:val="24"/>
          <w:highlight w:val="none"/>
          <w:lang w:eastAsia="zh-CN"/>
        </w:rPr>
        <w:t>(2)</w:t>
      </w:r>
      <w:r>
        <w:rPr>
          <w:rFonts w:hint="eastAsia" w:ascii="宋体" w:hAnsi="宋体" w:eastAsia="宋体" w:cs="宋体"/>
          <w:spacing w:val="-1"/>
          <w:sz w:val="24"/>
          <w:szCs w:val="24"/>
          <w:highlight w:val="none"/>
          <w:lang w:val="en-US" w:eastAsia="zh-CN"/>
        </w:rPr>
        <w:t>《关于做好市县国土空间总体规划实施管理支撑“十五五”高质量发展的通知》、《关于做好市县国土空间总体规划实施管理支撑“十五五”高质量发展的通知》</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《关于国土空间总体规划动态调整完善工作有关问题的答复》</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自然资空间规划函</w:t>
      </w:r>
      <w:r>
        <w:rPr>
          <w:rFonts w:hint="eastAsia" w:ascii="宋体" w:hAnsi="宋体" w:eastAsia="宋体" w:cs="宋体"/>
          <w:spacing w:val="-1"/>
          <w:sz w:val="24"/>
          <w:szCs w:val="24"/>
          <w:highlight w:val="none"/>
          <w:lang w:eastAsia="zh-CN"/>
        </w:rPr>
        <w:t>〔20</w:t>
      </w:r>
      <w:r>
        <w:rPr>
          <w:rFonts w:hint="eastAsia" w:ascii="宋体" w:hAnsi="宋体" w:eastAsia="宋体" w:cs="宋体"/>
          <w:spacing w:val="-1"/>
          <w:sz w:val="24"/>
          <w:szCs w:val="24"/>
          <w:highlight w:val="none"/>
          <w:lang w:val="en-US" w:eastAsia="zh-CN"/>
        </w:rPr>
        <w:t>25〕411号</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自然资源部国土空间规划局关于国土空间总体规划动态调整完善工作有关问题的答复(第二版)》（自然资空间规划函〔2026〕37号）、《自然资源部国土空间规划局关于征求《国土空间总体规划动态维护成果数据要求》意见的函》（自然资空间规划函〔2026〕44号）、《河南省自然资源厅办公室关于永久基本农田年度评估调整与耕地保护和国土绿化空间专项规划工作衔接的通知》（豫自然资办函〔2026〕17号）、《河南省自然资源厅关于印发《市县国土空间总体规划动态调整完善2026年度工作方案》的通知》（豫自然资发〔2026〕15号）、《河南省自然资源厅办公室关于印发国土空间总体规划动态调整完善工作相关政策问答口径的通知》（豫自然资办函〔2026〕60号）。</w:t>
      </w:r>
      <w:r>
        <w:rPr>
          <w:rFonts w:hint="eastAsia" w:ascii="宋体" w:hAnsi="宋体" w:eastAsia="宋体" w:cs="宋体"/>
          <w:spacing w:val="-1"/>
          <w:sz w:val="24"/>
          <w:szCs w:val="24"/>
          <w:highlight w:val="none"/>
          <w:lang w:eastAsia="zh-CN"/>
        </w:rPr>
        <w:t>河南省自然资源厅关于国土空间总体规划2026年度动态维护编制管理、编制导则的最新政策与技术文件；</w:t>
      </w:r>
    </w:p>
    <w:p w14:paraId="4397AAA4">
      <w:pPr>
        <w:keepNext w:val="0"/>
        <w:keepLines w:val="0"/>
        <w:pageBreakBefore w:val="0"/>
        <w:widowControl w:val="0"/>
        <w:kinsoku/>
        <w:wordWrap/>
        <w:overflowPunct/>
        <w:topLinePunct w:val="0"/>
        <w:autoSpaceDE/>
        <w:autoSpaceDN/>
        <w:bidi w:val="0"/>
        <w:adjustRightInd/>
        <w:snapToGrid/>
        <w:spacing w:line="240" w:lineRule="auto"/>
        <w:ind w:left="23" w:right="45" w:firstLine="480"/>
        <w:jc w:val="both"/>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highlight w:val="none"/>
          <w:lang w:eastAsia="zh-CN"/>
        </w:rPr>
        <w:t>(3)息县国土空间总体规划2026年度动态维护及地方规划管理要求。成果统一采用</w:t>
      </w:r>
      <w:r>
        <w:rPr>
          <w:rFonts w:hint="eastAsia" w:ascii="宋体" w:hAnsi="宋体" w:eastAsia="宋体" w:cs="宋体"/>
          <w:spacing w:val="-2"/>
          <w:sz w:val="24"/>
          <w:szCs w:val="24"/>
          <w:highlight w:val="none"/>
          <w:lang w:eastAsia="zh-CN"/>
        </w:rPr>
        <w:t>2000国家大地坐标系（</w:t>
      </w:r>
      <w:r>
        <w:rPr>
          <w:rFonts w:hint="eastAsia" w:ascii="宋体" w:hAnsi="宋体" w:eastAsia="宋体" w:cs="宋体"/>
          <w:spacing w:val="-2"/>
          <w:sz w:val="24"/>
          <w:szCs w:val="24"/>
          <w:highlight w:val="none"/>
          <w:lang w:val="en-US" w:eastAsia="zh-CN"/>
        </w:rPr>
        <w:t>地理坐标系</w:t>
      </w:r>
      <w:r>
        <w:rPr>
          <w:rFonts w:hint="eastAsia" w:ascii="宋体" w:hAnsi="宋体" w:eastAsia="宋体" w:cs="宋体"/>
          <w:spacing w:val="-2"/>
          <w:sz w:val="24"/>
          <w:szCs w:val="24"/>
          <w:highlight w:val="none"/>
          <w:lang w:eastAsia="zh-CN"/>
        </w:rPr>
        <w:t>）、1985国家高程基</w:t>
      </w:r>
      <w:r>
        <w:rPr>
          <w:rFonts w:hint="eastAsia" w:ascii="宋体" w:hAnsi="宋体" w:eastAsia="宋体" w:cs="宋体"/>
          <w:spacing w:val="-2"/>
          <w:sz w:val="24"/>
          <w:szCs w:val="24"/>
          <w:lang w:eastAsia="zh-CN"/>
        </w:rPr>
        <w:t>准，需纳入息县国土空间规划“一张图”</w:t>
      </w:r>
      <w:r>
        <w:rPr>
          <w:rFonts w:hint="eastAsia" w:ascii="宋体" w:hAnsi="宋体" w:eastAsia="宋体" w:cs="宋体"/>
          <w:spacing w:val="-3"/>
          <w:sz w:val="24"/>
          <w:szCs w:val="24"/>
          <w:lang w:eastAsia="zh-CN"/>
        </w:rPr>
        <w:t>实施监</w:t>
      </w:r>
      <w:r>
        <w:rPr>
          <w:rFonts w:hint="eastAsia" w:ascii="宋体" w:hAnsi="宋体" w:eastAsia="宋体" w:cs="宋体"/>
          <w:spacing w:val="-2"/>
          <w:sz w:val="24"/>
          <w:szCs w:val="24"/>
          <w:lang w:eastAsia="zh-CN"/>
        </w:rPr>
        <w:t>督信息系统，接入国土空间基础信息平台，作为国土空间用</w:t>
      </w:r>
      <w:r>
        <w:rPr>
          <w:rFonts w:hint="eastAsia" w:ascii="宋体" w:hAnsi="宋体" w:eastAsia="宋体" w:cs="宋体"/>
          <w:spacing w:val="-3"/>
          <w:sz w:val="24"/>
          <w:szCs w:val="24"/>
          <w:lang w:eastAsia="zh-CN"/>
        </w:rPr>
        <w:t>途管制的法定依据；</w:t>
      </w:r>
    </w:p>
    <w:p w14:paraId="2C7A37F6">
      <w:pPr>
        <w:keepNext w:val="0"/>
        <w:keepLines w:val="0"/>
        <w:pageBreakBefore w:val="0"/>
        <w:widowControl w:val="0"/>
        <w:kinsoku/>
        <w:wordWrap/>
        <w:overflowPunct/>
        <w:topLinePunct w:val="0"/>
        <w:autoSpaceDE/>
        <w:autoSpaceDN/>
        <w:bidi w:val="0"/>
        <w:adjustRightInd/>
        <w:snapToGrid/>
        <w:spacing w:line="240" w:lineRule="auto"/>
        <w:ind w:left="23" w:right="45" w:firstLine="480"/>
        <w:jc w:val="both"/>
        <w:textAlignment w:val="auto"/>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(4)</w:t>
      </w:r>
      <w:r>
        <w:rPr>
          <w:rFonts w:hint="eastAsia" w:ascii="宋体" w:hAnsi="宋体" w:eastAsia="宋体" w:cs="宋体"/>
          <w:spacing w:val="-1"/>
          <w:sz w:val="24"/>
          <w:szCs w:val="24"/>
          <w:highlight w:val="none"/>
          <w:lang w:val="en-US" w:eastAsia="zh-CN"/>
        </w:rPr>
        <w:t>完成征求相关部门意见</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听证公示</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市级审核</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省级审查</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方案审批</w:t>
      </w: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成果启用、成果公告</w:t>
      </w:r>
      <w:r>
        <w:rPr>
          <w:rFonts w:hint="eastAsia" w:ascii="宋体" w:hAnsi="宋体" w:eastAsia="宋体" w:cs="宋体"/>
          <w:spacing w:val="-1"/>
          <w:sz w:val="24"/>
          <w:szCs w:val="24"/>
          <w:highlight w:val="none"/>
          <w:lang w:eastAsia="zh-CN"/>
        </w:rPr>
        <w:t>，以正式审查合格确认书、会议纪要、批复文件为准；</w:t>
      </w:r>
    </w:p>
    <w:p w14:paraId="67C19ECC">
      <w:pPr>
        <w:keepNext w:val="0"/>
        <w:keepLines w:val="0"/>
        <w:pageBreakBefore w:val="0"/>
        <w:widowControl w:val="0"/>
        <w:kinsoku/>
        <w:wordWrap/>
        <w:overflowPunct/>
        <w:topLinePunct w:val="0"/>
        <w:autoSpaceDE/>
        <w:autoSpaceDN/>
        <w:bidi w:val="0"/>
        <w:adjustRightInd/>
        <w:snapToGrid/>
        <w:spacing w:line="240" w:lineRule="auto"/>
        <w:ind w:left="22" w:right="178" w:firstLine="481"/>
        <w:jc w:val="both"/>
        <w:textAlignment w:val="auto"/>
        <w:rPr>
          <w:rFonts w:hint="eastAsia" w:ascii="宋体" w:hAnsi="宋体" w:eastAsia="宋体" w:cs="宋体"/>
          <w:sz w:val="24"/>
          <w:szCs w:val="24"/>
          <w:lang w:eastAsia="zh-CN"/>
        </w:rPr>
      </w:pPr>
      <w:r>
        <w:rPr>
          <w:rFonts w:hint="eastAsia" w:ascii="宋体" w:hAnsi="宋体" w:eastAsia="宋体" w:cs="宋体"/>
          <w:sz w:val="24"/>
          <w:szCs w:val="24"/>
          <w:highlight w:val="none"/>
          <w:lang w:eastAsia="zh-CN"/>
        </w:rPr>
        <w:t>(5)满足甲方提出的符合法律法规及本合同约</w:t>
      </w:r>
      <w:r>
        <w:rPr>
          <w:rFonts w:hint="eastAsia" w:ascii="宋体" w:hAnsi="宋体" w:eastAsia="宋体" w:cs="宋体"/>
          <w:spacing w:val="-1"/>
          <w:sz w:val="24"/>
          <w:szCs w:val="24"/>
          <w:highlight w:val="none"/>
          <w:lang w:eastAsia="zh-CN"/>
        </w:rPr>
        <w:t>定的技术要求、修改意见及</w:t>
      </w:r>
      <w:r>
        <w:rPr>
          <w:rFonts w:hint="eastAsia" w:ascii="宋体" w:hAnsi="宋体" w:eastAsia="宋体" w:cs="宋体"/>
          <w:spacing w:val="-1"/>
          <w:sz w:val="24"/>
          <w:szCs w:val="24"/>
          <w:lang w:eastAsia="zh-CN"/>
        </w:rPr>
        <w:t>深</w:t>
      </w:r>
      <w:r>
        <w:rPr>
          <w:rFonts w:hint="eastAsia" w:ascii="宋体" w:hAnsi="宋体" w:eastAsia="宋体" w:cs="宋体"/>
          <w:spacing w:val="-3"/>
          <w:sz w:val="24"/>
          <w:szCs w:val="24"/>
          <w:lang w:eastAsia="zh-CN"/>
        </w:rPr>
        <w:t>度要求；</w:t>
      </w:r>
    </w:p>
    <w:p w14:paraId="09F5EE6D">
      <w:pPr>
        <w:keepNext w:val="0"/>
        <w:keepLines w:val="0"/>
        <w:pageBreakBefore w:val="0"/>
        <w:widowControl w:val="0"/>
        <w:kinsoku/>
        <w:wordWrap/>
        <w:overflowPunct/>
        <w:topLinePunct w:val="0"/>
        <w:autoSpaceDE/>
        <w:autoSpaceDN/>
        <w:bidi w:val="0"/>
        <w:adjustRightInd/>
        <w:snapToGrid/>
        <w:spacing w:line="240" w:lineRule="auto"/>
        <w:ind w:left="27" w:right="70" w:firstLine="476"/>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(6)上述法律法规、政策文件及技术标准如有</w:t>
      </w:r>
      <w:r>
        <w:rPr>
          <w:rFonts w:hint="eastAsia" w:ascii="宋体" w:hAnsi="宋体" w:eastAsia="宋体" w:cs="宋体"/>
          <w:spacing w:val="-1"/>
          <w:sz w:val="24"/>
          <w:szCs w:val="24"/>
          <w:lang w:eastAsia="zh-CN"/>
        </w:rPr>
        <w:t>更新，以合同履行期间现行有</w:t>
      </w:r>
      <w:r>
        <w:rPr>
          <w:rFonts w:hint="eastAsia" w:ascii="宋体" w:hAnsi="宋体" w:eastAsia="宋体" w:cs="宋体"/>
          <w:spacing w:val="-3"/>
          <w:sz w:val="24"/>
          <w:szCs w:val="24"/>
          <w:lang w:eastAsia="zh-CN"/>
        </w:rPr>
        <w:t>效版本为准；因标准更新导致的成果非结构性修改，由乙方免费完成；若</w:t>
      </w:r>
      <w:r>
        <w:rPr>
          <w:rFonts w:hint="eastAsia" w:ascii="宋体" w:hAnsi="宋体" w:eastAsia="宋体" w:cs="宋体"/>
          <w:spacing w:val="-4"/>
          <w:sz w:val="24"/>
          <w:szCs w:val="24"/>
          <w:lang w:eastAsia="zh-CN"/>
        </w:rPr>
        <w:t>标准更</w:t>
      </w:r>
      <w:r>
        <w:rPr>
          <w:rFonts w:hint="eastAsia" w:ascii="宋体" w:hAnsi="宋体" w:eastAsia="宋体" w:cs="宋体"/>
          <w:spacing w:val="-3"/>
          <w:sz w:val="24"/>
          <w:szCs w:val="24"/>
          <w:lang w:eastAsia="zh-CN"/>
        </w:rPr>
        <w:t>新涉及规划核心内容、管控指标重大调整的，工期由甲方根据影响程度合</w:t>
      </w:r>
      <w:r>
        <w:rPr>
          <w:rFonts w:hint="eastAsia" w:ascii="宋体" w:hAnsi="宋体" w:eastAsia="宋体" w:cs="宋体"/>
          <w:spacing w:val="-4"/>
          <w:sz w:val="24"/>
          <w:szCs w:val="24"/>
          <w:lang w:eastAsia="zh-CN"/>
        </w:rPr>
        <w:t>理核定</w:t>
      </w:r>
      <w:r>
        <w:rPr>
          <w:rFonts w:hint="eastAsia" w:ascii="宋体" w:hAnsi="宋体" w:eastAsia="宋体" w:cs="宋体"/>
          <w:spacing w:val="-2"/>
          <w:sz w:val="24"/>
          <w:szCs w:val="24"/>
          <w:lang w:eastAsia="zh-CN"/>
        </w:rPr>
        <w:t>顺延，并书面通知乙方。</w:t>
      </w:r>
    </w:p>
    <w:p w14:paraId="3AC877CE">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2"/>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2.成果质量与计次规则</w:t>
      </w:r>
    </w:p>
    <w:p w14:paraId="37A8FA1F">
      <w:pPr>
        <w:keepNext w:val="0"/>
        <w:keepLines w:val="0"/>
        <w:pageBreakBefore w:val="0"/>
        <w:widowControl w:val="0"/>
        <w:kinsoku/>
        <w:wordWrap/>
        <w:overflowPunct/>
        <w:topLinePunct w:val="0"/>
        <w:autoSpaceDE/>
        <w:autoSpaceDN/>
        <w:bidi w:val="0"/>
        <w:adjustRightInd/>
        <w:snapToGrid/>
        <w:spacing w:line="240" w:lineRule="auto"/>
        <w:ind w:left="20" w:right="70" w:firstLine="483"/>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(1)乙方交付的全部成果应当达到验收</w:t>
      </w:r>
      <w:r>
        <w:rPr>
          <w:rFonts w:hint="eastAsia" w:ascii="宋体" w:hAnsi="宋体" w:eastAsia="宋体" w:cs="宋体"/>
          <w:spacing w:val="-1"/>
          <w:sz w:val="24"/>
          <w:szCs w:val="24"/>
          <w:lang w:eastAsia="zh-CN"/>
        </w:rPr>
        <w:t>合格标准，确保内容完整、数</w:t>
      </w:r>
      <w:r>
        <w:rPr>
          <w:rFonts w:hint="eastAsia" w:ascii="宋体" w:hAnsi="宋体" w:eastAsia="宋体" w:cs="宋体"/>
          <w:spacing w:val="-3"/>
          <w:sz w:val="24"/>
          <w:szCs w:val="24"/>
          <w:lang w:eastAsia="zh-CN"/>
        </w:rPr>
        <w:t>据准确、图件清晰、逻辑严谨、文本规范，达到国家、省、市现行相关规范标准及合同约定的深度要求。乙方需根据审查反馈意见及甲方要求及时修改完善，直至成果符合本合同约定的技术标准、通过本合同第四条约定的验收并获得正式批</w:t>
      </w:r>
      <w:r>
        <w:rPr>
          <w:rFonts w:hint="eastAsia" w:ascii="宋体" w:hAnsi="宋体" w:eastAsia="宋体" w:cs="宋体"/>
          <w:spacing w:val="-1"/>
          <w:sz w:val="24"/>
          <w:szCs w:val="24"/>
          <w:lang w:eastAsia="zh-CN"/>
        </w:rPr>
        <w:t>复，并配合甲方完成公示、报批、归档及入库全流程工作。</w:t>
      </w:r>
    </w:p>
    <w:p w14:paraId="68903A65">
      <w:pPr>
        <w:keepNext w:val="0"/>
        <w:keepLines w:val="0"/>
        <w:pageBreakBefore w:val="0"/>
        <w:widowControl w:val="0"/>
        <w:kinsoku/>
        <w:wordWrap/>
        <w:overflowPunct/>
        <w:topLinePunct w:val="0"/>
        <w:autoSpaceDE/>
        <w:autoSpaceDN/>
        <w:bidi w:val="0"/>
        <w:adjustRightInd/>
        <w:snapToGrid/>
        <w:spacing w:line="240" w:lineRule="auto"/>
        <w:ind w:left="30" w:firstLine="473"/>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(2)本条所称成果质量问题，指成果存在以下情形之一：①不符合国</w:t>
      </w:r>
      <w:r>
        <w:rPr>
          <w:rFonts w:hint="eastAsia" w:ascii="宋体" w:hAnsi="宋体" w:eastAsia="宋体" w:cs="宋体"/>
          <w:spacing w:val="-3"/>
          <w:sz w:val="24"/>
          <w:szCs w:val="24"/>
          <w:lang w:eastAsia="zh-CN"/>
        </w:rPr>
        <w:t>家、省、市现行国土空间规划编制技术标准、规范及导则要求；②未达到</w:t>
      </w:r>
      <w:r>
        <w:rPr>
          <w:rFonts w:hint="eastAsia" w:ascii="宋体" w:hAnsi="宋体" w:eastAsia="宋体" w:cs="宋体"/>
          <w:spacing w:val="-4"/>
          <w:sz w:val="24"/>
          <w:szCs w:val="24"/>
          <w:lang w:eastAsia="zh-CN"/>
        </w:rPr>
        <w:t>本合同约定的编</w:t>
      </w:r>
      <w:r>
        <w:rPr>
          <w:rFonts w:hint="eastAsia" w:ascii="宋体" w:hAnsi="宋体" w:eastAsia="宋体" w:cs="宋体"/>
          <w:spacing w:val="-3"/>
          <w:sz w:val="24"/>
          <w:szCs w:val="24"/>
          <w:lang w:eastAsia="zh-CN"/>
        </w:rPr>
        <w:t>制范围、内容深度、成果形式与交付要求；③违反已批复上位国</w:t>
      </w:r>
      <w:r>
        <w:rPr>
          <w:rFonts w:hint="eastAsia" w:ascii="宋体" w:hAnsi="宋体" w:eastAsia="宋体" w:cs="宋体"/>
          <w:spacing w:val="-4"/>
          <w:sz w:val="24"/>
          <w:szCs w:val="24"/>
          <w:lang w:eastAsia="zh-CN"/>
        </w:rPr>
        <w:t>土空间规划、相</w:t>
      </w:r>
      <w:r>
        <w:rPr>
          <w:rFonts w:hint="eastAsia" w:ascii="宋体" w:hAnsi="宋体" w:eastAsia="宋体" w:cs="宋体"/>
          <w:spacing w:val="-8"/>
          <w:sz w:val="24"/>
          <w:szCs w:val="24"/>
          <w:lang w:eastAsia="zh-CN"/>
        </w:rPr>
        <w:t>关专项规划的强制性内容，或不符合规划管控要求</w:t>
      </w:r>
      <w:r>
        <w:rPr>
          <w:rFonts w:hint="eastAsia" w:ascii="宋体" w:hAnsi="宋体" w:eastAsia="宋体" w:cs="宋体"/>
          <w:spacing w:val="-1"/>
          <w:sz w:val="24"/>
          <w:szCs w:val="24"/>
          <w:lang w:eastAsia="zh-CN"/>
        </w:rPr>
        <w:t>。</w:t>
      </w:r>
    </w:p>
    <w:p w14:paraId="001D2B4F">
      <w:pPr>
        <w:keepNext w:val="0"/>
        <w:keepLines w:val="0"/>
        <w:pageBreakBefore w:val="0"/>
        <w:widowControl w:val="0"/>
        <w:kinsoku/>
        <w:wordWrap/>
        <w:overflowPunct/>
        <w:topLinePunct w:val="0"/>
        <w:autoSpaceDE/>
        <w:autoSpaceDN/>
        <w:bidi w:val="0"/>
        <w:adjustRightInd/>
        <w:snapToGrid/>
        <w:spacing w:line="240" w:lineRule="auto"/>
        <w:ind w:left="22" w:right="150" w:firstLine="481"/>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(3)</w:t>
      </w:r>
      <w:r>
        <w:rPr>
          <w:rFonts w:hint="eastAsia" w:ascii="宋体" w:hAnsi="宋体" w:eastAsia="宋体" w:cs="宋体"/>
          <w:b w:val="0"/>
          <w:bCs w:val="0"/>
          <w:spacing w:val="-2"/>
          <w:sz w:val="24"/>
          <w:szCs w:val="24"/>
          <w:lang w:eastAsia="zh-CN"/>
        </w:rPr>
        <w:t>若因乙方成果质量问题，导致成果在</w:t>
      </w:r>
      <w:r>
        <w:rPr>
          <w:rFonts w:hint="eastAsia" w:ascii="宋体" w:hAnsi="宋体" w:eastAsia="宋体" w:cs="宋体"/>
          <w:b w:val="0"/>
          <w:bCs w:val="0"/>
          <w:spacing w:val="-2"/>
          <w:sz w:val="24"/>
          <w:szCs w:val="24"/>
          <w:lang w:val="en-US" w:eastAsia="zh-CN"/>
        </w:rPr>
        <w:t>技术审查、</w:t>
      </w:r>
      <w:r>
        <w:rPr>
          <w:rFonts w:hint="eastAsia" w:ascii="宋体" w:hAnsi="宋体" w:eastAsia="宋体" w:cs="宋体"/>
          <w:b w:val="0"/>
          <w:bCs w:val="0"/>
          <w:spacing w:val="-2"/>
          <w:sz w:val="24"/>
          <w:szCs w:val="24"/>
          <w:lang w:eastAsia="zh-CN"/>
        </w:rPr>
        <w:t>专家评审、县国土空间规划委员会审议任一程序中未通过的</w:t>
      </w:r>
      <w:r>
        <w:rPr>
          <w:rFonts w:hint="eastAsia" w:ascii="宋体" w:hAnsi="宋体" w:eastAsia="宋体" w:cs="宋体"/>
          <w:b w:val="0"/>
          <w:bCs w:val="0"/>
          <w:spacing w:val="-3"/>
          <w:sz w:val="24"/>
          <w:szCs w:val="24"/>
          <w:lang w:eastAsia="zh-CN"/>
        </w:rPr>
        <w:t>。</w:t>
      </w:r>
    </w:p>
    <w:p w14:paraId="2A528B02">
      <w:pPr>
        <w:keepNext w:val="0"/>
        <w:keepLines w:val="0"/>
        <w:pageBreakBefore w:val="0"/>
        <w:widowControl w:val="0"/>
        <w:kinsoku/>
        <w:wordWrap/>
        <w:overflowPunct/>
        <w:topLinePunct w:val="0"/>
        <w:autoSpaceDE/>
        <w:autoSpaceDN/>
        <w:bidi w:val="0"/>
        <w:adjustRightInd/>
        <w:snapToGrid/>
        <w:spacing w:line="240" w:lineRule="auto"/>
        <w:ind w:left="23" w:right="70" w:firstLine="480"/>
        <w:jc w:val="both"/>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(5)因下列情形导致审查未通过的，</w:t>
      </w:r>
      <w:r>
        <w:rPr>
          <w:rFonts w:hint="eastAsia" w:ascii="宋体" w:hAnsi="宋体" w:eastAsia="宋体" w:cs="宋体"/>
          <w:spacing w:val="-2"/>
          <w:sz w:val="24"/>
          <w:szCs w:val="24"/>
          <w:lang w:eastAsia="zh-CN"/>
        </w:rPr>
        <w:t>工期相应顺延：①</w:t>
      </w:r>
      <w:r>
        <w:rPr>
          <w:rFonts w:hint="eastAsia" w:ascii="宋体" w:hAnsi="宋体" w:eastAsia="宋体" w:cs="宋体"/>
          <w:spacing w:val="-3"/>
          <w:sz w:val="24"/>
          <w:szCs w:val="24"/>
          <w:lang w:eastAsia="zh-CN"/>
        </w:rPr>
        <w:t>政策法规重大调整、上位规划法定变更；②甲方需求变更、提供的基础资料有误或滞后；③审查部门因行政决策、公共利益等非技术质量因素提出调整要求；④</w:t>
      </w:r>
      <w:r>
        <w:rPr>
          <w:rFonts w:hint="eastAsia" w:ascii="宋体" w:hAnsi="宋体" w:eastAsia="宋体" w:cs="宋体"/>
          <w:spacing w:val="-2"/>
          <w:sz w:val="24"/>
          <w:szCs w:val="24"/>
          <w:lang w:eastAsia="zh-CN"/>
        </w:rPr>
        <w:t>不可抗力。</w:t>
      </w:r>
    </w:p>
    <w:p w14:paraId="3BAB9562">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8"/>
          <w:sz w:val="24"/>
          <w:szCs w:val="24"/>
          <w:lang w:eastAsia="zh-CN"/>
        </w:rPr>
        <w:t>（四）成果交付内容与数量</w:t>
      </w:r>
    </w:p>
    <w:p w14:paraId="408E9948">
      <w:pPr>
        <w:keepNext w:val="0"/>
        <w:keepLines w:val="0"/>
        <w:pageBreakBefore w:val="0"/>
        <w:widowControl w:val="0"/>
        <w:kinsoku/>
        <w:wordWrap/>
        <w:overflowPunct/>
        <w:topLinePunct w:val="0"/>
        <w:autoSpaceDE/>
        <w:autoSpaceDN/>
        <w:bidi w:val="0"/>
        <w:adjustRightInd/>
        <w:snapToGrid/>
        <w:spacing w:line="240" w:lineRule="auto"/>
        <w:ind w:left="29"/>
        <w:jc w:val="both"/>
        <w:textAlignment w:val="auto"/>
        <w:outlineLvl w:val="2"/>
        <w:rPr>
          <w:rFonts w:hint="eastAsia" w:ascii="宋体" w:hAnsi="宋体" w:eastAsia="宋体" w:cs="宋体"/>
          <w:sz w:val="24"/>
          <w:szCs w:val="24"/>
          <w:lang w:eastAsia="zh-CN"/>
        </w:rPr>
      </w:pPr>
      <w:r>
        <w:rPr>
          <w:rFonts w:hint="eastAsia" w:ascii="宋体" w:hAnsi="宋体" w:eastAsia="宋体" w:cs="宋体"/>
          <w:b/>
          <w:bCs/>
          <w:spacing w:val="-4"/>
          <w:sz w:val="24"/>
          <w:szCs w:val="24"/>
          <w:lang w:eastAsia="zh-CN"/>
        </w:rPr>
        <w:t>1.成果交付内容。</w:t>
      </w:r>
    </w:p>
    <w:p w14:paraId="399B4057">
      <w:pPr>
        <w:keepNext w:val="0"/>
        <w:keepLines w:val="0"/>
        <w:pageBreakBefore w:val="0"/>
        <w:widowControl w:val="0"/>
        <w:kinsoku/>
        <w:wordWrap/>
        <w:overflowPunct/>
        <w:topLinePunct w:val="0"/>
        <w:autoSpaceDE/>
        <w:autoSpaceDN/>
        <w:bidi w:val="0"/>
        <w:adjustRightInd/>
        <w:snapToGrid/>
        <w:spacing w:line="240" w:lineRule="auto"/>
        <w:ind w:left="536"/>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乙方交付的成果应当包括但不限于以下内容：</w:t>
      </w:r>
    </w:p>
    <w:p w14:paraId="140013A3">
      <w:pPr>
        <w:keepNext w:val="0"/>
        <w:keepLines w:val="0"/>
        <w:pageBreakBefore w:val="0"/>
        <w:widowControl w:val="0"/>
        <w:kinsoku/>
        <w:wordWrap/>
        <w:overflowPunct/>
        <w:topLinePunct w:val="0"/>
        <w:autoSpaceDE/>
        <w:autoSpaceDN/>
        <w:bidi w:val="0"/>
        <w:adjustRightInd/>
        <w:snapToGrid/>
        <w:spacing w:line="240" w:lineRule="auto"/>
        <w:ind w:left="51" w:right="157" w:firstLine="452"/>
        <w:jc w:val="both"/>
        <w:textAlignment w:val="auto"/>
        <w:rPr>
          <w:rFonts w:hint="eastAsia" w:ascii="宋体" w:hAnsi="宋体" w:eastAsia="宋体" w:cs="宋体"/>
          <w:spacing w:val="-4"/>
          <w:sz w:val="24"/>
          <w:szCs w:val="24"/>
          <w:lang w:eastAsia="zh-CN"/>
        </w:rPr>
      </w:pPr>
      <w:r>
        <w:rPr>
          <w:rFonts w:hint="eastAsia" w:ascii="宋体" w:hAnsi="宋体" w:eastAsia="宋体" w:cs="宋体"/>
          <w:spacing w:val="-4"/>
          <w:sz w:val="24"/>
          <w:szCs w:val="24"/>
          <w:lang w:eastAsia="zh-CN"/>
        </w:rPr>
        <w:t>(1)规划</w:t>
      </w:r>
      <w:r>
        <w:rPr>
          <w:rFonts w:hint="eastAsia" w:ascii="宋体" w:hAnsi="宋体" w:eastAsia="宋体" w:cs="宋体"/>
          <w:spacing w:val="-4"/>
          <w:sz w:val="24"/>
          <w:szCs w:val="24"/>
          <w:lang w:val="en-US" w:eastAsia="zh-CN"/>
        </w:rPr>
        <w:t>方案</w:t>
      </w:r>
      <w:r>
        <w:rPr>
          <w:rFonts w:hint="eastAsia" w:ascii="宋体" w:hAnsi="宋体" w:eastAsia="宋体" w:cs="宋体"/>
          <w:spacing w:val="-4"/>
          <w:sz w:val="24"/>
          <w:szCs w:val="24"/>
          <w:lang w:eastAsia="zh-CN"/>
        </w:rPr>
        <w:t>。含</w:t>
      </w:r>
      <w:r>
        <w:rPr>
          <w:rFonts w:hint="eastAsia" w:ascii="宋体" w:hAnsi="宋体" w:eastAsia="宋体" w:cs="宋体"/>
          <w:spacing w:val="-4"/>
          <w:sz w:val="24"/>
          <w:szCs w:val="24"/>
          <w:lang w:val="en-US" w:eastAsia="zh-CN"/>
        </w:rPr>
        <w:t>前言</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规划实施情况分析</w:t>
      </w:r>
      <w:r>
        <w:rPr>
          <w:rFonts w:hint="eastAsia" w:ascii="宋体" w:hAnsi="宋体" w:eastAsia="宋体" w:cs="宋体"/>
          <w:spacing w:val="-4"/>
          <w:sz w:val="24"/>
          <w:szCs w:val="24"/>
          <w:lang w:eastAsia="zh-CN"/>
        </w:rPr>
        <w:t>、</w:t>
      </w:r>
      <w:r>
        <w:rPr>
          <w:rFonts w:hint="eastAsia" w:ascii="宋体" w:hAnsi="宋体" w:eastAsia="宋体" w:cs="宋体"/>
          <w:spacing w:val="-4"/>
          <w:sz w:val="24"/>
          <w:szCs w:val="24"/>
          <w:lang w:val="en-US" w:eastAsia="zh-CN"/>
        </w:rPr>
        <w:t>方案主要内容、动态维护可行性分析、实施保障、附件（规划文本更新内容、附表、附图）</w:t>
      </w:r>
      <w:r>
        <w:rPr>
          <w:rFonts w:hint="eastAsia" w:ascii="宋体" w:hAnsi="宋体" w:eastAsia="宋体" w:cs="宋体"/>
          <w:spacing w:val="-4"/>
          <w:sz w:val="24"/>
          <w:szCs w:val="24"/>
          <w:lang w:eastAsia="zh-CN"/>
        </w:rPr>
        <w:t>等；</w:t>
      </w:r>
    </w:p>
    <w:p w14:paraId="6C204473">
      <w:pPr>
        <w:keepNext w:val="0"/>
        <w:keepLines w:val="0"/>
        <w:pageBreakBefore w:val="0"/>
        <w:widowControl w:val="0"/>
        <w:kinsoku/>
        <w:wordWrap/>
        <w:overflowPunct/>
        <w:topLinePunct w:val="0"/>
        <w:autoSpaceDE/>
        <w:autoSpaceDN/>
        <w:bidi w:val="0"/>
        <w:adjustRightInd/>
        <w:snapToGrid/>
        <w:spacing w:line="240" w:lineRule="auto"/>
        <w:ind w:left="25" w:right="178" w:firstLine="478"/>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)规划</w:t>
      </w:r>
      <w:r>
        <w:rPr>
          <w:rFonts w:hint="eastAsia" w:ascii="宋体" w:hAnsi="宋体" w:eastAsia="宋体" w:cs="宋体"/>
          <w:sz w:val="24"/>
          <w:szCs w:val="24"/>
          <w:highlight w:val="none"/>
          <w:lang w:val="en-US" w:eastAsia="zh-CN"/>
        </w:rPr>
        <w:t>相关材料</w:t>
      </w:r>
      <w:r>
        <w:rPr>
          <w:rFonts w:hint="eastAsia" w:ascii="宋体" w:hAnsi="宋体" w:eastAsia="宋体" w:cs="宋体"/>
          <w:sz w:val="24"/>
          <w:szCs w:val="24"/>
          <w:highlight w:val="none"/>
          <w:lang w:eastAsia="zh-CN"/>
        </w:rPr>
        <w:t>：</w:t>
      </w:r>
      <w:r>
        <w:rPr>
          <w:rFonts w:hint="eastAsia" w:ascii="宋体" w:hAnsi="宋体" w:eastAsia="宋体" w:cs="宋体"/>
          <w:spacing w:val="-1"/>
          <w:sz w:val="24"/>
          <w:szCs w:val="24"/>
          <w:highlight w:val="none"/>
          <w:lang w:eastAsia="zh-CN"/>
        </w:rPr>
        <w:t>专家评审意见落实</w:t>
      </w:r>
      <w:r>
        <w:rPr>
          <w:rFonts w:hint="eastAsia" w:ascii="宋体" w:hAnsi="宋体" w:eastAsia="宋体" w:cs="宋体"/>
          <w:spacing w:val="-2"/>
          <w:sz w:val="24"/>
          <w:szCs w:val="24"/>
          <w:highlight w:val="none"/>
          <w:lang w:val="en-US" w:eastAsia="zh-CN"/>
        </w:rPr>
        <w:t>情况</w:t>
      </w:r>
      <w:r>
        <w:rPr>
          <w:rFonts w:hint="eastAsia" w:ascii="宋体" w:hAnsi="宋体" w:eastAsia="宋体" w:cs="宋体"/>
          <w:spacing w:val="-1"/>
          <w:sz w:val="24"/>
          <w:szCs w:val="24"/>
          <w:highlight w:val="none"/>
          <w:lang w:eastAsia="zh-CN"/>
        </w:rPr>
        <w:t>、公</w:t>
      </w:r>
      <w:r>
        <w:rPr>
          <w:rFonts w:hint="eastAsia" w:ascii="宋体" w:hAnsi="宋体" w:eastAsia="宋体" w:cs="宋体"/>
          <w:spacing w:val="-2"/>
          <w:sz w:val="24"/>
          <w:szCs w:val="24"/>
          <w:highlight w:val="none"/>
          <w:lang w:eastAsia="zh-CN"/>
        </w:rPr>
        <w:t>众意见</w:t>
      </w:r>
      <w:r>
        <w:rPr>
          <w:rFonts w:hint="eastAsia" w:ascii="宋体" w:hAnsi="宋体" w:eastAsia="宋体" w:cs="宋体"/>
          <w:spacing w:val="-2"/>
          <w:sz w:val="24"/>
          <w:szCs w:val="24"/>
          <w:highlight w:val="none"/>
          <w:lang w:val="en-US" w:eastAsia="zh-CN"/>
        </w:rPr>
        <w:t>与听证意见</w:t>
      </w:r>
      <w:r>
        <w:rPr>
          <w:rFonts w:hint="eastAsia" w:ascii="宋体" w:hAnsi="宋体" w:eastAsia="宋体" w:cs="宋体"/>
          <w:spacing w:val="-2"/>
          <w:sz w:val="24"/>
          <w:szCs w:val="24"/>
          <w:highlight w:val="none"/>
          <w:lang w:eastAsia="zh-CN"/>
        </w:rPr>
        <w:t>采纳</w:t>
      </w:r>
      <w:r>
        <w:rPr>
          <w:rFonts w:hint="eastAsia" w:ascii="宋体" w:hAnsi="宋体" w:eastAsia="宋体" w:cs="宋体"/>
          <w:spacing w:val="-2"/>
          <w:sz w:val="24"/>
          <w:szCs w:val="24"/>
          <w:highlight w:val="none"/>
          <w:lang w:val="en-US" w:eastAsia="zh-CN"/>
        </w:rPr>
        <w:t>情况、部门征求意见采纳情况</w:t>
      </w:r>
      <w:r>
        <w:rPr>
          <w:rFonts w:hint="eastAsia" w:ascii="宋体" w:hAnsi="宋体" w:eastAsia="宋体" w:cs="宋体"/>
          <w:spacing w:val="-2"/>
          <w:sz w:val="24"/>
          <w:szCs w:val="24"/>
          <w:highlight w:val="none"/>
          <w:lang w:eastAsia="zh-CN"/>
        </w:rPr>
        <w:t>等；</w:t>
      </w:r>
    </w:p>
    <w:p w14:paraId="636299FC">
      <w:pPr>
        <w:keepNext w:val="0"/>
        <w:keepLines w:val="0"/>
        <w:pageBreakBefore w:val="0"/>
        <w:widowControl w:val="0"/>
        <w:kinsoku/>
        <w:wordWrap/>
        <w:overflowPunct/>
        <w:topLinePunct w:val="0"/>
        <w:autoSpaceDE/>
        <w:autoSpaceDN/>
        <w:bidi w:val="0"/>
        <w:adjustRightInd/>
        <w:snapToGrid/>
        <w:spacing w:line="240" w:lineRule="auto"/>
        <w:ind w:left="26" w:right="70" w:firstLine="477"/>
        <w:jc w:val="both"/>
        <w:textAlignment w:val="auto"/>
        <w:rPr>
          <w:rFonts w:hint="eastAsia" w:ascii="宋体" w:hAnsi="宋体" w:eastAsia="宋体" w:cs="宋体"/>
          <w:sz w:val="24"/>
          <w:szCs w:val="24"/>
          <w:highlight w:val="none"/>
          <w:lang w:eastAsia="zh-CN"/>
        </w:rPr>
      </w:pPr>
      <w:r>
        <w:rPr>
          <w:rFonts w:hint="eastAsia"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val="en-US" w:eastAsia="zh-CN"/>
        </w:rPr>
        <w:t>3</w:t>
      </w:r>
      <w:r>
        <w:rPr>
          <w:rFonts w:hint="eastAsia" w:ascii="宋体" w:hAnsi="宋体" w:eastAsia="宋体" w:cs="宋体"/>
          <w:spacing w:val="-1"/>
          <w:sz w:val="24"/>
          <w:szCs w:val="24"/>
          <w:highlight w:val="none"/>
          <w:lang w:eastAsia="zh-CN"/>
        </w:rPr>
        <w:t>)规划数据库：含符合国土空间</w:t>
      </w:r>
      <w:r>
        <w:rPr>
          <w:rFonts w:hint="eastAsia" w:ascii="宋体" w:hAnsi="宋体" w:eastAsia="宋体" w:cs="宋体"/>
          <w:spacing w:val="-1"/>
          <w:sz w:val="24"/>
          <w:szCs w:val="24"/>
          <w:highlight w:val="none"/>
          <w:lang w:val="en-US" w:eastAsia="zh-CN"/>
        </w:rPr>
        <w:t>总体规划动态维护</w:t>
      </w:r>
      <w:r>
        <w:rPr>
          <w:rFonts w:hint="eastAsia" w:ascii="宋体" w:hAnsi="宋体" w:eastAsia="宋体" w:cs="宋体"/>
          <w:spacing w:val="-1"/>
          <w:sz w:val="24"/>
          <w:szCs w:val="24"/>
          <w:highlight w:val="none"/>
          <w:lang w:eastAsia="zh-CN"/>
        </w:rPr>
        <w:t>“一张</w:t>
      </w:r>
      <w:r>
        <w:rPr>
          <w:rFonts w:hint="eastAsia" w:ascii="宋体" w:hAnsi="宋体" w:eastAsia="宋体" w:cs="宋体"/>
          <w:spacing w:val="-2"/>
          <w:sz w:val="24"/>
          <w:szCs w:val="24"/>
          <w:highlight w:val="none"/>
          <w:lang w:eastAsia="zh-CN"/>
        </w:rPr>
        <w:t>图”标准的矢量数据、图件数</w:t>
      </w:r>
      <w:r>
        <w:rPr>
          <w:rFonts w:hint="eastAsia" w:ascii="宋体" w:hAnsi="宋体" w:eastAsia="宋体" w:cs="宋体"/>
          <w:spacing w:val="-3"/>
          <w:sz w:val="24"/>
          <w:szCs w:val="24"/>
          <w:highlight w:val="none"/>
          <w:lang w:eastAsia="zh-CN"/>
        </w:rPr>
        <w:t>据、表格数据及元数据，确保与省级国土空间规划“一张图”系统无缝对接</w:t>
      </w:r>
      <w:r>
        <w:rPr>
          <w:rFonts w:hint="eastAsia" w:ascii="宋体" w:hAnsi="宋体" w:eastAsia="宋体" w:cs="宋体"/>
          <w:spacing w:val="-4"/>
          <w:sz w:val="24"/>
          <w:szCs w:val="24"/>
          <w:highlight w:val="none"/>
          <w:lang w:eastAsia="zh-CN"/>
        </w:rPr>
        <w:t>、支</w:t>
      </w:r>
      <w:r>
        <w:rPr>
          <w:rFonts w:hint="eastAsia" w:ascii="宋体" w:hAnsi="宋体" w:eastAsia="宋体" w:cs="宋体"/>
          <w:spacing w:val="-3"/>
          <w:sz w:val="24"/>
          <w:szCs w:val="24"/>
          <w:highlight w:val="none"/>
          <w:lang w:eastAsia="zh-CN"/>
        </w:rPr>
        <w:t>持动态更新。</w:t>
      </w:r>
    </w:p>
    <w:p w14:paraId="7B0927AD">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2"/>
        <w:rPr>
          <w:rFonts w:hint="eastAsia" w:ascii="宋体" w:hAnsi="宋体" w:eastAsia="宋体" w:cs="宋体"/>
          <w:sz w:val="24"/>
          <w:szCs w:val="24"/>
          <w:highlight w:val="none"/>
          <w:lang w:eastAsia="zh-CN"/>
        </w:rPr>
      </w:pPr>
      <w:r>
        <w:rPr>
          <w:rFonts w:hint="eastAsia" w:ascii="宋体" w:hAnsi="宋体" w:eastAsia="宋体" w:cs="宋体"/>
          <w:b/>
          <w:bCs/>
          <w:spacing w:val="-3"/>
          <w:sz w:val="24"/>
          <w:szCs w:val="24"/>
          <w:highlight w:val="none"/>
          <w:lang w:eastAsia="zh-CN"/>
        </w:rPr>
        <w:t>2.交付数量</w:t>
      </w:r>
    </w:p>
    <w:p w14:paraId="29440D30">
      <w:pPr>
        <w:keepNext w:val="0"/>
        <w:keepLines w:val="0"/>
        <w:pageBreakBefore w:val="0"/>
        <w:widowControl w:val="0"/>
        <w:kinsoku/>
        <w:wordWrap/>
        <w:overflowPunct/>
        <w:topLinePunct w:val="0"/>
        <w:autoSpaceDE/>
        <w:autoSpaceDN/>
        <w:bidi w:val="0"/>
        <w:adjustRightInd/>
        <w:snapToGrid/>
        <w:spacing w:line="240" w:lineRule="auto"/>
        <w:ind w:left="22" w:firstLine="481"/>
        <w:jc w:val="both"/>
        <w:textAlignment w:val="auto"/>
        <w:rPr>
          <w:rFonts w:hint="eastAsia" w:ascii="宋体" w:hAnsi="宋体" w:eastAsia="宋体" w:cs="宋体"/>
          <w:sz w:val="24"/>
          <w:szCs w:val="24"/>
          <w:highlight w:val="none"/>
          <w:lang w:eastAsia="zh-CN"/>
        </w:rPr>
      </w:pPr>
      <w:r>
        <w:rPr>
          <w:rFonts w:hint="eastAsia" w:ascii="宋体" w:hAnsi="宋体" w:eastAsia="宋体" w:cs="宋体"/>
          <w:spacing w:val="-4"/>
          <w:sz w:val="24"/>
          <w:szCs w:val="24"/>
          <w:highlight w:val="none"/>
          <w:lang w:eastAsia="zh-CN"/>
        </w:rPr>
        <w:t>(1)纸质成果：技术审查版10套、专家评审版10套、正式批复版</w:t>
      </w:r>
      <w:r>
        <w:rPr>
          <w:rFonts w:hint="eastAsia" w:ascii="宋体" w:hAnsi="宋体" w:eastAsia="宋体" w:cs="宋体"/>
          <w:spacing w:val="-4"/>
          <w:sz w:val="24"/>
          <w:szCs w:val="24"/>
          <w:highlight w:val="none"/>
          <w:lang w:val="en-US" w:eastAsia="zh-CN"/>
        </w:rPr>
        <w:t>5</w:t>
      </w:r>
      <w:r>
        <w:rPr>
          <w:rFonts w:hint="eastAsia" w:ascii="宋体" w:hAnsi="宋体" w:eastAsia="宋体" w:cs="宋体"/>
          <w:spacing w:val="-4"/>
          <w:sz w:val="24"/>
          <w:szCs w:val="24"/>
          <w:highlight w:val="none"/>
          <w:lang w:eastAsia="zh-CN"/>
        </w:rPr>
        <w:t>套、</w:t>
      </w:r>
      <w:r>
        <w:rPr>
          <w:rFonts w:hint="eastAsia" w:ascii="宋体" w:hAnsi="宋体" w:eastAsia="宋体" w:cs="宋体"/>
          <w:spacing w:val="-3"/>
          <w:sz w:val="24"/>
          <w:szCs w:val="24"/>
          <w:highlight w:val="none"/>
          <w:lang w:eastAsia="zh-CN"/>
        </w:rPr>
        <w:t>公示版</w:t>
      </w:r>
      <w:r>
        <w:rPr>
          <w:rFonts w:hint="eastAsia" w:ascii="宋体" w:hAnsi="宋体" w:eastAsia="宋体" w:cs="宋体"/>
          <w:spacing w:val="-3"/>
          <w:sz w:val="24"/>
          <w:szCs w:val="24"/>
          <w:highlight w:val="none"/>
          <w:lang w:val="en-US" w:eastAsia="zh-CN"/>
        </w:rPr>
        <w:t>1</w:t>
      </w:r>
      <w:r>
        <w:rPr>
          <w:rFonts w:hint="eastAsia" w:ascii="宋体" w:hAnsi="宋体" w:eastAsia="宋体" w:cs="宋体"/>
          <w:spacing w:val="-3"/>
          <w:sz w:val="24"/>
          <w:szCs w:val="24"/>
          <w:highlight w:val="none"/>
          <w:lang w:eastAsia="zh-CN"/>
        </w:rPr>
        <w:t>套；</w:t>
      </w:r>
    </w:p>
    <w:p w14:paraId="0344A62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pacing w:val="-2"/>
          <w:sz w:val="24"/>
          <w:szCs w:val="24"/>
          <w:highlight w:val="none"/>
          <w:lang w:eastAsia="zh-CN"/>
        </w:rPr>
      </w:pPr>
      <w:r>
        <w:rPr>
          <w:rFonts w:hint="eastAsia" w:ascii="宋体" w:hAnsi="宋体" w:eastAsia="宋体" w:cs="宋体"/>
          <w:spacing w:val="-1"/>
          <w:sz w:val="24"/>
          <w:szCs w:val="24"/>
          <w:highlight w:val="none"/>
          <w:lang w:eastAsia="zh-CN"/>
        </w:rPr>
        <w:t>(2)电子成果：对应各阶段成果各1套（含可编辑矢量数据、文档、图件</w:t>
      </w:r>
      <w:r>
        <w:rPr>
          <w:rFonts w:hint="eastAsia" w:ascii="宋体" w:hAnsi="宋体" w:eastAsia="宋体" w:cs="宋体"/>
          <w:spacing w:val="-2"/>
          <w:sz w:val="24"/>
          <w:szCs w:val="24"/>
          <w:highlight w:val="none"/>
          <w:lang w:eastAsia="zh-CN"/>
        </w:rPr>
        <w:t>）。</w:t>
      </w:r>
    </w:p>
    <w:p w14:paraId="6216030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b/>
          <w:bCs/>
          <w:spacing w:val="4"/>
          <w:sz w:val="24"/>
          <w:szCs w:val="24"/>
        </w:rPr>
        <w:t>三、</w:t>
      </w:r>
      <w:r>
        <w:rPr>
          <w:rFonts w:hint="eastAsia" w:ascii="宋体" w:hAnsi="宋体" w:eastAsia="宋体" w:cs="宋体"/>
          <w:spacing w:val="-56"/>
          <w:sz w:val="24"/>
          <w:szCs w:val="24"/>
        </w:rPr>
        <w:t xml:space="preserve"> </w:t>
      </w:r>
      <w:r>
        <w:rPr>
          <w:rFonts w:hint="eastAsia" w:ascii="宋体" w:hAnsi="宋体" w:eastAsia="宋体" w:cs="宋体"/>
          <w:b/>
          <w:bCs/>
          <w:spacing w:val="4"/>
          <w:sz w:val="24"/>
          <w:szCs w:val="24"/>
        </w:rPr>
        <w:t>甲方乙方的权利和义务</w:t>
      </w:r>
    </w:p>
    <w:p w14:paraId="18CEFF1F">
      <w:pPr>
        <w:keepNext w:val="0"/>
        <w:keepLines w:val="0"/>
        <w:pageBreakBefore w:val="0"/>
        <w:widowControl w:val="0"/>
        <w:kinsoku/>
        <w:wordWrap/>
        <w:overflowPunct/>
        <w:topLinePunct w:val="0"/>
        <w:autoSpaceDE/>
        <w:autoSpaceDN/>
        <w:bidi w:val="0"/>
        <w:adjustRightInd/>
        <w:snapToGrid/>
        <w:spacing w:line="240" w:lineRule="auto"/>
        <w:ind w:left="430"/>
        <w:textAlignment w:val="auto"/>
        <w:rPr>
          <w:rFonts w:hint="eastAsia" w:ascii="宋体" w:hAnsi="宋体" w:eastAsia="宋体" w:cs="宋体"/>
          <w:sz w:val="24"/>
          <w:szCs w:val="24"/>
        </w:rPr>
      </w:pPr>
      <w:r>
        <w:rPr>
          <w:rFonts w:hint="eastAsia" w:ascii="宋体" w:hAnsi="宋体" w:eastAsia="宋体" w:cs="宋体"/>
          <w:spacing w:val="3"/>
          <w:sz w:val="24"/>
          <w:szCs w:val="24"/>
        </w:rPr>
        <w:t>（一）</w:t>
      </w:r>
      <w:r>
        <w:rPr>
          <w:rFonts w:hint="eastAsia" w:ascii="宋体" w:hAnsi="宋体" w:eastAsia="宋体" w:cs="宋体"/>
          <w:spacing w:val="59"/>
          <w:sz w:val="24"/>
          <w:szCs w:val="24"/>
        </w:rPr>
        <w:t xml:space="preserve"> </w:t>
      </w:r>
      <w:r>
        <w:rPr>
          <w:rFonts w:hint="eastAsia" w:ascii="宋体" w:hAnsi="宋体" w:eastAsia="宋体" w:cs="宋体"/>
          <w:spacing w:val="3"/>
          <w:sz w:val="24"/>
          <w:szCs w:val="24"/>
        </w:rPr>
        <w:t>甲方的权利和义务</w:t>
      </w:r>
    </w:p>
    <w:p w14:paraId="5B0D2093">
      <w:pPr>
        <w:keepNext w:val="0"/>
        <w:keepLines w:val="0"/>
        <w:pageBreakBefore w:val="0"/>
        <w:widowControl w:val="0"/>
        <w:kinsoku/>
        <w:wordWrap/>
        <w:overflowPunct/>
        <w:topLinePunct w:val="0"/>
        <w:autoSpaceDE/>
        <w:autoSpaceDN/>
        <w:bidi w:val="0"/>
        <w:adjustRightInd/>
        <w:snapToGrid/>
        <w:spacing w:line="240" w:lineRule="auto"/>
        <w:ind w:left="430"/>
        <w:textAlignment w:val="auto"/>
        <w:rPr>
          <w:rFonts w:hint="eastAsia" w:ascii="宋体" w:hAnsi="宋体" w:eastAsia="宋体" w:cs="宋体"/>
          <w:sz w:val="24"/>
          <w:szCs w:val="24"/>
        </w:rPr>
      </w:pPr>
      <w:r>
        <w:rPr>
          <w:rFonts w:hint="eastAsia" w:ascii="宋体" w:hAnsi="宋体" w:eastAsia="宋体" w:cs="宋体"/>
          <w:spacing w:val="4"/>
          <w:sz w:val="24"/>
          <w:szCs w:val="24"/>
        </w:rPr>
        <w:t>（二）</w:t>
      </w:r>
      <w:r>
        <w:rPr>
          <w:rFonts w:hint="eastAsia" w:ascii="宋体" w:hAnsi="宋体" w:eastAsia="宋体" w:cs="宋体"/>
          <w:spacing w:val="48"/>
          <w:sz w:val="24"/>
          <w:szCs w:val="24"/>
        </w:rPr>
        <w:t xml:space="preserve"> </w:t>
      </w:r>
      <w:r>
        <w:rPr>
          <w:rFonts w:hint="eastAsia" w:ascii="宋体" w:hAnsi="宋体" w:eastAsia="宋体" w:cs="宋体"/>
          <w:spacing w:val="4"/>
          <w:sz w:val="24"/>
          <w:szCs w:val="24"/>
        </w:rPr>
        <w:t>乙方的权利和义务</w:t>
      </w:r>
    </w:p>
    <w:p w14:paraId="15A28786">
      <w:pPr>
        <w:keepNext w:val="0"/>
        <w:keepLines w:val="0"/>
        <w:pageBreakBefore w:val="0"/>
        <w:widowControl w:val="0"/>
        <w:kinsoku/>
        <w:wordWrap/>
        <w:overflowPunct/>
        <w:topLinePunct w:val="0"/>
        <w:autoSpaceDE/>
        <w:autoSpaceDN/>
        <w:bidi w:val="0"/>
        <w:adjustRightInd/>
        <w:snapToGrid/>
        <w:spacing w:line="240" w:lineRule="auto"/>
        <w:ind w:left="20"/>
        <w:textAlignment w:val="auto"/>
        <w:rPr>
          <w:rFonts w:hint="eastAsia" w:ascii="宋体" w:hAnsi="宋体" w:eastAsia="宋体" w:cs="宋体"/>
          <w:sz w:val="24"/>
          <w:szCs w:val="24"/>
        </w:rPr>
      </w:pPr>
      <w:r>
        <w:rPr>
          <w:rFonts w:hint="eastAsia" w:ascii="宋体" w:hAnsi="宋体" w:eastAsia="宋体" w:cs="宋体"/>
          <w:b/>
          <w:bCs/>
          <w:spacing w:val="5"/>
          <w:sz w:val="24"/>
          <w:szCs w:val="24"/>
        </w:rPr>
        <w:t>四、服务期间（项目完成期限）</w:t>
      </w:r>
    </w:p>
    <w:p w14:paraId="0F616664">
      <w:pPr>
        <w:keepNext w:val="0"/>
        <w:keepLines w:val="0"/>
        <w:pageBreakBefore w:val="0"/>
        <w:widowControl w:val="0"/>
        <w:kinsoku/>
        <w:wordWrap/>
        <w:overflowPunct/>
        <w:topLinePunct w:val="0"/>
        <w:autoSpaceDE/>
        <w:autoSpaceDN/>
        <w:bidi w:val="0"/>
        <w:adjustRightInd/>
        <w:snapToGrid/>
        <w:spacing w:line="240" w:lineRule="auto"/>
        <w:ind w:firstLine="460" w:firstLineChars="200"/>
        <w:textAlignment w:val="auto"/>
        <w:rPr>
          <w:rFonts w:hint="eastAsia" w:ascii="宋体" w:hAnsi="宋体" w:eastAsia="宋体" w:cs="宋体"/>
          <w:sz w:val="24"/>
          <w:szCs w:val="24"/>
        </w:rPr>
      </w:pPr>
      <w:r>
        <w:rPr>
          <w:rFonts w:hint="eastAsia" w:ascii="宋体" w:hAnsi="宋体" w:eastAsia="宋体" w:cs="宋体"/>
          <w:spacing w:val="-5"/>
          <w:sz w:val="24"/>
          <w:szCs w:val="24"/>
          <w:lang w:eastAsia="zh-CN"/>
        </w:rPr>
        <w:t>自甲方提供规划所需的全部基础资料之日起至项目成果通过最终验收之日止</w:t>
      </w:r>
      <w:r>
        <w:rPr>
          <w:rFonts w:hint="eastAsia" w:ascii="宋体" w:hAnsi="宋体" w:eastAsia="宋体" w:cs="宋体"/>
          <w:spacing w:val="-5"/>
          <w:sz w:val="24"/>
          <w:szCs w:val="24"/>
          <w:highlight w:val="none"/>
          <w:lang w:eastAsia="zh-CN"/>
        </w:rPr>
        <w:t>，全部工作的总时长为</w:t>
      </w:r>
      <w:r>
        <w:rPr>
          <w:rFonts w:hint="eastAsia" w:ascii="宋体" w:hAnsi="宋体" w:eastAsia="宋体" w:cs="宋体"/>
          <w:spacing w:val="-4"/>
          <w:sz w:val="24"/>
          <w:szCs w:val="24"/>
          <w:highlight w:val="none"/>
          <w:u w:val="single"/>
          <w:lang w:val="en-US" w:eastAsia="zh-CN"/>
        </w:rPr>
        <w:t>2</w:t>
      </w:r>
      <w:r>
        <w:rPr>
          <w:rFonts w:hint="eastAsia" w:ascii="宋体" w:hAnsi="宋体" w:eastAsia="宋体" w:cs="宋体"/>
          <w:spacing w:val="-4"/>
          <w:sz w:val="24"/>
          <w:szCs w:val="24"/>
          <w:highlight w:val="none"/>
          <w:u w:val="single"/>
          <w:lang w:eastAsia="zh-CN"/>
        </w:rPr>
        <w:t>0</w:t>
      </w:r>
      <w:r>
        <w:rPr>
          <w:rFonts w:hint="eastAsia" w:ascii="宋体" w:hAnsi="宋体" w:eastAsia="宋体" w:cs="宋体"/>
          <w:spacing w:val="-4"/>
          <w:sz w:val="24"/>
          <w:szCs w:val="24"/>
          <w:highlight w:val="none"/>
          <w:lang w:eastAsia="zh-CN"/>
        </w:rPr>
        <w:t>日历天。</w:t>
      </w:r>
    </w:p>
    <w:p w14:paraId="2589B816">
      <w:pPr>
        <w:keepNext w:val="0"/>
        <w:keepLines w:val="0"/>
        <w:pageBreakBefore w:val="0"/>
        <w:widowControl w:val="0"/>
        <w:kinsoku/>
        <w:wordWrap/>
        <w:overflowPunct/>
        <w:topLinePunct w:val="0"/>
        <w:autoSpaceDE/>
        <w:autoSpaceDN/>
        <w:bidi w:val="0"/>
        <w:adjustRightInd/>
        <w:snapToGrid/>
        <w:spacing w:line="240" w:lineRule="auto"/>
        <w:ind w:left="4"/>
        <w:textAlignment w:val="auto"/>
        <w:rPr>
          <w:rFonts w:hint="eastAsia" w:ascii="宋体" w:hAnsi="宋体" w:eastAsia="宋体" w:cs="宋体"/>
          <w:sz w:val="24"/>
          <w:szCs w:val="24"/>
        </w:rPr>
      </w:pPr>
      <w:r>
        <w:rPr>
          <w:rFonts w:hint="eastAsia" w:ascii="宋体" w:hAnsi="宋体" w:eastAsia="宋体" w:cs="宋体"/>
          <w:b/>
          <w:bCs/>
          <w:spacing w:val="6"/>
          <w:sz w:val="24"/>
          <w:szCs w:val="24"/>
        </w:rPr>
        <w:t>五、付款方式</w:t>
      </w:r>
    </w:p>
    <w:p w14:paraId="7B39B82A">
      <w:pPr>
        <w:keepNext w:val="0"/>
        <w:keepLines w:val="0"/>
        <w:pageBreakBefore w:val="0"/>
        <w:widowControl w:val="0"/>
        <w:kinsoku/>
        <w:wordWrap/>
        <w:overflowPunct/>
        <w:topLinePunct w:val="0"/>
        <w:autoSpaceDE/>
        <w:autoSpaceDN/>
        <w:bidi w:val="0"/>
        <w:adjustRightInd/>
        <w:snapToGrid/>
        <w:spacing w:line="240" w:lineRule="auto"/>
        <w:ind w:left="19" w:right="190" w:firstLine="483"/>
        <w:jc w:val="both"/>
        <w:textAlignment w:val="auto"/>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1.第一笔</w:t>
      </w:r>
      <w:r>
        <w:rPr>
          <w:rFonts w:hint="eastAsia" w:ascii="宋体" w:hAnsi="宋体" w:eastAsia="宋体" w:cs="宋体"/>
          <w:b/>
          <w:bCs/>
          <w:spacing w:val="-2"/>
          <w:sz w:val="24"/>
          <w:szCs w:val="24"/>
          <w:highlight w:val="none"/>
          <w:lang w:val="en-US" w:eastAsia="zh-CN"/>
        </w:rPr>
        <w:t>进度款</w:t>
      </w:r>
      <w:r>
        <w:rPr>
          <w:rFonts w:hint="eastAsia" w:ascii="宋体" w:hAnsi="宋体" w:eastAsia="宋体" w:cs="宋体"/>
          <w:b/>
          <w:bCs/>
          <w:spacing w:val="-2"/>
          <w:sz w:val="24"/>
          <w:szCs w:val="24"/>
          <w:highlight w:val="none"/>
          <w:lang w:eastAsia="zh-CN"/>
        </w:rPr>
        <w:t>：</w:t>
      </w:r>
      <w:r>
        <w:rPr>
          <w:rFonts w:hint="eastAsia" w:ascii="宋体" w:hAnsi="宋体" w:eastAsia="宋体" w:cs="宋体"/>
          <w:spacing w:val="-2"/>
          <w:sz w:val="24"/>
          <w:szCs w:val="24"/>
          <w:highlight w:val="none"/>
          <w:lang w:val="en-US" w:eastAsia="zh-CN"/>
        </w:rPr>
        <w:t>专家论证通过并提交批复成果，</w:t>
      </w:r>
      <w:r>
        <w:rPr>
          <w:rFonts w:hint="eastAsia" w:ascii="宋体" w:hAnsi="宋体" w:eastAsia="宋体" w:cs="宋体"/>
          <w:spacing w:val="-2"/>
          <w:sz w:val="24"/>
          <w:szCs w:val="24"/>
          <w:highlight w:val="none"/>
          <w:lang w:eastAsia="zh-CN"/>
        </w:rPr>
        <w:t>且经甲方书面确认阶段性成果合格后，乙方提交等额合法有效的增值税发票，甲方支付合同总价款的</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0%，即人民币</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元整(¥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p>
    <w:p w14:paraId="606E2AAB">
      <w:pPr>
        <w:keepNext w:val="0"/>
        <w:keepLines w:val="0"/>
        <w:pageBreakBefore w:val="0"/>
        <w:widowControl w:val="0"/>
        <w:kinsoku/>
        <w:wordWrap/>
        <w:overflowPunct/>
        <w:topLinePunct w:val="0"/>
        <w:autoSpaceDE/>
        <w:autoSpaceDN/>
        <w:bidi w:val="0"/>
        <w:adjustRightInd/>
        <w:snapToGrid/>
        <w:spacing w:line="240" w:lineRule="auto"/>
        <w:ind w:left="19" w:right="190" w:firstLine="483"/>
        <w:jc w:val="both"/>
        <w:textAlignment w:val="auto"/>
        <w:rPr>
          <w:rFonts w:hint="eastAsia" w:ascii="宋体" w:hAnsi="宋体" w:eastAsia="宋体" w:cs="宋体"/>
          <w:sz w:val="24"/>
          <w:szCs w:val="24"/>
          <w:highlight w:val="none"/>
          <w:lang w:eastAsia="zh-CN"/>
        </w:rPr>
      </w:pPr>
      <w:r>
        <w:rPr>
          <w:rFonts w:hint="eastAsia" w:ascii="宋体" w:hAnsi="宋体" w:eastAsia="宋体" w:cs="宋体"/>
          <w:b/>
          <w:bCs/>
          <w:spacing w:val="-2"/>
          <w:sz w:val="24"/>
          <w:szCs w:val="24"/>
          <w:highlight w:val="none"/>
          <w:lang w:eastAsia="zh-CN"/>
        </w:rPr>
        <w:t>2.第二笔进度款：</w:t>
      </w:r>
      <w:r>
        <w:rPr>
          <w:rFonts w:hint="eastAsia" w:ascii="宋体" w:hAnsi="宋体" w:eastAsia="宋体" w:cs="宋体"/>
          <w:spacing w:val="-2"/>
          <w:sz w:val="24"/>
          <w:szCs w:val="24"/>
          <w:highlight w:val="none"/>
          <w:lang w:eastAsia="zh-CN"/>
        </w:rPr>
        <w:t>规划成果经</w:t>
      </w:r>
      <w:r>
        <w:rPr>
          <w:rFonts w:hint="eastAsia" w:ascii="宋体" w:hAnsi="宋体" w:eastAsia="宋体" w:cs="宋体"/>
          <w:spacing w:val="-2"/>
          <w:sz w:val="24"/>
          <w:szCs w:val="24"/>
          <w:highlight w:val="none"/>
          <w:lang w:val="en-US" w:eastAsia="zh-CN"/>
        </w:rPr>
        <w:t>省</w:t>
      </w:r>
      <w:r>
        <w:rPr>
          <w:rFonts w:hint="eastAsia" w:ascii="宋体" w:hAnsi="宋体" w:eastAsia="宋体" w:cs="宋体"/>
          <w:spacing w:val="-2"/>
          <w:sz w:val="24"/>
          <w:szCs w:val="24"/>
          <w:highlight w:val="none"/>
          <w:lang w:eastAsia="zh-CN"/>
        </w:rPr>
        <w:t>人民政府正式批复，且经甲方书面确认阶段性成果合格后，乙方提交等额合法有效的增值税发票，甲方支付合同总价款的</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0%，即人民币</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元整(¥</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p>
    <w:p w14:paraId="187E7386">
      <w:pPr>
        <w:keepNext w:val="0"/>
        <w:keepLines w:val="0"/>
        <w:pageBreakBefore w:val="0"/>
        <w:widowControl w:val="0"/>
        <w:kinsoku/>
        <w:wordWrap/>
        <w:overflowPunct/>
        <w:topLinePunct w:val="0"/>
        <w:autoSpaceDE/>
        <w:autoSpaceDN/>
        <w:bidi w:val="0"/>
        <w:adjustRightInd/>
        <w:snapToGrid/>
        <w:spacing w:line="240" w:lineRule="auto"/>
        <w:ind w:left="22" w:right="18" w:firstLine="480"/>
        <w:jc w:val="both"/>
        <w:textAlignment w:val="auto"/>
        <w:rPr>
          <w:rFonts w:hint="eastAsia" w:ascii="宋体" w:hAnsi="宋体" w:eastAsia="宋体" w:cs="宋体"/>
          <w:sz w:val="24"/>
          <w:szCs w:val="24"/>
        </w:rPr>
      </w:pPr>
      <w:r>
        <w:rPr>
          <w:rFonts w:hint="eastAsia" w:ascii="宋体" w:hAnsi="宋体" w:eastAsia="宋体" w:cs="宋体"/>
          <w:b/>
          <w:bCs/>
          <w:spacing w:val="-2"/>
          <w:sz w:val="24"/>
          <w:szCs w:val="24"/>
          <w:highlight w:val="none"/>
          <w:lang w:eastAsia="zh-CN"/>
        </w:rPr>
        <w:t>3.第三笔进度款：</w:t>
      </w:r>
      <w:r>
        <w:rPr>
          <w:rFonts w:hint="eastAsia" w:ascii="宋体" w:hAnsi="宋体" w:eastAsia="宋体" w:cs="宋体"/>
          <w:spacing w:val="-2"/>
          <w:sz w:val="24"/>
          <w:szCs w:val="24"/>
          <w:highlight w:val="none"/>
          <w:lang w:eastAsia="zh-CN"/>
        </w:rPr>
        <w:t>完成“一张图”入库汇交，规划公布配合工作，交付全部最终成果并经甲方最终验收合格后，乙方提交等额合法有效的增值税发票，甲方支付合同总价款的10%，即</w:t>
      </w:r>
      <w:r>
        <w:rPr>
          <w:rFonts w:hint="eastAsia" w:ascii="宋体" w:hAnsi="宋体" w:eastAsia="宋体" w:cs="宋体"/>
          <w:spacing w:val="-4"/>
          <w:sz w:val="24"/>
          <w:szCs w:val="24"/>
          <w:highlight w:val="none"/>
          <w:lang w:eastAsia="zh-CN"/>
        </w:rPr>
        <w:t>人民币</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元</w:t>
      </w:r>
      <w:r>
        <w:rPr>
          <w:rFonts w:hint="eastAsia" w:ascii="宋体" w:hAnsi="宋体" w:eastAsia="宋体" w:cs="宋体"/>
          <w:spacing w:val="-4"/>
          <w:sz w:val="24"/>
          <w:szCs w:val="24"/>
          <w:highlight w:val="none"/>
          <w:lang w:eastAsia="zh-CN"/>
        </w:rPr>
        <w:t>整(¥</w:t>
      </w:r>
      <w:r>
        <w:rPr>
          <w:rFonts w:hint="eastAsia" w:ascii="宋体" w:hAnsi="宋体" w:eastAsia="宋体" w:cs="宋体"/>
          <w:spacing w:val="-4"/>
          <w:sz w:val="24"/>
          <w:szCs w:val="24"/>
          <w:highlight w:val="none"/>
          <w:lang w:val="en-US" w:eastAsia="zh-CN"/>
        </w:rPr>
        <w:t xml:space="preserve">      </w:t>
      </w:r>
      <w:r>
        <w:rPr>
          <w:rFonts w:hint="eastAsia" w:ascii="宋体" w:hAnsi="宋体" w:eastAsia="宋体" w:cs="宋体"/>
          <w:spacing w:val="-55"/>
          <w:w w:val="82"/>
          <w:sz w:val="24"/>
          <w:szCs w:val="24"/>
          <w:highlight w:val="none"/>
          <w:lang w:eastAsia="zh-CN"/>
        </w:rPr>
        <w:t>）</w:t>
      </w:r>
      <w:r>
        <w:rPr>
          <w:rFonts w:hint="eastAsia" w:ascii="宋体" w:hAnsi="宋体" w:eastAsia="宋体" w:cs="宋体"/>
          <w:b/>
          <w:bCs/>
          <w:spacing w:val="-11"/>
          <w:sz w:val="24"/>
          <w:szCs w:val="24"/>
        </w:rPr>
        <w:t>（</w:t>
      </w:r>
      <w:r>
        <w:rPr>
          <w:rFonts w:hint="eastAsia" w:ascii="宋体" w:hAnsi="宋体" w:eastAsia="宋体" w:cs="宋体"/>
          <w:b/>
          <w:bCs/>
          <w:spacing w:val="10"/>
          <w:sz w:val="24"/>
          <w:szCs w:val="24"/>
        </w:rPr>
        <w:t>验收合格后发布验收公告，验收公告发布时间</w:t>
      </w:r>
      <w:r>
        <w:rPr>
          <w:rFonts w:hint="eastAsia" w:ascii="宋体" w:hAnsi="宋体" w:eastAsia="宋体" w:cs="宋体"/>
          <w:b/>
          <w:bCs/>
          <w:spacing w:val="1"/>
          <w:sz w:val="24"/>
          <w:szCs w:val="24"/>
        </w:rPr>
        <w:t>至付款时间为</w:t>
      </w:r>
      <w:r>
        <w:rPr>
          <w:rFonts w:hint="eastAsia" w:ascii="宋体" w:hAnsi="宋体" w:eastAsia="宋体" w:cs="宋体"/>
          <w:spacing w:val="-28"/>
          <w:sz w:val="24"/>
          <w:szCs w:val="24"/>
        </w:rPr>
        <w:t xml:space="preserve"> </w:t>
      </w:r>
      <w:r>
        <w:rPr>
          <w:rFonts w:hint="eastAsia" w:ascii="宋体" w:hAnsi="宋体" w:eastAsia="宋体" w:cs="宋体"/>
          <w:b/>
          <w:bCs/>
          <w:spacing w:val="1"/>
          <w:sz w:val="24"/>
          <w:szCs w:val="24"/>
        </w:rPr>
        <w:t>7</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日，开票时间至付款时间为</w:t>
      </w:r>
      <w:r>
        <w:rPr>
          <w:rFonts w:hint="eastAsia" w:ascii="宋体" w:hAnsi="宋体" w:eastAsia="宋体" w:cs="宋体"/>
          <w:b/>
          <w:bCs/>
          <w:spacing w:val="1"/>
          <w:sz w:val="24"/>
          <w:szCs w:val="24"/>
          <w:lang w:val="en-US" w:eastAsia="zh-CN"/>
        </w:rPr>
        <w:t xml:space="preserve"> </w:t>
      </w:r>
      <w:r>
        <w:rPr>
          <w:rFonts w:hint="eastAsia" w:ascii="宋体" w:hAnsi="宋体" w:eastAsia="宋体" w:cs="宋体"/>
          <w:spacing w:val="-30"/>
          <w:sz w:val="24"/>
          <w:szCs w:val="24"/>
        </w:rPr>
        <w:t xml:space="preserve"> </w:t>
      </w:r>
      <w:r>
        <w:rPr>
          <w:rFonts w:hint="eastAsia" w:ascii="宋体" w:hAnsi="宋体" w:eastAsia="宋体" w:cs="宋体"/>
          <w:b/>
          <w:bCs/>
          <w:spacing w:val="1"/>
          <w:sz w:val="24"/>
          <w:szCs w:val="24"/>
          <w:lang w:val="en-US" w:eastAsia="zh-CN"/>
        </w:rPr>
        <w:t>30</w:t>
      </w:r>
      <w:r>
        <w:rPr>
          <w:rFonts w:hint="eastAsia" w:ascii="宋体" w:hAnsi="宋体" w:eastAsia="宋体" w:cs="宋体"/>
          <w:spacing w:val="1"/>
          <w:sz w:val="24"/>
          <w:szCs w:val="24"/>
        </w:rPr>
        <w:t xml:space="preserve"> </w:t>
      </w:r>
      <w:r>
        <w:rPr>
          <w:rFonts w:hint="eastAsia" w:ascii="宋体" w:hAnsi="宋体" w:eastAsia="宋体" w:cs="宋体"/>
          <w:b/>
          <w:bCs/>
          <w:spacing w:val="1"/>
          <w:sz w:val="24"/>
          <w:szCs w:val="24"/>
        </w:rPr>
        <w:t>日）</w:t>
      </w:r>
    </w:p>
    <w:p w14:paraId="09205091">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b/>
          <w:bCs/>
          <w:snapToGrid w:val="0"/>
          <w:color w:val="000000"/>
          <w:spacing w:val="7"/>
          <w:kern w:val="0"/>
          <w:sz w:val="24"/>
          <w:szCs w:val="24"/>
          <w:lang w:val="en-US" w:eastAsia="zh-CN" w:bidi="ar-SA"/>
        </w:rPr>
      </w:pPr>
      <w:r>
        <w:rPr>
          <w:rFonts w:hint="eastAsia" w:ascii="宋体" w:hAnsi="宋体" w:eastAsia="宋体" w:cs="宋体"/>
          <w:b/>
          <w:bCs/>
          <w:spacing w:val="7"/>
          <w:sz w:val="24"/>
          <w:szCs w:val="24"/>
        </w:rPr>
        <w:t>六、</w:t>
      </w:r>
      <w:r>
        <w:rPr>
          <w:rFonts w:hint="eastAsia" w:ascii="宋体" w:hAnsi="宋体" w:eastAsia="宋体" w:cs="宋体"/>
          <w:b/>
          <w:bCs/>
          <w:snapToGrid w:val="0"/>
          <w:color w:val="000000"/>
          <w:spacing w:val="7"/>
          <w:kern w:val="0"/>
          <w:sz w:val="24"/>
          <w:szCs w:val="24"/>
          <w:lang w:val="en-US" w:eastAsia="zh-CN" w:bidi="ar-SA"/>
        </w:rPr>
        <w:t xml:space="preserve"> 签约与结算主体要求</w:t>
      </w:r>
    </w:p>
    <w:p w14:paraId="0B6541E8">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b/>
          <w:bCs/>
          <w:snapToGrid w:val="0"/>
          <w:color w:val="000000"/>
          <w:spacing w:val="7"/>
          <w:kern w:val="0"/>
          <w:sz w:val="24"/>
          <w:szCs w:val="24"/>
          <w:lang w:val="en-US" w:eastAsia="zh-CN" w:bidi="ar-SA"/>
        </w:rPr>
      </w:pPr>
    </w:p>
    <w:p w14:paraId="45A532FB">
      <w:pPr>
        <w:keepNext w:val="0"/>
        <w:keepLines w:val="0"/>
        <w:pageBreakBefore w:val="0"/>
        <w:widowControl w:val="0"/>
        <w:kinsoku/>
        <w:wordWrap/>
        <w:overflowPunct/>
        <w:topLinePunct w:val="0"/>
        <w:autoSpaceDE/>
        <w:autoSpaceDN/>
        <w:bidi w:val="0"/>
        <w:adjustRightInd/>
        <w:snapToGrid/>
        <w:spacing w:line="240" w:lineRule="auto"/>
        <w:ind w:left="23"/>
        <w:jc w:val="both"/>
        <w:textAlignment w:val="auto"/>
        <w:outlineLvl w:val="0"/>
        <w:rPr>
          <w:rFonts w:hint="eastAsia" w:ascii="宋体" w:hAnsi="宋体" w:eastAsia="宋体" w:cs="宋体"/>
          <w:b/>
          <w:bCs/>
          <w:snapToGrid w:val="0"/>
          <w:color w:val="000000"/>
          <w:spacing w:val="6"/>
          <w:kern w:val="0"/>
          <w:sz w:val="24"/>
          <w:szCs w:val="24"/>
          <w:lang w:val="en-US" w:eastAsia="zh-CN" w:bidi="ar-SA"/>
        </w:rPr>
      </w:pPr>
      <w:r>
        <w:rPr>
          <w:rFonts w:hint="eastAsia" w:ascii="宋体" w:hAnsi="宋体" w:eastAsia="宋体" w:cs="宋体"/>
          <w:b/>
          <w:bCs/>
          <w:spacing w:val="6"/>
          <w:sz w:val="24"/>
          <w:szCs w:val="24"/>
        </w:rPr>
        <w:t>七、</w:t>
      </w:r>
      <w:r>
        <w:rPr>
          <w:rFonts w:hint="eastAsia" w:ascii="宋体" w:hAnsi="宋体" w:eastAsia="宋体" w:cs="宋体"/>
          <w:b/>
          <w:bCs/>
          <w:snapToGrid w:val="0"/>
          <w:color w:val="000000"/>
          <w:spacing w:val="6"/>
          <w:kern w:val="0"/>
          <w:sz w:val="24"/>
          <w:szCs w:val="24"/>
          <w:lang w:val="en-US" w:eastAsia="zh-CN" w:bidi="ar-SA"/>
        </w:rPr>
        <w:t>知识产权与保密</w:t>
      </w:r>
    </w:p>
    <w:p w14:paraId="38921691">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sz w:val="24"/>
          <w:szCs w:val="24"/>
        </w:rPr>
      </w:pPr>
    </w:p>
    <w:p w14:paraId="3F328F7B">
      <w:pPr>
        <w:keepNext w:val="0"/>
        <w:keepLines w:val="0"/>
        <w:pageBreakBefore w:val="0"/>
        <w:widowControl w:val="0"/>
        <w:kinsoku/>
        <w:wordWrap/>
        <w:overflowPunct/>
        <w:topLinePunct w:val="0"/>
        <w:autoSpaceDE/>
        <w:autoSpaceDN/>
        <w:bidi w:val="0"/>
        <w:adjustRightInd/>
        <w:snapToGrid/>
        <w:spacing w:line="240" w:lineRule="auto"/>
        <w:ind w:left="4"/>
        <w:textAlignment w:val="auto"/>
        <w:rPr>
          <w:rFonts w:hint="eastAsia" w:ascii="宋体" w:hAnsi="宋体" w:eastAsia="宋体" w:cs="宋体"/>
          <w:sz w:val="24"/>
          <w:szCs w:val="24"/>
        </w:rPr>
      </w:pPr>
      <w:r>
        <w:rPr>
          <w:rFonts w:hint="eastAsia" w:ascii="宋体" w:hAnsi="宋体" w:eastAsia="宋体" w:cs="宋体"/>
          <w:b/>
          <w:bCs/>
          <w:spacing w:val="7"/>
          <w:sz w:val="24"/>
          <w:szCs w:val="24"/>
        </w:rPr>
        <w:t>八、违约责任与赔偿损失</w:t>
      </w:r>
    </w:p>
    <w:p w14:paraId="6A815B76">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7"/>
          <w:sz w:val="24"/>
          <w:szCs w:val="24"/>
          <w:lang w:eastAsia="zh-CN"/>
        </w:rPr>
        <w:t>（</w:t>
      </w:r>
      <w:r>
        <w:rPr>
          <w:rFonts w:hint="eastAsia" w:ascii="宋体" w:hAnsi="宋体" w:eastAsia="宋体" w:cs="宋体"/>
          <w:b/>
          <w:bCs/>
          <w:spacing w:val="-7"/>
          <w:sz w:val="24"/>
          <w:szCs w:val="24"/>
          <w:lang w:val="en-US" w:eastAsia="zh-CN"/>
        </w:rPr>
        <w:t>一</w:t>
      </w:r>
      <w:r>
        <w:rPr>
          <w:rFonts w:hint="eastAsia" w:ascii="宋体" w:hAnsi="宋体" w:eastAsia="宋体" w:cs="宋体"/>
          <w:b/>
          <w:bCs/>
          <w:spacing w:val="-7"/>
          <w:sz w:val="24"/>
          <w:szCs w:val="24"/>
          <w:lang w:eastAsia="zh-CN"/>
        </w:rPr>
        <w:t>）违约解约责任</w:t>
      </w:r>
    </w:p>
    <w:p w14:paraId="7F9EBDC4">
      <w:pPr>
        <w:keepNext w:val="0"/>
        <w:keepLines w:val="0"/>
        <w:pageBreakBefore w:val="0"/>
        <w:widowControl w:val="0"/>
        <w:kinsoku/>
        <w:wordWrap/>
        <w:overflowPunct/>
        <w:topLinePunct w:val="0"/>
        <w:autoSpaceDE/>
        <w:autoSpaceDN/>
        <w:bidi w:val="0"/>
        <w:adjustRightInd/>
        <w:snapToGrid/>
        <w:spacing w:line="240" w:lineRule="auto"/>
        <w:ind w:left="22" w:firstLine="516"/>
        <w:jc w:val="both"/>
        <w:textAlignment w:val="auto"/>
        <w:rPr>
          <w:rFonts w:hint="eastAsia" w:ascii="宋体" w:hAnsi="宋体" w:eastAsia="宋体" w:cs="宋体"/>
          <w:sz w:val="24"/>
          <w:szCs w:val="24"/>
          <w:lang w:eastAsia="zh-CN"/>
        </w:rPr>
      </w:pPr>
      <w:r>
        <w:rPr>
          <w:rFonts w:hint="eastAsia" w:ascii="宋体" w:hAnsi="宋体" w:eastAsia="宋体" w:cs="宋体"/>
          <w:b/>
          <w:bCs/>
          <w:spacing w:val="-5"/>
          <w:sz w:val="24"/>
          <w:szCs w:val="24"/>
          <w:lang w:eastAsia="zh-CN"/>
        </w:rPr>
        <w:t>乙方出现下列情形之一的，视为根本违约，甲方有权单方即时解除本合同，</w:t>
      </w:r>
      <w:r>
        <w:rPr>
          <w:rFonts w:hint="eastAsia" w:ascii="宋体" w:hAnsi="宋体" w:eastAsia="宋体" w:cs="宋体"/>
          <w:b/>
          <w:bCs/>
          <w:spacing w:val="-5"/>
          <w:sz w:val="24"/>
          <w:szCs w:val="24"/>
          <w:lang w:val="en-US" w:eastAsia="zh-CN"/>
        </w:rPr>
        <w:t>并追究违约责任</w:t>
      </w:r>
      <w:r>
        <w:rPr>
          <w:rFonts w:hint="eastAsia" w:ascii="宋体" w:hAnsi="宋体" w:eastAsia="宋体" w:cs="宋体"/>
          <w:b/>
          <w:bCs/>
          <w:spacing w:val="-3"/>
          <w:sz w:val="24"/>
          <w:szCs w:val="24"/>
          <w:lang w:eastAsia="zh-CN"/>
        </w:rPr>
        <w:t>：</w:t>
      </w:r>
    </w:p>
    <w:p w14:paraId="07E30ABB">
      <w:pPr>
        <w:keepNext w:val="0"/>
        <w:keepLines w:val="0"/>
        <w:pageBreakBefore w:val="0"/>
        <w:widowControl w:val="0"/>
        <w:kinsoku/>
        <w:wordWrap/>
        <w:overflowPunct/>
        <w:topLinePunct w:val="0"/>
        <w:autoSpaceDE/>
        <w:autoSpaceDN/>
        <w:bidi w:val="0"/>
        <w:adjustRightInd/>
        <w:snapToGrid/>
        <w:spacing w:line="240" w:lineRule="auto"/>
        <w:ind w:left="16" w:right="58" w:firstLine="508"/>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1.实施转包、违法分包、资质挂靠、出借或借用资质行为，包括但不限于：</w:t>
      </w:r>
      <w:r>
        <w:rPr>
          <w:rFonts w:hint="eastAsia" w:ascii="宋体" w:hAnsi="宋体" w:eastAsia="宋体" w:cs="宋体"/>
          <w:spacing w:val="-3"/>
          <w:sz w:val="24"/>
          <w:szCs w:val="24"/>
          <w:lang w:eastAsia="zh-CN"/>
        </w:rPr>
        <w:t>不履行合同约定的技术与管理义务，将项目主体工作全部或肢解后转交第三方完成；项目核心技术团队成员非乙方自有全职人员且未经甲方书面同意；非主体辅助性工作分包未提前征得甲方书面同意，或分包单位不具备对应技术能力，或分</w:t>
      </w:r>
      <w:r>
        <w:rPr>
          <w:rFonts w:hint="eastAsia" w:ascii="宋体" w:hAnsi="宋体" w:eastAsia="宋体" w:cs="宋体"/>
          <w:spacing w:val="-1"/>
          <w:sz w:val="24"/>
          <w:szCs w:val="24"/>
          <w:lang w:eastAsia="zh-CN"/>
        </w:rPr>
        <w:t>包后再次转委托；</w:t>
      </w:r>
    </w:p>
    <w:p w14:paraId="2C1F6B98">
      <w:pPr>
        <w:keepNext w:val="0"/>
        <w:keepLines w:val="0"/>
        <w:pageBreakBefore w:val="0"/>
        <w:widowControl w:val="0"/>
        <w:kinsoku/>
        <w:wordWrap/>
        <w:overflowPunct/>
        <w:topLinePunct w:val="0"/>
        <w:autoSpaceDE/>
        <w:autoSpaceDN/>
        <w:bidi w:val="0"/>
        <w:adjustRightInd/>
        <w:snapToGrid/>
        <w:spacing w:line="240" w:lineRule="auto"/>
        <w:ind w:left="26" w:right="58" w:firstLine="475"/>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2.以分公司、分支机构或任何第三方主体名义签订合同、收取款项、开具票</w:t>
      </w:r>
      <w:r>
        <w:rPr>
          <w:rFonts w:hint="eastAsia" w:ascii="宋体" w:hAnsi="宋体" w:eastAsia="宋体" w:cs="宋体"/>
          <w:spacing w:val="-1"/>
          <w:sz w:val="24"/>
          <w:szCs w:val="24"/>
          <w:lang w:eastAsia="zh-CN"/>
        </w:rPr>
        <w:t>据，违反本合同第六条约定的；</w:t>
      </w:r>
    </w:p>
    <w:p w14:paraId="4C6F80E2">
      <w:pPr>
        <w:keepNext w:val="0"/>
        <w:keepLines w:val="0"/>
        <w:pageBreakBefore w:val="0"/>
        <w:widowControl w:val="0"/>
        <w:kinsoku/>
        <w:wordWrap/>
        <w:overflowPunct/>
        <w:topLinePunct w:val="0"/>
        <w:autoSpaceDE/>
        <w:autoSpaceDN/>
        <w:bidi w:val="0"/>
        <w:adjustRightInd/>
        <w:snapToGrid/>
        <w:spacing w:line="240" w:lineRule="auto"/>
        <w:ind w:left="29" w:right="58" w:firstLine="477"/>
        <w:jc w:val="both"/>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3.提交虚假成果、抄袭剽窃他人成果，或成果</w:t>
      </w:r>
      <w:r>
        <w:rPr>
          <w:rFonts w:hint="eastAsia" w:ascii="宋体" w:hAnsi="宋体" w:eastAsia="宋体" w:cs="宋体"/>
          <w:spacing w:val="-2"/>
          <w:sz w:val="24"/>
          <w:szCs w:val="24"/>
          <w:lang w:eastAsia="zh-CN"/>
        </w:rPr>
        <w:t>存在侵犯第三方著作权、专利权等知识产权情形的；</w:t>
      </w:r>
    </w:p>
    <w:p w14:paraId="6CB02FB2">
      <w:pPr>
        <w:keepNext w:val="0"/>
        <w:keepLines w:val="0"/>
        <w:pageBreakBefore w:val="0"/>
        <w:widowControl w:val="0"/>
        <w:kinsoku/>
        <w:wordWrap/>
        <w:overflowPunct/>
        <w:topLinePunct w:val="0"/>
        <w:autoSpaceDE/>
        <w:autoSpaceDN/>
        <w:bidi w:val="0"/>
        <w:adjustRightInd/>
        <w:snapToGrid/>
        <w:spacing w:line="240" w:lineRule="auto"/>
        <w:ind w:left="20" w:right="58" w:firstLine="479"/>
        <w:jc w:val="both"/>
        <w:textAlignment w:val="auto"/>
        <w:rPr>
          <w:rFonts w:hint="eastAsia" w:ascii="宋体" w:hAnsi="宋体" w:eastAsia="宋体" w:cs="宋体"/>
          <w:sz w:val="24"/>
          <w:szCs w:val="24"/>
          <w:lang w:eastAsia="zh-CN"/>
        </w:rPr>
      </w:pPr>
      <w:r>
        <w:rPr>
          <w:rFonts w:hint="eastAsia" w:ascii="宋体" w:hAnsi="宋体" w:eastAsia="宋体" w:cs="宋体"/>
          <w:spacing w:val="-1"/>
          <w:sz w:val="24"/>
          <w:szCs w:val="24"/>
          <w:lang w:eastAsia="zh-CN"/>
        </w:rPr>
        <w:t>4.不当使用人工智能生成内容且未履行人工审核与合规校验</w:t>
      </w:r>
      <w:r>
        <w:rPr>
          <w:rFonts w:hint="eastAsia" w:ascii="宋体" w:hAnsi="宋体" w:eastAsia="宋体" w:cs="宋体"/>
          <w:spacing w:val="-2"/>
          <w:sz w:val="24"/>
          <w:szCs w:val="24"/>
          <w:lang w:eastAsia="zh-CN"/>
        </w:rPr>
        <w:t>义务，导致成果</w:t>
      </w:r>
      <w:r>
        <w:rPr>
          <w:rFonts w:hint="eastAsia" w:ascii="宋体" w:hAnsi="宋体" w:eastAsia="宋体" w:cs="宋体"/>
          <w:sz w:val="24"/>
          <w:szCs w:val="24"/>
          <w:lang w:eastAsia="zh-CN"/>
        </w:rPr>
        <w:t>存在权利瑕疵、实质性质量缺陷、逻辑谬误或侵犯</w:t>
      </w:r>
      <w:r>
        <w:rPr>
          <w:rFonts w:hint="eastAsia" w:ascii="宋体" w:hAnsi="宋体" w:eastAsia="宋体" w:cs="宋体"/>
          <w:spacing w:val="-1"/>
          <w:sz w:val="24"/>
          <w:szCs w:val="24"/>
          <w:lang w:eastAsia="zh-CN"/>
        </w:rPr>
        <w:t>他人知识产权的；</w:t>
      </w:r>
    </w:p>
    <w:p w14:paraId="3E22B873">
      <w:pPr>
        <w:keepNext w:val="0"/>
        <w:keepLines w:val="0"/>
        <w:pageBreakBefore w:val="0"/>
        <w:widowControl w:val="0"/>
        <w:kinsoku/>
        <w:wordWrap/>
        <w:overflowPunct/>
        <w:topLinePunct w:val="0"/>
        <w:autoSpaceDE/>
        <w:autoSpaceDN/>
        <w:bidi w:val="0"/>
        <w:adjustRightInd/>
        <w:snapToGrid/>
        <w:spacing w:line="240" w:lineRule="auto"/>
        <w:ind w:left="20" w:right="58" w:firstLine="479"/>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5.擅自泄露甲方工作秘密、未公开规划信息及</w:t>
      </w:r>
      <w:r>
        <w:rPr>
          <w:rFonts w:hint="eastAsia" w:ascii="宋体" w:hAnsi="宋体" w:eastAsia="宋体" w:cs="宋体"/>
          <w:spacing w:val="-1"/>
          <w:sz w:val="24"/>
          <w:szCs w:val="24"/>
          <w:lang w:eastAsia="zh-CN"/>
        </w:rPr>
        <w:t>涉密数据，违反保密义务的；</w:t>
      </w:r>
    </w:p>
    <w:p w14:paraId="550AE61F">
      <w:pPr>
        <w:keepNext w:val="0"/>
        <w:keepLines w:val="0"/>
        <w:pageBreakBefore w:val="0"/>
        <w:widowControl w:val="0"/>
        <w:kinsoku/>
        <w:wordWrap/>
        <w:overflowPunct/>
        <w:topLinePunct w:val="0"/>
        <w:autoSpaceDE/>
        <w:autoSpaceDN/>
        <w:bidi w:val="0"/>
        <w:adjustRightInd/>
        <w:snapToGrid/>
        <w:spacing w:line="240" w:lineRule="auto"/>
        <w:ind w:left="20" w:right="58" w:firstLine="479"/>
        <w:jc w:val="both"/>
        <w:textAlignment w:val="auto"/>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6.逾期交付超过1</w:t>
      </w:r>
      <w:r>
        <w:rPr>
          <w:rFonts w:hint="eastAsia" w:ascii="宋体" w:hAnsi="宋体" w:eastAsia="宋体" w:cs="宋体"/>
          <w:spacing w:val="-6"/>
          <w:sz w:val="24"/>
          <w:szCs w:val="24"/>
          <w:lang w:val="en-US" w:eastAsia="zh-CN"/>
        </w:rPr>
        <w:t>0</w:t>
      </w:r>
      <w:r>
        <w:rPr>
          <w:rFonts w:hint="eastAsia" w:ascii="宋体" w:hAnsi="宋体" w:eastAsia="宋体" w:cs="宋体"/>
          <w:spacing w:val="-6"/>
          <w:sz w:val="24"/>
          <w:szCs w:val="24"/>
          <w:lang w:eastAsia="zh-CN"/>
        </w:rPr>
        <w:t>日，</w:t>
      </w:r>
      <w:r>
        <w:rPr>
          <w:rFonts w:hint="eastAsia" w:ascii="宋体" w:hAnsi="宋体" w:eastAsia="宋体" w:cs="宋体"/>
          <w:color w:val="auto"/>
          <w:spacing w:val="-3"/>
          <w:sz w:val="24"/>
          <w:szCs w:val="24"/>
          <w:lang w:val="en-US" w:eastAsia="zh-CN"/>
        </w:rPr>
        <w:t>成果经多次修改仍未通过审查或评审存在实质性缺陷的</w:t>
      </w:r>
      <w:r>
        <w:rPr>
          <w:rFonts w:hint="eastAsia" w:ascii="宋体" w:hAnsi="宋体" w:eastAsia="宋体" w:cs="宋体"/>
          <w:spacing w:val="-6"/>
          <w:sz w:val="24"/>
          <w:szCs w:val="24"/>
          <w:lang w:eastAsia="zh-CN"/>
        </w:rPr>
        <w:t>；</w:t>
      </w:r>
    </w:p>
    <w:p w14:paraId="1E2B2501">
      <w:pPr>
        <w:keepNext w:val="0"/>
        <w:keepLines w:val="0"/>
        <w:pageBreakBefore w:val="0"/>
        <w:widowControl w:val="0"/>
        <w:kinsoku/>
        <w:wordWrap/>
        <w:overflowPunct/>
        <w:topLinePunct w:val="0"/>
        <w:autoSpaceDE/>
        <w:autoSpaceDN/>
        <w:bidi w:val="0"/>
        <w:adjustRightInd/>
        <w:snapToGrid/>
        <w:spacing w:line="240" w:lineRule="auto"/>
        <w:ind w:left="20" w:right="58" w:firstLine="479"/>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7.擅自更换项目负责人且拒不整改，或提供虚假人</w:t>
      </w:r>
      <w:r>
        <w:rPr>
          <w:rFonts w:hint="eastAsia" w:ascii="宋体" w:hAnsi="宋体" w:eastAsia="宋体" w:cs="宋体"/>
          <w:spacing w:val="-1"/>
          <w:sz w:val="24"/>
          <w:szCs w:val="24"/>
          <w:lang w:eastAsia="zh-CN"/>
        </w:rPr>
        <w:t>员资质、社保证明的；</w:t>
      </w:r>
    </w:p>
    <w:p w14:paraId="29A4013F">
      <w:pPr>
        <w:keepNext w:val="0"/>
        <w:keepLines w:val="0"/>
        <w:pageBreakBefore w:val="0"/>
        <w:widowControl w:val="0"/>
        <w:kinsoku/>
        <w:wordWrap/>
        <w:overflowPunct/>
        <w:topLinePunct w:val="0"/>
        <w:autoSpaceDE/>
        <w:autoSpaceDN/>
        <w:bidi w:val="0"/>
        <w:adjustRightInd/>
        <w:snapToGrid/>
        <w:spacing w:line="240" w:lineRule="auto"/>
        <w:ind w:left="20" w:right="58" w:firstLine="479"/>
        <w:jc w:val="both"/>
        <w:textAlignment w:val="auto"/>
        <w:rPr>
          <w:rFonts w:hint="eastAsia" w:ascii="宋体" w:hAnsi="宋体" w:eastAsia="宋体" w:cs="宋体"/>
          <w:b/>
          <w:bCs/>
          <w:spacing w:val="-2"/>
          <w:sz w:val="24"/>
          <w:szCs w:val="24"/>
          <w:lang w:eastAsia="zh-CN"/>
        </w:rPr>
      </w:pPr>
      <w:r>
        <w:rPr>
          <w:rFonts w:hint="eastAsia" w:ascii="宋体" w:hAnsi="宋体" w:eastAsia="宋体" w:cs="宋体"/>
          <w:spacing w:val="-2"/>
          <w:sz w:val="24"/>
          <w:szCs w:val="24"/>
          <w:lang w:eastAsia="zh-CN"/>
        </w:rPr>
        <w:t>8.拒不配合甲方履约核查且情节严重的。合同解除后，乙方应退还已收取的</w:t>
      </w:r>
      <w:r>
        <w:rPr>
          <w:rFonts w:hint="eastAsia" w:ascii="宋体" w:hAnsi="宋体" w:eastAsia="宋体" w:cs="宋体"/>
          <w:b/>
          <w:bCs/>
          <w:spacing w:val="-2"/>
          <w:sz w:val="24"/>
          <w:szCs w:val="24"/>
          <w:lang w:eastAsia="zh-CN"/>
        </w:rPr>
        <w:t>全部合同价款，并按合同总金额的</w:t>
      </w:r>
      <w:r>
        <w:rPr>
          <w:rFonts w:hint="eastAsia" w:ascii="宋体" w:hAnsi="宋体" w:eastAsia="宋体" w:cs="宋体"/>
          <w:spacing w:val="-2"/>
          <w:sz w:val="24"/>
          <w:szCs w:val="24"/>
          <w:lang w:eastAsia="zh-CN"/>
        </w:rPr>
        <w:t xml:space="preserve"> </w:t>
      </w:r>
      <w:r>
        <w:rPr>
          <w:rFonts w:hint="eastAsia" w:ascii="宋体" w:hAnsi="宋体" w:eastAsia="宋体" w:cs="宋体"/>
          <w:b/>
          <w:bCs/>
          <w:spacing w:val="-2"/>
          <w:sz w:val="24"/>
          <w:szCs w:val="24"/>
          <w:lang w:eastAsia="zh-CN"/>
        </w:rPr>
        <w:t>20%向甲方支付违约金，</w:t>
      </w:r>
      <w:r>
        <w:rPr>
          <w:rFonts w:hint="eastAsia" w:ascii="宋体" w:hAnsi="宋体" w:eastAsia="宋体" w:cs="宋体"/>
          <w:spacing w:val="-5"/>
          <w:sz w:val="24"/>
          <w:szCs w:val="24"/>
          <w:lang w:eastAsia="zh-CN"/>
        </w:rPr>
        <w:t>因乙方成果侵犯第三</w:t>
      </w:r>
      <w:r>
        <w:rPr>
          <w:rFonts w:hint="eastAsia" w:ascii="宋体" w:hAnsi="宋体" w:eastAsia="宋体" w:cs="宋体"/>
          <w:spacing w:val="-3"/>
          <w:sz w:val="24"/>
          <w:szCs w:val="24"/>
          <w:lang w:eastAsia="zh-CN"/>
        </w:rPr>
        <w:t>方知识产权导致甲方被追责或索赔的，乙方应全额承担甲方因此支付的所有赔偿</w:t>
      </w:r>
      <w:r>
        <w:rPr>
          <w:rFonts w:hint="eastAsia" w:ascii="宋体" w:hAnsi="宋体" w:eastAsia="宋体" w:cs="宋体"/>
          <w:spacing w:val="-1"/>
          <w:sz w:val="24"/>
          <w:szCs w:val="24"/>
          <w:lang w:eastAsia="zh-CN"/>
        </w:rPr>
        <w:t>金、和解金、律师费以及消除影响的费用。</w:t>
      </w:r>
    </w:p>
    <w:p w14:paraId="13D0918D">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14"/>
          <w:sz w:val="24"/>
          <w:szCs w:val="24"/>
          <w:lang w:eastAsia="zh-CN"/>
        </w:rPr>
        <w:t>（</w:t>
      </w:r>
      <w:r>
        <w:rPr>
          <w:rFonts w:hint="eastAsia" w:ascii="宋体" w:hAnsi="宋体" w:eastAsia="宋体" w:cs="宋体"/>
          <w:b/>
          <w:bCs/>
          <w:spacing w:val="-14"/>
          <w:sz w:val="24"/>
          <w:szCs w:val="24"/>
          <w:lang w:val="en-US" w:eastAsia="zh-CN"/>
        </w:rPr>
        <w:t>二</w:t>
      </w:r>
      <w:r>
        <w:rPr>
          <w:rFonts w:hint="eastAsia" w:ascii="宋体" w:hAnsi="宋体" w:eastAsia="宋体" w:cs="宋体"/>
          <w:b/>
          <w:bCs/>
          <w:spacing w:val="-14"/>
          <w:sz w:val="24"/>
          <w:szCs w:val="24"/>
          <w:lang w:eastAsia="zh-CN"/>
        </w:rPr>
        <w:t>）甲方单方终止责任</w:t>
      </w:r>
    </w:p>
    <w:p w14:paraId="436C8286">
      <w:pPr>
        <w:keepNext w:val="0"/>
        <w:keepLines w:val="0"/>
        <w:pageBreakBefore w:val="0"/>
        <w:widowControl w:val="0"/>
        <w:kinsoku/>
        <w:wordWrap/>
        <w:overflowPunct/>
        <w:topLinePunct w:val="0"/>
        <w:autoSpaceDE/>
        <w:autoSpaceDN/>
        <w:bidi w:val="0"/>
        <w:adjustRightInd/>
        <w:snapToGrid/>
        <w:spacing w:line="240" w:lineRule="auto"/>
        <w:ind w:left="23" w:right="68" w:firstLine="485"/>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合同生效后，因公共利益需要、法律法规或政策重</w:t>
      </w:r>
      <w:r>
        <w:rPr>
          <w:rFonts w:hint="eastAsia" w:ascii="宋体" w:hAnsi="宋体" w:eastAsia="宋体" w:cs="宋体"/>
          <w:spacing w:val="-4"/>
          <w:sz w:val="24"/>
          <w:szCs w:val="24"/>
          <w:lang w:eastAsia="zh-CN"/>
        </w:rPr>
        <w:t>大调整、上位规划依法调</w:t>
      </w:r>
      <w:r>
        <w:rPr>
          <w:rFonts w:hint="eastAsia" w:ascii="宋体" w:hAnsi="宋体" w:eastAsia="宋体" w:cs="宋体"/>
          <w:spacing w:val="-3"/>
          <w:sz w:val="24"/>
          <w:szCs w:val="24"/>
          <w:lang w:eastAsia="zh-CN"/>
        </w:rPr>
        <w:t>整</w:t>
      </w:r>
      <w:r>
        <w:rPr>
          <w:rFonts w:hint="eastAsia" w:ascii="宋体" w:hAnsi="宋体" w:eastAsia="宋体" w:cs="宋体"/>
          <w:color w:val="auto"/>
          <w:spacing w:val="-3"/>
          <w:sz w:val="24"/>
          <w:szCs w:val="24"/>
          <w:lang w:eastAsia="zh-CN"/>
        </w:rPr>
        <w:t>等原因，</w:t>
      </w:r>
      <w:r>
        <w:rPr>
          <w:rFonts w:hint="eastAsia" w:ascii="宋体" w:hAnsi="宋体" w:eastAsia="宋体" w:cs="宋体"/>
          <w:spacing w:val="-3"/>
          <w:sz w:val="24"/>
          <w:szCs w:val="24"/>
          <w:lang w:eastAsia="zh-CN"/>
        </w:rPr>
        <w:t>甲方确需终止合同的，对于乙方已开展且经甲方书面确认合格并可利用的工作成果，甲方按单方核定的实际完成合格工作量比例支付费用；若乙方已完成工作但成果未通过审查、不符合合同约定或无法继续使用的，甲方有权不予支付该部分费用，并有权要求乙方退还已支付的相应款项。结算金额不得超过合</w:t>
      </w:r>
      <w:r>
        <w:rPr>
          <w:rFonts w:hint="eastAsia" w:ascii="宋体" w:hAnsi="宋体" w:eastAsia="宋体" w:cs="宋体"/>
          <w:spacing w:val="-1"/>
          <w:sz w:val="24"/>
          <w:szCs w:val="24"/>
          <w:lang w:eastAsia="zh-CN"/>
        </w:rPr>
        <w:t>同总价款乘以已完工合格工作量占比。</w:t>
      </w:r>
    </w:p>
    <w:p w14:paraId="34D82047">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3"/>
          <w:sz w:val="24"/>
          <w:szCs w:val="24"/>
          <w:lang w:eastAsia="zh-CN"/>
        </w:rPr>
        <w:t>（</w:t>
      </w:r>
      <w:r>
        <w:rPr>
          <w:rFonts w:hint="eastAsia" w:ascii="宋体" w:hAnsi="宋体" w:eastAsia="宋体" w:cs="宋体"/>
          <w:b/>
          <w:bCs/>
          <w:spacing w:val="-3"/>
          <w:sz w:val="24"/>
          <w:szCs w:val="24"/>
          <w:lang w:val="en-US" w:eastAsia="zh-CN"/>
        </w:rPr>
        <w:t>三</w:t>
      </w:r>
      <w:r>
        <w:rPr>
          <w:rFonts w:hint="eastAsia" w:ascii="宋体" w:hAnsi="宋体" w:eastAsia="宋体" w:cs="宋体"/>
          <w:b/>
          <w:bCs/>
          <w:spacing w:val="-3"/>
          <w:sz w:val="24"/>
          <w:szCs w:val="24"/>
          <w:lang w:eastAsia="zh-CN"/>
        </w:rPr>
        <w:t>）失信惩戒</w:t>
      </w:r>
    </w:p>
    <w:p w14:paraId="625B1636">
      <w:pPr>
        <w:keepNext w:val="0"/>
        <w:keepLines w:val="0"/>
        <w:pageBreakBefore w:val="0"/>
        <w:widowControl w:val="0"/>
        <w:kinsoku/>
        <w:wordWrap/>
        <w:overflowPunct/>
        <w:topLinePunct w:val="0"/>
        <w:autoSpaceDE/>
        <w:autoSpaceDN/>
        <w:bidi w:val="0"/>
        <w:adjustRightInd/>
        <w:snapToGrid/>
        <w:spacing w:line="240" w:lineRule="auto"/>
        <w:ind w:left="23" w:right="34" w:firstLine="515"/>
        <w:jc w:val="both"/>
        <w:textAlignment w:val="auto"/>
        <w:rPr>
          <w:rFonts w:hint="eastAsia" w:ascii="宋体" w:hAnsi="宋体" w:eastAsia="宋体" w:cs="宋体"/>
          <w:sz w:val="24"/>
          <w:szCs w:val="24"/>
          <w:lang w:eastAsia="zh-CN"/>
        </w:rPr>
      </w:pPr>
      <w:r>
        <w:rPr>
          <w:rFonts w:hint="eastAsia" w:ascii="宋体" w:hAnsi="宋体" w:eastAsia="宋体" w:cs="宋体"/>
          <w:spacing w:val="-6"/>
          <w:sz w:val="24"/>
          <w:szCs w:val="24"/>
          <w:lang w:eastAsia="zh-CN"/>
        </w:rPr>
        <w:t>乙方存在本条第（</w:t>
      </w:r>
      <w:r>
        <w:rPr>
          <w:rFonts w:hint="eastAsia" w:ascii="宋体" w:hAnsi="宋体" w:eastAsia="宋体" w:cs="宋体"/>
          <w:spacing w:val="-6"/>
          <w:sz w:val="24"/>
          <w:szCs w:val="24"/>
          <w:lang w:val="en-US" w:eastAsia="zh-CN"/>
        </w:rPr>
        <w:t>一</w:t>
      </w:r>
      <w:r>
        <w:rPr>
          <w:rFonts w:hint="eastAsia" w:ascii="宋体" w:hAnsi="宋体" w:eastAsia="宋体" w:cs="宋体"/>
          <w:spacing w:val="-6"/>
          <w:sz w:val="24"/>
          <w:szCs w:val="24"/>
          <w:lang w:eastAsia="zh-CN"/>
        </w:rPr>
        <w:t>）款所列严重违约情形的，甲方有权将其纳入甲方内部</w:t>
      </w:r>
      <w:r>
        <w:rPr>
          <w:rFonts w:hint="eastAsia" w:ascii="宋体" w:hAnsi="宋体" w:eastAsia="宋体" w:cs="宋体"/>
          <w:spacing w:val="-2"/>
          <w:sz w:val="24"/>
          <w:szCs w:val="24"/>
          <w:lang w:eastAsia="zh-CN"/>
        </w:rPr>
        <w:t>采购失信名单，限制其参与甲方及下属单位后续采购活动。乙方行为违反</w:t>
      </w:r>
      <w:r>
        <w:rPr>
          <w:rFonts w:hint="eastAsia" w:ascii="宋体" w:hAnsi="宋体" w:eastAsia="宋体" w:cs="宋体"/>
          <w:spacing w:val="-3"/>
          <w:sz w:val="24"/>
          <w:szCs w:val="24"/>
          <w:lang w:eastAsia="zh-CN"/>
        </w:rPr>
        <w:t>《中</w:t>
      </w:r>
      <w:r>
        <w:rPr>
          <w:rFonts w:hint="eastAsia" w:ascii="宋体" w:hAnsi="宋体" w:eastAsia="宋体" w:cs="宋体"/>
          <w:spacing w:val="-2"/>
          <w:sz w:val="24"/>
          <w:szCs w:val="24"/>
          <w:lang w:eastAsia="zh-CN"/>
        </w:rPr>
        <w:t>华人民共和国政府采购法》《城乡规划编制单位资质管理规定》等法律法规的，</w:t>
      </w:r>
      <w:r>
        <w:rPr>
          <w:rFonts w:hint="eastAsia" w:ascii="宋体" w:hAnsi="宋体" w:eastAsia="宋体" w:cs="宋体"/>
          <w:spacing w:val="-3"/>
          <w:sz w:val="24"/>
          <w:szCs w:val="24"/>
          <w:lang w:eastAsia="zh-CN"/>
        </w:rPr>
        <w:t>甲方有权依法向财政部门、自然资源主管部门举报，提请相关部门依法依规处理</w:t>
      </w:r>
      <w:r>
        <w:rPr>
          <w:rFonts w:hint="eastAsia" w:ascii="宋体" w:hAnsi="宋体" w:eastAsia="宋体" w:cs="宋体"/>
          <w:spacing w:val="-1"/>
          <w:sz w:val="24"/>
          <w:szCs w:val="24"/>
          <w:lang w:eastAsia="zh-CN"/>
        </w:rPr>
        <w:t>并纳入行业信用监管范围。</w:t>
      </w:r>
    </w:p>
    <w:p w14:paraId="5B700E53">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9"/>
          <w:sz w:val="24"/>
          <w:szCs w:val="24"/>
          <w:lang w:eastAsia="zh-CN"/>
        </w:rPr>
        <w:t>（</w:t>
      </w:r>
      <w:r>
        <w:rPr>
          <w:rFonts w:hint="eastAsia" w:ascii="宋体" w:hAnsi="宋体" w:eastAsia="宋体" w:cs="宋体"/>
          <w:b/>
          <w:bCs/>
          <w:spacing w:val="-9"/>
          <w:sz w:val="24"/>
          <w:szCs w:val="24"/>
          <w:lang w:val="en-US" w:eastAsia="zh-CN"/>
        </w:rPr>
        <w:t>四</w:t>
      </w:r>
      <w:r>
        <w:rPr>
          <w:rFonts w:hint="eastAsia" w:ascii="宋体" w:hAnsi="宋体" w:eastAsia="宋体" w:cs="宋体"/>
          <w:b/>
          <w:bCs/>
          <w:spacing w:val="-9"/>
          <w:sz w:val="24"/>
          <w:szCs w:val="24"/>
          <w:lang w:eastAsia="zh-CN"/>
        </w:rPr>
        <w:t>）通用执行规定</w:t>
      </w:r>
    </w:p>
    <w:p w14:paraId="74E277E4">
      <w:pPr>
        <w:keepNext w:val="0"/>
        <w:keepLines w:val="0"/>
        <w:pageBreakBefore w:val="0"/>
        <w:widowControl w:val="0"/>
        <w:kinsoku/>
        <w:wordWrap/>
        <w:overflowPunct/>
        <w:topLinePunct w:val="0"/>
        <w:autoSpaceDE/>
        <w:autoSpaceDN/>
        <w:bidi w:val="0"/>
        <w:adjustRightInd/>
        <w:snapToGrid/>
        <w:spacing w:line="240" w:lineRule="auto"/>
        <w:ind w:left="23" w:right="68" w:firstLine="501"/>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1.本条约定的所有违约金，甲方均有权直接从任何应付</w:t>
      </w:r>
      <w:r>
        <w:rPr>
          <w:rFonts w:hint="eastAsia" w:ascii="宋体" w:hAnsi="宋体" w:eastAsia="宋体" w:cs="宋体"/>
          <w:spacing w:val="-3"/>
          <w:sz w:val="24"/>
          <w:szCs w:val="24"/>
          <w:lang w:eastAsia="zh-CN"/>
        </w:rPr>
        <w:t>未付款项中抵扣，不足部分有权继续</w:t>
      </w:r>
      <w:r>
        <w:rPr>
          <w:rFonts w:hint="eastAsia" w:ascii="宋体" w:hAnsi="宋体" w:eastAsia="宋体" w:cs="宋体"/>
          <w:spacing w:val="-2"/>
          <w:sz w:val="24"/>
          <w:szCs w:val="24"/>
          <w:lang w:eastAsia="zh-CN"/>
        </w:rPr>
        <w:t>向乙方追偿；</w:t>
      </w:r>
    </w:p>
    <w:p w14:paraId="2F1E5BB1">
      <w:pPr>
        <w:keepNext w:val="0"/>
        <w:keepLines w:val="0"/>
        <w:pageBreakBefore w:val="0"/>
        <w:widowControl w:val="0"/>
        <w:kinsoku/>
        <w:wordWrap/>
        <w:overflowPunct/>
        <w:topLinePunct w:val="0"/>
        <w:autoSpaceDE/>
        <w:autoSpaceDN/>
        <w:bidi w:val="0"/>
        <w:adjustRightInd/>
        <w:snapToGrid/>
        <w:spacing w:line="240" w:lineRule="auto"/>
        <w:ind w:left="501"/>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2.甲方行使单方解除权的，解除通知自送达乙方之日起生效；</w:t>
      </w:r>
    </w:p>
    <w:p w14:paraId="3AB06480">
      <w:pPr>
        <w:keepNext w:val="0"/>
        <w:keepLines w:val="0"/>
        <w:pageBreakBefore w:val="0"/>
        <w:widowControl w:val="0"/>
        <w:kinsoku/>
        <w:wordWrap/>
        <w:overflowPunct/>
        <w:topLinePunct w:val="0"/>
        <w:autoSpaceDE/>
        <w:autoSpaceDN/>
        <w:bidi w:val="0"/>
        <w:adjustRightInd/>
        <w:snapToGrid/>
        <w:spacing w:line="240" w:lineRule="auto"/>
        <w:ind w:left="26" w:right="68" w:firstLine="479"/>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3.乙方存在违约情形且尚未整改到位的，甲方有权暂缓支付对应争议部分款</w:t>
      </w:r>
      <w:r>
        <w:rPr>
          <w:rFonts w:hint="eastAsia" w:ascii="宋体" w:hAnsi="宋体" w:eastAsia="宋体" w:cs="宋体"/>
          <w:spacing w:val="-1"/>
          <w:sz w:val="24"/>
          <w:szCs w:val="24"/>
          <w:lang w:eastAsia="zh-CN"/>
        </w:rPr>
        <w:t>项并书面说明理由，无争议部分款项应当按期支付；</w:t>
      </w:r>
    </w:p>
    <w:p w14:paraId="1C0C5C1E">
      <w:pPr>
        <w:keepNext w:val="0"/>
        <w:keepLines w:val="0"/>
        <w:pageBreakBefore w:val="0"/>
        <w:widowControl w:val="0"/>
        <w:kinsoku/>
        <w:wordWrap/>
        <w:overflowPunct/>
        <w:topLinePunct w:val="0"/>
        <w:autoSpaceDE/>
        <w:autoSpaceDN/>
        <w:bidi w:val="0"/>
        <w:adjustRightInd/>
        <w:snapToGrid/>
        <w:spacing w:line="240" w:lineRule="auto"/>
        <w:ind w:left="44" w:right="68" w:firstLine="456"/>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4.乙方未按约定配合核查、拒不提供相关证明材料的，甲方有权依据已掌握的事实作出违约认定；</w:t>
      </w:r>
      <w:r>
        <w:rPr>
          <w:rFonts w:hint="eastAsia" w:ascii="宋体" w:hAnsi="宋体" w:eastAsia="宋体" w:cs="宋体"/>
          <w:spacing w:val="-62"/>
          <w:sz w:val="24"/>
          <w:szCs w:val="24"/>
          <w:lang w:eastAsia="zh-CN"/>
        </w:rPr>
        <w:t xml:space="preserve"> </w:t>
      </w:r>
      <w:r>
        <w:rPr>
          <w:rFonts w:hint="eastAsia" w:ascii="宋体" w:hAnsi="宋体" w:eastAsia="宋体" w:cs="宋体"/>
          <w:spacing w:val="-3"/>
          <w:sz w:val="24"/>
          <w:szCs w:val="24"/>
          <w:lang w:eastAsia="zh-CN"/>
        </w:rPr>
        <w:t>乙方在争议解决程序中的法定权利不受影响。</w:t>
      </w:r>
    </w:p>
    <w:p w14:paraId="2136A7AB">
      <w:pPr>
        <w:keepNext w:val="0"/>
        <w:keepLines w:val="0"/>
        <w:pageBreakBefore w:val="0"/>
        <w:widowControl w:val="0"/>
        <w:kinsoku/>
        <w:wordWrap/>
        <w:overflowPunct/>
        <w:topLinePunct w:val="0"/>
        <w:autoSpaceDE/>
        <w:autoSpaceDN/>
        <w:bidi w:val="0"/>
        <w:adjustRightInd/>
        <w:snapToGrid/>
        <w:spacing w:line="240" w:lineRule="auto"/>
        <w:ind w:left="29" w:right="68" w:firstLine="478"/>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5.同一违约行为同时符合本条约定的多个</w:t>
      </w:r>
      <w:r>
        <w:rPr>
          <w:rFonts w:hint="eastAsia" w:ascii="宋体" w:hAnsi="宋体" w:eastAsia="宋体" w:cs="宋体"/>
          <w:spacing w:val="-3"/>
          <w:sz w:val="24"/>
          <w:szCs w:val="24"/>
          <w:lang w:eastAsia="zh-CN"/>
        </w:rPr>
        <w:t>扣罚情形的，不重复扣罚；乙方已支付违约金的，不再就同一范围损失重复计算赔偿；本条约定的违约</w:t>
      </w:r>
      <w:r>
        <w:rPr>
          <w:rFonts w:hint="eastAsia" w:ascii="宋体" w:hAnsi="宋体" w:eastAsia="宋体" w:cs="宋体"/>
          <w:spacing w:val="-4"/>
          <w:sz w:val="24"/>
          <w:szCs w:val="24"/>
          <w:lang w:eastAsia="zh-CN"/>
        </w:rPr>
        <w:t>金过分高于</w:t>
      </w:r>
      <w:r>
        <w:rPr>
          <w:rFonts w:hint="eastAsia" w:ascii="宋体" w:hAnsi="宋体" w:eastAsia="宋体" w:cs="宋体"/>
          <w:spacing w:val="-1"/>
          <w:sz w:val="24"/>
          <w:szCs w:val="24"/>
          <w:lang w:eastAsia="zh-CN"/>
        </w:rPr>
        <w:t>甲方实际损失的，按照《中华人民共和国民法典》第五百八十五条规定处理。</w:t>
      </w:r>
    </w:p>
    <w:p w14:paraId="48CB0A83">
      <w:pPr>
        <w:keepNext w:val="0"/>
        <w:keepLines w:val="0"/>
        <w:pageBreakBefore w:val="0"/>
        <w:widowControl w:val="0"/>
        <w:kinsoku/>
        <w:wordWrap/>
        <w:overflowPunct/>
        <w:topLinePunct w:val="0"/>
        <w:autoSpaceDE/>
        <w:autoSpaceDN/>
        <w:bidi w:val="0"/>
        <w:adjustRightInd/>
        <w:snapToGrid/>
        <w:spacing w:line="240" w:lineRule="auto"/>
        <w:ind w:left="23"/>
        <w:jc w:val="both"/>
        <w:textAlignment w:val="auto"/>
        <w:outlineLvl w:val="0"/>
        <w:rPr>
          <w:rFonts w:hint="eastAsia" w:ascii="宋体" w:hAnsi="宋体" w:eastAsia="宋体" w:cs="宋体"/>
          <w:sz w:val="24"/>
          <w:szCs w:val="24"/>
          <w:lang w:eastAsia="zh-CN"/>
        </w:rPr>
      </w:pPr>
      <w:r>
        <w:rPr>
          <w:rFonts w:hint="eastAsia" w:ascii="宋体" w:hAnsi="宋体" w:eastAsia="宋体" w:cs="宋体"/>
          <w:b/>
          <w:bCs/>
          <w:spacing w:val="-3"/>
          <w:sz w:val="24"/>
          <w:szCs w:val="24"/>
          <w:lang w:val="en-US" w:eastAsia="zh-CN"/>
        </w:rPr>
        <w:t>九、</w:t>
      </w:r>
      <w:r>
        <w:rPr>
          <w:rFonts w:hint="eastAsia" w:ascii="宋体" w:hAnsi="宋体" w:eastAsia="宋体" w:cs="宋体"/>
          <w:b/>
          <w:bCs/>
          <w:spacing w:val="-3"/>
          <w:sz w:val="24"/>
          <w:szCs w:val="24"/>
          <w:lang w:eastAsia="zh-CN"/>
        </w:rPr>
        <w:t>合同的解除与终止</w:t>
      </w:r>
    </w:p>
    <w:p w14:paraId="305F10B1">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9"/>
          <w:sz w:val="24"/>
          <w:szCs w:val="24"/>
          <w:lang w:eastAsia="zh-CN"/>
        </w:rPr>
        <w:t>（一）合同终止情形</w:t>
      </w:r>
    </w:p>
    <w:p w14:paraId="4A102C9E">
      <w:pPr>
        <w:keepNext w:val="0"/>
        <w:keepLines w:val="0"/>
        <w:pageBreakBefore w:val="0"/>
        <w:widowControl w:val="0"/>
        <w:kinsoku/>
        <w:wordWrap/>
        <w:overflowPunct/>
        <w:topLinePunct w:val="0"/>
        <w:autoSpaceDE/>
        <w:autoSpaceDN/>
        <w:bidi w:val="0"/>
        <w:adjustRightInd/>
        <w:snapToGrid/>
        <w:spacing w:line="240" w:lineRule="auto"/>
        <w:ind w:left="511"/>
        <w:jc w:val="both"/>
        <w:textAlignment w:val="auto"/>
        <w:rPr>
          <w:rFonts w:hint="eastAsia" w:ascii="宋体" w:hAnsi="宋体" w:eastAsia="宋体" w:cs="宋体"/>
          <w:spacing w:val="-2"/>
          <w:sz w:val="24"/>
          <w:szCs w:val="24"/>
          <w:lang w:eastAsia="zh-CN"/>
        </w:rPr>
      </w:pPr>
      <w:r>
        <w:rPr>
          <w:rFonts w:hint="eastAsia" w:ascii="宋体" w:hAnsi="宋体" w:eastAsia="宋体" w:cs="宋体"/>
          <w:spacing w:val="-2"/>
          <w:sz w:val="24"/>
          <w:szCs w:val="24"/>
          <w:lang w:eastAsia="zh-CN"/>
        </w:rPr>
        <w:t>有下列情形之一的，本合同终止：</w:t>
      </w:r>
    </w:p>
    <w:p w14:paraId="2869B481">
      <w:pPr>
        <w:keepNext w:val="0"/>
        <w:keepLines w:val="0"/>
        <w:pageBreakBefore w:val="0"/>
        <w:widowControl w:val="0"/>
        <w:kinsoku/>
        <w:wordWrap/>
        <w:overflowPunct/>
        <w:topLinePunct w:val="0"/>
        <w:autoSpaceDE/>
        <w:autoSpaceDN/>
        <w:bidi w:val="0"/>
        <w:adjustRightInd/>
        <w:snapToGrid/>
        <w:spacing w:line="240" w:lineRule="auto"/>
        <w:ind w:left="58" w:right="66" w:firstLine="466"/>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1.合同全部义务履行完毕，甲方收讫全部成果、乙方收讫全部合同价款且经</w:t>
      </w:r>
      <w:r>
        <w:rPr>
          <w:rFonts w:hint="eastAsia" w:ascii="宋体" w:hAnsi="宋体" w:eastAsia="宋体" w:cs="宋体"/>
          <w:spacing w:val="-5"/>
          <w:sz w:val="24"/>
          <w:szCs w:val="24"/>
          <w:lang w:eastAsia="zh-CN"/>
        </w:rPr>
        <w:t>双方方确认无遗留问题；</w:t>
      </w:r>
    </w:p>
    <w:p w14:paraId="7A3E7CF8">
      <w:pPr>
        <w:keepNext w:val="0"/>
        <w:keepLines w:val="0"/>
        <w:pageBreakBefore w:val="0"/>
        <w:widowControl w:val="0"/>
        <w:kinsoku/>
        <w:wordWrap/>
        <w:overflowPunct/>
        <w:topLinePunct w:val="0"/>
        <w:autoSpaceDE/>
        <w:autoSpaceDN/>
        <w:bidi w:val="0"/>
        <w:adjustRightInd/>
        <w:snapToGrid/>
        <w:spacing w:line="240" w:lineRule="auto"/>
        <w:ind w:left="501"/>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2.甲乙双方协商一致，书面解除本合同；</w:t>
      </w:r>
    </w:p>
    <w:p w14:paraId="4A4D3A91">
      <w:pPr>
        <w:keepNext w:val="0"/>
        <w:keepLines w:val="0"/>
        <w:pageBreakBefore w:val="0"/>
        <w:widowControl w:val="0"/>
        <w:kinsoku/>
        <w:wordWrap/>
        <w:overflowPunct/>
        <w:topLinePunct w:val="0"/>
        <w:autoSpaceDE/>
        <w:autoSpaceDN/>
        <w:bidi w:val="0"/>
        <w:adjustRightInd/>
        <w:snapToGrid/>
        <w:spacing w:line="240" w:lineRule="auto"/>
        <w:ind w:left="47" w:right="66" w:firstLine="458"/>
        <w:jc w:val="both"/>
        <w:textAlignment w:val="auto"/>
        <w:rPr>
          <w:rFonts w:hint="eastAsia" w:ascii="宋体" w:hAnsi="宋体" w:eastAsia="宋体" w:cs="宋体"/>
          <w:sz w:val="24"/>
          <w:szCs w:val="24"/>
          <w:lang w:eastAsia="zh-CN"/>
        </w:rPr>
      </w:pPr>
      <w:r>
        <w:rPr>
          <w:rFonts w:hint="eastAsia" w:ascii="宋体" w:hAnsi="宋体" w:eastAsia="宋体" w:cs="宋体"/>
          <w:spacing w:val="-3"/>
          <w:sz w:val="24"/>
          <w:szCs w:val="24"/>
          <w:lang w:eastAsia="zh-CN"/>
        </w:rPr>
        <w:t>3.出现法定或本合同约定的单方解除情形，自解除通知到达对方之日起，合</w:t>
      </w:r>
      <w:r>
        <w:rPr>
          <w:rFonts w:hint="eastAsia" w:ascii="宋体" w:hAnsi="宋体" w:eastAsia="宋体" w:cs="宋体"/>
          <w:spacing w:val="-9"/>
          <w:sz w:val="24"/>
          <w:szCs w:val="24"/>
          <w:lang w:eastAsia="zh-CN"/>
        </w:rPr>
        <w:t>同解除。</w:t>
      </w:r>
    </w:p>
    <w:p w14:paraId="0FCCABEA">
      <w:pPr>
        <w:keepNext w:val="0"/>
        <w:keepLines w:val="0"/>
        <w:pageBreakBefore w:val="0"/>
        <w:widowControl w:val="0"/>
        <w:kinsoku/>
        <w:wordWrap/>
        <w:overflowPunct/>
        <w:topLinePunct w:val="0"/>
        <w:autoSpaceDE/>
        <w:autoSpaceDN/>
        <w:bidi w:val="0"/>
        <w:adjustRightInd/>
        <w:snapToGrid/>
        <w:spacing w:line="240" w:lineRule="auto"/>
        <w:ind w:left="19"/>
        <w:jc w:val="both"/>
        <w:textAlignment w:val="auto"/>
        <w:outlineLvl w:val="1"/>
        <w:rPr>
          <w:rFonts w:hint="eastAsia" w:ascii="宋体" w:hAnsi="宋体" w:eastAsia="宋体" w:cs="宋体"/>
          <w:sz w:val="24"/>
          <w:szCs w:val="24"/>
          <w:lang w:eastAsia="zh-CN"/>
        </w:rPr>
      </w:pPr>
      <w:r>
        <w:rPr>
          <w:rFonts w:hint="eastAsia" w:ascii="宋体" w:hAnsi="宋体" w:eastAsia="宋体" w:cs="宋体"/>
          <w:b/>
          <w:bCs/>
          <w:spacing w:val="-2"/>
          <w:sz w:val="24"/>
          <w:szCs w:val="24"/>
          <w:lang w:eastAsia="zh-CN"/>
        </w:rPr>
        <w:t>（二）解除/终止后的移交与结算</w:t>
      </w:r>
    </w:p>
    <w:p w14:paraId="39EBDE50">
      <w:pPr>
        <w:keepNext w:val="0"/>
        <w:keepLines w:val="0"/>
        <w:pageBreakBefore w:val="0"/>
        <w:widowControl w:val="0"/>
        <w:kinsoku/>
        <w:wordWrap/>
        <w:overflowPunct/>
        <w:topLinePunct w:val="0"/>
        <w:autoSpaceDE/>
        <w:autoSpaceDN/>
        <w:bidi w:val="0"/>
        <w:adjustRightInd/>
        <w:snapToGrid/>
        <w:spacing w:line="240" w:lineRule="auto"/>
        <w:ind w:left="28" w:right="66" w:firstLine="480"/>
        <w:jc w:val="both"/>
        <w:textAlignment w:val="auto"/>
        <w:rPr>
          <w:rFonts w:hint="eastAsia" w:ascii="宋体" w:hAnsi="宋体" w:eastAsia="宋体" w:cs="宋体"/>
          <w:sz w:val="24"/>
          <w:szCs w:val="24"/>
          <w:lang w:eastAsia="zh-CN"/>
        </w:rPr>
      </w:pPr>
      <w:r>
        <w:rPr>
          <w:rFonts w:hint="eastAsia" w:ascii="宋体" w:hAnsi="宋体" w:eastAsia="宋体" w:cs="宋体"/>
          <w:spacing w:val="-2"/>
          <w:sz w:val="24"/>
          <w:szCs w:val="24"/>
          <w:lang w:eastAsia="zh-CN"/>
        </w:rPr>
        <w:t>合同解除或终止后，乙方应当在3日内移交全部已完成的工作成果、</w:t>
      </w:r>
      <w:r>
        <w:rPr>
          <w:rFonts w:hint="eastAsia" w:ascii="宋体" w:hAnsi="宋体" w:eastAsia="宋体" w:cs="宋体"/>
          <w:spacing w:val="-3"/>
          <w:sz w:val="24"/>
          <w:szCs w:val="24"/>
          <w:lang w:eastAsia="zh-CN"/>
        </w:rPr>
        <w:t>全部过程文件及甲方提供的全部资料，且不得留存任何副本；逾期移交的，</w:t>
      </w:r>
      <w:r>
        <w:rPr>
          <w:rFonts w:hint="eastAsia" w:ascii="宋体" w:hAnsi="宋体" w:eastAsia="宋体" w:cs="宋体"/>
          <w:spacing w:val="-4"/>
          <w:sz w:val="24"/>
          <w:szCs w:val="24"/>
          <w:lang w:eastAsia="zh-CN"/>
        </w:rPr>
        <w:t>每日按合</w:t>
      </w:r>
      <w:r>
        <w:rPr>
          <w:rFonts w:hint="eastAsia" w:ascii="宋体" w:hAnsi="宋体" w:eastAsia="宋体" w:cs="宋体"/>
          <w:sz w:val="24"/>
          <w:szCs w:val="24"/>
          <w:lang w:eastAsia="zh-CN"/>
        </w:rPr>
        <w:t>同总金额的千分之一支付违约金。</w:t>
      </w:r>
    </w:p>
    <w:p w14:paraId="70C74299">
      <w:pPr>
        <w:keepNext w:val="0"/>
        <w:keepLines w:val="0"/>
        <w:pageBreakBefore w:val="0"/>
        <w:widowControl w:val="0"/>
        <w:kinsoku/>
        <w:wordWrap/>
        <w:overflowPunct/>
        <w:topLinePunct w:val="0"/>
        <w:autoSpaceDE/>
        <w:autoSpaceDN/>
        <w:bidi w:val="0"/>
        <w:adjustRightInd/>
        <w:snapToGrid/>
        <w:spacing w:line="240" w:lineRule="auto"/>
        <w:ind w:left="6"/>
        <w:textAlignment w:val="auto"/>
        <w:rPr>
          <w:rFonts w:hint="eastAsia" w:ascii="宋体" w:hAnsi="宋体" w:eastAsia="宋体" w:cs="宋体"/>
          <w:b/>
          <w:bCs/>
          <w:spacing w:val="6"/>
          <w:sz w:val="24"/>
          <w:szCs w:val="24"/>
        </w:rPr>
      </w:pPr>
      <w:r>
        <w:rPr>
          <w:rFonts w:hint="eastAsia" w:ascii="宋体" w:hAnsi="宋体" w:eastAsia="宋体" w:cs="宋体"/>
          <w:b/>
          <w:bCs/>
          <w:spacing w:val="-3"/>
          <w:sz w:val="24"/>
          <w:szCs w:val="24"/>
          <w:lang w:eastAsia="zh-CN"/>
        </w:rPr>
        <w:t>十、</w:t>
      </w:r>
      <w:r>
        <w:rPr>
          <w:rFonts w:hint="eastAsia" w:ascii="宋体" w:hAnsi="宋体" w:eastAsia="宋体" w:cs="宋体"/>
          <w:spacing w:val="-3"/>
          <w:sz w:val="24"/>
          <w:szCs w:val="24"/>
          <w:lang w:eastAsia="zh-CN"/>
        </w:rPr>
        <w:t xml:space="preserve"> </w:t>
      </w:r>
      <w:r>
        <w:rPr>
          <w:rFonts w:hint="eastAsia" w:ascii="宋体" w:hAnsi="宋体" w:eastAsia="宋体" w:cs="宋体"/>
          <w:b/>
          <w:bCs/>
          <w:spacing w:val="-3"/>
          <w:sz w:val="24"/>
          <w:szCs w:val="24"/>
          <w:lang w:eastAsia="zh-CN"/>
        </w:rPr>
        <w:t>不可抗力</w:t>
      </w:r>
    </w:p>
    <w:p w14:paraId="6C67855B">
      <w:pPr>
        <w:keepNext w:val="0"/>
        <w:keepLines w:val="0"/>
        <w:pageBreakBefore w:val="0"/>
        <w:widowControl w:val="0"/>
        <w:kinsoku/>
        <w:wordWrap/>
        <w:overflowPunct/>
        <w:topLinePunct w:val="0"/>
        <w:autoSpaceDE/>
        <w:autoSpaceDN/>
        <w:bidi w:val="0"/>
        <w:adjustRightInd/>
        <w:snapToGrid/>
        <w:spacing w:line="240" w:lineRule="auto"/>
        <w:ind w:left="23"/>
        <w:jc w:val="both"/>
        <w:textAlignment w:val="auto"/>
        <w:outlineLvl w:val="0"/>
        <w:rPr>
          <w:rFonts w:hint="eastAsia" w:ascii="宋体" w:hAnsi="宋体" w:eastAsia="宋体" w:cs="宋体"/>
          <w:sz w:val="24"/>
          <w:szCs w:val="24"/>
          <w:lang w:eastAsia="zh-CN"/>
        </w:rPr>
      </w:pPr>
      <w:r>
        <w:rPr>
          <w:rFonts w:hint="eastAsia" w:ascii="宋体" w:hAnsi="宋体" w:eastAsia="宋体" w:cs="宋体"/>
          <w:b/>
          <w:bCs/>
          <w:spacing w:val="6"/>
          <w:sz w:val="24"/>
          <w:szCs w:val="24"/>
          <w:lang w:val="en-US" w:eastAsia="zh-CN"/>
        </w:rPr>
        <w:t>十一</w:t>
      </w:r>
      <w:r>
        <w:rPr>
          <w:rFonts w:hint="eastAsia" w:ascii="宋体" w:hAnsi="宋体" w:eastAsia="宋体" w:cs="宋体"/>
          <w:b/>
          <w:bCs/>
          <w:spacing w:val="6"/>
          <w:sz w:val="24"/>
          <w:szCs w:val="24"/>
        </w:rPr>
        <w:t>、</w:t>
      </w:r>
      <w:r>
        <w:rPr>
          <w:rFonts w:hint="eastAsia" w:ascii="宋体" w:hAnsi="宋体" w:eastAsia="宋体" w:cs="宋体"/>
          <w:b/>
          <w:bCs/>
          <w:spacing w:val="-6"/>
          <w:sz w:val="24"/>
          <w:szCs w:val="24"/>
          <w:lang w:eastAsia="zh-CN"/>
        </w:rPr>
        <w:t>争议解决</w:t>
      </w:r>
    </w:p>
    <w:p w14:paraId="5A73EB6B">
      <w:pPr>
        <w:keepNext w:val="0"/>
        <w:keepLines w:val="0"/>
        <w:pageBreakBefore w:val="0"/>
        <w:widowControl w:val="0"/>
        <w:kinsoku/>
        <w:wordWrap/>
        <w:overflowPunct/>
        <w:topLinePunct w:val="0"/>
        <w:autoSpaceDE/>
        <w:autoSpaceDN/>
        <w:bidi w:val="0"/>
        <w:adjustRightInd/>
        <w:snapToGrid/>
        <w:spacing w:line="240" w:lineRule="auto"/>
        <w:ind w:left="29" w:right="5" w:firstLine="476"/>
        <w:jc w:val="both"/>
        <w:textAlignment w:val="auto"/>
        <w:rPr>
          <w:rFonts w:hint="eastAsia" w:ascii="宋体" w:hAnsi="宋体" w:eastAsia="宋体" w:cs="宋体"/>
          <w:sz w:val="24"/>
          <w:szCs w:val="24"/>
          <w:lang w:eastAsia="zh-CN"/>
        </w:rPr>
      </w:pPr>
      <w:r>
        <w:rPr>
          <w:rFonts w:hint="eastAsia" w:ascii="宋体" w:hAnsi="宋体" w:eastAsia="宋体" w:cs="宋体"/>
          <w:spacing w:val="-8"/>
          <w:sz w:val="24"/>
          <w:szCs w:val="24"/>
          <w:lang w:eastAsia="zh-CN"/>
        </w:rPr>
        <w:t>本合同履</w:t>
      </w:r>
      <w:r>
        <w:rPr>
          <w:rFonts w:hint="eastAsia" w:ascii="宋体" w:hAnsi="宋体" w:eastAsia="宋体" w:cs="宋体"/>
          <w:spacing w:val="-8"/>
          <w:sz w:val="24"/>
          <w:szCs w:val="24"/>
          <w:highlight w:val="none"/>
          <w:lang w:eastAsia="zh-CN"/>
        </w:rPr>
        <w:t>行过程中发生一切争议，双方优先友</w:t>
      </w:r>
      <w:r>
        <w:rPr>
          <w:rFonts w:hint="eastAsia" w:ascii="宋体" w:hAnsi="宋体" w:eastAsia="宋体" w:cs="宋体"/>
          <w:spacing w:val="-9"/>
          <w:sz w:val="24"/>
          <w:szCs w:val="24"/>
          <w:highlight w:val="none"/>
          <w:lang w:eastAsia="zh-CN"/>
        </w:rPr>
        <w:t>好协商；协商无法达成一致的，</w:t>
      </w:r>
      <w:r>
        <w:rPr>
          <w:rFonts w:hint="eastAsia" w:ascii="宋体" w:hAnsi="宋体" w:eastAsia="宋体" w:cs="宋体"/>
          <w:spacing w:val="-2"/>
          <w:sz w:val="24"/>
          <w:szCs w:val="24"/>
          <w:highlight w:val="none"/>
          <w:lang w:eastAsia="zh-CN"/>
        </w:rPr>
        <w:t>应当向</w:t>
      </w:r>
      <w:r>
        <w:rPr>
          <w:rFonts w:hint="eastAsia" w:ascii="宋体" w:hAnsi="宋体" w:eastAsia="宋体" w:cs="宋体"/>
          <w:spacing w:val="-2"/>
          <w:sz w:val="24"/>
          <w:szCs w:val="24"/>
          <w:highlight w:val="none"/>
          <w:lang w:val="en-US" w:eastAsia="zh-CN"/>
        </w:rPr>
        <w:t>项目</w:t>
      </w:r>
      <w:r>
        <w:rPr>
          <w:rFonts w:hint="eastAsia" w:ascii="宋体" w:hAnsi="宋体" w:eastAsia="宋体" w:cs="宋体"/>
          <w:spacing w:val="-2"/>
          <w:sz w:val="24"/>
          <w:szCs w:val="24"/>
          <w:highlight w:val="none"/>
          <w:lang w:eastAsia="zh-CN"/>
        </w:rPr>
        <w:t>所</w:t>
      </w:r>
      <w:r>
        <w:rPr>
          <w:rFonts w:hint="eastAsia" w:ascii="宋体" w:hAnsi="宋体" w:eastAsia="宋体" w:cs="宋体"/>
          <w:spacing w:val="-2"/>
          <w:sz w:val="24"/>
          <w:szCs w:val="24"/>
          <w:lang w:eastAsia="zh-CN"/>
        </w:rPr>
        <w:t>在地有管辖权的人民法院提起诉讼。</w:t>
      </w:r>
    </w:p>
    <w:p w14:paraId="70233B2B">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b/>
          <w:bCs/>
          <w:sz w:val="24"/>
          <w:szCs w:val="24"/>
        </w:rPr>
      </w:pPr>
      <w:r>
        <w:rPr>
          <w:rFonts w:hint="eastAsia" w:ascii="宋体" w:hAnsi="宋体" w:eastAsia="宋体" w:cs="宋体"/>
          <w:b/>
          <w:bCs/>
          <w:spacing w:val="6"/>
          <w:sz w:val="24"/>
          <w:szCs w:val="24"/>
        </w:rPr>
        <w:t>十二、</w:t>
      </w:r>
      <w:r>
        <w:rPr>
          <w:rFonts w:hint="eastAsia" w:ascii="宋体" w:hAnsi="宋体" w:eastAsia="宋体" w:cs="宋体"/>
          <w:b/>
          <w:bCs/>
          <w:snapToGrid w:val="0"/>
          <w:color w:val="000000"/>
          <w:kern w:val="0"/>
          <w:sz w:val="24"/>
          <w:szCs w:val="24"/>
          <w:lang w:val="en-US" w:eastAsia="zh-CN" w:bidi="ar-SA"/>
        </w:rPr>
        <w:t>通知与送达</w:t>
      </w:r>
    </w:p>
    <w:p w14:paraId="13152289">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sz w:val="24"/>
          <w:szCs w:val="24"/>
        </w:rPr>
      </w:pPr>
      <w:r>
        <w:rPr>
          <w:rFonts w:hint="eastAsia" w:ascii="宋体" w:hAnsi="宋体" w:eastAsia="宋体" w:cs="宋体"/>
          <w:b/>
          <w:bCs/>
          <w:spacing w:val="5"/>
          <w:sz w:val="24"/>
          <w:szCs w:val="24"/>
        </w:rPr>
        <w:t>十三、</w:t>
      </w:r>
      <w:r>
        <w:rPr>
          <w:rFonts w:hint="eastAsia" w:ascii="宋体" w:hAnsi="宋体" w:eastAsia="宋体" w:cs="宋体"/>
          <w:b/>
          <w:bCs/>
          <w:snapToGrid w:val="0"/>
          <w:color w:val="000000"/>
          <w:kern w:val="0"/>
          <w:sz w:val="24"/>
          <w:szCs w:val="24"/>
          <w:lang w:val="en-US" w:eastAsia="zh-CN" w:bidi="ar-SA"/>
        </w:rPr>
        <w:t>其他约定</w:t>
      </w:r>
    </w:p>
    <w:p w14:paraId="3F4AC4BE">
      <w:pPr>
        <w:keepNext w:val="0"/>
        <w:keepLines w:val="0"/>
        <w:pageBreakBefore w:val="0"/>
        <w:widowControl w:val="0"/>
        <w:kinsoku/>
        <w:wordWrap/>
        <w:overflowPunct/>
        <w:topLinePunct w:val="0"/>
        <w:autoSpaceDE/>
        <w:autoSpaceDN/>
        <w:bidi w:val="0"/>
        <w:adjustRightInd/>
        <w:snapToGrid/>
        <w:spacing w:line="240" w:lineRule="auto"/>
        <w:ind w:left="437"/>
        <w:textAlignment w:val="auto"/>
        <w:rPr>
          <w:rFonts w:hint="eastAsia" w:ascii="宋体" w:hAnsi="宋体" w:eastAsia="宋体" w:cs="宋体"/>
          <w:sz w:val="24"/>
          <w:szCs w:val="24"/>
        </w:rPr>
      </w:pPr>
      <w:r>
        <w:rPr>
          <w:rFonts w:hint="eastAsia" w:ascii="宋体" w:hAnsi="宋体" w:eastAsia="宋体" w:cs="宋体"/>
          <w:spacing w:val="8"/>
          <w:sz w:val="24"/>
          <w:szCs w:val="24"/>
        </w:rPr>
        <w:t>1）本合同在甲乙双方法人代表或其授权代表签字盖章后生效。</w:t>
      </w:r>
    </w:p>
    <w:p w14:paraId="1A17DB83">
      <w:pPr>
        <w:keepNext w:val="0"/>
        <w:keepLines w:val="0"/>
        <w:pageBreakBefore w:val="0"/>
        <w:widowControl w:val="0"/>
        <w:kinsoku/>
        <w:wordWrap/>
        <w:overflowPunct/>
        <w:topLinePunct w:val="0"/>
        <w:autoSpaceDE/>
        <w:autoSpaceDN/>
        <w:bidi w:val="0"/>
        <w:adjustRightInd/>
        <w:snapToGrid/>
        <w:spacing w:line="240" w:lineRule="auto"/>
        <w:ind w:left="424"/>
        <w:textAlignment w:val="auto"/>
        <w:rPr>
          <w:rFonts w:hint="eastAsia" w:ascii="宋体" w:hAnsi="宋体" w:eastAsia="宋体" w:cs="宋体"/>
          <w:sz w:val="24"/>
          <w:szCs w:val="24"/>
        </w:rPr>
      </w:pPr>
      <w:r>
        <w:rPr>
          <w:rFonts w:hint="eastAsia" w:ascii="宋体" w:hAnsi="宋体" w:eastAsia="宋体" w:cs="宋体"/>
          <w:spacing w:val="5"/>
          <w:sz w:val="24"/>
          <w:szCs w:val="24"/>
        </w:rPr>
        <w:t>2）合同一式</w:t>
      </w:r>
      <w:r>
        <w:rPr>
          <w:rFonts w:hint="eastAsia" w:ascii="宋体" w:hAnsi="宋体" w:eastAsia="宋体" w:cs="宋体"/>
          <w:spacing w:val="5"/>
          <w:sz w:val="24"/>
          <w:szCs w:val="24"/>
          <w:u w:val="single" w:color="auto"/>
        </w:rPr>
        <w:t xml:space="preserve">    </w:t>
      </w:r>
      <w:r>
        <w:rPr>
          <w:rFonts w:hint="eastAsia" w:ascii="宋体" w:hAnsi="宋体" w:eastAsia="宋体" w:cs="宋体"/>
          <w:spacing w:val="-89"/>
          <w:sz w:val="24"/>
          <w:szCs w:val="24"/>
        </w:rPr>
        <w:t xml:space="preserve"> </w:t>
      </w:r>
      <w:r>
        <w:rPr>
          <w:rFonts w:hint="eastAsia" w:ascii="宋体" w:hAnsi="宋体" w:eastAsia="宋体" w:cs="宋体"/>
          <w:spacing w:val="5"/>
          <w:sz w:val="24"/>
          <w:szCs w:val="24"/>
        </w:rPr>
        <w:t>份。</w:t>
      </w:r>
    </w:p>
    <w:p w14:paraId="759E268D">
      <w:pPr>
        <w:pStyle w:val="12"/>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1E423102">
      <w:pPr>
        <w:keepNext w:val="0"/>
        <w:keepLines w:val="0"/>
        <w:pageBreakBefore w:val="0"/>
        <w:widowControl w:val="0"/>
        <w:kinsoku/>
        <w:wordWrap/>
        <w:overflowPunct/>
        <w:topLinePunct w:val="0"/>
        <w:autoSpaceDE/>
        <w:autoSpaceDN/>
        <w:bidi w:val="0"/>
        <w:adjustRightInd/>
        <w:snapToGrid/>
        <w:spacing w:line="240" w:lineRule="auto"/>
        <w:ind w:left="28"/>
        <w:textAlignment w:val="auto"/>
        <w:rPr>
          <w:rFonts w:hint="eastAsia" w:ascii="宋体" w:hAnsi="宋体" w:eastAsia="宋体" w:cs="宋体"/>
          <w:sz w:val="24"/>
          <w:szCs w:val="24"/>
        </w:rPr>
      </w:pPr>
      <w:r>
        <w:rPr>
          <w:rFonts w:hint="eastAsia" w:ascii="宋体" w:hAnsi="宋体" w:eastAsia="宋体" w:cs="宋体"/>
          <w:b/>
          <w:bCs/>
          <w:spacing w:val="1"/>
          <w:sz w:val="24"/>
          <w:szCs w:val="24"/>
        </w:rPr>
        <w:t>甲方（盖章</w:t>
      </w:r>
      <w:r>
        <w:rPr>
          <w:rFonts w:hint="eastAsia" w:ascii="宋体" w:hAnsi="宋体" w:eastAsia="宋体" w:cs="宋体"/>
          <w:b/>
          <w:bCs/>
          <w:spacing w:val="3"/>
          <w:sz w:val="24"/>
          <w:szCs w:val="24"/>
        </w:rPr>
        <w:t>）：</w:t>
      </w:r>
      <w:r>
        <w:rPr>
          <w:rFonts w:hint="eastAsia" w:ascii="宋体" w:hAnsi="宋体" w:eastAsia="宋体" w:cs="宋体"/>
          <w:sz w:val="24"/>
          <w:szCs w:val="24"/>
        </w:rPr>
        <w:t xml:space="preserve">                                 </w:t>
      </w:r>
      <w:r>
        <w:rPr>
          <w:rFonts w:hint="eastAsia" w:ascii="宋体" w:hAnsi="宋体" w:eastAsia="宋体" w:cs="宋体"/>
          <w:b/>
          <w:bCs/>
          <w:spacing w:val="1"/>
          <w:sz w:val="24"/>
          <w:szCs w:val="24"/>
        </w:rPr>
        <w:t>乙方（盖章</w:t>
      </w:r>
      <w:r>
        <w:rPr>
          <w:rFonts w:hint="eastAsia" w:ascii="宋体" w:hAnsi="宋体" w:eastAsia="宋体" w:cs="宋体"/>
          <w:b/>
          <w:bCs/>
          <w:spacing w:val="3"/>
          <w:sz w:val="24"/>
          <w:szCs w:val="24"/>
        </w:rPr>
        <w:t>）：</w:t>
      </w:r>
    </w:p>
    <w:p w14:paraId="3F02D3B2">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r>
        <w:rPr>
          <w:rFonts w:hint="eastAsia" w:ascii="宋体" w:hAnsi="宋体" w:eastAsia="宋体" w:cs="宋体"/>
          <w:b/>
          <w:bCs/>
          <w:spacing w:val="3"/>
          <w:sz w:val="24"/>
          <w:szCs w:val="24"/>
        </w:rPr>
        <w:t>代表：</w:t>
      </w:r>
      <w:r>
        <w:rPr>
          <w:rFonts w:hint="eastAsia" w:ascii="宋体" w:hAnsi="宋体" w:eastAsia="宋体" w:cs="宋体"/>
          <w:spacing w:val="3"/>
          <w:sz w:val="24"/>
          <w:szCs w:val="24"/>
        </w:rPr>
        <w:t xml:space="preserve">                                        </w:t>
      </w:r>
      <w:r>
        <w:rPr>
          <w:rFonts w:hint="eastAsia" w:ascii="宋体" w:hAnsi="宋体" w:eastAsia="宋体" w:cs="宋体"/>
          <w:b/>
          <w:bCs/>
          <w:spacing w:val="3"/>
          <w:sz w:val="24"/>
          <w:szCs w:val="24"/>
        </w:rPr>
        <w:t>代表：</w:t>
      </w:r>
    </w:p>
    <w:p w14:paraId="7618AD38">
      <w:pPr>
        <w:keepNext w:val="0"/>
        <w:keepLines w:val="0"/>
        <w:pageBreakBefore w:val="0"/>
        <w:widowControl w:val="0"/>
        <w:kinsoku/>
        <w:wordWrap/>
        <w:overflowPunct/>
        <w:topLinePunct w:val="0"/>
        <w:autoSpaceDE/>
        <w:autoSpaceDN/>
        <w:bidi w:val="0"/>
        <w:adjustRightInd/>
        <w:snapToGrid/>
        <w:spacing w:line="240" w:lineRule="auto"/>
        <w:ind w:left="1"/>
        <w:textAlignment w:val="auto"/>
        <w:rPr>
          <w:rFonts w:hint="eastAsia" w:ascii="宋体" w:hAnsi="宋体" w:eastAsia="宋体" w:cs="宋体"/>
          <w:sz w:val="24"/>
          <w:szCs w:val="24"/>
        </w:rPr>
      </w:pPr>
      <w:r>
        <w:rPr>
          <w:rFonts w:hint="eastAsia" w:ascii="宋体" w:hAnsi="宋体" w:eastAsia="宋体" w:cs="宋体"/>
          <w:spacing w:val="5"/>
          <w:sz w:val="24"/>
          <w:szCs w:val="24"/>
        </w:rPr>
        <w:t>签定地点：</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     </w:t>
      </w:r>
      <w:r>
        <w:rPr>
          <w:rFonts w:hint="eastAsia" w:ascii="宋体" w:hAnsi="宋体" w:eastAsia="宋体" w:cs="宋体"/>
          <w:spacing w:val="5"/>
          <w:sz w:val="24"/>
          <w:szCs w:val="24"/>
        </w:rPr>
        <w:t>签定地点：</w:t>
      </w:r>
    </w:p>
    <w:p w14:paraId="7C7A1950">
      <w:pPr>
        <w:keepNext w:val="0"/>
        <w:keepLines w:val="0"/>
        <w:pageBreakBefore w:val="0"/>
        <w:widowControl w:val="0"/>
        <w:kinsoku/>
        <w:wordWrap/>
        <w:overflowPunct/>
        <w:topLinePunct w:val="0"/>
        <w:autoSpaceDE/>
        <w:autoSpaceDN/>
        <w:bidi w:val="0"/>
        <w:adjustRightInd/>
        <w:snapToGrid/>
        <w:spacing w:line="240" w:lineRule="auto"/>
        <w:ind w:left="1"/>
        <w:textAlignment w:val="auto"/>
        <w:rPr>
          <w:rFonts w:hint="eastAsia" w:ascii="宋体" w:hAnsi="宋体" w:eastAsia="宋体" w:cs="宋体"/>
          <w:sz w:val="24"/>
          <w:szCs w:val="24"/>
        </w:rPr>
      </w:pPr>
      <w:r>
        <w:rPr>
          <w:rFonts w:hint="eastAsia" w:ascii="宋体" w:hAnsi="宋体" w:eastAsia="宋体" w:cs="宋体"/>
          <w:spacing w:val="1"/>
          <w:sz w:val="24"/>
          <w:szCs w:val="24"/>
        </w:rPr>
        <w:t>签定日期：</w:t>
      </w:r>
      <w:r>
        <w:rPr>
          <w:rFonts w:hint="eastAsia" w:ascii="宋体" w:hAnsi="宋体" w:eastAsia="宋体" w:cs="宋体"/>
          <w:spacing w:val="10"/>
          <w:sz w:val="24"/>
          <w:szCs w:val="24"/>
        </w:rPr>
        <w:t xml:space="preserve">    </w:t>
      </w:r>
      <w:r>
        <w:rPr>
          <w:rFonts w:hint="eastAsia" w:ascii="宋体" w:hAnsi="宋体" w:eastAsia="宋体" w:cs="宋体"/>
          <w:spacing w:val="1"/>
          <w:sz w:val="24"/>
          <w:szCs w:val="24"/>
        </w:rPr>
        <w:t>年  月</w:t>
      </w:r>
      <w:r>
        <w:rPr>
          <w:rFonts w:hint="eastAsia" w:ascii="宋体" w:hAnsi="宋体" w:eastAsia="宋体" w:cs="宋体"/>
          <w:spacing w:val="27"/>
          <w:sz w:val="24"/>
          <w:szCs w:val="24"/>
        </w:rPr>
        <w:t xml:space="preserve">  </w:t>
      </w:r>
      <w:r>
        <w:rPr>
          <w:rFonts w:hint="eastAsia" w:ascii="宋体" w:hAnsi="宋体" w:eastAsia="宋体" w:cs="宋体"/>
          <w:spacing w:val="1"/>
          <w:sz w:val="24"/>
          <w:szCs w:val="24"/>
        </w:rPr>
        <w:t>日                      签定</w:t>
      </w:r>
      <w:r>
        <w:rPr>
          <w:rFonts w:hint="eastAsia" w:ascii="宋体" w:hAnsi="宋体" w:eastAsia="宋体" w:cs="宋体"/>
          <w:sz w:val="24"/>
          <w:szCs w:val="24"/>
        </w:rPr>
        <w:t>日期：</w:t>
      </w:r>
      <w:r>
        <w:rPr>
          <w:rFonts w:hint="eastAsia" w:ascii="宋体" w:hAnsi="宋体" w:eastAsia="宋体" w:cs="宋体"/>
          <w:spacing w:val="10"/>
          <w:sz w:val="24"/>
          <w:szCs w:val="24"/>
        </w:rPr>
        <w:t xml:space="preserve">    </w:t>
      </w:r>
      <w:r>
        <w:rPr>
          <w:rFonts w:hint="eastAsia" w:ascii="宋体" w:hAnsi="宋体" w:eastAsia="宋体" w:cs="宋体"/>
          <w:sz w:val="24"/>
          <w:szCs w:val="24"/>
        </w:rPr>
        <w:t>年  月   日</w:t>
      </w:r>
    </w:p>
    <w:p w14:paraId="29605017">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sz w:val="24"/>
          <w:szCs w:val="24"/>
        </w:rPr>
      </w:pPr>
      <w:r>
        <w:rPr>
          <w:rFonts w:hint="eastAsia" w:ascii="宋体" w:hAnsi="宋体" w:eastAsia="宋体" w:cs="宋体"/>
          <w:spacing w:val="5"/>
          <w:sz w:val="24"/>
          <w:szCs w:val="24"/>
        </w:rPr>
        <w:t>开户名称：</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      </w:t>
      </w:r>
      <w:r>
        <w:rPr>
          <w:rFonts w:hint="eastAsia" w:ascii="宋体" w:hAnsi="宋体" w:eastAsia="宋体" w:cs="宋体"/>
          <w:spacing w:val="5"/>
          <w:sz w:val="24"/>
          <w:szCs w:val="24"/>
        </w:rPr>
        <w:t>开户名称：</w:t>
      </w:r>
    </w:p>
    <w:p w14:paraId="72FED640">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sz w:val="24"/>
          <w:szCs w:val="24"/>
        </w:rPr>
      </w:pPr>
      <w:r>
        <w:rPr>
          <w:rFonts w:hint="eastAsia" w:ascii="宋体" w:hAnsi="宋体" w:eastAsia="宋体" w:cs="宋体"/>
          <w:spacing w:val="5"/>
          <w:sz w:val="24"/>
          <w:szCs w:val="24"/>
        </w:rPr>
        <w:t>银行帐号：</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      </w:t>
      </w:r>
      <w:r>
        <w:rPr>
          <w:rFonts w:hint="eastAsia" w:ascii="宋体" w:hAnsi="宋体" w:eastAsia="宋体" w:cs="宋体"/>
          <w:spacing w:val="5"/>
          <w:sz w:val="24"/>
          <w:szCs w:val="24"/>
        </w:rPr>
        <w:t>银行帐号：</w:t>
      </w:r>
    </w:p>
    <w:p w14:paraId="0E1009AA">
      <w:pPr>
        <w:keepNext w:val="0"/>
        <w:keepLines w:val="0"/>
        <w:pageBreakBefore w:val="0"/>
        <w:widowControl w:val="0"/>
        <w:kinsoku/>
        <w:wordWrap/>
        <w:overflowPunct/>
        <w:topLinePunct w:val="0"/>
        <w:autoSpaceDE/>
        <w:autoSpaceDN/>
        <w:bidi w:val="0"/>
        <w:adjustRightInd/>
        <w:snapToGrid/>
        <w:spacing w:line="240" w:lineRule="auto"/>
        <w:ind w:left="2"/>
        <w:textAlignment w:val="auto"/>
        <w:rPr>
          <w:rFonts w:hint="eastAsia" w:ascii="宋体" w:hAnsi="宋体" w:eastAsia="宋体" w:cs="宋体"/>
          <w:sz w:val="24"/>
          <w:szCs w:val="24"/>
        </w:rPr>
      </w:pPr>
      <w:r>
        <w:rPr>
          <w:rFonts w:hint="eastAsia" w:ascii="宋体" w:hAnsi="宋体" w:eastAsia="宋体" w:cs="宋体"/>
          <w:spacing w:val="-4"/>
          <w:sz w:val="24"/>
          <w:szCs w:val="24"/>
        </w:rPr>
        <w:t>开</w:t>
      </w:r>
      <w:r>
        <w:rPr>
          <w:rFonts w:hint="eastAsia" w:ascii="宋体" w:hAnsi="宋体" w:eastAsia="宋体" w:cs="宋体"/>
          <w:spacing w:val="16"/>
          <w:sz w:val="24"/>
          <w:szCs w:val="24"/>
        </w:rPr>
        <w:t xml:space="preserve"> </w:t>
      </w:r>
      <w:r>
        <w:rPr>
          <w:rFonts w:hint="eastAsia" w:ascii="宋体" w:hAnsi="宋体" w:eastAsia="宋体" w:cs="宋体"/>
          <w:spacing w:val="-4"/>
          <w:sz w:val="24"/>
          <w:szCs w:val="24"/>
        </w:rPr>
        <w:t>户</w:t>
      </w:r>
      <w:r>
        <w:rPr>
          <w:rFonts w:hint="eastAsia" w:ascii="宋体" w:hAnsi="宋体" w:eastAsia="宋体" w:cs="宋体"/>
          <w:spacing w:val="17"/>
          <w:sz w:val="24"/>
          <w:szCs w:val="24"/>
        </w:rPr>
        <w:t xml:space="preserve"> </w:t>
      </w:r>
      <w:r>
        <w:rPr>
          <w:rFonts w:hint="eastAsia" w:ascii="宋体" w:hAnsi="宋体" w:eastAsia="宋体" w:cs="宋体"/>
          <w:spacing w:val="-4"/>
          <w:sz w:val="24"/>
          <w:szCs w:val="24"/>
        </w:rPr>
        <w:t>行</w:t>
      </w:r>
      <w:r>
        <w:rPr>
          <w:rFonts w:hint="eastAsia" w:ascii="宋体" w:hAnsi="宋体" w:eastAsia="宋体" w:cs="宋体"/>
          <w:spacing w:val="-74"/>
          <w:sz w:val="24"/>
          <w:szCs w:val="24"/>
        </w:rPr>
        <w:t xml:space="preserve"> </w:t>
      </w:r>
      <w:r>
        <w:rPr>
          <w:rFonts w:hint="eastAsia" w:ascii="宋体" w:hAnsi="宋体" w:eastAsia="宋体" w:cs="宋体"/>
          <w:spacing w:val="-4"/>
          <w:sz w:val="24"/>
          <w:szCs w:val="24"/>
        </w:rPr>
        <w:t>：</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              </w:t>
      </w:r>
      <w:r>
        <w:rPr>
          <w:rFonts w:hint="eastAsia" w:ascii="宋体" w:hAnsi="宋体" w:eastAsia="宋体" w:cs="宋体"/>
          <w:spacing w:val="-4"/>
          <w:sz w:val="24"/>
          <w:szCs w:val="24"/>
        </w:rPr>
        <w:t>开</w:t>
      </w:r>
      <w:r>
        <w:rPr>
          <w:rFonts w:hint="eastAsia" w:ascii="宋体" w:hAnsi="宋体" w:eastAsia="宋体" w:cs="宋体"/>
          <w:spacing w:val="15"/>
          <w:sz w:val="24"/>
          <w:szCs w:val="24"/>
        </w:rPr>
        <w:t xml:space="preserve"> </w:t>
      </w:r>
      <w:r>
        <w:rPr>
          <w:rFonts w:hint="eastAsia" w:ascii="宋体" w:hAnsi="宋体" w:eastAsia="宋体" w:cs="宋体"/>
          <w:spacing w:val="-4"/>
          <w:sz w:val="24"/>
          <w:szCs w:val="24"/>
        </w:rPr>
        <w:t>户</w:t>
      </w:r>
      <w:r>
        <w:rPr>
          <w:rFonts w:hint="eastAsia" w:ascii="宋体" w:hAnsi="宋体" w:eastAsia="宋体" w:cs="宋体"/>
          <w:spacing w:val="17"/>
          <w:sz w:val="24"/>
          <w:szCs w:val="24"/>
        </w:rPr>
        <w:t xml:space="preserve"> </w:t>
      </w:r>
      <w:r>
        <w:rPr>
          <w:rFonts w:hint="eastAsia" w:ascii="宋体" w:hAnsi="宋体" w:eastAsia="宋体" w:cs="宋体"/>
          <w:spacing w:val="-4"/>
          <w:sz w:val="24"/>
          <w:szCs w:val="24"/>
        </w:rPr>
        <w:t>行：</w:t>
      </w:r>
    </w:p>
    <w:p w14:paraId="1E35CEEC">
      <w:pPr>
        <w:widowControl/>
        <w:spacing w:line="560" w:lineRule="exact"/>
        <w:ind w:firstLine="482" w:firstLineChars="200"/>
        <w:jc w:val="left"/>
        <w:rPr>
          <w:rFonts w:hint="eastAsia" w:ascii="宋体" w:hAnsi="宋体" w:eastAsia="宋体" w:cs="宋体"/>
          <w:b/>
          <w:sz w:val="24"/>
          <w:szCs w:val="24"/>
        </w:rPr>
      </w:pPr>
    </w:p>
    <w:p w14:paraId="4420E353">
      <w:pPr>
        <w:widowControl/>
        <w:spacing w:line="560" w:lineRule="exact"/>
        <w:ind w:firstLine="482" w:firstLineChars="200"/>
        <w:jc w:val="left"/>
        <w:rPr>
          <w:rFonts w:hint="eastAsia" w:ascii="宋体" w:hAnsi="宋体" w:eastAsia="宋体" w:cs="宋体"/>
          <w:b/>
          <w:sz w:val="24"/>
          <w:szCs w:val="24"/>
        </w:rPr>
      </w:pPr>
    </w:p>
    <w:p w14:paraId="0EF83CFD">
      <w:pPr>
        <w:widowControl/>
        <w:spacing w:line="560" w:lineRule="exact"/>
        <w:ind w:firstLine="482" w:firstLineChars="200"/>
        <w:jc w:val="left"/>
        <w:rPr>
          <w:rFonts w:hint="eastAsia" w:ascii="宋体" w:hAnsi="宋体" w:eastAsia="宋体" w:cs="宋体"/>
          <w:b/>
          <w:kern w:val="0"/>
          <w:sz w:val="24"/>
          <w:szCs w:val="24"/>
        </w:rPr>
      </w:pPr>
    </w:p>
    <w:p w14:paraId="3E94F202">
      <w:pPr>
        <w:widowControl/>
        <w:spacing w:line="560" w:lineRule="exact"/>
        <w:ind w:firstLine="482" w:firstLineChars="200"/>
        <w:jc w:val="left"/>
        <w:rPr>
          <w:rFonts w:hint="eastAsia" w:ascii="宋体" w:hAnsi="宋体" w:eastAsia="宋体" w:cs="宋体"/>
          <w:b/>
          <w:kern w:val="0"/>
          <w:sz w:val="24"/>
          <w:szCs w:val="24"/>
        </w:rPr>
      </w:pPr>
    </w:p>
    <w:bookmarkEnd w:id="1149"/>
    <w:p w14:paraId="6FFDE5A2">
      <w:pPr>
        <w:keepNext w:val="0"/>
        <w:keepLines w:val="0"/>
        <w:pageBreakBefore/>
        <w:widowControl w:val="0"/>
        <w:kinsoku/>
        <w:wordWrap/>
        <w:overflowPunct/>
        <w:topLinePunct w:val="0"/>
        <w:autoSpaceDE/>
        <w:autoSpaceDN/>
        <w:bidi w:val="0"/>
        <w:adjustRightInd/>
        <w:snapToGrid/>
        <w:spacing w:line="600" w:lineRule="exact"/>
        <w:ind w:firstLine="482" w:firstLineChars="200"/>
        <w:jc w:val="center"/>
        <w:textAlignment w:val="auto"/>
        <w:rPr>
          <w:rFonts w:hint="eastAsia" w:ascii="宋体" w:hAnsi="宋体" w:eastAsia="宋体" w:cs="宋体"/>
          <w:b/>
          <w:bCs/>
          <w:color w:val="auto"/>
          <w:sz w:val="24"/>
          <w:szCs w:val="24"/>
        </w:rPr>
      </w:pPr>
      <w:r>
        <w:rPr>
          <w:rFonts w:hint="eastAsia" w:ascii="宋体" w:hAnsi="宋体" w:eastAsia="宋体" w:cs="宋体"/>
          <w:b/>
          <w:color w:val="auto"/>
          <w:sz w:val="24"/>
          <w:szCs w:val="24"/>
        </w:rPr>
        <w:t>河南省政府采购合同融资政策告知函</w:t>
      </w:r>
    </w:p>
    <w:p w14:paraId="24269A02">
      <w:pPr>
        <w:spacing w:line="600" w:lineRule="exact"/>
        <w:ind w:firstLine="420" w:firstLineChars="200"/>
        <w:rPr>
          <w:rFonts w:hint="eastAsia" w:ascii="宋体" w:hAnsi="宋体" w:eastAsia="宋体" w:cs="宋体"/>
          <w:color w:val="auto"/>
          <w:sz w:val="21"/>
          <w:szCs w:val="21"/>
        </w:rPr>
      </w:pPr>
    </w:p>
    <w:p w14:paraId="620F56CE">
      <w:pPr>
        <w:spacing w:line="480" w:lineRule="auto"/>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各</w:t>
      </w:r>
      <w:r>
        <w:rPr>
          <w:rFonts w:hint="eastAsia" w:ascii="宋体" w:hAnsi="宋体" w:eastAsia="宋体" w:cs="宋体"/>
          <w:color w:val="auto"/>
          <w:sz w:val="24"/>
          <w:szCs w:val="24"/>
          <w:lang w:eastAsia="zh-CN"/>
        </w:rPr>
        <w:t>投标供应商</w:t>
      </w:r>
      <w:r>
        <w:rPr>
          <w:rFonts w:hint="eastAsia" w:ascii="宋体" w:hAnsi="宋体" w:eastAsia="宋体" w:cs="宋体"/>
          <w:color w:val="auto"/>
          <w:sz w:val="24"/>
          <w:szCs w:val="24"/>
        </w:rPr>
        <w:t>：</w:t>
      </w:r>
    </w:p>
    <w:p w14:paraId="23C262E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欢迎贵公司参与河南省政府采购活动！</w:t>
      </w:r>
    </w:p>
    <w:p w14:paraId="6AAB1826">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5E63612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贷款渠道和提供贷款的金融机构，可在河南省政府采购网“河南省政府采购合同融资平台”查询联系。政策解读网址：</w:t>
      </w:r>
    </w:p>
    <w:p w14:paraId="61D4A28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"http://www.hngp.gov.cn/henan/content?infoId=1601449567470800&amp;channelCode=H6016"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u w:val="single"/>
        </w:rPr>
        <w:t>http://www.hngp.gov.cn/henan/content?infoId=1601449567470800&amp;channelCode=H6016</w:t>
      </w:r>
      <w:r>
        <w:rPr>
          <w:rFonts w:hint="eastAsia" w:ascii="宋体" w:hAnsi="宋体" w:eastAsia="宋体" w:cs="宋体"/>
          <w:color w:val="auto"/>
          <w:sz w:val="24"/>
          <w:szCs w:val="24"/>
        </w:rPr>
        <w:fldChar w:fldCharType="end"/>
      </w:r>
    </w:p>
    <w:p w14:paraId="3E79CDEA">
      <w:pPr>
        <w:widowControl w:val="0"/>
        <w:spacing w:line="400" w:lineRule="exact"/>
        <w:ind w:firstLine="420" w:firstLineChars="200"/>
        <w:jc w:val="both"/>
        <w:rPr>
          <w:rFonts w:hint="eastAsia" w:ascii="宋体" w:hAnsi="宋体" w:eastAsia="宋体" w:cs="宋体"/>
          <w:color w:val="auto"/>
          <w:kern w:val="2"/>
          <w:sz w:val="21"/>
          <w:szCs w:val="22"/>
          <w:lang w:val="en-US" w:eastAsia="zh-CN" w:bidi="ar-SA"/>
        </w:rPr>
      </w:pPr>
    </w:p>
    <w:p w14:paraId="5F94717E">
      <w:pPr>
        <w:widowControl w:val="0"/>
        <w:spacing w:line="400" w:lineRule="exact"/>
        <w:ind w:firstLine="420" w:firstLineChars="200"/>
        <w:jc w:val="both"/>
        <w:rPr>
          <w:rFonts w:hint="eastAsia" w:ascii="宋体" w:hAnsi="宋体" w:eastAsia="宋体" w:cs="宋体"/>
          <w:color w:val="auto"/>
          <w:kern w:val="2"/>
          <w:sz w:val="21"/>
          <w:szCs w:val="22"/>
          <w:lang w:val="en-US" w:eastAsia="zh-CN" w:bidi="ar-SA"/>
        </w:rPr>
      </w:pPr>
    </w:p>
    <w:p w14:paraId="2C1BF162">
      <w:pPr>
        <w:widowControl/>
        <w:shd w:val="clear" w:color="070000" w:fill="FFFFFF"/>
        <w:spacing w:before="0" w:beforeLines="0" w:beforeAutospacing="0" w:after="0" w:afterLines="0" w:afterAutospacing="0" w:line="360" w:lineRule="auto"/>
        <w:ind w:left="0" w:leftChars="0" w:firstLine="0" w:firstLineChars="0"/>
        <w:jc w:val="left"/>
        <w:rPr>
          <w:rFonts w:hint="eastAsia" w:ascii="宋体" w:hAnsi="宋体" w:eastAsia="宋体" w:cs="宋体"/>
          <w:color w:val="auto"/>
          <w:spacing w:val="8"/>
          <w:kern w:val="0"/>
          <w:sz w:val="24"/>
          <w:szCs w:val="24"/>
          <w:shd w:val="clear" w:color="080000" w:fill="FFFFFF"/>
          <w:lang w:val="en-US" w:eastAsia="zh-CN" w:bidi="ar-SA"/>
        </w:rPr>
      </w:pPr>
      <w:r>
        <w:rPr>
          <w:rFonts w:hint="eastAsia" w:ascii="宋体" w:hAnsi="宋体" w:eastAsia="宋体" w:cs="宋体"/>
          <w:color w:val="auto"/>
          <w:spacing w:val="8"/>
          <w:kern w:val="0"/>
          <w:sz w:val="24"/>
          <w:szCs w:val="24"/>
          <w:shd w:val="clear" w:color="080000" w:fill="FFFFFF"/>
          <w:lang w:val="en-US" w:eastAsia="zh-CN" w:bidi="ar-SA"/>
        </w:rPr>
        <w:t>注：</w:t>
      </w:r>
    </w:p>
    <w:p w14:paraId="3655BD9B">
      <w:pPr>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firstLine="723" w:firstLineChars="3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1.预进行合同融资的，在签订合同时，供应商的合同账号需为合同融资行指定的账户和账号。</w:t>
      </w:r>
    </w:p>
    <w:p w14:paraId="43BEB13E">
      <w:pPr>
        <w:keepNext w:val="0"/>
        <w:keepLines w:val="0"/>
        <w:pageBreakBefore w:val="0"/>
        <w:widowControl w:val="0"/>
        <w:numPr>
          <w:ilvl w:val="0"/>
          <w:numId w:val="0"/>
        </w:numPr>
        <w:kinsoku/>
        <w:wordWrap/>
        <w:overflowPunct/>
        <w:topLinePunct w:val="0"/>
        <w:autoSpaceDE/>
        <w:autoSpaceDN/>
        <w:bidi w:val="0"/>
        <w:adjustRightInd/>
        <w:snapToGrid/>
        <w:spacing w:after="0" w:afterLines="0" w:line="500" w:lineRule="exact"/>
        <w:ind w:left="420" w:leftChars="200" w:firstLine="241" w:firstLineChars="100"/>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2.预进行合同融资的，请提醒采购人在合同备案时，将备案系统中供应商默认账号修改后合同融资行指定的账户和账号，然后再提交合同备案。</w:t>
      </w:r>
    </w:p>
    <w:p w14:paraId="3F99D422">
      <w:pPr>
        <w:keepNext/>
        <w:widowControl w:val="0"/>
        <w:numPr>
          <w:ilvl w:val="0"/>
          <w:numId w:val="0"/>
        </w:numPr>
        <w:spacing w:before="120" w:beforeLines="0" w:after="120" w:afterLines="0" w:line="400" w:lineRule="exact"/>
        <w:ind w:leftChars="0" w:firstLine="1405" w:firstLineChars="500"/>
        <w:jc w:val="both"/>
        <w:outlineLvl w:val="9"/>
        <w:rPr>
          <w:rFonts w:hint="eastAsia" w:ascii="宋体" w:hAnsi="宋体" w:eastAsia="宋体" w:cs="宋体"/>
          <w:b/>
          <w:bCs/>
          <w:color w:val="auto"/>
          <w:kern w:val="2"/>
          <w:sz w:val="28"/>
          <w:szCs w:val="28"/>
          <w:lang w:val="en-US" w:eastAsia="zh-CN" w:bidi="ar-SA"/>
        </w:rPr>
      </w:pPr>
    </w:p>
    <w:p w14:paraId="3B4BBAC3">
      <w:pPr>
        <w:spacing w:line="600" w:lineRule="exact"/>
        <w:ind w:firstLine="560" w:firstLineChars="200"/>
        <w:rPr>
          <w:rFonts w:hint="eastAsia" w:ascii="宋体" w:hAnsi="宋体" w:eastAsia="宋体" w:cs="宋体"/>
          <w:color w:val="auto"/>
          <w:sz w:val="28"/>
          <w:szCs w:val="28"/>
          <w:lang w:val="en-US" w:eastAsia="zh-CN"/>
        </w:rPr>
      </w:pPr>
    </w:p>
    <w:p w14:paraId="3A343B05">
      <w:pPr>
        <w:widowControl w:val="0"/>
        <w:spacing w:after="120" w:afterLines="0" w:afterAutospacing="0" w:line="600" w:lineRule="exact"/>
        <w:ind w:firstLine="280" w:firstLineChars="100"/>
        <w:jc w:val="both"/>
        <w:rPr>
          <w:rFonts w:hint="eastAsia" w:ascii="宋体" w:hAnsi="宋体" w:eastAsia="宋体" w:cs="宋体"/>
          <w:color w:val="auto"/>
          <w:kern w:val="2"/>
          <w:sz w:val="28"/>
          <w:szCs w:val="28"/>
          <w:lang w:val="en-US" w:eastAsia="zh-CN" w:bidi="ar-SA"/>
        </w:rPr>
      </w:pPr>
    </w:p>
    <w:p w14:paraId="114B70C3">
      <w:pPr>
        <w:widowControl w:val="0"/>
        <w:spacing w:after="120" w:afterLines="0" w:line="240" w:lineRule="auto"/>
        <w:ind w:left="420" w:leftChars="200" w:firstLine="560" w:firstLineChars="200"/>
        <w:jc w:val="both"/>
        <w:rPr>
          <w:rFonts w:hint="eastAsia" w:ascii="宋体" w:hAnsi="宋体" w:eastAsia="宋体" w:cs="宋体"/>
          <w:color w:val="auto"/>
          <w:kern w:val="2"/>
          <w:sz w:val="28"/>
          <w:szCs w:val="28"/>
          <w:lang w:val="en-US" w:eastAsia="zh-CN" w:bidi="ar-SA"/>
        </w:rPr>
      </w:pPr>
    </w:p>
    <w:p w14:paraId="4188A797">
      <w:pPr>
        <w:spacing w:line="600" w:lineRule="exact"/>
        <w:ind w:firstLine="420" w:firstLineChars="200"/>
        <w:rPr>
          <w:rFonts w:hint="eastAsia" w:ascii="宋体" w:hAnsi="宋体" w:eastAsia="宋体" w:cs="宋体"/>
          <w:lang w:val="en-US" w:eastAsia="zh-CN"/>
        </w:rPr>
      </w:pPr>
    </w:p>
    <w:bookmarkEnd w:id="1145"/>
    <w:p w14:paraId="2649BB3D">
      <w:pPr>
        <w:keepNext w:val="0"/>
        <w:keepLines w:val="0"/>
        <w:pageBreakBefore/>
        <w:widowControl w:val="0"/>
        <w:numPr>
          <w:ilvl w:val="0"/>
          <w:numId w:val="3"/>
        </w:numPr>
        <w:kinsoku/>
        <w:wordWrap/>
        <w:overflowPunct/>
        <w:topLinePunct w:val="0"/>
        <w:autoSpaceDE/>
        <w:autoSpaceDN/>
        <w:bidi w:val="0"/>
        <w:adjustRightInd/>
        <w:snapToGrid/>
        <w:spacing w:line="400" w:lineRule="exact"/>
        <w:ind w:firstLine="643" w:firstLineChars="200"/>
        <w:jc w:val="center"/>
        <w:textAlignment w:val="auto"/>
        <w:outlineLvl w:val="0"/>
        <w:rPr>
          <w:rFonts w:hint="eastAsia" w:ascii="宋体" w:hAnsi="宋体" w:eastAsia="宋体" w:cs="宋体"/>
          <w:b/>
          <w:bCs/>
          <w:color w:val="000000"/>
          <w:kern w:val="2"/>
          <w:sz w:val="32"/>
          <w:szCs w:val="32"/>
          <w:highlight w:val="none"/>
          <w:lang w:val="en-US" w:eastAsia="zh-CN" w:bidi="ar-SA"/>
        </w:rPr>
      </w:pPr>
      <w:bookmarkStart w:id="1150" w:name="_Toc31660"/>
      <w:bookmarkStart w:id="1151" w:name="_Toc21122"/>
      <w:r>
        <w:rPr>
          <w:rFonts w:hint="eastAsia" w:ascii="宋体" w:hAnsi="宋体" w:eastAsia="宋体" w:cs="宋体"/>
          <w:b/>
          <w:bCs/>
          <w:color w:val="000000"/>
          <w:kern w:val="2"/>
          <w:sz w:val="32"/>
          <w:szCs w:val="32"/>
          <w:highlight w:val="none"/>
          <w:lang w:val="en-US" w:eastAsia="zh-CN" w:bidi="ar-SA"/>
        </w:rPr>
        <w:t xml:space="preserve">  </w:t>
      </w:r>
      <w:bookmarkStart w:id="1152" w:name="_Toc32313"/>
      <w:r>
        <w:rPr>
          <w:rFonts w:hint="eastAsia" w:ascii="宋体" w:hAnsi="宋体" w:eastAsia="宋体" w:cs="宋体"/>
          <w:b/>
          <w:bCs/>
          <w:color w:val="000000"/>
          <w:kern w:val="2"/>
          <w:sz w:val="32"/>
          <w:szCs w:val="32"/>
          <w:highlight w:val="none"/>
          <w:lang w:val="en-US" w:eastAsia="zh-CN" w:bidi="ar-SA"/>
        </w:rPr>
        <w:t>采购需求</w:t>
      </w:r>
      <w:bookmarkEnd w:id="1150"/>
      <w:bookmarkEnd w:id="1151"/>
      <w:bookmarkEnd w:id="1152"/>
    </w:p>
    <w:bookmarkEnd w:id="1146"/>
    <w:bookmarkEnd w:id="1147"/>
    <w:bookmarkEnd w:id="1148"/>
    <w:p w14:paraId="162E874F">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8"/>
          <w:highlight w:val="none"/>
          <w:lang w:val="en-US" w:eastAsia="zh-CN"/>
        </w:rPr>
      </w:pPr>
      <w:bookmarkStart w:id="1153" w:name="_Toc29188"/>
      <w:r>
        <w:rPr>
          <w:rFonts w:hint="eastAsia" w:ascii="宋体" w:hAnsi="宋体" w:eastAsia="宋体" w:cs="宋体"/>
          <w:b/>
          <w:bCs/>
          <w:color w:val="auto"/>
          <w:sz w:val="24"/>
          <w:szCs w:val="28"/>
          <w:highlight w:val="none"/>
          <w:lang w:val="en-US" w:eastAsia="zh-CN"/>
        </w:rPr>
        <w:t>一、采购基本要求</w:t>
      </w:r>
    </w:p>
    <w:p w14:paraId="29765860">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1、采购内容：根据自然资源部、省厅要求，依据《河南省自然资源厅关于印发&lt;市县国土空间总体规划动态调整完善2026年度工作方案〉的通知》（豫自然资发〔2026〕15号）要求，开展规划动态维护工作。</w:t>
      </w:r>
    </w:p>
    <w:p w14:paraId="30C170F2">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2、项目地点：息县（县域）。</w:t>
      </w:r>
    </w:p>
    <w:p w14:paraId="531B2D9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3、服务标准：符合国家及行业相关标准，达到采购人要求。</w:t>
      </w:r>
    </w:p>
    <w:p w14:paraId="5B9B735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bCs/>
          <w:color w:val="auto"/>
          <w:sz w:val="24"/>
          <w:szCs w:val="28"/>
          <w:highlight w:val="none"/>
          <w:lang w:val="en-US" w:eastAsia="zh-CN"/>
        </w:rPr>
      </w:pPr>
      <w:r>
        <w:rPr>
          <w:rFonts w:hint="eastAsia" w:ascii="宋体" w:hAnsi="宋体" w:eastAsia="宋体" w:cs="宋体"/>
          <w:color w:val="auto"/>
          <w:sz w:val="24"/>
          <w:szCs w:val="28"/>
          <w:highlight w:val="none"/>
          <w:lang w:val="en-US" w:eastAsia="zh-CN"/>
        </w:rPr>
        <w:t>4、合同履行期限：自签订合同之日起20日历天完成，并按要求提交成果文件。</w:t>
      </w:r>
    </w:p>
    <w:p w14:paraId="551DB444">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8"/>
          <w:highlight w:val="none"/>
          <w:lang w:val="en-US" w:eastAsia="zh-CN"/>
        </w:rPr>
      </w:pPr>
      <w:r>
        <w:rPr>
          <w:rFonts w:hint="eastAsia" w:ascii="宋体" w:hAnsi="宋体" w:eastAsia="宋体" w:cs="宋体"/>
          <w:b/>
          <w:bCs/>
          <w:color w:val="auto"/>
          <w:sz w:val="24"/>
          <w:szCs w:val="28"/>
          <w:highlight w:val="none"/>
          <w:lang w:val="en-US" w:eastAsia="zh-CN"/>
        </w:rPr>
        <w:t>二、工作内容及服务要求</w:t>
      </w:r>
    </w:p>
    <w:p w14:paraId="61FE0C74">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8"/>
          <w:highlight w:val="none"/>
          <w:lang w:val="en-US" w:eastAsia="zh-CN"/>
        </w:rPr>
      </w:pPr>
      <w:r>
        <w:rPr>
          <w:rFonts w:hint="eastAsia" w:ascii="宋体" w:hAnsi="宋体" w:eastAsia="宋体" w:cs="宋体"/>
          <w:b/>
          <w:bCs/>
          <w:color w:val="auto"/>
          <w:sz w:val="24"/>
          <w:szCs w:val="28"/>
          <w:highlight w:val="none"/>
          <w:lang w:val="en-US" w:eastAsia="zh-CN"/>
        </w:rPr>
        <w:t>（一）规划动态维护内容和要求</w:t>
      </w:r>
    </w:p>
    <w:p w14:paraId="6BCA57D8">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8"/>
          <w:highlight w:val="none"/>
          <w:lang w:val="en-US" w:eastAsia="zh-CN"/>
        </w:rPr>
      </w:pPr>
      <w:bookmarkStart w:id="1154" w:name="_Toc13530"/>
      <w:bookmarkStart w:id="1155" w:name="_Toc6059"/>
      <w:bookmarkStart w:id="1156" w:name="_Toc1076"/>
      <w:r>
        <w:rPr>
          <w:rFonts w:hint="eastAsia" w:ascii="宋体" w:hAnsi="宋体" w:eastAsia="宋体" w:cs="宋体"/>
          <w:color w:val="auto"/>
          <w:sz w:val="24"/>
          <w:szCs w:val="28"/>
          <w:highlight w:val="none"/>
          <w:lang w:val="en-US" w:eastAsia="zh-CN"/>
        </w:rPr>
        <w:t>1.</w:t>
      </w:r>
      <w:r>
        <w:rPr>
          <w:rFonts w:hint="default" w:ascii="宋体" w:hAnsi="宋体" w:eastAsia="宋体" w:cs="宋体"/>
          <w:color w:val="auto"/>
          <w:sz w:val="24"/>
          <w:szCs w:val="28"/>
          <w:highlight w:val="none"/>
          <w:lang w:val="en-US" w:eastAsia="zh-CN"/>
        </w:rPr>
        <w:t>耕地和永久基本农田保护红线</w:t>
      </w:r>
      <w:bookmarkEnd w:id="1154"/>
      <w:bookmarkEnd w:id="1155"/>
      <w:bookmarkEnd w:id="1156"/>
      <w:r>
        <w:rPr>
          <w:rFonts w:hint="eastAsia" w:ascii="宋体" w:hAnsi="宋体" w:eastAsia="宋体" w:cs="宋体"/>
          <w:color w:val="auto"/>
          <w:sz w:val="24"/>
          <w:szCs w:val="28"/>
          <w:highlight w:val="none"/>
          <w:lang w:val="en-US" w:eastAsia="zh-CN"/>
        </w:rPr>
        <w:t>；2.</w:t>
      </w:r>
      <w:r>
        <w:rPr>
          <w:rFonts w:hint="default" w:ascii="宋体" w:hAnsi="宋体" w:eastAsia="宋体" w:cs="宋体"/>
          <w:color w:val="auto"/>
          <w:sz w:val="24"/>
          <w:szCs w:val="28"/>
          <w:highlight w:val="none"/>
          <w:lang w:val="en-US" w:eastAsia="zh-CN"/>
        </w:rPr>
        <w:t>生态保护红线</w:t>
      </w:r>
      <w:r>
        <w:rPr>
          <w:rFonts w:hint="eastAsia" w:ascii="宋体" w:hAnsi="宋体" w:eastAsia="宋体" w:cs="宋体"/>
          <w:color w:val="auto"/>
          <w:sz w:val="24"/>
          <w:szCs w:val="28"/>
          <w:highlight w:val="none"/>
          <w:lang w:val="en-US" w:eastAsia="zh-CN"/>
        </w:rPr>
        <w:t>；3.城镇开发边界；4.规划分区；5.中心城区用地规划布局；6.城市重要控制线；7.其他重要控制线；8.重点建设项目清单；9.乡镇主体功能定位；10.其他需要维护的内容</w:t>
      </w:r>
    </w:p>
    <w:p w14:paraId="15D2962E">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乡镇的村庄建设边界规模和村庄分类调整、历史文化资源一览表等内容均可纳入动态维护内容。</w:t>
      </w:r>
    </w:p>
    <w:p w14:paraId="6C6CA143">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eastAsia="宋体" w:cs="宋体"/>
          <w:b/>
          <w:bCs/>
          <w:color w:val="auto"/>
          <w:sz w:val="24"/>
          <w:szCs w:val="28"/>
          <w:highlight w:val="none"/>
          <w:lang w:val="en-US" w:eastAsia="zh-CN"/>
        </w:rPr>
      </w:pPr>
      <w:r>
        <w:rPr>
          <w:rFonts w:hint="eastAsia" w:ascii="宋体" w:hAnsi="宋体" w:eastAsia="宋体" w:cs="宋体"/>
          <w:b/>
          <w:bCs/>
          <w:color w:val="auto"/>
          <w:sz w:val="24"/>
          <w:szCs w:val="28"/>
          <w:highlight w:val="none"/>
          <w:lang w:val="en-US" w:eastAsia="zh-CN"/>
        </w:rPr>
        <w:t>（二）规划动态维护成果要求</w:t>
      </w:r>
    </w:p>
    <w:p w14:paraId="760CE7C7">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color w:val="auto"/>
          <w:sz w:val="24"/>
          <w:szCs w:val="28"/>
          <w:highlight w:val="none"/>
          <w:lang w:val="en-US" w:eastAsia="zh-CN"/>
        </w:rPr>
      </w:pPr>
      <w:r>
        <w:rPr>
          <w:rFonts w:hint="eastAsia" w:ascii="宋体" w:hAnsi="宋体" w:eastAsia="宋体" w:cs="宋体"/>
          <w:color w:val="auto"/>
          <w:sz w:val="24"/>
          <w:szCs w:val="28"/>
          <w:highlight w:val="none"/>
          <w:lang w:val="en-US" w:eastAsia="zh-CN"/>
        </w:rPr>
        <w:t>结合规划动态维护内容编制</w:t>
      </w:r>
      <w:bookmarkStart w:id="1157" w:name="_Toc7353"/>
      <w:bookmarkStart w:id="1158" w:name="_Toc7320"/>
      <w:bookmarkStart w:id="1159" w:name="_Toc20584"/>
      <w:bookmarkStart w:id="1160" w:name="_Toc18418"/>
      <w:bookmarkStart w:id="1161" w:name="_Toc5686"/>
      <w:bookmarkStart w:id="1162" w:name="_Toc27888"/>
      <w:bookmarkStart w:id="1163" w:name="_Toc14563"/>
      <w:r>
        <w:rPr>
          <w:rFonts w:hint="eastAsia" w:ascii="宋体" w:hAnsi="宋体" w:eastAsia="宋体" w:cs="宋体"/>
          <w:color w:val="auto"/>
          <w:sz w:val="24"/>
          <w:szCs w:val="28"/>
          <w:highlight w:val="none"/>
          <w:lang w:val="en-US" w:eastAsia="zh-CN"/>
        </w:rPr>
        <w:t>《息县国土空间总体规划2026年度动态维护》</w:t>
      </w:r>
      <w:bookmarkEnd w:id="1157"/>
      <w:bookmarkEnd w:id="1158"/>
      <w:bookmarkEnd w:id="1159"/>
      <w:bookmarkEnd w:id="1160"/>
      <w:bookmarkEnd w:id="1161"/>
      <w:bookmarkEnd w:id="1162"/>
      <w:bookmarkEnd w:id="1163"/>
      <w:r>
        <w:rPr>
          <w:rFonts w:hint="eastAsia" w:ascii="宋体" w:hAnsi="宋体" w:eastAsia="宋体" w:cs="宋体"/>
          <w:color w:val="auto"/>
          <w:sz w:val="24"/>
          <w:szCs w:val="28"/>
          <w:highlight w:val="none"/>
          <w:lang w:val="en-US" w:eastAsia="zh-CN"/>
        </w:rPr>
        <w:t>成果。规划动态维护成果包括“一个方案和一个数据库”，即：规划动态维护方案、规划动态维护数据库。其中，规划动态维护方案主要包括正文和附件，附件包含规划文本更新内容（含文本附表）、附表、附图和相关证明材料，通过专家论证和省政府批复；规划动态维护数据库按照数据汇交有关要求建设，通过“一张图”系统实现汇交及审查入库。</w:t>
      </w:r>
    </w:p>
    <w:p w14:paraId="61A12D0C">
      <w:pPr>
        <w:numPr>
          <w:ilvl w:val="0"/>
          <w:numId w:val="0"/>
        </w:numPr>
        <w:rPr>
          <w:rFonts w:hint="eastAsia" w:ascii="宋体" w:hAnsi="宋体" w:eastAsia="宋体" w:cs="宋体"/>
          <w:sz w:val="24"/>
          <w:szCs w:val="24"/>
          <w:lang w:val="en-US" w:eastAsia="zh-CN"/>
        </w:rPr>
      </w:pPr>
    </w:p>
    <w:p w14:paraId="51744FE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sz w:val="24"/>
          <w:szCs w:val="24"/>
        </w:rPr>
      </w:pPr>
    </w:p>
    <w:p w14:paraId="2C345774">
      <w:pPr>
        <w:keepNext w:val="0"/>
        <w:keepLines w:val="0"/>
        <w:pageBreakBefore/>
        <w:widowControl w:val="0"/>
        <w:kinsoku/>
        <w:wordWrap/>
        <w:overflowPunct/>
        <w:topLinePunct w:val="0"/>
        <w:autoSpaceDE/>
        <w:autoSpaceDN/>
        <w:bidi w:val="0"/>
        <w:adjustRightInd/>
        <w:snapToGrid/>
        <w:spacing w:line="400" w:lineRule="exact"/>
        <w:ind w:firstLine="643" w:firstLineChars="200"/>
        <w:jc w:val="center"/>
        <w:textAlignment w:val="auto"/>
        <w:outlineLvl w:val="0"/>
        <w:rPr>
          <w:rFonts w:hint="eastAsia" w:ascii="宋体" w:hAnsi="宋体" w:eastAsia="宋体" w:cs="宋体"/>
          <w:b/>
          <w:bCs/>
          <w:color w:val="000000"/>
          <w:kern w:val="2"/>
          <w:sz w:val="32"/>
          <w:szCs w:val="32"/>
          <w:highlight w:val="none"/>
          <w:lang w:val="en-US" w:eastAsia="zh-CN" w:bidi="ar-SA"/>
        </w:rPr>
      </w:pPr>
      <w:bookmarkStart w:id="1164" w:name="_Toc10614"/>
      <w:r>
        <w:rPr>
          <w:rFonts w:hint="eastAsia" w:ascii="宋体" w:hAnsi="宋体" w:eastAsia="宋体" w:cs="宋体"/>
          <w:b/>
          <w:bCs/>
          <w:color w:val="000000"/>
          <w:kern w:val="2"/>
          <w:sz w:val="32"/>
          <w:szCs w:val="32"/>
          <w:highlight w:val="none"/>
          <w:lang w:val="en-US" w:eastAsia="zh-CN" w:bidi="ar-SA"/>
        </w:rPr>
        <w:t>第六章  响应文件格式</w:t>
      </w:r>
      <w:bookmarkEnd w:id="1153"/>
      <w:bookmarkEnd w:id="1164"/>
    </w:p>
    <w:p w14:paraId="6AA500FE">
      <w:pPr>
        <w:spacing w:line="400" w:lineRule="exact"/>
        <w:ind w:firstLine="420" w:firstLineChars="200"/>
        <w:rPr>
          <w:rFonts w:hint="eastAsia" w:ascii="宋体" w:hAnsi="宋体" w:eastAsia="宋体" w:cs="宋体"/>
          <w:color w:val="auto"/>
        </w:rPr>
      </w:pPr>
    </w:p>
    <w:p w14:paraId="601BA421">
      <w:pPr>
        <w:spacing w:line="440" w:lineRule="exact"/>
        <w:ind w:firstLine="480" w:firstLineChars="200"/>
        <w:jc w:val="right"/>
        <w:rPr>
          <w:rFonts w:hint="eastAsia" w:ascii="宋体" w:hAnsi="宋体" w:eastAsia="宋体" w:cs="宋体"/>
          <w:color w:val="auto"/>
          <w:sz w:val="24"/>
          <w:bdr w:val="single" w:color="auto" w:sz="4" w:space="0"/>
        </w:rPr>
      </w:pPr>
    </w:p>
    <w:p w14:paraId="16787549">
      <w:pPr>
        <w:spacing w:line="440" w:lineRule="exact"/>
        <w:ind w:firstLine="480" w:firstLineChars="200"/>
        <w:rPr>
          <w:rFonts w:hint="eastAsia" w:ascii="宋体" w:hAnsi="宋体" w:eastAsia="宋体" w:cs="宋体"/>
          <w:color w:val="auto"/>
          <w:sz w:val="24"/>
        </w:rPr>
      </w:pPr>
    </w:p>
    <w:p w14:paraId="6E1E7F8F">
      <w:pPr>
        <w:spacing w:line="600" w:lineRule="exact"/>
        <w:ind w:firstLine="602" w:firstLineChars="200"/>
        <w:jc w:val="center"/>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u w:val="single"/>
        </w:rPr>
        <w:t xml:space="preserve">                     </w:t>
      </w:r>
      <w:r>
        <w:rPr>
          <w:rFonts w:hint="eastAsia" w:ascii="宋体" w:hAnsi="宋体" w:eastAsia="宋体" w:cs="宋体"/>
          <w:b/>
          <w:bCs/>
          <w:color w:val="auto"/>
          <w:sz w:val="30"/>
          <w:szCs w:val="30"/>
        </w:rPr>
        <w:t>（项目名称）</w:t>
      </w:r>
    </w:p>
    <w:p w14:paraId="021F04ED">
      <w:pPr>
        <w:spacing w:line="600" w:lineRule="exact"/>
        <w:ind w:firstLine="560" w:firstLineChars="200"/>
        <w:jc w:val="center"/>
        <w:rPr>
          <w:rFonts w:hint="eastAsia" w:ascii="宋体" w:hAnsi="宋体" w:eastAsia="宋体" w:cs="宋体"/>
          <w:color w:val="auto"/>
          <w:sz w:val="28"/>
          <w:szCs w:val="28"/>
        </w:rPr>
      </w:pPr>
    </w:p>
    <w:p w14:paraId="6DD0516B">
      <w:pPr>
        <w:spacing w:line="600" w:lineRule="exact"/>
        <w:ind w:firstLine="560" w:firstLineChars="200"/>
        <w:jc w:val="center"/>
        <w:rPr>
          <w:rFonts w:hint="eastAsia" w:ascii="宋体" w:hAnsi="宋体" w:eastAsia="宋体" w:cs="宋体"/>
          <w:color w:val="auto"/>
          <w:sz w:val="28"/>
          <w:szCs w:val="28"/>
        </w:rPr>
      </w:pPr>
    </w:p>
    <w:p w14:paraId="303D8635">
      <w:pPr>
        <w:spacing w:line="720" w:lineRule="auto"/>
        <w:ind w:firstLine="1446" w:firstLineChars="200"/>
        <w:jc w:val="center"/>
        <w:rPr>
          <w:rFonts w:hint="eastAsia" w:ascii="宋体" w:hAnsi="宋体" w:eastAsia="宋体" w:cs="宋体"/>
          <w:b/>
          <w:bCs/>
          <w:color w:val="auto"/>
          <w:sz w:val="72"/>
          <w:szCs w:val="84"/>
        </w:rPr>
      </w:pPr>
    </w:p>
    <w:p w14:paraId="1F03F503">
      <w:pPr>
        <w:spacing w:line="720" w:lineRule="auto"/>
        <w:ind w:firstLine="1446" w:firstLineChars="200"/>
        <w:jc w:val="center"/>
        <w:rPr>
          <w:rFonts w:hint="eastAsia" w:ascii="宋体" w:hAnsi="宋体" w:eastAsia="宋体" w:cs="宋体"/>
          <w:b/>
          <w:bCs/>
          <w:color w:val="auto"/>
          <w:sz w:val="72"/>
          <w:szCs w:val="84"/>
        </w:rPr>
      </w:pPr>
    </w:p>
    <w:p w14:paraId="7610DC6F">
      <w:pPr>
        <w:spacing w:line="720" w:lineRule="auto"/>
        <w:ind w:firstLine="2168" w:firstLineChars="300"/>
        <w:jc w:val="both"/>
        <w:rPr>
          <w:rFonts w:hint="eastAsia" w:ascii="宋体" w:hAnsi="宋体" w:eastAsia="宋体" w:cs="宋体"/>
          <w:color w:val="auto"/>
          <w:sz w:val="72"/>
          <w:szCs w:val="84"/>
        </w:rPr>
      </w:pPr>
      <w:r>
        <w:rPr>
          <w:rFonts w:hint="eastAsia" w:ascii="宋体" w:hAnsi="宋体" w:eastAsia="宋体" w:cs="宋体"/>
          <w:b/>
          <w:bCs/>
          <w:color w:val="auto"/>
          <w:sz w:val="72"/>
          <w:szCs w:val="84"/>
        </w:rPr>
        <w:t>响 应 文 件</w:t>
      </w:r>
    </w:p>
    <w:p w14:paraId="2F96899D">
      <w:pPr>
        <w:spacing w:line="400" w:lineRule="exact"/>
        <w:ind w:firstLine="560" w:firstLineChars="200"/>
        <w:rPr>
          <w:rFonts w:hint="eastAsia" w:ascii="宋体" w:hAnsi="宋体" w:eastAsia="宋体" w:cs="宋体"/>
          <w:color w:val="auto"/>
          <w:sz w:val="28"/>
          <w:szCs w:val="28"/>
        </w:rPr>
      </w:pPr>
    </w:p>
    <w:p w14:paraId="31B1F7D6">
      <w:pPr>
        <w:spacing w:line="400" w:lineRule="exact"/>
        <w:ind w:firstLine="560" w:firstLineChars="200"/>
        <w:rPr>
          <w:rFonts w:hint="eastAsia" w:ascii="宋体" w:hAnsi="宋体" w:eastAsia="宋体" w:cs="宋体"/>
          <w:color w:val="auto"/>
          <w:sz w:val="28"/>
          <w:szCs w:val="28"/>
        </w:rPr>
      </w:pPr>
    </w:p>
    <w:p w14:paraId="7EA9ADEE">
      <w:pPr>
        <w:spacing w:line="400" w:lineRule="exact"/>
        <w:ind w:firstLine="560" w:firstLineChars="200"/>
        <w:rPr>
          <w:rFonts w:hint="eastAsia" w:ascii="宋体" w:hAnsi="宋体" w:eastAsia="宋体" w:cs="宋体"/>
          <w:color w:val="auto"/>
          <w:sz w:val="28"/>
          <w:szCs w:val="28"/>
        </w:rPr>
      </w:pPr>
    </w:p>
    <w:p w14:paraId="4AC8EFA1">
      <w:pPr>
        <w:spacing w:line="400" w:lineRule="exact"/>
        <w:ind w:firstLine="560" w:firstLineChars="200"/>
        <w:rPr>
          <w:rFonts w:hint="eastAsia" w:ascii="宋体" w:hAnsi="宋体" w:eastAsia="宋体" w:cs="宋体"/>
          <w:color w:val="auto"/>
          <w:sz w:val="28"/>
          <w:szCs w:val="28"/>
        </w:rPr>
      </w:pPr>
    </w:p>
    <w:p w14:paraId="47ACA122">
      <w:pPr>
        <w:spacing w:line="400" w:lineRule="exact"/>
        <w:ind w:firstLine="560" w:firstLineChars="200"/>
        <w:rPr>
          <w:rFonts w:hint="eastAsia" w:ascii="宋体" w:hAnsi="宋体" w:eastAsia="宋体" w:cs="宋体"/>
          <w:color w:val="auto"/>
          <w:sz w:val="28"/>
          <w:szCs w:val="28"/>
        </w:rPr>
      </w:pPr>
    </w:p>
    <w:p w14:paraId="13F75533">
      <w:pPr>
        <w:spacing w:line="400" w:lineRule="exact"/>
        <w:ind w:firstLine="560" w:firstLineChars="200"/>
        <w:rPr>
          <w:rFonts w:hint="eastAsia" w:ascii="宋体" w:hAnsi="宋体" w:eastAsia="宋体" w:cs="宋体"/>
          <w:color w:val="auto"/>
          <w:sz w:val="28"/>
          <w:szCs w:val="28"/>
        </w:rPr>
      </w:pPr>
    </w:p>
    <w:p w14:paraId="21247F4D">
      <w:pPr>
        <w:spacing w:line="400" w:lineRule="exact"/>
        <w:ind w:firstLine="560" w:firstLineChars="200"/>
        <w:rPr>
          <w:rFonts w:hint="eastAsia" w:ascii="宋体" w:hAnsi="宋体" w:eastAsia="宋体" w:cs="宋体"/>
          <w:color w:val="auto"/>
          <w:sz w:val="28"/>
          <w:szCs w:val="28"/>
        </w:rPr>
      </w:pPr>
    </w:p>
    <w:p w14:paraId="0DA40D93">
      <w:pPr>
        <w:spacing w:line="400" w:lineRule="exact"/>
        <w:ind w:firstLine="560" w:firstLineChars="200"/>
        <w:rPr>
          <w:rFonts w:hint="eastAsia" w:ascii="宋体" w:hAnsi="宋体" w:eastAsia="宋体" w:cs="宋体"/>
          <w:color w:val="auto"/>
          <w:sz w:val="28"/>
          <w:szCs w:val="28"/>
        </w:rPr>
      </w:pPr>
    </w:p>
    <w:p w14:paraId="41BD5517">
      <w:pPr>
        <w:spacing w:line="400" w:lineRule="exact"/>
        <w:ind w:firstLine="560" w:firstLineChars="200"/>
        <w:rPr>
          <w:rFonts w:hint="eastAsia" w:ascii="宋体" w:hAnsi="宋体" w:eastAsia="宋体" w:cs="宋体"/>
          <w:color w:val="auto"/>
          <w:sz w:val="28"/>
          <w:szCs w:val="28"/>
        </w:rPr>
      </w:pPr>
    </w:p>
    <w:p w14:paraId="7E077995">
      <w:pPr>
        <w:spacing w:line="480" w:lineRule="auto"/>
        <w:ind w:firstLine="480" w:firstLineChars="200"/>
        <w:jc w:val="center"/>
        <w:rPr>
          <w:rFonts w:hint="eastAsia" w:ascii="宋体" w:hAnsi="宋体" w:eastAsia="宋体" w:cs="宋体"/>
          <w:color w:val="auto"/>
          <w:sz w:val="24"/>
        </w:rPr>
      </w:pPr>
      <w:r>
        <w:rPr>
          <w:rFonts w:hint="eastAsia" w:ascii="宋体" w:hAnsi="宋体" w:eastAsia="宋体" w:cs="宋体"/>
          <w:color w:val="auto"/>
          <w:sz w:val="24"/>
          <w:lang w:eastAsia="zh-CN"/>
        </w:rPr>
        <w:t>投标</w:t>
      </w:r>
      <w:r>
        <w:rPr>
          <w:rFonts w:hint="eastAsia" w:ascii="宋体" w:hAnsi="宋体" w:eastAsia="宋体" w:cs="宋体"/>
          <w:color w:val="auto"/>
          <w:sz w:val="24"/>
        </w:rPr>
        <w:t>供应商：</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（单位电子签章）</w:t>
      </w:r>
    </w:p>
    <w:p w14:paraId="25D745D7">
      <w:pPr>
        <w:spacing w:line="480" w:lineRule="auto"/>
        <w:ind w:firstLine="480" w:firstLineChars="200"/>
        <w:jc w:val="center"/>
        <w:rPr>
          <w:rFonts w:hint="eastAsia" w:ascii="宋体" w:hAnsi="宋体" w:eastAsia="宋体" w:cs="宋体"/>
          <w:color w:val="auto"/>
          <w:sz w:val="24"/>
        </w:rPr>
      </w:pPr>
      <w:r>
        <w:rPr>
          <w:rFonts w:hint="eastAsia" w:ascii="宋体" w:hAnsi="宋体" w:eastAsia="宋体" w:cs="宋体"/>
          <w:color w:val="auto"/>
          <w:sz w:val="24"/>
        </w:rPr>
        <w:t>法定代表人或其委托代理人：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（电子签名或盖章）</w:t>
      </w:r>
    </w:p>
    <w:p w14:paraId="1644E140">
      <w:pPr>
        <w:spacing w:line="480" w:lineRule="auto"/>
        <w:ind w:firstLine="480" w:firstLineChars="200"/>
        <w:jc w:val="center"/>
        <w:rPr>
          <w:rFonts w:hint="eastAsia" w:ascii="宋体" w:hAnsi="宋体" w:eastAsia="宋体" w:cs="宋体"/>
          <w:color w:val="auto"/>
          <w:sz w:val="24"/>
        </w:rPr>
      </w:pP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34495E65">
      <w:pPr>
        <w:spacing w:line="400" w:lineRule="exact"/>
        <w:ind w:firstLine="440" w:firstLineChars="200"/>
        <w:rPr>
          <w:rFonts w:hint="eastAsia" w:ascii="宋体" w:hAnsi="宋体" w:eastAsia="宋体" w:cs="宋体"/>
          <w:color w:val="auto"/>
          <w:sz w:val="22"/>
          <w:szCs w:val="28"/>
        </w:rPr>
      </w:pPr>
    </w:p>
    <w:p w14:paraId="0A329CEF">
      <w:pPr>
        <w:keepNext/>
        <w:keepLines/>
        <w:widowControl w:val="0"/>
        <w:numPr>
          <w:ilvl w:val="1"/>
          <w:numId w:val="0"/>
        </w:numPr>
        <w:spacing w:before="100" w:beforeLines="0" w:after="0" w:afterLines="0" w:line="400" w:lineRule="exact"/>
        <w:ind w:firstLine="640" w:firstLineChars="200"/>
        <w:jc w:val="center"/>
        <w:outlineLvl w:val="1"/>
        <w:rPr>
          <w:rFonts w:hint="eastAsia" w:ascii="宋体" w:hAnsi="宋体" w:eastAsia="宋体" w:cs="宋体"/>
          <w:b w:val="0"/>
          <w:color w:val="auto"/>
          <w:kern w:val="2"/>
          <w:sz w:val="32"/>
          <w:szCs w:val="32"/>
          <w:lang w:val="en-US" w:eastAsia="zh-CN" w:bidi="ar-SA"/>
        </w:rPr>
      </w:pPr>
      <w:bookmarkStart w:id="1165" w:name="_Toc144974856"/>
      <w:bookmarkStart w:id="1166" w:name="_Toc8978"/>
      <w:bookmarkStart w:id="1167" w:name="_Toc152042576"/>
      <w:bookmarkStart w:id="1168" w:name="_Toc20198"/>
      <w:bookmarkStart w:id="1169" w:name="_Toc152045787"/>
      <w:bookmarkStart w:id="1170" w:name="_Toc466298157"/>
      <w:bookmarkStart w:id="1171" w:name="_Toc788"/>
      <w:bookmarkStart w:id="1172" w:name="_Toc9509"/>
      <w:bookmarkStart w:id="1173" w:name="_Toc30758"/>
      <w:r>
        <w:rPr>
          <w:rFonts w:hint="eastAsia" w:ascii="宋体" w:hAnsi="宋体" w:eastAsia="宋体" w:cs="宋体"/>
          <w:b w:val="0"/>
          <w:color w:val="auto"/>
          <w:kern w:val="2"/>
          <w:sz w:val="32"/>
          <w:szCs w:val="32"/>
          <w:lang w:val="en-US" w:eastAsia="zh-CN" w:bidi="ar-SA"/>
        </w:rPr>
        <w:t>目    录</w:t>
      </w:r>
      <w:bookmarkEnd w:id="1165"/>
      <w:bookmarkEnd w:id="1166"/>
      <w:bookmarkEnd w:id="1167"/>
      <w:bookmarkEnd w:id="1168"/>
      <w:bookmarkEnd w:id="1169"/>
      <w:bookmarkEnd w:id="1170"/>
      <w:bookmarkEnd w:id="1171"/>
      <w:bookmarkEnd w:id="1172"/>
      <w:bookmarkEnd w:id="1173"/>
    </w:p>
    <w:p w14:paraId="3AD4BA7D">
      <w:pPr>
        <w:spacing w:line="540" w:lineRule="exact"/>
        <w:ind w:firstLine="480" w:firstLineChars="200"/>
        <w:rPr>
          <w:rFonts w:hint="eastAsia" w:ascii="宋体" w:hAnsi="宋体" w:eastAsia="宋体" w:cs="宋体"/>
          <w:color w:val="auto"/>
          <w:sz w:val="24"/>
          <w:szCs w:val="32"/>
        </w:rPr>
      </w:pPr>
    </w:p>
    <w:p w14:paraId="54C9CCF1">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一、响应函及响应函附录</w:t>
      </w:r>
    </w:p>
    <w:p w14:paraId="1087BD2A">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二、法定代表</w:t>
      </w:r>
      <w:r>
        <w:rPr>
          <w:rFonts w:hint="eastAsia" w:ascii="宋体" w:hAnsi="宋体" w:eastAsia="宋体" w:cs="宋体"/>
          <w:color w:val="auto"/>
          <w:sz w:val="24"/>
          <w:szCs w:val="28"/>
          <w:lang w:eastAsia="zh-CN"/>
        </w:rPr>
        <w:t>人</w:t>
      </w:r>
      <w:r>
        <w:rPr>
          <w:rFonts w:hint="eastAsia" w:ascii="宋体" w:hAnsi="宋体" w:eastAsia="宋体" w:cs="宋体"/>
          <w:color w:val="auto"/>
          <w:sz w:val="24"/>
          <w:szCs w:val="28"/>
        </w:rPr>
        <w:t>身份证明</w:t>
      </w:r>
      <w:r>
        <w:rPr>
          <w:rFonts w:hint="eastAsia" w:ascii="宋体" w:hAnsi="宋体" w:eastAsia="宋体" w:cs="宋体"/>
          <w:color w:val="auto"/>
          <w:sz w:val="24"/>
          <w:szCs w:val="28"/>
        </w:rPr>
        <w:tab/>
      </w:r>
    </w:p>
    <w:p w14:paraId="1CB477C1">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三、授权委托书</w:t>
      </w:r>
      <w:r>
        <w:rPr>
          <w:rFonts w:hint="eastAsia" w:ascii="宋体" w:hAnsi="宋体" w:eastAsia="宋体" w:cs="宋体"/>
          <w:color w:val="auto"/>
          <w:sz w:val="24"/>
          <w:szCs w:val="28"/>
        </w:rPr>
        <w:tab/>
      </w:r>
    </w:p>
    <w:p w14:paraId="3A4E6694">
      <w:pPr>
        <w:spacing w:line="360" w:lineRule="auto"/>
        <w:ind w:firstLine="480" w:firstLineChars="200"/>
        <w:rPr>
          <w:rFonts w:hint="default" w:ascii="宋体" w:hAnsi="宋体" w:eastAsia="宋体" w:cs="宋体"/>
          <w:color w:val="auto"/>
          <w:sz w:val="24"/>
          <w:szCs w:val="28"/>
          <w:lang w:val="en-US" w:eastAsia="zh-CN"/>
        </w:rPr>
      </w:pPr>
      <w:r>
        <w:rPr>
          <w:rFonts w:hint="eastAsia" w:ascii="宋体" w:hAnsi="宋体" w:eastAsia="宋体" w:cs="宋体"/>
          <w:color w:val="auto"/>
          <w:sz w:val="24"/>
          <w:szCs w:val="28"/>
        </w:rPr>
        <w:t>四、资格审查资料</w:t>
      </w:r>
    </w:p>
    <w:p w14:paraId="75942267">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五、</w:t>
      </w:r>
      <w:r>
        <w:rPr>
          <w:rFonts w:hint="eastAsia" w:ascii="宋体" w:hAnsi="宋体" w:eastAsia="宋体" w:cs="宋体"/>
          <w:color w:val="auto"/>
          <w:sz w:val="24"/>
          <w:szCs w:val="28"/>
          <w:lang w:val="en-US" w:eastAsia="zh-CN"/>
        </w:rPr>
        <w:t>技术及综合部分</w:t>
      </w:r>
    </w:p>
    <w:p w14:paraId="170AA8C4">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六、中小企业声明函（服务类）</w:t>
      </w:r>
    </w:p>
    <w:p w14:paraId="228569DB">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七、残疾人福利性单位声明函</w:t>
      </w:r>
      <w:r>
        <w:rPr>
          <w:rFonts w:hint="eastAsia" w:ascii="宋体" w:hAnsi="宋体" w:eastAsia="宋体" w:cs="宋体"/>
          <w:color w:val="auto"/>
          <w:sz w:val="24"/>
          <w:szCs w:val="28"/>
        </w:rPr>
        <w:tab/>
      </w:r>
    </w:p>
    <w:p w14:paraId="44A769B3">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八、监狱企业证明文件（如有）</w:t>
      </w:r>
    </w:p>
    <w:p w14:paraId="26BA2CB3">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九、反商业贿赂承诺书</w:t>
      </w:r>
    </w:p>
    <w:p w14:paraId="6EF3AF3E">
      <w:pPr>
        <w:spacing w:line="360" w:lineRule="auto"/>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十、其他材料</w:t>
      </w:r>
      <w:r>
        <w:rPr>
          <w:rFonts w:hint="eastAsia" w:ascii="宋体" w:hAnsi="宋体" w:eastAsia="宋体" w:cs="宋体"/>
          <w:color w:val="auto"/>
          <w:sz w:val="24"/>
          <w:szCs w:val="28"/>
        </w:rPr>
        <w:tab/>
      </w:r>
    </w:p>
    <w:p w14:paraId="6B5C9D1E">
      <w:pPr>
        <w:spacing w:line="540" w:lineRule="exact"/>
        <w:ind w:firstLine="420" w:firstLineChars="200"/>
        <w:rPr>
          <w:rFonts w:hint="eastAsia" w:ascii="宋体" w:hAnsi="宋体" w:eastAsia="宋体" w:cs="宋体"/>
          <w:color w:val="auto"/>
        </w:rPr>
      </w:pPr>
    </w:p>
    <w:p w14:paraId="2A33E040">
      <w:pPr>
        <w:spacing w:line="540" w:lineRule="exact"/>
        <w:ind w:firstLine="420" w:firstLineChars="200"/>
        <w:rPr>
          <w:rFonts w:hint="eastAsia" w:ascii="宋体" w:hAnsi="宋体" w:eastAsia="宋体" w:cs="宋体"/>
          <w:color w:val="auto"/>
        </w:rPr>
      </w:pPr>
    </w:p>
    <w:p w14:paraId="02A18A1E">
      <w:pPr>
        <w:spacing w:line="540" w:lineRule="exact"/>
        <w:ind w:firstLine="420" w:firstLineChars="200"/>
        <w:rPr>
          <w:rFonts w:hint="eastAsia" w:ascii="宋体" w:hAnsi="宋体" w:eastAsia="宋体" w:cs="宋体"/>
          <w:color w:val="auto"/>
        </w:rPr>
      </w:pPr>
    </w:p>
    <w:p w14:paraId="6BC0826F">
      <w:pPr>
        <w:widowControl w:val="0"/>
        <w:spacing w:after="120" w:afterLines="0" w:afterAutospacing="0" w:line="600" w:lineRule="exact"/>
        <w:ind w:firstLine="210" w:firstLineChars="100"/>
        <w:jc w:val="both"/>
        <w:rPr>
          <w:rFonts w:hint="eastAsia" w:ascii="宋体" w:hAnsi="宋体" w:eastAsia="宋体" w:cs="宋体"/>
          <w:kern w:val="2"/>
          <w:sz w:val="21"/>
          <w:szCs w:val="22"/>
          <w:lang w:val="en-US" w:eastAsia="zh-CN" w:bidi="ar-SA"/>
        </w:rPr>
      </w:pPr>
    </w:p>
    <w:p w14:paraId="3ABD236E">
      <w:pPr>
        <w:widowControl w:val="0"/>
        <w:spacing w:after="120" w:afterLines="0" w:line="240" w:lineRule="auto"/>
        <w:ind w:left="420" w:leftChars="200" w:firstLine="420" w:firstLineChars="200"/>
        <w:jc w:val="both"/>
        <w:rPr>
          <w:rFonts w:hint="eastAsia" w:ascii="宋体" w:hAnsi="宋体" w:eastAsia="宋体" w:cs="宋体"/>
          <w:kern w:val="2"/>
          <w:sz w:val="21"/>
          <w:szCs w:val="22"/>
          <w:lang w:val="en-US" w:eastAsia="zh-CN" w:bidi="ar-SA"/>
        </w:rPr>
      </w:pPr>
    </w:p>
    <w:p w14:paraId="64AF62F2">
      <w:pPr>
        <w:spacing w:line="600" w:lineRule="exact"/>
        <w:ind w:firstLine="420" w:firstLineChars="200"/>
        <w:rPr>
          <w:rFonts w:hint="eastAsia" w:ascii="宋体" w:hAnsi="宋体" w:eastAsia="宋体" w:cs="宋体"/>
        </w:rPr>
      </w:pPr>
    </w:p>
    <w:p w14:paraId="46A80957">
      <w:pPr>
        <w:widowControl w:val="0"/>
        <w:spacing w:after="120" w:afterLines="0" w:afterAutospacing="0" w:line="600" w:lineRule="exact"/>
        <w:ind w:firstLine="210" w:firstLineChars="100"/>
        <w:jc w:val="both"/>
        <w:rPr>
          <w:rFonts w:hint="eastAsia" w:ascii="宋体" w:hAnsi="宋体" w:eastAsia="宋体" w:cs="宋体"/>
          <w:kern w:val="2"/>
          <w:sz w:val="21"/>
          <w:szCs w:val="22"/>
          <w:lang w:val="en-US" w:eastAsia="zh-CN" w:bidi="ar-SA"/>
        </w:rPr>
      </w:pPr>
    </w:p>
    <w:p w14:paraId="13FCF9D5">
      <w:pPr>
        <w:widowControl w:val="0"/>
        <w:spacing w:after="120" w:afterLines="0" w:line="240" w:lineRule="auto"/>
        <w:ind w:left="420" w:leftChars="200" w:firstLine="420" w:firstLineChars="200"/>
        <w:jc w:val="both"/>
        <w:rPr>
          <w:rFonts w:hint="eastAsia" w:ascii="宋体" w:hAnsi="宋体" w:eastAsia="宋体" w:cs="宋体"/>
          <w:kern w:val="2"/>
          <w:sz w:val="21"/>
          <w:szCs w:val="22"/>
          <w:lang w:val="en-US" w:eastAsia="zh-CN" w:bidi="ar-SA"/>
        </w:rPr>
      </w:pPr>
    </w:p>
    <w:p w14:paraId="63B36FDA">
      <w:pPr>
        <w:spacing w:line="600" w:lineRule="exact"/>
        <w:ind w:firstLine="420" w:firstLineChars="200"/>
        <w:rPr>
          <w:rFonts w:hint="eastAsia" w:ascii="宋体" w:hAnsi="宋体" w:eastAsia="宋体" w:cs="宋体"/>
        </w:rPr>
      </w:pPr>
    </w:p>
    <w:p w14:paraId="52C6A475">
      <w:pPr>
        <w:widowControl w:val="0"/>
        <w:spacing w:after="120" w:afterLines="0" w:afterAutospacing="0" w:line="600" w:lineRule="exact"/>
        <w:ind w:firstLine="210" w:firstLineChars="100"/>
        <w:jc w:val="both"/>
        <w:rPr>
          <w:rFonts w:hint="eastAsia" w:ascii="宋体" w:hAnsi="宋体" w:eastAsia="宋体" w:cs="宋体"/>
          <w:kern w:val="2"/>
          <w:sz w:val="21"/>
          <w:szCs w:val="22"/>
          <w:lang w:val="en-US" w:eastAsia="zh-CN" w:bidi="ar-SA"/>
        </w:rPr>
      </w:pPr>
    </w:p>
    <w:p w14:paraId="2940D475">
      <w:pPr>
        <w:widowControl w:val="0"/>
        <w:spacing w:after="120" w:afterLines="0" w:line="240" w:lineRule="auto"/>
        <w:ind w:left="420" w:leftChars="200" w:firstLine="420" w:firstLineChars="200"/>
        <w:jc w:val="both"/>
        <w:rPr>
          <w:rFonts w:hint="eastAsia" w:ascii="宋体" w:hAnsi="宋体" w:eastAsia="宋体" w:cs="宋体"/>
          <w:kern w:val="2"/>
          <w:sz w:val="21"/>
          <w:szCs w:val="22"/>
          <w:lang w:val="en-US" w:eastAsia="zh-CN" w:bidi="ar-SA"/>
        </w:rPr>
      </w:pPr>
    </w:p>
    <w:p w14:paraId="538ACB94">
      <w:pPr>
        <w:keepNext/>
        <w:keepLines/>
        <w:widowControl w:val="0"/>
        <w:numPr>
          <w:ilvl w:val="0"/>
          <w:numId w:val="4"/>
        </w:numPr>
        <w:spacing w:before="100" w:beforeLines="0" w:after="0" w:afterLines="0" w:line="360" w:lineRule="auto"/>
        <w:ind w:left="720" w:firstLine="562" w:firstLineChars="200"/>
        <w:jc w:val="center"/>
        <w:outlineLvl w:val="1"/>
        <w:rPr>
          <w:rFonts w:hint="eastAsia" w:ascii="宋体" w:hAnsi="宋体" w:eastAsia="宋体" w:cs="宋体"/>
          <w:b/>
          <w:color w:val="auto"/>
          <w:kern w:val="2"/>
          <w:sz w:val="28"/>
          <w:szCs w:val="28"/>
          <w:lang w:val="en-US" w:eastAsia="zh-CN" w:bidi="ar-SA"/>
        </w:rPr>
      </w:pPr>
      <w:bookmarkStart w:id="1174" w:name="_Toc152045788"/>
      <w:bookmarkStart w:id="1175" w:name="_Toc152042577"/>
      <w:bookmarkStart w:id="1176" w:name="_Toc144974857"/>
      <w:bookmarkStart w:id="1177" w:name="_Toc8095"/>
      <w:bookmarkStart w:id="1178" w:name="_Toc9911"/>
      <w:bookmarkStart w:id="1179" w:name="_Toc466298158"/>
      <w:bookmarkStart w:id="1180" w:name="_Toc7025"/>
      <w:r>
        <w:rPr>
          <w:rFonts w:hint="eastAsia" w:ascii="宋体" w:hAnsi="宋体" w:eastAsia="宋体" w:cs="宋体"/>
          <w:b/>
          <w:color w:val="auto"/>
          <w:kern w:val="2"/>
          <w:sz w:val="28"/>
          <w:szCs w:val="28"/>
          <w:lang w:val="en-US" w:eastAsia="zh-CN" w:bidi="ar-SA"/>
        </w:rPr>
        <w:t>响应函及</w:t>
      </w:r>
      <w:bookmarkEnd w:id="1174"/>
      <w:bookmarkEnd w:id="1175"/>
      <w:bookmarkEnd w:id="1176"/>
      <w:r>
        <w:rPr>
          <w:rFonts w:hint="eastAsia" w:ascii="宋体" w:hAnsi="宋体" w:eastAsia="宋体" w:cs="宋体"/>
          <w:b/>
          <w:color w:val="auto"/>
          <w:kern w:val="2"/>
          <w:sz w:val="28"/>
          <w:szCs w:val="28"/>
          <w:lang w:val="en-US" w:eastAsia="zh-CN" w:bidi="ar-SA"/>
        </w:rPr>
        <w:t>响应函附录</w:t>
      </w:r>
      <w:bookmarkEnd w:id="1177"/>
      <w:bookmarkEnd w:id="1178"/>
      <w:bookmarkEnd w:id="1179"/>
      <w:bookmarkEnd w:id="1180"/>
    </w:p>
    <w:p w14:paraId="53B70952">
      <w:pPr>
        <w:keepNext/>
        <w:keepLines/>
        <w:widowControl w:val="0"/>
        <w:numPr>
          <w:ilvl w:val="0"/>
          <w:numId w:val="5"/>
        </w:numPr>
        <w:spacing w:before="0" w:beforeLines="0" w:after="0" w:afterLines="0" w:line="360" w:lineRule="auto"/>
        <w:ind w:left="720" w:firstLine="482" w:firstLineChars="200"/>
        <w:jc w:val="center"/>
        <w:outlineLvl w:val="2"/>
        <w:rPr>
          <w:rFonts w:hint="eastAsia" w:ascii="宋体" w:hAnsi="宋体" w:eastAsia="宋体" w:cs="宋体"/>
          <w:b/>
          <w:color w:val="auto"/>
          <w:kern w:val="2"/>
          <w:sz w:val="24"/>
          <w:szCs w:val="23"/>
          <w:lang w:val="en-US" w:eastAsia="zh-CN" w:bidi="ar-SA"/>
        </w:rPr>
      </w:pPr>
      <w:bookmarkStart w:id="1181" w:name="_Toc31981"/>
      <w:bookmarkStart w:id="1182" w:name="_Toc19555"/>
      <w:bookmarkStart w:id="1183" w:name="_Toc22691"/>
      <w:r>
        <w:rPr>
          <w:rFonts w:hint="eastAsia" w:ascii="宋体" w:hAnsi="宋体" w:eastAsia="宋体" w:cs="宋体"/>
          <w:b/>
          <w:color w:val="auto"/>
          <w:kern w:val="2"/>
          <w:sz w:val="24"/>
          <w:szCs w:val="23"/>
          <w:lang w:val="en-US" w:eastAsia="zh-CN" w:bidi="ar-SA"/>
        </w:rPr>
        <w:t>响应函</w:t>
      </w:r>
      <w:bookmarkEnd w:id="1181"/>
      <w:bookmarkEnd w:id="1182"/>
      <w:bookmarkEnd w:id="1183"/>
    </w:p>
    <w:p w14:paraId="1ACAA0FD">
      <w:pPr>
        <w:widowControl w:val="0"/>
        <w:spacing w:line="240" w:lineRule="auto"/>
        <w:ind w:left="112" w:leftChars="0" w:hanging="112" w:hangingChars="47"/>
        <w:jc w:val="both"/>
        <w:rPr>
          <w:rFonts w:hint="eastAsia" w:ascii="宋体" w:hAnsi="宋体" w:eastAsia="宋体" w:cs="宋体"/>
          <w:color w:val="auto"/>
          <w:kern w:val="2"/>
          <w:sz w:val="24"/>
          <w:szCs w:val="24"/>
          <w:lang w:val="en-US" w:eastAsia="zh-CN" w:bidi="ar-SA"/>
        </w:rPr>
      </w:pPr>
      <w:bookmarkStart w:id="1184" w:name="_Toc447888814"/>
      <w:bookmarkStart w:id="1185" w:name="_Toc466298160"/>
      <w:bookmarkStart w:id="1186" w:name="_Toc19056"/>
      <w:bookmarkStart w:id="1187" w:name="_Toc490667893"/>
      <w:r>
        <w:rPr>
          <w:rFonts w:hint="eastAsia" w:ascii="宋体" w:hAnsi="宋体" w:eastAsia="宋体" w:cs="宋体"/>
          <w:color w:val="auto"/>
          <w:kern w:val="2"/>
          <w:sz w:val="24"/>
          <w:szCs w:val="24"/>
          <w:lang w:val="en-US" w:eastAsia="zh-CN" w:bidi="ar-SA"/>
        </w:rPr>
        <w:t>致 ：</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u w:val="none"/>
          <w:lang w:val="en-US" w:eastAsia="zh-CN" w:bidi="ar-SA"/>
        </w:rPr>
        <w:t>（采购人）</w:t>
      </w:r>
    </w:p>
    <w:p w14:paraId="2FF67F7F">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1．根据已收到的</w:t>
      </w:r>
      <w:r>
        <w:rPr>
          <w:rFonts w:hint="eastAsia" w:ascii="宋体" w:hAnsi="宋体" w:eastAsia="宋体" w:cs="宋体"/>
          <w:color w:val="auto"/>
          <w:kern w:val="2"/>
          <w:sz w:val="24"/>
          <w:szCs w:val="24"/>
          <w:u w:val="single"/>
          <w:lang w:val="en-US" w:eastAsia="zh-CN" w:bidi="ar-SA"/>
        </w:rPr>
        <w:t xml:space="preserve">          （项目名称）</w:t>
      </w:r>
      <w:r>
        <w:rPr>
          <w:rFonts w:hint="eastAsia" w:ascii="宋体" w:hAnsi="宋体" w:eastAsia="宋体" w:cs="宋体"/>
          <w:color w:val="auto"/>
          <w:kern w:val="2"/>
          <w:sz w:val="24"/>
          <w:szCs w:val="24"/>
          <w:lang w:val="en-US" w:eastAsia="zh-CN" w:bidi="ar-SA"/>
        </w:rPr>
        <w:t>的竞争性磋商文件，遵照《中华人民共和国政府采购法》等有关规定，经考察和认真研究本项目竞争性磋商文件及其它有关文件后，愿以人民币（大写</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u w:val="none"/>
          <w:lang w:val="en-US" w:eastAsia="zh-CN" w:bidi="ar-SA"/>
        </w:rPr>
        <w:t>元</w:t>
      </w:r>
      <w:r>
        <w:rPr>
          <w:rFonts w:hint="eastAsia" w:ascii="宋体" w:hAnsi="宋体" w:eastAsia="宋体" w:cs="宋体"/>
          <w:color w:val="auto"/>
          <w:kern w:val="2"/>
          <w:sz w:val="24"/>
          <w:szCs w:val="24"/>
          <w:lang w:val="en-US" w:eastAsia="zh-CN" w:bidi="ar-SA"/>
        </w:rPr>
        <w:t>）的磋商总报价作为第一次磋商报价，按合同约定实施和完成本项目，并承担其任何质量缺陷等问题所造成的任何损失。</w:t>
      </w:r>
    </w:p>
    <w:p w14:paraId="3224485F">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我方已详细检查全部竞争性磋商文件包括澄清文件、补充通知（如有的话）及有关附件，并完全理解我方必须放弃提出含糊不清或误解的权力，愿按照竞争性磋商文件中的条款和要求按最后一次的报价做为最后报价。</w:t>
      </w:r>
    </w:p>
    <w:p w14:paraId="0B120D58">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3．我方在此承诺，我方若能成交，保证在服务期限内，全面履行竞争性磋商文件中规定的职责和义务。</w:t>
      </w:r>
    </w:p>
    <w:p w14:paraId="5508C240">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4．如果我方成交，我方保证按合同条款中规定的内容执行；我方保证质量达到国家及行业现行标准规范规定的合格要求，并按竞争性磋商文件和有关规定提交一切资料。</w:t>
      </w:r>
    </w:p>
    <w:p w14:paraId="402A805E">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5．如果我方成交，我方将按照采购人规定提交履约保证金。</w:t>
      </w:r>
    </w:p>
    <w:p w14:paraId="6A025CB5">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6．我方同意从响应文件递交截止日期起</w:t>
      </w:r>
      <w:r>
        <w:rPr>
          <w:rFonts w:hint="eastAsia" w:ascii="宋体" w:hAnsi="宋体" w:eastAsia="宋体" w:cs="宋体"/>
          <w:color w:val="auto"/>
          <w:kern w:val="2"/>
          <w:sz w:val="24"/>
          <w:szCs w:val="24"/>
          <w:u w:val="single"/>
          <w:lang w:val="en-US" w:eastAsia="zh-CN" w:bidi="ar-SA"/>
        </w:rPr>
        <w:t xml:space="preserve">  60  </w:t>
      </w:r>
      <w:r>
        <w:rPr>
          <w:rFonts w:hint="eastAsia" w:ascii="宋体" w:hAnsi="宋体" w:eastAsia="宋体" w:cs="宋体"/>
          <w:color w:val="auto"/>
          <w:kern w:val="2"/>
          <w:sz w:val="24"/>
          <w:szCs w:val="24"/>
          <w:lang w:val="en-US" w:eastAsia="zh-CN" w:bidi="ar-SA"/>
        </w:rPr>
        <w:t>日历天内保持响应文件有效，在此有效期内，我方将严格遵守响应文件的承诺，本响应文件对我方具有约束力，并可随时被接受成交。</w:t>
      </w:r>
    </w:p>
    <w:p w14:paraId="02D93E79">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7．除响应文件所提交的资料外，我方同意随时接受贵方的检查、询问，并根据磋商需要补充贵方要求提交的资料。</w:t>
      </w:r>
    </w:p>
    <w:p w14:paraId="3F9E56EC">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8．如果我方成交后，我方没有任何正当理由而拒签合同，同时我方愿意补偿该项工作因我方延误所造成的经济损失。</w:t>
      </w:r>
    </w:p>
    <w:p w14:paraId="5D508537">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9．我方愿接受合同条款中规定的合同价款计算和调整方式。</w:t>
      </w:r>
    </w:p>
    <w:p w14:paraId="097A904C">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10．除非另外达成协议并生效，贵方的成交通知书和本响应文件将成为约束我方的合同文件组成部分。</w:t>
      </w:r>
    </w:p>
    <w:p w14:paraId="7823ED71">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投标供应商：</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（单位电子签章）</w:t>
      </w:r>
    </w:p>
    <w:p w14:paraId="35156CBB">
      <w:pPr>
        <w:widowControl w:val="0"/>
        <w:spacing w:line="240" w:lineRule="auto"/>
        <w:ind w:left="1" w:leftChars="0" w:firstLine="480" w:firstLineChars="2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法定代表人或委托代理人：</w:t>
      </w:r>
      <w:r>
        <w:rPr>
          <w:rFonts w:hint="eastAsia" w:ascii="宋体" w:hAnsi="宋体" w:eastAsia="宋体" w:cs="宋体"/>
          <w:color w:val="auto"/>
          <w:kern w:val="2"/>
          <w:sz w:val="24"/>
          <w:szCs w:val="24"/>
          <w:u w:val="single"/>
          <w:lang w:val="en-US" w:eastAsia="zh-CN" w:bidi="ar-SA"/>
        </w:rPr>
        <w:t xml:space="preserve">                      </w:t>
      </w:r>
      <w:r>
        <w:rPr>
          <w:rFonts w:hint="eastAsia" w:ascii="宋体" w:hAnsi="宋体" w:eastAsia="宋体" w:cs="宋体"/>
          <w:color w:val="auto"/>
          <w:kern w:val="2"/>
          <w:sz w:val="24"/>
          <w:szCs w:val="24"/>
          <w:lang w:val="en-US" w:eastAsia="zh-CN" w:bidi="ar-SA"/>
        </w:rPr>
        <w:t>（电子签名或盖章）</w:t>
      </w:r>
    </w:p>
    <w:p w14:paraId="37AB6F62">
      <w:pPr>
        <w:spacing w:line="240" w:lineRule="auto"/>
        <w:ind w:firstLine="480" w:firstLineChars="200"/>
        <w:rPr>
          <w:rFonts w:hint="eastAsia" w:ascii="宋体" w:hAnsi="宋体" w:eastAsia="宋体" w:cs="宋体"/>
          <w:color w:val="000000"/>
          <w:sz w:val="24"/>
          <w:szCs w:val="24"/>
        </w:rPr>
        <w:sectPr>
          <w:headerReference r:id="rId6" w:type="default"/>
          <w:footerReference r:id="rId7" w:type="default"/>
          <w:pgSz w:w="11905" w:h="16838"/>
          <w:pgMar w:top="1440" w:right="1463" w:bottom="1440" w:left="1463" w:header="850" w:footer="850" w:gutter="0"/>
          <w:pgNumType w:fmt="decimal"/>
          <w:cols w:space="720" w:num="1"/>
          <w:docGrid w:type="lines" w:linePitch="411" w:charSpace="0"/>
        </w:sectPr>
      </w:pPr>
      <w:r>
        <w:rPr>
          <w:rFonts w:hint="eastAsia" w:ascii="宋体" w:hAnsi="宋体" w:eastAsia="宋体" w:cs="宋体"/>
          <w:color w:val="auto"/>
          <w:sz w:val="24"/>
          <w:szCs w:val="24"/>
        </w:rPr>
        <w:t>日</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0602BD9B">
      <w:pPr>
        <w:keepNext/>
        <w:keepLines/>
        <w:widowControl w:val="0"/>
        <w:numPr>
          <w:ilvl w:val="1"/>
          <w:numId w:val="0"/>
        </w:numPr>
        <w:spacing w:after="0" w:afterLines="0" w:line="460" w:lineRule="exact"/>
        <w:ind w:firstLine="482" w:firstLineChars="200"/>
        <w:jc w:val="center"/>
        <w:outlineLvl w:val="2"/>
        <w:rPr>
          <w:rFonts w:hint="eastAsia" w:ascii="宋体" w:hAnsi="宋体" w:eastAsia="宋体" w:cs="宋体"/>
          <w:b/>
          <w:color w:val="auto"/>
          <w:kern w:val="2"/>
          <w:sz w:val="24"/>
          <w:szCs w:val="24"/>
          <w:lang w:val="en-US" w:eastAsia="zh-CN" w:bidi="ar-SA"/>
        </w:rPr>
      </w:pPr>
      <w:bookmarkStart w:id="1188" w:name="_Toc28940"/>
      <w:bookmarkStart w:id="1189" w:name="_Toc2666"/>
      <w:bookmarkStart w:id="1190" w:name="_Toc11398"/>
      <w:bookmarkStart w:id="1191" w:name="_Toc28910"/>
      <w:r>
        <w:rPr>
          <w:rFonts w:hint="eastAsia" w:ascii="宋体" w:hAnsi="宋体" w:eastAsia="宋体" w:cs="宋体"/>
          <w:b/>
          <w:color w:val="auto"/>
          <w:kern w:val="2"/>
          <w:sz w:val="24"/>
          <w:szCs w:val="24"/>
          <w:lang w:val="en-US" w:eastAsia="zh-CN" w:bidi="ar-SA"/>
        </w:rPr>
        <w:t>（二）</w:t>
      </w:r>
      <w:bookmarkEnd w:id="1184"/>
      <w:bookmarkEnd w:id="1185"/>
      <w:r>
        <w:rPr>
          <w:rFonts w:hint="eastAsia" w:ascii="宋体" w:hAnsi="宋体" w:eastAsia="宋体" w:cs="宋体"/>
          <w:b/>
          <w:color w:val="auto"/>
          <w:kern w:val="2"/>
          <w:sz w:val="24"/>
          <w:szCs w:val="24"/>
          <w:lang w:val="en-US" w:eastAsia="zh-CN" w:bidi="ar-SA"/>
        </w:rPr>
        <w:t>响应函附录</w:t>
      </w:r>
      <w:bookmarkEnd w:id="1186"/>
      <w:bookmarkEnd w:id="1187"/>
      <w:bookmarkEnd w:id="1188"/>
      <w:bookmarkEnd w:id="1189"/>
      <w:bookmarkEnd w:id="1190"/>
      <w:bookmarkEnd w:id="1191"/>
    </w:p>
    <w:tbl>
      <w:tblPr>
        <w:tblStyle w:val="33"/>
        <w:tblW w:w="9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2"/>
        <w:gridCol w:w="2182"/>
        <w:gridCol w:w="1212"/>
        <w:gridCol w:w="970"/>
        <w:gridCol w:w="2183"/>
      </w:tblGrid>
      <w:tr w14:paraId="1AE2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7D12B90C">
            <w:pPr>
              <w:spacing w:line="600" w:lineRule="exact"/>
              <w:ind w:firstLine="480" w:firstLineChars="20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项目名称</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7DCAC5E5">
            <w:pPr>
              <w:spacing w:line="600" w:lineRule="exact"/>
              <w:ind w:firstLine="480" w:firstLineChars="200"/>
              <w:rPr>
                <w:rFonts w:hint="eastAsia" w:ascii="宋体" w:hAnsi="宋体" w:eastAsia="宋体" w:cs="宋体"/>
                <w:color w:val="auto"/>
                <w:sz w:val="24"/>
                <w:szCs w:val="24"/>
              </w:rPr>
            </w:pPr>
          </w:p>
        </w:tc>
      </w:tr>
      <w:tr w14:paraId="02F82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2285DF54">
            <w:pPr>
              <w:spacing w:line="600" w:lineRule="exact"/>
              <w:ind w:firstLine="480"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w:t>
            </w:r>
            <w:r>
              <w:rPr>
                <w:rFonts w:hint="eastAsia" w:ascii="宋体" w:hAnsi="宋体" w:eastAsia="宋体" w:cs="宋体"/>
                <w:color w:val="auto"/>
                <w:sz w:val="24"/>
                <w:szCs w:val="24"/>
              </w:rPr>
              <w:t>供应商</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35BAF052">
            <w:pPr>
              <w:spacing w:line="600" w:lineRule="exact"/>
              <w:ind w:firstLine="480" w:firstLineChars="200"/>
              <w:rPr>
                <w:rFonts w:hint="eastAsia" w:ascii="宋体" w:hAnsi="宋体" w:eastAsia="宋体" w:cs="宋体"/>
                <w:color w:val="auto"/>
                <w:sz w:val="24"/>
                <w:szCs w:val="24"/>
              </w:rPr>
            </w:pPr>
          </w:p>
        </w:tc>
      </w:tr>
      <w:tr w14:paraId="1BAF4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2652" w:type="dxa"/>
            <w:vMerge w:val="restart"/>
            <w:tcBorders>
              <w:top w:val="single" w:color="auto" w:sz="4" w:space="0"/>
              <w:left w:val="single" w:color="auto" w:sz="4" w:space="0"/>
              <w:right w:val="single" w:color="auto" w:sz="4" w:space="0"/>
            </w:tcBorders>
            <w:noWrap w:val="0"/>
            <w:vAlign w:val="center"/>
          </w:tcPr>
          <w:p w14:paraId="3090BCD0">
            <w:pPr>
              <w:spacing w:line="360" w:lineRule="exact"/>
              <w:ind w:firstLine="480" w:firstLineChars="200"/>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响应报价（元）</w:t>
            </w:r>
          </w:p>
        </w:tc>
        <w:tc>
          <w:tcPr>
            <w:tcW w:w="3394" w:type="dxa"/>
            <w:gridSpan w:val="2"/>
            <w:tcBorders>
              <w:top w:val="single" w:color="auto" w:sz="4" w:space="0"/>
              <w:left w:val="single" w:color="auto" w:sz="4" w:space="0"/>
              <w:bottom w:val="single" w:color="auto" w:sz="4" w:space="0"/>
              <w:right w:val="single" w:color="auto" w:sz="4" w:space="0"/>
            </w:tcBorders>
            <w:noWrap w:val="0"/>
            <w:vAlign w:val="center"/>
          </w:tcPr>
          <w:p w14:paraId="5107B05A">
            <w:pPr>
              <w:spacing w:line="6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（大写）</w:t>
            </w:r>
          </w:p>
        </w:tc>
        <w:tc>
          <w:tcPr>
            <w:tcW w:w="3153" w:type="dxa"/>
            <w:gridSpan w:val="2"/>
            <w:tcBorders>
              <w:top w:val="single" w:color="auto" w:sz="4" w:space="0"/>
              <w:left w:val="single" w:color="auto" w:sz="4" w:space="0"/>
              <w:bottom w:val="single" w:color="auto" w:sz="4" w:space="0"/>
              <w:right w:val="single" w:color="auto" w:sz="4" w:space="0"/>
            </w:tcBorders>
            <w:noWrap w:val="0"/>
            <w:vAlign w:val="center"/>
          </w:tcPr>
          <w:p w14:paraId="739D3C4A">
            <w:pPr>
              <w:spacing w:line="6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（小写）</w:t>
            </w:r>
          </w:p>
        </w:tc>
      </w:tr>
      <w:tr w14:paraId="7ECF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2652" w:type="dxa"/>
            <w:vMerge w:val="continue"/>
            <w:tcBorders>
              <w:left w:val="single" w:color="auto" w:sz="4" w:space="0"/>
              <w:bottom w:val="single" w:color="auto" w:sz="4" w:space="0"/>
              <w:right w:val="single" w:color="auto" w:sz="4" w:space="0"/>
            </w:tcBorders>
            <w:noWrap w:val="0"/>
            <w:vAlign w:val="center"/>
          </w:tcPr>
          <w:p w14:paraId="326749A3">
            <w:pPr>
              <w:spacing w:line="360" w:lineRule="exact"/>
              <w:ind w:firstLine="480" w:firstLineChars="200"/>
              <w:jc w:val="center"/>
              <w:rPr>
                <w:rFonts w:hint="eastAsia" w:ascii="宋体" w:hAnsi="宋体" w:eastAsia="宋体" w:cs="宋体"/>
                <w:color w:val="auto"/>
                <w:sz w:val="24"/>
                <w:szCs w:val="24"/>
              </w:rPr>
            </w:pP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2DB440FE">
            <w:pPr>
              <w:spacing w:line="60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b/>
                <w:bCs/>
                <w:color w:val="auto"/>
                <w:sz w:val="24"/>
                <w:szCs w:val="24"/>
              </w:rPr>
              <w:t>（供应商应在此填列第一次报价，但以供应商最后一次的磋商报价为成交价）</w:t>
            </w:r>
          </w:p>
        </w:tc>
      </w:tr>
      <w:tr w14:paraId="335E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4F00A553">
            <w:pPr>
              <w:spacing w:line="600" w:lineRule="exact"/>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项目负责人</w:t>
            </w:r>
          </w:p>
        </w:tc>
        <w:tc>
          <w:tcPr>
            <w:tcW w:w="2182" w:type="dxa"/>
            <w:tcBorders>
              <w:top w:val="single" w:color="auto" w:sz="4" w:space="0"/>
              <w:left w:val="single" w:color="auto" w:sz="4" w:space="0"/>
              <w:bottom w:val="single" w:color="auto" w:sz="4" w:space="0"/>
              <w:right w:val="single" w:color="auto" w:sz="4" w:space="0"/>
            </w:tcBorders>
            <w:noWrap w:val="0"/>
            <w:vAlign w:val="center"/>
          </w:tcPr>
          <w:p w14:paraId="6DFFB9EB">
            <w:pPr>
              <w:spacing w:line="600" w:lineRule="exact"/>
              <w:jc w:val="center"/>
              <w:rPr>
                <w:rFonts w:hint="eastAsia" w:ascii="宋体" w:hAnsi="宋体" w:eastAsia="宋体" w:cs="宋体"/>
                <w:color w:val="auto"/>
                <w:sz w:val="24"/>
                <w:szCs w:val="24"/>
                <w:lang w:val="en-US" w:eastAsia="zh-CN"/>
              </w:rPr>
            </w:pPr>
          </w:p>
        </w:tc>
        <w:tc>
          <w:tcPr>
            <w:tcW w:w="2182" w:type="dxa"/>
            <w:gridSpan w:val="2"/>
            <w:tcBorders>
              <w:top w:val="single" w:color="auto" w:sz="4" w:space="0"/>
              <w:left w:val="single" w:color="auto" w:sz="4" w:space="0"/>
              <w:bottom w:val="single" w:color="auto" w:sz="4" w:space="0"/>
              <w:right w:val="single" w:color="auto" w:sz="4" w:space="0"/>
            </w:tcBorders>
            <w:noWrap w:val="0"/>
            <w:vAlign w:val="center"/>
          </w:tcPr>
          <w:p w14:paraId="4235DC19">
            <w:pPr>
              <w:spacing w:line="6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证书编号</w:t>
            </w:r>
          </w:p>
        </w:tc>
        <w:tc>
          <w:tcPr>
            <w:tcW w:w="2183" w:type="dxa"/>
            <w:tcBorders>
              <w:top w:val="single" w:color="auto" w:sz="4" w:space="0"/>
              <w:left w:val="single" w:color="auto" w:sz="4" w:space="0"/>
              <w:bottom w:val="single" w:color="auto" w:sz="4" w:space="0"/>
              <w:right w:val="single" w:color="auto" w:sz="4" w:space="0"/>
            </w:tcBorders>
            <w:noWrap w:val="0"/>
            <w:vAlign w:val="center"/>
          </w:tcPr>
          <w:p w14:paraId="66893BE0">
            <w:pPr>
              <w:spacing w:line="600" w:lineRule="exact"/>
              <w:ind w:firstLine="480" w:firstLineChars="200"/>
              <w:jc w:val="center"/>
              <w:rPr>
                <w:rFonts w:hint="eastAsia" w:ascii="宋体" w:hAnsi="宋体" w:eastAsia="宋体" w:cs="宋体"/>
                <w:color w:val="auto"/>
                <w:sz w:val="24"/>
                <w:szCs w:val="24"/>
              </w:rPr>
            </w:pPr>
          </w:p>
        </w:tc>
      </w:tr>
      <w:tr w14:paraId="33E3E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54C8874E">
            <w:pPr>
              <w:spacing w:line="600" w:lineRule="exact"/>
              <w:ind w:firstLine="720" w:firstLineChars="3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lang w:val="en-US" w:eastAsia="zh-CN"/>
              </w:rPr>
              <w:t>内容</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6A51D734">
            <w:pPr>
              <w:spacing w:line="600" w:lineRule="exact"/>
              <w:ind w:firstLine="480" w:firstLineChars="200"/>
              <w:jc w:val="center"/>
              <w:rPr>
                <w:rFonts w:hint="eastAsia" w:ascii="宋体" w:hAnsi="宋体" w:eastAsia="宋体" w:cs="宋体"/>
                <w:color w:val="auto"/>
                <w:sz w:val="24"/>
                <w:szCs w:val="24"/>
              </w:rPr>
            </w:pPr>
          </w:p>
        </w:tc>
      </w:tr>
      <w:tr w14:paraId="4087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6C2EB9B6">
            <w:pPr>
              <w:spacing w:line="600" w:lineRule="exact"/>
              <w:ind w:firstLine="720" w:firstLineChars="3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响应</w:t>
            </w:r>
            <w:r>
              <w:rPr>
                <w:rFonts w:hint="eastAsia" w:ascii="宋体" w:hAnsi="宋体" w:eastAsia="宋体" w:cs="宋体"/>
                <w:color w:val="auto"/>
                <w:sz w:val="24"/>
                <w:szCs w:val="24"/>
              </w:rPr>
              <w:t>质量</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5C91735F">
            <w:pPr>
              <w:spacing w:line="600" w:lineRule="exact"/>
              <w:ind w:firstLine="480" w:firstLineChars="200"/>
              <w:jc w:val="center"/>
              <w:rPr>
                <w:rFonts w:hint="eastAsia" w:ascii="宋体" w:hAnsi="宋体" w:eastAsia="宋体" w:cs="宋体"/>
                <w:color w:val="auto"/>
                <w:sz w:val="24"/>
                <w:szCs w:val="24"/>
              </w:rPr>
            </w:pPr>
          </w:p>
        </w:tc>
      </w:tr>
      <w:tr w14:paraId="0E1C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32D5934A">
            <w:pPr>
              <w:spacing w:line="600" w:lineRule="exact"/>
              <w:ind w:firstLine="720" w:firstLineChars="300"/>
              <w:jc w:val="both"/>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服务期限</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7DDCB200">
            <w:pPr>
              <w:spacing w:line="600" w:lineRule="exact"/>
              <w:ind w:firstLine="480" w:firstLineChars="200"/>
              <w:jc w:val="center"/>
              <w:rPr>
                <w:rFonts w:hint="eastAsia" w:ascii="宋体" w:hAnsi="宋体" w:eastAsia="宋体" w:cs="宋体"/>
                <w:color w:val="auto"/>
                <w:sz w:val="24"/>
                <w:szCs w:val="24"/>
                <w:lang w:val="en-US"/>
              </w:rPr>
            </w:pPr>
          </w:p>
        </w:tc>
      </w:tr>
      <w:tr w14:paraId="0E9A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7E278CED">
            <w:pPr>
              <w:spacing w:line="600" w:lineRule="exact"/>
              <w:ind w:firstLine="720" w:firstLineChars="300"/>
              <w:jc w:val="both"/>
              <w:rPr>
                <w:rFonts w:hint="eastAsia" w:ascii="宋体" w:hAnsi="宋体" w:eastAsia="宋体" w:cs="宋体"/>
                <w:color w:val="auto"/>
                <w:sz w:val="24"/>
                <w:szCs w:val="24"/>
              </w:rPr>
            </w:pPr>
            <w:r>
              <w:rPr>
                <w:rFonts w:hint="eastAsia" w:ascii="宋体" w:hAnsi="宋体" w:eastAsia="宋体" w:cs="宋体"/>
                <w:color w:val="auto"/>
                <w:sz w:val="24"/>
                <w:szCs w:val="24"/>
              </w:rPr>
              <w:t>磋商有效期</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448BD955">
            <w:pPr>
              <w:spacing w:line="600" w:lineRule="exact"/>
              <w:ind w:firstLine="480" w:firstLineChars="200"/>
              <w:jc w:val="center"/>
              <w:rPr>
                <w:rFonts w:hint="eastAsia" w:ascii="宋体" w:hAnsi="宋体" w:eastAsia="宋体" w:cs="宋体"/>
                <w:color w:val="auto"/>
                <w:sz w:val="24"/>
                <w:szCs w:val="24"/>
              </w:rPr>
            </w:pPr>
          </w:p>
        </w:tc>
      </w:tr>
      <w:tr w14:paraId="43149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2652" w:type="dxa"/>
            <w:tcBorders>
              <w:top w:val="single" w:color="auto" w:sz="4" w:space="0"/>
              <w:left w:val="single" w:color="auto" w:sz="4" w:space="0"/>
              <w:bottom w:val="single" w:color="auto" w:sz="4" w:space="0"/>
              <w:right w:val="single" w:color="auto" w:sz="4" w:space="0"/>
            </w:tcBorders>
            <w:noWrap w:val="0"/>
            <w:vAlign w:val="center"/>
          </w:tcPr>
          <w:p w14:paraId="724086F2">
            <w:pPr>
              <w:spacing w:line="400" w:lineRule="exact"/>
              <w:ind w:firstLine="960" w:firstLineChars="400"/>
              <w:jc w:val="both"/>
              <w:rPr>
                <w:rFonts w:hint="eastAsia" w:ascii="宋体" w:hAnsi="宋体" w:eastAsia="宋体" w:cs="宋体"/>
                <w:color w:val="0000FF"/>
                <w:kern w:val="2"/>
                <w:sz w:val="24"/>
                <w:szCs w:val="24"/>
                <w:lang w:val="en-US" w:eastAsia="zh-CN" w:bidi="ar-SA"/>
              </w:rPr>
            </w:pPr>
            <w:r>
              <w:rPr>
                <w:rFonts w:hint="eastAsia" w:ascii="宋体" w:hAnsi="宋体" w:eastAsia="宋体" w:cs="宋体"/>
                <w:color w:val="auto"/>
                <w:sz w:val="24"/>
                <w:szCs w:val="24"/>
                <w:lang w:eastAsia="zh-CN"/>
              </w:rPr>
              <w:t>备注</w:t>
            </w:r>
          </w:p>
        </w:tc>
        <w:tc>
          <w:tcPr>
            <w:tcW w:w="6547" w:type="dxa"/>
            <w:gridSpan w:val="4"/>
            <w:tcBorders>
              <w:top w:val="single" w:color="auto" w:sz="4" w:space="0"/>
              <w:left w:val="single" w:color="auto" w:sz="4" w:space="0"/>
              <w:bottom w:val="single" w:color="auto" w:sz="4" w:space="0"/>
              <w:right w:val="single" w:color="auto" w:sz="4" w:space="0"/>
            </w:tcBorders>
            <w:noWrap w:val="0"/>
            <w:vAlign w:val="center"/>
          </w:tcPr>
          <w:p w14:paraId="3DFABF0F">
            <w:pPr>
              <w:widowControl w:val="0"/>
              <w:autoSpaceDE w:val="0"/>
              <w:autoSpaceDN w:val="0"/>
              <w:spacing w:before="0" w:after="0" w:line="400" w:lineRule="exact"/>
              <w:jc w:val="center"/>
              <w:rPr>
                <w:rFonts w:hint="eastAsia" w:ascii="宋体" w:hAnsi="宋体" w:eastAsia="宋体" w:cs="宋体"/>
                <w:color w:val="0000FF"/>
                <w:sz w:val="24"/>
                <w:szCs w:val="24"/>
                <w:lang w:val="ru-RU" w:eastAsia="zh-CN" w:bidi="ar-SA"/>
              </w:rPr>
            </w:pPr>
          </w:p>
        </w:tc>
      </w:tr>
    </w:tbl>
    <w:p w14:paraId="644D934B">
      <w:pPr>
        <w:spacing w:line="600" w:lineRule="exact"/>
        <w:ind w:firstLine="420" w:firstLineChars="200"/>
        <w:rPr>
          <w:rFonts w:hint="eastAsia" w:ascii="宋体" w:hAnsi="宋体" w:eastAsia="宋体" w:cs="宋体"/>
          <w:color w:val="auto"/>
          <w:szCs w:val="21"/>
        </w:rPr>
      </w:pPr>
    </w:p>
    <w:p w14:paraId="0A1997F6">
      <w:pPr>
        <w:spacing w:line="360" w:lineRule="auto"/>
        <w:ind w:firstLine="2940" w:firstLineChars="1225"/>
        <w:rPr>
          <w:rFonts w:hint="eastAsia" w:ascii="宋体" w:hAnsi="宋体" w:eastAsia="宋体" w:cs="宋体"/>
          <w:color w:val="000000"/>
          <w:sz w:val="24"/>
          <w:szCs w:val="24"/>
        </w:rPr>
      </w:pPr>
      <w:bookmarkStart w:id="1192" w:name="_Toc287367268"/>
      <w:bookmarkStart w:id="1193" w:name="_Toc152042580"/>
      <w:bookmarkStart w:id="1194" w:name="_Toc152045791"/>
      <w:bookmarkStart w:id="1195" w:name="_Toc144974860"/>
      <w:bookmarkStart w:id="1196" w:name="_Toc31033"/>
      <w:bookmarkStart w:id="1197" w:name="_Toc466298161"/>
      <w:bookmarkStart w:id="1198" w:name="_Toc2481"/>
      <w:r>
        <w:rPr>
          <w:rFonts w:hint="eastAsia" w:ascii="宋体" w:hAnsi="宋体" w:eastAsia="宋体" w:cs="宋体"/>
          <w:color w:val="000000"/>
          <w:sz w:val="24"/>
          <w:szCs w:val="24"/>
        </w:rPr>
        <w:t>投标供应商：</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（单位电子签章）</w:t>
      </w:r>
    </w:p>
    <w:p w14:paraId="5FF78B09">
      <w:pPr>
        <w:spacing w:line="360" w:lineRule="auto"/>
        <w:ind w:firstLine="2940" w:firstLineChars="1225"/>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（电子签名或盖章）</w:t>
      </w:r>
    </w:p>
    <w:p w14:paraId="48CC90DD">
      <w:pPr>
        <w:spacing w:line="360" w:lineRule="auto"/>
        <w:ind w:firstLine="5100" w:firstLineChars="2125"/>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45B8D6FD">
      <w:pPr>
        <w:spacing w:line="360" w:lineRule="auto"/>
        <w:ind w:firstLine="5100" w:firstLineChars="2125"/>
        <w:rPr>
          <w:rFonts w:hint="eastAsia" w:ascii="宋体" w:hAnsi="宋体" w:eastAsia="宋体" w:cs="宋体"/>
          <w:color w:val="000000"/>
          <w:sz w:val="24"/>
          <w:szCs w:val="24"/>
        </w:rPr>
      </w:pPr>
    </w:p>
    <w:p w14:paraId="38CF847F">
      <w:pPr>
        <w:spacing w:line="360" w:lineRule="auto"/>
        <w:ind w:firstLine="5100" w:firstLineChars="2125"/>
        <w:rPr>
          <w:rFonts w:hint="eastAsia" w:ascii="宋体" w:hAnsi="宋体" w:eastAsia="宋体" w:cs="宋体"/>
          <w:color w:val="000000"/>
          <w:sz w:val="24"/>
          <w:szCs w:val="24"/>
        </w:rPr>
        <w:sectPr>
          <w:headerReference r:id="rId8" w:type="default"/>
          <w:footerReference r:id="rId9" w:type="default"/>
          <w:pgSz w:w="11905" w:h="16838"/>
          <w:pgMar w:top="1440" w:right="1463" w:bottom="1440" w:left="1463" w:header="850" w:footer="850" w:gutter="0"/>
          <w:pgNumType w:fmt="decimal"/>
          <w:cols w:space="720" w:num="1"/>
          <w:docGrid w:type="lines" w:linePitch="411" w:charSpace="0"/>
        </w:sectPr>
      </w:pPr>
    </w:p>
    <w:p w14:paraId="0E3509A1">
      <w:pPr>
        <w:keepNext/>
        <w:keepLines/>
        <w:widowControl w:val="0"/>
        <w:numPr>
          <w:ilvl w:val="1"/>
          <w:numId w:val="0"/>
        </w:numPr>
        <w:spacing w:before="100" w:beforeLines="0" w:after="0" w:afterLines="0" w:line="400" w:lineRule="exact"/>
        <w:ind w:firstLine="562" w:firstLineChars="200"/>
        <w:jc w:val="center"/>
        <w:outlineLvl w:val="1"/>
        <w:rPr>
          <w:rFonts w:hint="eastAsia" w:ascii="宋体" w:hAnsi="宋体" w:eastAsia="宋体" w:cs="宋体"/>
          <w:b/>
          <w:color w:val="auto"/>
          <w:kern w:val="2"/>
          <w:sz w:val="28"/>
          <w:szCs w:val="28"/>
          <w:lang w:val="en-US" w:eastAsia="zh-CN" w:bidi="ar-SA"/>
        </w:rPr>
      </w:pPr>
      <w:bookmarkStart w:id="1199" w:name="_Toc6886"/>
      <w:r>
        <w:rPr>
          <w:rFonts w:hint="eastAsia" w:ascii="宋体" w:hAnsi="宋体" w:eastAsia="宋体" w:cs="宋体"/>
          <w:b/>
          <w:color w:val="auto"/>
          <w:kern w:val="2"/>
          <w:sz w:val="28"/>
          <w:szCs w:val="28"/>
          <w:lang w:val="en-US" w:eastAsia="zh-CN" w:bidi="ar-SA"/>
        </w:rPr>
        <w:t>二、</w:t>
      </w:r>
      <w:bookmarkEnd w:id="1192"/>
      <w:bookmarkEnd w:id="1193"/>
      <w:bookmarkEnd w:id="1194"/>
      <w:bookmarkEnd w:id="1195"/>
      <w:r>
        <w:rPr>
          <w:rFonts w:hint="eastAsia" w:ascii="宋体" w:hAnsi="宋体" w:eastAsia="宋体" w:cs="宋体"/>
          <w:b/>
          <w:color w:val="auto"/>
          <w:kern w:val="2"/>
          <w:sz w:val="28"/>
          <w:szCs w:val="28"/>
          <w:lang w:val="en-US" w:eastAsia="zh-CN" w:bidi="ar-SA"/>
        </w:rPr>
        <w:t>法定代表人身份证明</w:t>
      </w:r>
      <w:bookmarkEnd w:id="1196"/>
      <w:bookmarkEnd w:id="1197"/>
      <w:bookmarkEnd w:id="1198"/>
      <w:bookmarkEnd w:id="1199"/>
    </w:p>
    <w:p w14:paraId="7D420279">
      <w:pPr>
        <w:spacing w:line="440" w:lineRule="exact"/>
        <w:ind w:firstLine="420" w:firstLineChars="200"/>
        <w:jc w:val="center"/>
        <w:rPr>
          <w:rFonts w:hint="eastAsia" w:ascii="宋体" w:hAnsi="宋体" w:eastAsia="宋体" w:cs="宋体"/>
          <w:color w:val="auto"/>
          <w:szCs w:val="21"/>
        </w:rPr>
      </w:pPr>
    </w:p>
    <w:p w14:paraId="70E9D310">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w:t>
      </w: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3D3FC45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5D7276D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14:paraId="10705F4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日</w:t>
      </w:r>
    </w:p>
    <w:p w14:paraId="3D82FE6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14:paraId="05383B6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性别：</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职务：</w:t>
      </w:r>
      <w:r>
        <w:rPr>
          <w:rFonts w:hint="eastAsia" w:ascii="宋体" w:hAnsi="宋体" w:eastAsia="宋体" w:cs="宋体"/>
          <w:color w:val="auto"/>
          <w:sz w:val="24"/>
          <w:szCs w:val="24"/>
          <w:u w:val="single"/>
        </w:rPr>
        <w:t xml:space="preserve">        </w:t>
      </w:r>
    </w:p>
    <w:p w14:paraId="50E02BEA">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（供应商名称）的法定代表人。</w:t>
      </w:r>
    </w:p>
    <w:p w14:paraId="4912673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特此证明。</w:t>
      </w:r>
    </w:p>
    <w:p w14:paraId="6C657595">
      <w:pPr>
        <w:spacing w:line="5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附：法定代表人身份证复印件</w:t>
      </w:r>
    </w:p>
    <w:p w14:paraId="299765F6">
      <w:pPr>
        <w:spacing w:line="360" w:lineRule="auto"/>
        <w:ind w:firstLine="480" w:firstLineChars="200"/>
        <w:rPr>
          <w:rFonts w:hint="eastAsia" w:ascii="宋体" w:hAnsi="宋体" w:eastAsia="宋体" w:cs="宋体"/>
          <w:color w:val="auto"/>
          <w:sz w:val="24"/>
          <w:szCs w:val="24"/>
        </w:rPr>
      </w:pPr>
    </w:p>
    <w:p w14:paraId="25586B9C">
      <w:pPr>
        <w:spacing w:line="440" w:lineRule="exact"/>
        <w:ind w:firstLine="420" w:firstLineChars="200"/>
        <w:rPr>
          <w:rFonts w:hint="eastAsia" w:ascii="宋体" w:hAnsi="宋体" w:eastAsia="宋体" w:cs="宋体"/>
          <w:color w:val="auto"/>
          <w:szCs w:val="21"/>
        </w:rPr>
      </w:pPr>
    </w:p>
    <w:p w14:paraId="7558C9DF">
      <w:pPr>
        <w:spacing w:line="440" w:lineRule="exact"/>
        <w:ind w:firstLine="420" w:firstLineChars="200"/>
        <w:jc w:val="right"/>
        <w:rPr>
          <w:rFonts w:hint="eastAsia" w:ascii="宋体" w:hAnsi="宋体" w:eastAsia="宋体" w:cs="宋体"/>
          <w:color w:val="auto"/>
          <w:sz w:val="24"/>
          <w:szCs w:val="24"/>
        </w:rPr>
      </w:pPr>
      <w:r>
        <w:rPr>
          <w:rFonts w:hint="eastAsia" w:ascii="宋体" w:hAnsi="宋体" w:eastAsia="宋体" w:cs="宋体"/>
          <w:color w:val="auto"/>
          <w:szCs w:val="21"/>
        </w:rPr>
        <w:t xml:space="preserve">                          </w:t>
      </w: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69443D86">
      <w:pPr>
        <w:spacing w:line="440" w:lineRule="exact"/>
        <w:ind w:firstLine="480" w:firstLineChars="200"/>
        <w:jc w:val="right"/>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日 </w:t>
      </w:r>
    </w:p>
    <w:p w14:paraId="266C9BD7">
      <w:pPr>
        <w:spacing w:line="440" w:lineRule="exact"/>
        <w:ind w:firstLine="420" w:firstLineChars="200"/>
        <w:rPr>
          <w:rFonts w:hint="eastAsia" w:ascii="宋体" w:hAnsi="宋体" w:eastAsia="宋体" w:cs="宋体"/>
          <w:color w:val="auto"/>
          <w:szCs w:val="21"/>
        </w:rPr>
      </w:pPr>
    </w:p>
    <w:p w14:paraId="3BEB8F47">
      <w:pPr>
        <w:spacing w:line="440" w:lineRule="exact"/>
        <w:ind w:firstLine="420" w:firstLineChars="200"/>
        <w:rPr>
          <w:rFonts w:hint="eastAsia" w:ascii="宋体" w:hAnsi="宋体" w:eastAsia="宋体" w:cs="宋体"/>
          <w:color w:val="auto"/>
          <w:szCs w:val="21"/>
        </w:rPr>
      </w:pPr>
    </w:p>
    <w:p w14:paraId="3847DFA5">
      <w:pPr>
        <w:spacing w:line="440" w:lineRule="exact"/>
        <w:ind w:firstLine="420" w:firstLineChars="200"/>
        <w:rPr>
          <w:rFonts w:hint="eastAsia" w:ascii="宋体" w:hAnsi="宋体" w:eastAsia="宋体" w:cs="宋体"/>
          <w:color w:val="auto"/>
          <w:szCs w:val="21"/>
        </w:rPr>
      </w:pPr>
    </w:p>
    <w:p w14:paraId="28649149">
      <w:pPr>
        <w:spacing w:line="440" w:lineRule="exact"/>
        <w:ind w:firstLine="420" w:firstLineChars="200"/>
        <w:rPr>
          <w:rFonts w:hint="eastAsia" w:ascii="宋体" w:hAnsi="宋体" w:eastAsia="宋体" w:cs="宋体"/>
          <w:color w:val="auto"/>
          <w:szCs w:val="21"/>
        </w:rPr>
      </w:pPr>
    </w:p>
    <w:p w14:paraId="74A0E8AD">
      <w:pPr>
        <w:numPr>
          <w:ilvl w:val="1"/>
          <w:numId w:val="0"/>
        </w:numPr>
        <w:jc w:val="center"/>
        <w:rPr>
          <w:rFonts w:hint="eastAsia" w:ascii="宋体" w:hAnsi="宋体" w:eastAsia="宋体" w:cs="宋体"/>
          <w:color w:val="auto"/>
          <w:sz w:val="28"/>
          <w:lang w:eastAsia="zh-CN"/>
        </w:rPr>
        <w:sectPr>
          <w:pgSz w:w="11905" w:h="16838"/>
          <w:pgMar w:top="1440" w:right="1463" w:bottom="1440" w:left="1463" w:header="850" w:footer="850" w:gutter="0"/>
          <w:pgNumType w:fmt="decimal"/>
          <w:cols w:space="720" w:num="1"/>
          <w:docGrid w:type="lines" w:linePitch="411" w:charSpace="0"/>
        </w:sectPr>
      </w:pPr>
      <w:bookmarkStart w:id="1200" w:name="_Toc441791190"/>
      <w:bookmarkStart w:id="1201" w:name="_Toc318989765"/>
      <w:bookmarkStart w:id="1202" w:name="_Toc4123"/>
      <w:bookmarkStart w:id="1203" w:name="_Toc466298162"/>
      <w:bookmarkStart w:id="1204" w:name="_Toc202941490"/>
      <w:bookmarkStart w:id="1205" w:name="_Toc26203"/>
    </w:p>
    <w:p w14:paraId="327BCC68">
      <w:pPr>
        <w:keepNext/>
        <w:keepLines/>
        <w:widowControl w:val="0"/>
        <w:numPr>
          <w:ilvl w:val="1"/>
          <w:numId w:val="0"/>
        </w:numPr>
        <w:spacing w:after="0" w:afterLines="0" w:line="460" w:lineRule="exact"/>
        <w:ind w:firstLine="562" w:firstLineChars="200"/>
        <w:jc w:val="center"/>
        <w:outlineLvl w:val="1"/>
        <w:rPr>
          <w:rFonts w:hint="eastAsia" w:ascii="宋体" w:hAnsi="宋体" w:eastAsia="宋体" w:cs="宋体"/>
          <w:b/>
          <w:color w:val="auto"/>
          <w:kern w:val="2"/>
          <w:sz w:val="28"/>
          <w:szCs w:val="30"/>
          <w:lang w:val="en-US" w:eastAsia="zh-CN" w:bidi="ar-SA"/>
        </w:rPr>
      </w:pPr>
      <w:bookmarkStart w:id="1206" w:name="_Toc23268"/>
      <w:r>
        <w:rPr>
          <w:rFonts w:hint="eastAsia" w:ascii="宋体" w:hAnsi="宋体" w:eastAsia="宋体" w:cs="宋体"/>
          <w:b/>
          <w:color w:val="auto"/>
          <w:kern w:val="2"/>
          <w:sz w:val="28"/>
          <w:szCs w:val="30"/>
          <w:lang w:val="en-US" w:eastAsia="zh-CN" w:bidi="ar-SA"/>
        </w:rPr>
        <w:t>三、授权委托书</w:t>
      </w:r>
      <w:bookmarkEnd w:id="1200"/>
      <w:bookmarkEnd w:id="1201"/>
      <w:bookmarkEnd w:id="1202"/>
      <w:bookmarkEnd w:id="1203"/>
      <w:bookmarkEnd w:id="1204"/>
      <w:bookmarkEnd w:id="1205"/>
      <w:bookmarkEnd w:id="1206"/>
    </w:p>
    <w:p w14:paraId="42D3F432">
      <w:pPr>
        <w:topLinePunct/>
        <w:spacing w:line="440" w:lineRule="exact"/>
        <w:ind w:firstLine="420" w:firstLineChars="200"/>
        <w:rPr>
          <w:rFonts w:hint="eastAsia" w:ascii="宋体" w:hAnsi="宋体" w:eastAsia="宋体" w:cs="宋体"/>
          <w:color w:val="auto"/>
          <w:szCs w:val="21"/>
        </w:rPr>
      </w:pPr>
    </w:p>
    <w:p w14:paraId="0033A752">
      <w:pPr>
        <w:topLinePunct/>
        <w:spacing w:line="440" w:lineRule="exact"/>
        <w:ind w:firstLine="420" w:firstLineChars="200"/>
        <w:rPr>
          <w:rFonts w:hint="eastAsia" w:ascii="宋体" w:hAnsi="宋体" w:eastAsia="宋体" w:cs="宋体"/>
          <w:color w:val="auto"/>
          <w:szCs w:val="21"/>
        </w:rPr>
      </w:pPr>
    </w:p>
    <w:p w14:paraId="47189A80">
      <w:pPr>
        <w:topLinePunct/>
        <w:spacing w:line="48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（供应商名称）的法定代表人，现委托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（姓名）为我方代理人。代理人根据授权，以我方名义签署、澄清、说明、补正、递交、撤回、修改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（项目名称）响应文件、签订合同和处理有关事宜，其法律后果由我方承担。</w:t>
      </w:r>
    </w:p>
    <w:p w14:paraId="5639A4C6">
      <w:pPr>
        <w:spacing w:line="48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委托期限：</w:t>
      </w:r>
      <w:r>
        <w:rPr>
          <w:rFonts w:hint="eastAsia" w:ascii="宋体" w:hAnsi="宋体" w:eastAsia="宋体" w:cs="宋体"/>
          <w:color w:val="auto"/>
          <w:sz w:val="24"/>
          <w:szCs w:val="28"/>
        </w:rPr>
        <w:t>自本委托书签署之日起至</w:t>
      </w:r>
      <w:r>
        <w:rPr>
          <w:rFonts w:hint="eastAsia" w:ascii="宋体" w:hAnsi="宋体" w:eastAsia="宋体" w:cs="宋体"/>
          <w:color w:val="auto"/>
          <w:sz w:val="24"/>
          <w:szCs w:val="28"/>
          <w:lang w:eastAsia="zh-CN"/>
        </w:rPr>
        <w:t>磋商</w:t>
      </w:r>
      <w:r>
        <w:rPr>
          <w:rFonts w:hint="eastAsia" w:ascii="宋体" w:hAnsi="宋体" w:eastAsia="宋体" w:cs="宋体"/>
          <w:color w:val="auto"/>
          <w:sz w:val="24"/>
          <w:szCs w:val="28"/>
        </w:rPr>
        <w:t>有效期期满。</w:t>
      </w:r>
    </w:p>
    <w:p w14:paraId="7D6FA1E1">
      <w:pPr>
        <w:spacing w:line="48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代理人无转委托权。</w:t>
      </w:r>
    </w:p>
    <w:p w14:paraId="02525195">
      <w:pPr>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附：委托代理人身份证复印件</w:t>
      </w:r>
    </w:p>
    <w:p w14:paraId="420F6B75">
      <w:pPr>
        <w:spacing w:line="440" w:lineRule="exact"/>
        <w:ind w:firstLine="420" w:firstLineChars="200"/>
        <w:rPr>
          <w:rFonts w:hint="eastAsia" w:ascii="宋体" w:hAnsi="宋体" w:eastAsia="宋体" w:cs="宋体"/>
          <w:color w:val="auto"/>
          <w:szCs w:val="21"/>
        </w:rPr>
      </w:pPr>
    </w:p>
    <w:p w14:paraId="2CE2A2CE">
      <w:pPr>
        <w:spacing w:line="440" w:lineRule="exact"/>
        <w:ind w:firstLine="420" w:firstLineChars="200"/>
        <w:rPr>
          <w:rFonts w:hint="eastAsia" w:ascii="宋体" w:hAnsi="宋体" w:eastAsia="宋体" w:cs="宋体"/>
          <w:color w:val="auto"/>
          <w:szCs w:val="21"/>
        </w:rPr>
      </w:pPr>
    </w:p>
    <w:p w14:paraId="65371835">
      <w:pPr>
        <w:spacing w:line="440" w:lineRule="exact"/>
        <w:ind w:firstLine="420" w:firstLineChars="200"/>
        <w:rPr>
          <w:rFonts w:hint="eastAsia" w:ascii="宋体" w:hAnsi="宋体" w:eastAsia="宋体" w:cs="宋体"/>
          <w:color w:val="auto"/>
          <w:szCs w:val="21"/>
        </w:rPr>
      </w:pPr>
    </w:p>
    <w:p w14:paraId="6ABFF01A">
      <w:pPr>
        <w:spacing w:line="360" w:lineRule="auto"/>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Cs w:val="21"/>
        </w:rPr>
        <w:t xml:space="preserve">                   </w:t>
      </w:r>
      <w:r>
        <w:rPr>
          <w:rFonts w:hint="eastAsia" w:ascii="宋体" w:hAnsi="宋体" w:eastAsia="宋体" w:cs="宋体"/>
          <w:color w:val="auto"/>
          <w:szCs w:val="21"/>
          <w:lang w:val="en-US" w:eastAsia="zh-CN"/>
        </w:rPr>
        <w:t xml:space="preserve">  </w:t>
      </w:r>
      <w:r>
        <w:rPr>
          <w:rFonts w:hint="eastAsia" w:ascii="宋体" w:hAnsi="宋体" w:eastAsia="宋体" w:cs="宋体"/>
          <w:color w:val="auto"/>
          <w:sz w:val="24"/>
          <w:szCs w:val="24"/>
          <w:lang w:eastAsia="zh-CN"/>
        </w:rPr>
        <w:t>投标</w:t>
      </w:r>
      <w:r>
        <w:rPr>
          <w:rFonts w:hint="eastAsia" w:ascii="宋体" w:hAnsi="宋体" w:eastAsia="宋体" w:cs="宋体"/>
          <w:color w:val="auto"/>
          <w:sz w:val="24"/>
          <w:szCs w:val="24"/>
        </w:rPr>
        <w:t>供应商：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（单位电子签章）</w:t>
      </w:r>
    </w:p>
    <w:p w14:paraId="57E4AE5E">
      <w:pPr>
        <w:tabs>
          <w:tab w:val="left" w:pos="3570"/>
        </w:tabs>
        <w:spacing w:line="360" w:lineRule="auto"/>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（电子签名或盖章）</w:t>
      </w:r>
    </w:p>
    <w:p w14:paraId="41864858">
      <w:pPr>
        <w:tabs>
          <w:tab w:val="left" w:pos="3570"/>
        </w:tabs>
        <w:spacing w:line="360" w:lineRule="auto"/>
        <w:ind w:left="0" w:leftChars="0" w:firstLine="2160" w:firstLineChars="900"/>
        <w:rPr>
          <w:rFonts w:hint="eastAsia" w:ascii="宋体" w:hAnsi="宋体" w:eastAsia="宋体" w:cs="宋体"/>
          <w:color w:val="auto"/>
          <w:sz w:val="24"/>
          <w:szCs w:val="24"/>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p>
    <w:p w14:paraId="36F4FC8B">
      <w:pPr>
        <w:spacing w:line="360" w:lineRule="auto"/>
        <w:ind w:left="0" w:lef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（签名或盖章）</w:t>
      </w:r>
    </w:p>
    <w:p w14:paraId="01E75C07">
      <w:pPr>
        <w:spacing w:line="360" w:lineRule="auto"/>
        <w:ind w:left="0" w:leftChars="0" w:firstLine="2160" w:firstLineChars="900"/>
        <w:rPr>
          <w:rFonts w:hint="eastAsia" w:ascii="宋体" w:hAnsi="宋体" w:eastAsia="宋体" w:cs="宋体"/>
          <w:color w:val="auto"/>
          <w:sz w:val="24"/>
          <w:szCs w:val="24"/>
        </w:rPr>
      </w:pPr>
      <w:r>
        <w:rPr>
          <w:rFonts w:hint="eastAsia" w:ascii="宋体" w:hAnsi="宋体" w:eastAsia="宋体" w:cs="宋体"/>
          <w:color w:val="auto"/>
          <w:sz w:val="24"/>
          <w:szCs w:val="24"/>
        </w:rPr>
        <w:t>身份证号码：</w:t>
      </w:r>
      <w:r>
        <w:rPr>
          <w:rFonts w:hint="eastAsia" w:ascii="宋体" w:hAnsi="宋体" w:eastAsia="宋体" w:cs="宋体"/>
          <w:color w:val="auto"/>
          <w:sz w:val="24"/>
          <w:szCs w:val="24"/>
          <w:u w:val="single"/>
        </w:rPr>
        <w:t xml:space="preserve">                                  </w:t>
      </w:r>
    </w:p>
    <w:p w14:paraId="510E8791">
      <w:pPr>
        <w:spacing w:line="360" w:lineRule="auto"/>
        <w:ind w:firstLine="480" w:firstLineChars="200"/>
        <w:jc w:val="right"/>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14:paraId="6653B9FF">
      <w:pPr>
        <w:spacing w:line="440" w:lineRule="exact"/>
        <w:ind w:firstLine="420" w:firstLineChars="200"/>
        <w:rPr>
          <w:rFonts w:hint="eastAsia" w:ascii="宋体" w:hAnsi="宋体" w:eastAsia="宋体" w:cs="宋体"/>
          <w:color w:val="auto"/>
          <w:szCs w:val="21"/>
        </w:rPr>
      </w:pPr>
    </w:p>
    <w:p w14:paraId="69E0FF91">
      <w:pPr>
        <w:widowControl w:val="0"/>
        <w:spacing w:after="120" w:afterLines="0" w:afterAutospacing="0" w:line="600" w:lineRule="exact"/>
        <w:ind w:firstLine="420" w:firstLineChars="200"/>
        <w:jc w:val="both"/>
        <w:rPr>
          <w:rFonts w:hint="eastAsia" w:ascii="宋体" w:hAnsi="宋体" w:eastAsia="宋体" w:cs="宋体"/>
          <w:color w:val="auto"/>
          <w:kern w:val="2"/>
          <w:sz w:val="21"/>
          <w:szCs w:val="22"/>
          <w:lang w:val="en-US" w:eastAsia="zh-CN" w:bidi="ar-SA"/>
        </w:rPr>
      </w:pPr>
    </w:p>
    <w:p w14:paraId="605FC886">
      <w:pPr>
        <w:widowControl w:val="0"/>
        <w:spacing w:after="120" w:afterLines="0" w:afterAutospacing="0" w:line="480" w:lineRule="auto"/>
        <w:ind w:firstLine="420" w:firstLineChars="200"/>
        <w:jc w:val="both"/>
        <w:rPr>
          <w:rFonts w:hint="eastAsia" w:ascii="宋体" w:hAnsi="宋体" w:eastAsia="宋体" w:cs="宋体"/>
          <w:color w:val="auto"/>
          <w:kern w:val="2"/>
          <w:sz w:val="21"/>
          <w:szCs w:val="22"/>
          <w:lang w:val="en-US" w:eastAsia="zh-CN" w:bidi="ar-SA"/>
        </w:rPr>
      </w:pPr>
    </w:p>
    <w:p w14:paraId="7920086B">
      <w:pPr>
        <w:widowControl w:val="0"/>
        <w:spacing w:after="120" w:afterLines="0" w:afterAutospacing="0" w:line="600" w:lineRule="exact"/>
        <w:ind w:firstLine="420" w:firstLineChars="200"/>
        <w:jc w:val="both"/>
        <w:rPr>
          <w:rFonts w:hint="eastAsia" w:ascii="宋体" w:hAnsi="宋体" w:eastAsia="宋体" w:cs="宋体"/>
          <w:color w:val="auto"/>
          <w:kern w:val="2"/>
          <w:sz w:val="21"/>
          <w:szCs w:val="22"/>
          <w:lang w:val="en-US" w:eastAsia="zh-CN" w:bidi="ar-SA"/>
        </w:rPr>
      </w:pPr>
    </w:p>
    <w:p w14:paraId="04A7371F">
      <w:pPr>
        <w:widowControl w:val="0"/>
        <w:spacing w:after="120" w:afterLines="0" w:afterAutospacing="0" w:line="480" w:lineRule="auto"/>
        <w:ind w:firstLine="420" w:firstLineChars="200"/>
        <w:jc w:val="both"/>
        <w:rPr>
          <w:rFonts w:hint="eastAsia" w:ascii="宋体" w:hAnsi="宋体" w:eastAsia="宋体" w:cs="宋体"/>
          <w:color w:val="auto"/>
          <w:kern w:val="2"/>
          <w:sz w:val="21"/>
          <w:szCs w:val="22"/>
          <w:lang w:val="en-US" w:eastAsia="zh-CN" w:bidi="ar-SA"/>
        </w:rPr>
      </w:pPr>
    </w:p>
    <w:p w14:paraId="78C9F6FA">
      <w:pPr>
        <w:widowControl w:val="0"/>
        <w:spacing w:after="120" w:afterLines="0" w:afterAutospacing="0" w:line="600" w:lineRule="exact"/>
        <w:ind w:firstLine="420" w:firstLineChars="200"/>
        <w:jc w:val="both"/>
        <w:rPr>
          <w:rFonts w:hint="eastAsia" w:ascii="宋体" w:hAnsi="宋体" w:eastAsia="宋体" w:cs="宋体"/>
          <w:kern w:val="2"/>
          <w:sz w:val="21"/>
          <w:szCs w:val="22"/>
          <w:lang w:val="en-US" w:eastAsia="zh-CN" w:bidi="ar-SA"/>
        </w:rPr>
      </w:pPr>
    </w:p>
    <w:p w14:paraId="1C0F0181">
      <w:pPr>
        <w:widowControl w:val="0"/>
        <w:spacing w:after="120" w:afterLines="0" w:afterAutospacing="0" w:line="400" w:lineRule="exact"/>
        <w:ind w:firstLine="281" w:firstLineChars="100"/>
        <w:jc w:val="center"/>
        <w:outlineLvl w:val="1"/>
        <w:rPr>
          <w:rFonts w:hint="eastAsia" w:ascii="宋体" w:hAnsi="宋体" w:eastAsia="宋体" w:cs="宋体"/>
          <w:b/>
          <w:color w:val="000000"/>
          <w:kern w:val="2"/>
          <w:sz w:val="28"/>
          <w:szCs w:val="28"/>
          <w:lang w:val="en-US" w:eastAsia="zh-CN" w:bidi="ar-SA"/>
        </w:rPr>
      </w:pPr>
      <w:bookmarkStart w:id="1207" w:name="_Toc15004"/>
      <w:bookmarkStart w:id="1208" w:name="_Toc30207"/>
      <w:bookmarkStart w:id="1209" w:name="_Toc5437"/>
      <w:bookmarkStart w:id="1210" w:name="_Toc475624458"/>
      <w:bookmarkStart w:id="1211" w:name="_Toc11835"/>
      <w:r>
        <w:rPr>
          <w:rFonts w:hint="eastAsia" w:ascii="宋体" w:hAnsi="宋体" w:eastAsia="宋体" w:cs="宋体"/>
          <w:b/>
          <w:color w:val="000000"/>
          <w:kern w:val="2"/>
          <w:sz w:val="28"/>
          <w:szCs w:val="28"/>
          <w:lang w:val="en-US" w:eastAsia="zh-CN" w:bidi="ar-SA"/>
        </w:rPr>
        <w:t>四、资格审查资料</w:t>
      </w:r>
      <w:bookmarkEnd w:id="1207"/>
      <w:bookmarkEnd w:id="1208"/>
    </w:p>
    <w:p w14:paraId="2E490094">
      <w:pPr>
        <w:widowControl w:val="0"/>
        <w:spacing w:after="120" w:afterLines="0" w:afterAutospacing="0" w:line="600" w:lineRule="exact"/>
        <w:ind w:firstLine="463" w:firstLineChars="192"/>
        <w:jc w:val="center"/>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投标供应商基本情况表</w:t>
      </w:r>
    </w:p>
    <w:tbl>
      <w:tblPr>
        <w:tblStyle w:val="33"/>
        <w:tblW w:w="9299"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6"/>
        <w:gridCol w:w="1025"/>
        <w:gridCol w:w="1234"/>
        <w:gridCol w:w="1412"/>
        <w:gridCol w:w="1302"/>
        <w:gridCol w:w="855"/>
        <w:gridCol w:w="1365"/>
      </w:tblGrid>
      <w:tr w14:paraId="447C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106" w:type="dxa"/>
          </w:tcPr>
          <w:p w14:paraId="569DEBEC">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投标供应商名称</w:t>
            </w:r>
          </w:p>
        </w:tc>
        <w:tc>
          <w:tcPr>
            <w:tcW w:w="7193" w:type="dxa"/>
            <w:gridSpan w:val="6"/>
          </w:tcPr>
          <w:p w14:paraId="3932773A">
            <w:pPr>
              <w:spacing w:line="400" w:lineRule="exact"/>
              <w:ind w:firstLine="480" w:firstLineChars="200"/>
              <w:rPr>
                <w:rFonts w:hint="eastAsia" w:ascii="宋体" w:hAnsi="宋体" w:eastAsia="宋体" w:cs="宋体"/>
                <w:color w:val="000000"/>
                <w:sz w:val="24"/>
                <w:szCs w:val="24"/>
              </w:rPr>
            </w:pPr>
          </w:p>
        </w:tc>
      </w:tr>
      <w:tr w14:paraId="5F5E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5E248D72">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注册地址</w:t>
            </w:r>
          </w:p>
        </w:tc>
        <w:tc>
          <w:tcPr>
            <w:tcW w:w="3671" w:type="dxa"/>
            <w:gridSpan w:val="3"/>
          </w:tcPr>
          <w:p w14:paraId="5DF808DD">
            <w:pPr>
              <w:spacing w:line="400" w:lineRule="exact"/>
              <w:ind w:firstLine="480" w:firstLineChars="200"/>
              <w:jc w:val="center"/>
              <w:rPr>
                <w:rFonts w:hint="eastAsia" w:ascii="宋体" w:hAnsi="宋体" w:eastAsia="宋体" w:cs="宋体"/>
                <w:color w:val="000000"/>
                <w:sz w:val="24"/>
                <w:szCs w:val="24"/>
              </w:rPr>
            </w:pPr>
          </w:p>
        </w:tc>
        <w:tc>
          <w:tcPr>
            <w:tcW w:w="1302" w:type="dxa"/>
          </w:tcPr>
          <w:p w14:paraId="78C9A09B">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邮政编码</w:t>
            </w:r>
          </w:p>
        </w:tc>
        <w:tc>
          <w:tcPr>
            <w:tcW w:w="2220" w:type="dxa"/>
            <w:gridSpan w:val="2"/>
          </w:tcPr>
          <w:p w14:paraId="47EAED77">
            <w:pPr>
              <w:spacing w:line="400" w:lineRule="exact"/>
              <w:ind w:firstLine="480" w:firstLineChars="200"/>
              <w:jc w:val="center"/>
              <w:rPr>
                <w:rFonts w:hint="eastAsia" w:ascii="宋体" w:hAnsi="宋体" w:eastAsia="宋体" w:cs="宋体"/>
                <w:color w:val="000000"/>
                <w:sz w:val="24"/>
                <w:szCs w:val="24"/>
              </w:rPr>
            </w:pPr>
          </w:p>
        </w:tc>
      </w:tr>
      <w:tr w14:paraId="5EB4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106" w:type="dxa"/>
          </w:tcPr>
          <w:p w14:paraId="6E2CC6D6">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注册资金</w:t>
            </w:r>
          </w:p>
        </w:tc>
        <w:tc>
          <w:tcPr>
            <w:tcW w:w="3671" w:type="dxa"/>
            <w:gridSpan w:val="3"/>
          </w:tcPr>
          <w:p w14:paraId="37DB0BEA">
            <w:pPr>
              <w:spacing w:line="400" w:lineRule="exact"/>
              <w:ind w:firstLine="480" w:firstLineChars="200"/>
              <w:jc w:val="center"/>
              <w:rPr>
                <w:rFonts w:hint="eastAsia" w:ascii="宋体" w:hAnsi="宋体" w:eastAsia="宋体" w:cs="宋体"/>
                <w:color w:val="000000"/>
                <w:sz w:val="24"/>
                <w:szCs w:val="24"/>
              </w:rPr>
            </w:pPr>
          </w:p>
        </w:tc>
        <w:tc>
          <w:tcPr>
            <w:tcW w:w="1302" w:type="dxa"/>
          </w:tcPr>
          <w:p w14:paraId="193DC651">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成立时间</w:t>
            </w:r>
          </w:p>
        </w:tc>
        <w:tc>
          <w:tcPr>
            <w:tcW w:w="2220" w:type="dxa"/>
            <w:gridSpan w:val="2"/>
          </w:tcPr>
          <w:p w14:paraId="00C187B1">
            <w:pPr>
              <w:spacing w:line="400" w:lineRule="exact"/>
              <w:ind w:firstLine="480" w:firstLineChars="200"/>
              <w:jc w:val="center"/>
              <w:rPr>
                <w:rFonts w:hint="eastAsia" w:ascii="宋体" w:hAnsi="宋体" w:eastAsia="宋体" w:cs="宋体"/>
                <w:color w:val="000000"/>
                <w:sz w:val="24"/>
                <w:szCs w:val="24"/>
              </w:rPr>
            </w:pPr>
          </w:p>
        </w:tc>
      </w:tr>
      <w:tr w14:paraId="2B0B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2106" w:type="dxa"/>
            <w:vMerge w:val="restart"/>
            <w:vAlign w:val="center"/>
          </w:tcPr>
          <w:p w14:paraId="7BA9BFB1">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联系方式</w:t>
            </w:r>
          </w:p>
        </w:tc>
        <w:tc>
          <w:tcPr>
            <w:tcW w:w="1025" w:type="dxa"/>
          </w:tcPr>
          <w:p w14:paraId="2754DFFB">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联系人</w:t>
            </w:r>
          </w:p>
        </w:tc>
        <w:tc>
          <w:tcPr>
            <w:tcW w:w="2646" w:type="dxa"/>
            <w:gridSpan w:val="2"/>
          </w:tcPr>
          <w:p w14:paraId="2A14F67F">
            <w:pPr>
              <w:spacing w:line="400" w:lineRule="exact"/>
              <w:ind w:firstLine="480" w:firstLineChars="200"/>
              <w:jc w:val="center"/>
              <w:rPr>
                <w:rFonts w:hint="eastAsia" w:ascii="宋体" w:hAnsi="宋体" w:eastAsia="宋体" w:cs="宋体"/>
                <w:color w:val="000000"/>
                <w:sz w:val="24"/>
                <w:szCs w:val="24"/>
              </w:rPr>
            </w:pPr>
          </w:p>
        </w:tc>
        <w:tc>
          <w:tcPr>
            <w:tcW w:w="1302" w:type="dxa"/>
          </w:tcPr>
          <w:p w14:paraId="6C1E393D">
            <w:pPr>
              <w:spacing w:line="400" w:lineRule="exact"/>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电话</w:t>
            </w:r>
          </w:p>
        </w:tc>
        <w:tc>
          <w:tcPr>
            <w:tcW w:w="2220" w:type="dxa"/>
            <w:gridSpan w:val="2"/>
          </w:tcPr>
          <w:p w14:paraId="4EB5F486">
            <w:pPr>
              <w:spacing w:line="400" w:lineRule="exact"/>
              <w:ind w:firstLine="480" w:firstLineChars="200"/>
              <w:jc w:val="center"/>
              <w:rPr>
                <w:rFonts w:hint="eastAsia" w:ascii="宋体" w:hAnsi="宋体" w:eastAsia="宋体" w:cs="宋体"/>
                <w:color w:val="000000"/>
                <w:sz w:val="24"/>
                <w:szCs w:val="24"/>
              </w:rPr>
            </w:pPr>
          </w:p>
        </w:tc>
      </w:tr>
      <w:tr w14:paraId="72448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2106" w:type="dxa"/>
            <w:vMerge w:val="continue"/>
          </w:tcPr>
          <w:p w14:paraId="313DBD61">
            <w:pPr>
              <w:spacing w:line="400" w:lineRule="exact"/>
              <w:ind w:firstLine="480" w:firstLineChars="200"/>
              <w:rPr>
                <w:rFonts w:hint="eastAsia" w:ascii="宋体" w:hAnsi="宋体" w:eastAsia="宋体" w:cs="宋体"/>
                <w:color w:val="000000"/>
                <w:sz w:val="24"/>
                <w:szCs w:val="24"/>
              </w:rPr>
            </w:pPr>
          </w:p>
        </w:tc>
        <w:tc>
          <w:tcPr>
            <w:tcW w:w="1025" w:type="dxa"/>
          </w:tcPr>
          <w:p w14:paraId="6ED8608F">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传真</w:t>
            </w:r>
          </w:p>
        </w:tc>
        <w:tc>
          <w:tcPr>
            <w:tcW w:w="2646" w:type="dxa"/>
            <w:gridSpan w:val="2"/>
          </w:tcPr>
          <w:p w14:paraId="32743C08">
            <w:pPr>
              <w:spacing w:line="400" w:lineRule="exact"/>
              <w:ind w:firstLine="480" w:firstLineChars="200"/>
              <w:jc w:val="center"/>
              <w:rPr>
                <w:rFonts w:hint="eastAsia" w:ascii="宋体" w:hAnsi="宋体" w:eastAsia="宋体" w:cs="宋体"/>
                <w:color w:val="000000"/>
                <w:sz w:val="24"/>
                <w:szCs w:val="24"/>
              </w:rPr>
            </w:pPr>
          </w:p>
        </w:tc>
        <w:tc>
          <w:tcPr>
            <w:tcW w:w="1302" w:type="dxa"/>
          </w:tcPr>
          <w:p w14:paraId="2B385073">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网址</w:t>
            </w:r>
          </w:p>
        </w:tc>
        <w:tc>
          <w:tcPr>
            <w:tcW w:w="2220" w:type="dxa"/>
            <w:gridSpan w:val="2"/>
          </w:tcPr>
          <w:p w14:paraId="12B2FBA4">
            <w:pPr>
              <w:spacing w:line="400" w:lineRule="exact"/>
              <w:ind w:firstLine="480" w:firstLineChars="200"/>
              <w:jc w:val="center"/>
              <w:rPr>
                <w:rFonts w:hint="eastAsia" w:ascii="宋体" w:hAnsi="宋体" w:eastAsia="宋体" w:cs="宋体"/>
                <w:color w:val="000000"/>
                <w:sz w:val="24"/>
                <w:szCs w:val="24"/>
              </w:rPr>
            </w:pPr>
          </w:p>
        </w:tc>
      </w:tr>
      <w:tr w14:paraId="7028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2106" w:type="dxa"/>
          </w:tcPr>
          <w:p w14:paraId="59BF7743">
            <w:pPr>
              <w:spacing w:line="4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w:t>
            </w:r>
          </w:p>
        </w:tc>
        <w:tc>
          <w:tcPr>
            <w:tcW w:w="1025" w:type="dxa"/>
          </w:tcPr>
          <w:p w14:paraId="7E8E2694">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姓名</w:t>
            </w:r>
          </w:p>
        </w:tc>
        <w:tc>
          <w:tcPr>
            <w:tcW w:w="1234" w:type="dxa"/>
          </w:tcPr>
          <w:p w14:paraId="22DDFD47">
            <w:pPr>
              <w:spacing w:line="400" w:lineRule="exact"/>
              <w:ind w:firstLine="480" w:firstLineChars="200"/>
              <w:jc w:val="center"/>
              <w:rPr>
                <w:rFonts w:hint="eastAsia" w:ascii="宋体" w:hAnsi="宋体" w:eastAsia="宋体" w:cs="宋体"/>
                <w:color w:val="000000"/>
                <w:sz w:val="24"/>
                <w:szCs w:val="24"/>
              </w:rPr>
            </w:pPr>
          </w:p>
        </w:tc>
        <w:tc>
          <w:tcPr>
            <w:tcW w:w="1412" w:type="dxa"/>
          </w:tcPr>
          <w:p w14:paraId="6F9B2E31">
            <w:pPr>
              <w:spacing w:line="400" w:lineRule="exact"/>
              <w:ind w:firstLine="0" w:firstLineChars="0"/>
              <w:rPr>
                <w:rFonts w:hint="eastAsia" w:ascii="宋体" w:hAnsi="宋体" w:eastAsia="宋体" w:cs="宋体"/>
                <w:color w:val="000000"/>
                <w:sz w:val="24"/>
                <w:szCs w:val="24"/>
              </w:rPr>
            </w:pPr>
            <w:r>
              <w:rPr>
                <w:rFonts w:hint="eastAsia" w:ascii="宋体" w:hAnsi="宋体" w:eastAsia="宋体" w:cs="宋体"/>
                <w:color w:val="000000"/>
                <w:sz w:val="24"/>
                <w:szCs w:val="24"/>
              </w:rPr>
              <w:t>技术职称</w:t>
            </w:r>
          </w:p>
        </w:tc>
        <w:tc>
          <w:tcPr>
            <w:tcW w:w="1302" w:type="dxa"/>
          </w:tcPr>
          <w:p w14:paraId="34D9A1C9">
            <w:pPr>
              <w:spacing w:line="400" w:lineRule="exact"/>
              <w:ind w:firstLine="480" w:firstLineChars="200"/>
              <w:jc w:val="center"/>
              <w:rPr>
                <w:rFonts w:hint="eastAsia" w:ascii="宋体" w:hAnsi="宋体" w:eastAsia="宋体" w:cs="宋体"/>
                <w:color w:val="000000"/>
                <w:sz w:val="24"/>
                <w:szCs w:val="24"/>
              </w:rPr>
            </w:pPr>
          </w:p>
        </w:tc>
        <w:tc>
          <w:tcPr>
            <w:tcW w:w="855" w:type="dxa"/>
          </w:tcPr>
          <w:p w14:paraId="0C979714">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电话</w:t>
            </w:r>
          </w:p>
        </w:tc>
        <w:tc>
          <w:tcPr>
            <w:tcW w:w="1365" w:type="dxa"/>
          </w:tcPr>
          <w:p w14:paraId="5094AD2F">
            <w:pPr>
              <w:spacing w:line="400" w:lineRule="exact"/>
              <w:ind w:firstLine="480" w:firstLineChars="200"/>
              <w:rPr>
                <w:rFonts w:hint="eastAsia" w:ascii="宋体" w:hAnsi="宋体" w:eastAsia="宋体" w:cs="宋体"/>
                <w:color w:val="000000"/>
                <w:sz w:val="24"/>
                <w:szCs w:val="24"/>
              </w:rPr>
            </w:pPr>
          </w:p>
        </w:tc>
      </w:tr>
      <w:tr w14:paraId="39254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6F27F4EE">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基本账户</w:t>
            </w:r>
          </w:p>
          <w:p w14:paraId="1983750E">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开户银行</w:t>
            </w:r>
          </w:p>
        </w:tc>
        <w:tc>
          <w:tcPr>
            <w:tcW w:w="7193" w:type="dxa"/>
            <w:gridSpan w:val="6"/>
          </w:tcPr>
          <w:p w14:paraId="6B5919F6">
            <w:pPr>
              <w:spacing w:line="400" w:lineRule="exact"/>
              <w:ind w:firstLine="480" w:firstLineChars="200"/>
              <w:rPr>
                <w:rFonts w:hint="eastAsia" w:ascii="宋体" w:hAnsi="宋体" w:eastAsia="宋体" w:cs="宋体"/>
                <w:color w:val="000000"/>
                <w:sz w:val="24"/>
                <w:szCs w:val="24"/>
              </w:rPr>
            </w:pPr>
          </w:p>
        </w:tc>
      </w:tr>
      <w:tr w14:paraId="11E9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2106" w:type="dxa"/>
            <w:vAlign w:val="center"/>
          </w:tcPr>
          <w:p w14:paraId="2EDFFB90">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基本账户</w:t>
            </w:r>
          </w:p>
          <w:p w14:paraId="4BA165B5">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银行账号</w:t>
            </w:r>
          </w:p>
        </w:tc>
        <w:tc>
          <w:tcPr>
            <w:tcW w:w="7193" w:type="dxa"/>
            <w:gridSpan w:val="6"/>
          </w:tcPr>
          <w:p w14:paraId="0D2CF75B">
            <w:pPr>
              <w:spacing w:line="400" w:lineRule="exact"/>
              <w:ind w:firstLine="480" w:firstLineChars="200"/>
              <w:rPr>
                <w:rFonts w:hint="eastAsia" w:ascii="宋体" w:hAnsi="宋体" w:eastAsia="宋体" w:cs="宋体"/>
                <w:color w:val="000000"/>
                <w:sz w:val="24"/>
                <w:szCs w:val="24"/>
              </w:rPr>
            </w:pPr>
          </w:p>
        </w:tc>
      </w:tr>
      <w:tr w14:paraId="790A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atLeast"/>
        </w:trPr>
        <w:tc>
          <w:tcPr>
            <w:tcW w:w="2106" w:type="dxa"/>
          </w:tcPr>
          <w:p w14:paraId="051083AD">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投标供应商关联企业情况（包括但不限于与投标供应商法定代表人为同一人或者存在控股、管理关系的不同单位）</w:t>
            </w:r>
          </w:p>
        </w:tc>
        <w:tc>
          <w:tcPr>
            <w:tcW w:w="7193" w:type="dxa"/>
            <w:gridSpan w:val="6"/>
          </w:tcPr>
          <w:p w14:paraId="63B84DDA">
            <w:pPr>
              <w:spacing w:line="400" w:lineRule="exact"/>
              <w:ind w:firstLine="480" w:firstLineChars="200"/>
              <w:rPr>
                <w:rFonts w:hint="eastAsia" w:ascii="宋体" w:hAnsi="宋体" w:eastAsia="宋体" w:cs="宋体"/>
                <w:color w:val="000000"/>
                <w:sz w:val="24"/>
                <w:szCs w:val="24"/>
              </w:rPr>
            </w:pPr>
          </w:p>
        </w:tc>
      </w:tr>
      <w:tr w14:paraId="3966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06" w:type="dxa"/>
            <w:vAlign w:val="center"/>
          </w:tcPr>
          <w:p w14:paraId="408D0FBA">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经营范围</w:t>
            </w:r>
          </w:p>
        </w:tc>
        <w:tc>
          <w:tcPr>
            <w:tcW w:w="7193" w:type="dxa"/>
            <w:gridSpan w:val="6"/>
          </w:tcPr>
          <w:p w14:paraId="1BF288A7">
            <w:pPr>
              <w:spacing w:line="400" w:lineRule="exact"/>
              <w:ind w:firstLine="480" w:firstLineChars="200"/>
              <w:rPr>
                <w:rFonts w:hint="eastAsia" w:ascii="宋体" w:hAnsi="宋体" w:eastAsia="宋体" w:cs="宋体"/>
                <w:color w:val="000000"/>
                <w:sz w:val="24"/>
                <w:szCs w:val="24"/>
              </w:rPr>
            </w:pPr>
          </w:p>
        </w:tc>
      </w:tr>
      <w:tr w14:paraId="1071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06" w:type="dxa"/>
            <w:vAlign w:val="center"/>
          </w:tcPr>
          <w:p w14:paraId="6ACE311F">
            <w:pPr>
              <w:spacing w:line="40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备注</w:t>
            </w:r>
          </w:p>
        </w:tc>
        <w:tc>
          <w:tcPr>
            <w:tcW w:w="7193" w:type="dxa"/>
            <w:gridSpan w:val="6"/>
          </w:tcPr>
          <w:p w14:paraId="0CF49790">
            <w:pPr>
              <w:spacing w:line="400" w:lineRule="exact"/>
              <w:ind w:firstLine="480" w:firstLineChars="200"/>
              <w:rPr>
                <w:rFonts w:hint="eastAsia" w:ascii="宋体" w:hAnsi="宋体" w:eastAsia="宋体" w:cs="宋体"/>
                <w:color w:val="000000"/>
                <w:sz w:val="24"/>
                <w:szCs w:val="24"/>
              </w:rPr>
            </w:pPr>
          </w:p>
        </w:tc>
      </w:tr>
    </w:tbl>
    <w:p w14:paraId="5FB99FBD">
      <w:pPr>
        <w:spacing w:line="400" w:lineRule="exact"/>
        <w:ind w:firstLine="420" w:firstLineChars="200"/>
        <w:rPr>
          <w:rFonts w:hint="eastAsia" w:ascii="宋体" w:hAnsi="宋体" w:eastAsia="宋体" w:cs="宋体"/>
          <w:color w:val="000000"/>
          <w:szCs w:val="21"/>
        </w:rPr>
      </w:pPr>
    </w:p>
    <w:p w14:paraId="0244D839">
      <w:pPr>
        <w:widowControl w:val="0"/>
        <w:spacing w:after="120" w:afterLines="0" w:afterAutospacing="0" w:line="600" w:lineRule="exact"/>
        <w:ind w:firstLine="460" w:firstLineChars="192"/>
        <w:jc w:val="left"/>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注：1.投标供应商应根据投标供应商须知“投标供应商资格要求”在本表后附供应商信用承诺函。</w:t>
      </w:r>
    </w:p>
    <w:p w14:paraId="3CC65146">
      <w:pPr>
        <w:widowControl w:val="0"/>
        <w:spacing w:after="120" w:afterLines="0" w:afterAutospacing="0" w:line="600" w:lineRule="exact"/>
        <w:ind w:firstLine="460" w:firstLineChars="192"/>
        <w:jc w:val="left"/>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 xml:space="preserve">   2.本项目的特定资格要求（如有）：后附营业执照副本及相关的证明材料。</w:t>
      </w:r>
    </w:p>
    <w:bookmarkEnd w:id="1209"/>
    <w:bookmarkEnd w:id="1210"/>
    <w:bookmarkEnd w:id="1211"/>
    <w:p w14:paraId="4322957A">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宋体" w:hAnsi="宋体" w:eastAsia="宋体" w:cs="宋体"/>
          <w:b/>
          <w:bCs/>
          <w:kern w:val="0"/>
          <w:sz w:val="24"/>
          <w:szCs w:val="24"/>
          <w:lang w:val="en-US" w:eastAsia="zh-CN" w:bidi="ar"/>
        </w:rPr>
      </w:pPr>
      <w:bookmarkStart w:id="1212" w:name="_Toc456185720"/>
      <w:r>
        <w:rPr>
          <w:rFonts w:hint="eastAsia" w:ascii="宋体" w:hAnsi="宋体" w:eastAsia="宋体" w:cs="宋体"/>
          <w:b/>
          <w:bCs/>
          <w:kern w:val="0"/>
          <w:sz w:val="24"/>
          <w:szCs w:val="24"/>
          <w:lang w:val="en-US" w:eastAsia="zh-CN" w:bidi="ar"/>
        </w:rPr>
        <w:t>附件：</w:t>
      </w:r>
    </w:p>
    <w:p w14:paraId="1C891501">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kern w:val="0"/>
          <w:sz w:val="24"/>
          <w:szCs w:val="24"/>
          <w:lang w:val="en-US" w:eastAsia="zh-CN" w:bidi="ar"/>
        </w:rPr>
      </w:pPr>
      <w:r>
        <w:rPr>
          <w:rFonts w:hint="eastAsia" w:ascii="宋体" w:hAnsi="宋体" w:eastAsia="宋体" w:cs="宋体"/>
          <w:b/>
          <w:bCs/>
          <w:kern w:val="0"/>
          <w:sz w:val="24"/>
          <w:szCs w:val="24"/>
          <w:lang w:val="en-US" w:eastAsia="zh-CN" w:bidi="ar"/>
        </w:rPr>
        <w:t>息县政府采购供应商信用承诺函</w:t>
      </w:r>
    </w:p>
    <w:p w14:paraId="3044532C">
      <w:pPr>
        <w:keepNext w:val="0"/>
        <w:keepLines w:val="0"/>
        <w:pageBreakBefore w:val="0"/>
        <w:widowControl/>
        <w:suppressLineNumbers w:val="0"/>
        <w:kinsoku/>
        <w:wordWrap/>
        <w:overflowPunct/>
        <w:topLinePunct w:val="0"/>
        <w:autoSpaceDE/>
        <w:autoSpaceDN/>
        <w:bidi w:val="0"/>
        <w:adjustRightInd/>
        <w:snapToGrid/>
        <w:spacing w:line="400" w:lineRule="exact"/>
        <w:ind w:left="0" w:firstLine="480" w:firstLineChars="200"/>
        <w:jc w:val="left"/>
        <w:textAlignment w:val="auto"/>
        <w:rPr>
          <w:rFonts w:hint="eastAsia" w:ascii="宋体" w:hAnsi="宋体" w:eastAsia="宋体" w:cs="宋体"/>
          <w:kern w:val="0"/>
          <w:sz w:val="24"/>
          <w:szCs w:val="24"/>
          <w:lang w:val="en-US" w:eastAsia="zh-CN" w:bidi="ar"/>
        </w:rPr>
      </w:pPr>
    </w:p>
    <w:p w14:paraId="1A6A25B7">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kern w:val="0"/>
          <w:sz w:val="24"/>
          <w:szCs w:val="24"/>
          <w:u w:val="none"/>
          <w:lang w:val="en-US" w:eastAsia="zh-CN" w:bidi="ar"/>
        </w:rPr>
      </w:pPr>
      <w:r>
        <w:rPr>
          <w:rFonts w:hint="eastAsia" w:ascii="宋体" w:hAnsi="宋体" w:eastAsia="宋体" w:cs="宋体"/>
          <w:kern w:val="0"/>
          <w:sz w:val="24"/>
          <w:szCs w:val="24"/>
          <w:u w:val="none"/>
          <w:lang w:val="en-US" w:eastAsia="zh-CN" w:bidi="ar"/>
        </w:rPr>
        <w:t>致：</w:t>
      </w:r>
      <w:r>
        <w:rPr>
          <w:rFonts w:hint="eastAsia" w:ascii="宋体" w:hAnsi="宋体" w:eastAsia="宋体" w:cs="宋体"/>
          <w:kern w:val="0"/>
          <w:sz w:val="24"/>
          <w:szCs w:val="24"/>
          <w:u w:val="single"/>
          <w:lang w:val="en-US" w:eastAsia="zh-CN" w:bidi="ar"/>
        </w:rPr>
        <w:t xml:space="preserve">                  </w:t>
      </w:r>
      <w:r>
        <w:rPr>
          <w:rFonts w:hint="eastAsia" w:ascii="宋体" w:hAnsi="宋体" w:eastAsia="宋体" w:cs="宋体"/>
          <w:kern w:val="0"/>
          <w:sz w:val="24"/>
          <w:szCs w:val="24"/>
          <w:u w:val="none"/>
          <w:lang w:val="en-US" w:eastAsia="zh-CN" w:bidi="ar"/>
        </w:rPr>
        <w:t xml:space="preserve">（采购人或采购代理机构）   </w:t>
      </w:r>
    </w:p>
    <w:p w14:paraId="417BCEEB">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单位名称（自然人姓名）</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14:paraId="6AF286D9">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统一社会信用代码（身份证号码）</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14:paraId="478850F2">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法定代表人（负责人）</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14:paraId="32BE3B1C">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联系地址和电话</w:t>
      </w:r>
      <w:r>
        <w:rPr>
          <w:rFonts w:hint="eastAsia" w:ascii="宋体" w:hAnsi="宋体" w:eastAsia="宋体" w:cs="宋体"/>
          <w:kern w:val="0"/>
          <w:sz w:val="24"/>
          <w:szCs w:val="24"/>
          <w:u w:val="none"/>
          <w:lang w:val="en-US" w:eastAsia="zh-CN" w:bidi="ar"/>
        </w:rPr>
        <w:t>：</w:t>
      </w:r>
      <w:r>
        <w:rPr>
          <w:rFonts w:hint="eastAsia" w:ascii="宋体" w:hAnsi="宋体" w:eastAsia="宋体" w:cs="宋体"/>
          <w:kern w:val="0"/>
          <w:sz w:val="24"/>
          <w:szCs w:val="24"/>
          <w:u w:val="single"/>
          <w:lang w:val="en-US" w:eastAsia="zh-CN" w:bidi="ar"/>
        </w:rPr>
        <w:t xml:space="preserve">                  </w:t>
      </w:r>
    </w:p>
    <w:p w14:paraId="5382BD2F">
      <w:pPr>
        <w:widowControl w:val="0"/>
        <w:spacing w:after="120" w:afterLines="0" w:afterAutospacing="0" w:line="600" w:lineRule="exact"/>
        <w:ind w:firstLine="210" w:firstLineChars="100"/>
        <w:jc w:val="both"/>
        <w:rPr>
          <w:rFonts w:hint="eastAsia" w:ascii="宋体" w:hAnsi="宋体" w:eastAsia="宋体" w:cs="宋体"/>
          <w:kern w:val="2"/>
          <w:sz w:val="21"/>
          <w:szCs w:val="22"/>
          <w:lang w:val="en-US" w:eastAsia="zh-CN" w:bidi="ar-SA"/>
        </w:rPr>
      </w:pPr>
    </w:p>
    <w:p w14:paraId="5F3CBFDC">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为维护公平、公正、公开的政府采购市场秩序，树立诚实守信的政府采购供应商形象，我单位（本人）自愿作出以下承诺：</w:t>
      </w:r>
    </w:p>
    <w:p w14:paraId="1697F6E2">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045D00DE">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具有独立承担民事责任的能力；</w:t>
      </w:r>
    </w:p>
    <w:p w14:paraId="293416B4">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具有良好的商业信誉和健全的财务会计制度； </w:t>
      </w:r>
    </w:p>
    <w:p w14:paraId="29CF3F5E">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具有履行合同所必需的设备和专业技术能力；</w:t>
      </w:r>
    </w:p>
    <w:p w14:paraId="722392BF">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有依法缴纳税收和社会保障资金的良好记录； </w:t>
      </w:r>
    </w:p>
    <w:p w14:paraId="5CC2CE80">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参加政府采购活动前三年内，在经营活动中没有重大违法记录； </w:t>
      </w:r>
    </w:p>
    <w:p w14:paraId="574561AD">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未被列入经营异常名录或者严重违法失信名单、失信被执行人、重大税收违法案件当事人名单、政府采购严重违法失信行为记录名单；</w:t>
      </w:r>
    </w:p>
    <w:p w14:paraId="783D146D">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未被相关监管部门作出行政处罚且尚在处罚有效期内； </w:t>
      </w:r>
    </w:p>
    <w:p w14:paraId="29A5F278">
      <w:pPr>
        <w:keepNext w:val="0"/>
        <w:keepLines w:val="0"/>
        <w:pageBreakBefore w:val="0"/>
        <w:widowControl/>
        <w:numPr>
          <w:ilvl w:val="0"/>
          <w:numId w:val="7"/>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未曾做出虚假采购承诺； </w:t>
      </w:r>
    </w:p>
    <w:p w14:paraId="2DC5CDD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840" w:firstLineChars="35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（九）符合法律、行政法规规定的其他条件。</w:t>
      </w:r>
    </w:p>
    <w:p w14:paraId="51015191">
      <w:pPr>
        <w:keepNext w:val="0"/>
        <w:keepLines w:val="0"/>
        <w:pageBreakBefore w:val="0"/>
        <w:widowControl/>
        <w:numPr>
          <w:ilvl w:val="0"/>
          <w:numId w:val="6"/>
        </w:numPr>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我单位（本人）保证上述承诺事项的真实性。如有弄虚作假或其他违法违规行为，自愿按照规定将违背承诺行为作为失信行为记录到社会信用信息平台，并视同为“提供虚假材料谋取中标、成交”按照《政府采购法》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 </w:t>
      </w:r>
    </w:p>
    <w:p w14:paraId="4C1D3F82">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firstLine="420" w:firstLineChars="200"/>
        <w:jc w:val="left"/>
        <w:textAlignment w:val="auto"/>
        <w:rPr>
          <w:rFonts w:hint="eastAsia" w:ascii="宋体" w:hAnsi="宋体" w:eastAsia="宋体" w:cs="宋体"/>
          <w:kern w:val="0"/>
          <w:sz w:val="21"/>
          <w:szCs w:val="21"/>
          <w:lang w:val="en-US" w:eastAsia="zh-CN" w:bidi="ar"/>
        </w:rPr>
      </w:pPr>
    </w:p>
    <w:p w14:paraId="4E12984D">
      <w:pPr>
        <w:spacing w:line="360" w:lineRule="auto"/>
        <w:ind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rPr>
        <w:t>投标供应商：</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（单位电子签章）</w:t>
      </w:r>
    </w:p>
    <w:p w14:paraId="10A62689">
      <w:pPr>
        <w:spacing w:line="360" w:lineRule="auto"/>
        <w:ind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（电子签名或盖章）</w:t>
      </w:r>
    </w:p>
    <w:p w14:paraId="0B9A63BC">
      <w:pPr>
        <w:spacing w:line="360" w:lineRule="auto"/>
        <w:ind w:firstLine="2640" w:firstLineChars="1100"/>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135D389B">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firstLine="210" w:firstLineChars="100"/>
        <w:jc w:val="left"/>
        <w:textAlignment w:val="auto"/>
        <w:rPr>
          <w:rFonts w:hint="eastAsia" w:ascii="宋体" w:hAnsi="宋体" w:eastAsia="宋体" w:cs="宋体"/>
          <w:kern w:val="0"/>
          <w:sz w:val="21"/>
          <w:szCs w:val="21"/>
          <w:lang w:val="en-US" w:eastAsia="zh-CN" w:bidi="ar"/>
        </w:rPr>
      </w:pPr>
    </w:p>
    <w:p w14:paraId="7C5BA614">
      <w:pPr>
        <w:keepNext w:val="0"/>
        <w:keepLines w:val="0"/>
        <w:pageBreakBefore w:val="0"/>
        <w:widowControl/>
        <w:numPr>
          <w:ilvl w:val="0"/>
          <w:numId w:val="0"/>
        </w:numPr>
        <w:suppressLineNumbers w:val="0"/>
        <w:kinsoku/>
        <w:wordWrap/>
        <w:overflowPunct/>
        <w:topLinePunct w:val="0"/>
        <w:autoSpaceDE/>
        <w:autoSpaceDN/>
        <w:bidi w:val="0"/>
        <w:adjustRightInd/>
        <w:snapToGrid/>
        <w:spacing w:line="400" w:lineRule="exact"/>
        <w:ind w:left="0" w:firstLine="210" w:firstLineChars="100"/>
        <w:jc w:val="left"/>
        <w:textAlignment w:val="auto"/>
        <w:rPr>
          <w:rFonts w:hint="eastAsia" w:ascii="宋体" w:hAnsi="宋体" w:eastAsia="宋体" w:cs="宋体"/>
          <w:kern w:val="0"/>
          <w:sz w:val="21"/>
          <w:szCs w:val="21"/>
          <w:lang w:val="en-US" w:eastAsia="zh-CN" w:bidi="ar"/>
        </w:rPr>
      </w:pPr>
    </w:p>
    <w:p w14:paraId="0D776F5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240" w:firstLineChars="1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注：</w:t>
      </w:r>
    </w:p>
    <w:p w14:paraId="2370360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firstLine="720" w:firstLineChars="3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1、供应商须在响应文件中按此模板提供承诺函，未提供视为未实质性响应招标文件要求，按无效投标处理。</w:t>
      </w:r>
    </w:p>
    <w:p w14:paraId="2255CC1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720" w:firstLineChars="300"/>
        <w:jc w:val="left"/>
        <w:textAlignment w:val="auto"/>
        <w:rPr>
          <w:rFonts w:hint="eastAsia" w:ascii="宋体" w:hAnsi="宋体" w:eastAsia="宋体" w:cs="宋体"/>
          <w:sz w:val="24"/>
          <w:szCs w:val="24"/>
        </w:rPr>
      </w:pPr>
      <w:r>
        <w:rPr>
          <w:rFonts w:hint="eastAsia" w:ascii="宋体" w:hAnsi="宋体" w:eastAsia="宋体" w:cs="宋体"/>
          <w:kern w:val="0"/>
          <w:sz w:val="24"/>
          <w:szCs w:val="24"/>
          <w:lang w:val="en-US" w:eastAsia="zh-CN" w:bidi="ar"/>
        </w:rPr>
        <w:t>2、供应商的法定代表人或者授权代表的签字或盖章应真实、有效，如由授权代表签字或盖章的，应提供“法定代表人授权书”。</w:t>
      </w:r>
    </w:p>
    <w:p w14:paraId="3B2B1AA3">
      <w:pPr>
        <w:spacing w:before="312" w:beforeLines="100" w:after="156" w:afterLines="50" w:line="600" w:lineRule="exact"/>
        <w:ind w:firstLine="422" w:firstLineChars="200"/>
        <w:rPr>
          <w:rFonts w:hint="eastAsia" w:ascii="宋体" w:hAnsi="宋体" w:eastAsia="宋体" w:cs="宋体"/>
          <w:b/>
          <w:color w:val="auto"/>
          <w:szCs w:val="21"/>
        </w:rPr>
      </w:pPr>
    </w:p>
    <w:bookmarkEnd w:id="1212"/>
    <w:p w14:paraId="347A9745">
      <w:pPr>
        <w:bidi w:val="0"/>
        <w:spacing w:line="360" w:lineRule="auto"/>
        <w:ind w:firstLine="562" w:firstLineChars="200"/>
        <w:jc w:val="center"/>
        <w:rPr>
          <w:rFonts w:hint="eastAsia" w:ascii="宋体" w:hAnsi="宋体" w:eastAsia="宋体" w:cs="宋体"/>
          <w:b/>
          <w:bCs/>
          <w:color w:val="000000"/>
          <w:sz w:val="28"/>
          <w:szCs w:val="28"/>
          <w:lang w:eastAsia="zh-CN"/>
        </w:rPr>
      </w:pPr>
    </w:p>
    <w:p w14:paraId="364D2BEF">
      <w:pPr>
        <w:bidi w:val="0"/>
        <w:spacing w:line="360" w:lineRule="auto"/>
        <w:ind w:firstLine="562" w:firstLineChars="200"/>
        <w:jc w:val="center"/>
        <w:rPr>
          <w:rFonts w:hint="eastAsia" w:ascii="宋体" w:hAnsi="宋体" w:eastAsia="宋体" w:cs="宋体"/>
          <w:b/>
          <w:bCs/>
          <w:color w:val="000000"/>
          <w:sz w:val="28"/>
          <w:szCs w:val="28"/>
          <w:lang w:eastAsia="zh-CN"/>
        </w:rPr>
      </w:pPr>
    </w:p>
    <w:p w14:paraId="37909BE3">
      <w:pPr>
        <w:bidi w:val="0"/>
        <w:spacing w:line="360" w:lineRule="auto"/>
        <w:ind w:firstLine="562" w:firstLineChars="200"/>
        <w:jc w:val="center"/>
        <w:rPr>
          <w:rFonts w:hint="eastAsia" w:ascii="宋体" w:hAnsi="宋体" w:eastAsia="宋体" w:cs="宋体"/>
          <w:b/>
          <w:bCs/>
          <w:color w:val="000000"/>
          <w:sz w:val="28"/>
          <w:szCs w:val="28"/>
          <w:lang w:eastAsia="zh-CN"/>
        </w:rPr>
      </w:pPr>
    </w:p>
    <w:p w14:paraId="5EFE7348">
      <w:pPr>
        <w:keepNext w:val="0"/>
        <w:keepLines w:val="0"/>
        <w:pageBreakBefore/>
        <w:widowControl w:val="0"/>
        <w:kinsoku/>
        <w:wordWrap/>
        <w:overflowPunct/>
        <w:topLinePunct w:val="0"/>
        <w:autoSpaceDE/>
        <w:autoSpaceDN/>
        <w:bidi w:val="0"/>
        <w:adjustRightInd/>
        <w:snapToGrid/>
        <w:spacing w:line="360" w:lineRule="auto"/>
        <w:ind w:firstLine="562" w:firstLineChars="200"/>
        <w:jc w:val="center"/>
        <w:textAlignment w:val="auto"/>
        <w:outlineLvl w:val="1"/>
        <w:rPr>
          <w:rFonts w:hint="default" w:ascii="宋体" w:hAnsi="宋体" w:eastAsia="宋体" w:cs="宋体"/>
          <w:b/>
          <w:bCs/>
          <w:color w:val="000000"/>
          <w:sz w:val="28"/>
          <w:szCs w:val="28"/>
          <w:lang w:val="en-US" w:eastAsia="zh-CN"/>
        </w:rPr>
      </w:pPr>
      <w:r>
        <w:rPr>
          <w:rFonts w:hint="eastAsia" w:ascii="宋体" w:hAnsi="宋体" w:eastAsia="宋体" w:cs="宋体"/>
          <w:b/>
          <w:bCs/>
          <w:color w:val="000000"/>
          <w:sz w:val="28"/>
          <w:szCs w:val="28"/>
          <w:lang w:val="en-US" w:eastAsia="zh-CN"/>
        </w:rPr>
        <w:t>五</w:t>
      </w:r>
      <w:r>
        <w:rPr>
          <w:rFonts w:hint="eastAsia" w:ascii="宋体" w:hAnsi="宋体" w:eastAsia="宋体" w:cs="宋体"/>
          <w:b/>
          <w:bCs/>
          <w:color w:val="000000"/>
          <w:sz w:val="28"/>
          <w:szCs w:val="28"/>
          <w:lang w:eastAsia="zh-CN"/>
        </w:rPr>
        <w:t>、</w:t>
      </w:r>
      <w:r>
        <w:rPr>
          <w:rFonts w:hint="eastAsia" w:ascii="宋体" w:hAnsi="宋体" w:eastAsia="宋体" w:cs="宋体"/>
          <w:b/>
          <w:bCs/>
          <w:color w:val="000000"/>
          <w:sz w:val="28"/>
          <w:szCs w:val="28"/>
          <w:lang w:val="en-US" w:eastAsia="zh-CN"/>
        </w:rPr>
        <w:t>技术及综合部分</w:t>
      </w:r>
    </w:p>
    <w:p w14:paraId="38445F3B">
      <w:pPr>
        <w:bidi w:val="0"/>
        <w:spacing w:line="360" w:lineRule="auto"/>
        <w:ind w:firstLine="562" w:firstLineChars="200"/>
        <w:jc w:val="center"/>
        <w:rPr>
          <w:rFonts w:hint="eastAsia" w:ascii="宋体" w:hAnsi="宋体" w:eastAsia="宋体" w:cs="宋体"/>
          <w:b/>
          <w:bCs/>
          <w:color w:val="000000"/>
          <w:sz w:val="28"/>
          <w:szCs w:val="28"/>
          <w:lang w:eastAsia="zh-CN"/>
        </w:rPr>
      </w:pPr>
    </w:p>
    <w:p w14:paraId="60E61B9D">
      <w:pPr>
        <w:bidi w:val="0"/>
        <w:spacing w:line="360" w:lineRule="auto"/>
        <w:ind w:firstLine="560" w:firstLineChars="200"/>
        <w:jc w:val="center"/>
        <w:rPr>
          <w:rFonts w:hint="eastAsia" w:ascii="宋体" w:hAnsi="宋体" w:eastAsia="宋体" w:cs="宋体"/>
          <w:b w:val="0"/>
          <w:bCs w:val="0"/>
          <w:color w:val="000000"/>
          <w:sz w:val="28"/>
          <w:szCs w:val="28"/>
          <w:lang w:eastAsia="zh-CN"/>
        </w:rPr>
      </w:pPr>
      <w:r>
        <w:rPr>
          <w:rFonts w:hint="eastAsia" w:ascii="宋体" w:hAnsi="宋体" w:eastAsia="宋体" w:cs="宋体"/>
          <w:b w:val="0"/>
          <w:bCs w:val="0"/>
          <w:color w:val="000000"/>
          <w:sz w:val="28"/>
          <w:szCs w:val="28"/>
          <w:lang w:eastAsia="zh-CN"/>
        </w:rPr>
        <w:t>（</w:t>
      </w:r>
      <w:r>
        <w:rPr>
          <w:rFonts w:hint="eastAsia" w:ascii="宋体" w:hAnsi="宋体" w:eastAsia="宋体" w:cs="宋体"/>
          <w:b w:val="0"/>
          <w:bCs w:val="0"/>
          <w:color w:val="000000"/>
          <w:sz w:val="28"/>
          <w:szCs w:val="28"/>
          <w:lang w:val="en-US" w:eastAsia="zh-CN"/>
        </w:rPr>
        <w:t>按照评分办法内容编写，格式自拟</w:t>
      </w:r>
      <w:r>
        <w:rPr>
          <w:rFonts w:hint="eastAsia" w:ascii="宋体" w:hAnsi="宋体" w:eastAsia="宋体" w:cs="宋体"/>
          <w:b w:val="0"/>
          <w:bCs w:val="0"/>
          <w:color w:val="000000"/>
          <w:sz w:val="28"/>
          <w:szCs w:val="28"/>
          <w:lang w:eastAsia="zh-CN"/>
        </w:rPr>
        <w:t>）</w:t>
      </w:r>
    </w:p>
    <w:p w14:paraId="026742EF">
      <w:pPr>
        <w:bidi w:val="0"/>
        <w:spacing w:line="360" w:lineRule="auto"/>
        <w:ind w:firstLine="562" w:firstLineChars="200"/>
        <w:jc w:val="center"/>
        <w:rPr>
          <w:rFonts w:hint="eastAsia" w:ascii="宋体" w:hAnsi="宋体" w:eastAsia="宋体" w:cs="宋体"/>
          <w:b/>
          <w:bCs/>
          <w:color w:val="000000"/>
          <w:sz w:val="28"/>
          <w:szCs w:val="28"/>
          <w:lang w:eastAsia="zh-CN"/>
        </w:rPr>
      </w:pPr>
    </w:p>
    <w:p w14:paraId="669DE0A8">
      <w:pPr>
        <w:bidi w:val="0"/>
        <w:spacing w:line="360" w:lineRule="auto"/>
        <w:ind w:firstLine="562" w:firstLineChars="200"/>
        <w:jc w:val="center"/>
        <w:rPr>
          <w:rFonts w:hint="eastAsia" w:ascii="宋体" w:hAnsi="宋体" w:eastAsia="宋体" w:cs="宋体"/>
          <w:b/>
          <w:bCs/>
          <w:color w:val="000000"/>
          <w:sz w:val="28"/>
          <w:szCs w:val="28"/>
          <w:lang w:eastAsia="zh-CN"/>
        </w:rPr>
      </w:pPr>
    </w:p>
    <w:p w14:paraId="045CC395">
      <w:pPr>
        <w:pStyle w:val="12"/>
        <w:rPr>
          <w:rFonts w:hint="eastAsia" w:ascii="宋体" w:hAnsi="宋体" w:eastAsia="宋体" w:cs="宋体"/>
          <w:lang w:eastAsia="zh-CN"/>
        </w:rPr>
      </w:pPr>
    </w:p>
    <w:p w14:paraId="5FEC5598">
      <w:pPr>
        <w:bidi w:val="0"/>
        <w:spacing w:line="360" w:lineRule="auto"/>
        <w:ind w:firstLine="562" w:firstLineChars="200"/>
        <w:jc w:val="center"/>
        <w:rPr>
          <w:rFonts w:hint="eastAsia" w:ascii="宋体" w:hAnsi="宋体" w:eastAsia="宋体" w:cs="宋体"/>
          <w:b/>
          <w:bCs/>
          <w:color w:val="000000"/>
          <w:sz w:val="28"/>
          <w:szCs w:val="28"/>
          <w:lang w:eastAsia="zh-CN"/>
        </w:rPr>
      </w:pPr>
    </w:p>
    <w:p w14:paraId="38344041">
      <w:pPr>
        <w:keepNext w:val="0"/>
        <w:keepLines w:val="0"/>
        <w:pageBreakBefore/>
        <w:widowControl w:val="0"/>
        <w:kinsoku/>
        <w:wordWrap/>
        <w:overflowPunct/>
        <w:topLinePunct w:val="0"/>
        <w:autoSpaceDE/>
        <w:autoSpaceDN/>
        <w:bidi w:val="0"/>
        <w:adjustRightInd/>
        <w:snapToGrid/>
        <w:spacing w:line="360" w:lineRule="auto"/>
        <w:ind w:firstLine="562" w:firstLineChars="200"/>
        <w:jc w:val="center"/>
        <w:textAlignment w:val="auto"/>
        <w:outlineLvl w:val="1"/>
        <w:rPr>
          <w:rFonts w:hint="eastAsia" w:ascii="宋体" w:hAnsi="宋体" w:eastAsia="宋体" w:cs="宋体"/>
          <w:color w:val="000000"/>
          <w:sz w:val="21"/>
          <w:szCs w:val="21"/>
          <w:lang w:eastAsia="zh-CN"/>
        </w:rPr>
      </w:pPr>
      <w:bookmarkStart w:id="1213" w:name="_Toc17104"/>
      <w:bookmarkStart w:id="1214" w:name="_Toc10361"/>
      <w:bookmarkStart w:id="1215" w:name="_Toc29899"/>
      <w:bookmarkStart w:id="1216" w:name="_Toc525210052"/>
      <w:r>
        <w:rPr>
          <w:rFonts w:hint="eastAsia" w:ascii="宋体" w:hAnsi="宋体" w:eastAsia="宋体" w:cs="宋体"/>
          <w:b/>
          <w:bCs/>
          <w:color w:val="000000"/>
          <w:sz w:val="28"/>
          <w:szCs w:val="28"/>
          <w:lang w:eastAsia="zh-CN"/>
        </w:rPr>
        <w:t>六、中小企业声明函（服务类）</w:t>
      </w:r>
      <w:bookmarkEnd w:id="1213"/>
      <w:bookmarkEnd w:id="1214"/>
      <w:bookmarkEnd w:id="1215"/>
    </w:p>
    <w:p w14:paraId="224DB349">
      <w:pPr>
        <w:widowControl w:val="0"/>
        <w:bidi w:val="0"/>
        <w:spacing w:after="120" w:afterLines="0" w:afterAutospacing="0" w:line="600" w:lineRule="exact"/>
        <w:ind w:left="0" w:leftChars="0" w:firstLine="0" w:firstLineChars="0"/>
        <w:jc w:val="both"/>
        <w:rPr>
          <w:rFonts w:hint="eastAsia" w:ascii="宋体" w:hAnsi="宋体" w:eastAsia="宋体" w:cs="宋体"/>
          <w:color w:val="000000"/>
          <w:kern w:val="2"/>
          <w:sz w:val="21"/>
          <w:szCs w:val="21"/>
          <w:lang w:val="en-US" w:eastAsia="zh-CN" w:bidi="ar-SA"/>
        </w:rPr>
      </w:pPr>
    </w:p>
    <w:p w14:paraId="085266CD">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本公司郑重声明，根据《政府采购促进中小企业发展管理办法》（财库﹝2020﹞46 号）的规定，本公司参加</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zh-CN" w:eastAsia="zh-CN"/>
        </w:rPr>
        <w:t>单位名称）的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zh-CN" w:eastAsia="zh-CN"/>
        </w:rPr>
        <w:t>项目名称）采</w:t>
      </w:r>
      <w:r>
        <w:rPr>
          <w:rFonts w:hint="eastAsia" w:ascii="宋体" w:hAnsi="宋体" w:eastAsia="宋体" w:cs="宋体"/>
          <w:sz w:val="24"/>
          <w:szCs w:val="24"/>
        </w:rPr>
        <w:t>购活动，</w:t>
      </w:r>
      <w:r>
        <w:rPr>
          <w:rFonts w:hint="eastAsia" w:ascii="宋体" w:hAnsi="宋体" w:eastAsia="宋体" w:cs="宋体"/>
          <w:b/>
          <w:bCs/>
          <w:sz w:val="24"/>
          <w:szCs w:val="24"/>
        </w:rPr>
        <w:t>服务全部由符合政策要求的中小企业承接</w:t>
      </w:r>
      <w:r>
        <w:rPr>
          <w:rFonts w:hint="eastAsia" w:ascii="宋体" w:hAnsi="宋体" w:eastAsia="宋体" w:cs="宋体"/>
          <w:sz w:val="24"/>
          <w:szCs w:val="24"/>
        </w:rPr>
        <w:t>。相关企业（含联合体中的中小企业、签订分包意向协议的中小企业）的具体情况如下：</w:t>
      </w:r>
    </w:p>
    <w:p w14:paraId="65988162">
      <w:pPr>
        <w:keepNext w:val="0"/>
        <w:keepLines w:val="0"/>
        <w:pageBreakBefore w:val="0"/>
        <w:widowControl w:val="0"/>
        <w:numPr>
          <w:ilvl w:val="0"/>
          <w:numId w:val="8"/>
        </w:numPr>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（标的名称），属于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（采购文件中明确的所属行业）；</w:t>
      </w:r>
    </w:p>
    <w:p w14:paraId="5E6C7CD7">
      <w:pPr>
        <w:keepNext w:val="0"/>
        <w:keepLines w:val="0"/>
        <w:pageBreakBefore w:val="0"/>
        <w:widowControl w:val="0"/>
        <w:kinsoku/>
        <w:wordWrap/>
        <w:overflowPunct/>
        <w:topLinePunct w:val="0"/>
        <w:autoSpaceDE w:val="0"/>
        <w:autoSpaceDN w:val="0"/>
        <w:bidi w:val="0"/>
        <w:adjustRightInd/>
        <w:snapToGrid/>
        <w:spacing w:before="0" w:line="500" w:lineRule="exact"/>
        <w:ind w:left="0" w:leftChars="0" w:right="0" w:firstLine="0" w:firstLineChars="0"/>
        <w:textAlignment w:val="auto"/>
        <w:rPr>
          <w:rFonts w:hint="eastAsia" w:ascii="宋体" w:hAnsi="宋体" w:eastAsia="宋体" w:cs="宋体"/>
          <w:sz w:val="24"/>
          <w:szCs w:val="24"/>
          <w:lang w:val="zh-CN" w:eastAsia="zh-CN"/>
        </w:rPr>
      </w:pPr>
      <w:r>
        <w:rPr>
          <w:rFonts w:hint="eastAsia" w:ascii="宋体" w:hAnsi="宋体" w:eastAsia="宋体" w:cs="宋体"/>
          <w:sz w:val="24"/>
          <w:szCs w:val="24"/>
        </w:rPr>
        <w:t>承接企业为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zh-CN" w:eastAsia="zh-CN"/>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ab/>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万元，属于（</w:t>
      </w:r>
      <w:r>
        <w:rPr>
          <w:rFonts w:hint="eastAsia" w:ascii="宋体" w:hAnsi="宋体" w:eastAsia="宋体" w:cs="宋体"/>
          <w:sz w:val="24"/>
          <w:szCs w:val="24"/>
          <w:lang w:val="zh-CN" w:eastAsia="zh-CN"/>
        </w:rPr>
        <w:t>中型企业、小型企业、微型企业）；</w:t>
      </w:r>
    </w:p>
    <w:p w14:paraId="302F93F9">
      <w:pPr>
        <w:keepNext w:val="0"/>
        <w:keepLines w:val="0"/>
        <w:pageBreakBefore w:val="0"/>
        <w:widowControl w:val="0"/>
        <w:numPr>
          <w:ilvl w:val="0"/>
          <w:numId w:val="8"/>
        </w:numPr>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宋体" w:hAnsi="宋体" w:eastAsia="宋体" w:cs="宋体"/>
          <w:sz w:val="24"/>
          <w:szCs w:val="24"/>
          <w:lang w:val="zh-CN" w:eastAsia="zh-CN"/>
        </w:rPr>
      </w:pP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（标的名称），属于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（采购文件中明确的所属行业）；承接企业为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zh-CN" w:eastAsia="zh-CN"/>
        </w:rPr>
        <w:t>（企业名称），</w:t>
      </w:r>
      <w:r>
        <w:rPr>
          <w:rFonts w:hint="eastAsia" w:ascii="宋体" w:hAnsi="宋体" w:eastAsia="宋体" w:cs="宋体"/>
          <w:sz w:val="24"/>
          <w:szCs w:val="24"/>
        </w:rPr>
        <w:t>从业人员</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人，营业收入为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万元，资产总额为</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ab/>
      </w:r>
      <w:r>
        <w:rPr>
          <w:rFonts w:hint="eastAsia" w:ascii="宋体" w:hAnsi="宋体" w:eastAsia="宋体" w:cs="宋体"/>
          <w:sz w:val="24"/>
          <w:szCs w:val="24"/>
        </w:rPr>
        <w:t>万元，属于（</w:t>
      </w:r>
      <w:r>
        <w:rPr>
          <w:rFonts w:hint="eastAsia" w:ascii="宋体" w:hAnsi="宋体" w:eastAsia="宋体" w:cs="宋体"/>
          <w:sz w:val="24"/>
          <w:szCs w:val="24"/>
          <w:lang w:val="zh-CN" w:eastAsia="zh-CN"/>
        </w:rPr>
        <w:t>中型企业、小型企业、微型企业）；</w:t>
      </w:r>
    </w:p>
    <w:p w14:paraId="40862A6E">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p>
    <w:p w14:paraId="1A2DB611">
      <w:pPr>
        <w:keepNext w:val="0"/>
        <w:keepLines w:val="0"/>
        <w:pageBreakBefore w:val="0"/>
        <w:widowControl w:val="0"/>
        <w:kinsoku/>
        <w:wordWrap/>
        <w:overflowPunct/>
        <w:topLinePunct w:val="0"/>
        <w:autoSpaceDE w:val="0"/>
        <w:autoSpaceDN w:val="0"/>
        <w:bidi w:val="0"/>
        <w:adjustRightInd/>
        <w:snapToGrid/>
        <w:spacing w:before="0" w:after="120" w:afterLines="0" w:afterAutospacing="0" w:line="500" w:lineRule="exact"/>
        <w:ind w:left="0" w:right="0" w:firstLine="234" w:firstLineChars="1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spacing w:val="-3"/>
          <w:kern w:val="2"/>
          <w:sz w:val="24"/>
          <w:szCs w:val="24"/>
          <w:lang w:val="en-US" w:eastAsia="zh-CN" w:bidi="ar-SA"/>
        </w:rPr>
        <w:t>以上企业，不属于大企业的分支机构，不存在控股股东</w:t>
      </w:r>
      <w:r>
        <w:rPr>
          <w:rFonts w:hint="eastAsia" w:ascii="宋体" w:hAnsi="宋体" w:eastAsia="宋体" w:cs="宋体"/>
          <w:spacing w:val="-5"/>
          <w:kern w:val="2"/>
          <w:sz w:val="24"/>
          <w:szCs w:val="24"/>
          <w:lang w:val="en-US" w:eastAsia="zh-CN" w:bidi="ar-SA"/>
        </w:rPr>
        <w:t>为大企业的情形，也不存在与大企业的负责人为同一人的情形。</w:t>
      </w:r>
    </w:p>
    <w:p w14:paraId="4EF4D3A8">
      <w:pPr>
        <w:keepNext w:val="0"/>
        <w:keepLines w:val="0"/>
        <w:pageBreakBefore w:val="0"/>
        <w:widowControl w:val="0"/>
        <w:kinsoku/>
        <w:wordWrap/>
        <w:overflowPunct/>
        <w:topLinePunct w:val="0"/>
        <w:autoSpaceDE w:val="0"/>
        <w:autoSpaceDN w:val="0"/>
        <w:bidi w:val="0"/>
        <w:adjustRightInd/>
        <w:snapToGrid/>
        <w:spacing w:before="0" w:after="120" w:afterLines="0" w:afterAutospacing="0" w:line="500" w:lineRule="exact"/>
        <w:ind w:left="0" w:right="0" w:firstLine="240" w:firstLineChars="1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本企业对上述声明内容的真实性负责。如有虚假，将依法承担相应责任。</w:t>
      </w:r>
    </w:p>
    <w:p w14:paraId="42980EAA">
      <w:pPr>
        <w:widowControl w:val="0"/>
        <w:spacing w:after="120" w:afterLines="0" w:afterAutospacing="0" w:line="480" w:lineRule="auto"/>
        <w:ind w:firstLine="480" w:firstLineChars="200"/>
        <w:jc w:val="both"/>
        <w:rPr>
          <w:rFonts w:hint="eastAsia" w:ascii="宋体" w:hAnsi="宋体" w:eastAsia="宋体" w:cs="宋体"/>
          <w:kern w:val="2"/>
          <w:sz w:val="24"/>
          <w:szCs w:val="24"/>
          <w:lang w:val="en-US" w:eastAsia="zh-CN" w:bidi="ar-SA"/>
        </w:rPr>
      </w:pPr>
    </w:p>
    <w:p w14:paraId="3407D131">
      <w:pPr>
        <w:widowControl w:val="0"/>
        <w:spacing w:after="120" w:afterLines="0" w:afterAutospacing="0" w:line="600" w:lineRule="exact"/>
        <w:ind w:firstLine="420" w:firstLineChars="200"/>
        <w:jc w:val="both"/>
        <w:rPr>
          <w:rFonts w:hint="eastAsia" w:ascii="宋体" w:hAnsi="宋体" w:eastAsia="宋体" w:cs="宋体"/>
          <w:kern w:val="2"/>
          <w:sz w:val="21"/>
          <w:szCs w:val="22"/>
          <w:lang w:val="en-US" w:eastAsia="zh-CN" w:bidi="ar-SA"/>
        </w:rPr>
      </w:pPr>
    </w:p>
    <w:p w14:paraId="0FF56BA2">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企业名称（</w:t>
      </w:r>
      <w:r>
        <w:rPr>
          <w:rFonts w:hint="eastAsia" w:ascii="宋体" w:hAnsi="宋体" w:eastAsia="宋体" w:cs="宋体"/>
          <w:sz w:val="24"/>
          <w:lang w:eastAsia="zh-CN"/>
        </w:rPr>
        <w:t>电子签章</w:t>
      </w:r>
      <w:r>
        <w:rPr>
          <w:rFonts w:hint="eastAsia" w:ascii="宋体" w:hAnsi="宋体" w:eastAsia="宋体" w:cs="宋体"/>
          <w:sz w:val="24"/>
          <w:szCs w:val="24"/>
          <w:lang w:eastAsia="zh-CN"/>
        </w:rPr>
        <w:t>）：</w:t>
      </w:r>
    </w:p>
    <w:p w14:paraId="69600E68">
      <w:pPr>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3120" w:firstLineChars="13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日</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期：</w:t>
      </w:r>
    </w:p>
    <w:p w14:paraId="6D544BFC">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
          <w:bCs/>
          <w:color w:val="000000"/>
          <w:kern w:val="2"/>
          <w:sz w:val="24"/>
          <w:szCs w:val="24"/>
          <w:lang w:val="en-US" w:eastAsia="zh-CN" w:bidi="ar-SA"/>
        </w:rPr>
      </w:pPr>
    </w:p>
    <w:p w14:paraId="7BFE0A29">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
          <w:bCs/>
          <w:color w:val="000000"/>
          <w:kern w:val="2"/>
          <w:sz w:val="24"/>
          <w:szCs w:val="24"/>
          <w:lang w:val="en-US" w:eastAsia="zh-CN" w:bidi="ar-SA"/>
        </w:rPr>
      </w:pPr>
    </w:p>
    <w:p w14:paraId="4BB9E923">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
          <w:bCs/>
          <w:color w:val="000000"/>
          <w:kern w:val="2"/>
          <w:sz w:val="24"/>
          <w:szCs w:val="24"/>
          <w:lang w:val="en-US" w:eastAsia="zh-CN" w:bidi="ar-SA"/>
        </w:rPr>
      </w:pPr>
    </w:p>
    <w:p w14:paraId="761CB151">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
          <w:bCs/>
          <w:color w:val="000000"/>
          <w:kern w:val="2"/>
          <w:sz w:val="24"/>
          <w:szCs w:val="24"/>
          <w:lang w:val="en-US" w:eastAsia="zh-CN" w:bidi="ar-SA"/>
        </w:rPr>
      </w:pPr>
    </w:p>
    <w:p w14:paraId="10A58544">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
          <w:bCs/>
          <w:color w:val="000000"/>
          <w:kern w:val="2"/>
          <w:sz w:val="24"/>
          <w:szCs w:val="24"/>
          <w:lang w:val="en-US" w:eastAsia="zh-CN" w:bidi="ar-SA"/>
        </w:rPr>
      </w:pPr>
    </w:p>
    <w:p w14:paraId="3FE3A038">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注：</w:t>
      </w:r>
    </w:p>
    <w:p w14:paraId="1E297FAE">
      <w:pPr>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1、从业人员、营业收入、资产总额填报上一年度数据，无上一年度数据的新成立企业可不填报。</w:t>
      </w:r>
    </w:p>
    <w:p w14:paraId="346D105D">
      <w:pPr>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2、供应商严格按照要求如实填写此函，提供声明函内容不实的，属于提供虚假材料谋取中标，依照《中华人民共和国政府采购法》等国家有关法规规定追究相应责任。</w:t>
      </w:r>
    </w:p>
    <w:p w14:paraId="754FF00B">
      <w:pPr>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3、在政府采购活动中，供应商提供的货物、工程或者服务符合下列情形的，享受本办法规定的中小企业扶持政策：</w:t>
      </w:r>
    </w:p>
    <w:p w14:paraId="4BED081F">
      <w:pPr>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（一）在货物采购项目中，货物由中小企业制造，即货物由中小企业生产且使用该中小企业商号或者注册商标；</w:t>
      </w:r>
    </w:p>
    <w:p w14:paraId="0D759A4C">
      <w:pPr>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（二）在工程采购项目中，工程由中小企业承建，即工程施工单位为中小企业；</w:t>
      </w:r>
    </w:p>
    <w:p w14:paraId="50B770FD">
      <w:pPr>
        <w:keepNext w:val="0"/>
        <w:keepLines w:val="0"/>
        <w:pageBreakBefore w:val="0"/>
        <w:widowControl w:val="0"/>
        <w:kinsoku/>
        <w:wordWrap/>
        <w:overflowPunct/>
        <w:topLinePunct w:val="0"/>
        <w:bidi w:val="0"/>
        <w:snapToGrid/>
        <w:spacing w:line="500" w:lineRule="exact"/>
        <w:ind w:left="0" w:leftChars="0" w:firstLine="0" w:firstLineChars="0"/>
        <w:jc w:val="both"/>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（三）在服务采购项目中，服务由中小企业承接，即提供服务的人员为中小企业依照《中华人民共和国劳动合同法》订立劳动合同的从业人员。</w:t>
      </w:r>
    </w:p>
    <w:p w14:paraId="1AB9802D">
      <w:pPr>
        <w:keepNext w:val="0"/>
        <w:keepLines w:val="0"/>
        <w:pageBreakBefore w:val="0"/>
        <w:widowControl w:val="0"/>
        <w:kinsoku/>
        <w:wordWrap/>
        <w:overflowPunct/>
        <w:topLinePunct w:val="0"/>
        <w:bidi w:val="0"/>
        <w:snapToGrid/>
        <w:spacing w:line="500" w:lineRule="exact"/>
        <w:ind w:left="0" w:leftChars="0" w:firstLine="723" w:firstLineChars="300"/>
        <w:jc w:val="both"/>
        <w:textAlignment w:val="auto"/>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在货物采购项目中，供应商提供的货物既有中小企业制造货物，也有大型企业制造货物的，不享受本办法规定的中小企业扶持政策。</w:t>
      </w:r>
    </w:p>
    <w:p w14:paraId="0C47FCB4">
      <w:pPr>
        <w:keepNext w:val="0"/>
        <w:keepLines w:val="0"/>
        <w:pageBreakBefore w:val="0"/>
        <w:widowControl w:val="0"/>
        <w:kinsoku/>
        <w:wordWrap/>
        <w:overflowPunct/>
        <w:topLinePunct w:val="0"/>
        <w:bidi w:val="0"/>
        <w:snapToGrid/>
        <w:spacing w:line="500" w:lineRule="exact"/>
        <w:ind w:left="0" w:leftChars="0" w:firstLine="0" w:firstLineChars="0"/>
        <w:textAlignment w:val="auto"/>
        <w:rPr>
          <w:rFonts w:hint="eastAsia" w:ascii="宋体" w:hAnsi="宋体" w:eastAsia="宋体" w:cs="宋体"/>
          <w:b/>
          <w:bCs/>
          <w:color w:val="000000"/>
          <w:sz w:val="24"/>
          <w:szCs w:val="24"/>
        </w:rPr>
        <w:sectPr>
          <w:pgSz w:w="11906" w:h="16838"/>
          <w:pgMar w:top="1440" w:right="1800" w:bottom="1440" w:left="1800" w:header="851" w:footer="992" w:gutter="0"/>
          <w:pgNumType w:fmt="decimal"/>
          <w:cols w:space="425" w:num="1"/>
          <w:docGrid w:type="lines" w:linePitch="312" w:charSpace="0"/>
        </w:sectPr>
      </w:pPr>
      <w:bookmarkStart w:id="1217" w:name="_Toc13396"/>
      <w:bookmarkStart w:id="1218" w:name="_Toc13297"/>
      <w:bookmarkStart w:id="1219" w:name="_Toc1903"/>
      <w:r>
        <w:rPr>
          <w:rFonts w:hint="eastAsia" w:ascii="宋体" w:hAnsi="宋体" w:eastAsia="宋体" w:cs="宋体"/>
          <w:b/>
          <w:bCs/>
          <w:color w:val="000000"/>
          <w:kern w:val="2"/>
          <w:sz w:val="24"/>
          <w:szCs w:val="24"/>
          <w:lang w:val="en-US" w:eastAsia="zh-CN" w:bidi="ar-SA"/>
        </w:rPr>
        <w:t xml:space="preserve">      以联合体形式参加政府采购活动，联合体各方均为中小企业的，联合体视同中小企业。其中，联合体各方均为小微企业的，联合体视同小微企业。</w:t>
      </w:r>
      <w:bookmarkEnd w:id="1217"/>
      <w:bookmarkEnd w:id="1218"/>
      <w:bookmarkEnd w:id="1219"/>
    </w:p>
    <w:p w14:paraId="75661FFF">
      <w:pPr>
        <w:widowControl w:val="0"/>
        <w:snapToGrid w:val="0"/>
        <w:spacing w:line="600" w:lineRule="exact"/>
        <w:ind w:firstLine="0" w:firstLineChars="0"/>
        <w:jc w:val="left"/>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附表：</w:t>
      </w:r>
    </w:p>
    <w:p w14:paraId="5DF71229">
      <w:pPr>
        <w:widowControl/>
        <w:spacing w:line="330" w:lineRule="atLeast"/>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统计上大中小微型企业划分标准</w:t>
      </w:r>
    </w:p>
    <w:tbl>
      <w:tblPr>
        <w:tblStyle w:val="33"/>
        <w:tblW w:w="10496" w:type="dxa"/>
        <w:jc w:val="center"/>
        <w:tblLayout w:type="fixed"/>
        <w:tblCellMar>
          <w:top w:w="0" w:type="dxa"/>
          <w:left w:w="108" w:type="dxa"/>
          <w:bottom w:w="0" w:type="dxa"/>
          <w:right w:w="108" w:type="dxa"/>
        </w:tblCellMar>
      </w:tblPr>
      <w:tblGrid>
        <w:gridCol w:w="2088"/>
        <w:gridCol w:w="1515"/>
        <w:gridCol w:w="717"/>
        <w:gridCol w:w="1320"/>
        <w:gridCol w:w="1950"/>
        <w:gridCol w:w="1650"/>
        <w:gridCol w:w="1256"/>
      </w:tblGrid>
      <w:tr w14:paraId="5DC2025A">
        <w:tblPrEx>
          <w:tblCellMar>
            <w:top w:w="0" w:type="dxa"/>
            <w:left w:w="108" w:type="dxa"/>
            <w:bottom w:w="0" w:type="dxa"/>
            <w:right w:w="108" w:type="dxa"/>
          </w:tblCellMar>
        </w:tblPrEx>
        <w:trPr>
          <w:trHeight w:val="635" w:hRule="exact"/>
          <w:jc w:val="center"/>
        </w:trPr>
        <w:tc>
          <w:tcPr>
            <w:tcW w:w="2088" w:type="dxa"/>
            <w:tcBorders>
              <w:top w:val="single" w:color="auto" w:sz="4" w:space="0"/>
              <w:left w:val="single" w:color="auto" w:sz="4" w:space="0"/>
              <w:bottom w:val="single" w:color="auto" w:sz="4" w:space="0"/>
              <w:right w:val="single" w:color="auto" w:sz="4" w:space="0"/>
            </w:tcBorders>
            <w:vAlign w:val="center"/>
          </w:tcPr>
          <w:p w14:paraId="1008416D">
            <w:pPr>
              <w:widowControl/>
              <w:spacing w:line="240" w:lineRule="exact"/>
              <w:ind w:firstLine="0" w:firstLineChars="0"/>
              <w:jc w:val="center"/>
              <w:rPr>
                <w:rFonts w:hint="eastAsia" w:ascii="宋体" w:hAnsi="宋体" w:eastAsia="宋体" w:cs="宋体"/>
                <w:b/>
                <w:bCs/>
                <w:color w:val="000000"/>
                <w:kern w:val="0"/>
                <w:sz w:val="24"/>
                <w:szCs w:val="32"/>
              </w:rPr>
            </w:pPr>
            <w:r>
              <w:rPr>
                <w:rFonts w:hint="eastAsia" w:ascii="宋体" w:hAnsi="宋体" w:eastAsia="宋体" w:cs="宋体"/>
                <w:b/>
                <w:bCs/>
                <w:color w:val="000000"/>
                <w:kern w:val="0"/>
                <w:sz w:val="24"/>
                <w:szCs w:val="32"/>
              </w:rPr>
              <w:t>行业名称</w:t>
            </w:r>
          </w:p>
        </w:tc>
        <w:tc>
          <w:tcPr>
            <w:tcW w:w="1515" w:type="dxa"/>
            <w:tcBorders>
              <w:top w:val="single" w:color="auto" w:sz="4" w:space="0"/>
              <w:left w:val="nil"/>
              <w:bottom w:val="single" w:color="auto" w:sz="4" w:space="0"/>
              <w:right w:val="single" w:color="auto" w:sz="4" w:space="0"/>
            </w:tcBorders>
            <w:vAlign w:val="center"/>
          </w:tcPr>
          <w:p w14:paraId="5DDE125A">
            <w:pPr>
              <w:widowControl/>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指标名称</w:t>
            </w:r>
          </w:p>
        </w:tc>
        <w:tc>
          <w:tcPr>
            <w:tcW w:w="717" w:type="dxa"/>
            <w:tcBorders>
              <w:top w:val="single" w:color="auto" w:sz="4" w:space="0"/>
              <w:left w:val="nil"/>
              <w:bottom w:val="single" w:color="auto" w:sz="4" w:space="0"/>
              <w:right w:val="single" w:color="auto" w:sz="4" w:space="0"/>
            </w:tcBorders>
            <w:vAlign w:val="center"/>
          </w:tcPr>
          <w:p w14:paraId="3271E6CD">
            <w:pPr>
              <w:widowControl/>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计量</w:t>
            </w:r>
            <w:r>
              <w:rPr>
                <w:rFonts w:hint="eastAsia" w:ascii="宋体" w:hAnsi="宋体" w:eastAsia="宋体" w:cs="宋体"/>
                <w:b/>
                <w:bCs/>
                <w:color w:val="000000"/>
                <w:kern w:val="0"/>
                <w:sz w:val="24"/>
                <w:szCs w:val="24"/>
              </w:rPr>
              <w:br w:type="textWrapping"/>
            </w:r>
            <w:r>
              <w:rPr>
                <w:rFonts w:hint="eastAsia" w:ascii="宋体" w:hAnsi="宋体" w:eastAsia="宋体" w:cs="宋体"/>
                <w:b/>
                <w:bCs/>
                <w:color w:val="000000"/>
                <w:kern w:val="0"/>
                <w:sz w:val="24"/>
                <w:szCs w:val="24"/>
              </w:rPr>
              <w:t>单位</w:t>
            </w:r>
          </w:p>
        </w:tc>
        <w:tc>
          <w:tcPr>
            <w:tcW w:w="1320" w:type="dxa"/>
            <w:tcBorders>
              <w:top w:val="single" w:color="auto" w:sz="4" w:space="0"/>
              <w:left w:val="nil"/>
              <w:bottom w:val="single" w:color="auto" w:sz="4" w:space="0"/>
              <w:right w:val="single" w:color="auto" w:sz="4" w:space="0"/>
            </w:tcBorders>
            <w:vAlign w:val="center"/>
          </w:tcPr>
          <w:p w14:paraId="4DD2BDFF">
            <w:pPr>
              <w:widowControl/>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大型</w:t>
            </w:r>
          </w:p>
        </w:tc>
        <w:tc>
          <w:tcPr>
            <w:tcW w:w="1950" w:type="dxa"/>
            <w:tcBorders>
              <w:top w:val="single" w:color="auto" w:sz="4" w:space="0"/>
              <w:left w:val="nil"/>
              <w:bottom w:val="single" w:color="auto" w:sz="4" w:space="0"/>
              <w:right w:val="single" w:color="auto" w:sz="4" w:space="0"/>
            </w:tcBorders>
            <w:vAlign w:val="center"/>
          </w:tcPr>
          <w:p w14:paraId="370A449A">
            <w:pPr>
              <w:widowControl/>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中型</w:t>
            </w:r>
          </w:p>
        </w:tc>
        <w:tc>
          <w:tcPr>
            <w:tcW w:w="1650" w:type="dxa"/>
            <w:tcBorders>
              <w:top w:val="single" w:color="auto" w:sz="4" w:space="0"/>
              <w:left w:val="nil"/>
              <w:bottom w:val="single" w:color="auto" w:sz="4" w:space="0"/>
              <w:right w:val="single" w:color="auto" w:sz="4" w:space="0"/>
            </w:tcBorders>
            <w:vAlign w:val="center"/>
          </w:tcPr>
          <w:p w14:paraId="01C44506">
            <w:pPr>
              <w:widowControl/>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小型</w:t>
            </w:r>
          </w:p>
        </w:tc>
        <w:tc>
          <w:tcPr>
            <w:tcW w:w="1256" w:type="dxa"/>
            <w:tcBorders>
              <w:top w:val="single" w:color="auto" w:sz="4" w:space="0"/>
              <w:left w:val="nil"/>
              <w:bottom w:val="single" w:color="auto" w:sz="4" w:space="0"/>
              <w:right w:val="single" w:color="auto" w:sz="4" w:space="0"/>
            </w:tcBorders>
            <w:vAlign w:val="center"/>
          </w:tcPr>
          <w:p w14:paraId="05BA6102">
            <w:pPr>
              <w:widowControl/>
              <w:spacing w:line="240" w:lineRule="auto"/>
              <w:ind w:firstLine="0" w:firstLineChars="0"/>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微型</w:t>
            </w:r>
          </w:p>
        </w:tc>
      </w:tr>
      <w:tr w14:paraId="64E4E845">
        <w:tblPrEx>
          <w:tblCellMar>
            <w:top w:w="0" w:type="dxa"/>
            <w:left w:w="108" w:type="dxa"/>
            <w:bottom w:w="0" w:type="dxa"/>
            <w:right w:w="108" w:type="dxa"/>
          </w:tblCellMar>
        </w:tblPrEx>
        <w:trPr>
          <w:trHeight w:val="405" w:hRule="exact"/>
          <w:jc w:val="center"/>
        </w:trPr>
        <w:tc>
          <w:tcPr>
            <w:tcW w:w="2088" w:type="dxa"/>
            <w:tcBorders>
              <w:top w:val="nil"/>
              <w:left w:val="single" w:color="auto" w:sz="4" w:space="0"/>
              <w:bottom w:val="single" w:color="auto" w:sz="4" w:space="0"/>
              <w:right w:val="single" w:color="auto" w:sz="4" w:space="0"/>
            </w:tcBorders>
            <w:vAlign w:val="center"/>
          </w:tcPr>
          <w:p w14:paraId="74C4A6B0">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农、林、牧、渔业</w:t>
            </w:r>
          </w:p>
        </w:tc>
        <w:tc>
          <w:tcPr>
            <w:tcW w:w="1515" w:type="dxa"/>
            <w:tcBorders>
              <w:top w:val="nil"/>
              <w:left w:val="nil"/>
              <w:bottom w:val="single" w:color="auto" w:sz="4" w:space="0"/>
              <w:right w:val="single" w:color="auto" w:sz="4" w:space="0"/>
            </w:tcBorders>
            <w:vAlign w:val="center"/>
          </w:tcPr>
          <w:p w14:paraId="65182CE1">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3234007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4705FA2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Y≥20000</w:t>
            </w:r>
          </w:p>
        </w:tc>
        <w:tc>
          <w:tcPr>
            <w:tcW w:w="1950" w:type="dxa"/>
            <w:tcBorders>
              <w:top w:val="nil"/>
              <w:left w:val="nil"/>
              <w:bottom w:val="single" w:color="auto" w:sz="4" w:space="0"/>
              <w:right w:val="single" w:color="auto" w:sz="4" w:space="0"/>
            </w:tcBorders>
            <w:vAlign w:val="center"/>
          </w:tcPr>
          <w:p w14:paraId="75D62C4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500≤Y＜20000</w:t>
            </w:r>
          </w:p>
        </w:tc>
        <w:tc>
          <w:tcPr>
            <w:tcW w:w="1650" w:type="dxa"/>
            <w:tcBorders>
              <w:top w:val="nil"/>
              <w:left w:val="nil"/>
              <w:bottom w:val="single" w:color="auto" w:sz="4" w:space="0"/>
              <w:right w:val="single" w:color="auto" w:sz="4" w:space="0"/>
            </w:tcBorders>
            <w:vAlign w:val="center"/>
          </w:tcPr>
          <w:p w14:paraId="6AA6228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50≤Y＜500</w:t>
            </w:r>
          </w:p>
        </w:tc>
        <w:tc>
          <w:tcPr>
            <w:tcW w:w="1256" w:type="dxa"/>
            <w:tcBorders>
              <w:top w:val="nil"/>
              <w:left w:val="nil"/>
              <w:bottom w:val="single" w:color="auto" w:sz="4" w:space="0"/>
              <w:right w:val="single" w:color="auto" w:sz="4" w:space="0"/>
            </w:tcBorders>
            <w:vAlign w:val="center"/>
          </w:tcPr>
          <w:p w14:paraId="48D610B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Y＜50</w:t>
            </w:r>
          </w:p>
        </w:tc>
      </w:tr>
      <w:tr w14:paraId="6A7861F6">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5F119F8F">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工业 *</w:t>
            </w:r>
          </w:p>
        </w:tc>
        <w:tc>
          <w:tcPr>
            <w:tcW w:w="1515" w:type="dxa"/>
            <w:tcBorders>
              <w:top w:val="nil"/>
              <w:left w:val="nil"/>
              <w:bottom w:val="nil"/>
              <w:right w:val="single" w:color="auto" w:sz="4" w:space="0"/>
            </w:tcBorders>
            <w:vAlign w:val="center"/>
          </w:tcPr>
          <w:p w14:paraId="488A60A1">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584C946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72F769C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X≥1000</w:t>
            </w:r>
          </w:p>
        </w:tc>
        <w:tc>
          <w:tcPr>
            <w:tcW w:w="1950" w:type="dxa"/>
            <w:tcBorders>
              <w:top w:val="nil"/>
              <w:left w:val="nil"/>
              <w:bottom w:val="nil"/>
              <w:right w:val="single" w:color="auto" w:sz="4" w:space="0"/>
            </w:tcBorders>
            <w:vAlign w:val="center"/>
          </w:tcPr>
          <w:p w14:paraId="747F1EE4">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300≤X＜1000</w:t>
            </w:r>
          </w:p>
        </w:tc>
        <w:tc>
          <w:tcPr>
            <w:tcW w:w="1650" w:type="dxa"/>
            <w:tcBorders>
              <w:top w:val="nil"/>
              <w:left w:val="nil"/>
              <w:bottom w:val="nil"/>
              <w:right w:val="single" w:color="auto" w:sz="4" w:space="0"/>
            </w:tcBorders>
            <w:vAlign w:val="center"/>
          </w:tcPr>
          <w:p w14:paraId="3D77842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20≤X＜300</w:t>
            </w:r>
          </w:p>
        </w:tc>
        <w:tc>
          <w:tcPr>
            <w:tcW w:w="1256" w:type="dxa"/>
            <w:tcBorders>
              <w:top w:val="nil"/>
              <w:left w:val="nil"/>
              <w:bottom w:val="nil"/>
              <w:right w:val="single" w:color="auto" w:sz="4" w:space="0"/>
            </w:tcBorders>
            <w:vAlign w:val="center"/>
          </w:tcPr>
          <w:p w14:paraId="341B40A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X＜20</w:t>
            </w:r>
          </w:p>
        </w:tc>
      </w:tr>
      <w:tr w14:paraId="725F8591">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1A7E8BC0">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7C140429">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75A7AE7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60DAB6C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Y≥40000</w:t>
            </w:r>
          </w:p>
        </w:tc>
        <w:tc>
          <w:tcPr>
            <w:tcW w:w="1950" w:type="dxa"/>
            <w:tcBorders>
              <w:top w:val="nil"/>
              <w:left w:val="nil"/>
              <w:bottom w:val="single" w:color="auto" w:sz="4" w:space="0"/>
              <w:right w:val="single" w:color="auto" w:sz="4" w:space="0"/>
            </w:tcBorders>
            <w:vAlign w:val="center"/>
          </w:tcPr>
          <w:p w14:paraId="47278DFE">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2000≤Y＜40000</w:t>
            </w:r>
          </w:p>
        </w:tc>
        <w:tc>
          <w:tcPr>
            <w:tcW w:w="1650" w:type="dxa"/>
            <w:tcBorders>
              <w:top w:val="nil"/>
              <w:left w:val="nil"/>
              <w:bottom w:val="single" w:color="auto" w:sz="4" w:space="0"/>
              <w:right w:val="single" w:color="auto" w:sz="4" w:space="0"/>
            </w:tcBorders>
            <w:vAlign w:val="center"/>
          </w:tcPr>
          <w:p w14:paraId="2707A04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300≤Y＜2000</w:t>
            </w:r>
          </w:p>
        </w:tc>
        <w:tc>
          <w:tcPr>
            <w:tcW w:w="1256" w:type="dxa"/>
            <w:tcBorders>
              <w:top w:val="nil"/>
              <w:left w:val="nil"/>
              <w:bottom w:val="single" w:color="auto" w:sz="4" w:space="0"/>
              <w:right w:val="single" w:color="auto" w:sz="4" w:space="0"/>
            </w:tcBorders>
            <w:vAlign w:val="center"/>
          </w:tcPr>
          <w:p w14:paraId="29E38654">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Y＜300</w:t>
            </w:r>
          </w:p>
        </w:tc>
      </w:tr>
      <w:tr w14:paraId="44101405">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1386B9DD">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建筑业</w:t>
            </w:r>
          </w:p>
        </w:tc>
        <w:tc>
          <w:tcPr>
            <w:tcW w:w="1515" w:type="dxa"/>
            <w:tcBorders>
              <w:top w:val="nil"/>
              <w:left w:val="nil"/>
              <w:bottom w:val="nil"/>
              <w:right w:val="single" w:color="auto" w:sz="4" w:space="0"/>
            </w:tcBorders>
            <w:vAlign w:val="center"/>
          </w:tcPr>
          <w:p w14:paraId="0FF6666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nil"/>
              <w:right w:val="single" w:color="auto" w:sz="4" w:space="0"/>
            </w:tcBorders>
            <w:vAlign w:val="center"/>
          </w:tcPr>
          <w:p w14:paraId="30D166C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nil"/>
              <w:right w:val="single" w:color="auto" w:sz="4" w:space="0"/>
            </w:tcBorders>
            <w:vAlign w:val="center"/>
          </w:tcPr>
          <w:p w14:paraId="0750FCA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Y≥80000</w:t>
            </w:r>
          </w:p>
        </w:tc>
        <w:tc>
          <w:tcPr>
            <w:tcW w:w="1950" w:type="dxa"/>
            <w:tcBorders>
              <w:top w:val="nil"/>
              <w:left w:val="nil"/>
              <w:bottom w:val="nil"/>
              <w:right w:val="single" w:color="auto" w:sz="4" w:space="0"/>
            </w:tcBorders>
            <w:vAlign w:val="center"/>
          </w:tcPr>
          <w:p w14:paraId="4D69103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6000≤Y＜80000</w:t>
            </w:r>
          </w:p>
        </w:tc>
        <w:tc>
          <w:tcPr>
            <w:tcW w:w="1650" w:type="dxa"/>
            <w:tcBorders>
              <w:top w:val="nil"/>
              <w:left w:val="nil"/>
              <w:bottom w:val="nil"/>
              <w:right w:val="single" w:color="auto" w:sz="4" w:space="0"/>
            </w:tcBorders>
            <w:vAlign w:val="center"/>
          </w:tcPr>
          <w:p w14:paraId="6BE22E7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300≤Y＜6000</w:t>
            </w:r>
          </w:p>
        </w:tc>
        <w:tc>
          <w:tcPr>
            <w:tcW w:w="1256" w:type="dxa"/>
            <w:tcBorders>
              <w:top w:val="nil"/>
              <w:left w:val="nil"/>
              <w:bottom w:val="nil"/>
              <w:right w:val="single" w:color="auto" w:sz="4" w:space="0"/>
            </w:tcBorders>
            <w:vAlign w:val="center"/>
          </w:tcPr>
          <w:p w14:paraId="439BD1D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Y＜300</w:t>
            </w:r>
          </w:p>
        </w:tc>
      </w:tr>
      <w:tr w14:paraId="48137A51">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79276940">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5B2B0B59">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资产总额(Z)</w:t>
            </w:r>
          </w:p>
        </w:tc>
        <w:tc>
          <w:tcPr>
            <w:tcW w:w="717" w:type="dxa"/>
            <w:tcBorders>
              <w:top w:val="nil"/>
              <w:left w:val="nil"/>
              <w:bottom w:val="single" w:color="auto" w:sz="4" w:space="0"/>
              <w:right w:val="single" w:color="auto" w:sz="4" w:space="0"/>
            </w:tcBorders>
            <w:vAlign w:val="center"/>
          </w:tcPr>
          <w:p w14:paraId="6A0C507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2D46F32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Z≥80000</w:t>
            </w:r>
          </w:p>
        </w:tc>
        <w:tc>
          <w:tcPr>
            <w:tcW w:w="1950" w:type="dxa"/>
            <w:tcBorders>
              <w:top w:val="nil"/>
              <w:left w:val="nil"/>
              <w:bottom w:val="single" w:color="auto" w:sz="4" w:space="0"/>
              <w:right w:val="single" w:color="auto" w:sz="4" w:space="0"/>
            </w:tcBorders>
            <w:vAlign w:val="center"/>
          </w:tcPr>
          <w:p w14:paraId="79C1213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5000≤Z＜80000</w:t>
            </w:r>
          </w:p>
        </w:tc>
        <w:tc>
          <w:tcPr>
            <w:tcW w:w="1650" w:type="dxa"/>
            <w:tcBorders>
              <w:top w:val="nil"/>
              <w:left w:val="nil"/>
              <w:bottom w:val="single" w:color="auto" w:sz="4" w:space="0"/>
              <w:right w:val="single" w:color="auto" w:sz="4" w:space="0"/>
            </w:tcBorders>
            <w:vAlign w:val="center"/>
          </w:tcPr>
          <w:p w14:paraId="7FABD0C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300≤Z＜5000</w:t>
            </w:r>
          </w:p>
        </w:tc>
        <w:tc>
          <w:tcPr>
            <w:tcW w:w="1256" w:type="dxa"/>
            <w:tcBorders>
              <w:top w:val="nil"/>
              <w:left w:val="nil"/>
              <w:bottom w:val="single" w:color="auto" w:sz="4" w:space="0"/>
              <w:right w:val="single" w:color="auto" w:sz="4" w:space="0"/>
            </w:tcBorders>
            <w:vAlign w:val="center"/>
          </w:tcPr>
          <w:p w14:paraId="4BCCB32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Z＜300</w:t>
            </w:r>
          </w:p>
        </w:tc>
      </w:tr>
      <w:tr w14:paraId="63668038">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779836DC">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批发业</w:t>
            </w:r>
          </w:p>
        </w:tc>
        <w:tc>
          <w:tcPr>
            <w:tcW w:w="1515" w:type="dxa"/>
            <w:tcBorders>
              <w:top w:val="nil"/>
              <w:left w:val="nil"/>
              <w:bottom w:val="nil"/>
              <w:right w:val="single" w:color="auto" w:sz="4" w:space="0"/>
            </w:tcBorders>
            <w:vAlign w:val="center"/>
          </w:tcPr>
          <w:p w14:paraId="7A95DCE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24B2229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1866CFE1">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X≥200</w:t>
            </w:r>
          </w:p>
        </w:tc>
        <w:tc>
          <w:tcPr>
            <w:tcW w:w="1950" w:type="dxa"/>
            <w:tcBorders>
              <w:top w:val="nil"/>
              <w:left w:val="nil"/>
              <w:bottom w:val="nil"/>
              <w:right w:val="single" w:color="auto" w:sz="4" w:space="0"/>
            </w:tcBorders>
            <w:vAlign w:val="center"/>
          </w:tcPr>
          <w:p w14:paraId="7D29550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20≤X＜200</w:t>
            </w:r>
          </w:p>
        </w:tc>
        <w:tc>
          <w:tcPr>
            <w:tcW w:w="1650" w:type="dxa"/>
            <w:tcBorders>
              <w:top w:val="nil"/>
              <w:left w:val="nil"/>
              <w:bottom w:val="nil"/>
              <w:right w:val="single" w:color="auto" w:sz="4" w:space="0"/>
            </w:tcBorders>
            <w:vAlign w:val="center"/>
          </w:tcPr>
          <w:p w14:paraId="36042EF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5≤X＜20</w:t>
            </w:r>
          </w:p>
        </w:tc>
        <w:tc>
          <w:tcPr>
            <w:tcW w:w="1256" w:type="dxa"/>
            <w:tcBorders>
              <w:top w:val="nil"/>
              <w:left w:val="nil"/>
              <w:bottom w:val="nil"/>
              <w:right w:val="single" w:color="auto" w:sz="4" w:space="0"/>
            </w:tcBorders>
            <w:vAlign w:val="center"/>
          </w:tcPr>
          <w:p w14:paraId="03819C5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X＜5</w:t>
            </w:r>
          </w:p>
        </w:tc>
      </w:tr>
      <w:tr w14:paraId="7C5F2430">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434F997D">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59A60704">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43F67BA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572937D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Y≥40000</w:t>
            </w:r>
          </w:p>
        </w:tc>
        <w:tc>
          <w:tcPr>
            <w:tcW w:w="1950" w:type="dxa"/>
            <w:tcBorders>
              <w:top w:val="nil"/>
              <w:left w:val="nil"/>
              <w:bottom w:val="single" w:color="auto" w:sz="4" w:space="0"/>
              <w:right w:val="single" w:color="auto" w:sz="4" w:space="0"/>
            </w:tcBorders>
            <w:vAlign w:val="center"/>
          </w:tcPr>
          <w:p w14:paraId="486F9F5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5000≤Y＜40000</w:t>
            </w:r>
          </w:p>
        </w:tc>
        <w:tc>
          <w:tcPr>
            <w:tcW w:w="1650" w:type="dxa"/>
            <w:tcBorders>
              <w:top w:val="nil"/>
              <w:left w:val="nil"/>
              <w:bottom w:val="single" w:color="auto" w:sz="4" w:space="0"/>
              <w:right w:val="single" w:color="auto" w:sz="4" w:space="0"/>
            </w:tcBorders>
            <w:vAlign w:val="center"/>
          </w:tcPr>
          <w:p w14:paraId="3CCB27B7">
            <w:pPr>
              <w:widowControl/>
              <w:spacing w:line="240" w:lineRule="auto"/>
              <w:ind w:left="-1" w:leftChars="-1" w:hanging="1"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1000≤Y＜5000</w:t>
            </w:r>
          </w:p>
        </w:tc>
        <w:tc>
          <w:tcPr>
            <w:tcW w:w="1256" w:type="dxa"/>
            <w:tcBorders>
              <w:top w:val="nil"/>
              <w:left w:val="nil"/>
              <w:bottom w:val="single" w:color="auto" w:sz="4" w:space="0"/>
              <w:right w:val="single" w:color="auto" w:sz="4" w:space="0"/>
            </w:tcBorders>
            <w:vAlign w:val="center"/>
          </w:tcPr>
          <w:p w14:paraId="45F0D76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Y＜1000</w:t>
            </w:r>
          </w:p>
        </w:tc>
      </w:tr>
      <w:tr w14:paraId="075440C5">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1E63B272">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零售业</w:t>
            </w:r>
          </w:p>
        </w:tc>
        <w:tc>
          <w:tcPr>
            <w:tcW w:w="1515" w:type="dxa"/>
            <w:tcBorders>
              <w:top w:val="nil"/>
              <w:left w:val="nil"/>
              <w:bottom w:val="nil"/>
              <w:right w:val="single" w:color="auto" w:sz="4" w:space="0"/>
            </w:tcBorders>
            <w:vAlign w:val="center"/>
          </w:tcPr>
          <w:p w14:paraId="29FF759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1D5C596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226C5BC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X≥300</w:t>
            </w:r>
          </w:p>
        </w:tc>
        <w:tc>
          <w:tcPr>
            <w:tcW w:w="1950" w:type="dxa"/>
            <w:tcBorders>
              <w:top w:val="nil"/>
              <w:left w:val="nil"/>
              <w:bottom w:val="nil"/>
              <w:right w:val="single" w:color="auto" w:sz="4" w:space="0"/>
            </w:tcBorders>
            <w:vAlign w:val="center"/>
          </w:tcPr>
          <w:p w14:paraId="679B2BE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50≤X＜300</w:t>
            </w:r>
          </w:p>
        </w:tc>
        <w:tc>
          <w:tcPr>
            <w:tcW w:w="1650" w:type="dxa"/>
            <w:tcBorders>
              <w:top w:val="nil"/>
              <w:left w:val="nil"/>
              <w:bottom w:val="nil"/>
              <w:right w:val="single" w:color="auto" w:sz="4" w:space="0"/>
            </w:tcBorders>
            <w:vAlign w:val="center"/>
          </w:tcPr>
          <w:p w14:paraId="13F91B4C">
            <w:pPr>
              <w:widowControl/>
              <w:spacing w:line="240" w:lineRule="auto"/>
              <w:ind w:left="-1" w:leftChars="-1" w:hanging="1"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10≤X＜50</w:t>
            </w:r>
          </w:p>
        </w:tc>
        <w:tc>
          <w:tcPr>
            <w:tcW w:w="1256" w:type="dxa"/>
            <w:tcBorders>
              <w:top w:val="nil"/>
              <w:left w:val="nil"/>
              <w:bottom w:val="nil"/>
              <w:right w:val="single" w:color="auto" w:sz="4" w:space="0"/>
            </w:tcBorders>
            <w:vAlign w:val="center"/>
          </w:tcPr>
          <w:p w14:paraId="265F9C5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w:t>
            </w:r>
          </w:p>
        </w:tc>
      </w:tr>
      <w:tr w14:paraId="3A11978A">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277AF9BD">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34E43C96">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5EFFD274">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1885ABF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Y≥20000</w:t>
            </w:r>
          </w:p>
        </w:tc>
        <w:tc>
          <w:tcPr>
            <w:tcW w:w="1950" w:type="dxa"/>
            <w:tcBorders>
              <w:top w:val="nil"/>
              <w:left w:val="nil"/>
              <w:bottom w:val="single" w:color="auto" w:sz="4" w:space="0"/>
              <w:right w:val="single" w:color="auto" w:sz="4" w:space="0"/>
            </w:tcBorders>
            <w:vAlign w:val="center"/>
          </w:tcPr>
          <w:p w14:paraId="62950C7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500≤Y＜20000</w:t>
            </w:r>
          </w:p>
        </w:tc>
        <w:tc>
          <w:tcPr>
            <w:tcW w:w="1650" w:type="dxa"/>
            <w:tcBorders>
              <w:top w:val="nil"/>
              <w:left w:val="nil"/>
              <w:bottom w:val="single" w:color="auto" w:sz="4" w:space="0"/>
              <w:right w:val="single" w:color="auto" w:sz="4" w:space="0"/>
            </w:tcBorders>
            <w:vAlign w:val="center"/>
          </w:tcPr>
          <w:p w14:paraId="240EFF54">
            <w:pPr>
              <w:widowControl/>
              <w:spacing w:line="240" w:lineRule="auto"/>
              <w:ind w:left="-1" w:leftChars="-1" w:hanging="1"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100≤Y＜500</w:t>
            </w:r>
          </w:p>
        </w:tc>
        <w:tc>
          <w:tcPr>
            <w:tcW w:w="1256" w:type="dxa"/>
            <w:tcBorders>
              <w:top w:val="nil"/>
              <w:left w:val="nil"/>
              <w:bottom w:val="single" w:color="auto" w:sz="4" w:space="0"/>
              <w:right w:val="single" w:color="auto" w:sz="4" w:space="0"/>
            </w:tcBorders>
            <w:vAlign w:val="center"/>
          </w:tcPr>
          <w:p w14:paraId="16598B7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w:t>
            </w:r>
          </w:p>
        </w:tc>
      </w:tr>
      <w:tr w14:paraId="7FB7EB1A">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526FAB3A">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交通运输业 *</w:t>
            </w:r>
          </w:p>
        </w:tc>
        <w:tc>
          <w:tcPr>
            <w:tcW w:w="1515" w:type="dxa"/>
            <w:tcBorders>
              <w:top w:val="nil"/>
              <w:left w:val="nil"/>
              <w:bottom w:val="nil"/>
              <w:right w:val="single" w:color="auto" w:sz="4" w:space="0"/>
            </w:tcBorders>
            <w:vAlign w:val="center"/>
          </w:tcPr>
          <w:p w14:paraId="11CBE7F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27D4D6D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6309E8E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X≥1000</w:t>
            </w:r>
          </w:p>
        </w:tc>
        <w:tc>
          <w:tcPr>
            <w:tcW w:w="1950" w:type="dxa"/>
            <w:tcBorders>
              <w:top w:val="nil"/>
              <w:left w:val="nil"/>
              <w:bottom w:val="nil"/>
              <w:right w:val="single" w:color="auto" w:sz="4" w:space="0"/>
            </w:tcBorders>
            <w:vAlign w:val="center"/>
          </w:tcPr>
          <w:p w14:paraId="21EF3FC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300≤X＜1000</w:t>
            </w:r>
          </w:p>
        </w:tc>
        <w:tc>
          <w:tcPr>
            <w:tcW w:w="1650" w:type="dxa"/>
            <w:tcBorders>
              <w:top w:val="nil"/>
              <w:left w:val="nil"/>
              <w:bottom w:val="nil"/>
              <w:right w:val="single" w:color="auto" w:sz="4" w:space="0"/>
            </w:tcBorders>
            <w:vAlign w:val="center"/>
          </w:tcPr>
          <w:p w14:paraId="5925921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20≤X＜300</w:t>
            </w:r>
          </w:p>
        </w:tc>
        <w:tc>
          <w:tcPr>
            <w:tcW w:w="1256" w:type="dxa"/>
            <w:tcBorders>
              <w:top w:val="nil"/>
              <w:left w:val="nil"/>
              <w:bottom w:val="nil"/>
              <w:right w:val="single" w:color="auto" w:sz="4" w:space="0"/>
            </w:tcBorders>
            <w:vAlign w:val="center"/>
          </w:tcPr>
          <w:p w14:paraId="1B7BDBF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X＜20</w:t>
            </w:r>
          </w:p>
        </w:tc>
      </w:tr>
      <w:tr w14:paraId="0050A929">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3C5DA60D">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4EAFF2CD">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53C425CE">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498CA8B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Y≥30000</w:t>
            </w:r>
          </w:p>
        </w:tc>
        <w:tc>
          <w:tcPr>
            <w:tcW w:w="1950" w:type="dxa"/>
            <w:tcBorders>
              <w:top w:val="nil"/>
              <w:left w:val="nil"/>
              <w:bottom w:val="single" w:color="auto" w:sz="4" w:space="0"/>
              <w:right w:val="single" w:color="auto" w:sz="4" w:space="0"/>
            </w:tcBorders>
            <w:vAlign w:val="center"/>
          </w:tcPr>
          <w:p w14:paraId="7E1C52E1">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3000≤Y＜30000</w:t>
            </w:r>
          </w:p>
        </w:tc>
        <w:tc>
          <w:tcPr>
            <w:tcW w:w="1650" w:type="dxa"/>
            <w:tcBorders>
              <w:top w:val="nil"/>
              <w:left w:val="nil"/>
              <w:bottom w:val="single" w:color="auto" w:sz="4" w:space="0"/>
              <w:right w:val="single" w:color="auto" w:sz="4" w:space="0"/>
            </w:tcBorders>
            <w:vAlign w:val="center"/>
          </w:tcPr>
          <w:p w14:paraId="1D6E3FD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200≤Y＜3000</w:t>
            </w:r>
          </w:p>
        </w:tc>
        <w:tc>
          <w:tcPr>
            <w:tcW w:w="1256" w:type="dxa"/>
            <w:tcBorders>
              <w:top w:val="nil"/>
              <w:left w:val="nil"/>
              <w:bottom w:val="single" w:color="auto" w:sz="4" w:space="0"/>
              <w:right w:val="single" w:color="auto" w:sz="4" w:space="0"/>
            </w:tcBorders>
            <w:vAlign w:val="center"/>
          </w:tcPr>
          <w:p w14:paraId="68426BA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Y＜200</w:t>
            </w:r>
          </w:p>
        </w:tc>
      </w:tr>
      <w:tr w14:paraId="450D9C98">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22302B8D">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仓储业*</w:t>
            </w:r>
          </w:p>
        </w:tc>
        <w:tc>
          <w:tcPr>
            <w:tcW w:w="1515" w:type="dxa"/>
            <w:tcBorders>
              <w:top w:val="nil"/>
              <w:left w:val="nil"/>
              <w:bottom w:val="nil"/>
              <w:right w:val="single" w:color="auto" w:sz="4" w:space="0"/>
            </w:tcBorders>
            <w:vAlign w:val="center"/>
          </w:tcPr>
          <w:p w14:paraId="2EC24E4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6593F44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4DA95D2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X≥200</w:t>
            </w:r>
          </w:p>
        </w:tc>
        <w:tc>
          <w:tcPr>
            <w:tcW w:w="1950" w:type="dxa"/>
            <w:tcBorders>
              <w:top w:val="nil"/>
              <w:left w:val="nil"/>
              <w:bottom w:val="nil"/>
              <w:right w:val="single" w:color="auto" w:sz="4" w:space="0"/>
            </w:tcBorders>
            <w:vAlign w:val="center"/>
          </w:tcPr>
          <w:p w14:paraId="48B0BDC0">
            <w:pPr>
              <w:widowControl/>
              <w:spacing w:line="240" w:lineRule="auto"/>
              <w:ind w:left="25" w:leftChars="-51" w:hanging="132" w:hangingChars="6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100≤X＜200</w:t>
            </w:r>
          </w:p>
        </w:tc>
        <w:tc>
          <w:tcPr>
            <w:tcW w:w="1650" w:type="dxa"/>
            <w:tcBorders>
              <w:top w:val="nil"/>
              <w:left w:val="nil"/>
              <w:bottom w:val="nil"/>
              <w:right w:val="single" w:color="auto" w:sz="4" w:space="0"/>
            </w:tcBorders>
            <w:vAlign w:val="center"/>
          </w:tcPr>
          <w:p w14:paraId="75DE987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20≤X＜100</w:t>
            </w:r>
          </w:p>
        </w:tc>
        <w:tc>
          <w:tcPr>
            <w:tcW w:w="1256" w:type="dxa"/>
            <w:tcBorders>
              <w:top w:val="nil"/>
              <w:left w:val="nil"/>
              <w:bottom w:val="nil"/>
              <w:right w:val="single" w:color="auto" w:sz="4" w:space="0"/>
            </w:tcBorders>
            <w:vAlign w:val="center"/>
          </w:tcPr>
          <w:p w14:paraId="5DD87F8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X＜20</w:t>
            </w:r>
          </w:p>
        </w:tc>
      </w:tr>
      <w:tr w14:paraId="41B4892E">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6D9804FA">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5679DACF">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7185383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6548804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Y≥30000</w:t>
            </w:r>
          </w:p>
        </w:tc>
        <w:tc>
          <w:tcPr>
            <w:tcW w:w="1950" w:type="dxa"/>
            <w:tcBorders>
              <w:top w:val="nil"/>
              <w:left w:val="nil"/>
              <w:bottom w:val="single" w:color="auto" w:sz="4" w:space="0"/>
              <w:right w:val="single" w:color="auto" w:sz="4" w:space="0"/>
            </w:tcBorders>
            <w:vAlign w:val="center"/>
          </w:tcPr>
          <w:p w14:paraId="7619FEF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1000≤Y＜30000</w:t>
            </w:r>
          </w:p>
        </w:tc>
        <w:tc>
          <w:tcPr>
            <w:tcW w:w="1650" w:type="dxa"/>
            <w:tcBorders>
              <w:top w:val="nil"/>
              <w:left w:val="nil"/>
              <w:bottom w:val="single" w:color="auto" w:sz="4" w:space="0"/>
              <w:right w:val="single" w:color="auto" w:sz="4" w:space="0"/>
            </w:tcBorders>
            <w:vAlign w:val="center"/>
          </w:tcPr>
          <w:p w14:paraId="36FAC45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100≤Y＜1000</w:t>
            </w:r>
          </w:p>
        </w:tc>
        <w:tc>
          <w:tcPr>
            <w:tcW w:w="1256" w:type="dxa"/>
            <w:tcBorders>
              <w:top w:val="nil"/>
              <w:left w:val="nil"/>
              <w:bottom w:val="single" w:color="auto" w:sz="4" w:space="0"/>
              <w:right w:val="single" w:color="auto" w:sz="4" w:space="0"/>
            </w:tcBorders>
            <w:vAlign w:val="center"/>
          </w:tcPr>
          <w:p w14:paraId="3AF27C7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w:t>
            </w:r>
          </w:p>
        </w:tc>
      </w:tr>
      <w:tr w14:paraId="0EF8001B">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77DE835F">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邮政业</w:t>
            </w:r>
          </w:p>
        </w:tc>
        <w:tc>
          <w:tcPr>
            <w:tcW w:w="1515" w:type="dxa"/>
            <w:tcBorders>
              <w:top w:val="nil"/>
              <w:left w:val="nil"/>
              <w:bottom w:val="nil"/>
              <w:right w:val="single" w:color="auto" w:sz="4" w:space="0"/>
            </w:tcBorders>
            <w:vAlign w:val="center"/>
          </w:tcPr>
          <w:p w14:paraId="65B3705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46CCE76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72D6616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X≥1000</w:t>
            </w:r>
          </w:p>
        </w:tc>
        <w:tc>
          <w:tcPr>
            <w:tcW w:w="1950" w:type="dxa"/>
            <w:tcBorders>
              <w:top w:val="nil"/>
              <w:left w:val="nil"/>
              <w:bottom w:val="nil"/>
              <w:right w:val="single" w:color="auto" w:sz="4" w:space="0"/>
            </w:tcBorders>
            <w:vAlign w:val="center"/>
          </w:tcPr>
          <w:p w14:paraId="2FABE8D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300≤X＜1000</w:t>
            </w:r>
          </w:p>
        </w:tc>
        <w:tc>
          <w:tcPr>
            <w:tcW w:w="1650" w:type="dxa"/>
            <w:tcBorders>
              <w:top w:val="nil"/>
              <w:left w:val="nil"/>
              <w:bottom w:val="nil"/>
              <w:right w:val="single" w:color="auto" w:sz="4" w:space="0"/>
            </w:tcBorders>
            <w:vAlign w:val="center"/>
          </w:tcPr>
          <w:p w14:paraId="1ADF9DE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20≤X＜300</w:t>
            </w:r>
          </w:p>
        </w:tc>
        <w:tc>
          <w:tcPr>
            <w:tcW w:w="1256" w:type="dxa"/>
            <w:tcBorders>
              <w:top w:val="nil"/>
              <w:left w:val="nil"/>
              <w:bottom w:val="nil"/>
              <w:right w:val="single" w:color="auto" w:sz="4" w:space="0"/>
            </w:tcBorders>
            <w:vAlign w:val="center"/>
          </w:tcPr>
          <w:p w14:paraId="3FBE0B6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X＜20</w:t>
            </w:r>
          </w:p>
        </w:tc>
      </w:tr>
      <w:tr w14:paraId="62819A3A">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26044F71">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1A082C19">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6C7C18D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26142A2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Y≥30000</w:t>
            </w:r>
          </w:p>
        </w:tc>
        <w:tc>
          <w:tcPr>
            <w:tcW w:w="1950" w:type="dxa"/>
            <w:tcBorders>
              <w:top w:val="nil"/>
              <w:left w:val="nil"/>
              <w:bottom w:val="single" w:color="auto" w:sz="4" w:space="0"/>
              <w:right w:val="single" w:color="auto" w:sz="4" w:space="0"/>
            </w:tcBorders>
            <w:vAlign w:val="center"/>
          </w:tcPr>
          <w:p w14:paraId="0EDE1F8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2000≤Y＜30000</w:t>
            </w:r>
          </w:p>
        </w:tc>
        <w:tc>
          <w:tcPr>
            <w:tcW w:w="1650" w:type="dxa"/>
            <w:tcBorders>
              <w:top w:val="nil"/>
              <w:left w:val="nil"/>
              <w:bottom w:val="single" w:color="auto" w:sz="4" w:space="0"/>
              <w:right w:val="single" w:color="auto" w:sz="4" w:space="0"/>
            </w:tcBorders>
            <w:vAlign w:val="center"/>
          </w:tcPr>
          <w:p w14:paraId="57F5944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100≤Y＜2000</w:t>
            </w:r>
          </w:p>
        </w:tc>
        <w:tc>
          <w:tcPr>
            <w:tcW w:w="1256" w:type="dxa"/>
            <w:tcBorders>
              <w:top w:val="nil"/>
              <w:left w:val="nil"/>
              <w:bottom w:val="single" w:color="auto" w:sz="4" w:space="0"/>
              <w:right w:val="single" w:color="auto" w:sz="4" w:space="0"/>
            </w:tcBorders>
            <w:vAlign w:val="center"/>
          </w:tcPr>
          <w:p w14:paraId="7F84D49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w:t>
            </w:r>
          </w:p>
        </w:tc>
      </w:tr>
      <w:tr w14:paraId="6AEAC31C">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62F87A8F">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住宿业</w:t>
            </w:r>
          </w:p>
        </w:tc>
        <w:tc>
          <w:tcPr>
            <w:tcW w:w="1515" w:type="dxa"/>
            <w:tcBorders>
              <w:top w:val="nil"/>
              <w:left w:val="nil"/>
              <w:bottom w:val="nil"/>
              <w:right w:val="single" w:color="auto" w:sz="4" w:space="0"/>
            </w:tcBorders>
            <w:vAlign w:val="center"/>
          </w:tcPr>
          <w:p w14:paraId="5157B3A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5F848A01">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219BB39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X≥300</w:t>
            </w:r>
          </w:p>
        </w:tc>
        <w:tc>
          <w:tcPr>
            <w:tcW w:w="1950" w:type="dxa"/>
            <w:tcBorders>
              <w:top w:val="nil"/>
              <w:left w:val="nil"/>
              <w:bottom w:val="nil"/>
              <w:right w:val="single" w:color="auto" w:sz="4" w:space="0"/>
            </w:tcBorders>
            <w:vAlign w:val="center"/>
          </w:tcPr>
          <w:p w14:paraId="1F6B2416">
            <w:pPr>
              <w:widowControl/>
              <w:spacing w:line="240" w:lineRule="auto"/>
              <w:ind w:left="25" w:leftChars="-51" w:hanging="132" w:hangingChars="6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100≤X＜300</w:t>
            </w:r>
          </w:p>
        </w:tc>
        <w:tc>
          <w:tcPr>
            <w:tcW w:w="1650" w:type="dxa"/>
            <w:tcBorders>
              <w:top w:val="nil"/>
              <w:left w:val="nil"/>
              <w:bottom w:val="nil"/>
              <w:right w:val="single" w:color="auto" w:sz="4" w:space="0"/>
            </w:tcBorders>
            <w:vAlign w:val="center"/>
          </w:tcPr>
          <w:p w14:paraId="687EEFA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10≤X＜100</w:t>
            </w:r>
          </w:p>
        </w:tc>
        <w:tc>
          <w:tcPr>
            <w:tcW w:w="1256" w:type="dxa"/>
            <w:tcBorders>
              <w:top w:val="nil"/>
              <w:left w:val="nil"/>
              <w:bottom w:val="nil"/>
              <w:right w:val="single" w:color="auto" w:sz="4" w:space="0"/>
            </w:tcBorders>
            <w:vAlign w:val="center"/>
          </w:tcPr>
          <w:p w14:paraId="6F4B687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w:t>
            </w:r>
          </w:p>
        </w:tc>
      </w:tr>
      <w:tr w14:paraId="5B6DC82D">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47D11B40">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1611A2BF">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0E5A4E4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41EA4F8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Y≥10000</w:t>
            </w:r>
          </w:p>
        </w:tc>
        <w:tc>
          <w:tcPr>
            <w:tcW w:w="1950" w:type="dxa"/>
            <w:tcBorders>
              <w:top w:val="nil"/>
              <w:left w:val="nil"/>
              <w:bottom w:val="single" w:color="auto" w:sz="4" w:space="0"/>
              <w:right w:val="single" w:color="auto" w:sz="4" w:space="0"/>
            </w:tcBorders>
            <w:vAlign w:val="center"/>
          </w:tcPr>
          <w:p w14:paraId="377417A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2000≤Y＜10000</w:t>
            </w:r>
          </w:p>
        </w:tc>
        <w:tc>
          <w:tcPr>
            <w:tcW w:w="1650" w:type="dxa"/>
            <w:tcBorders>
              <w:top w:val="nil"/>
              <w:left w:val="nil"/>
              <w:bottom w:val="single" w:color="auto" w:sz="4" w:space="0"/>
              <w:right w:val="single" w:color="auto" w:sz="4" w:space="0"/>
            </w:tcBorders>
            <w:vAlign w:val="center"/>
          </w:tcPr>
          <w:p w14:paraId="3EE7139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100≤Y＜2000</w:t>
            </w:r>
          </w:p>
        </w:tc>
        <w:tc>
          <w:tcPr>
            <w:tcW w:w="1256" w:type="dxa"/>
            <w:tcBorders>
              <w:top w:val="nil"/>
              <w:left w:val="nil"/>
              <w:bottom w:val="single" w:color="auto" w:sz="4" w:space="0"/>
              <w:right w:val="single" w:color="auto" w:sz="4" w:space="0"/>
            </w:tcBorders>
            <w:vAlign w:val="center"/>
          </w:tcPr>
          <w:p w14:paraId="034A022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w:t>
            </w:r>
          </w:p>
        </w:tc>
      </w:tr>
      <w:tr w14:paraId="4DD145F4">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7C1C820B">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餐饮业</w:t>
            </w:r>
          </w:p>
        </w:tc>
        <w:tc>
          <w:tcPr>
            <w:tcW w:w="1515" w:type="dxa"/>
            <w:tcBorders>
              <w:top w:val="nil"/>
              <w:left w:val="nil"/>
              <w:bottom w:val="nil"/>
              <w:right w:val="single" w:color="auto" w:sz="4" w:space="0"/>
            </w:tcBorders>
            <w:vAlign w:val="center"/>
          </w:tcPr>
          <w:p w14:paraId="0FF1804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6F00CB0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1DBDECDE">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X≥300</w:t>
            </w:r>
          </w:p>
        </w:tc>
        <w:tc>
          <w:tcPr>
            <w:tcW w:w="1950" w:type="dxa"/>
            <w:tcBorders>
              <w:top w:val="nil"/>
              <w:left w:val="nil"/>
              <w:bottom w:val="nil"/>
              <w:right w:val="single" w:color="auto" w:sz="4" w:space="0"/>
            </w:tcBorders>
            <w:vAlign w:val="center"/>
          </w:tcPr>
          <w:p w14:paraId="57ADFC3F">
            <w:pPr>
              <w:widowControl/>
              <w:spacing w:line="240" w:lineRule="auto"/>
              <w:ind w:left="25" w:leftChars="-51" w:hanging="132" w:hangingChars="6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100≤X＜300</w:t>
            </w:r>
          </w:p>
        </w:tc>
        <w:tc>
          <w:tcPr>
            <w:tcW w:w="1650" w:type="dxa"/>
            <w:tcBorders>
              <w:top w:val="nil"/>
              <w:left w:val="nil"/>
              <w:bottom w:val="nil"/>
              <w:right w:val="single" w:color="auto" w:sz="4" w:space="0"/>
            </w:tcBorders>
            <w:vAlign w:val="center"/>
          </w:tcPr>
          <w:p w14:paraId="66A2FE3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10≤X＜100</w:t>
            </w:r>
          </w:p>
        </w:tc>
        <w:tc>
          <w:tcPr>
            <w:tcW w:w="1256" w:type="dxa"/>
            <w:tcBorders>
              <w:top w:val="nil"/>
              <w:left w:val="nil"/>
              <w:bottom w:val="nil"/>
              <w:right w:val="single" w:color="auto" w:sz="4" w:space="0"/>
            </w:tcBorders>
            <w:vAlign w:val="center"/>
          </w:tcPr>
          <w:p w14:paraId="66B37A7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w:t>
            </w:r>
          </w:p>
        </w:tc>
      </w:tr>
      <w:tr w14:paraId="5362FAB5">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2154D2BC">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0789EF20">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515BB5A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0B873B6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Y≥10000</w:t>
            </w:r>
          </w:p>
        </w:tc>
        <w:tc>
          <w:tcPr>
            <w:tcW w:w="1950" w:type="dxa"/>
            <w:tcBorders>
              <w:top w:val="nil"/>
              <w:left w:val="nil"/>
              <w:bottom w:val="single" w:color="auto" w:sz="4" w:space="0"/>
              <w:right w:val="single" w:color="auto" w:sz="4" w:space="0"/>
            </w:tcBorders>
            <w:vAlign w:val="center"/>
          </w:tcPr>
          <w:p w14:paraId="1C50530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2000≤Y＜10000</w:t>
            </w:r>
          </w:p>
        </w:tc>
        <w:tc>
          <w:tcPr>
            <w:tcW w:w="1650" w:type="dxa"/>
            <w:tcBorders>
              <w:top w:val="nil"/>
              <w:left w:val="nil"/>
              <w:bottom w:val="single" w:color="auto" w:sz="4" w:space="0"/>
              <w:right w:val="single" w:color="auto" w:sz="4" w:space="0"/>
            </w:tcBorders>
            <w:vAlign w:val="center"/>
          </w:tcPr>
          <w:p w14:paraId="52BED67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100≤Y＜2000</w:t>
            </w:r>
          </w:p>
        </w:tc>
        <w:tc>
          <w:tcPr>
            <w:tcW w:w="1256" w:type="dxa"/>
            <w:tcBorders>
              <w:top w:val="nil"/>
              <w:left w:val="nil"/>
              <w:bottom w:val="single" w:color="auto" w:sz="4" w:space="0"/>
              <w:right w:val="single" w:color="auto" w:sz="4" w:space="0"/>
            </w:tcBorders>
            <w:vAlign w:val="center"/>
          </w:tcPr>
          <w:p w14:paraId="654FE3EE">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w:t>
            </w:r>
          </w:p>
        </w:tc>
      </w:tr>
      <w:tr w14:paraId="2011373E">
        <w:tblPrEx>
          <w:tblCellMar>
            <w:top w:w="0" w:type="dxa"/>
            <w:left w:w="108" w:type="dxa"/>
            <w:bottom w:w="0" w:type="dxa"/>
            <w:right w:w="108" w:type="dxa"/>
          </w:tblCellMar>
        </w:tblPrEx>
        <w:trPr>
          <w:trHeight w:val="405"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6804DA72">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信息传输业 *</w:t>
            </w:r>
          </w:p>
        </w:tc>
        <w:tc>
          <w:tcPr>
            <w:tcW w:w="1515" w:type="dxa"/>
            <w:tcBorders>
              <w:top w:val="nil"/>
              <w:left w:val="nil"/>
              <w:bottom w:val="nil"/>
              <w:right w:val="single" w:color="auto" w:sz="4" w:space="0"/>
            </w:tcBorders>
            <w:vAlign w:val="center"/>
          </w:tcPr>
          <w:p w14:paraId="087F8EF4">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1E77704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3FB7250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X≥2000</w:t>
            </w:r>
          </w:p>
        </w:tc>
        <w:tc>
          <w:tcPr>
            <w:tcW w:w="1950" w:type="dxa"/>
            <w:tcBorders>
              <w:top w:val="nil"/>
              <w:left w:val="nil"/>
              <w:bottom w:val="nil"/>
              <w:right w:val="single" w:color="auto" w:sz="4" w:space="0"/>
            </w:tcBorders>
            <w:vAlign w:val="center"/>
          </w:tcPr>
          <w:p w14:paraId="598412D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100≤X＜2000</w:t>
            </w:r>
          </w:p>
        </w:tc>
        <w:tc>
          <w:tcPr>
            <w:tcW w:w="1650" w:type="dxa"/>
            <w:tcBorders>
              <w:top w:val="nil"/>
              <w:left w:val="nil"/>
              <w:bottom w:val="nil"/>
              <w:right w:val="single" w:color="auto" w:sz="4" w:space="0"/>
            </w:tcBorders>
            <w:vAlign w:val="center"/>
          </w:tcPr>
          <w:p w14:paraId="14EA059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10≤X＜100</w:t>
            </w:r>
          </w:p>
        </w:tc>
        <w:tc>
          <w:tcPr>
            <w:tcW w:w="1256" w:type="dxa"/>
            <w:tcBorders>
              <w:top w:val="nil"/>
              <w:left w:val="nil"/>
              <w:bottom w:val="nil"/>
              <w:right w:val="single" w:color="auto" w:sz="4" w:space="0"/>
            </w:tcBorders>
            <w:vAlign w:val="center"/>
          </w:tcPr>
          <w:p w14:paraId="7FCFD48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w:t>
            </w:r>
          </w:p>
        </w:tc>
      </w:tr>
      <w:tr w14:paraId="404CC0EA">
        <w:tblPrEx>
          <w:tblCellMar>
            <w:top w:w="0" w:type="dxa"/>
            <w:left w:w="108" w:type="dxa"/>
            <w:bottom w:w="0" w:type="dxa"/>
            <w:right w:w="108" w:type="dxa"/>
          </w:tblCellMar>
        </w:tblPrEx>
        <w:trPr>
          <w:trHeight w:val="405"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10FC3F15">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3139399E">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336B516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623303E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Y≥100000</w:t>
            </w:r>
          </w:p>
        </w:tc>
        <w:tc>
          <w:tcPr>
            <w:tcW w:w="1950" w:type="dxa"/>
            <w:tcBorders>
              <w:top w:val="nil"/>
              <w:left w:val="nil"/>
              <w:bottom w:val="single" w:color="auto" w:sz="4" w:space="0"/>
              <w:right w:val="single" w:color="auto" w:sz="4" w:space="0"/>
            </w:tcBorders>
            <w:vAlign w:val="center"/>
          </w:tcPr>
          <w:p w14:paraId="167BBF0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1000≤Y＜100000</w:t>
            </w:r>
          </w:p>
        </w:tc>
        <w:tc>
          <w:tcPr>
            <w:tcW w:w="1650" w:type="dxa"/>
            <w:tcBorders>
              <w:top w:val="nil"/>
              <w:left w:val="nil"/>
              <w:bottom w:val="single" w:color="auto" w:sz="4" w:space="0"/>
              <w:right w:val="single" w:color="auto" w:sz="4" w:space="0"/>
            </w:tcBorders>
            <w:vAlign w:val="center"/>
          </w:tcPr>
          <w:p w14:paraId="106EB42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100≤Y＜1000</w:t>
            </w:r>
          </w:p>
        </w:tc>
        <w:tc>
          <w:tcPr>
            <w:tcW w:w="1256" w:type="dxa"/>
            <w:tcBorders>
              <w:top w:val="nil"/>
              <w:left w:val="nil"/>
              <w:bottom w:val="single" w:color="auto" w:sz="4" w:space="0"/>
              <w:right w:val="single" w:color="auto" w:sz="4" w:space="0"/>
            </w:tcBorders>
            <w:vAlign w:val="center"/>
          </w:tcPr>
          <w:p w14:paraId="2B56F59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w:t>
            </w:r>
          </w:p>
        </w:tc>
      </w:tr>
      <w:tr w14:paraId="464BE254">
        <w:tblPrEx>
          <w:tblCellMar>
            <w:top w:w="0" w:type="dxa"/>
            <w:left w:w="108" w:type="dxa"/>
            <w:bottom w:w="0" w:type="dxa"/>
            <w:right w:w="108" w:type="dxa"/>
          </w:tblCellMar>
        </w:tblPrEx>
        <w:trPr>
          <w:trHeight w:val="347" w:hRule="exact"/>
          <w:jc w:val="center"/>
        </w:trPr>
        <w:tc>
          <w:tcPr>
            <w:tcW w:w="2088" w:type="dxa"/>
            <w:vMerge w:val="restart"/>
            <w:tcBorders>
              <w:top w:val="single" w:color="auto" w:sz="4" w:space="0"/>
              <w:left w:val="single" w:color="auto" w:sz="4" w:space="0"/>
              <w:bottom w:val="single" w:color="auto" w:sz="4" w:space="0"/>
              <w:right w:val="single" w:color="auto" w:sz="4" w:space="0"/>
            </w:tcBorders>
            <w:vAlign w:val="center"/>
          </w:tcPr>
          <w:p w14:paraId="6F281EA3">
            <w:pPr>
              <w:widowControl/>
              <w:spacing w:line="240" w:lineRule="exact"/>
              <w:ind w:firstLine="0" w:firstLineChars="0"/>
              <w:jc w:val="center"/>
              <w:rPr>
                <w:rFonts w:hint="eastAsia" w:ascii="宋体" w:hAnsi="宋体" w:eastAsia="宋体" w:cs="宋体"/>
                <w:color w:val="000000"/>
                <w:spacing w:val="-12"/>
                <w:kern w:val="0"/>
                <w:sz w:val="22"/>
                <w:szCs w:val="22"/>
              </w:rPr>
            </w:pPr>
            <w:r>
              <w:rPr>
                <w:rFonts w:hint="eastAsia" w:ascii="宋体" w:hAnsi="宋体" w:eastAsia="宋体" w:cs="宋体"/>
                <w:color w:val="000000"/>
                <w:spacing w:val="-12"/>
                <w:kern w:val="0"/>
                <w:sz w:val="22"/>
                <w:szCs w:val="22"/>
              </w:rPr>
              <w:t>软件和信息技术服</w:t>
            </w:r>
            <w:r>
              <w:rPr>
                <w:rFonts w:hint="eastAsia" w:ascii="宋体" w:hAnsi="宋体" w:eastAsia="宋体" w:cs="宋体"/>
                <w:color w:val="000000"/>
                <w:kern w:val="0"/>
                <w:sz w:val="22"/>
                <w:szCs w:val="22"/>
              </w:rPr>
              <w:t>务业</w:t>
            </w:r>
          </w:p>
        </w:tc>
        <w:tc>
          <w:tcPr>
            <w:tcW w:w="1515" w:type="dxa"/>
            <w:tcBorders>
              <w:top w:val="nil"/>
              <w:left w:val="nil"/>
              <w:bottom w:val="nil"/>
              <w:right w:val="single" w:color="auto" w:sz="4" w:space="0"/>
            </w:tcBorders>
            <w:vAlign w:val="center"/>
          </w:tcPr>
          <w:p w14:paraId="2D010D7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12C3FB1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0EBAF661">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X≥300</w:t>
            </w:r>
          </w:p>
        </w:tc>
        <w:tc>
          <w:tcPr>
            <w:tcW w:w="1950" w:type="dxa"/>
            <w:tcBorders>
              <w:top w:val="nil"/>
              <w:left w:val="nil"/>
              <w:bottom w:val="nil"/>
              <w:right w:val="single" w:color="auto" w:sz="4" w:space="0"/>
            </w:tcBorders>
            <w:vAlign w:val="center"/>
          </w:tcPr>
          <w:p w14:paraId="0ED11044">
            <w:pPr>
              <w:widowControl/>
              <w:spacing w:line="240" w:lineRule="auto"/>
              <w:ind w:left="25" w:leftChars="-51" w:hanging="132" w:hangingChars="6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100≤X＜300</w:t>
            </w:r>
          </w:p>
        </w:tc>
        <w:tc>
          <w:tcPr>
            <w:tcW w:w="1650" w:type="dxa"/>
            <w:tcBorders>
              <w:top w:val="nil"/>
              <w:left w:val="nil"/>
              <w:bottom w:val="nil"/>
              <w:right w:val="single" w:color="auto" w:sz="4" w:space="0"/>
            </w:tcBorders>
            <w:vAlign w:val="center"/>
          </w:tcPr>
          <w:p w14:paraId="5C36874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10≤X＜100</w:t>
            </w:r>
          </w:p>
        </w:tc>
        <w:tc>
          <w:tcPr>
            <w:tcW w:w="1256" w:type="dxa"/>
            <w:tcBorders>
              <w:top w:val="nil"/>
              <w:left w:val="nil"/>
              <w:bottom w:val="nil"/>
              <w:right w:val="single" w:color="auto" w:sz="4" w:space="0"/>
            </w:tcBorders>
            <w:vAlign w:val="center"/>
          </w:tcPr>
          <w:p w14:paraId="4DB7FFD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w:t>
            </w:r>
          </w:p>
        </w:tc>
      </w:tr>
      <w:tr w14:paraId="043BF42F">
        <w:tblPrEx>
          <w:tblCellMar>
            <w:top w:w="0" w:type="dxa"/>
            <w:left w:w="108" w:type="dxa"/>
            <w:bottom w:w="0" w:type="dxa"/>
            <w:right w:w="108" w:type="dxa"/>
          </w:tblCellMar>
        </w:tblPrEx>
        <w:trPr>
          <w:trHeight w:val="347" w:hRule="exact"/>
          <w:jc w:val="center"/>
        </w:trPr>
        <w:tc>
          <w:tcPr>
            <w:tcW w:w="2088" w:type="dxa"/>
            <w:vMerge w:val="continue"/>
            <w:tcBorders>
              <w:top w:val="single" w:color="auto" w:sz="4" w:space="0"/>
              <w:left w:val="single" w:color="auto" w:sz="4" w:space="0"/>
              <w:bottom w:val="single" w:color="auto" w:sz="4" w:space="0"/>
              <w:right w:val="single" w:color="auto" w:sz="4" w:space="0"/>
            </w:tcBorders>
            <w:vAlign w:val="center"/>
          </w:tcPr>
          <w:p w14:paraId="33AC3F3C">
            <w:pPr>
              <w:widowControl/>
              <w:spacing w:line="240" w:lineRule="auto"/>
              <w:ind w:firstLine="0" w:firstLineChars="0"/>
              <w:jc w:val="center"/>
              <w:rPr>
                <w:rFonts w:hint="eastAsia" w:ascii="宋体" w:hAnsi="宋体" w:eastAsia="宋体" w:cs="宋体"/>
                <w:color w:val="000000"/>
                <w:spacing w:val="-12"/>
                <w:kern w:val="0"/>
                <w:sz w:val="22"/>
                <w:szCs w:val="22"/>
              </w:rPr>
            </w:pPr>
          </w:p>
        </w:tc>
        <w:tc>
          <w:tcPr>
            <w:tcW w:w="1515" w:type="dxa"/>
            <w:tcBorders>
              <w:top w:val="nil"/>
              <w:left w:val="nil"/>
              <w:bottom w:val="single" w:color="auto" w:sz="4" w:space="0"/>
              <w:right w:val="single" w:color="auto" w:sz="4" w:space="0"/>
            </w:tcBorders>
            <w:vAlign w:val="center"/>
          </w:tcPr>
          <w:p w14:paraId="568EFF1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4762636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5E596B9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Y≥10000</w:t>
            </w:r>
          </w:p>
        </w:tc>
        <w:tc>
          <w:tcPr>
            <w:tcW w:w="1950" w:type="dxa"/>
            <w:tcBorders>
              <w:top w:val="nil"/>
              <w:left w:val="nil"/>
              <w:bottom w:val="single" w:color="auto" w:sz="4" w:space="0"/>
              <w:right w:val="single" w:color="auto" w:sz="4" w:space="0"/>
            </w:tcBorders>
            <w:vAlign w:val="center"/>
          </w:tcPr>
          <w:p w14:paraId="5263F36E">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1000≤Y＜10000</w:t>
            </w:r>
          </w:p>
        </w:tc>
        <w:tc>
          <w:tcPr>
            <w:tcW w:w="1650" w:type="dxa"/>
            <w:tcBorders>
              <w:top w:val="nil"/>
              <w:left w:val="nil"/>
              <w:bottom w:val="single" w:color="auto" w:sz="4" w:space="0"/>
              <w:right w:val="single" w:color="auto" w:sz="4" w:space="0"/>
            </w:tcBorders>
            <w:vAlign w:val="center"/>
          </w:tcPr>
          <w:p w14:paraId="1ADC058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50≤Y＜1000</w:t>
            </w:r>
          </w:p>
        </w:tc>
        <w:tc>
          <w:tcPr>
            <w:tcW w:w="1256" w:type="dxa"/>
            <w:tcBorders>
              <w:top w:val="nil"/>
              <w:left w:val="nil"/>
              <w:bottom w:val="single" w:color="auto" w:sz="4" w:space="0"/>
              <w:right w:val="single" w:color="auto" w:sz="4" w:space="0"/>
            </w:tcBorders>
            <w:vAlign w:val="center"/>
          </w:tcPr>
          <w:p w14:paraId="752F42DF">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Y＜50</w:t>
            </w:r>
          </w:p>
        </w:tc>
      </w:tr>
      <w:tr w14:paraId="61A87295">
        <w:tblPrEx>
          <w:tblCellMar>
            <w:top w:w="0" w:type="dxa"/>
            <w:left w:w="108" w:type="dxa"/>
            <w:bottom w:w="0" w:type="dxa"/>
            <w:right w:w="108" w:type="dxa"/>
          </w:tblCellMar>
        </w:tblPrEx>
        <w:trPr>
          <w:trHeight w:val="347"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012F911C">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房地产开发经营</w:t>
            </w:r>
          </w:p>
        </w:tc>
        <w:tc>
          <w:tcPr>
            <w:tcW w:w="1515" w:type="dxa"/>
            <w:tcBorders>
              <w:top w:val="nil"/>
              <w:left w:val="nil"/>
              <w:bottom w:val="nil"/>
              <w:right w:val="single" w:color="auto" w:sz="4" w:space="0"/>
            </w:tcBorders>
            <w:vAlign w:val="center"/>
          </w:tcPr>
          <w:p w14:paraId="0A869EA4">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nil"/>
              <w:right w:val="single" w:color="auto" w:sz="4" w:space="0"/>
            </w:tcBorders>
            <w:vAlign w:val="center"/>
          </w:tcPr>
          <w:p w14:paraId="6FAF963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nil"/>
              <w:right w:val="single" w:color="auto" w:sz="4" w:space="0"/>
            </w:tcBorders>
            <w:vAlign w:val="center"/>
          </w:tcPr>
          <w:p w14:paraId="7734B79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Y≥200000</w:t>
            </w:r>
          </w:p>
        </w:tc>
        <w:tc>
          <w:tcPr>
            <w:tcW w:w="1950" w:type="dxa"/>
            <w:tcBorders>
              <w:top w:val="nil"/>
              <w:left w:val="nil"/>
              <w:bottom w:val="nil"/>
              <w:right w:val="single" w:color="auto" w:sz="4" w:space="0"/>
            </w:tcBorders>
            <w:vAlign w:val="center"/>
          </w:tcPr>
          <w:p w14:paraId="4F2971D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1000≤Y＜200000</w:t>
            </w:r>
          </w:p>
        </w:tc>
        <w:tc>
          <w:tcPr>
            <w:tcW w:w="1650" w:type="dxa"/>
            <w:tcBorders>
              <w:top w:val="nil"/>
              <w:left w:val="nil"/>
              <w:bottom w:val="nil"/>
              <w:right w:val="single" w:color="auto" w:sz="4" w:space="0"/>
            </w:tcBorders>
            <w:vAlign w:val="center"/>
          </w:tcPr>
          <w:p w14:paraId="0F32035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100≤Y＜1000</w:t>
            </w:r>
          </w:p>
        </w:tc>
        <w:tc>
          <w:tcPr>
            <w:tcW w:w="1256" w:type="dxa"/>
            <w:tcBorders>
              <w:top w:val="nil"/>
              <w:left w:val="nil"/>
              <w:bottom w:val="nil"/>
              <w:right w:val="single" w:color="auto" w:sz="4" w:space="0"/>
            </w:tcBorders>
            <w:vAlign w:val="center"/>
          </w:tcPr>
          <w:p w14:paraId="04B05A1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Y＜100</w:t>
            </w:r>
          </w:p>
        </w:tc>
      </w:tr>
      <w:tr w14:paraId="4946C0CE">
        <w:tblPrEx>
          <w:tblCellMar>
            <w:top w:w="0" w:type="dxa"/>
            <w:left w:w="108" w:type="dxa"/>
            <w:bottom w:w="0" w:type="dxa"/>
            <w:right w:w="108" w:type="dxa"/>
          </w:tblCellMar>
        </w:tblPrEx>
        <w:trPr>
          <w:trHeight w:val="347"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46239D59">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2C13C645">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资产总额(Z)</w:t>
            </w:r>
          </w:p>
        </w:tc>
        <w:tc>
          <w:tcPr>
            <w:tcW w:w="717" w:type="dxa"/>
            <w:tcBorders>
              <w:top w:val="nil"/>
              <w:left w:val="nil"/>
              <w:bottom w:val="single" w:color="auto" w:sz="4" w:space="0"/>
              <w:right w:val="single" w:color="auto" w:sz="4" w:space="0"/>
            </w:tcBorders>
            <w:vAlign w:val="center"/>
          </w:tcPr>
          <w:p w14:paraId="550FF98D">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094A73C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Z≥10000</w:t>
            </w:r>
          </w:p>
        </w:tc>
        <w:tc>
          <w:tcPr>
            <w:tcW w:w="1950" w:type="dxa"/>
            <w:tcBorders>
              <w:top w:val="nil"/>
              <w:left w:val="nil"/>
              <w:bottom w:val="single" w:color="auto" w:sz="4" w:space="0"/>
              <w:right w:val="single" w:color="auto" w:sz="4" w:space="0"/>
            </w:tcBorders>
            <w:vAlign w:val="center"/>
          </w:tcPr>
          <w:p w14:paraId="3304408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5000≤Z＜10000</w:t>
            </w:r>
          </w:p>
        </w:tc>
        <w:tc>
          <w:tcPr>
            <w:tcW w:w="1650" w:type="dxa"/>
            <w:tcBorders>
              <w:top w:val="nil"/>
              <w:left w:val="nil"/>
              <w:bottom w:val="single" w:color="auto" w:sz="4" w:space="0"/>
              <w:right w:val="single" w:color="auto" w:sz="4" w:space="0"/>
            </w:tcBorders>
            <w:vAlign w:val="center"/>
          </w:tcPr>
          <w:p w14:paraId="60DB4C1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2000≤Z＜5000</w:t>
            </w:r>
          </w:p>
        </w:tc>
        <w:tc>
          <w:tcPr>
            <w:tcW w:w="1256" w:type="dxa"/>
            <w:tcBorders>
              <w:top w:val="nil"/>
              <w:left w:val="nil"/>
              <w:bottom w:val="single" w:color="auto" w:sz="4" w:space="0"/>
              <w:right w:val="single" w:color="auto" w:sz="4" w:space="0"/>
            </w:tcBorders>
            <w:vAlign w:val="center"/>
          </w:tcPr>
          <w:p w14:paraId="1F9120CA">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Z＜2000</w:t>
            </w:r>
          </w:p>
        </w:tc>
      </w:tr>
      <w:tr w14:paraId="4B5C9AB2">
        <w:tblPrEx>
          <w:tblCellMar>
            <w:top w:w="0" w:type="dxa"/>
            <w:left w:w="108" w:type="dxa"/>
            <w:bottom w:w="0" w:type="dxa"/>
            <w:right w:w="108" w:type="dxa"/>
          </w:tblCellMar>
        </w:tblPrEx>
        <w:trPr>
          <w:trHeight w:val="347"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4FE47077">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物业管理</w:t>
            </w:r>
          </w:p>
        </w:tc>
        <w:tc>
          <w:tcPr>
            <w:tcW w:w="1515" w:type="dxa"/>
            <w:tcBorders>
              <w:top w:val="nil"/>
              <w:left w:val="nil"/>
              <w:bottom w:val="nil"/>
              <w:right w:val="single" w:color="auto" w:sz="4" w:space="0"/>
            </w:tcBorders>
            <w:vAlign w:val="center"/>
          </w:tcPr>
          <w:p w14:paraId="0F69553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1DF040C1">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2142FEE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X≥1000</w:t>
            </w:r>
          </w:p>
        </w:tc>
        <w:tc>
          <w:tcPr>
            <w:tcW w:w="1950" w:type="dxa"/>
            <w:tcBorders>
              <w:top w:val="nil"/>
              <w:left w:val="nil"/>
              <w:bottom w:val="nil"/>
              <w:right w:val="single" w:color="auto" w:sz="4" w:space="0"/>
            </w:tcBorders>
            <w:vAlign w:val="center"/>
          </w:tcPr>
          <w:p w14:paraId="41F7387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300≤X＜1000</w:t>
            </w:r>
          </w:p>
        </w:tc>
        <w:tc>
          <w:tcPr>
            <w:tcW w:w="1650" w:type="dxa"/>
            <w:tcBorders>
              <w:top w:val="nil"/>
              <w:left w:val="nil"/>
              <w:bottom w:val="nil"/>
              <w:right w:val="single" w:color="auto" w:sz="4" w:space="0"/>
            </w:tcBorders>
            <w:vAlign w:val="center"/>
          </w:tcPr>
          <w:p w14:paraId="2148D44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100≤X＜300</w:t>
            </w:r>
          </w:p>
        </w:tc>
        <w:tc>
          <w:tcPr>
            <w:tcW w:w="1256" w:type="dxa"/>
            <w:tcBorders>
              <w:top w:val="nil"/>
              <w:left w:val="nil"/>
              <w:bottom w:val="nil"/>
              <w:right w:val="single" w:color="auto" w:sz="4" w:space="0"/>
            </w:tcBorders>
            <w:vAlign w:val="center"/>
          </w:tcPr>
          <w:p w14:paraId="1AFBAF20">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X＜100</w:t>
            </w:r>
          </w:p>
        </w:tc>
      </w:tr>
      <w:tr w14:paraId="04328F00">
        <w:tblPrEx>
          <w:tblCellMar>
            <w:top w:w="0" w:type="dxa"/>
            <w:left w:w="108" w:type="dxa"/>
            <w:bottom w:w="0" w:type="dxa"/>
            <w:right w:w="108" w:type="dxa"/>
          </w:tblCellMar>
        </w:tblPrEx>
        <w:trPr>
          <w:trHeight w:val="347"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6804F372">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4D5707AF">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营业收入(Y)</w:t>
            </w:r>
          </w:p>
        </w:tc>
        <w:tc>
          <w:tcPr>
            <w:tcW w:w="717" w:type="dxa"/>
            <w:tcBorders>
              <w:top w:val="nil"/>
              <w:left w:val="nil"/>
              <w:bottom w:val="single" w:color="auto" w:sz="4" w:space="0"/>
              <w:right w:val="single" w:color="auto" w:sz="4" w:space="0"/>
            </w:tcBorders>
            <w:vAlign w:val="center"/>
          </w:tcPr>
          <w:p w14:paraId="2E08827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059B31B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Y≥5000</w:t>
            </w:r>
          </w:p>
        </w:tc>
        <w:tc>
          <w:tcPr>
            <w:tcW w:w="1950" w:type="dxa"/>
            <w:tcBorders>
              <w:top w:val="nil"/>
              <w:left w:val="nil"/>
              <w:bottom w:val="single" w:color="auto" w:sz="4" w:space="0"/>
              <w:right w:val="single" w:color="auto" w:sz="4" w:space="0"/>
            </w:tcBorders>
            <w:vAlign w:val="center"/>
          </w:tcPr>
          <w:p w14:paraId="4382217E">
            <w:pPr>
              <w:widowControl/>
              <w:spacing w:line="240" w:lineRule="auto"/>
              <w:ind w:left="25" w:leftChars="-51" w:hanging="132" w:hangingChars="6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1000≤Y＜5000</w:t>
            </w:r>
          </w:p>
        </w:tc>
        <w:tc>
          <w:tcPr>
            <w:tcW w:w="1650" w:type="dxa"/>
            <w:tcBorders>
              <w:top w:val="nil"/>
              <w:left w:val="nil"/>
              <w:bottom w:val="single" w:color="auto" w:sz="4" w:space="0"/>
              <w:right w:val="single" w:color="auto" w:sz="4" w:space="0"/>
            </w:tcBorders>
            <w:vAlign w:val="center"/>
          </w:tcPr>
          <w:p w14:paraId="354D8257">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500≤Y＜1000</w:t>
            </w:r>
          </w:p>
        </w:tc>
        <w:tc>
          <w:tcPr>
            <w:tcW w:w="1256" w:type="dxa"/>
            <w:tcBorders>
              <w:top w:val="nil"/>
              <w:left w:val="nil"/>
              <w:bottom w:val="single" w:color="auto" w:sz="4" w:space="0"/>
              <w:right w:val="single" w:color="auto" w:sz="4" w:space="0"/>
            </w:tcBorders>
            <w:vAlign w:val="center"/>
          </w:tcPr>
          <w:p w14:paraId="70A6EFFB">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Y＜500</w:t>
            </w:r>
          </w:p>
        </w:tc>
      </w:tr>
      <w:tr w14:paraId="509EC476">
        <w:tblPrEx>
          <w:tblCellMar>
            <w:top w:w="0" w:type="dxa"/>
            <w:left w:w="108" w:type="dxa"/>
            <w:bottom w:w="0" w:type="dxa"/>
            <w:right w:w="108" w:type="dxa"/>
          </w:tblCellMar>
        </w:tblPrEx>
        <w:trPr>
          <w:trHeight w:val="347" w:hRule="exact"/>
          <w:jc w:val="center"/>
        </w:trPr>
        <w:tc>
          <w:tcPr>
            <w:tcW w:w="2088" w:type="dxa"/>
            <w:vMerge w:val="restart"/>
            <w:tcBorders>
              <w:top w:val="nil"/>
              <w:left w:val="single" w:color="auto" w:sz="4" w:space="0"/>
              <w:bottom w:val="single" w:color="auto" w:sz="4" w:space="0"/>
              <w:right w:val="single" w:color="auto" w:sz="4" w:space="0"/>
            </w:tcBorders>
            <w:vAlign w:val="center"/>
          </w:tcPr>
          <w:p w14:paraId="7F356F11">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租赁和商务服务业</w:t>
            </w:r>
          </w:p>
        </w:tc>
        <w:tc>
          <w:tcPr>
            <w:tcW w:w="1515" w:type="dxa"/>
            <w:tcBorders>
              <w:top w:val="nil"/>
              <w:left w:val="nil"/>
              <w:bottom w:val="nil"/>
              <w:right w:val="single" w:color="auto" w:sz="4" w:space="0"/>
            </w:tcBorders>
            <w:vAlign w:val="center"/>
          </w:tcPr>
          <w:p w14:paraId="724CC66E">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nil"/>
              <w:right w:val="single" w:color="auto" w:sz="4" w:space="0"/>
            </w:tcBorders>
            <w:vAlign w:val="center"/>
          </w:tcPr>
          <w:p w14:paraId="0BDCE59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nil"/>
              <w:right w:val="single" w:color="auto" w:sz="4" w:space="0"/>
            </w:tcBorders>
            <w:vAlign w:val="center"/>
          </w:tcPr>
          <w:p w14:paraId="69354F3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X≥300</w:t>
            </w:r>
          </w:p>
        </w:tc>
        <w:tc>
          <w:tcPr>
            <w:tcW w:w="1950" w:type="dxa"/>
            <w:tcBorders>
              <w:top w:val="nil"/>
              <w:left w:val="nil"/>
              <w:bottom w:val="nil"/>
              <w:right w:val="single" w:color="auto" w:sz="4" w:space="0"/>
            </w:tcBorders>
            <w:vAlign w:val="center"/>
          </w:tcPr>
          <w:p w14:paraId="61ED000C">
            <w:pPr>
              <w:widowControl/>
              <w:spacing w:line="240" w:lineRule="auto"/>
              <w:ind w:left="25" w:leftChars="-51" w:hanging="132" w:hangingChars="6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100≤X＜300</w:t>
            </w:r>
          </w:p>
        </w:tc>
        <w:tc>
          <w:tcPr>
            <w:tcW w:w="1650" w:type="dxa"/>
            <w:tcBorders>
              <w:top w:val="nil"/>
              <w:left w:val="nil"/>
              <w:bottom w:val="nil"/>
              <w:right w:val="single" w:color="auto" w:sz="4" w:space="0"/>
            </w:tcBorders>
            <w:vAlign w:val="center"/>
          </w:tcPr>
          <w:p w14:paraId="794B07C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10≤X＜100</w:t>
            </w:r>
          </w:p>
        </w:tc>
        <w:tc>
          <w:tcPr>
            <w:tcW w:w="1256" w:type="dxa"/>
            <w:tcBorders>
              <w:top w:val="nil"/>
              <w:left w:val="nil"/>
              <w:bottom w:val="nil"/>
              <w:right w:val="single" w:color="auto" w:sz="4" w:space="0"/>
            </w:tcBorders>
            <w:vAlign w:val="center"/>
          </w:tcPr>
          <w:p w14:paraId="26A9FB5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w:t>
            </w:r>
          </w:p>
        </w:tc>
      </w:tr>
      <w:tr w14:paraId="42E71FBB">
        <w:tblPrEx>
          <w:tblCellMar>
            <w:top w:w="0" w:type="dxa"/>
            <w:left w:w="108" w:type="dxa"/>
            <w:bottom w:w="0" w:type="dxa"/>
            <w:right w:w="108" w:type="dxa"/>
          </w:tblCellMar>
        </w:tblPrEx>
        <w:trPr>
          <w:trHeight w:val="347" w:hRule="exact"/>
          <w:jc w:val="center"/>
        </w:trPr>
        <w:tc>
          <w:tcPr>
            <w:tcW w:w="2088" w:type="dxa"/>
            <w:vMerge w:val="continue"/>
            <w:tcBorders>
              <w:top w:val="nil"/>
              <w:left w:val="single" w:color="auto" w:sz="4" w:space="0"/>
              <w:bottom w:val="single" w:color="auto" w:sz="4" w:space="0"/>
              <w:right w:val="single" w:color="auto" w:sz="4" w:space="0"/>
            </w:tcBorders>
            <w:vAlign w:val="center"/>
          </w:tcPr>
          <w:p w14:paraId="20FF808E">
            <w:pPr>
              <w:widowControl/>
              <w:spacing w:line="240" w:lineRule="auto"/>
              <w:ind w:firstLine="0" w:firstLineChars="0"/>
              <w:jc w:val="center"/>
              <w:rPr>
                <w:rFonts w:hint="eastAsia" w:ascii="宋体" w:hAnsi="宋体" w:eastAsia="宋体" w:cs="宋体"/>
                <w:color w:val="000000"/>
                <w:kern w:val="0"/>
                <w:sz w:val="22"/>
                <w:szCs w:val="22"/>
              </w:rPr>
            </w:pPr>
          </w:p>
        </w:tc>
        <w:tc>
          <w:tcPr>
            <w:tcW w:w="1515" w:type="dxa"/>
            <w:tcBorders>
              <w:top w:val="nil"/>
              <w:left w:val="nil"/>
              <w:bottom w:val="single" w:color="auto" w:sz="4" w:space="0"/>
              <w:right w:val="single" w:color="auto" w:sz="4" w:space="0"/>
            </w:tcBorders>
            <w:vAlign w:val="center"/>
          </w:tcPr>
          <w:p w14:paraId="083647E6">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资产总额(Z)</w:t>
            </w:r>
          </w:p>
        </w:tc>
        <w:tc>
          <w:tcPr>
            <w:tcW w:w="717" w:type="dxa"/>
            <w:tcBorders>
              <w:top w:val="nil"/>
              <w:left w:val="nil"/>
              <w:bottom w:val="single" w:color="auto" w:sz="4" w:space="0"/>
              <w:right w:val="single" w:color="auto" w:sz="4" w:space="0"/>
            </w:tcBorders>
            <w:vAlign w:val="center"/>
          </w:tcPr>
          <w:p w14:paraId="6D32FAA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万元</w:t>
            </w:r>
          </w:p>
        </w:tc>
        <w:tc>
          <w:tcPr>
            <w:tcW w:w="1320" w:type="dxa"/>
            <w:tcBorders>
              <w:top w:val="nil"/>
              <w:left w:val="nil"/>
              <w:bottom w:val="single" w:color="auto" w:sz="4" w:space="0"/>
              <w:right w:val="single" w:color="auto" w:sz="4" w:space="0"/>
            </w:tcBorders>
            <w:vAlign w:val="center"/>
          </w:tcPr>
          <w:p w14:paraId="6A1F685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Z≥120000</w:t>
            </w:r>
          </w:p>
        </w:tc>
        <w:tc>
          <w:tcPr>
            <w:tcW w:w="1950" w:type="dxa"/>
            <w:tcBorders>
              <w:top w:val="nil"/>
              <w:left w:val="nil"/>
              <w:bottom w:val="single" w:color="auto" w:sz="4" w:space="0"/>
              <w:right w:val="single" w:color="auto" w:sz="4" w:space="0"/>
            </w:tcBorders>
            <w:vAlign w:val="center"/>
          </w:tcPr>
          <w:p w14:paraId="61448F0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8000≤Z＜120000</w:t>
            </w:r>
          </w:p>
        </w:tc>
        <w:tc>
          <w:tcPr>
            <w:tcW w:w="1650" w:type="dxa"/>
            <w:tcBorders>
              <w:top w:val="nil"/>
              <w:left w:val="nil"/>
              <w:bottom w:val="single" w:color="auto" w:sz="4" w:space="0"/>
              <w:right w:val="single" w:color="auto" w:sz="4" w:space="0"/>
            </w:tcBorders>
            <w:vAlign w:val="center"/>
          </w:tcPr>
          <w:p w14:paraId="2DBC1723">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100≤Z＜8000</w:t>
            </w:r>
          </w:p>
        </w:tc>
        <w:tc>
          <w:tcPr>
            <w:tcW w:w="1256" w:type="dxa"/>
            <w:tcBorders>
              <w:top w:val="nil"/>
              <w:left w:val="nil"/>
              <w:bottom w:val="single" w:color="auto" w:sz="4" w:space="0"/>
              <w:right w:val="single" w:color="auto" w:sz="4" w:space="0"/>
            </w:tcBorders>
            <w:vAlign w:val="center"/>
          </w:tcPr>
          <w:p w14:paraId="5AB2E335">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Z＜100</w:t>
            </w:r>
          </w:p>
        </w:tc>
      </w:tr>
      <w:tr w14:paraId="51B10362">
        <w:tblPrEx>
          <w:tblCellMar>
            <w:top w:w="0" w:type="dxa"/>
            <w:left w:w="108" w:type="dxa"/>
            <w:bottom w:w="0" w:type="dxa"/>
            <w:right w:w="108" w:type="dxa"/>
          </w:tblCellMar>
        </w:tblPrEx>
        <w:trPr>
          <w:trHeight w:val="415" w:hRule="exact"/>
          <w:jc w:val="center"/>
        </w:trPr>
        <w:tc>
          <w:tcPr>
            <w:tcW w:w="2088" w:type="dxa"/>
            <w:tcBorders>
              <w:top w:val="nil"/>
              <w:left w:val="single" w:color="auto" w:sz="4" w:space="0"/>
              <w:bottom w:val="single" w:color="auto" w:sz="4" w:space="0"/>
              <w:right w:val="single" w:color="auto" w:sz="4" w:space="0"/>
            </w:tcBorders>
            <w:vAlign w:val="center"/>
          </w:tcPr>
          <w:p w14:paraId="564C1D05">
            <w:pPr>
              <w:widowControl/>
              <w:spacing w:line="240" w:lineRule="exact"/>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其他未列明行业 *</w:t>
            </w:r>
          </w:p>
        </w:tc>
        <w:tc>
          <w:tcPr>
            <w:tcW w:w="1515" w:type="dxa"/>
            <w:tcBorders>
              <w:top w:val="nil"/>
              <w:left w:val="nil"/>
              <w:bottom w:val="single" w:color="auto" w:sz="4" w:space="0"/>
              <w:right w:val="single" w:color="auto" w:sz="4" w:space="0"/>
            </w:tcBorders>
            <w:vAlign w:val="center"/>
          </w:tcPr>
          <w:p w14:paraId="6BD25D22">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从业人员(X)</w:t>
            </w:r>
          </w:p>
        </w:tc>
        <w:tc>
          <w:tcPr>
            <w:tcW w:w="717" w:type="dxa"/>
            <w:tcBorders>
              <w:top w:val="nil"/>
              <w:left w:val="nil"/>
              <w:bottom w:val="single" w:color="auto" w:sz="4" w:space="0"/>
              <w:right w:val="single" w:color="auto" w:sz="4" w:space="0"/>
            </w:tcBorders>
            <w:vAlign w:val="center"/>
          </w:tcPr>
          <w:p w14:paraId="0A6F9EC9">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人</w:t>
            </w:r>
          </w:p>
        </w:tc>
        <w:tc>
          <w:tcPr>
            <w:tcW w:w="1320" w:type="dxa"/>
            <w:tcBorders>
              <w:top w:val="nil"/>
              <w:left w:val="nil"/>
              <w:bottom w:val="single" w:color="auto" w:sz="4" w:space="0"/>
              <w:right w:val="single" w:color="auto" w:sz="4" w:space="0"/>
            </w:tcBorders>
            <w:vAlign w:val="center"/>
          </w:tcPr>
          <w:p w14:paraId="758E38A6">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X≥300</w:t>
            </w:r>
          </w:p>
        </w:tc>
        <w:tc>
          <w:tcPr>
            <w:tcW w:w="1950" w:type="dxa"/>
            <w:tcBorders>
              <w:top w:val="nil"/>
              <w:left w:val="nil"/>
              <w:bottom w:val="single" w:color="auto" w:sz="4" w:space="0"/>
              <w:right w:val="single" w:color="auto" w:sz="4" w:space="0"/>
            </w:tcBorders>
            <w:vAlign w:val="center"/>
          </w:tcPr>
          <w:p w14:paraId="7AB68EBB">
            <w:pPr>
              <w:widowControl/>
              <w:spacing w:line="240" w:lineRule="auto"/>
              <w:ind w:left="25" w:leftChars="-51" w:hanging="132" w:hangingChars="6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100≤X＜300</w:t>
            </w:r>
          </w:p>
        </w:tc>
        <w:tc>
          <w:tcPr>
            <w:tcW w:w="1650" w:type="dxa"/>
            <w:tcBorders>
              <w:top w:val="nil"/>
              <w:left w:val="nil"/>
              <w:bottom w:val="single" w:color="auto" w:sz="4" w:space="0"/>
              <w:right w:val="single" w:color="auto" w:sz="4" w:space="0"/>
            </w:tcBorders>
            <w:vAlign w:val="center"/>
          </w:tcPr>
          <w:p w14:paraId="6465565C">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10≤X＜100</w:t>
            </w:r>
          </w:p>
        </w:tc>
        <w:tc>
          <w:tcPr>
            <w:tcW w:w="1256" w:type="dxa"/>
            <w:tcBorders>
              <w:top w:val="nil"/>
              <w:left w:val="nil"/>
              <w:bottom w:val="single" w:color="auto" w:sz="4" w:space="0"/>
              <w:right w:val="single" w:color="auto" w:sz="4" w:space="0"/>
            </w:tcBorders>
            <w:vAlign w:val="center"/>
          </w:tcPr>
          <w:p w14:paraId="6F088638">
            <w:pPr>
              <w:widowControl/>
              <w:spacing w:line="240" w:lineRule="auto"/>
              <w:ind w:firstLine="0" w:firstLineChars="0"/>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X＜10</w:t>
            </w:r>
          </w:p>
        </w:tc>
      </w:tr>
    </w:tbl>
    <w:p w14:paraId="78279B14">
      <w:pPr>
        <w:widowControl/>
        <w:spacing w:line="540" w:lineRule="exact"/>
        <w:ind w:left="0" w:leftChars="0" w:firstLine="0" w:firstLineChars="0"/>
        <w:rPr>
          <w:rFonts w:hint="eastAsia" w:ascii="宋体" w:hAnsi="宋体" w:eastAsia="宋体" w:cs="宋体"/>
          <w:color w:val="000000"/>
          <w:spacing w:val="8"/>
          <w:kern w:val="0"/>
          <w:sz w:val="24"/>
          <w:szCs w:val="24"/>
        </w:rPr>
      </w:pPr>
      <w:r>
        <w:rPr>
          <w:rFonts w:hint="eastAsia" w:ascii="宋体" w:hAnsi="宋体" w:eastAsia="宋体" w:cs="宋体"/>
          <w:color w:val="000000"/>
          <w:spacing w:val="8"/>
          <w:kern w:val="0"/>
          <w:sz w:val="24"/>
          <w:szCs w:val="24"/>
        </w:rPr>
        <w:t>说明：</w:t>
      </w:r>
    </w:p>
    <w:p w14:paraId="0ED4A25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12" w:firstLineChars="200"/>
        <w:textAlignment w:val="auto"/>
        <w:rPr>
          <w:rFonts w:hint="eastAsia" w:ascii="宋体" w:hAnsi="宋体" w:eastAsia="宋体" w:cs="宋体"/>
          <w:sz w:val="24"/>
          <w:szCs w:val="24"/>
          <w:highlight w:val="none"/>
          <w:lang w:val="zh-CN"/>
        </w:rPr>
      </w:pPr>
      <w:r>
        <w:rPr>
          <w:rFonts w:hint="eastAsia" w:ascii="宋体" w:hAnsi="宋体" w:eastAsia="宋体" w:cs="宋体"/>
          <w:color w:val="000000"/>
          <w:spacing w:val="8"/>
          <w:kern w:val="0"/>
          <w:sz w:val="24"/>
          <w:szCs w:val="24"/>
        </w:rPr>
        <w:t>　</w:t>
      </w:r>
      <w:r>
        <w:rPr>
          <w:rFonts w:hint="eastAsia" w:ascii="宋体" w:hAnsi="宋体" w:eastAsia="宋体" w:cs="宋体"/>
          <w:sz w:val="24"/>
          <w:szCs w:val="24"/>
          <w:highlight w:val="none"/>
          <w:lang w:val="zh-CN"/>
        </w:rPr>
        <w:t>　1.大型、中型和小型企业须同时满足所列指标的下限，否则下划一档；微型企业只须满足所列指标中的一项即可。</w:t>
      </w:r>
    </w:p>
    <w:p w14:paraId="12D64B8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71D60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　　3.企业划分指标以现行统计制度为准。</w:t>
      </w:r>
    </w:p>
    <w:p w14:paraId="6A6F9F7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（1）从业人员，是指期末从业人员数，没有期末从业人员数的，采用全年平均人员数代替。</w:t>
      </w:r>
    </w:p>
    <w:p w14:paraId="7F4FE78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71E720E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（3）资产总额，采用资产总计代替。</w:t>
      </w:r>
    </w:p>
    <w:p w14:paraId="477898EB">
      <w:pPr>
        <w:spacing w:line="560" w:lineRule="exact"/>
        <w:ind w:firstLine="482" w:firstLineChars="200"/>
        <w:outlineLvl w:val="9"/>
        <w:rPr>
          <w:rFonts w:hint="eastAsia" w:ascii="宋体" w:hAnsi="宋体" w:eastAsia="宋体" w:cs="宋体"/>
          <w:b/>
          <w:sz w:val="24"/>
        </w:rPr>
      </w:pPr>
    </w:p>
    <w:p w14:paraId="37A52696">
      <w:pPr>
        <w:widowControl w:val="0"/>
        <w:spacing w:after="120" w:afterLines="0" w:afterAutospacing="0" w:line="600" w:lineRule="exact"/>
        <w:ind w:firstLine="210" w:firstLineChars="100"/>
        <w:jc w:val="both"/>
        <w:rPr>
          <w:rFonts w:hint="eastAsia" w:ascii="宋体" w:hAnsi="宋体" w:eastAsia="宋体" w:cs="宋体"/>
          <w:kern w:val="2"/>
          <w:sz w:val="21"/>
          <w:szCs w:val="22"/>
          <w:lang w:val="en-US" w:eastAsia="zh-CN" w:bidi="ar-SA"/>
        </w:rPr>
      </w:pPr>
    </w:p>
    <w:p w14:paraId="0453E990">
      <w:pPr>
        <w:ind w:firstLine="482" w:firstLineChars="200"/>
        <w:rPr>
          <w:rFonts w:hint="eastAsia" w:ascii="宋体" w:hAnsi="宋体" w:eastAsia="宋体" w:cs="宋体"/>
          <w:highlight w:val="none"/>
        </w:rPr>
        <w:sectPr>
          <w:footerReference r:id="rId10" w:type="default"/>
          <w:pgSz w:w="11906" w:h="16838"/>
          <w:pgMar w:top="1440" w:right="1463" w:bottom="1440" w:left="1463" w:header="851" w:footer="992" w:gutter="0"/>
          <w:pgNumType w:fmt="decimal"/>
          <w:cols w:space="720" w:num="1"/>
          <w:docGrid w:type="lines" w:linePitch="319" w:charSpace="0"/>
        </w:sectPr>
      </w:pPr>
      <w:r>
        <w:rPr>
          <w:rFonts w:hint="eastAsia" w:ascii="宋体" w:hAnsi="宋体" w:eastAsia="宋体" w:cs="宋体"/>
          <w:b/>
          <w:bCs/>
          <w:sz w:val="24"/>
          <w:szCs w:val="24"/>
          <w:highlight w:val="none"/>
          <w:lang w:val="zh-CN" w:eastAsia="zh-CN" w:bidi="ar-SA"/>
        </w:rPr>
        <w:t>本项目对应的“中小企业划分标准”所属行业是属于“其他未列明行业”。</w:t>
      </w:r>
    </w:p>
    <w:p w14:paraId="6B82BDED">
      <w:pPr>
        <w:spacing w:line="360" w:lineRule="auto"/>
        <w:ind w:firstLine="562" w:firstLineChars="200"/>
        <w:jc w:val="center"/>
        <w:outlineLvl w:val="1"/>
        <w:rPr>
          <w:rFonts w:hint="eastAsia" w:ascii="宋体" w:hAnsi="宋体" w:eastAsia="宋体" w:cs="宋体"/>
          <w:color w:val="000000"/>
          <w:kern w:val="0"/>
          <w:szCs w:val="21"/>
        </w:rPr>
      </w:pPr>
      <w:bookmarkStart w:id="1220" w:name="_Toc8348"/>
      <w:r>
        <w:rPr>
          <w:rFonts w:hint="eastAsia" w:ascii="宋体" w:hAnsi="宋体" w:eastAsia="宋体" w:cs="宋体"/>
          <w:b/>
          <w:bCs/>
          <w:color w:val="000000"/>
          <w:sz w:val="28"/>
          <w:szCs w:val="28"/>
          <w:lang w:eastAsia="zh-CN"/>
        </w:rPr>
        <w:t>七</w:t>
      </w:r>
      <w:r>
        <w:rPr>
          <w:rFonts w:hint="eastAsia" w:ascii="宋体" w:hAnsi="宋体" w:eastAsia="宋体" w:cs="宋体"/>
          <w:b/>
          <w:bCs/>
          <w:color w:val="000000"/>
          <w:sz w:val="28"/>
          <w:szCs w:val="28"/>
        </w:rPr>
        <w:t>、残疾人福利性单位声明函</w:t>
      </w:r>
      <w:bookmarkEnd w:id="1216"/>
      <w:bookmarkEnd w:id="1220"/>
    </w:p>
    <w:p w14:paraId="104B3A34">
      <w:pPr>
        <w:spacing w:line="360" w:lineRule="auto"/>
        <w:ind w:firstLine="480" w:firstLineChars="200"/>
        <w:jc w:val="center"/>
        <w:rPr>
          <w:rFonts w:hint="eastAsia" w:ascii="宋体" w:hAnsi="宋体" w:eastAsia="宋体" w:cs="宋体"/>
          <w:color w:val="000000"/>
          <w:sz w:val="24"/>
          <w:szCs w:val="24"/>
        </w:rPr>
      </w:pPr>
    </w:p>
    <w:p w14:paraId="4C0D19CF">
      <w:pPr>
        <w:spacing w:line="360" w:lineRule="auto"/>
        <w:ind w:firstLine="480" w:firstLineChars="200"/>
        <w:jc w:val="center"/>
        <w:rPr>
          <w:rFonts w:hint="eastAsia" w:ascii="宋体" w:hAnsi="宋体" w:eastAsia="宋体" w:cs="宋体"/>
          <w:color w:val="000000"/>
          <w:sz w:val="24"/>
          <w:szCs w:val="24"/>
        </w:rPr>
      </w:pPr>
      <w:r>
        <w:rPr>
          <w:rFonts w:hint="eastAsia" w:ascii="宋体" w:hAnsi="宋体" w:eastAsia="宋体" w:cs="宋体"/>
          <w:color w:val="000000"/>
          <w:sz w:val="24"/>
          <w:szCs w:val="24"/>
        </w:rPr>
        <w:t>（属于残疾人福利企业的填写，不属于的无需填写此项内容）</w:t>
      </w:r>
    </w:p>
    <w:p w14:paraId="40AA0B74">
      <w:pPr>
        <w:widowControl w:val="0"/>
        <w:spacing w:line="400" w:lineRule="exact"/>
        <w:ind w:firstLine="480" w:firstLineChars="200"/>
        <w:jc w:val="both"/>
        <w:rPr>
          <w:rFonts w:hint="eastAsia" w:ascii="宋体" w:hAnsi="宋体" w:eastAsia="宋体" w:cs="宋体"/>
          <w:color w:val="000000"/>
          <w:kern w:val="2"/>
          <w:sz w:val="24"/>
          <w:szCs w:val="24"/>
          <w:lang w:val="en-US" w:eastAsia="zh-CN" w:bidi="ar-SA"/>
        </w:rPr>
      </w:pPr>
    </w:p>
    <w:p w14:paraId="6E7F7959">
      <w:pPr>
        <w:spacing w:line="360" w:lineRule="auto"/>
        <w:ind w:firstLine="480" w:firstLineChars="200"/>
        <w:rPr>
          <w:rFonts w:hint="eastAsia" w:ascii="宋体" w:hAnsi="宋体" w:eastAsia="宋体" w:cs="宋体"/>
          <w:color w:val="000000"/>
          <w:sz w:val="24"/>
          <w:szCs w:val="24"/>
        </w:rPr>
      </w:pPr>
    </w:p>
    <w:p w14:paraId="25430F80">
      <w:pPr>
        <w:spacing w:line="480" w:lineRule="auto"/>
        <w:ind w:firstLine="480" w:firstLineChars="200"/>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本单位郑重声明，根据《财政部民政部中国残疾人联合会关于促进残疾人就业政府采购政策的通知》财库（2017〔141〕号）的规定，本单位</w:t>
      </w:r>
      <w:r>
        <w:rPr>
          <w:rFonts w:hint="eastAsia" w:ascii="宋体" w:hAnsi="宋体" w:eastAsia="宋体" w:cs="宋体"/>
          <w:color w:val="000000"/>
          <w:sz w:val="24"/>
          <w:szCs w:val="24"/>
          <w:lang w:eastAsia="zh-CN"/>
        </w:rPr>
        <w:t>（请进行选择）</w:t>
      </w:r>
    </w:p>
    <w:p w14:paraId="1E3D471F">
      <w:pPr>
        <w:spacing w:line="500" w:lineRule="exact"/>
        <w:ind w:left="0" w:leftChars="0" w:firstLine="641" w:firstLineChars="266"/>
        <w:rPr>
          <w:rFonts w:hint="eastAsia" w:ascii="宋体" w:hAnsi="宋体" w:eastAsia="宋体" w:cs="宋体"/>
          <w:b/>
          <w:bCs/>
          <w:sz w:val="24"/>
          <w:szCs w:val="24"/>
          <w:lang w:eastAsia="zh-CN"/>
        </w:rPr>
      </w:pPr>
      <w:r>
        <w:rPr>
          <w:rFonts w:hint="eastAsia" w:ascii="宋体" w:hAnsi="宋体" w:eastAsia="宋体" w:cs="宋体"/>
          <w:b/>
          <w:bCs/>
          <w:sz w:val="24"/>
          <w:szCs w:val="24"/>
        </w:rPr>
        <w:sym w:font="Wingdings 2" w:char="00A3"/>
      </w:r>
      <w:r>
        <w:rPr>
          <w:rFonts w:hint="eastAsia" w:ascii="宋体" w:hAnsi="宋体" w:eastAsia="宋体" w:cs="宋体"/>
          <w:b/>
          <w:bCs/>
          <w:sz w:val="24"/>
          <w:szCs w:val="24"/>
          <w:lang w:eastAsia="zh-CN"/>
        </w:rPr>
        <w:t>不属于</w:t>
      </w:r>
      <w:r>
        <w:rPr>
          <w:rFonts w:hint="eastAsia" w:ascii="宋体" w:hAnsi="宋体" w:eastAsia="宋体" w:cs="宋体"/>
          <w:b/>
          <w:bCs/>
          <w:color w:val="000000"/>
          <w:sz w:val="24"/>
          <w:szCs w:val="24"/>
        </w:rPr>
        <w:t>符合条件的残疾人福利性单位</w:t>
      </w:r>
      <w:r>
        <w:rPr>
          <w:rFonts w:hint="eastAsia" w:ascii="宋体" w:hAnsi="宋体" w:eastAsia="宋体" w:cs="宋体"/>
          <w:b/>
          <w:bCs/>
          <w:color w:val="000000"/>
          <w:sz w:val="24"/>
          <w:szCs w:val="24"/>
          <w:lang w:eastAsia="zh-CN"/>
        </w:rPr>
        <w:t>。</w:t>
      </w:r>
    </w:p>
    <w:p w14:paraId="0432E1B8">
      <w:pPr>
        <w:spacing w:line="500" w:lineRule="exact"/>
        <w:ind w:left="0" w:leftChars="0" w:firstLine="641" w:firstLineChars="266"/>
        <w:rPr>
          <w:rFonts w:hint="eastAsia" w:ascii="宋体" w:hAnsi="宋体" w:eastAsia="宋体" w:cs="宋体"/>
          <w:color w:val="000000"/>
          <w:sz w:val="24"/>
          <w:szCs w:val="24"/>
        </w:rPr>
      </w:pPr>
      <w:r>
        <w:rPr>
          <w:rFonts w:hint="eastAsia" w:ascii="宋体" w:hAnsi="宋体" w:eastAsia="宋体" w:cs="宋体"/>
          <w:b/>
          <w:bCs/>
          <w:sz w:val="24"/>
          <w:szCs w:val="24"/>
        </w:rPr>
        <w:sym w:font="Wingdings 2" w:char="00A3"/>
      </w:r>
      <w:r>
        <w:rPr>
          <w:rFonts w:hint="eastAsia" w:ascii="宋体" w:hAnsi="宋体" w:eastAsia="宋体" w:cs="宋体"/>
          <w:b/>
          <w:bCs/>
          <w:sz w:val="24"/>
          <w:szCs w:val="24"/>
          <w:lang w:eastAsia="zh-CN"/>
        </w:rPr>
        <w:t>属于</w:t>
      </w:r>
      <w:r>
        <w:rPr>
          <w:rFonts w:hint="eastAsia" w:ascii="宋体" w:hAnsi="宋体" w:eastAsia="宋体" w:cs="宋体"/>
          <w:b/>
          <w:bCs/>
          <w:sz w:val="24"/>
          <w:szCs w:val="24"/>
        </w:rPr>
        <w:t>符合条件的残疾人福利性单位</w:t>
      </w:r>
      <w:r>
        <w:rPr>
          <w:rFonts w:hint="eastAsia" w:ascii="宋体" w:hAnsi="宋体" w:eastAsia="宋体" w:cs="宋体"/>
          <w:b/>
          <w:bCs/>
          <w:sz w:val="24"/>
          <w:szCs w:val="24"/>
          <w:lang w:eastAsia="zh-CN"/>
        </w:rPr>
        <w:t>，</w:t>
      </w:r>
      <w:r>
        <w:rPr>
          <w:rFonts w:hint="eastAsia" w:ascii="宋体" w:hAnsi="宋体" w:eastAsia="宋体" w:cs="宋体"/>
          <w:color w:val="000000"/>
          <w:sz w:val="24"/>
          <w:szCs w:val="24"/>
          <w:lang w:eastAsia="zh-CN"/>
        </w:rPr>
        <w:t>且本单位参加</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lang w:val="en-US" w:eastAsia="zh-CN"/>
        </w:rPr>
        <w:t>单位的</w:t>
      </w:r>
      <w:r>
        <w:rPr>
          <w:rFonts w:hint="eastAsia" w:ascii="宋体" w:hAnsi="宋体" w:eastAsia="宋体" w:cs="宋体"/>
          <w:color w:val="000000"/>
          <w:sz w:val="24"/>
          <w:szCs w:val="24"/>
          <w:u w:val="single"/>
          <w:lang w:val="en-US" w:eastAsia="zh-CN"/>
        </w:rPr>
        <w:t xml:space="preserve">    </w:t>
      </w:r>
      <w:r>
        <w:rPr>
          <w:rFonts w:hint="eastAsia" w:ascii="宋体" w:hAnsi="宋体" w:eastAsia="宋体" w:cs="宋体"/>
          <w:color w:val="000000"/>
          <w:sz w:val="24"/>
          <w:szCs w:val="24"/>
          <w:u w:val="none"/>
          <w:lang w:val="en-US" w:eastAsia="zh-CN"/>
        </w:rPr>
        <w:t>项目</w:t>
      </w:r>
      <w:r>
        <w:rPr>
          <w:rFonts w:hint="eastAsia" w:ascii="宋体" w:hAnsi="宋体" w:eastAsia="宋体" w:cs="宋体"/>
          <w:color w:val="000000"/>
          <w:sz w:val="24"/>
          <w:szCs w:val="24"/>
        </w:rPr>
        <w:t>参加本次政府采购活动提供本单位制造的货物</w:t>
      </w:r>
      <w:r>
        <w:rPr>
          <w:rFonts w:hint="eastAsia" w:ascii="宋体" w:hAnsi="宋体" w:eastAsia="宋体" w:cs="宋体"/>
          <w:color w:val="000000"/>
          <w:sz w:val="24"/>
          <w:szCs w:val="24"/>
          <w:lang w:eastAsia="zh-CN"/>
        </w:rPr>
        <w:t>（由本单位承担的工程</w:t>
      </w:r>
      <w:r>
        <w:rPr>
          <w:rFonts w:hint="eastAsia" w:ascii="宋体" w:hAnsi="宋体" w:eastAsia="宋体" w:cs="宋体"/>
          <w:color w:val="000000"/>
          <w:sz w:val="24"/>
          <w:szCs w:val="24"/>
          <w:lang w:val="en-US" w:eastAsia="zh-CN"/>
        </w:rPr>
        <w:t>/服务</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，或者提供（其他残疾人福利性单位名称）制造的货物（不包括使用非残疾人福利性单位注册商标的货物）。</w:t>
      </w:r>
    </w:p>
    <w:p w14:paraId="31ACB7E7">
      <w:pPr>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本单位对上述声明的真实性负责。如有虚假，将承担相应的法律责任。</w:t>
      </w:r>
    </w:p>
    <w:p w14:paraId="28A57E25">
      <w:pPr>
        <w:spacing w:line="360" w:lineRule="auto"/>
        <w:ind w:firstLine="480" w:firstLineChars="200"/>
        <w:rPr>
          <w:rFonts w:hint="eastAsia" w:ascii="宋体" w:hAnsi="宋体" w:eastAsia="宋体" w:cs="宋体"/>
          <w:color w:val="000000"/>
          <w:sz w:val="24"/>
          <w:szCs w:val="24"/>
        </w:rPr>
      </w:pPr>
    </w:p>
    <w:p w14:paraId="79C48364">
      <w:pPr>
        <w:spacing w:line="360" w:lineRule="auto"/>
        <w:ind w:firstLine="480" w:firstLineChars="200"/>
        <w:rPr>
          <w:rFonts w:hint="eastAsia" w:ascii="宋体" w:hAnsi="宋体" w:eastAsia="宋体" w:cs="宋体"/>
          <w:color w:val="000000"/>
          <w:sz w:val="24"/>
          <w:szCs w:val="24"/>
        </w:rPr>
      </w:pPr>
    </w:p>
    <w:p w14:paraId="4A8866C2">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供应商名称（</w:t>
      </w:r>
      <w:r>
        <w:rPr>
          <w:rFonts w:hint="eastAsia" w:ascii="宋体" w:hAnsi="宋体" w:eastAsia="宋体" w:cs="宋体"/>
          <w:color w:val="000000"/>
          <w:sz w:val="24"/>
          <w:szCs w:val="24"/>
          <w:lang w:eastAsia="zh-CN"/>
        </w:rPr>
        <w:t>单位盖章</w:t>
      </w:r>
      <w:r>
        <w:rPr>
          <w:rFonts w:hint="eastAsia" w:ascii="宋体" w:hAnsi="宋体" w:eastAsia="宋体" w:cs="宋体"/>
          <w:color w:val="000000"/>
          <w:sz w:val="24"/>
          <w:szCs w:val="24"/>
        </w:rPr>
        <w:t>）：</w:t>
      </w:r>
    </w:p>
    <w:p w14:paraId="3DCAB2F3">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日期：</w:t>
      </w:r>
    </w:p>
    <w:p w14:paraId="08BC6993">
      <w:pPr>
        <w:keepNext/>
        <w:widowControl w:val="0"/>
        <w:spacing w:line="600" w:lineRule="exact"/>
        <w:ind w:left="425" w:firstLine="0" w:firstLineChars="0"/>
        <w:jc w:val="center"/>
        <w:outlineLvl w:val="9"/>
        <w:rPr>
          <w:rFonts w:hint="eastAsia" w:ascii="宋体" w:hAnsi="宋体" w:eastAsia="宋体" w:cs="宋体"/>
          <w:b/>
          <w:bCs w:val="0"/>
          <w:color w:val="000000"/>
          <w:kern w:val="2"/>
          <w:sz w:val="21"/>
          <w:szCs w:val="21"/>
          <w:lang w:val="en-US" w:eastAsia="zh-CN" w:bidi="ar-SA"/>
        </w:rPr>
      </w:pPr>
    </w:p>
    <w:p w14:paraId="702F135F">
      <w:pPr>
        <w:spacing w:line="600" w:lineRule="exact"/>
        <w:ind w:firstLine="422" w:firstLineChars="200"/>
        <w:rPr>
          <w:rFonts w:hint="eastAsia" w:ascii="宋体" w:hAnsi="宋体" w:eastAsia="宋体" w:cs="宋体"/>
          <w:b/>
          <w:color w:val="000000"/>
          <w:szCs w:val="21"/>
        </w:rPr>
      </w:pPr>
    </w:p>
    <w:p w14:paraId="4D31525B">
      <w:pPr>
        <w:widowControl w:val="0"/>
        <w:autoSpaceDE w:val="0"/>
        <w:autoSpaceDN w:val="0"/>
        <w:adjustRightInd w:val="0"/>
        <w:rPr>
          <w:rFonts w:hint="eastAsia" w:ascii="宋体" w:hAnsi="宋体" w:eastAsia="宋体" w:cs="宋体"/>
          <w:b/>
          <w:color w:val="000000"/>
          <w:kern w:val="2"/>
          <w:sz w:val="21"/>
          <w:szCs w:val="21"/>
          <w:lang w:val="en-US" w:eastAsia="zh-CN" w:bidi="ar-SA"/>
        </w:rPr>
      </w:pPr>
    </w:p>
    <w:p w14:paraId="2462C8B5">
      <w:pPr>
        <w:widowControl w:val="0"/>
        <w:snapToGrid w:val="0"/>
        <w:spacing w:line="600" w:lineRule="exact"/>
        <w:ind w:firstLine="422" w:firstLineChars="200"/>
        <w:jc w:val="left"/>
        <w:rPr>
          <w:rFonts w:hint="eastAsia" w:ascii="宋体" w:hAnsi="宋体" w:eastAsia="宋体" w:cs="宋体"/>
          <w:b/>
          <w:color w:val="000000"/>
          <w:kern w:val="2"/>
          <w:sz w:val="21"/>
          <w:szCs w:val="21"/>
          <w:lang w:val="en-US" w:eastAsia="zh-CN" w:bidi="ar-SA"/>
        </w:rPr>
      </w:pPr>
    </w:p>
    <w:p w14:paraId="44592C6E">
      <w:pPr>
        <w:widowControl w:val="0"/>
        <w:snapToGrid w:val="0"/>
        <w:spacing w:line="600" w:lineRule="exact"/>
        <w:ind w:firstLine="422" w:firstLineChars="200"/>
        <w:jc w:val="left"/>
        <w:rPr>
          <w:rFonts w:hint="eastAsia" w:ascii="宋体" w:hAnsi="宋体" w:eastAsia="宋体" w:cs="宋体"/>
          <w:b/>
          <w:color w:val="000000"/>
          <w:kern w:val="2"/>
          <w:sz w:val="21"/>
          <w:szCs w:val="21"/>
          <w:lang w:val="en-US" w:eastAsia="zh-CN" w:bidi="ar-SA"/>
        </w:rPr>
      </w:pPr>
    </w:p>
    <w:p w14:paraId="7AFEAF50">
      <w:pPr>
        <w:widowControl w:val="0"/>
        <w:snapToGrid w:val="0"/>
        <w:spacing w:line="600" w:lineRule="exact"/>
        <w:ind w:firstLine="422" w:firstLineChars="200"/>
        <w:jc w:val="left"/>
        <w:rPr>
          <w:rFonts w:hint="eastAsia" w:ascii="宋体" w:hAnsi="宋体" w:eastAsia="宋体" w:cs="宋体"/>
          <w:b/>
          <w:color w:val="000000"/>
          <w:kern w:val="2"/>
          <w:sz w:val="21"/>
          <w:szCs w:val="21"/>
          <w:lang w:val="en-US" w:eastAsia="zh-CN" w:bidi="ar-SA"/>
        </w:rPr>
      </w:pPr>
    </w:p>
    <w:p w14:paraId="651659F6">
      <w:pPr>
        <w:widowControl w:val="0"/>
        <w:snapToGrid w:val="0"/>
        <w:spacing w:line="600" w:lineRule="exact"/>
        <w:ind w:firstLine="422" w:firstLineChars="200"/>
        <w:jc w:val="left"/>
        <w:rPr>
          <w:rFonts w:hint="eastAsia" w:ascii="宋体" w:hAnsi="宋体" w:eastAsia="宋体" w:cs="宋体"/>
          <w:b/>
          <w:color w:val="000000"/>
          <w:kern w:val="2"/>
          <w:sz w:val="21"/>
          <w:szCs w:val="21"/>
          <w:lang w:val="en-US" w:eastAsia="zh-CN" w:bidi="ar-SA"/>
        </w:rPr>
      </w:pPr>
    </w:p>
    <w:p w14:paraId="57702230">
      <w:pPr>
        <w:widowControl w:val="0"/>
        <w:snapToGrid w:val="0"/>
        <w:spacing w:line="600" w:lineRule="exact"/>
        <w:ind w:firstLine="422" w:firstLineChars="200"/>
        <w:jc w:val="left"/>
        <w:rPr>
          <w:rFonts w:hint="eastAsia" w:ascii="宋体" w:hAnsi="宋体" w:eastAsia="宋体" w:cs="宋体"/>
          <w:b/>
          <w:color w:val="000000"/>
          <w:kern w:val="2"/>
          <w:sz w:val="21"/>
          <w:szCs w:val="21"/>
          <w:lang w:val="en-US" w:eastAsia="zh-CN" w:bidi="ar-SA"/>
        </w:rPr>
      </w:pPr>
    </w:p>
    <w:p w14:paraId="2E46025B">
      <w:pPr>
        <w:widowControl w:val="0"/>
        <w:snapToGrid w:val="0"/>
        <w:spacing w:line="600" w:lineRule="exact"/>
        <w:ind w:firstLine="422" w:firstLineChars="200"/>
        <w:jc w:val="left"/>
        <w:rPr>
          <w:rFonts w:hint="eastAsia" w:ascii="宋体" w:hAnsi="宋体" w:eastAsia="宋体" w:cs="宋体"/>
          <w:b/>
          <w:color w:val="000000"/>
          <w:kern w:val="2"/>
          <w:sz w:val="21"/>
          <w:szCs w:val="21"/>
          <w:lang w:val="en-US" w:eastAsia="zh-CN" w:bidi="ar-SA"/>
        </w:rPr>
      </w:pPr>
    </w:p>
    <w:p w14:paraId="016B40D3">
      <w:pPr>
        <w:keepNext/>
        <w:keepLines/>
        <w:widowControl w:val="0"/>
        <w:spacing w:after="0" w:afterLines="0" w:line="460" w:lineRule="exact"/>
        <w:ind w:left="425" w:firstLine="0" w:firstLineChars="0"/>
        <w:jc w:val="center"/>
        <w:outlineLvl w:val="1"/>
        <w:rPr>
          <w:rFonts w:hint="eastAsia" w:ascii="宋体" w:hAnsi="宋体" w:eastAsia="宋体" w:cs="宋体"/>
          <w:b/>
          <w:bCs/>
          <w:color w:val="000000"/>
          <w:kern w:val="2"/>
          <w:sz w:val="28"/>
          <w:szCs w:val="28"/>
          <w:lang w:val="en-US" w:eastAsia="zh-CN" w:bidi="ar-SA"/>
        </w:rPr>
      </w:pPr>
      <w:bookmarkStart w:id="1221" w:name="_Toc18038"/>
      <w:bookmarkStart w:id="1222" w:name="_Toc10431"/>
      <w:r>
        <w:rPr>
          <w:rFonts w:hint="eastAsia" w:ascii="宋体" w:hAnsi="宋体" w:eastAsia="宋体" w:cs="宋体"/>
          <w:b/>
          <w:bCs/>
          <w:color w:val="000000"/>
          <w:kern w:val="2"/>
          <w:sz w:val="28"/>
          <w:szCs w:val="28"/>
          <w:lang w:val="en-US" w:eastAsia="zh-CN" w:bidi="ar-SA"/>
        </w:rPr>
        <w:t>八、监狱企业证明文件（如有）</w:t>
      </w:r>
      <w:bookmarkEnd w:id="1221"/>
      <w:bookmarkEnd w:id="1222"/>
    </w:p>
    <w:p w14:paraId="72854B7B">
      <w:pPr>
        <w:spacing w:line="360" w:lineRule="auto"/>
        <w:ind w:firstLine="420" w:firstLineChars="200"/>
        <w:rPr>
          <w:rFonts w:hint="eastAsia" w:ascii="宋体" w:hAnsi="宋体" w:eastAsia="宋体" w:cs="宋体"/>
          <w:color w:val="000000"/>
          <w:szCs w:val="21"/>
        </w:rPr>
      </w:pPr>
    </w:p>
    <w:p w14:paraId="40534C21">
      <w:pPr>
        <w:spacing w:line="480" w:lineRule="auto"/>
        <w:ind w:firstLine="480" w:firstLineChars="200"/>
        <w:rPr>
          <w:rFonts w:hint="eastAsia" w:ascii="宋体" w:hAnsi="宋体" w:eastAsia="宋体" w:cs="宋体"/>
          <w:color w:val="000000"/>
          <w:sz w:val="24"/>
          <w:szCs w:val="24"/>
        </w:rPr>
      </w:pPr>
    </w:p>
    <w:p w14:paraId="7945E29E">
      <w:pPr>
        <w:spacing w:line="48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根据财政部、司法部联合印发《关于政府采购支持监狱企业发展有关问题的通知》（财库【2014】68号）文件规定，凡监狱企业参加政府采购活动视同小型、微型企业，享受评审价格扣除的政府采购优惠政策。此次若有监狱企业参加投标的其报价享受价格扣除，但必须提供由省级以上监狱管理局、戒毒管理局（含新疆生产建设兵团）出具的属于监狱企业的证明文件，否则评审时不予价格扣除优惠。</w:t>
      </w:r>
    </w:p>
    <w:p w14:paraId="77497693">
      <w:pPr>
        <w:spacing w:line="360" w:lineRule="auto"/>
        <w:ind w:firstLine="420" w:firstLineChars="200"/>
        <w:jc w:val="center"/>
        <w:rPr>
          <w:rFonts w:hint="eastAsia" w:ascii="宋体" w:hAnsi="宋体" w:eastAsia="宋体" w:cs="宋体"/>
          <w:color w:val="000000"/>
          <w:szCs w:val="21"/>
        </w:rPr>
      </w:pPr>
    </w:p>
    <w:p w14:paraId="5F09F549">
      <w:pPr>
        <w:spacing w:line="360" w:lineRule="auto"/>
        <w:ind w:firstLine="420" w:firstLineChars="200"/>
        <w:jc w:val="center"/>
        <w:rPr>
          <w:rFonts w:hint="eastAsia" w:ascii="宋体" w:hAnsi="宋体" w:eastAsia="宋体" w:cs="宋体"/>
          <w:color w:val="000000"/>
          <w:szCs w:val="21"/>
        </w:rPr>
      </w:pPr>
    </w:p>
    <w:p w14:paraId="5545925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注：在投标文件中附扫描件。</w:t>
      </w:r>
    </w:p>
    <w:p w14:paraId="6AEBB7D7">
      <w:pPr>
        <w:keepNext/>
        <w:widowControl w:val="0"/>
        <w:spacing w:line="600" w:lineRule="exact"/>
        <w:ind w:left="425" w:firstLine="0" w:firstLineChars="0"/>
        <w:jc w:val="center"/>
        <w:outlineLvl w:val="9"/>
        <w:rPr>
          <w:rFonts w:hint="eastAsia" w:ascii="宋体" w:hAnsi="宋体" w:eastAsia="宋体" w:cs="宋体"/>
          <w:b/>
          <w:bCs/>
          <w:color w:val="000000"/>
          <w:kern w:val="2"/>
          <w:sz w:val="28"/>
          <w:szCs w:val="28"/>
          <w:lang w:val="en-US" w:eastAsia="zh-CN" w:bidi="ar-SA"/>
        </w:rPr>
      </w:pPr>
    </w:p>
    <w:p w14:paraId="2FF9004F">
      <w:pPr>
        <w:keepNext/>
        <w:widowControl w:val="0"/>
        <w:spacing w:line="600" w:lineRule="exact"/>
        <w:ind w:left="425" w:firstLine="0" w:firstLineChars="0"/>
        <w:jc w:val="center"/>
        <w:outlineLvl w:val="9"/>
        <w:rPr>
          <w:rFonts w:hint="eastAsia" w:ascii="宋体" w:hAnsi="宋体" w:eastAsia="宋体" w:cs="宋体"/>
          <w:b/>
          <w:bCs/>
          <w:color w:val="000000"/>
          <w:kern w:val="2"/>
          <w:sz w:val="28"/>
          <w:szCs w:val="28"/>
          <w:lang w:val="en-US" w:eastAsia="zh-CN" w:bidi="ar-SA"/>
        </w:rPr>
      </w:pPr>
    </w:p>
    <w:p w14:paraId="36602C23">
      <w:pPr>
        <w:keepNext/>
        <w:widowControl w:val="0"/>
        <w:spacing w:line="600" w:lineRule="exact"/>
        <w:ind w:left="425" w:firstLine="0" w:firstLineChars="0"/>
        <w:jc w:val="center"/>
        <w:outlineLvl w:val="9"/>
        <w:rPr>
          <w:rFonts w:hint="eastAsia" w:ascii="宋体" w:hAnsi="宋体" w:eastAsia="宋体" w:cs="宋体"/>
          <w:b/>
          <w:bCs/>
          <w:color w:val="000000"/>
          <w:kern w:val="2"/>
          <w:sz w:val="28"/>
          <w:szCs w:val="28"/>
          <w:lang w:val="en-US" w:eastAsia="zh-CN" w:bidi="ar-SA"/>
        </w:rPr>
      </w:pPr>
    </w:p>
    <w:p w14:paraId="49678097">
      <w:pPr>
        <w:keepNext/>
        <w:widowControl w:val="0"/>
        <w:spacing w:line="600" w:lineRule="exact"/>
        <w:ind w:left="425" w:firstLine="0" w:firstLineChars="0"/>
        <w:jc w:val="center"/>
        <w:outlineLvl w:val="9"/>
        <w:rPr>
          <w:rFonts w:hint="eastAsia" w:ascii="宋体" w:hAnsi="宋体" w:eastAsia="宋体" w:cs="宋体"/>
          <w:b/>
          <w:bCs/>
          <w:color w:val="000000"/>
          <w:kern w:val="2"/>
          <w:sz w:val="28"/>
          <w:szCs w:val="28"/>
          <w:lang w:val="en-US" w:eastAsia="zh-CN" w:bidi="ar-SA"/>
        </w:rPr>
      </w:pPr>
    </w:p>
    <w:p w14:paraId="6A7C88EA">
      <w:pPr>
        <w:keepNext/>
        <w:widowControl w:val="0"/>
        <w:spacing w:line="600" w:lineRule="exact"/>
        <w:ind w:left="425" w:firstLine="0" w:firstLineChars="0"/>
        <w:jc w:val="center"/>
        <w:outlineLvl w:val="9"/>
        <w:rPr>
          <w:rFonts w:hint="eastAsia" w:ascii="宋体" w:hAnsi="宋体" w:eastAsia="宋体" w:cs="宋体"/>
          <w:b/>
          <w:bCs/>
          <w:color w:val="000000"/>
          <w:kern w:val="2"/>
          <w:sz w:val="28"/>
          <w:szCs w:val="28"/>
          <w:lang w:val="en-US" w:eastAsia="zh-CN" w:bidi="ar-SA"/>
        </w:rPr>
      </w:pPr>
    </w:p>
    <w:p w14:paraId="386B9C58">
      <w:pPr>
        <w:spacing w:line="600" w:lineRule="exact"/>
        <w:ind w:firstLine="562" w:firstLineChars="200"/>
        <w:outlineLvl w:val="9"/>
        <w:rPr>
          <w:rFonts w:hint="eastAsia" w:ascii="宋体" w:hAnsi="宋体" w:eastAsia="宋体" w:cs="宋体"/>
          <w:b/>
          <w:bCs/>
          <w:color w:val="000000"/>
          <w:sz w:val="28"/>
          <w:szCs w:val="28"/>
        </w:rPr>
      </w:pPr>
    </w:p>
    <w:p w14:paraId="2537C9C6">
      <w:pPr>
        <w:widowControl w:val="0"/>
        <w:spacing w:after="120" w:afterLines="0" w:afterAutospacing="0" w:line="600" w:lineRule="exact"/>
        <w:ind w:firstLine="210" w:firstLineChars="100"/>
        <w:jc w:val="both"/>
        <w:outlineLvl w:val="9"/>
        <w:rPr>
          <w:rFonts w:hint="eastAsia" w:ascii="宋体" w:hAnsi="宋体" w:eastAsia="宋体" w:cs="宋体"/>
          <w:kern w:val="2"/>
          <w:sz w:val="21"/>
          <w:szCs w:val="22"/>
          <w:lang w:val="en-US" w:eastAsia="zh-CN" w:bidi="ar-SA"/>
        </w:rPr>
      </w:pPr>
    </w:p>
    <w:p w14:paraId="6CE0231B">
      <w:pPr>
        <w:spacing w:line="360" w:lineRule="auto"/>
        <w:ind w:firstLine="422" w:firstLineChars="200"/>
        <w:jc w:val="center"/>
        <w:outlineLvl w:val="9"/>
        <w:rPr>
          <w:rFonts w:hint="eastAsia" w:ascii="宋体" w:hAnsi="宋体" w:eastAsia="宋体" w:cs="宋体"/>
          <w:b/>
          <w:color w:val="000000"/>
          <w:szCs w:val="21"/>
        </w:rPr>
      </w:pPr>
    </w:p>
    <w:p w14:paraId="1F1CE45F">
      <w:pPr>
        <w:spacing w:line="360" w:lineRule="auto"/>
        <w:ind w:firstLine="422" w:firstLineChars="200"/>
        <w:jc w:val="center"/>
        <w:outlineLvl w:val="9"/>
        <w:rPr>
          <w:rFonts w:hint="eastAsia" w:ascii="宋体" w:hAnsi="宋体" w:eastAsia="宋体" w:cs="宋体"/>
          <w:b/>
          <w:color w:val="000000"/>
          <w:szCs w:val="21"/>
        </w:rPr>
      </w:pPr>
    </w:p>
    <w:p w14:paraId="19FBA037">
      <w:pPr>
        <w:widowControl w:val="0"/>
        <w:spacing w:line="400" w:lineRule="exact"/>
        <w:ind w:firstLine="422" w:firstLineChars="200"/>
        <w:jc w:val="both"/>
        <w:outlineLvl w:val="9"/>
        <w:rPr>
          <w:rFonts w:hint="eastAsia" w:ascii="宋体" w:hAnsi="宋体" w:eastAsia="宋体" w:cs="宋体"/>
          <w:b/>
          <w:color w:val="000000"/>
          <w:kern w:val="2"/>
          <w:sz w:val="21"/>
          <w:szCs w:val="21"/>
          <w:lang w:val="en-US" w:eastAsia="zh-CN" w:bidi="ar-SA"/>
        </w:rPr>
      </w:pPr>
    </w:p>
    <w:p w14:paraId="4ACCAA42">
      <w:pPr>
        <w:widowControl w:val="0"/>
        <w:spacing w:line="400" w:lineRule="exact"/>
        <w:ind w:firstLine="422" w:firstLineChars="200"/>
        <w:jc w:val="both"/>
        <w:rPr>
          <w:rFonts w:hint="eastAsia" w:ascii="宋体" w:hAnsi="宋体" w:eastAsia="宋体" w:cs="宋体"/>
          <w:b/>
          <w:color w:val="000000"/>
          <w:kern w:val="2"/>
          <w:sz w:val="21"/>
          <w:szCs w:val="21"/>
          <w:lang w:val="en-US" w:eastAsia="zh-CN" w:bidi="ar-SA"/>
        </w:rPr>
      </w:pPr>
    </w:p>
    <w:p w14:paraId="1FD4593C">
      <w:pPr>
        <w:widowControl w:val="0"/>
        <w:spacing w:line="400" w:lineRule="exact"/>
        <w:ind w:firstLine="422" w:firstLineChars="200"/>
        <w:jc w:val="both"/>
        <w:rPr>
          <w:rFonts w:hint="eastAsia" w:ascii="宋体" w:hAnsi="宋体" w:eastAsia="宋体" w:cs="宋体"/>
          <w:b/>
          <w:color w:val="000000"/>
          <w:kern w:val="2"/>
          <w:sz w:val="21"/>
          <w:szCs w:val="21"/>
          <w:lang w:val="en-US" w:eastAsia="zh-CN" w:bidi="ar-SA"/>
        </w:rPr>
      </w:pPr>
    </w:p>
    <w:p w14:paraId="6F3DB037">
      <w:pPr>
        <w:widowControl w:val="0"/>
        <w:spacing w:line="400" w:lineRule="exact"/>
        <w:ind w:firstLine="422" w:firstLineChars="200"/>
        <w:jc w:val="both"/>
        <w:rPr>
          <w:rFonts w:hint="eastAsia" w:ascii="宋体" w:hAnsi="宋体" w:eastAsia="宋体" w:cs="宋体"/>
          <w:b/>
          <w:color w:val="000000"/>
          <w:kern w:val="2"/>
          <w:sz w:val="21"/>
          <w:szCs w:val="21"/>
          <w:lang w:val="en-US" w:eastAsia="zh-CN" w:bidi="ar-SA"/>
        </w:rPr>
      </w:pPr>
    </w:p>
    <w:p w14:paraId="1FEE001A">
      <w:pPr>
        <w:keepNext/>
        <w:keepLines/>
        <w:widowControl w:val="0"/>
        <w:spacing w:after="0" w:afterLines="0" w:line="460" w:lineRule="exact"/>
        <w:ind w:firstLine="562" w:firstLineChars="200"/>
        <w:jc w:val="center"/>
        <w:outlineLvl w:val="1"/>
        <w:rPr>
          <w:rFonts w:hint="eastAsia" w:ascii="宋体" w:hAnsi="宋体" w:eastAsia="宋体" w:cs="宋体"/>
          <w:b/>
          <w:bCs/>
          <w:color w:val="000000"/>
          <w:kern w:val="2"/>
          <w:sz w:val="28"/>
          <w:szCs w:val="28"/>
          <w:lang w:val="en-US" w:eastAsia="zh-CN" w:bidi="ar-SA"/>
        </w:rPr>
      </w:pPr>
      <w:bookmarkStart w:id="1223" w:name="_Toc28636"/>
      <w:bookmarkStart w:id="1224" w:name="_Toc16862"/>
      <w:r>
        <w:rPr>
          <w:rFonts w:hint="eastAsia" w:ascii="宋体" w:hAnsi="宋体" w:eastAsia="宋体" w:cs="宋体"/>
          <w:b/>
          <w:bCs/>
          <w:color w:val="000000"/>
          <w:kern w:val="2"/>
          <w:sz w:val="28"/>
          <w:szCs w:val="28"/>
          <w:lang w:val="en-US" w:eastAsia="zh-CN" w:bidi="ar-SA"/>
        </w:rPr>
        <w:t>九、反商业贿赂承诺书</w:t>
      </w:r>
      <w:bookmarkEnd w:id="1223"/>
      <w:bookmarkEnd w:id="1224"/>
    </w:p>
    <w:p w14:paraId="66D5FD1F">
      <w:pPr>
        <w:widowControl w:val="0"/>
        <w:spacing w:after="120" w:afterLines="0" w:afterAutospacing="0" w:line="600" w:lineRule="exact"/>
        <w:ind w:firstLine="210" w:firstLineChars="100"/>
        <w:jc w:val="both"/>
        <w:rPr>
          <w:rFonts w:hint="eastAsia" w:ascii="宋体" w:hAnsi="宋体" w:eastAsia="宋体" w:cs="宋体"/>
          <w:color w:val="000000"/>
          <w:kern w:val="2"/>
          <w:sz w:val="21"/>
          <w:szCs w:val="21"/>
          <w:lang w:val="en-US" w:eastAsia="zh-CN" w:bidi="ar-SA"/>
        </w:rPr>
      </w:pPr>
    </w:p>
    <w:p w14:paraId="05560E7B">
      <w:pPr>
        <w:autoSpaceDE w:val="0"/>
        <w:autoSpaceDN w:val="0"/>
        <w:adjustRightInd w:val="0"/>
        <w:spacing w:line="480" w:lineRule="auto"/>
        <w:ind w:firstLine="0" w:firstLineChars="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我方承诺：</w:t>
      </w:r>
    </w:p>
    <w:p w14:paraId="5087152E">
      <w:pPr>
        <w:autoSpaceDE w:val="0"/>
        <w:autoSpaceDN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在</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lang w:val="zh-CN"/>
        </w:rPr>
        <w:t>（项目名称）（项目编号：</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）投标活动中，我方保证做到：</w:t>
      </w:r>
    </w:p>
    <w:p w14:paraId="304332BD">
      <w:pPr>
        <w:autoSpaceDE w:val="0"/>
        <w:autoSpaceDN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一、公平竞争参加本次公开采购活动。</w:t>
      </w:r>
    </w:p>
    <w:p w14:paraId="0EBD00AB">
      <w:pPr>
        <w:autoSpaceDE w:val="0"/>
        <w:autoSpaceDN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14:paraId="2A3C4AE4">
      <w:pPr>
        <w:autoSpaceDE w:val="0"/>
        <w:autoSpaceDN w:val="0"/>
        <w:adjustRightInd w:val="0"/>
        <w:spacing w:line="480" w:lineRule="auto"/>
        <w:ind w:firstLine="720" w:firstLineChars="300"/>
        <w:jc w:val="lef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三、若出现上述行为，我方及参与投标的工作人员愿意接受按照国家法律法规等有关规定给予的处罚。</w:t>
      </w:r>
    </w:p>
    <w:p w14:paraId="7DA508A4">
      <w:pPr>
        <w:spacing w:line="360" w:lineRule="auto"/>
        <w:ind w:left="645" w:firstLine="420" w:firstLineChars="200"/>
        <w:outlineLvl w:val="9"/>
        <w:rPr>
          <w:rFonts w:hint="eastAsia" w:ascii="宋体" w:hAnsi="宋体" w:eastAsia="宋体" w:cs="宋体"/>
          <w:color w:val="000000"/>
          <w:szCs w:val="21"/>
        </w:rPr>
      </w:pPr>
    </w:p>
    <w:p w14:paraId="64C7A848">
      <w:pPr>
        <w:spacing w:line="360" w:lineRule="auto"/>
        <w:ind w:left="645" w:firstLine="420" w:firstLineChars="200"/>
        <w:outlineLvl w:val="9"/>
        <w:rPr>
          <w:rFonts w:hint="eastAsia" w:ascii="宋体" w:hAnsi="宋体" w:eastAsia="宋体" w:cs="宋体"/>
          <w:color w:val="000000"/>
          <w:szCs w:val="21"/>
        </w:rPr>
      </w:pPr>
    </w:p>
    <w:p w14:paraId="5E46AA74">
      <w:pPr>
        <w:spacing w:line="500" w:lineRule="exact"/>
        <w:ind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rPr>
        <w:t>投标供应商：</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（单位电子签章）</w:t>
      </w:r>
    </w:p>
    <w:p w14:paraId="3DD39E85">
      <w:pPr>
        <w:spacing w:line="500" w:lineRule="exact"/>
        <w:ind w:firstLine="1680" w:firstLineChars="7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法定代表人或其委托代理人：</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（电子签名或盖章）</w:t>
      </w:r>
    </w:p>
    <w:p w14:paraId="3DB28C4A">
      <w:pPr>
        <w:spacing w:line="500" w:lineRule="exact"/>
        <w:ind w:firstLine="2640" w:firstLineChars="1100"/>
        <w:rPr>
          <w:rFonts w:hint="eastAsia" w:ascii="宋体" w:hAnsi="宋体" w:eastAsia="宋体" w:cs="宋体"/>
          <w:color w:val="000000"/>
          <w:sz w:val="24"/>
          <w:szCs w:val="24"/>
        </w:rPr>
      </w:pP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6C0C782D">
      <w:pPr>
        <w:spacing w:line="360" w:lineRule="auto"/>
        <w:ind w:left="645" w:firstLine="420"/>
        <w:outlineLvl w:val="0"/>
        <w:rPr>
          <w:rFonts w:hint="eastAsia" w:ascii="宋体" w:hAnsi="宋体" w:eastAsia="宋体" w:cs="宋体"/>
          <w:color w:val="000000"/>
          <w:szCs w:val="21"/>
        </w:rPr>
        <w:sectPr>
          <w:pgSz w:w="11906" w:h="16838"/>
          <w:pgMar w:top="1440" w:right="1800" w:bottom="1440" w:left="1800" w:header="851" w:footer="992" w:gutter="0"/>
          <w:pgNumType w:fmt="decimal"/>
          <w:cols w:space="425" w:num="1"/>
          <w:docGrid w:type="lines" w:linePitch="312" w:charSpace="0"/>
        </w:sectPr>
      </w:pPr>
    </w:p>
    <w:p w14:paraId="73D10BCE">
      <w:pPr>
        <w:keepNext/>
        <w:keepLines/>
        <w:widowControl w:val="0"/>
        <w:numPr>
          <w:ilvl w:val="0"/>
          <w:numId w:val="0"/>
        </w:numPr>
        <w:bidi w:val="0"/>
        <w:spacing w:after="0" w:afterLines="0" w:line="460" w:lineRule="exact"/>
        <w:ind w:firstLine="562" w:firstLineChars="200"/>
        <w:jc w:val="center"/>
        <w:outlineLvl w:val="1"/>
        <w:rPr>
          <w:rFonts w:hint="eastAsia" w:ascii="宋体" w:hAnsi="宋体" w:eastAsia="宋体" w:cs="宋体"/>
          <w:b/>
          <w:bCs/>
          <w:color w:val="000000"/>
          <w:kern w:val="2"/>
          <w:sz w:val="28"/>
          <w:szCs w:val="28"/>
          <w:lang w:val="en-US" w:eastAsia="zh-CN" w:bidi="ar-SA"/>
        </w:rPr>
      </w:pPr>
      <w:bookmarkStart w:id="1225" w:name="_Toc22716"/>
      <w:r>
        <w:rPr>
          <w:rFonts w:hint="eastAsia" w:ascii="宋体" w:hAnsi="宋体" w:eastAsia="宋体" w:cs="宋体"/>
          <w:b/>
          <w:bCs/>
          <w:color w:val="000000"/>
          <w:kern w:val="2"/>
          <w:sz w:val="28"/>
          <w:szCs w:val="28"/>
          <w:lang w:val="en-US" w:eastAsia="zh-CN" w:bidi="ar-SA"/>
        </w:rPr>
        <w:t>十、其他材料</w:t>
      </w:r>
      <w:bookmarkEnd w:id="1225"/>
    </w:p>
    <w:p w14:paraId="5F72F178">
      <w:pPr>
        <w:widowControl/>
        <w:shd w:val="clear" w:color="auto" w:fill="FFFFFF"/>
        <w:bidi w:val="0"/>
        <w:spacing w:before="0" w:beforeLines="0" w:beforeAutospacing="0" w:after="0" w:afterLines="0" w:afterAutospacing="0" w:line="405" w:lineRule="atLeast"/>
        <w:ind w:firstLine="422" w:firstLineChars="200"/>
        <w:jc w:val="center"/>
        <w:rPr>
          <w:rFonts w:hint="eastAsia" w:ascii="宋体" w:hAnsi="宋体" w:eastAsia="宋体" w:cs="宋体"/>
          <w:b/>
          <w:color w:val="000000"/>
          <w:kern w:val="0"/>
          <w:sz w:val="21"/>
          <w:szCs w:val="21"/>
          <w:lang w:val="en-US" w:eastAsia="zh-CN" w:bidi="ar-SA"/>
        </w:rPr>
      </w:pPr>
    </w:p>
    <w:p w14:paraId="3301A9E5">
      <w:pPr>
        <w:bidi w:val="0"/>
        <w:spacing w:line="360" w:lineRule="auto"/>
        <w:ind w:firstLine="482" w:firstLineChars="200"/>
        <w:jc w:val="center"/>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1、采购代理服务费承诺函</w:t>
      </w:r>
    </w:p>
    <w:p w14:paraId="18FD170C">
      <w:pPr>
        <w:widowControl/>
        <w:shd w:val="clear" w:color="auto" w:fill="FFFFFF"/>
        <w:bidi w:val="0"/>
        <w:spacing w:before="0" w:beforeLines="0" w:beforeAutospacing="0" w:after="0" w:afterLines="0" w:afterAutospacing="0" w:line="600" w:lineRule="exact"/>
        <w:ind w:firstLine="512" w:firstLineChars="200"/>
        <w:jc w:val="both"/>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spacing w:val="8"/>
          <w:kern w:val="0"/>
          <w:sz w:val="24"/>
          <w:szCs w:val="24"/>
          <w:shd w:val="clear" w:color="auto" w:fill="FFFFFF"/>
          <w:lang w:val="en-US" w:eastAsia="zh-CN" w:bidi="ar-SA"/>
        </w:rPr>
        <w:t> </w:t>
      </w:r>
    </w:p>
    <w:p w14:paraId="69C3E7EB">
      <w:pPr>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0" w:firstLineChars="200"/>
        <w:jc w:val="both"/>
        <w:textAlignment w:val="auto"/>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kern w:val="0"/>
          <w:sz w:val="24"/>
          <w:szCs w:val="24"/>
          <w:shd w:val="clear" w:color="auto" w:fill="FFFFFF"/>
          <w:lang w:val="en-US" w:eastAsia="zh-CN" w:bidi="ar-SA"/>
        </w:rPr>
        <w:t>致</w:t>
      </w:r>
      <w:r>
        <w:rPr>
          <w:rFonts w:hint="eastAsia" w:ascii="宋体" w:hAnsi="宋体" w:eastAsia="宋体" w:cs="宋体"/>
          <w:color w:val="000000"/>
          <w:spacing w:val="8"/>
          <w:kern w:val="0"/>
          <w:sz w:val="24"/>
          <w:szCs w:val="24"/>
          <w:shd w:val="clear" w:color="auto" w:fill="FFFFFF"/>
          <w:lang w:val="en-US" w:eastAsia="zh-CN" w:bidi="ar-SA"/>
        </w:rPr>
        <w:t>：</w:t>
      </w:r>
      <w:r>
        <w:rPr>
          <w:rFonts w:hint="eastAsia" w:ascii="宋体" w:hAnsi="宋体" w:eastAsia="宋体" w:cs="宋体"/>
          <w:color w:val="000000"/>
          <w:spacing w:val="8"/>
          <w:kern w:val="0"/>
          <w:sz w:val="24"/>
          <w:szCs w:val="24"/>
          <w:u w:val="single"/>
          <w:shd w:val="clear" w:color="auto" w:fill="FFFFFF"/>
          <w:lang w:val="en-US" w:eastAsia="zh-CN" w:bidi="ar-SA"/>
        </w:rPr>
        <w:t xml:space="preserve">               </w:t>
      </w:r>
      <w:r>
        <w:rPr>
          <w:rFonts w:hint="eastAsia" w:ascii="宋体" w:hAnsi="宋体" w:eastAsia="宋体" w:cs="宋体"/>
          <w:color w:val="000000"/>
          <w:kern w:val="0"/>
          <w:sz w:val="24"/>
          <w:szCs w:val="24"/>
          <w:u w:val="none"/>
          <w:shd w:val="clear" w:color="auto" w:fill="FFFFFF"/>
          <w:lang w:val="en-US" w:eastAsia="zh-CN" w:bidi="ar-SA"/>
        </w:rPr>
        <w:t>（采购人及采购代理机构）</w:t>
      </w:r>
    </w:p>
    <w:p w14:paraId="7172442A">
      <w:pPr>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512" w:firstLineChars="200"/>
        <w:jc w:val="both"/>
        <w:textAlignment w:val="auto"/>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spacing w:val="8"/>
          <w:kern w:val="0"/>
          <w:sz w:val="24"/>
          <w:szCs w:val="24"/>
          <w:shd w:val="clear" w:color="auto" w:fill="FFFFFF"/>
          <w:lang w:val="en-US" w:eastAsia="zh-CN" w:bidi="ar-SA"/>
        </w:rPr>
        <w:t>我们在贵公司组织的（项目名称：</w:t>
      </w:r>
      <w:r>
        <w:rPr>
          <w:rFonts w:hint="eastAsia" w:ascii="宋体" w:hAnsi="宋体" w:eastAsia="宋体" w:cs="宋体"/>
          <w:color w:val="000000"/>
          <w:spacing w:val="8"/>
          <w:kern w:val="0"/>
          <w:sz w:val="24"/>
          <w:szCs w:val="24"/>
          <w:u w:val="single"/>
          <w:shd w:val="clear" w:color="auto" w:fill="FFFFFF"/>
          <w:lang w:val="en-US" w:eastAsia="zh-CN" w:bidi="ar-SA"/>
        </w:rPr>
        <w:t xml:space="preserve">     </w:t>
      </w:r>
      <w:r>
        <w:rPr>
          <w:rFonts w:hint="eastAsia" w:ascii="宋体" w:hAnsi="宋体" w:eastAsia="宋体" w:cs="宋体"/>
          <w:color w:val="000000"/>
          <w:spacing w:val="8"/>
          <w:kern w:val="0"/>
          <w:sz w:val="24"/>
          <w:szCs w:val="24"/>
          <w:shd w:val="clear" w:color="auto" w:fill="FFFFFF"/>
          <w:lang w:val="en-US" w:eastAsia="zh-CN" w:bidi="ar-SA"/>
        </w:rPr>
        <w:t>，项目编号：</w:t>
      </w:r>
      <w:r>
        <w:rPr>
          <w:rFonts w:hint="eastAsia" w:ascii="宋体" w:hAnsi="宋体" w:eastAsia="宋体" w:cs="宋体"/>
          <w:color w:val="000000"/>
          <w:spacing w:val="8"/>
          <w:kern w:val="0"/>
          <w:sz w:val="24"/>
          <w:szCs w:val="24"/>
          <w:u w:val="single"/>
          <w:shd w:val="clear" w:color="auto" w:fill="FFFFFF"/>
          <w:lang w:val="en-US" w:eastAsia="zh-CN" w:bidi="ar-SA"/>
        </w:rPr>
        <w:t xml:space="preserve">     </w:t>
      </w:r>
      <w:r>
        <w:rPr>
          <w:rFonts w:hint="eastAsia" w:ascii="宋体" w:hAnsi="宋体" w:eastAsia="宋体" w:cs="宋体"/>
          <w:color w:val="000000"/>
          <w:spacing w:val="8"/>
          <w:kern w:val="0"/>
          <w:sz w:val="24"/>
          <w:szCs w:val="24"/>
          <w:shd w:val="clear" w:color="auto" w:fill="FFFFFF"/>
          <w:lang w:val="en-US" w:eastAsia="zh-CN" w:bidi="ar-SA"/>
        </w:rPr>
        <w:t>）招标采购中若获中标（成交），我们保证在中标（成交）结果公告发布后5个工作日内，按招标文件的规定，以支票、银行转账、汇票或现金，向贵公司一次性支付采购代理服务费用。否则，由此产生的一切法律后果和责任由我公司承担。我公司声明放弃对此提出任何异议和追索的权利。</w:t>
      </w:r>
    </w:p>
    <w:p w14:paraId="30C25F60">
      <w:pPr>
        <w:keepNext w:val="0"/>
        <w:keepLines w:val="0"/>
        <w:pageBreakBefore w:val="0"/>
        <w:widowControl/>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512" w:firstLineChars="200"/>
        <w:jc w:val="both"/>
        <w:textAlignment w:val="auto"/>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spacing w:val="8"/>
          <w:kern w:val="0"/>
          <w:sz w:val="24"/>
          <w:szCs w:val="24"/>
          <w:shd w:val="clear" w:color="auto" w:fill="FFFFFF"/>
          <w:lang w:val="en-US" w:eastAsia="zh-CN" w:bidi="ar-SA"/>
        </w:rPr>
        <w:t>特此承诺。</w:t>
      </w:r>
    </w:p>
    <w:p w14:paraId="0F8F5775">
      <w:pPr>
        <w:widowControl/>
        <w:shd w:val="clear" w:color="auto" w:fill="FFFFFF"/>
        <w:bidi w:val="0"/>
        <w:spacing w:before="0" w:beforeLines="0" w:beforeAutospacing="0" w:after="0" w:afterLines="0" w:afterAutospacing="0" w:line="360" w:lineRule="auto"/>
        <w:ind w:firstLine="512" w:firstLineChars="200"/>
        <w:jc w:val="both"/>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spacing w:val="8"/>
          <w:kern w:val="0"/>
          <w:sz w:val="24"/>
          <w:szCs w:val="24"/>
          <w:shd w:val="clear" w:color="auto" w:fill="FFFFFF"/>
          <w:lang w:val="en-US" w:eastAsia="zh-CN" w:bidi="ar-SA"/>
        </w:rPr>
        <w:t> </w:t>
      </w:r>
    </w:p>
    <w:p w14:paraId="3FDB0120">
      <w:pPr>
        <w:widowControl/>
        <w:shd w:val="clear" w:color="auto" w:fill="FFFFFF"/>
        <w:bidi w:val="0"/>
        <w:spacing w:before="0" w:beforeLines="0" w:beforeAutospacing="0" w:after="0" w:afterLines="0" w:afterAutospacing="0" w:line="360" w:lineRule="auto"/>
        <w:ind w:firstLine="512" w:firstLineChars="200"/>
        <w:jc w:val="both"/>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spacing w:val="8"/>
          <w:kern w:val="0"/>
          <w:sz w:val="24"/>
          <w:szCs w:val="24"/>
          <w:shd w:val="clear" w:color="auto" w:fill="FFFFFF"/>
          <w:lang w:val="en-US" w:eastAsia="zh-CN" w:bidi="ar-SA"/>
        </w:rPr>
        <w:t> </w:t>
      </w:r>
    </w:p>
    <w:p w14:paraId="1639D908">
      <w:pPr>
        <w:widowControl/>
        <w:shd w:val="clear" w:color="auto" w:fill="FFFFFF"/>
        <w:bidi w:val="0"/>
        <w:spacing w:before="0" w:beforeLines="0" w:beforeAutospacing="0" w:after="0" w:afterLines="0" w:afterAutospacing="0" w:line="360" w:lineRule="auto"/>
        <w:ind w:firstLine="512" w:firstLineChars="200"/>
        <w:jc w:val="left"/>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spacing w:val="8"/>
          <w:kern w:val="0"/>
          <w:sz w:val="24"/>
          <w:szCs w:val="24"/>
          <w:shd w:val="clear" w:color="auto" w:fill="FFFFFF"/>
          <w:lang w:val="en-US" w:eastAsia="zh-CN" w:bidi="ar-SA"/>
        </w:rPr>
        <w:t>供应商名称：</w:t>
      </w:r>
      <w:r>
        <w:rPr>
          <w:rFonts w:hint="eastAsia" w:ascii="宋体" w:hAnsi="宋体" w:eastAsia="宋体" w:cs="宋体"/>
          <w:color w:val="000000"/>
          <w:spacing w:val="8"/>
          <w:kern w:val="0"/>
          <w:sz w:val="24"/>
          <w:szCs w:val="24"/>
          <w:u w:val="single"/>
          <w:shd w:val="clear" w:color="auto" w:fill="FFFFFF"/>
          <w:lang w:val="en-US" w:eastAsia="zh-CN" w:bidi="ar-SA"/>
        </w:rPr>
        <w:t>          </w:t>
      </w:r>
      <w:r>
        <w:rPr>
          <w:rFonts w:hint="eastAsia" w:ascii="宋体" w:hAnsi="宋体" w:eastAsia="宋体" w:cs="宋体"/>
          <w:color w:val="000000"/>
          <w:spacing w:val="8"/>
          <w:kern w:val="0"/>
          <w:sz w:val="24"/>
          <w:szCs w:val="24"/>
          <w:shd w:val="clear" w:color="auto" w:fill="FFFFFF"/>
          <w:lang w:val="en-US" w:eastAsia="zh-CN" w:bidi="ar-SA"/>
        </w:rPr>
        <w:t>（单位电子签章）</w:t>
      </w:r>
    </w:p>
    <w:p w14:paraId="5BF70269">
      <w:pPr>
        <w:widowControl/>
        <w:shd w:val="clear" w:color="auto" w:fill="FFFFFF"/>
        <w:bidi w:val="0"/>
        <w:spacing w:before="0" w:beforeLines="0" w:beforeAutospacing="0" w:after="0" w:afterLines="0" w:afterAutospacing="0" w:line="360" w:lineRule="auto"/>
        <w:ind w:firstLine="512" w:firstLineChars="200"/>
        <w:jc w:val="left"/>
        <w:rPr>
          <w:rFonts w:hint="eastAsia" w:ascii="宋体" w:hAnsi="宋体" w:eastAsia="宋体" w:cs="宋体"/>
          <w:color w:val="000000"/>
          <w:spacing w:val="8"/>
          <w:kern w:val="0"/>
          <w:sz w:val="24"/>
          <w:szCs w:val="24"/>
          <w:lang w:val="en-US" w:eastAsia="zh-CN" w:bidi="ar-SA"/>
        </w:rPr>
      </w:pPr>
      <w:r>
        <w:rPr>
          <w:rFonts w:hint="eastAsia" w:ascii="宋体" w:hAnsi="宋体" w:eastAsia="宋体" w:cs="宋体"/>
          <w:color w:val="000000"/>
          <w:spacing w:val="8"/>
          <w:kern w:val="0"/>
          <w:sz w:val="24"/>
          <w:szCs w:val="24"/>
          <w:shd w:val="clear" w:color="auto" w:fill="FFFFFF"/>
          <w:lang w:val="en-US" w:eastAsia="zh-CN" w:bidi="ar-SA"/>
        </w:rPr>
        <w:t>法定代表人或授权代表：</w:t>
      </w:r>
      <w:r>
        <w:rPr>
          <w:rFonts w:hint="eastAsia" w:ascii="宋体" w:hAnsi="宋体" w:eastAsia="宋体" w:cs="宋体"/>
          <w:color w:val="000000"/>
          <w:spacing w:val="8"/>
          <w:kern w:val="0"/>
          <w:sz w:val="24"/>
          <w:szCs w:val="24"/>
          <w:u w:val="single"/>
          <w:shd w:val="clear" w:color="auto" w:fill="FFFFFF"/>
          <w:lang w:val="en-US" w:eastAsia="zh-CN" w:bidi="ar-SA"/>
        </w:rPr>
        <w:t>      </w:t>
      </w:r>
      <w:r>
        <w:rPr>
          <w:rFonts w:hint="eastAsia" w:ascii="宋体" w:hAnsi="宋体" w:eastAsia="宋体" w:cs="宋体"/>
          <w:color w:val="000000"/>
          <w:spacing w:val="8"/>
          <w:kern w:val="0"/>
          <w:sz w:val="24"/>
          <w:szCs w:val="24"/>
          <w:shd w:val="clear" w:color="auto" w:fill="FFFFFF"/>
          <w:lang w:val="en-US" w:eastAsia="zh-CN" w:bidi="ar-SA"/>
        </w:rPr>
        <w:t>（电子签名或盖章）</w:t>
      </w:r>
    </w:p>
    <w:p w14:paraId="39158207">
      <w:pPr>
        <w:spacing w:line="500" w:lineRule="exact"/>
        <w:ind w:firstLine="512" w:firstLineChars="200"/>
        <w:rPr>
          <w:rFonts w:hint="eastAsia" w:ascii="宋体" w:hAnsi="宋体" w:eastAsia="宋体" w:cs="宋体"/>
          <w:color w:val="000000"/>
          <w:sz w:val="24"/>
          <w:szCs w:val="24"/>
        </w:rPr>
      </w:pPr>
      <w:r>
        <w:rPr>
          <w:rFonts w:hint="eastAsia" w:ascii="宋体" w:hAnsi="宋体" w:eastAsia="宋体" w:cs="宋体"/>
          <w:color w:val="000000"/>
          <w:spacing w:val="8"/>
          <w:kern w:val="0"/>
          <w:sz w:val="24"/>
          <w:szCs w:val="24"/>
          <w:shd w:val="clear" w:color="auto" w:fill="FFFFFF"/>
          <w:lang w:val="en-US" w:eastAsia="zh-CN" w:bidi="ar-SA"/>
        </w:rPr>
        <w:t>日期：</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年</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月</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日</w:t>
      </w:r>
    </w:p>
    <w:p w14:paraId="77C564A9">
      <w:pPr>
        <w:widowControl/>
        <w:shd w:val="clear" w:color="auto" w:fill="FFFFFF"/>
        <w:bidi w:val="0"/>
        <w:spacing w:before="0" w:beforeLines="0" w:beforeAutospacing="0" w:after="0" w:afterLines="0" w:afterAutospacing="0" w:line="360" w:lineRule="auto"/>
        <w:ind w:firstLine="512" w:firstLineChars="200"/>
        <w:jc w:val="both"/>
        <w:rPr>
          <w:rFonts w:hint="eastAsia" w:ascii="宋体" w:hAnsi="宋体" w:eastAsia="宋体" w:cs="宋体"/>
          <w:color w:val="000000"/>
          <w:spacing w:val="8"/>
          <w:kern w:val="0"/>
          <w:sz w:val="24"/>
          <w:szCs w:val="24"/>
          <w:lang w:val="en-US" w:eastAsia="zh-CN" w:bidi="ar-SA"/>
        </w:rPr>
      </w:pPr>
    </w:p>
    <w:p w14:paraId="13370E1C">
      <w:pPr>
        <w:widowControl/>
        <w:shd w:val="clear" w:color="auto" w:fill="FFFFFF"/>
        <w:bidi w:val="0"/>
        <w:spacing w:before="0" w:beforeLines="0" w:beforeAutospacing="0" w:after="0" w:afterLines="0" w:afterAutospacing="0" w:line="360" w:lineRule="auto"/>
        <w:ind w:firstLine="452" w:firstLineChars="200"/>
        <w:jc w:val="both"/>
        <w:rPr>
          <w:rFonts w:hint="eastAsia" w:ascii="宋体" w:hAnsi="宋体" w:eastAsia="宋体" w:cs="宋体"/>
          <w:color w:val="000000"/>
          <w:spacing w:val="8"/>
          <w:kern w:val="0"/>
          <w:sz w:val="21"/>
          <w:szCs w:val="21"/>
          <w:lang w:val="en-US" w:eastAsia="zh-CN" w:bidi="ar-SA"/>
        </w:rPr>
      </w:pPr>
      <w:r>
        <w:rPr>
          <w:rFonts w:hint="eastAsia" w:ascii="宋体" w:hAnsi="宋体" w:eastAsia="宋体" w:cs="宋体"/>
          <w:color w:val="000000"/>
          <w:spacing w:val="8"/>
          <w:kern w:val="0"/>
          <w:sz w:val="21"/>
          <w:szCs w:val="21"/>
          <w:shd w:val="clear" w:color="auto" w:fill="FFFFFF"/>
          <w:lang w:val="en-US" w:eastAsia="zh-CN" w:bidi="ar-SA"/>
        </w:rPr>
        <w:t> </w:t>
      </w:r>
    </w:p>
    <w:p w14:paraId="27DA50BE">
      <w:pPr>
        <w:bidi w:val="0"/>
        <w:spacing w:line="600" w:lineRule="exact"/>
        <w:ind w:firstLine="420" w:firstLineChars="200"/>
        <w:rPr>
          <w:rFonts w:hint="eastAsia" w:ascii="宋体" w:hAnsi="宋体" w:eastAsia="宋体" w:cs="宋体"/>
          <w:color w:val="000000"/>
          <w:sz w:val="21"/>
          <w:szCs w:val="21"/>
        </w:rPr>
      </w:pPr>
    </w:p>
    <w:p w14:paraId="3552CD7A">
      <w:pPr>
        <w:bidi w:val="0"/>
        <w:spacing w:line="360" w:lineRule="auto"/>
        <w:ind w:firstLine="420" w:firstLineChars="200"/>
        <w:jc w:val="center"/>
        <w:rPr>
          <w:rFonts w:hint="eastAsia" w:ascii="宋体" w:hAnsi="宋体" w:eastAsia="宋体" w:cs="宋体"/>
          <w:color w:val="000000"/>
          <w:sz w:val="21"/>
          <w:szCs w:val="21"/>
        </w:rPr>
      </w:pPr>
    </w:p>
    <w:p w14:paraId="55E6BB76">
      <w:pPr>
        <w:bidi w:val="0"/>
        <w:spacing w:line="600" w:lineRule="exact"/>
        <w:ind w:firstLine="420" w:firstLineChars="200"/>
        <w:jc w:val="center"/>
        <w:rPr>
          <w:rFonts w:hint="eastAsia" w:ascii="宋体" w:hAnsi="宋体" w:eastAsia="宋体" w:cs="宋体"/>
          <w:color w:val="000000"/>
          <w:sz w:val="21"/>
          <w:szCs w:val="21"/>
        </w:rPr>
      </w:pPr>
      <w:r>
        <w:rPr>
          <w:rFonts w:hint="eastAsia" w:ascii="宋体" w:hAnsi="宋体" w:eastAsia="宋体" w:cs="宋体"/>
          <w:color w:val="000000"/>
          <w:sz w:val="21"/>
          <w:szCs w:val="21"/>
        </w:rPr>
        <w:br w:type="page"/>
      </w:r>
      <w:r>
        <w:rPr>
          <w:rFonts w:hint="eastAsia" w:ascii="宋体" w:hAnsi="宋体" w:eastAsia="宋体" w:cs="宋体"/>
          <w:b/>
          <w:color w:val="000000"/>
          <w:sz w:val="24"/>
          <w:szCs w:val="24"/>
          <w:lang w:val="en-US" w:eastAsia="zh-CN"/>
        </w:rPr>
        <w:t>2</w:t>
      </w:r>
      <w:r>
        <w:rPr>
          <w:rFonts w:hint="eastAsia" w:ascii="宋体" w:hAnsi="宋体" w:eastAsia="宋体" w:cs="宋体"/>
          <w:b/>
          <w:color w:val="000000"/>
          <w:sz w:val="24"/>
          <w:szCs w:val="24"/>
        </w:rPr>
        <w:t>、供应商认为需要的</w:t>
      </w:r>
      <w:r>
        <w:rPr>
          <w:rFonts w:hint="eastAsia" w:ascii="宋体" w:hAnsi="宋体" w:eastAsia="宋体" w:cs="宋体"/>
          <w:b/>
          <w:color w:val="000000"/>
          <w:sz w:val="24"/>
          <w:szCs w:val="24"/>
          <w:lang w:eastAsia="zh-CN"/>
        </w:rPr>
        <w:t>其他</w:t>
      </w:r>
      <w:r>
        <w:rPr>
          <w:rFonts w:hint="eastAsia" w:ascii="宋体" w:hAnsi="宋体" w:eastAsia="宋体" w:cs="宋体"/>
          <w:b/>
          <w:color w:val="000000"/>
          <w:sz w:val="24"/>
          <w:szCs w:val="24"/>
        </w:rPr>
        <w:t>资料</w:t>
      </w:r>
    </w:p>
    <w:p w14:paraId="2B6DA6E7">
      <w:pPr>
        <w:bidi w:val="0"/>
        <w:spacing w:line="600" w:lineRule="exact"/>
        <w:ind w:firstLine="422" w:firstLineChars="200"/>
        <w:jc w:val="center"/>
        <w:rPr>
          <w:rFonts w:hint="eastAsia" w:ascii="宋体" w:hAnsi="宋体" w:eastAsia="宋体" w:cs="宋体"/>
          <w:b/>
          <w:bCs/>
          <w:color w:val="000000"/>
          <w:sz w:val="21"/>
          <w:szCs w:val="21"/>
          <w:lang w:val="en-US" w:eastAsia="zh-CN"/>
        </w:rPr>
      </w:pPr>
    </w:p>
    <w:p w14:paraId="13E22115">
      <w:pPr>
        <w:spacing w:line="600" w:lineRule="exact"/>
        <w:ind w:firstLine="422" w:firstLineChars="200"/>
        <w:jc w:val="center"/>
        <w:rPr>
          <w:rFonts w:hint="eastAsia" w:ascii="宋体" w:hAnsi="宋体" w:eastAsia="宋体" w:cs="宋体"/>
          <w:b/>
          <w:bCs/>
          <w:color w:val="auto"/>
          <w:sz w:val="21"/>
          <w:szCs w:val="21"/>
          <w:lang w:val="en-US" w:eastAsia="zh-CN"/>
        </w:rPr>
      </w:pPr>
    </w:p>
    <w:p w14:paraId="480543FB">
      <w:pPr>
        <w:spacing w:line="600" w:lineRule="exact"/>
        <w:ind w:firstLine="422" w:firstLineChars="200"/>
        <w:jc w:val="center"/>
        <w:rPr>
          <w:rFonts w:hint="eastAsia" w:ascii="宋体" w:hAnsi="宋体" w:eastAsia="宋体" w:cs="宋体"/>
          <w:b/>
          <w:bCs/>
          <w:color w:val="auto"/>
          <w:sz w:val="21"/>
          <w:szCs w:val="21"/>
          <w:lang w:val="en-US" w:eastAsia="zh-CN"/>
        </w:rPr>
      </w:pPr>
    </w:p>
    <w:p w14:paraId="3EE2486A">
      <w:pPr>
        <w:spacing w:line="600" w:lineRule="exact"/>
        <w:ind w:firstLine="422" w:firstLineChars="200"/>
        <w:jc w:val="center"/>
        <w:rPr>
          <w:rFonts w:hint="eastAsia" w:ascii="宋体" w:hAnsi="宋体" w:eastAsia="宋体" w:cs="宋体"/>
          <w:b/>
          <w:bCs/>
          <w:color w:val="auto"/>
          <w:sz w:val="21"/>
          <w:szCs w:val="21"/>
          <w:lang w:val="en-US" w:eastAsia="zh-CN"/>
        </w:rPr>
      </w:pPr>
    </w:p>
    <w:p w14:paraId="27418F39">
      <w:pPr>
        <w:widowControl w:val="0"/>
        <w:spacing w:after="120" w:afterLines="0" w:afterAutospacing="0" w:line="600" w:lineRule="exact"/>
        <w:ind w:firstLine="211" w:firstLineChars="100"/>
        <w:jc w:val="both"/>
        <w:rPr>
          <w:rFonts w:hint="eastAsia" w:ascii="宋体" w:hAnsi="宋体" w:eastAsia="宋体" w:cs="宋体"/>
          <w:b/>
          <w:bCs/>
          <w:color w:val="auto"/>
          <w:kern w:val="2"/>
          <w:sz w:val="21"/>
          <w:szCs w:val="21"/>
          <w:lang w:val="en-US" w:eastAsia="zh-CN" w:bidi="ar-SA"/>
        </w:rPr>
      </w:pPr>
    </w:p>
    <w:p w14:paraId="051F02C2">
      <w:pPr>
        <w:widowControl w:val="0"/>
        <w:tabs>
          <w:tab w:val="left" w:pos="945"/>
          <w:tab w:val="left" w:pos="1155"/>
        </w:tabs>
        <w:spacing w:after="120" w:afterLines="0" w:line="240" w:lineRule="auto"/>
        <w:ind w:left="420" w:leftChars="200" w:firstLine="422" w:firstLineChars="200"/>
        <w:jc w:val="both"/>
        <w:rPr>
          <w:rFonts w:hint="eastAsia" w:ascii="宋体" w:hAnsi="宋体" w:eastAsia="宋体" w:cs="宋体"/>
          <w:b/>
          <w:bCs/>
          <w:color w:val="auto"/>
          <w:kern w:val="2"/>
          <w:sz w:val="21"/>
          <w:szCs w:val="21"/>
          <w:lang w:val="en-US" w:eastAsia="zh-CN" w:bidi="ar-SA"/>
        </w:rPr>
      </w:pPr>
    </w:p>
    <w:p w14:paraId="4F5C88B9">
      <w:pPr>
        <w:spacing w:line="600" w:lineRule="exact"/>
        <w:ind w:firstLine="422" w:firstLineChars="200"/>
        <w:rPr>
          <w:rFonts w:hint="eastAsia" w:ascii="宋体" w:hAnsi="宋体" w:eastAsia="宋体" w:cs="宋体"/>
          <w:b/>
          <w:bCs/>
          <w:color w:val="auto"/>
          <w:sz w:val="21"/>
          <w:szCs w:val="21"/>
          <w:lang w:val="en-US" w:eastAsia="zh-CN"/>
        </w:rPr>
      </w:pPr>
    </w:p>
    <w:p w14:paraId="1463B01B">
      <w:pPr>
        <w:widowControl w:val="0"/>
        <w:spacing w:after="120" w:afterLines="0" w:afterAutospacing="0" w:line="600" w:lineRule="exact"/>
        <w:ind w:firstLine="211" w:firstLineChars="100"/>
        <w:jc w:val="both"/>
        <w:rPr>
          <w:rFonts w:hint="eastAsia" w:ascii="宋体" w:hAnsi="宋体" w:eastAsia="宋体" w:cs="宋体"/>
          <w:b/>
          <w:bCs/>
          <w:color w:val="auto"/>
          <w:kern w:val="2"/>
          <w:sz w:val="21"/>
          <w:szCs w:val="21"/>
          <w:lang w:val="en-US" w:eastAsia="zh-CN" w:bidi="ar-SA"/>
        </w:rPr>
      </w:pPr>
    </w:p>
    <w:p w14:paraId="7FAC59E4">
      <w:pPr>
        <w:widowControl w:val="0"/>
        <w:tabs>
          <w:tab w:val="left" w:pos="945"/>
          <w:tab w:val="left" w:pos="1155"/>
        </w:tabs>
        <w:spacing w:after="120" w:afterLines="0" w:line="240" w:lineRule="auto"/>
        <w:ind w:left="420" w:leftChars="200" w:firstLine="422" w:firstLineChars="200"/>
        <w:jc w:val="both"/>
        <w:rPr>
          <w:rFonts w:hint="eastAsia" w:ascii="宋体" w:hAnsi="宋体" w:eastAsia="宋体" w:cs="宋体"/>
          <w:b/>
          <w:bCs/>
          <w:color w:val="auto"/>
          <w:kern w:val="2"/>
          <w:sz w:val="21"/>
          <w:szCs w:val="21"/>
          <w:lang w:val="en-US" w:eastAsia="zh-CN" w:bidi="ar-SA"/>
        </w:rPr>
      </w:pPr>
    </w:p>
    <w:p w14:paraId="1CDE9C03">
      <w:pPr>
        <w:spacing w:line="600" w:lineRule="exact"/>
        <w:ind w:firstLine="422" w:firstLineChars="200"/>
        <w:rPr>
          <w:rFonts w:hint="eastAsia" w:ascii="宋体" w:hAnsi="宋体" w:eastAsia="宋体" w:cs="宋体"/>
          <w:b/>
          <w:bCs/>
          <w:color w:val="auto"/>
          <w:sz w:val="21"/>
          <w:szCs w:val="21"/>
          <w:lang w:val="en-US" w:eastAsia="zh-CN"/>
        </w:rPr>
      </w:pPr>
    </w:p>
    <w:p w14:paraId="3357D5D0">
      <w:pPr>
        <w:widowControl w:val="0"/>
        <w:spacing w:after="120" w:afterLines="0" w:afterAutospacing="0" w:line="600" w:lineRule="exact"/>
        <w:ind w:firstLine="211" w:firstLineChars="100"/>
        <w:jc w:val="both"/>
        <w:rPr>
          <w:rFonts w:hint="eastAsia" w:ascii="宋体" w:hAnsi="宋体" w:eastAsia="宋体" w:cs="宋体"/>
          <w:b/>
          <w:bCs/>
          <w:color w:val="auto"/>
          <w:kern w:val="2"/>
          <w:sz w:val="21"/>
          <w:szCs w:val="21"/>
          <w:lang w:val="en-US" w:eastAsia="zh-CN" w:bidi="ar-SA"/>
        </w:rPr>
      </w:pPr>
    </w:p>
    <w:p w14:paraId="68C9CE61">
      <w:pPr>
        <w:widowControl w:val="0"/>
        <w:tabs>
          <w:tab w:val="left" w:pos="945"/>
          <w:tab w:val="left" w:pos="1155"/>
        </w:tabs>
        <w:spacing w:after="120" w:afterLines="0" w:line="240" w:lineRule="auto"/>
        <w:ind w:left="420" w:leftChars="200" w:firstLine="422" w:firstLineChars="200"/>
        <w:jc w:val="both"/>
        <w:rPr>
          <w:rFonts w:hint="eastAsia" w:ascii="宋体" w:hAnsi="宋体" w:eastAsia="宋体" w:cs="宋体"/>
          <w:b/>
          <w:bCs/>
          <w:color w:val="auto"/>
          <w:kern w:val="2"/>
          <w:sz w:val="21"/>
          <w:szCs w:val="21"/>
          <w:lang w:val="en-US" w:eastAsia="zh-CN" w:bidi="ar-SA"/>
        </w:rPr>
      </w:pPr>
    </w:p>
    <w:p w14:paraId="2B309CE4">
      <w:pPr>
        <w:spacing w:line="600" w:lineRule="exact"/>
        <w:ind w:firstLine="422" w:firstLineChars="200"/>
        <w:rPr>
          <w:rFonts w:hint="eastAsia" w:ascii="宋体" w:hAnsi="宋体" w:eastAsia="宋体" w:cs="宋体"/>
          <w:b/>
          <w:bCs/>
          <w:color w:val="auto"/>
          <w:sz w:val="21"/>
          <w:szCs w:val="21"/>
          <w:lang w:val="en-US" w:eastAsia="zh-CN"/>
        </w:rPr>
      </w:pPr>
    </w:p>
    <w:p w14:paraId="647CF7D2">
      <w:pPr>
        <w:spacing w:line="600" w:lineRule="exact"/>
        <w:ind w:firstLine="420" w:firstLineChars="200"/>
        <w:rPr>
          <w:rFonts w:hint="eastAsia" w:ascii="宋体" w:hAnsi="宋体" w:eastAsia="宋体" w:cs="宋体"/>
        </w:rPr>
      </w:pPr>
    </w:p>
    <w:p w14:paraId="018F0095">
      <w:pPr>
        <w:pStyle w:val="12"/>
        <w:keepNext w:val="0"/>
        <w:keepLines w:val="0"/>
        <w:pageBreakBefore w:val="0"/>
        <w:widowControl w:val="0"/>
        <w:numPr>
          <w:ilvl w:val="0"/>
          <w:numId w:val="0"/>
        </w:numPr>
        <w:kinsoku/>
        <w:wordWrap/>
        <w:overflowPunct/>
        <w:topLinePunct w:val="0"/>
        <w:autoSpaceDE/>
        <w:autoSpaceDN/>
        <w:bidi w:val="0"/>
        <w:adjustRightInd/>
        <w:snapToGrid/>
        <w:spacing w:line="588" w:lineRule="exact"/>
        <w:ind w:firstLine="643" w:firstLineChars="200"/>
        <w:textAlignment w:val="auto"/>
        <w:rPr>
          <w:rFonts w:hint="eastAsia" w:ascii="宋体" w:hAnsi="宋体" w:eastAsia="宋体" w:cs="宋体"/>
          <w:b/>
          <w:bCs/>
          <w:sz w:val="32"/>
          <w:szCs w:val="32"/>
          <w:lang w:val="en-US" w:eastAsia="zh-CN"/>
        </w:rPr>
      </w:pPr>
    </w:p>
    <w:sectPr>
      <w:footerReference r:id="rId12" w:type="first"/>
      <w:footerReference r:id="rId11" w:type="default"/>
      <w:pgSz w:w="11906" w:h="16838"/>
      <w:pgMar w:top="1417" w:right="1417" w:bottom="1417" w:left="1417" w:header="850" w:footer="850" w:gutter="0"/>
      <w:pgNumType w:fmt="decimal"/>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4147E">
    <w:pPr>
      <w:widowControl w:val="0"/>
      <w:tabs>
        <w:tab w:val="center" w:pos="4153"/>
        <w:tab w:val="right" w:pos="8306"/>
      </w:tabs>
      <w:snapToGrid w:val="0"/>
      <w:spacing w:line="240" w:lineRule="atLeast"/>
      <w:ind w:left="0" w:leftChars="0" w:firstLine="0" w:firstLineChars="0"/>
      <w:jc w:val="left"/>
      <w:rPr>
        <w:rFonts w:hint="eastAsia"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144BB4">
                          <w:pPr>
                            <w:pStyle w:val="2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8144BB4">
                    <w:pPr>
                      <w:pStyle w:val="2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8643A">
    <w:pPr>
      <w:widowControl w:val="0"/>
      <w:tabs>
        <w:tab w:val="center" w:pos="4153"/>
        <w:tab w:val="right" w:pos="8306"/>
      </w:tabs>
      <w:snapToGrid w:val="0"/>
      <w:spacing w:line="240" w:lineRule="atLeast"/>
      <w:ind w:firstLine="360" w:firstLineChars="20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F5389">
                          <w:pPr>
                            <w:pStyle w:val="22"/>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E5F5389">
                    <w:pPr>
                      <w:pStyle w:val="22"/>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AB9D7">
    <w:pPr>
      <w:widowControl w:val="0"/>
      <w:tabs>
        <w:tab w:val="center" w:pos="4153"/>
        <w:tab w:val="right" w:pos="8306"/>
      </w:tabs>
      <w:snapToGrid w:val="0"/>
      <w:spacing w:line="240" w:lineRule="atLeast"/>
      <w:ind w:firstLine="360" w:firstLineChars="200"/>
      <w:jc w:val="center"/>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272338">
                          <w:pPr>
                            <w:pStyle w:val="22"/>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2272338">
                    <w:pPr>
                      <w:pStyle w:val="22"/>
                    </w:pPr>
                    <w:r>
                      <w:fldChar w:fldCharType="begin"/>
                    </w:r>
                    <w:r>
                      <w:instrText xml:space="preserve"> PAGE  \* MERGEFORMAT </w:instrText>
                    </w:r>
                    <w:r>
                      <w:fldChar w:fldCharType="separate"/>
                    </w:r>
                    <w:r>
                      <w:t>30</w:t>
                    </w:r>
                    <w:r>
                      <w:fldChar w:fldCharType="end"/>
                    </w:r>
                  </w:p>
                </w:txbxContent>
              </v:textbox>
            </v:shape>
          </w:pict>
        </mc:Fallback>
      </mc:AlternateContent>
    </w:r>
  </w:p>
  <w:p w14:paraId="4908E328">
    <w:pPr>
      <w:widowControl w:val="0"/>
      <w:tabs>
        <w:tab w:val="center" w:pos="4153"/>
        <w:tab w:val="right" w:pos="8306"/>
      </w:tabs>
      <w:snapToGrid w:val="0"/>
      <w:spacing w:line="240" w:lineRule="atLeast"/>
      <w:ind w:firstLine="360" w:firstLineChars="200"/>
      <w:jc w:val="center"/>
      <w:rPr>
        <w:rFonts w:ascii="Calibri" w:hAnsi="Calibri"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A3AB6">
    <w:pPr>
      <w:widowControl w:val="0"/>
      <w:tabs>
        <w:tab w:val="center" w:pos="4153"/>
        <w:tab w:val="right" w:pos="8306"/>
      </w:tabs>
      <w:snapToGrid w:val="0"/>
      <w:spacing w:line="240" w:lineRule="atLeast"/>
      <w:ind w:firstLine="360" w:firstLineChars="200"/>
      <w:jc w:val="left"/>
      <w:rPr>
        <w:rFonts w:hint="eastAsia"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BB72AC">
                          <w:pPr>
                            <w:pStyle w:val="22"/>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6BB72AC">
                    <w:pPr>
                      <w:pStyle w:val="22"/>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8CC93">
    <w:pPr>
      <w:widowControl w:val="0"/>
      <w:tabs>
        <w:tab w:val="center" w:pos="4153"/>
        <w:tab w:val="right" w:pos="8306"/>
      </w:tabs>
      <w:snapToGrid w:val="0"/>
      <w:spacing w:line="240" w:lineRule="atLeast"/>
      <w:ind w:firstLine="360" w:firstLineChars="200"/>
      <w:jc w:val="left"/>
      <w:rPr>
        <w:rFonts w:ascii="Calibri" w:hAnsi="Calibri" w:eastAsia="宋体" w:cs="Times New Roman"/>
        <w:kern w:val="2"/>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63104">
                          <w:pPr>
                            <w:pStyle w:val="22"/>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E363104">
                    <w:pPr>
                      <w:pStyle w:val="22"/>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971C5">
    <w:pPr>
      <w:pStyle w:val="22"/>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5E4DE">
                          <w:pPr>
                            <w:pStyle w:val="2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565E4DE">
                    <w:pPr>
                      <w:pStyle w:val="2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B9D07">
    <w:pPr>
      <w:pStyle w:val="2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AB129">
                          <w:pPr>
                            <w:pStyle w:val="22"/>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F9AB129">
                    <w:pPr>
                      <w:pStyle w:val="22"/>
                    </w:pPr>
                    <w:r>
                      <w:fldChar w:fldCharType="begin"/>
                    </w:r>
                    <w:r>
                      <w:instrText xml:space="preserve"> PAGE  \* MERGEFORMAT </w:instrText>
                    </w:r>
                    <w:r>
                      <w:fldChar w:fldCharType="separate"/>
                    </w:r>
                    <w:r>
                      <w:t>67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CF895">
    <w:pPr>
      <w:pBdr>
        <w:bottom w:val="none" w:color="auto" w:sz="0" w:space="0"/>
      </w:pBdr>
      <w:spacing w:line="600" w:lineRule="exact"/>
      <w:ind w:firstLine="300" w:firstLineChars="200"/>
      <w:jc w:val="right"/>
      <w:rPr>
        <w:rFonts w:hint="eastAsia" w:ascii="宋体" w:hAnsi="宋体" w:eastAsia="宋体" w:cs="Times New Roman"/>
        <w:sz w:val="15"/>
        <w:szCs w:val="15"/>
        <w:lang w:val="en-US" w:eastAsia="zh-CN"/>
      </w:rPr>
    </w:pPr>
    <w:r>
      <w:rPr>
        <w:rFonts w:hint="eastAsia" w:ascii="宋体" w:hAnsi="宋体" w:eastAsia="宋体" w:cs="Times New Roman"/>
        <w:sz w:val="15"/>
        <w:szCs w:val="15"/>
      </w:rPr>
      <w:t xml:space="preserve">       </w:t>
    </w:r>
    <w:r>
      <w:rPr>
        <w:rFonts w:hint="eastAsia" w:ascii="宋体" w:hAnsi="宋体" w:eastAsia="宋体" w:cs="Times New Roman"/>
        <w:i/>
        <w:iCs/>
        <w:color w:val="0000FF"/>
        <w:sz w:val="18"/>
        <w:szCs w:val="18"/>
      </w:rPr>
      <w:t xml:space="preserve">    </w:t>
    </w:r>
    <w:r>
      <w:rPr>
        <w:rFonts w:hint="eastAsia" w:ascii="Times New Roman" w:hAnsi="Times New Roman" w:eastAsia="宋体" w:cs="Times New Roman"/>
        <w:i/>
        <w:iCs/>
        <w:color w:val="0000FF"/>
        <w:kern w:val="0"/>
        <w:sz w:val="18"/>
        <w:szCs w:val="18"/>
        <w:lang w:val="en-US" w:eastAsia="zh-CN" w:bidi="ar-S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61843">
    <w:pPr>
      <w:widowControl w:val="0"/>
      <w:pBdr>
        <w:bottom w:val="none" w:color="auto" w:sz="0" w:space="1"/>
      </w:pBdr>
      <w:tabs>
        <w:tab w:val="center" w:pos="4153"/>
        <w:tab w:val="right" w:pos="8306"/>
      </w:tabs>
      <w:snapToGrid w:val="0"/>
      <w:spacing w:line="240" w:lineRule="atLeast"/>
      <w:ind w:firstLine="360" w:firstLineChars="200"/>
      <w:jc w:val="right"/>
      <w:rPr>
        <w:rFonts w:ascii="Calibri" w:hAnsi="Calibri" w:eastAsia="宋体" w:cs="Times New Roman"/>
        <w:kern w:val="2"/>
        <w:sz w:val="18"/>
        <w:szCs w:val="18"/>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BACEB">
    <w:pPr>
      <w:widowControl w:val="0"/>
      <w:pBdr>
        <w:bottom w:val="none" w:color="auto" w:sz="0" w:space="1"/>
      </w:pBdr>
      <w:tabs>
        <w:tab w:val="center" w:pos="4153"/>
        <w:tab w:val="right" w:pos="8306"/>
      </w:tabs>
      <w:bidi w:val="0"/>
      <w:snapToGrid w:val="0"/>
      <w:spacing w:line="240" w:lineRule="atLeast"/>
      <w:ind w:firstLine="360" w:firstLineChars="200"/>
      <w:jc w:val="right"/>
      <w:rPr>
        <w:rFonts w:hint="eastAsia" w:ascii="宋体" w:hAnsi="宋体" w:eastAsia="宋体" w:cs="宋体"/>
        <w:i/>
        <w:iCs/>
        <w:color w:val="0000FF"/>
        <w:kern w:val="2"/>
        <w:sz w:val="18"/>
        <w:szCs w:val="18"/>
        <w:lang w:val="en-US" w:eastAsia="zh-CN" w:bidi="ar-SA"/>
      </w:rPr>
    </w:pPr>
    <w:r>
      <w:rPr>
        <w:rFonts w:hint="eastAsia" w:ascii="宋体" w:hAnsi="宋体" w:eastAsia="宋体" w:cs="宋体"/>
        <w:i/>
        <w:iCs/>
        <w:color w:val="0000FF"/>
        <w:kern w:val="2"/>
        <w:sz w:val="18"/>
        <w:szCs w:val="18"/>
        <w:lang w:val="en-US" w:eastAsia="zh-CN" w:bidi="ar-SA"/>
      </w:rPr>
      <w:t xml:space="preserve"> </w:t>
    </w:r>
  </w:p>
  <w:p w14:paraId="72F2E582">
    <w:pPr>
      <w:widowControl w:val="0"/>
      <w:pBdr>
        <w:bottom w:val="none" w:color="auto" w:sz="0" w:space="1"/>
      </w:pBdr>
      <w:tabs>
        <w:tab w:val="center" w:pos="4153"/>
        <w:tab w:val="left" w:pos="6514"/>
        <w:tab w:val="right" w:pos="8306"/>
      </w:tabs>
      <w:bidi w:val="0"/>
      <w:snapToGrid w:val="0"/>
      <w:spacing w:line="240" w:lineRule="atLeast"/>
      <w:ind w:firstLine="300" w:firstLineChars="200"/>
      <w:jc w:val="left"/>
      <w:rPr>
        <w:rFonts w:hint="eastAsia" w:ascii="宋体" w:hAnsi="宋体" w:eastAsia="宋体" w:cs="Times New Roman"/>
        <w:kern w:val="2"/>
        <w:sz w:val="15"/>
        <w:szCs w:val="15"/>
        <w:lang w:val="en-US" w:eastAsia="zh-CN" w:bidi="ar-SA"/>
      </w:rPr>
    </w:pPr>
  </w:p>
  <w:p w14:paraId="7CC11E92">
    <w:pPr>
      <w:widowControl w:val="0"/>
      <w:pBdr>
        <w:bottom w:val="none" w:color="auto" w:sz="0" w:space="1"/>
      </w:pBdr>
      <w:tabs>
        <w:tab w:val="center" w:pos="4153"/>
        <w:tab w:val="right" w:pos="8306"/>
      </w:tabs>
      <w:bidi w:val="0"/>
      <w:snapToGrid w:val="0"/>
      <w:spacing w:line="240" w:lineRule="atLeast"/>
      <w:ind w:firstLine="300" w:firstLineChars="200"/>
      <w:jc w:val="center"/>
      <w:rPr>
        <w:rFonts w:ascii="Calibri" w:hAnsi="Calibri" w:eastAsia="宋体" w:cs="Times New Roman"/>
        <w:i/>
        <w:iCs/>
        <w:color w:val="0000FF"/>
        <w:kern w:val="2"/>
        <w:sz w:val="18"/>
        <w:szCs w:val="18"/>
        <w:lang w:val="en-US" w:eastAsia="zh-CN" w:bidi="ar-SA"/>
      </w:rPr>
    </w:pPr>
    <w:r>
      <w:rPr>
        <w:rFonts w:hint="eastAsia" w:ascii="宋体" w:hAnsi="宋体" w:eastAsia="宋体" w:cs="Times New Roman"/>
        <w:kern w:val="2"/>
        <w:sz w:val="15"/>
        <w:szCs w:val="15"/>
        <w:lang w:val="en-US" w:eastAsia="zh-CN" w:bidi="ar-S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8A1D82"/>
    <w:multiLevelType w:val="singleLevel"/>
    <w:tmpl w:val="A88A1D82"/>
    <w:lvl w:ilvl="0" w:tentative="0">
      <w:start w:val="1"/>
      <w:numFmt w:val="decimal"/>
      <w:suff w:val="space"/>
      <w:lvlText w:val="%1."/>
      <w:lvlJc w:val="left"/>
    </w:lvl>
  </w:abstractNum>
  <w:abstractNum w:abstractNumId="1">
    <w:nsid w:val="B5E08322"/>
    <w:multiLevelType w:val="singleLevel"/>
    <w:tmpl w:val="B5E08322"/>
    <w:lvl w:ilvl="0" w:tentative="0">
      <w:start w:val="1"/>
      <w:numFmt w:val="chineseCounting"/>
      <w:suff w:val="nothing"/>
      <w:lvlText w:val="%1、"/>
      <w:lvlJc w:val="left"/>
      <w:rPr>
        <w:rFonts w:hint="eastAsia"/>
      </w:rPr>
    </w:lvl>
  </w:abstractNum>
  <w:abstractNum w:abstractNumId="2">
    <w:nsid w:val="06E359ED"/>
    <w:multiLevelType w:val="multilevel"/>
    <w:tmpl w:val="06E359ED"/>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2A989AA"/>
    <w:multiLevelType w:val="singleLevel"/>
    <w:tmpl w:val="42A989AA"/>
    <w:lvl w:ilvl="0" w:tentative="0">
      <w:start w:val="1"/>
      <w:numFmt w:val="chineseCounting"/>
      <w:suff w:val="nothing"/>
      <w:lvlText w:val="（%1）"/>
      <w:lvlJc w:val="left"/>
      <w:pPr>
        <w:ind w:left="315" w:firstLine="0"/>
      </w:pPr>
      <w:rPr>
        <w:rFonts w:hint="eastAsia"/>
      </w:rPr>
    </w:lvl>
  </w:abstractNum>
  <w:abstractNum w:abstractNumId="4">
    <w:nsid w:val="62DF4E64"/>
    <w:multiLevelType w:val="multilevel"/>
    <w:tmpl w:val="62DF4E6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4A5DBB2"/>
    <w:multiLevelType w:val="singleLevel"/>
    <w:tmpl w:val="64A5DBB2"/>
    <w:lvl w:ilvl="0" w:tentative="0">
      <w:start w:val="1"/>
      <w:numFmt w:val="decimal"/>
      <w:suff w:val="space"/>
      <w:lvlText w:val="%1."/>
      <w:lvlJc w:val="left"/>
    </w:lvl>
  </w:abstractNum>
  <w:abstractNum w:abstractNumId="6">
    <w:nsid w:val="7485012C"/>
    <w:multiLevelType w:val="singleLevel"/>
    <w:tmpl w:val="7485012C"/>
    <w:lvl w:ilvl="0" w:tentative="0">
      <w:start w:val="1"/>
      <w:numFmt w:val="bullet"/>
      <w:pStyle w:val="16"/>
      <w:lvlText w:val=""/>
      <w:lvlJc w:val="left"/>
      <w:pPr>
        <w:tabs>
          <w:tab w:val="left" w:pos="780"/>
        </w:tabs>
        <w:ind w:left="780" w:hanging="360"/>
      </w:pPr>
      <w:rPr>
        <w:rFonts w:hint="default" w:ascii="Wingdings" w:hAnsi="Wingdings"/>
      </w:rPr>
    </w:lvl>
  </w:abstractNum>
  <w:abstractNum w:abstractNumId="7">
    <w:nsid w:val="75AF216A"/>
    <w:multiLevelType w:val="singleLevel"/>
    <w:tmpl w:val="75AF216A"/>
    <w:lvl w:ilvl="0" w:tentative="0">
      <w:start w:val="5"/>
      <w:numFmt w:val="chineseCounting"/>
      <w:suff w:val="space"/>
      <w:lvlText w:val="第%1章"/>
      <w:lvlJc w:val="left"/>
      <w:rPr>
        <w:rFonts w:hint="eastAsia"/>
      </w:rPr>
    </w:lvl>
  </w:abstractNum>
  <w:num w:numId="1">
    <w:abstractNumId w:val="6"/>
  </w:num>
  <w:num w:numId="2">
    <w:abstractNumId w:val="5"/>
  </w:num>
  <w:num w:numId="3">
    <w:abstractNumId w:val="7"/>
  </w:num>
  <w:num w:numId="4">
    <w:abstractNumId w:val="2"/>
  </w:num>
  <w:num w:numId="5">
    <w:abstractNumId w:val="4"/>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CF8"/>
    <w:rsid w:val="00041894"/>
    <w:rsid w:val="000D67A3"/>
    <w:rsid w:val="001439F1"/>
    <w:rsid w:val="001932D4"/>
    <w:rsid w:val="001A1C90"/>
    <w:rsid w:val="001A5B82"/>
    <w:rsid w:val="001A6BF2"/>
    <w:rsid w:val="00202D02"/>
    <w:rsid w:val="0020671F"/>
    <w:rsid w:val="00275757"/>
    <w:rsid w:val="00281519"/>
    <w:rsid w:val="003612B6"/>
    <w:rsid w:val="00364875"/>
    <w:rsid w:val="003C2DD5"/>
    <w:rsid w:val="00471250"/>
    <w:rsid w:val="004D1F48"/>
    <w:rsid w:val="00541D27"/>
    <w:rsid w:val="0056097C"/>
    <w:rsid w:val="00594679"/>
    <w:rsid w:val="005B2441"/>
    <w:rsid w:val="00632BC5"/>
    <w:rsid w:val="00651CF8"/>
    <w:rsid w:val="006B0659"/>
    <w:rsid w:val="006B6F2E"/>
    <w:rsid w:val="006C240E"/>
    <w:rsid w:val="006C4D38"/>
    <w:rsid w:val="00834582"/>
    <w:rsid w:val="0087050B"/>
    <w:rsid w:val="008E0BF4"/>
    <w:rsid w:val="009556A7"/>
    <w:rsid w:val="00994503"/>
    <w:rsid w:val="00A75245"/>
    <w:rsid w:val="00B20604"/>
    <w:rsid w:val="00B253C3"/>
    <w:rsid w:val="00B528C7"/>
    <w:rsid w:val="00C1687D"/>
    <w:rsid w:val="00C3485E"/>
    <w:rsid w:val="00CA29E6"/>
    <w:rsid w:val="00CB5561"/>
    <w:rsid w:val="00D30D8D"/>
    <w:rsid w:val="00D872BF"/>
    <w:rsid w:val="00DA7828"/>
    <w:rsid w:val="00E22889"/>
    <w:rsid w:val="027C4E15"/>
    <w:rsid w:val="02976855"/>
    <w:rsid w:val="039B3DC0"/>
    <w:rsid w:val="061C7321"/>
    <w:rsid w:val="08D547AA"/>
    <w:rsid w:val="09C247EA"/>
    <w:rsid w:val="10DA7A7D"/>
    <w:rsid w:val="1B83245F"/>
    <w:rsid w:val="20AC69F7"/>
    <w:rsid w:val="20E363AF"/>
    <w:rsid w:val="22997463"/>
    <w:rsid w:val="23492A98"/>
    <w:rsid w:val="23DA3FDC"/>
    <w:rsid w:val="24B2466D"/>
    <w:rsid w:val="24DA1083"/>
    <w:rsid w:val="2686455B"/>
    <w:rsid w:val="2A5C7464"/>
    <w:rsid w:val="2C6F088E"/>
    <w:rsid w:val="2DC749A6"/>
    <w:rsid w:val="2E465CE6"/>
    <w:rsid w:val="2E7510C8"/>
    <w:rsid w:val="2EB278E9"/>
    <w:rsid w:val="2FA03EC2"/>
    <w:rsid w:val="32266B16"/>
    <w:rsid w:val="33BB353F"/>
    <w:rsid w:val="33BC6FF3"/>
    <w:rsid w:val="36186AA8"/>
    <w:rsid w:val="377759CE"/>
    <w:rsid w:val="3A8133DB"/>
    <w:rsid w:val="3BC767F9"/>
    <w:rsid w:val="3E3F202E"/>
    <w:rsid w:val="3ED352E8"/>
    <w:rsid w:val="3EFF6B10"/>
    <w:rsid w:val="420C7449"/>
    <w:rsid w:val="443F5AC6"/>
    <w:rsid w:val="45864369"/>
    <w:rsid w:val="46F73741"/>
    <w:rsid w:val="491F2221"/>
    <w:rsid w:val="495913D8"/>
    <w:rsid w:val="4A286FFC"/>
    <w:rsid w:val="4AD131F0"/>
    <w:rsid w:val="4DE52350"/>
    <w:rsid w:val="4E7E27B3"/>
    <w:rsid w:val="4FA41932"/>
    <w:rsid w:val="50830AE8"/>
    <w:rsid w:val="51CC4711"/>
    <w:rsid w:val="53B10062"/>
    <w:rsid w:val="565A01BC"/>
    <w:rsid w:val="56BC1D14"/>
    <w:rsid w:val="572C46CA"/>
    <w:rsid w:val="58FD660A"/>
    <w:rsid w:val="5A545B21"/>
    <w:rsid w:val="5AC25E2A"/>
    <w:rsid w:val="5B2703BF"/>
    <w:rsid w:val="5B5E2516"/>
    <w:rsid w:val="5B8172A8"/>
    <w:rsid w:val="5BD90156"/>
    <w:rsid w:val="5E047104"/>
    <w:rsid w:val="5FB05871"/>
    <w:rsid w:val="618B0000"/>
    <w:rsid w:val="61BA5425"/>
    <w:rsid w:val="62D32DCD"/>
    <w:rsid w:val="65044544"/>
    <w:rsid w:val="66392D59"/>
    <w:rsid w:val="667156D7"/>
    <w:rsid w:val="66D727F2"/>
    <w:rsid w:val="671C06FC"/>
    <w:rsid w:val="69CE68E5"/>
    <w:rsid w:val="6A624B72"/>
    <w:rsid w:val="6C464C5F"/>
    <w:rsid w:val="6EB47A34"/>
    <w:rsid w:val="740951E7"/>
    <w:rsid w:val="748D31E1"/>
    <w:rsid w:val="793938E5"/>
    <w:rsid w:val="7C17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57"/>
    <w:qFormat/>
    <w:uiPriority w:val="0"/>
    <w:pPr>
      <w:keepNext/>
      <w:keepLines/>
      <w:ind w:firstLine="100" w:firstLineChars="100"/>
      <w:outlineLvl w:val="1"/>
    </w:pPr>
    <w:rPr>
      <w:rFonts w:ascii="Arial" w:hAnsi="Arial" w:eastAsia="宋体" w:cs="Times New Roman"/>
      <w:b/>
      <w:bCs/>
      <w:szCs w:val="32"/>
    </w:rPr>
  </w:style>
  <w:style w:type="paragraph" w:styleId="4">
    <w:name w:val="heading 3"/>
    <w:basedOn w:val="1"/>
    <w:next w:val="1"/>
    <w:link w:val="58"/>
    <w:qFormat/>
    <w:uiPriority w:val="0"/>
    <w:pPr>
      <w:keepNext/>
      <w:keepLines/>
      <w:spacing w:before="260" w:after="260" w:line="416" w:lineRule="atLeast"/>
      <w:outlineLvl w:val="2"/>
    </w:pPr>
    <w:rPr>
      <w:rFonts w:ascii="Times New Roman" w:hAnsi="Times New Roman" w:eastAsia="宋体" w:cs="Times New Roman"/>
      <w:b/>
      <w:sz w:val="32"/>
      <w:szCs w:val="24"/>
    </w:rPr>
  </w:style>
  <w:style w:type="paragraph" w:styleId="5">
    <w:name w:val="heading 4"/>
    <w:basedOn w:val="1"/>
    <w:next w:val="1"/>
    <w:link w:val="59"/>
    <w:qFormat/>
    <w:uiPriority w:val="0"/>
    <w:pPr>
      <w:keepNext/>
      <w:keepLines/>
      <w:spacing w:before="280" w:after="290" w:line="376" w:lineRule="auto"/>
      <w:outlineLvl w:val="3"/>
    </w:pPr>
    <w:rPr>
      <w:rFonts w:ascii="Arial" w:hAnsi="Arial" w:eastAsia="黑体" w:cs="Times New Roman"/>
      <w:b/>
      <w:bCs/>
      <w:sz w:val="28"/>
      <w:szCs w:val="28"/>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link w:val="63"/>
    <w:qFormat/>
    <w:uiPriority w:val="0"/>
    <w:pPr>
      <w:widowControl/>
      <w:ind w:firstLine="420"/>
      <w:jc w:val="left"/>
    </w:pPr>
    <w:rPr>
      <w:rFonts w:ascii="Times New Roman" w:hAnsi="Times New Roman" w:eastAsia="宋体" w:cs="Times New Roman"/>
      <w:kern w:val="0"/>
      <w:sz w:val="20"/>
      <w:szCs w:val="20"/>
    </w:rPr>
  </w:style>
  <w:style w:type="paragraph" w:styleId="7">
    <w:name w:val="Body Text 2"/>
    <w:basedOn w:val="1"/>
    <w:link w:val="64"/>
    <w:qFormat/>
    <w:uiPriority w:val="0"/>
    <w:rPr>
      <w:rFonts w:ascii="Times New Roman" w:hAnsi="Times New Roman" w:eastAsia="宋体" w:cs="Times New Roman"/>
      <w:sz w:val="28"/>
      <w:szCs w:val="24"/>
    </w:rPr>
  </w:style>
  <w:style w:type="paragraph" w:styleId="8">
    <w:name w:val="caption"/>
    <w:basedOn w:val="1"/>
    <w:next w:val="1"/>
    <w:qFormat/>
    <w:uiPriority w:val="0"/>
    <w:rPr>
      <w:rFonts w:ascii="Arial" w:hAnsi="Arial" w:eastAsia="黑体" w:cs="Times New Roman"/>
      <w:sz w:val="20"/>
      <w:szCs w:val="24"/>
    </w:rPr>
  </w:style>
  <w:style w:type="paragraph" w:styleId="9">
    <w:name w:val="toa heading"/>
    <w:basedOn w:val="1"/>
    <w:next w:val="1"/>
    <w:qFormat/>
    <w:uiPriority w:val="0"/>
    <w:pPr>
      <w:spacing w:before="120"/>
    </w:pPr>
    <w:rPr>
      <w:rFonts w:ascii="Cambria" w:hAnsi="Cambria" w:eastAsia="宋体" w:cs="Times New Roman"/>
      <w:color w:val="000000"/>
      <w:sz w:val="24"/>
      <w:szCs w:val="24"/>
    </w:rPr>
  </w:style>
  <w:style w:type="paragraph" w:styleId="10">
    <w:name w:val="annotation text"/>
    <w:basedOn w:val="1"/>
    <w:link w:val="65"/>
    <w:semiHidden/>
    <w:qFormat/>
    <w:uiPriority w:val="0"/>
    <w:pPr>
      <w:jc w:val="left"/>
    </w:pPr>
    <w:rPr>
      <w:rFonts w:ascii="Times New Roman" w:hAnsi="Times New Roman" w:eastAsia="宋体" w:cs="Times New Roman"/>
      <w:szCs w:val="24"/>
    </w:rPr>
  </w:style>
  <w:style w:type="paragraph" w:styleId="11">
    <w:name w:val="Body Text 3"/>
    <w:basedOn w:val="1"/>
    <w:link w:val="66"/>
    <w:qFormat/>
    <w:uiPriority w:val="0"/>
    <w:pPr>
      <w:spacing w:after="120"/>
    </w:pPr>
    <w:rPr>
      <w:rFonts w:ascii="Times New Roman" w:hAnsi="Times New Roman" w:eastAsia="宋体" w:cs="Times New Roman"/>
      <w:sz w:val="16"/>
      <w:szCs w:val="16"/>
    </w:rPr>
  </w:style>
  <w:style w:type="paragraph" w:styleId="12">
    <w:name w:val="Body Text"/>
    <w:basedOn w:val="1"/>
    <w:link w:val="62"/>
    <w:qFormat/>
    <w:uiPriority w:val="0"/>
    <w:pPr>
      <w:spacing w:line="0" w:lineRule="atLeast"/>
    </w:pPr>
    <w:rPr>
      <w:rFonts w:ascii="Times New Roman" w:hAnsi="Times New Roman" w:eastAsia="宋体" w:cs="Times New Roman"/>
      <w:sz w:val="30"/>
      <w:szCs w:val="20"/>
    </w:rPr>
  </w:style>
  <w:style w:type="paragraph" w:styleId="13">
    <w:name w:val="Body Text Indent"/>
    <w:basedOn w:val="1"/>
    <w:next w:val="14"/>
    <w:link w:val="67"/>
    <w:qFormat/>
    <w:uiPriority w:val="0"/>
    <w:pPr>
      <w:spacing w:after="120"/>
      <w:ind w:left="420" w:leftChars="200"/>
    </w:pPr>
    <w:rPr>
      <w:rFonts w:ascii="Times New Roman" w:hAnsi="Times New Roman" w:eastAsia="宋体" w:cs="Times New Roman"/>
      <w:szCs w:val="24"/>
    </w:rPr>
  </w:style>
  <w:style w:type="paragraph" w:styleId="14">
    <w:name w:val="envelope return"/>
    <w:basedOn w:val="1"/>
    <w:qFormat/>
    <w:uiPriority w:val="0"/>
    <w:pPr>
      <w:snapToGrid w:val="0"/>
    </w:pPr>
    <w:rPr>
      <w:rFonts w:ascii="Arial" w:hAnsi="Arial" w:eastAsia="宋体" w:cs="Times New Roman"/>
      <w:szCs w:val="24"/>
    </w:rPr>
  </w:style>
  <w:style w:type="paragraph" w:styleId="15">
    <w:name w:val="List 2"/>
    <w:basedOn w:val="1"/>
    <w:qFormat/>
    <w:uiPriority w:val="0"/>
    <w:pPr>
      <w:ind w:left="100" w:leftChars="200" w:hanging="200" w:hangingChars="200"/>
    </w:pPr>
    <w:rPr>
      <w:rFonts w:ascii="Times New Roman" w:hAnsi="Times New Roman" w:eastAsia="宋体" w:cs="Times New Roman"/>
      <w:szCs w:val="24"/>
    </w:rPr>
  </w:style>
  <w:style w:type="paragraph" w:styleId="16">
    <w:name w:val="List Bullet 2"/>
    <w:basedOn w:val="1"/>
    <w:qFormat/>
    <w:uiPriority w:val="0"/>
    <w:pPr>
      <w:numPr>
        <w:ilvl w:val="0"/>
        <w:numId w:val="1"/>
      </w:numPr>
    </w:pPr>
    <w:rPr>
      <w:rFonts w:ascii="Times New Roman" w:hAnsi="Times New Roman" w:eastAsia="宋体" w:cs="Times New Roman"/>
      <w:szCs w:val="24"/>
    </w:rPr>
  </w:style>
  <w:style w:type="paragraph" w:styleId="17">
    <w:name w:val="toc 3"/>
    <w:basedOn w:val="1"/>
    <w:next w:val="1"/>
    <w:qFormat/>
    <w:uiPriority w:val="39"/>
    <w:pPr>
      <w:ind w:left="840" w:leftChars="400"/>
    </w:pPr>
    <w:rPr>
      <w:rFonts w:ascii="Times New Roman" w:hAnsi="Times New Roman" w:eastAsia="宋体" w:cs="Times New Roman"/>
      <w:szCs w:val="24"/>
    </w:rPr>
  </w:style>
  <w:style w:type="paragraph" w:styleId="18">
    <w:name w:val="Plain Text"/>
    <w:basedOn w:val="1"/>
    <w:next w:val="12"/>
    <w:link w:val="61"/>
    <w:qFormat/>
    <w:uiPriority w:val="0"/>
    <w:rPr>
      <w:rFonts w:ascii="宋体" w:hAnsi="Courier New" w:eastAsia="宋体" w:cs="Times New Roman"/>
      <w:szCs w:val="24"/>
    </w:rPr>
  </w:style>
  <w:style w:type="paragraph" w:styleId="19">
    <w:name w:val="Date"/>
    <w:basedOn w:val="1"/>
    <w:next w:val="1"/>
    <w:link w:val="68"/>
    <w:qFormat/>
    <w:uiPriority w:val="0"/>
    <w:pPr>
      <w:ind w:left="100" w:leftChars="2500"/>
    </w:pPr>
    <w:rPr>
      <w:rFonts w:ascii="Times New Roman" w:hAnsi="Times New Roman" w:eastAsia="宋体" w:cs="Times New Roman"/>
      <w:szCs w:val="24"/>
    </w:rPr>
  </w:style>
  <w:style w:type="paragraph" w:styleId="20">
    <w:name w:val="Body Text Indent 2"/>
    <w:basedOn w:val="1"/>
    <w:link w:val="69"/>
    <w:qFormat/>
    <w:uiPriority w:val="0"/>
    <w:pPr>
      <w:spacing w:after="120" w:line="480" w:lineRule="auto"/>
      <w:ind w:left="420" w:leftChars="200"/>
    </w:pPr>
    <w:rPr>
      <w:rFonts w:ascii="Times New Roman" w:hAnsi="Times New Roman" w:eastAsia="宋体" w:cs="Times New Roman"/>
      <w:szCs w:val="24"/>
    </w:rPr>
  </w:style>
  <w:style w:type="paragraph" w:styleId="21">
    <w:name w:val="Balloon Text"/>
    <w:basedOn w:val="1"/>
    <w:link w:val="70"/>
    <w:semiHidden/>
    <w:qFormat/>
    <w:uiPriority w:val="0"/>
    <w:rPr>
      <w:rFonts w:ascii="Times New Roman" w:hAnsi="Times New Roman" w:eastAsia="宋体" w:cs="Times New Roman"/>
      <w:sz w:val="18"/>
      <w:szCs w:val="18"/>
    </w:rPr>
  </w:style>
  <w:style w:type="paragraph" w:styleId="22">
    <w:name w:val="footer"/>
    <w:basedOn w:val="1"/>
    <w:link w:val="55"/>
    <w:unhideWhenUsed/>
    <w:qFormat/>
    <w:uiPriority w:val="99"/>
    <w:pPr>
      <w:tabs>
        <w:tab w:val="center" w:pos="4153"/>
        <w:tab w:val="right" w:pos="8306"/>
      </w:tabs>
      <w:snapToGrid w:val="0"/>
      <w:jc w:val="left"/>
    </w:pPr>
    <w:rPr>
      <w:sz w:val="18"/>
      <w:szCs w:val="18"/>
    </w:rPr>
  </w:style>
  <w:style w:type="paragraph" w:styleId="23">
    <w:name w:val="header"/>
    <w:basedOn w:val="1"/>
    <w:next w:val="12"/>
    <w:link w:val="54"/>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rPr>
      <w:rFonts w:ascii="Times New Roman" w:hAnsi="Times New Roman" w:eastAsia="宋体" w:cs="Times New Roman"/>
      <w:szCs w:val="24"/>
    </w:rPr>
  </w:style>
  <w:style w:type="paragraph" w:styleId="25">
    <w:name w:val="footnote text"/>
    <w:basedOn w:val="1"/>
    <w:link w:val="71"/>
    <w:qFormat/>
    <w:uiPriority w:val="0"/>
    <w:pPr>
      <w:snapToGrid w:val="0"/>
      <w:jc w:val="left"/>
    </w:pPr>
    <w:rPr>
      <w:rFonts w:ascii="Times New Roman" w:hAnsi="Times New Roman" w:eastAsia="宋体" w:cs="Times New Roman"/>
      <w:sz w:val="18"/>
      <w:szCs w:val="18"/>
    </w:rPr>
  </w:style>
  <w:style w:type="paragraph" w:styleId="26">
    <w:name w:val="Body Text Indent 3"/>
    <w:basedOn w:val="1"/>
    <w:link w:val="72"/>
    <w:qFormat/>
    <w:uiPriority w:val="0"/>
    <w:pPr>
      <w:spacing w:after="120"/>
      <w:ind w:left="420" w:leftChars="200"/>
    </w:pPr>
    <w:rPr>
      <w:rFonts w:ascii="Times New Roman" w:hAnsi="Times New Roman" w:eastAsia="宋体" w:cs="Times New Roman"/>
      <w:sz w:val="16"/>
      <w:szCs w:val="16"/>
    </w:rPr>
  </w:style>
  <w:style w:type="paragraph" w:styleId="27">
    <w:name w:val="toc 2"/>
    <w:basedOn w:val="1"/>
    <w:next w:val="1"/>
    <w:qFormat/>
    <w:uiPriority w:val="39"/>
    <w:pPr>
      <w:ind w:left="420" w:leftChars="200"/>
    </w:pPr>
    <w:rPr>
      <w:rFonts w:ascii="Times New Roman" w:hAnsi="Times New Roman" w:eastAsia="宋体" w:cs="Times New Roman"/>
      <w:szCs w:val="24"/>
    </w:rPr>
  </w:style>
  <w:style w:type="paragraph" w:styleId="28">
    <w:name w:val="Normal (Web)"/>
    <w:basedOn w:val="1"/>
    <w:qFormat/>
    <w:uiPriority w:val="0"/>
    <w:pPr>
      <w:widowControl/>
      <w:spacing w:before="100" w:beforeAutospacing="1" w:after="100" w:afterAutospacing="1"/>
    </w:pPr>
    <w:rPr>
      <w:rFonts w:ascii="宋体" w:hAnsi="宋体" w:eastAsia="宋体" w:cs="Times New Roman"/>
      <w:szCs w:val="24"/>
    </w:rPr>
  </w:style>
  <w:style w:type="paragraph" w:styleId="29">
    <w:name w:val="Title"/>
    <w:basedOn w:val="1"/>
    <w:next w:val="1"/>
    <w:link w:val="73"/>
    <w:qFormat/>
    <w:uiPriority w:val="0"/>
    <w:pPr>
      <w:spacing w:before="240" w:after="60"/>
      <w:jc w:val="center"/>
      <w:outlineLvl w:val="0"/>
    </w:pPr>
    <w:rPr>
      <w:rFonts w:ascii="Cambria" w:hAnsi="Cambria" w:eastAsia="宋体" w:cs="Times New Roman"/>
      <w:b/>
      <w:bCs/>
      <w:sz w:val="32"/>
      <w:szCs w:val="32"/>
    </w:rPr>
  </w:style>
  <w:style w:type="paragraph" w:styleId="30">
    <w:name w:val="annotation subject"/>
    <w:basedOn w:val="10"/>
    <w:next w:val="10"/>
    <w:link w:val="74"/>
    <w:semiHidden/>
    <w:qFormat/>
    <w:uiPriority w:val="0"/>
    <w:rPr>
      <w:b/>
      <w:bCs/>
    </w:rPr>
  </w:style>
  <w:style w:type="paragraph" w:styleId="31">
    <w:name w:val="Body Text First Indent"/>
    <w:basedOn w:val="12"/>
    <w:next w:val="32"/>
    <w:link w:val="75"/>
    <w:qFormat/>
    <w:uiPriority w:val="0"/>
    <w:pPr>
      <w:ind w:firstLine="420" w:firstLineChars="100"/>
    </w:pPr>
  </w:style>
  <w:style w:type="paragraph" w:styleId="32">
    <w:name w:val="Body Text First Indent 2"/>
    <w:basedOn w:val="13"/>
    <w:next w:val="1"/>
    <w:link w:val="76"/>
    <w:qFormat/>
    <w:uiPriority w:val="0"/>
    <w:pPr>
      <w:ind w:firstLine="420"/>
    </w:pPr>
  </w:style>
  <w:style w:type="table" w:styleId="34">
    <w:name w:val="Table Grid"/>
    <w:basedOn w:val="33"/>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0"/>
    <w:rPr>
      <w:b/>
      <w:bCs/>
    </w:rPr>
  </w:style>
  <w:style w:type="character" w:styleId="37">
    <w:name w:val="page number"/>
    <w:qFormat/>
    <w:uiPriority w:val="0"/>
  </w:style>
  <w:style w:type="character" w:styleId="38">
    <w:name w:val="FollowedHyperlink"/>
    <w:qFormat/>
    <w:uiPriority w:val="0"/>
    <w:rPr>
      <w:color w:val="333333"/>
      <w:u w:val="none"/>
    </w:rPr>
  </w:style>
  <w:style w:type="character" w:styleId="39">
    <w:name w:val="Emphasis"/>
    <w:qFormat/>
    <w:uiPriority w:val="0"/>
  </w:style>
  <w:style w:type="character" w:styleId="40">
    <w:name w:val="HTML Definition"/>
    <w:qFormat/>
    <w:uiPriority w:val="0"/>
  </w:style>
  <w:style w:type="character" w:styleId="41">
    <w:name w:val="HTML Typewriter"/>
    <w:qFormat/>
    <w:uiPriority w:val="0"/>
    <w:rPr>
      <w:rFonts w:hint="default" w:ascii="monospace" w:hAnsi="monospace" w:eastAsia="monospace" w:cs="monospace"/>
      <w:sz w:val="20"/>
    </w:rPr>
  </w:style>
  <w:style w:type="character" w:styleId="42">
    <w:name w:val="HTML Acronym"/>
    <w:basedOn w:val="35"/>
    <w:qFormat/>
    <w:uiPriority w:val="0"/>
  </w:style>
  <w:style w:type="character" w:styleId="43">
    <w:name w:val="HTML Variable"/>
    <w:qFormat/>
    <w:uiPriority w:val="0"/>
  </w:style>
  <w:style w:type="character" w:styleId="44">
    <w:name w:val="Hyperlink"/>
    <w:qFormat/>
    <w:uiPriority w:val="99"/>
    <w:rPr>
      <w:color w:val="333333"/>
      <w:u w:val="none"/>
    </w:rPr>
  </w:style>
  <w:style w:type="character" w:styleId="45">
    <w:name w:val="HTML Code"/>
    <w:qFormat/>
    <w:uiPriority w:val="0"/>
    <w:rPr>
      <w:rFonts w:ascii="monospace" w:hAnsi="monospace" w:eastAsia="monospace" w:cs="monospace"/>
      <w:sz w:val="20"/>
    </w:rPr>
  </w:style>
  <w:style w:type="character" w:styleId="46">
    <w:name w:val="annotation reference"/>
    <w:semiHidden/>
    <w:qFormat/>
    <w:uiPriority w:val="0"/>
    <w:rPr>
      <w:sz w:val="21"/>
      <w:szCs w:val="21"/>
    </w:rPr>
  </w:style>
  <w:style w:type="character" w:styleId="47">
    <w:name w:val="HTML Cite"/>
    <w:qFormat/>
    <w:uiPriority w:val="0"/>
  </w:style>
  <w:style w:type="character" w:styleId="48">
    <w:name w:val="HTML Keyboard"/>
    <w:qFormat/>
    <w:uiPriority w:val="0"/>
    <w:rPr>
      <w:rFonts w:hint="default" w:ascii="monospace" w:hAnsi="monospace" w:eastAsia="monospace" w:cs="monospace"/>
      <w:sz w:val="20"/>
    </w:rPr>
  </w:style>
  <w:style w:type="character" w:styleId="49">
    <w:name w:val="HTML Sample"/>
    <w:qFormat/>
    <w:uiPriority w:val="0"/>
    <w:rPr>
      <w:rFonts w:hint="default" w:ascii="monospace" w:hAnsi="monospace" w:eastAsia="monospace" w:cs="monospace"/>
    </w:rPr>
  </w:style>
  <w:style w:type="paragraph" w:customStyle="1" w:styleId="50">
    <w:name w:val="style4"/>
    <w:basedOn w:val="51"/>
    <w:next w:val="52"/>
    <w:unhideWhenUsed/>
    <w:qFormat/>
    <w:uiPriority w:val="0"/>
    <w:pPr>
      <w:widowControl/>
      <w:spacing w:before="100" w:beforeAutospacing="1" w:after="100" w:afterAutospacing="1"/>
      <w:jc w:val="left"/>
    </w:pPr>
    <w:rPr>
      <w:rFonts w:hint="eastAsia" w:ascii="宋体" w:hAnsi="宋体" w:eastAsia="宋体" w:cs="Times New Roman"/>
      <w:kern w:val="0"/>
      <w:sz w:val="18"/>
      <w:szCs w:val="24"/>
    </w:rPr>
  </w:style>
  <w:style w:type="paragraph" w:customStyle="1" w:styleId="51">
    <w:name w:val="正文1"/>
    <w:basedOn w:val="1"/>
    <w:next w:val="31"/>
    <w:qFormat/>
    <w:uiPriority w:val="0"/>
    <w:pPr>
      <w:widowControl/>
      <w:topLinePunct/>
      <w:spacing w:before="156" w:beforeLines="50" w:after="156" w:afterLines="50" w:line="300" w:lineRule="auto"/>
      <w:ind w:left="420"/>
    </w:pPr>
    <w:rPr>
      <w:rFonts w:ascii="Times New Roman" w:hAnsi="Times New Roman" w:eastAsia="宋体" w:cs="Times New Roman"/>
      <w:szCs w:val="24"/>
    </w:rPr>
  </w:style>
  <w:style w:type="paragraph" w:customStyle="1" w:styleId="52">
    <w:name w:val="2"/>
    <w:next w:val="1"/>
    <w:unhideWhenUsed/>
    <w:qFormat/>
    <w:uiPriority w:val="0"/>
    <w:pPr>
      <w:widowControl w:val="0"/>
      <w:jc w:val="both"/>
    </w:pPr>
    <w:rPr>
      <w:rFonts w:ascii="Times New Roman" w:hAnsi="Times New Roman" w:eastAsia="宋体" w:cs="Times New Roman"/>
      <w:kern w:val="0"/>
      <w:sz w:val="21"/>
      <w:szCs w:val="20"/>
      <w:lang w:val="en-US" w:eastAsia="zh-CN" w:bidi="ar-SA"/>
    </w:rPr>
  </w:style>
  <w:style w:type="character" w:customStyle="1" w:styleId="53">
    <w:name w:val="标题 1 字符"/>
    <w:qFormat/>
    <w:uiPriority w:val="0"/>
    <w:rPr>
      <w:b/>
      <w:bCs/>
      <w:kern w:val="44"/>
      <w:sz w:val="44"/>
      <w:szCs w:val="44"/>
    </w:rPr>
  </w:style>
  <w:style w:type="character" w:customStyle="1" w:styleId="54">
    <w:name w:val="页眉 Char"/>
    <w:basedOn w:val="35"/>
    <w:link w:val="23"/>
    <w:qFormat/>
    <w:uiPriority w:val="0"/>
    <w:rPr>
      <w:sz w:val="18"/>
      <w:szCs w:val="18"/>
    </w:rPr>
  </w:style>
  <w:style w:type="character" w:customStyle="1" w:styleId="55">
    <w:name w:val="页脚 Char"/>
    <w:basedOn w:val="35"/>
    <w:link w:val="22"/>
    <w:qFormat/>
    <w:uiPriority w:val="99"/>
    <w:rPr>
      <w:sz w:val="18"/>
      <w:szCs w:val="18"/>
    </w:rPr>
  </w:style>
  <w:style w:type="character" w:customStyle="1" w:styleId="56">
    <w:name w:val="标题 1 Char"/>
    <w:basedOn w:val="35"/>
    <w:link w:val="2"/>
    <w:qFormat/>
    <w:uiPriority w:val="0"/>
    <w:rPr>
      <w:rFonts w:ascii="Times New Roman" w:hAnsi="Times New Roman" w:eastAsia="宋体" w:cs="Times New Roman"/>
      <w:b/>
      <w:bCs/>
      <w:kern w:val="44"/>
      <w:sz w:val="44"/>
      <w:szCs w:val="44"/>
    </w:rPr>
  </w:style>
  <w:style w:type="character" w:customStyle="1" w:styleId="57">
    <w:name w:val="标题 2 Char"/>
    <w:basedOn w:val="35"/>
    <w:link w:val="3"/>
    <w:qFormat/>
    <w:uiPriority w:val="0"/>
    <w:rPr>
      <w:rFonts w:ascii="Arial" w:hAnsi="Arial" w:eastAsia="宋体" w:cs="Times New Roman"/>
      <w:b/>
      <w:bCs/>
      <w:szCs w:val="32"/>
    </w:rPr>
  </w:style>
  <w:style w:type="character" w:customStyle="1" w:styleId="58">
    <w:name w:val="标题 3 Char"/>
    <w:basedOn w:val="35"/>
    <w:link w:val="4"/>
    <w:qFormat/>
    <w:uiPriority w:val="0"/>
    <w:rPr>
      <w:rFonts w:ascii="Times New Roman" w:hAnsi="Times New Roman" w:eastAsia="宋体" w:cs="Times New Roman"/>
      <w:b/>
      <w:sz w:val="32"/>
      <w:szCs w:val="24"/>
    </w:rPr>
  </w:style>
  <w:style w:type="character" w:customStyle="1" w:styleId="59">
    <w:name w:val="标题 4 Char"/>
    <w:basedOn w:val="35"/>
    <w:link w:val="5"/>
    <w:qFormat/>
    <w:uiPriority w:val="0"/>
    <w:rPr>
      <w:rFonts w:ascii="Arial" w:hAnsi="Arial" w:eastAsia="黑体" w:cs="Times New Roman"/>
      <w:b/>
      <w:bCs/>
      <w:sz w:val="28"/>
      <w:szCs w:val="28"/>
    </w:rPr>
  </w:style>
  <w:style w:type="paragraph" w:customStyle="1" w:styleId="60">
    <w:name w:val="Default"/>
    <w:basedOn w:val="18"/>
    <w:next w:val="1"/>
    <w:qFormat/>
    <w:uiPriority w:val="99"/>
    <w:pPr>
      <w:autoSpaceDE w:val="0"/>
      <w:autoSpaceDN w:val="0"/>
      <w:adjustRightInd w:val="0"/>
    </w:pPr>
    <w:rPr>
      <w:rFonts w:cs="宋体"/>
      <w:color w:val="000000"/>
      <w:sz w:val="24"/>
    </w:rPr>
  </w:style>
  <w:style w:type="character" w:customStyle="1" w:styleId="61">
    <w:name w:val="纯文本 Char"/>
    <w:basedOn w:val="35"/>
    <w:link w:val="18"/>
    <w:qFormat/>
    <w:uiPriority w:val="0"/>
    <w:rPr>
      <w:rFonts w:ascii="宋体" w:hAnsi="Courier New" w:eastAsia="宋体" w:cs="Times New Roman"/>
      <w:szCs w:val="24"/>
    </w:rPr>
  </w:style>
  <w:style w:type="character" w:customStyle="1" w:styleId="62">
    <w:name w:val="正文文本 Char"/>
    <w:basedOn w:val="35"/>
    <w:link w:val="12"/>
    <w:qFormat/>
    <w:uiPriority w:val="0"/>
    <w:rPr>
      <w:rFonts w:ascii="Times New Roman" w:hAnsi="Times New Roman" w:eastAsia="宋体" w:cs="Times New Roman"/>
      <w:sz w:val="30"/>
      <w:szCs w:val="20"/>
    </w:rPr>
  </w:style>
  <w:style w:type="character" w:customStyle="1" w:styleId="63">
    <w:name w:val="正文缩进 Char"/>
    <w:link w:val="6"/>
    <w:qFormat/>
    <w:uiPriority w:val="0"/>
    <w:rPr>
      <w:rFonts w:ascii="Times New Roman" w:hAnsi="Times New Roman" w:eastAsia="宋体" w:cs="Times New Roman"/>
      <w:kern w:val="0"/>
      <w:sz w:val="20"/>
      <w:szCs w:val="20"/>
    </w:rPr>
  </w:style>
  <w:style w:type="character" w:customStyle="1" w:styleId="64">
    <w:name w:val="正文文本 2 Char"/>
    <w:basedOn w:val="35"/>
    <w:link w:val="7"/>
    <w:qFormat/>
    <w:uiPriority w:val="0"/>
    <w:rPr>
      <w:rFonts w:ascii="Times New Roman" w:hAnsi="Times New Roman" w:eastAsia="宋体" w:cs="Times New Roman"/>
      <w:sz w:val="28"/>
      <w:szCs w:val="24"/>
    </w:rPr>
  </w:style>
  <w:style w:type="character" w:customStyle="1" w:styleId="65">
    <w:name w:val="批注文字 Char"/>
    <w:basedOn w:val="35"/>
    <w:link w:val="10"/>
    <w:semiHidden/>
    <w:qFormat/>
    <w:uiPriority w:val="0"/>
    <w:rPr>
      <w:rFonts w:ascii="Times New Roman" w:hAnsi="Times New Roman" w:eastAsia="宋体" w:cs="Times New Roman"/>
      <w:szCs w:val="24"/>
    </w:rPr>
  </w:style>
  <w:style w:type="character" w:customStyle="1" w:styleId="66">
    <w:name w:val="正文文本 3 Char"/>
    <w:basedOn w:val="35"/>
    <w:link w:val="11"/>
    <w:qFormat/>
    <w:uiPriority w:val="0"/>
    <w:rPr>
      <w:rFonts w:ascii="Times New Roman" w:hAnsi="Times New Roman" w:eastAsia="宋体" w:cs="Times New Roman"/>
      <w:sz w:val="16"/>
      <w:szCs w:val="16"/>
    </w:rPr>
  </w:style>
  <w:style w:type="character" w:customStyle="1" w:styleId="67">
    <w:name w:val="正文文本缩进 Char"/>
    <w:basedOn w:val="35"/>
    <w:link w:val="13"/>
    <w:qFormat/>
    <w:uiPriority w:val="0"/>
    <w:rPr>
      <w:rFonts w:ascii="Times New Roman" w:hAnsi="Times New Roman" w:eastAsia="宋体" w:cs="Times New Roman"/>
      <w:szCs w:val="24"/>
    </w:rPr>
  </w:style>
  <w:style w:type="character" w:customStyle="1" w:styleId="68">
    <w:name w:val="日期 Char"/>
    <w:basedOn w:val="35"/>
    <w:link w:val="19"/>
    <w:qFormat/>
    <w:uiPriority w:val="0"/>
    <w:rPr>
      <w:rFonts w:ascii="Times New Roman" w:hAnsi="Times New Roman" w:eastAsia="宋体" w:cs="Times New Roman"/>
      <w:szCs w:val="24"/>
    </w:rPr>
  </w:style>
  <w:style w:type="character" w:customStyle="1" w:styleId="69">
    <w:name w:val="正文文本缩进 2 Char"/>
    <w:basedOn w:val="35"/>
    <w:link w:val="20"/>
    <w:qFormat/>
    <w:uiPriority w:val="0"/>
    <w:rPr>
      <w:rFonts w:ascii="Times New Roman" w:hAnsi="Times New Roman" w:eastAsia="宋体" w:cs="Times New Roman"/>
      <w:szCs w:val="24"/>
    </w:rPr>
  </w:style>
  <w:style w:type="character" w:customStyle="1" w:styleId="70">
    <w:name w:val="批注框文本 Char"/>
    <w:basedOn w:val="35"/>
    <w:link w:val="21"/>
    <w:semiHidden/>
    <w:qFormat/>
    <w:uiPriority w:val="0"/>
    <w:rPr>
      <w:rFonts w:ascii="Times New Roman" w:hAnsi="Times New Roman" w:eastAsia="宋体" w:cs="Times New Roman"/>
      <w:sz w:val="18"/>
      <w:szCs w:val="18"/>
    </w:rPr>
  </w:style>
  <w:style w:type="character" w:customStyle="1" w:styleId="71">
    <w:name w:val="脚注文本 Char"/>
    <w:basedOn w:val="35"/>
    <w:link w:val="25"/>
    <w:qFormat/>
    <w:uiPriority w:val="0"/>
    <w:rPr>
      <w:rFonts w:ascii="Times New Roman" w:hAnsi="Times New Roman" w:eastAsia="宋体" w:cs="Times New Roman"/>
      <w:sz w:val="18"/>
      <w:szCs w:val="18"/>
    </w:rPr>
  </w:style>
  <w:style w:type="character" w:customStyle="1" w:styleId="72">
    <w:name w:val="正文文本缩进 3 Char"/>
    <w:basedOn w:val="35"/>
    <w:link w:val="26"/>
    <w:qFormat/>
    <w:uiPriority w:val="0"/>
    <w:rPr>
      <w:rFonts w:ascii="Times New Roman" w:hAnsi="Times New Roman" w:eastAsia="宋体" w:cs="Times New Roman"/>
      <w:sz w:val="16"/>
      <w:szCs w:val="16"/>
    </w:rPr>
  </w:style>
  <w:style w:type="character" w:customStyle="1" w:styleId="73">
    <w:name w:val="标题 Char"/>
    <w:basedOn w:val="35"/>
    <w:link w:val="29"/>
    <w:qFormat/>
    <w:uiPriority w:val="0"/>
    <w:rPr>
      <w:rFonts w:ascii="Cambria" w:hAnsi="Cambria" w:eastAsia="宋体" w:cs="Times New Roman"/>
      <w:b/>
      <w:bCs/>
      <w:sz w:val="32"/>
      <w:szCs w:val="32"/>
    </w:rPr>
  </w:style>
  <w:style w:type="character" w:customStyle="1" w:styleId="74">
    <w:name w:val="批注主题 Char"/>
    <w:basedOn w:val="65"/>
    <w:link w:val="30"/>
    <w:semiHidden/>
    <w:qFormat/>
    <w:uiPriority w:val="0"/>
    <w:rPr>
      <w:rFonts w:ascii="Times New Roman" w:hAnsi="Times New Roman" w:eastAsia="宋体" w:cs="Times New Roman"/>
      <w:b/>
      <w:bCs/>
      <w:szCs w:val="24"/>
    </w:rPr>
  </w:style>
  <w:style w:type="character" w:customStyle="1" w:styleId="75">
    <w:name w:val="正文首行缩进 Char"/>
    <w:basedOn w:val="62"/>
    <w:link w:val="31"/>
    <w:qFormat/>
    <w:uiPriority w:val="0"/>
    <w:rPr>
      <w:rFonts w:ascii="Times New Roman" w:hAnsi="Times New Roman" w:eastAsia="宋体" w:cs="Times New Roman"/>
      <w:sz w:val="30"/>
      <w:szCs w:val="20"/>
    </w:rPr>
  </w:style>
  <w:style w:type="character" w:customStyle="1" w:styleId="76">
    <w:name w:val="正文首行缩进 2 Char"/>
    <w:basedOn w:val="67"/>
    <w:link w:val="32"/>
    <w:qFormat/>
    <w:uiPriority w:val="0"/>
    <w:rPr>
      <w:rFonts w:ascii="Times New Roman" w:hAnsi="Times New Roman" w:eastAsia="宋体" w:cs="Times New Roman"/>
      <w:szCs w:val="24"/>
    </w:rPr>
  </w:style>
  <w:style w:type="character" w:customStyle="1" w:styleId="77">
    <w:name w:val="标题 2 字符1"/>
    <w:qFormat/>
    <w:uiPriority w:val="0"/>
    <w:rPr>
      <w:rFonts w:ascii="Arial" w:hAnsi="Arial" w:eastAsia="黑体"/>
      <w:b/>
      <w:sz w:val="32"/>
    </w:rPr>
  </w:style>
  <w:style w:type="paragraph" w:customStyle="1" w:styleId="78">
    <w:name w:val="样式 正文首行缩进 2 + Arial"/>
    <w:basedOn w:val="1"/>
    <w:next w:val="1"/>
    <w:qFormat/>
    <w:uiPriority w:val="0"/>
    <w:pPr>
      <w:spacing w:after="120" w:line="320" w:lineRule="atLeast"/>
    </w:pPr>
    <w:rPr>
      <w:rFonts w:ascii="Arial" w:hAnsi="Arial" w:eastAsia="宋体" w:cs="Times New Roman"/>
      <w:kern w:val="0"/>
      <w:szCs w:val="24"/>
    </w:rPr>
  </w:style>
  <w:style w:type="paragraph" w:customStyle="1" w:styleId="79">
    <w:name w:val="无间隔1"/>
    <w:basedOn w:val="1"/>
    <w:qFormat/>
    <w:uiPriority w:val="1"/>
    <w:pPr>
      <w:spacing w:line="400" w:lineRule="exact"/>
    </w:pPr>
    <w:rPr>
      <w:rFonts w:ascii="Times New Roman" w:hAnsi="Times New Roman" w:eastAsia="宋体" w:cs="Times New Roman"/>
      <w:sz w:val="24"/>
      <w:szCs w:val="24"/>
    </w:rPr>
  </w:style>
  <w:style w:type="character" w:customStyle="1" w:styleId="80">
    <w:name w:val="样式1 Char"/>
    <w:link w:val="81"/>
    <w:qFormat/>
    <w:uiPriority w:val="0"/>
    <w:rPr>
      <w:rFonts w:ascii="宋体" w:hAnsi="宋体"/>
    </w:rPr>
  </w:style>
  <w:style w:type="paragraph" w:customStyle="1" w:styleId="81">
    <w:name w:val="样式1"/>
    <w:basedOn w:val="1"/>
    <w:link w:val="80"/>
    <w:qFormat/>
    <w:uiPriority w:val="0"/>
    <w:pPr>
      <w:tabs>
        <w:tab w:val="left" w:pos="709"/>
      </w:tabs>
      <w:ind w:left="709" w:hanging="709"/>
    </w:pPr>
    <w:rPr>
      <w:rFonts w:ascii="宋体" w:hAnsi="宋体"/>
    </w:rPr>
  </w:style>
  <w:style w:type="character" w:customStyle="1" w:styleId="82">
    <w:name w:val="hover15"/>
    <w:qFormat/>
    <w:uiPriority w:val="0"/>
  </w:style>
  <w:style w:type="character" w:customStyle="1" w:styleId="83">
    <w:name w:val="hover17"/>
    <w:qFormat/>
    <w:uiPriority w:val="0"/>
  </w:style>
  <w:style w:type="character" w:customStyle="1" w:styleId="84">
    <w:name w:val="font11"/>
    <w:qFormat/>
    <w:uiPriority w:val="0"/>
    <w:rPr>
      <w:rFonts w:hint="eastAsia" w:ascii="宋体" w:hAnsi="宋体" w:eastAsia="宋体" w:cs="宋体"/>
      <w:color w:val="000000"/>
      <w:sz w:val="24"/>
      <w:szCs w:val="24"/>
      <w:u w:val="none"/>
    </w:rPr>
  </w:style>
  <w:style w:type="character" w:customStyle="1" w:styleId="85">
    <w:name w:val="hover16"/>
    <w:qFormat/>
    <w:uiPriority w:val="0"/>
  </w:style>
  <w:style w:type="character" w:customStyle="1" w:styleId="86">
    <w:name w:val="style_0101"/>
    <w:qFormat/>
    <w:uiPriority w:val="0"/>
    <w:rPr>
      <w:b/>
      <w:bCs/>
      <w:sz w:val="27"/>
      <w:szCs w:val="27"/>
    </w:rPr>
  </w:style>
  <w:style w:type="character" w:customStyle="1" w:styleId="87">
    <w:name w:val="hover"/>
    <w:qFormat/>
    <w:uiPriority w:val="0"/>
  </w:style>
  <w:style w:type="character" w:customStyle="1" w:styleId="88">
    <w:name w:val="正文缩进2格 Char"/>
    <w:link w:val="89"/>
    <w:qFormat/>
    <w:uiPriority w:val="0"/>
    <w:rPr>
      <w:rFonts w:ascii="仿宋_GB2312" w:hAnsi="宋体" w:eastAsia="仿宋_GB2312"/>
      <w:sz w:val="31"/>
      <w:szCs w:val="28"/>
    </w:rPr>
  </w:style>
  <w:style w:type="paragraph" w:customStyle="1" w:styleId="89">
    <w:name w:val="正文缩进2格"/>
    <w:basedOn w:val="1"/>
    <w:link w:val="88"/>
    <w:qFormat/>
    <w:uiPriority w:val="0"/>
    <w:pPr>
      <w:spacing w:line="600" w:lineRule="exact"/>
      <w:ind w:firstLine="639" w:firstLineChars="206"/>
    </w:pPr>
    <w:rPr>
      <w:rFonts w:ascii="仿宋_GB2312" w:hAnsi="宋体" w:eastAsia="仿宋_GB2312"/>
      <w:sz w:val="31"/>
      <w:szCs w:val="28"/>
    </w:rPr>
  </w:style>
  <w:style w:type="paragraph" w:customStyle="1" w:styleId="90">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91">
    <w:name w:val="Default Paragraph Char Char Char Char"/>
    <w:basedOn w:val="1"/>
    <w:next w:val="1"/>
    <w:qFormat/>
    <w:uiPriority w:val="0"/>
    <w:pPr>
      <w:widowControl/>
      <w:spacing w:line="360" w:lineRule="auto"/>
      <w:jc w:val="left"/>
    </w:pPr>
    <w:rPr>
      <w:rFonts w:ascii="Times New Roman" w:hAnsi="Times New Roman" w:eastAsia="宋体" w:cs="Times New Roman"/>
      <w:szCs w:val="24"/>
    </w:rPr>
  </w:style>
  <w:style w:type="paragraph" w:customStyle="1" w:styleId="92">
    <w:name w:val="Table Paragraph"/>
    <w:basedOn w:val="1"/>
    <w:unhideWhenUsed/>
    <w:qFormat/>
    <w:uiPriority w:val="1"/>
    <w:rPr>
      <w:rFonts w:ascii="Times New Roman" w:hAnsi="Times New Roman" w:eastAsia="宋体" w:cs="Times New Roman"/>
      <w:sz w:val="24"/>
      <w:szCs w:val="24"/>
    </w:rPr>
  </w:style>
  <w:style w:type="paragraph" w:customStyle="1" w:styleId="93">
    <w:name w:val="文档正文"/>
    <w:basedOn w:val="1"/>
    <w:qFormat/>
    <w:uiPriority w:val="0"/>
    <w:pPr>
      <w:adjustRightInd w:val="0"/>
      <w:spacing w:line="480" w:lineRule="atLeast"/>
      <w:ind w:firstLine="567"/>
      <w:textAlignment w:val="baseline"/>
    </w:pPr>
    <w:rPr>
      <w:rFonts w:ascii="仿宋_GB2312" w:hAnsi="Times New Roman" w:eastAsia="仿宋_GB2312" w:cs="Times New Roman"/>
      <w:kern w:val="0"/>
      <w:sz w:val="28"/>
      <w:szCs w:val="24"/>
    </w:rPr>
  </w:style>
  <w:style w:type="paragraph" w:customStyle="1" w:styleId="94">
    <w:name w:val="正文_5_0"/>
    <w:next w:val="95"/>
    <w:qFormat/>
    <w:uiPriority w:val="0"/>
    <w:pPr>
      <w:widowControl w:val="0"/>
      <w:jc w:val="both"/>
    </w:pPr>
    <w:rPr>
      <w:rFonts w:ascii="Calibri" w:hAnsi="Calibri" w:eastAsia="Calibri" w:cs="Times New Roman"/>
      <w:kern w:val="2"/>
      <w:sz w:val="21"/>
      <w:szCs w:val="24"/>
      <w:lang w:val="en-US" w:eastAsia="zh-CN" w:bidi="ar-SA"/>
    </w:rPr>
  </w:style>
  <w:style w:type="paragraph" w:customStyle="1" w:styleId="95">
    <w:name w:val="正文文本_5"/>
    <w:basedOn w:val="94"/>
    <w:unhideWhenUsed/>
    <w:qFormat/>
    <w:uiPriority w:val="99"/>
    <w:pPr>
      <w:spacing w:after="120"/>
    </w:pPr>
  </w:style>
  <w:style w:type="paragraph" w:customStyle="1" w:styleId="96">
    <w:name w:val="标题 41"/>
    <w:basedOn w:val="1"/>
    <w:qFormat/>
    <w:uiPriority w:val="1"/>
    <w:pPr>
      <w:ind w:left="522" w:right="21"/>
      <w:outlineLvl w:val="4"/>
    </w:pPr>
    <w:rPr>
      <w:rFonts w:ascii="Times New Roman" w:hAnsi="Times New Roman" w:eastAsia="Times New Roman" w:cs="Times New Roman"/>
      <w:b/>
      <w:bCs/>
      <w:szCs w:val="21"/>
    </w:rPr>
  </w:style>
  <w:style w:type="paragraph" w:customStyle="1" w:styleId="97">
    <w:name w:val="p12"/>
    <w:basedOn w:val="1"/>
    <w:qFormat/>
    <w:uiPriority w:val="0"/>
    <w:pPr>
      <w:widowControl/>
      <w:spacing w:before="100" w:beforeAutospacing="1" w:after="100" w:afterAutospacing="1"/>
      <w:jc w:val="left"/>
    </w:pPr>
    <w:rPr>
      <w:rFonts w:eastAsia="宋体" w:cs="Times New Roman"/>
      <w:color w:val="000000"/>
      <w:kern w:val="0"/>
      <w:sz w:val="24"/>
      <w:szCs w:val="24"/>
    </w:rPr>
  </w:style>
  <w:style w:type="paragraph" w:customStyle="1" w:styleId="98">
    <w:name w:val="xl26"/>
    <w:basedOn w:val="1"/>
    <w:qFormat/>
    <w:uiPriority w:val="0"/>
    <w:pPr>
      <w:widowControl/>
      <w:suppressAutoHyphens/>
      <w:spacing w:before="280" w:after="280"/>
      <w:textAlignment w:val="center"/>
    </w:pPr>
    <w:rPr>
      <w:rFonts w:ascii="楷体_GB2312" w:hAnsi="楷体_GB2312" w:eastAsia="楷体_GB2312" w:cs="Times New Roman"/>
      <w:b/>
      <w:bCs/>
      <w:kern w:val="1"/>
      <w:szCs w:val="24"/>
      <w:lang w:eastAsia="ar-SA"/>
    </w:rPr>
  </w:style>
  <w:style w:type="paragraph" w:customStyle="1" w:styleId="99">
    <w:name w:val="表格"/>
    <w:basedOn w:val="1"/>
    <w:qFormat/>
    <w:uiPriority w:val="0"/>
    <w:pPr>
      <w:spacing w:line="400" w:lineRule="exact"/>
    </w:pPr>
    <w:rPr>
      <w:rFonts w:ascii="Times New Roman" w:hAnsi="Times New Roman" w:eastAsia="宋体" w:cs="Times New Roman"/>
      <w:sz w:val="24"/>
      <w:szCs w:val="24"/>
    </w:rPr>
  </w:style>
  <w:style w:type="paragraph" w:customStyle="1" w:styleId="100">
    <w:name w:val="Normal_9"/>
    <w:qFormat/>
    <w:uiPriority w:val="0"/>
    <w:rPr>
      <w:rFonts w:ascii="Calibri" w:hAnsi="Calibri" w:eastAsia="Times New Roman" w:cs="Times New Roman"/>
      <w:kern w:val="0"/>
      <w:sz w:val="24"/>
      <w:szCs w:val="24"/>
      <w:lang w:val="en-US" w:eastAsia="zh-CN" w:bidi="ar-SA"/>
    </w:rPr>
  </w:style>
  <w:style w:type="paragraph" w:customStyle="1" w:styleId="101">
    <w:name w:val="列出段落1"/>
    <w:basedOn w:val="1"/>
    <w:qFormat/>
    <w:uiPriority w:val="0"/>
    <w:pPr>
      <w:ind w:firstLine="420" w:firstLineChars="200"/>
    </w:pPr>
    <w:rPr>
      <w:rFonts w:ascii="Times New Roman" w:hAnsi="Times New Roman" w:eastAsia="宋体" w:cs="Times New Roman"/>
      <w:szCs w:val="24"/>
    </w:rPr>
  </w:style>
  <w:style w:type="paragraph" w:customStyle="1" w:styleId="102">
    <w:name w:val="正文缩进1"/>
    <w:basedOn w:val="1"/>
    <w:qFormat/>
    <w:uiPriority w:val="0"/>
    <w:pPr>
      <w:widowControl/>
      <w:ind w:firstLine="420"/>
      <w:jc w:val="left"/>
    </w:pPr>
    <w:rPr>
      <w:rFonts w:ascii="Times New Roman" w:hAnsi="Times New Roman" w:eastAsia="宋体" w:cs="Times New Roman"/>
      <w:kern w:val="0"/>
      <w:szCs w:val="20"/>
    </w:rPr>
  </w:style>
  <w:style w:type="paragraph" w:customStyle="1" w:styleId="103">
    <w:name w:val="正文文本_6"/>
    <w:basedOn w:val="104"/>
    <w:unhideWhenUsed/>
    <w:qFormat/>
    <w:uiPriority w:val="99"/>
    <w:pPr>
      <w:spacing w:after="120"/>
    </w:pPr>
  </w:style>
  <w:style w:type="paragraph" w:customStyle="1" w:styleId="104">
    <w:name w:val="正文_6"/>
    <w:next w:val="103"/>
    <w:qFormat/>
    <w:uiPriority w:val="0"/>
    <w:pPr>
      <w:widowControl w:val="0"/>
      <w:jc w:val="both"/>
    </w:pPr>
    <w:rPr>
      <w:rFonts w:ascii="Calibri" w:hAnsi="Calibri" w:eastAsia="Calibri" w:cs="Times New Roman"/>
      <w:kern w:val="2"/>
      <w:sz w:val="21"/>
      <w:szCs w:val="24"/>
      <w:lang w:val="en-US" w:eastAsia="zh-CN" w:bidi="ar-SA"/>
    </w:rPr>
  </w:style>
  <w:style w:type="paragraph" w:customStyle="1" w:styleId="105">
    <w:name w:val="样式 样式 标题 2 + 宋体 五号 非加粗 黑色 + 段前: 6 磅 段后: 0 磅 行距: 单倍行距"/>
    <w:basedOn w:val="106"/>
    <w:qFormat/>
    <w:uiPriority w:val="0"/>
    <w:pPr>
      <w:spacing w:before="120"/>
    </w:pPr>
  </w:style>
  <w:style w:type="paragraph" w:customStyle="1" w:styleId="106">
    <w:name w:val="样式 标题 2 + 宋体 五号 非加粗 黑色"/>
    <w:basedOn w:val="3"/>
    <w:qFormat/>
    <w:uiPriority w:val="0"/>
    <w:rPr>
      <w:rFonts w:ascii="宋体" w:hAnsi="宋体"/>
      <w:b w:val="0"/>
      <w:color w:val="000000"/>
    </w:rPr>
  </w:style>
  <w:style w:type="paragraph" w:customStyle="1" w:styleId="107">
    <w:name w:val="标题 31"/>
    <w:basedOn w:val="1"/>
    <w:qFormat/>
    <w:uiPriority w:val="1"/>
    <w:pPr>
      <w:ind w:left="237" w:right="108"/>
      <w:outlineLvl w:val="3"/>
    </w:pPr>
    <w:rPr>
      <w:rFonts w:ascii="Times New Roman" w:hAnsi="Times New Roman" w:eastAsia="宋体" w:cs="Times New Roman"/>
      <w:sz w:val="28"/>
      <w:szCs w:val="28"/>
    </w:rPr>
  </w:style>
  <w:style w:type="paragraph" w:customStyle="1" w:styleId="108">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109">
    <w:name w:val="Normal_8"/>
    <w:qFormat/>
    <w:uiPriority w:val="0"/>
    <w:rPr>
      <w:rFonts w:ascii="Calibri" w:hAnsi="Calibri" w:eastAsia="Times New Roman" w:cs="Times New Roman"/>
      <w:kern w:val="0"/>
      <w:sz w:val="24"/>
      <w:szCs w:val="24"/>
      <w:lang w:val="en-US" w:eastAsia="zh-CN" w:bidi="ar-SA"/>
    </w:rPr>
  </w:style>
  <w:style w:type="paragraph" w:customStyle="1" w:styleId="110">
    <w:name w:val="No Spacing1"/>
    <w:basedOn w:val="1"/>
    <w:qFormat/>
    <w:uiPriority w:val="99"/>
    <w:pPr>
      <w:spacing w:line="400" w:lineRule="exact"/>
    </w:pPr>
    <w:rPr>
      <w:rFonts w:ascii="Times New Roman" w:hAnsi="Times New Roman" w:eastAsia="宋体" w:cs="Times New Roman"/>
      <w:sz w:val="24"/>
      <w:szCs w:val="24"/>
    </w:rPr>
  </w:style>
  <w:style w:type="paragraph" w:customStyle="1" w:styleId="111">
    <w:name w:val="表格文字"/>
    <w:basedOn w:val="1"/>
    <w:next w:val="12"/>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styleId="112">
    <w:name w:val="List Paragraph"/>
    <w:basedOn w:val="1"/>
    <w:qFormat/>
    <w:uiPriority w:val="34"/>
    <w:pPr>
      <w:ind w:firstLine="420" w:firstLineChars="200"/>
    </w:pPr>
    <w:rPr>
      <w:rFonts w:ascii="Times New Roman" w:hAnsi="Times New Roman" w:eastAsia="宋体" w:cs="Times New Roman"/>
      <w:szCs w:val="24"/>
    </w:rPr>
  </w:style>
  <w:style w:type="paragraph" w:customStyle="1" w:styleId="113">
    <w:name w:val="标题 21"/>
    <w:basedOn w:val="1"/>
    <w:qFormat/>
    <w:uiPriority w:val="1"/>
    <w:pPr>
      <w:ind w:left="100" w:right="108"/>
      <w:outlineLvl w:val="2"/>
    </w:pPr>
    <w:rPr>
      <w:rFonts w:ascii="Microsoft JhengHei" w:hAnsi="Microsoft JhengHei" w:eastAsia="Microsoft JhengHei" w:cs="Microsoft JhengHei"/>
      <w:b/>
      <w:bCs/>
      <w:sz w:val="32"/>
      <w:szCs w:val="32"/>
    </w:rPr>
  </w:style>
  <w:style w:type="paragraph" w:customStyle="1" w:styleId="114">
    <w:name w:val="列出段落2"/>
    <w:basedOn w:val="1"/>
    <w:qFormat/>
    <w:uiPriority w:val="99"/>
    <w:pPr>
      <w:ind w:firstLine="420" w:firstLineChars="200"/>
    </w:pPr>
    <w:rPr>
      <w:rFonts w:ascii="Times New Roman" w:hAnsi="Times New Roman" w:eastAsia="宋体" w:cs="Times New Roman"/>
      <w:szCs w:val="24"/>
    </w:rPr>
  </w:style>
  <w:style w:type="paragraph" w:customStyle="1" w:styleId="115">
    <w:name w:val="样式 样式 样式 标题 2 + 宋体 五号 非加粗 黑色 + 段前: 6 磅 段后: 0 磅 行距: 单倍行距 + 段前: 12..."/>
    <w:basedOn w:val="105"/>
    <w:qFormat/>
    <w:uiPriority w:val="0"/>
    <w:pPr>
      <w:spacing w:before="240"/>
    </w:pPr>
  </w:style>
  <w:style w:type="paragraph" w:customStyle="1" w:styleId="116">
    <w:name w:val="无间隔2"/>
    <w:basedOn w:val="1"/>
    <w:qFormat/>
    <w:uiPriority w:val="1"/>
    <w:pPr>
      <w:spacing w:line="400" w:lineRule="exact"/>
    </w:pPr>
    <w:rPr>
      <w:rFonts w:ascii="Times New Roman" w:hAnsi="Times New Roman" w:eastAsia="宋体" w:cs="Times New Roman"/>
      <w:sz w:val="24"/>
      <w:szCs w:val="24"/>
    </w:rPr>
  </w:style>
  <w:style w:type="paragraph" w:customStyle="1" w:styleId="117">
    <w:name w:val="样式 样式 样式 样式 标题 2 + 宋体 五号 非加粗 黑色 + 段前: 6 磅 段后: 0 磅 行距: 单倍行距 + 段前:..."/>
    <w:basedOn w:val="115"/>
    <w:qFormat/>
    <w:uiPriority w:val="0"/>
    <w:rPr>
      <w:b/>
    </w:rPr>
  </w:style>
  <w:style w:type="paragraph" w:customStyle="1" w:styleId="118">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119">
    <w:name w:val="p0"/>
    <w:basedOn w:val="1"/>
    <w:qFormat/>
    <w:uiPriority w:val="0"/>
    <w:pPr>
      <w:widowControl/>
    </w:pPr>
    <w:rPr>
      <w:rFonts w:ascii="Times New Roman" w:hAnsi="Times New Roman" w:eastAsia="宋体" w:cs="Times New Roman"/>
      <w:kern w:val="0"/>
      <w:szCs w:val="21"/>
    </w:rPr>
  </w:style>
  <w:style w:type="paragraph" w:customStyle="1" w:styleId="120">
    <w:name w:val="样式 首行缩进:  2 字符"/>
    <w:basedOn w:val="1"/>
    <w:qFormat/>
    <w:uiPriority w:val="0"/>
    <w:pPr>
      <w:spacing w:line="400" w:lineRule="exact"/>
      <w:ind w:firstLine="200" w:firstLineChars="200"/>
    </w:pPr>
    <w:rPr>
      <w:rFonts w:ascii="Times New Roman" w:hAnsi="Times New Roman" w:eastAsia="宋体" w:cs="宋体"/>
      <w:sz w:val="24"/>
      <w:szCs w:val="24"/>
    </w:rPr>
  </w:style>
  <w:style w:type="paragraph" w:customStyle="1" w:styleId="121">
    <w:name w:val="cucd-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122">
    <w:name w:val="样式 标题 3h3H3sect1.2.3 + 五号 段前: 6 磅 段后: 6 磅 行距: 单倍行距"/>
    <w:basedOn w:val="4"/>
    <w:qFormat/>
    <w:uiPriority w:val="0"/>
    <w:pPr>
      <w:spacing w:before="120" w:after="120" w:line="240" w:lineRule="auto"/>
    </w:pPr>
    <w:rPr>
      <w:sz w:val="21"/>
    </w:rPr>
  </w:style>
  <w:style w:type="paragraph" w:customStyle="1" w:styleId="123">
    <w:name w:val="样式3"/>
    <w:basedOn w:val="18"/>
    <w:qFormat/>
    <w:uiPriority w:val="0"/>
    <w:pPr>
      <w:spacing w:line="0" w:lineRule="atLeast"/>
      <w:outlineLvl w:val="0"/>
    </w:pPr>
    <w:rPr>
      <w:sz w:val="28"/>
      <w:szCs w:val="20"/>
    </w:rPr>
  </w:style>
  <w:style w:type="paragraph" w:customStyle="1" w:styleId="124">
    <w:name w:val="*正文"/>
    <w:basedOn w:val="1"/>
    <w:next w:val="1"/>
    <w:qFormat/>
    <w:uiPriority w:val="0"/>
    <w:pPr>
      <w:widowControl/>
      <w:ind w:firstLine="482"/>
    </w:pPr>
    <w:rPr>
      <w:rFonts w:ascii="微软雅黑" w:hAnsi="微软雅黑" w:eastAsia="微软雅黑" w:cs="Times New Roman"/>
      <w:szCs w:val="24"/>
    </w:rPr>
  </w:style>
  <w:style w:type="table" w:customStyle="1" w:styleId="125">
    <w:name w:val="TableGri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table" w:customStyle="1" w:styleId="126">
    <w:name w:val="Table Normal"/>
    <w:unhideWhenUsed/>
    <w:qFormat/>
    <w:uiPriority w:val="2"/>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127">
    <w:name w:val="Body Text 21"/>
    <w:basedOn w:val="1"/>
    <w:next w:val="12"/>
    <w:qFormat/>
    <w:uiPriority w:val="0"/>
    <w:pPr>
      <w:spacing w:after="120" w:line="480" w:lineRule="auto"/>
    </w:pPr>
    <w:rPr>
      <w:rFonts w:ascii="Times New Roman" w:hAnsi="Times New Roman" w:eastAsia="宋体" w:cs="Times New Roman"/>
      <w:szCs w:val="24"/>
    </w:rPr>
  </w:style>
  <w:style w:type="paragraph" w:customStyle="1" w:styleId="128">
    <w:name w:val="招标正文"/>
    <w:basedOn w:val="1"/>
    <w:qFormat/>
    <w:uiPriority w:val="0"/>
    <w:pPr>
      <w:spacing w:line="360" w:lineRule="auto"/>
      <w:ind w:firstLine="480" w:firstLineChars="200"/>
    </w:pPr>
    <w:rPr>
      <w:rFonts w:ascii="宋体" w:hAnsi="宋体" w:eastAsia="宋体" w:cs="Times New Roman"/>
      <w:sz w:val="24"/>
      <w:szCs w:val="24"/>
    </w:rPr>
  </w:style>
  <w:style w:type="paragraph" w:customStyle="1" w:styleId="129">
    <w:name w:val="Normal_51"/>
    <w:qFormat/>
    <w:uiPriority w:val="0"/>
    <w:pPr>
      <w:spacing w:before="120" w:after="240"/>
      <w:jc w:val="both"/>
    </w:pPr>
    <w:rPr>
      <w:rFonts w:ascii="Times New Roman" w:hAnsi="Times New Roman" w:eastAsia="Calibri" w:cs="Times New Roman"/>
      <w:kern w:val="0"/>
      <w:sz w:val="22"/>
      <w:szCs w:val="22"/>
      <w:lang w:val="ru-RU" w:eastAsia="en-US" w:bidi="ar-SA"/>
    </w:rPr>
  </w:style>
  <w:style w:type="character" w:customStyle="1" w:styleId="130">
    <w:name w:val="first-child"/>
    <w:basedOn w:val="35"/>
    <w:qFormat/>
    <w:uiPriority w:val="0"/>
    <w:rPr>
      <w:color w:val="1F3149"/>
      <w:sz w:val="24"/>
      <w:szCs w:val="24"/>
    </w:rPr>
  </w:style>
  <w:style w:type="character" w:customStyle="1" w:styleId="131">
    <w:name w:val="first-child1"/>
    <w:basedOn w:val="35"/>
    <w:qFormat/>
    <w:uiPriority w:val="0"/>
    <w:rPr>
      <w:color w:val="1F3149"/>
      <w:sz w:val="24"/>
      <w:szCs w:val="24"/>
    </w:rPr>
  </w:style>
  <w:style w:type="character" w:customStyle="1" w:styleId="132">
    <w:name w:val="icon_ds"/>
    <w:basedOn w:val="35"/>
    <w:qFormat/>
    <w:uiPriority w:val="0"/>
    <w:rPr>
      <w:sz w:val="21"/>
      <w:szCs w:val="21"/>
    </w:rPr>
  </w:style>
  <w:style w:type="character" w:customStyle="1" w:styleId="133">
    <w:name w:val="icon_ds1"/>
    <w:basedOn w:val="35"/>
    <w:qFormat/>
    <w:uiPriority w:val="0"/>
  </w:style>
  <w:style w:type="character" w:customStyle="1" w:styleId="134">
    <w:name w:val="xiadan"/>
    <w:basedOn w:val="35"/>
    <w:qFormat/>
    <w:uiPriority w:val="0"/>
    <w:rPr>
      <w:shd w:val="clear" w:color="auto" w:fill="E4393C"/>
    </w:rPr>
  </w:style>
  <w:style w:type="character" w:customStyle="1" w:styleId="135">
    <w:name w:val="fr"/>
    <w:basedOn w:val="35"/>
    <w:qFormat/>
    <w:uiPriority w:val="0"/>
  </w:style>
  <w:style w:type="character" w:customStyle="1" w:styleId="136">
    <w:name w:val="icon_gys"/>
    <w:basedOn w:val="35"/>
    <w:qFormat/>
    <w:uiPriority w:val="0"/>
    <w:rPr>
      <w:sz w:val="21"/>
      <w:szCs w:val="21"/>
    </w:rPr>
  </w:style>
  <w:style w:type="character" w:customStyle="1" w:styleId="137">
    <w:name w:val="first-child2"/>
    <w:basedOn w:val="35"/>
    <w:qFormat/>
    <w:uiPriority w:val="0"/>
    <w:rPr>
      <w:color w:val="1F3149"/>
      <w:sz w:val="24"/>
      <w:szCs w:val="24"/>
    </w:rPr>
  </w:style>
  <w:style w:type="paragraph" w:customStyle="1" w:styleId="138">
    <w:name w:val="Table Text"/>
    <w:basedOn w:val="1"/>
    <w:semiHidden/>
    <w:qFormat/>
    <w:uiPriority w:val="0"/>
    <w:rPr>
      <w:rFonts w:ascii="宋体" w:hAnsi="宋体" w:eastAsia="宋体" w:cs="宋体"/>
      <w:sz w:val="24"/>
      <w:szCs w:val="24"/>
      <w:lang w:eastAsia="en-US"/>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sz w:val="24"/>
      <w:szCs w:val="20"/>
    </w:rPr>
  </w:style>
  <w:style w:type="paragraph" w:customStyle="1" w:styleId="140">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黑体"/>
      <w:szCs w:val="24"/>
      <w:shd w:val="pct20" w:color="auto" w:fill="auto"/>
    </w:rPr>
  </w:style>
  <w:style w:type="paragraph" w:customStyle="1" w:styleId="141">
    <w:name w:val="正文_5"/>
    <w:next w:val="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2">
    <w:name w:val="正文_1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43">
    <w:name w:val="Normal_16"/>
    <w:qFormat/>
    <w:uiPriority w:val="0"/>
    <w:rPr>
      <w:rFonts w:ascii="黑体" w:hAnsi="黑体" w:eastAsia="黑体" w:cs="Times New Roman"/>
      <w:b/>
      <w:kern w:val="0"/>
      <w:sz w:val="32"/>
      <w:szCs w:val="24"/>
      <w:lang w:val="en-US" w:eastAsia="zh-CN" w:bidi="ar-SA"/>
    </w:rPr>
  </w:style>
  <w:style w:type="paragraph" w:customStyle="1" w:styleId="14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0CEBBB-3CBC-48EF-B5C6-10030FA0C553}">
  <ds:schemaRefs/>
</ds:datastoreItem>
</file>

<file path=docProps/app.xml><?xml version="1.0" encoding="utf-8"?>
<Properties xmlns="http://schemas.openxmlformats.org/officeDocument/2006/extended-properties" xmlns:vt="http://schemas.openxmlformats.org/officeDocument/2006/docPropsVTypes">
  <Template>Normal</Template>
  <Pages>54</Pages>
  <Words>18722</Words>
  <Characters>19978</Characters>
  <Lines>1755</Lines>
  <Paragraphs>1930</Paragraphs>
  <TotalTime>53</TotalTime>
  <ScaleCrop>false</ScaleCrop>
  <LinksUpToDate>false</LinksUpToDate>
  <CharactersWithSpaces>20630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2025-10-21T01:45:00Z</dcterms:created>
  <dc:creator>Innocence</dc:creator>
  <cp:lastModifiedBy>昕</cp:lastModifiedBy>
  <dcterms:modified xsi:type="dcterms:W3CDTF">2026-08-21T08:20:29Z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eyJoZGlkIjoiMWI0Mjk4MGY2NDg1MzA2NWY5MmE5NTYzZDI2OTY1MTciLCJ1c2VySWQiOiIyNzc5OTY4MDAifQ==</vt:lpwstr>
  </property>
  <property fmtid="{D5CDD505-2E9C-101B-9397-08002B2CF9AE}" pid="3" name="KSOProductBuildVer">
    <vt:lpwstr>2052-12.1.0.26391</vt:lpwstr>
  </property>
  <property fmtid="{D5CDD505-2E9C-101B-9397-08002B2CF9AE}" pid="4" name="ICV">
    <vt:lpwstr>61B306AEDDD14303AC6035FCBC680C3C_13</vt:lpwstr>
  </property>
</Properties>
</file>