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6DD09">
      <w:pPr>
        <w:spacing w:line="360" w:lineRule="auto"/>
        <w:jc w:val="left"/>
        <w:rPr>
          <w:rFonts w:ascii="宋体" w:hAnsi="宋体"/>
          <w:sz w:val="28"/>
          <w:u w:val="single"/>
        </w:rPr>
      </w:pPr>
      <w:r>
        <w:rPr>
          <w:rFonts w:hint="eastAsia" w:ascii="宋体" w:hAnsi="宋体"/>
          <w:sz w:val="28"/>
        </w:rPr>
        <w:t>合同编号：豫财招标采购-2024-672-</w:t>
      </w:r>
      <w:r>
        <w:rPr>
          <w:rFonts w:ascii="宋体" w:hAnsi="宋体"/>
          <w:sz w:val="28"/>
        </w:rPr>
        <w:t>3</w:t>
      </w:r>
    </w:p>
    <w:p w14:paraId="652A4363">
      <w:pPr>
        <w:spacing w:line="360" w:lineRule="auto"/>
        <w:rPr>
          <w:rFonts w:ascii="宋体" w:hAnsi="宋体"/>
          <w:sz w:val="28"/>
        </w:rPr>
      </w:pPr>
    </w:p>
    <w:p w14:paraId="216811BF">
      <w:pPr>
        <w:jc w:val="center"/>
        <w:rPr>
          <w:rFonts w:ascii="宋体" w:hAnsi="宋体"/>
          <w:sz w:val="52"/>
        </w:rPr>
      </w:pPr>
    </w:p>
    <w:p w14:paraId="307D9717">
      <w:pPr>
        <w:jc w:val="center"/>
        <w:rPr>
          <w:rFonts w:ascii="宋体" w:hAnsi="宋体"/>
          <w:sz w:val="52"/>
        </w:rPr>
      </w:pPr>
      <w:r>
        <w:rPr>
          <w:rFonts w:hint="eastAsia" w:ascii="宋体" w:hAnsi="宋体"/>
          <w:sz w:val="52"/>
        </w:rPr>
        <w:t>中外文图书采购合同</w:t>
      </w:r>
    </w:p>
    <w:p w14:paraId="5D1A2ADD">
      <w:pPr>
        <w:jc w:val="center"/>
        <w:rPr>
          <w:rFonts w:ascii="宋体" w:hAnsi="宋体"/>
          <w:sz w:val="36"/>
        </w:rPr>
      </w:pPr>
    </w:p>
    <w:p w14:paraId="4FEB5480">
      <w:pPr>
        <w:spacing w:line="360" w:lineRule="auto"/>
        <w:ind w:firstLine="640" w:firstLineChars="200"/>
        <w:jc w:val="left"/>
        <w:rPr>
          <w:rFonts w:ascii="宋体" w:hAnsi="宋体"/>
          <w:sz w:val="32"/>
          <w:szCs w:val="32"/>
          <w:u w:val="single"/>
        </w:rPr>
      </w:pPr>
      <w:r>
        <w:rPr>
          <w:rFonts w:hint="eastAsia" w:ascii="宋体" w:hAnsi="宋体"/>
          <w:sz w:val="32"/>
          <w:szCs w:val="32"/>
        </w:rPr>
        <w:t>项目名称：</w:t>
      </w:r>
      <w:r>
        <w:rPr>
          <w:rFonts w:hint="eastAsia" w:ascii="宋体" w:hAnsi="宋体"/>
          <w:sz w:val="32"/>
          <w:szCs w:val="32"/>
          <w:u w:val="single"/>
        </w:rPr>
        <w:t>河南大学2024年中外文图书购置项目</w:t>
      </w:r>
    </w:p>
    <w:p w14:paraId="121581C7">
      <w:pPr>
        <w:ind w:firstLine="640" w:firstLineChars="200"/>
        <w:rPr>
          <w:rFonts w:ascii="宋体" w:hAnsi="宋体"/>
          <w:sz w:val="32"/>
          <w:szCs w:val="32"/>
          <w:u w:val="single"/>
        </w:rPr>
      </w:pPr>
      <w:r>
        <w:rPr>
          <w:rFonts w:hint="eastAsia" w:ascii="宋体" w:hAnsi="宋体"/>
          <w:sz w:val="32"/>
          <w:szCs w:val="32"/>
        </w:rPr>
        <w:t>委托方（甲方）：</w:t>
      </w:r>
      <w:r>
        <w:rPr>
          <w:rFonts w:hint="eastAsia" w:ascii="宋体" w:hAnsi="宋体"/>
          <w:sz w:val="32"/>
          <w:szCs w:val="32"/>
          <w:u w:val="single"/>
        </w:rPr>
        <w:t xml:space="preserve">      河南大学          </w:t>
      </w:r>
      <w:r>
        <w:rPr>
          <w:rFonts w:hint="eastAsia" w:ascii="宋体" w:hAnsi="宋体"/>
          <w:sz w:val="32"/>
          <w:szCs w:val="32"/>
        </w:rPr>
        <w:t xml:space="preserve">                </w:t>
      </w:r>
    </w:p>
    <w:p w14:paraId="5E206983">
      <w:pPr>
        <w:rPr>
          <w:rFonts w:ascii="宋体" w:hAnsi="宋体"/>
          <w:sz w:val="32"/>
          <w:szCs w:val="32"/>
          <w:u w:val="single"/>
        </w:rPr>
      </w:pPr>
    </w:p>
    <w:p w14:paraId="1C7CA59A">
      <w:pPr>
        <w:spacing w:line="360" w:lineRule="auto"/>
        <w:ind w:left="3190" w:leftChars="300" w:hanging="2560" w:hangingChars="800"/>
        <w:rPr>
          <w:rFonts w:ascii="宋体" w:hAnsi="宋体"/>
          <w:sz w:val="32"/>
          <w:szCs w:val="32"/>
        </w:rPr>
      </w:pPr>
      <w:r>
        <w:rPr>
          <w:rFonts w:hint="eastAsia" w:ascii="宋体" w:hAnsi="宋体"/>
          <w:sz w:val="32"/>
          <w:szCs w:val="32"/>
        </w:rPr>
        <w:t>受托方（乙方）：</w:t>
      </w:r>
      <w:r>
        <w:rPr>
          <w:rFonts w:hint="eastAsia" w:ascii="宋体" w:hAnsi="宋体"/>
          <w:sz w:val="32"/>
          <w:szCs w:val="32"/>
          <w:u w:val="single"/>
        </w:rPr>
        <w:t>北京人天书店集团股份有限公司</w:t>
      </w:r>
      <w:r>
        <w:rPr>
          <w:rFonts w:hint="eastAsia" w:ascii="宋体" w:hAnsi="宋体"/>
          <w:sz w:val="32"/>
          <w:szCs w:val="32"/>
        </w:rPr>
        <w:t xml:space="preserve">        </w:t>
      </w:r>
      <w:r>
        <w:rPr>
          <w:rFonts w:hint="eastAsia" w:ascii="宋体" w:hAnsi="宋体"/>
          <w:sz w:val="32"/>
          <w:szCs w:val="32"/>
          <w:u w:val="single"/>
        </w:rPr>
        <w:t xml:space="preserve">       </w:t>
      </w:r>
    </w:p>
    <w:p w14:paraId="74E9C4B5">
      <w:pPr>
        <w:ind w:firstLine="640" w:firstLineChars="200"/>
        <w:rPr>
          <w:rFonts w:ascii="宋体" w:hAnsi="宋体"/>
          <w:sz w:val="32"/>
          <w:szCs w:val="32"/>
          <w:u w:val="single"/>
        </w:rPr>
      </w:pPr>
      <w:r>
        <w:rPr>
          <w:rFonts w:hint="eastAsia" w:ascii="宋体" w:hAnsi="宋体"/>
          <w:sz w:val="32"/>
          <w:szCs w:val="32"/>
        </w:rPr>
        <w:t>签订时间：</w:t>
      </w:r>
      <w:r>
        <w:rPr>
          <w:rFonts w:hint="eastAsia" w:ascii="宋体" w:hAnsi="宋体"/>
          <w:sz w:val="32"/>
          <w:szCs w:val="32"/>
          <w:u w:val="single"/>
        </w:rPr>
        <w:t xml:space="preserve">     2024年7月29日           </w:t>
      </w:r>
      <w:r>
        <w:rPr>
          <w:rFonts w:hint="eastAsia" w:ascii="宋体" w:hAnsi="宋体"/>
          <w:sz w:val="32"/>
          <w:szCs w:val="32"/>
        </w:rPr>
        <w:t xml:space="preserve">       </w:t>
      </w:r>
      <w:r>
        <w:rPr>
          <w:rFonts w:ascii="宋体" w:hAnsi="宋体"/>
          <w:sz w:val="32"/>
          <w:szCs w:val="32"/>
        </w:rPr>
        <w:t xml:space="preserve"> </w:t>
      </w:r>
    </w:p>
    <w:p w14:paraId="472C43B2">
      <w:pPr>
        <w:rPr>
          <w:rFonts w:ascii="宋体" w:hAnsi="宋体"/>
          <w:sz w:val="32"/>
          <w:szCs w:val="32"/>
          <w:u w:val="single"/>
        </w:rPr>
      </w:pPr>
    </w:p>
    <w:p w14:paraId="082DEBE5">
      <w:pPr>
        <w:ind w:firstLine="640" w:firstLineChars="200"/>
        <w:rPr>
          <w:rFonts w:ascii="宋体" w:hAnsi="宋体"/>
          <w:sz w:val="32"/>
          <w:szCs w:val="32"/>
        </w:rPr>
      </w:pPr>
      <w:r>
        <w:rPr>
          <w:rFonts w:hint="eastAsia" w:ascii="宋体" w:hAnsi="宋体"/>
          <w:sz w:val="32"/>
          <w:szCs w:val="32"/>
        </w:rPr>
        <w:t>签订地点：</w:t>
      </w:r>
      <w:r>
        <w:rPr>
          <w:rFonts w:hint="eastAsia" w:ascii="宋体" w:hAnsi="宋体"/>
          <w:sz w:val="32"/>
          <w:szCs w:val="32"/>
          <w:u w:val="single"/>
        </w:rPr>
        <w:t xml:space="preserve">      河南省开封市             </w:t>
      </w:r>
      <w:r>
        <w:rPr>
          <w:rFonts w:hint="eastAsia" w:ascii="宋体" w:hAnsi="宋体"/>
          <w:sz w:val="32"/>
          <w:szCs w:val="32"/>
        </w:rPr>
        <w:t xml:space="preserve">     </w:t>
      </w:r>
      <w:r>
        <w:rPr>
          <w:rFonts w:ascii="宋体" w:hAnsi="宋体"/>
          <w:sz w:val="32"/>
          <w:szCs w:val="32"/>
        </w:rPr>
        <w:t xml:space="preserve"> </w:t>
      </w:r>
      <w:r>
        <w:rPr>
          <w:rFonts w:hint="eastAsia" w:ascii="宋体" w:hAnsi="宋体"/>
          <w:sz w:val="32"/>
          <w:szCs w:val="32"/>
        </w:rPr>
        <w:t xml:space="preserve"> </w:t>
      </w:r>
    </w:p>
    <w:p w14:paraId="64BF56B4">
      <w:pPr>
        <w:rPr>
          <w:rFonts w:ascii="宋体" w:hAnsi="宋体"/>
          <w:sz w:val="32"/>
          <w:szCs w:val="32"/>
        </w:rPr>
      </w:pPr>
      <w:r>
        <w:rPr>
          <w:rFonts w:hint="eastAsia" w:ascii="宋体" w:hAnsi="宋体"/>
          <w:sz w:val="32"/>
          <w:szCs w:val="32"/>
        </w:rPr>
        <w:t xml:space="preserve">   </w:t>
      </w:r>
    </w:p>
    <w:p w14:paraId="1B6E1F2B">
      <w:pPr>
        <w:ind w:firstLine="640" w:firstLineChars="200"/>
        <w:rPr>
          <w:rFonts w:ascii="宋体" w:hAnsi="宋体"/>
          <w:sz w:val="32"/>
          <w:szCs w:val="32"/>
          <w:u w:val="single"/>
        </w:rPr>
      </w:pPr>
      <w:r>
        <w:rPr>
          <w:rFonts w:hint="eastAsia" w:ascii="宋体" w:hAnsi="宋体"/>
          <w:sz w:val="32"/>
          <w:szCs w:val="32"/>
        </w:rPr>
        <w:t>有效期限：</w:t>
      </w:r>
      <w:r>
        <w:rPr>
          <w:rFonts w:hint="eastAsia" w:ascii="宋体" w:hAnsi="宋体"/>
          <w:sz w:val="32"/>
          <w:szCs w:val="32"/>
          <w:u w:val="single"/>
        </w:rPr>
        <w:t xml:space="preserve">2024年7月29日-2025年7月29日  </w:t>
      </w:r>
      <w:r>
        <w:rPr>
          <w:rFonts w:hint="eastAsia" w:ascii="宋体" w:hAnsi="宋体"/>
          <w:sz w:val="32"/>
          <w:szCs w:val="32"/>
        </w:rPr>
        <w:t xml:space="preserve">        </w:t>
      </w:r>
    </w:p>
    <w:p w14:paraId="6AAE7E0C">
      <w:pPr>
        <w:rPr>
          <w:rFonts w:ascii="宋体" w:hAnsi="宋体"/>
          <w:sz w:val="44"/>
          <w:szCs w:val="44"/>
        </w:rPr>
      </w:pPr>
      <w:r>
        <w:rPr>
          <w:rFonts w:hint="eastAsia" w:ascii="宋体" w:hAnsi="宋体"/>
          <w:sz w:val="44"/>
          <w:szCs w:val="44"/>
        </w:rPr>
        <w:t xml:space="preserve">         </w:t>
      </w:r>
    </w:p>
    <w:p w14:paraId="432692DD">
      <w:pPr>
        <w:jc w:val="center"/>
        <w:rPr>
          <w:rFonts w:ascii="宋体" w:hAnsi="宋体"/>
          <w:sz w:val="30"/>
        </w:rPr>
      </w:pPr>
    </w:p>
    <w:p w14:paraId="39DCEF78">
      <w:pPr>
        <w:jc w:val="center"/>
        <w:rPr>
          <w:rFonts w:ascii="宋体" w:hAnsi="宋体"/>
          <w:sz w:val="30"/>
        </w:rPr>
      </w:pPr>
    </w:p>
    <w:p w14:paraId="6BDB977F">
      <w:pPr>
        <w:jc w:val="center"/>
        <w:rPr>
          <w:rFonts w:ascii="宋体" w:hAnsi="宋体"/>
          <w:sz w:val="30"/>
        </w:rPr>
      </w:pPr>
    </w:p>
    <w:p w14:paraId="624FD939">
      <w:pPr>
        <w:jc w:val="center"/>
        <w:rPr>
          <w:rFonts w:ascii="宋体" w:hAnsi="宋体"/>
          <w:sz w:val="30"/>
        </w:rPr>
      </w:pPr>
      <w:r>
        <w:rPr>
          <w:rFonts w:hint="eastAsia" w:ascii="宋体" w:hAnsi="宋体"/>
          <w:sz w:val="30"/>
        </w:rPr>
        <w:t>河南大学招标办编制</w:t>
      </w:r>
    </w:p>
    <w:p w14:paraId="2C4D43BD">
      <w:pPr>
        <w:jc w:val="center"/>
        <w:rPr>
          <w:rFonts w:ascii="宋体" w:hAnsi="宋体" w:cs="宋体"/>
          <w:sz w:val="32"/>
          <w:szCs w:val="32"/>
        </w:rPr>
      </w:pPr>
    </w:p>
    <w:p w14:paraId="2B2C6FF2">
      <w:pPr>
        <w:pStyle w:val="8"/>
        <w:ind w:firstLine="210"/>
      </w:pPr>
    </w:p>
    <w:p w14:paraId="06A5BDC3">
      <w:pPr>
        <w:spacing w:line="360" w:lineRule="auto"/>
        <w:jc w:val="center"/>
        <w:rPr>
          <w:rFonts w:ascii="宋体" w:hAnsi="宋体" w:cs="宋体"/>
          <w:b/>
          <w:bCs/>
          <w:sz w:val="32"/>
          <w:szCs w:val="32"/>
        </w:rPr>
      </w:pPr>
      <w:r>
        <w:rPr>
          <w:rFonts w:hint="eastAsia" w:ascii="宋体" w:hAnsi="宋体" w:cs="宋体"/>
          <w:b/>
          <w:bCs/>
          <w:sz w:val="32"/>
          <w:szCs w:val="32"/>
        </w:rPr>
        <w:t>河南大学2024年中外文图书采购合同</w:t>
      </w:r>
    </w:p>
    <w:p w14:paraId="1F6DA833">
      <w:pPr>
        <w:spacing w:line="360" w:lineRule="auto"/>
        <w:jc w:val="center"/>
        <w:rPr>
          <w:rFonts w:ascii="宋体" w:hAnsi="宋体" w:cs="宋体"/>
          <w:sz w:val="30"/>
        </w:rPr>
      </w:pPr>
    </w:p>
    <w:p w14:paraId="4CDA7582">
      <w:pPr>
        <w:spacing w:line="360" w:lineRule="auto"/>
        <w:rPr>
          <w:rFonts w:ascii="宋体" w:hAnsi="宋体" w:cs="宋体"/>
          <w:sz w:val="24"/>
        </w:rPr>
      </w:pPr>
      <w:r>
        <w:rPr>
          <w:rFonts w:hint="eastAsia" w:ascii="宋体" w:hAnsi="宋体" w:cs="宋体"/>
          <w:sz w:val="24"/>
        </w:rPr>
        <w:t xml:space="preserve">甲方：河南大学                    </w:t>
      </w:r>
      <w:r>
        <w:rPr>
          <w:rFonts w:ascii="宋体" w:hAnsi="宋体" w:cs="宋体"/>
          <w:sz w:val="24"/>
        </w:rPr>
        <w:t xml:space="preserve">     </w:t>
      </w:r>
      <w:r>
        <w:rPr>
          <w:rFonts w:hint="eastAsia" w:ascii="宋体" w:hAnsi="宋体" w:cs="宋体"/>
          <w:sz w:val="24"/>
        </w:rPr>
        <w:t xml:space="preserve">   签订时间： </w:t>
      </w:r>
      <w:r>
        <w:rPr>
          <w:rFonts w:ascii="宋体" w:hAnsi="宋体" w:cs="宋体"/>
          <w:sz w:val="24"/>
        </w:rPr>
        <w:t>2024.7.29</w:t>
      </w:r>
      <w:r>
        <w:rPr>
          <w:rFonts w:hint="eastAsia" w:ascii="宋体" w:hAnsi="宋体" w:cs="宋体"/>
          <w:sz w:val="24"/>
        </w:rPr>
        <w:t xml:space="preserve">               </w:t>
      </w:r>
    </w:p>
    <w:p w14:paraId="73DAD2EA">
      <w:pPr>
        <w:spacing w:line="360" w:lineRule="auto"/>
        <w:rPr>
          <w:rFonts w:ascii="宋体" w:hAnsi="宋体" w:cs="宋体"/>
          <w:sz w:val="24"/>
        </w:rPr>
      </w:pPr>
      <w:r>
        <w:rPr>
          <w:rFonts w:hint="eastAsia" w:ascii="宋体" w:hAnsi="宋体" w:cs="宋体"/>
          <w:sz w:val="24"/>
        </w:rPr>
        <w:t>乙方：北京人天书店集团股份有限公司        签订地点：河南大学</w:t>
      </w:r>
    </w:p>
    <w:p w14:paraId="2CDA6148">
      <w:pPr>
        <w:snapToGrid w:val="0"/>
        <w:spacing w:line="360" w:lineRule="auto"/>
        <w:ind w:firstLine="480" w:firstLineChars="200"/>
        <w:rPr>
          <w:rFonts w:ascii="宋体" w:hAnsi="宋体" w:cs="宋体"/>
          <w:sz w:val="24"/>
        </w:rPr>
      </w:pPr>
      <w:r>
        <w:rPr>
          <w:rFonts w:hint="eastAsia" w:ascii="宋体" w:hAnsi="宋体" w:cs="宋体"/>
          <w:sz w:val="24"/>
        </w:rPr>
        <w:t>为了进一步支持甲方教育事业的发展，使甲方的图书采购、分编、加工等文献资源建设工作进一步有序、规范进行，加速文献信息资源的采购速度和加工速度，促进文献信息资源的有效交流和利用，根据《中华人民共和国民法典》、《中华人民共和国著作权法》等相关法律规定，甲、乙双方本着诚实、守信、互惠互利、互谅互让的原则，就有关图书采购、分编及加工事宜达成如下协议，以兹共同遵守：</w:t>
      </w:r>
    </w:p>
    <w:p w14:paraId="50D2CDD0">
      <w:pPr>
        <w:snapToGrid w:val="0"/>
        <w:spacing w:line="360" w:lineRule="auto"/>
        <w:ind w:firstLine="482" w:firstLineChars="200"/>
        <w:rPr>
          <w:rFonts w:ascii="宋体" w:hAnsi="宋体" w:cs="宋体"/>
          <w:b/>
          <w:bCs/>
          <w:sz w:val="24"/>
        </w:rPr>
      </w:pPr>
      <w:r>
        <w:rPr>
          <w:rFonts w:hint="eastAsia" w:ascii="宋体" w:hAnsi="宋体" w:cs="宋体"/>
          <w:b/>
          <w:bCs/>
          <w:sz w:val="24"/>
        </w:rPr>
        <w:t xml:space="preserve"> 一、甲、乙双方的权利义务：</w:t>
      </w:r>
    </w:p>
    <w:p w14:paraId="422E896B">
      <w:pPr>
        <w:snapToGrid w:val="0"/>
        <w:spacing w:line="360" w:lineRule="auto"/>
        <w:ind w:firstLine="480" w:firstLineChars="200"/>
        <w:rPr>
          <w:rFonts w:ascii="宋体" w:hAnsi="宋体" w:cs="宋体"/>
          <w:sz w:val="24"/>
        </w:rPr>
      </w:pPr>
      <w:r>
        <w:rPr>
          <w:rFonts w:hint="eastAsia" w:ascii="宋体" w:hAnsi="宋体" w:cs="宋体"/>
          <w:sz w:val="24"/>
        </w:rPr>
        <w:t xml:space="preserve"> 1.甲方的权利义务：</w:t>
      </w:r>
    </w:p>
    <w:p w14:paraId="0E5A9415">
      <w:pPr>
        <w:snapToGrid w:val="0"/>
        <w:spacing w:line="360" w:lineRule="auto"/>
        <w:ind w:firstLine="360" w:firstLineChars="150"/>
        <w:rPr>
          <w:rFonts w:ascii="宋体" w:hAnsi="宋体" w:cs="宋体"/>
          <w:sz w:val="24"/>
        </w:rPr>
      </w:pPr>
      <w:r>
        <w:rPr>
          <w:rFonts w:hint="eastAsia" w:ascii="宋体" w:hAnsi="宋体" w:cs="宋体"/>
          <w:sz w:val="24"/>
        </w:rPr>
        <w:t>（1）依据甲方专业设置概况和采购原则以及各院重点学科的特殊需要，甲方对乙方提供的图书订单及时进行圈选并制单，或由甲方提供书目订单，乙方派代表直接上门收取或由甲方通过合适的方式报与乙方。此次采购范围中文图书为：中文图书为2023年1月1日出版社出版以来的图书，且适合河南大学专业设置的学术性著作；港台图书和外文原版图书为2022年1月1日出版社出版以来的图书，且适合河南大学专业设置的学术性著作。</w:t>
      </w:r>
    </w:p>
    <w:p w14:paraId="43EFA4AC">
      <w:pPr>
        <w:snapToGrid w:val="0"/>
        <w:spacing w:line="360" w:lineRule="auto"/>
        <w:ind w:firstLine="360" w:firstLineChars="150"/>
        <w:rPr>
          <w:rFonts w:ascii="宋体" w:hAnsi="宋体" w:cs="宋体"/>
          <w:sz w:val="24"/>
        </w:rPr>
      </w:pPr>
      <w:r>
        <w:rPr>
          <w:rFonts w:hint="eastAsia" w:ascii="宋体" w:hAnsi="宋体" w:cs="宋体"/>
          <w:sz w:val="24"/>
        </w:rPr>
        <w:t>（2）乙方要及时主动按甲方所设学科门类定期向甲方提供与甲方教学科研相关的40多家重点出版社最新学术性书目出版信息，否则甲方有权不予提供预订图书订单。</w:t>
      </w:r>
    </w:p>
    <w:p w14:paraId="5B8D396B">
      <w:pPr>
        <w:snapToGrid w:val="0"/>
        <w:spacing w:line="360" w:lineRule="auto"/>
        <w:rPr>
          <w:rFonts w:ascii="宋体" w:hAnsi="宋体" w:cs="宋体"/>
          <w:sz w:val="24"/>
        </w:rPr>
      </w:pPr>
      <w:r>
        <w:rPr>
          <w:rFonts w:hint="eastAsia" w:ascii="宋体" w:hAnsi="宋体" w:cs="宋体"/>
          <w:sz w:val="24"/>
        </w:rPr>
        <w:t xml:space="preserve">   （3）乙方可以将最新出版的图书的样本提供给甲方，甲方可根据本馆实际藏书情况，本着自愿、认真的原则进行适量挑选，对甲方所报图书的品种、数量乙方不得加以干预。</w:t>
      </w:r>
    </w:p>
    <w:p w14:paraId="53E09D07">
      <w:pPr>
        <w:snapToGrid w:val="0"/>
        <w:spacing w:line="360" w:lineRule="auto"/>
        <w:ind w:firstLine="360" w:firstLineChars="150"/>
        <w:rPr>
          <w:rFonts w:ascii="宋体" w:hAnsi="宋体" w:cs="宋体"/>
          <w:sz w:val="24"/>
        </w:rPr>
      </w:pPr>
      <w:r>
        <w:rPr>
          <w:rFonts w:hint="eastAsia" w:ascii="宋体" w:hAnsi="宋体" w:cs="宋体"/>
          <w:sz w:val="24"/>
        </w:rPr>
        <w:t>（4）乙方要及时向甲方提供图书展销信息，甲方提前将馆藏数据和预订数据提供给乙方，以备现选时查重。乙方要将现选的全部数据经查重后发送给甲方，待甲方重新确认无误后再返回给乙方，作为预订数据。</w:t>
      </w:r>
    </w:p>
    <w:p w14:paraId="6AF5099B">
      <w:pPr>
        <w:snapToGrid w:val="0"/>
        <w:spacing w:line="360" w:lineRule="auto"/>
        <w:ind w:firstLine="360" w:firstLineChars="150"/>
        <w:rPr>
          <w:rFonts w:ascii="宋体" w:hAnsi="宋体" w:cs="宋体"/>
          <w:sz w:val="24"/>
        </w:rPr>
      </w:pPr>
      <w:r>
        <w:rPr>
          <w:rFonts w:hint="eastAsia" w:ascii="宋体" w:hAnsi="宋体" w:cs="宋体"/>
          <w:sz w:val="24"/>
        </w:rPr>
        <w:t>（5）乙方不得向甲方提供不合乎甲方要求的图书（包括残缺图书、盗版图书、反动图书、淫秽图书以及其他不适合甲方读者借阅的图书等），甲方一旦发现这种情况，可要求乙方以该类图书码洋的10至50倍赔款，并随时终止双方合同。</w:t>
      </w:r>
    </w:p>
    <w:p w14:paraId="557E6702">
      <w:pPr>
        <w:snapToGrid w:val="0"/>
        <w:spacing w:line="360" w:lineRule="auto"/>
        <w:ind w:firstLine="360" w:firstLineChars="150"/>
        <w:rPr>
          <w:rFonts w:ascii="宋体" w:hAnsi="宋体" w:cs="宋体"/>
          <w:sz w:val="24"/>
        </w:rPr>
      </w:pPr>
      <w:r>
        <w:rPr>
          <w:rFonts w:hint="eastAsia" w:ascii="宋体" w:hAnsi="宋体" w:cs="宋体"/>
          <w:sz w:val="24"/>
        </w:rPr>
        <w:t>（6）甲方除向乙方报送正常的批量书目订单外，有权向乙方报送根据广大读者的意见而收集到的零采书目，乙方不得以任何形式拒收，要与批量书目订单一样积极组织货源，零采书目订单必须按照甲方的时间要求到货，保证到货速度和到货率。</w:t>
      </w:r>
    </w:p>
    <w:p w14:paraId="6D42A08C">
      <w:pPr>
        <w:snapToGrid w:val="0"/>
        <w:spacing w:line="360" w:lineRule="auto"/>
        <w:ind w:firstLine="360" w:firstLineChars="150"/>
        <w:rPr>
          <w:rFonts w:ascii="宋体" w:hAnsi="宋体" w:cs="宋体"/>
          <w:sz w:val="24"/>
        </w:rPr>
      </w:pPr>
      <w:r>
        <w:rPr>
          <w:rFonts w:hint="eastAsia" w:ascii="宋体" w:hAnsi="宋体" w:cs="宋体"/>
          <w:sz w:val="24"/>
        </w:rPr>
        <w:t>（7）凡是甲方所订图书，到货后甲方一般不得拒收，如遇不合乎甲方要求的图书和复本书甲方有权拒收。其他特殊情况双方协商解决。</w:t>
      </w:r>
    </w:p>
    <w:p w14:paraId="30161F7C">
      <w:pPr>
        <w:snapToGrid w:val="0"/>
        <w:spacing w:line="360" w:lineRule="auto"/>
        <w:ind w:firstLine="360" w:firstLineChars="150"/>
        <w:rPr>
          <w:rFonts w:ascii="宋体" w:hAnsi="宋体" w:cs="宋体"/>
          <w:sz w:val="24"/>
        </w:rPr>
      </w:pPr>
      <w:r>
        <w:rPr>
          <w:rFonts w:hint="eastAsia" w:ascii="宋体" w:hAnsi="宋体" w:cs="宋体"/>
          <w:sz w:val="24"/>
        </w:rPr>
        <w:t>（8）图书到货经过查重、验收、编目、加工、典藏、送书入库无误后，甲方应按批次及时向乙方支付书款。终止本协议时，除已经结清的图书款项外，对于已经预订但未按照甲方要求时间到货的图书，甲方有权选择不接收。</w:t>
      </w:r>
    </w:p>
    <w:p w14:paraId="5BC29F01">
      <w:pPr>
        <w:snapToGrid w:val="0"/>
        <w:spacing w:line="360" w:lineRule="auto"/>
        <w:ind w:firstLine="360" w:firstLineChars="150"/>
        <w:rPr>
          <w:rFonts w:ascii="宋体" w:hAnsi="宋体" w:cs="宋体"/>
          <w:sz w:val="24"/>
        </w:rPr>
      </w:pPr>
      <w:r>
        <w:rPr>
          <w:rFonts w:hint="eastAsia" w:ascii="宋体" w:hAnsi="宋体" w:cs="宋体"/>
          <w:sz w:val="24"/>
        </w:rPr>
        <w:t>（9）未经乙方同意，甲方不得擅自转让乙方提供的MARC数据，不得用这些书目数据进行商业活动。</w:t>
      </w:r>
    </w:p>
    <w:p w14:paraId="545AC3BA">
      <w:pPr>
        <w:snapToGrid w:val="0"/>
        <w:spacing w:line="360" w:lineRule="auto"/>
        <w:ind w:firstLine="360" w:firstLineChars="150"/>
        <w:rPr>
          <w:rFonts w:ascii="宋体" w:hAnsi="宋体" w:cs="宋体"/>
          <w:sz w:val="24"/>
        </w:rPr>
      </w:pPr>
      <w:r>
        <w:rPr>
          <w:rFonts w:hint="eastAsia" w:ascii="宋体" w:hAnsi="宋体" w:cs="宋体"/>
          <w:sz w:val="24"/>
        </w:rPr>
        <w:t>（10）甲方有权要求乙方随时派人到甲方指定的场所进行图书加工。</w:t>
      </w:r>
    </w:p>
    <w:p w14:paraId="391392A8">
      <w:pPr>
        <w:snapToGrid w:val="0"/>
        <w:spacing w:line="360" w:lineRule="auto"/>
        <w:ind w:firstLine="360" w:firstLineChars="150"/>
        <w:rPr>
          <w:rFonts w:ascii="宋体" w:hAnsi="宋体" w:cs="宋体"/>
          <w:sz w:val="24"/>
        </w:rPr>
      </w:pPr>
      <w:r>
        <w:rPr>
          <w:rFonts w:hint="eastAsia" w:ascii="宋体" w:hAnsi="宋体" w:cs="宋体"/>
          <w:sz w:val="24"/>
        </w:rPr>
        <w:t>（11）图书验收合格入库后，甲方应及时向乙方支付书款。</w:t>
      </w:r>
    </w:p>
    <w:p w14:paraId="3EEE19F0">
      <w:pPr>
        <w:snapToGrid w:val="0"/>
        <w:spacing w:line="360" w:lineRule="auto"/>
        <w:ind w:firstLine="360" w:firstLineChars="150"/>
        <w:rPr>
          <w:rFonts w:ascii="宋体" w:hAnsi="宋体" w:cs="宋体"/>
          <w:sz w:val="24"/>
        </w:rPr>
      </w:pPr>
      <w:r>
        <w:rPr>
          <w:rFonts w:hint="eastAsia" w:ascii="宋体" w:hAnsi="宋体" w:cs="宋体"/>
          <w:sz w:val="24"/>
        </w:rPr>
        <w:t>（12）甲方需要的EMID标签必须由江苏科晶智能科技股份有限公司提供，型号为：EMID安全标签500pcs。</w:t>
      </w:r>
    </w:p>
    <w:p w14:paraId="4F65DD09">
      <w:pPr>
        <w:snapToGrid w:val="0"/>
        <w:spacing w:line="360" w:lineRule="auto"/>
        <w:outlineLvl w:val="0"/>
        <w:rPr>
          <w:rFonts w:ascii="宋体" w:hAnsi="宋体" w:cs="宋体"/>
          <w:sz w:val="24"/>
        </w:rPr>
      </w:pPr>
      <w:r>
        <w:rPr>
          <w:rFonts w:hint="eastAsia" w:ascii="宋体" w:hAnsi="宋体" w:cs="宋体"/>
          <w:sz w:val="24"/>
        </w:rPr>
        <w:t xml:space="preserve">    2.乙方权责</w:t>
      </w:r>
    </w:p>
    <w:p w14:paraId="11DD7BBD">
      <w:pPr>
        <w:snapToGrid w:val="0"/>
        <w:spacing w:line="360" w:lineRule="auto"/>
        <w:ind w:firstLine="360" w:firstLineChars="150"/>
        <w:rPr>
          <w:rFonts w:ascii="宋体" w:hAnsi="宋体" w:cs="宋体"/>
          <w:sz w:val="24"/>
        </w:rPr>
      </w:pPr>
      <w:r>
        <w:rPr>
          <w:rFonts w:hint="eastAsia" w:ascii="宋体" w:hAnsi="宋体" w:cs="宋体"/>
          <w:sz w:val="24"/>
        </w:rPr>
        <w:t>（1）乙方应及时向甲方免费提供各种采访书目信息，并定期向甲方提供有关出版信息、出版动态和图书展览信息，向甲方积极推荐学术价值高、品味性强并能充分满足甲方教学、科研需要的专题图书。乙方须通过正规渠道，高效、准确地提供图书，保证提供的图书全部为正版图书。甲方现采图书的原始数据由乙方导出后完整的交给甲方，不经甲方允许不得私自添加、删减数据。甲方提供的书目订单，全部书单由乙方进行查重后订购。</w:t>
      </w:r>
    </w:p>
    <w:p w14:paraId="78E0B07D">
      <w:pPr>
        <w:snapToGrid w:val="0"/>
        <w:spacing w:line="360" w:lineRule="auto"/>
        <w:ind w:firstLine="360" w:firstLineChars="150"/>
        <w:rPr>
          <w:rFonts w:ascii="宋体" w:hAnsi="宋体" w:cs="宋体"/>
          <w:sz w:val="24"/>
        </w:rPr>
      </w:pPr>
      <w:r>
        <w:rPr>
          <w:rFonts w:hint="eastAsia" w:ascii="宋体" w:hAnsi="宋体" w:cs="宋体"/>
          <w:sz w:val="24"/>
        </w:rPr>
        <w:t>（2）对甲方所报送的订单，乙方应全面、快速地组织货源，保证订单的图书到货率在90%以上,现采到货率95%以上。乙方必须保证在接收订单之日起二个月内把加工好的书送达指定书库，并统计到货率，把到货清单和没有配到的图书清单的电子版发送给甲方，保证现采图书到货率达95%以上、订单图书到货率达90%以上，否则甲方可以要求无条件退货并处罚款，由此带来的采购风险由该乙方承担。</w:t>
      </w:r>
    </w:p>
    <w:p w14:paraId="5EDF9967">
      <w:pPr>
        <w:snapToGrid w:val="0"/>
        <w:spacing w:line="360" w:lineRule="auto"/>
        <w:ind w:firstLine="360" w:firstLineChars="150"/>
        <w:rPr>
          <w:rFonts w:ascii="宋体" w:hAnsi="宋体" w:cs="宋体"/>
          <w:sz w:val="24"/>
        </w:rPr>
      </w:pPr>
      <w:r>
        <w:rPr>
          <w:rFonts w:hint="eastAsia" w:ascii="宋体" w:hAnsi="宋体" w:cs="宋体"/>
          <w:sz w:val="24"/>
        </w:rPr>
        <w:t>（3）乙方要把到货清单的电子清单及时发给甲方，报账之前统计该批次到货率和未到图书清单盖章后发给甲方。</w:t>
      </w:r>
    </w:p>
    <w:p w14:paraId="430CF722">
      <w:pPr>
        <w:snapToGrid w:val="0"/>
        <w:spacing w:line="360" w:lineRule="auto"/>
        <w:ind w:firstLine="360" w:firstLineChars="150"/>
        <w:rPr>
          <w:rFonts w:ascii="宋体" w:hAnsi="宋体" w:cs="宋体"/>
          <w:sz w:val="24"/>
        </w:rPr>
      </w:pPr>
      <w:r>
        <w:rPr>
          <w:rFonts w:hint="eastAsia" w:ascii="宋体" w:hAnsi="宋体" w:cs="宋体"/>
          <w:sz w:val="24"/>
        </w:rPr>
        <w:t>（4）乙方在向出版社报送书目之前，应免费向甲方提供所采购图书的采访数据（MARC格式或Excel格式），乙方汇总甲方所提供的采访信息后及时报送到出版社。提供的书目模板为：</w:t>
      </w:r>
    </w:p>
    <w:tbl>
      <w:tblPr>
        <w:tblStyle w:val="9"/>
        <w:tblpPr w:leftFromText="180" w:rightFromText="180" w:vertAnchor="text" w:horzAnchor="page" w:tblpX="1466" w:tblpY="128"/>
        <w:tblOverlap w:val="never"/>
        <w:tblW w:w="0" w:type="auto"/>
        <w:tblInd w:w="0" w:type="dxa"/>
        <w:tblLayout w:type="fixed"/>
        <w:tblCellMar>
          <w:top w:w="0" w:type="dxa"/>
          <w:left w:w="108" w:type="dxa"/>
          <w:bottom w:w="0" w:type="dxa"/>
          <w:right w:w="108" w:type="dxa"/>
        </w:tblCellMar>
      </w:tblPr>
      <w:tblGrid>
        <w:gridCol w:w="660"/>
        <w:gridCol w:w="810"/>
        <w:gridCol w:w="735"/>
        <w:gridCol w:w="780"/>
        <w:gridCol w:w="1155"/>
        <w:gridCol w:w="705"/>
        <w:gridCol w:w="900"/>
        <w:gridCol w:w="930"/>
        <w:gridCol w:w="855"/>
        <w:gridCol w:w="840"/>
        <w:gridCol w:w="705"/>
      </w:tblGrid>
      <w:tr w14:paraId="32B027D9">
        <w:tblPrEx>
          <w:tblCellMar>
            <w:top w:w="0" w:type="dxa"/>
            <w:left w:w="108" w:type="dxa"/>
            <w:bottom w:w="0" w:type="dxa"/>
            <w:right w:w="108" w:type="dxa"/>
          </w:tblCellMar>
        </w:tblPrEx>
        <w:trPr>
          <w:trHeight w:val="270" w:hRule="atLeast"/>
        </w:trPr>
        <w:tc>
          <w:tcPr>
            <w:tcW w:w="660" w:type="dxa"/>
            <w:tcBorders>
              <w:top w:val="nil"/>
              <w:left w:val="nil"/>
              <w:bottom w:val="nil"/>
              <w:right w:val="nil"/>
            </w:tcBorders>
            <w:noWrap/>
            <w:vAlign w:val="center"/>
          </w:tcPr>
          <w:p w14:paraId="6371B0B6">
            <w:pPr>
              <w:widowControl/>
              <w:spacing w:line="360" w:lineRule="auto"/>
              <w:jc w:val="left"/>
              <w:textAlignment w:val="center"/>
              <w:rPr>
                <w:rFonts w:ascii="宋体" w:hAnsi="宋体" w:cs="宋体"/>
                <w:sz w:val="24"/>
              </w:rPr>
            </w:pPr>
            <w:r>
              <w:rPr>
                <w:rFonts w:hint="eastAsia" w:ascii="宋体" w:hAnsi="宋体" w:cs="宋体"/>
                <w:kern w:val="0"/>
                <w:sz w:val="24"/>
                <w:lang w:bidi="ar"/>
              </w:rPr>
              <w:t>ISBN</w:t>
            </w:r>
          </w:p>
        </w:tc>
        <w:tc>
          <w:tcPr>
            <w:tcW w:w="810" w:type="dxa"/>
            <w:tcBorders>
              <w:top w:val="nil"/>
              <w:left w:val="nil"/>
              <w:bottom w:val="nil"/>
              <w:right w:val="nil"/>
            </w:tcBorders>
            <w:noWrap/>
            <w:vAlign w:val="center"/>
          </w:tcPr>
          <w:p w14:paraId="1B951C66">
            <w:pPr>
              <w:widowControl/>
              <w:spacing w:line="360" w:lineRule="auto"/>
              <w:jc w:val="left"/>
              <w:textAlignment w:val="center"/>
              <w:rPr>
                <w:rFonts w:ascii="宋体" w:hAnsi="宋体" w:cs="宋体"/>
                <w:sz w:val="24"/>
              </w:rPr>
            </w:pPr>
            <w:r>
              <w:rPr>
                <w:rFonts w:hint="eastAsia" w:ascii="宋体" w:hAnsi="宋体" w:cs="宋体"/>
                <w:kern w:val="0"/>
                <w:sz w:val="24"/>
                <w:lang w:bidi="ar"/>
              </w:rPr>
              <w:t>题名</w:t>
            </w:r>
          </w:p>
        </w:tc>
        <w:tc>
          <w:tcPr>
            <w:tcW w:w="735" w:type="dxa"/>
            <w:tcBorders>
              <w:top w:val="nil"/>
              <w:left w:val="nil"/>
              <w:bottom w:val="nil"/>
              <w:right w:val="nil"/>
            </w:tcBorders>
            <w:noWrap/>
            <w:vAlign w:val="center"/>
          </w:tcPr>
          <w:p w14:paraId="426F2635">
            <w:pPr>
              <w:widowControl/>
              <w:spacing w:line="360" w:lineRule="auto"/>
              <w:jc w:val="left"/>
              <w:textAlignment w:val="center"/>
              <w:rPr>
                <w:rFonts w:ascii="宋体" w:hAnsi="宋体" w:cs="宋体"/>
                <w:sz w:val="24"/>
              </w:rPr>
            </w:pPr>
            <w:r>
              <w:rPr>
                <w:rFonts w:hint="eastAsia" w:ascii="宋体" w:hAnsi="宋体" w:cs="宋体"/>
                <w:kern w:val="0"/>
                <w:sz w:val="24"/>
                <w:lang w:bidi="ar"/>
              </w:rPr>
              <w:t>著者</w:t>
            </w:r>
          </w:p>
        </w:tc>
        <w:tc>
          <w:tcPr>
            <w:tcW w:w="780" w:type="dxa"/>
            <w:tcBorders>
              <w:top w:val="nil"/>
              <w:left w:val="nil"/>
              <w:bottom w:val="nil"/>
              <w:right w:val="nil"/>
            </w:tcBorders>
            <w:noWrap/>
            <w:vAlign w:val="center"/>
          </w:tcPr>
          <w:p w14:paraId="3D199F16">
            <w:pPr>
              <w:widowControl/>
              <w:spacing w:line="360" w:lineRule="auto"/>
              <w:jc w:val="left"/>
              <w:textAlignment w:val="center"/>
              <w:rPr>
                <w:rFonts w:ascii="宋体" w:hAnsi="宋体" w:cs="宋体"/>
                <w:sz w:val="24"/>
              </w:rPr>
            </w:pPr>
            <w:r>
              <w:rPr>
                <w:rFonts w:hint="eastAsia" w:ascii="宋体" w:hAnsi="宋体" w:cs="宋体"/>
                <w:kern w:val="0"/>
                <w:sz w:val="24"/>
                <w:lang w:bidi="ar"/>
              </w:rPr>
              <w:t>出版时间</w:t>
            </w:r>
          </w:p>
        </w:tc>
        <w:tc>
          <w:tcPr>
            <w:tcW w:w="1155" w:type="dxa"/>
            <w:tcBorders>
              <w:top w:val="nil"/>
              <w:left w:val="nil"/>
              <w:bottom w:val="nil"/>
              <w:right w:val="nil"/>
            </w:tcBorders>
            <w:noWrap/>
            <w:vAlign w:val="center"/>
          </w:tcPr>
          <w:p w14:paraId="1AF8F50C">
            <w:pPr>
              <w:widowControl/>
              <w:spacing w:line="360" w:lineRule="auto"/>
              <w:jc w:val="left"/>
              <w:textAlignment w:val="center"/>
              <w:rPr>
                <w:rFonts w:ascii="宋体" w:hAnsi="宋体" w:cs="宋体"/>
                <w:sz w:val="24"/>
              </w:rPr>
            </w:pPr>
            <w:r>
              <w:rPr>
                <w:rFonts w:hint="eastAsia" w:ascii="宋体" w:hAnsi="宋体" w:cs="宋体"/>
                <w:kern w:val="0"/>
                <w:sz w:val="24"/>
                <w:lang w:bidi="ar"/>
              </w:rPr>
              <w:t>出版单位</w:t>
            </w:r>
          </w:p>
        </w:tc>
        <w:tc>
          <w:tcPr>
            <w:tcW w:w="705" w:type="dxa"/>
            <w:tcBorders>
              <w:top w:val="nil"/>
              <w:left w:val="nil"/>
              <w:bottom w:val="nil"/>
              <w:right w:val="nil"/>
            </w:tcBorders>
            <w:noWrap/>
            <w:vAlign w:val="center"/>
          </w:tcPr>
          <w:p w14:paraId="5BDD8FF8">
            <w:pPr>
              <w:widowControl/>
              <w:spacing w:line="360" w:lineRule="auto"/>
              <w:jc w:val="left"/>
              <w:textAlignment w:val="center"/>
              <w:rPr>
                <w:rFonts w:ascii="宋体" w:hAnsi="宋体" w:cs="宋体"/>
                <w:sz w:val="24"/>
              </w:rPr>
            </w:pPr>
            <w:r>
              <w:rPr>
                <w:rFonts w:hint="eastAsia" w:ascii="宋体" w:hAnsi="宋体" w:cs="宋体"/>
                <w:kern w:val="0"/>
                <w:sz w:val="24"/>
                <w:lang w:bidi="ar"/>
              </w:rPr>
              <w:t>定价</w:t>
            </w:r>
          </w:p>
        </w:tc>
        <w:tc>
          <w:tcPr>
            <w:tcW w:w="900" w:type="dxa"/>
            <w:tcBorders>
              <w:top w:val="nil"/>
              <w:left w:val="nil"/>
              <w:bottom w:val="nil"/>
              <w:right w:val="nil"/>
            </w:tcBorders>
            <w:noWrap/>
            <w:vAlign w:val="center"/>
          </w:tcPr>
          <w:p w14:paraId="5DE9094A">
            <w:pPr>
              <w:widowControl/>
              <w:spacing w:line="360" w:lineRule="auto"/>
              <w:jc w:val="left"/>
              <w:textAlignment w:val="center"/>
              <w:rPr>
                <w:rFonts w:ascii="宋体" w:hAnsi="宋体" w:cs="宋体"/>
                <w:sz w:val="24"/>
              </w:rPr>
            </w:pPr>
            <w:r>
              <w:rPr>
                <w:rFonts w:hint="eastAsia" w:ascii="宋体" w:hAnsi="宋体" w:cs="宋体"/>
                <w:kern w:val="0"/>
                <w:sz w:val="24"/>
                <w:lang w:bidi="ar"/>
              </w:rPr>
              <w:t>数量</w:t>
            </w:r>
          </w:p>
        </w:tc>
        <w:tc>
          <w:tcPr>
            <w:tcW w:w="930" w:type="dxa"/>
            <w:tcBorders>
              <w:top w:val="nil"/>
              <w:left w:val="nil"/>
              <w:bottom w:val="nil"/>
              <w:right w:val="nil"/>
            </w:tcBorders>
            <w:noWrap/>
            <w:vAlign w:val="center"/>
          </w:tcPr>
          <w:p w14:paraId="501640D0">
            <w:pPr>
              <w:widowControl/>
              <w:spacing w:line="360" w:lineRule="auto"/>
              <w:jc w:val="left"/>
              <w:textAlignment w:val="center"/>
              <w:rPr>
                <w:rFonts w:ascii="宋体" w:hAnsi="宋体" w:cs="宋体"/>
                <w:sz w:val="24"/>
              </w:rPr>
            </w:pPr>
            <w:r>
              <w:rPr>
                <w:rFonts w:hint="eastAsia" w:ascii="宋体" w:hAnsi="宋体" w:cs="宋体"/>
                <w:kern w:val="0"/>
                <w:sz w:val="24"/>
                <w:lang w:bidi="ar"/>
              </w:rPr>
              <w:t>分类号</w:t>
            </w:r>
          </w:p>
        </w:tc>
        <w:tc>
          <w:tcPr>
            <w:tcW w:w="855" w:type="dxa"/>
            <w:tcBorders>
              <w:top w:val="nil"/>
              <w:left w:val="nil"/>
              <w:bottom w:val="nil"/>
              <w:right w:val="nil"/>
            </w:tcBorders>
            <w:noWrap/>
            <w:vAlign w:val="center"/>
          </w:tcPr>
          <w:p w14:paraId="00C138BE">
            <w:pPr>
              <w:widowControl/>
              <w:spacing w:line="360" w:lineRule="auto"/>
              <w:jc w:val="left"/>
              <w:textAlignment w:val="center"/>
              <w:rPr>
                <w:rFonts w:ascii="宋体" w:hAnsi="宋体" w:cs="宋体"/>
                <w:sz w:val="24"/>
              </w:rPr>
            </w:pPr>
            <w:r>
              <w:rPr>
                <w:rFonts w:hint="eastAsia" w:ascii="宋体" w:hAnsi="宋体" w:cs="宋体"/>
                <w:kern w:val="0"/>
                <w:sz w:val="24"/>
                <w:lang w:bidi="ar"/>
              </w:rPr>
              <w:t>内容简介</w:t>
            </w:r>
          </w:p>
        </w:tc>
        <w:tc>
          <w:tcPr>
            <w:tcW w:w="840" w:type="dxa"/>
            <w:tcBorders>
              <w:top w:val="nil"/>
              <w:left w:val="nil"/>
              <w:bottom w:val="nil"/>
              <w:right w:val="nil"/>
            </w:tcBorders>
            <w:noWrap/>
            <w:vAlign w:val="center"/>
          </w:tcPr>
          <w:p w14:paraId="0FAA87F3">
            <w:pPr>
              <w:widowControl/>
              <w:spacing w:line="360" w:lineRule="auto"/>
              <w:jc w:val="left"/>
              <w:textAlignment w:val="center"/>
              <w:rPr>
                <w:rFonts w:ascii="宋体" w:hAnsi="宋体" w:cs="宋体"/>
                <w:sz w:val="24"/>
              </w:rPr>
            </w:pPr>
            <w:r>
              <w:rPr>
                <w:rFonts w:hint="eastAsia" w:ascii="宋体" w:hAnsi="宋体" w:cs="宋体"/>
                <w:kern w:val="0"/>
                <w:sz w:val="24"/>
                <w:lang w:bidi="ar"/>
              </w:rPr>
              <w:t>读者对象</w:t>
            </w:r>
          </w:p>
        </w:tc>
        <w:tc>
          <w:tcPr>
            <w:tcW w:w="705" w:type="dxa"/>
            <w:tcBorders>
              <w:top w:val="nil"/>
              <w:left w:val="nil"/>
              <w:bottom w:val="nil"/>
              <w:right w:val="nil"/>
            </w:tcBorders>
            <w:noWrap/>
            <w:vAlign w:val="center"/>
          </w:tcPr>
          <w:p w14:paraId="1C2E2E3A">
            <w:pPr>
              <w:widowControl/>
              <w:spacing w:line="360" w:lineRule="auto"/>
              <w:jc w:val="left"/>
              <w:textAlignment w:val="center"/>
              <w:rPr>
                <w:rFonts w:ascii="宋体" w:hAnsi="宋体" w:cs="宋体"/>
                <w:sz w:val="24"/>
              </w:rPr>
            </w:pPr>
            <w:r>
              <w:rPr>
                <w:rFonts w:hint="eastAsia" w:ascii="宋体" w:hAnsi="宋体" w:cs="宋体"/>
                <w:kern w:val="0"/>
                <w:sz w:val="24"/>
                <w:lang w:bidi="ar"/>
              </w:rPr>
              <w:t>其他</w:t>
            </w:r>
          </w:p>
        </w:tc>
      </w:tr>
    </w:tbl>
    <w:p w14:paraId="2AF57794">
      <w:pPr>
        <w:snapToGrid w:val="0"/>
        <w:spacing w:line="360" w:lineRule="auto"/>
        <w:ind w:firstLine="360" w:firstLineChars="150"/>
        <w:rPr>
          <w:rFonts w:ascii="宋体" w:hAnsi="宋体" w:cs="宋体"/>
          <w:sz w:val="24"/>
        </w:rPr>
      </w:pPr>
    </w:p>
    <w:p w14:paraId="25F92C64">
      <w:pPr>
        <w:snapToGrid w:val="0"/>
        <w:spacing w:line="360" w:lineRule="auto"/>
        <w:ind w:firstLine="360" w:firstLineChars="150"/>
        <w:rPr>
          <w:rFonts w:ascii="宋体" w:hAnsi="宋体" w:cs="宋体"/>
          <w:sz w:val="24"/>
        </w:rPr>
      </w:pPr>
      <w:r>
        <w:rPr>
          <w:rFonts w:hint="eastAsia" w:ascii="宋体" w:hAnsi="宋体" w:cs="宋体"/>
          <w:sz w:val="24"/>
        </w:rPr>
        <w:t>（5）乙方应对甲方实行全方位的服务，如送货上门、残缺调换等。对甲方所订购的图书，送到甲方所指定的地方，否则甲方有权要求退货。</w:t>
      </w:r>
    </w:p>
    <w:p w14:paraId="6328BC53">
      <w:pPr>
        <w:snapToGrid w:val="0"/>
        <w:spacing w:line="360" w:lineRule="auto"/>
        <w:ind w:firstLine="360" w:firstLineChars="150"/>
        <w:rPr>
          <w:rFonts w:ascii="宋体" w:hAnsi="宋体" w:cs="宋体"/>
          <w:sz w:val="24"/>
        </w:rPr>
      </w:pPr>
      <w:r>
        <w:rPr>
          <w:rFonts w:hint="eastAsia" w:ascii="宋体" w:hAnsi="宋体" w:cs="宋体"/>
          <w:sz w:val="24"/>
        </w:rPr>
        <w:t>（6）乙方要严格依照甲方所提供的书目订单组织货源，如确有好书而且甲方没有征订时，乙方应事先征得甲方的许可方可组织货源。</w:t>
      </w:r>
    </w:p>
    <w:p w14:paraId="2CCDA2FE">
      <w:pPr>
        <w:snapToGrid w:val="0"/>
        <w:spacing w:line="540" w:lineRule="exact"/>
        <w:ind w:firstLine="360" w:firstLineChars="150"/>
        <w:rPr>
          <w:rFonts w:ascii="宋体" w:hAnsi="宋体" w:cs="宋体"/>
          <w:color w:val="FF0000"/>
          <w:sz w:val="24"/>
        </w:rPr>
      </w:pPr>
      <w:r>
        <w:rPr>
          <w:rFonts w:hint="eastAsia" w:ascii="宋体" w:hAnsi="宋体" w:cs="宋体"/>
          <w:sz w:val="24"/>
        </w:rPr>
        <w:t>（7）如果有全国性大型图书展销会、全国大型的图书批销中心举办的展销会等，乙方要及时通知甲方，并带领甲方人员到会参加采选活动（合同期内不少于两次外出采选活动）。如遇不可抗拒因素等特殊情况，乙方需采取有效措施，确保新出版的图书目录及时提供给甲方，同时邀请甲方参加全国性的网上图书云采选订购会等，并提供书单整理、查重等服务。外出采选费用（交通、食宿等）由乙方负责。</w:t>
      </w:r>
    </w:p>
    <w:p w14:paraId="67F2BC8B">
      <w:pPr>
        <w:snapToGrid w:val="0"/>
        <w:spacing w:line="360" w:lineRule="auto"/>
        <w:ind w:firstLine="360" w:firstLineChars="150"/>
        <w:rPr>
          <w:rFonts w:ascii="宋体" w:hAnsi="宋体" w:cs="宋体"/>
          <w:sz w:val="24"/>
        </w:rPr>
      </w:pPr>
      <w:r>
        <w:rPr>
          <w:rFonts w:hint="eastAsia" w:ascii="宋体" w:hAnsi="宋体" w:cs="宋体"/>
          <w:sz w:val="24"/>
        </w:rPr>
        <w:t>（8）新书进馆应按批提供进书清单（注明种、册、价格及总金额，一包一清单），按甲方要求打包，贴上标签（注明批次、件数、包号等），送书到指定地点。同种图书必须同批到馆，并放在同一包内，每包图书的种、册、数、金额必须与对应的清单相符，每包图书的封装顺序应与图书清单顺序一致，每批图书种册数、总价必须与汇总单相符。在验收及加工过程中时，如发现缺页、污损以及非甲方所购或重复订购的图书等情况，乙方应予无条件调换或退回，新书发错率应低于3%。</w:t>
      </w:r>
    </w:p>
    <w:p w14:paraId="66380B44">
      <w:pPr>
        <w:snapToGrid w:val="0"/>
        <w:spacing w:line="360" w:lineRule="auto"/>
        <w:ind w:firstLine="360" w:firstLineChars="150"/>
        <w:rPr>
          <w:rFonts w:ascii="宋体" w:hAnsi="宋体" w:cs="宋体"/>
          <w:sz w:val="24"/>
        </w:rPr>
      </w:pPr>
      <w:r>
        <w:rPr>
          <w:rFonts w:hint="eastAsia" w:ascii="宋体" w:hAnsi="宋体" w:cs="宋体"/>
          <w:sz w:val="24"/>
        </w:rPr>
        <w:t>（9）乙方提供图书如不符合甲方的复本及质量要求，包括现采的图书，乙方应无条件负责退换，所退换图书必须按照甲方要求选择，乙方不得自行随意调换。</w:t>
      </w:r>
    </w:p>
    <w:p w14:paraId="0F1529B1">
      <w:pPr>
        <w:snapToGrid w:val="0"/>
        <w:spacing w:line="360" w:lineRule="auto"/>
        <w:ind w:firstLine="360" w:firstLineChars="150"/>
        <w:rPr>
          <w:rFonts w:ascii="宋体" w:hAnsi="宋体" w:cs="宋体"/>
          <w:sz w:val="24"/>
        </w:rPr>
      </w:pPr>
      <w:r>
        <w:rPr>
          <w:rFonts w:hint="eastAsia" w:ascii="宋体" w:hAnsi="宋体" w:cs="宋体"/>
          <w:sz w:val="24"/>
        </w:rPr>
        <w:t>（10）乙方必须按甲方要求上门对所订图书免费提供图书的征订、配送、分编、加工、典藏、送书到各个指定书库及其他服务工作。</w:t>
      </w:r>
    </w:p>
    <w:p w14:paraId="39ED13B0">
      <w:pPr>
        <w:snapToGrid w:val="0"/>
        <w:spacing w:line="360" w:lineRule="auto"/>
        <w:ind w:firstLine="360" w:firstLineChars="150"/>
        <w:rPr>
          <w:rFonts w:ascii="宋体" w:hAnsi="宋体" w:cs="宋体"/>
          <w:sz w:val="24"/>
        </w:rPr>
      </w:pPr>
      <w:r>
        <w:rPr>
          <w:rFonts w:hint="eastAsia" w:ascii="宋体" w:hAnsi="宋体" w:cs="宋体"/>
          <w:sz w:val="24"/>
        </w:rPr>
        <w:t>(11)典藏图书由乙方负责，典藏细则附件3，乙方根据典藏细则从系统中导出入库清单，一式三份，把图书和对应清单（图书摆放和清单顺序要一致，便于验收）分别送到各个指定书库，验收无误后由书库负责人验收签字，一份留在书库，一份交给交采编中心存档，一份由乙方保存。</w:t>
      </w:r>
    </w:p>
    <w:p w14:paraId="57191D1B">
      <w:pPr>
        <w:snapToGrid w:val="0"/>
        <w:spacing w:line="360" w:lineRule="auto"/>
        <w:ind w:firstLine="360" w:firstLineChars="150"/>
        <w:rPr>
          <w:rFonts w:ascii="宋体" w:hAnsi="宋体" w:cs="宋体"/>
          <w:sz w:val="24"/>
        </w:rPr>
      </w:pPr>
      <w:r>
        <w:rPr>
          <w:rFonts w:hint="eastAsia" w:ascii="宋体" w:hAnsi="宋体" w:cs="宋体"/>
          <w:sz w:val="24"/>
        </w:rPr>
        <w:t>（12）在中标周期内乙方须按甲方的要求免费为甲方加工图书1500册，所需耗材则由乙方提供。</w:t>
      </w:r>
    </w:p>
    <w:p w14:paraId="797E6A4C">
      <w:pPr>
        <w:snapToGrid w:val="0"/>
        <w:spacing w:line="360" w:lineRule="auto"/>
        <w:ind w:firstLine="360" w:firstLineChars="150"/>
        <w:rPr>
          <w:rFonts w:ascii="宋体" w:hAnsi="宋体" w:cs="宋体"/>
          <w:sz w:val="24"/>
        </w:rPr>
      </w:pPr>
      <w:r>
        <w:rPr>
          <w:rFonts w:hint="eastAsia" w:ascii="宋体" w:hAnsi="宋体" w:cs="宋体"/>
          <w:sz w:val="24"/>
        </w:rPr>
        <w:t xml:space="preserve">（13）乙方不得向甲方提供不合乎甲方要求的图书（包括残缺图书、盗版图书、反动图书、淫秽图书以及其他不适合甲方读者借阅的图书等），甲方一旦发现这种情况，可要求乙方以该类图书码洋的10至50倍赔款，并随时终止双方合同。  </w:t>
      </w:r>
    </w:p>
    <w:p w14:paraId="01C0EF7B">
      <w:pPr>
        <w:snapToGrid w:val="0"/>
        <w:spacing w:line="360" w:lineRule="auto"/>
        <w:ind w:firstLine="360" w:firstLineChars="150"/>
        <w:rPr>
          <w:rFonts w:ascii="宋体" w:hAnsi="宋体" w:cs="宋体"/>
          <w:sz w:val="24"/>
        </w:rPr>
      </w:pPr>
      <w:r>
        <w:rPr>
          <w:rFonts w:hint="eastAsia" w:ascii="宋体" w:hAnsi="宋体" w:cs="宋体"/>
          <w:sz w:val="24"/>
        </w:rPr>
        <w:t>（14）为保证加工速度，乙方应按照甲方要求准时把订购的图书送到采编中心，并在3-5天之内派人到甲方处进行加工图书，否则将扣除履约保证金1000.00元。</w:t>
      </w:r>
    </w:p>
    <w:p w14:paraId="61AFFD8D">
      <w:pPr>
        <w:snapToGrid w:val="0"/>
        <w:spacing w:line="360" w:lineRule="auto"/>
        <w:ind w:firstLine="360" w:firstLineChars="150"/>
        <w:rPr>
          <w:rFonts w:ascii="宋体" w:hAnsi="宋体" w:cs="宋体"/>
          <w:sz w:val="24"/>
        </w:rPr>
      </w:pPr>
      <w:r>
        <w:rPr>
          <w:rFonts w:hint="eastAsia" w:ascii="宋体" w:hAnsi="宋体" w:cs="宋体"/>
          <w:sz w:val="24"/>
        </w:rPr>
        <w:t>（15）招标折扣在合同执行过程中是固定不变的，不得以任何理由予以变更。但是若出版社促销图书低于中标价时，按出版社最优价供书，不再以合同价结算支付。</w:t>
      </w:r>
    </w:p>
    <w:p w14:paraId="379EE916">
      <w:pPr>
        <w:snapToGrid w:val="0"/>
        <w:spacing w:line="360" w:lineRule="auto"/>
        <w:ind w:firstLine="360" w:firstLineChars="150"/>
        <w:rPr>
          <w:rFonts w:ascii="宋体" w:hAnsi="宋体" w:cs="宋体"/>
          <w:sz w:val="24"/>
        </w:rPr>
      </w:pPr>
      <w:r>
        <w:rPr>
          <w:rFonts w:hint="eastAsia" w:ascii="宋体" w:hAnsi="宋体" w:cs="宋体"/>
          <w:sz w:val="24"/>
        </w:rPr>
        <w:t>（16）乙方必须严格履行投标文件中的各项服务承诺。</w:t>
      </w:r>
    </w:p>
    <w:p w14:paraId="6660B9D2">
      <w:pPr>
        <w:snapToGrid w:val="0"/>
        <w:spacing w:line="360" w:lineRule="auto"/>
        <w:ind w:firstLine="360" w:firstLineChars="150"/>
        <w:rPr>
          <w:rFonts w:ascii="宋体" w:hAnsi="宋体" w:cs="宋体"/>
          <w:sz w:val="24"/>
        </w:rPr>
      </w:pPr>
      <w:r>
        <w:rPr>
          <w:rFonts w:hint="eastAsia" w:ascii="宋体" w:hAnsi="宋体" w:cs="宋体"/>
          <w:sz w:val="24"/>
        </w:rPr>
        <w:t>（17）乙方需协助甲方完成其他图书相关业务。</w:t>
      </w:r>
    </w:p>
    <w:p w14:paraId="27C59C69">
      <w:pPr>
        <w:snapToGrid w:val="0"/>
        <w:spacing w:line="360" w:lineRule="auto"/>
        <w:ind w:firstLine="360" w:firstLineChars="150"/>
        <w:rPr>
          <w:rFonts w:ascii="宋体" w:hAnsi="宋体" w:cs="宋体"/>
          <w:sz w:val="24"/>
        </w:rPr>
      </w:pPr>
      <w:r>
        <w:rPr>
          <w:rFonts w:hint="eastAsia" w:ascii="宋体" w:hAnsi="宋体" w:cs="宋体"/>
          <w:sz w:val="24"/>
        </w:rPr>
        <w:t>（18）在规定时间内，对于甲方下给乙方的订单，乙方需要在配书完毕后把未配到的图书清单发到乙方指定邮箱，同时计算该批图书到货率，一并发给甲方。</w:t>
      </w:r>
    </w:p>
    <w:p w14:paraId="630E29EE">
      <w:pPr>
        <w:snapToGrid w:val="0"/>
        <w:spacing w:line="360" w:lineRule="auto"/>
        <w:ind w:firstLine="360" w:firstLineChars="150"/>
        <w:rPr>
          <w:rFonts w:ascii="宋体" w:hAnsi="宋体" w:cs="宋体"/>
          <w:sz w:val="24"/>
        </w:rPr>
      </w:pPr>
      <w:r>
        <w:rPr>
          <w:rFonts w:hint="eastAsia" w:ascii="宋体" w:hAnsi="宋体" w:cs="宋体"/>
          <w:sz w:val="24"/>
        </w:rPr>
        <w:t>（19）乙方在加工完每一批图书以后，要把入库清单整理成Excel文件，该文件包含索书号、ISBN号、题名、价格、复本数、出版社、出版日期等信息。完成全年的采购任务以后，要把所有批次书目清单数据合并到一个Excel文件中。</w:t>
      </w:r>
    </w:p>
    <w:p w14:paraId="316B7BBC">
      <w:pPr>
        <w:snapToGrid w:val="0"/>
        <w:spacing w:line="360" w:lineRule="auto"/>
        <w:ind w:firstLine="482" w:firstLineChars="200"/>
        <w:outlineLvl w:val="0"/>
        <w:rPr>
          <w:rFonts w:ascii="宋体" w:hAnsi="宋体" w:cs="宋体"/>
          <w:b/>
          <w:bCs/>
          <w:sz w:val="24"/>
        </w:rPr>
      </w:pPr>
      <w:r>
        <w:rPr>
          <w:rFonts w:hint="eastAsia" w:ascii="宋体" w:hAnsi="宋体" w:cs="宋体"/>
          <w:b/>
          <w:bCs/>
          <w:sz w:val="24"/>
        </w:rPr>
        <w:t>二、违约责任</w:t>
      </w:r>
    </w:p>
    <w:p w14:paraId="0376A0D6">
      <w:pPr>
        <w:snapToGrid w:val="0"/>
        <w:spacing w:line="360" w:lineRule="auto"/>
        <w:ind w:firstLine="360" w:firstLineChars="150"/>
        <w:rPr>
          <w:rFonts w:ascii="宋体" w:hAnsi="宋体" w:cs="宋体"/>
          <w:sz w:val="24"/>
        </w:rPr>
      </w:pPr>
      <w:r>
        <w:rPr>
          <w:rFonts w:hint="eastAsia" w:ascii="宋体" w:hAnsi="宋体" w:cs="宋体"/>
          <w:sz w:val="24"/>
        </w:rPr>
        <w:t>（1）乙方在签订合同前必须向甲方指定账户交纳履约保证金</w:t>
      </w:r>
      <w:r>
        <w:rPr>
          <w:rFonts w:hint="eastAsia" w:ascii="宋体" w:hAnsi="宋体" w:cs="宋体"/>
          <w:b/>
          <w:bCs/>
          <w:sz w:val="24"/>
        </w:rPr>
        <w:t>叁</w:t>
      </w:r>
      <w:r>
        <w:rPr>
          <w:rFonts w:hint="eastAsia" w:ascii="宋体" w:hAnsi="宋体" w:cs="宋体"/>
          <w:sz w:val="24"/>
        </w:rPr>
        <w:t>万元整。</w:t>
      </w:r>
    </w:p>
    <w:p w14:paraId="7904D46E">
      <w:pPr>
        <w:snapToGrid w:val="0"/>
        <w:spacing w:line="360" w:lineRule="auto"/>
        <w:ind w:firstLine="360" w:firstLineChars="150"/>
        <w:rPr>
          <w:rFonts w:ascii="宋体" w:hAnsi="宋体" w:cs="宋体"/>
          <w:sz w:val="24"/>
        </w:rPr>
      </w:pPr>
      <w:r>
        <w:rPr>
          <w:rFonts w:hint="eastAsia" w:ascii="宋体" w:hAnsi="宋体" w:cs="宋体"/>
          <w:sz w:val="24"/>
        </w:rPr>
        <w:t>（2）乙方应在规定时间内完成甲方所需图书，若二个月之内订单采购图书到货率不能达到90%，现场采购图书到货率不能达到95%以上，在规定的时间内如未达到规定的到货率，每低于规定到货率的0.5%，将扣除履约保证金的10%；低于4%，扣除全部履约保证金。</w:t>
      </w:r>
    </w:p>
    <w:p w14:paraId="495683FC">
      <w:pPr>
        <w:snapToGrid w:val="0"/>
        <w:spacing w:line="360" w:lineRule="auto"/>
        <w:ind w:firstLine="360" w:firstLineChars="150"/>
        <w:rPr>
          <w:rFonts w:ascii="宋体" w:hAnsi="宋体" w:cs="宋体"/>
          <w:sz w:val="24"/>
        </w:rPr>
      </w:pPr>
      <w:r>
        <w:rPr>
          <w:rFonts w:hint="eastAsia" w:ascii="宋体" w:hAnsi="宋体" w:cs="宋体"/>
          <w:sz w:val="24"/>
        </w:rPr>
        <w:t>（3）乙方的数据加工人员，如果不能按照甲方的要求提供相应的服务，因为数据问题出现延误甲方工作进度，乙方应向甲方缴纳该批货款的1%作为违约金。</w:t>
      </w:r>
    </w:p>
    <w:p w14:paraId="1712367D">
      <w:pPr>
        <w:snapToGrid w:val="0"/>
        <w:spacing w:line="360" w:lineRule="auto"/>
        <w:ind w:firstLine="360" w:firstLineChars="150"/>
        <w:rPr>
          <w:rFonts w:ascii="宋体" w:hAnsi="宋体" w:cs="宋体"/>
          <w:sz w:val="24"/>
        </w:rPr>
      </w:pPr>
      <w:r>
        <w:rPr>
          <w:rFonts w:hint="eastAsia" w:ascii="宋体" w:hAnsi="宋体" w:cs="宋体"/>
          <w:sz w:val="24"/>
        </w:rPr>
        <w:t>（4）乙方须向甲方提供至少2名固定的具有编目员证的或技术能力强的数据加工人员，如在甲方不知情的情况下，更换数据加工人员，并因此造成严重的工作失误，甲方有权利终止下一次的合作，或者下一次即使乙方中标，甲方有权利降低乙方中标折扣的一个点，作为违约金。</w:t>
      </w:r>
    </w:p>
    <w:p w14:paraId="30C10804">
      <w:pPr>
        <w:snapToGrid w:val="0"/>
        <w:spacing w:line="360" w:lineRule="auto"/>
        <w:ind w:firstLine="360" w:firstLineChars="150"/>
        <w:rPr>
          <w:rFonts w:ascii="宋体" w:hAnsi="宋体" w:cs="宋体"/>
          <w:sz w:val="24"/>
        </w:rPr>
      </w:pPr>
      <w:r>
        <w:rPr>
          <w:rFonts w:hint="eastAsia" w:ascii="宋体" w:hAnsi="宋体" w:cs="宋体"/>
          <w:sz w:val="24"/>
        </w:rPr>
        <w:t>（5）合同期结束后，乙方要积极到甲方所在学校，由甲方出示履约情况证明后，自行办理退还履约保证金手续。</w:t>
      </w:r>
    </w:p>
    <w:p w14:paraId="785D5A8A">
      <w:pPr>
        <w:snapToGrid w:val="0"/>
        <w:spacing w:line="360" w:lineRule="auto"/>
        <w:ind w:firstLine="361" w:firstLineChars="150"/>
        <w:rPr>
          <w:rFonts w:ascii="宋体" w:hAnsi="宋体" w:cs="宋体"/>
          <w:b/>
          <w:bCs/>
          <w:sz w:val="24"/>
        </w:rPr>
      </w:pPr>
      <w:r>
        <w:rPr>
          <w:rFonts w:hint="eastAsia" w:ascii="宋体" w:hAnsi="宋体" w:cs="宋体"/>
          <w:b/>
          <w:bCs/>
          <w:sz w:val="24"/>
        </w:rPr>
        <w:t xml:space="preserve"> 三、合同的解除</w:t>
      </w:r>
    </w:p>
    <w:p w14:paraId="30675F36">
      <w:pPr>
        <w:snapToGrid w:val="0"/>
        <w:spacing w:line="360" w:lineRule="auto"/>
        <w:ind w:firstLine="360" w:firstLineChars="150"/>
        <w:rPr>
          <w:rFonts w:ascii="宋体" w:hAnsi="宋体" w:cs="宋体"/>
          <w:sz w:val="24"/>
        </w:rPr>
      </w:pPr>
      <w:r>
        <w:rPr>
          <w:rFonts w:hint="eastAsia" w:ascii="宋体" w:hAnsi="宋体" w:cs="宋体"/>
          <w:sz w:val="24"/>
        </w:rPr>
        <w:t>（1）乙方在合同约定期限内不能履行合同（不向甲方提供图书）或者不能完全履行合同（已出版图书到货率低于规定到货率），或者延迟履行经催告后仍未履行，甲方有权单方面解除合同。解除合同时应通知乙方，在通知到达时合同即告结束。</w:t>
      </w:r>
    </w:p>
    <w:p w14:paraId="08BC76DC">
      <w:pPr>
        <w:snapToGrid w:val="0"/>
        <w:spacing w:line="360" w:lineRule="auto"/>
        <w:ind w:firstLine="360" w:firstLineChars="150"/>
        <w:rPr>
          <w:rFonts w:ascii="宋体" w:hAnsi="宋体" w:cs="宋体"/>
          <w:sz w:val="24"/>
        </w:rPr>
      </w:pPr>
      <w:r>
        <w:rPr>
          <w:rFonts w:hint="eastAsia" w:ascii="宋体" w:hAnsi="宋体" w:cs="宋体"/>
          <w:sz w:val="24"/>
        </w:rPr>
        <w:t>（2）甲方在合同约定期限内不履行合同（无正当理由拒收、拒付）或者不完全履行合同，或者延迟履行经催告后仍未履行，乙方有权单方面解除合同。解除合同时应通知甲方，在通知到达时合同即告结束。</w:t>
      </w:r>
    </w:p>
    <w:p w14:paraId="41287A0A">
      <w:pPr>
        <w:spacing w:line="360" w:lineRule="auto"/>
        <w:ind w:firstLine="472" w:firstLineChars="196"/>
        <w:rPr>
          <w:rFonts w:ascii="宋体" w:hAnsi="宋体" w:cs="宋体"/>
          <w:b/>
          <w:bCs/>
          <w:sz w:val="24"/>
        </w:rPr>
      </w:pPr>
      <w:r>
        <w:rPr>
          <w:rFonts w:hint="eastAsia" w:ascii="宋体" w:hAnsi="宋体" w:cs="宋体"/>
          <w:b/>
          <w:bCs/>
          <w:sz w:val="24"/>
        </w:rPr>
        <w:t>四、结算</w:t>
      </w:r>
    </w:p>
    <w:p w14:paraId="48DE9A3D">
      <w:pPr>
        <w:snapToGrid w:val="0"/>
        <w:spacing w:line="360" w:lineRule="auto"/>
        <w:rPr>
          <w:rFonts w:ascii="宋体" w:hAnsi="宋体" w:cs="宋体"/>
          <w:sz w:val="24"/>
        </w:rPr>
      </w:pPr>
      <w:r>
        <w:rPr>
          <w:rFonts w:hint="eastAsia" w:ascii="宋体" w:hAnsi="宋体" w:cs="宋体"/>
          <w:sz w:val="24"/>
        </w:rPr>
        <w:t xml:space="preserve">    1.优惠或让利：对于甲方所订图书，乙方一律给予</w:t>
      </w:r>
      <w:r>
        <w:rPr>
          <w:rFonts w:ascii="宋体" w:hAnsi="宋体" w:cs="宋体"/>
          <w:b/>
          <w:bCs/>
          <w:sz w:val="24"/>
          <w:u w:val="single"/>
        </w:rPr>
        <w:t>70</w:t>
      </w:r>
      <w:r>
        <w:rPr>
          <w:rFonts w:hint="eastAsia" w:ascii="宋体" w:hAnsi="宋体" w:cs="宋体"/>
          <w:b/>
          <w:bCs/>
          <w:sz w:val="24"/>
          <w:u w:val="single"/>
        </w:rPr>
        <w:t>%</w:t>
      </w:r>
      <w:r>
        <w:rPr>
          <w:rFonts w:hint="eastAsia" w:ascii="宋体" w:hAnsi="宋体" w:cs="宋体"/>
          <w:sz w:val="24"/>
        </w:rPr>
        <w:t>的优惠或让利。本合同金额为：人民币</w:t>
      </w:r>
      <w:r>
        <w:rPr>
          <w:rFonts w:ascii="宋体" w:hAnsi="宋体" w:cs="宋体"/>
          <w:b/>
          <w:bCs/>
          <w:sz w:val="24"/>
          <w:u w:val="single"/>
        </w:rPr>
        <w:t>800000</w:t>
      </w:r>
      <w:r>
        <w:rPr>
          <w:rFonts w:hint="eastAsia" w:ascii="宋体" w:hAnsi="宋体" w:cs="宋体"/>
          <w:b/>
          <w:bCs/>
          <w:sz w:val="24"/>
          <w:u w:val="single"/>
        </w:rPr>
        <w:t>元（ 大写：捌拾万元整）</w:t>
      </w:r>
      <w:r>
        <w:rPr>
          <w:rFonts w:hint="eastAsia" w:ascii="宋体" w:hAnsi="宋体" w:cs="宋体"/>
          <w:sz w:val="24"/>
        </w:rPr>
        <w:t>。</w:t>
      </w:r>
    </w:p>
    <w:p w14:paraId="1ECFF060">
      <w:pPr>
        <w:spacing w:line="360" w:lineRule="auto"/>
        <w:ind w:firstLine="480" w:firstLineChars="200"/>
        <w:rPr>
          <w:rFonts w:ascii="宋体" w:hAnsi="宋体" w:cs="宋体"/>
          <w:sz w:val="24"/>
        </w:rPr>
      </w:pPr>
      <w:r>
        <w:rPr>
          <w:rFonts w:hint="eastAsia" w:ascii="宋体" w:hAnsi="宋体" w:cs="宋体"/>
          <w:sz w:val="24"/>
        </w:rPr>
        <w:t>2.在结算过程中，经甲方验收合格后，乙方应严格按照国家的有关规定开具发票，应在同一张发票上反映某批图书的实际码洋、销售折扣、应支付的金额等三项内容，并出具发票真伪证明，同时还要附上该批图书的清单并加盖公司印章。甲方收到发票后，以税后应支付的金额给乙方结账。结算方式上，在招标文件的各项条款基础上，乙方充分考虑甲方的实际情况，结算期限可延长5个月。如有特殊需要结算期限可协商解决。</w:t>
      </w:r>
    </w:p>
    <w:p w14:paraId="2A456107">
      <w:pPr>
        <w:spacing w:line="360" w:lineRule="auto"/>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付款方式：乙方加工完毕的图书经甲方验收合格入库后，甲方按中标折扣结算，分批次全额付款。</w:t>
      </w:r>
    </w:p>
    <w:p w14:paraId="42A80E54">
      <w:pPr>
        <w:pStyle w:val="2"/>
        <w:spacing w:line="360" w:lineRule="auto"/>
        <w:ind w:firstLine="480" w:firstLineChars="200"/>
        <w:rPr>
          <w:rFonts w:ascii="宋体" w:hAnsi="宋体" w:eastAsia="宋体" w:cs="宋体"/>
          <w:sz w:val="24"/>
        </w:rPr>
      </w:pPr>
      <w:r>
        <w:rPr>
          <w:rFonts w:hint="eastAsia" w:ascii="宋体" w:hAnsi="宋体" w:eastAsia="宋体" w:cs="宋体"/>
          <w:sz w:val="24"/>
        </w:rPr>
        <w:t>4.乙方信息</w:t>
      </w:r>
    </w:p>
    <w:p w14:paraId="443A7C9D">
      <w:pPr>
        <w:pStyle w:val="15"/>
        <w:snapToGrid w:val="0"/>
        <w:spacing w:line="360" w:lineRule="auto"/>
        <w:ind w:firstLine="480" w:firstLineChars="200"/>
        <w:rPr>
          <w:rFonts w:hAnsi="宋体" w:eastAsia="宋体"/>
          <w:color w:val="auto"/>
        </w:rPr>
      </w:pPr>
      <w:r>
        <w:rPr>
          <w:rFonts w:hint="eastAsia" w:hAnsi="宋体" w:eastAsia="宋体"/>
          <w:color w:val="auto"/>
        </w:rPr>
        <w:t>公司名称：北京人天书店集团股份有限公司</w:t>
      </w:r>
    </w:p>
    <w:p w14:paraId="12CB738C">
      <w:pPr>
        <w:pStyle w:val="16"/>
        <w:adjustRightInd w:val="0"/>
        <w:snapToGrid w:val="0"/>
        <w:spacing w:line="360" w:lineRule="auto"/>
        <w:ind w:firstLine="480" w:firstLineChars="200"/>
        <w:rPr>
          <w:rFonts w:ascii="宋体" w:hAnsi="宋体" w:cs="宋体"/>
          <w:sz w:val="24"/>
        </w:rPr>
      </w:pPr>
      <w:r>
        <w:rPr>
          <w:rFonts w:hint="eastAsia" w:ascii="宋体" w:hAnsi="宋体" w:cs="宋体"/>
          <w:sz w:val="24"/>
        </w:rPr>
        <w:t>开户行：招商银行股份有限公司北京金融街支行</w:t>
      </w:r>
    </w:p>
    <w:p w14:paraId="221C738A">
      <w:pPr>
        <w:pStyle w:val="17"/>
        <w:adjustRightInd w:val="0"/>
        <w:snapToGrid w:val="0"/>
        <w:spacing w:before="0" w:after="0" w:line="360" w:lineRule="auto"/>
        <w:ind w:firstLine="480" w:firstLineChars="200"/>
        <w:jc w:val="left"/>
        <w:rPr>
          <w:rFonts w:hAnsi="宋体" w:cs="宋体"/>
        </w:rPr>
      </w:pPr>
      <w:r>
        <w:rPr>
          <w:rFonts w:hint="eastAsia" w:hAnsi="宋体" w:cs="宋体"/>
        </w:rPr>
        <w:t>账号：</w:t>
      </w:r>
      <w:r>
        <w:rPr>
          <w:rFonts w:hAnsi="宋体" w:cs="宋体"/>
        </w:rPr>
        <w:t>110906865910506</w:t>
      </w:r>
    </w:p>
    <w:p w14:paraId="53A837D2">
      <w:pPr>
        <w:spacing w:line="360" w:lineRule="auto"/>
        <w:rPr>
          <w:rFonts w:hint="eastAsia" w:ascii="宋体" w:hAnsi="宋体" w:cs="宋体"/>
          <w:sz w:val="24"/>
        </w:rPr>
      </w:pPr>
      <w:r>
        <w:rPr>
          <w:rFonts w:hint="eastAsia" w:ascii="宋体" w:hAnsi="宋体" w:cs="宋体"/>
          <w:sz w:val="24"/>
        </w:rPr>
        <w:drawing>
          <wp:inline distT="0" distB="0" distL="114300" distR="114300">
            <wp:extent cx="5269230" cy="7361555"/>
            <wp:effectExtent l="0" t="0" r="7620" b="10795"/>
            <wp:docPr id="1" name="图片 1" descr="北京人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京人天"/>
                    <pic:cNvPicPr>
                      <a:picLocks noChangeAspect="1"/>
                    </pic:cNvPicPr>
                  </pic:nvPicPr>
                  <pic:blipFill>
                    <a:blip r:embed="rId4"/>
                    <a:stretch>
                      <a:fillRect/>
                    </a:stretch>
                  </pic:blipFill>
                  <pic:spPr>
                    <a:xfrm>
                      <a:off x="0" y="0"/>
                      <a:ext cx="5269230" cy="7361555"/>
                    </a:xfrm>
                    <a:prstGeom prst="rect">
                      <a:avLst/>
                    </a:prstGeom>
                  </pic:spPr>
                </pic:pic>
              </a:graphicData>
            </a:graphic>
          </wp:inline>
        </w:drawing>
      </w:r>
    </w:p>
    <w:p w14:paraId="7CC40C02">
      <w:pPr>
        <w:rPr>
          <w:rFonts w:hint="eastAsia" w:ascii="宋体" w:hAnsi="宋体" w:cs="宋体"/>
          <w:sz w:val="24"/>
        </w:rPr>
      </w:pPr>
      <w:r>
        <w:rPr>
          <w:rFonts w:hint="eastAsia" w:ascii="宋体" w:hAnsi="宋体" w:cs="宋体"/>
          <w:sz w:val="24"/>
        </w:rPr>
        <w:br w:type="page"/>
      </w:r>
    </w:p>
    <w:p w14:paraId="57B8A486">
      <w:pPr>
        <w:spacing w:line="360" w:lineRule="auto"/>
        <w:rPr>
          <w:rFonts w:ascii="宋体" w:hAnsi="宋体" w:cs="宋体"/>
        </w:rPr>
      </w:pPr>
      <w:bookmarkStart w:id="0" w:name="_GoBack"/>
      <w:bookmarkEnd w:id="0"/>
      <w:r>
        <w:rPr>
          <w:rFonts w:hint="eastAsia" w:ascii="宋体" w:hAnsi="宋体" w:cs="宋体"/>
          <w:b/>
          <w:sz w:val="28"/>
          <w:szCs w:val="28"/>
        </w:rPr>
        <w:t>附件1.</w:t>
      </w:r>
    </w:p>
    <w:p w14:paraId="618C8B6F">
      <w:pPr>
        <w:spacing w:line="360" w:lineRule="auto"/>
        <w:jc w:val="center"/>
        <w:rPr>
          <w:rFonts w:ascii="宋体" w:hAnsi="宋体" w:cs="宋体"/>
          <w:b/>
          <w:sz w:val="28"/>
          <w:szCs w:val="28"/>
        </w:rPr>
      </w:pPr>
      <w:r>
        <w:rPr>
          <w:rFonts w:hint="eastAsia" w:ascii="宋体" w:hAnsi="宋体" w:cs="宋体"/>
          <w:b/>
          <w:sz w:val="28"/>
          <w:szCs w:val="28"/>
        </w:rPr>
        <w:t xml:space="preserve"> 河南大学图书采购加工协议</w:t>
      </w:r>
    </w:p>
    <w:p w14:paraId="66797149">
      <w:pPr>
        <w:spacing w:line="360" w:lineRule="auto"/>
        <w:rPr>
          <w:rFonts w:ascii="宋体" w:hAnsi="宋体" w:cs="宋体"/>
          <w:kern w:val="0"/>
          <w:sz w:val="24"/>
        </w:rPr>
      </w:pPr>
      <w:r>
        <w:rPr>
          <w:rFonts w:hint="eastAsia" w:ascii="宋体" w:hAnsi="宋体" w:cs="宋体"/>
          <w:kern w:val="0"/>
          <w:sz w:val="24"/>
        </w:rPr>
        <w:t>甲方：河南大学</w:t>
      </w:r>
    </w:p>
    <w:p w14:paraId="5BFBF853">
      <w:pPr>
        <w:spacing w:line="360" w:lineRule="auto"/>
        <w:rPr>
          <w:rFonts w:ascii="宋体" w:hAnsi="宋体" w:cs="宋体"/>
          <w:kern w:val="0"/>
          <w:sz w:val="24"/>
        </w:rPr>
      </w:pPr>
      <w:r>
        <w:rPr>
          <w:rFonts w:hint="eastAsia" w:ascii="宋体" w:hAnsi="宋体" w:cs="宋体"/>
          <w:kern w:val="0"/>
          <w:sz w:val="24"/>
        </w:rPr>
        <w:t>乙方：</w:t>
      </w:r>
    </w:p>
    <w:p w14:paraId="6C727D3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要及时主动按学科门类向甲方提供与河南大学教学科研有关的40多家重点出版社学术性书目信息，否则甲方有权不予提供预订图书订单。书目信息要以提供EXCEL和MARC数据格式电子书目为主，内容必须包括：国际标准书号、正副题名、丛书名、著者、出版社名称、版次、出版年、价格、中图法分类号、装订形式、开本、内容提要、读者对象、适用范围，凡是教材必须在表格中注明。</w:t>
      </w:r>
    </w:p>
    <w:p w14:paraId="7F398FFF">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乙方不得重复提供书目信息，甲方有不使用供应商提供的书目并自行选择书目信息的权利，对不主动提供书目信息的中标单位，甲方有权不予提供预订图书订单。</w:t>
      </w:r>
    </w:p>
    <w:p w14:paraId="5E5629B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要及时接收甲方提交的任何公开发行的图书订单。甲方需及时向乙方提供馆藏数据和采购数据，全权委托乙方根据甲方提供的书目订单进行查重，通过乙方自有渠道，高效、准确地按甲方所订图书的品种、数量提供图书、配送及其它服务等工作，不得重复购买和更换甲方的图书订单，如果乙方发现甲方报订的订单有不适合甲方购买的品种（比如教材、少儿、青少年、高职高专、大码洋、特殊装订等方面的图书），必须及时与甲方沟通，待甲方确认后，再确定是否订购。</w:t>
      </w:r>
    </w:p>
    <w:p w14:paraId="2A8A2F1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p>
    <w:p w14:paraId="123E2DC6">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乙方负责对每一批订单的查重工作，对重复订购、大码洋、大订数、特殊装订、特殊开本、散页图书以及不适合甲方收藏的图书等应与甲方联系是否购买，否则甲方不予接收。</w:t>
      </w:r>
    </w:p>
    <w:p w14:paraId="766ECE4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甲方收到图书后应及时验收，在验收和加工图书的过程中，若发现所送图书出现差错、有质量问题、不适合本馆收藏的图书和复本书，乙方负责调换。</w:t>
      </w:r>
    </w:p>
    <w:p w14:paraId="13EC99B1">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未经乙方同意，甲方不得自行转让乙方提供的书目数据，不得用此书目数据从事商业活动，做有损乙方声誉和利益的事。</w:t>
      </w:r>
    </w:p>
    <w:p w14:paraId="76D0E6C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乙方应严格按甲方中文图书加工的要求免费为甲方提供中文图书加工服务，详见“河南大学图书加工委托书”。</w:t>
      </w:r>
    </w:p>
    <w:p w14:paraId="47315095">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对已出版的订单图书到书周期不超过90天，现采图书不超过45天，尚未出版的图书自其出版发行之日起一般在120天内要到货。其中甲方指定的重要出版社图书到货率不得低于90%，在收到订单30天内反馈未订到信息，并做出相关说明。若60天内不能按时供货的图书种数和册数超过订购数的15%，即可以认定供应商不具备供货条件，招标方有权要求终止供货。</w:t>
      </w:r>
    </w:p>
    <w:p w14:paraId="49ED2F4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 xml:space="preserve">为了进一步缩短图书上架周期，让读者第一时间内看到新书，保证图书馆图书采购、分编、加工等工作快速、有序、高效地进行，新书到馆后应尽快与读者见面，加工周期视进书量而定。 </w:t>
      </w:r>
    </w:p>
    <w:p w14:paraId="2B3BBE1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甲方应将图书馆的馆藏章样交给乙方，并在协议书上各加盖一枚样章留底，乙方再根据章样刻章，然后妥善保管。</w:t>
      </w:r>
    </w:p>
    <w:p w14:paraId="2DF93A06">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乙方严格按甲方图书加工委托书的要求免费为甲方提供图书及加工服务。</w:t>
      </w:r>
    </w:p>
    <w:p w14:paraId="4D33C9B4">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须上门对图书进行分编、加工等工作。在此过程中必须保证我馆系统的安全与稳定。如果操作失误，导致不可恢复和不可弥补的错误，比如：数据大批量删除、典藏书库批量调整出错等，甲方将根据损失大小，从乙方应付书款中扣除费用，同时履约保证金不予退还，并保留追究法律责任的权利。</w:t>
      </w:r>
    </w:p>
    <w:p w14:paraId="56CDC9D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乙方在加工过程中，如未按甲方要求进行加工，出现质量问题，甲方有权拒收并要求乙方重做，由此产生的一切费用均由乙方承担。</w:t>
      </w:r>
    </w:p>
    <w:p w14:paraId="2FC539F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乙方所提供的图书在加工服务中，如甲方有特殊要求，甲方可以提供材料，由乙方派人上门加工，费用由乙方承担。</w:t>
      </w:r>
    </w:p>
    <w:p w14:paraId="3C4C7731">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乙方在为甲方提供服务的过程中，所有材料费用、人员工资均由乙方承担。</w:t>
      </w:r>
    </w:p>
    <w:p w14:paraId="5C8565D2">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如果乙方购买不到加工材料，甲方可以为乙方提供，费用由乙方承担。</w:t>
      </w:r>
    </w:p>
    <w:p w14:paraId="0EE1AAEC">
      <w:pPr>
        <w:spacing w:line="360" w:lineRule="auto"/>
        <w:rPr>
          <w:rFonts w:ascii="宋体" w:hAnsi="宋体" w:cs="宋体"/>
          <w:b/>
          <w:sz w:val="28"/>
          <w:szCs w:val="28"/>
        </w:rPr>
      </w:pPr>
    </w:p>
    <w:p w14:paraId="3EAD45AF">
      <w:pPr>
        <w:spacing w:line="360" w:lineRule="auto"/>
        <w:rPr>
          <w:rFonts w:ascii="宋体" w:hAnsi="宋体" w:cs="宋体"/>
          <w:b/>
          <w:sz w:val="28"/>
          <w:szCs w:val="28"/>
        </w:rPr>
      </w:pPr>
    </w:p>
    <w:p w14:paraId="04A00D06">
      <w:pPr>
        <w:spacing w:line="360" w:lineRule="auto"/>
        <w:rPr>
          <w:rFonts w:ascii="宋体" w:hAnsi="宋体" w:cs="宋体"/>
        </w:rPr>
      </w:pPr>
      <w:r>
        <w:rPr>
          <w:rFonts w:hint="eastAsia" w:ascii="宋体" w:hAnsi="宋体" w:cs="宋体"/>
          <w:b/>
          <w:sz w:val="28"/>
          <w:szCs w:val="28"/>
        </w:rPr>
        <w:t>附件2.</w:t>
      </w:r>
    </w:p>
    <w:p w14:paraId="0B204998">
      <w:pPr>
        <w:spacing w:line="360" w:lineRule="auto"/>
        <w:jc w:val="center"/>
        <w:rPr>
          <w:rFonts w:ascii="宋体" w:hAnsi="宋体" w:cs="宋体"/>
          <w:b/>
          <w:sz w:val="28"/>
          <w:szCs w:val="28"/>
        </w:rPr>
      </w:pPr>
      <w:r>
        <w:rPr>
          <w:rFonts w:hint="eastAsia" w:ascii="宋体" w:hAnsi="宋体" w:cs="宋体"/>
          <w:b/>
          <w:sz w:val="28"/>
          <w:szCs w:val="28"/>
        </w:rPr>
        <w:t>河南大学图书分编加工委托书</w:t>
      </w:r>
    </w:p>
    <w:p w14:paraId="434B6E03">
      <w:pPr>
        <w:spacing w:line="360" w:lineRule="auto"/>
        <w:ind w:firstLine="480"/>
        <w:rPr>
          <w:rFonts w:ascii="宋体" w:hAnsi="宋体" w:cs="宋体"/>
          <w:kern w:val="0"/>
          <w:sz w:val="24"/>
        </w:rPr>
      </w:pPr>
      <w:r>
        <w:rPr>
          <w:rFonts w:hint="eastAsia" w:ascii="宋体" w:hAnsi="宋体" w:cs="宋体"/>
          <w:kern w:val="0"/>
          <w:sz w:val="24"/>
        </w:rPr>
        <w:t>中标供应商的编目人员必须严格按照河南大学图书馆图书编目规则和CALIS联机合作编目中心的规范制作书目数据，熟悉掌握采购人图书馆的编目细则、工作规程，并熟悉运用本馆所使用的管理软件。</w:t>
      </w:r>
    </w:p>
    <w:p w14:paraId="3FC83059">
      <w:pPr>
        <w:spacing w:line="360" w:lineRule="auto"/>
        <w:rPr>
          <w:rFonts w:ascii="宋体" w:hAnsi="宋体" w:cs="宋体"/>
          <w:kern w:val="0"/>
          <w:sz w:val="24"/>
        </w:rPr>
      </w:pPr>
      <w:r>
        <w:rPr>
          <w:rFonts w:hint="eastAsia" w:ascii="宋体" w:hAnsi="宋体" w:cs="宋体"/>
          <w:kern w:val="0"/>
          <w:sz w:val="24"/>
        </w:rPr>
        <w:t xml:space="preserve">    中文图书分编包括查重及复本处理、图书分类标引、图书著录、书次号的确定、审校、图书编目后的加工工作、数据转换及典藏等。</w:t>
      </w:r>
    </w:p>
    <w:p w14:paraId="7DF39634">
      <w:pPr>
        <w:spacing w:line="360" w:lineRule="auto"/>
        <w:rPr>
          <w:rFonts w:ascii="宋体" w:hAnsi="宋体" w:cs="宋体"/>
          <w:kern w:val="0"/>
          <w:sz w:val="24"/>
        </w:rPr>
      </w:pPr>
      <w:r>
        <w:rPr>
          <w:rFonts w:hint="eastAsia" w:ascii="宋体" w:hAnsi="宋体" w:cs="宋体"/>
          <w:kern w:val="0"/>
          <w:sz w:val="24"/>
        </w:rPr>
        <w:t xml:space="preserve">    1.图书查重</w:t>
      </w:r>
    </w:p>
    <w:p w14:paraId="04D63ADC">
      <w:pPr>
        <w:spacing w:line="360" w:lineRule="auto"/>
        <w:ind w:firstLine="480" w:firstLineChars="200"/>
        <w:rPr>
          <w:rFonts w:ascii="宋体" w:hAnsi="宋体" w:cs="宋体"/>
          <w:kern w:val="0"/>
          <w:sz w:val="24"/>
        </w:rPr>
      </w:pPr>
      <w:r>
        <w:rPr>
          <w:rFonts w:hint="eastAsia" w:ascii="宋体" w:hAnsi="宋体" w:cs="宋体"/>
          <w:kern w:val="0"/>
          <w:sz w:val="24"/>
        </w:rPr>
        <w:t>（1）图书进行分类以前，为了防止同书异号，首先进行查重，确定是初本还是复本。查重主要依据为编目数据与馆藏数据。通过查重，将图书分为新书、复本书、丛书或多卷书、连续出版物四类。①新书按照有关分类法和著录规则进行分编；②复本书要套录编目数据或馆藏数据，不得一书异号，凡属复本书，将本书索书号用铅笔标注在书名页左下角，并在上书口上方正中间和下书口下方正中间位置用红铅笔画“∣”来标记；③丛书或多卷书、连续出版物若编目数据或馆藏数据已到其中卷次，新到的卷次除分类号和著者号需与前者一致外，还要根据图书的卷次给出三排号。</w:t>
      </w:r>
    </w:p>
    <w:p w14:paraId="299CC80A">
      <w:pPr>
        <w:spacing w:line="360" w:lineRule="auto"/>
        <w:rPr>
          <w:rFonts w:ascii="宋体" w:hAnsi="宋体" w:cs="宋体"/>
          <w:kern w:val="0"/>
          <w:sz w:val="24"/>
        </w:rPr>
      </w:pPr>
      <w:r>
        <w:rPr>
          <w:rFonts w:hint="eastAsia" w:ascii="宋体" w:hAnsi="宋体" w:cs="宋体"/>
          <w:kern w:val="0"/>
          <w:sz w:val="24"/>
        </w:rPr>
        <w:t xml:space="preserve">    （2）属于下列情况者为复本书：①各著录事项完全与原书一致的图书；    </w:t>
      </w:r>
    </w:p>
    <w:p w14:paraId="7EB2F15C">
      <w:pPr>
        <w:spacing w:line="360" w:lineRule="auto"/>
        <w:rPr>
          <w:rFonts w:ascii="宋体" w:hAnsi="宋体" w:cs="宋体"/>
          <w:kern w:val="0"/>
          <w:sz w:val="24"/>
        </w:rPr>
      </w:pPr>
      <w:r>
        <w:rPr>
          <w:rFonts w:hint="eastAsia" w:ascii="宋体" w:hAnsi="宋体" w:cs="宋体"/>
          <w:kern w:val="0"/>
          <w:sz w:val="24"/>
        </w:rPr>
        <w:t>②书名、著者、出版者、ISBN相同，一次或多次印刷本，价格有异的不同印刷本；以上均视为复本书。</w:t>
      </w:r>
    </w:p>
    <w:p w14:paraId="31E24C6F">
      <w:pPr>
        <w:spacing w:line="360" w:lineRule="auto"/>
        <w:ind w:firstLine="360" w:firstLineChars="150"/>
        <w:rPr>
          <w:rFonts w:ascii="宋体" w:hAnsi="宋体" w:cs="宋体"/>
          <w:kern w:val="0"/>
          <w:sz w:val="24"/>
        </w:rPr>
      </w:pPr>
      <w:r>
        <w:rPr>
          <w:rFonts w:hint="eastAsia" w:ascii="宋体" w:hAnsi="宋体" w:cs="宋体"/>
          <w:kern w:val="0"/>
          <w:sz w:val="24"/>
        </w:rPr>
        <w:t xml:space="preserve"> （3）查重注意事项：①应将馆藏数据的各著录项目与该书各相关著录项目详细对照；②一书应从多个检索点检索；③对于丛书和多卷书有分册名者，应注意从集中著录和分散著录两方面查询。</w:t>
      </w:r>
    </w:p>
    <w:p w14:paraId="519B1B76">
      <w:pPr>
        <w:spacing w:line="360" w:lineRule="auto"/>
        <w:ind w:firstLine="240" w:firstLineChars="100"/>
        <w:rPr>
          <w:rFonts w:ascii="宋体" w:hAnsi="宋体" w:cs="宋体"/>
          <w:kern w:val="0"/>
          <w:sz w:val="24"/>
        </w:rPr>
      </w:pPr>
      <w:r>
        <w:rPr>
          <w:rFonts w:hint="eastAsia" w:ascii="宋体" w:hAnsi="宋体" w:cs="宋体"/>
          <w:kern w:val="0"/>
          <w:sz w:val="24"/>
        </w:rPr>
        <w:t xml:space="preserve">  （4）凡属下列情况者，均按不同版次图书处理。①同一书名、著者和出版者，但出版版次不同的图书；②同一书名、著者和出版者，但内容有变更的，如“修订本”、“增订本”、“缩写本”、“删改本”的图书；③同一书名、著者和出版者，但装帧、开本不同而内容相同的图书，如影印本与原版、铅印本与油印本、合订本与分册等。</w:t>
      </w:r>
    </w:p>
    <w:p w14:paraId="46794F3D">
      <w:pPr>
        <w:spacing w:line="360" w:lineRule="auto"/>
        <w:ind w:firstLine="360" w:firstLineChars="150"/>
        <w:rPr>
          <w:rFonts w:ascii="宋体" w:hAnsi="宋体" w:cs="宋体"/>
          <w:kern w:val="0"/>
          <w:sz w:val="24"/>
        </w:rPr>
      </w:pPr>
      <w:r>
        <w:rPr>
          <w:rFonts w:hint="eastAsia" w:ascii="宋体" w:hAnsi="宋体" w:cs="宋体"/>
          <w:kern w:val="0"/>
          <w:sz w:val="24"/>
        </w:rPr>
        <w:t xml:space="preserve"> （5）对于复本书和不同版次的图书，力求做出正确的判断，对于难以判断的图书，应进行集体讨论求得解决，并记录。</w:t>
      </w:r>
    </w:p>
    <w:p w14:paraId="36E1BB0A">
      <w:pPr>
        <w:spacing w:line="360" w:lineRule="auto"/>
        <w:ind w:firstLine="360" w:firstLineChars="150"/>
        <w:rPr>
          <w:rFonts w:ascii="宋体" w:hAnsi="宋体" w:cs="宋体"/>
          <w:kern w:val="0"/>
          <w:sz w:val="24"/>
        </w:rPr>
      </w:pPr>
      <w:r>
        <w:rPr>
          <w:rFonts w:hint="eastAsia" w:ascii="宋体" w:hAnsi="宋体" w:cs="宋体"/>
          <w:kern w:val="0"/>
          <w:sz w:val="24"/>
        </w:rPr>
        <w:t xml:space="preserve"> （6）对于有连续性的图书、丛书、皮书及彼此联系紧密的图书，也应在查重阶段加以鉴别。</w:t>
      </w:r>
    </w:p>
    <w:p w14:paraId="0CD14D58">
      <w:pPr>
        <w:spacing w:line="360" w:lineRule="auto"/>
        <w:ind w:firstLine="480" w:firstLineChars="200"/>
        <w:rPr>
          <w:rFonts w:ascii="宋体" w:hAnsi="宋体" w:cs="宋体"/>
          <w:kern w:val="0"/>
          <w:sz w:val="24"/>
        </w:rPr>
      </w:pPr>
      <w:r>
        <w:rPr>
          <w:rFonts w:hint="eastAsia" w:ascii="宋体" w:hAnsi="宋体" w:cs="宋体"/>
          <w:kern w:val="0"/>
          <w:sz w:val="24"/>
        </w:rPr>
        <w:t>2.图书分编</w:t>
      </w:r>
    </w:p>
    <w:p w14:paraId="5490F339">
      <w:pPr>
        <w:spacing w:line="360" w:lineRule="auto"/>
        <w:rPr>
          <w:rFonts w:ascii="宋体" w:hAnsi="宋体" w:cs="宋体"/>
          <w:kern w:val="0"/>
          <w:sz w:val="24"/>
        </w:rPr>
      </w:pPr>
      <w:r>
        <w:rPr>
          <w:rFonts w:hint="eastAsia" w:ascii="宋体" w:hAnsi="宋体" w:cs="宋体"/>
          <w:kern w:val="0"/>
          <w:sz w:val="24"/>
        </w:rPr>
        <w:t xml:space="preserve">    （1）图书分类：图书分类依据《中国图书馆分类法》（第五版），包括该分类法编委会《简报》所规定的修订内容；民国图书分类依照《中国科学院图书馆图书分类法》；线装古籍图书依照《仿十进制分类法》；图书分类的补充规定：</w:t>
      </w:r>
      <w:r>
        <w:rPr>
          <w:rFonts w:hint="eastAsia" w:ascii="宋体" w:hAnsi="宋体" w:cs="宋体"/>
          <w:kern w:val="0"/>
          <w:sz w:val="24"/>
        </w:rPr>
        <w:fldChar w:fldCharType="begin"/>
      </w:r>
      <w:r>
        <w:rPr>
          <w:rFonts w:hint="eastAsia" w:ascii="宋体" w:hAnsi="宋体" w:cs="宋体"/>
          <w:kern w:val="0"/>
          <w:sz w:val="24"/>
        </w:rPr>
        <w:instrText xml:space="preserve"> = 1 \* GB3 </w:instrText>
      </w:r>
      <w:r>
        <w:rPr>
          <w:rFonts w:hint="eastAsia" w:ascii="宋体" w:hAnsi="宋体" w:cs="宋体"/>
          <w:kern w:val="0"/>
          <w:sz w:val="24"/>
        </w:rPr>
        <w:fldChar w:fldCharType="separate"/>
      </w:r>
      <w:r>
        <w:rPr>
          <w:rFonts w:hint="eastAsia" w:ascii="宋体" w:hAnsi="宋体" w:cs="宋体"/>
          <w:kern w:val="0"/>
          <w:sz w:val="24"/>
        </w:rPr>
        <w:t>①</w:t>
      </w:r>
      <w:r>
        <w:rPr>
          <w:rFonts w:hint="eastAsia" w:ascii="宋体" w:hAnsi="宋体" w:cs="宋体"/>
          <w:kern w:val="0"/>
          <w:sz w:val="24"/>
        </w:rPr>
        <w:fldChar w:fldCharType="end"/>
      </w:r>
      <w:r>
        <w:rPr>
          <w:rFonts w:hint="eastAsia" w:ascii="宋体" w:hAnsi="宋体" w:cs="宋体"/>
          <w:kern w:val="0"/>
          <w:sz w:val="24"/>
        </w:rPr>
        <w:t>《中图法》中选用项目，例如：交替类目，注释为“如愿意集中的……”，“如愿意仿分的……”等，一般不参考；</w:t>
      </w:r>
      <w:r>
        <w:rPr>
          <w:rFonts w:hint="eastAsia" w:ascii="宋体" w:hAnsi="宋体" w:cs="宋体"/>
          <w:kern w:val="0"/>
          <w:sz w:val="24"/>
        </w:rPr>
        <w:fldChar w:fldCharType="begin"/>
      </w:r>
      <w:r>
        <w:rPr>
          <w:rFonts w:hint="eastAsia" w:ascii="宋体" w:hAnsi="宋体" w:cs="宋体"/>
          <w:kern w:val="0"/>
          <w:sz w:val="24"/>
        </w:rPr>
        <w:instrText xml:space="preserve"> = 2 \* GB3 </w:instrText>
      </w:r>
      <w:r>
        <w:rPr>
          <w:rFonts w:hint="eastAsia" w:ascii="宋体" w:hAnsi="宋体" w:cs="宋体"/>
          <w:kern w:val="0"/>
          <w:sz w:val="24"/>
        </w:rPr>
        <w:fldChar w:fldCharType="separate"/>
      </w:r>
      <w:r>
        <w:rPr>
          <w:rFonts w:hint="eastAsia" w:ascii="宋体" w:hAnsi="宋体" w:cs="宋体"/>
          <w:kern w:val="0"/>
          <w:sz w:val="24"/>
        </w:rPr>
        <w:t>②</w:t>
      </w:r>
      <w:r>
        <w:rPr>
          <w:rFonts w:hint="eastAsia" w:ascii="宋体" w:hAnsi="宋体" w:cs="宋体"/>
          <w:kern w:val="0"/>
          <w:sz w:val="24"/>
        </w:rPr>
        <w:fldChar w:fldCharType="end"/>
      </w:r>
      <w:r>
        <w:rPr>
          <w:rFonts w:hint="eastAsia" w:ascii="宋体" w:hAnsi="宋体" w:cs="宋体"/>
          <w:kern w:val="0"/>
          <w:sz w:val="24"/>
        </w:rPr>
        <w:t>对分类互见，采取应该做则做，但不滥用的原则。凡书名、著者目录可以起到补充作用的，不做分类互见。若一书各部分类属差异很大，做分类互见；</w:t>
      </w:r>
      <w:r>
        <w:rPr>
          <w:rFonts w:hint="eastAsia" w:ascii="宋体" w:hAnsi="宋体" w:cs="宋体"/>
          <w:kern w:val="0"/>
          <w:sz w:val="24"/>
        </w:rPr>
        <w:fldChar w:fldCharType="begin"/>
      </w:r>
      <w:r>
        <w:rPr>
          <w:rFonts w:hint="eastAsia" w:ascii="宋体" w:hAnsi="宋体" w:cs="宋体"/>
          <w:kern w:val="0"/>
          <w:sz w:val="24"/>
        </w:rPr>
        <w:instrText xml:space="preserve"> = 3 \* GB3 </w:instrText>
      </w:r>
      <w:r>
        <w:rPr>
          <w:rFonts w:hint="eastAsia" w:ascii="宋体" w:hAnsi="宋体" w:cs="宋体"/>
          <w:kern w:val="0"/>
          <w:sz w:val="24"/>
        </w:rPr>
        <w:fldChar w:fldCharType="separate"/>
      </w:r>
      <w:r>
        <w:rPr>
          <w:rFonts w:hint="eastAsia" w:ascii="宋体" w:hAnsi="宋体" w:cs="宋体"/>
          <w:kern w:val="0"/>
          <w:sz w:val="24"/>
        </w:rPr>
        <w:t>③</w:t>
      </w:r>
      <w:r>
        <w:rPr>
          <w:rFonts w:hint="eastAsia" w:ascii="宋体" w:hAnsi="宋体" w:cs="宋体"/>
          <w:kern w:val="0"/>
          <w:sz w:val="24"/>
        </w:rPr>
        <w:fldChar w:fldCharType="end"/>
      </w:r>
      <w:r>
        <w:rPr>
          <w:rFonts w:hint="eastAsia" w:ascii="宋体" w:hAnsi="宋体" w:cs="宋体"/>
          <w:kern w:val="0"/>
          <w:sz w:val="24"/>
        </w:rPr>
        <w:t>主要参考CALIS数据的分类号。图书归类时，分类人员自己做出归类，凡分类人员归类与CALIS数据分类号不一致时，应区分两种情况：CALIS数据分类号错，本馆《中图法》使用本有另行规定的，以正确分类号和本馆规定为准；若一种图书可同时归入两个以上类目的，以CALIS数据分类号为准；</w:t>
      </w:r>
      <w:r>
        <w:rPr>
          <w:rFonts w:hint="eastAsia" w:ascii="宋体" w:hAnsi="宋体" w:cs="宋体"/>
          <w:kern w:val="0"/>
          <w:sz w:val="24"/>
        </w:rPr>
        <w:fldChar w:fldCharType="begin"/>
      </w:r>
      <w:r>
        <w:rPr>
          <w:rFonts w:hint="eastAsia" w:ascii="宋体" w:hAnsi="宋体" w:cs="宋体"/>
          <w:kern w:val="0"/>
          <w:sz w:val="24"/>
        </w:rPr>
        <w:instrText xml:space="preserve"> = 4 \* GB3 </w:instrText>
      </w:r>
      <w:r>
        <w:rPr>
          <w:rFonts w:hint="eastAsia" w:ascii="宋体" w:hAnsi="宋体" w:cs="宋体"/>
          <w:kern w:val="0"/>
          <w:sz w:val="24"/>
        </w:rPr>
        <w:fldChar w:fldCharType="separate"/>
      </w:r>
      <w:r>
        <w:rPr>
          <w:rFonts w:hint="eastAsia" w:ascii="宋体" w:hAnsi="宋体" w:cs="宋体"/>
          <w:kern w:val="0"/>
          <w:sz w:val="24"/>
        </w:rPr>
        <w:t>④</w:t>
      </w:r>
      <w:r>
        <w:rPr>
          <w:rFonts w:hint="eastAsia" w:ascii="宋体" w:hAnsi="宋体" w:cs="宋体"/>
          <w:kern w:val="0"/>
          <w:sz w:val="24"/>
        </w:rPr>
        <w:fldChar w:fldCharType="end"/>
      </w:r>
      <w:r>
        <w:rPr>
          <w:rFonts w:hint="eastAsia" w:ascii="宋体" w:hAnsi="宋体" w:cs="宋体"/>
          <w:kern w:val="0"/>
          <w:sz w:val="24"/>
        </w:rPr>
        <w:t>英汉对照读物应根据图书所涉及的内容各入其类，不再分H31；凡国内出版社出版的外文原版图书，按照中文图书分编；⑤中国小说，不再复分到题材，例如，《国家利益》属政治类小说，细分为I247.54，但我馆只需要分到I247.5即可。</w:t>
      </w:r>
    </w:p>
    <w:p w14:paraId="57CFABC5">
      <w:pPr>
        <w:spacing w:line="360" w:lineRule="auto"/>
        <w:rPr>
          <w:rFonts w:ascii="宋体" w:hAnsi="宋体" w:cs="宋体"/>
          <w:kern w:val="0"/>
          <w:sz w:val="24"/>
        </w:rPr>
      </w:pPr>
      <w:r>
        <w:rPr>
          <w:rFonts w:hint="eastAsia" w:ascii="宋体" w:hAnsi="宋体" w:cs="宋体"/>
          <w:kern w:val="0"/>
          <w:sz w:val="24"/>
        </w:rPr>
        <w:t xml:space="preserve">   （2）图书著录：中文图书原始编目严格按照《普通图书著录条例》、《中国机读目录格式使用手册》、《CALIS联机合作编目手册》等进行著录，著录级别达到详细级和完备级；外文原版图书编目依照《普通图书著录条例》、《西文编目实用手册》、《CALIS联机合作编目手册》等进行著录，数据符合标准的USMARC格式。</w:t>
      </w:r>
    </w:p>
    <w:p w14:paraId="54FD8B24">
      <w:pPr>
        <w:spacing w:line="360" w:lineRule="auto"/>
        <w:rPr>
          <w:rFonts w:ascii="宋体" w:hAnsi="宋体" w:cs="宋体"/>
          <w:kern w:val="0"/>
          <w:sz w:val="24"/>
        </w:rPr>
      </w:pPr>
      <w:r>
        <w:rPr>
          <w:rFonts w:hint="eastAsia" w:ascii="宋体" w:hAnsi="宋体" w:cs="宋体"/>
          <w:kern w:val="0"/>
          <w:sz w:val="24"/>
        </w:rPr>
        <w:t xml:space="preserve">    （3）取索书号：①确定分类号，首先下载CALIS数据作为参考，发现不恰当的分类号，要自行更改（注意复分和仿分）；②凡属原编图书，应逐一著录图书信息，根据图书内容进行分类；③多卷书或连续出版物，若已经购买或连续购买，无论以后图书主编是谁都必须套录编目数据或馆藏数据，取相同分类号和著者号，再根据图书卷册号，做出三排号，如，年鉴、丛刊等；上下册等多卷书（不超过10本）要进行分散著录，加三排号以示区分。④确定著者号，中文图书按照《钱亚新著者号码表》进行查询；外文图书按照《外国人名著者号码表》进行查询，一般以第一作者的姓名取著者号，特殊情况可咨询图书馆工作人员；⑤三排号问题：当索书号重复时，需在索书号后加“/”和顺序号，如：分类号为F723.0 ，著者号为L659，若再来一本书也是这两个号时，要在后面加“/1”加以区分，第三次重号加“/2”，以此类推；丛书或多卷书若是每卷一个价格，需在索书号后加“/”加卷册号加以区分，如果是第一卷，三排号为“/1-1”，第二卷三排号为“/1-2”，若每卷有分册，再加“-” ，如第一卷第一分册，三排号为“/1-1-1”，以此类推，丛书或多卷书索书号重复时，三排号为“/2-1”， “/2-2”， 以此类推；年鉴三排号为“/”加年代，如：2020年河南年鉴，三排号为“/2020”，跨年的年鉴或者报告等图书，取最低年作为三排号，以此类推。</w:t>
      </w:r>
    </w:p>
    <w:p w14:paraId="1DCFD778">
      <w:pPr>
        <w:spacing w:line="360" w:lineRule="auto"/>
        <w:ind w:firstLine="480" w:firstLineChars="200"/>
        <w:rPr>
          <w:rFonts w:ascii="宋体" w:hAnsi="宋体" w:cs="宋体"/>
          <w:kern w:val="0"/>
          <w:sz w:val="24"/>
        </w:rPr>
      </w:pPr>
      <w:r>
        <w:rPr>
          <w:rFonts w:hint="eastAsia" w:ascii="宋体" w:hAnsi="宋体" w:cs="宋体"/>
          <w:kern w:val="0"/>
          <w:sz w:val="24"/>
        </w:rPr>
        <w:t>3.图书加工</w:t>
      </w:r>
    </w:p>
    <w:p w14:paraId="4989E5F1">
      <w:pPr>
        <w:spacing w:line="360" w:lineRule="auto"/>
        <w:ind w:firstLine="480" w:firstLineChars="200"/>
        <w:rPr>
          <w:rFonts w:ascii="宋体" w:hAnsi="宋体" w:cs="宋体"/>
          <w:kern w:val="0"/>
          <w:sz w:val="24"/>
        </w:rPr>
      </w:pPr>
      <w:r>
        <w:rPr>
          <w:rFonts w:hint="eastAsia" w:ascii="宋体" w:hAnsi="宋体" w:cs="宋体"/>
          <w:kern w:val="0"/>
          <w:sz w:val="24"/>
        </w:rPr>
        <w:t>（1）打登录号。条码号去掉头和尾为登录号，条码一定要和登录号一致，登录号应打在书名页书名正上方。</w:t>
      </w:r>
    </w:p>
    <w:p w14:paraId="4A47361A">
      <w:pPr>
        <w:spacing w:line="360" w:lineRule="auto"/>
        <w:ind w:firstLine="480" w:firstLineChars="200"/>
        <w:rPr>
          <w:rFonts w:ascii="宋体" w:hAnsi="宋体" w:cs="宋体"/>
          <w:kern w:val="0"/>
          <w:sz w:val="24"/>
        </w:rPr>
      </w:pPr>
      <w:r>
        <w:rPr>
          <w:rFonts w:hint="eastAsia" w:ascii="宋体" w:hAnsi="宋体" w:cs="宋体"/>
          <w:kern w:val="0"/>
          <w:sz w:val="24"/>
        </w:rPr>
        <w:t>（2）加盖藏书章。盖藏书章需要加盖两处，书名页正中一个，书口一个。有复本的图书，第二本图书要在下方口用铅笔画到中间一条竖线。</w:t>
      </w:r>
    </w:p>
    <w:p w14:paraId="28F35E56">
      <w:pPr>
        <w:spacing w:line="360" w:lineRule="auto"/>
        <w:ind w:firstLine="480" w:firstLineChars="200"/>
        <w:rPr>
          <w:rFonts w:ascii="宋体" w:hAnsi="宋体" w:cs="宋体"/>
          <w:kern w:val="0"/>
          <w:sz w:val="24"/>
        </w:rPr>
      </w:pPr>
      <w:r>
        <w:rPr>
          <w:rFonts w:hint="eastAsia" w:ascii="宋体" w:hAnsi="宋体" w:cs="宋体"/>
          <w:kern w:val="0"/>
          <w:sz w:val="24"/>
        </w:rPr>
        <w:t>（3）贴不干胶条形码。一般贴在书名页出版社上方。多卷书要按顺序粘贴，小号在上，大号在下。</w:t>
      </w:r>
    </w:p>
    <w:p w14:paraId="1B76C962">
      <w:pPr>
        <w:spacing w:line="360" w:lineRule="auto"/>
        <w:ind w:firstLine="480" w:firstLineChars="200"/>
        <w:rPr>
          <w:rFonts w:ascii="宋体" w:hAnsi="宋体" w:cs="宋体"/>
          <w:kern w:val="0"/>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1412875</wp:posOffset>
                </wp:positionH>
                <wp:positionV relativeFrom="paragraph">
                  <wp:posOffset>1447165</wp:posOffset>
                </wp:positionV>
                <wp:extent cx="1962150" cy="1123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2150" cy="1123950"/>
                        </a:xfrm>
                        <a:prstGeom prst="rect">
                          <a:avLst/>
                        </a:prstGeom>
                        <a:noFill/>
                        <a:ln>
                          <a:noFill/>
                        </a:ln>
                        <a:effectLst/>
                      </wps:spPr>
                      <wps:txbx>
                        <w:txbxContent>
                          <w:p w14:paraId="42E22359"/>
                        </w:txbxContent>
                      </wps:txbx>
                      <wps:bodyPr wrap="none" upright="1"/>
                    </wps:wsp>
                  </a:graphicData>
                </a:graphic>
              </wp:anchor>
            </w:drawing>
          </mc:Choice>
          <mc:Fallback>
            <w:pict>
              <v:shape id="_x0000_s1026" o:spid="_x0000_s1026" o:spt="202" type="#_x0000_t202" style="position:absolute;left:0pt;margin-left:111.25pt;margin-top:113.95pt;height:88.5pt;width:154.5pt;mso-wrap-style:none;z-index:251659264;mso-width-relative:page;mso-height-relative:page;" filled="f" stroked="f" coordsize="21600,21600" o:gfxdata="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LhRx2wAAAAsBAAAPAAAAAAAAAAEAIAAAACIAAABkcnMvZG93bnJldi54bWxQSwEC&#10;FAAUAAAACACHTuJA/DYNGrgBAABpAwAADgAAAAAAAAABACAAAAAqAQAAZHJzL2Uyb0RvYy54bWxQ&#10;SwUGAAAAAAYABgBZAQAAVAUAAAAA&#10;">
                <v:fill on="f" focussize="0,0"/>
                <v:stroke on="f"/>
                <v:imagedata o:title=""/>
                <o:lock v:ext="edit" aspectratio="f"/>
                <v:textbox>
                  <w:txbxContent>
                    <w:p w14:paraId="42E22359"/>
                  </w:txbxContent>
                </v:textbox>
              </v:shape>
            </w:pict>
          </mc:Fallback>
        </mc:AlternateContent>
      </w:r>
      <w:r>
        <w:rPr>
          <w:rFonts w:hint="eastAsia" w:ascii="宋体" w:hAnsi="宋体" w:cs="宋体"/>
          <w:kern w:val="0"/>
          <w:sz w:val="24"/>
        </w:rPr>
        <w:t>（4）打印、贴书标。书标的数量：一般图书每册打印3个书标，有活页封面的精装图书需4个书标。书标的位置：书标一式3个，分别贴在书脊下方一横书标高度处、书名页右上方（特殊情况例外，但不遮盖登录号）、书中前40页空白处。有护封的图书需在封皮内书脊下方一横书标高度处粘贴一个书标。书籍厚度不够时，可加贴在图书封底的右上角。书标尺寸如下：长×宽为：3.5cm×2.5cm，边框为蓝色，边框宽度为2mm。</w:t>
      </w:r>
    </w:p>
    <w:p w14:paraId="37187AA9">
      <w:pPr>
        <w:spacing w:line="360" w:lineRule="auto"/>
        <w:ind w:firstLine="480" w:firstLineChars="200"/>
        <w:rPr>
          <w:rFonts w:ascii="宋体" w:hAnsi="宋体" w:cs="宋体"/>
          <w:kern w:val="0"/>
          <w:sz w:val="24"/>
        </w:rPr>
      </w:pPr>
      <w:r>
        <w:rPr>
          <w:rFonts w:hint="eastAsia" w:ascii="宋体" w:hAnsi="宋体" w:cs="宋体"/>
          <w:kern w:val="0"/>
          <w:sz w:val="24"/>
        </w:rPr>
        <w:t>书标样式如下：</w:t>
      </w:r>
    </w:p>
    <w:p w14:paraId="412678DD">
      <w:pPr>
        <w:spacing w:line="360" w:lineRule="auto"/>
        <w:ind w:firstLine="420" w:firstLineChars="200"/>
        <w:rPr>
          <w:rFonts w:ascii="宋体" w:hAnsi="宋体" w:cs="宋体"/>
          <w:kern w:val="0"/>
          <w:sz w:val="24"/>
        </w:rPr>
      </w:pPr>
      <w:r>
        <w:rPr>
          <w:rFonts w:hint="eastAsia"/>
        </w:rPr>
        <w:drawing>
          <wp:inline distT="0" distB="0" distL="114300" distR="114300">
            <wp:extent cx="1110615" cy="746760"/>
            <wp:effectExtent l="0" t="0" r="1905" b="0"/>
            <wp:docPr id="3" name="图片 1" descr="书标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书标样式"/>
                    <pic:cNvPicPr>
                      <a:picLocks noChangeAspect="1"/>
                    </pic:cNvPicPr>
                  </pic:nvPicPr>
                  <pic:blipFill>
                    <a:blip r:embed="rId5"/>
                    <a:stretch>
                      <a:fillRect/>
                    </a:stretch>
                  </pic:blipFill>
                  <pic:spPr>
                    <a:xfrm>
                      <a:off x="0" y="0"/>
                      <a:ext cx="1110615" cy="746760"/>
                    </a:xfrm>
                    <a:prstGeom prst="rect">
                      <a:avLst/>
                    </a:prstGeom>
                    <a:noFill/>
                    <a:ln>
                      <a:noFill/>
                    </a:ln>
                  </pic:spPr>
                </pic:pic>
              </a:graphicData>
            </a:graphic>
          </wp:inline>
        </w:drawing>
      </w:r>
    </w:p>
    <w:p w14:paraId="4571F689">
      <w:pPr>
        <w:spacing w:line="360" w:lineRule="auto"/>
        <w:ind w:firstLine="480" w:firstLineChars="200"/>
        <w:rPr>
          <w:rFonts w:ascii="宋体" w:hAnsi="宋体" w:cs="宋体"/>
          <w:kern w:val="0"/>
          <w:sz w:val="24"/>
        </w:rPr>
      </w:pPr>
      <w:r>
        <w:rPr>
          <w:rFonts w:hint="eastAsia" w:ascii="宋体" w:hAnsi="宋体" w:cs="宋体"/>
          <w:kern w:val="0"/>
          <w:sz w:val="24"/>
        </w:rPr>
        <w:t>（5）粘贴保护膜。书脊处贴的书标需要粘贴保护膜，以全部覆盖书标为标准。</w:t>
      </w:r>
    </w:p>
    <w:p w14:paraId="400BD051">
      <w:pPr>
        <w:spacing w:line="360" w:lineRule="auto"/>
        <w:ind w:firstLine="480" w:firstLineChars="200"/>
        <w:rPr>
          <w:rFonts w:ascii="宋体" w:hAnsi="宋体" w:cs="宋体"/>
          <w:kern w:val="0"/>
          <w:sz w:val="24"/>
        </w:rPr>
      </w:pPr>
      <w:r>
        <w:rPr>
          <w:rFonts w:hint="eastAsia" w:ascii="宋体" w:hAnsi="宋体" w:cs="宋体"/>
          <w:kern w:val="0"/>
          <w:sz w:val="24"/>
        </w:rPr>
        <w:t>（6）夹标签。在图书后40页（含4</w:t>
      </w:r>
      <w:r>
        <w:rPr>
          <w:rFonts w:ascii="宋体" w:hAnsi="宋体" w:cs="宋体"/>
          <w:kern w:val="0"/>
          <w:sz w:val="24"/>
        </w:rPr>
        <w:t>0</w:t>
      </w:r>
      <w:r>
        <w:rPr>
          <w:rFonts w:hint="eastAsia" w:ascii="宋体" w:hAnsi="宋体" w:cs="宋体"/>
          <w:kern w:val="0"/>
          <w:sz w:val="24"/>
        </w:rPr>
        <w:t>页）中任意一页夹1根EMID标签。</w:t>
      </w:r>
    </w:p>
    <w:p w14:paraId="20439882">
      <w:pPr>
        <w:spacing w:line="360" w:lineRule="auto"/>
        <w:ind w:firstLine="480" w:firstLineChars="200"/>
        <w:rPr>
          <w:rFonts w:ascii="宋体" w:hAnsi="宋体" w:cs="宋体"/>
          <w:kern w:val="0"/>
          <w:sz w:val="24"/>
        </w:rPr>
      </w:pPr>
      <w:r>
        <w:rPr>
          <w:rFonts w:hint="eastAsia" w:ascii="宋体" w:hAnsi="宋体" w:cs="宋体"/>
          <w:kern w:val="0"/>
          <w:sz w:val="24"/>
        </w:rPr>
        <w:t>（7）数据转换。对已经加上EMID的图书数据转到相应的馆藏书库。</w:t>
      </w:r>
    </w:p>
    <w:p w14:paraId="5C3E67FA">
      <w:pPr>
        <w:spacing w:line="360" w:lineRule="auto"/>
        <w:ind w:firstLine="480" w:firstLineChars="200"/>
        <w:rPr>
          <w:rFonts w:ascii="宋体" w:hAnsi="宋体" w:cs="宋体"/>
          <w:kern w:val="0"/>
          <w:sz w:val="24"/>
        </w:rPr>
      </w:pPr>
      <w:r>
        <w:rPr>
          <w:rFonts w:hint="eastAsia" w:ascii="宋体" w:hAnsi="宋体" w:cs="宋体"/>
          <w:kern w:val="0"/>
          <w:sz w:val="24"/>
        </w:rPr>
        <w:t>（8）标签漏贴或贴错的，每错一处从履约保证金中扣除10元；粘贴不规范的，每错一处从履约保证金中扣除5元。</w:t>
      </w:r>
    </w:p>
    <w:p w14:paraId="6127B6DD">
      <w:pPr>
        <w:spacing w:line="360" w:lineRule="auto"/>
        <w:ind w:firstLine="480" w:firstLineChars="200"/>
        <w:rPr>
          <w:rFonts w:ascii="宋体" w:hAnsi="宋体" w:cs="宋体"/>
          <w:kern w:val="0"/>
          <w:sz w:val="24"/>
        </w:rPr>
      </w:pPr>
      <w:r>
        <w:rPr>
          <w:rFonts w:hint="eastAsia" w:ascii="宋体" w:hAnsi="宋体" w:cs="宋体"/>
          <w:kern w:val="0"/>
          <w:sz w:val="24"/>
        </w:rPr>
        <w:t>（9）书标漏贴或贴错的，每错一处从履约保证金中扣除10元；粘贴不规范的，每错一处从履约保证金中扣除5 元。</w:t>
      </w:r>
    </w:p>
    <w:p w14:paraId="4B9F1C58">
      <w:pPr>
        <w:spacing w:line="360" w:lineRule="auto"/>
        <w:ind w:firstLine="480" w:firstLineChars="200"/>
        <w:rPr>
          <w:rFonts w:ascii="宋体" w:hAnsi="宋体" w:cs="宋体"/>
          <w:kern w:val="0"/>
          <w:sz w:val="24"/>
        </w:rPr>
      </w:pPr>
      <w:r>
        <w:rPr>
          <w:rFonts w:hint="eastAsia" w:ascii="宋体" w:hAnsi="宋体" w:cs="宋体"/>
          <w:kern w:val="0"/>
          <w:sz w:val="24"/>
        </w:rPr>
        <w:t>（10）条形码漏贴、贴错，每错一处从履约保证金中扣除10元；粘贴不规范的，每错一处从履约保证金中扣除5元。</w:t>
      </w:r>
    </w:p>
    <w:p w14:paraId="320F3090">
      <w:pPr>
        <w:spacing w:line="360" w:lineRule="auto"/>
        <w:ind w:firstLine="480" w:firstLineChars="200"/>
        <w:rPr>
          <w:rFonts w:ascii="宋体" w:hAnsi="宋体" w:cs="宋体"/>
          <w:kern w:val="0"/>
          <w:sz w:val="24"/>
        </w:rPr>
      </w:pPr>
      <w:r>
        <w:rPr>
          <w:rFonts w:hint="eastAsia" w:ascii="宋体" w:hAnsi="宋体" w:cs="宋体"/>
          <w:kern w:val="0"/>
          <w:sz w:val="24"/>
        </w:rPr>
        <w:t>（11）保护膜漏贴的，每错一处从履约保证金中扣除10元；粘贴不规范的，每错一处从履约保证金中扣除5元。</w:t>
      </w:r>
    </w:p>
    <w:p w14:paraId="0BC6E0ED">
      <w:pPr>
        <w:spacing w:line="360" w:lineRule="auto"/>
        <w:ind w:firstLine="480" w:firstLineChars="200"/>
        <w:rPr>
          <w:rFonts w:ascii="宋体" w:hAnsi="宋体" w:cs="宋体"/>
          <w:kern w:val="0"/>
          <w:sz w:val="24"/>
        </w:rPr>
      </w:pPr>
      <w:r>
        <w:rPr>
          <w:rFonts w:hint="eastAsia" w:ascii="宋体" w:hAnsi="宋体" w:cs="宋体"/>
          <w:kern w:val="0"/>
          <w:sz w:val="24"/>
        </w:rPr>
        <w:t>（12）馆藏章漏盖和少盖的，每错一处从履约保证金中扣除10元；盖章不规范的，每错一处从履约保证金中扣除5元。</w:t>
      </w:r>
    </w:p>
    <w:p w14:paraId="67AFAB0D">
      <w:pPr>
        <w:spacing w:line="360" w:lineRule="auto"/>
        <w:ind w:firstLine="480" w:firstLineChars="200"/>
        <w:rPr>
          <w:rFonts w:ascii="宋体" w:hAnsi="宋体" w:cs="宋体"/>
          <w:kern w:val="0"/>
          <w:sz w:val="24"/>
        </w:rPr>
      </w:pPr>
      <w:r>
        <w:rPr>
          <w:rFonts w:hint="eastAsia" w:ascii="宋体" w:hAnsi="宋体" w:cs="宋体"/>
          <w:kern w:val="0"/>
          <w:sz w:val="24"/>
        </w:rPr>
        <w:t>（13）捐赠章漏盖和少盖的，每错一处从履约保证金中扣除10元；盖章不规范的，每错一处从履约保证金中扣除5元。</w:t>
      </w:r>
    </w:p>
    <w:p w14:paraId="59421273">
      <w:pPr>
        <w:spacing w:line="360" w:lineRule="auto"/>
        <w:ind w:firstLine="480" w:firstLineChars="200"/>
        <w:rPr>
          <w:rFonts w:ascii="宋体" w:hAnsi="宋体" w:cs="宋体"/>
          <w:kern w:val="0"/>
          <w:sz w:val="24"/>
        </w:rPr>
      </w:pPr>
      <w:r>
        <w:rPr>
          <w:rFonts w:hint="eastAsia" w:ascii="宋体" w:hAnsi="宋体" w:cs="宋体"/>
          <w:kern w:val="0"/>
          <w:sz w:val="24"/>
        </w:rPr>
        <w:t>（14）EMID 标签漏粘、错粘的，每错一处从履约保证金中扣除10元；粘贴不规范的，每错一处从履约保证金中扣除5元。</w:t>
      </w:r>
    </w:p>
    <w:p w14:paraId="56CAA1DD">
      <w:pPr>
        <w:spacing w:line="360" w:lineRule="auto"/>
        <w:ind w:firstLine="480" w:firstLineChars="200"/>
        <w:rPr>
          <w:rFonts w:ascii="宋体" w:hAnsi="宋体" w:cs="宋体"/>
          <w:kern w:val="0"/>
          <w:sz w:val="24"/>
        </w:rPr>
      </w:pPr>
      <w:r>
        <w:rPr>
          <w:rFonts w:hint="eastAsia" w:ascii="宋体" w:hAnsi="宋体" w:cs="宋体"/>
          <w:kern w:val="0"/>
          <w:sz w:val="24"/>
        </w:rPr>
        <w:t>4.典藏入库</w:t>
      </w:r>
    </w:p>
    <w:p w14:paraId="36B07E31">
      <w:pPr>
        <w:spacing w:line="360" w:lineRule="auto"/>
        <w:ind w:firstLine="480" w:firstLineChars="200"/>
        <w:rPr>
          <w:rFonts w:ascii="宋体" w:hAnsi="宋体" w:cs="宋体"/>
          <w:kern w:val="0"/>
          <w:sz w:val="24"/>
        </w:rPr>
      </w:pPr>
      <w:r>
        <w:rPr>
          <w:rFonts w:hint="eastAsia" w:ascii="宋体" w:hAnsi="宋体" w:cs="宋体"/>
          <w:kern w:val="0"/>
          <w:sz w:val="24"/>
        </w:rPr>
        <w:t>（1）分编加工完毕后，书商要按照《河南大学图书典藏入库准则》进行典藏，然后将该书和对应的清单送到指定书库。</w:t>
      </w:r>
    </w:p>
    <w:p w14:paraId="2BE5EEA6">
      <w:pPr>
        <w:spacing w:line="360" w:lineRule="auto"/>
        <w:ind w:firstLine="480" w:firstLineChars="200"/>
        <w:rPr>
          <w:rFonts w:ascii="宋体" w:hAnsi="宋体" w:cs="宋体"/>
          <w:kern w:val="0"/>
          <w:sz w:val="24"/>
        </w:rPr>
      </w:pPr>
      <w:r>
        <w:rPr>
          <w:rFonts w:hint="eastAsia" w:ascii="宋体" w:hAnsi="宋体" w:cs="宋体"/>
          <w:kern w:val="0"/>
          <w:sz w:val="24"/>
        </w:rPr>
        <w:t xml:space="preserve">（2）图书典藏完毕按照附件3《典藏细则》分别送到指定书库。对典藏到各个书库的图书进行清点，必须与馆藏分配地址完全一致。 </w:t>
      </w:r>
    </w:p>
    <w:p w14:paraId="2F012FC5">
      <w:pPr>
        <w:adjustRightInd w:val="0"/>
        <w:snapToGrid w:val="0"/>
        <w:spacing w:line="360" w:lineRule="auto"/>
        <w:ind w:firstLine="360" w:firstLineChars="150"/>
        <w:rPr>
          <w:rFonts w:ascii="宋体" w:hAnsi="宋体" w:cs="宋体"/>
          <w:kern w:val="0"/>
          <w:sz w:val="24"/>
        </w:rPr>
      </w:pPr>
      <w:r>
        <w:rPr>
          <w:rFonts w:hint="eastAsia" w:ascii="宋体" w:hAnsi="宋体" w:cs="宋体"/>
          <w:sz w:val="24"/>
        </w:rPr>
        <w:t>（3）乙方在典藏图书时，</w:t>
      </w:r>
      <w:r>
        <w:rPr>
          <w:rFonts w:hint="eastAsia" w:ascii="宋体" w:hAnsi="宋体" w:cs="宋体"/>
          <w:kern w:val="0"/>
          <w:sz w:val="24"/>
        </w:rPr>
        <w:t>馆藏地址分配错误一册（次），每错一处从履约保证金中扣除5 元。</w:t>
      </w:r>
    </w:p>
    <w:p w14:paraId="5B926DC2">
      <w:pPr>
        <w:adjustRightInd w:val="0"/>
        <w:snapToGrid w:val="0"/>
        <w:spacing w:line="360" w:lineRule="auto"/>
        <w:ind w:firstLine="480" w:firstLineChars="200"/>
        <w:rPr>
          <w:rFonts w:ascii="宋体" w:hAnsi="宋体" w:cs="宋体"/>
          <w:sz w:val="24"/>
        </w:rPr>
      </w:pPr>
      <w:r>
        <w:rPr>
          <w:rFonts w:hint="eastAsia" w:ascii="宋体" w:hAnsi="宋体" w:cs="宋体"/>
          <w:kern w:val="0"/>
          <w:sz w:val="24"/>
        </w:rPr>
        <w:t>5.加工完毕后打印财产账，各个书库入库图书清单送至图书馆各个部门相关负责人。</w:t>
      </w:r>
    </w:p>
    <w:p w14:paraId="1B899979">
      <w:pPr>
        <w:spacing w:line="360" w:lineRule="auto"/>
        <w:ind w:firstLine="480" w:firstLineChars="200"/>
        <w:rPr>
          <w:rFonts w:ascii="宋体" w:hAnsi="宋体" w:cs="宋体"/>
          <w:kern w:val="0"/>
          <w:sz w:val="24"/>
        </w:rPr>
      </w:pPr>
      <w:r>
        <w:rPr>
          <w:rFonts w:hint="eastAsia" w:ascii="宋体" w:hAnsi="宋体" w:cs="宋体"/>
          <w:kern w:val="0"/>
          <w:sz w:val="24"/>
        </w:rPr>
        <w:t>6.出现以上问题，由图书馆工作人员登记并由乙方签字确认后按月清算。</w:t>
      </w:r>
    </w:p>
    <w:p w14:paraId="08D18350">
      <w:pPr>
        <w:spacing w:line="360" w:lineRule="auto"/>
        <w:ind w:firstLine="480" w:firstLineChars="200"/>
        <w:rPr>
          <w:rFonts w:ascii="宋体" w:hAnsi="宋体" w:cs="宋体"/>
          <w:kern w:val="0"/>
          <w:sz w:val="24"/>
        </w:rPr>
      </w:pPr>
      <w:r>
        <w:rPr>
          <w:rFonts w:hint="eastAsia" w:ascii="宋体" w:hAnsi="宋体" w:cs="宋体"/>
          <w:kern w:val="0"/>
          <w:sz w:val="24"/>
        </w:rPr>
        <w:t>7.其他需要工作中有变动的工作，乙方要按照甲方要求完成。</w:t>
      </w:r>
    </w:p>
    <w:p w14:paraId="68A74B0F">
      <w:pPr>
        <w:spacing w:line="360" w:lineRule="auto"/>
        <w:ind w:firstLine="480" w:firstLineChars="200"/>
        <w:rPr>
          <w:rFonts w:ascii="宋体" w:hAnsi="宋体" w:cs="宋体"/>
          <w:kern w:val="0"/>
          <w:sz w:val="24"/>
        </w:rPr>
      </w:pPr>
      <w:r>
        <w:rPr>
          <w:rFonts w:hint="eastAsia" w:ascii="宋体" w:hAnsi="宋体" w:cs="宋体"/>
          <w:kern w:val="0"/>
          <w:sz w:val="24"/>
        </w:rPr>
        <w:t>8.若有分歧，由双方本着公平、友好原则协商解决。</w:t>
      </w:r>
    </w:p>
    <w:p w14:paraId="74F764B9">
      <w:pPr>
        <w:spacing w:line="360" w:lineRule="auto"/>
        <w:rPr>
          <w:rFonts w:ascii="宋体" w:hAnsi="宋体" w:cs="宋体"/>
          <w:kern w:val="0"/>
          <w:sz w:val="24"/>
        </w:rPr>
      </w:pPr>
      <w:r>
        <w:rPr>
          <w:rFonts w:hint="eastAsia" w:ascii="宋体" w:hAnsi="宋体" w:cs="宋体"/>
          <w:kern w:val="0"/>
          <w:sz w:val="24"/>
        </w:rPr>
        <w:t xml:space="preserve">    说明：</w:t>
      </w:r>
    </w:p>
    <w:p w14:paraId="51E00B16">
      <w:pPr>
        <w:spacing w:line="360" w:lineRule="auto"/>
        <w:rPr>
          <w:rFonts w:ascii="宋体" w:hAnsi="宋体" w:cs="宋体"/>
          <w:kern w:val="0"/>
          <w:sz w:val="24"/>
        </w:rPr>
      </w:pPr>
      <w:r>
        <w:rPr>
          <w:rFonts w:hint="eastAsia" w:ascii="宋体" w:hAnsi="宋体" w:cs="宋体"/>
          <w:kern w:val="0"/>
          <w:sz w:val="24"/>
        </w:rPr>
        <w:t xml:space="preserve">    1.图书验收、分编、加工、典藏等工作要求乙方派工作人员到甲方指定地点进行加工（一般为甲方所在图书馆），除订购图书外，还包括免费加工甲方的零采图书及赠书等。</w:t>
      </w:r>
    </w:p>
    <w:p w14:paraId="1B162AD4">
      <w:pPr>
        <w:spacing w:line="360" w:lineRule="auto"/>
        <w:rPr>
          <w:rFonts w:ascii="宋体" w:hAnsi="宋体" w:cs="宋体"/>
          <w:kern w:val="0"/>
          <w:sz w:val="24"/>
        </w:rPr>
      </w:pPr>
      <w:r>
        <w:rPr>
          <w:rFonts w:hint="eastAsia" w:ascii="宋体" w:hAnsi="宋体" w:cs="宋体"/>
          <w:kern w:val="0"/>
          <w:sz w:val="24"/>
        </w:rPr>
        <w:t xml:space="preserve">    2.图书加工包括免费提供：编目数据、盖章、粘贴条形码、书标、EMID标签的数据转换、送书入库等工作。</w:t>
      </w:r>
    </w:p>
    <w:p w14:paraId="3C75C6B5">
      <w:pPr>
        <w:spacing w:line="360" w:lineRule="auto"/>
        <w:rPr>
          <w:rFonts w:ascii="宋体" w:hAnsi="宋体" w:cs="宋体"/>
          <w:kern w:val="0"/>
          <w:sz w:val="24"/>
        </w:rPr>
      </w:pPr>
      <w:r>
        <w:rPr>
          <w:rFonts w:hint="eastAsia" w:ascii="宋体" w:hAnsi="宋体" w:cs="宋体"/>
          <w:kern w:val="0"/>
          <w:sz w:val="24"/>
        </w:rPr>
        <w:t xml:space="preserve">    3.图书加工所用设备：电脑、打印机、扫描仪等由中标人自备。</w:t>
      </w:r>
    </w:p>
    <w:p w14:paraId="0D54D05E">
      <w:pPr>
        <w:spacing w:line="360" w:lineRule="auto"/>
        <w:ind w:firstLine="480"/>
        <w:rPr>
          <w:rFonts w:ascii="宋体" w:hAnsi="宋体" w:cs="宋体"/>
          <w:kern w:val="0"/>
          <w:sz w:val="24"/>
        </w:rPr>
      </w:pPr>
      <w:r>
        <w:rPr>
          <w:rFonts w:hint="eastAsia" w:ascii="宋体" w:hAnsi="宋体" w:cs="宋体"/>
          <w:kern w:val="0"/>
          <w:sz w:val="24"/>
        </w:rPr>
        <w:t>4.河南大学历史悠久，图书馆的图书分编和加工都形成了自已的传统和风格，中标单位工作人员必须按照图书馆工作人员的要求进行分编、加工等，同时需要亲自学习和实践。</w:t>
      </w:r>
    </w:p>
    <w:p w14:paraId="09CA6BFC">
      <w:pPr>
        <w:spacing w:line="360" w:lineRule="auto"/>
        <w:rPr>
          <w:rFonts w:ascii="宋体" w:hAnsi="宋体" w:cs="宋体"/>
        </w:rPr>
      </w:pPr>
    </w:p>
    <w:p w14:paraId="359D611D">
      <w:pPr>
        <w:spacing w:line="360" w:lineRule="auto"/>
        <w:rPr>
          <w:rFonts w:ascii="宋体" w:hAnsi="宋体" w:cs="宋体"/>
          <w:b/>
          <w:sz w:val="36"/>
          <w:szCs w:val="36"/>
        </w:rPr>
      </w:pPr>
      <w:r>
        <w:rPr>
          <w:rFonts w:hint="eastAsia" w:ascii="宋体" w:hAnsi="宋体" w:cs="宋体"/>
          <w:sz w:val="24"/>
          <w:u w:val="single"/>
        </w:rPr>
        <w:br w:type="page"/>
      </w:r>
      <w:r>
        <w:rPr>
          <w:rFonts w:hint="eastAsia" w:ascii="宋体" w:hAnsi="宋体" w:cs="宋体"/>
          <w:b/>
          <w:sz w:val="36"/>
          <w:szCs w:val="36"/>
        </w:rPr>
        <w:t>附件3</w:t>
      </w:r>
    </w:p>
    <w:p w14:paraId="71A362B5">
      <w:pPr>
        <w:spacing w:line="360" w:lineRule="auto"/>
        <w:jc w:val="center"/>
        <w:rPr>
          <w:rFonts w:ascii="宋体" w:hAnsi="宋体" w:cs="宋体"/>
          <w:b/>
          <w:sz w:val="36"/>
          <w:szCs w:val="36"/>
        </w:rPr>
      </w:pPr>
      <w:r>
        <w:rPr>
          <w:rFonts w:hint="eastAsia" w:ascii="宋体" w:hAnsi="宋体" w:cs="宋体"/>
          <w:b/>
          <w:sz w:val="36"/>
          <w:szCs w:val="36"/>
        </w:rPr>
        <w:t>河南大学图书馆图书典藏入库准则</w:t>
      </w:r>
    </w:p>
    <w:p w14:paraId="6484F7CD">
      <w:pPr>
        <w:spacing w:line="360" w:lineRule="auto"/>
        <w:rPr>
          <w:rFonts w:ascii="宋体" w:hAnsi="宋体" w:cs="宋体"/>
          <w:b/>
          <w:sz w:val="24"/>
        </w:rPr>
      </w:pPr>
      <w:r>
        <w:rPr>
          <w:rFonts w:hint="eastAsia" w:ascii="宋体" w:hAnsi="宋体" w:cs="宋体"/>
          <w:b/>
          <w:sz w:val="24"/>
        </w:rPr>
        <w:t>1、典藏分配总则</w:t>
      </w:r>
    </w:p>
    <w:p w14:paraId="5C235614">
      <w:pPr>
        <w:spacing w:line="360" w:lineRule="auto"/>
        <w:ind w:firstLine="480" w:firstLineChars="200"/>
        <w:rPr>
          <w:rFonts w:ascii="宋体" w:hAnsi="宋体" w:cs="宋体"/>
          <w:sz w:val="24"/>
        </w:rPr>
      </w:pPr>
      <w:r>
        <w:rPr>
          <w:rFonts w:hint="eastAsia" w:ascii="宋体" w:hAnsi="宋体" w:cs="宋体"/>
          <w:sz w:val="24"/>
        </w:rPr>
        <w:t>根据河南大学分为明伦校区、金明校区、郑州校区三个校区的实际特点，图书馆图书分配遵循资源跟进学科，异处集中存放的原则。具体地说我馆图书典藏与三个校区的专业设置相一致，先按中图分类法把图书分别归到明伦、金明、郑州三个校区，再根据三个校区的具体专业设置和书库收藏图书的类别进行细分入库。按照中国图书馆分类法，把图书分为以下22个大类：</w:t>
      </w:r>
    </w:p>
    <w:p w14:paraId="52AA189A">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A 马、列、毛、邓小平理论                        B哲学、宗教</w:t>
      </w:r>
    </w:p>
    <w:p w14:paraId="627EB5E4">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C社会科学总论                                   D政治、法律</w:t>
      </w:r>
    </w:p>
    <w:p w14:paraId="3214E5E3">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E军事                                           F经济</w:t>
      </w:r>
    </w:p>
    <w:p w14:paraId="66C40B2E">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G文化、科学、教育、体育                         H语言</w:t>
      </w:r>
    </w:p>
    <w:p w14:paraId="09EDDC20">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I文学                                           J艺术</w:t>
      </w:r>
    </w:p>
    <w:p w14:paraId="05226722">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K历史、地理                                     N自然科学总论</w:t>
      </w:r>
    </w:p>
    <w:p w14:paraId="13DB3CF9">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O数理科学和化学                                 P天文学、地球科学</w:t>
      </w:r>
    </w:p>
    <w:p w14:paraId="5CBEEA15">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Q生物科学                                       R医药、卫生</w:t>
      </w:r>
    </w:p>
    <w:p w14:paraId="2327085D">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S农业科学                                       T工业技术</w:t>
      </w:r>
    </w:p>
    <w:p w14:paraId="2B789E5F">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U交通运输                                       V航空、航天</w:t>
      </w:r>
    </w:p>
    <w:p w14:paraId="4D605A08">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X环境科学、安全科学                             Z综合性图书</w:t>
      </w:r>
    </w:p>
    <w:p w14:paraId="046AD59A">
      <w:pPr>
        <w:spacing w:line="360" w:lineRule="auto"/>
        <w:rPr>
          <w:rFonts w:ascii="宋体" w:hAnsi="宋体" w:cs="宋体"/>
          <w:b/>
          <w:sz w:val="24"/>
        </w:rPr>
      </w:pPr>
      <w:r>
        <w:rPr>
          <w:rFonts w:hint="eastAsia" w:ascii="宋体" w:hAnsi="宋体" w:cs="宋体"/>
          <w:b/>
          <w:sz w:val="24"/>
        </w:rPr>
        <w:t>2、典藏分配细则：</w:t>
      </w:r>
    </w:p>
    <w:p w14:paraId="11912F9E">
      <w:pPr>
        <w:pStyle w:val="19"/>
        <w:spacing w:line="360" w:lineRule="auto"/>
        <w:ind w:firstLine="0" w:firstLineChars="0"/>
        <w:rPr>
          <w:rFonts w:ascii="宋体" w:hAnsi="宋体" w:cs="宋体"/>
          <w:sz w:val="24"/>
          <w:szCs w:val="24"/>
        </w:rPr>
      </w:pPr>
      <w:r>
        <w:rPr>
          <w:rFonts w:hint="eastAsia" w:ascii="宋体" w:hAnsi="宋体" w:cs="宋体"/>
          <w:sz w:val="24"/>
          <w:szCs w:val="24"/>
        </w:rPr>
        <w:t>（1）明伦校区图书的类别：</w:t>
      </w:r>
    </w:p>
    <w:p w14:paraId="09DC7C7F">
      <w:pPr>
        <w:pStyle w:val="19"/>
        <w:spacing w:line="360" w:lineRule="auto"/>
        <w:ind w:left="360" w:firstLine="0" w:firstLineChars="0"/>
        <w:rPr>
          <w:rFonts w:ascii="宋体" w:hAnsi="宋体" w:cs="宋体"/>
          <w:sz w:val="24"/>
          <w:szCs w:val="24"/>
        </w:rPr>
      </w:pPr>
      <w:r>
        <w:rPr>
          <w:rFonts w:hint="eastAsia" w:ascii="宋体" w:hAnsi="宋体" w:cs="宋体"/>
          <w:sz w:val="24"/>
          <w:szCs w:val="24"/>
        </w:rPr>
        <w:t>A 马、列、毛、邓小平理论</w:t>
      </w:r>
    </w:p>
    <w:p w14:paraId="6AA0BB2C">
      <w:pPr>
        <w:pStyle w:val="19"/>
        <w:spacing w:line="360" w:lineRule="auto"/>
        <w:ind w:left="360" w:firstLine="0" w:firstLineChars="0"/>
        <w:rPr>
          <w:rFonts w:ascii="宋体" w:hAnsi="宋体" w:cs="宋体"/>
          <w:sz w:val="24"/>
          <w:szCs w:val="24"/>
        </w:rPr>
      </w:pPr>
      <w:r>
        <w:rPr>
          <w:rFonts w:hint="eastAsia" w:ascii="宋体" w:hAnsi="宋体" w:cs="宋体"/>
          <w:sz w:val="24"/>
          <w:szCs w:val="24"/>
        </w:rPr>
        <w:t>B21-B25；B83美学；B9宗教；</w:t>
      </w:r>
    </w:p>
    <w:p w14:paraId="3339792D">
      <w:pPr>
        <w:pStyle w:val="19"/>
        <w:spacing w:line="360" w:lineRule="auto"/>
        <w:ind w:left="360" w:firstLine="0" w:firstLineChars="0"/>
        <w:rPr>
          <w:rFonts w:ascii="宋体" w:hAnsi="宋体" w:cs="宋体"/>
          <w:sz w:val="24"/>
          <w:szCs w:val="24"/>
        </w:rPr>
      </w:pPr>
      <w:r>
        <w:rPr>
          <w:rFonts w:hint="eastAsia" w:ascii="宋体" w:hAnsi="宋体" w:cs="宋体"/>
          <w:sz w:val="24"/>
          <w:szCs w:val="24"/>
        </w:rPr>
        <w:t>C95民族学</w:t>
      </w:r>
    </w:p>
    <w:p w14:paraId="3EEA864B">
      <w:pPr>
        <w:pStyle w:val="19"/>
        <w:spacing w:line="360" w:lineRule="auto"/>
        <w:ind w:left="360" w:firstLine="0" w:firstLineChars="0"/>
        <w:rPr>
          <w:rFonts w:ascii="宋体" w:hAnsi="宋体" w:cs="宋体"/>
          <w:sz w:val="24"/>
          <w:szCs w:val="24"/>
        </w:rPr>
      </w:pPr>
      <w:r>
        <w:rPr>
          <w:rFonts w:hint="eastAsia" w:ascii="宋体" w:hAnsi="宋体" w:cs="宋体"/>
          <w:sz w:val="24"/>
          <w:szCs w:val="24"/>
        </w:rPr>
        <w:t>D23党史；D691明清政治制度；D9法律</w:t>
      </w:r>
    </w:p>
    <w:p w14:paraId="462EC802">
      <w:pPr>
        <w:pStyle w:val="19"/>
        <w:spacing w:line="360" w:lineRule="auto"/>
        <w:ind w:left="360" w:firstLine="0" w:firstLineChars="0"/>
        <w:rPr>
          <w:rFonts w:ascii="宋体" w:hAnsi="宋体" w:cs="宋体"/>
          <w:sz w:val="24"/>
          <w:szCs w:val="24"/>
        </w:rPr>
      </w:pPr>
      <w:r>
        <w:rPr>
          <w:rFonts w:hint="eastAsia" w:ascii="宋体" w:hAnsi="宋体" w:cs="宋体"/>
          <w:sz w:val="24"/>
          <w:szCs w:val="24"/>
        </w:rPr>
        <w:t>E军事</w:t>
      </w:r>
    </w:p>
    <w:p w14:paraId="0BBBC9A0">
      <w:pPr>
        <w:pStyle w:val="19"/>
        <w:spacing w:line="360" w:lineRule="auto"/>
        <w:ind w:left="360" w:firstLine="0" w:firstLineChars="0"/>
        <w:rPr>
          <w:rFonts w:ascii="宋体" w:hAnsi="宋体" w:cs="宋体"/>
          <w:sz w:val="24"/>
          <w:szCs w:val="24"/>
        </w:rPr>
      </w:pPr>
      <w:r>
        <w:rPr>
          <w:rFonts w:hint="eastAsia" w:ascii="宋体" w:hAnsi="宋体" w:cs="宋体"/>
          <w:sz w:val="24"/>
          <w:szCs w:val="24"/>
        </w:rPr>
        <w:t>F59旅游（或者涉及旅游专业的图书）；F713.8广告</w:t>
      </w:r>
    </w:p>
    <w:p w14:paraId="3E32AAE2">
      <w:pPr>
        <w:pStyle w:val="19"/>
        <w:spacing w:line="360" w:lineRule="auto"/>
        <w:ind w:left="360" w:firstLine="0" w:firstLineChars="0"/>
        <w:rPr>
          <w:rFonts w:ascii="宋体" w:hAnsi="宋体" w:cs="宋体"/>
          <w:sz w:val="24"/>
          <w:szCs w:val="24"/>
        </w:rPr>
      </w:pPr>
      <w:r>
        <w:rPr>
          <w:rFonts w:hint="eastAsia" w:ascii="宋体" w:hAnsi="宋体" w:cs="宋体"/>
          <w:sz w:val="24"/>
          <w:szCs w:val="24"/>
        </w:rPr>
        <w:t>G-G3（G25图书馆、信息事业，G306专利研究，G35情报学除外）；G8体育</w:t>
      </w:r>
    </w:p>
    <w:p w14:paraId="38D27CF0">
      <w:pPr>
        <w:pStyle w:val="19"/>
        <w:spacing w:line="360" w:lineRule="auto"/>
        <w:ind w:left="360" w:firstLine="0" w:firstLineChars="0"/>
        <w:rPr>
          <w:rFonts w:ascii="宋体" w:hAnsi="宋体" w:cs="宋体"/>
          <w:sz w:val="24"/>
          <w:szCs w:val="24"/>
        </w:rPr>
      </w:pPr>
      <w:r>
        <w:rPr>
          <w:rFonts w:hint="eastAsia" w:ascii="宋体" w:hAnsi="宋体" w:cs="宋体"/>
          <w:sz w:val="24"/>
          <w:szCs w:val="24"/>
        </w:rPr>
        <w:t>H语言；文字（其中“H31英语”按相关学科分到明伦校区或者金明校区）</w:t>
      </w:r>
    </w:p>
    <w:p w14:paraId="7E0FDF0C">
      <w:pPr>
        <w:pStyle w:val="19"/>
        <w:spacing w:line="360" w:lineRule="auto"/>
        <w:ind w:left="360" w:firstLine="0" w:firstLineChars="0"/>
        <w:rPr>
          <w:rFonts w:ascii="宋体" w:hAnsi="宋体" w:cs="宋体"/>
          <w:sz w:val="24"/>
          <w:szCs w:val="24"/>
        </w:rPr>
      </w:pPr>
      <w:r>
        <w:rPr>
          <w:rFonts w:hint="eastAsia" w:ascii="宋体" w:hAnsi="宋体" w:cs="宋体"/>
          <w:sz w:val="24"/>
          <w:szCs w:val="24"/>
        </w:rPr>
        <w:t>I文学（复本书金明和明伦平分）</w:t>
      </w:r>
    </w:p>
    <w:p w14:paraId="41ECC3B9">
      <w:pPr>
        <w:pStyle w:val="19"/>
        <w:spacing w:line="360" w:lineRule="auto"/>
        <w:ind w:left="360" w:firstLine="0" w:firstLineChars="0"/>
        <w:rPr>
          <w:rFonts w:ascii="宋体" w:hAnsi="宋体" w:cs="宋体"/>
          <w:sz w:val="24"/>
          <w:szCs w:val="24"/>
        </w:rPr>
      </w:pPr>
      <w:r>
        <w:rPr>
          <w:rFonts w:hint="eastAsia" w:ascii="宋体" w:hAnsi="宋体" w:cs="宋体"/>
          <w:sz w:val="24"/>
          <w:szCs w:val="24"/>
        </w:rPr>
        <w:t>J艺术</w:t>
      </w:r>
    </w:p>
    <w:p w14:paraId="331D6D7E">
      <w:pPr>
        <w:pStyle w:val="19"/>
        <w:spacing w:line="360" w:lineRule="auto"/>
        <w:ind w:left="360" w:firstLine="0" w:firstLineChars="0"/>
        <w:rPr>
          <w:rFonts w:ascii="宋体" w:hAnsi="宋体" w:cs="宋体"/>
          <w:sz w:val="24"/>
          <w:szCs w:val="24"/>
        </w:rPr>
      </w:pPr>
      <w:r>
        <w:rPr>
          <w:rFonts w:hint="eastAsia" w:ascii="宋体" w:hAnsi="宋体" w:cs="宋体"/>
          <w:sz w:val="24"/>
          <w:szCs w:val="24"/>
        </w:rPr>
        <w:t>K-K8（其中“K8”中人物传记按照相关学科入明伦校区或者金明校区）</w:t>
      </w:r>
    </w:p>
    <w:p w14:paraId="0AFE5A16">
      <w:pPr>
        <w:pStyle w:val="19"/>
        <w:spacing w:line="360" w:lineRule="auto"/>
        <w:ind w:left="360" w:firstLine="0" w:firstLineChars="0"/>
        <w:rPr>
          <w:rFonts w:ascii="宋体" w:hAnsi="宋体" w:cs="宋体"/>
          <w:sz w:val="24"/>
          <w:szCs w:val="24"/>
        </w:rPr>
      </w:pPr>
      <w:r>
        <w:rPr>
          <w:rFonts w:hint="eastAsia" w:ascii="宋体" w:hAnsi="宋体" w:cs="宋体"/>
          <w:sz w:val="24"/>
          <w:szCs w:val="24"/>
        </w:rPr>
        <w:t>具体为:</w:t>
      </w:r>
      <w:r>
        <w:rPr>
          <w:rFonts w:hint="eastAsia" w:ascii="宋体" w:hAnsi="宋体" w:cs="宋体"/>
          <w:sz w:val="24"/>
          <w:szCs w:val="24"/>
        </w:rPr>
        <w:fldChar w:fldCharType="begin"/>
      </w:r>
      <w:r>
        <w:rPr>
          <w:rFonts w:hint="eastAsia" w:ascii="宋体" w:hAnsi="宋体" w:cs="宋体"/>
          <w:sz w:val="24"/>
          <w:szCs w:val="24"/>
        </w:rPr>
        <w:instrText xml:space="preserve"> = 1 \* GB3 </w:instrText>
      </w:r>
      <w:r>
        <w:rPr>
          <w:rFonts w:hint="eastAsia" w:ascii="宋体" w:hAnsi="宋体" w:cs="宋体"/>
          <w:sz w:val="24"/>
          <w:szCs w:val="24"/>
        </w:rPr>
        <w:fldChar w:fldCharType="separate"/>
      </w:r>
      <w:r>
        <w:rPr>
          <w:rFonts w:hint="eastAsia" w:ascii="宋体" w:hAnsi="宋体" w:cs="宋体"/>
          <w:sz w:val="24"/>
          <w:szCs w:val="24"/>
        </w:rPr>
        <w:t>①</w:t>
      </w:r>
      <w:r>
        <w:rPr>
          <w:rFonts w:hint="eastAsia" w:ascii="宋体" w:hAnsi="宋体" w:cs="宋体"/>
          <w:sz w:val="24"/>
          <w:szCs w:val="24"/>
        </w:rPr>
        <w:fldChar w:fldCharType="end"/>
      </w:r>
      <w:r>
        <w:rPr>
          <w:rFonts w:hint="eastAsia" w:ascii="宋体" w:hAnsi="宋体" w:cs="宋体"/>
          <w:sz w:val="24"/>
          <w:szCs w:val="24"/>
        </w:rPr>
        <w:t>“K815、K825、K833-K837”按照相关学科入明伦校区或金明校区</w:t>
      </w:r>
    </w:p>
    <w:p w14:paraId="5AD2B344">
      <w:pPr>
        <w:pStyle w:val="19"/>
        <w:spacing w:line="360" w:lineRule="auto"/>
        <w:ind w:left="360" w:firstLine="0"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 xml:space="preserve"> K816、K826入金明校区</w:t>
      </w:r>
    </w:p>
    <w:p w14:paraId="60341729">
      <w:pPr>
        <w:pStyle w:val="19"/>
        <w:spacing w:line="360" w:lineRule="auto"/>
        <w:ind w:left="360" w:firstLine="0"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 3 \* GB3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 xml:space="preserve"> 其余入明伦校区</w:t>
      </w:r>
    </w:p>
    <w:p w14:paraId="49696978">
      <w:pPr>
        <w:pStyle w:val="19"/>
        <w:spacing w:line="360" w:lineRule="auto"/>
        <w:ind w:left="360" w:firstLine="0" w:firstLineChars="0"/>
        <w:rPr>
          <w:rFonts w:ascii="宋体" w:hAnsi="宋体" w:cs="宋体"/>
          <w:sz w:val="24"/>
          <w:szCs w:val="24"/>
        </w:rPr>
      </w:pPr>
      <w:r>
        <w:rPr>
          <w:rFonts w:hint="eastAsia" w:ascii="宋体" w:hAnsi="宋体" w:cs="宋体"/>
          <w:sz w:val="24"/>
          <w:szCs w:val="24"/>
        </w:rPr>
        <w:t>TS93-94工艺美术制品、工业及服装工业</w:t>
      </w:r>
    </w:p>
    <w:p w14:paraId="6BFFF7CF">
      <w:pPr>
        <w:pStyle w:val="19"/>
        <w:spacing w:line="360" w:lineRule="auto"/>
        <w:ind w:left="360" w:firstLine="0" w:firstLineChars="0"/>
        <w:rPr>
          <w:rFonts w:ascii="宋体" w:hAnsi="宋体" w:cs="宋体"/>
          <w:sz w:val="24"/>
          <w:szCs w:val="24"/>
        </w:rPr>
      </w:pPr>
      <w:r>
        <w:rPr>
          <w:rFonts w:hint="eastAsia" w:ascii="宋体" w:hAnsi="宋体" w:cs="宋体"/>
          <w:sz w:val="24"/>
          <w:szCs w:val="24"/>
        </w:rPr>
        <w:t>TS8</w:t>
      </w:r>
    </w:p>
    <w:p w14:paraId="55D2AA85">
      <w:pPr>
        <w:pStyle w:val="19"/>
        <w:spacing w:line="360" w:lineRule="auto"/>
        <w:ind w:left="360" w:firstLine="0" w:firstLineChars="0"/>
        <w:rPr>
          <w:rFonts w:ascii="宋体" w:hAnsi="宋体" w:cs="宋体"/>
          <w:sz w:val="24"/>
          <w:szCs w:val="24"/>
        </w:rPr>
      </w:pPr>
      <w:r>
        <w:rPr>
          <w:rFonts w:hint="eastAsia" w:ascii="宋体" w:hAnsi="宋体" w:cs="宋体"/>
          <w:sz w:val="24"/>
          <w:szCs w:val="24"/>
        </w:rPr>
        <w:t>Z综合性图书</w:t>
      </w:r>
    </w:p>
    <w:p w14:paraId="0DE4A6EE">
      <w:pPr>
        <w:pStyle w:val="19"/>
        <w:spacing w:line="360" w:lineRule="auto"/>
        <w:ind w:left="360" w:firstLine="0" w:firstLineChars="0"/>
        <w:rPr>
          <w:rFonts w:ascii="宋体" w:hAnsi="宋体" w:cs="宋体"/>
          <w:sz w:val="24"/>
          <w:szCs w:val="24"/>
        </w:rPr>
      </w:pPr>
    </w:p>
    <w:p w14:paraId="17E4C08B">
      <w:pPr>
        <w:spacing w:line="360" w:lineRule="auto"/>
        <w:jc w:val="center"/>
        <w:rPr>
          <w:rFonts w:ascii="宋体" w:hAnsi="宋体" w:cs="宋体"/>
          <w:sz w:val="24"/>
        </w:rPr>
      </w:pPr>
      <w:r>
        <w:rPr>
          <w:rFonts w:hint="eastAsia" w:ascii="宋体" w:hAnsi="宋体" w:cs="宋体"/>
          <w:sz w:val="24"/>
        </w:rPr>
        <w:t>明伦校区图书馆各书库图书分布一览表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103"/>
      </w:tblGrid>
      <w:tr w14:paraId="37F9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6" w:type="dxa"/>
          </w:tcPr>
          <w:p w14:paraId="3DBB644C">
            <w:pPr>
              <w:spacing w:line="360" w:lineRule="auto"/>
              <w:jc w:val="center"/>
              <w:rPr>
                <w:rFonts w:ascii="宋体" w:hAnsi="宋体" w:cs="宋体"/>
                <w:sz w:val="24"/>
              </w:rPr>
            </w:pPr>
            <w:r>
              <w:rPr>
                <w:rFonts w:hint="eastAsia" w:ascii="宋体" w:hAnsi="宋体" w:cs="宋体"/>
                <w:sz w:val="24"/>
              </w:rPr>
              <w:t>明伦校区</w:t>
            </w:r>
          </w:p>
        </w:tc>
        <w:tc>
          <w:tcPr>
            <w:tcW w:w="1843" w:type="dxa"/>
          </w:tcPr>
          <w:p w14:paraId="59037C3E">
            <w:pPr>
              <w:snapToGrid w:val="0"/>
              <w:spacing w:line="360" w:lineRule="auto"/>
              <w:jc w:val="center"/>
              <w:rPr>
                <w:rFonts w:ascii="宋体" w:hAnsi="宋体" w:cs="宋体"/>
                <w:sz w:val="24"/>
              </w:rPr>
            </w:pPr>
            <w:r>
              <w:rPr>
                <w:rFonts w:hint="eastAsia" w:ascii="宋体" w:hAnsi="宋体" w:cs="宋体"/>
                <w:sz w:val="24"/>
              </w:rPr>
              <w:t>书库名称</w:t>
            </w:r>
          </w:p>
        </w:tc>
        <w:tc>
          <w:tcPr>
            <w:tcW w:w="5103" w:type="dxa"/>
            <w:vAlign w:val="center"/>
          </w:tcPr>
          <w:p w14:paraId="75C23F0C">
            <w:pPr>
              <w:spacing w:line="360" w:lineRule="auto"/>
              <w:jc w:val="center"/>
              <w:rPr>
                <w:rFonts w:ascii="宋体" w:hAnsi="宋体" w:cs="宋体"/>
                <w:sz w:val="24"/>
              </w:rPr>
            </w:pPr>
            <w:r>
              <w:rPr>
                <w:rFonts w:hint="eastAsia" w:ascii="宋体" w:hAnsi="宋体" w:cs="宋体"/>
                <w:sz w:val="24"/>
              </w:rPr>
              <w:t>中图法图书分布情况</w:t>
            </w:r>
          </w:p>
        </w:tc>
      </w:tr>
      <w:tr w14:paraId="6EC6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14:paraId="7D4D419C">
            <w:pPr>
              <w:spacing w:line="360" w:lineRule="auto"/>
              <w:jc w:val="center"/>
              <w:rPr>
                <w:rFonts w:ascii="宋体" w:hAnsi="宋体" w:cs="宋体"/>
                <w:sz w:val="24"/>
              </w:rPr>
            </w:pPr>
            <w:r>
              <w:rPr>
                <w:rFonts w:hint="eastAsia" w:ascii="宋体" w:hAnsi="宋体" w:cs="宋体"/>
                <w:sz w:val="24"/>
              </w:rPr>
              <w:t>明伦基藏</w:t>
            </w:r>
          </w:p>
        </w:tc>
        <w:tc>
          <w:tcPr>
            <w:tcW w:w="1843" w:type="dxa"/>
            <w:tcBorders>
              <w:top w:val="single" w:color="auto" w:sz="4" w:space="0"/>
              <w:left w:val="single" w:color="auto" w:sz="4" w:space="0"/>
              <w:bottom w:val="single" w:color="auto" w:sz="4" w:space="0"/>
              <w:right w:val="single" w:color="auto" w:sz="4" w:space="0"/>
            </w:tcBorders>
            <w:vAlign w:val="center"/>
          </w:tcPr>
          <w:p w14:paraId="17DAFCE7">
            <w:pPr>
              <w:spacing w:line="360" w:lineRule="auto"/>
              <w:jc w:val="center"/>
              <w:rPr>
                <w:rFonts w:ascii="宋体" w:hAnsi="宋体" w:cs="宋体"/>
                <w:sz w:val="24"/>
              </w:rPr>
            </w:pPr>
            <w:r>
              <w:rPr>
                <w:rFonts w:hint="eastAsia" w:ascii="宋体" w:hAnsi="宋体" w:cs="宋体"/>
                <w:sz w:val="24"/>
              </w:rPr>
              <w:t>东馆五楼书库</w:t>
            </w:r>
          </w:p>
        </w:tc>
        <w:tc>
          <w:tcPr>
            <w:tcW w:w="5103" w:type="dxa"/>
            <w:tcBorders>
              <w:top w:val="single" w:color="auto" w:sz="4" w:space="0"/>
              <w:left w:val="single" w:color="auto" w:sz="4" w:space="0"/>
              <w:bottom w:val="single" w:color="auto" w:sz="4" w:space="0"/>
              <w:right w:val="single" w:color="auto" w:sz="4" w:space="0"/>
            </w:tcBorders>
            <w:vAlign w:val="center"/>
          </w:tcPr>
          <w:p w14:paraId="4724EDE1">
            <w:pPr>
              <w:spacing w:line="360" w:lineRule="auto"/>
              <w:jc w:val="center"/>
              <w:rPr>
                <w:rFonts w:ascii="宋体" w:hAnsi="宋体" w:cs="宋体"/>
                <w:sz w:val="24"/>
              </w:rPr>
            </w:pPr>
            <w:r>
              <w:rPr>
                <w:rFonts w:hint="eastAsia" w:ascii="宋体" w:hAnsi="宋体" w:cs="宋体"/>
                <w:sz w:val="24"/>
              </w:rPr>
              <w:t>外文原版：A、B、C、D、E、F、G、H、I、J、K 、TS、Z</w:t>
            </w:r>
          </w:p>
        </w:tc>
      </w:tr>
      <w:tr w14:paraId="12E1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5517F21F">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2B06342">
            <w:pPr>
              <w:spacing w:line="360" w:lineRule="auto"/>
              <w:jc w:val="center"/>
              <w:rPr>
                <w:rFonts w:ascii="宋体" w:hAnsi="宋体" w:cs="宋体"/>
                <w:sz w:val="24"/>
              </w:rPr>
            </w:pPr>
            <w:r>
              <w:rPr>
                <w:rFonts w:hint="eastAsia" w:ascii="宋体" w:hAnsi="宋体" w:cs="宋体"/>
                <w:sz w:val="24"/>
              </w:rPr>
              <w:t>东馆四楼书库</w:t>
            </w:r>
          </w:p>
        </w:tc>
        <w:tc>
          <w:tcPr>
            <w:tcW w:w="5103" w:type="dxa"/>
            <w:tcBorders>
              <w:top w:val="single" w:color="auto" w:sz="4" w:space="0"/>
              <w:left w:val="single" w:color="auto" w:sz="4" w:space="0"/>
              <w:bottom w:val="single" w:color="auto" w:sz="4" w:space="0"/>
              <w:right w:val="single" w:color="auto" w:sz="4" w:space="0"/>
            </w:tcBorders>
            <w:vAlign w:val="center"/>
          </w:tcPr>
          <w:p w14:paraId="13DCA635">
            <w:pPr>
              <w:spacing w:line="360" w:lineRule="auto"/>
              <w:jc w:val="center"/>
              <w:rPr>
                <w:rFonts w:ascii="宋体" w:hAnsi="宋体" w:cs="宋体"/>
                <w:sz w:val="24"/>
              </w:rPr>
            </w:pPr>
            <w:r>
              <w:rPr>
                <w:rFonts w:hint="eastAsia" w:ascii="宋体" w:hAnsi="宋体" w:cs="宋体"/>
                <w:sz w:val="24"/>
              </w:rPr>
              <w:t>H、I、J</w:t>
            </w:r>
          </w:p>
        </w:tc>
      </w:tr>
      <w:tr w14:paraId="26A1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76" w:type="dxa"/>
            <w:vMerge w:val="continue"/>
            <w:vAlign w:val="center"/>
          </w:tcPr>
          <w:p w14:paraId="5CE9294A">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7E1F424">
            <w:pPr>
              <w:spacing w:line="360" w:lineRule="auto"/>
              <w:jc w:val="center"/>
              <w:rPr>
                <w:rFonts w:ascii="宋体" w:hAnsi="宋体" w:cs="宋体"/>
                <w:sz w:val="24"/>
              </w:rPr>
            </w:pPr>
            <w:r>
              <w:rPr>
                <w:rFonts w:hint="eastAsia" w:ascii="宋体" w:hAnsi="宋体" w:cs="宋体"/>
                <w:sz w:val="24"/>
              </w:rPr>
              <w:t>东馆三楼书库</w:t>
            </w:r>
          </w:p>
        </w:tc>
        <w:tc>
          <w:tcPr>
            <w:tcW w:w="5103" w:type="dxa"/>
            <w:tcBorders>
              <w:top w:val="single" w:color="auto" w:sz="4" w:space="0"/>
              <w:left w:val="single" w:color="auto" w:sz="4" w:space="0"/>
              <w:bottom w:val="single" w:color="auto" w:sz="4" w:space="0"/>
              <w:right w:val="single" w:color="auto" w:sz="4" w:space="0"/>
            </w:tcBorders>
            <w:vAlign w:val="center"/>
          </w:tcPr>
          <w:p w14:paraId="325FF760">
            <w:pPr>
              <w:spacing w:line="360" w:lineRule="auto"/>
              <w:jc w:val="center"/>
              <w:rPr>
                <w:rFonts w:ascii="宋体" w:hAnsi="宋体" w:cs="宋体"/>
                <w:sz w:val="24"/>
              </w:rPr>
            </w:pPr>
            <w:r>
              <w:rPr>
                <w:rFonts w:hint="eastAsia" w:ascii="宋体" w:hAnsi="宋体" w:cs="宋体"/>
                <w:sz w:val="24"/>
              </w:rPr>
              <w:t>A、B、C、D、E、F、G、K、TS、Z</w:t>
            </w:r>
          </w:p>
        </w:tc>
      </w:tr>
      <w:tr w14:paraId="068C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6" w:type="dxa"/>
            <w:vMerge w:val="continue"/>
            <w:vAlign w:val="center"/>
          </w:tcPr>
          <w:p w14:paraId="2B11228A">
            <w:pPr>
              <w:spacing w:line="360" w:lineRule="auto"/>
              <w:jc w:val="center"/>
              <w:rPr>
                <w:rFonts w:ascii="宋体" w:hAnsi="宋体" w:cs="宋体"/>
                <w:sz w:val="24"/>
              </w:rPr>
            </w:pPr>
            <w:r>
              <w:rPr>
                <w:rFonts w:hint="eastAsia" w:ascii="宋体" w:hAnsi="宋体" w:cs="宋体"/>
                <w:sz w:val="24"/>
              </w:rPr>
              <w:t>明伦</w:t>
            </w:r>
          </w:p>
        </w:tc>
        <w:tc>
          <w:tcPr>
            <w:tcW w:w="1843" w:type="dxa"/>
            <w:tcBorders>
              <w:top w:val="single" w:color="auto" w:sz="4" w:space="0"/>
              <w:left w:val="single" w:color="auto" w:sz="4" w:space="0"/>
              <w:bottom w:val="single" w:color="auto" w:sz="4" w:space="0"/>
              <w:right w:val="single" w:color="auto" w:sz="4" w:space="0"/>
            </w:tcBorders>
            <w:vAlign w:val="center"/>
          </w:tcPr>
          <w:p w14:paraId="4B66C98B">
            <w:pPr>
              <w:spacing w:line="360" w:lineRule="auto"/>
              <w:jc w:val="center"/>
              <w:rPr>
                <w:rFonts w:ascii="宋体" w:hAnsi="宋体" w:cs="宋体"/>
                <w:sz w:val="24"/>
              </w:rPr>
            </w:pPr>
            <w:r>
              <w:rPr>
                <w:rFonts w:hint="eastAsia" w:ascii="宋体" w:hAnsi="宋体" w:cs="宋体"/>
                <w:sz w:val="24"/>
              </w:rPr>
              <w:t>东馆二楼书库</w:t>
            </w:r>
          </w:p>
        </w:tc>
        <w:tc>
          <w:tcPr>
            <w:tcW w:w="5103" w:type="dxa"/>
            <w:tcBorders>
              <w:top w:val="single" w:color="auto" w:sz="4" w:space="0"/>
              <w:left w:val="single" w:color="auto" w:sz="4" w:space="0"/>
              <w:bottom w:val="single" w:color="auto" w:sz="4" w:space="0"/>
              <w:right w:val="single" w:color="auto" w:sz="4" w:space="0"/>
            </w:tcBorders>
            <w:vAlign w:val="center"/>
          </w:tcPr>
          <w:p w14:paraId="414EC94A">
            <w:pPr>
              <w:spacing w:line="360" w:lineRule="auto"/>
              <w:jc w:val="center"/>
              <w:rPr>
                <w:rFonts w:ascii="宋体" w:hAnsi="宋体" w:cs="宋体"/>
                <w:sz w:val="24"/>
              </w:rPr>
            </w:pPr>
            <w:r>
              <w:rPr>
                <w:rFonts w:hint="eastAsia" w:ascii="宋体" w:hAnsi="宋体" w:cs="宋体"/>
                <w:sz w:val="24"/>
              </w:rPr>
              <w:t>大套丛书</w:t>
            </w:r>
          </w:p>
        </w:tc>
      </w:tr>
      <w:tr w14:paraId="3669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14:paraId="68C70B5C">
            <w:pPr>
              <w:spacing w:line="360" w:lineRule="auto"/>
              <w:jc w:val="center"/>
              <w:rPr>
                <w:rFonts w:ascii="宋体" w:hAnsi="宋体" w:cs="宋体"/>
                <w:sz w:val="24"/>
              </w:rPr>
            </w:pPr>
            <w:r>
              <w:rPr>
                <w:rFonts w:hint="eastAsia" w:ascii="宋体" w:hAnsi="宋体" w:cs="宋体"/>
                <w:sz w:val="24"/>
              </w:rPr>
              <w:t>明伦流通</w:t>
            </w:r>
          </w:p>
        </w:tc>
        <w:tc>
          <w:tcPr>
            <w:tcW w:w="1843" w:type="dxa"/>
            <w:tcBorders>
              <w:top w:val="single" w:color="auto" w:sz="4" w:space="0"/>
              <w:left w:val="single" w:color="auto" w:sz="4" w:space="0"/>
              <w:bottom w:val="single" w:color="auto" w:sz="4" w:space="0"/>
              <w:right w:val="single" w:color="auto" w:sz="4" w:space="0"/>
            </w:tcBorders>
            <w:vAlign w:val="center"/>
          </w:tcPr>
          <w:p w14:paraId="370BB7B1">
            <w:pPr>
              <w:spacing w:line="360" w:lineRule="auto"/>
              <w:jc w:val="center"/>
              <w:rPr>
                <w:rFonts w:ascii="宋体" w:hAnsi="宋体" w:cs="宋体"/>
                <w:sz w:val="24"/>
              </w:rPr>
            </w:pPr>
            <w:r>
              <w:rPr>
                <w:rFonts w:hint="eastAsia" w:ascii="宋体" w:hAnsi="宋体" w:cs="宋体"/>
                <w:sz w:val="24"/>
              </w:rPr>
              <w:t>第一借书处</w:t>
            </w:r>
          </w:p>
        </w:tc>
        <w:tc>
          <w:tcPr>
            <w:tcW w:w="5103" w:type="dxa"/>
            <w:tcBorders>
              <w:top w:val="single" w:color="auto" w:sz="4" w:space="0"/>
              <w:left w:val="single" w:color="auto" w:sz="4" w:space="0"/>
              <w:bottom w:val="single" w:color="auto" w:sz="4" w:space="0"/>
              <w:right w:val="single" w:color="auto" w:sz="4" w:space="0"/>
            </w:tcBorders>
            <w:vAlign w:val="center"/>
          </w:tcPr>
          <w:p w14:paraId="5792D106">
            <w:pPr>
              <w:spacing w:line="360" w:lineRule="auto"/>
              <w:jc w:val="center"/>
              <w:rPr>
                <w:rFonts w:ascii="宋体" w:hAnsi="宋体" w:cs="宋体"/>
                <w:sz w:val="24"/>
              </w:rPr>
            </w:pPr>
            <w:r>
              <w:rPr>
                <w:rFonts w:hint="eastAsia" w:ascii="宋体" w:hAnsi="宋体" w:cs="宋体"/>
                <w:sz w:val="24"/>
              </w:rPr>
              <w:t>A、B、C、D、E、F、G</w:t>
            </w:r>
          </w:p>
        </w:tc>
      </w:tr>
      <w:tr w14:paraId="31C9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10A658E7">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8AD57EE">
            <w:pPr>
              <w:spacing w:line="360" w:lineRule="auto"/>
              <w:jc w:val="center"/>
              <w:rPr>
                <w:rFonts w:ascii="宋体" w:hAnsi="宋体" w:cs="宋体"/>
                <w:sz w:val="24"/>
              </w:rPr>
            </w:pPr>
            <w:r>
              <w:rPr>
                <w:rFonts w:hint="eastAsia" w:ascii="宋体" w:hAnsi="宋体" w:cs="宋体"/>
                <w:sz w:val="24"/>
              </w:rPr>
              <w:t>第一借书处二楼夹层</w:t>
            </w:r>
          </w:p>
        </w:tc>
        <w:tc>
          <w:tcPr>
            <w:tcW w:w="5103" w:type="dxa"/>
            <w:tcBorders>
              <w:top w:val="single" w:color="auto" w:sz="4" w:space="0"/>
              <w:left w:val="single" w:color="auto" w:sz="4" w:space="0"/>
              <w:bottom w:val="single" w:color="auto" w:sz="4" w:space="0"/>
              <w:right w:val="single" w:color="auto" w:sz="4" w:space="0"/>
            </w:tcBorders>
            <w:vAlign w:val="center"/>
          </w:tcPr>
          <w:p w14:paraId="0D132047">
            <w:pPr>
              <w:spacing w:line="360" w:lineRule="auto"/>
              <w:jc w:val="center"/>
              <w:rPr>
                <w:rFonts w:ascii="宋体" w:hAnsi="宋体" w:cs="宋体"/>
                <w:sz w:val="24"/>
              </w:rPr>
            </w:pPr>
            <w:r>
              <w:rPr>
                <w:rFonts w:hint="eastAsia" w:ascii="宋体" w:hAnsi="宋体" w:cs="宋体"/>
                <w:sz w:val="24"/>
              </w:rPr>
              <w:t>H、J、K、TS、Z</w:t>
            </w:r>
          </w:p>
        </w:tc>
      </w:tr>
      <w:tr w14:paraId="0393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2CFA59E9">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B5812BE">
            <w:pPr>
              <w:spacing w:line="360" w:lineRule="auto"/>
              <w:jc w:val="center"/>
              <w:rPr>
                <w:rFonts w:ascii="宋体" w:hAnsi="宋体" w:cs="宋体"/>
                <w:sz w:val="24"/>
              </w:rPr>
            </w:pPr>
            <w:r>
              <w:rPr>
                <w:rFonts w:hint="eastAsia" w:ascii="宋体" w:hAnsi="宋体" w:cs="宋体"/>
                <w:sz w:val="24"/>
              </w:rPr>
              <w:t>第二借书处</w:t>
            </w:r>
          </w:p>
        </w:tc>
        <w:tc>
          <w:tcPr>
            <w:tcW w:w="5103" w:type="dxa"/>
            <w:tcBorders>
              <w:top w:val="single" w:color="auto" w:sz="4" w:space="0"/>
              <w:left w:val="single" w:color="auto" w:sz="4" w:space="0"/>
              <w:bottom w:val="single" w:color="auto" w:sz="4" w:space="0"/>
              <w:right w:val="single" w:color="auto" w:sz="4" w:space="0"/>
            </w:tcBorders>
            <w:vAlign w:val="center"/>
          </w:tcPr>
          <w:p w14:paraId="1CD3C75C">
            <w:pPr>
              <w:spacing w:line="360" w:lineRule="auto"/>
              <w:jc w:val="center"/>
              <w:rPr>
                <w:rFonts w:ascii="宋体" w:hAnsi="宋体" w:cs="宋体"/>
                <w:sz w:val="24"/>
              </w:rPr>
            </w:pPr>
            <w:r>
              <w:rPr>
                <w:rFonts w:hint="eastAsia" w:ascii="宋体" w:hAnsi="宋体" w:cs="宋体"/>
                <w:sz w:val="24"/>
              </w:rPr>
              <w:t>I</w:t>
            </w:r>
          </w:p>
        </w:tc>
      </w:tr>
    </w:tbl>
    <w:p w14:paraId="5B2E68C6">
      <w:pPr>
        <w:pStyle w:val="19"/>
        <w:spacing w:line="360" w:lineRule="auto"/>
        <w:ind w:firstLine="0" w:firstLineChars="0"/>
        <w:rPr>
          <w:rFonts w:ascii="宋体" w:hAnsi="宋体" w:cs="宋体"/>
          <w:sz w:val="24"/>
          <w:szCs w:val="24"/>
        </w:rPr>
      </w:pPr>
      <w:r>
        <w:rPr>
          <w:rFonts w:hint="eastAsia" w:ascii="宋体" w:hAnsi="宋体" w:cs="宋体"/>
          <w:sz w:val="24"/>
          <w:szCs w:val="24"/>
        </w:rPr>
        <w:t>（2）金明校区图书的主要类别：</w:t>
      </w:r>
    </w:p>
    <w:p w14:paraId="1E7649BA">
      <w:pPr>
        <w:spacing w:line="360" w:lineRule="auto"/>
        <w:ind w:firstLine="420"/>
        <w:rPr>
          <w:rFonts w:ascii="宋体" w:hAnsi="宋体" w:cs="宋体"/>
          <w:sz w:val="24"/>
        </w:rPr>
      </w:pPr>
      <w:r>
        <w:rPr>
          <w:rFonts w:hint="eastAsia" w:ascii="宋体" w:hAnsi="宋体" w:cs="宋体"/>
          <w:sz w:val="24"/>
        </w:rPr>
        <w:t>B大类中除B21-B25、B83美学、B9宗教外，其余B大类全部放入金明校区。</w:t>
      </w:r>
    </w:p>
    <w:p w14:paraId="3AF71739">
      <w:pPr>
        <w:spacing w:line="360" w:lineRule="auto"/>
        <w:ind w:firstLine="420"/>
        <w:rPr>
          <w:rFonts w:ascii="宋体" w:hAnsi="宋体" w:cs="宋体"/>
          <w:sz w:val="24"/>
        </w:rPr>
      </w:pPr>
      <w:r>
        <w:rPr>
          <w:rFonts w:hint="eastAsia" w:ascii="宋体" w:hAnsi="宋体" w:cs="宋体"/>
          <w:sz w:val="24"/>
        </w:rPr>
        <w:t>C社会科学总论（C95民族学除外）</w:t>
      </w:r>
    </w:p>
    <w:p w14:paraId="3442B774">
      <w:pPr>
        <w:spacing w:line="360" w:lineRule="auto"/>
        <w:ind w:left="479" w:leftChars="228"/>
        <w:rPr>
          <w:rFonts w:ascii="宋体" w:hAnsi="宋体" w:cs="宋体"/>
          <w:sz w:val="24"/>
        </w:rPr>
      </w:pPr>
      <w:r>
        <w:rPr>
          <w:rFonts w:hint="eastAsia" w:ascii="宋体" w:hAnsi="宋体" w:cs="宋体"/>
          <w:sz w:val="24"/>
        </w:rPr>
        <w:t>D政治；法律（D23党史；D691；D9法律除外，D913知识产权同时入明伦金明）</w:t>
      </w:r>
    </w:p>
    <w:p w14:paraId="7E84BD7F">
      <w:pPr>
        <w:spacing w:line="360" w:lineRule="auto"/>
        <w:ind w:firstLine="420"/>
        <w:rPr>
          <w:rFonts w:ascii="宋体" w:hAnsi="宋体" w:cs="宋体"/>
          <w:sz w:val="24"/>
        </w:rPr>
      </w:pPr>
      <w:r>
        <w:rPr>
          <w:rFonts w:hint="eastAsia" w:ascii="宋体" w:hAnsi="宋体" w:cs="宋体"/>
          <w:sz w:val="24"/>
        </w:rPr>
        <w:t>F经济；（F59旅游；F713.8广告除外）</w:t>
      </w:r>
    </w:p>
    <w:p w14:paraId="4566A19B">
      <w:pPr>
        <w:spacing w:line="360" w:lineRule="auto"/>
        <w:ind w:firstLine="420"/>
        <w:rPr>
          <w:rFonts w:ascii="宋体" w:hAnsi="宋体" w:cs="宋体"/>
          <w:sz w:val="24"/>
        </w:rPr>
      </w:pPr>
      <w:r>
        <w:rPr>
          <w:rFonts w:hint="eastAsia" w:ascii="宋体" w:hAnsi="宋体" w:cs="宋体"/>
          <w:sz w:val="24"/>
        </w:rPr>
        <w:t>G25图书馆、信息事业，G306专利研究，G35情报学，G4-G7教育</w:t>
      </w:r>
    </w:p>
    <w:p w14:paraId="0D528384">
      <w:pPr>
        <w:spacing w:line="360" w:lineRule="auto"/>
        <w:ind w:firstLine="420"/>
        <w:rPr>
          <w:rFonts w:ascii="宋体" w:hAnsi="宋体" w:cs="宋体"/>
          <w:sz w:val="24"/>
        </w:rPr>
      </w:pPr>
      <w:r>
        <w:rPr>
          <w:rFonts w:hint="eastAsia" w:ascii="宋体" w:hAnsi="宋体" w:cs="宋体"/>
          <w:sz w:val="24"/>
        </w:rPr>
        <w:t>K9地理</w:t>
      </w:r>
    </w:p>
    <w:p w14:paraId="318C0804">
      <w:pPr>
        <w:spacing w:line="360" w:lineRule="auto"/>
        <w:ind w:firstLine="420"/>
        <w:rPr>
          <w:rFonts w:ascii="宋体" w:hAnsi="宋体" w:cs="宋体"/>
          <w:sz w:val="24"/>
        </w:rPr>
      </w:pPr>
      <w:r>
        <w:rPr>
          <w:rFonts w:hint="eastAsia" w:ascii="宋体" w:hAnsi="宋体" w:cs="宋体"/>
          <w:sz w:val="24"/>
        </w:rPr>
        <w:t>N自然科学总论</w:t>
      </w:r>
    </w:p>
    <w:p w14:paraId="641C499B">
      <w:pPr>
        <w:spacing w:line="360" w:lineRule="auto"/>
        <w:ind w:firstLine="420"/>
        <w:rPr>
          <w:rFonts w:ascii="宋体" w:hAnsi="宋体" w:cs="宋体"/>
          <w:sz w:val="24"/>
        </w:rPr>
      </w:pPr>
      <w:r>
        <w:rPr>
          <w:rFonts w:hint="eastAsia" w:ascii="宋体" w:hAnsi="宋体" w:cs="宋体"/>
          <w:sz w:val="24"/>
        </w:rPr>
        <w:t>O数理科学和化学</w:t>
      </w:r>
    </w:p>
    <w:p w14:paraId="2C40BC71">
      <w:pPr>
        <w:spacing w:line="360" w:lineRule="auto"/>
        <w:ind w:firstLine="420"/>
        <w:rPr>
          <w:rFonts w:ascii="宋体" w:hAnsi="宋体" w:cs="宋体"/>
          <w:sz w:val="24"/>
        </w:rPr>
      </w:pPr>
      <w:r>
        <w:rPr>
          <w:rFonts w:hint="eastAsia" w:ascii="宋体" w:hAnsi="宋体" w:cs="宋体"/>
          <w:sz w:val="24"/>
        </w:rPr>
        <w:t>P天文学、地球科学</w:t>
      </w:r>
    </w:p>
    <w:p w14:paraId="4A89FB90">
      <w:pPr>
        <w:spacing w:line="360" w:lineRule="auto"/>
        <w:ind w:firstLine="420"/>
        <w:rPr>
          <w:rFonts w:ascii="宋体" w:hAnsi="宋体" w:cs="宋体"/>
          <w:sz w:val="24"/>
        </w:rPr>
      </w:pPr>
      <w:r>
        <w:rPr>
          <w:rFonts w:hint="eastAsia" w:ascii="宋体" w:hAnsi="宋体" w:cs="宋体"/>
          <w:sz w:val="24"/>
        </w:rPr>
        <w:t>Q生物科学</w:t>
      </w:r>
    </w:p>
    <w:p w14:paraId="2A84AC37">
      <w:pPr>
        <w:spacing w:line="360" w:lineRule="auto"/>
        <w:ind w:firstLine="420"/>
        <w:rPr>
          <w:rFonts w:ascii="宋体" w:hAnsi="宋体" w:cs="宋体"/>
          <w:sz w:val="24"/>
        </w:rPr>
      </w:pPr>
      <w:r>
        <w:rPr>
          <w:rFonts w:hint="eastAsia" w:ascii="宋体" w:hAnsi="宋体" w:cs="宋体"/>
          <w:sz w:val="24"/>
        </w:rPr>
        <w:t>R医药、卫生</w:t>
      </w:r>
    </w:p>
    <w:p w14:paraId="3ECF78D9">
      <w:pPr>
        <w:spacing w:line="360" w:lineRule="auto"/>
        <w:ind w:firstLine="420"/>
        <w:rPr>
          <w:rFonts w:ascii="宋体" w:hAnsi="宋体" w:cs="宋体"/>
          <w:sz w:val="24"/>
        </w:rPr>
      </w:pPr>
      <w:r>
        <w:rPr>
          <w:rFonts w:hint="eastAsia" w:ascii="宋体" w:hAnsi="宋体" w:cs="宋体"/>
          <w:sz w:val="24"/>
        </w:rPr>
        <w:t>S农业科学</w:t>
      </w:r>
    </w:p>
    <w:p w14:paraId="385BDF85">
      <w:pPr>
        <w:pStyle w:val="19"/>
        <w:spacing w:line="360" w:lineRule="auto"/>
        <w:ind w:left="360" w:firstLine="0" w:firstLineChars="0"/>
        <w:rPr>
          <w:rFonts w:ascii="宋体" w:hAnsi="宋体" w:cs="宋体"/>
          <w:sz w:val="24"/>
          <w:szCs w:val="24"/>
        </w:rPr>
      </w:pPr>
      <w:r>
        <w:rPr>
          <w:rFonts w:hint="eastAsia" w:ascii="宋体" w:hAnsi="宋体" w:cs="宋体"/>
          <w:sz w:val="24"/>
          <w:szCs w:val="24"/>
        </w:rPr>
        <w:t>T工业技术（TS93-94工艺美术制品、工业及服装工业及TS8除外）</w:t>
      </w:r>
    </w:p>
    <w:p w14:paraId="379ABE1E">
      <w:pPr>
        <w:pStyle w:val="19"/>
        <w:spacing w:line="360" w:lineRule="auto"/>
        <w:ind w:left="360" w:firstLine="0" w:firstLineChars="0"/>
        <w:rPr>
          <w:rFonts w:ascii="宋体" w:hAnsi="宋体" w:cs="宋体"/>
          <w:sz w:val="24"/>
          <w:szCs w:val="24"/>
        </w:rPr>
      </w:pPr>
      <w:r>
        <w:rPr>
          <w:rFonts w:hint="eastAsia" w:ascii="宋体" w:hAnsi="宋体" w:cs="宋体"/>
          <w:sz w:val="24"/>
          <w:szCs w:val="24"/>
        </w:rPr>
        <w:t>U交通运输</w:t>
      </w:r>
    </w:p>
    <w:p w14:paraId="467C65B5">
      <w:pPr>
        <w:pStyle w:val="19"/>
        <w:spacing w:line="360" w:lineRule="auto"/>
        <w:ind w:left="360" w:firstLine="0" w:firstLineChars="0"/>
        <w:rPr>
          <w:rFonts w:ascii="宋体" w:hAnsi="宋体" w:cs="宋体"/>
          <w:sz w:val="24"/>
          <w:szCs w:val="24"/>
        </w:rPr>
      </w:pPr>
      <w:r>
        <w:rPr>
          <w:rFonts w:hint="eastAsia" w:ascii="宋体" w:hAnsi="宋体" w:cs="宋体"/>
          <w:sz w:val="24"/>
          <w:szCs w:val="24"/>
        </w:rPr>
        <w:t>V航空、航天</w:t>
      </w:r>
    </w:p>
    <w:p w14:paraId="2D569E4E">
      <w:pPr>
        <w:pStyle w:val="19"/>
        <w:spacing w:line="360" w:lineRule="auto"/>
        <w:ind w:left="360" w:firstLine="0" w:firstLineChars="0"/>
        <w:rPr>
          <w:rFonts w:ascii="宋体" w:hAnsi="宋体" w:cs="宋体"/>
          <w:sz w:val="24"/>
          <w:szCs w:val="24"/>
        </w:rPr>
      </w:pPr>
      <w:r>
        <w:rPr>
          <w:rFonts w:hint="eastAsia" w:ascii="宋体" w:hAnsi="宋体" w:cs="宋体"/>
          <w:sz w:val="24"/>
          <w:szCs w:val="24"/>
        </w:rPr>
        <w:t>X环境科学、安全科学</w:t>
      </w:r>
    </w:p>
    <w:p w14:paraId="6F03F019">
      <w:pPr>
        <w:pStyle w:val="19"/>
        <w:spacing w:line="360" w:lineRule="auto"/>
        <w:ind w:left="360" w:firstLine="0" w:firstLineChars="0"/>
        <w:rPr>
          <w:rFonts w:ascii="宋体" w:hAnsi="宋体" w:cs="宋体"/>
          <w:sz w:val="24"/>
          <w:szCs w:val="24"/>
        </w:rPr>
      </w:pPr>
      <w:r>
        <w:rPr>
          <w:rFonts w:hint="eastAsia" w:ascii="宋体" w:hAnsi="宋体" w:cs="宋体"/>
          <w:sz w:val="24"/>
          <w:szCs w:val="24"/>
        </w:rPr>
        <w:t>Z综合性图书</w:t>
      </w:r>
    </w:p>
    <w:p w14:paraId="051EE027">
      <w:pPr>
        <w:pStyle w:val="19"/>
        <w:spacing w:line="360" w:lineRule="auto"/>
        <w:ind w:left="360" w:firstLine="0" w:firstLineChars="0"/>
        <w:rPr>
          <w:rFonts w:ascii="宋体" w:hAnsi="宋体" w:cs="宋体"/>
          <w:sz w:val="24"/>
          <w:szCs w:val="24"/>
        </w:rPr>
      </w:pPr>
    </w:p>
    <w:p w14:paraId="0C89EF65">
      <w:pPr>
        <w:spacing w:line="360" w:lineRule="auto"/>
        <w:jc w:val="center"/>
        <w:rPr>
          <w:rFonts w:ascii="宋体" w:hAnsi="宋体" w:cs="宋体"/>
          <w:sz w:val="24"/>
        </w:rPr>
      </w:pPr>
      <w:r>
        <w:rPr>
          <w:rFonts w:hint="eastAsia" w:ascii="宋体" w:hAnsi="宋体" w:cs="宋体"/>
          <w:sz w:val="24"/>
        </w:rPr>
        <w:t>金明校区图书馆各书库图书分布一览表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050"/>
        <w:gridCol w:w="4536"/>
      </w:tblGrid>
      <w:tr w14:paraId="6547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7" w:type="dxa"/>
          </w:tcPr>
          <w:p w14:paraId="22B1A426">
            <w:pPr>
              <w:spacing w:line="360" w:lineRule="auto"/>
              <w:jc w:val="center"/>
              <w:rPr>
                <w:rFonts w:ascii="宋体" w:hAnsi="宋体" w:cs="宋体"/>
                <w:sz w:val="24"/>
              </w:rPr>
            </w:pPr>
            <w:r>
              <w:rPr>
                <w:rFonts w:hint="eastAsia" w:ascii="宋体" w:hAnsi="宋体" w:cs="宋体"/>
                <w:sz w:val="24"/>
              </w:rPr>
              <w:t>金明校区</w:t>
            </w:r>
          </w:p>
        </w:tc>
        <w:tc>
          <w:tcPr>
            <w:tcW w:w="3050" w:type="dxa"/>
          </w:tcPr>
          <w:p w14:paraId="13F310F6">
            <w:pPr>
              <w:snapToGrid w:val="0"/>
              <w:spacing w:line="360" w:lineRule="auto"/>
              <w:jc w:val="center"/>
              <w:rPr>
                <w:rFonts w:ascii="宋体" w:hAnsi="宋体" w:cs="宋体"/>
                <w:sz w:val="24"/>
              </w:rPr>
            </w:pPr>
            <w:r>
              <w:rPr>
                <w:rFonts w:hint="eastAsia" w:ascii="宋体" w:hAnsi="宋体" w:cs="宋体"/>
                <w:sz w:val="24"/>
              </w:rPr>
              <w:t>书库名称</w:t>
            </w:r>
          </w:p>
        </w:tc>
        <w:tc>
          <w:tcPr>
            <w:tcW w:w="4536" w:type="dxa"/>
            <w:vAlign w:val="center"/>
          </w:tcPr>
          <w:p w14:paraId="6EDE67F5">
            <w:pPr>
              <w:spacing w:line="360" w:lineRule="auto"/>
              <w:jc w:val="center"/>
              <w:rPr>
                <w:rFonts w:ascii="宋体" w:hAnsi="宋体" w:cs="宋体"/>
                <w:sz w:val="24"/>
              </w:rPr>
            </w:pPr>
            <w:r>
              <w:rPr>
                <w:rFonts w:hint="eastAsia" w:ascii="宋体" w:hAnsi="宋体" w:cs="宋体"/>
                <w:sz w:val="24"/>
              </w:rPr>
              <w:t>中图法图书分布情况</w:t>
            </w:r>
          </w:p>
        </w:tc>
      </w:tr>
      <w:tr w14:paraId="5C69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14:paraId="75375A27">
            <w:pPr>
              <w:spacing w:line="360" w:lineRule="auto"/>
              <w:jc w:val="center"/>
              <w:rPr>
                <w:rFonts w:ascii="宋体" w:hAnsi="宋体" w:cs="宋体"/>
                <w:sz w:val="24"/>
              </w:rPr>
            </w:pPr>
            <w:r>
              <w:rPr>
                <w:rFonts w:hint="eastAsia" w:ascii="宋体" w:hAnsi="宋体" w:cs="宋体"/>
                <w:sz w:val="24"/>
              </w:rPr>
              <w:t>金明基藏</w:t>
            </w:r>
          </w:p>
        </w:tc>
        <w:tc>
          <w:tcPr>
            <w:tcW w:w="3050" w:type="dxa"/>
            <w:vAlign w:val="center"/>
          </w:tcPr>
          <w:p w14:paraId="678A82F3">
            <w:pPr>
              <w:spacing w:line="360" w:lineRule="auto"/>
              <w:jc w:val="center"/>
              <w:rPr>
                <w:rFonts w:ascii="宋体" w:hAnsi="宋体" w:cs="宋体"/>
                <w:sz w:val="24"/>
              </w:rPr>
            </w:pPr>
            <w:r>
              <w:rPr>
                <w:rFonts w:hint="eastAsia" w:ascii="宋体" w:hAnsi="宋体" w:cs="宋体"/>
                <w:sz w:val="24"/>
              </w:rPr>
              <w:t>201书库</w:t>
            </w:r>
          </w:p>
        </w:tc>
        <w:tc>
          <w:tcPr>
            <w:tcW w:w="4536" w:type="dxa"/>
            <w:vAlign w:val="center"/>
          </w:tcPr>
          <w:p w14:paraId="47CE9CFD">
            <w:pPr>
              <w:spacing w:line="360" w:lineRule="auto"/>
              <w:rPr>
                <w:rFonts w:ascii="宋体" w:hAnsi="宋体" w:cs="宋体"/>
                <w:sz w:val="24"/>
              </w:rPr>
            </w:pPr>
            <w:r>
              <w:rPr>
                <w:rFonts w:hint="eastAsia" w:ascii="宋体" w:hAnsi="宋体" w:cs="宋体"/>
                <w:sz w:val="24"/>
              </w:rPr>
              <w:t>中文B、C、D、F、G、H、K，外文原版B、C、D、F、G、H、K和N、O、P、Q、R、S、T、U、V、X、Z</w:t>
            </w:r>
          </w:p>
        </w:tc>
      </w:tr>
      <w:tr w14:paraId="571C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51C62362">
            <w:pPr>
              <w:spacing w:line="360" w:lineRule="auto"/>
              <w:jc w:val="center"/>
              <w:rPr>
                <w:rFonts w:ascii="宋体" w:hAnsi="宋体" w:cs="宋体"/>
                <w:sz w:val="24"/>
              </w:rPr>
            </w:pPr>
          </w:p>
        </w:tc>
        <w:tc>
          <w:tcPr>
            <w:tcW w:w="3050" w:type="dxa"/>
            <w:vAlign w:val="center"/>
          </w:tcPr>
          <w:p w14:paraId="394835BA">
            <w:pPr>
              <w:spacing w:line="360" w:lineRule="auto"/>
              <w:jc w:val="center"/>
              <w:rPr>
                <w:rFonts w:ascii="宋体" w:hAnsi="宋体" w:cs="宋体"/>
                <w:sz w:val="24"/>
              </w:rPr>
            </w:pPr>
            <w:r>
              <w:rPr>
                <w:rFonts w:hint="eastAsia" w:ascii="宋体" w:hAnsi="宋体" w:cs="宋体"/>
                <w:sz w:val="24"/>
              </w:rPr>
              <w:t>202书库</w:t>
            </w:r>
          </w:p>
        </w:tc>
        <w:tc>
          <w:tcPr>
            <w:tcW w:w="4536" w:type="dxa"/>
            <w:vAlign w:val="center"/>
          </w:tcPr>
          <w:p w14:paraId="2241F338">
            <w:pPr>
              <w:spacing w:line="360" w:lineRule="auto"/>
              <w:jc w:val="center"/>
              <w:rPr>
                <w:rFonts w:ascii="宋体" w:hAnsi="宋体" w:cs="宋体"/>
                <w:sz w:val="24"/>
              </w:rPr>
            </w:pPr>
            <w:r>
              <w:rPr>
                <w:rFonts w:hint="eastAsia" w:ascii="宋体" w:hAnsi="宋体" w:cs="宋体"/>
                <w:sz w:val="24"/>
              </w:rPr>
              <w:t>N、O、P、Q、R、S、T、U、V、X、Z</w:t>
            </w:r>
          </w:p>
        </w:tc>
      </w:tr>
      <w:tr w14:paraId="3E5A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14:paraId="7870F8CF">
            <w:pPr>
              <w:spacing w:line="360" w:lineRule="auto"/>
              <w:jc w:val="center"/>
              <w:rPr>
                <w:rFonts w:ascii="宋体" w:hAnsi="宋体" w:cs="宋体"/>
                <w:sz w:val="24"/>
              </w:rPr>
            </w:pPr>
            <w:r>
              <w:rPr>
                <w:rFonts w:hint="eastAsia" w:ascii="宋体" w:hAnsi="宋体" w:cs="宋体"/>
                <w:sz w:val="24"/>
              </w:rPr>
              <w:t>金明流通</w:t>
            </w:r>
          </w:p>
        </w:tc>
        <w:tc>
          <w:tcPr>
            <w:tcW w:w="3050" w:type="dxa"/>
            <w:vAlign w:val="center"/>
          </w:tcPr>
          <w:p w14:paraId="21061430">
            <w:pPr>
              <w:spacing w:line="360" w:lineRule="auto"/>
              <w:jc w:val="center"/>
              <w:rPr>
                <w:rFonts w:ascii="宋体" w:hAnsi="宋体" w:cs="宋体"/>
                <w:sz w:val="24"/>
              </w:rPr>
            </w:pPr>
            <w:r>
              <w:rPr>
                <w:rFonts w:hint="eastAsia" w:ascii="宋体" w:hAnsi="宋体" w:cs="宋体"/>
                <w:sz w:val="24"/>
              </w:rPr>
              <w:t>四楼南：数理化医学书库</w:t>
            </w:r>
          </w:p>
        </w:tc>
        <w:tc>
          <w:tcPr>
            <w:tcW w:w="4536" w:type="dxa"/>
            <w:vAlign w:val="center"/>
          </w:tcPr>
          <w:p w14:paraId="01413A00">
            <w:pPr>
              <w:pStyle w:val="7"/>
              <w:snapToGrid w:val="0"/>
              <w:spacing w:before="0" w:beforeAutospacing="0" w:after="0" w:afterAutospacing="0" w:line="360" w:lineRule="auto"/>
              <w:jc w:val="center"/>
            </w:pPr>
            <w:r>
              <w:rPr>
                <w:rFonts w:hint="eastAsia"/>
              </w:rPr>
              <w:t>O、R、Q、S</w:t>
            </w:r>
          </w:p>
        </w:tc>
      </w:tr>
      <w:tr w14:paraId="7CEF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3C7EBDAC">
            <w:pPr>
              <w:spacing w:line="360" w:lineRule="auto"/>
              <w:jc w:val="center"/>
              <w:rPr>
                <w:rFonts w:ascii="宋体" w:hAnsi="宋体" w:cs="宋体"/>
                <w:sz w:val="24"/>
              </w:rPr>
            </w:pPr>
          </w:p>
        </w:tc>
        <w:tc>
          <w:tcPr>
            <w:tcW w:w="3050" w:type="dxa"/>
            <w:vAlign w:val="center"/>
          </w:tcPr>
          <w:p w14:paraId="653F51DD">
            <w:pPr>
              <w:spacing w:line="360" w:lineRule="auto"/>
              <w:jc w:val="center"/>
              <w:rPr>
                <w:rFonts w:ascii="宋体" w:hAnsi="宋体" w:cs="宋体"/>
                <w:sz w:val="24"/>
              </w:rPr>
            </w:pPr>
            <w:r>
              <w:rPr>
                <w:rFonts w:hint="eastAsia" w:ascii="宋体" w:hAnsi="宋体" w:cs="宋体"/>
                <w:sz w:val="24"/>
              </w:rPr>
              <w:t>五楼南：经管教外文书库</w:t>
            </w:r>
          </w:p>
        </w:tc>
        <w:tc>
          <w:tcPr>
            <w:tcW w:w="4536" w:type="dxa"/>
            <w:vAlign w:val="center"/>
          </w:tcPr>
          <w:p w14:paraId="49347815">
            <w:pPr>
              <w:spacing w:line="360" w:lineRule="auto"/>
              <w:jc w:val="center"/>
              <w:rPr>
                <w:rFonts w:ascii="宋体" w:hAnsi="宋体" w:cs="宋体"/>
                <w:sz w:val="24"/>
              </w:rPr>
            </w:pPr>
            <w:r>
              <w:rPr>
                <w:rFonts w:hint="eastAsia" w:ascii="宋体" w:hAnsi="宋体" w:cs="宋体"/>
                <w:sz w:val="24"/>
              </w:rPr>
              <w:t>F、G(G4-G7)、A-Z英文图书</w:t>
            </w:r>
          </w:p>
        </w:tc>
      </w:tr>
      <w:tr w14:paraId="627E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0D173957">
            <w:pPr>
              <w:spacing w:line="360" w:lineRule="auto"/>
              <w:jc w:val="center"/>
              <w:rPr>
                <w:rFonts w:ascii="宋体" w:hAnsi="宋体" w:cs="宋体"/>
                <w:sz w:val="24"/>
              </w:rPr>
            </w:pPr>
          </w:p>
        </w:tc>
        <w:tc>
          <w:tcPr>
            <w:tcW w:w="3050" w:type="dxa"/>
            <w:vAlign w:val="center"/>
          </w:tcPr>
          <w:p w14:paraId="4EFF78AD">
            <w:pPr>
              <w:spacing w:line="360" w:lineRule="auto"/>
              <w:jc w:val="center"/>
              <w:rPr>
                <w:rFonts w:ascii="宋体" w:hAnsi="宋体" w:cs="宋体"/>
                <w:sz w:val="24"/>
              </w:rPr>
            </w:pPr>
            <w:r>
              <w:rPr>
                <w:rFonts w:hint="eastAsia" w:ascii="宋体" w:hAnsi="宋体" w:cs="宋体"/>
                <w:sz w:val="24"/>
              </w:rPr>
              <w:t>五楼北：科学技术书库</w:t>
            </w:r>
          </w:p>
        </w:tc>
        <w:tc>
          <w:tcPr>
            <w:tcW w:w="4536" w:type="dxa"/>
            <w:vAlign w:val="center"/>
          </w:tcPr>
          <w:p w14:paraId="39C555EC">
            <w:pPr>
              <w:pStyle w:val="7"/>
              <w:snapToGrid w:val="0"/>
              <w:spacing w:before="0" w:beforeAutospacing="0" w:after="0" w:afterAutospacing="0" w:line="360" w:lineRule="auto"/>
              <w:jc w:val="center"/>
            </w:pPr>
            <w:r>
              <w:rPr>
                <w:rFonts w:hint="eastAsia"/>
              </w:rPr>
              <w:t>K9、N、P、T、U、V、X、Z</w:t>
            </w:r>
          </w:p>
        </w:tc>
      </w:tr>
      <w:tr w14:paraId="3F81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77" w:type="dxa"/>
            <w:vMerge w:val="continue"/>
            <w:vAlign w:val="center"/>
          </w:tcPr>
          <w:p w14:paraId="17D56FDB">
            <w:pPr>
              <w:spacing w:line="360" w:lineRule="auto"/>
              <w:jc w:val="center"/>
              <w:rPr>
                <w:rFonts w:ascii="宋体" w:hAnsi="宋体" w:cs="宋体"/>
                <w:sz w:val="24"/>
              </w:rPr>
            </w:pPr>
          </w:p>
        </w:tc>
        <w:tc>
          <w:tcPr>
            <w:tcW w:w="3050" w:type="dxa"/>
            <w:vAlign w:val="center"/>
          </w:tcPr>
          <w:p w14:paraId="7230ED50">
            <w:pPr>
              <w:spacing w:line="360" w:lineRule="auto"/>
              <w:jc w:val="center"/>
              <w:rPr>
                <w:rFonts w:ascii="宋体" w:hAnsi="宋体" w:cs="宋体"/>
                <w:sz w:val="24"/>
              </w:rPr>
            </w:pPr>
            <w:r>
              <w:rPr>
                <w:rFonts w:hint="eastAsia" w:ascii="宋体" w:hAnsi="宋体" w:cs="宋体"/>
                <w:sz w:val="24"/>
              </w:rPr>
              <w:t>六楼南：社会科学书库</w:t>
            </w:r>
          </w:p>
        </w:tc>
        <w:tc>
          <w:tcPr>
            <w:tcW w:w="4536" w:type="dxa"/>
            <w:vAlign w:val="center"/>
          </w:tcPr>
          <w:p w14:paraId="5A0CFE36">
            <w:pPr>
              <w:pStyle w:val="7"/>
              <w:snapToGrid w:val="0"/>
              <w:spacing w:before="0" w:beforeAutospacing="0" w:after="0" w:afterAutospacing="0" w:line="360" w:lineRule="auto"/>
              <w:jc w:val="center"/>
            </w:pPr>
            <w:r>
              <w:rPr>
                <w:rFonts w:hint="eastAsia"/>
              </w:rPr>
              <w:t>A、B、C、D、E、G（G1. G2. G3. G8.G9）、K、Z</w:t>
            </w:r>
          </w:p>
        </w:tc>
      </w:tr>
      <w:tr w14:paraId="0313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7" w:type="dxa"/>
            <w:vMerge w:val="continue"/>
            <w:vAlign w:val="center"/>
          </w:tcPr>
          <w:p w14:paraId="5E02351A">
            <w:pPr>
              <w:spacing w:line="360" w:lineRule="auto"/>
              <w:jc w:val="center"/>
              <w:rPr>
                <w:rFonts w:ascii="宋体" w:hAnsi="宋体" w:cs="宋体"/>
                <w:sz w:val="24"/>
              </w:rPr>
            </w:pPr>
          </w:p>
        </w:tc>
        <w:tc>
          <w:tcPr>
            <w:tcW w:w="3050" w:type="dxa"/>
            <w:vAlign w:val="center"/>
          </w:tcPr>
          <w:p w14:paraId="15BC0DA0">
            <w:pPr>
              <w:spacing w:line="360" w:lineRule="auto"/>
              <w:jc w:val="center"/>
              <w:rPr>
                <w:rFonts w:ascii="宋体" w:hAnsi="宋体" w:cs="宋体"/>
                <w:sz w:val="24"/>
              </w:rPr>
            </w:pPr>
            <w:r>
              <w:rPr>
                <w:rFonts w:hint="eastAsia" w:ascii="宋体" w:hAnsi="宋体" w:cs="宋体"/>
                <w:sz w:val="24"/>
              </w:rPr>
              <w:t>六楼北：语言文学艺术书库</w:t>
            </w:r>
          </w:p>
        </w:tc>
        <w:tc>
          <w:tcPr>
            <w:tcW w:w="4536" w:type="dxa"/>
            <w:vAlign w:val="center"/>
          </w:tcPr>
          <w:p w14:paraId="6A636B2B">
            <w:pPr>
              <w:pStyle w:val="19"/>
              <w:numPr>
                <w:ilvl w:val="0"/>
                <w:numId w:val="2"/>
              </w:numPr>
              <w:spacing w:line="360" w:lineRule="auto"/>
              <w:ind w:firstLineChars="0"/>
              <w:jc w:val="center"/>
              <w:rPr>
                <w:rFonts w:ascii="宋体" w:hAnsi="宋体" w:cs="宋体"/>
                <w:sz w:val="24"/>
                <w:szCs w:val="24"/>
              </w:rPr>
            </w:pPr>
            <w:r>
              <w:rPr>
                <w:rFonts w:hint="eastAsia" w:ascii="宋体" w:hAnsi="宋体" w:cs="宋体"/>
                <w:sz w:val="24"/>
                <w:szCs w:val="24"/>
              </w:rPr>
              <w:t xml:space="preserve"> I、 J</w:t>
            </w:r>
          </w:p>
        </w:tc>
      </w:tr>
    </w:tbl>
    <w:p w14:paraId="164D091F">
      <w:pPr>
        <w:spacing w:line="360" w:lineRule="auto"/>
        <w:rPr>
          <w:rFonts w:ascii="宋体" w:hAnsi="宋体" w:cs="宋体"/>
          <w:sz w:val="24"/>
        </w:rPr>
      </w:pPr>
      <w:r>
        <w:rPr>
          <w:rFonts w:hint="eastAsia" w:ascii="宋体" w:hAnsi="宋体" w:cs="宋体"/>
          <w:sz w:val="24"/>
        </w:rPr>
        <w:t>注：郑州校区图书馆图书分配根据实际专业设置情况进行分配典藏，并由中标商加工完毕后送书至郑州校区拆包、上架到指定地点。</w:t>
      </w:r>
    </w:p>
    <w:p w14:paraId="2463A8FB">
      <w:pPr>
        <w:spacing w:line="360" w:lineRule="auto"/>
        <w:rPr>
          <w:rFonts w:ascii="宋体" w:hAnsi="宋体" w:cs="宋体"/>
          <w:b/>
          <w:sz w:val="24"/>
        </w:rPr>
      </w:pPr>
      <w:r>
        <w:rPr>
          <w:rFonts w:hint="eastAsia" w:ascii="宋体" w:hAnsi="宋体" w:cs="宋体"/>
          <w:b/>
          <w:sz w:val="24"/>
        </w:rPr>
        <w:t>3、图书三校区典藏的具体细则，根据图书的复本量和首次进馆、二次进馆等情况，图书典藏分配时一般沿用以下原则：</w:t>
      </w:r>
    </w:p>
    <w:p w14:paraId="1E5670F0">
      <w:pPr>
        <w:pStyle w:val="19"/>
        <w:spacing w:line="360" w:lineRule="auto"/>
        <w:ind w:firstLine="480"/>
        <w:rPr>
          <w:rFonts w:ascii="宋体" w:hAnsi="宋体" w:cs="宋体"/>
          <w:sz w:val="24"/>
          <w:szCs w:val="24"/>
        </w:rPr>
      </w:pPr>
      <w:r>
        <w:rPr>
          <w:rFonts w:hint="eastAsia" w:ascii="宋体" w:hAnsi="宋体" w:cs="宋体"/>
          <w:sz w:val="24"/>
          <w:szCs w:val="24"/>
        </w:rPr>
        <w:t>（1）首次进馆的图书：样本放对应校区基藏，复本放在对应校区流通书库。其中部分史学方面的以金明校区为主的图书（如经济史、教育史、建筑史、历史地理等），3本及3本以下的图书只分给金明校区，3本以上的图书分给明伦流通1本。B21-B25古代哲学及近代哲学及H31英语，3本及3本以下的图书只分给明伦校区，3本以上的图书分给金明流通。</w:t>
      </w:r>
    </w:p>
    <w:p w14:paraId="75377329">
      <w:pPr>
        <w:pStyle w:val="19"/>
        <w:spacing w:line="360" w:lineRule="auto"/>
        <w:ind w:left="360" w:firstLine="0" w:firstLineChars="0"/>
        <w:rPr>
          <w:rFonts w:ascii="宋体" w:hAnsi="宋体" w:cs="宋体"/>
          <w:sz w:val="24"/>
          <w:szCs w:val="24"/>
        </w:rPr>
      </w:pPr>
      <w:r>
        <w:rPr>
          <w:rFonts w:hint="eastAsia" w:ascii="宋体" w:hAnsi="宋体" w:cs="宋体"/>
          <w:sz w:val="24"/>
          <w:szCs w:val="24"/>
        </w:rPr>
        <w:t>（2）二次进馆的图书：分配到对应校区流通书库。 其中I类中的文学作品</w:t>
      </w:r>
    </w:p>
    <w:p w14:paraId="6B49F323">
      <w:pPr>
        <w:pStyle w:val="19"/>
        <w:spacing w:line="360" w:lineRule="auto"/>
        <w:ind w:firstLine="0" w:firstLineChars="0"/>
        <w:rPr>
          <w:rFonts w:ascii="宋体" w:hAnsi="宋体" w:cs="宋体"/>
          <w:sz w:val="24"/>
          <w:szCs w:val="24"/>
        </w:rPr>
      </w:pPr>
      <w:r>
        <w:rPr>
          <w:rFonts w:hint="eastAsia" w:ascii="宋体" w:hAnsi="宋体" w:cs="宋体"/>
          <w:sz w:val="24"/>
          <w:szCs w:val="24"/>
        </w:rPr>
        <w:t>及H31英语二次进馆的，其中2本放在金明流通书库，其余放在明伦流通书库。</w:t>
      </w:r>
    </w:p>
    <w:p w14:paraId="0F0180AD">
      <w:pPr>
        <w:pStyle w:val="19"/>
        <w:spacing w:line="360" w:lineRule="auto"/>
        <w:ind w:firstLine="0" w:firstLineChars="0"/>
        <w:rPr>
          <w:rFonts w:ascii="宋体" w:hAnsi="宋体" w:cs="宋体"/>
          <w:b/>
          <w:sz w:val="24"/>
          <w:szCs w:val="24"/>
        </w:rPr>
      </w:pPr>
      <w:r>
        <w:rPr>
          <w:rFonts w:hint="eastAsia" w:ascii="宋体" w:hAnsi="宋体" w:cs="宋体"/>
          <w:b/>
          <w:sz w:val="24"/>
          <w:szCs w:val="24"/>
        </w:rPr>
        <w:t>4、其他特殊情况需和采编中心负责编目的工作人员沟通后视情况决定。</w:t>
      </w:r>
    </w:p>
    <w:p w14:paraId="47B2232C">
      <w:pPr>
        <w:spacing w:line="360" w:lineRule="auto"/>
        <w:rPr>
          <w:rFonts w:ascii="宋体" w:hAnsi="宋体" w:cs="宋体"/>
          <w:sz w:val="24"/>
        </w:rPr>
      </w:pPr>
      <w:r>
        <w:rPr>
          <w:rFonts w:hint="eastAsia" w:ascii="宋体" w:hAnsi="宋体" w:cs="宋体"/>
          <w:sz w:val="24"/>
        </w:rPr>
        <w:t>附件1、附件2、附件3作为图书订购中外文图书合同的补充协议，与《河南大学2024年中外文图书采购合同》具有同等法律效力。</w:t>
      </w:r>
    </w:p>
    <w:p w14:paraId="17FC1CEA">
      <w:pPr>
        <w:rPr>
          <w:rFonts w:ascii="宋体" w:hAnsi="宋体"/>
          <w:sz w:val="24"/>
          <w:szCs w:val="20"/>
        </w:rPr>
      </w:pPr>
    </w:p>
    <w:p w14:paraId="3DEDECE3"/>
    <w:p w14:paraId="6BA59CED">
      <w:pPr>
        <w:pStyle w:val="19"/>
        <w:spacing w:line="360" w:lineRule="auto"/>
        <w:ind w:firstLine="480"/>
        <w:rPr>
          <w:rFonts w:ascii="宋体" w:hAnsi="宋体"/>
          <w:sz w:val="24"/>
        </w:rPr>
      </w:pPr>
    </w:p>
    <w:p w14:paraId="4E488D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84"/>
    <w:multiLevelType w:val="multilevel"/>
    <w:tmpl w:val="0BFE2E84"/>
    <w:lvl w:ilvl="0" w:tentative="0">
      <w:start w:val="2"/>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F64757E"/>
    <w:multiLevelType w:val="multilevel"/>
    <w:tmpl w:val="1F64757E"/>
    <w:lvl w:ilvl="0" w:tentative="0">
      <w:start w:val="8"/>
      <w:numFmt w:val="upperLetter"/>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NDFmZWY5YzNlZjI5OTkyNmY1MGI5ZDE3OTYzMGUifQ=="/>
  </w:docVars>
  <w:rsids>
    <w:rsidRoot w:val="00790A32"/>
    <w:rsid w:val="00137FAB"/>
    <w:rsid w:val="001A6D43"/>
    <w:rsid w:val="002E0725"/>
    <w:rsid w:val="002F7740"/>
    <w:rsid w:val="00706F82"/>
    <w:rsid w:val="00790A32"/>
    <w:rsid w:val="00882281"/>
    <w:rsid w:val="00971597"/>
    <w:rsid w:val="00994F40"/>
    <w:rsid w:val="00A635A2"/>
    <w:rsid w:val="00AB1ABF"/>
    <w:rsid w:val="00AE1FB6"/>
    <w:rsid w:val="00AF5F9D"/>
    <w:rsid w:val="00BF0849"/>
    <w:rsid w:val="00C03EAF"/>
    <w:rsid w:val="00C64162"/>
    <w:rsid w:val="00CD5A46"/>
    <w:rsid w:val="00D865C1"/>
    <w:rsid w:val="00DA2081"/>
    <w:rsid w:val="00DD7AD2"/>
    <w:rsid w:val="00F21A80"/>
    <w:rsid w:val="00F62924"/>
    <w:rsid w:val="00F71ACD"/>
    <w:rsid w:val="00FD6AC7"/>
    <w:rsid w:val="74D5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3"/>
    <w:qFormat/>
    <w:uiPriority w:val="0"/>
    <w:pPr>
      <w:adjustRightInd w:val="0"/>
      <w:jc w:val="left"/>
      <w:textAlignment w:val="baseline"/>
    </w:pPr>
    <w:rPr>
      <w:rFonts w:ascii="楷体_GB2312" w:eastAsia="楷体_GB2312"/>
      <w:sz w:val="28"/>
    </w:rPr>
  </w:style>
  <w:style w:type="paragraph" w:styleId="3">
    <w:name w:val="Body Text 2"/>
    <w:basedOn w:val="1"/>
    <w:link w:val="20"/>
    <w:semiHidden/>
    <w:unhideWhenUsed/>
    <w:uiPriority w:val="99"/>
    <w:pPr>
      <w:spacing w:after="120" w:line="480" w:lineRule="auto"/>
    </w:pPr>
  </w:style>
  <w:style w:type="paragraph" w:styleId="4">
    <w:name w:val="Date"/>
    <w:basedOn w:val="1"/>
    <w:next w:val="1"/>
    <w:link w:val="14"/>
    <w:qFormat/>
    <w:uiPriority w:val="0"/>
    <w:pPr>
      <w:adjustRightInd w:val="0"/>
      <w:spacing w:line="360" w:lineRule="atLeast"/>
      <w:textAlignment w:val="baseline"/>
    </w:pPr>
    <w:rPr>
      <w:sz w:val="2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paragraph" w:styleId="8">
    <w:name w:val="Body Text First Indent"/>
    <w:basedOn w:val="2"/>
    <w:link w:val="21"/>
    <w:unhideWhenUsed/>
    <w:qFormat/>
    <w:uiPriority w:val="99"/>
    <w:pPr>
      <w:adjustRightInd/>
      <w:spacing w:after="120"/>
      <w:ind w:firstLine="420" w:firstLineChars="100"/>
      <w:jc w:val="both"/>
      <w:textAlignment w:val="auto"/>
    </w:pPr>
    <w:rPr>
      <w:rFonts w:ascii="Times New Roman" w:eastAsia="宋体"/>
      <w:sz w:val="21"/>
    </w:rPr>
  </w:style>
  <w:style w:type="character" w:customStyle="1" w:styleId="11">
    <w:name w:val="页眉 字符"/>
    <w:basedOn w:val="10"/>
    <w:link w:val="6"/>
    <w:uiPriority w:val="99"/>
    <w:rPr>
      <w:sz w:val="18"/>
      <w:szCs w:val="18"/>
    </w:rPr>
  </w:style>
  <w:style w:type="character" w:customStyle="1" w:styleId="12">
    <w:name w:val="页脚 字符"/>
    <w:basedOn w:val="10"/>
    <w:link w:val="5"/>
    <w:uiPriority w:val="99"/>
    <w:rPr>
      <w:sz w:val="18"/>
      <w:szCs w:val="18"/>
    </w:rPr>
  </w:style>
  <w:style w:type="character" w:customStyle="1" w:styleId="13">
    <w:name w:val="正文文本 字符"/>
    <w:basedOn w:val="10"/>
    <w:link w:val="2"/>
    <w:uiPriority w:val="0"/>
    <w:rPr>
      <w:rFonts w:ascii="楷体_GB2312" w:hAnsi="Times New Roman" w:eastAsia="楷体_GB2312" w:cs="Times New Roman"/>
      <w:sz w:val="28"/>
      <w:szCs w:val="24"/>
    </w:rPr>
  </w:style>
  <w:style w:type="character" w:customStyle="1" w:styleId="14">
    <w:name w:val="日期 字符"/>
    <w:basedOn w:val="10"/>
    <w:link w:val="4"/>
    <w:uiPriority w:val="0"/>
    <w:rPr>
      <w:rFonts w:ascii="Times New Roman" w:hAnsi="Times New Roman" w:eastAsia="宋体" w:cs="Times New Roman"/>
      <w:sz w:val="28"/>
      <w:szCs w:val="24"/>
    </w:rPr>
  </w:style>
  <w:style w:type="paragraph" w:customStyle="1" w:styleId="15">
    <w:name w:val="Default"/>
    <w:next w:val="16"/>
    <w:qFormat/>
    <w:uiPriority w:val="0"/>
    <w:pPr>
      <w:widowControl w:val="0"/>
      <w:autoSpaceDE w:val="0"/>
      <w:autoSpaceDN w:val="0"/>
      <w:adjustRightInd w:val="0"/>
    </w:pPr>
    <w:rPr>
      <w:rFonts w:ascii="宋体" w:hAnsi="Times New Roman" w:eastAsia="Times New Roman" w:cs="宋体"/>
      <w:color w:val="000000"/>
      <w:kern w:val="0"/>
      <w:sz w:val="24"/>
      <w:szCs w:val="24"/>
      <w:lang w:val="en-US" w:eastAsia="zh-CN" w:bidi="ar-SA"/>
    </w:rPr>
  </w:style>
  <w:style w:type="paragraph" w:customStyle="1" w:styleId="16">
    <w:name w:val="Char Char10 Char Char Char Char"/>
    <w:basedOn w:val="1"/>
    <w:next w:val="17"/>
    <w:qFormat/>
    <w:uiPriority w:val="0"/>
    <w:rPr>
      <w:rFonts w:ascii="Calibri" w:hAnsi="Calibri"/>
      <w:kern w:val="0"/>
    </w:rPr>
  </w:style>
  <w:style w:type="paragraph" w:customStyle="1" w:styleId="17">
    <w:name w:val="xl87"/>
    <w:basedOn w:val="1"/>
    <w:next w:val="18"/>
    <w:qFormat/>
    <w:uiPriority w:val="0"/>
    <w:pPr>
      <w:widowControl/>
      <w:shd w:val="clear" w:color="FFFFFF" w:fill="FFFFFF"/>
      <w:spacing w:before="280" w:after="280"/>
      <w:jc w:val="right"/>
    </w:pPr>
    <w:rPr>
      <w:rFonts w:ascii="宋体" w:hAnsi="Calibri"/>
      <w:kern w:val="0"/>
      <w:sz w:val="24"/>
    </w:rPr>
  </w:style>
  <w:style w:type="paragraph" w:customStyle="1" w:styleId="18">
    <w:name w:val="xl72"/>
    <w:basedOn w:val="1"/>
    <w:next w:val="4"/>
    <w:qFormat/>
    <w:uiPriority w:val="0"/>
    <w:pPr>
      <w:widowControl/>
      <w:shd w:val="clear" w:color="FFFFFF" w:fill="FFFFFF"/>
      <w:spacing w:before="280" w:after="280"/>
      <w:jc w:val="right"/>
    </w:pPr>
    <w:rPr>
      <w:rFonts w:ascii="宋体" w:hAnsi="Calibri"/>
      <w:kern w:val="0"/>
      <w:sz w:val="24"/>
    </w:rPr>
  </w:style>
  <w:style w:type="paragraph" w:customStyle="1" w:styleId="19">
    <w:name w:val="List Paragraph1"/>
    <w:basedOn w:val="1"/>
    <w:qFormat/>
    <w:uiPriority w:val="0"/>
    <w:pPr>
      <w:ind w:firstLine="200" w:firstLineChars="200"/>
    </w:pPr>
    <w:rPr>
      <w:szCs w:val="20"/>
    </w:rPr>
  </w:style>
  <w:style w:type="character" w:customStyle="1" w:styleId="20">
    <w:name w:val="正文文本 2 字符"/>
    <w:basedOn w:val="10"/>
    <w:link w:val="3"/>
    <w:semiHidden/>
    <w:uiPriority w:val="99"/>
    <w:rPr>
      <w:rFonts w:ascii="Times New Roman" w:hAnsi="Times New Roman" w:eastAsia="宋体" w:cs="Times New Roman"/>
      <w:szCs w:val="24"/>
    </w:rPr>
  </w:style>
  <w:style w:type="character" w:customStyle="1" w:styleId="21">
    <w:name w:val="正文文本首行缩进 字符"/>
    <w:basedOn w:val="13"/>
    <w:link w:val="8"/>
    <w:uiPriority w:val="99"/>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10802</Words>
  <Characters>11306</Characters>
  <Lines>88</Lines>
  <Paragraphs>24</Paragraphs>
  <TotalTime>14</TotalTime>
  <ScaleCrop>false</ScaleCrop>
  <LinksUpToDate>false</LinksUpToDate>
  <CharactersWithSpaces>12039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2024-07-29T02:21:00Z</dcterms:created>
  <dc:creator>张 翠</dc:creator>
  <cp:lastModifiedBy>煊煊</cp:lastModifiedBy>
  <dcterms:modified xsi:type="dcterms:W3CDTF">2024-09-25T03:28:43Z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D61B01C708104A2FBBAE34C4F9DB4C2C_12</vt:lpwstr>
  </property>
</Properties>
</file>