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5864">
      <w:pPr>
        <w:spacing w:line="48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河南化工技师学院2024年河南全民技能振兴工程省级高技能人才培养示范基地项目</w:t>
      </w:r>
      <w:r>
        <w:rPr>
          <w:rFonts w:hint="eastAsia" w:ascii="宋体" w:hAnsi="宋体" w:cs="宋体"/>
          <w:b/>
          <w:sz w:val="28"/>
          <w:szCs w:val="28"/>
        </w:rPr>
        <w:t>公开招标公告</w:t>
      </w:r>
      <w:bookmarkStart w:id="1" w:name="_GoBack"/>
      <w:bookmarkEnd w:id="1"/>
    </w:p>
    <w:p w14:paraId="439150E9">
      <w:pPr>
        <w:spacing w:line="48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项目概况</w:t>
      </w:r>
    </w:p>
    <w:p w14:paraId="682412E9">
      <w:pPr>
        <w:spacing w:line="360" w:lineRule="auto"/>
        <w:ind w:firstLine="480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  <w:lang w:eastAsia="zh-CN"/>
        </w:rPr>
        <w:t>河南化工技师学院2024年河南全民技能振兴工程省级高技能人才培养示范基地项目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cs="宋体"/>
          <w:bCs/>
          <w:szCs w:val="21"/>
        </w:rPr>
        <w:t>招标项目的潜在供应商应在河南省公共资源交易中心（</w:t>
      </w:r>
      <w:r>
        <w:rPr>
          <w:rFonts w:ascii="微软雅黑" w:hAnsi="微软雅黑" w:eastAsia="微软雅黑" w:cs="微软雅黑"/>
          <w:color w:val="444444"/>
          <w:sz w:val="19"/>
          <w:szCs w:val="19"/>
          <w:shd w:val="clear" w:color="auto" w:fill="FFFFFF"/>
        </w:rPr>
        <w:t>http://hnsggzyjy.henan.gov.cn</w:t>
      </w:r>
      <w:r>
        <w:rPr>
          <w:rFonts w:hint="eastAsia" w:cs="宋体"/>
          <w:bCs/>
          <w:szCs w:val="21"/>
        </w:rPr>
        <w:t>）获取招标文件，</w:t>
      </w:r>
      <w:r>
        <w:rPr>
          <w:rFonts w:hint="eastAsia" w:cs="宋体"/>
          <w:bCs/>
          <w:szCs w:val="21"/>
          <w:u w:val="single"/>
        </w:rPr>
        <w:t>并于</w:t>
      </w:r>
      <w:r>
        <w:rPr>
          <w:rFonts w:hint="eastAsia" w:cs="宋体"/>
          <w:bCs/>
          <w:color w:val="121212"/>
          <w:szCs w:val="21"/>
          <w:u w:val="single"/>
        </w:rPr>
        <w:t>2024年</w:t>
      </w:r>
      <w:r>
        <w:rPr>
          <w:rFonts w:hint="eastAsia" w:cs="宋体"/>
          <w:bCs/>
          <w:color w:val="121212"/>
          <w:szCs w:val="21"/>
          <w:u w:val="single"/>
          <w:lang w:val="en-US" w:eastAsia="zh-CN"/>
        </w:rPr>
        <w:t>11</w:t>
      </w:r>
      <w:r>
        <w:rPr>
          <w:rFonts w:hint="eastAsia" w:cs="宋体"/>
          <w:bCs/>
          <w:color w:val="121212"/>
          <w:szCs w:val="21"/>
          <w:u w:val="single"/>
        </w:rPr>
        <w:t>月</w:t>
      </w:r>
      <w:r>
        <w:rPr>
          <w:rFonts w:hint="eastAsia" w:cs="宋体"/>
          <w:bCs/>
          <w:color w:val="121212"/>
          <w:szCs w:val="21"/>
          <w:u w:val="single"/>
          <w:lang w:val="en-US" w:eastAsia="zh-CN"/>
        </w:rPr>
        <w:t>15</w:t>
      </w:r>
      <w:r>
        <w:rPr>
          <w:rFonts w:hint="eastAsia" w:cs="宋体"/>
          <w:bCs/>
          <w:color w:val="121212"/>
          <w:szCs w:val="21"/>
          <w:u w:val="single"/>
        </w:rPr>
        <w:t>日</w:t>
      </w:r>
      <w:r>
        <w:rPr>
          <w:rFonts w:hint="eastAsia" w:cs="宋体"/>
          <w:bCs/>
          <w:szCs w:val="21"/>
          <w:u w:val="single"/>
        </w:rPr>
        <w:t>09点00分</w:t>
      </w:r>
      <w:r>
        <w:rPr>
          <w:rFonts w:hint="eastAsia" w:cs="宋体"/>
          <w:bCs/>
          <w:szCs w:val="21"/>
        </w:rPr>
        <w:t>（北京时间）前递交投标文件。</w:t>
      </w:r>
    </w:p>
    <w:p w14:paraId="1B413423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70E22AB0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1、项目编号：豫财招标采购-2024-1055</w:t>
      </w:r>
    </w:p>
    <w:p w14:paraId="0ECEB2F8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2、项目名称：</w:t>
      </w:r>
      <w:r>
        <w:rPr>
          <w:rFonts w:hint="eastAsia" w:ascii="宋体" w:hAnsi="宋体" w:cs="宋体"/>
          <w:sz w:val="24"/>
          <w:lang w:eastAsia="zh-CN"/>
        </w:rPr>
        <w:t>河南化工技师学院2024年河南全民技能振兴工程省级高技能人才培养示范基地项目</w:t>
      </w:r>
    </w:p>
    <w:p w14:paraId="114FE79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3、采购方式：公开招标</w:t>
      </w:r>
    </w:p>
    <w:p w14:paraId="6BA5787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b/>
          <w:bCs/>
          <w:sz w:val="24"/>
        </w:rPr>
        <w:t>预算金额：</w:t>
      </w:r>
      <w:r>
        <w:rPr>
          <w:rFonts w:hint="eastAsia" w:ascii="宋体" w:hAnsi="宋体" w:cs="宋体"/>
          <w:sz w:val="24"/>
        </w:rPr>
        <w:t>2246000.00元</w:t>
      </w:r>
      <w:r>
        <w:rPr>
          <w:rFonts w:hint="eastAsia" w:ascii="宋体" w:hAnsi="宋体" w:cs="宋体"/>
          <w:b/>
          <w:bCs/>
          <w:sz w:val="24"/>
        </w:rPr>
        <w:t>，最高限价：</w:t>
      </w:r>
      <w:r>
        <w:rPr>
          <w:rFonts w:hint="eastAsia" w:ascii="宋体" w:hAnsi="宋体" w:cs="宋体"/>
          <w:sz w:val="24"/>
        </w:rPr>
        <w:t>2246000.00元</w:t>
      </w:r>
    </w:p>
    <w:tbl>
      <w:tblPr>
        <w:tblStyle w:val="5"/>
        <w:tblW w:w="84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3299"/>
        <w:gridCol w:w="1706"/>
        <w:gridCol w:w="1588"/>
      </w:tblGrid>
      <w:tr w14:paraId="2FA8D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7F9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包号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E42C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包名称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75A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包预算</w:t>
            </w:r>
          </w:p>
          <w:p w14:paraId="58CA7FE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（元）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935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包最高限价</w:t>
            </w:r>
          </w:p>
          <w:p w14:paraId="2DFDC5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（元）</w:t>
            </w:r>
          </w:p>
        </w:tc>
      </w:tr>
      <w:tr w14:paraId="44F98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66A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豫政采(2)20241757-1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667C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河南化工技师学院2024年河南全民技能振兴工程省级高技能人才培养示范基地项目</w:t>
            </w:r>
            <w:r>
              <w:rPr>
                <w:rFonts w:hint="eastAsia" w:ascii="宋体" w:hAnsi="宋体" w:cs="宋体"/>
                <w:sz w:val="24"/>
              </w:rPr>
              <w:t>包1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A5E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0" w:name="OLE_LINK3"/>
            <w:r>
              <w:rPr>
                <w:rFonts w:hint="eastAsia" w:ascii="宋体" w:hAnsi="宋体" w:cs="宋体"/>
                <w:sz w:val="24"/>
              </w:rPr>
              <w:t>1044000.00</w:t>
            </w:r>
            <w:bookmarkEnd w:id="0"/>
          </w:p>
        </w:tc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80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1044000.00</w:t>
            </w:r>
          </w:p>
        </w:tc>
      </w:tr>
      <w:tr w14:paraId="68F0F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C6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豫政采(2)20241757-2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630B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河南化工技师学院2024年河南全民技能振兴工程省级高技能人才培养示范基地项目</w:t>
            </w:r>
            <w:r>
              <w:rPr>
                <w:rFonts w:hint="eastAsia" w:ascii="宋体" w:hAnsi="宋体" w:cs="宋体"/>
                <w:sz w:val="24"/>
              </w:rPr>
              <w:t>包2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3FE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1202000.00</w:t>
            </w:r>
          </w:p>
        </w:tc>
        <w:tc>
          <w:tcPr>
            <w:tcW w:w="15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D3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1202000.00</w:t>
            </w:r>
          </w:p>
        </w:tc>
      </w:tr>
    </w:tbl>
    <w:p w14:paraId="0C66F0EB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5、采购需求（包括但不限于标的的名称、数量、简要技术需求或服务要求等）</w:t>
      </w:r>
    </w:p>
    <w:p w14:paraId="61BC486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5.1本项目共分2个包，所含设备的采购、安装、调试、验收、培训、质保期内外服务、与货物有关的运输和保险及其他伴随服务等。</w:t>
      </w:r>
    </w:p>
    <w:p w14:paraId="790C0CB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5.2采购内容：具体详见招标文件第5章采购需求；</w:t>
      </w:r>
    </w:p>
    <w:p w14:paraId="34489F3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5.3 资金来源及落实情况：财政资金，已落实；</w:t>
      </w:r>
    </w:p>
    <w:p w14:paraId="098A5DF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5.4交货期：合同签订后30天安装调试完毕；</w:t>
      </w:r>
    </w:p>
    <w:p w14:paraId="08A1DCC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5.5 质量要求：符合国家或行业规定的合格标准，满足采购人要求；</w:t>
      </w:r>
    </w:p>
    <w:p w14:paraId="7D78A6B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5.6 交货地点：采购人指定地点；</w:t>
      </w:r>
    </w:p>
    <w:p w14:paraId="3BEA502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6、合同履行期限：合同签订后至质保期结束。</w:t>
      </w:r>
    </w:p>
    <w:p w14:paraId="27B935CB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7、本项目是否接受联合体投标：否</w:t>
      </w:r>
    </w:p>
    <w:p w14:paraId="31E77DE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8、是否接受进口产品：否</w:t>
      </w:r>
    </w:p>
    <w:p w14:paraId="06C845B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9、是否专门面向中小企业：否</w:t>
      </w:r>
    </w:p>
    <w:p w14:paraId="1DB3E29E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768E51EB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1、满足《中华人民共和国政府采购法》第二十二条规定；</w:t>
      </w:r>
    </w:p>
    <w:p w14:paraId="7F63A915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2、落实政府采购政策满足的资格要求：无。</w:t>
      </w:r>
    </w:p>
    <w:p w14:paraId="35F22B80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3、本项目的特定资格要求</w:t>
      </w:r>
    </w:p>
    <w:p w14:paraId="4DA31862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3.1单位负责人为同一人或者存在直接控股、管理关系的不同供应商，不得参加同一合同项下的政府采购活动【提供书面承诺及在“国家企业信用信息公示系统”中查询打印或截图的相关材料并加盖公章（需包含公司基本信息、股东信息及股权变更信息）】。</w:t>
      </w:r>
    </w:p>
    <w:p w14:paraId="6394C694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3.2根据《关于在政府采购活动中查询及使用信用记录有关问题的通知》(财库[2016]125号)和豫财购[2016]15号的规定，对列入失信被执行人、重大税收违法失信主体、政府采购严重违法失信行为记录名单的企业，拒绝参与本项目采购活动（查询渠道：“信用中国”网站（www.creditchina.gov.cn）查询：列入失信被执行人、重大税收违法失信主体、中国政府采购网（www.ccgp.gov.cn）：政府采购严重违法失信行为记录名单）；注：采购代理机构在开标当天将对所有参与本项目供应商的信用情况（失信被执行人、重大税收违法失信主体、政府采购严重违法失信行为记录名单）进行查询、打印留存。</w:t>
      </w:r>
    </w:p>
    <w:p w14:paraId="00D891AE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1ADB2D82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1.时间：2024年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日至2024年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31</w:t>
      </w:r>
      <w:r>
        <w:rPr>
          <w:rFonts w:hint="eastAsia" w:ascii="宋体" w:hAnsi="宋体" w:cs="宋体"/>
          <w:color w:val="000000"/>
          <w:kern w:val="0"/>
          <w:sz w:val="24"/>
        </w:rPr>
        <w:t>日，每天上午00:00至12:00，下午12:00至23:59（北京时间，法定节假日除外）。</w:t>
      </w:r>
    </w:p>
    <w:p w14:paraId="4A612F3E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2.地点：河南省公共资源交易中心（hnsggzyjy.henan.gov.cn）。</w:t>
      </w:r>
    </w:p>
    <w:p w14:paraId="1DC5C352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方式：网上获取。凭CA密钥市场主体登录并在规定时间内按网上提示下载招标文件及资料；供应商需要完成信息登记及CA数字证书办理，才能通过省公共资源交易平台参与交易活动，具体办理事宜请查阅河南省公共资源交易中心网站“公共服务”-“办事指南”专区的《新交易平台使用手册》。</w:t>
      </w:r>
    </w:p>
    <w:p w14:paraId="45FEFDAB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4.售价：0元。</w:t>
      </w:r>
    </w:p>
    <w:p w14:paraId="7093C04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四、投标截止时间及地点</w:t>
      </w:r>
    </w:p>
    <w:p w14:paraId="7B63F781">
      <w:pPr>
        <w:pStyle w:val="2"/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1、时间：2024年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日09点00分（北京时间） </w:t>
      </w:r>
    </w:p>
    <w:p w14:paraId="59BB1F31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2、地点：加密电子投标文件须在投标截止时间前通过“河南省公共资源交易中心（</w:t>
      </w:r>
      <w:r>
        <w:rPr>
          <w:rFonts w:hint="eastAsia" w:ascii="宋体" w:hAnsi="宋体" w:cs="宋体"/>
          <w:b/>
          <w:color w:val="000000"/>
          <w:kern w:val="0"/>
          <w:sz w:val="24"/>
        </w:rPr>
        <w:t>http://hnsggzyjy.henan.gov.cn</w:t>
      </w:r>
      <w:r>
        <w:rPr>
          <w:rFonts w:hint="eastAsia" w:ascii="宋体" w:hAnsi="宋体" w:cs="宋体"/>
          <w:color w:val="000000"/>
          <w:kern w:val="0"/>
          <w:sz w:val="24"/>
        </w:rPr>
        <w:t>）”系统指定位置上传。逾期上传的或者未上传指定地点的投标文件，采购人不予受理。</w:t>
      </w:r>
    </w:p>
    <w:p w14:paraId="25B89280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五、开标时间及地点</w:t>
      </w:r>
    </w:p>
    <w:p w14:paraId="46444139">
      <w:pPr>
        <w:pStyle w:val="2"/>
        <w:autoSpaceDE w:val="0"/>
        <w:autoSpaceDN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1、时间：2024年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日09点00分（北京时间）  </w:t>
      </w:r>
    </w:p>
    <w:p w14:paraId="2D50340E">
      <w:pPr>
        <w:spacing w:line="360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2、地点：河南省公共资源交易中心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远程开标室(一)-3</w:t>
      </w:r>
    </w:p>
    <w:p w14:paraId="4C8703EA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六、发布公告的媒介及公告期限</w:t>
      </w:r>
    </w:p>
    <w:p w14:paraId="1571A60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本次招标公告在《河南省政府采购网》、《河南省公共资源交易中心网》上发布。招标公告期限为五个工作日。</w:t>
      </w:r>
    </w:p>
    <w:p w14:paraId="53F39B2A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七、其他补充事宜</w:t>
      </w:r>
    </w:p>
    <w:p w14:paraId="03A813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项目采用“远程不见面”开标方式，远程开标大厅网址为http://hnsggzyjy.henan.gov.cn/BidOpening/bidopeninghallaction/hall/login，供应商人无需到河南省公共资源交易中心现场参加开标会议，无需到达现场提交原件资料。供应商应当在投标截止时间前，登录远程开标大厅，在线准时参加开标活动并进行文件解密、答疑澄清等。不见面服务的具体事宜请查阅河南省公共资源交易中心公共服务“办事指南”专区的《新交易平台使用手册（培训资料）》。</w:t>
      </w:r>
    </w:p>
    <w:p w14:paraId="640D16E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项目需要落实的政府采购政策：本项目落实节约能源、保护环境，优先采购节能环保、环境标志性产品、优先采购自主创新产品，支持脱贫攻坚，扶持不发达地区和少数民族地区，促进中小微企业、监狱企业及残疾人福利性单位发展等政府采购政策。</w:t>
      </w:r>
    </w:p>
    <w:p w14:paraId="76F0A9F4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八、凡对本次招标提出询问，请按照以下方式联系：</w:t>
      </w:r>
    </w:p>
    <w:p w14:paraId="71F2C8CC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招标人信息</w:t>
      </w:r>
    </w:p>
    <w:p w14:paraId="77A0C594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名称：河南化工技师学院</w:t>
      </w:r>
    </w:p>
    <w:p w14:paraId="7175B39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地址：河南省开封市龙亭区东京大道与七大街交叉口</w:t>
      </w:r>
    </w:p>
    <w:p w14:paraId="51577AD4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联系人：李老师 </w:t>
      </w:r>
    </w:p>
    <w:p w14:paraId="27069977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电话方式：0371-22217303</w:t>
      </w:r>
    </w:p>
    <w:p w14:paraId="4F01CF98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2.采购代理机构信息 </w:t>
      </w:r>
    </w:p>
    <w:p w14:paraId="64D28AA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名称：河南睿鹏工程咨询有限公司</w:t>
      </w:r>
    </w:p>
    <w:p w14:paraId="295E012D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地址：河南省郑州市高新技术产业开发区科学大道89号4号楼B单元15楼498号</w:t>
      </w:r>
    </w:p>
    <w:p w14:paraId="1320C46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sz w:val="24"/>
        </w:rPr>
        <w:t>胡先生</w:t>
      </w:r>
    </w:p>
    <w:p w14:paraId="149F5A6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联系方式：</w:t>
      </w:r>
      <w:r>
        <w:rPr>
          <w:rFonts w:hint="eastAsia" w:ascii="宋体" w:hAnsi="宋体" w:cs="宋体"/>
          <w:sz w:val="24"/>
        </w:rPr>
        <w:t>0371-60956094</w:t>
      </w:r>
    </w:p>
    <w:p w14:paraId="5E09B93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3.项目联系方式 </w:t>
      </w:r>
    </w:p>
    <w:p w14:paraId="2D3CFB84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sz w:val="24"/>
        </w:rPr>
        <w:t>胡先生</w:t>
      </w:r>
    </w:p>
    <w:p w14:paraId="6F089EC8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联系方式：</w:t>
      </w:r>
      <w:r>
        <w:rPr>
          <w:rFonts w:hint="eastAsia" w:ascii="宋体" w:hAnsi="宋体" w:cs="宋体"/>
          <w:sz w:val="24"/>
        </w:rPr>
        <w:t>0371-60956094</w:t>
      </w:r>
    </w:p>
    <w:p w14:paraId="7B1BB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OTJlZTY1OWFkMzNiMWJiZTVjOTQ2N2U1MDAwYTgifQ=="/>
  </w:docVars>
  <w:rsids>
    <w:rsidRoot w:val="72CB0246"/>
    <w:rsid w:val="72C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4">
    <w:name w:val="明显引用1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2024-10-24T01:49:00Z</dcterms:created>
  <dc:creator>造价</dc:creator>
  <cp:lastModifiedBy>造价</cp:lastModifiedBy>
  <dcterms:modified xsi:type="dcterms:W3CDTF">2024-10-24T01:49:52Z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80E90A82A1964D66B98E0B6EF5B0F79C_11</vt:lpwstr>
  </property>
</Properties>
</file>