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BBB0">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rPr>
      </w:pPr>
    </w:p>
    <w:p w14:paraId="76A4A969">
      <w:pPr>
        <w:keepNext w:val="0"/>
        <w:keepLines w:val="0"/>
        <w:pageBreakBefore w:val="0"/>
        <w:widowControl w:val="0"/>
        <w:kinsoku/>
        <w:wordWrap w:val="0"/>
        <w:overflowPunct/>
        <w:topLinePunct/>
        <w:autoSpaceDE/>
        <w:autoSpaceDN/>
        <w:bidi w:val="0"/>
        <w:adjustRightInd/>
        <w:snapToGrid/>
        <w:spacing w:line="900" w:lineRule="exact"/>
        <w:ind w:left="0" w:leftChars="0" w:right="0" w:rightChars="0"/>
        <w:jc w:val="center"/>
        <w:textAlignment w:val="auto"/>
        <w:rPr>
          <w:rFonts w:hint="eastAsia" w:ascii="宋体" w:hAnsi="宋体" w:eastAsia="宋体" w:cs="宋体"/>
          <w:b/>
          <w:bCs w:val="0"/>
          <w:color w:val="auto"/>
          <w:spacing w:val="0"/>
          <w:position w:val="0"/>
          <w:sz w:val="48"/>
          <w:szCs w:val="48"/>
          <w:lang w:eastAsia="zh-CN"/>
        </w:rPr>
      </w:pPr>
      <w:r>
        <w:rPr>
          <w:rFonts w:hint="eastAsia" w:ascii="宋体" w:hAnsi="宋体" w:eastAsia="宋体" w:cs="宋体"/>
          <w:b/>
          <w:bCs w:val="0"/>
          <w:color w:val="auto"/>
          <w:spacing w:val="0"/>
          <w:position w:val="0"/>
          <w:sz w:val="48"/>
          <w:szCs w:val="48"/>
          <w:lang w:eastAsia="zh-CN"/>
        </w:rPr>
        <w:t>河南省人民医院15号楼视光学中心、屈光学中心改造项目</w:t>
      </w:r>
    </w:p>
    <w:p w14:paraId="6AFAD4BB">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lang w:eastAsia="zh-CN"/>
        </w:rPr>
      </w:pPr>
    </w:p>
    <w:p w14:paraId="4FB74A2E">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lang w:eastAsia="zh-CN"/>
        </w:rPr>
      </w:pPr>
      <w:bookmarkStart w:id="244" w:name="_GoBack"/>
      <w:bookmarkEnd w:id="244"/>
    </w:p>
    <w:p w14:paraId="5FCCF073">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lang w:eastAsia="zh-CN"/>
        </w:rPr>
      </w:pPr>
    </w:p>
    <w:p w14:paraId="184D81A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bCs w:val="0"/>
          <w:color w:val="auto"/>
          <w:spacing w:val="0"/>
          <w:position w:val="0"/>
          <w:sz w:val="72"/>
          <w:szCs w:val="72"/>
          <w:lang w:val="en-US" w:eastAsia="zh-CN"/>
        </w:rPr>
      </w:pPr>
      <w:r>
        <w:rPr>
          <w:rFonts w:hint="eastAsia" w:ascii="宋体" w:hAnsi="宋体" w:eastAsia="宋体" w:cs="宋体"/>
          <w:b/>
          <w:bCs w:val="0"/>
          <w:color w:val="auto"/>
          <w:spacing w:val="0"/>
          <w:position w:val="0"/>
          <w:sz w:val="72"/>
          <w:szCs w:val="72"/>
          <w:lang w:eastAsia="zh-CN"/>
        </w:rPr>
        <w:t>竞争性磋商</w:t>
      </w:r>
      <w:r>
        <w:rPr>
          <w:rFonts w:hint="eastAsia" w:ascii="宋体" w:hAnsi="宋体" w:eastAsia="宋体" w:cs="宋体"/>
          <w:b/>
          <w:bCs w:val="0"/>
          <w:color w:val="auto"/>
          <w:spacing w:val="0"/>
          <w:position w:val="0"/>
          <w:sz w:val="72"/>
          <w:szCs w:val="72"/>
        </w:rPr>
        <w:t>文</w:t>
      </w:r>
      <w:r>
        <w:rPr>
          <w:rFonts w:hint="eastAsia" w:ascii="宋体" w:hAnsi="宋体" w:eastAsia="宋体" w:cs="宋体"/>
          <w:b/>
          <w:bCs w:val="0"/>
          <w:color w:val="auto"/>
          <w:spacing w:val="0"/>
          <w:position w:val="0"/>
          <w:sz w:val="72"/>
          <w:szCs w:val="72"/>
          <w:lang w:val="en-US" w:eastAsia="zh-CN"/>
        </w:rPr>
        <w:t>件</w:t>
      </w:r>
    </w:p>
    <w:p w14:paraId="5E9CD82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Cs/>
          <w:color w:val="auto"/>
          <w:spacing w:val="0"/>
          <w:position w:val="0"/>
          <w:sz w:val="32"/>
          <w:szCs w:val="32"/>
        </w:rPr>
      </w:pPr>
      <w:r>
        <w:rPr>
          <w:rFonts w:hint="eastAsia" w:ascii="宋体" w:hAnsi="宋体" w:eastAsia="宋体" w:cs="宋体"/>
          <w:bCs/>
          <w:color w:val="auto"/>
          <w:spacing w:val="0"/>
          <w:position w:val="0"/>
          <w:sz w:val="32"/>
          <w:szCs w:val="32"/>
        </w:rPr>
        <w:drawing>
          <wp:inline distT="0" distB="0" distL="114300" distR="114300">
            <wp:extent cx="1976120" cy="1061085"/>
            <wp:effectExtent l="0" t="0" r="5080" b="5715"/>
            <wp:docPr id="1" name="图片 1"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
                    <pic:cNvPicPr>
                      <a:picLocks noChangeAspect="1"/>
                    </pic:cNvPicPr>
                  </pic:nvPicPr>
                  <pic:blipFill>
                    <a:blip r:embed="rId7">
                      <a:lum contrast="11999"/>
                    </a:blip>
                    <a:srcRect t="21506" b="9140"/>
                    <a:stretch>
                      <a:fillRect/>
                    </a:stretch>
                  </pic:blipFill>
                  <pic:spPr>
                    <a:xfrm>
                      <a:off x="0" y="0"/>
                      <a:ext cx="1976120" cy="1061085"/>
                    </a:xfrm>
                    <a:prstGeom prst="rect">
                      <a:avLst/>
                    </a:prstGeom>
                    <a:noFill/>
                    <a:ln>
                      <a:noFill/>
                    </a:ln>
                  </pic:spPr>
                </pic:pic>
              </a:graphicData>
            </a:graphic>
          </wp:inline>
        </w:drawing>
      </w:r>
    </w:p>
    <w:p w14:paraId="0C0B6FC0">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rPr>
      </w:pPr>
    </w:p>
    <w:p w14:paraId="508E3951">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rPr>
      </w:pPr>
    </w:p>
    <w:p w14:paraId="7213C612">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rPr>
      </w:pPr>
    </w:p>
    <w:p w14:paraId="4A4BDAE8">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rPr>
      </w:pPr>
    </w:p>
    <w:p w14:paraId="227F7FE9">
      <w:pPr>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宋体" w:hAnsi="宋体" w:eastAsia="宋体" w:cs="宋体"/>
          <w:bCs/>
          <w:color w:val="auto"/>
          <w:spacing w:val="0"/>
          <w:position w:val="0"/>
          <w:sz w:val="32"/>
          <w:szCs w:val="32"/>
        </w:rPr>
      </w:pPr>
    </w:p>
    <w:p w14:paraId="3304C4FA">
      <w:pPr>
        <w:keepNext w:val="0"/>
        <w:keepLines w:val="0"/>
        <w:pageBreakBefore w:val="0"/>
        <w:widowControl w:val="0"/>
        <w:kinsoku/>
        <w:wordWrap w:val="0"/>
        <w:overflowPunct/>
        <w:topLinePunct/>
        <w:autoSpaceDE/>
        <w:autoSpaceDN/>
        <w:bidi w:val="0"/>
        <w:adjustRightInd/>
        <w:snapToGrid/>
        <w:spacing w:line="800" w:lineRule="exact"/>
        <w:ind w:left="0" w:leftChars="0" w:firstLine="640" w:firstLineChars="177"/>
        <w:jc w:val="both"/>
        <w:textAlignment w:val="auto"/>
        <w:rPr>
          <w:rFonts w:hint="eastAsia" w:ascii="宋体" w:hAnsi="宋体" w:eastAsia="宋体" w:cs="宋体"/>
          <w:b/>
          <w:bCs w:val="0"/>
          <w:color w:val="auto"/>
          <w:spacing w:val="0"/>
          <w:position w:val="0"/>
          <w:sz w:val="36"/>
          <w:szCs w:val="36"/>
          <w:lang w:val="en-US" w:eastAsia="zh-CN"/>
        </w:rPr>
      </w:pPr>
      <w:r>
        <w:rPr>
          <w:rFonts w:hint="eastAsia" w:ascii="宋体" w:hAnsi="宋体" w:eastAsia="宋体" w:cs="宋体"/>
          <w:b/>
          <w:bCs w:val="0"/>
          <w:color w:val="auto"/>
          <w:spacing w:val="0"/>
          <w:position w:val="0"/>
          <w:sz w:val="36"/>
          <w:szCs w:val="36"/>
          <w:lang w:val="en-US" w:eastAsia="zh-CN"/>
        </w:rPr>
        <w:t>采 购 人</w:t>
      </w:r>
      <w:r>
        <w:rPr>
          <w:rFonts w:hint="eastAsia" w:ascii="宋体" w:hAnsi="宋体" w:eastAsia="宋体" w:cs="宋体"/>
          <w:b/>
          <w:bCs w:val="0"/>
          <w:color w:val="auto"/>
          <w:spacing w:val="0"/>
          <w:position w:val="0"/>
          <w:sz w:val="36"/>
          <w:szCs w:val="36"/>
        </w:rPr>
        <w:t>：</w:t>
      </w:r>
      <w:r>
        <w:rPr>
          <w:rFonts w:hint="eastAsia" w:ascii="宋体" w:hAnsi="宋体" w:eastAsia="宋体" w:cs="宋体"/>
          <w:b/>
          <w:bCs w:val="0"/>
          <w:color w:val="auto"/>
          <w:spacing w:val="0"/>
          <w:position w:val="0"/>
          <w:sz w:val="36"/>
          <w:szCs w:val="36"/>
          <w:lang w:val="en-US" w:eastAsia="zh-CN"/>
        </w:rPr>
        <w:t>河南省人民医院</w:t>
      </w:r>
    </w:p>
    <w:p w14:paraId="6D2AE6BE">
      <w:pPr>
        <w:keepNext w:val="0"/>
        <w:keepLines w:val="0"/>
        <w:pageBreakBefore w:val="0"/>
        <w:widowControl w:val="0"/>
        <w:kinsoku/>
        <w:wordWrap w:val="0"/>
        <w:overflowPunct/>
        <w:topLinePunct/>
        <w:autoSpaceDE/>
        <w:autoSpaceDN/>
        <w:bidi w:val="0"/>
        <w:adjustRightInd/>
        <w:snapToGrid/>
        <w:spacing w:line="800" w:lineRule="exact"/>
        <w:ind w:left="0" w:leftChars="0" w:firstLine="640" w:firstLineChars="177"/>
        <w:jc w:val="both"/>
        <w:textAlignment w:val="auto"/>
        <w:rPr>
          <w:rFonts w:hint="eastAsia" w:ascii="宋体" w:hAnsi="宋体" w:eastAsia="宋体" w:cs="宋体"/>
          <w:b/>
          <w:bCs w:val="0"/>
          <w:color w:val="auto"/>
          <w:spacing w:val="0"/>
          <w:position w:val="0"/>
          <w:sz w:val="36"/>
          <w:szCs w:val="36"/>
        </w:rPr>
      </w:pPr>
      <w:r>
        <w:rPr>
          <w:rFonts w:hint="eastAsia" w:ascii="宋体" w:hAnsi="宋体" w:eastAsia="宋体" w:cs="宋体"/>
          <w:b/>
          <w:bCs w:val="0"/>
          <w:color w:val="auto"/>
          <w:spacing w:val="0"/>
          <w:position w:val="0"/>
          <w:sz w:val="36"/>
          <w:szCs w:val="36"/>
        </w:rPr>
        <w:t>代理机构：河南省伟信招标管理咨询有限公司</w:t>
      </w:r>
    </w:p>
    <w:p w14:paraId="6022896E">
      <w:pPr>
        <w:keepNext w:val="0"/>
        <w:keepLines w:val="0"/>
        <w:pageBreakBefore w:val="0"/>
        <w:widowControl w:val="0"/>
        <w:kinsoku/>
        <w:wordWrap w:val="0"/>
        <w:overflowPunct/>
        <w:topLinePunct/>
        <w:autoSpaceDE/>
        <w:autoSpaceDN/>
        <w:bidi w:val="0"/>
        <w:adjustRightInd/>
        <w:snapToGrid/>
        <w:spacing w:line="800" w:lineRule="exact"/>
        <w:ind w:left="0" w:leftChars="0" w:firstLine="640" w:firstLineChars="177"/>
        <w:jc w:val="both"/>
        <w:textAlignment w:val="auto"/>
        <w:rPr>
          <w:rFonts w:hint="eastAsia" w:ascii="宋体" w:hAnsi="宋体" w:eastAsia="宋体" w:cs="宋体"/>
          <w:b/>
          <w:bCs w:val="0"/>
          <w:color w:val="auto"/>
          <w:spacing w:val="0"/>
          <w:position w:val="0"/>
          <w:sz w:val="36"/>
          <w:szCs w:val="36"/>
        </w:rPr>
      </w:pPr>
      <w:r>
        <w:rPr>
          <w:rFonts w:hint="eastAsia" w:ascii="宋体" w:hAnsi="宋体" w:eastAsia="宋体" w:cs="宋体"/>
          <w:b/>
          <w:bCs w:val="0"/>
          <w:color w:val="auto"/>
          <w:spacing w:val="0"/>
          <w:position w:val="0"/>
          <w:sz w:val="36"/>
          <w:szCs w:val="36"/>
        </w:rPr>
        <w:t>时    间：二</w:t>
      </w:r>
      <w:r>
        <w:rPr>
          <w:rFonts w:hint="eastAsia" w:ascii="宋体" w:hAnsi="宋体" w:eastAsia="宋体" w:cs="宋体"/>
          <w:b/>
          <w:bCs w:val="0"/>
          <w:color w:val="auto"/>
          <w:spacing w:val="0"/>
          <w:position w:val="0"/>
          <w:sz w:val="36"/>
          <w:szCs w:val="36"/>
          <w:lang w:val="en-US" w:eastAsia="zh-CN"/>
        </w:rPr>
        <w:t>〇二四</w:t>
      </w:r>
      <w:r>
        <w:rPr>
          <w:rFonts w:hint="eastAsia" w:ascii="宋体" w:hAnsi="宋体" w:eastAsia="宋体" w:cs="宋体"/>
          <w:b/>
          <w:bCs w:val="0"/>
          <w:color w:val="auto"/>
          <w:spacing w:val="0"/>
          <w:position w:val="0"/>
          <w:sz w:val="36"/>
          <w:szCs w:val="36"/>
        </w:rPr>
        <w:t>年</w:t>
      </w:r>
      <w:r>
        <w:rPr>
          <w:rFonts w:hint="eastAsia" w:ascii="宋体" w:hAnsi="宋体" w:eastAsia="宋体" w:cs="宋体"/>
          <w:b/>
          <w:bCs w:val="0"/>
          <w:color w:val="auto"/>
          <w:spacing w:val="0"/>
          <w:position w:val="0"/>
          <w:sz w:val="36"/>
          <w:szCs w:val="36"/>
          <w:lang w:val="en-US" w:eastAsia="zh-CN"/>
        </w:rPr>
        <w:t>十一</w:t>
      </w:r>
      <w:r>
        <w:rPr>
          <w:rFonts w:hint="eastAsia" w:ascii="宋体" w:hAnsi="宋体" w:eastAsia="宋体" w:cs="宋体"/>
          <w:b/>
          <w:bCs w:val="0"/>
          <w:color w:val="auto"/>
          <w:spacing w:val="0"/>
          <w:position w:val="0"/>
          <w:sz w:val="36"/>
          <w:szCs w:val="36"/>
        </w:rPr>
        <w:t>月</w:t>
      </w:r>
    </w:p>
    <w:p w14:paraId="1DF52530">
      <w:pPr>
        <w:pageBreakBefore w:val="0"/>
        <w:wordWrap w:val="0"/>
        <w:overflowPunct/>
        <w:topLinePunct/>
        <w:autoSpaceDE/>
        <w:autoSpaceDN/>
        <w:bidi w:val="0"/>
        <w:rPr>
          <w:rFonts w:hint="eastAsia" w:ascii="宋体" w:hAnsi="宋体" w:eastAsia="宋体" w:cs="宋体"/>
          <w:b/>
          <w:bCs/>
          <w:color w:val="auto"/>
          <w:spacing w:val="0"/>
          <w:position w:val="0"/>
          <w:sz w:val="24"/>
          <w:szCs w:val="24"/>
        </w:rPr>
      </w:pPr>
      <w:r>
        <w:rPr>
          <w:rFonts w:hint="eastAsia" w:ascii="宋体" w:hAnsi="宋体" w:eastAsia="宋体" w:cs="宋体"/>
          <w:b/>
          <w:bCs/>
          <w:color w:val="auto"/>
          <w:spacing w:val="0"/>
          <w:position w:val="0"/>
          <w:sz w:val="24"/>
          <w:szCs w:val="24"/>
        </w:rPr>
        <w:br w:type="page"/>
      </w:r>
    </w:p>
    <w:p w14:paraId="03596DB2">
      <w:pPr>
        <w:pStyle w:val="31"/>
        <w:pageBreakBefore w:val="0"/>
        <w:tabs>
          <w:tab w:val="right" w:leader="dot" w:pos="8296"/>
        </w:tabs>
        <w:wordWrap w:val="0"/>
        <w:overflowPunct/>
        <w:topLinePunct/>
        <w:autoSpaceDE/>
        <w:autoSpaceDN/>
        <w:bidi w:val="0"/>
        <w:jc w:val="center"/>
        <w:rPr>
          <w:rFonts w:hint="eastAsia" w:ascii="宋体" w:hAnsi="宋体" w:eastAsia="宋体" w:cs="宋体"/>
          <w:b/>
          <w:bCs/>
          <w:color w:val="auto"/>
          <w:spacing w:val="0"/>
          <w:position w:val="0"/>
          <w:sz w:val="36"/>
          <w:szCs w:val="36"/>
        </w:rPr>
      </w:pPr>
      <w:r>
        <w:rPr>
          <w:rFonts w:hint="eastAsia" w:ascii="宋体" w:hAnsi="宋体" w:eastAsia="宋体" w:cs="宋体"/>
          <w:b/>
          <w:bCs/>
          <w:color w:val="auto"/>
          <w:spacing w:val="0"/>
          <w:position w:val="0"/>
          <w:sz w:val="36"/>
          <w:szCs w:val="36"/>
        </w:rPr>
        <w:t>目</w:t>
      </w:r>
      <w:r>
        <w:rPr>
          <w:rFonts w:hint="eastAsia" w:ascii="宋体" w:hAnsi="宋体" w:eastAsia="宋体" w:cs="宋体"/>
          <w:b/>
          <w:bCs/>
          <w:color w:val="auto"/>
          <w:spacing w:val="0"/>
          <w:position w:val="0"/>
          <w:sz w:val="36"/>
          <w:szCs w:val="36"/>
          <w:lang w:val="en-US" w:eastAsia="zh-CN"/>
        </w:rPr>
        <w:t xml:space="preserve">  </w:t>
      </w:r>
      <w:r>
        <w:rPr>
          <w:rFonts w:hint="eastAsia" w:ascii="宋体" w:hAnsi="宋体" w:eastAsia="宋体" w:cs="宋体"/>
          <w:b/>
          <w:bCs/>
          <w:color w:val="auto"/>
          <w:spacing w:val="0"/>
          <w:position w:val="0"/>
          <w:sz w:val="36"/>
          <w:szCs w:val="36"/>
        </w:rPr>
        <w:t>录</w:t>
      </w:r>
    </w:p>
    <w:p w14:paraId="0B2E622C">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TOC \o "1-3" \h \z \u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_Toc14861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 xml:space="preserve">第一章  </w:t>
      </w:r>
      <w:r>
        <w:rPr>
          <w:rFonts w:hint="eastAsia" w:ascii="宋体" w:hAnsi="宋体" w:eastAsia="宋体" w:cs="宋体"/>
          <w:spacing w:val="0"/>
          <w:position w:val="0"/>
          <w:sz w:val="21"/>
          <w:szCs w:val="21"/>
          <w:lang w:val="en-US" w:eastAsia="zh-CN"/>
        </w:rPr>
        <w:t>磋商</w:t>
      </w:r>
      <w:r>
        <w:rPr>
          <w:rFonts w:hint="eastAsia" w:ascii="宋体" w:hAnsi="宋体" w:eastAsia="宋体" w:cs="宋体"/>
          <w:spacing w:val="0"/>
          <w:position w:val="0"/>
          <w:sz w:val="21"/>
          <w:szCs w:val="21"/>
        </w:rPr>
        <w:t>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_Toc14861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5A5D2394">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_Toc7413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 xml:space="preserve">第二章  </w:t>
      </w:r>
      <w:r>
        <w:rPr>
          <w:rFonts w:hint="eastAsia" w:ascii="宋体" w:hAnsi="宋体" w:eastAsia="宋体" w:cs="宋体"/>
          <w:spacing w:val="0"/>
          <w:position w:val="0"/>
          <w:sz w:val="21"/>
          <w:szCs w:val="21"/>
          <w:lang w:eastAsia="zh-CN"/>
        </w:rPr>
        <w:t>供应商</w:t>
      </w:r>
      <w:r>
        <w:rPr>
          <w:rFonts w:hint="eastAsia" w:ascii="宋体" w:hAnsi="宋体" w:eastAsia="宋体" w:cs="宋体"/>
          <w:spacing w:val="0"/>
          <w:position w:val="0"/>
          <w:sz w:val="21"/>
          <w:szCs w:val="21"/>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_Toc7413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799C64DE">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_Toc31466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lang w:eastAsia="zh-CN"/>
        </w:rPr>
        <w:t>供应商</w:t>
      </w:r>
      <w:r>
        <w:rPr>
          <w:rFonts w:hint="eastAsia" w:ascii="宋体" w:hAnsi="宋体" w:eastAsia="宋体" w:cs="宋体"/>
          <w:spacing w:val="0"/>
          <w:position w:val="0"/>
          <w:sz w:val="21"/>
          <w:szCs w:val="21"/>
        </w:rPr>
        <w:t>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_Toc31466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0A5C473B">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_Toc30411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 xml:space="preserve">第三章 </w:t>
      </w:r>
      <w:r>
        <w:rPr>
          <w:rFonts w:hint="eastAsia" w:ascii="宋体" w:hAnsi="宋体" w:eastAsia="宋体" w:cs="宋体"/>
          <w:spacing w:val="0"/>
          <w:position w:val="0"/>
          <w:sz w:val="21"/>
          <w:szCs w:val="21"/>
          <w:lang w:val="en-US" w:eastAsia="zh-CN"/>
        </w:rPr>
        <w:t xml:space="preserve"> </w:t>
      </w:r>
      <w:r>
        <w:rPr>
          <w:rFonts w:hint="eastAsia" w:ascii="宋体" w:hAnsi="宋体" w:eastAsia="宋体" w:cs="宋体"/>
          <w:spacing w:val="0"/>
          <w:position w:val="0"/>
          <w:sz w:val="21"/>
          <w:szCs w:val="21"/>
          <w:lang w:eastAsia="zh-CN"/>
        </w:rPr>
        <w:t>评审</w:t>
      </w:r>
      <w:r>
        <w:rPr>
          <w:rFonts w:hint="eastAsia" w:ascii="宋体" w:hAnsi="宋体" w:eastAsia="宋体" w:cs="宋体"/>
          <w:spacing w:val="0"/>
          <w:position w:val="0"/>
          <w:sz w:val="21"/>
          <w:szCs w:val="21"/>
        </w:rPr>
        <w:t>方法和标准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_Toc30411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7CE2C4C2">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_Toc19151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评审因素及评审标准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_Toc19151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0998B60A">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_Toc27888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第四章  合同格式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_Toc27888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67590C38">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_Toc518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 xml:space="preserve">第五章  </w:t>
      </w:r>
      <w:r>
        <w:rPr>
          <w:rFonts w:hint="eastAsia" w:ascii="宋体" w:hAnsi="宋体" w:eastAsia="宋体" w:cs="宋体"/>
          <w:spacing w:val="0"/>
          <w:position w:val="0"/>
          <w:sz w:val="21"/>
          <w:szCs w:val="21"/>
          <w:lang w:val="en-US" w:eastAsia="zh-CN"/>
        </w:rPr>
        <w:t>工程量清单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_Toc518 \h </w:instrText>
      </w:r>
      <w:r>
        <w:rPr>
          <w:rFonts w:hint="eastAsia" w:ascii="宋体" w:hAnsi="宋体" w:eastAsia="宋体" w:cs="宋体"/>
          <w:sz w:val="21"/>
          <w:szCs w:val="21"/>
        </w:rPr>
        <w:fldChar w:fldCharType="separate"/>
      </w:r>
      <w:r>
        <w:rPr>
          <w:rFonts w:hint="eastAsia" w:ascii="宋体" w:hAnsi="宋体" w:eastAsia="宋体" w:cs="宋体"/>
          <w:sz w:val="21"/>
          <w:szCs w:val="21"/>
        </w:rPr>
        <w:t>119</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6BB93B60">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_Toc25901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第</w:t>
      </w:r>
      <w:r>
        <w:rPr>
          <w:rFonts w:hint="eastAsia" w:ascii="宋体" w:hAnsi="宋体" w:eastAsia="宋体" w:cs="宋体"/>
          <w:spacing w:val="0"/>
          <w:position w:val="0"/>
          <w:sz w:val="21"/>
          <w:szCs w:val="21"/>
          <w:lang w:val="en-US" w:eastAsia="zh-CN"/>
        </w:rPr>
        <w:t>六</w:t>
      </w:r>
      <w:r>
        <w:rPr>
          <w:rFonts w:hint="eastAsia" w:ascii="宋体" w:hAnsi="宋体" w:eastAsia="宋体" w:cs="宋体"/>
          <w:spacing w:val="0"/>
          <w:position w:val="0"/>
          <w:sz w:val="21"/>
          <w:szCs w:val="21"/>
        </w:rPr>
        <w:t xml:space="preserve">章  </w:t>
      </w:r>
      <w:r>
        <w:rPr>
          <w:rFonts w:hint="eastAsia" w:ascii="宋体" w:hAnsi="宋体" w:eastAsia="宋体" w:cs="宋体"/>
          <w:spacing w:val="0"/>
          <w:position w:val="0"/>
          <w:sz w:val="21"/>
          <w:szCs w:val="21"/>
          <w:lang w:val="en-US" w:eastAsia="zh-CN"/>
        </w:rPr>
        <w:t>图纸</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_Toc25901 \h </w:instrText>
      </w:r>
      <w:r>
        <w:rPr>
          <w:rFonts w:hint="eastAsia" w:ascii="宋体" w:hAnsi="宋体" w:eastAsia="宋体" w:cs="宋体"/>
          <w:sz w:val="21"/>
          <w:szCs w:val="21"/>
        </w:rPr>
        <w:fldChar w:fldCharType="separate"/>
      </w:r>
      <w:r>
        <w:rPr>
          <w:rFonts w:hint="eastAsia" w:ascii="宋体" w:hAnsi="宋体" w:eastAsia="宋体" w:cs="宋体"/>
          <w:sz w:val="21"/>
          <w:szCs w:val="21"/>
        </w:rPr>
        <w:t>120</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3DF118CD">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_Toc4258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第</w:t>
      </w:r>
      <w:r>
        <w:rPr>
          <w:rFonts w:hint="eastAsia" w:ascii="宋体" w:hAnsi="宋体" w:eastAsia="宋体" w:cs="宋体"/>
          <w:spacing w:val="0"/>
          <w:position w:val="0"/>
          <w:sz w:val="21"/>
          <w:szCs w:val="21"/>
          <w:lang w:val="en-US" w:eastAsia="zh-CN"/>
        </w:rPr>
        <w:t>七</w:t>
      </w:r>
      <w:r>
        <w:rPr>
          <w:rFonts w:hint="eastAsia" w:ascii="宋体" w:hAnsi="宋体" w:eastAsia="宋体" w:cs="宋体"/>
          <w:spacing w:val="0"/>
          <w:position w:val="0"/>
          <w:sz w:val="21"/>
          <w:szCs w:val="21"/>
        </w:rPr>
        <w:t xml:space="preserve">章  </w:t>
      </w:r>
      <w:r>
        <w:rPr>
          <w:rFonts w:hint="eastAsia" w:ascii="宋体" w:hAnsi="宋体" w:eastAsia="宋体" w:cs="宋体"/>
          <w:spacing w:val="0"/>
          <w:position w:val="0"/>
          <w:sz w:val="21"/>
          <w:szCs w:val="21"/>
          <w:lang w:val="en-US" w:eastAsia="zh-CN"/>
        </w:rPr>
        <w:t>技术标准和要求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_Toc4258 \h </w:instrText>
      </w:r>
      <w:r>
        <w:rPr>
          <w:rFonts w:hint="eastAsia" w:ascii="宋体" w:hAnsi="宋体" w:eastAsia="宋体" w:cs="宋体"/>
          <w:sz w:val="21"/>
          <w:szCs w:val="21"/>
        </w:rPr>
        <w:fldChar w:fldCharType="separate"/>
      </w:r>
      <w:r>
        <w:rPr>
          <w:rFonts w:hint="eastAsia" w:ascii="宋体" w:hAnsi="宋体" w:eastAsia="宋体" w:cs="宋体"/>
          <w:sz w:val="21"/>
          <w:szCs w:val="21"/>
        </w:rPr>
        <w:t>121</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5B31B824">
      <w:pPr>
        <w:pStyle w:val="31"/>
        <w:keepNext w:val="0"/>
        <w:keepLines w:val="0"/>
        <w:pageBreakBefore w:val="0"/>
        <w:widowControl/>
        <w:tabs>
          <w:tab w:val="right" w:leader="dot" w:pos="8618"/>
        </w:tabs>
        <w:kinsoku/>
        <w:overflowPunct/>
        <w:autoSpaceDE/>
        <w:autoSpaceDN/>
        <w:bidi w:val="0"/>
        <w:adjustRightInd/>
        <w:snapToGrid/>
        <w:spacing w:after="0" w:line="420" w:lineRule="auto"/>
        <w:textAlignment w:val="auto"/>
        <w:rPr>
          <w:rFonts w:hint="eastAsia" w:ascii="宋体" w:hAnsi="宋体" w:eastAsia="宋体" w:cs="宋体"/>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spacing w:val="0"/>
          <w:position w:val="0"/>
          <w:sz w:val="21"/>
          <w:szCs w:val="21"/>
        </w:rPr>
        <w:instrText xml:space="preserve"> HYPERLINK \l _Toc28219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第</w:t>
      </w:r>
      <w:r>
        <w:rPr>
          <w:rFonts w:hint="eastAsia" w:ascii="宋体" w:hAnsi="宋体" w:eastAsia="宋体" w:cs="宋体"/>
          <w:spacing w:val="0"/>
          <w:position w:val="0"/>
          <w:sz w:val="21"/>
          <w:szCs w:val="21"/>
          <w:lang w:val="en-US" w:eastAsia="zh-CN"/>
        </w:rPr>
        <w:t>八</w:t>
      </w:r>
      <w:r>
        <w:rPr>
          <w:rFonts w:hint="eastAsia" w:ascii="宋体" w:hAnsi="宋体" w:eastAsia="宋体" w:cs="宋体"/>
          <w:spacing w:val="0"/>
          <w:position w:val="0"/>
          <w:sz w:val="21"/>
          <w:szCs w:val="21"/>
        </w:rPr>
        <w:t xml:space="preserve">章  </w:t>
      </w:r>
      <w:r>
        <w:rPr>
          <w:rFonts w:hint="eastAsia" w:ascii="宋体" w:hAnsi="宋体" w:eastAsia="宋体" w:cs="宋体"/>
          <w:spacing w:val="0"/>
          <w:position w:val="0"/>
          <w:sz w:val="21"/>
          <w:szCs w:val="21"/>
          <w:lang w:eastAsia="zh-CN"/>
        </w:rPr>
        <w:t>响应文件</w:t>
      </w:r>
      <w:r>
        <w:rPr>
          <w:rFonts w:hint="eastAsia" w:ascii="宋体" w:hAnsi="宋体" w:eastAsia="宋体" w:cs="宋体"/>
          <w:spacing w:val="0"/>
          <w:position w:val="0"/>
          <w:sz w:val="21"/>
          <w:szCs w:val="21"/>
        </w:rPr>
        <w:t>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_Toc28219 \h </w:instrText>
      </w:r>
      <w:r>
        <w:rPr>
          <w:rFonts w:hint="eastAsia" w:ascii="宋体" w:hAnsi="宋体" w:eastAsia="宋体" w:cs="宋体"/>
          <w:sz w:val="21"/>
          <w:szCs w:val="21"/>
        </w:rPr>
        <w:fldChar w:fldCharType="separate"/>
      </w:r>
      <w:r>
        <w:rPr>
          <w:rFonts w:hint="eastAsia" w:ascii="宋体" w:hAnsi="宋体" w:eastAsia="宋体" w:cs="宋体"/>
          <w:sz w:val="21"/>
          <w:szCs w:val="21"/>
        </w:rPr>
        <w:t>125</w:t>
      </w:r>
      <w:r>
        <w:rPr>
          <w:rFonts w:hint="eastAsia" w:ascii="宋体" w:hAnsi="宋体" w:eastAsia="宋体" w:cs="宋体"/>
          <w:sz w:val="21"/>
          <w:szCs w:val="21"/>
        </w:rPr>
        <w:fldChar w:fldCharType="end"/>
      </w:r>
      <w:r>
        <w:rPr>
          <w:rFonts w:hint="eastAsia" w:ascii="宋体" w:hAnsi="宋体" w:eastAsia="宋体" w:cs="宋体"/>
          <w:color w:val="auto"/>
          <w:spacing w:val="0"/>
          <w:position w:val="0"/>
          <w:sz w:val="21"/>
          <w:szCs w:val="21"/>
        </w:rPr>
        <w:fldChar w:fldCharType="end"/>
      </w:r>
    </w:p>
    <w:p w14:paraId="527C20ED">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_Toc22901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一、响应函</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_Toc22901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126</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166ED138">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_Toc24546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二、开标一览表</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_Toc24546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127</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1DD04C35">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_Toc14268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三、法定代表人身份证明</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_Toc14268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128</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5E49D6D3">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_Toc25721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四</w:t>
      </w:r>
      <w:r>
        <w:rPr>
          <w:rFonts w:hint="eastAsia" w:ascii="宋体" w:hAnsi="宋体" w:eastAsia="宋体" w:cs="宋体"/>
          <w:color w:val="auto"/>
          <w:spacing w:val="0"/>
          <w:position w:val="0"/>
          <w:sz w:val="21"/>
          <w:szCs w:val="21"/>
        </w:rPr>
        <w:t>、授权委托书</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_Toc25721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129</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2047BF9C">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_Toc8275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五</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承诺函</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_Toc8275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130</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735F999F">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_Toc16938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六</w:t>
      </w: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lang w:val="en-US" w:eastAsia="zh-CN"/>
        </w:rPr>
        <w:t>已标价工程量清单</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_Toc16938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132</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5BA7E2DE">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_Toc12455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七、项目管理机构</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_Toc12455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133</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461E0C9F">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_Toc3636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八、资格审查资料</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_Toc3636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137</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14096E76">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_Toc26487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九、施工组织设计</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_Toc26487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140</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712BBB1D">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_Toc12902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lang w:val="en-US" w:eastAsia="zh-CN"/>
        </w:rPr>
        <w:t>十、中小企业声明函</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_Toc12902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145</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6B12A307">
      <w:pPr>
        <w:pStyle w:val="38"/>
        <w:keepNext w:val="0"/>
        <w:keepLines w:val="0"/>
        <w:pageBreakBefore w:val="0"/>
        <w:widowControl/>
        <w:tabs>
          <w:tab w:val="right" w:leader="dot" w:pos="8618"/>
        </w:tabs>
        <w:kinsoku/>
        <w:overflowPunct/>
        <w:autoSpaceDE/>
        <w:autoSpaceDN/>
        <w:bidi w:val="0"/>
        <w:adjustRightInd/>
        <w:snapToGrid/>
        <w:spacing w:after="0" w:line="42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\l _Toc27975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十</w:t>
      </w:r>
      <w:r>
        <w:rPr>
          <w:rFonts w:hint="eastAsia" w:ascii="宋体" w:hAnsi="宋体" w:eastAsia="宋体" w:cs="宋体"/>
          <w:color w:val="auto"/>
          <w:spacing w:val="0"/>
          <w:position w:val="0"/>
          <w:sz w:val="21"/>
          <w:szCs w:val="21"/>
          <w:lang w:val="en-US" w:eastAsia="zh-CN"/>
        </w:rPr>
        <w:t>一、供应商认为需要提供的其他资料</w:t>
      </w:r>
      <w:r>
        <w:rPr>
          <w:rFonts w:hint="eastAsia" w:ascii="宋体" w:hAnsi="宋体" w:eastAsia="宋体" w:cs="宋体"/>
          <w:color w:val="auto"/>
          <w:spacing w:val="0"/>
          <w:position w:val="0"/>
          <w:sz w:val="21"/>
          <w:szCs w:val="21"/>
        </w:rPr>
        <w:tab/>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PAGEREF _Toc27975 \h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148</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fldChar w:fldCharType="end"/>
      </w:r>
    </w:p>
    <w:p w14:paraId="4CED1EC5">
      <w:pPr>
        <w:keepNext w:val="0"/>
        <w:keepLines w:val="0"/>
        <w:pageBreakBefore w:val="0"/>
        <w:widowControl/>
        <w:kinsoku/>
        <w:wordWrap w:val="0"/>
        <w:overflowPunct/>
        <w:topLinePunct/>
        <w:autoSpaceDE/>
        <w:autoSpaceDN/>
        <w:bidi w:val="0"/>
        <w:adjustRightInd/>
        <w:snapToGrid/>
        <w:spacing w:line="420" w:lineRule="auto"/>
        <w:jc w:val="left"/>
        <w:textAlignment w:val="auto"/>
        <w:rPr>
          <w:rFonts w:hint="eastAsia" w:ascii="宋体" w:hAnsi="宋体" w:eastAsia="宋体" w:cs="宋体"/>
          <w:color w:val="auto"/>
          <w:spacing w:val="0"/>
          <w:position w:val="0"/>
        </w:rPr>
      </w:pPr>
      <w:r>
        <w:rPr>
          <w:rFonts w:hint="eastAsia" w:ascii="宋体" w:hAnsi="宋体" w:eastAsia="宋体" w:cs="宋体"/>
          <w:color w:val="auto"/>
          <w:spacing w:val="0"/>
          <w:position w:val="0"/>
          <w:sz w:val="21"/>
          <w:szCs w:val="21"/>
        </w:rPr>
        <w:fldChar w:fldCharType="end"/>
      </w:r>
    </w:p>
    <w:p w14:paraId="4B1BFC43">
      <w:pPr>
        <w:pageBreakBefore w:val="0"/>
        <w:wordWrap w:val="0"/>
        <w:overflowPunct/>
        <w:topLinePunct/>
        <w:autoSpaceDE/>
        <w:autoSpaceDN/>
        <w:bidi w:val="0"/>
        <w:rPr>
          <w:rFonts w:hint="eastAsia" w:ascii="宋体" w:hAnsi="宋体" w:eastAsia="宋体" w:cs="宋体"/>
          <w:color w:val="auto"/>
          <w:spacing w:val="0"/>
          <w:position w:val="0"/>
        </w:rPr>
      </w:pPr>
      <w:bookmarkStart w:id="0" w:name="_Hlk41555242"/>
      <w:r>
        <w:rPr>
          <w:rFonts w:hint="eastAsia" w:ascii="宋体" w:hAnsi="宋体" w:eastAsia="宋体" w:cs="宋体"/>
          <w:color w:val="auto"/>
          <w:spacing w:val="0"/>
          <w:position w:val="0"/>
        </w:rPr>
        <w:br w:type="page"/>
      </w:r>
    </w:p>
    <w:p w14:paraId="4D1E0333">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1" w:name="_Toc14861"/>
      <w:r>
        <w:rPr>
          <w:rFonts w:hint="eastAsia" w:ascii="宋体" w:hAnsi="宋体" w:eastAsia="宋体" w:cs="宋体"/>
          <w:color w:val="auto"/>
          <w:spacing w:val="0"/>
          <w:position w:val="0"/>
        </w:rPr>
        <w:t xml:space="preserve">第一章  </w:t>
      </w:r>
      <w:r>
        <w:rPr>
          <w:rFonts w:hint="eastAsia" w:ascii="宋体" w:hAnsi="宋体" w:eastAsia="宋体" w:cs="宋体"/>
          <w:color w:val="auto"/>
          <w:spacing w:val="0"/>
          <w:position w:val="0"/>
          <w:lang w:val="en-US" w:eastAsia="zh-CN"/>
        </w:rPr>
        <w:t>磋商</w:t>
      </w:r>
      <w:r>
        <w:rPr>
          <w:rFonts w:hint="eastAsia" w:ascii="宋体" w:hAnsi="宋体" w:eastAsia="宋体" w:cs="宋体"/>
          <w:color w:val="auto"/>
          <w:spacing w:val="0"/>
          <w:position w:val="0"/>
        </w:rPr>
        <w:t>公告</w:t>
      </w:r>
      <w:bookmarkEnd w:id="1"/>
    </w:p>
    <w:bookmarkEnd w:id="0"/>
    <w:p w14:paraId="00DE1CE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Style w:val="49"/>
          <w:rFonts w:hint="eastAsia" w:ascii="宋体" w:hAnsi="宋体" w:eastAsia="宋体" w:cs="宋体"/>
          <w:b/>
          <w:bCs w:val="0"/>
          <w:color w:val="auto"/>
          <w:spacing w:val="0"/>
          <w:kern w:val="21"/>
          <w:position w:val="0"/>
          <w:sz w:val="32"/>
          <w:szCs w:val="32"/>
          <w:lang w:eastAsia="zh-CN"/>
        </w:rPr>
      </w:pPr>
      <w:r>
        <w:rPr>
          <w:rStyle w:val="49"/>
          <w:rFonts w:hint="eastAsia" w:ascii="宋体" w:hAnsi="宋体" w:eastAsia="宋体" w:cs="宋体"/>
          <w:b/>
          <w:bCs w:val="0"/>
          <w:color w:val="auto"/>
          <w:spacing w:val="0"/>
          <w:kern w:val="21"/>
          <w:position w:val="0"/>
          <w:sz w:val="32"/>
          <w:szCs w:val="32"/>
          <w:lang w:eastAsia="zh-CN"/>
        </w:rPr>
        <w:t>河南省人民医院15号楼视光学中心、屈光学中心改造项目</w:t>
      </w:r>
    </w:p>
    <w:p w14:paraId="546CF48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Style w:val="49"/>
          <w:rFonts w:hint="eastAsia" w:ascii="宋体" w:hAnsi="宋体" w:eastAsia="宋体" w:cs="宋体"/>
          <w:b/>
          <w:bCs w:val="0"/>
          <w:color w:val="auto"/>
          <w:spacing w:val="0"/>
          <w:kern w:val="21"/>
          <w:position w:val="0"/>
          <w:sz w:val="32"/>
          <w:szCs w:val="32"/>
          <w:lang w:val="en-US" w:eastAsia="zh-CN"/>
        </w:rPr>
      </w:pPr>
      <w:r>
        <w:rPr>
          <w:rStyle w:val="49"/>
          <w:rFonts w:hint="eastAsia" w:ascii="宋体" w:hAnsi="宋体" w:eastAsia="宋体" w:cs="宋体"/>
          <w:b/>
          <w:bCs w:val="0"/>
          <w:color w:val="auto"/>
          <w:spacing w:val="0"/>
          <w:kern w:val="21"/>
          <w:position w:val="0"/>
          <w:sz w:val="32"/>
          <w:szCs w:val="32"/>
          <w:lang w:val="en-US" w:eastAsia="zh-CN"/>
        </w:rPr>
        <w:t>竞争性磋商公告</w:t>
      </w:r>
    </w:p>
    <w:p w14:paraId="126AC8E6">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项目概况</w:t>
      </w:r>
    </w:p>
    <w:p w14:paraId="398DF280">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lang w:eastAsia="zh-CN"/>
        </w:rPr>
        <w:t>河南省人民医院15号楼视光学中心、屈光学中心改造项目</w:t>
      </w:r>
      <w:r>
        <w:rPr>
          <w:rFonts w:hint="eastAsia" w:ascii="宋体" w:hAnsi="宋体" w:eastAsia="宋体" w:cs="宋体"/>
          <w:kern w:val="2"/>
          <w:sz w:val="21"/>
          <w:szCs w:val="24"/>
          <w:highlight w:val="none"/>
          <w:lang w:val="en-US" w:eastAsia="zh-CN" w:bidi="ar-SA"/>
        </w:rPr>
        <w:t>招标项目</w:t>
      </w:r>
      <w:r>
        <w:rPr>
          <w:rStyle w:val="49"/>
          <w:rFonts w:hint="eastAsia" w:ascii="宋体" w:hAnsi="宋体" w:eastAsia="宋体" w:cs="宋体"/>
          <w:b w:val="0"/>
          <w:bCs/>
          <w:color w:val="auto"/>
          <w:spacing w:val="0"/>
          <w:kern w:val="21"/>
          <w:position w:val="0"/>
          <w:sz w:val="21"/>
          <w:szCs w:val="21"/>
        </w:rPr>
        <w:t>的潜在</w:t>
      </w:r>
      <w:r>
        <w:rPr>
          <w:rStyle w:val="49"/>
          <w:rFonts w:hint="eastAsia" w:ascii="宋体" w:hAnsi="宋体" w:eastAsia="宋体" w:cs="宋体"/>
          <w:b w:val="0"/>
          <w:bCs/>
          <w:color w:val="auto"/>
          <w:spacing w:val="0"/>
          <w:kern w:val="21"/>
          <w:position w:val="0"/>
          <w:sz w:val="21"/>
          <w:szCs w:val="21"/>
          <w:lang w:val="en-US" w:eastAsia="zh-CN"/>
        </w:rPr>
        <w:t>供应商</w:t>
      </w:r>
      <w:r>
        <w:rPr>
          <w:rStyle w:val="49"/>
          <w:rFonts w:hint="eastAsia" w:ascii="宋体" w:hAnsi="宋体" w:eastAsia="宋体" w:cs="宋体"/>
          <w:b w:val="0"/>
          <w:bCs/>
          <w:color w:val="auto"/>
          <w:spacing w:val="0"/>
          <w:kern w:val="21"/>
          <w:position w:val="0"/>
          <w:sz w:val="21"/>
          <w:szCs w:val="21"/>
        </w:rPr>
        <w:t>应在河南省公共资源交易中心网站获取</w:t>
      </w:r>
      <w:r>
        <w:rPr>
          <w:rStyle w:val="49"/>
          <w:rFonts w:hint="eastAsia" w:ascii="宋体" w:hAnsi="宋体" w:eastAsia="宋体" w:cs="宋体"/>
          <w:b w:val="0"/>
          <w:bCs/>
          <w:color w:val="auto"/>
          <w:spacing w:val="0"/>
          <w:kern w:val="21"/>
          <w:position w:val="0"/>
          <w:sz w:val="21"/>
          <w:szCs w:val="21"/>
          <w:lang w:val="en-US" w:eastAsia="zh-CN"/>
        </w:rPr>
        <w:t>招标</w:t>
      </w:r>
      <w:r>
        <w:rPr>
          <w:rStyle w:val="49"/>
          <w:rFonts w:hint="eastAsia" w:ascii="宋体" w:hAnsi="宋体" w:eastAsia="宋体" w:cs="宋体"/>
          <w:b w:val="0"/>
          <w:bCs/>
          <w:color w:val="auto"/>
          <w:spacing w:val="0"/>
          <w:kern w:val="21"/>
          <w:position w:val="0"/>
          <w:sz w:val="21"/>
          <w:szCs w:val="21"/>
          <w:lang w:eastAsia="zh-CN"/>
        </w:rPr>
        <w:t>文件</w:t>
      </w:r>
      <w:r>
        <w:rPr>
          <w:rStyle w:val="49"/>
          <w:rFonts w:hint="eastAsia" w:ascii="宋体" w:hAnsi="宋体" w:eastAsia="宋体" w:cs="宋体"/>
          <w:b w:val="0"/>
          <w:bCs/>
          <w:color w:val="auto"/>
          <w:spacing w:val="0"/>
          <w:kern w:val="21"/>
          <w:position w:val="0"/>
          <w:sz w:val="21"/>
          <w:szCs w:val="21"/>
        </w:rPr>
        <w:t>，并于202</w:t>
      </w:r>
      <w:r>
        <w:rPr>
          <w:rStyle w:val="49"/>
          <w:rFonts w:hint="eastAsia" w:ascii="宋体" w:hAnsi="宋体" w:eastAsia="宋体" w:cs="宋体"/>
          <w:b w:val="0"/>
          <w:bCs/>
          <w:color w:val="auto"/>
          <w:spacing w:val="0"/>
          <w:kern w:val="21"/>
          <w:position w:val="0"/>
          <w:sz w:val="21"/>
          <w:szCs w:val="21"/>
          <w:lang w:val="en-US" w:eastAsia="zh-CN"/>
        </w:rPr>
        <w:t>4</w:t>
      </w:r>
      <w:r>
        <w:rPr>
          <w:rStyle w:val="49"/>
          <w:rFonts w:hint="eastAsia" w:ascii="宋体" w:hAnsi="宋体" w:eastAsia="宋体" w:cs="宋体"/>
          <w:b w:val="0"/>
          <w:bCs/>
          <w:color w:val="auto"/>
          <w:spacing w:val="0"/>
          <w:kern w:val="21"/>
          <w:position w:val="0"/>
          <w:sz w:val="21"/>
          <w:szCs w:val="21"/>
        </w:rPr>
        <w:t>年</w:t>
      </w:r>
      <w:r>
        <w:rPr>
          <w:rStyle w:val="49"/>
          <w:rFonts w:hint="eastAsia" w:ascii="宋体" w:hAnsi="宋体" w:eastAsia="宋体" w:cs="宋体"/>
          <w:b w:val="0"/>
          <w:bCs/>
          <w:color w:val="auto"/>
          <w:spacing w:val="0"/>
          <w:kern w:val="21"/>
          <w:position w:val="0"/>
          <w:sz w:val="21"/>
          <w:szCs w:val="21"/>
          <w:lang w:val="en-US" w:eastAsia="zh-CN"/>
        </w:rPr>
        <w:t>11</w:t>
      </w:r>
      <w:r>
        <w:rPr>
          <w:rStyle w:val="49"/>
          <w:rFonts w:hint="eastAsia" w:ascii="宋体" w:hAnsi="宋体" w:eastAsia="宋体" w:cs="宋体"/>
          <w:b w:val="0"/>
          <w:bCs/>
          <w:color w:val="auto"/>
          <w:spacing w:val="0"/>
          <w:kern w:val="21"/>
          <w:position w:val="0"/>
          <w:sz w:val="21"/>
          <w:szCs w:val="21"/>
        </w:rPr>
        <w:t>月</w:t>
      </w:r>
      <w:r>
        <w:rPr>
          <w:rStyle w:val="49"/>
          <w:rFonts w:hint="eastAsia" w:ascii="宋体" w:hAnsi="宋体" w:eastAsia="宋体" w:cs="宋体"/>
          <w:b w:val="0"/>
          <w:bCs/>
          <w:color w:val="auto"/>
          <w:spacing w:val="0"/>
          <w:kern w:val="21"/>
          <w:position w:val="0"/>
          <w:sz w:val="21"/>
          <w:szCs w:val="21"/>
          <w:lang w:val="en-US" w:eastAsia="zh-CN"/>
        </w:rPr>
        <w:t>18</w:t>
      </w:r>
      <w:r>
        <w:rPr>
          <w:rStyle w:val="49"/>
          <w:rFonts w:hint="eastAsia" w:ascii="宋体" w:hAnsi="宋体" w:eastAsia="宋体" w:cs="宋体"/>
          <w:b w:val="0"/>
          <w:bCs/>
          <w:color w:val="auto"/>
          <w:spacing w:val="0"/>
          <w:kern w:val="21"/>
          <w:position w:val="0"/>
          <w:sz w:val="21"/>
          <w:szCs w:val="21"/>
        </w:rPr>
        <w:t>日09时</w:t>
      </w:r>
      <w:r>
        <w:rPr>
          <w:rStyle w:val="49"/>
          <w:rFonts w:hint="eastAsia" w:ascii="宋体" w:hAnsi="宋体" w:eastAsia="宋体" w:cs="宋体"/>
          <w:b w:val="0"/>
          <w:bCs/>
          <w:color w:val="auto"/>
          <w:spacing w:val="0"/>
          <w:kern w:val="21"/>
          <w:position w:val="0"/>
          <w:sz w:val="21"/>
          <w:szCs w:val="21"/>
          <w:lang w:val="en-US" w:eastAsia="zh-CN"/>
        </w:rPr>
        <w:t>0</w:t>
      </w:r>
      <w:r>
        <w:rPr>
          <w:rStyle w:val="49"/>
          <w:rFonts w:hint="eastAsia" w:ascii="宋体" w:hAnsi="宋体" w:eastAsia="宋体" w:cs="宋体"/>
          <w:b w:val="0"/>
          <w:bCs/>
          <w:color w:val="auto"/>
          <w:spacing w:val="0"/>
          <w:kern w:val="21"/>
          <w:position w:val="0"/>
          <w:sz w:val="21"/>
          <w:szCs w:val="21"/>
        </w:rPr>
        <w:t>0分（北京时间）前递交响应文件。</w:t>
      </w:r>
    </w:p>
    <w:p w14:paraId="165DC769">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一、项目基本情况</w:t>
      </w:r>
    </w:p>
    <w:p w14:paraId="5C546B15">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rPr>
        <w:t>1、项目编号：豫财磋商采购-2024-1230</w:t>
      </w:r>
    </w:p>
    <w:p w14:paraId="7ED67FEB">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eastAsia="zh-CN"/>
        </w:rPr>
      </w:pPr>
      <w:r>
        <w:rPr>
          <w:rStyle w:val="49"/>
          <w:rFonts w:hint="eastAsia" w:ascii="宋体" w:hAnsi="宋体" w:eastAsia="宋体" w:cs="宋体"/>
          <w:b w:val="0"/>
          <w:bCs/>
          <w:color w:val="auto"/>
          <w:spacing w:val="0"/>
          <w:kern w:val="21"/>
          <w:position w:val="0"/>
          <w:sz w:val="21"/>
          <w:szCs w:val="21"/>
        </w:rPr>
        <w:t>2、项目名称：</w:t>
      </w:r>
      <w:r>
        <w:rPr>
          <w:rStyle w:val="49"/>
          <w:rFonts w:hint="eastAsia" w:ascii="宋体" w:hAnsi="宋体" w:eastAsia="宋体" w:cs="宋体"/>
          <w:b w:val="0"/>
          <w:bCs/>
          <w:color w:val="auto"/>
          <w:spacing w:val="0"/>
          <w:kern w:val="21"/>
          <w:position w:val="0"/>
          <w:sz w:val="21"/>
          <w:szCs w:val="21"/>
          <w:lang w:eastAsia="zh-CN"/>
        </w:rPr>
        <w:t>河南省人民医院15号楼视光学中心、屈光学中心改造项目</w:t>
      </w:r>
    </w:p>
    <w:p w14:paraId="70BFAEBB">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3、采购方式：竞争性磋商</w:t>
      </w:r>
    </w:p>
    <w:p w14:paraId="3DE513B4">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4、预算金额：5080695.01元</w:t>
      </w:r>
      <w:r>
        <w:rPr>
          <w:rStyle w:val="49"/>
          <w:rFonts w:hint="eastAsia" w:ascii="宋体" w:hAnsi="宋体" w:eastAsia="宋体" w:cs="宋体"/>
          <w:b w:val="0"/>
          <w:bCs/>
          <w:color w:val="auto"/>
          <w:spacing w:val="0"/>
          <w:kern w:val="21"/>
          <w:position w:val="0"/>
          <w:sz w:val="21"/>
          <w:szCs w:val="21"/>
          <w:lang w:eastAsia="zh-CN"/>
        </w:rPr>
        <w:t>；</w:t>
      </w:r>
      <w:r>
        <w:rPr>
          <w:rStyle w:val="49"/>
          <w:rFonts w:hint="eastAsia" w:ascii="宋体" w:hAnsi="宋体" w:eastAsia="宋体" w:cs="宋体"/>
          <w:b w:val="0"/>
          <w:bCs/>
          <w:color w:val="auto"/>
          <w:spacing w:val="0"/>
          <w:kern w:val="21"/>
          <w:position w:val="0"/>
          <w:sz w:val="21"/>
          <w:szCs w:val="21"/>
        </w:rPr>
        <w:t>最高限价：5080695.01元</w:t>
      </w:r>
    </w:p>
    <w:tbl>
      <w:tblPr>
        <w:tblStyle w:val="4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579"/>
        <w:gridCol w:w="3143"/>
        <w:gridCol w:w="1579"/>
        <w:gridCol w:w="1814"/>
      </w:tblGrid>
      <w:tr w14:paraId="0D58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vAlign w:val="center"/>
          </w:tcPr>
          <w:p w14:paraId="143312CF">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序号</w:t>
            </w:r>
          </w:p>
        </w:tc>
        <w:tc>
          <w:tcPr>
            <w:tcW w:w="1530" w:type="dxa"/>
            <w:vAlign w:val="center"/>
          </w:tcPr>
          <w:p w14:paraId="6666970A">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包号</w:t>
            </w:r>
          </w:p>
        </w:tc>
        <w:tc>
          <w:tcPr>
            <w:tcW w:w="3045" w:type="dxa"/>
            <w:vAlign w:val="center"/>
          </w:tcPr>
          <w:p w14:paraId="1B32D7FD">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包名称</w:t>
            </w:r>
          </w:p>
        </w:tc>
        <w:tc>
          <w:tcPr>
            <w:tcW w:w="1530" w:type="dxa"/>
            <w:vAlign w:val="center"/>
          </w:tcPr>
          <w:p w14:paraId="711D0C54">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包预算(元)</w:t>
            </w:r>
          </w:p>
        </w:tc>
        <w:tc>
          <w:tcPr>
            <w:tcW w:w="1756" w:type="dxa"/>
            <w:vAlign w:val="center"/>
          </w:tcPr>
          <w:p w14:paraId="662AE8DF">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包最高限价(元)</w:t>
            </w:r>
          </w:p>
        </w:tc>
      </w:tr>
      <w:tr w14:paraId="7B7C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vAlign w:val="center"/>
          </w:tcPr>
          <w:p w14:paraId="5A806737">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1</w:t>
            </w:r>
          </w:p>
        </w:tc>
        <w:tc>
          <w:tcPr>
            <w:tcW w:w="1530" w:type="dxa"/>
            <w:vAlign w:val="center"/>
          </w:tcPr>
          <w:p w14:paraId="225EC0F3">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lang w:val="en-US" w:eastAsia="zh-CN"/>
              </w:rPr>
            </w:pPr>
            <w:r>
              <w:rPr>
                <w:rStyle w:val="49"/>
                <w:rFonts w:hint="eastAsia" w:ascii="宋体" w:hAnsi="宋体" w:eastAsia="宋体" w:cs="宋体"/>
                <w:b w:val="0"/>
                <w:bCs/>
                <w:color w:val="auto"/>
                <w:spacing w:val="0"/>
                <w:kern w:val="21"/>
                <w:position w:val="0"/>
                <w:sz w:val="21"/>
                <w:szCs w:val="21"/>
                <w:vertAlign w:val="baseline"/>
                <w:lang w:val="en-US" w:eastAsia="zh-CN"/>
              </w:rPr>
              <w:t>豫政采(2)20241862-1</w:t>
            </w:r>
          </w:p>
        </w:tc>
        <w:tc>
          <w:tcPr>
            <w:tcW w:w="3045" w:type="dxa"/>
            <w:vAlign w:val="center"/>
          </w:tcPr>
          <w:p w14:paraId="1919E7AF">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default" w:ascii="宋体" w:hAnsi="宋体" w:eastAsia="宋体" w:cs="宋体"/>
                <w:b w:val="0"/>
                <w:bCs/>
                <w:color w:val="auto"/>
                <w:spacing w:val="0"/>
                <w:kern w:val="21"/>
                <w:position w:val="0"/>
                <w:sz w:val="21"/>
                <w:szCs w:val="21"/>
                <w:vertAlign w:val="baseline"/>
                <w:lang w:val="en-US" w:eastAsia="zh-CN"/>
              </w:rPr>
            </w:pPr>
            <w:r>
              <w:rPr>
                <w:rStyle w:val="49"/>
                <w:rFonts w:hint="default" w:ascii="宋体" w:hAnsi="宋体" w:eastAsia="宋体" w:cs="宋体"/>
                <w:b w:val="0"/>
                <w:bCs/>
                <w:color w:val="auto"/>
                <w:spacing w:val="0"/>
                <w:kern w:val="21"/>
                <w:position w:val="0"/>
                <w:sz w:val="21"/>
                <w:szCs w:val="21"/>
                <w:vertAlign w:val="baseline"/>
                <w:lang w:val="en-US" w:eastAsia="zh-CN"/>
              </w:rPr>
              <w:t>河南省人民医院15号楼视光学中心、屈光学中心改造项目</w:t>
            </w:r>
          </w:p>
        </w:tc>
        <w:tc>
          <w:tcPr>
            <w:tcW w:w="1530" w:type="dxa"/>
            <w:vAlign w:val="center"/>
          </w:tcPr>
          <w:p w14:paraId="456AA3EC">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rPr>
            </w:pPr>
            <w:r>
              <w:rPr>
                <w:rStyle w:val="49"/>
                <w:rFonts w:hint="eastAsia" w:ascii="宋体" w:hAnsi="宋体" w:eastAsia="宋体" w:cs="宋体"/>
                <w:b w:val="0"/>
                <w:bCs/>
                <w:color w:val="auto"/>
                <w:spacing w:val="0"/>
                <w:kern w:val="21"/>
                <w:position w:val="0"/>
                <w:sz w:val="21"/>
                <w:szCs w:val="21"/>
                <w:vertAlign w:val="baseline"/>
              </w:rPr>
              <w:t>5080695.01</w:t>
            </w:r>
          </w:p>
        </w:tc>
        <w:tc>
          <w:tcPr>
            <w:tcW w:w="1756" w:type="dxa"/>
            <w:vAlign w:val="center"/>
          </w:tcPr>
          <w:p w14:paraId="746EB16F">
            <w:pPr>
              <w:keepNext w:val="0"/>
              <w:keepLines w:val="0"/>
              <w:pageBreakBefore w:val="0"/>
              <w:widowControl w:val="0"/>
              <w:kinsoku/>
              <w:wordWrap w:val="0"/>
              <w:overflowPunct/>
              <w:topLinePunct/>
              <w:autoSpaceDE/>
              <w:autoSpaceDN/>
              <w:bidi w:val="0"/>
              <w:adjustRightInd/>
              <w:snapToGrid/>
              <w:spacing w:before="48" w:beforeLines="15" w:after="48" w:afterLines="15" w:line="276" w:lineRule="auto"/>
              <w:jc w:val="center"/>
              <w:textAlignment w:val="auto"/>
              <w:rPr>
                <w:rStyle w:val="49"/>
                <w:rFonts w:hint="eastAsia" w:ascii="宋体" w:hAnsi="宋体" w:eastAsia="宋体" w:cs="宋体"/>
                <w:b w:val="0"/>
                <w:bCs/>
                <w:color w:val="auto"/>
                <w:spacing w:val="0"/>
                <w:kern w:val="21"/>
                <w:position w:val="0"/>
                <w:sz w:val="21"/>
                <w:szCs w:val="21"/>
                <w:vertAlign w:val="baseline"/>
              </w:rPr>
            </w:pPr>
            <w:r>
              <w:rPr>
                <w:rStyle w:val="49"/>
                <w:rFonts w:hint="eastAsia" w:ascii="宋体" w:hAnsi="宋体" w:eastAsia="宋体" w:cs="宋体"/>
                <w:b w:val="0"/>
                <w:bCs/>
                <w:color w:val="auto"/>
                <w:spacing w:val="0"/>
                <w:kern w:val="21"/>
                <w:position w:val="0"/>
                <w:sz w:val="21"/>
                <w:szCs w:val="21"/>
                <w:vertAlign w:val="baseline"/>
              </w:rPr>
              <w:t>5080695.01</w:t>
            </w:r>
          </w:p>
        </w:tc>
      </w:tr>
    </w:tbl>
    <w:p w14:paraId="4F98A9C5">
      <w:pPr>
        <w:keepNext w:val="0"/>
        <w:keepLines w:val="0"/>
        <w:pageBreakBefore w:val="0"/>
        <w:widowControl w:val="0"/>
        <w:kinsoku/>
        <w:wordWrap w:val="0"/>
        <w:overflowPunct/>
        <w:topLinePunct/>
        <w:autoSpaceDE/>
        <w:autoSpaceDN/>
        <w:bidi w:val="0"/>
        <w:adjustRightInd/>
        <w:snapToGrid/>
        <w:spacing w:before="157" w:beforeLines="50"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5、采购需求（包括但不限于标的的名称、数量、简要技术需求或服务要求等）</w:t>
      </w:r>
    </w:p>
    <w:p w14:paraId="39FB8B2C">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rPr>
      </w:pPr>
      <w:r>
        <w:rPr>
          <w:rStyle w:val="49"/>
          <w:rFonts w:hint="eastAsia" w:ascii="宋体" w:hAnsi="宋体" w:eastAsia="宋体" w:cs="宋体"/>
          <w:b w:val="0"/>
          <w:bCs/>
          <w:color w:val="auto"/>
          <w:spacing w:val="0"/>
          <w:kern w:val="21"/>
          <w:position w:val="0"/>
          <w:sz w:val="21"/>
          <w:szCs w:val="21"/>
          <w:highlight w:val="none"/>
          <w:lang w:val="en-US" w:eastAsia="zh-CN"/>
        </w:rPr>
        <w:t>5.1.项目概况：</w:t>
      </w:r>
      <w:r>
        <w:rPr>
          <w:rStyle w:val="49"/>
          <w:rFonts w:hint="eastAsia" w:ascii="宋体" w:hAnsi="宋体" w:eastAsia="宋体" w:cs="宋体"/>
          <w:b w:val="0"/>
          <w:bCs/>
          <w:color w:val="auto"/>
          <w:spacing w:val="0"/>
          <w:kern w:val="21"/>
          <w:position w:val="0"/>
          <w:sz w:val="21"/>
          <w:szCs w:val="21"/>
          <w:highlight w:val="none"/>
        </w:rPr>
        <w:t>河南省人民医院15号楼视光学中心、屈光学中心改造工程，改造区域建筑面积约为4012平方米，详见施工图及工程量清单。</w:t>
      </w:r>
    </w:p>
    <w:p w14:paraId="5BC911D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eastAsia="zh-CN"/>
        </w:rPr>
      </w:pPr>
      <w:r>
        <w:rPr>
          <w:rStyle w:val="49"/>
          <w:rFonts w:hint="eastAsia" w:ascii="宋体" w:hAnsi="宋体" w:eastAsia="宋体" w:cs="宋体"/>
          <w:b w:val="0"/>
          <w:bCs/>
          <w:color w:val="auto"/>
          <w:spacing w:val="0"/>
          <w:kern w:val="21"/>
          <w:position w:val="0"/>
          <w:sz w:val="21"/>
          <w:szCs w:val="21"/>
          <w:highlight w:val="none"/>
          <w:lang w:val="en-US" w:eastAsia="zh-CN"/>
        </w:rPr>
        <w:t>5.2.采购范围</w:t>
      </w:r>
      <w:r>
        <w:rPr>
          <w:rStyle w:val="49"/>
          <w:rFonts w:hint="eastAsia" w:ascii="宋体" w:hAnsi="宋体" w:eastAsia="宋体" w:cs="宋体"/>
          <w:b w:val="0"/>
          <w:bCs/>
          <w:color w:val="auto"/>
          <w:spacing w:val="0"/>
          <w:kern w:val="21"/>
          <w:position w:val="0"/>
          <w:sz w:val="21"/>
          <w:szCs w:val="21"/>
          <w:highlight w:val="none"/>
        </w:rPr>
        <w:t>：本项目范围内的原建筑拆除，室内装修、安装工程、消防工程、手术室净化工程，配合医疗设备厂家安装设备等招标文件、施工图纸及工程量清单范围内的施工、设备安装、调试、竣工验收及保修等</w:t>
      </w:r>
      <w:r>
        <w:rPr>
          <w:rStyle w:val="49"/>
          <w:rFonts w:hint="eastAsia" w:ascii="宋体" w:hAnsi="宋体" w:eastAsia="宋体" w:cs="宋体"/>
          <w:b w:val="0"/>
          <w:bCs/>
          <w:color w:val="auto"/>
          <w:spacing w:val="0"/>
          <w:kern w:val="21"/>
          <w:position w:val="0"/>
          <w:sz w:val="21"/>
          <w:szCs w:val="21"/>
          <w:highlight w:val="none"/>
          <w:lang w:eastAsia="zh-CN"/>
        </w:rPr>
        <w:t>；</w:t>
      </w:r>
    </w:p>
    <w:p w14:paraId="0436D680">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5.3.工    期：120日历天；</w:t>
      </w:r>
    </w:p>
    <w:p w14:paraId="5705301D">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eastAsia="zh-CN"/>
        </w:rPr>
      </w:pPr>
      <w:r>
        <w:rPr>
          <w:rStyle w:val="49"/>
          <w:rFonts w:hint="eastAsia" w:ascii="宋体" w:hAnsi="宋体" w:eastAsia="宋体" w:cs="宋体"/>
          <w:b w:val="0"/>
          <w:bCs/>
          <w:color w:val="auto"/>
          <w:spacing w:val="0"/>
          <w:kern w:val="21"/>
          <w:position w:val="0"/>
          <w:sz w:val="21"/>
          <w:szCs w:val="21"/>
          <w:highlight w:val="none"/>
        </w:rPr>
        <w:t>5.</w:t>
      </w:r>
      <w:r>
        <w:rPr>
          <w:rStyle w:val="49"/>
          <w:rFonts w:hint="eastAsia" w:ascii="宋体" w:hAnsi="宋体" w:eastAsia="宋体" w:cs="宋体"/>
          <w:b w:val="0"/>
          <w:bCs/>
          <w:color w:val="auto"/>
          <w:spacing w:val="0"/>
          <w:kern w:val="21"/>
          <w:position w:val="0"/>
          <w:sz w:val="21"/>
          <w:szCs w:val="21"/>
          <w:highlight w:val="none"/>
          <w:lang w:val="en-US" w:eastAsia="zh-CN"/>
        </w:rPr>
        <w:t>4.质量标准：达到国家、行业相关规范、规定合格标准；</w:t>
      </w:r>
    </w:p>
    <w:p w14:paraId="4B1C9077">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lang w:val="en-US" w:eastAsia="zh-CN"/>
        </w:rPr>
        <w:t>5.5.标段</w:t>
      </w:r>
      <w:r>
        <w:rPr>
          <w:rStyle w:val="49"/>
          <w:rFonts w:hint="eastAsia" w:ascii="宋体" w:hAnsi="宋体" w:eastAsia="宋体" w:cs="宋体"/>
          <w:b w:val="0"/>
          <w:bCs/>
          <w:color w:val="auto"/>
          <w:spacing w:val="0"/>
          <w:kern w:val="21"/>
          <w:position w:val="0"/>
          <w:sz w:val="21"/>
          <w:szCs w:val="21"/>
        </w:rPr>
        <w:t>划分：本次采购共划分为</w:t>
      </w:r>
      <w:r>
        <w:rPr>
          <w:rStyle w:val="49"/>
          <w:rFonts w:hint="eastAsia" w:ascii="宋体" w:hAnsi="宋体" w:eastAsia="宋体" w:cs="宋体"/>
          <w:b w:val="0"/>
          <w:bCs/>
          <w:color w:val="auto"/>
          <w:spacing w:val="0"/>
          <w:kern w:val="21"/>
          <w:position w:val="0"/>
          <w:sz w:val="21"/>
          <w:szCs w:val="21"/>
          <w:lang w:val="en-US" w:eastAsia="zh-CN"/>
        </w:rPr>
        <w:t>一</w:t>
      </w:r>
      <w:r>
        <w:rPr>
          <w:rStyle w:val="49"/>
          <w:rFonts w:hint="eastAsia" w:ascii="宋体" w:hAnsi="宋体" w:eastAsia="宋体" w:cs="宋体"/>
          <w:b w:val="0"/>
          <w:bCs/>
          <w:color w:val="auto"/>
          <w:spacing w:val="0"/>
          <w:kern w:val="21"/>
          <w:position w:val="0"/>
          <w:sz w:val="21"/>
          <w:szCs w:val="21"/>
        </w:rPr>
        <w:t>个</w:t>
      </w:r>
      <w:r>
        <w:rPr>
          <w:rStyle w:val="49"/>
          <w:rFonts w:hint="eastAsia" w:ascii="宋体" w:hAnsi="宋体" w:eastAsia="宋体" w:cs="宋体"/>
          <w:b w:val="0"/>
          <w:bCs/>
          <w:color w:val="auto"/>
          <w:spacing w:val="0"/>
          <w:kern w:val="21"/>
          <w:position w:val="0"/>
          <w:sz w:val="21"/>
          <w:szCs w:val="21"/>
          <w:lang w:val="en-US" w:eastAsia="zh-CN"/>
        </w:rPr>
        <w:t>标段</w:t>
      </w:r>
      <w:r>
        <w:rPr>
          <w:rStyle w:val="49"/>
          <w:rFonts w:hint="eastAsia" w:ascii="宋体" w:hAnsi="宋体" w:eastAsia="宋体" w:cs="宋体"/>
          <w:b w:val="0"/>
          <w:bCs/>
          <w:color w:val="auto"/>
          <w:spacing w:val="0"/>
          <w:kern w:val="21"/>
          <w:position w:val="0"/>
          <w:sz w:val="21"/>
          <w:szCs w:val="21"/>
        </w:rPr>
        <w:t>。</w:t>
      </w:r>
    </w:p>
    <w:p w14:paraId="5B501E7E">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lang w:val="en-US" w:eastAsia="zh-CN"/>
        </w:rPr>
        <w:t>6、合同</w:t>
      </w:r>
      <w:r>
        <w:rPr>
          <w:rStyle w:val="49"/>
          <w:rFonts w:hint="eastAsia" w:ascii="宋体" w:hAnsi="宋体" w:eastAsia="宋体" w:cs="宋体"/>
          <w:b w:val="0"/>
          <w:bCs/>
          <w:color w:val="auto"/>
          <w:spacing w:val="0"/>
          <w:kern w:val="21"/>
          <w:position w:val="0"/>
          <w:sz w:val="21"/>
          <w:szCs w:val="21"/>
          <w:highlight w:val="none"/>
          <w:lang w:val="en-US" w:eastAsia="zh-CN"/>
        </w:rPr>
        <w:t>履行期限：120日历天。</w:t>
      </w:r>
    </w:p>
    <w:p w14:paraId="3F1CD460">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7、本项目是否接受联合体投标：否</w:t>
      </w:r>
    </w:p>
    <w:p w14:paraId="3A49E972">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8、是否接受进口产品：否</w:t>
      </w:r>
    </w:p>
    <w:p w14:paraId="527EA42C">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9、是否专门面向中小企业：否</w:t>
      </w:r>
    </w:p>
    <w:p w14:paraId="32C6831C">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highlight w:val="none"/>
        </w:rPr>
      </w:pPr>
      <w:r>
        <w:rPr>
          <w:rStyle w:val="49"/>
          <w:rFonts w:hint="eastAsia" w:ascii="宋体" w:hAnsi="宋体" w:eastAsia="宋体" w:cs="宋体"/>
          <w:b/>
          <w:bCs w:val="0"/>
          <w:color w:val="auto"/>
          <w:spacing w:val="0"/>
          <w:kern w:val="21"/>
          <w:position w:val="0"/>
          <w:sz w:val="21"/>
          <w:szCs w:val="21"/>
          <w:highlight w:val="none"/>
        </w:rPr>
        <w:t>二、申请人资格要求：</w:t>
      </w:r>
    </w:p>
    <w:p w14:paraId="310F2DE7">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1、满足《中华人民共和国政府采购法》第二十二条规定；</w:t>
      </w:r>
    </w:p>
    <w:p w14:paraId="77D931B1">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2、落实政府采购政策满足的资格要求：无</w:t>
      </w:r>
    </w:p>
    <w:p w14:paraId="31754E46">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3、本项目的特定资格要求</w:t>
      </w:r>
    </w:p>
    <w:p w14:paraId="06A6B9B3">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3.1资质要求：须具备建设行政主管部门核发有效的建筑工程施工总承包三级（含）以上资质，并具有有效的安全生产许可证，并在人员、设备、资金等方面具有相应的施工能力。</w:t>
      </w:r>
    </w:p>
    <w:p w14:paraId="281B538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3.2项目经理资格要求：拟派项目经理须具备国家建设行政主管部门核发的建筑工程专业二级（含）以上建造师注册证书，具有建设行政主管部门核发的《建筑施工企业项目负责人安全生产考核合格证书》（B证），且未担任其他在施建设工程项目的项目经理；</w:t>
      </w:r>
    </w:p>
    <w:p w14:paraId="78B1E65F">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3.3信誉要求</w:t>
      </w:r>
    </w:p>
    <w:p w14:paraId="27105869">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3.3.1企业（2021年1月1日以来）没有处于被责令停业、停产，投标资格被取消，财产被冻结、接管、破产状态，未存在被有关部门暂停投标资格并在暂停期内（自行承诺，格式自拟），若发现所有承诺中任何一项具有弄虚作假行为，一切后果由供应商承担；</w:t>
      </w:r>
    </w:p>
    <w:p w14:paraId="5DD28045">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3.3.2单位负责人为同一人或者存在控股、管理关系的不同单位，不得参加同一标段或者未划分标段的同一项目投标，否则，相关投标均无效。提供“国家企业信用信息公示系统”中查询打印的相关信息（须显示基息中的“营业执照信息”和“股东及出资信息”）；</w:t>
      </w:r>
    </w:p>
    <w:p w14:paraId="4A9875DE">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3.3.3根据《关于在政府采购活动中查询及使用信用记录有关问题的通知》(财库[2016]125号)的规定，对列入失信被执行人、重大税收违法失信主体、政府采购严重违法失信行为记录名单的供应商，拒绝参与本项目政府采购活动（查询时间：投标截止后，评标结束前由采购人或代理机构查询供应商的信用信息记录，采购人或代理机构查询之后，网站信息发生的任何变更均不再作为评审依据，供应商自行提供的查询结果及其他证明材料亦不作为评审依据）。</w:t>
      </w:r>
    </w:p>
    <w:p w14:paraId="396FBA26">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三、获取采购文件</w:t>
      </w:r>
    </w:p>
    <w:p w14:paraId="1A1EB085">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1.时    间：2024年11月7日至2024年11月13日，每天上午00:00至12:00，下午12:00至23:59（北京时间）</w:t>
      </w:r>
    </w:p>
    <w:p w14:paraId="06B79E53">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2.地    点：河南省公共资源交易中心（http://hnsggzyjy.henan.gov.cn/）</w:t>
      </w:r>
    </w:p>
    <w:p w14:paraId="3F134708">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3.方    式：市场主体需要完成信息登记及 CA 数字证书办理，凭 CA 数字证书登陆河南省公共资源交易中心市场主体系统并在规定时间内按网上提示下载招标（采购）文件，具体办理事宜请查阅河南省公共资源交易中心网站—公共服务—办事指南中的《新交易平台使用手册（培训资料）》</w:t>
      </w:r>
    </w:p>
    <w:p w14:paraId="566B785D">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4.售价：0元</w:t>
      </w:r>
    </w:p>
    <w:p w14:paraId="0EAD63CB">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四、响应文件提交</w:t>
      </w:r>
    </w:p>
    <w:p w14:paraId="36593A3B">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1.时    间：2024年11月18日9时00分（北京时间）；</w:t>
      </w:r>
    </w:p>
    <w:p w14:paraId="2E48B280">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2.地    点：加密电子响应文件须在响应截止时间前上传至河南省公共资源交易中心交易系统。逾期上传的或者未上传至指定地点的响应文件，采购人不予受理。</w:t>
      </w:r>
    </w:p>
    <w:p w14:paraId="533E171E">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五、响应文件开启</w:t>
      </w:r>
    </w:p>
    <w:p w14:paraId="0D28C97F">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1.时    间：2024年11月18日9时00分（北京时间）；</w:t>
      </w:r>
    </w:p>
    <w:p w14:paraId="3FB4D8A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lang w:val="en-US" w:eastAsia="zh-CN"/>
        </w:rPr>
        <w:t>2.地    点：河南省公共资源交易中心远程开标室（郑州市经二路12号）。开启时，供应商应持CA数字证书对本单位的加密电子投标（响应）文件进行远程解密，逾期解密或超时解密将被拒绝；</w:t>
      </w:r>
    </w:p>
    <w:p w14:paraId="6ECB38C5">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六、发布公告的媒介及期限</w:t>
      </w:r>
    </w:p>
    <w:p w14:paraId="08D3A498">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rPr>
      </w:pPr>
      <w:r>
        <w:rPr>
          <w:rStyle w:val="49"/>
          <w:rFonts w:hint="eastAsia" w:ascii="宋体" w:hAnsi="宋体" w:eastAsia="宋体" w:cs="宋体"/>
          <w:b w:val="0"/>
          <w:bCs/>
          <w:color w:val="auto"/>
          <w:spacing w:val="0"/>
          <w:kern w:val="21"/>
          <w:position w:val="0"/>
          <w:sz w:val="21"/>
          <w:szCs w:val="21"/>
          <w:highlight w:val="none"/>
        </w:rPr>
        <w:t>本次招标公告在在《河南省政府采购网》、《河南省公共资源交易中心网》上发布，招标公告期限为三个工作日。</w:t>
      </w:r>
    </w:p>
    <w:p w14:paraId="20092D70">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七、其他补充事宜</w:t>
      </w:r>
    </w:p>
    <w:p w14:paraId="14DF6E9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eastAsia="zh-CN"/>
        </w:rPr>
      </w:pPr>
      <w:r>
        <w:rPr>
          <w:rStyle w:val="49"/>
          <w:rFonts w:hint="eastAsia" w:ascii="宋体" w:hAnsi="宋体" w:eastAsia="宋体" w:cs="宋体"/>
          <w:b w:val="0"/>
          <w:bCs/>
          <w:color w:val="auto"/>
          <w:spacing w:val="0"/>
          <w:kern w:val="21"/>
          <w:position w:val="0"/>
          <w:sz w:val="21"/>
          <w:szCs w:val="21"/>
          <w:highlight w:val="none"/>
          <w:lang w:val="en-US" w:eastAsia="zh-CN"/>
        </w:rPr>
        <w:t>1.</w:t>
      </w:r>
      <w:r>
        <w:rPr>
          <w:rStyle w:val="49"/>
          <w:rFonts w:hint="eastAsia" w:ascii="宋体" w:hAnsi="宋体" w:eastAsia="宋体" w:cs="宋体"/>
          <w:b w:val="0"/>
          <w:bCs/>
          <w:color w:val="auto"/>
          <w:spacing w:val="0"/>
          <w:kern w:val="21"/>
          <w:position w:val="0"/>
          <w:sz w:val="21"/>
          <w:szCs w:val="21"/>
          <w:highlight w:val="none"/>
        </w:rPr>
        <w:t>本项目支持河南省政府采购合同融资政策</w:t>
      </w:r>
      <w:r>
        <w:rPr>
          <w:rStyle w:val="49"/>
          <w:rFonts w:hint="eastAsia" w:ascii="宋体" w:hAnsi="宋体" w:eastAsia="宋体" w:cs="宋体"/>
          <w:b w:val="0"/>
          <w:bCs/>
          <w:color w:val="auto"/>
          <w:spacing w:val="0"/>
          <w:kern w:val="21"/>
          <w:position w:val="0"/>
          <w:sz w:val="21"/>
          <w:szCs w:val="21"/>
          <w:highlight w:val="none"/>
          <w:lang w:eastAsia="zh-CN"/>
        </w:rPr>
        <w:t>；</w:t>
      </w:r>
    </w:p>
    <w:p w14:paraId="377B9C71">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2.执行《政府采购促进中小企业发展管理办法》（财库〔2020〕46号）；</w:t>
      </w:r>
    </w:p>
    <w:p w14:paraId="2AA31DF0">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3.执行《关于进一步加大政府采购支持中小企业力度的通知》（财库〔2022〕19号）；</w:t>
      </w:r>
    </w:p>
    <w:p w14:paraId="5454F5DC">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4.执行《河南省财政厅关于进一步做好政府采购支持中小企业发展有关事项的通知》（豫财购〔2022〕5号）</w:t>
      </w:r>
    </w:p>
    <w:p w14:paraId="62C72415">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5.执行《财政部 司法部关于政府采购支持监狱企业发展有关问题的通知》（财库〔2014〕68号）；</w:t>
      </w:r>
    </w:p>
    <w:p w14:paraId="28444F94">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default" w:ascii="宋体" w:hAnsi="宋体" w:eastAsia="宋体" w:cs="宋体"/>
          <w:b w:val="0"/>
          <w:bCs/>
          <w:color w:val="auto"/>
          <w:spacing w:val="0"/>
          <w:kern w:val="21"/>
          <w:position w:val="0"/>
          <w:sz w:val="21"/>
          <w:szCs w:val="21"/>
          <w:highlight w:val="none"/>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6.执行《财政部 民政部 中国残疾人联合会关于促进残疾人就业政府采购政策的通知》（财库〔2017〕141号）。</w:t>
      </w:r>
    </w:p>
    <w:p w14:paraId="5B728396">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highlight w:val="none"/>
          <w:lang w:val="en-US" w:eastAsia="zh-CN"/>
        </w:rPr>
        <w:t>7.</w:t>
      </w:r>
      <w:r>
        <w:rPr>
          <w:rStyle w:val="49"/>
          <w:rFonts w:hint="eastAsia" w:ascii="宋体" w:hAnsi="宋体" w:eastAsia="宋体" w:cs="宋体"/>
          <w:b w:val="0"/>
          <w:bCs/>
          <w:color w:val="auto"/>
          <w:spacing w:val="0"/>
          <w:kern w:val="21"/>
          <w:position w:val="0"/>
          <w:sz w:val="21"/>
          <w:szCs w:val="21"/>
          <w:highlight w:val="none"/>
        </w:rPr>
        <w:t>中标服务费收费标准：参照“计价格[2002]1980号、发改办价格[2003]857号、发改价格[2011]534号”文件附表（服务类）招标代理服务收费标准的90%向中标人收取</w:t>
      </w:r>
      <w:r>
        <w:rPr>
          <w:rStyle w:val="49"/>
          <w:rFonts w:hint="eastAsia" w:ascii="宋体" w:hAnsi="宋体" w:eastAsia="宋体" w:cs="宋体"/>
          <w:b w:val="0"/>
          <w:bCs/>
          <w:color w:val="auto"/>
          <w:spacing w:val="0"/>
          <w:kern w:val="21"/>
          <w:position w:val="0"/>
          <w:sz w:val="21"/>
          <w:szCs w:val="21"/>
          <w:lang w:val="en-US" w:eastAsia="zh-CN"/>
        </w:rPr>
        <w:t>；</w:t>
      </w:r>
    </w:p>
    <w:p w14:paraId="69172108">
      <w:pPr>
        <w:keepNext w:val="0"/>
        <w:keepLines w:val="0"/>
        <w:pageBreakBefore w:val="0"/>
        <w:widowControl w:val="0"/>
        <w:kinsoku/>
        <w:wordWrap w:val="0"/>
        <w:overflowPunct/>
        <w:topLinePunct/>
        <w:autoSpaceDE/>
        <w:autoSpaceDN/>
        <w:bidi w:val="0"/>
        <w:adjustRightInd/>
        <w:snapToGrid/>
        <w:spacing w:line="396" w:lineRule="auto"/>
        <w:textAlignment w:val="auto"/>
        <w:rPr>
          <w:rStyle w:val="49"/>
          <w:rFonts w:hint="eastAsia" w:ascii="宋体" w:hAnsi="宋体" w:eastAsia="宋体" w:cs="宋体"/>
          <w:b/>
          <w:bCs w:val="0"/>
          <w:color w:val="auto"/>
          <w:spacing w:val="0"/>
          <w:kern w:val="21"/>
          <w:position w:val="0"/>
          <w:sz w:val="21"/>
          <w:szCs w:val="21"/>
        </w:rPr>
      </w:pPr>
      <w:r>
        <w:rPr>
          <w:rStyle w:val="49"/>
          <w:rFonts w:hint="eastAsia" w:ascii="宋体" w:hAnsi="宋体" w:eastAsia="宋体" w:cs="宋体"/>
          <w:b/>
          <w:bCs w:val="0"/>
          <w:color w:val="auto"/>
          <w:spacing w:val="0"/>
          <w:kern w:val="21"/>
          <w:position w:val="0"/>
          <w:sz w:val="21"/>
          <w:szCs w:val="21"/>
        </w:rPr>
        <w:t>八、凡对本次招标提出询问，请按照以下方式联系</w:t>
      </w:r>
    </w:p>
    <w:p w14:paraId="695114E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1. 采购人信息</w:t>
      </w:r>
    </w:p>
    <w:p w14:paraId="25C761BE">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名</w:t>
      </w:r>
      <w:r>
        <w:rPr>
          <w:rStyle w:val="49"/>
          <w:rFonts w:hint="eastAsia" w:ascii="宋体" w:hAnsi="宋体" w:eastAsia="宋体" w:cs="宋体"/>
          <w:b w:val="0"/>
          <w:bCs/>
          <w:color w:val="auto"/>
          <w:spacing w:val="0"/>
          <w:kern w:val="21"/>
          <w:position w:val="0"/>
          <w:sz w:val="21"/>
          <w:szCs w:val="21"/>
          <w:lang w:val="en-US" w:eastAsia="zh-CN"/>
        </w:rPr>
        <w:t xml:space="preserve">    </w:t>
      </w:r>
      <w:r>
        <w:rPr>
          <w:rStyle w:val="49"/>
          <w:rFonts w:hint="eastAsia" w:ascii="宋体" w:hAnsi="宋体" w:eastAsia="宋体" w:cs="宋体"/>
          <w:b w:val="0"/>
          <w:bCs/>
          <w:color w:val="auto"/>
          <w:spacing w:val="0"/>
          <w:kern w:val="21"/>
          <w:position w:val="0"/>
          <w:sz w:val="21"/>
          <w:szCs w:val="21"/>
        </w:rPr>
        <w:t>称：河南省人民医院</w:t>
      </w:r>
    </w:p>
    <w:p w14:paraId="7CE785CD">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地</w:t>
      </w:r>
      <w:r>
        <w:rPr>
          <w:rStyle w:val="49"/>
          <w:rFonts w:hint="eastAsia" w:ascii="宋体" w:hAnsi="宋体" w:eastAsia="宋体" w:cs="宋体"/>
          <w:b w:val="0"/>
          <w:bCs/>
          <w:color w:val="auto"/>
          <w:spacing w:val="0"/>
          <w:kern w:val="21"/>
          <w:position w:val="0"/>
          <w:sz w:val="21"/>
          <w:szCs w:val="21"/>
          <w:lang w:val="en-US" w:eastAsia="zh-CN"/>
        </w:rPr>
        <w:t xml:space="preserve">    </w:t>
      </w:r>
      <w:r>
        <w:rPr>
          <w:rStyle w:val="49"/>
          <w:rFonts w:hint="eastAsia" w:ascii="宋体" w:hAnsi="宋体" w:eastAsia="宋体" w:cs="宋体"/>
          <w:b w:val="0"/>
          <w:bCs/>
          <w:color w:val="auto"/>
          <w:spacing w:val="0"/>
          <w:kern w:val="21"/>
          <w:position w:val="0"/>
          <w:sz w:val="21"/>
          <w:szCs w:val="21"/>
        </w:rPr>
        <w:t>址：郑州市黄河路与经二路交叉口</w:t>
      </w:r>
    </w:p>
    <w:p w14:paraId="19049308">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联</w:t>
      </w:r>
      <w:r>
        <w:rPr>
          <w:rStyle w:val="49"/>
          <w:rFonts w:hint="eastAsia" w:ascii="宋体" w:hAnsi="宋体" w:eastAsia="宋体" w:cs="宋体"/>
          <w:b w:val="0"/>
          <w:bCs/>
          <w:color w:val="auto"/>
          <w:spacing w:val="0"/>
          <w:kern w:val="21"/>
          <w:position w:val="0"/>
          <w:sz w:val="21"/>
          <w:szCs w:val="21"/>
          <w:lang w:val="en-US" w:eastAsia="zh-CN"/>
        </w:rPr>
        <w:t xml:space="preserve"> </w:t>
      </w:r>
      <w:r>
        <w:rPr>
          <w:rStyle w:val="49"/>
          <w:rFonts w:hint="eastAsia" w:ascii="宋体" w:hAnsi="宋体" w:eastAsia="宋体" w:cs="宋体"/>
          <w:b w:val="0"/>
          <w:bCs/>
          <w:color w:val="auto"/>
          <w:spacing w:val="0"/>
          <w:kern w:val="21"/>
          <w:position w:val="0"/>
          <w:sz w:val="21"/>
          <w:szCs w:val="21"/>
        </w:rPr>
        <w:t>系</w:t>
      </w:r>
      <w:r>
        <w:rPr>
          <w:rStyle w:val="49"/>
          <w:rFonts w:hint="eastAsia" w:ascii="宋体" w:hAnsi="宋体" w:eastAsia="宋体" w:cs="宋体"/>
          <w:b w:val="0"/>
          <w:bCs/>
          <w:color w:val="auto"/>
          <w:spacing w:val="0"/>
          <w:kern w:val="21"/>
          <w:position w:val="0"/>
          <w:sz w:val="21"/>
          <w:szCs w:val="21"/>
          <w:lang w:val="en-US" w:eastAsia="zh-CN"/>
        </w:rPr>
        <w:t xml:space="preserve"> </w:t>
      </w:r>
      <w:r>
        <w:rPr>
          <w:rStyle w:val="49"/>
          <w:rFonts w:hint="eastAsia" w:ascii="宋体" w:hAnsi="宋体" w:eastAsia="宋体" w:cs="宋体"/>
          <w:b w:val="0"/>
          <w:bCs/>
          <w:color w:val="auto"/>
          <w:spacing w:val="0"/>
          <w:kern w:val="21"/>
          <w:position w:val="0"/>
          <w:sz w:val="21"/>
          <w:szCs w:val="21"/>
        </w:rPr>
        <w:t>人：常女士</w:t>
      </w:r>
    </w:p>
    <w:p w14:paraId="09E8753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联系方式：0371-65580108</w:t>
      </w:r>
    </w:p>
    <w:p w14:paraId="2BECB7F3">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2.采购代理机构信息（如有）</w:t>
      </w:r>
    </w:p>
    <w:p w14:paraId="49CCA49E">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名    称：河南省伟信招标管理咨询有限公司</w:t>
      </w:r>
    </w:p>
    <w:p w14:paraId="347D9A29">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地    址：郑州市郑东新区东风南路6号绿地中心北塔16楼</w:t>
      </w:r>
    </w:p>
    <w:p w14:paraId="320C512A">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联 系 人：贺献伟、乔灿</w:t>
      </w:r>
    </w:p>
    <w:p w14:paraId="22E80BA5">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default" w:ascii="宋体" w:hAnsi="宋体" w:eastAsia="宋体" w:cs="宋体"/>
          <w:b w:val="0"/>
          <w:bCs/>
          <w:color w:val="auto"/>
          <w:spacing w:val="0"/>
          <w:kern w:val="21"/>
          <w:position w:val="0"/>
          <w:sz w:val="21"/>
          <w:szCs w:val="21"/>
          <w:lang w:val="en-US" w:eastAsia="zh-CN"/>
        </w:rPr>
      </w:pPr>
      <w:r>
        <w:rPr>
          <w:rStyle w:val="49"/>
          <w:rFonts w:hint="eastAsia" w:ascii="宋体" w:hAnsi="宋体" w:eastAsia="宋体" w:cs="宋体"/>
          <w:b w:val="0"/>
          <w:bCs/>
          <w:color w:val="auto"/>
          <w:spacing w:val="0"/>
          <w:kern w:val="21"/>
          <w:position w:val="0"/>
          <w:sz w:val="21"/>
          <w:szCs w:val="21"/>
        </w:rPr>
        <w:t>电    话：0371-65359921</w:t>
      </w:r>
      <w:r>
        <w:rPr>
          <w:rStyle w:val="49"/>
          <w:rFonts w:hint="eastAsia" w:ascii="宋体" w:hAnsi="宋体" w:eastAsia="宋体" w:cs="宋体"/>
          <w:b w:val="0"/>
          <w:bCs/>
          <w:color w:val="auto"/>
          <w:spacing w:val="0"/>
          <w:kern w:val="21"/>
          <w:position w:val="0"/>
          <w:sz w:val="21"/>
          <w:szCs w:val="21"/>
          <w:lang w:eastAsia="zh-CN"/>
        </w:rPr>
        <w:t>、</w:t>
      </w:r>
      <w:r>
        <w:rPr>
          <w:rStyle w:val="49"/>
          <w:rFonts w:hint="eastAsia" w:ascii="宋体" w:hAnsi="宋体" w:eastAsia="宋体" w:cs="宋体"/>
          <w:b w:val="0"/>
          <w:bCs/>
          <w:color w:val="auto"/>
          <w:spacing w:val="0"/>
          <w:kern w:val="21"/>
          <w:position w:val="0"/>
          <w:sz w:val="21"/>
          <w:szCs w:val="21"/>
          <w:lang w:val="en-US" w:eastAsia="zh-CN"/>
        </w:rPr>
        <w:t>15003824122</w:t>
      </w:r>
    </w:p>
    <w:p w14:paraId="44BC5F2C">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3、项目联系方式</w:t>
      </w:r>
    </w:p>
    <w:p w14:paraId="3C79BE19">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项目联系人：贺献伟、乔灿</w:t>
      </w:r>
    </w:p>
    <w:p w14:paraId="59600728">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Style w:val="49"/>
          <w:rFonts w:hint="eastAsia" w:ascii="宋体" w:hAnsi="宋体" w:eastAsia="宋体" w:cs="宋体"/>
          <w:b w:val="0"/>
          <w:bCs/>
          <w:color w:val="auto"/>
          <w:spacing w:val="0"/>
          <w:kern w:val="21"/>
          <w:position w:val="0"/>
          <w:sz w:val="21"/>
          <w:szCs w:val="21"/>
        </w:rPr>
      </w:pPr>
      <w:r>
        <w:rPr>
          <w:rStyle w:val="49"/>
          <w:rFonts w:hint="eastAsia" w:ascii="宋体" w:hAnsi="宋体" w:eastAsia="宋体" w:cs="宋体"/>
          <w:b w:val="0"/>
          <w:bCs/>
          <w:color w:val="auto"/>
          <w:spacing w:val="0"/>
          <w:kern w:val="21"/>
          <w:position w:val="0"/>
          <w:sz w:val="21"/>
          <w:szCs w:val="21"/>
        </w:rPr>
        <w:t>联系方式：0371-65359921</w:t>
      </w:r>
    </w:p>
    <w:p w14:paraId="6B2F4B55">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rPr>
      </w:pPr>
    </w:p>
    <w:p w14:paraId="0FCCE3EF">
      <w:pPr>
        <w:pageBreakBefore w:val="0"/>
        <w:wordWrap w:val="0"/>
        <w:overflowPunct/>
        <w:topLinePunct/>
        <w:autoSpaceDE/>
        <w:autoSpaceDN/>
        <w:bidi w:val="0"/>
        <w:rPr>
          <w:rFonts w:hint="eastAsia" w:ascii="宋体" w:hAnsi="宋体" w:eastAsia="宋体" w:cs="宋体"/>
          <w:color w:val="auto"/>
          <w:spacing w:val="0"/>
          <w:position w:val="0"/>
          <w:sz w:val="28"/>
        </w:rPr>
      </w:pPr>
      <w:r>
        <w:rPr>
          <w:rFonts w:hint="eastAsia" w:ascii="宋体" w:hAnsi="宋体" w:eastAsia="宋体" w:cs="宋体"/>
          <w:color w:val="auto"/>
          <w:spacing w:val="0"/>
          <w:position w:val="0"/>
          <w:sz w:val="28"/>
        </w:rPr>
        <w:br w:type="page"/>
      </w:r>
    </w:p>
    <w:p w14:paraId="69E2695F">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2" w:name="_Toc7413"/>
      <w:r>
        <w:rPr>
          <w:rFonts w:hint="eastAsia" w:ascii="宋体" w:hAnsi="宋体" w:eastAsia="宋体" w:cs="宋体"/>
          <w:color w:val="auto"/>
          <w:spacing w:val="0"/>
          <w:position w:val="0"/>
        </w:rPr>
        <w:t xml:space="preserve">第二章  </w:t>
      </w:r>
      <w:r>
        <w:rPr>
          <w:rFonts w:hint="eastAsia" w:ascii="宋体" w:hAnsi="宋体" w:eastAsia="宋体" w:cs="宋体"/>
          <w:color w:val="auto"/>
          <w:spacing w:val="0"/>
          <w:position w:val="0"/>
          <w:lang w:eastAsia="zh-CN"/>
        </w:rPr>
        <w:t>供应商</w:t>
      </w:r>
      <w:r>
        <w:rPr>
          <w:rFonts w:hint="eastAsia" w:ascii="宋体" w:hAnsi="宋体" w:eastAsia="宋体" w:cs="宋体"/>
          <w:color w:val="auto"/>
          <w:spacing w:val="0"/>
          <w:position w:val="0"/>
        </w:rPr>
        <w:t>须知</w:t>
      </w:r>
      <w:bookmarkEnd w:id="2"/>
    </w:p>
    <w:p w14:paraId="361CBB81">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3" w:name="_Toc31466"/>
      <w:r>
        <w:rPr>
          <w:rFonts w:hint="eastAsia" w:ascii="宋体" w:hAnsi="宋体" w:eastAsia="宋体" w:cs="宋体"/>
          <w:color w:val="auto"/>
          <w:spacing w:val="0"/>
          <w:position w:val="0"/>
          <w:lang w:eastAsia="zh-CN"/>
        </w:rPr>
        <w:t>供应商</w:t>
      </w:r>
      <w:r>
        <w:rPr>
          <w:rFonts w:hint="eastAsia" w:ascii="宋体" w:hAnsi="宋体" w:eastAsia="宋体" w:cs="宋体"/>
          <w:color w:val="auto"/>
          <w:spacing w:val="0"/>
          <w:position w:val="0"/>
        </w:rPr>
        <w:t>须知前附表</w:t>
      </w:r>
      <w:bookmarkEnd w:id="3"/>
    </w:p>
    <w:tbl>
      <w:tblPr>
        <w:tblStyle w:val="46"/>
        <w:tblW w:w="9496" w:type="dxa"/>
        <w:jc w:val="center"/>
        <w:tblLayout w:type="fixed"/>
        <w:tblCellMar>
          <w:top w:w="0" w:type="dxa"/>
          <w:left w:w="108" w:type="dxa"/>
          <w:bottom w:w="0" w:type="dxa"/>
          <w:right w:w="108" w:type="dxa"/>
        </w:tblCellMar>
      </w:tblPr>
      <w:tblGrid>
        <w:gridCol w:w="1056"/>
        <w:gridCol w:w="2178"/>
        <w:gridCol w:w="6262"/>
      </w:tblGrid>
      <w:tr w14:paraId="4D85D749">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A0CDB3E">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条款号</w:t>
            </w:r>
          </w:p>
        </w:tc>
        <w:tc>
          <w:tcPr>
            <w:tcW w:w="2178" w:type="dxa"/>
            <w:tcBorders>
              <w:top w:val="single" w:color="000000" w:sz="4" w:space="0"/>
              <w:left w:val="single" w:color="000000" w:sz="4" w:space="0"/>
              <w:bottom w:val="single" w:color="000000" w:sz="4" w:space="0"/>
              <w:right w:val="single" w:color="000000" w:sz="4" w:space="0"/>
            </w:tcBorders>
            <w:vAlign w:val="center"/>
          </w:tcPr>
          <w:p w14:paraId="689CCDD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条款名称</w:t>
            </w:r>
          </w:p>
        </w:tc>
        <w:tc>
          <w:tcPr>
            <w:tcW w:w="6262" w:type="dxa"/>
            <w:tcBorders>
              <w:top w:val="single" w:color="000000" w:sz="4" w:space="0"/>
              <w:left w:val="single" w:color="000000" w:sz="4" w:space="0"/>
              <w:bottom w:val="single" w:color="000000" w:sz="4" w:space="0"/>
              <w:right w:val="single" w:color="000000" w:sz="4" w:space="0"/>
            </w:tcBorders>
            <w:vAlign w:val="center"/>
          </w:tcPr>
          <w:p w14:paraId="74EAAE35">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编列内容</w:t>
            </w:r>
          </w:p>
        </w:tc>
      </w:tr>
      <w:tr w14:paraId="7B6A3199">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DF14846">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1.1.1</w:t>
            </w:r>
          </w:p>
        </w:tc>
        <w:tc>
          <w:tcPr>
            <w:tcW w:w="2178" w:type="dxa"/>
            <w:tcBorders>
              <w:top w:val="single" w:color="000000" w:sz="4" w:space="0"/>
              <w:left w:val="single" w:color="000000" w:sz="4" w:space="0"/>
              <w:bottom w:val="single" w:color="000000" w:sz="4" w:space="0"/>
              <w:right w:val="single" w:color="000000" w:sz="4" w:space="0"/>
            </w:tcBorders>
            <w:vAlign w:val="center"/>
          </w:tcPr>
          <w:p w14:paraId="37CFD1A3">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采购人</w:t>
            </w:r>
          </w:p>
        </w:tc>
        <w:tc>
          <w:tcPr>
            <w:tcW w:w="6262" w:type="dxa"/>
            <w:tcBorders>
              <w:top w:val="single" w:color="000000" w:sz="4" w:space="0"/>
              <w:left w:val="single" w:color="000000" w:sz="4" w:space="0"/>
              <w:bottom w:val="single" w:color="000000" w:sz="4" w:space="0"/>
              <w:right w:val="single" w:color="000000" w:sz="4" w:space="0"/>
            </w:tcBorders>
            <w:vAlign w:val="center"/>
          </w:tcPr>
          <w:p w14:paraId="6712A60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名    称：河南省人民医院</w:t>
            </w:r>
          </w:p>
          <w:p w14:paraId="006DBB25">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地    址：郑州市黄河路与经二路交叉口</w:t>
            </w:r>
          </w:p>
          <w:p w14:paraId="31D0A4C8">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联 系 人：常女士</w:t>
            </w:r>
          </w:p>
          <w:p w14:paraId="3DC28DFF">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联系方式：0371-65580108</w:t>
            </w:r>
          </w:p>
        </w:tc>
      </w:tr>
      <w:tr w14:paraId="2224EB90">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B5597A3">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1.1.2</w:t>
            </w:r>
          </w:p>
        </w:tc>
        <w:tc>
          <w:tcPr>
            <w:tcW w:w="2178" w:type="dxa"/>
            <w:tcBorders>
              <w:top w:val="single" w:color="000000" w:sz="4" w:space="0"/>
              <w:left w:val="single" w:color="000000" w:sz="4" w:space="0"/>
              <w:bottom w:val="single" w:color="000000" w:sz="4" w:space="0"/>
              <w:right w:val="single" w:color="000000" w:sz="4" w:space="0"/>
            </w:tcBorders>
            <w:vAlign w:val="center"/>
          </w:tcPr>
          <w:p w14:paraId="6292F40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采购代理机构</w:t>
            </w:r>
          </w:p>
        </w:tc>
        <w:tc>
          <w:tcPr>
            <w:tcW w:w="6262" w:type="dxa"/>
            <w:tcBorders>
              <w:top w:val="single" w:color="000000" w:sz="4" w:space="0"/>
              <w:left w:val="single" w:color="000000" w:sz="4" w:space="0"/>
              <w:bottom w:val="single" w:color="000000" w:sz="4" w:space="0"/>
              <w:right w:val="single" w:color="000000" w:sz="4" w:space="0"/>
            </w:tcBorders>
            <w:vAlign w:val="center"/>
          </w:tcPr>
          <w:p w14:paraId="3178D73C">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名    称：河南省伟信招标管理咨询有限公司</w:t>
            </w:r>
          </w:p>
          <w:p w14:paraId="78D00D3D">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地    址：郑州市郑东新区东风南路6号绿地中心北塔16楼</w:t>
            </w:r>
          </w:p>
          <w:p w14:paraId="558B9DC0">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rPr>
              <w:t>联 系 人：贺献伟</w:t>
            </w:r>
            <w:r>
              <w:rPr>
                <w:rFonts w:hint="eastAsia" w:ascii="宋体" w:hAnsi="宋体" w:eastAsia="宋体" w:cs="宋体"/>
                <w:color w:val="auto"/>
                <w:spacing w:val="0"/>
                <w:kern w:val="0"/>
                <w:position w:val="0"/>
                <w:sz w:val="21"/>
                <w:szCs w:val="21"/>
                <w:lang w:eastAsia="zh-CN"/>
              </w:rPr>
              <w:t>、乔灿</w:t>
            </w:r>
          </w:p>
          <w:p w14:paraId="78CF2A5A">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联系方式：0371-65359921  15003824122</w:t>
            </w:r>
          </w:p>
          <w:p w14:paraId="0D373FE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电子邮件：hnwxzx@126.com</w:t>
            </w:r>
          </w:p>
        </w:tc>
      </w:tr>
      <w:tr w14:paraId="78FB934B">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D553F8B">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1.1.3</w:t>
            </w:r>
          </w:p>
        </w:tc>
        <w:tc>
          <w:tcPr>
            <w:tcW w:w="2178" w:type="dxa"/>
            <w:tcBorders>
              <w:top w:val="single" w:color="000000" w:sz="4" w:space="0"/>
              <w:left w:val="single" w:color="000000" w:sz="4" w:space="0"/>
              <w:bottom w:val="single" w:color="000000" w:sz="4" w:space="0"/>
              <w:right w:val="single" w:color="000000" w:sz="4" w:space="0"/>
            </w:tcBorders>
            <w:vAlign w:val="center"/>
          </w:tcPr>
          <w:p w14:paraId="4B5EE7B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项目名称</w:t>
            </w:r>
          </w:p>
        </w:tc>
        <w:tc>
          <w:tcPr>
            <w:tcW w:w="6262" w:type="dxa"/>
            <w:tcBorders>
              <w:top w:val="single" w:color="000000" w:sz="4" w:space="0"/>
              <w:left w:val="single" w:color="000000" w:sz="4" w:space="0"/>
              <w:bottom w:val="single" w:color="000000" w:sz="4" w:space="0"/>
              <w:right w:val="single" w:color="000000" w:sz="4" w:space="0"/>
            </w:tcBorders>
            <w:vAlign w:val="center"/>
          </w:tcPr>
          <w:p w14:paraId="403C3D3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lang w:eastAsia="zh-CN"/>
              </w:rPr>
              <w:t>河南省人民医院15号楼视光学中心、屈光学中心改造项目</w:t>
            </w:r>
          </w:p>
        </w:tc>
      </w:tr>
      <w:tr w14:paraId="5EF66F12">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8CFD5F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lang w:val="en-US" w:eastAsia="zh-CN"/>
              </w:rPr>
              <w:t>1.1.4</w:t>
            </w:r>
          </w:p>
        </w:tc>
        <w:tc>
          <w:tcPr>
            <w:tcW w:w="2178" w:type="dxa"/>
            <w:tcBorders>
              <w:top w:val="single" w:color="000000" w:sz="4" w:space="0"/>
              <w:left w:val="single" w:color="000000" w:sz="4" w:space="0"/>
              <w:bottom w:val="single" w:color="000000" w:sz="4" w:space="0"/>
              <w:right w:val="single" w:color="000000" w:sz="4" w:space="0"/>
            </w:tcBorders>
            <w:vAlign w:val="center"/>
          </w:tcPr>
          <w:p w14:paraId="28F790DC">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val="en-US" w:eastAsia="zh-CN" w:bidi="ar-SA"/>
              </w:rPr>
            </w:pPr>
            <w:r>
              <w:rPr>
                <w:rFonts w:hint="eastAsia" w:ascii="宋体" w:hAnsi="宋体" w:eastAsia="宋体" w:cs="宋体"/>
                <w:color w:val="auto"/>
                <w:spacing w:val="0"/>
                <w:kern w:val="0"/>
                <w:position w:val="0"/>
                <w:sz w:val="21"/>
                <w:szCs w:val="21"/>
              </w:rPr>
              <w:t>标的物所属行业</w:t>
            </w:r>
          </w:p>
        </w:tc>
        <w:tc>
          <w:tcPr>
            <w:tcW w:w="6262" w:type="dxa"/>
            <w:tcBorders>
              <w:top w:val="single" w:color="000000" w:sz="4" w:space="0"/>
              <w:left w:val="single" w:color="000000" w:sz="4" w:space="0"/>
              <w:bottom w:val="single" w:color="000000" w:sz="4" w:space="0"/>
              <w:right w:val="single" w:color="000000" w:sz="4" w:space="0"/>
            </w:tcBorders>
            <w:vAlign w:val="center"/>
          </w:tcPr>
          <w:p w14:paraId="5B9DDAE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val="en-US" w:eastAsia="zh-CN" w:bidi="ar-SA"/>
              </w:rPr>
            </w:pPr>
            <w:r>
              <w:rPr>
                <w:rFonts w:hint="eastAsia" w:ascii="宋体" w:hAnsi="宋体" w:eastAsia="宋体" w:cs="宋体"/>
                <w:color w:val="auto"/>
                <w:spacing w:val="0"/>
                <w:kern w:val="0"/>
                <w:position w:val="0"/>
                <w:sz w:val="21"/>
                <w:szCs w:val="21"/>
              </w:rPr>
              <w:t>根据“工信部联企业[2011]300号”文件的划型标准，本次标的物所属行业为：</w:t>
            </w:r>
            <w:r>
              <w:rPr>
                <w:rFonts w:hint="eastAsia" w:ascii="宋体" w:hAnsi="宋体" w:eastAsia="宋体" w:cs="宋体"/>
                <w:color w:val="auto"/>
                <w:spacing w:val="0"/>
                <w:kern w:val="0"/>
                <w:position w:val="0"/>
                <w:sz w:val="21"/>
                <w:szCs w:val="21"/>
                <w:lang w:eastAsia="zh-CN"/>
              </w:rPr>
              <w:t>建筑业</w:t>
            </w:r>
          </w:p>
        </w:tc>
      </w:tr>
      <w:tr w14:paraId="2E666070">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920566D">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rPr>
              <w:t>1.2.1</w:t>
            </w:r>
          </w:p>
        </w:tc>
        <w:tc>
          <w:tcPr>
            <w:tcW w:w="2178" w:type="dxa"/>
            <w:tcBorders>
              <w:top w:val="single" w:color="000000" w:sz="4" w:space="0"/>
              <w:left w:val="single" w:color="000000" w:sz="4" w:space="0"/>
              <w:bottom w:val="single" w:color="000000" w:sz="4" w:space="0"/>
              <w:right w:val="single" w:color="000000" w:sz="4" w:space="0"/>
            </w:tcBorders>
            <w:vAlign w:val="center"/>
          </w:tcPr>
          <w:p w14:paraId="1A28FE54">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rPr>
              <w:t>预算金额和最高限价</w:t>
            </w:r>
          </w:p>
        </w:tc>
        <w:tc>
          <w:tcPr>
            <w:tcW w:w="6262" w:type="dxa"/>
            <w:tcBorders>
              <w:top w:val="single" w:color="000000" w:sz="4" w:space="0"/>
              <w:left w:val="single" w:color="000000" w:sz="4" w:space="0"/>
              <w:bottom w:val="single" w:color="000000" w:sz="4" w:space="0"/>
              <w:right w:val="single" w:color="000000" w:sz="4" w:space="0"/>
            </w:tcBorders>
            <w:vAlign w:val="center"/>
          </w:tcPr>
          <w:p w14:paraId="3D35FCE3">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rPr>
              <w:t>项目预算金额：5080695.01元；最高限价：5080695.01元。</w:t>
            </w:r>
          </w:p>
          <w:p w14:paraId="5D22475E">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b w:val="0"/>
                <w:bCs w:val="0"/>
                <w:color w:val="auto"/>
                <w:spacing w:val="0"/>
                <w:kern w:val="0"/>
                <w:position w:val="0"/>
                <w:sz w:val="21"/>
                <w:szCs w:val="21"/>
                <w:highlight w:val="none"/>
                <w:lang w:eastAsia="zh-CN"/>
              </w:rPr>
            </w:pPr>
            <w:r>
              <w:rPr>
                <w:rFonts w:hint="eastAsia" w:ascii="宋体" w:hAnsi="宋体" w:eastAsia="宋体" w:cs="宋体"/>
                <w:b w:val="0"/>
                <w:bCs w:val="0"/>
                <w:color w:val="auto"/>
                <w:spacing w:val="0"/>
                <w:kern w:val="0"/>
                <w:position w:val="0"/>
                <w:sz w:val="21"/>
                <w:szCs w:val="21"/>
                <w:highlight w:val="none"/>
              </w:rPr>
              <w:t>供应商的报价超过预算金额或最高限价的，其响应文件无效</w:t>
            </w:r>
          </w:p>
        </w:tc>
      </w:tr>
      <w:tr w14:paraId="091BBA7B">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1010E9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1.2.2</w:t>
            </w:r>
          </w:p>
        </w:tc>
        <w:tc>
          <w:tcPr>
            <w:tcW w:w="2178" w:type="dxa"/>
            <w:tcBorders>
              <w:top w:val="single" w:color="000000" w:sz="4" w:space="0"/>
              <w:left w:val="single" w:color="000000" w:sz="4" w:space="0"/>
              <w:bottom w:val="single" w:color="000000" w:sz="4" w:space="0"/>
              <w:right w:val="single" w:color="000000" w:sz="4" w:space="0"/>
            </w:tcBorders>
            <w:vAlign w:val="center"/>
          </w:tcPr>
          <w:p w14:paraId="26894AE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资金来源</w:t>
            </w:r>
          </w:p>
        </w:tc>
        <w:tc>
          <w:tcPr>
            <w:tcW w:w="6262" w:type="dxa"/>
            <w:tcBorders>
              <w:top w:val="single" w:color="000000" w:sz="4" w:space="0"/>
              <w:left w:val="single" w:color="000000" w:sz="4" w:space="0"/>
              <w:bottom w:val="single" w:color="000000" w:sz="4" w:space="0"/>
              <w:right w:val="single" w:color="000000" w:sz="4" w:space="0"/>
            </w:tcBorders>
            <w:vAlign w:val="center"/>
          </w:tcPr>
          <w:p w14:paraId="54F168BC">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自筹资金</w:t>
            </w:r>
          </w:p>
        </w:tc>
      </w:tr>
      <w:tr w14:paraId="27E8E571">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6030A5D">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1.3.1</w:t>
            </w:r>
          </w:p>
        </w:tc>
        <w:tc>
          <w:tcPr>
            <w:tcW w:w="2178" w:type="dxa"/>
            <w:tcBorders>
              <w:top w:val="single" w:color="000000" w:sz="4" w:space="0"/>
              <w:left w:val="single" w:color="000000" w:sz="4" w:space="0"/>
              <w:bottom w:val="single" w:color="000000" w:sz="4" w:space="0"/>
              <w:right w:val="single" w:color="000000" w:sz="4" w:space="0"/>
            </w:tcBorders>
            <w:vAlign w:val="center"/>
          </w:tcPr>
          <w:p w14:paraId="788058D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采购内容</w:t>
            </w:r>
          </w:p>
        </w:tc>
        <w:tc>
          <w:tcPr>
            <w:tcW w:w="6262" w:type="dxa"/>
            <w:tcBorders>
              <w:top w:val="single" w:color="000000" w:sz="4" w:space="0"/>
              <w:left w:val="single" w:color="000000" w:sz="4" w:space="0"/>
              <w:bottom w:val="single" w:color="000000" w:sz="4" w:space="0"/>
              <w:right w:val="single" w:color="000000" w:sz="4" w:space="0"/>
            </w:tcBorders>
            <w:vAlign w:val="center"/>
          </w:tcPr>
          <w:p w14:paraId="68E8B189">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6"/>
                <w:kern w:val="0"/>
                <w:position w:val="0"/>
                <w:sz w:val="21"/>
                <w:szCs w:val="21"/>
              </w:rPr>
              <w:t>本项目范围内的原建筑拆除，室内装修、安装工程、消防工程、手术室净化工程，配合医疗设备厂家安装设备等招标文件、施工图纸及工程量清单范围内的施工、设备安装、调试、竣工验收及保修等</w:t>
            </w:r>
          </w:p>
        </w:tc>
      </w:tr>
      <w:tr w14:paraId="10808AB8">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35D235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1.3.2</w:t>
            </w:r>
          </w:p>
        </w:tc>
        <w:tc>
          <w:tcPr>
            <w:tcW w:w="2178" w:type="dxa"/>
            <w:tcBorders>
              <w:top w:val="single" w:color="000000" w:sz="4" w:space="0"/>
              <w:left w:val="single" w:color="000000" w:sz="4" w:space="0"/>
              <w:bottom w:val="single" w:color="000000" w:sz="4" w:space="0"/>
              <w:right w:val="single" w:color="000000" w:sz="4" w:space="0"/>
            </w:tcBorders>
            <w:vAlign w:val="center"/>
          </w:tcPr>
          <w:p w14:paraId="277C6F64">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工    期</w:t>
            </w:r>
          </w:p>
        </w:tc>
        <w:tc>
          <w:tcPr>
            <w:tcW w:w="6262" w:type="dxa"/>
            <w:tcBorders>
              <w:top w:val="single" w:color="000000" w:sz="4" w:space="0"/>
              <w:left w:val="single" w:color="000000" w:sz="4" w:space="0"/>
              <w:bottom w:val="single" w:color="000000" w:sz="4" w:space="0"/>
              <w:right w:val="single" w:color="000000" w:sz="4" w:space="0"/>
            </w:tcBorders>
            <w:vAlign w:val="center"/>
          </w:tcPr>
          <w:p w14:paraId="6CD6FF7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120日历天</w:t>
            </w:r>
          </w:p>
        </w:tc>
      </w:tr>
      <w:tr w14:paraId="46ABF666">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99430D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1.3.3</w:t>
            </w:r>
          </w:p>
        </w:tc>
        <w:tc>
          <w:tcPr>
            <w:tcW w:w="2178" w:type="dxa"/>
            <w:tcBorders>
              <w:top w:val="single" w:color="000000" w:sz="4" w:space="0"/>
              <w:left w:val="single" w:color="000000" w:sz="4" w:space="0"/>
              <w:bottom w:val="single" w:color="000000" w:sz="4" w:space="0"/>
              <w:right w:val="single" w:color="000000" w:sz="4" w:space="0"/>
            </w:tcBorders>
            <w:vAlign w:val="center"/>
          </w:tcPr>
          <w:p w14:paraId="719C165E">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rPr>
              <w:t>质量要求</w:t>
            </w:r>
          </w:p>
        </w:tc>
        <w:tc>
          <w:tcPr>
            <w:tcW w:w="6262" w:type="dxa"/>
            <w:tcBorders>
              <w:top w:val="single" w:color="000000" w:sz="4" w:space="0"/>
              <w:left w:val="single" w:color="000000" w:sz="4" w:space="0"/>
              <w:bottom w:val="single" w:color="000000" w:sz="4" w:space="0"/>
              <w:right w:val="single" w:color="000000" w:sz="4" w:space="0"/>
            </w:tcBorders>
            <w:vAlign w:val="center"/>
          </w:tcPr>
          <w:p w14:paraId="1278A474">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达到国家、行业相关规范、规定合格标准</w:t>
            </w:r>
          </w:p>
        </w:tc>
      </w:tr>
      <w:tr w14:paraId="6A49951D">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83C4FAB">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1.4.1</w:t>
            </w:r>
          </w:p>
        </w:tc>
        <w:tc>
          <w:tcPr>
            <w:tcW w:w="2178" w:type="dxa"/>
            <w:tcBorders>
              <w:top w:val="single" w:color="000000" w:sz="4" w:space="0"/>
              <w:left w:val="single" w:color="000000" w:sz="4" w:space="0"/>
              <w:bottom w:val="single" w:color="000000" w:sz="4" w:space="0"/>
              <w:right w:val="single" w:color="000000" w:sz="4" w:space="0"/>
            </w:tcBorders>
            <w:vAlign w:val="center"/>
          </w:tcPr>
          <w:p w14:paraId="47BD0CC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资格要求</w:t>
            </w:r>
          </w:p>
        </w:tc>
        <w:tc>
          <w:tcPr>
            <w:tcW w:w="6262" w:type="dxa"/>
            <w:tcBorders>
              <w:top w:val="single" w:color="000000" w:sz="4" w:space="0"/>
              <w:left w:val="single" w:color="000000" w:sz="4" w:space="0"/>
              <w:bottom w:val="single" w:color="000000" w:sz="4" w:space="0"/>
              <w:right w:val="single" w:color="000000" w:sz="4" w:space="0"/>
            </w:tcBorders>
            <w:vAlign w:val="center"/>
          </w:tcPr>
          <w:p w14:paraId="416D16A8">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lang w:val="en-US" w:eastAsia="zh-CN"/>
              </w:rPr>
              <w:t>详见磋商公告“二、申请人资格要求”</w:t>
            </w:r>
          </w:p>
        </w:tc>
      </w:tr>
      <w:tr w14:paraId="708BDDEE">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1703249">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1.4.2</w:t>
            </w:r>
          </w:p>
        </w:tc>
        <w:tc>
          <w:tcPr>
            <w:tcW w:w="2178" w:type="dxa"/>
            <w:tcBorders>
              <w:top w:val="single" w:color="000000" w:sz="4" w:space="0"/>
              <w:left w:val="single" w:color="000000" w:sz="4" w:space="0"/>
              <w:bottom w:val="single" w:color="000000" w:sz="4" w:space="0"/>
              <w:right w:val="single" w:color="000000" w:sz="4" w:space="0"/>
            </w:tcBorders>
            <w:vAlign w:val="center"/>
          </w:tcPr>
          <w:p w14:paraId="59A513B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是否接受联合体投标</w:t>
            </w:r>
          </w:p>
        </w:tc>
        <w:tc>
          <w:tcPr>
            <w:tcW w:w="6262" w:type="dxa"/>
            <w:tcBorders>
              <w:top w:val="single" w:color="000000" w:sz="4" w:space="0"/>
              <w:left w:val="single" w:color="000000" w:sz="4" w:space="0"/>
              <w:bottom w:val="single" w:color="000000" w:sz="4" w:space="0"/>
              <w:right w:val="single" w:color="000000" w:sz="4" w:space="0"/>
            </w:tcBorders>
            <w:vAlign w:val="center"/>
          </w:tcPr>
          <w:p w14:paraId="665EE092">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val="en-US" w:eastAsia="zh-CN"/>
              </w:rPr>
              <w:t>不</w:t>
            </w:r>
            <w:r>
              <w:rPr>
                <w:rFonts w:hint="eastAsia" w:ascii="宋体" w:hAnsi="宋体" w:eastAsia="宋体" w:cs="宋体"/>
                <w:color w:val="auto"/>
                <w:spacing w:val="0"/>
                <w:kern w:val="0"/>
                <w:position w:val="0"/>
                <w:sz w:val="21"/>
                <w:szCs w:val="21"/>
              </w:rPr>
              <w:t>接受</w:t>
            </w:r>
          </w:p>
        </w:tc>
      </w:tr>
      <w:tr w14:paraId="26BD4053">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D1A306A">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1.9</w:t>
            </w:r>
          </w:p>
        </w:tc>
        <w:tc>
          <w:tcPr>
            <w:tcW w:w="2178" w:type="dxa"/>
            <w:tcBorders>
              <w:top w:val="single" w:color="000000" w:sz="4" w:space="0"/>
              <w:left w:val="single" w:color="000000" w:sz="4" w:space="0"/>
              <w:bottom w:val="single" w:color="000000" w:sz="4" w:space="0"/>
              <w:right w:val="single" w:color="000000" w:sz="4" w:space="0"/>
            </w:tcBorders>
            <w:vAlign w:val="center"/>
          </w:tcPr>
          <w:p w14:paraId="3D3C2EF7">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现场踏勘</w:t>
            </w:r>
          </w:p>
        </w:tc>
        <w:tc>
          <w:tcPr>
            <w:tcW w:w="6262" w:type="dxa"/>
            <w:tcBorders>
              <w:top w:val="single" w:color="000000" w:sz="4" w:space="0"/>
              <w:left w:val="single" w:color="000000" w:sz="4" w:space="0"/>
              <w:bottom w:val="single" w:color="000000" w:sz="4" w:space="0"/>
              <w:right w:val="single" w:color="000000" w:sz="4" w:space="0"/>
            </w:tcBorders>
            <w:vAlign w:val="center"/>
          </w:tcPr>
          <w:p w14:paraId="0FE8342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不组织</w:t>
            </w:r>
          </w:p>
        </w:tc>
      </w:tr>
      <w:tr w14:paraId="6814233E">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56ECD4A">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1.10</w:t>
            </w:r>
          </w:p>
        </w:tc>
        <w:tc>
          <w:tcPr>
            <w:tcW w:w="2178" w:type="dxa"/>
            <w:tcBorders>
              <w:top w:val="single" w:color="000000" w:sz="4" w:space="0"/>
              <w:left w:val="single" w:color="000000" w:sz="4" w:space="0"/>
              <w:bottom w:val="single" w:color="000000" w:sz="4" w:space="0"/>
              <w:right w:val="single" w:color="000000" w:sz="4" w:space="0"/>
            </w:tcBorders>
            <w:vAlign w:val="center"/>
          </w:tcPr>
          <w:p w14:paraId="4F8054D2">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分包</w:t>
            </w:r>
          </w:p>
        </w:tc>
        <w:tc>
          <w:tcPr>
            <w:tcW w:w="6262" w:type="dxa"/>
            <w:tcBorders>
              <w:top w:val="single" w:color="000000" w:sz="4" w:space="0"/>
              <w:left w:val="single" w:color="000000" w:sz="4" w:space="0"/>
              <w:bottom w:val="single" w:color="000000" w:sz="4" w:space="0"/>
              <w:right w:val="single" w:color="000000" w:sz="4" w:space="0"/>
            </w:tcBorders>
            <w:vAlign w:val="center"/>
          </w:tcPr>
          <w:p w14:paraId="472B02B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不允许</w:t>
            </w:r>
          </w:p>
        </w:tc>
      </w:tr>
      <w:tr w14:paraId="165DE4A5">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874A044">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1.11.1</w:t>
            </w:r>
          </w:p>
        </w:tc>
        <w:tc>
          <w:tcPr>
            <w:tcW w:w="2178" w:type="dxa"/>
            <w:tcBorders>
              <w:top w:val="single" w:color="000000" w:sz="4" w:space="0"/>
              <w:left w:val="single" w:color="000000" w:sz="4" w:space="0"/>
              <w:bottom w:val="single" w:color="000000" w:sz="4" w:space="0"/>
              <w:right w:val="single" w:color="000000" w:sz="4" w:space="0"/>
            </w:tcBorders>
            <w:vAlign w:val="center"/>
          </w:tcPr>
          <w:p w14:paraId="76A823F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实质性要求和条件</w:t>
            </w:r>
          </w:p>
        </w:tc>
        <w:tc>
          <w:tcPr>
            <w:tcW w:w="6262" w:type="dxa"/>
            <w:tcBorders>
              <w:top w:val="single" w:color="000000" w:sz="4" w:space="0"/>
              <w:left w:val="single" w:color="000000" w:sz="4" w:space="0"/>
              <w:bottom w:val="single" w:color="000000" w:sz="4" w:space="0"/>
              <w:right w:val="single" w:color="000000" w:sz="4" w:space="0"/>
            </w:tcBorders>
            <w:vAlign w:val="center"/>
          </w:tcPr>
          <w:p w14:paraId="6840745C">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本前附表1.3.2、1.3.3、1.4.1款要求</w:t>
            </w:r>
          </w:p>
        </w:tc>
      </w:tr>
      <w:tr w14:paraId="5ADB392D">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C9905B4">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2.1</w:t>
            </w:r>
          </w:p>
        </w:tc>
        <w:tc>
          <w:tcPr>
            <w:tcW w:w="2178" w:type="dxa"/>
            <w:tcBorders>
              <w:top w:val="single" w:color="000000" w:sz="4" w:space="0"/>
              <w:left w:val="single" w:color="000000" w:sz="4" w:space="0"/>
              <w:bottom w:val="single" w:color="000000" w:sz="4" w:space="0"/>
              <w:right w:val="single" w:color="000000" w:sz="4" w:space="0"/>
            </w:tcBorders>
            <w:vAlign w:val="center"/>
          </w:tcPr>
          <w:p w14:paraId="00994A0B">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构成</w:t>
            </w:r>
            <w:r>
              <w:rPr>
                <w:rFonts w:hint="eastAsia" w:ascii="宋体" w:hAnsi="宋体" w:eastAsia="宋体" w:cs="宋体"/>
                <w:color w:val="auto"/>
                <w:spacing w:val="0"/>
                <w:kern w:val="0"/>
                <w:position w:val="0"/>
                <w:sz w:val="21"/>
                <w:szCs w:val="21"/>
                <w:lang w:eastAsia="zh-CN"/>
              </w:rPr>
              <w:t>磋商文件</w:t>
            </w:r>
            <w:r>
              <w:rPr>
                <w:rFonts w:hint="eastAsia" w:ascii="宋体" w:hAnsi="宋体" w:eastAsia="宋体" w:cs="宋体"/>
                <w:color w:val="auto"/>
                <w:spacing w:val="0"/>
                <w:kern w:val="0"/>
                <w:position w:val="0"/>
                <w:sz w:val="21"/>
                <w:szCs w:val="21"/>
              </w:rPr>
              <w:t>的其他资料</w:t>
            </w:r>
          </w:p>
        </w:tc>
        <w:tc>
          <w:tcPr>
            <w:tcW w:w="6262" w:type="dxa"/>
            <w:tcBorders>
              <w:top w:val="single" w:color="000000" w:sz="4" w:space="0"/>
              <w:left w:val="single" w:color="000000" w:sz="4" w:space="0"/>
              <w:bottom w:val="single" w:color="000000" w:sz="4" w:space="0"/>
              <w:right w:val="single" w:color="000000" w:sz="4" w:space="0"/>
            </w:tcBorders>
            <w:vAlign w:val="center"/>
          </w:tcPr>
          <w:p w14:paraId="09A95C2F">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position w:val="0"/>
                <w:sz w:val="21"/>
                <w:szCs w:val="21"/>
              </w:rPr>
              <w:t>对</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所做的澄清、修改等</w:t>
            </w:r>
          </w:p>
        </w:tc>
      </w:tr>
      <w:tr w14:paraId="020D290A">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3DE762A">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2.2.1</w:t>
            </w:r>
          </w:p>
        </w:tc>
        <w:tc>
          <w:tcPr>
            <w:tcW w:w="2178" w:type="dxa"/>
            <w:tcBorders>
              <w:top w:val="single" w:color="000000" w:sz="4" w:space="0"/>
              <w:left w:val="single" w:color="000000" w:sz="4" w:space="0"/>
              <w:bottom w:val="single" w:color="000000" w:sz="4" w:space="0"/>
              <w:right w:val="single" w:color="000000" w:sz="4" w:space="0"/>
            </w:tcBorders>
            <w:vAlign w:val="center"/>
          </w:tcPr>
          <w:p w14:paraId="17CA77F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要求澄清</w:t>
            </w:r>
            <w:r>
              <w:rPr>
                <w:rFonts w:hint="eastAsia" w:ascii="宋体" w:hAnsi="宋体" w:eastAsia="宋体" w:cs="宋体"/>
                <w:color w:val="auto"/>
                <w:spacing w:val="0"/>
                <w:kern w:val="0"/>
                <w:position w:val="0"/>
                <w:sz w:val="21"/>
                <w:szCs w:val="21"/>
                <w:lang w:eastAsia="zh-CN"/>
              </w:rPr>
              <w:t>磋商文件</w:t>
            </w:r>
          </w:p>
        </w:tc>
        <w:tc>
          <w:tcPr>
            <w:tcW w:w="6262" w:type="dxa"/>
            <w:tcBorders>
              <w:top w:val="single" w:color="000000" w:sz="4" w:space="0"/>
              <w:left w:val="single" w:color="000000" w:sz="4" w:space="0"/>
              <w:bottom w:val="single" w:color="000000" w:sz="4" w:space="0"/>
              <w:right w:val="single" w:color="000000" w:sz="4" w:space="0"/>
            </w:tcBorders>
            <w:vAlign w:val="center"/>
          </w:tcPr>
          <w:p w14:paraId="3391B495">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时间：提交首次响应文件截止时间前5日</w:t>
            </w:r>
          </w:p>
          <w:p w14:paraId="381C0BA2">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形式：在</w:t>
            </w:r>
            <w:r>
              <w:rPr>
                <w:rFonts w:hint="eastAsia" w:ascii="宋体" w:hAnsi="宋体" w:eastAsia="宋体" w:cs="宋体"/>
                <w:color w:val="auto"/>
                <w:spacing w:val="0"/>
                <w:kern w:val="0"/>
                <w:position w:val="0"/>
                <w:sz w:val="21"/>
                <w:szCs w:val="21"/>
                <w:lang w:val="en-US" w:eastAsia="zh-CN"/>
              </w:rPr>
              <w:t>河南省</w:t>
            </w:r>
            <w:r>
              <w:rPr>
                <w:rFonts w:hint="eastAsia" w:ascii="宋体" w:hAnsi="宋体" w:eastAsia="宋体" w:cs="宋体"/>
                <w:color w:val="auto"/>
                <w:spacing w:val="0"/>
                <w:kern w:val="0"/>
                <w:position w:val="0"/>
                <w:sz w:val="21"/>
                <w:szCs w:val="21"/>
                <w:lang w:eastAsia="zh-CN"/>
              </w:rPr>
              <w:t>公共资源交易中心</w:t>
            </w:r>
            <w:r>
              <w:rPr>
                <w:rFonts w:hint="eastAsia" w:ascii="宋体" w:hAnsi="宋体" w:eastAsia="宋体" w:cs="宋体"/>
                <w:color w:val="auto"/>
                <w:spacing w:val="0"/>
                <w:kern w:val="0"/>
                <w:position w:val="0"/>
                <w:sz w:val="21"/>
                <w:szCs w:val="21"/>
              </w:rPr>
              <w:t>电子招标投标交易平台提出</w:t>
            </w:r>
          </w:p>
        </w:tc>
      </w:tr>
      <w:tr w14:paraId="7E607188">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447A923">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2.2.2</w:t>
            </w:r>
          </w:p>
        </w:tc>
        <w:tc>
          <w:tcPr>
            <w:tcW w:w="2178" w:type="dxa"/>
            <w:tcBorders>
              <w:top w:val="single" w:color="000000" w:sz="4" w:space="0"/>
              <w:left w:val="single" w:color="000000" w:sz="4" w:space="0"/>
              <w:bottom w:val="single" w:color="000000" w:sz="4" w:space="0"/>
              <w:right w:val="single" w:color="000000" w:sz="4" w:space="0"/>
            </w:tcBorders>
            <w:vAlign w:val="center"/>
          </w:tcPr>
          <w:p w14:paraId="33E648FD">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磋商文件</w:t>
            </w:r>
            <w:r>
              <w:rPr>
                <w:rFonts w:hint="eastAsia" w:ascii="宋体" w:hAnsi="宋体" w:eastAsia="宋体" w:cs="宋体"/>
                <w:color w:val="auto"/>
                <w:spacing w:val="0"/>
                <w:kern w:val="0"/>
                <w:position w:val="0"/>
                <w:sz w:val="21"/>
                <w:szCs w:val="21"/>
              </w:rPr>
              <w:t>澄清发出的形式</w:t>
            </w:r>
          </w:p>
        </w:tc>
        <w:tc>
          <w:tcPr>
            <w:tcW w:w="6262" w:type="dxa"/>
            <w:tcBorders>
              <w:top w:val="single" w:color="000000" w:sz="4" w:space="0"/>
              <w:left w:val="single" w:color="000000" w:sz="4" w:space="0"/>
              <w:bottom w:val="single" w:color="000000" w:sz="4" w:space="0"/>
              <w:right w:val="single" w:color="000000" w:sz="4" w:space="0"/>
            </w:tcBorders>
            <w:vAlign w:val="center"/>
          </w:tcPr>
          <w:p w14:paraId="64519D8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通过</w:t>
            </w:r>
            <w:r>
              <w:rPr>
                <w:rFonts w:hint="eastAsia" w:ascii="宋体" w:hAnsi="宋体" w:eastAsia="宋体" w:cs="宋体"/>
                <w:color w:val="auto"/>
                <w:spacing w:val="0"/>
                <w:kern w:val="0"/>
                <w:position w:val="0"/>
                <w:sz w:val="21"/>
                <w:szCs w:val="21"/>
                <w:lang w:val="en-US" w:eastAsia="zh-CN"/>
              </w:rPr>
              <w:t>河南省</w:t>
            </w:r>
            <w:r>
              <w:rPr>
                <w:rFonts w:hint="eastAsia" w:ascii="宋体" w:hAnsi="宋体" w:eastAsia="宋体" w:cs="宋体"/>
                <w:color w:val="auto"/>
                <w:spacing w:val="0"/>
                <w:kern w:val="0"/>
                <w:position w:val="0"/>
                <w:sz w:val="21"/>
                <w:szCs w:val="21"/>
                <w:lang w:eastAsia="zh-CN"/>
              </w:rPr>
              <w:t>公共资源交易中心</w:t>
            </w:r>
            <w:r>
              <w:rPr>
                <w:rFonts w:hint="eastAsia" w:ascii="宋体" w:hAnsi="宋体" w:eastAsia="宋体" w:cs="宋体"/>
                <w:color w:val="auto"/>
                <w:spacing w:val="0"/>
                <w:kern w:val="0"/>
                <w:position w:val="0"/>
                <w:sz w:val="21"/>
                <w:szCs w:val="21"/>
              </w:rPr>
              <w:t>交易平台发布，</w:t>
            </w: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应随时关注</w:t>
            </w: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rPr>
              <w:t>不再另行通知</w:t>
            </w:r>
          </w:p>
        </w:tc>
      </w:tr>
      <w:tr w14:paraId="0C12AB6A">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CFA4496">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2.2.3</w:t>
            </w:r>
          </w:p>
        </w:tc>
        <w:tc>
          <w:tcPr>
            <w:tcW w:w="2178" w:type="dxa"/>
            <w:tcBorders>
              <w:top w:val="single" w:color="000000" w:sz="4" w:space="0"/>
              <w:left w:val="single" w:color="000000" w:sz="4" w:space="0"/>
              <w:bottom w:val="single" w:color="000000" w:sz="4" w:space="0"/>
              <w:right w:val="single" w:color="000000" w:sz="4" w:space="0"/>
            </w:tcBorders>
            <w:vAlign w:val="center"/>
          </w:tcPr>
          <w:p w14:paraId="1C0D008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确认收到</w:t>
            </w:r>
            <w:r>
              <w:rPr>
                <w:rFonts w:hint="eastAsia" w:ascii="宋体" w:hAnsi="宋体" w:eastAsia="宋体" w:cs="宋体"/>
                <w:color w:val="auto"/>
                <w:spacing w:val="0"/>
                <w:kern w:val="0"/>
                <w:position w:val="0"/>
                <w:sz w:val="21"/>
                <w:szCs w:val="21"/>
                <w:lang w:eastAsia="zh-CN"/>
              </w:rPr>
              <w:t>磋商文件</w:t>
            </w:r>
            <w:r>
              <w:rPr>
                <w:rFonts w:hint="eastAsia" w:ascii="宋体" w:hAnsi="宋体" w:eastAsia="宋体" w:cs="宋体"/>
                <w:color w:val="auto"/>
                <w:spacing w:val="0"/>
                <w:kern w:val="0"/>
                <w:position w:val="0"/>
                <w:sz w:val="21"/>
                <w:szCs w:val="21"/>
              </w:rPr>
              <w:t>澄清</w:t>
            </w:r>
          </w:p>
        </w:tc>
        <w:tc>
          <w:tcPr>
            <w:tcW w:w="6262" w:type="dxa"/>
            <w:tcBorders>
              <w:top w:val="single" w:color="000000" w:sz="4" w:space="0"/>
              <w:left w:val="single" w:color="000000" w:sz="4" w:space="0"/>
              <w:bottom w:val="single" w:color="000000" w:sz="4" w:space="0"/>
              <w:right w:val="single" w:color="000000" w:sz="4" w:space="0"/>
            </w:tcBorders>
            <w:vAlign w:val="center"/>
          </w:tcPr>
          <w:p w14:paraId="32AD1E2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自</w:t>
            </w:r>
            <w:r>
              <w:rPr>
                <w:rFonts w:hint="eastAsia" w:ascii="宋体" w:hAnsi="宋体" w:eastAsia="宋体" w:cs="宋体"/>
                <w:color w:val="auto"/>
                <w:spacing w:val="0"/>
                <w:kern w:val="0"/>
                <w:position w:val="0"/>
                <w:sz w:val="21"/>
                <w:szCs w:val="21"/>
                <w:lang w:eastAsia="zh-CN"/>
              </w:rPr>
              <w:t>磋商文件</w:t>
            </w:r>
            <w:r>
              <w:rPr>
                <w:rFonts w:hint="eastAsia" w:ascii="宋体" w:hAnsi="宋体" w:eastAsia="宋体" w:cs="宋体"/>
                <w:color w:val="auto"/>
                <w:spacing w:val="0"/>
                <w:kern w:val="0"/>
                <w:position w:val="0"/>
                <w:sz w:val="21"/>
                <w:szCs w:val="21"/>
              </w:rPr>
              <w:t>澄清在相关网站发布起，即默认为</w:t>
            </w: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已收到澄清通知</w:t>
            </w:r>
          </w:p>
        </w:tc>
      </w:tr>
      <w:tr w14:paraId="7B27812D">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0E1D342">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2.3.1</w:t>
            </w:r>
          </w:p>
        </w:tc>
        <w:tc>
          <w:tcPr>
            <w:tcW w:w="2178" w:type="dxa"/>
            <w:tcBorders>
              <w:top w:val="single" w:color="000000" w:sz="4" w:space="0"/>
              <w:left w:val="single" w:color="000000" w:sz="4" w:space="0"/>
              <w:bottom w:val="single" w:color="000000" w:sz="4" w:space="0"/>
              <w:right w:val="single" w:color="000000" w:sz="4" w:space="0"/>
            </w:tcBorders>
            <w:vAlign w:val="center"/>
          </w:tcPr>
          <w:p w14:paraId="00721D2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磋商文件</w:t>
            </w:r>
            <w:r>
              <w:rPr>
                <w:rFonts w:hint="eastAsia" w:ascii="宋体" w:hAnsi="宋体" w:eastAsia="宋体" w:cs="宋体"/>
                <w:color w:val="auto"/>
                <w:spacing w:val="0"/>
                <w:kern w:val="0"/>
                <w:position w:val="0"/>
                <w:sz w:val="21"/>
                <w:szCs w:val="21"/>
              </w:rPr>
              <w:t>修改发出的形式</w:t>
            </w:r>
          </w:p>
        </w:tc>
        <w:tc>
          <w:tcPr>
            <w:tcW w:w="6262" w:type="dxa"/>
            <w:tcBorders>
              <w:top w:val="single" w:color="000000" w:sz="4" w:space="0"/>
              <w:left w:val="single" w:color="000000" w:sz="4" w:space="0"/>
              <w:bottom w:val="single" w:color="000000" w:sz="4" w:space="0"/>
              <w:right w:val="single" w:color="000000" w:sz="4" w:space="0"/>
            </w:tcBorders>
            <w:vAlign w:val="center"/>
          </w:tcPr>
          <w:p w14:paraId="2FBF8D07">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通过</w:t>
            </w:r>
            <w:r>
              <w:rPr>
                <w:rFonts w:hint="eastAsia" w:ascii="宋体" w:hAnsi="宋体" w:eastAsia="宋体" w:cs="宋体"/>
                <w:color w:val="auto"/>
                <w:spacing w:val="0"/>
                <w:kern w:val="0"/>
                <w:position w:val="0"/>
                <w:sz w:val="21"/>
                <w:szCs w:val="21"/>
                <w:lang w:val="en-US" w:eastAsia="zh-CN"/>
              </w:rPr>
              <w:t>河南省</w:t>
            </w:r>
            <w:r>
              <w:rPr>
                <w:rFonts w:hint="eastAsia" w:ascii="宋体" w:hAnsi="宋体" w:eastAsia="宋体" w:cs="宋体"/>
                <w:color w:val="auto"/>
                <w:spacing w:val="0"/>
                <w:kern w:val="0"/>
                <w:position w:val="0"/>
                <w:sz w:val="21"/>
                <w:szCs w:val="21"/>
                <w:lang w:eastAsia="zh-CN"/>
              </w:rPr>
              <w:t>公共资源交易中心</w:t>
            </w:r>
            <w:r>
              <w:rPr>
                <w:rFonts w:hint="eastAsia" w:ascii="宋体" w:hAnsi="宋体" w:eastAsia="宋体" w:cs="宋体"/>
                <w:color w:val="auto"/>
                <w:spacing w:val="0"/>
                <w:kern w:val="0"/>
                <w:position w:val="0"/>
                <w:sz w:val="21"/>
                <w:szCs w:val="21"/>
              </w:rPr>
              <w:t>交易平台发布，</w:t>
            </w: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应随时关注，不再另行通知</w:t>
            </w:r>
          </w:p>
        </w:tc>
      </w:tr>
      <w:tr w14:paraId="04B70B57">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A13360">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2.3.2</w:t>
            </w:r>
          </w:p>
        </w:tc>
        <w:tc>
          <w:tcPr>
            <w:tcW w:w="2178" w:type="dxa"/>
            <w:tcBorders>
              <w:top w:val="single" w:color="000000" w:sz="4" w:space="0"/>
              <w:left w:val="single" w:color="000000" w:sz="4" w:space="0"/>
              <w:bottom w:val="single" w:color="000000" w:sz="4" w:space="0"/>
              <w:right w:val="single" w:color="000000" w:sz="4" w:space="0"/>
            </w:tcBorders>
            <w:vAlign w:val="center"/>
          </w:tcPr>
          <w:p w14:paraId="7AB60D95">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确认收到</w:t>
            </w:r>
            <w:r>
              <w:rPr>
                <w:rFonts w:hint="eastAsia" w:ascii="宋体" w:hAnsi="宋体" w:eastAsia="宋体" w:cs="宋体"/>
                <w:color w:val="auto"/>
                <w:spacing w:val="0"/>
                <w:kern w:val="0"/>
                <w:position w:val="0"/>
                <w:sz w:val="21"/>
                <w:szCs w:val="21"/>
                <w:lang w:eastAsia="zh-CN"/>
              </w:rPr>
              <w:t>磋商文件</w:t>
            </w:r>
            <w:r>
              <w:rPr>
                <w:rFonts w:hint="eastAsia" w:ascii="宋体" w:hAnsi="宋体" w:eastAsia="宋体" w:cs="宋体"/>
                <w:color w:val="auto"/>
                <w:spacing w:val="0"/>
                <w:kern w:val="0"/>
                <w:position w:val="0"/>
                <w:sz w:val="21"/>
                <w:szCs w:val="21"/>
              </w:rPr>
              <w:t>修改</w:t>
            </w:r>
          </w:p>
        </w:tc>
        <w:tc>
          <w:tcPr>
            <w:tcW w:w="6262" w:type="dxa"/>
            <w:tcBorders>
              <w:top w:val="single" w:color="000000" w:sz="4" w:space="0"/>
              <w:left w:val="single" w:color="000000" w:sz="4" w:space="0"/>
              <w:bottom w:val="single" w:color="000000" w:sz="4" w:space="0"/>
              <w:right w:val="single" w:color="000000" w:sz="4" w:space="0"/>
            </w:tcBorders>
            <w:vAlign w:val="center"/>
          </w:tcPr>
          <w:p w14:paraId="58A88E36">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position w:val="0"/>
                <w:sz w:val="21"/>
                <w:szCs w:val="21"/>
              </w:rPr>
              <w:t>自</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修改在相关网站发布起，即默认为</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已收到</w:t>
            </w:r>
            <w:r>
              <w:rPr>
                <w:rFonts w:hint="eastAsia" w:ascii="宋体" w:hAnsi="宋体" w:eastAsia="宋体" w:cs="宋体"/>
                <w:color w:val="auto"/>
                <w:spacing w:val="0"/>
                <w:position w:val="0"/>
                <w:sz w:val="21"/>
                <w:szCs w:val="21"/>
                <w:lang w:val="en-US" w:eastAsia="zh-CN"/>
              </w:rPr>
              <w:t>文件修改</w:t>
            </w:r>
          </w:p>
        </w:tc>
      </w:tr>
      <w:tr w14:paraId="64B4ED7A">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DCB5980">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rPr>
              <w:t>3.2.</w:t>
            </w:r>
            <w:r>
              <w:rPr>
                <w:rFonts w:hint="eastAsia" w:ascii="宋体" w:hAnsi="宋体" w:eastAsia="宋体" w:cs="宋体"/>
                <w:color w:val="auto"/>
                <w:spacing w:val="0"/>
                <w:kern w:val="0"/>
                <w:position w:val="0"/>
                <w:sz w:val="21"/>
                <w:szCs w:val="21"/>
                <w:highlight w:val="none"/>
                <w:lang w:val="en-US" w:eastAsia="zh-CN"/>
              </w:rPr>
              <w:t>6</w:t>
            </w:r>
          </w:p>
        </w:tc>
        <w:tc>
          <w:tcPr>
            <w:tcW w:w="2178" w:type="dxa"/>
            <w:tcBorders>
              <w:top w:val="single" w:color="000000" w:sz="4" w:space="0"/>
              <w:left w:val="single" w:color="000000" w:sz="4" w:space="0"/>
              <w:bottom w:val="single" w:color="000000" w:sz="4" w:space="0"/>
              <w:right w:val="single" w:color="000000" w:sz="4" w:space="0"/>
            </w:tcBorders>
            <w:vAlign w:val="center"/>
          </w:tcPr>
          <w:p w14:paraId="3B30E6A5">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报价的其他要求</w:t>
            </w:r>
          </w:p>
        </w:tc>
        <w:tc>
          <w:tcPr>
            <w:tcW w:w="6262" w:type="dxa"/>
            <w:tcBorders>
              <w:top w:val="single" w:color="000000" w:sz="4" w:space="0"/>
              <w:left w:val="single" w:color="000000" w:sz="4" w:space="0"/>
              <w:bottom w:val="single" w:color="000000" w:sz="4" w:space="0"/>
              <w:right w:val="single" w:color="000000" w:sz="4" w:space="0"/>
            </w:tcBorders>
            <w:vAlign w:val="center"/>
          </w:tcPr>
          <w:p w14:paraId="0BD10840">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本项目采用工程量清单计价方式固定单价报价，最终以本合同确定的单价与实际交易的数量，确定甲乙双方的结算金额。磋商报价应根据本次采购范围、项目需求及供应商自身的技术实力、经验、企业成本、管理水平和现行市场行情、售后服务，充分考虑各种风险因素，根据供应商实力，合理自主优惠报价，但不得低于企业成本。</w:t>
            </w:r>
          </w:p>
          <w:p w14:paraId="0C4E9575">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磋商报价应是包含了完成本项目的所有费用，包括但不限于主件、备品备件、施工、服务、专用工具、安装、调试、检验、培训、运输、保险、税款等以及包括采购清单未列全未列明但在项目实施过程中可以合理预见发生的其他费用，如辅材、装卸费、运输费、高空作业设施费、场地清理费、场地墙体恢复原状、所有垃圾清运处理等费用。</w:t>
            </w:r>
          </w:p>
          <w:p w14:paraId="2F70B258">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val="en-US" w:eastAsia="zh-CN"/>
              </w:rPr>
              <w:t>（3）</w:t>
            </w:r>
            <w:r>
              <w:rPr>
                <w:rFonts w:hint="eastAsia" w:ascii="宋体" w:hAnsi="宋体" w:eastAsia="宋体" w:cs="宋体"/>
                <w:color w:val="auto"/>
                <w:spacing w:val="0"/>
                <w:kern w:val="0"/>
                <w:position w:val="0"/>
                <w:sz w:val="21"/>
                <w:szCs w:val="21"/>
                <w:highlight w:val="none"/>
                <w:lang w:eastAsia="zh-CN"/>
              </w:rPr>
              <w:t>磋商小组</w:t>
            </w:r>
            <w:r>
              <w:rPr>
                <w:rFonts w:hint="eastAsia" w:ascii="宋体" w:hAnsi="宋体" w:eastAsia="宋体" w:cs="宋体"/>
                <w:color w:val="auto"/>
                <w:spacing w:val="0"/>
                <w:kern w:val="0"/>
                <w:position w:val="0"/>
                <w:sz w:val="21"/>
                <w:szCs w:val="21"/>
                <w:highlight w:val="none"/>
              </w:rPr>
              <w:t>认为</w:t>
            </w:r>
            <w:r>
              <w:rPr>
                <w:rFonts w:hint="eastAsia" w:ascii="宋体" w:hAnsi="宋体" w:eastAsia="宋体" w:cs="宋体"/>
                <w:color w:val="auto"/>
                <w:spacing w:val="0"/>
                <w:kern w:val="0"/>
                <w:position w:val="0"/>
                <w:sz w:val="21"/>
                <w:szCs w:val="21"/>
                <w:highlight w:val="none"/>
                <w:lang w:eastAsia="zh-CN"/>
              </w:rPr>
              <w:t>供应商</w:t>
            </w:r>
            <w:r>
              <w:rPr>
                <w:rFonts w:hint="eastAsia" w:ascii="宋体" w:hAnsi="宋体" w:eastAsia="宋体" w:cs="宋体"/>
                <w:color w:val="auto"/>
                <w:spacing w:val="0"/>
                <w:kern w:val="0"/>
                <w:position w:val="0"/>
                <w:sz w:val="21"/>
                <w:szCs w:val="21"/>
                <w:highlight w:val="none"/>
              </w:rPr>
              <w:t>的报价明显低于其他通过符合性审查</w:t>
            </w:r>
            <w:r>
              <w:rPr>
                <w:rFonts w:hint="eastAsia" w:ascii="宋体" w:hAnsi="宋体" w:eastAsia="宋体" w:cs="宋体"/>
                <w:color w:val="auto"/>
                <w:spacing w:val="0"/>
                <w:kern w:val="0"/>
                <w:position w:val="0"/>
                <w:sz w:val="21"/>
                <w:szCs w:val="21"/>
                <w:highlight w:val="none"/>
                <w:lang w:eastAsia="zh-CN"/>
              </w:rPr>
              <w:t>供应商</w:t>
            </w:r>
            <w:r>
              <w:rPr>
                <w:rFonts w:hint="eastAsia" w:ascii="宋体" w:hAnsi="宋体" w:eastAsia="宋体" w:cs="宋体"/>
                <w:color w:val="auto"/>
                <w:spacing w:val="0"/>
                <w:kern w:val="0"/>
                <w:position w:val="0"/>
                <w:sz w:val="21"/>
                <w:szCs w:val="21"/>
                <w:highlight w:val="none"/>
              </w:rPr>
              <w:t>的报价，有可能影响质量或者不能诚信履约的，应当要求其在</w:t>
            </w:r>
            <w:r>
              <w:rPr>
                <w:rFonts w:hint="eastAsia" w:ascii="宋体" w:hAnsi="宋体" w:eastAsia="宋体" w:cs="宋体"/>
                <w:color w:val="auto"/>
                <w:spacing w:val="0"/>
                <w:kern w:val="0"/>
                <w:position w:val="0"/>
                <w:sz w:val="21"/>
                <w:szCs w:val="21"/>
                <w:highlight w:val="none"/>
                <w:lang w:eastAsia="zh-CN"/>
              </w:rPr>
              <w:t>评审</w:t>
            </w:r>
            <w:r>
              <w:rPr>
                <w:rFonts w:hint="eastAsia" w:ascii="宋体" w:hAnsi="宋体" w:eastAsia="宋体" w:cs="宋体"/>
                <w:color w:val="auto"/>
                <w:spacing w:val="0"/>
                <w:kern w:val="0"/>
                <w:position w:val="0"/>
                <w:sz w:val="21"/>
                <w:szCs w:val="21"/>
                <w:highlight w:val="none"/>
              </w:rPr>
              <w:t>现场合理的时间内提供书面说明，必要时提交相关证明材料；</w:t>
            </w:r>
            <w:r>
              <w:rPr>
                <w:rFonts w:hint="eastAsia" w:ascii="宋体" w:hAnsi="宋体" w:eastAsia="宋体" w:cs="宋体"/>
                <w:color w:val="auto"/>
                <w:spacing w:val="0"/>
                <w:kern w:val="0"/>
                <w:position w:val="0"/>
                <w:sz w:val="21"/>
                <w:szCs w:val="21"/>
                <w:highlight w:val="none"/>
                <w:lang w:eastAsia="zh-CN"/>
              </w:rPr>
              <w:t>供应商</w:t>
            </w:r>
            <w:r>
              <w:rPr>
                <w:rFonts w:hint="eastAsia" w:ascii="宋体" w:hAnsi="宋体" w:eastAsia="宋体" w:cs="宋体"/>
                <w:color w:val="auto"/>
                <w:spacing w:val="0"/>
                <w:kern w:val="0"/>
                <w:position w:val="0"/>
                <w:sz w:val="21"/>
                <w:szCs w:val="21"/>
                <w:highlight w:val="none"/>
              </w:rPr>
              <w:t>不能证明其报价合理性的，</w:t>
            </w:r>
            <w:r>
              <w:rPr>
                <w:rFonts w:hint="eastAsia" w:ascii="宋体" w:hAnsi="宋体" w:eastAsia="宋体" w:cs="宋体"/>
                <w:color w:val="auto"/>
                <w:spacing w:val="0"/>
                <w:kern w:val="0"/>
                <w:position w:val="0"/>
                <w:sz w:val="21"/>
                <w:szCs w:val="21"/>
                <w:highlight w:val="none"/>
                <w:lang w:eastAsia="zh-CN"/>
              </w:rPr>
              <w:t>磋商小组</w:t>
            </w:r>
            <w:r>
              <w:rPr>
                <w:rFonts w:hint="eastAsia" w:ascii="宋体" w:hAnsi="宋体" w:eastAsia="宋体" w:cs="宋体"/>
                <w:color w:val="auto"/>
                <w:spacing w:val="0"/>
                <w:kern w:val="0"/>
                <w:position w:val="0"/>
                <w:sz w:val="21"/>
                <w:szCs w:val="21"/>
                <w:highlight w:val="none"/>
              </w:rPr>
              <w:t>应当将其作为无效投标处理。</w:t>
            </w:r>
          </w:p>
        </w:tc>
      </w:tr>
      <w:tr w14:paraId="3C16C4B5">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4C230DC9">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3.3.1</w:t>
            </w:r>
          </w:p>
        </w:tc>
        <w:tc>
          <w:tcPr>
            <w:tcW w:w="2178" w:type="dxa"/>
            <w:tcBorders>
              <w:top w:val="single" w:color="000000" w:sz="4" w:space="0"/>
              <w:left w:val="single" w:color="000000" w:sz="4" w:space="0"/>
              <w:bottom w:val="single" w:color="000000" w:sz="4" w:space="0"/>
              <w:right w:val="single" w:color="000000" w:sz="4" w:space="0"/>
            </w:tcBorders>
            <w:vAlign w:val="center"/>
          </w:tcPr>
          <w:p w14:paraId="362ABB0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lang w:eastAsia="zh-CN"/>
              </w:rPr>
              <w:t>磋商有效期</w:t>
            </w:r>
          </w:p>
        </w:tc>
        <w:tc>
          <w:tcPr>
            <w:tcW w:w="6262" w:type="dxa"/>
            <w:tcBorders>
              <w:top w:val="single" w:color="000000" w:sz="4" w:space="0"/>
              <w:left w:val="single" w:color="000000" w:sz="4" w:space="0"/>
              <w:bottom w:val="single" w:color="000000" w:sz="4" w:space="0"/>
              <w:right w:val="single" w:color="000000" w:sz="4" w:space="0"/>
            </w:tcBorders>
            <w:vAlign w:val="center"/>
          </w:tcPr>
          <w:p w14:paraId="67364528">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自投标截止之日起60日历天</w:t>
            </w:r>
          </w:p>
        </w:tc>
      </w:tr>
      <w:tr w14:paraId="137D26A9">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81F2E9E">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3.4</w:t>
            </w:r>
          </w:p>
        </w:tc>
        <w:tc>
          <w:tcPr>
            <w:tcW w:w="2178" w:type="dxa"/>
            <w:tcBorders>
              <w:top w:val="single" w:color="000000" w:sz="4" w:space="0"/>
              <w:left w:val="single" w:color="000000" w:sz="4" w:space="0"/>
              <w:bottom w:val="single" w:color="000000" w:sz="4" w:space="0"/>
              <w:right w:val="single" w:color="000000" w:sz="4" w:space="0"/>
            </w:tcBorders>
            <w:vAlign w:val="center"/>
          </w:tcPr>
          <w:p w14:paraId="139F973B">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lang w:eastAsia="zh-CN"/>
              </w:rPr>
              <w:t>磋商保证金</w:t>
            </w:r>
          </w:p>
        </w:tc>
        <w:tc>
          <w:tcPr>
            <w:tcW w:w="6262" w:type="dxa"/>
            <w:tcBorders>
              <w:top w:val="single" w:color="000000" w:sz="4" w:space="0"/>
              <w:left w:val="single" w:color="000000" w:sz="4" w:space="0"/>
              <w:bottom w:val="single" w:color="000000" w:sz="4" w:space="0"/>
              <w:right w:val="single" w:color="000000" w:sz="4" w:space="0"/>
            </w:tcBorders>
            <w:vAlign w:val="center"/>
          </w:tcPr>
          <w:p w14:paraId="13F5494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本项目</w:t>
            </w:r>
            <w:r>
              <w:rPr>
                <w:rFonts w:hint="eastAsia" w:ascii="宋体" w:hAnsi="宋体" w:eastAsia="宋体" w:cs="宋体"/>
                <w:color w:val="auto"/>
                <w:spacing w:val="0"/>
                <w:kern w:val="0"/>
                <w:position w:val="0"/>
                <w:sz w:val="21"/>
                <w:szCs w:val="21"/>
                <w:highlight w:val="none"/>
              </w:rPr>
              <w:t>不收取</w:t>
            </w:r>
            <w:r>
              <w:rPr>
                <w:rFonts w:hint="eastAsia" w:ascii="宋体" w:hAnsi="宋体" w:eastAsia="宋体" w:cs="宋体"/>
                <w:color w:val="auto"/>
                <w:spacing w:val="0"/>
                <w:kern w:val="0"/>
                <w:position w:val="0"/>
                <w:sz w:val="21"/>
                <w:szCs w:val="21"/>
                <w:highlight w:val="none"/>
                <w:lang w:eastAsia="zh-CN"/>
              </w:rPr>
              <w:t>磋商保证金</w:t>
            </w:r>
            <w:r>
              <w:rPr>
                <w:rFonts w:hint="eastAsia" w:ascii="宋体" w:hAnsi="宋体" w:eastAsia="宋体" w:cs="宋体"/>
                <w:color w:val="auto"/>
                <w:spacing w:val="0"/>
                <w:kern w:val="0"/>
                <w:position w:val="0"/>
                <w:sz w:val="21"/>
                <w:szCs w:val="21"/>
              </w:rPr>
              <w:t>。</w:t>
            </w:r>
          </w:p>
        </w:tc>
      </w:tr>
      <w:tr w14:paraId="1EF19AB0">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40C34FE">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lang w:eastAsia="en-US"/>
              </w:rPr>
              <w:t>3.5</w:t>
            </w:r>
          </w:p>
        </w:tc>
        <w:tc>
          <w:tcPr>
            <w:tcW w:w="2178" w:type="dxa"/>
            <w:tcBorders>
              <w:top w:val="single" w:color="000000" w:sz="4" w:space="0"/>
              <w:left w:val="single" w:color="000000" w:sz="4" w:space="0"/>
              <w:bottom w:val="single" w:color="000000" w:sz="4" w:space="0"/>
              <w:right w:val="single" w:color="000000" w:sz="4" w:space="0"/>
            </w:tcBorders>
            <w:vAlign w:val="center"/>
          </w:tcPr>
          <w:p w14:paraId="17F4F3C0">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资格审查资料的特殊要求</w:t>
            </w:r>
          </w:p>
        </w:tc>
        <w:tc>
          <w:tcPr>
            <w:tcW w:w="6262" w:type="dxa"/>
            <w:tcBorders>
              <w:top w:val="single" w:color="000000" w:sz="4" w:space="0"/>
              <w:left w:val="single" w:color="000000" w:sz="4" w:space="0"/>
              <w:bottom w:val="single" w:color="000000" w:sz="4" w:space="0"/>
              <w:right w:val="single" w:color="000000" w:sz="4" w:space="0"/>
            </w:tcBorders>
            <w:vAlign w:val="center"/>
          </w:tcPr>
          <w:p w14:paraId="2770F234">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en-US"/>
              </w:rPr>
              <w:t>无</w:t>
            </w:r>
          </w:p>
        </w:tc>
      </w:tr>
      <w:tr w14:paraId="080CF302">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7BA86A5">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3.6</w:t>
            </w:r>
          </w:p>
        </w:tc>
        <w:tc>
          <w:tcPr>
            <w:tcW w:w="2178" w:type="dxa"/>
            <w:tcBorders>
              <w:top w:val="single" w:color="000000" w:sz="4" w:space="0"/>
              <w:left w:val="single" w:color="000000" w:sz="4" w:space="0"/>
              <w:bottom w:val="single" w:color="000000" w:sz="4" w:space="0"/>
              <w:right w:val="single" w:color="000000" w:sz="4" w:space="0"/>
            </w:tcBorders>
            <w:vAlign w:val="center"/>
          </w:tcPr>
          <w:p w14:paraId="1858045C">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是否允许递交备选投标方案</w:t>
            </w:r>
          </w:p>
        </w:tc>
        <w:tc>
          <w:tcPr>
            <w:tcW w:w="6262" w:type="dxa"/>
            <w:tcBorders>
              <w:top w:val="single" w:color="000000" w:sz="4" w:space="0"/>
              <w:left w:val="single" w:color="000000" w:sz="4" w:space="0"/>
              <w:bottom w:val="single" w:color="000000" w:sz="4" w:space="0"/>
              <w:right w:val="single" w:color="000000" w:sz="4" w:space="0"/>
            </w:tcBorders>
            <w:vAlign w:val="center"/>
          </w:tcPr>
          <w:p w14:paraId="3A7807A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不允许</w:t>
            </w:r>
          </w:p>
        </w:tc>
      </w:tr>
      <w:tr w14:paraId="47D42A25">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3D9D7D9">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3.7.3</w:t>
            </w:r>
          </w:p>
        </w:tc>
        <w:tc>
          <w:tcPr>
            <w:tcW w:w="2178" w:type="dxa"/>
            <w:tcBorders>
              <w:top w:val="single" w:color="000000" w:sz="4" w:space="0"/>
              <w:left w:val="single" w:color="000000" w:sz="4" w:space="0"/>
              <w:bottom w:val="single" w:color="000000" w:sz="4" w:space="0"/>
              <w:right w:val="single" w:color="000000" w:sz="4" w:space="0"/>
            </w:tcBorders>
            <w:vAlign w:val="center"/>
          </w:tcPr>
          <w:p w14:paraId="132E53CA">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响应文件</w:t>
            </w:r>
            <w:r>
              <w:rPr>
                <w:rFonts w:hint="eastAsia" w:ascii="宋体" w:hAnsi="宋体" w:eastAsia="宋体" w:cs="宋体"/>
                <w:color w:val="auto"/>
                <w:spacing w:val="0"/>
                <w:kern w:val="0"/>
                <w:position w:val="0"/>
                <w:sz w:val="21"/>
                <w:szCs w:val="21"/>
              </w:rPr>
              <w:t>签字或盖章要求</w:t>
            </w:r>
          </w:p>
        </w:tc>
        <w:tc>
          <w:tcPr>
            <w:tcW w:w="6262" w:type="dxa"/>
            <w:tcBorders>
              <w:top w:val="single" w:color="000000" w:sz="4" w:space="0"/>
              <w:left w:val="single" w:color="000000" w:sz="4" w:space="0"/>
              <w:bottom w:val="single" w:color="000000" w:sz="4" w:space="0"/>
              <w:right w:val="single" w:color="000000" w:sz="4" w:space="0"/>
            </w:tcBorders>
            <w:vAlign w:val="center"/>
          </w:tcPr>
          <w:p w14:paraId="040B8BDE">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（1）所有要求供应商加盖公章的地方均用供应商的CA锁进行电子签章。</w:t>
            </w:r>
          </w:p>
          <w:p w14:paraId="0956A075">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（2）所有要求法定代表人签字或盖章的地方均用法定代表人的CA锁进行电子签章。若由委托代理人签字或盖章，且委托代理人没有CA锁的，则响应文件需上传有委托代理人手写签名的扫描件。</w:t>
            </w:r>
          </w:p>
          <w:p w14:paraId="0961F24F">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lang w:val="en-US" w:eastAsia="zh-CN"/>
              </w:rPr>
              <w:t>3</w:t>
            </w: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rPr>
              <w:t>已标价工程量清单的，按照工程量清单编制要求除加盖</w:t>
            </w: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CA印章外，应由</w:t>
            </w:r>
            <w:r>
              <w:rPr>
                <w:rFonts w:hint="eastAsia" w:ascii="宋体" w:hAnsi="宋体" w:eastAsia="宋体" w:cs="宋体"/>
                <w:color w:val="auto"/>
                <w:spacing w:val="0"/>
                <w:kern w:val="0"/>
                <w:position w:val="0"/>
                <w:sz w:val="21"/>
                <w:szCs w:val="21"/>
                <w:lang w:eastAsia="zh-CN"/>
              </w:rPr>
              <w:t>供应商</w:t>
            </w:r>
            <w:r>
              <w:rPr>
                <w:rFonts w:hint="eastAsia" w:ascii="宋体" w:hAnsi="宋体" w:eastAsia="宋体" w:cs="宋体"/>
                <w:color w:val="auto"/>
                <w:spacing w:val="0"/>
                <w:kern w:val="0"/>
                <w:position w:val="0"/>
                <w:sz w:val="21"/>
                <w:szCs w:val="21"/>
              </w:rPr>
              <w:t>注册造价工程师签字并加盖执业专用章。若委托造价咨询单位编制的，附造价委托协议，还应加盖造价咨询单位公章，由其注册造价工程师签字并加盖执业专用章，注册造价工程师无CA印章的，可上传手写签名的扫描件。</w:t>
            </w:r>
          </w:p>
          <w:p w14:paraId="7C519A6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lang w:val="en-US" w:eastAsia="zh-CN"/>
              </w:rPr>
              <w:t>4</w:t>
            </w: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rPr>
              <w:t>总价措施项目清单与计价表和规费、税金项目计价表中编制人和复核人签字盖章不作要求。</w:t>
            </w:r>
          </w:p>
        </w:tc>
      </w:tr>
      <w:tr w14:paraId="765D6F04">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73F1252">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rPr>
              <w:t>3.7.4</w:t>
            </w:r>
          </w:p>
        </w:tc>
        <w:tc>
          <w:tcPr>
            <w:tcW w:w="2178" w:type="dxa"/>
            <w:tcBorders>
              <w:top w:val="single" w:color="000000" w:sz="4" w:space="0"/>
              <w:left w:val="single" w:color="000000" w:sz="4" w:space="0"/>
              <w:bottom w:val="single" w:color="000000" w:sz="4" w:space="0"/>
              <w:right w:val="single" w:color="000000" w:sz="4" w:space="0"/>
            </w:tcBorders>
            <w:vAlign w:val="center"/>
          </w:tcPr>
          <w:p w14:paraId="028CD21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rPr>
              <w:t>响应文件份数</w:t>
            </w:r>
          </w:p>
        </w:tc>
        <w:tc>
          <w:tcPr>
            <w:tcW w:w="6262" w:type="dxa"/>
            <w:tcBorders>
              <w:top w:val="single" w:color="000000" w:sz="4" w:space="0"/>
              <w:left w:val="single" w:color="000000" w:sz="4" w:space="0"/>
              <w:bottom w:val="single" w:color="000000" w:sz="4" w:space="0"/>
              <w:right w:val="single" w:color="000000" w:sz="4" w:space="0"/>
            </w:tcBorders>
            <w:vAlign w:val="center"/>
          </w:tcPr>
          <w:p w14:paraId="7E270F7C">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lang w:val="en-US" w:eastAsia="zh-CN"/>
              </w:rPr>
              <w:t>网上响应文件按河南省公共资源交易中心规定和有关法律法规编制上传加密的电子响应文件壹份（*.hntf 格式，在会员系统指定位置上传）；以网上电子响应文件为准。</w:t>
            </w:r>
          </w:p>
          <w:p w14:paraId="185FFB09">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b/>
                <w:bCs/>
                <w:color w:val="auto"/>
                <w:spacing w:val="0"/>
                <w:position w:val="0"/>
                <w:sz w:val="21"/>
                <w:szCs w:val="21"/>
                <w:lang w:val="en-US" w:eastAsia="zh-CN"/>
              </w:rPr>
              <w:t>注意事项：多家响应人响应文件“制作机器码”一致的，机器码一致的所有响应文件均做无效文件处理，采购人或代理机构有权报送相关管理部门。</w:t>
            </w:r>
          </w:p>
        </w:tc>
      </w:tr>
      <w:tr w14:paraId="38C35124">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4AA2AB3">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b/>
                <w:bCs/>
                <w:color w:val="auto"/>
                <w:spacing w:val="0"/>
                <w:kern w:val="0"/>
                <w:position w:val="0"/>
                <w:sz w:val="21"/>
                <w:szCs w:val="21"/>
                <w:lang w:eastAsia="zh-CN"/>
              </w:rPr>
            </w:pPr>
            <w:r>
              <w:rPr>
                <w:rFonts w:hint="eastAsia" w:ascii="宋体" w:hAnsi="宋体" w:eastAsia="宋体" w:cs="宋体"/>
                <w:b/>
                <w:bCs/>
                <w:color w:val="auto"/>
                <w:spacing w:val="0"/>
                <w:kern w:val="0"/>
                <w:position w:val="0"/>
                <w:sz w:val="21"/>
                <w:szCs w:val="21"/>
              </w:rPr>
              <w:t>4.2.</w:t>
            </w:r>
            <w:r>
              <w:rPr>
                <w:rFonts w:hint="eastAsia" w:ascii="宋体" w:hAnsi="宋体" w:eastAsia="宋体" w:cs="宋体"/>
                <w:b/>
                <w:bCs/>
                <w:color w:val="auto"/>
                <w:spacing w:val="0"/>
                <w:kern w:val="0"/>
                <w:position w:val="0"/>
                <w:sz w:val="21"/>
                <w:szCs w:val="21"/>
                <w:lang w:val="en-US" w:eastAsia="zh-CN"/>
              </w:rPr>
              <w:t>1</w:t>
            </w:r>
          </w:p>
        </w:tc>
        <w:tc>
          <w:tcPr>
            <w:tcW w:w="2178" w:type="dxa"/>
            <w:tcBorders>
              <w:top w:val="single" w:color="000000" w:sz="4" w:space="0"/>
              <w:left w:val="single" w:color="000000" w:sz="4" w:space="0"/>
              <w:bottom w:val="single" w:color="000000" w:sz="4" w:space="0"/>
              <w:right w:val="single" w:color="000000" w:sz="4" w:space="0"/>
            </w:tcBorders>
            <w:vAlign w:val="center"/>
          </w:tcPr>
          <w:p w14:paraId="3E91E51D">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b/>
                <w:bCs/>
                <w:color w:val="auto"/>
                <w:spacing w:val="0"/>
                <w:kern w:val="0"/>
                <w:position w:val="0"/>
                <w:sz w:val="21"/>
                <w:szCs w:val="21"/>
              </w:rPr>
            </w:pPr>
            <w:r>
              <w:rPr>
                <w:rFonts w:hint="eastAsia" w:ascii="宋体" w:hAnsi="宋体" w:eastAsia="宋体" w:cs="宋体"/>
                <w:b/>
                <w:bCs/>
                <w:color w:val="auto"/>
                <w:spacing w:val="0"/>
                <w:kern w:val="0"/>
                <w:position w:val="0"/>
                <w:sz w:val="21"/>
                <w:szCs w:val="21"/>
              </w:rPr>
              <w:t>提交首次响应文件截止时间</w:t>
            </w:r>
          </w:p>
        </w:tc>
        <w:tc>
          <w:tcPr>
            <w:tcW w:w="6262" w:type="dxa"/>
            <w:tcBorders>
              <w:top w:val="single" w:color="000000" w:sz="4" w:space="0"/>
              <w:left w:val="single" w:color="000000" w:sz="4" w:space="0"/>
              <w:bottom w:val="single" w:color="000000" w:sz="4" w:space="0"/>
              <w:right w:val="single" w:color="000000" w:sz="4" w:space="0"/>
            </w:tcBorders>
            <w:vAlign w:val="center"/>
          </w:tcPr>
          <w:p w14:paraId="7F050126">
            <w:pPr>
              <w:keepNext w:val="0"/>
              <w:keepLines w:val="0"/>
              <w:pageBreakBefore w:val="0"/>
              <w:widowControl/>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b/>
                <w:bCs/>
                <w:color w:val="auto"/>
                <w:spacing w:val="0"/>
                <w:kern w:val="0"/>
                <w:position w:val="0"/>
                <w:sz w:val="21"/>
                <w:szCs w:val="21"/>
              </w:rPr>
            </w:pPr>
            <w:r>
              <w:rPr>
                <w:rFonts w:hint="eastAsia" w:ascii="宋体" w:hAnsi="宋体" w:eastAsia="宋体" w:cs="宋体"/>
                <w:b/>
                <w:bCs/>
                <w:color w:val="auto"/>
                <w:spacing w:val="0"/>
                <w:kern w:val="0"/>
                <w:position w:val="0"/>
                <w:sz w:val="21"/>
                <w:szCs w:val="21"/>
              </w:rPr>
              <w:t>202</w:t>
            </w:r>
            <w:r>
              <w:rPr>
                <w:rFonts w:hint="eastAsia" w:ascii="宋体" w:hAnsi="宋体" w:eastAsia="宋体" w:cs="宋体"/>
                <w:b/>
                <w:bCs/>
                <w:color w:val="auto"/>
                <w:spacing w:val="0"/>
                <w:kern w:val="0"/>
                <w:position w:val="0"/>
                <w:sz w:val="21"/>
                <w:szCs w:val="21"/>
                <w:lang w:val="en-US" w:eastAsia="zh-CN"/>
              </w:rPr>
              <w:t>4</w:t>
            </w:r>
            <w:r>
              <w:rPr>
                <w:rFonts w:hint="eastAsia" w:ascii="宋体" w:hAnsi="宋体" w:eastAsia="宋体" w:cs="宋体"/>
                <w:b/>
                <w:bCs/>
                <w:color w:val="auto"/>
                <w:spacing w:val="0"/>
                <w:kern w:val="0"/>
                <w:position w:val="0"/>
                <w:sz w:val="21"/>
                <w:szCs w:val="21"/>
              </w:rPr>
              <w:t>年</w:t>
            </w:r>
            <w:r>
              <w:rPr>
                <w:rFonts w:hint="eastAsia" w:ascii="宋体" w:hAnsi="宋体" w:eastAsia="宋体" w:cs="宋体"/>
                <w:b/>
                <w:bCs/>
                <w:color w:val="auto"/>
                <w:spacing w:val="0"/>
                <w:kern w:val="0"/>
                <w:position w:val="0"/>
                <w:sz w:val="21"/>
                <w:szCs w:val="21"/>
                <w:lang w:val="en-US" w:eastAsia="zh-CN"/>
              </w:rPr>
              <w:t>11</w:t>
            </w:r>
            <w:r>
              <w:rPr>
                <w:rFonts w:hint="eastAsia" w:ascii="宋体" w:hAnsi="宋体" w:eastAsia="宋体" w:cs="宋体"/>
                <w:b/>
                <w:bCs/>
                <w:color w:val="auto"/>
                <w:spacing w:val="0"/>
                <w:kern w:val="0"/>
                <w:position w:val="0"/>
                <w:sz w:val="21"/>
                <w:szCs w:val="21"/>
              </w:rPr>
              <w:t>月</w:t>
            </w:r>
            <w:r>
              <w:rPr>
                <w:rFonts w:hint="eastAsia" w:ascii="宋体" w:hAnsi="宋体" w:eastAsia="宋体" w:cs="宋体"/>
                <w:b/>
                <w:bCs/>
                <w:color w:val="auto"/>
                <w:spacing w:val="0"/>
                <w:kern w:val="0"/>
                <w:position w:val="0"/>
                <w:sz w:val="21"/>
                <w:szCs w:val="21"/>
                <w:lang w:val="en-US" w:eastAsia="zh-CN"/>
              </w:rPr>
              <w:t>18</w:t>
            </w:r>
            <w:r>
              <w:rPr>
                <w:rFonts w:hint="eastAsia" w:ascii="宋体" w:hAnsi="宋体" w:eastAsia="宋体" w:cs="宋体"/>
                <w:b/>
                <w:bCs/>
                <w:color w:val="auto"/>
                <w:spacing w:val="0"/>
                <w:kern w:val="0"/>
                <w:position w:val="0"/>
                <w:sz w:val="21"/>
                <w:szCs w:val="21"/>
              </w:rPr>
              <w:t>日9时</w:t>
            </w:r>
            <w:r>
              <w:rPr>
                <w:rFonts w:hint="eastAsia" w:ascii="宋体" w:hAnsi="宋体" w:eastAsia="宋体" w:cs="宋体"/>
                <w:b/>
                <w:bCs/>
                <w:color w:val="auto"/>
                <w:spacing w:val="0"/>
                <w:kern w:val="0"/>
                <w:position w:val="0"/>
                <w:sz w:val="21"/>
                <w:szCs w:val="21"/>
                <w:lang w:val="en-US" w:eastAsia="zh-CN"/>
              </w:rPr>
              <w:t>0</w:t>
            </w:r>
            <w:r>
              <w:rPr>
                <w:rFonts w:hint="eastAsia" w:ascii="宋体" w:hAnsi="宋体" w:eastAsia="宋体" w:cs="宋体"/>
                <w:b/>
                <w:bCs/>
                <w:color w:val="auto"/>
                <w:spacing w:val="0"/>
                <w:kern w:val="0"/>
                <w:position w:val="0"/>
                <w:sz w:val="21"/>
                <w:szCs w:val="21"/>
              </w:rPr>
              <w:t>0分（北京时间）</w:t>
            </w:r>
          </w:p>
        </w:tc>
      </w:tr>
      <w:tr w14:paraId="0A10FD68">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8F960F7">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baseline"/>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position w:val="0"/>
                <w:sz w:val="21"/>
                <w:szCs w:val="21"/>
              </w:rPr>
              <w:t>4.2.3</w:t>
            </w:r>
          </w:p>
        </w:tc>
        <w:tc>
          <w:tcPr>
            <w:tcW w:w="2178" w:type="dxa"/>
            <w:tcBorders>
              <w:top w:val="single" w:color="000000" w:sz="4" w:space="0"/>
              <w:left w:val="single" w:color="000000" w:sz="4" w:space="0"/>
              <w:bottom w:val="single" w:color="000000" w:sz="4" w:space="0"/>
              <w:right w:val="single" w:color="000000" w:sz="4" w:space="0"/>
            </w:tcBorders>
            <w:vAlign w:val="center"/>
          </w:tcPr>
          <w:p w14:paraId="4BEA466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baseline"/>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position w:val="0"/>
                <w:sz w:val="21"/>
                <w:szCs w:val="21"/>
              </w:rPr>
              <w:t>是否退还响应文件</w:t>
            </w:r>
          </w:p>
        </w:tc>
        <w:tc>
          <w:tcPr>
            <w:tcW w:w="6262" w:type="dxa"/>
            <w:tcBorders>
              <w:top w:val="single" w:color="000000" w:sz="4" w:space="0"/>
              <w:left w:val="single" w:color="000000" w:sz="4" w:space="0"/>
              <w:bottom w:val="single" w:color="000000" w:sz="4" w:space="0"/>
              <w:right w:val="single" w:color="000000" w:sz="4" w:space="0"/>
            </w:tcBorders>
            <w:vAlign w:val="center"/>
          </w:tcPr>
          <w:p w14:paraId="6A518FDF">
            <w:pPr>
              <w:keepNext w:val="0"/>
              <w:keepLines w:val="0"/>
              <w:pageBreakBefore w:val="0"/>
              <w:kinsoku/>
              <w:wordWrap w:val="0"/>
              <w:overflowPunct/>
              <w:topLinePunct/>
              <w:autoSpaceDE/>
              <w:autoSpaceDN/>
              <w:bidi w:val="0"/>
              <w:adjustRightInd/>
              <w:snapToGrid/>
              <w:spacing w:before="32" w:beforeLines="10" w:after="32" w:afterLines="10" w:line="276" w:lineRule="auto"/>
              <w:jc w:val="left"/>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lang w:val="en-US" w:eastAsia="zh-CN"/>
              </w:rPr>
              <w:t>否</w:t>
            </w:r>
          </w:p>
        </w:tc>
      </w:tr>
      <w:tr w14:paraId="31FED8CA">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391EE159">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baseline"/>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position w:val="0"/>
                <w:sz w:val="21"/>
                <w:szCs w:val="21"/>
              </w:rPr>
              <w:t>5.1</w:t>
            </w:r>
          </w:p>
        </w:tc>
        <w:tc>
          <w:tcPr>
            <w:tcW w:w="2178" w:type="dxa"/>
            <w:tcBorders>
              <w:top w:val="single" w:color="000000" w:sz="4" w:space="0"/>
              <w:left w:val="single" w:color="000000" w:sz="4" w:space="0"/>
              <w:bottom w:val="single" w:color="000000" w:sz="4" w:space="0"/>
              <w:right w:val="single" w:color="000000" w:sz="4" w:space="0"/>
            </w:tcBorders>
            <w:vAlign w:val="center"/>
          </w:tcPr>
          <w:p w14:paraId="44D1D80D">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baseline"/>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position w:val="0"/>
                <w:sz w:val="21"/>
                <w:szCs w:val="21"/>
              </w:rPr>
              <w:t>磋商时间和地点</w:t>
            </w:r>
          </w:p>
        </w:tc>
        <w:tc>
          <w:tcPr>
            <w:tcW w:w="6262" w:type="dxa"/>
            <w:tcBorders>
              <w:top w:val="single" w:color="000000" w:sz="4" w:space="0"/>
              <w:left w:val="single" w:color="000000" w:sz="4" w:space="0"/>
              <w:bottom w:val="single" w:color="000000" w:sz="4" w:space="0"/>
              <w:right w:val="single" w:color="000000" w:sz="4" w:space="0"/>
            </w:tcBorders>
            <w:vAlign w:val="center"/>
          </w:tcPr>
          <w:p w14:paraId="492886CE">
            <w:pPr>
              <w:keepNext w:val="0"/>
              <w:keepLines w:val="0"/>
              <w:pageBreakBefore w:val="0"/>
              <w:kinsoku/>
              <w:wordWrap w:val="0"/>
              <w:overflowPunct/>
              <w:topLinePunct/>
              <w:autoSpaceDE/>
              <w:autoSpaceDN/>
              <w:bidi w:val="0"/>
              <w:adjustRightInd/>
              <w:snapToGrid/>
              <w:spacing w:before="32" w:beforeLines="10" w:after="32" w:afterLines="10" w:line="276" w:lineRule="auto"/>
              <w:jc w:val="left"/>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position w:val="0"/>
                <w:sz w:val="21"/>
                <w:szCs w:val="21"/>
              </w:rPr>
              <w:t>磋商</w:t>
            </w:r>
            <w:r>
              <w:rPr>
                <w:rFonts w:hint="eastAsia" w:ascii="宋体" w:hAnsi="宋体" w:eastAsia="宋体" w:cs="宋体"/>
                <w:color w:val="auto"/>
                <w:spacing w:val="0"/>
                <w:kern w:val="0"/>
                <w:position w:val="0"/>
                <w:sz w:val="21"/>
                <w:szCs w:val="21"/>
              </w:rPr>
              <w:t>时间：同</w:t>
            </w:r>
            <w:r>
              <w:rPr>
                <w:rFonts w:hint="eastAsia" w:ascii="宋体" w:hAnsi="宋体" w:eastAsia="宋体" w:cs="宋体"/>
                <w:color w:val="auto"/>
                <w:spacing w:val="0"/>
                <w:position w:val="0"/>
                <w:sz w:val="21"/>
                <w:szCs w:val="21"/>
              </w:rPr>
              <w:t>响应文件提交</w:t>
            </w:r>
            <w:r>
              <w:rPr>
                <w:rFonts w:hint="eastAsia" w:ascii="宋体" w:hAnsi="宋体" w:eastAsia="宋体" w:cs="宋体"/>
                <w:color w:val="auto"/>
                <w:spacing w:val="0"/>
                <w:kern w:val="0"/>
                <w:position w:val="0"/>
                <w:sz w:val="21"/>
                <w:szCs w:val="21"/>
              </w:rPr>
              <w:t>截止时间</w:t>
            </w:r>
          </w:p>
          <w:p w14:paraId="3CB286AF">
            <w:pPr>
              <w:keepNext w:val="0"/>
              <w:keepLines w:val="0"/>
              <w:pageBreakBefore w:val="0"/>
              <w:kinsoku/>
              <w:wordWrap w:val="0"/>
              <w:overflowPunct/>
              <w:topLinePunct/>
              <w:autoSpaceDE/>
              <w:autoSpaceDN/>
              <w:bidi w:val="0"/>
              <w:adjustRightInd/>
              <w:snapToGrid/>
              <w:spacing w:before="32" w:beforeLines="10" w:after="32" w:afterLines="10" w:line="276" w:lineRule="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position w:val="0"/>
                <w:sz w:val="21"/>
                <w:szCs w:val="21"/>
              </w:rPr>
              <w:t>磋商</w:t>
            </w:r>
            <w:r>
              <w:rPr>
                <w:rFonts w:hint="eastAsia" w:ascii="宋体" w:hAnsi="宋体" w:eastAsia="宋体" w:cs="宋体"/>
                <w:color w:val="auto"/>
                <w:spacing w:val="0"/>
                <w:kern w:val="0"/>
                <w:position w:val="0"/>
                <w:sz w:val="21"/>
                <w:szCs w:val="21"/>
              </w:rPr>
              <w:t>地点：同</w:t>
            </w:r>
            <w:r>
              <w:rPr>
                <w:rFonts w:hint="eastAsia" w:ascii="宋体" w:hAnsi="宋体" w:eastAsia="宋体" w:cs="宋体"/>
                <w:color w:val="auto"/>
                <w:spacing w:val="0"/>
                <w:position w:val="0"/>
                <w:sz w:val="21"/>
                <w:szCs w:val="21"/>
              </w:rPr>
              <w:t>响应文件</w:t>
            </w:r>
            <w:r>
              <w:rPr>
                <w:rFonts w:hint="eastAsia" w:ascii="宋体" w:hAnsi="宋体" w:eastAsia="宋体" w:cs="宋体"/>
                <w:color w:val="auto"/>
                <w:spacing w:val="0"/>
                <w:kern w:val="0"/>
                <w:position w:val="0"/>
                <w:sz w:val="21"/>
                <w:szCs w:val="21"/>
              </w:rPr>
              <w:t>提交截止地点</w:t>
            </w:r>
          </w:p>
        </w:tc>
      </w:tr>
      <w:tr w14:paraId="7BBBF678">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0C9BD1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6.1.1</w:t>
            </w:r>
          </w:p>
        </w:tc>
        <w:tc>
          <w:tcPr>
            <w:tcW w:w="2178" w:type="dxa"/>
            <w:tcBorders>
              <w:top w:val="single" w:color="000000" w:sz="4" w:space="0"/>
              <w:left w:val="single" w:color="000000" w:sz="4" w:space="0"/>
              <w:bottom w:val="single" w:color="000000" w:sz="4" w:space="0"/>
              <w:right w:val="single" w:color="000000" w:sz="4" w:space="0"/>
            </w:tcBorders>
            <w:vAlign w:val="center"/>
          </w:tcPr>
          <w:p w14:paraId="5A2043C7">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eastAsia="zh-CN"/>
              </w:rPr>
              <w:t>磋商小组</w:t>
            </w:r>
            <w:r>
              <w:rPr>
                <w:rFonts w:hint="eastAsia" w:ascii="宋体" w:hAnsi="宋体" w:eastAsia="宋体" w:cs="宋体"/>
                <w:color w:val="auto"/>
                <w:spacing w:val="0"/>
                <w:kern w:val="0"/>
                <w:position w:val="0"/>
                <w:sz w:val="21"/>
                <w:szCs w:val="21"/>
                <w:highlight w:val="none"/>
              </w:rPr>
              <w:t>的组建</w:t>
            </w:r>
          </w:p>
        </w:tc>
        <w:tc>
          <w:tcPr>
            <w:tcW w:w="6262" w:type="dxa"/>
            <w:tcBorders>
              <w:top w:val="single" w:color="000000" w:sz="4" w:space="0"/>
              <w:left w:val="single" w:color="000000" w:sz="4" w:space="0"/>
              <w:bottom w:val="single" w:color="000000" w:sz="4" w:space="0"/>
              <w:right w:val="single" w:color="000000" w:sz="4" w:space="0"/>
            </w:tcBorders>
            <w:vAlign w:val="center"/>
          </w:tcPr>
          <w:p w14:paraId="0D644F18">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315" w:rightChars="-150"/>
              <w:textAlignment w:val="auto"/>
              <w:rPr>
                <w:rFonts w:hint="eastAsia" w:ascii="宋体" w:hAnsi="宋体" w:eastAsia="宋体" w:cs="宋体"/>
                <w:color w:val="auto"/>
                <w:spacing w:val="-6"/>
                <w:kern w:val="0"/>
                <w:position w:val="0"/>
                <w:sz w:val="21"/>
                <w:szCs w:val="21"/>
                <w:highlight w:val="none"/>
              </w:rPr>
            </w:pPr>
            <w:r>
              <w:rPr>
                <w:rFonts w:hint="eastAsia" w:ascii="宋体" w:hAnsi="宋体" w:eastAsia="宋体" w:cs="宋体"/>
                <w:color w:val="auto"/>
                <w:spacing w:val="-6"/>
                <w:kern w:val="0"/>
                <w:position w:val="0"/>
                <w:sz w:val="21"/>
                <w:szCs w:val="21"/>
                <w:highlight w:val="none"/>
              </w:rPr>
              <w:t>磋商小组构成：3人，其中采购人代表1人，经济技术方面专家2人。</w:t>
            </w:r>
          </w:p>
          <w:p w14:paraId="62ED3C26">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315" w:rightChars="-150"/>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专家确定方式：磋商前从河南省政府采购专家库中随机抽取。</w:t>
            </w:r>
          </w:p>
        </w:tc>
      </w:tr>
      <w:tr w14:paraId="10250B4F">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061FE504">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rPr>
              <w:t>6.3.</w:t>
            </w:r>
            <w:r>
              <w:rPr>
                <w:rFonts w:hint="eastAsia" w:ascii="宋体" w:hAnsi="宋体" w:eastAsia="宋体" w:cs="宋体"/>
                <w:color w:val="auto"/>
                <w:spacing w:val="0"/>
                <w:kern w:val="0"/>
                <w:position w:val="0"/>
                <w:sz w:val="21"/>
                <w:szCs w:val="21"/>
                <w:lang w:val="en-US" w:eastAsia="zh-CN"/>
              </w:rPr>
              <w:t>7</w:t>
            </w:r>
          </w:p>
        </w:tc>
        <w:tc>
          <w:tcPr>
            <w:tcW w:w="2178" w:type="dxa"/>
            <w:tcBorders>
              <w:top w:val="single" w:color="000000" w:sz="4" w:space="0"/>
              <w:left w:val="single" w:color="000000" w:sz="4" w:space="0"/>
              <w:bottom w:val="single" w:color="000000" w:sz="4" w:space="0"/>
              <w:right w:val="single" w:color="000000" w:sz="4" w:space="0"/>
            </w:tcBorders>
            <w:vAlign w:val="center"/>
          </w:tcPr>
          <w:p w14:paraId="2F01FC4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磋商小组</w:t>
            </w:r>
            <w:r>
              <w:rPr>
                <w:rFonts w:hint="eastAsia" w:ascii="宋体" w:hAnsi="宋体" w:eastAsia="宋体" w:cs="宋体"/>
                <w:color w:val="auto"/>
                <w:spacing w:val="0"/>
                <w:kern w:val="0"/>
                <w:position w:val="0"/>
                <w:sz w:val="21"/>
                <w:szCs w:val="21"/>
              </w:rPr>
              <w:t>推荐</w:t>
            </w:r>
            <w:r>
              <w:rPr>
                <w:rFonts w:hint="eastAsia" w:ascii="宋体" w:hAnsi="宋体" w:eastAsia="宋体" w:cs="宋体"/>
                <w:color w:val="auto"/>
                <w:spacing w:val="0"/>
                <w:kern w:val="0"/>
                <w:position w:val="0"/>
                <w:sz w:val="21"/>
                <w:szCs w:val="21"/>
                <w:lang w:eastAsia="zh-CN"/>
              </w:rPr>
              <w:t>成交候选人</w:t>
            </w:r>
            <w:r>
              <w:rPr>
                <w:rFonts w:hint="eastAsia" w:ascii="宋体" w:hAnsi="宋体" w:eastAsia="宋体" w:cs="宋体"/>
                <w:color w:val="auto"/>
                <w:spacing w:val="0"/>
                <w:kern w:val="0"/>
                <w:position w:val="0"/>
                <w:sz w:val="21"/>
                <w:szCs w:val="21"/>
              </w:rPr>
              <w:t>数量</w:t>
            </w:r>
          </w:p>
        </w:tc>
        <w:tc>
          <w:tcPr>
            <w:tcW w:w="6262" w:type="dxa"/>
            <w:tcBorders>
              <w:top w:val="single" w:color="000000" w:sz="4" w:space="0"/>
              <w:left w:val="single" w:color="000000" w:sz="4" w:space="0"/>
              <w:bottom w:val="single" w:color="000000" w:sz="4" w:space="0"/>
              <w:right w:val="single" w:color="000000" w:sz="4" w:space="0"/>
            </w:tcBorders>
            <w:vAlign w:val="center"/>
          </w:tcPr>
          <w:p w14:paraId="2D5A7F2E">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3家</w:t>
            </w:r>
          </w:p>
        </w:tc>
      </w:tr>
      <w:tr w14:paraId="5A188A93">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5C554A77">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7.1</w:t>
            </w:r>
          </w:p>
        </w:tc>
        <w:tc>
          <w:tcPr>
            <w:tcW w:w="2178" w:type="dxa"/>
            <w:tcBorders>
              <w:top w:val="single" w:color="000000" w:sz="4" w:space="0"/>
              <w:left w:val="single" w:color="000000" w:sz="4" w:space="0"/>
              <w:bottom w:val="single" w:color="000000" w:sz="4" w:space="0"/>
              <w:right w:val="single" w:color="000000" w:sz="4" w:space="0"/>
            </w:tcBorders>
            <w:vAlign w:val="center"/>
          </w:tcPr>
          <w:p w14:paraId="634AE6FB">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lang w:eastAsia="zh-CN"/>
              </w:rPr>
              <w:t>成交公告</w:t>
            </w:r>
            <w:r>
              <w:rPr>
                <w:rFonts w:hint="eastAsia" w:ascii="宋体" w:hAnsi="宋体" w:eastAsia="宋体" w:cs="宋体"/>
                <w:color w:val="auto"/>
                <w:spacing w:val="0"/>
                <w:kern w:val="0"/>
                <w:position w:val="0"/>
                <w:sz w:val="21"/>
                <w:szCs w:val="21"/>
              </w:rPr>
              <w:t>媒介及期限</w:t>
            </w:r>
          </w:p>
        </w:tc>
        <w:tc>
          <w:tcPr>
            <w:tcW w:w="6262" w:type="dxa"/>
            <w:tcBorders>
              <w:top w:val="single" w:color="000000" w:sz="4" w:space="0"/>
              <w:left w:val="single" w:color="000000" w:sz="4" w:space="0"/>
              <w:bottom w:val="single" w:color="000000" w:sz="4" w:space="0"/>
              <w:right w:val="single" w:color="000000" w:sz="4" w:space="0"/>
            </w:tcBorders>
            <w:vAlign w:val="center"/>
          </w:tcPr>
          <w:p w14:paraId="3207A9F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公告媒介：河南省政府采购网、</w:t>
            </w:r>
            <w:r>
              <w:rPr>
                <w:rFonts w:hint="eastAsia" w:ascii="宋体" w:hAnsi="宋体" w:eastAsia="宋体" w:cs="宋体"/>
                <w:color w:val="auto"/>
                <w:spacing w:val="0"/>
                <w:kern w:val="0"/>
                <w:position w:val="0"/>
                <w:sz w:val="21"/>
                <w:szCs w:val="21"/>
                <w:lang w:val="en-US" w:eastAsia="zh-CN"/>
              </w:rPr>
              <w:t>河南省</w:t>
            </w:r>
            <w:r>
              <w:rPr>
                <w:rFonts w:hint="eastAsia" w:ascii="宋体" w:hAnsi="宋体" w:eastAsia="宋体" w:cs="宋体"/>
                <w:color w:val="auto"/>
                <w:spacing w:val="0"/>
                <w:kern w:val="0"/>
                <w:position w:val="0"/>
                <w:sz w:val="21"/>
                <w:szCs w:val="21"/>
                <w:lang w:eastAsia="zh-CN"/>
              </w:rPr>
              <w:t>公共资源交易中心</w:t>
            </w:r>
            <w:r>
              <w:rPr>
                <w:rFonts w:hint="eastAsia" w:ascii="宋体" w:hAnsi="宋体" w:eastAsia="宋体" w:cs="宋体"/>
                <w:color w:val="auto"/>
                <w:spacing w:val="0"/>
                <w:kern w:val="0"/>
                <w:position w:val="0"/>
                <w:sz w:val="21"/>
                <w:szCs w:val="21"/>
              </w:rPr>
              <w:t>网</w:t>
            </w:r>
          </w:p>
          <w:p w14:paraId="3C0532CA">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公告期限：1个工作日</w:t>
            </w:r>
          </w:p>
        </w:tc>
      </w:tr>
      <w:tr w14:paraId="44F3C284">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140F7BB">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7.2.3</w:t>
            </w:r>
          </w:p>
        </w:tc>
        <w:tc>
          <w:tcPr>
            <w:tcW w:w="2178" w:type="dxa"/>
            <w:tcBorders>
              <w:top w:val="single" w:color="000000" w:sz="4" w:space="0"/>
              <w:left w:val="single" w:color="000000" w:sz="4" w:space="0"/>
              <w:bottom w:val="single" w:color="000000" w:sz="4" w:space="0"/>
              <w:right w:val="single" w:color="000000" w:sz="4" w:space="0"/>
            </w:tcBorders>
            <w:vAlign w:val="center"/>
          </w:tcPr>
          <w:p w14:paraId="5AF51C75">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针对同一采购程序环节的质疑次数</w:t>
            </w:r>
          </w:p>
        </w:tc>
        <w:tc>
          <w:tcPr>
            <w:tcW w:w="6262" w:type="dxa"/>
            <w:tcBorders>
              <w:top w:val="single" w:color="000000" w:sz="4" w:space="0"/>
              <w:left w:val="single" w:color="000000" w:sz="4" w:space="0"/>
              <w:bottom w:val="single" w:color="000000" w:sz="4" w:space="0"/>
              <w:right w:val="single" w:color="000000" w:sz="4" w:space="0"/>
            </w:tcBorders>
            <w:vAlign w:val="center"/>
          </w:tcPr>
          <w:p w14:paraId="5E2C217F">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一次性提出</w:t>
            </w:r>
          </w:p>
        </w:tc>
      </w:tr>
      <w:tr w14:paraId="7737D9A5">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7DBE970F">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7.2.5</w:t>
            </w:r>
          </w:p>
        </w:tc>
        <w:tc>
          <w:tcPr>
            <w:tcW w:w="2178" w:type="dxa"/>
            <w:tcBorders>
              <w:top w:val="single" w:color="000000" w:sz="4" w:space="0"/>
              <w:left w:val="single" w:color="000000" w:sz="4" w:space="0"/>
              <w:bottom w:val="single" w:color="000000" w:sz="4" w:space="0"/>
              <w:right w:val="single" w:color="000000" w:sz="4" w:space="0"/>
            </w:tcBorders>
            <w:vAlign w:val="center"/>
          </w:tcPr>
          <w:p w14:paraId="52616610">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质疑函接收部门、联系电话和通讯地址</w:t>
            </w:r>
          </w:p>
        </w:tc>
        <w:tc>
          <w:tcPr>
            <w:tcW w:w="6262" w:type="dxa"/>
            <w:tcBorders>
              <w:top w:val="single" w:color="000000" w:sz="4" w:space="0"/>
              <w:left w:val="single" w:color="000000" w:sz="4" w:space="0"/>
              <w:bottom w:val="single" w:color="000000" w:sz="4" w:space="0"/>
              <w:right w:val="single" w:color="000000" w:sz="4" w:space="0"/>
            </w:tcBorders>
            <w:vAlign w:val="center"/>
          </w:tcPr>
          <w:p w14:paraId="2AE7D3F2">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rPr>
              <w:t>联系部门：</w:t>
            </w:r>
            <w:r>
              <w:rPr>
                <w:rFonts w:hint="eastAsia" w:ascii="宋体" w:hAnsi="宋体" w:eastAsia="宋体" w:cs="宋体"/>
                <w:color w:val="auto"/>
                <w:spacing w:val="0"/>
                <w:kern w:val="0"/>
                <w:position w:val="0"/>
                <w:sz w:val="21"/>
                <w:szCs w:val="21"/>
                <w:lang w:eastAsia="zh-CN"/>
              </w:rPr>
              <w:t>河南省伟信招标管理咨询有限公司</w:t>
            </w:r>
          </w:p>
          <w:p w14:paraId="0092D2B1">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rPr>
              <w:t>联系电话：0371-65</w:t>
            </w:r>
            <w:r>
              <w:rPr>
                <w:rFonts w:hint="eastAsia" w:ascii="宋体" w:hAnsi="宋体" w:eastAsia="宋体" w:cs="宋体"/>
                <w:color w:val="auto"/>
                <w:spacing w:val="0"/>
                <w:kern w:val="0"/>
                <w:position w:val="0"/>
                <w:sz w:val="21"/>
                <w:szCs w:val="21"/>
                <w:lang w:val="en-US" w:eastAsia="zh-CN"/>
              </w:rPr>
              <w:t>359921</w:t>
            </w:r>
          </w:p>
          <w:p w14:paraId="20B425ED">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通讯地址：郑州市郑东新区东风南路6号绿地中心北塔16楼</w:t>
            </w:r>
          </w:p>
        </w:tc>
      </w:tr>
      <w:tr w14:paraId="0655A9F9">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86D0E99">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rPr>
              <w:t>7.4.1</w:t>
            </w:r>
          </w:p>
        </w:tc>
        <w:tc>
          <w:tcPr>
            <w:tcW w:w="2178" w:type="dxa"/>
            <w:tcBorders>
              <w:top w:val="single" w:color="000000" w:sz="4" w:space="0"/>
              <w:left w:val="single" w:color="000000" w:sz="4" w:space="0"/>
              <w:bottom w:val="single" w:color="000000" w:sz="4" w:space="0"/>
              <w:right w:val="single" w:color="000000" w:sz="4" w:space="0"/>
            </w:tcBorders>
            <w:vAlign w:val="center"/>
          </w:tcPr>
          <w:p w14:paraId="4547D565">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rPr>
              <w:t>履约担保</w:t>
            </w:r>
          </w:p>
        </w:tc>
        <w:tc>
          <w:tcPr>
            <w:tcW w:w="6262" w:type="dxa"/>
            <w:tcBorders>
              <w:top w:val="single" w:color="000000" w:sz="4" w:space="0"/>
              <w:left w:val="single" w:color="000000" w:sz="4" w:space="0"/>
              <w:bottom w:val="single" w:color="000000" w:sz="4" w:space="0"/>
              <w:right w:val="single" w:color="000000" w:sz="4" w:space="0"/>
            </w:tcBorders>
            <w:vAlign w:val="center"/>
          </w:tcPr>
          <w:p w14:paraId="2345925E">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履约担保的形式：履约保证金或履约保函，电汇</w:t>
            </w:r>
          </w:p>
          <w:p w14:paraId="1F6A3D4B">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金额及要求：履约保证金为中标价的5%，在中标人领取中标通知书前向河南省人民医院交纳，服务完成并经验收合格后，按规定程序退还中标单位的履约保证金（不计利息）。</w:t>
            </w:r>
          </w:p>
          <w:p w14:paraId="1C56F0F8">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账户信息：</w:t>
            </w:r>
          </w:p>
          <w:p w14:paraId="00F6B77D">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账户名称：河南省人民医院</w:t>
            </w:r>
          </w:p>
          <w:p w14:paraId="05B61A14">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账    号：4100 1503 0100 5000 7892</w:t>
            </w:r>
          </w:p>
          <w:p w14:paraId="537CF406">
            <w:pPr>
              <w:keepNext w:val="0"/>
              <w:keepLines w:val="0"/>
              <w:pageBreakBefore w:val="0"/>
              <w:kinsoku/>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开 户 行：中国建设银行郑州行政区支行</w:t>
            </w:r>
          </w:p>
        </w:tc>
      </w:tr>
      <w:tr w14:paraId="13FE6E53">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6E2D5970">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9</w:t>
            </w:r>
          </w:p>
        </w:tc>
        <w:tc>
          <w:tcPr>
            <w:tcW w:w="8440" w:type="dxa"/>
            <w:gridSpan w:val="2"/>
            <w:tcBorders>
              <w:top w:val="single" w:color="000000" w:sz="4" w:space="0"/>
              <w:left w:val="single" w:color="000000" w:sz="4" w:space="0"/>
              <w:bottom w:val="single" w:color="000000" w:sz="4" w:space="0"/>
              <w:right w:val="single" w:color="000000" w:sz="4" w:space="0"/>
            </w:tcBorders>
            <w:vAlign w:val="center"/>
          </w:tcPr>
          <w:p w14:paraId="766E16F8">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rPr>
              <w:t>需要补充的其他内容</w:t>
            </w:r>
          </w:p>
        </w:tc>
      </w:tr>
      <w:tr w14:paraId="0EDE25F7">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14FA588A">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9.1</w:t>
            </w:r>
          </w:p>
        </w:tc>
        <w:tc>
          <w:tcPr>
            <w:tcW w:w="8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5282E">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项目需要落实的政府采购政策：</w:t>
            </w:r>
          </w:p>
          <w:p w14:paraId="75A1FBBA">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105" w:leftChars="50"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《政府采购促进中小企业发展管理办法》（财库[2020]46号）；</w:t>
            </w:r>
          </w:p>
          <w:p w14:paraId="63B54F25">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105" w:leftChars="50"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《财政部关于进一步加大政府采购支持中小企业力度的通知》（财库〔2022〕19号）；</w:t>
            </w:r>
          </w:p>
          <w:p w14:paraId="0B4FD837">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105" w:leftChars="50"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《财政部、司法部关于政府采购支持监狱企业发展有关问题的通知》(财库[2014]68号)；</w:t>
            </w:r>
          </w:p>
          <w:p w14:paraId="17506B87">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105" w:leftChars="50"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《三部门联合发布关于促进残疾人就业政府采购政策的通知》（财库[2017]141号）；</w:t>
            </w:r>
          </w:p>
          <w:p w14:paraId="05D36925">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210" w:rightChars="-1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pacing w:val="-6"/>
                <w:sz w:val="21"/>
                <w:szCs w:val="21"/>
                <w:lang w:val="en-US" w:eastAsia="zh-CN"/>
              </w:rPr>
              <w:t>从业人员、营业收入、资产总额填报上一年度数据，无上一年度数据的新企业可不填报。</w:t>
            </w:r>
          </w:p>
          <w:p w14:paraId="68B8797C">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2、本次采购标的对应的中小企业划分标准所属行业为建筑业。</w:t>
            </w:r>
          </w:p>
          <w:p w14:paraId="4D059302">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3、供应商应当根据企业自身的实际状况，审慎出具《中小企业声明函》，声明函内容不实的，属于弄虚作假骗取中标，并承担相应的法律责任。</w:t>
            </w:r>
          </w:p>
          <w:p w14:paraId="11313555">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本文件所称中小企业，是指在中华人民共和国境内依法设立，依据国务院批准的中小企业划分标准确定的中型企业、小型企业和微型企业，但与大企业的负责人为同一人，或者与大企业存在直接控股、管理关系的除外。</w:t>
            </w:r>
          </w:p>
        </w:tc>
      </w:tr>
      <w:tr w14:paraId="6E92E4B4">
        <w:tblPrEx>
          <w:tblCellMar>
            <w:top w:w="0" w:type="dxa"/>
            <w:left w:w="108" w:type="dxa"/>
            <w:bottom w:w="0" w:type="dxa"/>
            <w:right w:w="108" w:type="dxa"/>
          </w:tblCellMar>
        </w:tblPrEx>
        <w:trPr>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14:paraId="20DDAB51">
            <w:pPr>
              <w:keepNext w:val="0"/>
              <w:keepLines w:val="0"/>
              <w:pageBreakBefore w:val="0"/>
              <w:kinsoku/>
              <w:wordWrap w:val="0"/>
              <w:overflowPunct/>
              <w:topLinePunct/>
              <w:autoSpaceDE/>
              <w:autoSpaceDN/>
              <w:bidi w:val="0"/>
              <w:adjustRightInd/>
              <w:snapToGrid/>
              <w:spacing w:before="32" w:beforeLines="10" w:after="32" w:afterLines="10" w:line="276" w:lineRule="auto"/>
              <w:jc w:val="center"/>
              <w:textAlignment w:val="auto"/>
              <w:rPr>
                <w:rFonts w:hint="default"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9.2</w:t>
            </w:r>
          </w:p>
        </w:tc>
        <w:tc>
          <w:tcPr>
            <w:tcW w:w="8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15EA0">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磋商小组要求所有实质性响应的投标人在规定时间内提交最后报价，最后报价必须在磋商小组要求的时间内通过河南省公共资源交易中心登录远程开标大厅进行，不得以口头形式报价。最终报价不得高于首次报价，否则按废标处理。</w:t>
            </w:r>
          </w:p>
          <w:p w14:paraId="1DC04C9F">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提交最终报价后，由磋商小组采用综合评分法对提交最终报价的投标人的响应文件和最终报价进行综合评分。综合评分法是指响应文件满足磋商文件全部实质性要求且按评审因素的量化指标评审得分最高的投标人为成交投标人的评审办法。</w:t>
            </w:r>
          </w:p>
          <w:p w14:paraId="780313C0">
            <w:pPr>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right="-105" w:rightChars="-5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根据河南省公共资源交易中心“关于规范非招标采购方式政府采购项目二次报价（或最终报价）的有关通知”，请各潜在投标人及时关注系统提醒，在规定的时间内完成二次报价（即最终报价），未在规定的时间内提交二次报价（即最终报价）的视为放弃投标，首次报价不作为最终报价。</w:t>
            </w:r>
          </w:p>
        </w:tc>
      </w:tr>
    </w:tbl>
    <w:p w14:paraId="514C9C37">
      <w:pPr>
        <w:pageBreakBefore w:val="0"/>
        <w:widowControl/>
        <w:wordWrap w:val="0"/>
        <w:overflowPunct/>
        <w:topLinePunct/>
        <w:autoSpaceDE/>
        <w:autoSpaceDN/>
        <w:bidi w:val="0"/>
        <w:jc w:val="left"/>
        <w:rPr>
          <w:rFonts w:hint="eastAsia" w:ascii="宋体" w:hAnsi="宋体" w:eastAsia="宋体" w:cs="宋体"/>
          <w:b/>
          <w:bCs/>
          <w:color w:val="auto"/>
          <w:spacing w:val="0"/>
          <w:kern w:val="28"/>
          <w:position w:val="0"/>
          <w:sz w:val="28"/>
          <w:szCs w:val="32"/>
        </w:rPr>
      </w:pPr>
      <w:r>
        <w:rPr>
          <w:rFonts w:hint="eastAsia" w:ascii="宋体" w:hAnsi="宋体" w:eastAsia="宋体" w:cs="宋体"/>
          <w:color w:val="auto"/>
          <w:spacing w:val="0"/>
          <w:position w:val="0"/>
          <w:sz w:val="28"/>
        </w:rPr>
        <w:br w:type="page"/>
      </w:r>
    </w:p>
    <w:p w14:paraId="2B0149A5">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bookmarkStart w:id="4" w:name="_Toc9968"/>
      <w:r>
        <w:rPr>
          <w:rFonts w:hint="eastAsia" w:ascii="宋体" w:hAnsi="宋体" w:eastAsia="宋体" w:cs="宋体"/>
          <w:color w:val="auto"/>
          <w:spacing w:val="0"/>
          <w:position w:val="0"/>
          <w:sz w:val="21"/>
          <w:szCs w:val="21"/>
        </w:rPr>
        <w:t>1. 总则</w:t>
      </w:r>
      <w:bookmarkEnd w:id="4"/>
    </w:p>
    <w:p w14:paraId="17D265BB">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1.1 项目概况</w:t>
      </w:r>
    </w:p>
    <w:p w14:paraId="0B8FF02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1.1.1采购人：见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6DA19E4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1.1.2采购代理机构：见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3FEC9EA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1.1.3项目名称：见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2CFBEAB5">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1.1.4标的物所属行业：见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2FEAB763">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1.2 预算金额和资金来源</w:t>
      </w:r>
    </w:p>
    <w:p w14:paraId="63A16CF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1.2.1</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0"/>
          <w:position w:val="0"/>
          <w:szCs w:val="21"/>
        </w:rPr>
        <w:t>预算金额：见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755E46D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1.2.2 资金来源：见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7C62FDD0">
      <w:pPr>
        <w:pStyle w:val="5"/>
        <w:pageBreakBefore w:val="0"/>
        <w:widowControl w:val="0"/>
        <w:kinsoku/>
        <w:wordWrap w:val="0"/>
        <w:overflowPunct/>
        <w:topLinePunct/>
        <w:autoSpaceDE/>
        <w:autoSpaceDN/>
        <w:bidi w:val="0"/>
        <w:adjustRightInd/>
        <w:snapToGrid/>
        <w:spacing w:before="0" w:after="0" w:line="372" w:lineRule="auto"/>
        <w:textAlignment w:val="auto"/>
        <w:rPr>
          <w:rFonts w:hint="default"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 xml:space="preserve">1.3 </w:t>
      </w:r>
      <w:r>
        <w:rPr>
          <w:rFonts w:hint="eastAsia" w:ascii="宋体" w:hAnsi="宋体" w:eastAsia="宋体" w:cs="宋体"/>
          <w:color w:val="auto"/>
          <w:spacing w:val="0"/>
          <w:position w:val="0"/>
          <w:sz w:val="21"/>
          <w:highlight w:val="none"/>
          <w:lang w:val="en-US" w:eastAsia="zh-CN"/>
        </w:rPr>
        <w:t>采购内容</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val="en-US" w:eastAsia="zh-CN"/>
        </w:rPr>
        <w:t>工期</w:t>
      </w:r>
      <w:r>
        <w:rPr>
          <w:rFonts w:hint="eastAsia" w:ascii="宋体" w:hAnsi="宋体" w:eastAsia="宋体" w:cs="宋体"/>
          <w:color w:val="auto"/>
          <w:spacing w:val="0"/>
          <w:position w:val="0"/>
          <w:sz w:val="21"/>
          <w:szCs w:val="21"/>
        </w:rPr>
        <w:t>期、质量</w:t>
      </w:r>
      <w:r>
        <w:rPr>
          <w:rFonts w:hint="eastAsia" w:ascii="宋体" w:hAnsi="宋体" w:eastAsia="宋体" w:cs="宋体"/>
          <w:color w:val="auto"/>
          <w:spacing w:val="0"/>
          <w:position w:val="0"/>
          <w:sz w:val="21"/>
          <w:szCs w:val="21"/>
          <w:lang w:val="en-US" w:eastAsia="zh-CN"/>
        </w:rPr>
        <w:t>标准</w:t>
      </w:r>
    </w:p>
    <w:p w14:paraId="6FED3D1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1.3.1</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0"/>
          <w:position w:val="0"/>
          <w:sz w:val="21"/>
          <w:highlight w:val="none"/>
          <w:lang w:val="en-US" w:eastAsia="zh-CN"/>
        </w:rPr>
        <w:t>采购内容</w:t>
      </w:r>
      <w:r>
        <w:rPr>
          <w:rFonts w:hint="eastAsia" w:ascii="宋体" w:hAnsi="宋体" w:eastAsia="宋体" w:cs="宋体"/>
          <w:color w:val="auto"/>
          <w:spacing w:val="0"/>
          <w:position w:val="0"/>
          <w:szCs w:val="21"/>
        </w:rPr>
        <w:t>：见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37018AE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1.3.2 </w:t>
      </w:r>
      <w:r>
        <w:rPr>
          <w:rFonts w:hint="eastAsia" w:ascii="宋体" w:hAnsi="宋体" w:eastAsia="宋体" w:cs="宋体"/>
          <w:color w:val="auto"/>
          <w:spacing w:val="0"/>
          <w:position w:val="0"/>
          <w:szCs w:val="21"/>
          <w:lang w:val="en-US" w:eastAsia="zh-CN"/>
        </w:rPr>
        <w:t>工    期</w:t>
      </w:r>
      <w:r>
        <w:rPr>
          <w:rFonts w:hint="eastAsia" w:ascii="宋体" w:hAnsi="宋体" w:eastAsia="宋体" w:cs="宋体"/>
          <w:color w:val="auto"/>
          <w:spacing w:val="0"/>
          <w:position w:val="0"/>
          <w:szCs w:val="21"/>
        </w:rPr>
        <w:t>：见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0A63BB0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1.3.3 质量</w:t>
      </w:r>
      <w:r>
        <w:rPr>
          <w:rFonts w:hint="eastAsia" w:ascii="宋体" w:hAnsi="宋体" w:eastAsia="宋体" w:cs="宋体"/>
          <w:color w:val="auto"/>
          <w:spacing w:val="0"/>
          <w:position w:val="0"/>
          <w:szCs w:val="21"/>
          <w:lang w:val="en-US" w:eastAsia="zh-CN"/>
        </w:rPr>
        <w:t>标准</w:t>
      </w:r>
      <w:r>
        <w:rPr>
          <w:rFonts w:hint="eastAsia" w:ascii="宋体" w:hAnsi="宋体" w:eastAsia="宋体" w:cs="宋体"/>
          <w:color w:val="auto"/>
          <w:spacing w:val="0"/>
          <w:position w:val="0"/>
          <w:szCs w:val="21"/>
        </w:rPr>
        <w:t>：见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01238F6F">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1.4 </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资格要求</w:t>
      </w:r>
    </w:p>
    <w:p w14:paraId="29D2C72A">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1.4.1 </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应具备的资格要求见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753C1071">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1.4.2 是否接受联合体见投标</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须知前附表规定。</w:t>
      </w:r>
    </w:p>
    <w:p w14:paraId="68C3CA0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val="en-US" w:eastAsia="zh-CN"/>
        </w:rPr>
        <w:t>接受联合体投标的</w:t>
      </w:r>
      <w:r>
        <w:rPr>
          <w:rFonts w:hint="eastAsia" w:ascii="宋体" w:hAnsi="宋体" w:eastAsia="宋体" w:cs="宋体"/>
          <w:color w:val="auto"/>
          <w:spacing w:val="0"/>
          <w:position w:val="0"/>
          <w:szCs w:val="21"/>
        </w:rPr>
        <w:t>还应遵守以下规定</w:t>
      </w:r>
      <w:r>
        <w:rPr>
          <w:rFonts w:hint="eastAsia" w:ascii="宋体" w:hAnsi="宋体" w:eastAsia="宋体" w:cs="宋体"/>
          <w:color w:val="auto"/>
          <w:spacing w:val="0"/>
          <w:position w:val="0"/>
          <w:szCs w:val="21"/>
          <w:lang w:eastAsia="zh-CN"/>
        </w:rPr>
        <w:t>：</w:t>
      </w:r>
    </w:p>
    <w:p w14:paraId="564FF83A">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1</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联合体各方应当签订共同投标协议，明确约定各方拟承担的工作和责任，并将共同投标协议连同</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一并提交</w:t>
      </w:r>
      <w:r>
        <w:rPr>
          <w:rFonts w:hint="eastAsia" w:ascii="宋体" w:hAnsi="宋体" w:eastAsia="宋体" w:cs="宋体"/>
          <w:color w:val="auto"/>
          <w:spacing w:val="0"/>
          <w:position w:val="0"/>
          <w:szCs w:val="21"/>
          <w:lang w:eastAsia="zh-CN"/>
        </w:rPr>
        <w:t>采购人；</w:t>
      </w:r>
    </w:p>
    <w:p w14:paraId="6F9B181B">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联合体各方签订共同投标协议后，不得再以自己名义单独投标，也不得组成新的联合体或参加其他联合体在同一项目投标</w:t>
      </w:r>
      <w:r>
        <w:rPr>
          <w:rFonts w:hint="eastAsia" w:ascii="宋体" w:hAnsi="宋体" w:eastAsia="宋体" w:cs="宋体"/>
          <w:color w:val="auto"/>
          <w:spacing w:val="0"/>
          <w:position w:val="0"/>
          <w:szCs w:val="21"/>
          <w:lang w:eastAsia="zh-CN"/>
        </w:rPr>
        <w:t>；</w:t>
      </w:r>
    </w:p>
    <w:p w14:paraId="579DA9EF">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3</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联合体各方必须指定牵头人，授权其代表所有联合体成员负责投标和合同实施阶段的主办、协调工作</w:t>
      </w:r>
      <w:r>
        <w:rPr>
          <w:rFonts w:hint="eastAsia" w:ascii="宋体" w:hAnsi="宋体" w:eastAsia="宋体" w:cs="宋体"/>
          <w:color w:val="auto"/>
          <w:spacing w:val="0"/>
          <w:position w:val="0"/>
          <w:szCs w:val="21"/>
          <w:lang w:eastAsia="zh-CN"/>
        </w:rPr>
        <w:t>；</w:t>
      </w:r>
    </w:p>
    <w:p w14:paraId="36855DAA">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4</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联合体中标的，联合体各方应当共同与</w:t>
      </w:r>
      <w:r>
        <w:rPr>
          <w:rFonts w:hint="eastAsia" w:ascii="宋体" w:hAnsi="宋体" w:eastAsia="宋体" w:cs="宋体"/>
          <w:color w:val="auto"/>
          <w:spacing w:val="0"/>
          <w:position w:val="0"/>
          <w:szCs w:val="21"/>
          <w:lang w:eastAsia="zh-CN"/>
        </w:rPr>
        <w:t>采购人</w:t>
      </w:r>
      <w:r>
        <w:rPr>
          <w:rFonts w:hint="eastAsia" w:ascii="宋体" w:hAnsi="宋体" w:eastAsia="宋体" w:cs="宋体"/>
          <w:color w:val="auto"/>
          <w:spacing w:val="0"/>
          <w:position w:val="0"/>
          <w:szCs w:val="21"/>
        </w:rPr>
        <w:t>签订合同，就中标项目向</w:t>
      </w:r>
      <w:r>
        <w:rPr>
          <w:rFonts w:hint="eastAsia" w:ascii="宋体" w:hAnsi="宋体" w:eastAsia="宋体" w:cs="宋体"/>
          <w:color w:val="auto"/>
          <w:spacing w:val="0"/>
          <w:position w:val="0"/>
          <w:szCs w:val="21"/>
          <w:lang w:eastAsia="zh-CN"/>
        </w:rPr>
        <w:t>采购人</w:t>
      </w:r>
      <w:r>
        <w:rPr>
          <w:rFonts w:hint="eastAsia" w:ascii="宋体" w:hAnsi="宋体" w:eastAsia="宋体" w:cs="宋体"/>
          <w:color w:val="auto"/>
          <w:spacing w:val="0"/>
          <w:position w:val="0"/>
          <w:szCs w:val="21"/>
        </w:rPr>
        <w:t>承担连带责任。</w:t>
      </w:r>
    </w:p>
    <w:p w14:paraId="7F095504">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1.5 费用承担</w:t>
      </w:r>
    </w:p>
    <w:p w14:paraId="276FB9C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准备和参加投标活动发生的费用自理。</w:t>
      </w:r>
    </w:p>
    <w:p w14:paraId="555F23AA">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1.6 保密</w:t>
      </w:r>
    </w:p>
    <w:p w14:paraId="2268F18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参与活动的各方应对</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和</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中的商业和技术等秘密保密，否则应承担相应的法律责任。</w:t>
      </w:r>
    </w:p>
    <w:p w14:paraId="0A6489E5">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1.7 语言文字</w:t>
      </w:r>
    </w:p>
    <w:p w14:paraId="629CF46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招标</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使用的语言文字为中文。专用术语使用外文的，应附有中文注释。</w:t>
      </w:r>
    </w:p>
    <w:p w14:paraId="3CC3A1B2">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1.8 计量单位</w:t>
      </w:r>
    </w:p>
    <w:p w14:paraId="2AE94F18">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所有计量均采用中华人民共和国法定计量单位。</w:t>
      </w:r>
    </w:p>
    <w:p w14:paraId="6194066F">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1.9 现场踏勘</w:t>
      </w:r>
    </w:p>
    <w:p w14:paraId="3D63713E">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须知前附表规定潜在</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现场踏勘的，采购人或者采购代理机构人按“</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须知前附表”规定的时间、地点组织</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踏勘项目现场。</w:t>
      </w:r>
    </w:p>
    <w:p w14:paraId="3C103941">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1.10 分包</w:t>
      </w:r>
    </w:p>
    <w:p w14:paraId="2DE61C7C">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根据</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须知前附表的规定和采购项目的实际情况，拟在中标后将中标项目的非主体、非关键性工作分包的，应当在</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中载明分包承担主体，分包承担主体应当具备相应资质条件且不得再次分包及对分包项目承担责任。</w:t>
      </w:r>
    </w:p>
    <w:p w14:paraId="68CBACAB">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1.11 响应和偏差</w:t>
      </w:r>
    </w:p>
    <w:p w14:paraId="1D65D363">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1.11.1 </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应当对</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的实质性要求和条件做出满足性或更有利于采购人的响应，否则，</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的投标将被否决。实质性要求和条件见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16A792AE">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1.11.2 </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应根据</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的要求提供商务、技术等内容以对</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作出响应。</w:t>
      </w:r>
    </w:p>
    <w:p w14:paraId="090E526C">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bookmarkStart w:id="5" w:name="_Toc859"/>
      <w:r>
        <w:rPr>
          <w:rFonts w:hint="eastAsia" w:ascii="宋体" w:hAnsi="宋体" w:eastAsia="宋体" w:cs="宋体"/>
          <w:color w:val="auto"/>
          <w:spacing w:val="0"/>
          <w:position w:val="0"/>
          <w:sz w:val="21"/>
          <w:szCs w:val="21"/>
        </w:rPr>
        <w:t xml:space="preserve">2. </w:t>
      </w:r>
      <w:r>
        <w:rPr>
          <w:rFonts w:hint="eastAsia" w:ascii="宋体" w:hAnsi="宋体" w:eastAsia="宋体" w:cs="宋体"/>
          <w:color w:val="auto"/>
          <w:spacing w:val="0"/>
          <w:position w:val="0"/>
          <w:sz w:val="21"/>
          <w:szCs w:val="21"/>
          <w:lang w:eastAsia="zh-CN"/>
        </w:rPr>
        <w:t>磋商文件</w:t>
      </w:r>
      <w:bookmarkEnd w:id="5"/>
    </w:p>
    <w:p w14:paraId="4CCC6D65">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2.1 </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的组成</w:t>
      </w:r>
    </w:p>
    <w:p w14:paraId="21DBD36E">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本</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包括：</w:t>
      </w:r>
    </w:p>
    <w:p w14:paraId="3CB98EF3">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w:t>
      </w:r>
      <w:r>
        <w:rPr>
          <w:rFonts w:hint="eastAsia" w:ascii="宋体" w:hAnsi="宋体" w:eastAsia="宋体" w:cs="宋体"/>
          <w:color w:val="auto"/>
          <w:spacing w:val="0"/>
          <w:position w:val="0"/>
          <w:szCs w:val="21"/>
          <w:lang w:val="en-US" w:eastAsia="zh-CN"/>
        </w:rPr>
        <w:t>磋商</w:t>
      </w:r>
      <w:r>
        <w:rPr>
          <w:rFonts w:hint="eastAsia" w:ascii="宋体" w:hAnsi="宋体" w:eastAsia="宋体" w:cs="宋体"/>
          <w:color w:val="auto"/>
          <w:spacing w:val="0"/>
          <w:position w:val="0"/>
          <w:szCs w:val="21"/>
        </w:rPr>
        <w:t>公告；</w:t>
      </w:r>
    </w:p>
    <w:p w14:paraId="44F65F19">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w:t>
      </w:r>
    </w:p>
    <w:p w14:paraId="25CAFA91">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方法和标准；</w:t>
      </w:r>
    </w:p>
    <w:p w14:paraId="6A1C4DEE">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（4）合同格式；</w:t>
      </w:r>
    </w:p>
    <w:p w14:paraId="28FA3FF4">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w:t>
      </w:r>
      <w:r>
        <w:rPr>
          <w:rFonts w:hint="eastAsia" w:ascii="宋体" w:hAnsi="宋体" w:eastAsia="宋体" w:cs="宋体"/>
          <w:color w:val="auto"/>
          <w:spacing w:val="0"/>
          <w:position w:val="0"/>
          <w:szCs w:val="21"/>
          <w:lang w:val="en-US" w:eastAsia="zh-CN"/>
        </w:rPr>
        <w:t>5</w:t>
      </w:r>
      <w:r>
        <w:rPr>
          <w:rFonts w:hint="eastAsia" w:ascii="宋体" w:hAnsi="宋体" w:eastAsia="宋体" w:cs="宋体"/>
          <w:color w:val="auto"/>
          <w:spacing w:val="0"/>
          <w:position w:val="0"/>
          <w:szCs w:val="21"/>
        </w:rPr>
        <w:t>）</w:t>
      </w:r>
      <w:r>
        <w:rPr>
          <w:rFonts w:hint="eastAsia" w:ascii="宋体" w:hAnsi="宋体" w:eastAsia="宋体" w:cs="宋体"/>
          <w:color w:val="auto"/>
          <w:spacing w:val="0"/>
          <w:position w:val="0"/>
          <w:szCs w:val="21"/>
          <w:lang w:val="en-US" w:eastAsia="zh-CN"/>
        </w:rPr>
        <w:t>工程量清单</w:t>
      </w:r>
      <w:r>
        <w:rPr>
          <w:rFonts w:hint="eastAsia" w:ascii="宋体" w:hAnsi="宋体" w:eastAsia="宋体" w:cs="宋体"/>
          <w:color w:val="auto"/>
          <w:spacing w:val="0"/>
          <w:position w:val="0"/>
          <w:szCs w:val="21"/>
        </w:rPr>
        <w:t>；</w:t>
      </w:r>
    </w:p>
    <w:p w14:paraId="5A78AD92">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val="en-US" w:eastAsia="zh-CN"/>
        </w:rPr>
      </w:pPr>
      <w:r>
        <w:rPr>
          <w:rFonts w:hint="eastAsia" w:ascii="宋体" w:hAnsi="宋体" w:eastAsia="宋体" w:cs="宋体"/>
          <w:color w:val="auto"/>
          <w:spacing w:val="0"/>
          <w:position w:val="0"/>
          <w:szCs w:val="21"/>
        </w:rPr>
        <w:t>（</w:t>
      </w:r>
      <w:r>
        <w:rPr>
          <w:rFonts w:hint="eastAsia" w:ascii="宋体" w:hAnsi="宋体" w:eastAsia="宋体" w:cs="宋体"/>
          <w:color w:val="auto"/>
          <w:spacing w:val="0"/>
          <w:position w:val="0"/>
          <w:szCs w:val="21"/>
          <w:lang w:val="en-US" w:eastAsia="zh-CN"/>
        </w:rPr>
        <w:t>6</w:t>
      </w:r>
      <w:r>
        <w:rPr>
          <w:rFonts w:hint="eastAsia" w:ascii="宋体" w:hAnsi="宋体" w:eastAsia="宋体" w:cs="宋体"/>
          <w:color w:val="auto"/>
          <w:spacing w:val="0"/>
          <w:position w:val="0"/>
          <w:szCs w:val="21"/>
        </w:rPr>
        <w:t>）</w:t>
      </w:r>
      <w:r>
        <w:rPr>
          <w:rFonts w:hint="eastAsia" w:ascii="宋体" w:hAnsi="宋体" w:eastAsia="宋体" w:cs="宋体"/>
          <w:color w:val="auto"/>
          <w:spacing w:val="0"/>
          <w:position w:val="0"/>
          <w:szCs w:val="21"/>
          <w:lang w:val="en-US" w:eastAsia="zh-CN"/>
        </w:rPr>
        <w:t>图纸</w:t>
      </w:r>
    </w:p>
    <w:p w14:paraId="28E92DF1">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val="en-US"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7</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技术标准和要求</w:t>
      </w:r>
    </w:p>
    <w:p w14:paraId="1D998507">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8</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格式；</w:t>
      </w:r>
    </w:p>
    <w:p w14:paraId="036CA622">
      <w:pPr>
        <w:pageBreakBefore w:val="0"/>
        <w:widowControl w:val="0"/>
        <w:tabs>
          <w:tab w:val="left" w:pos="266"/>
        </w:tabs>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根据本章第 2.2 款和第 2.3 款对</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所做的澄清、修改，构成</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的组成部分。</w:t>
      </w:r>
    </w:p>
    <w:p w14:paraId="17E48BB7">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2.2 </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的澄清</w:t>
      </w:r>
    </w:p>
    <w:p w14:paraId="52DA62A5">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2.2.1供应商应仔细阅读和检查磋商文件的全部内容。如有疑问，应按供应商须知前附表规定的时间和形式将提出的问题送达采购人或采购代理机构，要求采购人或采购代理机构对磋商文件予以澄清。</w:t>
      </w:r>
    </w:p>
    <w:p w14:paraId="3C4C90FB">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2.2.2磋商文件的澄清以供应商须知前附表规定的形式发给所有获取磋商文件的供应商，但不指明澄清问题的来源。澄清发出的时间距本章4.2.1项规定的提交首次响应文件截止时间不足五日的，并且澄清内容可能影响响应文件编制的，采购人、采购代理机构将顺延提交首次响应文件截止时间。</w:t>
      </w:r>
    </w:p>
    <w:p w14:paraId="25E2A8EE">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2.2.3磋商澄清内容是磋商文件的组成部分，澄清内容在发布公告相同媒介发布，视作已送达所有供应商，并对供应商具有约束力。</w:t>
      </w:r>
    </w:p>
    <w:p w14:paraId="470833B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2.2.4除非采购人认为确有必要答复，否则，采购人有权拒绝回复供应商在本章第2.2.1项规定的时间后的任何澄清要求。</w:t>
      </w:r>
    </w:p>
    <w:p w14:paraId="34B23EA4">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2.3 </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的修改</w:t>
      </w:r>
    </w:p>
    <w:p w14:paraId="420EC20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2.3.1采购人以供应商须知前附表规定的形式修改磋商文件，并通知所有已获取磋商文件的供应商。修改磋商文件的时间距本章第4.2.1项规定的提交首次响应文件截止时间不足五日的，并且修改内容可能影响响应文件编制的，采购人、采购代理机构将顺延提交首次响应文件截止时间。</w:t>
      </w:r>
    </w:p>
    <w:p w14:paraId="11B4A326">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2.3.2 修改内容是磋商文件的组成部分，修改内容在发布公告相同媒介发布，视作已送达所有供应商，并对供应商具有约束力。</w:t>
      </w:r>
    </w:p>
    <w:p w14:paraId="4AB16F61">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bookmarkStart w:id="6" w:name="_Toc18847"/>
      <w:r>
        <w:rPr>
          <w:rFonts w:hint="eastAsia" w:ascii="宋体" w:hAnsi="宋体" w:eastAsia="宋体" w:cs="宋体"/>
          <w:color w:val="auto"/>
          <w:spacing w:val="0"/>
          <w:position w:val="0"/>
          <w:sz w:val="21"/>
          <w:szCs w:val="21"/>
        </w:rPr>
        <w:t xml:space="preserve">3. </w:t>
      </w:r>
      <w:r>
        <w:rPr>
          <w:rFonts w:hint="eastAsia" w:ascii="宋体" w:hAnsi="宋体" w:eastAsia="宋体" w:cs="宋体"/>
          <w:color w:val="auto"/>
          <w:spacing w:val="0"/>
          <w:position w:val="0"/>
          <w:sz w:val="21"/>
          <w:szCs w:val="21"/>
          <w:lang w:eastAsia="zh-CN"/>
        </w:rPr>
        <w:t>响应文件</w:t>
      </w:r>
      <w:bookmarkEnd w:id="6"/>
    </w:p>
    <w:p w14:paraId="39289EB3">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3.1 </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的组成</w:t>
      </w:r>
    </w:p>
    <w:p w14:paraId="1B75E9A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3.1.1</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应包括下列内容</w:t>
      </w:r>
    </w:p>
    <w:p w14:paraId="1DE14E3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一、响应函</w:t>
      </w:r>
      <w:r>
        <w:rPr>
          <w:rFonts w:hint="eastAsia" w:ascii="宋体" w:hAnsi="宋体" w:eastAsia="宋体" w:cs="宋体"/>
          <w:color w:val="auto"/>
          <w:spacing w:val="0"/>
          <w:position w:val="0"/>
          <w:szCs w:val="21"/>
          <w:highlight w:val="none"/>
        </w:rPr>
        <w:tab/>
      </w:r>
    </w:p>
    <w:p w14:paraId="72671E5C">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二、开标一览表</w:t>
      </w:r>
      <w:r>
        <w:rPr>
          <w:rFonts w:hint="eastAsia" w:ascii="宋体" w:hAnsi="宋体" w:eastAsia="宋体" w:cs="宋体"/>
          <w:color w:val="auto"/>
          <w:spacing w:val="0"/>
          <w:position w:val="0"/>
          <w:szCs w:val="21"/>
          <w:highlight w:val="none"/>
        </w:rPr>
        <w:tab/>
      </w:r>
    </w:p>
    <w:p w14:paraId="777C5E4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三、法定代表人身份证明</w:t>
      </w:r>
      <w:r>
        <w:rPr>
          <w:rFonts w:hint="eastAsia" w:ascii="宋体" w:hAnsi="宋体" w:eastAsia="宋体" w:cs="宋体"/>
          <w:color w:val="auto"/>
          <w:spacing w:val="0"/>
          <w:position w:val="0"/>
          <w:szCs w:val="21"/>
          <w:highlight w:val="none"/>
        </w:rPr>
        <w:tab/>
      </w:r>
    </w:p>
    <w:p w14:paraId="74D21AF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四、授权委托书</w:t>
      </w:r>
      <w:r>
        <w:rPr>
          <w:rFonts w:hint="eastAsia" w:ascii="宋体" w:hAnsi="宋体" w:eastAsia="宋体" w:cs="宋体"/>
          <w:color w:val="auto"/>
          <w:spacing w:val="0"/>
          <w:position w:val="0"/>
          <w:szCs w:val="21"/>
          <w:highlight w:val="none"/>
        </w:rPr>
        <w:tab/>
      </w:r>
    </w:p>
    <w:p w14:paraId="08A0749B">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五、供应商承诺函</w:t>
      </w:r>
      <w:r>
        <w:rPr>
          <w:rFonts w:hint="eastAsia" w:ascii="宋体" w:hAnsi="宋体" w:eastAsia="宋体" w:cs="宋体"/>
          <w:color w:val="auto"/>
          <w:spacing w:val="0"/>
          <w:position w:val="0"/>
          <w:szCs w:val="21"/>
          <w:highlight w:val="none"/>
        </w:rPr>
        <w:tab/>
      </w:r>
    </w:p>
    <w:p w14:paraId="42B215D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六、已标价工程量清单</w:t>
      </w:r>
      <w:r>
        <w:rPr>
          <w:rFonts w:hint="eastAsia" w:ascii="宋体" w:hAnsi="宋体" w:eastAsia="宋体" w:cs="宋体"/>
          <w:color w:val="auto"/>
          <w:spacing w:val="0"/>
          <w:position w:val="0"/>
          <w:szCs w:val="21"/>
          <w:highlight w:val="none"/>
        </w:rPr>
        <w:tab/>
      </w:r>
    </w:p>
    <w:p w14:paraId="6D6E8A6F">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七、项目管理机构</w:t>
      </w:r>
      <w:r>
        <w:rPr>
          <w:rFonts w:hint="eastAsia" w:ascii="宋体" w:hAnsi="宋体" w:eastAsia="宋体" w:cs="宋体"/>
          <w:color w:val="auto"/>
          <w:spacing w:val="0"/>
          <w:position w:val="0"/>
          <w:szCs w:val="21"/>
          <w:highlight w:val="none"/>
        </w:rPr>
        <w:tab/>
      </w:r>
    </w:p>
    <w:p w14:paraId="5B08519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八、资格审查资料</w:t>
      </w:r>
      <w:r>
        <w:rPr>
          <w:rFonts w:hint="eastAsia" w:ascii="宋体" w:hAnsi="宋体" w:eastAsia="宋体" w:cs="宋体"/>
          <w:color w:val="auto"/>
          <w:spacing w:val="0"/>
          <w:position w:val="0"/>
          <w:szCs w:val="21"/>
          <w:highlight w:val="none"/>
        </w:rPr>
        <w:tab/>
      </w:r>
    </w:p>
    <w:p w14:paraId="0285803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九、施工方案及技术说明及相关证明材料</w:t>
      </w:r>
      <w:r>
        <w:rPr>
          <w:rFonts w:hint="eastAsia" w:ascii="宋体" w:hAnsi="宋体" w:eastAsia="宋体" w:cs="宋体"/>
          <w:color w:val="auto"/>
          <w:spacing w:val="0"/>
          <w:position w:val="0"/>
          <w:szCs w:val="21"/>
          <w:highlight w:val="none"/>
        </w:rPr>
        <w:tab/>
      </w:r>
    </w:p>
    <w:p w14:paraId="01DB2D4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十、中小企业声明函</w:t>
      </w:r>
      <w:r>
        <w:rPr>
          <w:rFonts w:hint="eastAsia" w:ascii="宋体" w:hAnsi="宋体" w:eastAsia="宋体" w:cs="宋体"/>
          <w:color w:val="auto"/>
          <w:spacing w:val="0"/>
          <w:position w:val="0"/>
          <w:szCs w:val="21"/>
          <w:highlight w:val="none"/>
        </w:rPr>
        <w:tab/>
      </w:r>
    </w:p>
    <w:p w14:paraId="45639C7A">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十一、供应商认为需要提供的其他资料</w:t>
      </w:r>
      <w:r>
        <w:rPr>
          <w:rFonts w:hint="eastAsia" w:ascii="宋体" w:hAnsi="宋体" w:eastAsia="宋体" w:cs="宋体"/>
          <w:color w:val="auto"/>
          <w:spacing w:val="0"/>
          <w:position w:val="0"/>
          <w:szCs w:val="21"/>
          <w:highlight w:val="none"/>
        </w:rPr>
        <w:tab/>
      </w:r>
    </w:p>
    <w:p w14:paraId="6EB5E5E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在</w:t>
      </w:r>
      <w:r>
        <w:rPr>
          <w:rFonts w:hint="eastAsia" w:ascii="宋体" w:hAnsi="宋体" w:eastAsia="宋体" w:cs="宋体"/>
          <w:color w:val="auto"/>
          <w:spacing w:val="0"/>
          <w:position w:val="0"/>
          <w:szCs w:val="21"/>
          <w:highlight w:val="none"/>
          <w:lang w:eastAsia="zh-CN"/>
        </w:rPr>
        <w:t>评审</w:t>
      </w:r>
      <w:r>
        <w:rPr>
          <w:rFonts w:hint="eastAsia" w:ascii="宋体" w:hAnsi="宋体" w:eastAsia="宋体" w:cs="宋体"/>
          <w:color w:val="auto"/>
          <w:spacing w:val="0"/>
          <w:position w:val="0"/>
          <w:szCs w:val="21"/>
          <w:highlight w:val="none"/>
        </w:rPr>
        <w:t>过程中作出的符合法律法规和</w:t>
      </w:r>
      <w:r>
        <w:rPr>
          <w:rFonts w:hint="eastAsia" w:ascii="宋体" w:hAnsi="宋体" w:eastAsia="宋体" w:cs="宋体"/>
          <w:color w:val="auto"/>
          <w:spacing w:val="0"/>
          <w:position w:val="0"/>
          <w:szCs w:val="21"/>
          <w:highlight w:val="none"/>
          <w:lang w:eastAsia="zh-CN"/>
        </w:rPr>
        <w:t>磋商文件</w:t>
      </w:r>
      <w:r>
        <w:rPr>
          <w:rFonts w:hint="eastAsia" w:ascii="宋体" w:hAnsi="宋体" w:eastAsia="宋体" w:cs="宋体"/>
          <w:color w:val="auto"/>
          <w:spacing w:val="0"/>
          <w:position w:val="0"/>
          <w:szCs w:val="21"/>
          <w:highlight w:val="none"/>
        </w:rPr>
        <w:t>规定的澄清确认，构成</w:t>
      </w:r>
      <w:r>
        <w:rPr>
          <w:rFonts w:hint="eastAsia" w:ascii="宋体" w:hAnsi="宋体" w:eastAsia="宋体" w:cs="宋体"/>
          <w:color w:val="auto"/>
          <w:spacing w:val="0"/>
          <w:position w:val="0"/>
          <w:szCs w:val="21"/>
          <w:highlight w:val="none"/>
          <w:lang w:eastAsia="zh-CN"/>
        </w:rPr>
        <w:t>响应文件</w:t>
      </w:r>
      <w:r>
        <w:rPr>
          <w:rFonts w:hint="eastAsia" w:ascii="宋体" w:hAnsi="宋体" w:eastAsia="宋体" w:cs="宋体"/>
          <w:color w:val="auto"/>
          <w:spacing w:val="0"/>
          <w:position w:val="0"/>
          <w:szCs w:val="21"/>
          <w:highlight w:val="none"/>
        </w:rPr>
        <w:t>的组成部分。</w:t>
      </w:r>
    </w:p>
    <w:p w14:paraId="1166A134">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3.2 </w:t>
      </w:r>
      <w:r>
        <w:rPr>
          <w:rFonts w:hint="eastAsia" w:ascii="宋体" w:hAnsi="宋体" w:eastAsia="宋体" w:cs="宋体"/>
          <w:color w:val="auto"/>
          <w:spacing w:val="0"/>
          <w:position w:val="0"/>
          <w:sz w:val="21"/>
          <w:szCs w:val="21"/>
          <w:lang w:val="en-US" w:eastAsia="zh-CN"/>
        </w:rPr>
        <w:t>磋商</w:t>
      </w:r>
      <w:r>
        <w:rPr>
          <w:rFonts w:hint="eastAsia" w:ascii="宋体" w:hAnsi="宋体" w:eastAsia="宋体" w:cs="宋体"/>
          <w:color w:val="auto"/>
          <w:spacing w:val="0"/>
          <w:position w:val="0"/>
          <w:sz w:val="21"/>
          <w:szCs w:val="21"/>
        </w:rPr>
        <w:t>报价</w:t>
      </w:r>
    </w:p>
    <w:p w14:paraId="6916D044">
      <w:pPr>
        <w:keepNext w:val="0"/>
        <w:keepLines w:val="0"/>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bookmarkStart w:id="7" w:name="_Hlk66354647"/>
      <w:r>
        <w:rPr>
          <w:rFonts w:hint="eastAsia" w:ascii="宋体" w:hAnsi="宋体" w:eastAsia="宋体" w:cs="宋体"/>
          <w:color w:val="auto"/>
          <w:spacing w:val="0"/>
          <w:position w:val="0"/>
          <w:szCs w:val="21"/>
        </w:rPr>
        <w:t>3.2.1参加竞争性磋商采购活动的供应商通过资格审查、符合性审查后在规定时间内提交最后报价。</w:t>
      </w:r>
    </w:p>
    <w:p w14:paraId="08EF8279">
      <w:pPr>
        <w:keepNext w:val="0"/>
        <w:keepLines w:val="0"/>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3.2.2</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0"/>
          <w:position w:val="0"/>
          <w:szCs w:val="21"/>
        </w:rPr>
        <w:t>磋商报价应是满足采购需求所需的全部费用。未填入报价项目磋商小组可以认定为已包含在总报价，也可能做出对供应商不利的判断，后果由供应商自行承担。</w:t>
      </w:r>
    </w:p>
    <w:p w14:paraId="1A9012F1">
      <w:pPr>
        <w:keepNext w:val="0"/>
        <w:keepLines w:val="0"/>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3.2.3</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11"/>
          <w:position w:val="0"/>
          <w:sz w:val="21"/>
          <w:szCs w:val="21"/>
        </w:rPr>
        <w:t>磋商报价应完全包括磋商文件规定的全部服务范围，不得任意分割或合并所规定的分项</w:t>
      </w:r>
      <w:r>
        <w:rPr>
          <w:rFonts w:hint="eastAsia" w:ascii="宋体" w:hAnsi="宋体" w:eastAsia="宋体" w:cs="宋体"/>
          <w:color w:val="auto"/>
          <w:spacing w:val="0"/>
          <w:position w:val="0"/>
          <w:szCs w:val="21"/>
        </w:rPr>
        <w:t>。</w:t>
      </w:r>
    </w:p>
    <w:p w14:paraId="4C5A11FB">
      <w:pPr>
        <w:keepNext w:val="0"/>
        <w:keepLines w:val="0"/>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3.2.4</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0"/>
          <w:position w:val="0"/>
          <w:szCs w:val="21"/>
        </w:rPr>
        <w:t>如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65EE3777">
      <w:pPr>
        <w:keepNext w:val="0"/>
        <w:keepLines w:val="0"/>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3.2.5 采购人设有最高限价的，供应商的首次报价及最后报价均不得超过最高限价，最高限价在供应商须知前附表中载明。（实质性变动采购需求情况除外）</w:t>
      </w:r>
    </w:p>
    <w:p w14:paraId="2B2A0A4A">
      <w:pPr>
        <w:keepNext w:val="0"/>
        <w:keepLines w:val="0"/>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3.2.6</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0"/>
          <w:position w:val="0"/>
          <w:szCs w:val="21"/>
        </w:rPr>
        <w:t>磋商报价的其他要求见供应商须知前附表。</w:t>
      </w:r>
    </w:p>
    <w:bookmarkEnd w:id="7"/>
    <w:p w14:paraId="071CF224">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 xml:space="preserve">3.3 </w:t>
      </w:r>
      <w:r>
        <w:rPr>
          <w:rFonts w:hint="eastAsia" w:ascii="宋体" w:hAnsi="宋体" w:eastAsia="宋体" w:cs="宋体"/>
          <w:color w:val="auto"/>
          <w:spacing w:val="0"/>
          <w:position w:val="0"/>
          <w:sz w:val="21"/>
          <w:szCs w:val="21"/>
          <w:lang w:eastAsia="zh-CN"/>
        </w:rPr>
        <w:t>磋商有效期</w:t>
      </w:r>
    </w:p>
    <w:p w14:paraId="1ACAAEF5">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3.3.1 </w:t>
      </w:r>
      <w:r>
        <w:rPr>
          <w:rFonts w:hint="eastAsia" w:ascii="宋体" w:hAnsi="宋体" w:eastAsia="宋体" w:cs="宋体"/>
          <w:color w:val="auto"/>
          <w:spacing w:val="0"/>
          <w:position w:val="0"/>
          <w:szCs w:val="21"/>
          <w:lang w:eastAsia="zh-CN"/>
        </w:rPr>
        <w:t>磋商有效期</w:t>
      </w:r>
      <w:r>
        <w:rPr>
          <w:rFonts w:hint="eastAsia" w:ascii="宋体" w:hAnsi="宋体" w:eastAsia="宋体" w:cs="宋体"/>
          <w:color w:val="auto"/>
          <w:spacing w:val="0"/>
          <w:position w:val="0"/>
          <w:szCs w:val="21"/>
        </w:rPr>
        <w:t>要求见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6192FCBB">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3.3.2</w:t>
      </w:r>
      <w:r>
        <w:rPr>
          <w:rFonts w:hint="eastAsia" w:ascii="宋体" w:hAnsi="宋体" w:eastAsia="宋体" w:cs="宋体"/>
          <w:color w:val="auto"/>
          <w:spacing w:val="0"/>
          <w:position w:val="0"/>
          <w:szCs w:val="21"/>
          <w:lang w:val="en-US" w:eastAsia="zh-CN"/>
        </w:rPr>
        <w:t xml:space="preserve"> </w:t>
      </w:r>
      <w:r>
        <w:rPr>
          <w:rFonts w:hint="eastAsia" w:ascii="宋体" w:hAnsi="宋体" w:eastAsia="宋体" w:cs="宋体"/>
          <w:color w:val="auto"/>
          <w:spacing w:val="0"/>
          <w:position w:val="0"/>
          <w:szCs w:val="21"/>
          <w:lang w:eastAsia="zh-CN"/>
        </w:rPr>
        <w:t>磋商有效期</w:t>
      </w:r>
      <w:r>
        <w:rPr>
          <w:rFonts w:hint="eastAsia" w:ascii="宋体" w:hAnsi="宋体" w:eastAsia="宋体" w:cs="宋体"/>
          <w:color w:val="auto"/>
          <w:spacing w:val="0"/>
          <w:position w:val="0"/>
          <w:szCs w:val="21"/>
        </w:rPr>
        <w:t>从提交</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的截止之日起算。</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中承诺的</w:t>
      </w:r>
      <w:r>
        <w:rPr>
          <w:rFonts w:hint="eastAsia" w:ascii="宋体" w:hAnsi="宋体" w:eastAsia="宋体" w:cs="宋体"/>
          <w:color w:val="auto"/>
          <w:spacing w:val="0"/>
          <w:position w:val="0"/>
          <w:szCs w:val="21"/>
          <w:lang w:eastAsia="zh-CN"/>
        </w:rPr>
        <w:t>磋商有效期</w:t>
      </w:r>
      <w:r>
        <w:rPr>
          <w:rFonts w:hint="eastAsia" w:ascii="宋体" w:hAnsi="宋体" w:eastAsia="宋体" w:cs="宋体"/>
          <w:color w:val="auto"/>
          <w:spacing w:val="0"/>
          <w:position w:val="0"/>
          <w:szCs w:val="21"/>
        </w:rPr>
        <w:t>应当不少于</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中载明的</w:t>
      </w:r>
      <w:r>
        <w:rPr>
          <w:rFonts w:hint="eastAsia" w:ascii="宋体" w:hAnsi="宋体" w:eastAsia="宋体" w:cs="宋体"/>
          <w:color w:val="auto"/>
          <w:spacing w:val="0"/>
          <w:position w:val="0"/>
          <w:szCs w:val="21"/>
          <w:lang w:eastAsia="zh-CN"/>
        </w:rPr>
        <w:t>磋商有效期</w:t>
      </w:r>
      <w:r>
        <w:rPr>
          <w:rFonts w:hint="eastAsia" w:ascii="宋体" w:hAnsi="宋体" w:eastAsia="宋体" w:cs="宋体"/>
          <w:color w:val="auto"/>
          <w:spacing w:val="0"/>
          <w:position w:val="0"/>
          <w:szCs w:val="21"/>
        </w:rPr>
        <w:t>。</w:t>
      </w:r>
      <w:r>
        <w:rPr>
          <w:rFonts w:hint="eastAsia" w:ascii="宋体" w:hAnsi="宋体" w:eastAsia="宋体" w:cs="宋体"/>
          <w:color w:val="auto"/>
          <w:spacing w:val="0"/>
          <w:position w:val="0"/>
          <w:szCs w:val="21"/>
          <w:lang w:eastAsia="zh-CN"/>
        </w:rPr>
        <w:t>磋商有效期</w:t>
      </w:r>
      <w:r>
        <w:rPr>
          <w:rFonts w:hint="eastAsia" w:ascii="宋体" w:hAnsi="宋体" w:eastAsia="宋体" w:cs="宋体"/>
          <w:color w:val="auto"/>
          <w:spacing w:val="0"/>
          <w:position w:val="0"/>
          <w:szCs w:val="21"/>
        </w:rPr>
        <w:t>内</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撤销</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无效。</w:t>
      </w:r>
    </w:p>
    <w:p w14:paraId="0DDCEA26">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 xml:space="preserve">3.4 </w:t>
      </w:r>
      <w:r>
        <w:rPr>
          <w:rFonts w:hint="eastAsia" w:ascii="宋体" w:hAnsi="宋体" w:eastAsia="宋体" w:cs="宋体"/>
          <w:color w:val="auto"/>
          <w:spacing w:val="0"/>
          <w:position w:val="0"/>
          <w:sz w:val="21"/>
          <w:szCs w:val="21"/>
          <w:lang w:eastAsia="zh-CN"/>
        </w:rPr>
        <w:t>磋商保证金</w:t>
      </w:r>
    </w:p>
    <w:p w14:paraId="508AF3C1">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根据《河南省财政厅关于优化政府采购营商环境有关问题的通知》</w:t>
      </w:r>
      <w:r>
        <w:rPr>
          <w:rFonts w:hint="eastAsia" w:ascii="宋体" w:hAnsi="宋体" w:eastAsia="宋体" w:cs="宋体"/>
          <w:color w:val="auto"/>
          <w:spacing w:val="0"/>
          <w:kern w:val="0"/>
          <w:position w:val="0"/>
          <w:szCs w:val="21"/>
        </w:rPr>
        <w:t>（豫财购〔2019〕4号）</w:t>
      </w:r>
      <w:r>
        <w:rPr>
          <w:rFonts w:hint="eastAsia" w:ascii="宋体" w:hAnsi="宋体" w:eastAsia="宋体" w:cs="宋体"/>
          <w:color w:val="auto"/>
          <w:spacing w:val="0"/>
          <w:position w:val="0"/>
          <w:szCs w:val="21"/>
        </w:rPr>
        <w:t>文件之规定，本项目不再要求</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提交</w:t>
      </w:r>
      <w:bookmarkStart w:id="8" w:name="_Hlk66355967"/>
      <w:r>
        <w:rPr>
          <w:rFonts w:hint="eastAsia" w:ascii="宋体" w:hAnsi="宋体" w:eastAsia="宋体" w:cs="宋体"/>
          <w:color w:val="auto"/>
          <w:spacing w:val="0"/>
          <w:position w:val="0"/>
          <w:szCs w:val="21"/>
          <w:lang w:eastAsia="zh-CN"/>
        </w:rPr>
        <w:t>磋商保证金</w:t>
      </w:r>
      <w:r>
        <w:rPr>
          <w:rFonts w:hint="eastAsia" w:ascii="宋体" w:hAnsi="宋体" w:eastAsia="宋体" w:cs="宋体"/>
          <w:color w:val="auto"/>
          <w:spacing w:val="0"/>
          <w:position w:val="0"/>
          <w:szCs w:val="21"/>
        </w:rPr>
        <w:t>，</w:t>
      </w:r>
      <w:r>
        <w:rPr>
          <w:rFonts w:hint="eastAsia" w:ascii="宋体" w:hAnsi="宋体" w:eastAsia="宋体" w:cs="宋体"/>
          <w:color w:val="auto"/>
          <w:spacing w:val="0"/>
          <w:kern w:val="0"/>
          <w:position w:val="0"/>
          <w:szCs w:val="21"/>
        </w:rPr>
        <w:t>需提供承诺函及代理服务费承诺函</w:t>
      </w:r>
      <w:r>
        <w:rPr>
          <w:rFonts w:hint="eastAsia" w:ascii="宋体" w:hAnsi="宋体" w:eastAsia="宋体" w:cs="宋体"/>
          <w:color w:val="auto"/>
          <w:spacing w:val="0"/>
          <w:position w:val="0"/>
          <w:szCs w:val="21"/>
        </w:rPr>
        <w:t>。</w:t>
      </w:r>
    </w:p>
    <w:bookmarkEnd w:id="8"/>
    <w:p w14:paraId="222666FE">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3.5 资格审查资料</w:t>
      </w:r>
    </w:p>
    <w:p w14:paraId="3E9E292C">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除</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须知前附表另有规定外，</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应按规定提供资格审查资料，以证明其满足本章第1.4.1款要求。</w:t>
      </w:r>
    </w:p>
    <w:p w14:paraId="61756112">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3.6 备选投标方案</w:t>
      </w:r>
    </w:p>
    <w:p w14:paraId="0B8CF47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除</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须知前附表规定允许外，</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不得递交备选投标方案，否则其投标将被否决。</w:t>
      </w:r>
    </w:p>
    <w:p w14:paraId="4E8A23B1">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3.7 </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的编制</w:t>
      </w:r>
    </w:p>
    <w:p w14:paraId="0906EF58">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3.7.1 </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应按第</w:t>
      </w:r>
      <w:r>
        <w:rPr>
          <w:rFonts w:hint="eastAsia" w:ascii="宋体" w:hAnsi="宋体" w:eastAsia="宋体" w:cs="宋体"/>
          <w:color w:val="auto"/>
          <w:spacing w:val="0"/>
          <w:position w:val="0"/>
          <w:szCs w:val="21"/>
          <w:lang w:val="en-US" w:eastAsia="zh-CN"/>
        </w:rPr>
        <w:t>八</w:t>
      </w:r>
      <w:r>
        <w:rPr>
          <w:rFonts w:hint="eastAsia" w:ascii="宋体" w:hAnsi="宋体" w:eastAsia="宋体" w:cs="宋体"/>
          <w:color w:val="auto"/>
          <w:spacing w:val="0"/>
          <w:position w:val="0"/>
          <w:szCs w:val="21"/>
        </w:rPr>
        <w:t>章“</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格式”进行编写，如有必要，可以增加附页，作为</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的组成部分。</w:t>
      </w:r>
    </w:p>
    <w:p w14:paraId="21D973C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3.7.2 </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应当对</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lang w:val="en-US" w:eastAsia="zh-CN"/>
        </w:rPr>
        <w:t>工期</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磋商有效期</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val="en-US" w:eastAsia="zh-CN"/>
        </w:rPr>
        <w:t>质量要求</w:t>
      </w:r>
      <w:r>
        <w:rPr>
          <w:rFonts w:hint="eastAsia" w:ascii="宋体" w:hAnsi="宋体" w:eastAsia="宋体" w:cs="宋体"/>
          <w:color w:val="auto"/>
          <w:spacing w:val="0"/>
          <w:position w:val="0"/>
          <w:sz w:val="21"/>
          <w:szCs w:val="21"/>
        </w:rPr>
        <w:t>等实质性内容作出响应。</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在满足</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实质性要求的基础上，可以提出比</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要求更有利于采购人的承诺</w:t>
      </w:r>
      <w:r>
        <w:rPr>
          <w:rFonts w:hint="eastAsia" w:ascii="宋体" w:hAnsi="宋体" w:eastAsia="宋体" w:cs="宋体"/>
          <w:color w:val="auto"/>
          <w:spacing w:val="0"/>
          <w:position w:val="0"/>
          <w:szCs w:val="21"/>
        </w:rPr>
        <w:t>。</w:t>
      </w:r>
    </w:p>
    <w:p w14:paraId="769F9F26">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3.7.3响应文件应用不褪色的材料书写或打印，并由供应商的法定代表人或其委托代理人签字并加盖单位公章。委托代理人签字的，响应文件应附法定代表人签署的授权委托书。响应文件应尽量避免涂改、行间插字或删除。如果出现上述情况，改动之处应加盖单位公章并由供应商的法定代表人或其授权的代理人签字确认。签字或盖章的具体要求见供应商须知前附表。</w:t>
      </w:r>
    </w:p>
    <w:p w14:paraId="7B1576D8">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3.7.4 响应文件份数见供应商须知前附表。</w:t>
      </w:r>
    </w:p>
    <w:p w14:paraId="5DE5F33B">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val="en-US" w:eastAsia="zh-CN"/>
        </w:rPr>
      </w:pPr>
      <w:bookmarkStart w:id="9" w:name="_Toc16585"/>
      <w:r>
        <w:rPr>
          <w:rFonts w:hint="eastAsia" w:ascii="宋体" w:hAnsi="宋体" w:eastAsia="宋体" w:cs="宋体"/>
          <w:color w:val="auto"/>
          <w:spacing w:val="0"/>
          <w:position w:val="0"/>
          <w:sz w:val="21"/>
          <w:szCs w:val="21"/>
        </w:rPr>
        <w:t>4. 投标</w:t>
      </w:r>
      <w:r>
        <w:rPr>
          <w:rFonts w:hint="eastAsia" w:ascii="宋体" w:hAnsi="宋体" w:eastAsia="宋体" w:cs="宋体"/>
          <w:color w:val="auto"/>
          <w:spacing w:val="0"/>
          <w:position w:val="0"/>
          <w:sz w:val="21"/>
          <w:szCs w:val="21"/>
          <w:lang w:val="en-US" w:eastAsia="zh-CN"/>
        </w:rPr>
        <w:t>响应</w:t>
      </w:r>
      <w:bookmarkEnd w:id="9"/>
    </w:p>
    <w:p w14:paraId="6345C7F5">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4.1 </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的加密和标记</w:t>
      </w:r>
    </w:p>
    <w:p w14:paraId="445E78C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 w:val="21"/>
          <w:szCs w:val="21"/>
          <w:lang w:val="en-US" w:eastAsia="zh-CN"/>
        </w:rPr>
        <w:t xml:space="preserve">4.1.1 </w:t>
      </w:r>
      <w:r>
        <w:rPr>
          <w:rFonts w:hint="eastAsia" w:ascii="宋体" w:hAnsi="宋体" w:eastAsia="宋体" w:cs="宋体"/>
          <w:color w:val="auto"/>
          <w:spacing w:val="0"/>
          <w:position w:val="0"/>
          <w:sz w:val="21"/>
          <w:szCs w:val="21"/>
        </w:rPr>
        <w:t>供应商应当按照竞争性磋商文件和电子招标投标交易平台的要求加密响应文件，具体要求见供应商须知前附表。</w:t>
      </w:r>
    </w:p>
    <w:p w14:paraId="0B65F54F">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4.2 响应文件的递交</w:t>
      </w:r>
    </w:p>
    <w:p w14:paraId="3B62C75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4.2.1 供应商应在供应商须知前附表规定的提交首次响应文件截止时间前递交响应文件。</w:t>
      </w:r>
    </w:p>
    <w:p w14:paraId="0D1E489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4.2.2 供应商通过下载竞争性磋商文件的电子招标投标交易平台递交电子响应文件。</w:t>
      </w:r>
    </w:p>
    <w:p w14:paraId="1A027C28">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4.2.3 除供应商须知前附表另有规定外供应商所递交的响应文件不予退还。</w:t>
      </w:r>
    </w:p>
    <w:p w14:paraId="30ECF00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4.2.4 供应商完成电子响应文件上传后，电子招标投标交易平台即时向供应商发出递交回执通知。递交时间以递交回执通知载明的传输完成时间为准。</w:t>
      </w:r>
    </w:p>
    <w:p w14:paraId="51D80DEB">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4.2.5 </w:t>
      </w:r>
      <w:r>
        <w:rPr>
          <w:rFonts w:hint="eastAsia" w:ascii="宋体" w:hAnsi="宋体" w:eastAsia="宋体" w:cs="宋体"/>
          <w:color w:val="auto"/>
          <w:spacing w:val="-6"/>
          <w:position w:val="0"/>
          <w:sz w:val="21"/>
          <w:szCs w:val="21"/>
        </w:rPr>
        <w:t>逾期送达的响应文件或未按规定加密的响应文件，电子招标投标交易平台将予以拒收</w:t>
      </w:r>
      <w:r>
        <w:rPr>
          <w:rFonts w:hint="eastAsia" w:ascii="宋体" w:hAnsi="宋体" w:eastAsia="宋体" w:cs="宋体"/>
          <w:color w:val="auto"/>
          <w:spacing w:val="0"/>
          <w:position w:val="0"/>
          <w:szCs w:val="21"/>
        </w:rPr>
        <w:t>。</w:t>
      </w:r>
    </w:p>
    <w:p w14:paraId="540EC306">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4.3 </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的修改与撤回</w:t>
      </w:r>
    </w:p>
    <w:p w14:paraId="189BA17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4.3.1 在本章第</w:t>
      </w:r>
      <w:r>
        <w:rPr>
          <w:rFonts w:hint="eastAsia" w:ascii="宋体" w:hAnsi="宋体" w:eastAsia="宋体" w:cs="宋体"/>
          <w:color w:val="auto"/>
          <w:spacing w:val="0"/>
          <w:position w:val="0"/>
          <w:szCs w:val="21"/>
          <w:lang w:val="en-US" w:eastAsia="zh-CN"/>
        </w:rPr>
        <w:t>4.2.1</w:t>
      </w:r>
      <w:r>
        <w:rPr>
          <w:rFonts w:hint="eastAsia" w:ascii="宋体" w:hAnsi="宋体" w:eastAsia="宋体" w:cs="宋体"/>
          <w:color w:val="auto"/>
          <w:spacing w:val="0"/>
          <w:position w:val="0"/>
          <w:szCs w:val="21"/>
        </w:rPr>
        <w:t>项规定的响应文件递交截止时间前，供应商可以修改或撤回已递交的响应文件，但应以书面形式通知采购人。</w:t>
      </w:r>
    </w:p>
    <w:p w14:paraId="7AD6299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4.3.2 供应商补充、修改或撤回已递交响应文件的通知，应按照本章第3.</w:t>
      </w:r>
      <w:r>
        <w:rPr>
          <w:rFonts w:hint="eastAsia" w:ascii="宋体" w:hAnsi="宋体" w:eastAsia="宋体" w:cs="宋体"/>
          <w:color w:val="auto"/>
          <w:spacing w:val="0"/>
          <w:position w:val="0"/>
          <w:szCs w:val="21"/>
          <w:lang w:val="en-US" w:eastAsia="zh-CN"/>
        </w:rPr>
        <w:t>7</w:t>
      </w:r>
      <w:r>
        <w:rPr>
          <w:rFonts w:hint="eastAsia" w:ascii="宋体" w:hAnsi="宋体" w:eastAsia="宋体" w:cs="宋体"/>
          <w:color w:val="auto"/>
          <w:spacing w:val="0"/>
          <w:position w:val="0"/>
          <w:szCs w:val="21"/>
        </w:rPr>
        <w:t>.3项的要求加盖电子印章。电子招标投标交易平台收到通知后，即时向供应商发出确认回执通知。</w:t>
      </w:r>
    </w:p>
    <w:p w14:paraId="7D51C65F">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4.3.3 修改的内容为响应文件的组成部分。修改的响应文件应按照本章第3条、第4条规定进行编制、密封、标记和递交，并标明“修改”字样。</w:t>
      </w:r>
    </w:p>
    <w:p w14:paraId="2080093A">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bookmarkStart w:id="10" w:name="_Toc26409"/>
      <w:r>
        <w:rPr>
          <w:rFonts w:hint="eastAsia" w:ascii="宋体" w:hAnsi="宋体" w:eastAsia="宋体" w:cs="宋体"/>
          <w:color w:val="auto"/>
          <w:spacing w:val="0"/>
          <w:position w:val="0"/>
          <w:sz w:val="21"/>
          <w:szCs w:val="21"/>
        </w:rPr>
        <w:t xml:space="preserve">5. </w:t>
      </w:r>
      <w:r>
        <w:rPr>
          <w:rFonts w:hint="eastAsia" w:ascii="宋体" w:hAnsi="宋体" w:eastAsia="宋体" w:cs="宋体"/>
          <w:color w:val="auto"/>
          <w:spacing w:val="0"/>
          <w:position w:val="0"/>
          <w:sz w:val="21"/>
          <w:szCs w:val="21"/>
          <w:lang w:val="en-US" w:eastAsia="zh-CN"/>
        </w:rPr>
        <w:t>磋商</w:t>
      </w:r>
      <w:bookmarkEnd w:id="10"/>
    </w:p>
    <w:p w14:paraId="08F7AD69">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5.1 </w:t>
      </w:r>
      <w:r>
        <w:rPr>
          <w:rFonts w:hint="eastAsia" w:ascii="宋体" w:hAnsi="宋体" w:eastAsia="宋体" w:cs="宋体"/>
          <w:color w:val="auto"/>
          <w:spacing w:val="0"/>
          <w:position w:val="0"/>
          <w:sz w:val="21"/>
          <w:szCs w:val="21"/>
          <w:lang w:val="en-US" w:eastAsia="zh-CN"/>
        </w:rPr>
        <w:t>磋商</w:t>
      </w:r>
      <w:r>
        <w:rPr>
          <w:rFonts w:hint="eastAsia" w:ascii="宋体" w:hAnsi="宋体" w:eastAsia="宋体" w:cs="宋体"/>
          <w:color w:val="auto"/>
          <w:spacing w:val="0"/>
          <w:position w:val="0"/>
          <w:sz w:val="21"/>
          <w:szCs w:val="21"/>
        </w:rPr>
        <w:t>时间</w:t>
      </w:r>
    </w:p>
    <w:p w14:paraId="2B38DCF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采购人在本章第4.2.1项规定的提交首次响应文件截止时间（开启时间），通过电子招标投标交易平台进行竞争性磋商，并邀请所有供应商的法定代表人或其委托代理人准时参加。</w:t>
      </w:r>
    </w:p>
    <w:p w14:paraId="35BEE402">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5.2 磋商程序</w:t>
      </w:r>
    </w:p>
    <w:p w14:paraId="69809C16">
      <w:pPr>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1</w:t>
      </w:r>
      <w:r>
        <w:rPr>
          <w:rFonts w:hint="eastAsia" w:ascii="宋体" w:hAnsi="宋体" w:eastAsia="宋体" w:cs="宋体"/>
          <w:color w:val="auto"/>
          <w:spacing w:val="0"/>
          <w:position w:val="0"/>
          <w:szCs w:val="21"/>
          <w:lang w:eastAsia="zh-CN"/>
        </w:rPr>
        <w:t>）提交首次响应文件截止，宣布磋商会议开始；</w:t>
      </w:r>
    </w:p>
    <w:p w14:paraId="68AA0F6F">
      <w:pPr>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lang w:eastAsia="zh-CN"/>
        </w:rPr>
        <w:t>）宣布开标纪律；</w:t>
      </w:r>
    </w:p>
    <w:p w14:paraId="0A81BBBA">
      <w:pPr>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3</w:t>
      </w:r>
      <w:r>
        <w:rPr>
          <w:rFonts w:hint="eastAsia" w:ascii="宋体" w:hAnsi="宋体" w:eastAsia="宋体" w:cs="宋体"/>
          <w:color w:val="auto"/>
          <w:spacing w:val="0"/>
          <w:position w:val="0"/>
          <w:szCs w:val="21"/>
          <w:lang w:eastAsia="zh-CN"/>
        </w:rPr>
        <w:t>）对供应商的投标文件进行解密；</w:t>
      </w:r>
    </w:p>
    <w:p w14:paraId="28905A4E">
      <w:pPr>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4</w:t>
      </w:r>
      <w:r>
        <w:rPr>
          <w:rFonts w:hint="eastAsia" w:ascii="宋体" w:hAnsi="宋体" w:eastAsia="宋体" w:cs="宋体"/>
          <w:color w:val="auto"/>
          <w:spacing w:val="0"/>
          <w:position w:val="0"/>
          <w:szCs w:val="21"/>
          <w:lang w:eastAsia="zh-CN"/>
        </w:rPr>
        <w:t>）代理机构进行解密；</w:t>
      </w:r>
    </w:p>
    <w:p w14:paraId="24F9946E">
      <w:pPr>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5</w:t>
      </w:r>
      <w:r>
        <w:rPr>
          <w:rFonts w:hint="eastAsia" w:ascii="宋体" w:hAnsi="宋体" w:eastAsia="宋体" w:cs="宋体"/>
          <w:color w:val="auto"/>
          <w:spacing w:val="0"/>
          <w:position w:val="0"/>
          <w:szCs w:val="21"/>
          <w:lang w:eastAsia="zh-CN"/>
        </w:rPr>
        <w:t>）开标结束。</w:t>
      </w:r>
    </w:p>
    <w:p w14:paraId="6E056634">
      <w:pPr>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6</w:t>
      </w:r>
      <w:r>
        <w:rPr>
          <w:rFonts w:hint="eastAsia" w:ascii="宋体" w:hAnsi="宋体" w:eastAsia="宋体" w:cs="宋体"/>
          <w:color w:val="auto"/>
          <w:spacing w:val="0"/>
          <w:position w:val="0"/>
          <w:szCs w:val="21"/>
          <w:lang w:eastAsia="zh-CN"/>
        </w:rPr>
        <w:t>）第二次磋商报价（响应人应及时关注永城市公共资源交易中心系统上的二次报价倒计时的通知，应在规定的时间内进行第二次磋商报价</w:t>
      </w:r>
      <w:r>
        <w:rPr>
          <w:rFonts w:hint="eastAsia" w:ascii="宋体" w:hAnsi="宋体" w:eastAsia="宋体" w:cs="宋体"/>
          <w:color w:val="auto"/>
          <w:spacing w:val="0"/>
          <w:position w:val="0"/>
          <w:szCs w:val="21"/>
          <w:lang w:val="en-US" w:eastAsia="zh-CN"/>
        </w:rPr>
        <w:t>(不得高于第一次磋商报价)</w:t>
      </w:r>
      <w:r>
        <w:rPr>
          <w:rFonts w:hint="eastAsia" w:ascii="宋体" w:hAnsi="宋体" w:eastAsia="宋体" w:cs="宋体"/>
          <w:color w:val="auto"/>
          <w:spacing w:val="0"/>
          <w:position w:val="0"/>
          <w:szCs w:val="21"/>
          <w:lang w:eastAsia="zh-CN"/>
        </w:rPr>
        <w:t>，未在交易平台系统规定时间内进行第二次磋商报价或第二次磋商报价未提交成功的，投标无效，由此产生的一切后果由响应人自行承担）。第二次磋商报价与一次报价相比的优惠幅度作为供应商的优惠率，优惠率适用于工作已标价的工程量清单调整、竣工结算和变更追加项目。</w:t>
      </w:r>
    </w:p>
    <w:p w14:paraId="63277654">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bookmarkStart w:id="11" w:name="_Toc27874"/>
      <w:r>
        <w:rPr>
          <w:rFonts w:hint="eastAsia" w:ascii="宋体" w:hAnsi="宋体" w:eastAsia="宋体" w:cs="宋体"/>
          <w:color w:val="auto"/>
          <w:spacing w:val="0"/>
          <w:position w:val="0"/>
          <w:sz w:val="21"/>
          <w:szCs w:val="21"/>
        </w:rPr>
        <w:t xml:space="preserve">6. </w:t>
      </w:r>
      <w:r>
        <w:rPr>
          <w:rFonts w:hint="eastAsia" w:ascii="宋体" w:hAnsi="宋体" w:eastAsia="宋体" w:cs="宋体"/>
          <w:color w:val="auto"/>
          <w:spacing w:val="0"/>
          <w:position w:val="0"/>
          <w:sz w:val="21"/>
          <w:szCs w:val="21"/>
          <w:lang w:val="en-US" w:eastAsia="zh-CN"/>
        </w:rPr>
        <w:t>评审</w:t>
      </w:r>
      <w:bookmarkEnd w:id="11"/>
    </w:p>
    <w:p w14:paraId="29F2D9C1">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 xml:space="preserve">6.1 </w:t>
      </w:r>
      <w:r>
        <w:rPr>
          <w:rFonts w:hint="eastAsia" w:ascii="宋体" w:hAnsi="宋体" w:eastAsia="宋体" w:cs="宋体"/>
          <w:color w:val="auto"/>
          <w:spacing w:val="0"/>
          <w:position w:val="0"/>
          <w:sz w:val="21"/>
          <w:szCs w:val="21"/>
          <w:lang w:eastAsia="zh-CN"/>
        </w:rPr>
        <w:t>磋商小组</w:t>
      </w:r>
    </w:p>
    <w:p w14:paraId="2880156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6.1.1 磋商会议由采购人依法组建的磋商小组负责。磋商小组由采购人以及有关技术、经济等方面的专家组成。磋商小组成员人数以及技术、经济等方面专家的确定方式见供应商须知前附表。</w:t>
      </w:r>
    </w:p>
    <w:p w14:paraId="20948DA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6.1.2 磋商小组成员有下列情形之一的，应当回避：</w:t>
      </w:r>
    </w:p>
    <w:p w14:paraId="1DA06B4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（1）供应商或供应商主要负责人的近亲属；</w:t>
      </w:r>
    </w:p>
    <w:p w14:paraId="48703CB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（2）项目主管部门或者行政监督部门的人员；</w:t>
      </w:r>
    </w:p>
    <w:p w14:paraId="38407CA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（3）与供应商有经济利益关系，可能影响对投标公正评审的；</w:t>
      </w:r>
    </w:p>
    <w:p w14:paraId="13C791DB">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（4）曾因在招标、</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以及其他与招标投标有关活动中从事违法行为而受过行政处罚或刑事处罚的；</w:t>
      </w:r>
    </w:p>
    <w:p w14:paraId="6E7AEDD5">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（5）与供应商有其他利害关系。</w:t>
      </w:r>
    </w:p>
    <w:p w14:paraId="36A0C4A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6.1.3 磋商过程中，磋商小组成员有回避事由、擅离职守或者因健康等原因不能继续评审的，采购人有权更换。被更换的磋商小组成员作出的评审结论无效，由更换后的磋商小组成员重新进行评审。</w:t>
      </w:r>
    </w:p>
    <w:p w14:paraId="471E8C0F">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6.2 </w:t>
      </w:r>
      <w:r>
        <w:rPr>
          <w:rFonts w:hint="eastAsia" w:ascii="宋体" w:hAnsi="宋体" w:eastAsia="宋体" w:cs="宋体"/>
          <w:color w:val="auto"/>
          <w:spacing w:val="0"/>
          <w:position w:val="0"/>
          <w:sz w:val="21"/>
          <w:szCs w:val="21"/>
          <w:lang w:val="en-US" w:eastAsia="zh-CN"/>
        </w:rPr>
        <w:t>磋商</w:t>
      </w:r>
      <w:r>
        <w:rPr>
          <w:rFonts w:hint="eastAsia" w:ascii="宋体" w:hAnsi="宋体" w:eastAsia="宋体" w:cs="宋体"/>
          <w:color w:val="auto"/>
          <w:spacing w:val="0"/>
          <w:position w:val="0"/>
          <w:sz w:val="21"/>
          <w:szCs w:val="21"/>
        </w:rPr>
        <w:t>原则</w:t>
      </w:r>
    </w:p>
    <w:p w14:paraId="74EF3475">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磋商小组成员应当按照客观、公正、审慎的原则，根据磋商文件规定的评审程序、评审方法和评审标准进行独立评审。</w:t>
      </w:r>
    </w:p>
    <w:p w14:paraId="6369EDB5">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 xml:space="preserve">6.3 </w:t>
      </w:r>
      <w:r>
        <w:rPr>
          <w:rFonts w:hint="eastAsia" w:ascii="宋体" w:hAnsi="宋体" w:eastAsia="宋体" w:cs="宋体"/>
          <w:color w:val="auto"/>
          <w:spacing w:val="0"/>
          <w:position w:val="0"/>
          <w:sz w:val="21"/>
          <w:szCs w:val="21"/>
          <w:lang w:val="en-US" w:eastAsia="zh-CN"/>
        </w:rPr>
        <w:t>评审</w:t>
      </w:r>
    </w:p>
    <w:p w14:paraId="754A914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6.3.1 磋商小组按照第三章“评分办法”规定的方法、评审因素、标准和程序对响应文件进行评审。第三章“评分办法”没有规定的方法、评审因素和标准，不作为评审依据。</w:t>
      </w:r>
    </w:p>
    <w:p w14:paraId="041E790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6.3.2初步评审</w:t>
      </w:r>
    </w:p>
    <w:p w14:paraId="1D0322B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磋商小组应当对各供应商的响应文件进行初步评审，以确定其是否满足磋商文件的实质性要求，未实质性响应磋商文件的响应文件按无效响应处理。</w:t>
      </w:r>
    </w:p>
    <w:p w14:paraId="2864154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6.3.3响应文件的澄清</w:t>
      </w:r>
    </w:p>
    <w:p w14:paraId="3D18E37C">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0C05DF">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846DE81">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6.3.4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w:t>
      </w:r>
    </w:p>
    <w:p w14:paraId="621D530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rPr>
        <w:t>响应人对所参加磋商项目根据市场行情自主报价，分二次报价（特殊情况</w:t>
      </w:r>
      <w:r>
        <w:rPr>
          <w:rFonts w:hint="eastAsia" w:ascii="宋体" w:hAnsi="宋体" w:eastAsia="宋体" w:cs="宋体"/>
          <w:color w:val="auto"/>
          <w:spacing w:val="0"/>
          <w:position w:val="0"/>
          <w:szCs w:val="21"/>
          <w:lang w:val="en-US" w:eastAsia="zh-CN"/>
        </w:rPr>
        <w:t>下</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经磋商小组根据磋商现场情况，可以要求响应人适当进行多轮报价），一次报价须按照磋商文件的报价格式填报，第二次报价在磋商中填报（注：1、最后报价不得超出采购人预算价；2、最后报价明显低于成本价的，响应人需做出合理说明，否则将承担不被接受的风险）</w:t>
      </w:r>
      <w:r>
        <w:rPr>
          <w:rFonts w:hint="eastAsia" w:ascii="宋体" w:hAnsi="宋体" w:eastAsia="宋体" w:cs="宋体"/>
          <w:color w:val="auto"/>
          <w:spacing w:val="0"/>
          <w:position w:val="0"/>
          <w:szCs w:val="21"/>
          <w:lang w:eastAsia="zh-CN"/>
        </w:rPr>
        <w:t>。</w:t>
      </w:r>
    </w:p>
    <w:p w14:paraId="4990E99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磋商小组通知所有参加磋商的供应商，并要求所有实质性响应的供应商在规定时间内提交最后报价，提交最后报价的供应商不得少于3家。</w:t>
      </w:r>
    </w:p>
    <w:p w14:paraId="0835899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供应商应当按照磋商文件的变动情况和磋商小组的要求提交最后报价，未在规定时间内进行报价的，产生的后果由供应商自行承担。</w:t>
      </w:r>
    </w:p>
    <w:p w14:paraId="4D26385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6.3.5已提交响应文件的供应商，在提交最后报价之前，可以根据磋商情况退出磋商。</w:t>
      </w:r>
    </w:p>
    <w:p w14:paraId="4F2803C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6.3.6经磋商确定最终采购需求和提交最后报价的供应商后，由磋商小组采用综合评分法对提交最后报价的供应商的响应文件和最后报价进行综合评分。</w:t>
      </w:r>
    </w:p>
    <w:p w14:paraId="24F20D41">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6.3.7评审完成后，磋商小组应当向采购人提交书面评审报告和成交候选供应商名单。磋商小组推荐成交候选供应商数量见供应商须知前附表。</w:t>
      </w:r>
    </w:p>
    <w:p w14:paraId="033F9507">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6.4 投标无效</w:t>
      </w:r>
    </w:p>
    <w:p w14:paraId="413A945C">
      <w:pPr>
        <w:pageBreakBefore w:val="0"/>
        <w:widowControl w:val="0"/>
        <w:kinsoku/>
        <w:wordWrap w:val="0"/>
        <w:overflowPunct/>
        <w:topLinePunct/>
        <w:autoSpaceDE/>
        <w:autoSpaceDN/>
        <w:bidi w:val="0"/>
        <w:adjustRightInd/>
        <w:snapToGrid/>
        <w:spacing w:line="372" w:lineRule="auto"/>
        <w:ind w:firstLine="315" w:firstLineChars="15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如发现下列情况之一的，其投标将被认定为投标无效：</w:t>
      </w:r>
    </w:p>
    <w:p w14:paraId="3503B6FD">
      <w:pPr>
        <w:pageBreakBefore w:val="0"/>
        <w:widowControl w:val="0"/>
        <w:numPr>
          <w:ilvl w:val="0"/>
          <w:numId w:val="1"/>
        </w:numPr>
        <w:kinsoku/>
        <w:wordWrap w:val="0"/>
        <w:overflowPunct/>
        <w:topLinePunct/>
        <w:autoSpaceDE/>
        <w:autoSpaceDN/>
        <w:bidi w:val="0"/>
        <w:adjustRightInd/>
        <w:snapToGrid/>
        <w:spacing w:line="372" w:lineRule="auto"/>
        <w:ind w:hanging="5"/>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未按照</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规定要求签署、盖章的；</w:t>
      </w:r>
    </w:p>
    <w:p w14:paraId="54AFD2F0">
      <w:pPr>
        <w:pageBreakBefore w:val="0"/>
        <w:widowControl w:val="0"/>
        <w:numPr>
          <w:ilvl w:val="0"/>
          <w:numId w:val="1"/>
        </w:numPr>
        <w:kinsoku/>
        <w:wordWrap w:val="0"/>
        <w:overflowPunct/>
        <w:topLinePunct/>
        <w:autoSpaceDE/>
        <w:autoSpaceDN/>
        <w:bidi w:val="0"/>
        <w:adjustRightInd/>
        <w:snapToGrid/>
        <w:spacing w:line="372" w:lineRule="auto"/>
        <w:ind w:hanging="5"/>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报价超过</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中规定的预算金额或者最高限价的；</w:t>
      </w:r>
    </w:p>
    <w:p w14:paraId="59E96EB0">
      <w:pPr>
        <w:pageBreakBefore w:val="0"/>
        <w:widowControl w:val="0"/>
        <w:numPr>
          <w:ilvl w:val="0"/>
          <w:numId w:val="1"/>
        </w:numPr>
        <w:kinsoku/>
        <w:wordWrap w:val="0"/>
        <w:overflowPunct/>
        <w:topLinePunct/>
        <w:autoSpaceDE/>
        <w:autoSpaceDN/>
        <w:bidi w:val="0"/>
        <w:adjustRightInd/>
        <w:snapToGrid/>
        <w:spacing w:line="372" w:lineRule="auto"/>
        <w:ind w:hanging="5"/>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含有采购人不能接受的附加条件的；</w:t>
      </w:r>
    </w:p>
    <w:p w14:paraId="384CDD57">
      <w:pPr>
        <w:pageBreakBefore w:val="0"/>
        <w:widowControl w:val="0"/>
        <w:numPr>
          <w:ilvl w:val="0"/>
          <w:numId w:val="1"/>
        </w:numPr>
        <w:kinsoku/>
        <w:wordWrap w:val="0"/>
        <w:overflowPunct/>
        <w:topLinePunct/>
        <w:autoSpaceDE/>
        <w:autoSpaceDN/>
        <w:bidi w:val="0"/>
        <w:adjustRightInd/>
        <w:snapToGrid/>
        <w:spacing w:line="372" w:lineRule="auto"/>
        <w:ind w:hanging="5"/>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属于串通投标，或者依法被视为串通投标；</w:t>
      </w:r>
    </w:p>
    <w:p w14:paraId="75B3C3A3">
      <w:pPr>
        <w:pageBreakBefore w:val="0"/>
        <w:widowControl w:val="0"/>
        <w:numPr>
          <w:ilvl w:val="0"/>
          <w:numId w:val="1"/>
        </w:numPr>
        <w:kinsoku/>
        <w:wordWrap w:val="0"/>
        <w:overflowPunct/>
        <w:topLinePunct/>
        <w:autoSpaceDE/>
        <w:autoSpaceDN/>
        <w:bidi w:val="0"/>
        <w:adjustRightInd/>
        <w:snapToGrid/>
        <w:spacing w:line="372" w:lineRule="auto"/>
        <w:ind w:hanging="5"/>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认为</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的报价明显低于其他通过符合性审查</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的报价，有可能影响履约的，且</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未按照规定证明其报价合理性的；</w:t>
      </w:r>
    </w:p>
    <w:p w14:paraId="29C05E67">
      <w:pPr>
        <w:pageBreakBefore w:val="0"/>
        <w:widowControl w:val="0"/>
        <w:numPr>
          <w:ilvl w:val="0"/>
          <w:numId w:val="1"/>
        </w:numPr>
        <w:kinsoku/>
        <w:wordWrap w:val="0"/>
        <w:overflowPunct/>
        <w:topLinePunct/>
        <w:autoSpaceDE/>
        <w:autoSpaceDN/>
        <w:bidi w:val="0"/>
        <w:adjustRightInd/>
        <w:snapToGrid/>
        <w:spacing w:line="372" w:lineRule="auto"/>
        <w:ind w:hanging="5"/>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法律、法规和</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规定的其他无效情形。</w:t>
      </w:r>
    </w:p>
    <w:p w14:paraId="50E68E0B">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bookmarkStart w:id="12" w:name="_Toc23511"/>
      <w:r>
        <w:rPr>
          <w:rFonts w:hint="eastAsia" w:ascii="宋体" w:hAnsi="宋体" w:eastAsia="宋体" w:cs="宋体"/>
          <w:color w:val="auto"/>
          <w:spacing w:val="0"/>
          <w:position w:val="0"/>
          <w:sz w:val="21"/>
          <w:szCs w:val="21"/>
        </w:rPr>
        <w:t>7. 合同授予</w:t>
      </w:r>
      <w:bookmarkEnd w:id="12"/>
    </w:p>
    <w:p w14:paraId="50DD6A86">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 xml:space="preserve">7.1 </w:t>
      </w:r>
      <w:r>
        <w:rPr>
          <w:rFonts w:hint="eastAsia" w:ascii="宋体" w:hAnsi="宋体" w:eastAsia="宋体" w:cs="宋体"/>
          <w:color w:val="auto"/>
          <w:spacing w:val="0"/>
          <w:position w:val="0"/>
          <w:sz w:val="21"/>
          <w:szCs w:val="21"/>
          <w:lang w:eastAsia="zh-CN"/>
        </w:rPr>
        <w:t>成交公告</w:t>
      </w:r>
    </w:p>
    <w:p w14:paraId="10C75C96">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28.1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0D76D5">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 质疑与投诉</w:t>
      </w:r>
    </w:p>
    <w:p w14:paraId="596ADA98">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7.2.1</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认为</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、采购过程和中标、成交结果使自己的权益受到损害的，可以在知道或者应知其权益受到损害之日起七个工作日内，以书面形式向采购代理机构提出质疑。（格式见本章附件1）</w:t>
      </w:r>
    </w:p>
    <w:p w14:paraId="6DC7E43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7.2.2</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应知其权益受到损害之日，是指：</w:t>
      </w:r>
    </w:p>
    <w:p w14:paraId="197CA71E">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w:t>
      </w:r>
      <w:r>
        <w:rPr>
          <w:rFonts w:hint="eastAsia" w:ascii="宋体" w:hAnsi="宋体" w:eastAsia="宋体" w:cs="宋体"/>
          <w:color w:val="auto"/>
          <w:spacing w:val="-11"/>
          <w:position w:val="0"/>
          <w:sz w:val="21"/>
          <w:szCs w:val="21"/>
        </w:rPr>
        <w:t>对可以质疑的</w:t>
      </w:r>
      <w:r>
        <w:rPr>
          <w:rFonts w:hint="eastAsia" w:ascii="宋体" w:hAnsi="宋体" w:eastAsia="宋体" w:cs="宋体"/>
          <w:color w:val="auto"/>
          <w:spacing w:val="-11"/>
          <w:position w:val="0"/>
          <w:sz w:val="21"/>
          <w:szCs w:val="21"/>
          <w:lang w:eastAsia="zh-CN"/>
        </w:rPr>
        <w:t>磋商文件</w:t>
      </w:r>
      <w:r>
        <w:rPr>
          <w:rFonts w:hint="eastAsia" w:ascii="宋体" w:hAnsi="宋体" w:eastAsia="宋体" w:cs="宋体"/>
          <w:color w:val="auto"/>
          <w:spacing w:val="-11"/>
          <w:position w:val="0"/>
          <w:sz w:val="21"/>
          <w:szCs w:val="21"/>
        </w:rPr>
        <w:t>提出质疑的，为收到采购文件之日或者采购文件公告期限届满之日</w:t>
      </w:r>
      <w:r>
        <w:rPr>
          <w:rFonts w:hint="eastAsia" w:ascii="宋体" w:hAnsi="宋体" w:eastAsia="宋体" w:cs="宋体"/>
          <w:color w:val="auto"/>
          <w:spacing w:val="0"/>
          <w:position w:val="0"/>
          <w:sz w:val="21"/>
          <w:szCs w:val="21"/>
        </w:rPr>
        <w:t>；</w:t>
      </w:r>
    </w:p>
    <w:p w14:paraId="6430200A">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（2）对采购过程提出质疑的，为各采购程序环节结束之日；</w:t>
      </w:r>
    </w:p>
    <w:p w14:paraId="0E5D79C6">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（3）对中标或者成交结果提出质疑的，为中标或者成交结果公告期限届满之日。</w:t>
      </w:r>
    </w:p>
    <w:p w14:paraId="569AAB29">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7.2.3质疑</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应按照财政部制定的《政府采购质疑函范本》格式（可从财政部官方网站下载）或本章附件1格式及《政府采购质疑和投诉办法》的要求，在本章7.2.1、7.2.2款要求时间内以书面形式提出质疑，针对同一采购程序环节的质疑次数应符合须知前附表的规定。</w:t>
      </w:r>
    </w:p>
    <w:p w14:paraId="2D7F363A">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7.2.4超出法定质疑期提交的质疑将被拒绝。重复或分次提出的、内容或形式不符合《政府采购质疑和投诉办法》的，质疑</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将依法承担不利后果。</w:t>
      </w:r>
    </w:p>
    <w:p w14:paraId="22FD7F4F">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7.2.5质疑函接收部门、联系电话和通讯地址，见须知前附表。</w:t>
      </w:r>
    </w:p>
    <w:p w14:paraId="0221C39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7.2.6采购人或采购代理机构在收到</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的书面质疑后七个工作日内作出答复，并以书面形式通知质疑</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和其他有关</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，答复内容不涉及商业秘密。</w:t>
      </w:r>
    </w:p>
    <w:p w14:paraId="27E48C62">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 xml:space="preserve">7.3 </w:t>
      </w:r>
      <w:r>
        <w:rPr>
          <w:rFonts w:hint="eastAsia" w:ascii="宋体" w:hAnsi="宋体" w:eastAsia="宋体" w:cs="宋体"/>
          <w:color w:val="auto"/>
          <w:spacing w:val="0"/>
          <w:position w:val="0"/>
          <w:sz w:val="21"/>
          <w:szCs w:val="21"/>
          <w:lang w:eastAsia="zh-CN"/>
        </w:rPr>
        <w:t>成交通知书</w:t>
      </w:r>
    </w:p>
    <w:p w14:paraId="6CB4DBED">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成交通知书</w:t>
      </w:r>
      <w:r>
        <w:rPr>
          <w:rFonts w:hint="eastAsia" w:ascii="宋体" w:hAnsi="宋体" w:eastAsia="宋体" w:cs="宋体"/>
          <w:color w:val="auto"/>
          <w:spacing w:val="0"/>
          <w:position w:val="0"/>
          <w:szCs w:val="21"/>
        </w:rPr>
        <w:t>发出后，采购人不得违法改变中标结果，</w:t>
      </w:r>
      <w:r>
        <w:rPr>
          <w:rFonts w:hint="eastAsia" w:ascii="宋体" w:hAnsi="宋体" w:eastAsia="宋体" w:cs="宋体"/>
          <w:color w:val="auto"/>
          <w:spacing w:val="0"/>
          <w:position w:val="0"/>
          <w:szCs w:val="21"/>
          <w:lang w:eastAsia="zh-CN"/>
        </w:rPr>
        <w:t>成交人</w:t>
      </w:r>
      <w:r>
        <w:rPr>
          <w:rFonts w:hint="eastAsia" w:ascii="宋体" w:hAnsi="宋体" w:eastAsia="宋体" w:cs="宋体"/>
          <w:color w:val="auto"/>
          <w:spacing w:val="0"/>
          <w:position w:val="0"/>
          <w:szCs w:val="21"/>
        </w:rPr>
        <w:t>无正当理由不得放弃中标。</w:t>
      </w:r>
    </w:p>
    <w:p w14:paraId="15C0E110">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7.</w:t>
      </w:r>
      <w:r>
        <w:rPr>
          <w:rFonts w:hint="eastAsia" w:ascii="宋体" w:hAnsi="宋体" w:eastAsia="宋体" w:cs="宋体"/>
          <w:color w:val="auto"/>
          <w:spacing w:val="0"/>
          <w:position w:val="0"/>
          <w:sz w:val="21"/>
          <w:szCs w:val="21"/>
          <w:lang w:val="en-US" w:eastAsia="zh-CN"/>
        </w:rPr>
        <w:t>4</w:t>
      </w:r>
      <w:r>
        <w:rPr>
          <w:rFonts w:hint="eastAsia" w:ascii="宋体" w:hAnsi="宋体" w:eastAsia="宋体" w:cs="宋体"/>
          <w:color w:val="auto"/>
          <w:spacing w:val="0"/>
          <w:position w:val="0"/>
          <w:sz w:val="21"/>
          <w:szCs w:val="21"/>
        </w:rPr>
        <w:t xml:space="preserve"> 履约保证金</w:t>
      </w:r>
    </w:p>
    <w:p w14:paraId="7A54700F">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7.</w:t>
      </w:r>
      <w:r>
        <w:rPr>
          <w:rFonts w:hint="eastAsia" w:ascii="宋体" w:hAnsi="宋体" w:eastAsia="宋体" w:cs="宋体"/>
          <w:color w:val="auto"/>
          <w:spacing w:val="0"/>
          <w:position w:val="0"/>
          <w:szCs w:val="21"/>
          <w:lang w:val="en-US" w:eastAsia="zh-CN"/>
        </w:rPr>
        <w:t>4</w:t>
      </w:r>
      <w:r>
        <w:rPr>
          <w:rFonts w:hint="eastAsia" w:ascii="宋体" w:hAnsi="宋体" w:eastAsia="宋体" w:cs="宋体"/>
          <w:color w:val="auto"/>
          <w:spacing w:val="0"/>
          <w:position w:val="0"/>
          <w:szCs w:val="21"/>
        </w:rPr>
        <w:t>.1 在签订合同前，中标供应商应按供应商须知前附表规定的形式、金额和</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第四章“合同条款及格式”规定的或者事先经过采购人书面认可的履约保证金格式向采购人提交履约保证金。</w:t>
      </w:r>
    </w:p>
    <w:p w14:paraId="7B0F685C">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w:t>
      </w:r>
      <w:r>
        <w:rPr>
          <w:rFonts w:hint="eastAsia" w:ascii="宋体" w:hAnsi="宋体" w:eastAsia="宋体" w:cs="宋体"/>
          <w:color w:val="auto"/>
          <w:spacing w:val="0"/>
          <w:position w:val="0"/>
          <w:sz w:val="21"/>
          <w:szCs w:val="21"/>
          <w:lang w:val="en-US" w:eastAsia="zh-CN"/>
        </w:rPr>
        <w:t>5</w:t>
      </w:r>
      <w:r>
        <w:rPr>
          <w:rFonts w:hint="eastAsia" w:ascii="宋体" w:hAnsi="宋体" w:eastAsia="宋体" w:cs="宋体"/>
          <w:color w:val="auto"/>
          <w:spacing w:val="0"/>
          <w:position w:val="0"/>
          <w:sz w:val="21"/>
          <w:szCs w:val="21"/>
        </w:rPr>
        <w:t xml:space="preserve"> 签订合同</w:t>
      </w:r>
    </w:p>
    <w:p w14:paraId="155D3E5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7.</w:t>
      </w:r>
      <w:r>
        <w:rPr>
          <w:rFonts w:hint="eastAsia" w:ascii="宋体" w:hAnsi="宋体" w:eastAsia="宋体" w:cs="宋体"/>
          <w:color w:val="auto"/>
          <w:spacing w:val="0"/>
          <w:position w:val="0"/>
          <w:szCs w:val="21"/>
          <w:lang w:val="en-US" w:eastAsia="zh-CN"/>
        </w:rPr>
        <w:t>5</w:t>
      </w:r>
      <w:r>
        <w:rPr>
          <w:rFonts w:hint="eastAsia" w:ascii="宋体" w:hAnsi="宋体" w:eastAsia="宋体" w:cs="宋体"/>
          <w:color w:val="auto"/>
          <w:spacing w:val="0"/>
          <w:position w:val="0"/>
          <w:szCs w:val="21"/>
        </w:rPr>
        <w:t>.1采购人和</w:t>
      </w:r>
      <w:r>
        <w:rPr>
          <w:rFonts w:hint="eastAsia" w:ascii="宋体" w:hAnsi="宋体" w:eastAsia="宋体" w:cs="宋体"/>
          <w:color w:val="auto"/>
          <w:spacing w:val="0"/>
          <w:position w:val="0"/>
          <w:szCs w:val="21"/>
          <w:lang w:eastAsia="zh-CN"/>
        </w:rPr>
        <w:t>成交人</w:t>
      </w:r>
      <w:r>
        <w:rPr>
          <w:rFonts w:hint="eastAsia" w:ascii="宋体" w:hAnsi="宋体" w:eastAsia="宋体" w:cs="宋体"/>
          <w:color w:val="auto"/>
          <w:spacing w:val="0"/>
          <w:position w:val="0"/>
          <w:szCs w:val="21"/>
        </w:rPr>
        <w:t>应当按照中标通知书约定的时间，根据</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和</w:t>
      </w:r>
      <w:r>
        <w:rPr>
          <w:rFonts w:hint="eastAsia" w:ascii="宋体" w:hAnsi="宋体" w:eastAsia="宋体" w:cs="宋体"/>
          <w:color w:val="auto"/>
          <w:spacing w:val="0"/>
          <w:position w:val="0"/>
          <w:szCs w:val="21"/>
          <w:lang w:eastAsia="zh-CN"/>
        </w:rPr>
        <w:t>成交人</w:t>
      </w:r>
      <w:r>
        <w:rPr>
          <w:rFonts w:hint="eastAsia" w:ascii="宋体" w:hAnsi="宋体" w:eastAsia="宋体" w:cs="宋体"/>
          <w:color w:val="auto"/>
          <w:spacing w:val="0"/>
          <w:position w:val="0"/>
          <w:szCs w:val="21"/>
        </w:rPr>
        <w:t>的</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订立书面合同。</w:t>
      </w:r>
    </w:p>
    <w:p w14:paraId="0FFCA432">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7.</w:t>
      </w:r>
      <w:r>
        <w:rPr>
          <w:rFonts w:hint="eastAsia" w:ascii="宋体" w:hAnsi="宋体" w:eastAsia="宋体" w:cs="宋体"/>
          <w:color w:val="auto"/>
          <w:spacing w:val="0"/>
          <w:position w:val="0"/>
          <w:szCs w:val="21"/>
          <w:lang w:val="en-US" w:eastAsia="zh-CN"/>
        </w:rPr>
        <w:t>5</w:t>
      </w:r>
      <w:r>
        <w:rPr>
          <w:rFonts w:hint="eastAsia" w:ascii="宋体" w:hAnsi="宋体" w:eastAsia="宋体" w:cs="宋体"/>
          <w:color w:val="auto"/>
          <w:spacing w:val="0"/>
          <w:position w:val="0"/>
          <w:szCs w:val="21"/>
        </w:rPr>
        <w:t>.2</w:t>
      </w:r>
      <w:r>
        <w:rPr>
          <w:rFonts w:hint="eastAsia" w:ascii="宋体" w:hAnsi="宋体" w:eastAsia="宋体" w:cs="宋体"/>
          <w:color w:val="auto"/>
          <w:spacing w:val="0"/>
          <w:position w:val="0"/>
          <w:szCs w:val="21"/>
          <w:lang w:eastAsia="zh-CN"/>
        </w:rPr>
        <w:t>成交人</w:t>
      </w:r>
      <w:r>
        <w:rPr>
          <w:rFonts w:hint="eastAsia" w:ascii="宋体" w:hAnsi="宋体" w:eastAsia="宋体" w:cs="宋体"/>
          <w:color w:val="auto"/>
          <w:spacing w:val="0"/>
          <w:position w:val="0"/>
          <w:szCs w:val="21"/>
        </w:rPr>
        <w:t>无正当理由拒签合同、在签订合同时向采购人提出附加条件的，采购人有权取消其中标资格，中标</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须按投标保证承诺书内容向采购人和采购代理机构支付赔偿；采购人可以按照</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报告推荐的</w:t>
      </w:r>
      <w:r>
        <w:rPr>
          <w:rFonts w:hint="eastAsia" w:ascii="宋体" w:hAnsi="宋体" w:eastAsia="宋体" w:cs="宋体"/>
          <w:color w:val="auto"/>
          <w:spacing w:val="0"/>
          <w:position w:val="0"/>
          <w:szCs w:val="21"/>
          <w:lang w:eastAsia="zh-CN"/>
        </w:rPr>
        <w:t>成交候选人</w:t>
      </w:r>
      <w:r>
        <w:rPr>
          <w:rFonts w:hint="eastAsia" w:ascii="宋体" w:hAnsi="宋体" w:eastAsia="宋体" w:cs="宋体"/>
          <w:color w:val="auto"/>
          <w:spacing w:val="0"/>
          <w:position w:val="0"/>
          <w:szCs w:val="21"/>
        </w:rPr>
        <w:t>排序，确定排名下一位的</w:t>
      </w:r>
      <w:r>
        <w:rPr>
          <w:rFonts w:hint="eastAsia" w:ascii="宋体" w:hAnsi="宋体" w:eastAsia="宋体" w:cs="宋体"/>
          <w:color w:val="auto"/>
          <w:spacing w:val="0"/>
          <w:position w:val="0"/>
          <w:szCs w:val="21"/>
          <w:lang w:eastAsia="zh-CN"/>
        </w:rPr>
        <w:t>成交候选人</w:t>
      </w:r>
      <w:r>
        <w:rPr>
          <w:rFonts w:hint="eastAsia" w:ascii="宋体" w:hAnsi="宋体" w:eastAsia="宋体" w:cs="宋体"/>
          <w:color w:val="auto"/>
          <w:spacing w:val="0"/>
          <w:position w:val="0"/>
          <w:szCs w:val="21"/>
        </w:rPr>
        <w:t>为中标</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，也可以重新开展采购活动。当出现法规规定的中标无效或中标结果无效情形时，采购人可与排名下一位的</w:t>
      </w:r>
      <w:r>
        <w:rPr>
          <w:rFonts w:hint="eastAsia" w:ascii="宋体" w:hAnsi="宋体" w:eastAsia="宋体" w:cs="宋体"/>
          <w:color w:val="auto"/>
          <w:spacing w:val="0"/>
          <w:position w:val="0"/>
          <w:szCs w:val="21"/>
          <w:lang w:eastAsia="zh-CN"/>
        </w:rPr>
        <w:t>成交候选人</w:t>
      </w:r>
      <w:r>
        <w:rPr>
          <w:rFonts w:hint="eastAsia" w:ascii="宋体" w:hAnsi="宋体" w:eastAsia="宋体" w:cs="宋体"/>
          <w:color w:val="auto"/>
          <w:spacing w:val="0"/>
          <w:position w:val="0"/>
          <w:szCs w:val="21"/>
        </w:rPr>
        <w:t>另行签订合同，或依法重新开展采购活动。</w:t>
      </w:r>
    </w:p>
    <w:p w14:paraId="789B16D7">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bookmarkStart w:id="13" w:name="_Toc3722"/>
      <w:r>
        <w:rPr>
          <w:rFonts w:hint="eastAsia" w:ascii="宋体" w:hAnsi="宋体" w:eastAsia="宋体" w:cs="宋体"/>
          <w:color w:val="auto"/>
          <w:spacing w:val="0"/>
          <w:position w:val="0"/>
          <w:sz w:val="21"/>
          <w:szCs w:val="21"/>
        </w:rPr>
        <w:t>8. 纪律和监督</w:t>
      </w:r>
      <w:bookmarkEnd w:id="13"/>
    </w:p>
    <w:p w14:paraId="2C56FF8B">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8.1 对采购人的纪律要求</w:t>
      </w:r>
    </w:p>
    <w:p w14:paraId="10B77D4C">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采购人不得泄露招标投标活动中应当保密的情况和资料，不得与</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串通损害国家利益、社会公共利益或者他人合法权益。</w:t>
      </w:r>
    </w:p>
    <w:p w14:paraId="41CC33E4">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8.2 对</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的纪律要求</w:t>
      </w:r>
    </w:p>
    <w:p w14:paraId="004D3564">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不得相互串通投标或者与采购人串通投标，不得向采购人或者</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成员行贿谋取中标，不得以他人名义投标或者以其他方式弄虚作假骗取中标；</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不得以任何方式干扰、影响</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工作。</w:t>
      </w:r>
    </w:p>
    <w:p w14:paraId="1477AEDA">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8.3 对</w:t>
      </w:r>
      <w:r>
        <w:rPr>
          <w:rFonts w:hint="eastAsia" w:ascii="宋体" w:hAnsi="宋体" w:eastAsia="宋体" w:cs="宋体"/>
          <w:color w:val="auto"/>
          <w:spacing w:val="0"/>
          <w:position w:val="0"/>
          <w:sz w:val="21"/>
          <w:szCs w:val="21"/>
          <w:lang w:eastAsia="zh-CN"/>
        </w:rPr>
        <w:t>磋商小组</w:t>
      </w:r>
      <w:r>
        <w:rPr>
          <w:rFonts w:hint="eastAsia" w:ascii="宋体" w:hAnsi="宋体" w:eastAsia="宋体" w:cs="宋体"/>
          <w:color w:val="auto"/>
          <w:spacing w:val="0"/>
          <w:position w:val="0"/>
          <w:sz w:val="21"/>
          <w:szCs w:val="21"/>
        </w:rPr>
        <w:t>成员的纪律要求</w:t>
      </w:r>
    </w:p>
    <w:p w14:paraId="0E5D4B91">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成员不得收受他人的财物或者其他好处，不得向他人透露对</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的评审和比较、</w:t>
      </w:r>
      <w:r>
        <w:rPr>
          <w:rFonts w:hint="eastAsia" w:ascii="宋体" w:hAnsi="宋体" w:eastAsia="宋体" w:cs="宋体"/>
          <w:color w:val="auto"/>
          <w:spacing w:val="0"/>
          <w:position w:val="0"/>
          <w:szCs w:val="21"/>
          <w:lang w:eastAsia="zh-CN"/>
        </w:rPr>
        <w:t>成交候选人</w:t>
      </w:r>
      <w:r>
        <w:rPr>
          <w:rFonts w:hint="eastAsia" w:ascii="宋体" w:hAnsi="宋体" w:eastAsia="宋体" w:cs="宋体"/>
          <w:color w:val="auto"/>
          <w:spacing w:val="0"/>
          <w:position w:val="0"/>
          <w:szCs w:val="21"/>
        </w:rPr>
        <w:t>的推荐情况以及</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有关的其他情况。在</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活动中，</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成员应当客观、公正地履行职责，遵守职业道德，不得擅离职守，影响</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程序正常进行，不得使用第三章“</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方法和标准”没有规定的评审因素和标准进行</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w:t>
      </w:r>
    </w:p>
    <w:p w14:paraId="3F5BFAB8">
      <w:pPr>
        <w:pStyle w:val="5"/>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8.4 对与</w:t>
      </w:r>
      <w:r>
        <w:rPr>
          <w:rFonts w:hint="eastAsia" w:ascii="宋体" w:hAnsi="宋体" w:eastAsia="宋体" w:cs="宋体"/>
          <w:color w:val="auto"/>
          <w:spacing w:val="0"/>
          <w:position w:val="0"/>
          <w:sz w:val="21"/>
          <w:szCs w:val="21"/>
          <w:lang w:eastAsia="zh-CN"/>
        </w:rPr>
        <w:t>评审</w:t>
      </w:r>
      <w:r>
        <w:rPr>
          <w:rFonts w:hint="eastAsia" w:ascii="宋体" w:hAnsi="宋体" w:eastAsia="宋体" w:cs="宋体"/>
          <w:color w:val="auto"/>
          <w:spacing w:val="0"/>
          <w:position w:val="0"/>
          <w:sz w:val="21"/>
          <w:szCs w:val="21"/>
        </w:rPr>
        <w:t>活动有关的工作人员的纪律要求</w:t>
      </w:r>
    </w:p>
    <w:p w14:paraId="3E5D01A7">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与</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活动有关的工作人员不得收受他人的财物或者其他好处，不得向他人透露对</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的评审和比较、</w:t>
      </w:r>
      <w:r>
        <w:rPr>
          <w:rFonts w:hint="eastAsia" w:ascii="宋体" w:hAnsi="宋体" w:eastAsia="宋体" w:cs="宋体"/>
          <w:color w:val="auto"/>
          <w:spacing w:val="0"/>
          <w:position w:val="0"/>
          <w:szCs w:val="21"/>
          <w:lang w:eastAsia="zh-CN"/>
        </w:rPr>
        <w:t>成交候选人</w:t>
      </w:r>
      <w:r>
        <w:rPr>
          <w:rFonts w:hint="eastAsia" w:ascii="宋体" w:hAnsi="宋体" w:eastAsia="宋体" w:cs="宋体"/>
          <w:color w:val="auto"/>
          <w:spacing w:val="0"/>
          <w:position w:val="0"/>
          <w:szCs w:val="21"/>
        </w:rPr>
        <w:t>的推荐情况以及</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有关的其他情况。在</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活动中，与</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活动有关的工作人员不得擅离职守，影响</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程序正常进行。</w:t>
      </w:r>
    </w:p>
    <w:p w14:paraId="75D3C5B1">
      <w:pPr>
        <w:pStyle w:val="4"/>
        <w:pageBreakBefore w:val="0"/>
        <w:widowControl w:val="0"/>
        <w:kinsoku/>
        <w:wordWrap w:val="0"/>
        <w:overflowPunct/>
        <w:topLinePunct/>
        <w:autoSpaceDE/>
        <w:autoSpaceDN/>
        <w:bidi w:val="0"/>
        <w:adjustRightInd/>
        <w:snapToGrid/>
        <w:spacing w:before="0" w:after="0" w:line="372" w:lineRule="auto"/>
        <w:textAlignment w:val="auto"/>
        <w:rPr>
          <w:rFonts w:hint="eastAsia" w:ascii="宋体" w:hAnsi="宋体" w:eastAsia="宋体" w:cs="宋体"/>
          <w:color w:val="auto"/>
          <w:spacing w:val="0"/>
          <w:position w:val="0"/>
          <w:sz w:val="21"/>
          <w:szCs w:val="21"/>
        </w:rPr>
      </w:pPr>
      <w:bookmarkStart w:id="14" w:name="_Toc14315"/>
      <w:r>
        <w:rPr>
          <w:rFonts w:hint="eastAsia" w:ascii="宋体" w:hAnsi="宋体" w:eastAsia="宋体" w:cs="宋体"/>
          <w:color w:val="auto"/>
          <w:spacing w:val="0"/>
          <w:position w:val="0"/>
          <w:sz w:val="21"/>
          <w:szCs w:val="21"/>
        </w:rPr>
        <w:t>9. 需要补充的其他内容</w:t>
      </w:r>
      <w:bookmarkEnd w:id="14"/>
    </w:p>
    <w:p w14:paraId="43032190">
      <w:pPr>
        <w:pageBreakBefore w:val="0"/>
        <w:widowControl w:val="0"/>
        <w:kinsoku/>
        <w:wordWrap w:val="0"/>
        <w:overflowPunct/>
        <w:topLinePunct/>
        <w:autoSpaceDE/>
        <w:autoSpaceDN/>
        <w:bidi w:val="0"/>
        <w:adjustRightInd/>
        <w:snapToGrid/>
        <w:spacing w:line="372" w:lineRule="auto"/>
        <w:ind w:firstLine="424" w:firstLineChars="202"/>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需要补充的其他内容：见</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须知前附表。</w:t>
      </w:r>
    </w:p>
    <w:p w14:paraId="40B53469">
      <w:pPr>
        <w:pageBreakBefore w:val="0"/>
        <w:wordWrap w:val="0"/>
        <w:overflowPunct/>
        <w:topLinePunct/>
        <w:autoSpaceDE/>
        <w:autoSpaceDN/>
        <w:bidi w:val="0"/>
        <w:rPr>
          <w:rFonts w:hint="eastAsia" w:ascii="宋体" w:hAnsi="宋体" w:eastAsia="宋体" w:cs="宋体"/>
          <w:color w:val="auto"/>
          <w:spacing w:val="0"/>
          <w:position w:val="0"/>
          <w:sz w:val="24"/>
        </w:rPr>
      </w:pPr>
      <w:r>
        <w:rPr>
          <w:rFonts w:hint="eastAsia" w:ascii="宋体" w:hAnsi="宋体" w:eastAsia="宋体" w:cs="宋体"/>
          <w:color w:val="auto"/>
          <w:spacing w:val="0"/>
          <w:position w:val="0"/>
          <w:sz w:val="24"/>
        </w:rPr>
        <w:br w:type="page"/>
      </w:r>
    </w:p>
    <w:p w14:paraId="70D675D1">
      <w:pPr>
        <w:pStyle w:val="64"/>
        <w:pageBreakBefore w:val="0"/>
        <w:wordWrap w:val="0"/>
        <w:overflowPunct/>
        <w:topLinePunct/>
        <w:autoSpaceDE/>
        <w:autoSpaceDN/>
        <w:bidi w:val="0"/>
        <w:spacing w:line="360" w:lineRule="auto"/>
        <w:rPr>
          <w:rFonts w:hint="eastAsia" w:ascii="宋体" w:hAnsi="宋体" w:eastAsia="宋体" w:cs="宋体"/>
          <w:b/>
          <w:bCs/>
          <w:color w:val="auto"/>
          <w:spacing w:val="0"/>
          <w:position w:val="0"/>
          <w:szCs w:val="23"/>
          <w:lang w:eastAsia="zh-CN"/>
        </w:rPr>
      </w:pPr>
      <w:bookmarkStart w:id="15" w:name="_Toc15574"/>
      <w:bookmarkStart w:id="16" w:name="_Toc7579"/>
      <w:bookmarkStart w:id="17" w:name="_Toc1964"/>
      <w:bookmarkStart w:id="18" w:name="_Toc30230"/>
      <w:r>
        <w:rPr>
          <w:rFonts w:hint="eastAsia" w:ascii="宋体" w:hAnsi="宋体" w:eastAsia="宋体" w:cs="宋体"/>
          <w:b/>
          <w:bCs/>
          <w:color w:val="auto"/>
          <w:spacing w:val="0"/>
          <w:position w:val="0"/>
          <w:szCs w:val="23"/>
          <w:lang w:eastAsia="zh-CN"/>
        </w:rPr>
        <w:t>附件</w:t>
      </w:r>
      <w:r>
        <w:rPr>
          <w:rFonts w:hint="eastAsia" w:ascii="宋体" w:hAnsi="宋体" w:eastAsia="宋体" w:cs="宋体"/>
          <w:b/>
          <w:bCs/>
          <w:color w:val="auto"/>
          <w:spacing w:val="0"/>
          <w:position w:val="0"/>
          <w:szCs w:val="23"/>
          <w:lang w:val="en-US" w:eastAsia="zh-CN"/>
        </w:rPr>
        <w:t>1</w:t>
      </w:r>
      <w:r>
        <w:rPr>
          <w:rFonts w:hint="eastAsia" w:ascii="宋体" w:hAnsi="宋体" w:eastAsia="宋体" w:cs="宋体"/>
          <w:b/>
          <w:bCs/>
          <w:color w:val="auto"/>
          <w:spacing w:val="0"/>
          <w:position w:val="0"/>
          <w:szCs w:val="23"/>
          <w:lang w:eastAsia="zh-CN"/>
        </w:rPr>
        <w:t>：质疑函格式（统一格式，需提供原件）</w:t>
      </w:r>
      <w:bookmarkEnd w:id="15"/>
      <w:bookmarkEnd w:id="16"/>
      <w:bookmarkEnd w:id="17"/>
      <w:bookmarkEnd w:id="18"/>
    </w:p>
    <w:p w14:paraId="5217822E">
      <w:pPr>
        <w:pStyle w:val="64"/>
        <w:pageBreakBefore w:val="0"/>
        <w:wordWrap w:val="0"/>
        <w:overflowPunct/>
        <w:topLinePunct/>
        <w:autoSpaceDE/>
        <w:autoSpaceDN/>
        <w:bidi w:val="0"/>
        <w:jc w:val="center"/>
        <w:rPr>
          <w:rFonts w:hint="eastAsia" w:ascii="宋体" w:hAnsi="宋体" w:eastAsia="宋体" w:cs="宋体"/>
          <w:b/>
          <w:color w:val="auto"/>
          <w:spacing w:val="0"/>
          <w:position w:val="0"/>
          <w:sz w:val="32"/>
          <w:szCs w:val="32"/>
        </w:rPr>
      </w:pPr>
    </w:p>
    <w:p w14:paraId="71C6D2BA">
      <w:pPr>
        <w:pStyle w:val="64"/>
        <w:pageBreakBefore w:val="0"/>
        <w:wordWrap w:val="0"/>
        <w:overflowPunct/>
        <w:topLinePunct/>
        <w:autoSpaceDE/>
        <w:autoSpaceDN/>
        <w:bidi w:val="0"/>
        <w:jc w:val="center"/>
        <w:rPr>
          <w:rFonts w:hint="eastAsia" w:ascii="宋体" w:hAnsi="宋体" w:eastAsia="宋体" w:cs="宋体"/>
          <w:b/>
          <w:color w:val="auto"/>
          <w:spacing w:val="0"/>
          <w:position w:val="0"/>
          <w:sz w:val="32"/>
          <w:szCs w:val="32"/>
        </w:rPr>
      </w:pPr>
      <w:r>
        <w:rPr>
          <w:rFonts w:hint="eastAsia" w:ascii="宋体" w:hAnsi="宋体" w:eastAsia="宋体" w:cs="宋体"/>
          <w:b/>
          <w:color w:val="auto"/>
          <w:spacing w:val="0"/>
          <w:position w:val="0"/>
          <w:sz w:val="32"/>
          <w:szCs w:val="32"/>
        </w:rPr>
        <w:t>质 疑 函</w:t>
      </w:r>
    </w:p>
    <w:p w14:paraId="26AA0FCA">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p>
    <w:p w14:paraId="19BC7DF6">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一、质疑</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基本信息</w:t>
      </w:r>
    </w:p>
    <w:p w14:paraId="0B8FB280">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p>
    <w:p w14:paraId="155EF048">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质疑</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w:t>
      </w:r>
    </w:p>
    <w:p w14:paraId="734FBD02">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地址：邮编：</w:t>
      </w:r>
    </w:p>
    <w:p w14:paraId="56295735">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联系人：联系电话：</w:t>
      </w:r>
    </w:p>
    <w:p w14:paraId="3FB703C5">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授权代表：</w:t>
      </w:r>
    </w:p>
    <w:p w14:paraId="6707FAD6">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联系电话：</w:t>
      </w:r>
    </w:p>
    <w:p w14:paraId="05361E8E">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地址：邮编：</w:t>
      </w:r>
    </w:p>
    <w:p w14:paraId="0E36BCFC">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二、质疑项目基本信息</w:t>
      </w:r>
    </w:p>
    <w:p w14:paraId="57CA2C6A">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p>
    <w:p w14:paraId="693CD12E">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质疑项目的名称：</w:t>
      </w:r>
    </w:p>
    <w:p w14:paraId="3545F3BB">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质疑项目的编号：</w:t>
      </w:r>
    </w:p>
    <w:p w14:paraId="18008750">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包号：</w:t>
      </w:r>
    </w:p>
    <w:p w14:paraId="39D35DD2">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采购人名称：</w:t>
      </w:r>
    </w:p>
    <w:p w14:paraId="79A14C56">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采购文件获取日期：</w:t>
      </w:r>
    </w:p>
    <w:p w14:paraId="67C93ABC">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三、质疑事项具体内容</w:t>
      </w:r>
    </w:p>
    <w:p w14:paraId="4ED779E3">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p>
    <w:p w14:paraId="5A561597">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质疑事项1：</w:t>
      </w:r>
    </w:p>
    <w:p w14:paraId="29EBB22E">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事实依据：</w:t>
      </w:r>
    </w:p>
    <w:p w14:paraId="6F43BBB0">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法律依据：</w:t>
      </w:r>
    </w:p>
    <w:p w14:paraId="3EC63226">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质疑事项2：</w:t>
      </w:r>
    </w:p>
    <w:p w14:paraId="784A82E0">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w:t>
      </w:r>
    </w:p>
    <w:p w14:paraId="5D608A4B">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四、与质疑事项相关的质疑请求：</w:t>
      </w:r>
    </w:p>
    <w:p w14:paraId="34D5050F">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签字（签章）：</w:t>
      </w:r>
    </w:p>
    <w:p w14:paraId="47FEE9D8">
      <w:pPr>
        <w:pStyle w:val="64"/>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公章：</w:t>
      </w:r>
    </w:p>
    <w:p w14:paraId="57324F6E">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日期：</w:t>
      </w:r>
    </w:p>
    <w:p w14:paraId="3266BE3A">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color w:val="auto"/>
          <w:spacing w:val="0"/>
          <w:position w:val="0"/>
          <w:sz w:val="21"/>
          <w:szCs w:val="21"/>
        </w:rPr>
      </w:pPr>
    </w:p>
    <w:p w14:paraId="4BC633D3">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质疑函制作说明：</w:t>
      </w:r>
    </w:p>
    <w:p w14:paraId="334BF18E">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 xml:space="preserve">1. </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提出质疑时，应提交质疑函和必要的证明材料。</w:t>
      </w:r>
    </w:p>
    <w:p w14:paraId="757D38DB">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2. 质疑</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若委托代理人进行质疑的，质疑函应按要求列明授权代表的有关内容，并在附件中提交由质疑</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签署的授权委托书。授权委托书应载明代理人的姓名或者名称，代理事项 、具体权限、期限和相关事项。</w:t>
      </w:r>
    </w:p>
    <w:p w14:paraId="517E8A5E">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3. 质疑函的质疑事项应具体、明确，并有必要的事实依据和法律依据。</w:t>
      </w:r>
    </w:p>
    <w:p w14:paraId="5895B07D">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4. 质疑函的质疑请求应与质疑事项相关。</w:t>
      </w:r>
    </w:p>
    <w:p w14:paraId="329B47F1">
      <w:pPr>
        <w:keepNext w:val="0"/>
        <w:keepLines w:val="0"/>
        <w:pageBreakBefore w:val="0"/>
        <w:widowControl w:val="0"/>
        <w:kinsoku/>
        <w:wordWrap w:val="0"/>
        <w:overflowPunct/>
        <w:topLinePunct/>
        <w:autoSpaceDE/>
        <w:autoSpaceDN/>
        <w:bidi w:val="0"/>
        <w:snapToGrid/>
        <w:spacing w:line="396" w:lineRule="auto"/>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5. 质疑</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为自然人的，质疑函应由本人签字；质疑</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为法人或者其他组织的，质疑函应由法定代表人、主要负责人 或者他授权代表签字或者盖章，并加盖公章。</w:t>
      </w:r>
    </w:p>
    <w:p w14:paraId="10EDE43A">
      <w:pPr>
        <w:pageBreakBefore w:val="0"/>
        <w:widowControl/>
        <w:wordWrap w:val="0"/>
        <w:overflowPunct/>
        <w:topLinePunct/>
        <w:autoSpaceDE/>
        <w:autoSpaceDN/>
        <w:bidi w:val="0"/>
        <w:jc w:val="left"/>
        <w:rPr>
          <w:rFonts w:hint="eastAsia" w:ascii="宋体" w:hAnsi="宋体" w:eastAsia="宋体" w:cs="宋体"/>
          <w:b/>
          <w:color w:val="auto"/>
          <w:spacing w:val="0"/>
          <w:position w:val="0"/>
          <w:sz w:val="24"/>
        </w:rPr>
      </w:pPr>
    </w:p>
    <w:p w14:paraId="44F56FEB">
      <w:pPr>
        <w:pStyle w:val="45"/>
        <w:ind w:left="0" w:leftChars="0" w:firstLine="0" w:firstLineChars="0"/>
        <w:rPr>
          <w:rFonts w:hint="eastAsia" w:ascii="宋体" w:hAnsi="宋体" w:eastAsia="宋体" w:cs="宋体"/>
          <w:b/>
          <w:color w:val="auto"/>
          <w:spacing w:val="0"/>
          <w:position w:val="0"/>
          <w:sz w:val="24"/>
        </w:rPr>
      </w:pPr>
    </w:p>
    <w:p w14:paraId="1D6A27C7">
      <w:pPr>
        <w:rPr>
          <w:rFonts w:hint="eastAsia" w:ascii="宋体" w:hAnsi="宋体" w:eastAsia="宋体" w:cs="宋体"/>
        </w:rPr>
      </w:pPr>
      <w:r>
        <w:rPr>
          <w:rFonts w:hint="eastAsia" w:ascii="宋体" w:hAnsi="宋体" w:eastAsia="宋体" w:cs="宋体"/>
        </w:rPr>
        <w:br w:type="page"/>
      </w:r>
    </w:p>
    <w:p w14:paraId="15AE5E00">
      <w:pPr>
        <w:pStyle w:val="64"/>
        <w:pageBreakBefore w:val="0"/>
        <w:wordWrap w:val="0"/>
        <w:overflowPunct/>
        <w:topLinePunct/>
        <w:autoSpaceDE/>
        <w:autoSpaceDN/>
        <w:bidi w:val="0"/>
        <w:spacing w:line="360" w:lineRule="auto"/>
        <w:rPr>
          <w:rFonts w:hint="eastAsia" w:ascii="宋体" w:hAnsi="宋体" w:eastAsia="宋体" w:cs="宋体"/>
          <w:b/>
          <w:bCs/>
          <w:color w:val="auto"/>
          <w:spacing w:val="0"/>
          <w:position w:val="0"/>
          <w:szCs w:val="23"/>
          <w:lang w:eastAsia="zh-CN"/>
        </w:rPr>
      </w:pPr>
      <w:r>
        <w:rPr>
          <w:rFonts w:hint="eastAsia" w:ascii="宋体" w:hAnsi="宋体" w:eastAsia="宋体" w:cs="宋体"/>
          <w:b/>
          <w:bCs/>
          <w:color w:val="auto"/>
          <w:spacing w:val="0"/>
          <w:position w:val="0"/>
          <w:szCs w:val="23"/>
          <w:lang w:eastAsia="zh-CN"/>
        </w:rPr>
        <w:t>附件</w:t>
      </w:r>
      <w:r>
        <w:rPr>
          <w:rFonts w:hint="eastAsia" w:ascii="宋体" w:hAnsi="宋体" w:eastAsia="宋体" w:cs="宋体"/>
          <w:b/>
          <w:bCs/>
          <w:color w:val="auto"/>
          <w:spacing w:val="0"/>
          <w:position w:val="0"/>
          <w:szCs w:val="23"/>
          <w:lang w:val="en-US" w:eastAsia="zh-CN"/>
        </w:rPr>
        <w:t>2</w:t>
      </w:r>
      <w:r>
        <w:rPr>
          <w:rFonts w:hint="eastAsia" w:ascii="宋体" w:hAnsi="宋体" w:eastAsia="宋体" w:cs="宋体"/>
          <w:b/>
          <w:bCs/>
          <w:color w:val="auto"/>
          <w:spacing w:val="0"/>
          <w:position w:val="0"/>
          <w:szCs w:val="23"/>
          <w:lang w:eastAsia="zh-CN"/>
        </w:rPr>
        <w:t>：</w:t>
      </w:r>
    </w:p>
    <w:p w14:paraId="034D0782">
      <w:pPr>
        <w:autoSpaceDE w:val="0"/>
        <w:autoSpaceDN w:val="0"/>
        <w:adjustRightInd w:val="0"/>
        <w:spacing w:line="420" w:lineRule="exact"/>
        <w:ind w:firstLine="562" w:firstLineChars="200"/>
        <w:jc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val="en-US" w:eastAsia="zh-CN"/>
        </w:rPr>
        <w:t>河南省政府采购合同融资政策告知函</w:t>
      </w:r>
    </w:p>
    <w:p w14:paraId="6C716D30">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auto"/>
        <w:rPr>
          <w:rFonts w:hint="eastAsia" w:ascii="宋体" w:hAnsi="宋体" w:eastAsia="宋体" w:cs="宋体"/>
          <w:color w:val="auto"/>
          <w:kern w:val="0"/>
          <w:szCs w:val="21"/>
          <w:highlight w:val="none"/>
          <w:lang w:eastAsia="zh-CN"/>
        </w:rPr>
      </w:pPr>
    </w:p>
    <w:p w14:paraId="0DFB85A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各供应商：</w:t>
      </w:r>
    </w:p>
    <w:p w14:paraId="0B5E3365">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欢迎贵公司参与河南省政府采购活动！</w:t>
      </w:r>
    </w:p>
    <w:p w14:paraId="758373B6">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B7B79D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贷款渠道和提供贷款的金融机构，可在河南省政府采购网“河南省政府采购合同融资平台”查询联系。</w:t>
      </w:r>
    </w:p>
    <w:p w14:paraId="6553EA79">
      <w:pPr>
        <w:pStyle w:val="45"/>
        <w:ind w:left="0" w:leftChars="0" w:firstLine="0" w:firstLineChars="0"/>
        <w:rPr>
          <w:rFonts w:hint="eastAsia" w:ascii="宋体" w:hAnsi="宋体" w:eastAsia="宋体" w:cs="宋体"/>
        </w:rPr>
      </w:pPr>
    </w:p>
    <w:p w14:paraId="28AF9154">
      <w:pPr>
        <w:rPr>
          <w:rFonts w:hint="eastAsia" w:ascii="宋体" w:hAnsi="宋体" w:eastAsia="宋体" w:cs="宋体"/>
        </w:rPr>
      </w:pPr>
      <w:r>
        <w:rPr>
          <w:rFonts w:hint="eastAsia" w:ascii="宋体" w:hAnsi="宋体" w:eastAsia="宋体" w:cs="宋体"/>
        </w:rPr>
        <w:br w:type="page"/>
      </w:r>
    </w:p>
    <w:p w14:paraId="4A4D2B60">
      <w:pPr>
        <w:pStyle w:val="64"/>
        <w:pageBreakBefore w:val="0"/>
        <w:wordWrap w:val="0"/>
        <w:overflowPunct/>
        <w:topLinePunct/>
        <w:autoSpaceDE/>
        <w:autoSpaceDN/>
        <w:bidi w:val="0"/>
        <w:spacing w:line="360" w:lineRule="auto"/>
        <w:rPr>
          <w:rFonts w:hint="eastAsia" w:ascii="宋体" w:hAnsi="宋体" w:eastAsia="宋体" w:cs="宋体"/>
          <w:b/>
          <w:bCs/>
          <w:color w:val="auto"/>
          <w:spacing w:val="0"/>
          <w:position w:val="0"/>
          <w:szCs w:val="23"/>
          <w:lang w:val="en-US" w:eastAsia="zh-CN"/>
        </w:rPr>
      </w:pPr>
      <w:r>
        <w:rPr>
          <w:rFonts w:hint="eastAsia" w:ascii="宋体" w:hAnsi="宋体" w:eastAsia="宋体" w:cs="宋体"/>
          <w:b/>
          <w:bCs/>
          <w:color w:val="auto"/>
          <w:spacing w:val="0"/>
          <w:position w:val="0"/>
          <w:szCs w:val="23"/>
          <w:lang w:val="en-US" w:eastAsia="zh-CN"/>
        </w:rPr>
        <w:t>附件3：</w:t>
      </w:r>
    </w:p>
    <w:p w14:paraId="5D11D328">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0" w:lineRule="atLeast"/>
        <w:ind w:left="0" w:right="0" w:firstLine="0"/>
        <w:jc w:val="center"/>
        <w:rPr>
          <w:rFonts w:hint="eastAsia" w:ascii="宋体" w:hAnsi="宋体" w:eastAsia="宋体" w:cs="宋体"/>
          <w:b/>
          <w:bCs/>
          <w:i w:val="0"/>
          <w:caps w:val="0"/>
          <w:color w:val="333333"/>
          <w:spacing w:val="8"/>
          <w:sz w:val="28"/>
          <w:szCs w:val="28"/>
          <w:shd w:val="clear" w:color="auto" w:fill="FFFFFF"/>
        </w:rPr>
      </w:pPr>
      <w:r>
        <w:rPr>
          <w:rFonts w:hint="eastAsia" w:ascii="宋体" w:hAnsi="宋体" w:eastAsia="宋体" w:cs="宋体"/>
          <w:b/>
          <w:bCs/>
          <w:i w:val="0"/>
          <w:caps w:val="0"/>
          <w:color w:val="333333"/>
          <w:spacing w:val="8"/>
          <w:sz w:val="28"/>
          <w:szCs w:val="28"/>
          <w:shd w:val="clear" w:color="auto" w:fill="FFFFFF"/>
        </w:rPr>
        <w:t>统计上大中小微型企业划分标准</w:t>
      </w:r>
    </w:p>
    <w:tbl>
      <w:tblPr>
        <w:tblStyle w:val="46"/>
        <w:tblW w:w="9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01"/>
        <w:gridCol w:w="1472"/>
        <w:gridCol w:w="760"/>
        <w:gridCol w:w="1213"/>
        <w:gridCol w:w="1827"/>
        <w:gridCol w:w="1536"/>
        <w:gridCol w:w="1067"/>
      </w:tblGrid>
      <w:tr w14:paraId="166C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1801"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66F4E8A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行业名称</w:t>
            </w:r>
          </w:p>
        </w:tc>
        <w:tc>
          <w:tcPr>
            <w:tcW w:w="147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52F0B7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指标名称</w:t>
            </w:r>
          </w:p>
        </w:tc>
        <w:tc>
          <w:tcPr>
            <w:tcW w:w="76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6113CC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计量单位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BF05BA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F005DE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中型</w:t>
            </w:r>
          </w:p>
        </w:tc>
        <w:tc>
          <w:tcPr>
            <w:tcW w:w="153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801E7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小型</w:t>
            </w:r>
          </w:p>
        </w:tc>
        <w:tc>
          <w:tcPr>
            <w:tcW w:w="106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618955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Style w:val="49"/>
                <w:rFonts w:hint="eastAsia" w:ascii="宋体" w:hAnsi="宋体" w:eastAsia="宋体" w:cs="宋体"/>
                <w:i w:val="0"/>
                <w:caps w:val="0"/>
                <w:color w:val="FFFFFF"/>
                <w:spacing w:val="8"/>
                <w:sz w:val="18"/>
                <w:szCs w:val="18"/>
              </w:rPr>
              <w:t>微型</w:t>
            </w:r>
          </w:p>
        </w:tc>
      </w:tr>
      <w:tr w14:paraId="0F4E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3CA9939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农、林、牧、渔业</w:t>
            </w: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A6661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BBADEA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0C50B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63A3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500≤Y＜20000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15109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3C239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Y＜50</w:t>
            </w:r>
          </w:p>
        </w:tc>
      </w:tr>
      <w:tr w14:paraId="1598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3AF894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工业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360D91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237B9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D0986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AB6AA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B60D5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70E67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w:t>
            </w:r>
          </w:p>
        </w:tc>
      </w:tr>
      <w:tr w14:paraId="7F2C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896626E">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8BDCCB">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7F9FD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9BA6A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3AC10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2000≤Y＜40000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DAC0D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B050C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Y＜300</w:t>
            </w:r>
          </w:p>
        </w:tc>
      </w:tr>
      <w:tr w14:paraId="7EE6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2FA0F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建筑业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5D9C0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6070A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447CA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Y≥80000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1326E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6000≤Y＜80000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18A59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300≤Y＜6000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1A3EAB">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Y＜300</w:t>
            </w:r>
          </w:p>
        </w:tc>
      </w:tr>
      <w:tr w14:paraId="7B18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4516789">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D8F03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79616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B58D3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Z≥80000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2D11D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5000≤Z＜80000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89A9D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300≤Z＜5000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B8DCB8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Z＜300</w:t>
            </w:r>
          </w:p>
        </w:tc>
      </w:tr>
      <w:tr w14:paraId="1E61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312DB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批发业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0F20C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1AE4A4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30BF2B">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DD709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20≤X＜200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27DF6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5≤X＜20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19F6C5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X＜5</w:t>
            </w:r>
          </w:p>
        </w:tc>
      </w:tr>
      <w:tr w14:paraId="2E03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E092BD1">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B9227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4CBCB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64AED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2212E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5000≤Y＜40000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B510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1000≤Y＜5000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0C925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Y＜1000</w:t>
            </w:r>
          </w:p>
        </w:tc>
      </w:tr>
      <w:tr w14:paraId="255F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59E66A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零售业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B6C38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1214C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70A4C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BF4CF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427D2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10≤X＜50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22360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r w14:paraId="0DDF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6121604">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80305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FBDCA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D31C8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4B78A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500≤Y＜20000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871D0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54736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0E07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757E8C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交通运输业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B1AE0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1B83F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0A6F1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5EA67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597AF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E1E3B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w:t>
            </w:r>
          </w:p>
        </w:tc>
      </w:tr>
      <w:tr w14:paraId="781D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EA9F25C">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488C8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17CFC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09C69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AB0D4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CDF9B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200≤Y＜3000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28F4E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Y＜200</w:t>
            </w:r>
          </w:p>
        </w:tc>
      </w:tr>
      <w:tr w14:paraId="0EA5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355743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仓储业*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AADA3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A988E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179BA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0A7BF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100≤X＜200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92FE5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777E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w:t>
            </w:r>
          </w:p>
        </w:tc>
      </w:tr>
      <w:tr w14:paraId="3AA8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D00169">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71EFC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23C31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0E381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2A28A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87DE8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17B3D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41DB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ED6CC6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邮政业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3BDA8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B4BFA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7BC69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36C83B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C4485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B3BA8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w:t>
            </w:r>
          </w:p>
        </w:tc>
      </w:tr>
      <w:tr w14:paraId="5092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E002B5">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46975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AD7A2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764ED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7C109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34C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1B918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25C8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4AA99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住宿业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DF16A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B5D92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602F8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C2AF6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9DFEF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574C1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r w14:paraId="0F61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4604B82">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B215D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F4D30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B976F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06705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77DBF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AC70C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0D15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FBCB3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餐饮业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D8C52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C63D1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2B3A5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41D4C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9CB2F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E6B84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r w14:paraId="5B20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E51EC71">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17CC4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FBF3D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DDF15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CA14D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E652A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71EBC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383F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7B2A5E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信息传输业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7A533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A9544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930EE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X≥2000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3029F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100≤X＜2000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F6BED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8291B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r w14:paraId="426E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A8DE981">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02E33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71F30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0249B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C879B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1000≤Y＜100000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15780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48923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7717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6AE82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15"/>
                <w:sz w:val="18"/>
                <w:szCs w:val="18"/>
              </w:rPr>
              <w:t>软件和信息技术服</w:t>
            </w:r>
            <w:r>
              <w:rPr>
                <w:rFonts w:hint="eastAsia" w:ascii="宋体" w:hAnsi="宋体" w:eastAsia="宋体" w:cs="宋体"/>
                <w:b w:val="0"/>
                <w:i w:val="0"/>
                <w:caps w:val="0"/>
                <w:color w:val="000000"/>
                <w:spacing w:val="8"/>
                <w:sz w:val="18"/>
                <w:szCs w:val="18"/>
              </w:rPr>
              <w:t>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34E7E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46C3D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A9273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EB39D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04568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D81F6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r w14:paraId="716C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17ECB7C">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40F70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5387A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A696F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F147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AB15C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601BBB">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Y＜50</w:t>
            </w:r>
          </w:p>
        </w:tc>
      </w:tr>
      <w:tr w14:paraId="408F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68582B">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房地产开发经营</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8676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EA7A1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AC221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Y≥200000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74851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1000≤Y＜200000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BA1BB0">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100≤Y＜1000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4824F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Y＜100</w:t>
            </w:r>
          </w:p>
        </w:tc>
      </w:tr>
      <w:tr w14:paraId="1967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375BA8">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F2CC0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F48B6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32977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Z≥10000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3688F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5000≤Z＜10000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957C7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2000≤Z＜5000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849D4">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Z＜2000</w:t>
            </w:r>
          </w:p>
        </w:tc>
      </w:tr>
      <w:tr w14:paraId="63DE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079E96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物业管理</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32E3E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88850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55753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7862D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7F559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1FD8F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X＜100</w:t>
            </w:r>
          </w:p>
        </w:tc>
      </w:tr>
      <w:tr w14:paraId="7944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96A6D1">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8A8F2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F08EA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7C1773">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Y≥5000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45B70C">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1000≤Y＜5000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2AC4C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500≤Y＜1000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34A4A9">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Y＜500</w:t>
            </w:r>
          </w:p>
        </w:tc>
      </w:tr>
      <w:tr w14:paraId="5309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6B1D07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租赁和商务服务业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81F29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9738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D0F40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7FBFA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76128F">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A2F53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r w14:paraId="1C8C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1801"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18FAD5">
            <w:pPr>
              <w:jc w:val="both"/>
              <w:rPr>
                <w:rFonts w:hint="eastAsia" w:ascii="宋体" w:hAnsi="宋体" w:eastAsia="宋体" w:cs="宋体"/>
                <w:b w:val="0"/>
                <w:i w:val="0"/>
                <w:caps w:val="0"/>
                <w:color w:val="333333"/>
                <w:spacing w:val="8"/>
                <w:sz w:val="18"/>
                <w:szCs w:val="18"/>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CC25A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C04F77">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F294F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Z≥120000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5DF88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8000≤Z＜120000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975B7E">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100≤Z＜8000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5E3E46">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Z＜100</w:t>
            </w:r>
          </w:p>
        </w:tc>
      </w:tr>
      <w:tr w14:paraId="4C0B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1801"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ADAC7D8">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其他未列明行业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EDDB2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7B9E22">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8A53FD">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C0C941">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5D3505">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6ED66A">
            <w:pPr>
              <w:pStyle w:val="4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val="0"/>
                <w:i w:val="0"/>
                <w:caps w:val="0"/>
                <w:color w:val="000000"/>
                <w:spacing w:val="8"/>
                <w:sz w:val="18"/>
                <w:szCs w:val="18"/>
              </w:rPr>
              <w:t>X＜10</w:t>
            </w:r>
          </w:p>
        </w:tc>
      </w:tr>
    </w:tbl>
    <w:p w14:paraId="759B42AD">
      <w:pPr>
        <w:keepNext w:val="0"/>
        <w:keepLines w:val="0"/>
        <w:pageBreakBefore w:val="0"/>
        <w:widowControl w:val="0"/>
        <w:kinsoku/>
        <w:wordWrap/>
        <w:overflowPunct/>
        <w:topLinePunct w:val="0"/>
        <w:autoSpaceDE/>
        <w:autoSpaceDN/>
        <w:bidi w:val="0"/>
        <w:adjustRightInd/>
        <w:snapToGrid/>
        <w:spacing w:line="420" w:lineRule="auto"/>
        <w:ind w:leftChars="0"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说明：1.大型、中型和小型企业须同时满足所列指标的下限，否则下划一档；微型企业只须满足所列指标中的一项即可。</w:t>
      </w:r>
    </w:p>
    <w:p w14:paraId="60F67FCD">
      <w:pPr>
        <w:keepNext w:val="0"/>
        <w:keepLines w:val="0"/>
        <w:pageBreakBefore w:val="0"/>
        <w:widowControl w:val="0"/>
        <w:numPr>
          <w:ilvl w:val="0"/>
          <w:numId w:val="2"/>
        </w:numPr>
        <w:kinsoku/>
        <w:wordWrap/>
        <w:overflowPunct/>
        <w:topLinePunct w:val="0"/>
        <w:autoSpaceDE/>
        <w:autoSpaceDN/>
        <w:bidi w:val="0"/>
        <w:adjustRightInd/>
        <w:snapToGrid/>
        <w:spacing w:line="420" w:lineRule="auto"/>
        <w:ind w:leftChars="0"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E2569C9">
      <w:pPr>
        <w:keepNext w:val="0"/>
        <w:keepLines w:val="0"/>
        <w:pageBreakBefore w:val="0"/>
        <w:widowControl w:val="0"/>
        <w:numPr>
          <w:ilvl w:val="0"/>
          <w:numId w:val="2"/>
        </w:numPr>
        <w:kinsoku/>
        <w:wordWrap/>
        <w:overflowPunct/>
        <w:topLinePunct w:val="0"/>
        <w:autoSpaceDE/>
        <w:autoSpaceDN/>
        <w:bidi w:val="0"/>
        <w:adjustRightInd/>
        <w:snapToGrid/>
        <w:spacing w:line="420" w:lineRule="auto"/>
        <w:ind w:left="0" w:leftChars="0"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企业划分指标以现行统计制度为准。</w:t>
      </w:r>
    </w:p>
    <w:p w14:paraId="6954A7CE">
      <w:pPr>
        <w:keepNext w:val="0"/>
        <w:keepLines w:val="0"/>
        <w:pageBreakBefore w:val="0"/>
        <w:widowControl w:val="0"/>
        <w:numPr>
          <w:ilvl w:val="0"/>
          <w:numId w:val="0"/>
        </w:numPr>
        <w:kinsoku/>
        <w:wordWrap/>
        <w:overflowPunct/>
        <w:topLinePunct w:val="0"/>
        <w:autoSpaceDE/>
        <w:autoSpaceDN/>
        <w:bidi w:val="0"/>
        <w:adjustRightInd/>
        <w:snapToGrid/>
        <w:spacing w:line="420" w:lineRule="auto"/>
        <w:ind w:leftChars="0"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6"/>
          <w:sz w:val="21"/>
          <w:szCs w:val="21"/>
        </w:rPr>
        <w:t>从业人员，是指期末从业人员数，没有期末从业人员数的，采用全年平均人员数代替</w:t>
      </w:r>
      <w:r>
        <w:rPr>
          <w:rFonts w:hint="eastAsia" w:ascii="宋体" w:hAnsi="宋体" w:eastAsia="宋体" w:cs="宋体"/>
          <w:color w:val="000000"/>
          <w:spacing w:val="0"/>
          <w:sz w:val="21"/>
          <w:szCs w:val="21"/>
        </w:rPr>
        <w:t>。</w:t>
      </w:r>
    </w:p>
    <w:p w14:paraId="5C003A1F">
      <w:pPr>
        <w:keepNext w:val="0"/>
        <w:keepLines w:val="0"/>
        <w:pageBreakBefore w:val="0"/>
        <w:widowControl w:val="0"/>
        <w:numPr>
          <w:ilvl w:val="0"/>
          <w:numId w:val="0"/>
        </w:numPr>
        <w:kinsoku/>
        <w:wordWrap/>
        <w:overflowPunct/>
        <w:topLinePunct w:val="0"/>
        <w:autoSpaceDE/>
        <w:autoSpaceDN/>
        <w:bidi w:val="0"/>
        <w:adjustRightInd/>
        <w:snapToGrid/>
        <w:spacing w:line="420" w:lineRule="auto"/>
        <w:ind w:leftChars="0" w:firstLine="420" w:firstLineChars="200"/>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2</w:t>
      </w:r>
      <w:r>
        <w:rPr>
          <w:rFonts w:hint="eastAsia" w:ascii="宋体" w:hAnsi="宋体" w:eastAsia="宋体" w:cs="宋体"/>
          <w:color w:val="000000"/>
          <w:spacing w:val="0"/>
          <w:sz w:val="21"/>
          <w:szCs w:val="21"/>
          <w:lang w:eastAsia="zh-CN"/>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F4EEFD0">
      <w:pPr>
        <w:keepNext w:val="0"/>
        <w:keepLines w:val="0"/>
        <w:pageBreakBefore w:val="0"/>
        <w:widowControl w:val="0"/>
        <w:numPr>
          <w:ilvl w:val="0"/>
          <w:numId w:val="0"/>
        </w:numPr>
        <w:kinsoku/>
        <w:wordWrap/>
        <w:overflowPunct/>
        <w:topLinePunct w:val="0"/>
        <w:autoSpaceDE/>
        <w:autoSpaceDN/>
        <w:bidi w:val="0"/>
        <w:adjustRightInd/>
        <w:snapToGrid/>
        <w:spacing w:line="420" w:lineRule="auto"/>
        <w:ind w:leftChars="0" w:firstLine="420" w:firstLineChars="200"/>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（3）资产总额，采用资产总计代替。</w:t>
      </w:r>
    </w:p>
    <w:p w14:paraId="02532A00">
      <w:pPr>
        <w:pageBreakBefore w:val="0"/>
        <w:widowControl/>
        <w:wordWrap w:val="0"/>
        <w:overflowPunct/>
        <w:topLinePunct/>
        <w:autoSpaceDE/>
        <w:autoSpaceDN/>
        <w:bidi w:val="0"/>
        <w:jc w:val="left"/>
        <w:rPr>
          <w:rFonts w:hint="eastAsia" w:ascii="宋体" w:hAnsi="宋体" w:eastAsia="宋体" w:cs="宋体"/>
          <w:b/>
          <w:color w:val="auto"/>
          <w:spacing w:val="0"/>
          <w:position w:val="0"/>
          <w:sz w:val="24"/>
        </w:rPr>
      </w:pPr>
      <w:r>
        <w:rPr>
          <w:rFonts w:hint="eastAsia" w:ascii="宋体" w:hAnsi="宋体" w:eastAsia="宋体" w:cs="宋体"/>
          <w:b/>
          <w:color w:val="auto"/>
          <w:spacing w:val="0"/>
          <w:position w:val="0"/>
          <w:sz w:val="24"/>
        </w:rPr>
        <w:br w:type="page"/>
      </w:r>
    </w:p>
    <w:p w14:paraId="25BFBC8A">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19" w:name="_Toc30411"/>
      <w:r>
        <w:rPr>
          <w:rFonts w:hint="eastAsia" w:ascii="宋体" w:hAnsi="宋体" w:eastAsia="宋体" w:cs="宋体"/>
          <w:color w:val="auto"/>
          <w:spacing w:val="0"/>
          <w:position w:val="0"/>
        </w:rPr>
        <w:t xml:space="preserve">第三章 </w:t>
      </w:r>
      <w:r>
        <w:rPr>
          <w:rFonts w:hint="eastAsia" w:ascii="宋体" w:hAnsi="宋体" w:eastAsia="宋体" w:cs="宋体"/>
          <w:color w:val="auto"/>
          <w:spacing w:val="0"/>
          <w:position w:val="0"/>
          <w:lang w:val="en-US" w:eastAsia="zh-CN"/>
        </w:rPr>
        <w:t xml:space="preserve"> </w:t>
      </w:r>
      <w:r>
        <w:rPr>
          <w:rFonts w:hint="eastAsia" w:ascii="宋体" w:hAnsi="宋体" w:eastAsia="宋体" w:cs="宋体"/>
          <w:color w:val="auto"/>
          <w:spacing w:val="0"/>
          <w:position w:val="0"/>
          <w:lang w:eastAsia="zh-CN"/>
        </w:rPr>
        <w:t>评审</w:t>
      </w:r>
      <w:r>
        <w:rPr>
          <w:rFonts w:hint="eastAsia" w:ascii="宋体" w:hAnsi="宋体" w:eastAsia="宋体" w:cs="宋体"/>
          <w:color w:val="auto"/>
          <w:spacing w:val="0"/>
          <w:position w:val="0"/>
        </w:rPr>
        <w:t>方法和标准</w:t>
      </w:r>
      <w:bookmarkEnd w:id="19"/>
    </w:p>
    <w:p w14:paraId="6DE9A693">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20" w:name="_Toc19151"/>
      <w:bookmarkStart w:id="21" w:name="_Toc2639"/>
      <w:bookmarkStart w:id="22" w:name="_Toc13053543"/>
      <w:bookmarkStart w:id="23" w:name="_Toc13068789"/>
      <w:bookmarkStart w:id="24" w:name="_Toc13052730"/>
      <w:bookmarkStart w:id="25" w:name="_Toc14946168"/>
      <w:bookmarkStart w:id="26" w:name="_Toc26445303"/>
      <w:bookmarkStart w:id="27" w:name="_Toc11072948"/>
      <w:r>
        <w:rPr>
          <w:rFonts w:hint="eastAsia" w:ascii="宋体" w:hAnsi="宋体" w:eastAsia="宋体" w:cs="宋体"/>
          <w:color w:val="auto"/>
          <w:spacing w:val="0"/>
          <w:position w:val="0"/>
        </w:rPr>
        <w:t>评审因素及评审标准</w:t>
      </w:r>
      <w:bookmarkEnd w:id="20"/>
      <w:bookmarkEnd w:id="21"/>
    </w:p>
    <w:tbl>
      <w:tblPr>
        <w:tblStyle w:val="46"/>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6"/>
        <w:gridCol w:w="2119"/>
        <w:gridCol w:w="5909"/>
      </w:tblGrid>
      <w:tr w14:paraId="17338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tcBorders>
              <w:top w:val="single" w:color="auto" w:sz="4" w:space="0"/>
              <w:bottom w:val="single" w:color="auto" w:sz="4" w:space="0"/>
              <w:right w:val="single" w:color="auto" w:sz="4" w:space="0"/>
            </w:tcBorders>
            <w:noWrap w:val="0"/>
            <w:vAlign w:val="center"/>
          </w:tcPr>
          <w:p w14:paraId="1B0DC64F">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条款号</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6F579B5E">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评审因素</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07F82CEB">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评审标准</w:t>
            </w:r>
          </w:p>
        </w:tc>
      </w:tr>
      <w:tr w14:paraId="28507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restart"/>
            <w:tcBorders>
              <w:top w:val="single" w:color="auto" w:sz="4" w:space="0"/>
              <w:right w:val="single" w:color="auto" w:sz="4" w:space="0"/>
            </w:tcBorders>
            <w:noWrap w:val="0"/>
            <w:vAlign w:val="center"/>
          </w:tcPr>
          <w:p w14:paraId="11DCFA7D">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形式评</w:t>
            </w:r>
          </w:p>
          <w:p w14:paraId="21715AE8">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审标准</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233377A">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供应商名称</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19293C9C">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与营业执照</w:t>
            </w: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lang w:val="en-US" w:eastAsia="zh-CN"/>
              </w:rPr>
              <w:t>资质证书、安全生产许可证</w:t>
            </w:r>
            <w:r>
              <w:rPr>
                <w:rFonts w:hint="eastAsia" w:ascii="宋体" w:hAnsi="宋体" w:eastAsia="宋体" w:cs="宋体"/>
                <w:color w:val="auto"/>
                <w:spacing w:val="0"/>
                <w:position w:val="0"/>
                <w:sz w:val="21"/>
                <w:szCs w:val="21"/>
              </w:rPr>
              <w:t>一致</w:t>
            </w:r>
          </w:p>
        </w:tc>
      </w:tr>
      <w:tr w14:paraId="11F1D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6F398F94">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D21CAB6">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签字盖章</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1F24AA7A">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有法定代表人或其委托代理人签字或盖章并加盖单位公章</w:t>
            </w:r>
          </w:p>
        </w:tc>
      </w:tr>
      <w:tr w14:paraId="0B427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1E4FEFE7">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BB6C23F">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bCs/>
                <w:color w:val="auto"/>
                <w:spacing w:val="0"/>
                <w:position w:val="0"/>
                <w:sz w:val="21"/>
                <w:szCs w:val="21"/>
              </w:rPr>
            </w:pPr>
            <w:r>
              <w:rPr>
                <w:rFonts w:hint="eastAsia" w:ascii="宋体" w:hAnsi="宋体" w:eastAsia="宋体" w:cs="宋体"/>
                <w:bCs/>
                <w:color w:val="auto"/>
                <w:spacing w:val="0"/>
                <w:position w:val="0"/>
                <w:sz w:val="21"/>
                <w:szCs w:val="21"/>
              </w:rPr>
              <w:t>响应文件格式</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2EFB5DEB">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bCs/>
                <w:color w:val="auto"/>
                <w:spacing w:val="0"/>
                <w:position w:val="0"/>
                <w:sz w:val="21"/>
                <w:szCs w:val="21"/>
              </w:rPr>
            </w:pPr>
            <w:r>
              <w:rPr>
                <w:rFonts w:hint="eastAsia" w:ascii="宋体" w:hAnsi="宋体" w:eastAsia="宋体" w:cs="宋体"/>
                <w:bCs/>
                <w:color w:val="auto"/>
                <w:spacing w:val="0"/>
                <w:position w:val="0"/>
                <w:sz w:val="21"/>
                <w:szCs w:val="21"/>
              </w:rPr>
              <w:t>满足磋商文件要求</w:t>
            </w:r>
          </w:p>
        </w:tc>
      </w:tr>
      <w:tr w14:paraId="5684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478DD647">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bottom w:val="single" w:color="auto" w:sz="4" w:space="0"/>
              <w:right w:val="single" w:color="auto" w:sz="4" w:space="0"/>
            </w:tcBorders>
            <w:shd w:val="clear"/>
            <w:noWrap w:val="0"/>
            <w:vAlign w:val="center"/>
          </w:tcPr>
          <w:p w14:paraId="41A059B3">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leftChars="0" w:right="0" w:rightChars="0"/>
              <w:jc w:val="center"/>
              <w:rPr>
                <w:rFonts w:hint="eastAsia" w:ascii="宋体" w:hAnsi="宋体" w:eastAsia="宋体" w:cs="宋体"/>
                <w:bCs/>
                <w:color w:val="auto"/>
                <w:spacing w:val="0"/>
                <w:position w:val="0"/>
                <w:sz w:val="21"/>
                <w:szCs w:val="21"/>
                <w:lang w:val="en-US" w:eastAsia="zh-CN" w:bidi="ar-SA"/>
              </w:rPr>
            </w:pPr>
            <w:r>
              <w:rPr>
                <w:rFonts w:hint="eastAsia" w:ascii="宋体" w:hAnsi="宋体" w:eastAsia="宋体" w:cs="宋体"/>
                <w:bCs/>
                <w:color w:val="auto"/>
                <w:spacing w:val="0"/>
                <w:position w:val="0"/>
                <w:sz w:val="21"/>
                <w:szCs w:val="21"/>
              </w:rPr>
              <w:t>报价唯一</w:t>
            </w:r>
          </w:p>
        </w:tc>
        <w:tc>
          <w:tcPr>
            <w:tcW w:w="5909" w:type="dxa"/>
            <w:tcBorders>
              <w:top w:val="single" w:color="auto" w:sz="4" w:space="0"/>
              <w:left w:val="single" w:color="auto" w:sz="4" w:space="0"/>
              <w:bottom w:val="single" w:color="auto" w:sz="4" w:space="0"/>
              <w:right w:val="single" w:color="auto" w:sz="4" w:space="0"/>
            </w:tcBorders>
            <w:shd w:val="clear"/>
            <w:noWrap w:val="0"/>
            <w:vAlign w:val="center"/>
          </w:tcPr>
          <w:p w14:paraId="32F72D99">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leftChars="0" w:right="0" w:rightChars="0"/>
              <w:rPr>
                <w:rFonts w:hint="eastAsia" w:ascii="宋体" w:hAnsi="宋体" w:eastAsia="宋体" w:cs="宋体"/>
                <w:bCs/>
                <w:color w:val="auto"/>
                <w:spacing w:val="0"/>
                <w:position w:val="0"/>
                <w:sz w:val="21"/>
                <w:szCs w:val="21"/>
                <w:lang w:val="en-US" w:eastAsia="zh-CN" w:bidi="ar-SA"/>
              </w:rPr>
            </w:pPr>
            <w:r>
              <w:rPr>
                <w:rFonts w:hint="eastAsia" w:hAnsi="宋体" w:cs="宋体"/>
                <w:bCs/>
                <w:color w:val="auto"/>
                <w:spacing w:val="0"/>
                <w:position w:val="0"/>
                <w:sz w:val="21"/>
                <w:szCs w:val="21"/>
                <w:lang w:val="en-US" w:eastAsia="zh-CN"/>
              </w:rPr>
              <w:t>每轮报价</w:t>
            </w:r>
            <w:r>
              <w:rPr>
                <w:rFonts w:hint="eastAsia" w:ascii="宋体" w:hAnsi="宋体" w:eastAsia="宋体" w:cs="宋体"/>
                <w:bCs/>
                <w:color w:val="auto"/>
                <w:spacing w:val="0"/>
                <w:position w:val="0"/>
                <w:sz w:val="21"/>
                <w:szCs w:val="21"/>
              </w:rPr>
              <w:t>只能有一个有效报价</w:t>
            </w:r>
          </w:p>
        </w:tc>
      </w:tr>
      <w:tr w14:paraId="6E6A5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bottom w:val="single" w:color="auto" w:sz="4" w:space="0"/>
              <w:right w:val="single" w:color="auto" w:sz="4" w:space="0"/>
            </w:tcBorders>
            <w:noWrap w:val="0"/>
            <w:vAlign w:val="center"/>
          </w:tcPr>
          <w:p w14:paraId="688F5E11">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26B82E3">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bCs/>
                <w:color w:val="auto"/>
                <w:spacing w:val="0"/>
                <w:position w:val="0"/>
                <w:sz w:val="21"/>
                <w:szCs w:val="21"/>
              </w:rPr>
            </w:pPr>
            <w:r>
              <w:rPr>
                <w:rFonts w:hint="eastAsia" w:ascii="宋体" w:hAnsi="宋体" w:eastAsia="宋体" w:cs="宋体"/>
                <w:bCs/>
                <w:color w:val="auto"/>
                <w:spacing w:val="0"/>
                <w:position w:val="0"/>
                <w:sz w:val="21"/>
                <w:szCs w:val="21"/>
              </w:rPr>
              <w:t>标书雷同性分析</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5A82CF94">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bCs/>
                <w:color w:val="auto"/>
                <w:spacing w:val="0"/>
                <w:position w:val="0"/>
                <w:sz w:val="21"/>
                <w:szCs w:val="21"/>
              </w:rPr>
            </w:pPr>
            <w:r>
              <w:rPr>
                <w:rFonts w:hint="eastAsia" w:ascii="宋体" w:hAnsi="宋体" w:eastAsia="宋体" w:cs="宋体"/>
                <w:bCs/>
                <w:color w:val="auto"/>
                <w:spacing w:val="0"/>
                <w:position w:val="0"/>
                <w:sz w:val="21"/>
                <w:szCs w:val="21"/>
              </w:rPr>
              <w:t>投标（响应）文件制作机器码不能一致</w:t>
            </w:r>
          </w:p>
        </w:tc>
      </w:tr>
      <w:tr w14:paraId="5A328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restart"/>
            <w:tcBorders>
              <w:top w:val="single" w:color="auto" w:sz="4" w:space="0"/>
              <w:right w:val="single" w:color="auto" w:sz="4" w:space="0"/>
            </w:tcBorders>
            <w:noWrap w:val="0"/>
            <w:vAlign w:val="center"/>
          </w:tcPr>
          <w:p w14:paraId="28EF4430">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资格评</w:t>
            </w:r>
          </w:p>
          <w:p w14:paraId="09DD2864">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审标准</w:t>
            </w:r>
          </w:p>
        </w:tc>
        <w:tc>
          <w:tcPr>
            <w:tcW w:w="2119" w:type="dxa"/>
            <w:tcBorders>
              <w:top w:val="single" w:color="auto" w:sz="4" w:space="0"/>
              <w:left w:val="single" w:color="auto" w:sz="4" w:space="0"/>
              <w:right w:val="single" w:color="auto" w:sz="4" w:space="0"/>
            </w:tcBorders>
            <w:shd w:val="clear" w:color="auto" w:fill="auto"/>
            <w:noWrap w:val="0"/>
            <w:vAlign w:val="center"/>
          </w:tcPr>
          <w:p w14:paraId="04668397">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leftChars="0" w:right="0" w:rightChars="0"/>
              <w:jc w:val="center"/>
              <w:rPr>
                <w:rFonts w:hint="eastAsia" w:ascii="宋体" w:hAnsi="宋体" w:eastAsia="宋体" w:cs="宋体"/>
                <w:color w:val="auto"/>
                <w:spacing w:val="0"/>
                <w:position w:val="0"/>
                <w:sz w:val="21"/>
                <w:szCs w:val="21"/>
                <w:lang w:val="en-US" w:eastAsia="zh-CN" w:bidi="ar-SA"/>
              </w:rPr>
            </w:pPr>
            <w:r>
              <w:rPr>
                <w:rFonts w:hint="eastAsia" w:ascii="宋体" w:hAnsi="宋体" w:eastAsia="宋体" w:cs="宋体"/>
                <w:color w:val="auto"/>
                <w:spacing w:val="0"/>
                <w:position w:val="0"/>
                <w:sz w:val="21"/>
                <w:szCs w:val="21"/>
              </w:rPr>
              <w:t>《政府采购法》第二十二条规定</w:t>
            </w:r>
          </w:p>
        </w:tc>
        <w:tc>
          <w:tcPr>
            <w:tcW w:w="5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5796A">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leftChars="0" w:right="0" w:rightChars="0"/>
              <w:rPr>
                <w:rFonts w:hint="eastAsia" w:ascii="宋体" w:hAnsi="宋体" w:eastAsia="宋体" w:cs="宋体"/>
                <w:color w:val="auto"/>
                <w:spacing w:val="0"/>
                <w:position w:val="0"/>
                <w:sz w:val="21"/>
                <w:szCs w:val="21"/>
                <w:lang w:val="en-US" w:eastAsia="zh-CN" w:bidi="ar-SA"/>
              </w:rPr>
            </w:pPr>
            <w:r>
              <w:rPr>
                <w:rFonts w:hint="eastAsia" w:ascii="宋体" w:hAnsi="宋体" w:eastAsia="宋体" w:cs="宋体"/>
                <w:color w:val="auto"/>
                <w:spacing w:val="0"/>
                <w:position w:val="0"/>
                <w:sz w:val="21"/>
                <w:szCs w:val="21"/>
                <w:lang w:val="en-US" w:eastAsia="zh-CN" w:bidi="ar-SA"/>
              </w:rPr>
              <w:t>满足磋商文件要求</w:t>
            </w:r>
          </w:p>
        </w:tc>
      </w:tr>
      <w:tr w14:paraId="1EADC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3A6C72FD">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right w:val="single" w:color="auto" w:sz="4" w:space="0"/>
            </w:tcBorders>
            <w:shd w:val="clear" w:color="auto" w:fill="auto"/>
            <w:noWrap w:val="0"/>
            <w:vAlign w:val="center"/>
          </w:tcPr>
          <w:p w14:paraId="2B38E0CC">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leftChars="0" w:right="0" w:rightChars="0"/>
              <w:jc w:val="center"/>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资质要求</w:t>
            </w:r>
          </w:p>
        </w:tc>
        <w:tc>
          <w:tcPr>
            <w:tcW w:w="5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FABAC">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leftChars="0" w:right="0" w:rightChars="0"/>
              <w:rPr>
                <w:rFonts w:hint="eastAsia" w:ascii="宋体" w:hAnsi="宋体" w:eastAsia="宋体" w:cs="宋体"/>
                <w:color w:val="auto"/>
                <w:spacing w:val="0"/>
                <w:position w:val="0"/>
                <w:sz w:val="21"/>
                <w:szCs w:val="21"/>
                <w:lang w:val="en-US" w:eastAsia="zh-CN" w:bidi="ar-SA"/>
              </w:rPr>
            </w:pPr>
            <w:r>
              <w:rPr>
                <w:rFonts w:hint="eastAsia" w:ascii="宋体" w:hAnsi="宋体" w:eastAsia="宋体" w:cs="宋体"/>
                <w:color w:val="auto"/>
                <w:spacing w:val="0"/>
                <w:position w:val="0"/>
                <w:sz w:val="21"/>
                <w:szCs w:val="21"/>
                <w:lang w:val="en-US" w:eastAsia="zh-CN" w:bidi="ar-SA"/>
              </w:rPr>
              <w:t>满足磋商文件要求</w:t>
            </w:r>
          </w:p>
        </w:tc>
      </w:tr>
      <w:tr w14:paraId="270A2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27270171">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2FE7E54B">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default" w:ascii="宋体" w:hAnsi="宋体" w:eastAsia="宋体" w:cs="宋体"/>
                <w:color w:val="auto"/>
                <w:spacing w:val="0"/>
                <w:position w:val="0"/>
                <w:sz w:val="21"/>
                <w:szCs w:val="21"/>
                <w:highlight w:val="none"/>
                <w:lang w:val="en-US" w:eastAsia="zh-CN" w:bidi="ar-SA"/>
              </w:rPr>
            </w:pPr>
            <w:r>
              <w:rPr>
                <w:rFonts w:hint="eastAsia" w:hAnsi="宋体" w:cs="宋体"/>
                <w:color w:val="auto"/>
                <w:spacing w:val="0"/>
                <w:position w:val="0"/>
                <w:sz w:val="21"/>
                <w:szCs w:val="21"/>
                <w:highlight w:val="none"/>
                <w:lang w:val="en-US" w:eastAsia="zh-CN" w:bidi="ar-SA"/>
              </w:rPr>
              <w:t>人员要求</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09753A29">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lang w:val="en-US" w:eastAsia="zh-CN" w:bidi="ar-SA"/>
              </w:rPr>
            </w:pPr>
            <w:r>
              <w:rPr>
                <w:rFonts w:hint="eastAsia" w:ascii="宋体" w:hAnsi="宋体" w:eastAsia="宋体" w:cs="宋体"/>
                <w:color w:val="auto"/>
                <w:spacing w:val="0"/>
                <w:position w:val="0"/>
                <w:sz w:val="21"/>
                <w:szCs w:val="21"/>
                <w:lang w:val="en-US" w:eastAsia="zh-CN" w:bidi="ar-SA"/>
              </w:rPr>
              <w:t>满足磋商文件要求</w:t>
            </w:r>
          </w:p>
        </w:tc>
      </w:tr>
      <w:tr w14:paraId="527C2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3F5A0F3D">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0CBC78BF">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lang w:val="en-US" w:eastAsia="zh-CN" w:bidi="ar-SA"/>
              </w:rPr>
            </w:pPr>
            <w:r>
              <w:rPr>
                <w:rFonts w:hint="eastAsia" w:ascii="宋体" w:hAnsi="宋体" w:eastAsia="宋体" w:cs="宋体"/>
                <w:color w:val="auto"/>
                <w:spacing w:val="0"/>
                <w:kern w:val="0"/>
                <w:position w:val="0"/>
                <w:sz w:val="21"/>
                <w:szCs w:val="21"/>
                <w:lang w:val="en-US" w:eastAsia="zh-CN" w:bidi="ar-SA"/>
              </w:rPr>
              <w:t>供应商承诺函</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23E83A60">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lang w:val="en-US" w:eastAsia="zh-CN" w:bidi="ar-SA"/>
              </w:rPr>
            </w:pPr>
            <w:r>
              <w:rPr>
                <w:rFonts w:hint="eastAsia" w:ascii="宋体" w:hAnsi="宋体" w:eastAsia="宋体" w:cs="宋体"/>
                <w:color w:val="auto"/>
                <w:spacing w:val="0"/>
                <w:position w:val="0"/>
                <w:sz w:val="21"/>
                <w:szCs w:val="21"/>
              </w:rPr>
              <w:t>在响应文件中按磋商文件格式提供承诺</w:t>
            </w:r>
          </w:p>
        </w:tc>
      </w:tr>
      <w:tr w14:paraId="5C8A8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6872A384">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2815912A">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highlight w:val="none"/>
                <w:lang w:val="en-US" w:eastAsia="zh-CN"/>
              </w:rPr>
              <w:t>信用记录</w:t>
            </w:r>
            <w:r>
              <w:rPr>
                <w:rFonts w:hint="eastAsia" w:ascii="宋体" w:hAnsi="宋体" w:eastAsia="宋体" w:cs="宋体"/>
                <w:color w:val="auto"/>
                <w:spacing w:val="0"/>
                <w:kern w:val="0"/>
                <w:position w:val="0"/>
                <w:sz w:val="21"/>
                <w:szCs w:val="21"/>
                <w:highlight w:val="none"/>
              </w:rPr>
              <w:t>查询</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69C17747">
            <w:pPr>
              <w:keepNext w:val="0"/>
              <w:keepLines w:val="0"/>
              <w:pageBreakBefore w:val="0"/>
              <w:widowControl w:val="0"/>
              <w:kinsoku/>
              <w:wordWrap w:val="0"/>
              <w:overflowPunct/>
              <w:topLinePunct/>
              <w:autoSpaceDE/>
              <w:autoSpaceDN/>
              <w:bidi w:val="0"/>
              <w:adjustRightInd/>
              <w:snapToGrid/>
              <w:spacing w:before="63" w:beforeLines="20" w:after="63" w:afterLines="20" w:line="276" w:lineRule="auto"/>
              <w:ind w:left="0" w:right="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lang w:val="en-US" w:eastAsia="zh-CN"/>
              </w:rPr>
              <w:t>采购人或代理机构在开标结束后对所有供应商信用记录进行查询，记录以采购人或代理机构查询结果为准，并将查询结果截图打印存档，若查询到供应商有相关负面信息的，则该供应商为无效供应商</w:t>
            </w:r>
          </w:p>
        </w:tc>
      </w:tr>
      <w:tr w14:paraId="755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734C39FF">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3ECE11FD">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rPr>
            </w:pPr>
            <w:r>
              <w:rPr>
                <w:rFonts w:hint="eastAsia" w:ascii="宋体" w:hAnsi="宋体" w:eastAsia="宋体" w:cs="宋体"/>
                <w:color w:val="auto"/>
                <w:spacing w:val="0"/>
                <w:kern w:val="0"/>
                <w:position w:val="0"/>
                <w:sz w:val="21"/>
                <w:szCs w:val="21"/>
                <w:highlight w:val="none"/>
              </w:rPr>
              <w:t>控股、管理关系</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28A1EA56">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lang w:val="en-US" w:eastAsia="zh-CN"/>
              </w:rPr>
              <w:t>单位负责人为同一人或者存在直接控股、管理关系的不同供应商，不得参加同一合同项下的政府采购活动。提供“国家企业信用信息公示系统”中查询打印的相关信息（须显示基息中的“营业执照信息”和“股东及出资信息”）。</w:t>
            </w:r>
          </w:p>
        </w:tc>
      </w:tr>
      <w:tr w14:paraId="268D1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restart"/>
            <w:tcBorders>
              <w:top w:val="single" w:color="auto" w:sz="4" w:space="0"/>
              <w:right w:val="single" w:color="auto" w:sz="4" w:space="0"/>
            </w:tcBorders>
            <w:noWrap w:val="0"/>
            <w:vAlign w:val="center"/>
          </w:tcPr>
          <w:p w14:paraId="2C17116B">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响应性</w:t>
            </w:r>
          </w:p>
          <w:p w14:paraId="1F54AD16">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评审标准</w:t>
            </w:r>
          </w:p>
        </w:tc>
        <w:tc>
          <w:tcPr>
            <w:tcW w:w="2119" w:type="dxa"/>
            <w:tcBorders>
              <w:top w:val="single" w:color="auto" w:sz="4" w:space="0"/>
              <w:left w:val="single" w:color="auto" w:sz="4" w:space="0"/>
              <w:right w:val="single" w:color="auto" w:sz="4" w:space="0"/>
            </w:tcBorders>
            <w:noWrap w:val="0"/>
            <w:vAlign w:val="center"/>
          </w:tcPr>
          <w:p w14:paraId="0B65EA77">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val="en-US" w:eastAsia="zh-CN"/>
              </w:rPr>
              <w:t>采购内容</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0EEFAE47">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符合第二章“供应商须知”第1.3.1项规定</w:t>
            </w:r>
          </w:p>
        </w:tc>
      </w:tr>
      <w:tr w14:paraId="3D62E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05660066">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kern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1C0FDF75">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lang w:val="en-US" w:eastAsia="zh-CN"/>
              </w:rPr>
              <w:t>工    期</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7260AD31">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符合第二章“供应商须知”第1.3.2项规定</w:t>
            </w:r>
          </w:p>
        </w:tc>
      </w:tr>
      <w:tr w14:paraId="0E913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1083E0DE">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kern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6E902723">
            <w:pPr>
              <w:keepNext w:val="0"/>
              <w:keepLines w:val="0"/>
              <w:pageBreakBefore w:val="0"/>
              <w:widowControl w:val="0"/>
              <w:kinsoku/>
              <w:wordWrap w:val="0"/>
              <w:overflowPunct/>
              <w:topLinePunct/>
              <w:autoSpaceDE/>
              <w:autoSpaceDN/>
              <w:bidi w:val="0"/>
              <w:snapToGrid/>
              <w:spacing w:before="63" w:beforeLines="20" w:after="63" w:afterLines="20" w:line="276" w:lineRule="auto"/>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rPr>
              <w:t>质量要求</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5D0C4615">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符合第二章“供应商须知”第1.3.</w:t>
            </w:r>
            <w:r>
              <w:rPr>
                <w:rFonts w:hint="eastAsia" w:ascii="宋体" w:hAnsi="宋体" w:eastAsia="宋体" w:cs="宋体"/>
                <w:color w:val="auto"/>
                <w:spacing w:val="0"/>
                <w:position w:val="0"/>
                <w:sz w:val="21"/>
                <w:szCs w:val="21"/>
                <w:lang w:val="en-US" w:eastAsia="zh-CN"/>
              </w:rPr>
              <w:t>3</w:t>
            </w:r>
            <w:r>
              <w:rPr>
                <w:rFonts w:hint="eastAsia" w:ascii="宋体" w:hAnsi="宋体" w:eastAsia="宋体" w:cs="宋体"/>
                <w:color w:val="auto"/>
                <w:spacing w:val="0"/>
                <w:position w:val="0"/>
                <w:sz w:val="21"/>
                <w:szCs w:val="21"/>
              </w:rPr>
              <w:t>项规定</w:t>
            </w:r>
          </w:p>
        </w:tc>
      </w:tr>
      <w:tr w14:paraId="0D5F7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7038D0C9">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kern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1DC902C4">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磋商有效期</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3D53224A">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符合第二章“供应商须知”第3.3.1项规定</w:t>
            </w:r>
          </w:p>
        </w:tc>
      </w:tr>
      <w:tr w14:paraId="6B1AE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right w:val="single" w:color="auto" w:sz="4" w:space="0"/>
            </w:tcBorders>
            <w:noWrap w:val="0"/>
            <w:vAlign w:val="center"/>
          </w:tcPr>
          <w:p w14:paraId="421D67EF">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kern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58C41034">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rPr>
              <w:t>已标价工程量清单</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6FF411CC">
            <w:pPr>
              <w:pStyle w:val="64"/>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符合第五章“工程量清单”给出的子目编码、子目名称、子目特征、计量单位和工程量。</w:t>
            </w:r>
          </w:p>
        </w:tc>
      </w:tr>
      <w:tr w14:paraId="03C13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26" w:type="dxa"/>
            <w:vMerge w:val="continue"/>
            <w:tcBorders>
              <w:bottom w:val="single" w:color="auto" w:sz="4" w:space="0"/>
              <w:right w:val="single" w:color="auto" w:sz="4" w:space="0"/>
            </w:tcBorders>
            <w:noWrap w:val="0"/>
            <w:vAlign w:val="center"/>
          </w:tcPr>
          <w:p w14:paraId="588EDFB1">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center"/>
              <w:textAlignment w:val="baseline"/>
              <w:rPr>
                <w:rFonts w:hint="eastAsia" w:ascii="宋体" w:hAnsi="宋体" w:eastAsia="宋体" w:cs="宋体"/>
                <w:color w:val="auto"/>
                <w:spacing w:val="0"/>
                <w:kern w:val="0"/>
                <w:position w:val="0"/>
                <w:sz w:val="21"/>
                <w:szCs w:val="21"/>
              </w:rPr>
            </w:pPr>
          </w:p>
        </w:tc>
        <w:tc>
          <w:tcPr>
            <w:tcW w:w="2119" w:type="dxa"/>
            <w:tcBorders>
              <w:top w:val="single" w:color="auto" w:sz="4" w:space="0"/>
              <w:left w:val="single" w:color="auto" w:sz="4" w:space="0"/>
              <w:right w:val="single" w:color="auto" w:sz="4" w:space="0"/>
            </w:tcBorders>
            <w:noWrap w:val="0"/>
            <w:vAlign w:val="center"/>
          </w:tcPr>
          <w:p w14:paraId="20A4D350">
            <w:pPr>
              <w:keepNext w:val="0"/>
              <w:keepLines w:val="0"/>
              <w:pageBreakBefore w:val="0"/>
              <w:widowControl w:val="0"/>
              <w:kinsoku/>
              <w:wordWrap w:val="0"/>
              <w:overflowPunct/>
              <w:topLinePunct/>
              <w:autoSpaceDE/>
              <w:autoSpaceDN/>
              <w:bidi w:val="0"/>
              <w:snapToGrid/>
              <w:spacing w:before="63" w:beforeLines="20" w:after="63" w:afterLines="20" w:line="276" w:lineRule="auto"/>
              <w:ind w:left="0" w:right="0"/>
              <w:jc w:val="center"/>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磋商报价</w:t>
            </w:r>
          </w:p>
        </w:tc>
        <w:tc>
          <w:tcPr>
            <w:tcW w:w="5909" w:type="dxa"/>
            <w:tcBorders>
              <w:top w:val="single" w:color="auto" w:sz="4" w:space="0"/>
              <w:left w:val="single" w:color="auto" w:sz="4" w:space="0"/>
              <w:bottom w:val="single" w:color="auto" w:sz="4" w:space="0"/>
              <w:right w:val="single" w:color="auto" w:sz="4" w:space="0"/>
            </w:tcBorders>
            <w:noWrap w:val="0"/>
            <w:vAlign w:val="center"/>
          </w:tcPr>
          <w:p w14:paraId="6E36B8CD">
            <w:pPr>
              <w:keepNext w:val="0"/>
              <w:keepLines w:val="0"/>
              <w:pageBreakBefore w:val="0"/>
              <w:widowControl w:val="0"/>
              <w:kinsoku/>
              <w:wordWrap w:val="0"/>
              <w:overflowPunct/>
              <w:topLinePunct/>
              <w:autoSpaceDE/>
              <w:autoSpaceDN/>
              <w:bidi w:val="0"/>
              <w:adjustRightInd w:val="0"/>
              <w:snapToGrid/>
              <w:spacing w:before="63" w:beforeLines="20" w:after="63" w:afterLines="20" w:line="276" w:lineRule="auto"/>
              <w:ind w:left="0" w:right="0"/>
              <w:jc w:val="left"/>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磋商报价在规定的报价要求范围之内，</w:t>
            </w:r>
            <w:r>
              <w:rPr>
                <w:rFonts w:hint="eastAsia" w:ascii="宋体" w:hAnsi="宋体" w:eastAsia="宋体" w:cs="宋体"/>
                <w:bCs/>
                <w:color w:val="auto"/>
                <w:spacing w:val="0"/>
                <w:position w:val="0"/>
                <w:sz w:val="21"/>
                <w:szCs w:val="21"/>
              </w:rPr>
              <w:t>且未超过</w:t>
            </w:r>
            <w:r>
              <w:rPr>
                <w:rFonts w:hint="eastAsia" w:ascii="宋体" w:hAnsi="宋体" w:eastAsia="宋体" w:cs="宋体"/>
                <w:bCs/>
                <w:color w:val="auto"/>
                <w:spacing w:val="0"/>
                <w:position w:val="0"/>
                <w:sz w:val="21"/>
                <w:szCs w:val="21"/>
                <w:lang w:val="en-US" w:eastAsia="zh-CN"/>
              </w:rPr>
              <w:t>最高限价</w:t>
            </w:r>
          </w:p>
        </w:tc>
      </w:tr>
      <w:tr w14:paraId="6D1A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Align w:val="center"/>
          </w:tcPr>
          <w:p w14:paraId="76C0A830">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kern w:val="0"/>
                <w:position w:val="0"/>
                <w:sz w:val="21"/>
                <w:szCs w:val="21"/>
              </w:rPr>
              <w:t>名称</w:t>
            </w:r>
          </w:p>
        </w:tc>
        <w:tc>
          <w:tcPr>
            <w:tcW w:w="2119" w:type="dxa"/>
            <w:vAlign w:val="center"/>
          </w:tcPr>
          <w:p w14:paraId="3EB04795">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kern w:val="0"/>
                <w:position w:val="0"/>
                <w:sz w:val="21"/>
                <w:szCs w:val="21"/>
              </w:rPr>
              <w:t>评审因素</w:t>
            </w:r>
          </w:p>
        </w:tc>
        <w:tc>
          <w:tcPr>
            <w:tcW w:w="5909" w:type="dxa"/>
            <w:vAlign w:val="center"/>
          </w:tcPr>
          <w:p w14:paraId="16BA4D6D">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kern w:val="0"/>
                <w:position w:val="0"/>
                <w:sz w:val="21"/>
                <w:szCs w:val="21"/>
              </w:rPr>
              <w:t>评审标准</w:t>
            </w:r>
          </w:p>
        </w:tc>
      </w:tr>
      <w:tr w14:paraId="1ECF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Align w:val="center"/>
          </w:tcPr>
          <w:p w14:paraId="708F8337">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价格部分</w:t>
            </w:r>
          </w:p>
          <w:p w14:paraId="3E85FD1E">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val="en-US" w:eastAsia="zh-CN"/>
              </w:rPr>
              <w:t>30</w:t>
            </w:r>
            <w:r>
              <w:rPr>
                <w:rFonts w:hint="eastAsia" w:ascii="宋体" w:hAnsi="宋体" w:eastAsia="宋体" w:cs="宋体"/>
                <w:color w:val="auto"/>
                <w:spacing w:val="0"/>
                <w:position w:val="0"/>
                <w:sz w:val="21"/>
                <w:szCs w:val="21"/>
                <w:highlight w:val="none"/>
              </w:rPr>
              <w:t>分）</w:t>
            </w:r>
          </w:p>
        </w:tc>
        <w:tc>
          <w:tcPr>
            <w:tcW w:w="8028" w:type="dxa"/>
            <w:gridSpan w:val="2"/>
            <w:vAlign w:val="center"/>
          </w:tcPr>
          <w:p w14:paraId="1F536539">
            <w:pPr>
              <w:keepNext w:val="0"/>
              <w:keepLines w:val="0"/>
              <w:pageBreakBefore w:val="0"/>
              <w:widowControl w:val="0"/>
              <w:tabs>
                <w:tab w:val="center" w:pos="4153"/>
                <w:tab w:val="right" w:pos="8306"/>
              </w:tabs>
              <w:kinsoku w:val="0"/>
              <w:wordWrap w:val="0"/>
              <w:overflowPunct/>
              <w:topLinePunct/>
              <w:autoSpaceDE/>
              <w:autoSpaceDN/>
              <w:bidi w:val="0"/>
              <w:adjustRightInd/>
              <w:snapToGrid/>
              <w:spacing w:before="32" w:beforeLines="10" w:after="32" w:afterLines="10" w:line="276" w:lineRule="auto"/>
              <w:ind w:left="0" w:right="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价格分按低价优先法计算，其中：满足</w:t>
            </w:r>
            <w:r>
              <w:rPr>
                <w:rFonts w:hint="eastAsia" w:ascii="宋体" w:hAnsi="宋体" w:eastAsia="宋体" w:cs="宋体"/>
                <w:color w:val="auto"/>
                <w:spacing w:val="0"/>
                <w:position w:val="0"/>
                <w:sz w:val="21"/>
                <w:szCs w:val="21"/>
                <w:highlight w:val="none"/>
                <w:lang w:eastAsia="zh-CN"/>
              </w:rPr>
              <w:t>磋商文件</w:t>
            </w:r>
            <w:r>
              <w:rPr>
                <w:rFonts w:hint="eastAsia" w:ascii="宋体" w:hAnsi="宋体" w:eastAsia="宋体" w:cs="宋体"/>
                <w:color w:val="auto"/>
                <w:spacing w:val="0"/>
                <w:position w:val="0"/>
                <w:sz w:val="21"/>
                <w:szCs w:val="21"/>
                <w:highlight w:val="none"/>
              </w:rPr>
              <w:t>要求且</w:t>
            </w:r>
            <w:r>
              <w:rPr>
                <w:rFonts w:hint="eastAsia" w:ascii="宋体" w:hAnsi="宋体" w:eastAsia="宋体" w:cs="宋体"/>
                <w:color w:val="auto"/>
                <w:spacing w:val="0"/>
                <w:position w:val="0"/>
                <w:sz w:val="21"/>
                <w:szCs w:val="21"/>
                <w:highlight w:val="none"/>
                <w:lang w:eastAsia="zh-CN"/>
              </w:rPr>
              <w:t>评审</w:t>
            </w:r>
            <w:r>
              <w:rPr>
                <w:rFonts w:hint="eastAsia" w:ascii="宋体" w:hAnsi="宋体" w:eastAsia="宋体" w:cs="宋体"/>
                <w:color w:val="auto"/>
                <w:spacing w:val="0"/>
                <w:position w:val="0"/>
                <w:sz w:val="21"/>
                <w:szCs w:val="21"/>
                <w:highlight w:val="none"/>
              </w:rPr>
              <w:t>价格最低的为</w:t>
            </w:r>
            <w:r>
              <w:rPr>
                <w:rFonts w:hint="eastAsia" w:ascii="宋体" w:hAnsi="宋体" w:eastAsia="宋体" w:cs="宋体"/>
                <w:color w:val="auto"/>
                <w:spacing w:val="0"/>
                <w:position w:val="0"/>
                <w:sz w:val="21"/>
                <w:szCs w:val="21"/>
                <w:highlight w:val="none"/>
                <w:lang w:eastAsia="zh-CN"/>
              </w:rPr>
              <w:t>评审</w:t>
            </w:r>
            <w:r>
              <w:rPr>
                <w:rFonts w:hint="eastAsia" w:ascii="宋体" w:hAnsi="宋体" w:eastAsia="宋体" w:cs="宋体"/>
                <w:color w:val="auto"/>
                <w:spacing w:val="0"/>
                <w:position w:val="0"/>
                <w:sz w:val="21"/>
                <w:szCs w:val="21"/>
                <w:highlight w:val="none"/>
              </w:rPr>
              <w:t>基准价，其价格分为满分。其他</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的价格分统一按照下列公式计算：投标报价得分=（</w:t>
            </w:r>
            <w:r>
              <w:rPr>
                <w:rFonts w:hint="eastAsia" w:ascii="宋体" w:hAnsi="宋体" w:eastAsia="宋体" w:cs="宋体"/>
                <w:color w:val="auto"/>
                <w:spacing w:val="0"/>
                <w:position w:val="0"/>
                <w:sz w:val="21"/>
                <w:szCs w:val="21"/>
                <w:highlight w:val="none"/>
                <w:lang w:eastAsia="zh-CN"/>
              </w:rPr>
              <w:t>评审</w:t>
            </w:r>
            <w:r>
              <w:rPr>
                <w:rFonts w:hint="eastAsia" w:ascii="宋体" w:hAnsi="宋体" w:eastAsia="宋体" w:cs="宋体"/>
                <w:color w:val="auto"/>
                <w:spacing w:val="0"/>
                <w:position w:val="0"/>
                <w:sz w:val="21"/>
                <w:szCs w:val="21"/>
                <w:highlight w:val="none"/>
              </w:rPr>
              <w:t>基准价／投标报价）×投标报价满分分值。得分保留2位小数。</w:t>
            </w:r>
          </w:p>
          <w:p w14:paraId="156DEC27">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价格扣除：符合小微企业、监狱企业、残疾人福利性单位政策扶持规定的，用扣除后的价格参与投标报价评审。小微企业的评标报价=小微企业的投标报价×（1-3%）</w:t>
            </w:r>
          </w:p>
          <w:p w14:paraId="6FB1ECCD">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认为</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的报价明显低于其他通过符合性审查</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的报价，有可能影响质量或者不能诚信履约的，应当要求其在</w:t>
            </w:r>
            <w:r>
              <w:rPr>
                <w:rFonts w:hint="eastAsia" w:ascii="宋体" w:hAnsi="宋体" w:eastAsia="宋体" w:cs="宋体"/>
                <w:color w:val="auto"/>
                <w:spacing w:val="0"/>
                <w:position w:val="0"/>
                <w:sz w:val="21"/>
                <w:szCs w:val="21"/>
                <w:highlight w:val="none"/>
                <w:lang w:eastAsia="zh-CN"/>
              </w:rPr>
              <w:t>评审</w:t>
            </w:r>
            <w:r>
              <w:rPr>
                <w:rFonts w:hint="eastAsia" w:ascii="宋体" w:hAnsi="宋体" w:eastAsia="宋体" w:cs="宋体"/>
                <w:color w:val="auto"/>
                <w:spacing w:val="0"/>
                <w:position w:val="0"/>
                <w:sz w:val="21"/>
                <w:szCs w:val="21"/>
                <w:highlight w:val="none"/>
              </w:rPr>
              <w:t>现场合理的时间内提供书面说明，并提交相关证明材料；</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不能合理说明或不能提交有力证明材料证明其报价合理性的，</w:t>
            </w: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应当将其作为无效投标处理。</w:t>
            </w:r>
          </w:p>
        </w:tc>
      </w:tr>
      <w:tr w14:paraId="2C54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restart"/>
            <w:vAlign w:val="center"/>
          </w:tcPr>
          <w:p w14:paraId="49D2CF9A">
            <w:pPr>
              <w:keepNext w:val="0"/>
              <w:keepLines w:val="0"/>
              <w:pageBreakBefore w:val="0"/>
              <w:widowControl w:val="0"/>
              <w:tabs>
                <w:tab w:val="left" w:pos="0"/>
                <w:tab w:val="left" w:pos="360"/>
              </w:tabs>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技术</w:t>
            </w:r>
            <w:r>
              <w:rPr>
                <w:rFonts w:hint="eastAsia" w:ascii="宋体" w:hAnsi="宋体" w:eastAsia="宋体" w:cs="宋体"/>
                <w:color w:val="auto"/>
                <w:spacing w:val="0"/>
                <w:position w:val="0"/>
                <w:sz w:val="21"/>
                <w:szCs w:val="21"/>
              </w:rPr>
              <w:t>部分</w:t>
            </w:r>
          </w:p>
          <w:p w14:paraId="685CA4D6">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val="en-US" w:eastAsia="zh-CN"/>
              </w:rPr>
              <w:t>50</w:t>
            </w:r>
            <w:r>
              <w:rPr>
                <w:rFonts w:hint="eastAsia" w:ascii="宋体" w:hAnsi="宋体" w:eastAsia="宋体" w:cs="宋体"/>
                <w:color w:val="auto"/>
                <w:spacing w:val="0"/>
                <w:position w:val="0"/>
                <w:sz w:val="21"/>
                <w:szCs w:val="21"/>
              </w:rPr>
              <w:t>分）</w:t>
            </w:r>
          </w:p>
        </w:tc>
        <w:tc>
          <w:tcPr>
            <w:tcW w:w="2119" w:type="dxa"/>
            <w:vAlign w:val="center"/>
          </w:tcPr>
          <w:p w14:paraId="5020E629">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内容完整性和编制水平（5分）</w:t>
            </w:r>
          </w:p>
        </w:tc>
        <w:tc>
          <w:tcPr>
            <w:tcW w:w="5909" w:type="dxa"/>
            <w:vAlign w:val="center"/>
          </w:tcPr>
          <w:p w14:paraId="7754030D">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施工准备工作计划，施工方案，施工进度计划，劳动力、机械设备、材料供应计划，建筑工地施工业务的组织规划。内容完整、编制合理得5分，内容基本完整、比较完善得3分，内容不够完整、内容欠完善得1分，缺项得0分。</w:t>
            </w:r>
          </w:p>
        </w:tc>
      </w:tr>
      <w:tr w14:paraId="053E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72B42407">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1B50BA54">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right="0" w:rightChars="0"/>
              <w:jc w:val="center"/>
              <w:textAlignment w:val="auto"/>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bidi="ar-SA"/>
              </w:rPr>
              <w:t>施工方案与技术措施</w:t>
            </w:r>
            <w:r>
              <w:rPr>
                <w:rFonts w:hint="eastAsia" w:ascii="宋体" w:hAnsi="宋体" w:eastAsia="宋体" w:cs="宋体"/>
                <w:sz w:val="21"/>
                <w:szCs w:val="21"/>
                <w:highlight w:val="none"/>
                <w:lang w:val="en-US" w:eastAsia="zh-CN"/>
              </w:rPr>
              <w:t>（</w:t>
            </w:r>
            <w:r>
              <w:rPr>
                <w:rFonts w:hint="eastAsia"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5909" w:type="dxa"/>
            <w:vAlign w:val="center"/>
          </w:tcPr>
          <w:p w14:paraId="6AFD406A">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val="en-US" w:eastAsia="zh-CN" w:bidi="ar-SA"/>
              </w:rPr>
            </w:pPr>
            <w:r>
              <w:rPr>
                <w:rFonts w:hint="eastAsia" w:ascii="宋体" w:hAnsi="宋体" w:eastAsia="宋体" w:cs="宋体"/>
                <w:color w:val="auto"/>
                <w:spacing w:val="0"/>
                <w:position w:val="0"/>
                <w:sz w:val="21"/>
                <w:szCs w:val="21"/>
                <w:lang w:val="en-US" w:eastAsia="zh-CN" w:bidi="ar-SA"/>
              </w:rPr>
              <w:t>包括施工程序和顺序，主要分部分项工程的施工方法和施工机械。内容完整、方案科学、措施合理得满分，内容完整、方案科学、措施合理得</w:t>
            </w:r>
            <w:r>
              <w:rPr>
                <w:rFonts w:hint="eastAsia" w:hAnsi="宋体" w:cs="宋体"/>
                <w:color w:val="auto"/>
                <w:spacing w:val="0"/>
                <w:position w:val="0"/>
                <w:sz w:val="21"/>
                <w:szCs w:val="21"/>
                <w:lang w:val="en-US" w:eastAsia="zh-CN" w:bidi="ar-SA"/>
              </w:rPr>
              <w:t>6</w:t>
            </w:r>
            <w:r>
              <w:rPr>
                <w:rFonts w:hint="eastAsia" w:ascii="宋体" w:hAnsi="宋体" w:eastAsia="宋体" w:cs="宋体"/>
                <w:color w:val="auto"/>
                <w:spacing w:val="0"/>
                <w:position w:val="0"/>
                <w:sz w:val="21"/>
                <w:szCs w:val="21"/>
                <w:lang w:val="en-US" w:eastAsia="zh-CN" w:bidi="ar-SA"/>
              </w:rPr>
              <w:t>分，内容基本完整、方案措施基本完善得3分，内容不够完整、方案措施欠完善得1分，缺项得0分。</w:t>
            </w:r>
          </w:p>
        </w:tc>
      </w:tr>
      <w:tr w14:paraId="165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3F0C489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0F83B4B7">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质量管理体系与措施</w:t>
            </w:r>
            <w:r>
              <w:rPr>
                <w:rFonts w:hint="eastAsia" w:ascii="宋体" w:hAnsi="宋体" w:eastAsia="宋体" w:cs="宋体"/>
                <w:sz w:val="21"/>
                <w:szCs w:val="21"/>
                <w:highlight w:val="none"/>
                <w:lang w:val="en-US" w:eastAsia="zh-CN"/>
              </w:rPr>
              <w:t>（</w:t>
            </w:r>
            <w:r>
              <w:rPr>
                <w:rFonts w:hint="eastAsia"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5909" w:type="dxa"/>
            <w:vAlign w:val="center"/>
          </w:tcPr>
          <w:p w14:paraId="7E27A831">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包括质量责任制度，检验检测制度，教育培训，质量保修和售后服务措施。内容完整、制度完善得</w:t>
            </w:r>
            <w:r>
              <w:rPr>
                <w:rFonts w:hint="eastAsia" w:hAnsi="宋体" w:cs="宋体"/>
                <w:color w:val="auto"/>
                <w:spacing w:val="0"/>
                <w:position w:val="0"/>
                <w:sz w:val="21"/>
                <w:szCs w:val="21"/>
                <w:lang w:val="en-US" w:eastAsia="zh-CN"/>
              </w:rPr>
              <w:t>6</w:t>
            </w:r>
            <w:r>
              <w:rPr>
                <w:rFonts w:hint="eastAsia" w:ascii="宋体" w:hAnsi="宋体" w:eastAsia="宋体" w:cs="宋体"/>
                <w:color w:val="auto"/>
                <w:spacing w:val="0"/>
                <w:position w:val="0"/>
                <w:sz w:val="21"/>
                <w:szCs w:val="21"/>
                <w:lang w:eastAsia="zh-CN"/>
              </w:rPr>
              <w:t>分，内容基本完整、制度基本完善得3分，内容不够完整、方案措施欠完善得1分，缺项得0分。</w:t>
            </w:r>
          </w:p>
        </w:tc>
      </w:tr>
      <w:tr w14:paraId="75E4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08B3490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141B6A63">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安全管理体系与措施</w:t>
            </w:r>
            <w:r>
              <w:rPr>
                <w:rFonts w:hint="eastAsia" w:ascii="宋体" w:hAnsi="宋体" w:eastAsia="宋体" w:cs="宋体"/>
                <w:sz w:val="21"/>
                <w:szCs w:val="21"/>
                <w:highlight w:val="none"/>
                <w:lang w:val="en-US" w:eastAsia="zh-CN"/>
              </w:rPr>
              <w:t>（</w:t>
            </w:r>
            <w:r>
              <w:rPr>
                <w:rFonts w:hint="eastAsia"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5909" w:type="dxa"/>
            <w:vAlign w:val="center"/>
          </w:tcPr>
          <w:p w14:paraId="5F0F8584">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安全生产责任制度和安全教育培训制度健全，安全生产规章制度和操作规程完善，安全生产管理机构健全、专职安全管理人员配备齐全。内容完整、制度措施完善得</w:t>
            </w:r>
            <w:r>
              <w:rPr>
                <w:rFonts w:hint="eastAsia" w:hAnsi="宋体" w:cs="宋体"/>
                <w:color w:val="auto"/>
                <w:spacing w:val="0"/>
                <w:position w:val="0"/>
                <w:sz w:val="21"/>
                <w:szCs w:val="21"/>
                <w:lang w:val="en-US" w:eastAsia="zh-CN"/>
              </w:rPr>
              <w:t>6</w:t>
            </w:r>
            <w:r>
              <w:rPr>
                <w:rFonts w:hint="eastAsia" w:ascii="宋体" w:hAnsi="宋体" w:eastAsia="宋体" w:cs="宋体"/>
                <w:color w:val="auto"/>
                <w:spacing w:val="0"/>
                <w:position w:val="0"/>
                <w:sz w:val="21"/>
                <w:szCs w:val="21"/>
                <w:lang w:eastAsia="zh-CN"/>
              </w:rPr>
              <w:t>分，内容基本完整、制度措施基本完善得3分，内容不够完整、制度措施欠完善得1分，缺项得0分。</w:t>
            </w:r>
          </w:p>
        </w:tc>
      </w:tr>
      <w:tr w14:paraId="68F3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2687E8A9">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175D142A">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环境保护管理体系与措施</w:t>
            </w:r>
            <w:r>
              <w:rPr>
                <w:rFonts w:hint="eastAsia" w:ascii="宋体" w:hAnsi="宋体" w:eastAsia="宋体" w:cs="宋体"/>
                <w:sz w:val="21"/>
                <w:szCs w:val="21"/>
                <w:highlight w:val="none"/>
                <w:lang w:val="en-US" w:eastAsia="zh-CN"/>
              </w:rPr>
              <w:t>（</w:t>
            </w:r>
            <w:r>
              <w:rPr>
                <w:rFonts w:hint="eastAsia"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5909" w:type="dxa"/>
            <w:vAlign w:val="center"/>
          </w:tcPr>
          <w:p w14:paraId="5B19E799">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环境保护、环境卫生管理制度完善，责任清晰，措施到位，机制健全。符合要求得</w:t>
            </w:r>
            <w:r>
              <w:rPr>
                <w:rFonts w:hint="eastAsia" w:hAnsi="宋体" w:cs="宋体"/>
                <w:color w:val="auto"/>
                <w:spacing w:val="0"/>
                <w:position w:val="0"/>
                <w:sz w:val="21"/>
                <w:szCs w:val="21"/>
                <w:lang w:val="en-US" w:eastAsia="zh-CN"/>
              </w:rPr>
              <w:t>6</w:t>
            </w:r>
            <w:r>
              <w:rPr>
                <w:rFonts w:hint="eastAsia" w:ascii="宋体" w:hAnsi="宋体" w:eastAsia="宋体" w:cs="宋体"/>
                <w:color w:val="auto"/>
                <w:spacing w:val="0"/>
                <w:position w:val="0"/>
                <w:sz w:val="21"/>
                <w:szCs w:val="21"/>
                <w:lang w:eastAsia="zh-CN"/>
              </w:rPr>
              <w:t>分，内容基本完整、制度比较完善得3分，内容不够完整、制度欠完善得1分。缺项得0分。</w:t>
            </w:r>
          </w:p>
        </w:tc>
      </w:tr>
      <w:tr w14:paraId="43E4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6C4EF9A3">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1F4DAC62">
            <w:pPr>
              <w:pStyle w:val="65"/>
              <w:keepNext w:val="0"/>
              <w:keepLines w:val="0"/>
              <w:pageBreakBefore w:val="0"/>
              <w:widowControl w:val="0"/>
              <w:overflow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工程进度计划与措施（6分）</w:t>
            </w:r>
          </w:p>
        </w:tc>
        <w:tc>
          <w:tcPr>
            <w:tcW w:w="5909" w:type="dxa"/>
            <w:vAlign w:val="center"/>
          </w:tcPr>
          <w:p w14:paraId="5F1519C0">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进度计划安排满足磋商文件要求，进度控制措施科学具体。符合要求得</w:t>
            </w:r>
            <w:r>
              <w:rPr>
                <w:rFonts w:hint="eastAsia" w:hAnsi="宋体" w:cs="宋体"/>
                <w:color w:val="auto"/>
                <w:spacing w:val="0"/>
                <w:position w:val="0"/>
                <w:sz w:val="21"/>
                <w:szCs w:val="21"/>
                <w:lang w:val="en-US" w:eastAsia="zh-CN"/>
              </w:rPr>
              <w:t>6</w:t>
            </w:r>
            <w:r>
              <w:rPr>
                <w:rFonts w:hint="eastAsia" w:ascii="宋体" w:hAnsi="宋体" w:eastAsia="宋体" w:cs="宋体"/>
                <w:color w:val="auto"/>
                <w:spacing w:val="0"/>
                <w:position w:val="0"/>
                <w:sz w:val="21"/>
                <w:szCs w:val="21"/>
                <w:lang w:eastAsia="zh-CN"/>
              </w:rPr>
              <w:t>分，内容基本完整、措施比较完善得3分，内容不够完整、措施欠完善得1分。缺项得0分。</w:t>
            </w:r>
          </w:p>
        </w:tc>
      </w:tr>
      <w:tr w14:paraId="0B0C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437D8464">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04B278AC">
            <w:pPr>
              <w:pStyle w:val="65"/>
              <w:keepNext w:val="0"/>
              <w:keepLines w:val="0"/>
              <w:pageBreakBefore w:val="0"/>
              <w:widowControl w:val="0"/>
              <w:overflow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施工总平面布置</w:t>
            </w:r>
          </w:p>
          <w:p w14:paraId="42E32994">
            <w:pPr>
              <w:pStyle w:val="65"/>
              <w:keepNext w:val="0"/>
              <w:keepLines w:val="0"/>
              <w:pageBreakBefore w:val="0"/>
              <w:widowControl w:val="0"/>
              <w:overflow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5909" w:type="dxa"/>
            <w:vAlign w:val="center"/>
          </w:tcPr>
          <w:p w14:paraId="339416D4">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施工现场总平面布置(供应商应递交一份施工总平面图，绘出现场临时设施布置图表并附文字说明，说明临时设施、加工车间、现场办公、设备及仓储、供电、供水、卫生、生活、道路、消防等设施的情况和布置)</w:t>
            </w:r>
            <w:r>
              <w:rPr>
                <w:rFonts w:hint="eastAsia" w:hAnsi="宋体" w:cs="宋体"/>
                <w:color w:val="auto"/>
                <w:spacing w:val="0"/>
                <w:position w:val="0"/>
                <w:sz w:val="21"/>
                <w:szCs w:val="21"/>
                <w:lang w:eastAsia="zh-CN"/>
              </w:rPr>
              <w:t>。</w:t>
            </w:r>
            <w:r>
              <w:rPr>
                <w:rFonts w:hint="eastAsia" w:ascii="宋体" w:hAnsi="宋体" w:eastAsia="宋体" w:cs="宋体"/>
                <w:color w:val="auto"/>
                <w:spacing w:val="0"/>
                <w:position w:val="0"/>
                <w:sz w:val="21"/>
                <w:szCs w:val="21"/>
                <w:lang w:eastAsia="zh-CN"/>
              </w:rPr>
              <w:t>总体布置有针对性、合理、完全满足施工需要，符合安全、文明施工要求，材料堆放有序得</w:t>
            </w:r>
            <w:r>
              <w:rPr>
                <w:rFonts w:hint="eastAsia" w:hAnsi="宋体" w:cs="宋体"/>
                <w:color w:val="auto"/>
                <w:spacing w:val="0"/>
                <w:position w:val="0"/>
                <w:sz w:val="21"/>
                <w:szCs w:val="21"/>
                <w:lang w:val="en-US" w:eastAsia="zh-CN"/>
              </w:rPr>
              <w:t>5</w:t>
            </w:r>
            <w:r>
              <w:rPr>
                <w:rFonts w:hint="eastAsia" w:ascii="宋体" w:hAnsi="宋体" w:eastAsia="宋体" w:cs="宋体"/>
                <w:color w:val="auto"/>
                <w:spacing w:val="0"/>
                <w:position w:val="0"/>
                <w:sz w:val="21"/>
                <w:szCs w:val="21"/>
                <w:lang w:eastAsia="zh-CN"/>
              </w:rPr>
              <w:t>分；总体布置较合理、满足施工需要得</w:t>
            </w:r>
            <w:r>
              <w:rPr>
                <w:rFonts w:hint="eastAsia" w:hAnsi="宋体" w:cs="宋体"/>
                <w:color w:val="auto"/>
                <w:spacing w:val="0"/>
                <w:position w:val="0"/>
                <w:sz w:val="21"/>
                <w:szCs w:val="21"/>
                <w:lang w:val="en-US" w:eastAsia="zh-CN"/>
              </w:rPr>
              <w:t>3</w:t>
            </w:r>
            <w:r>
              <w:rPr>
                <w:rFonts w:hint="eastAsia" w:ascii="宋体" w:hAnsi="宋体" w:eastAsia="宋体" w:cs="宋体"/>
                <w:color w:val="auto"/>
                <w:spacing w:val="0"/>
                <w:position w:val="0"/>
                <w:sz w:val="21"/>
                <w:szCs w:val="21"/>
                <w:lang w:eastAsia="zh-CN"/>
              </w:rPr>
              <w:t>分；总体布置一般、基本满足施工需要得</w:t>
            </w:r>
            <w:r>
              <w:rPr>
                <w:rFonts w:hint="eastAsia" w:hAnsi="宋体" w:cs="宋体"/>
                <w:color w:val="auto"/>
                <w:spacing w:val="0"/>
                <w:position w:val="0"/>
                <w:sz w:val="21"/>
                <w:szCs w:val="21"/>
                <w:lang w:val="en-US" w:eastAsia="zh-CN"/>
              </w:rPr>
              <w:t>1</w:t>
            </w:r>
            <w:r>
              <w:rPr>
                <w:rFonts w:hint="eastAsia" w:ascii="宋体" w:hAnsi="宋体" w:eastAsia="宋体" w:cs="宋体"/>
                <w:color w:val="auto"/>
                <w:spacing w:val="0"/>
                <w:position w:val="0"/>
                <w:sz w:val="21"/>
                <w:szCs w:val="21"/>
                <w:lang w:eastAsia="zh-CN"/>
              </w:rPr>
              <w:t>分；缺项得0分。</w:t>
            </w:r>
          </w:p>
        </w:tc>
      </w:tr>
      <w:tr w14:paraId="6017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0DCE8F04">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37085E9A">
            <w:pPr>
              <w:pStyle w:val="65"/>
              <w:keepNext w:val="0"/>
              <w:keepLines w:val="0"/>
              <w:pageBreakBefore w:val="0"/>
              <w:widowControl w:val="0"/>
              <w:overflow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劳动力、施工设备及试验、检验仪器设备配备计划（5分）</w:t>
            </w:r>
          </w:p>
        </w:tc>
        <w:tc>
          <w:tcPr>
            <w:tcW w:w="5909" w:type="dxa"/>
            <w:vAlign w:val="center"/>
          </w:tcPr>
          <w:p w14:paraId="2D7CFE2C">
            <w:pPr>
              <w:pStyle w:val="64"/>
              <w:keepNext w:val="0"/>
              <w:keepLines w:val="0"/>
              <w:pageBreakBefore w:val="0"/>
              <w:widowControl w:val="0"/>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包括劳动力、施工设备及试验、检测仪器设备等资源配备计划。内容完整、计划合理得5分，内容基本完整、计划比较合理得3分，内容不够完整、计划欠合理得1分。缺项得0分。</w:t>
            </w:r>
          </w:p>
        </w:tc>
      </w:tr>
      <w:tr w14:paraId="37F9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ins w:id="0" w:author="Administrator" w:date="2023-11-22T16:34:51Z"/>
        </w:trPr>
        <w:tc>
          <w:tcPr>
            <w:tcW w:w="1326" w:type="dxa"/>
            <w:vMerge w:val="continue"/>
            <w:vAlign w:val="center"/>
          </w:tcPr>
          <w:p w14:paraId="17DEE193">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p>
        </w:tc>
        <w:tc>
          <w:tcPr>
            <w:tcW w:w="2119" w:type="dxa"/>
            <w:vAlign w:val="center"/>
          </w:tcPr>
          <w:p w14:paraId="27D4D60A">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成品保护及现场管理措施</w:t>
            </w:r>
            <w:r>
              <w:rPr>
                <w:rFonts w:hint="eastAsia" w:ascii="宋体" w:hAnsi="宋体" w:eastAsia="宋体" w:cs="宋体"/>
                <w:sz w:val="21"/>
                <w:szCs w:val="21"/>
                <w:highlight w:val="none"/>
                <w:lang w:val="en-US" w:eastAsia="zh-CN"/>
              </w:rPr>
              <w:t>（5分）</w:t>
            </w:r>
          </w:p>
        </w:tc>
        <w:tc>
          <w:tcPr>
            <w:tcW w:w="5909" w:type="dxa"/>
            <w:vAlign w:val="center"/>
          </w:tcPr>
          <w:p w14:paraId="7BCB09A8">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成品保护及现场管理措施制度健全得5分，基本健全可行得3分，不够健全得1分，缺项得0分。</w:t>
            </w:r>
          </w:p>
        </w:tc>
      </w:tr>
      <w:tr w14:paraId="1CEE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restart"/>
            <w:vAlign w:val="center"/>
          </w:tcPr>
          <w:p w14:paraId="3633A976">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综合部分</w:t>
            </w:r>
          </w:p>
          <w:p w14:paraId="7AEBC6F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lang w:val="en-US" w:eastAsia="zh-CN"/>
              </w:rPr>
              <w:t>20分</w:t>
            </w:r>
            <w:r>
              <w:rPr>
                <w:rFonts w:hint="eastAsia" w:ascii="宋体" w:hAnsi="宋体" w:eastAsia="宋体" w:cs="宋体"/>
                <w:color w:val="auto"/>
                <w:spacing w:val="0"/>
                <w:position w:val="0"/>
                <w:sz w:val="21"/>
                <w:szCs w:val="21"/>
                <w:lang w:eastAsia="zh-CN"/>
              </w:rPr>
              <w:t>）</w:t>
            </w:r>
          </w:p>
        </w:tc>
        <w:tc>
          <w:tcPr>
            <w:tcW w:w="2119" w:type="dxa"/>
            <w:vAlign w:val="center"/>
          </w:tcPr>
          <w:p w14:paraId="264731FD">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项目团队管理成员</w:t>
            </w:r>
          </w:p>
          <w:p w14:paraId="1CFFB7C7">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（6分）</w:t>
            </w:r>
          </w:p>
        </w:tc>
        <w:tc>
          <w:tcPr>
            <w:tcW w:w="5909" w:type="dxa"/>
            <w:vAlign w:val="center"/>
          </w:tcPr>
          <w:p w14:paraId="7D1327E5">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拟派项目管理人员（施工员，质检员（或质量员），材料员，资料员，安全员</w:t>
            </w:r>
            <w:r>
              <w:rPr>
                <w:rFonts w:hint="eastAsia" w:hAnsi="宋体" w:cs="宋体"/>
                <w:color w:val="auto"/>
                <w:spacing w:val="0"/>
                <w:position w:val="0"/>
                <w:sz w:val="21"/>
                <w:szCs w:val="21"/>
                <w:highlight w:val="none"/>
                <w:lang w:val="en-US" w:eastAsia="zh-CN"/>
              </w:rPr>
              <w:t>、造价人员</w:t>
            </w:r>
            <w:r>
              <w:rPr>
                <w:rFonts w:hint="eastAsia" w:ascii="宋体" w:hAnsi="宋体" w:eastAsia="宋体" w:cs="宋体"/>
                <w:color w:val="auto"/>
                <w:spacing w:val="0"/>
                <w:position w:val="0"/>
                <w:sz w:val="21"/>
                <w:szCs w:val="21"/>
                <w:highlight w:val="none"/>
                <w:lang w:val="en-US" w:eastAsia="zh-CN"/>
              </w:rPr>
              <w:t>）岗位职责齐全的得6分，每缺一项扣1分，扣完为止。</w:t>
            </w:r>
          </w:p>
        </w:tc>
      </w:tr>
      <w:tr w14:paraId="779A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77BA20F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p>
        </w:tc>
        <w:tc>
          <w:tcPr>
            <w:tcW w:w="2119" w:type="dxa"/>
            <w:vAlign w:val="center"/>
          </w:tcPr>
          <w:p w14:paraId="12E8ABE5">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供应商业绩</w:t>
            </w:r>
          </w:p>
          <w:p w14:paraId="21203214">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（4分）</w:t>
            </w:r>
          </w:p>
        </w:tc>
        <w:tc>
          <w:tcPr>
            <w:tcW w:w="5909" w:type="dxa"/>
            <w:vAlign w:val="center"/>
          </w:tcPr>
          <w:p w14:paraId="2499D181">
            <w:pPr>
              <w:pStyle w:val="44"/>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firstLine="0" w:firstLine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2021以来年完成过类似工程项目。每提供一份项目业绩得2分，最高得4分。</w:t>
            </w:r>
          </w:p>
          <w:p w14:paraId="43EFEC9D">
            <w:pPr>
              <w:pStyle w:val="44"/>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firstLine="0" w:firstLine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注：业绩时间以合同签订时间为准，提供中标或成交通知书、合同协议书扫描件，不提供或未按要求提供的不得分。</w:t>
            </w:r>
          </w:p>
        </w:tc>
      </w:tr>
      <w:tr w14:paraId="52B8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5EAA821D">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p>
        </w:tc>
        <w:tc>
          <w:tcPr>
            <w:tcW w:w="2119" w:type="dxa"/>
            <w:shd w:val="clear" w:color="auto" w:fill="auto"/>
            <w:vAlign w:val="center"/>
          </w:tcPr>
          <w:p w14:paraId="1361C1E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节能清单产品：</w:t>
            </w:r>
          </w:p>
          <w:p w14:paraId="7C371077">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（1分）</w:t>
            </w:r>
          </w:p>
        </w:tc>
        <w:tc>
          <w:tcPr>
            <w:tcW w:w="5909" w:type="dxa"/>
            <w:shd w:val="clear" w:color="auto" w:fill="auto"/>
            <w:vAlign w:val="center"/>
          </w:tcPr>
          <w:p w14:paraId="697B2235">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除政府采购强制节能产品外，投标产品为节能产品政府采购品目清单内产品的加1分。</w:t>
            </w:r>
          </w:p>
        </w:tc>
      </w:tr>
      <w:tr w14:paraId="73A6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38CE3C90">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p>
        </w:tc>
        <w:tc>
          <w:tcPr>
            <w:tcW w:w="2119" w:type="dxa"/>
            <w:shd w:val="clear" w:color="auto" w:fill="auto"/>
            <w:vAlign w:val="center"/>
          </w:tcPr>
          <w:p w14:paraId="035E0BC2">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环保清单产品：</w:t>
            </w:r>
          </w:p>
          <w:p w14:paraId="15A8EFDF">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（1分）</w:t>
            </w:r>
          </w:p>
        </w:tc>
        <w:tc>
          <w:tcPr>
            <w:tcW w:w="5909" w:type="dxa"/>
            <w:shd w:val="clear" w:color="auto" w:fill="auto"/>
            <w:vAlign w:val="center"/>
          </w:tcPr>
          <w:p w14:paraId="569D1A5E">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投标产品为环境标志产品政府采购品目清单内产品的加1分。</w:t>
            </w:r>
          </w:p>
          <w:p w14:paraId="4CB3A88E">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投标人须在响应文件中附该产品在环境标志产品政府采购品目清单所在页的复印件，及国家确定的认证机构出具的、处于有效期之内的《中国环境标志产品认证证书》复印件，否则评标委员会有权不予认可。</w:t>
            </w:r>
          </w:p>
        </w:tc>
      </w:tr>
      <w:tr w14:paraId="0257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5F538E76">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p>
        </w:tc>
        <w:tc>
          <w:tcPr>
            <w:tcW w:w="2119" w:type="dxa"/>
            <w:vAlign w:val="center"/>
          </w:tcPr>
          <w:p w14:paraId="60CA8A1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质量保修期内、外的服务承诺(4分)</w:t>
            </w:r>
          </w:p>
        </w:tc>
        <w:tc>
          <w:tcPr>
            <w:tcW w:w="5909" w:type="dxa"/>
            <w:vAlign w:val="center"/>
          </w:tcPr>
          <w:p w14:paraId="68D3B038">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（1）供应商提供的保修期服务承诺计划科学、合理、满足要求的得4分；</w:t>
            </w:r>
          </w:p>
          <w:p w14:paraId="4BC49F8A">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（2）承诺内容基本合理、基本满足要求的得3分；</w:t>
            </w:r>
          </w:p>
          <w:p w14:paraId="3DDD9DCA">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（3）承诺不够详细、可行性低，内容一般的得1分；</w:t>
            </w:r>
          </w:p>
          <w:p w14:paraId="2AD0CBF2">
            <w:pPr>
              <w:pStyle w:val="64"/>
              <w:keepNext w:val="0"/>
              <w:keepLines w:val="0"/>
              <w:pageBreakBefore w:val="0"/>
              <w:widowControl w:val="0"/>
              <w:kinsoku/>
              <w:wordWrap w:val="0"/>
              <w:overflowPunct/>
              <w:topLinePunct/>
              <w:autoSpaceDE/>
              <w:autoSpaceDN/>
              <w:bidi w:val="0"/>
              <w:adjustRightInd/>
              <w:snapToGrid/>
              <w:spacing w:before="32" w:beforeLines="10" w:after="32" w:afterLines="10" w:line="276" w:lineRule="auto"/>
              <w:ind w:left="0" w:leftChars="0" w:right="0"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备注：缺项不得分。</w:t>
            </w:r>
          </w:p>
        </w:tc>
      </w:tr>
      <w:tr w14:paraId="27C0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vMerge w:val="continue"/>
            <w:vAlign w:val="center"/>
          </w:tcPr>
          <w:p w14:paraId="37CE2EB8">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left="0" w:right="0"/>
              <w:jc w:val="center"/>
              <w:textAlignment w:val="auto"/>
              <w:rPr>
                <w:rFonts w:hint="eastAsia" w:ascii="宋体" w:hAnsi="宋体" w:eastAsia="宋体" w:cs="宋体"/>
                <w:color w:val="auto"/>
                <w:spacing w:val="0"/>
                <w:position w:val="0"/>
                <w:sz w:val="21"/>
                <w:szCs w:val="21"/>
                <w:lang w:eastAsia="zh-CN"/>
              </w:rPr>
            </w:pPr>
          </w:p>
        </w:tc>
        <w:tc>
          <w:tcPr>
            <w:tcW w:w="2119" w:type="dxa"/>
            <w:vAlign w:val="center"/>
          </w:tcPr>
          <w:p w14:paraId="43166F0A">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right="-28" w:rightChars="0"/>
              <w:jc w:val="center"/>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成品保护、环境卫生、噪音、农民工工资方面的承诺（4分）</w:t>
            </w:r>
          </w:p>
        </w:tc>
        <w:tc>
          <w:tcPr>
            <w:tcW w:w="5909" w:type="dxa"/>
            <w:vAlign w:val="center"/>
          </w:tcPr>
          <w:p w14:paraId="40F6D2DD">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right="-28"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（1）供应商针对提供的管理方案、措施齐全，成品保护范围、内容明确、服务承诺条理清晰、步骤具体，有针对性得4分。</w:t>
            </w:r>
          </w:p>
          <w:p w14:paraId="4202E1CB">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right="-28"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（2）基本响应要求，承诺内容、形式，方案基本详实、服务承诺条理基本清晰、步骤基本具体的得2分。</w:t>
            </w:r>
          </w:p>
          <w:p w14:paraId="74FC9A26">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right="-28"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（3）响应服务的内容、形式，方案不明确，得1分。</w:t>
            </w:r>
          </w:p>
          <w:p w14:paraId="79FB533C">
            <w:pPr>
              <w:keepNext w:val="0"/>
              <w:keepLines w:val="0"/>
              <w:pageBreakBefore w:val="0"/>
              <w:widowControl w:val="0"/>
              <w:kinsoku w:val="0"/>
              <w:wordWrap w:val="0"/>
              <w:overflowPunct/>
              <w:topLinePunct/>
              <w:autoSpaceDE/>
              <w:autoSpaceDN/>
              <w:bidi w:val="0"/>
              <w:adjustRightInd/>
              <w:snapToGrid/>
              <w:spacing w:before="32" w:beforeLines="10" w:after="32" w:afterLines="10" w:line="276" w:lineRule="auto"/>
              <w:ind w:right="-28" w:rightChars="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备注：缺项不得分。</w:t>
            </w:r>
          </w:p>
        </w:tc>
      </w:tr>
    </w:tbl>
    <w:p w14:paraId="083266C6">
      <w:pPr>
        <w:pageBreakBefore w:val="0"/>
        <w:wordWrap w:val="0"/>
        <w:overflowPunct/>
        <w:topLinePunct/>
        <w:autoSpaceDE/>
        <w:autoSpaceDN/>
        <w:bidi w:val="0"/>
        <w:spacing w:line="360" w:lineRule="auto"/>
        <w:ind w:firstLine="420" w:firstLineChars="200"/>
        <w:rPr>
          <w:rFonts w:hint="eastAsia" w:ascii="宋体" w:hAnsi="宋体" w:eastAsia="宋体" w:cs="宋体"/>
          <w:color w:val="auto"/>
          <w:spacing w:val="0"/>
          <w:position w:val="0"/>
          <w:sz w:val="24"/>
          <w:szCs w:val="28"/>
        </w:rPr>
      </w:pPr>
      <w:r>
        <w:rPr>
          <w:rFonts w:hint="eastAsia" w:ascii="宋体" w:hAnsi="宋体" w:eastAsia="宋体" w:cs="宋体"/>
          <w:color w:val="auto"/>
          <w:spacing w:val="0"/>
          <w:position w:val="0"/>
        </w:rPr>
        <w:br w:type="page"/>
      </w:r>
    </w:p>
    <w:p w14:paraId="188F9D88">
      <w:pPr>
        <w:pStyle w:val="4"/>
        <w:pageBreakBefore w:val="0"/>
        <w:widowControl w:val="0"/>
        <w:kinsoku/>
        <w:wordWrap w:val="0"/>
        <w:overflowPunct/>
        <w:topLinePunct/>
        <w:autoSpaceDE/>
        <w:autoSpaceDN/>
        <w:bidi w:val="0"/>
        <w:adjustRightInd/>
        <w:snapToGrid/>
        <w:spacing w:before="0" w:after="0" w:line="396" w:lineRule="auto"/>
        <w:textAlignment w:val="auto"/>
        <w:rPr>
          <w:rFonts w:hint="eastAsia" w:ascii="宋体" w:hAnsi="宋体" w:eastAsia="宋体" w:cs="宋体"/>
          <w:color w:val="auto"/>
          <w:spacing w:val="0"/>
          <w:position w:val="0"/>
          <w:sz w:val="21"/>
          <w:szCs w:val="21"/>
        </w:rPr>
      </w:pPr>
      <w:bookmarkStart w:id="28" w:name="_Toc6093"/>
      <w:bookmarkStart w:id="29" w:name="_Toc27550"/>
      <w:bookmarkStart w:id="30" w:name="_Toc19258"/>
      <w:bookmarkStart w:id="31" w:name="_Toc4604"/>
      <w:r>
        <w:rPr>
          <w:rFonts w:hint="eastAsia" w:ascii="宋体" w:hAnsi="宋体" w:eastAsia="宋体" w:cs="宋体"/>
          <w:color w:val="auto"/>
          <w:spacing w:val="0"/>
          <w:position w:val="0"/>
          <w:sz w:val="21"/>
          <w:szCs w:val="21"/>
        </w:rPr>
        <w:t>1.评</w:t>
      </w:r>
      <w:r>
        <w:rPr>
          <w:rFonts w:hint="eastAsia" w:ascii="宋体" w:hAnsi="宋体" w:eastAsia="宋体" w:cs="宋体"/>
          <w:color w:val="auto"/>
          <w:spacing w:val="0"/>
          <w:position w:val="0"/>
          <w:sz w:val="21"/>
          <w:szCs w:val="21"/>
          <w:lang w:val="en-US" w:eastAsia="zh-CN"/>
        </w:rPr>
        <w:t>审</w:t>
      </w:r>
      <w:r>
        <w:rPr>
          <w:rFonts w:hint="eastAsia" w:ascii="宋体" w:hAnsi="宋体" w:eastAsia="宋体" w:cs="宋体"/>
          <w:color w:val="auto"/>
          <w:spacing w:val="0"/>
          <w:position w:val="0"/>
          <w:sz w:val="21"/>
          <w:szCs w:val="21"/>
        </w:rPr>
        <w:t>依据</w:t>
      </w:r>
      <w:bookmarkEnd w:id="22"/>
      <w:bookmarkEnd w:id="23"/>
      <w:bookmarkEnd w:id="24"/>
      <w:bookmarkEnd w:id="25"/>
      <w:bookmarkEnd w:id="26"/>
      <w:bookmarkEnd w:id="27"/>
      <w:bookmarkEnd w:id="28"/>
      <w:bookmarkEnd w:id="29"/>
      <w:bookmarkEnd w:id="30"/>
      <w:bookmarkEnd w:id="31"/>
    </w:p>
    <w:p w14:paraId="74C0E038">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1.1《中华人民共和国政府采购法》；</w:t>
      </w:r>
    </w:p>
    <w:p w14:paraId="40AADB25">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1.2《中华人民共和国政府采购法实施条例》；</w:t>
      </w:r>
    </w:p>
    <w:p w14:paraId="0E72354F">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1.3《政府采购竞争性磋商采购方式管理暂行办法》；</w:t>
      </w:r>
    </w:p>
    <w:p w14:paraId="3ACD8372">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1.4政府采购相关法律法规及本</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w:t>
      </w:r>
    </w:p>
    <w:p w14:paraId="63039D1F">
      <w:pPr>
        <w:pStyle w:val="4"/>
        <w:pageBreakBefore w:val="0"/>
        <w:widowControl w:val="0"/>
        <w:kinsoku/>
        <w:wordWrap w:val="0"/>
        <w:overflowPunct/>
        <w:topLinePunct/>
        <w:autoSpaceDE/>
        <w:autoSpaceDN/>
        <w:bidi w:val="0"/>
        <w:adjustRightInd/>
        <w:snapToGrid/>
        <w:spacing w:before="0" w:after="0" w:line="396" w:lineRule="auto"/>
        <w:textAlignment w:val="auto"/>
        <w:rPr>
          <w:rFonts w:hint="eastAsia" w:ascii="宋体" w:hAnsi="宋体" w:eastAsia="宋体" w:cs="宋体"/>
          <w:color w:val="auto"/>
          <w:spacing w:val="0"/>
          <w:position w:val="0"/>
          <w:sz w:val="21"/>
          <w:szCs w:val="21"/>
          <w:lang w:eastAsia="zh-CN"/>
        </w:rPr>
      </w:pPr>
      <w:bookmarkStart w:id="32" w:name="_Toc13068791"/>
      <w:bookmarkStart w:id="33" w:name="_Toc24871"/>
      <w:bookmarkStart w:id="34" w:name="_Toc13052731"/>
      <w:bookmarkStart w:id="35" w:name="_Toc7008"/>
      <w:bookmarkStart w:id="36" w:name="_Toc14946169"/>
      <w:bookmarkStart w:id="37" w:name="_Toc13053544"/>
      <w:bookmarkStart w:id="38" w:name="_Toc26445305"/>
      <w:bookmarkStart w:id="39" w:name="_Toc11072949"/>
      <w:bookmarkStart w:id="40" w:name="_Toc9443"/>
      <w:bookmarkStart w:id="41" w:name="_Toc22435"/>
      <w:r>
        <w:rPr>
          <w:rFonts w:hint="eastAsia" w:ascii="宋体" w:hAnsi="宋体" w:eastAsia="宋体" w:cs="宋体"/>
          <w:color w:val="auto"/>
          <w:spacing w:val="0"/>
          <w:position w:val="0"/>
          <w:sz w:val="21"/>
          <w:szCs w:val="21"/>
        </w:rPr>
        <w:t>2.</w:t>
      </w:r>
      <w:bookmarkEnd w:id="32"/>
      <w:bookmarkEnd w:id="33"/>
      <w:bookmarkEnd w:id="34"/>
      <w:bookmarkEnd w:id="35"/>
      <w:bookmarkEnd w:id="36"/>
      <w:bookmarkEnd w:id="37"/>
      <w:bookmarkEnd w:id="38"/>
      <w:bookmarkEnd w:id="39"/>
      <w:r>
        <w:rPr>
          <w:rFonts w:hint="eastAsia" w:ascii="宋体" w:hAnsi="宋体" w:eastAsia="宋体" w:cs="宋体"/>
          <w:color w:val="auto"/>
          <w:spacing w:val="0"/>
          <w:position w:val="0"/>
          <w:sz w:val="21"/>
          <w:szCs w:val="21"/>
          <w:lang w:eastAsia="zh-CN"/>
        </w:rPr>
        <w:t>磋商小组</w:t>
      </w:r>
      <w:bookmarkEnd w:id="40"/>
      <w:bookmarkEnd w:id="41"/>
    </w:p>
    <w:p w14:paraId="01C08DDA">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2.1采购人将根据招标采购项目的特点依法组建</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，除国务院财政部门规定的情形外，其成员由从河南省政府采购专家库中随机抽取的评审专家和采购人代表组成，其中评审专家不得少于成员总数的三分之二。</w:t>
      </w:r>
    </w:p>
    <w:p w14:paraId="7FDA3808">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2.2评审专家与参加采购活动的供应商存在下列利害关系之一的，应当回避：</w:t>
      </w:r>
    </w:p>
    <w:p w14:paraId="20F372DC">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（1）参加采购活动前三年内，与</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存在劳动关系，或者担任过</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的董事、监事，或者是</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的控股股东或实际控制人；</w:t>
      </w:r>
    </w:p>
    <w:p w14:paraId="0C24AE60">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bookmarkStart w:id="42" w:name="_Toc26178994"/>
      <w:bookmarkStart w:id="43" w:name="_Toc26445306"/>
      <w:bookmarkStart w:id="44" w:name="_Toc25767710"/>
      <w:r>
        <w:rPr>
          <w:rFonts w:hint="eastAsia" w:ascii="宋体" w:hAnsi="宋体" w:eastAsia="宋体" w:cs="宋体"/>
          <w:color w:val="auto"/>
          <w:spacing w:val="0"/>
          <w:position w:val="0"/>
          <w:szCs w:val="21"/>
        </w:rPr>
        <w:t>（2）</w:t>
      </w:r>
      <w:r>
        <w:rPr>
          <w:rFonts w:hint="eastAsia" w:ascii="宋体" w:hAnsi="宋体" w:eastAsia="宋体" w:cs="宋体"/>
          <w:color w:val="auto"/>
          <w:spacing w:val="-11"/>
          <w:position w:val="0"/>
          <w:sz w:val="21"/>
          <w:szCs w:val="21"/>
        </w:rPr>
        <w:t>与</w:t>
      </w:r>
      <w:r>
        <w:rPr>
          <w:rFonts w:hint="eastAsia" w:ascii="宋体" w:hAnsi="宋体" w:eastAsia="宋体" w:cs="宋体"/>
          <w:color w:val="auto"/>
          <w:spacing w:val="-11"/>
          <w:position w:val="0"/>
          <w:sz w:val="21"/>
          <w:szCs w:val="21"/>
          <w:lang w:eastAsia="zh-CN"/>
        </w:rPr>
        <w:t>供应商</w:t>
      </w:r>
      <w:r>
        <w:rPr>
          <w:rFonts w:hint="eastAsia" w:ascii="宋体" w:hAnsi="宋体" w:eastAsia="宋体" w:cs="宋体"/>
          <w:color w:val="auto"/>
          <w:spacing w:val="-11"/>
          <w:position w:val="0"/>
          <w:sz w:val="21"/>
          <w:szCs w:val="21"/>
        </w:rPr>
        <w:t>的法定代表人或者负责人有夫妻、直系血亲、三代以内旁系血亲或者近姻亲关系</w:t>
      </w:r>
      <w:r>
        <w:rPr>
          <w:rFonts w:hint="eastAsia" w:ascii="宋体" w:hAnsi="宋体" w:eastAsia="宋体" w:cs="宋体"/>
          <w:color w:val="auto"/>
          <w:spacing w:val="0"/>
          <w:position w:val="0"/>
          <w:sz w:val="21"/>
          <w:szCs w:val="21"/>
        </w:rPr>
        <w:t>；</w:t>
      </w:r>
      <w:bookmarkEnd w:id="42"/>
      <w:bookmarkEnd w:id="43"/>
      <w:bookmarkEnd w:id="44"/>
    </w:p>
    <w:p w14:paraId="6330403C">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（3）与</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有其他可能影响政府采购活动公平、公正进行的关系。</w:t>
      </w:r>
    </w:p>
    <w:p w14:paraId="35E6F309">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评审专家发现本人与参加采购活动的</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有利害关系的，应当主动提出回避。采购人或者采购代理机构发现评审专家与参加采购活动的</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有利害关系的，应当要求其回避。</w:t>
      </w:r>
    </w:p>
    <w:p w14:paraId="2D3DC719">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2.3因评审专家缺席、回避或者健康等原因导致评审现场专家数量不符合规定的，采购人或者采购代理机构应当及时补抽评审专家，或者经采购人主管预算单位同意自行选定补足评审专家。无法及时补足评审专家的，采购人或者采购代理机构应当立即停止评审工作，封存所有</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和相关资料，依法重新组建</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进行评审。</w:t>
      </w:r>
    </w:p>
    <w:p w14:paraId="78304C5F">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2.4</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负责具体</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事务，对符合资格的</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进行符合性审查，以确定其是否满足</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的实质性要求，并按照</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中规定的</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方法和标准，对符合性审查合格的</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进行商务和技术评估，综合比较与评价。</w:t>
      </w:r>
    </w:p>
    <w:p w14:paraId="67A0069B">
      <w:pPr>
        <w:pStyle w:val="4"/>
        <w:pageBreakBefore w:val="0"/>
        <w:widowControl w:val="0"/>
        <w:kinsoku/>
        <w:wordWrap w:val="0"/>
        <w:overflowPunct/>
        <w:topLinePunct/>
        <w:autoSpaceDE/>
        <w:autoSpaceDN/>
        <w:bidi w:val="0"/>
        <w:adjustRightInd/>
        <w:snapToGrid/>
        <w:spacing w:before="0" w:after="0" w:line="396" w:lineRule="auto"/>
        <w:textAlignment w:val="auto"/>
        <w:rPr>
          <w:rFonts w:hint="eastAsia" w:ascii="宋体" w:hAnsi="宋体" w:eastAsia="宋体" w:cs="宋体"/>
          <w:color w:val="auto"/>
          <w:spacing w:val="0"/>
          <w:position w:val="0"/>
          <w:sz w:val="21"/>
          <w:szCs w:val="21"/>
        </w:rPr>
      </w:pPr>
      <w:bookmarkStart w:id="45" w:name="_Toc22470"/>
      <w:bookmarkStart w:id="46" w:name="_Toc16383"/>
      <w:bookmarkStart w:id="47" w:name="_Toc8751"/>
      <w:bookmarkStart w:id="48" w:name="_Toc29661"/>
      <w:r>
        <w:rPr>
          <w:rFonts w:hint="eastAsia" w:ascii="宋体" w:hAnsi="宋体" w:eastAsia="宋体" w:cs="宋体"/>
          <w:color w:val="auto"/>
          <w:spacing w:val="0"/>
          <w:position w:val="0"/>
          <w:sz w:val="21"/>
          <w:szCs w:val="21"/>
        </w:rPr>
        <w:t>3.评</w:t>
      </w:r>
      <w:r>
        <w:rPr>
          <w:rFonts w:hint="eastAsia" w:ascii="宋体" w:hAnsi="宋体" w:eastAsia="宋体" w:cs="宋体"/>
          <w:color w:val="auto"/>
          <w:spacing w:val="0"/>
          <w:position w:val="0"/>
          <w:sz w:val="21"/>
          <w:szCs w:val="21"/>
          <w:lang w:val="en-US" w:eastAsia="zh-CN"/>
        </w:rPr>
        <w:t>审</w:t>
      </w:r>
      <w:r>
        <w:rPr>
          <w:rFonts w:hint="eastAsia" w:ascii="宋体" w:hAnsi="宋体" w:eastAsia="宋体" w:cs="宋体"/>
          <w:color w:val="auto"/>
          <w:spacing w:val="0"/>
          <w:position w:val="0"/>
          <w:sz w:val="21"/>
          <w:szCs w:val="21"/>
        </w:rPr>
        <w:t>方法与标准</w:t>
      </w:r>
      <w:bookmarkEnd w:id="45"/>
      <w:bookmarkEnd w:id="46"/>
      <w:bookmarkEnd w:id="47"/>
      <w:bookmarkEnd w:id="48"/>
    </w:p>
    <w:p w14:paraId="699EAA87">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3.1本次</w:t>
      </w:r>
      <w:r>
        <w:rPr>
          <w:rFonts w:hint="eastAsia" w:ascii="宋体" w:hAnsi="宋体" w:eastAsia="宋体" w:cs="宋体"/>
          <w:color w:val="auto"/>
          <w:spacing w:val="0"/>
          <w:position w:val="0"/>
          <w:szCs w:val="21"/>
          <w:lang w:val="en-US" w:eastAsia="zh-CN"/>
        </w:rPr>
        <w:t>评审</w:t>
      </w:r>
      <w:r>
        <w:rPr>
          <w:rFonts w:hint="eastAsia" w:ascii="宋体" w:hAnsi="宋体" w:eastAsia="宋体" w:cs="宋体"/>
          <w:color w:val="auto"/>
          <w:spacing w:val="0"/>
          <w:position w:val="0"/>
          <w:szCs w:val="21"/>
        </w:rPr>
        <w:t>采用综合评分法。</w:t>
      </w:r>
    </w:p>
    <w:p w14:paraId="65A438E7">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按照本章规定的评审因素和评分标准进行打分，并按得分由高到低顺序推荐3名</w:t>
      </w:r>
      <w:r>
        <w:rPr>
          <w:rFonts w:hint="eastAsia" w:ascii="宋体" w:hAnsi="宋体" w:eastAsia="宋体" w:cs="宋体"/>
          <w:color w:val="auto"/>
          <w:spacing w:val="0"/>
          <w:position w:val="0"/>
          <w:szCs w:val="21"/>
          <w:lang w:eastAsia="zh-CN"/>
        </w:rPr>
        <w:t>成交候选人</w:t>
      </w:r>
      <w:r>
        <w:rPr>
          <w:rFonts w:hint="eastAsia" w:ascii="宋体" w:hAnsi="宋体" w:eastAsia="宋体" w:cs="宋体"/>
          <w:color w:val="auto"/>
          <w:spacing w:val="0"/>
          <w:position w:val="0"/>
          <w:szCs w:val="21"/>
        </w:rPr>
        <w:t>。如最后得分相同的，按投标报价由低到高顺序排列。得分且投标报价相同的并列。</w:t>
      </w:r>
    </w:p>
    <w:p w14:paraId="75EB88AD">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3.2采购人或者采购代理机构负责组织</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工作，并履行相关职责；</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负责具体</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事务，并独立履行相关职责。</w:t>
      </w:r>
    </w:p>
    <w:p w14:paraId="29F3DC69">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步骤</w:t>
      </w:r>
    </w:p>
    <w:p w14:paraId="1957A040">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lang w:val="en-US" w:eastAsia="zh-CN"/>
        </w:rPr>
      </w:pPr>
      <w:r>
        <w:rPr>
          <w:rFonts w:hint="eastAsia" w:ascii="宋体" w:hAnsi="宋体" w:eastAsia="宋体" w:cs="宋体"/>
          <w:color w:val="auto"/>
          <w:spacing w:val="0"/>
          <w:position w:val="0"/>
          <w:szCs w:val="21"/>
        </w:rPr>
        <w:t>3.3.1资格审查</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lang w:val="en-US" w:eastAsia="zh-CN"/>
        </w:rPr>
        <w:t>符合性审查</w:t>
      </w:r>
    </w:p>
    <w:p w14:paraId="74CA7263">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对所有</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进行</w:t>
      </w:r>
      <w:r>
        <w:rPr>
          <w:rFonts w:hint="eastAsia" w:ascii="宋体" w:hAnsi="宋体" w:eastAsia="宋体" w:cs="宋体"/>
          <w:color w:val="auto"/>
          <w:spacing w:val="0"/>
          <w:position w:val="0"/>
          <w:szCs w:val="21"/>
          <w:lang w:val="en-US" w:eastAsia="zh-CN"/>
        </w:rPr>
        <w:t>资格审查和</w:t>
      </w:r>
      <w:r>
        <w:rPr>
          <w:rFonts w:hint="eastAsia" w:ascii="宋体" w:hAnsi="宋体" w:eastAsia="宋体" w:cs="宋体"/>
          <w:color w:val="auto"/>
          <w:spacing w:val="0"/>
          <w:position w:val="0"/>
          <w:szCs w:val="21"/>
        </w:rPr>
        <w:t>符合性审查，以确定是否满足</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的实质性要求。</w:t>
      </w:r>
    </w:p>
    <w:p w14:paraId="7FD47165">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rPr>
        <w:t>详细评审</w:t>
      </w:r>
    </w:p>
    <w:p w14:paraId="18FA6B44">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按照</w:t>
      </w:r>
      <w:r>
        <w:rPr>
          <w:rFonts w:hint="eastAsia" w:ascii="宋体" w:hAnsi="宋体" w:eastAsia="宋体" w:cs="宋体"/>
          <w:color w:val="auto"/>
          <w:spacing w:val="0"/>
          <w:position w:val="0"/>
          <w:szCs w:val="21"/>
          <w:lang w:eastAsia="zh-CN"/>
        </w:rPr>
        <w:t>磋商文件</w:t>
      </w:r>
      <w:r>
        <w:rPr>
          <w:rFonts w:hint="eastAsia" w:ascii="宋体" w:hAnsi="宋体" w:eastAsia="宋体" w:cs="宋体"/>
          <w:color w:val="auto"/>
          <w:spacing w:val="0"/>
          <w:position w:val="0"/>
          <w:szCs w:val="21"/>
        </w:rPr>
        <w:t>中规定的</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方法和标准，对符合性审查合格的</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进行商务和技术评估，综合比较与评价。</w:t>
      </w:r>
    </w:p>
    <w:p w14:paraId="109E6C49">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rPr>
        <w:t>.1</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报价出现前后不一致的，按照下列规定修正：</w:t>
      </w:r>
    </w:p>
    <w:p w14:paraId="45EE612B">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中开标一览表（报价表）内容与</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中相应内容不一致的，以开标一览表（报价表）为准；</w:t>
      </w:r>
    </w:p>
    <w:p w14:paraId="1077300E">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大写金额和小写金额不一致的，以大写金额为准；</w:t>
      </w:r>
    </w:p>
    <w:p w14:paraId="6A3FF2BF">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单价金额小数点或者百分比有明显错位的，以开标一览表的总价为准，并修改单价；</w:t>
      </w:r>
    </w:p>
    <w:p w14:paraId="5301AB12">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总价金额与按单价汇总金额不一致的，以单价金额计算结果为准。</w:t>
      </w:r>
    </w:p>
    <w:p w14:paraId="740FE849">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rPr>
        <w:t>.2</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的澄清</w:t>
      </w:r>
    </w:p>
    <w:p w14:paraId="06FF2C08">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对于</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中含义不明确、同类问题表述不一致或者有明显文字和计算错误的内容，</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应当以书面形式要求</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作出必要的澄清、说明或者补正。</w:t>
      </w:r>
    </w:p>
    <w:p w14:paraId="4ACDF9F8">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的澄清、说明或者补正应当采用书面形式，并加盖公章，或者由法定代表人或其授权的代表签字。</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的澄清、说明或者补正不得超出</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的范围或者改变</w:t>
      </w:r>
      <w:r>
        <w:rPr>
          <w:rFonts w:hint="eastAsia" w:ascii="宋体" w:hAnsi="宋体" w:eastAsia="宋体" w:cs="宋体"/>
          <w:color w:val="auto"/>
          <w:spacing w:val="0"/>
          <w:position w:val="0"/>
          <w:szCs w:val="21"/>
          <w:lang w:eastAsia="zh-CN"/>
        </w:rPr>
        <w:t>响应文件</w:t>
      </w:r>
      <w:r>
        <w:rPr>
          <w:rFonts w:hint="eastAsia" w:ascii="宋体" w:hAnsi="宋体" w:eastAsia="宋体" w:cs="宋体"/>
          <w:color w:val="auto"/>
          <w:spacing w:val="0"/>
          <w:position w:val="0"/>
          <w:szCs w:val="21"/>
        </w:rPr>
        <w:t>的实质性内容。</w:t>
      </w:r>
    </w:p>
    <w:p w14:paraId="0D0AB0AF">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对</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提交的澄清、说明或补正有疑问的，可以要求</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进一步澄清、说明或补正，直至满足</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的要求。</w:t>
      </w:r>
    </w:p>
    <w:p w14:paraId="0D8D7864">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rPr>
        <w:t>.3为贯彻落实《财政部 工业和信息化部关于印发《政府采购促进中小企业发展管理办法》的通知》（财库〔2020〕46号）和《关于进一步加大政府采购支持中小企业力度的通知》（财库〔2022〕19号），供应商若是中小企业，应提交《中小企业声明函》。若不能提供，则视为非中小微型企业，（声明函格式详见附件）。</w:t>
      </w:r>
    </w:p>
    <w:p w14:paraId="5961814A">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根据《财政部 司法部关于政府采购支持监狱企业发展有关问题的通知》 （财库〔2014〕68号）规定，本项目支持监狱企业参与政府采购活动。监狱企业参加本项目投标时，须提供由省级以上监狱管理局、戒毒管理局（含新疆生产建设兵团）出具的属于监狱企业的证明文件，视同小型、微型企业。</w:t>
      </w:r>
    </w:p>
    <w:p w14:paraId="2BE7B9C4">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根据《财政部 民政部 中国残疾人联合会关于关于促进残疾人就业政府采购政策的通知》（财库〔2017〕141号）规定，本项目支持残疾人福利性单位参与政府采购活动。在政府采购活动中，残疾人福利性单位视同小型、微型企业。</w:t>
      </w:r>
    </w:p>
    <w:p w14:paraId="09237847">
      <w:pPr>
        <w:pageBreakBefore w:val="0"/>
        <w:widowControl w:val="0"/>
        <w:kinsoku/>
        <w:wordWrap w:val="0"/>
        <w:overflowPunct/>
        <w:topLinePunct/>
        <w:autoSpaceDE/>
        <w:autoSpaceDN/>
        <w:bidi w:val="0"/>
        <w:adjustRightInd/>
        <w:snapToGrid/>
        <w:spacing w:line="396" w:lineRule="auto"/>
        <w:ind w:firstLine="42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rPr>
        <w:t>.4</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成员对需要共同认定的事项存在争议的，应当按照少数服从多数的原则作出结论。持不同意见的</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成员应当在</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报告上签署不同意见及理由，否则视为同意</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报告。</w:t>
      </w:r>
    </w:p>
    <w:p w14:paraId="385E8AB4">
      <w:pPr>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3.3.</w:t>
      </w:r>
      <w:r>
        <w:rPr>
          <w:rFonts w:hint="eastAsia" w:ascii="宋体" w:hAnsi="宋体" w:eastAsia="宋体" w:cs="宋体"/>
          <w:color w:val="auto"/>
          <w:spacing w:val="0"/>
          <w:position w:val="0"/>
          <w:szCs w:val="21"/>
          <w:lang w:val="en-US" w:eastAsia="zh-CN"/>
        </w:rPr>
        <w:t>2</w:t>
      </w:r>
      <w:r>
        <w:rPr>
          <w:rFonts w:hint="eastAsia" w:ascii="宋体" w:hAnsi="宋体" w:eastAsia="宋体" w:cs="宋体"/>
          <w:color w:val="auto"/>
          <w:spacing w:val="0"/>
          <w:position w:val="0"/>
          <w:szCs w:val="21"/>
        </w:rPr>
        <w:t>.5</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结果汇总完成后，除下列情形外，任何人不得修改</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结果：</w:t>
      </w:r>
    </w:p>
    <w:p w14:paraId="6404DB01">
      <w:pPr>
        <w:pageBreakBefore w:val="0"/>
        <w:widowControl w:val="0"/>
        <w:numPr>
          <w:ilvl w:val="0"/>
          <w:numId w:val="3"/>
        </w:numPr>
        <w:kinsoku/>
        <w:wordWrap w:val="0"/>
        <w:overflowPunct/>
        <w:topLinePunct/>
        <w:autoSpaceDE/>
        <w:autoSpaceDN/>
        <w:bidi w:val="0"/>
        <w:adjustRightInd/>
        <w:snapToGrid/>
        <w:spacing w:line="396" w:lineRule="auto"/>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分值汇总计算错误的；</w:t>
      </w:r>
    </w:p>
    <w:p w14:paraId="26978C2F">
      <w:pPr>
        <w:pageBreakBefore w:val="0"/>
        <w:widowControl w:val="0"/>
        <w:numPr>
          <w:ilvl w:val="0"/>
          <w:numId w:val="3"/>
        </w:numPr>
        <w:kinsoku/>
        <w:wordWrap w:val="0"/>
        <w:overflowPunct/>
        <w:topLinePunct/>
        <w:autoSpaceDE/>
        <w:autoSpaceDN/>
        <w:bidi w:val="0"/>
        <w:adjustRightInd/>
        <w:snapToGrid/>
        <w:spacing w:line="396" w:lineRule="auto"/>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分项评分超出评分标准范围的；</w:t>
      </w:r>
    </w:p>
    <w:p w14:paraId="4200FE71">
      <w:pPr>
        <w:pageBreakBefore w:val="0"/>
        <w:widowControl w:val="0"/>
        <w:numPr>
          <w:ilvl w:val="0"/>
          <w:numId w:val="3"/>
        </w:numPr>
        <w:kinsoku/>
        <w:wordWrap w:val="0"/>
        <w:overflowPunct/>
        <w:topLinePunct/>
        <w:autoSpaceDE/>
        <w:autoSpaceDN/>
        <w:bidi w:val="0"/>
        <w:adjustRightInd/>
        <w:snapToGrid/>
        <w:spacing w:line="396" w:lineRule="auto"/>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成员对客观评审因素评分不一致的；</w:t>
      </w:r>
    </w:p>
    <w:p w14:paraId="76260467">
      <w:pPr>
        <w:pageBreakBefore w:val="0"/>
        <w:widowControl w:val="0"/>
        <w:numPr>
          <w:ilvl w:val="0"/>
          <w:numId w:val="3"/>
        </w:numPr>
        <w:kinsoku/>
        <w:wordWrap w:val="0"/>
        <w:overflowPunct/>
        <w:topLinePunct/>
        <w:autoSpaceDE/>
        <w:autoSpaceDN/>
        <w:bidi w:val="0"/>
        <w:adjustRightInd/>
        <w:snapToGrid/>
        <w:spacing w:line="396" w:lineRule="auto"/>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经</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认定评分畸高、畸低的。</w:t>
      </w:r>
    </w:p>
    <w:p w14:paraId="0A42D525">
      <w:pPr>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报告签署前，经复核发现存在以上情形之一的，</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应当当场修改</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结果，并在</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报告中记载；</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报告签署后，采购人或者采购代理机构发现存在以上情形之一的，应当组织原</w:t>
      </w:r>
      <w:r>
        <w:rPr>
          <w:rFonts w:hint="eastAsia" w:ascii="宋体" w:hAnsi="宋体" w:eastAsia="宋体" w:cs="宋体"/>
          <w:color w:val="auto"/>
          <w:spacing w:val="0"/>
          <w:position w:val="0"/>
          <w:szCs w:val="21"/>
          <w:lang w:eastAsia="zh-CN"/>
        </w:rPr>
        <w:t>磋商小组</w:t>
      </w:r>
      <w:r>
        <w:rPr>
          <w:rFonts w:hint="eastAsia" w:ascii="宋体" w:hAnsi="宋体" w:eastAsia="宋体" w:cs="宋体"/>
          <w:color w:val="auto"/>
          <w:spacing w:val="0"/>
          <w:position w:val="0"/>
          <w:szCs w:val="21"/>
        </w:rPr>
        <w:t>进行重新评审，重新评审改变</w:t>
      </w:r>
      <w:r>
        <w:rPr>
          <w:rFonts w:hint="eastAsia" w:ascii="宋体" w:hAnsi="宋体" w:eastAsia="宋体" w:cs="宋体"/>
          <w:color w:val="auto"/>
          <w:spacing w:val="0"/>
          <w:position w:val="0"/>
          <w:szCs w:val="21"/>
          <w:lang w:eastAsia="zh-CN"/>
        </w:rPr>
        <w:t>评审</w:t>
      </w:r>
      <w:r>
        <w:rPr>
          <w:rFonts w:hint="eastAsia" w:ascii="宋体" w:hAnsi="宋体" w:eastAsia="宋体" w:cs="宋体"/>
          <w:color w:val="auto"/>
          <w:spacing w:val="0"/>
          <w:position w:val="0"/>
          <w:szCs w:val="21"/>
        </w:rPr>
        <w:t>结果的，书面报告本级财政部门。</w:t>
      </w:r>
    </w:p>
    <w:p w14:paraId="0E8E4B38">
      <w:pPr>
        <w:pageBreakBefore w:val="0"/>
        <w:wordWrap w:val="0"/>
        <w:overflowPunct/>
        <w:topLinePunct/>
        <w:autoSpaceDE/>
        <w:autoSpaceDN/>
        <w:bidi w:val="0"/>
        <w:rPr>
          <w:rFonts w:hint="eastAsia" w:ascii="宋体" w:hAnsi="宋体" w:eastAsia="宋体" w:cs="宋体"/>
          <w:b/>
          <w:bCs/>
          <w:color w:val="auto"/>
          <w:spacing w:val="0"/>
          <w:position w:val="0"/>
          <w:sz w:val="24"/>
          <w:szCs w:val="24"/>
        </w:rPr>
      </w:pPr>
      <w:r>
        <w:rPr>
          <w:rFonts w:hint="eastAsia" w:ascii="宋体" w:hAnsi="宋体" w:eastAsia="宋体" w:cs="宋体"/>
          <w:b/>
          <w:bCs/>
          <w:color w:val="auto"/>
          <w:spacing w:val="0"/>
          <w:position w:val="0"/>
          <w:sz w:val="24"/>
          <w:szCs w:val="24"/>
        </w:rPr>
        <w:br w:type="page"/>
      </w:r>
    </w:p>
    <w:p w14:paraId="3B7FBF18">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49" w:name="_Toc43111186"/>
      <w:bookmarkStart w:id="50" w:name="_Toc27888"/>
      <w:r>
        <w:rPr>
          <w:rFonts w:hint="eastAsia" w:ascii="宋体" w:hAnsi="宋体" w:eastAsia="宋体" w:cs="宋体"/>
          <w:color w:val="auto"/>
          <w:spacing w:val="0"/>
          <w:position w:val="0"/>
        </w:rPr>
        <w:t>第四章  合同格式</w:t>
      </w:r>
      <w:bookmarkEnd w:id="49"/>
      <w:bookmarkEnd w:id="50"/>
      <w:bookmarkStart w:id="51" w:name="_附件"/>
      <w:bookmarkEnd w:id="51"/>
      <w:bookmarkStart w:id="52" w:name="_Hlk66007671"/>
    </w:p>
    <w:bookmarkEnd w:id="52"/>
    <w:p w14:paraId="6CE36075">
      <w:pPr>
        <w:bidi w:val="0"/>
        <w:jc w:val="center"/>
        <w:rPr>
          <w:rFonts w:hint="eastAsia"/>
          <w:b/>
          <w:bCs/>
          <w:sz w:val="30"/>
          <w:szCs w:val="30"/>
        </w:rPr>
      </w:pPr>
      <w:r>
        <w:rPr>
          <w:rFonts w:hint="eastAsia"/>
          <w:b/>
          <w:bCs/>
          <w:sz w:val="30"/>
          <w:szCs w:val="30"/>
        </w:rPr>
        <w:t xml:space="preserve">第一部分 </w:t>
      </w:r>
      <w:r>
        <w:rPr>
          <w:rFonts w:hint="eastAsia"/>
          <w:b/>
          <w:bCs/>
          <w:sz w:val="30"/>
          <w:szCs w:val="30"/>
          <w:lang w:val="en-US" w:eastAsia="zh-CN"/>
        </w:rPr>
        <w:t xml:space="preserve"> </w:t>
      </w:r>
      <w:r>
        <w:rPr>
          <w:rFonts w:hint="eastAsia"/>
          <w:b/>
          <w:bCs/>
          <w:sz w:val="30"/>
          <w:szCs w:val="30"/>
        </w:rPr>
        <w:t>合同协议书</w:t>
      </w:r>
    </w:p>
    <w:p w14:paraId="329B4AE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p>
    <w:p w14:paraId="557C8D1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u w:val="single"/>
        </w:rPr>
      </w:pPr>
      <w:r>
        <w:rPr>
          <w:rFonts w:hint="eastAsia" w:ascii="宋体" w:hAnsi="宋体" w:eastAsia="宋体" w:cs="宋体"/>
        </w:rPr>
        <w:t>发包人（全称）：</w:t>
      </w:r>
      <w:r>
        <w:rPr>
          <w:rFonts w:hint="eastAsia" w:ascii="宋体" w:hAnsi="宋体" w:eastAsia="宋体" w:cs="宋体"/>
          <w:u w:val="single"/>
        </w:rPr>
        <w:t xml:space="preserve">河南省人民医院             </w:t>
      </w:r>
    </w:p>
    <w:p w14:paraId="30B0CE7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承包人（全称）：</w:t>
      </w:r>
      <w:r>
        <w:rPr>
          <w:rFonts w:hint="eastAsia" w:ascii="宋体" w:hAnsi="宋体" w:eastAsia="宋体" w:cs="宋体"/>
          <w:u w:val="single"/>
        </w:rPr>
        <w:t xml:space="preserve">                           </w:t>
      </w:r>
    </w:p>
    <w:p w14:paraId="2CC3CE3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依照《中华人民共和国民法典》、《中华人民共和国建筑法》及其他有关法律、行政法律、行政法规，遵循平等、自愿、公平和诚实信用的原则，双方就本建设工程施工事项协商一致，订立本合同。</w:t>
      </w:r>
    </w:p>
    <w:p w14:paraId="52F4814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一、工程概况</w:t>
      </w:r>
    </w:p>
    <w:p w14:paraId="1B417A3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rPr>
        <w:t>工程名称：河南省人民医院15号楼视光学中心、屈光学中心改造工程。</w:t>
      </w:r>
    </w:p>
    <w:p w14:paraId="153579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工程地点：河南省人民医院15号楼。</w:t>
      </w:r>
    </w:p>
    <w:p w14:paraId="448B2D5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资金来源：单位自筹。</w:t>
      </w:r>
    </w:p>
    <w:p w14:paraId="5E3D26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二、工程承包范围</w:t>
      </w:r>
    </w:p>
    <w:p w14:paraId="4D76CB6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承包范围：本项目范围内的原建筑拆除，室内装修、安装工程、消防工程、手术室净化工程，配合医疗设备厂家安装设备等招标文件、施工图纸及工程量清单范围内的施工、设备安装、调试、竣工验收及保修等。</w:t>
      </w:r>
    </w:p>
    <w:p w14:paraId="22566A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开工日期：以开工报告为准。</w:t>
      </w:r>
    </w:p>
    <w:p w14:paraId="52568D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竣工日期：开工后第 </w:t>
      </w:r>
      <w:r>
        <w:rPr>
          <w:rFonts w:hint="eastAsia" w:ascii="宋体" w:hAnsi="宋体" w:cs="宋体"/>
          <w:lang w:val="en-US" w:eastAsia="zh-CN"/>
        </w:rPr>
        <w:t>120</w:t>
      </w:r>
      <w:r>
        <w:rPr>
          <w:rFonts w:hint="eastAsia" w:ascii="宋体" w:hAnsi="宋体" w:eastAsia="宋体" w:cs="宋体"/>
        </w:rPr>
        <w:t>个日历天。</w:t>
      </w:r>
    </w:p>
    <w:p w14:paraId="3D721D2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合同工期总日历天数：</w:t>
      </w:r>
      <w:r>
        <w:rPr>
          <w:rFonts w:hint="eastAsia" w:ascii="宋体" w:hAnsi="宋体" w:cs="宋体"/>
          <w:lang w:val="en-US" w:eastAsia="zh-CN"/>
        </w:rPr>
        <w:t>120</w:t>
      </w:r>
      <w:r>
        <w:rPr>
          <w:rFonts w:hint="eastAsia" w:ascii="宋体" w:hAnsi="宋体" w:eastAsia="宋体" w:cs="宋体"/>
        </w:rPr>
        <w:t>个日历天。</w:t>
      </w:r>
    </w:p>
    <w:p w14:paraId="00E47E3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三、质量标准</w:t>
      </w:r>
    </w:p>
    <w:p w14:paraId="6591052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工程质量标准：达到国家、行业相关规范、规定合格标准。</w:t>
      </w:r>
    </w:p>
    <w:p w14:paraId="53AE404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四、合同价款：</w:t>
      </w:r>
    </w:p>
    <w:p w14:paraId="4D1326BD">
      <w:pPr>
        <w:pStyle w:val="66"/>
        <w:keepNext w:val="0"/>
        <w:keepLines w:val="0"/>
        <w:pageBreakBefore w:val="0"/>
        <w:widowControl w:val="0"/>
        <w:kinsoku/>
        <w:wordWrap/>
        <w:overflowPunct/>
        <w:topLinePunct w:val="0"/>
        <w:autoSpaceDE/>
        <w:autoSpaceDN/>
        <w:bidi w:val="0"/>
        <w:adjustRightInd/>
        <w:snapToGrid/>
        <w:spacing w:line="396" w:lineRule="auto"/>
        <w:ind w:firstLine="1470" w:firstLineChars="700"/>
        <w:textAlignment w:val="auto"/>
        <w:rPr>
          <w:rFonts w:hint="default" w:ascii="宋体" w:hAnsi="宋体" w:eastAsia="宋体" w:cs="宋体"/>
          <w:lang w:val="en-US" w:eastAsia="zh-CN"/>
        </w:rPr>
      </w:pPr>
      <w:r>
        <w:rPr>
          <w:rFonts w:hint="eastAsia" w:ascii="宋体" w:hAnsi="宋体" w:eastAsia="宋体" w:cs="宋体"/>
        </w:rPr>
        <w:t>金额（大写）：</w:t>
      </w:r>
      <w:r>
        <w:rPr>
          <w:rFonts w:hint="eastAsia" w:ascii="宋体" w:hAnsi="宋体" w:cs="宋体"/>
          <w:u w:val="single"/>
          <w:lang w:val="en-US" w:eastAsia="zh-CN"/>
        </w:rPr>
        <w:t xml:space="preserve">                    </w:t>
      </w:r>
    </w:p>
    <w:p w14:paraId="59021FD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2625" w:firstLineChars="1250"/>
        <w:textAlignment w:val="auto"/>
        <w:rPr>
          <w:rFonts w:hint="eastAsia" w:ascii="宋体" w:hAnsi="宋体" w:eastAsia="宋体" w:cs="宋体"/>
        </w:rPr>
      </w:pPr>
      <w:r>
        <w:rPr>
          <w:rFonts w:hint="eastAsia" w:ascii="宋体" w:hAnsi="宋体" w:eastAsia="宋体" w:cs="宋体"/>
        </w:rPr>
        <w:t>¥：</w:t>
      </w:r>
      <w:r>
        <w:rPr>
          <w:rFonts w:hint="eastAsia" w:ascii="宋体" w:hAnsi="宋体" w:cs="宋体"/>
          <w:u w:val="single"/>
          <w:lang w:val="en-US" w:eastAsia="zh-CN"/>
        </w:rPr>
        <w:t xml:space="preserve">                    </w:t>
      </w:r>
    </w:p>
    <w:p w14:paraId="0AC856A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630" w:firstLineChars="300"/>
        <w:textAlignment w:val="auto"/>
        <w:rPr>
          <w:rFonts w:hint="eastAsia" w:ascii="宋体" w:hAnsi="宋体" w:eastAsia="宋体" w:cs="宋体"/>
        </w:rPr>
      </w:pPr>
      <w:r>
        <w:rPr>
          <w:rFonts w:hint="eastAsia" w:ascii="宋体" w:hAnsi="宋体" w:eastAsia="宋体" w:cs="宋体"/>
        </w:rPr>
        <w:t>暂列金额金额（大写）：</w:t>
      </w:r>
      <w:r>
        <w:rPr>
          <w:rFonts w:hint="eastAsia" w:ascii="宋体" w:hAnsi="宋体" w:cs="宋体"/>
          <w:u w:val="single"/>
          <w:lang w:val="en-US" w:eastAsia="zh-CN"/>
        </w:rPr>
        <w:t xml:space="preserve">                    </w:t>
      </w:r>
    </w:p>
    <w:p w14:paraId="20E7F7B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2625" w:firstLineChars="1250"/>
        <w:textAlignment w:val="auto"/>
        <w:rPr>
          <w:rFonts w:hint="eastAsia" w:ascii="宋体" w:hAnsi="宋体" w:eastAsia="宋体" w:cs="宋体"/>
        </w:rPr>
      </w:pPr>
      <w:r>
        <w:rPr>
          <w:rFonts w:hint="eastAsia" w:ascii="宋体" w:hAnsi="宋体" w:eastAsia="宋体" w:cs="宋体"/>
        </w:rPr>
        <w:t>¥：</w:t>
      </w:r>
      <w:r>
        <w:rPr>
          <w:rFonts w:hint="eastAsia" w:ascii="宋体" w:hAnsi="宋体" w:cs="宋体"/>
          <w:u w:val="single"/>
          <w:lang w:val="en-US" w:eastAsia="zh-CN"/>
        </w:rPr>
        <w:t xml:space="preserve">                    </w:t>
      </w:r>
    </w:p>
    <w:p w14:paraId="73083F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p>
    <w:p w14:paraId="6DBC91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五、组成合同的文件</w:t>
      </w:r>
    </w:p>
    <w:p w14:paraId="6CCDB05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下列文件构成全部施工承包合同文件（以下简称“本合同”）不可分割的整体，各文件相互补充，若有不明确或不一致之处，以下列文件次序在前者为准：</w:t>
      </w:r>
    </w:p>
    <w:p w14:paraId="20BB19B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1）本合同协议书；</w:t>
      </w:r>
    </w:p>
    <w:p w14:paraId="770A40B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2）中标通知书；</w:t>
      </w:r>
    </w:p>
    <w:p w14:paraId="140C1EF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3）招标文件及其澄清文件；</w:t>
      </w:r>
    </w:p>
    <w:p w14:paraId="7B3909E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4）本合同专用条款及附件；</w:t>
      </w:r>
    </w:p>
    <w:p w14:paraId="485447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5）已标价工程量清单；</w:t>
      </w:r>
    </w:p>
    <w:p w14:paraId="0B52CA3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6）投标文件；</w:t>
      </w:r>
    </w:p>
    <w:p w14:paraId="237C68F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7）本合同通用条款；</w:t>
      </w:r>
    </w:p>
    <w:p w14:paraId="2A4E751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8）图纸；</w:t>
      </w:r>
    </w:p>
    <w:p w14:paraId="199FE91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9）现行标准、规范及有关技术文件；</w:t>
      </w:r>
    </w:p>
    <w:p w14:paraId="584BDD2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10）其他合同文件。</w:t>
      </w:r>
    </w:p>
    <w:p w14:paraId="3825110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合同履行中，发包人承包人有关工程的洽商、变更等书面协议或文件视为本合同的组成部分。</w:t>
      </w:r>
    </w:p>
    <w:p w14:paraId="34754F6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六、本协议书中有关词语含义与本合同第二部分《通用条款》中分别赋予它们的定义相同。</w:t>
      </w:r>
    </w:p>
    <w:p w14:paraId="7003CFB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七、承包人向发包人承诺按照法律规定及合同的约定组织完成施工，确保工程质量和安全，不进行转包及违法分包，并在缺陷责任期及保修期内承担相应的工程质量保修责任。</w:t>
      </w:r>
    </w:p>
    <w:p w14:paraId="7CFAFE8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八、发包人向承包人承诺按照合同约定的期限和方式支付合同价款及其他应当支付的款项。</w:t>
      </w:r>
    </w:p>
    <w:p w14:paraId="74EC22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九、发承包双方理解并承诺不再就同一工程另行签订与合同实质性内容相背离的协议。合同未尽事宜，合同当事人另行签订补充协议，补充协议是合同的组成部分。</w:t>
      </w:r>
    </w:p>
    <w:p w14:paraId="48CFAA1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十、本合同一式捌份，发包人执6份，承包人执2份，均具有同等法律效力。</w:t>
      </w:r>
    </w:p>
    <w:p w14:paraId="7E862FB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十一、合同生效</w:t>
      </w:r>
    </w:p>
    <w:p w14:paraId="19E1FE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合同订立时间：       年     月     日</w:t>
      </w:r>
    </w:p>
    <w:p w14:paraId="125FA2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合同订立地点：河南省人民医院    </w:t>
      </w:r>
    </w:p>
    <w:p w14:paraId="6605D28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本合同双方约定 签字盖章 后生效。</w:t>
      </w:r>
    </w:p>
    <w:p w14:paraId="509DD64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发包人（公章）：                   承包人（公章）：</w:t>
      </w:r>
    </w:p>
    <w:p w14:paraId="730173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地  址：                           地  址：</w:t>
      </w:r>
    </w:p>
    <w:p w14:paraId="17FB74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委托代理人：                       委托代理人：</w:t>
      </w:r>
    </w:p>
    <w:p w14:paraId="52321D7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电  话：                           电  话：</w:t>
      </w:r>
    </w:p>
    <w:p w14:paraId="79EB35F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传  真：                           传  真：</w:t>
      </w:r>
    </w:p>
    <w:p w14:paraId="11B8014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开户银行：                         开户银行：  </w:t>
      </w:r>
    </w:p>
    <w:p w14:paraId="0C4B274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帐  号：                           帐  号：</w:t>
      </w:r>
    </w:p>
    <w:p w14:paraId="17B3ECA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邮政编码：                   </w:t>
      </w:r>
      <w:r>
        <w:rPr>
          <w:rFonts w:hint="eastAsia" w:ascii="宋体" w:hAnsi="宋体" w:eastAsia="宋体" w:cs="宋体"/>
          <w:lang w:val="en-US" w:eastAsia="zh-CN"/>
        </w:rPr>
        <w:t xml:space="preserve"> </w:t>
      </w:r>
      <w:r>
        <w:rPr>
          <w:rFonts w:hint="eastAsia" w:ascii="宋体" w:hAnsi="宋体" w:eastAsia="宋体" w:cs="宋体"/>
        </w:rPr>
        <w:t xml:space="preserve">     邮政编码：</w:t>
      </w:r>
    </w:p>
    <w:p w14:paraId="6B3A0D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p>
    <w:p w14:paraId="57F3963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p>
    <w:p w14:paraId="54C425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p>
    <w:p w14:paraId="337754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jc w:val="center"/>
        <w:textAlignment w:val="auto"/>
        <w:rPr>
          <w:rFonts w:hint="eastAsia" w:ascii="宋体" w:hAnsi="宋体" w:eastAsia="宋体" w:cs="宋体"/>
          <w:b/>
          <w:bCs/>
          <w:sz w:val="30"/>
          <w:szCs w:val="30"/>
        </w:rPr>
      </w:pPr>
      <w:r>
        <w:rPr>
          <w:rFonts w:hint="eastAsia" w:ascii="宋体" w:hAnsi="宋体" w:eastAsia="宋体" w:cs="宋体"/>
        </w:rPr>
        <w:br w:type="page"/>
      </w:r>
      <w:r>
        <w:rPr>
          <w:rFonts w:hint="eastAsia" w:ascii="宋体" w:hAnsi="宋体" w:eastAsia="宋体" w:cs="宋体"/>
          <w:b/>
          <w:bCs/>
          <w:sz w:val="30"/>
          <w:szCs w:val="30"/>
        </w:rPr>
        <w:t xml:space="preserve">第二部分 </w:t>
      </w:r>
      <w:r>
        <w:rPr>
          <w:rFonts w:hint="eastAsia" w:ascii="宋体" w:hAnsi="宋体" w:cs="宋体"/>
          <w:b/>
          <w:bCs/>
          <w:sz w:val="30"/>
          <w:szCs w:val="30"/>
          <w:lang w:val="en-US" w:eastAsia="zh-CN"/>
        </w:rPr>
        <w:t xml:space="preserve"> </w:t>
      </w:r>
      <w:r>
        <w:rPr>
          <w:rFonts w:hint="eastAsia" w:ascii="宋体" w:hAnsi="宋体" w:eastAsia="宋体" w:cs="宋体"/>
          <w:b/>
          <w:bCs/>
          <w:sz w:val="30"/>
          <w:szCs w:val="30"/>
        </w:rPr>
        <w:t>通用合同条款</w:t>
      </w:r>
    </w:p>
    <w:p w14:paraId="1141C82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 一般约定</w:t>
      </w:r>
    </w:p>
    <w:p w14:paraId="150B09D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1.1词语定义与解释</w:t>
      </w:r>
    </w:p>
    <w:p w14:paraId="5B1BD24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合同协议书、通用合同条款、专用合同条款中的下列词语具有本款所赋予的含义：</w:t>
      </w:r>
    </w:p>
    <w:p w14:paraId="7CA97DD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 合同</w:t>
      </w:r>
    </w:p>
    <w:p w14:paraId="5B7D405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56184C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1.1.1.2 合同协议书：是指构成合同的由发包人和承包人共同签署的称为“合同协议书”的书面文件。</w:t>
      </w:r>
    </w:p>
    <w:p w14:paraId="1FE25B4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1.1.1.3 中标通知书：是指构成合同的由发包人通知承包人中标的书面文件。</w:t>
      </w:r>
    </w:p>
    <w:p w14:paraId="37F651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1.1.1.4 投标函：是指构成合同的由承包人填写并签署的用于投标的称为“投标函”的文件。</w:t>
      </w:r>
    </w:p>
    <w:p w14:paraId="49AFDC1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1.1.1.5 投标函附录：是指构成合同的附在投标函后的称为“投标函附录”的文件。</w:t>
      </w:r>
    </w:p>
    <w:p w14:paraId="5B2521D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1.1.1.6 技术标准和要求：是指构成合同的施工应当遵守的或指导施工的国家、行业或地方的技术标准和要求，以及合同约定的技术标准和要求。</w:t>
      </w:r>
    </w:p>
    <w:p w14:paraId="52865EB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1.1.1.7 图纸：是指构成合同的图纸，包括由发包人按照合同约定提供或经发包人批准的设计文件、施工图、鸟瞰图及模型等，以及在合同履行过程中形成的图纸文件。图纸应当按照法律规定审查合格。</w:t>
      </w:r>
    </w:p>
    <w:p w14:paraId="50B7DD1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1.1.1.8 已标价工程量清单：是指构成合同的由承包人按照规定的格式和要求填写并标明价格的工程量清单，包括说明和表格。</w:t>
      </w:r>
    </w:p>
    <w:p w14:paraId="482B7B0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1.1.1.9 预算书：是指构成合同的由承包人按照发包人规定的格式和要求编制的工程预算文件。</w:t>
      </w:r>
    </w:p>
    <w:p w14:paraId="22FA668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1.1.1.10 其他合同文件：是指经合同当事人约定的与工程施工有关的具有合同约束力的文件或书面协议。合同当事人可以在专用合同条款中进行约定。</w:t>
      </w:r>
    </w:p>
    <w:p w14:paraId="5F09846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    1.1.2 合同当事人及其他相关方</w:t>
      </w:r>
    </w:p>
    <w:p w14:paraId="1C378E0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1.1.2.1 合同当事人：是指发包人和（或）承包人。</w:t>
      </w:r>
    </w:p>
    <w:p w14:paraId="3C55BC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1.1.2.2 发包人：是指与承包人签订合同协议书的当事人及取得该当事人资格的合法继承人。</w:t>
      </w:r>
    </w:p>
    <w:p w14:paraId="633DD4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1.1.2.3 承包人：是指与发包人签订合同协议书的，具有相应工程施工承包资质的当事人及取得该当事人资格的合法继承人。</w:t>
      </w:r>
    </w:p>
    <w:p w14:paraId="38AD3B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1.1.2.4 监理人：是指在专用合同条款中指明的，受发包人委托按照法律规定进行工程监督管理的法人或其他组织。</w:t>
      </w:r>
    </w:p>
    <w:p w14:paraId="02AE1FE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1.1.2.5 设计人：是指在专用合同条款中指明的，受发包人委托负责工程设计并具备相应工程设计资质的法人或其他组织。</w:t>
      </w:r>
    </w:p>
    <w:p w14:paraId="3CBB610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1.1.2.6 分包人：是指按照法律规定和合同约定，分包部分工程或工作，并与承包人签订分包合同的具有相应资质的法人。</w:t>
      </w:r>
    </w:p>
    <w:p w14:paraId="27A17E6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1.1.2.7 发包人代表：是指由发包人任命并派驻施工现场在发包人授权范围内行使发包人权利的人。</w:t>
      </w:r>
    </w:p>
    <w:p w14:paraId="254FC8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1.1.2.8 项目经理：是指由承包人任命并派驻施工现场，在承包人授权范围内负责合同履行，且按照法律规定具有相应资格的项目负责人。</w:t>
      </w:r>
    </w:p>
    <w:p w14:paraId="3DF9C2A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1.1.2.9 总监理工程师：是指由监理人任命并派驻施工现场进行工程监理的总负责人。</w:t>
      </w:r>
    </w:p>
    <w:p w14:paraId="4A0DEE4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 工程和设备</w:t>
      </w:r>
    </w:p>
    <w:p w14:paraId="27F95B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1.1.3.1 工程：是指与合同协议书中工程承包范围对应的永久工程和（或）临时工程。</w:t>
      </w:r>
    </w:p>
    <w:p w14:paraId="39718DC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1.1.3.2 永久工程：是指按合同约定建造并移交给发包人的工程，包括工程设备。</w:t>
      </w:r>
    </w:p>
    <w:p w14:paraId="60D5CF9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1.1.3.3 临时工程：是指为完成合同约定的永久工程所修建的各类临时性工程，不包括施工设备。</w:t>
      </w:r>
    </w:p>
    <w:p w14:paraId="09638F6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1.1.3.4 单位工程：是指在合同协议书中指明的，具备独立施工条件并能形成独立使用功能的永久工程。</w:t>
      </w:r>
    </w:p>
    <w:p w14:paraId="1466EFD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1.1.3.5 工程设备：是指构成永久工程的机电设备、金属结构设备、仪器及其他类似的设备和装置。</w:t>
      </w:r>
    </w:p>
    <w:p w14:paraId="5B1AA7E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1.1.3.6 施工设备：是指为完成合同约定的各项工作所需的设备、器具和其他物品，但不包括工程设备、临时工程和材料。</w:t>
      </w:r>
    </w:p>
    <w:p w14:paraId="1E2EA84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1.1.3.7 施工现场：是指用于工程施工的场所，以及在专用合同条款中指明作为施工场所组成部分的其他场所，包括永久占地和临时占地。</w:t>
      </w:r>
    </w:p>
    <w:p w14:paraId="22ED93F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1.1.3.8临时设施：是指为完成合同约定的各项工作所服务的临时性生产和生活设施。</w:t>
      </w:r>
    </w:p>
    <w:p w14:paraId="0F93A4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1.1.3.9 永久占地：是指专用合同条款中指明为实施工程需永久占用的土地。</w:t>
      </w:r>
    </w:p>
    <w:p w14:paraId="3086F3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1.1.3.10 临时占地：是指专用合同条款中指明为实施工程需要临时占用的土地。</w:t>
      </w:r>
    </w:p>
    <w:p w14:paraId="66435CC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 日期和期限</w:t>
      </w:r>
    </w:p>
    <w:p w14:paraId="0D7BC6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C06E33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1.1.4.2 竣工日期：包括计划竣工日期和实际竣工日期。计划竣工日期是指合同协议书约定的竣工日期；实际竣工日期按照第13.2.3项〔竣工日期〕的约定确定。 </w:t>
      </w:r>
    </w:p>
    <w:p w14:paraId="5A00AD3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1.1.4.3 工期：是指在合同协议书约定的承包人完成工程所需的期限，包括按照合同约定所作的期限变更。</w:t>
      </w:r>
    </w:p>
    <w:p w14:paraId="5C3B295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1.1.4.4 缺陷责任期：是指承包人按照合同约定承担缺陷修复义务，且发包人预留质量保证金（已缴纳履约保证金的除外）的期限，自工程实际竣工日期起计算。</w:t>
      </w:r>
    </w:p>
    <w:p w14:paraId="3262A2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1.1.4.5 保修期：是指承包人按照合同约定对工程承担保修责任的期限，从工程竣工验收合格之日起计算。</w:t>
      </w:r>
    </w:p>
    <w:p w14:paraId="6BEB18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1.1.4.6 基准日期：招标发包的工程以投标截止日前28天的日期为基准日期，直接发包的工程以合同签订日前28天的日期为基准日期。</w:t>
      </w:r>
    </w:p>
    <w:p w14:paraId="67A710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1.1.4.7 天：除特别指明外，均指日历天。合同中按天计算时间的，开始当天不计入，从次日开始计算，期限最后一天的截止时间为当天24:00时。</w:t>
      </w:r>
    </w:p>
    <w:p w14:paraId="5A530F0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 合同价格和费用</w:t>
      </w:r>
    </w:p>
    <w:p w14:paraId="226402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1.1.5.1 签约合同价：是指发包人和承包人在合同协议书中确定的总金额，包括安全文明施工费、暂估价及暂列金额等。</w:t>
      </w:r>
    </w:p>
    <w:p w14:paraId="455857E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1.1.5.2 合同价格：是指发包人用于支付承包人按照合同约定完成承包范围内全部工作的金额，包括合同履行过程中按合同约定发生的价格变化。</w:t>
      </w:r>
    </w:p>
    <w:p w14:paraId="0964031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1.1.5.3 费用：是指为履行合同所发生的或将要发生的所有必需的开支，包括管理费和应分摊的其他费用，但不包括利润。</w:t>
      </w:r>
    </w:p>
    <w:p w14:paraId="240064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1.1.5.4 暂估价：是指发包人在工程量清单或预算书中提供的用于支付必然发生但暂时不能确定价格的材料、工程设备的单价、专业工程以及服务工作的金额。</w:t>
      </w:r>
    </w:p>
    <w:p w14:paraId="3E1EA4C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C242C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1.1.5.6 计日工：是指合同履行过程中，承包人完成发包人提出的零星工作或需要采用计日工计价的变更工作时，按合同中约定的单价计价的一种方式。</w:t>
      </w:r>
    </w:p>
    <w:p w14:paraId="2AD64AD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1.1.5.7 质量保证金：是指按照第15.3款〔质量保证金〕约定承包人用于保证其在缺陷责任期内履行缺陷修补义务的担保。</w:t>
      </w:r>
    </w:p>
    <w:p w14:paraId="59E5034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1.1.5.8 总价项目：是指在现行国家、行业以及地方的计量规则中无工程量计算规则，在已标价工程量清单或预算书中以总价或以费率形式计算的项目。</w:t>
      </w:r>
    </w:p>
    <w:p w14:paraId="2CE8DC2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1.1.6 其他</w:t>
      </w:r>
    </w:p>
    <w:p w14:paraId="5012C6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1.1.6.1 书面形式：是指合同文件、信函、电报、传真等可以有形地表现所载内容的形式。</w:t>
      </w:r>
    </w:p>
    <w:p w14:paraId="4B52478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1.2语言文字</w:t>
      </w:r>
    </w:p>
    <w:p w14:paraId="352A70E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合同以中国的汉语简体文字编写、解释和说明。合同当事人在专用合同条款中约定使用两种以上语言时，汉语为优先解释和说明合同的语言。</w:t>
      </w:r>
    </w:p>
    <w:p w14:paraId="7680283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1.3法律</w:t>
      </w:r>
    </w:p>
    <w:p w14:paraId="2D4640C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合同所称法律是指中华人民共和国法律、行政法规、部门规章，以及工程所在地的地方性法规、自治条例、单行条例和地方政府规章等。</w:t>
      </w:r>
    </w:p>
    <w:p w14:paraId="4F1AB3C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合同当事人可以在专用合同条款中约定合同适用的其他规范性文件。</w:t>
      </w:r>
    </w:p>
    <w:p w14:paraId="5E1EFB6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1.4 标准和规范</w:t>
      </w:r>
    </w:p>
    <w:p w14:paraId="0426E82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1.4.1 适用于工程的国家标准、行业标准、工程所在地的地方性标准，以及相应的规范、规程等，合同当事人有特别要求的，应在专用合同条款中约定。</w:t>
      </w:r>
    </w:p>
    <w:p w14:paraId="10D2BF2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1.4.2 发包人要求使用国外标准、规范的，发包人负责提供原文版本和中文译本，并在专用合同条款中约定提供标准规范的名称、份数和时间。</w:t>
      </w:r>
    </w:p>
    <w:p w14:paraId="5BED838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2371FF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1.5 合同文件的优先顺序</w:t>
      </w:r>
    </w:p>
    <w:p w14:paraId="7D519AC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组成合同的各项文件应互相解释，互为说明。除专用合同条款另有约定外，解释合同文件的优先顺序如下：</w:t>
      </w:r>
    </w:p>
    <w:p w14:paraId="67DC6D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（1）合同协议书；</w:t>
      </w:r>
    </w:p>
    <w:p w14:paraId="76FA99C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（2）中标通知书（如果有）；</w:t>
      </w:r>
    </w:p>
    <w:p w14:paraId="1A4159B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（3）投标函及其附录（如果有）；</w:t>
      </w:r>
    </w:p>
    <w:p w14:paraId="3325771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（4）专用合同条款及其附件；</w:t>
      </w:r>
    </w:p>
    <w:p w14:paraId="1FF2996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（5）通用合同条款；</w:t>
      </w:r>
    </w:p>
    <w:p w14:paraId="749AC23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（6）技术标准和要求；</w:t>
      </w:r>
    </w:p>
    <w:p w14:paraId="23F842B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（7）图纸；</w:t>
      </w:r>
    </w:p>
    <w:p w14:paraId="0C1E5AC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（8）已标价工程量清单或预算书；</w:t>
      </w:r>
    </w:p>
    <w:p w14:paraId="7765D8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（9）其他合同文件。</w:t>
      </w:r>
    </w:p>
    <w:p w14:paraId="1253BA8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3B87E70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在合同订立及履行过程中形成的与合同有关的文件均构成合同文件组成部分，并根据其性质确定优先解释顺序。</w:t>
      </w:r>
    </w:p>
    <w:p w14:paraId="2D9446E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1.6图纸和承包人文件</w:t>
      </w:r>
    </w:p>
    <w:p w14:paraId="64C6BF7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1.6.1 图纸的提供和交底</w:t>
      </w:r>
    </w:p>
    <w:p w14:paraId="0F6C756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E5259E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因发包人未按合同约定提供图纸导致承包人费用增加和（或）工期延误的，按照第7.5.1项〔因发包人原因导致工期延误〕约定办理。</w:t>
      </w:r>
    </w:p>
    <w:p w14:paraId="431262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1.6.2 图纸的错误</w:t>
      </w:r>
    </w:p>
    <w:p w14:paraId="5FD5945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18263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1.6.3 图纸的修改和补充</w:t>
      </w:r>
    </w:p>
    <w:p w14:paraId="667D82F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图纸需要修改和补充的，应经图纸原设计人及审批部门同意，并由监理人在工程或工程相应部位施工前将修改后的图纸或补充图纸提交给承包人，承包人应按修改或补充后的图纸施工。</w:t>
      </w:r>
    </w:p>
    <w:p w14:paraId="1FCCD49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1.6.4 承包人文件</w:t>
      </w:r>
    </w:p>
    <w:p w14:paraId="08E0721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承包人应按照专用合同条款的约定提供应当由其编制的与工程施工有关的文件，并按照专用合同条款约定的期限、数量和形式提交监理人，并由监理人报送发包人。</w:t>
      </w:r>
    </w:p>
    <w:p w14:paraId="458F1B6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EE2110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1.6.5 图纸和承包人文件的保管</w:t>
      </w:r>
    </w:p>
    <w:p w14:paraId="4C8C0D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除专用合同条款另有约定外，承包人应在施工现场另外保存一套完整的图纸和承包人文件，供发包人、监理人及有关人员进行工程检查时使用。</w:t>
      </w:r>
    </w:p>
    <w:p w14:paraId="786CAD9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1.7联络</w:t>
      </w:r>
    </w:p>
    <w:p w14:paraId="407E61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1.7.1 与合同有关的通知、批准、证明、证书、指示、指令、要求、请求、同意、意见、确定和决定等，均应采用书面形式，并应在合同约定的期限内送达接收人和送达地点。</w:t>
      </w:r>
    </w:p>
    <w:p w14:paraId="53ED7ED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1.7.2 发包人和承包人应在专用合同条款中约定各自的送达接收人和送达地点。任何一方合同当事人指定的接收人或送达地点发生变动的，应提前3天以书面形式通知对方。</w:t>
      </w:r>
    </w:p>
    <w:p w14:paraId="7E621D6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1.7.3 发包人和承包人应当及时签收另一方送达至送达地点和指定接收人的来往信函。拒不签收的，由此增加的费用和（或）延误的工期由拒绝接收一方承担。</w:t>
      </w:r>
    </w:p>
    <w:p w14:paraId="44B8204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1.8严禁贿赂</w:t>
      </w:r>
    </w:p>
    <w:p w14:paraId="12181C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合同当事人不得以贿赂或变相贿赂的方式，谋取非法利益或损害对方权益。因一方合同当事人的贿赂造成对方损失的，应赔偿损失，并承担相应的法律责任。</w:t>
      </w:r>
    </w:p>
    <w:p w14:paraId="650A779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承包人不得与监理人或发包人聘请的第三方串通损害发包人利益。未经发包人书面同意，承包人不得为监理人提供合同约定以外的通讯设备、交通工具及其他任何形式的利益，不得向监理人支付报酬。</w:t>
      </w:r>
    </w:p>
    <w:p w14:paraId="5FB44D2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1.9化石、文物</w:t>
      </w:r>
    </w:p>
    <w:p w14:paraId="03DDDA8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AAE90E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发包人、监理人和承包人应按有关政府行政管理部门要求采取妥善的保护措施，由此增加的费用和（或）延误的工期由发包人承担。</w:t>
      </w:r>
    </w:p>
    <w:p w14:paraId="1775F8B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承包人发现文物后不及时报告或隐瞒不报，致使文物丢失或损坏的，应赔偿损失，并承担相应的法律责任。</w:t>
      </w:r>
    </w:p>
    <w:p w14:paraId="43FFFA1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1.10交通运输</w:t>
      </w:r>
    </w:p>
    <w:p w14:paraId="5200F6E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1.10.1 出入现场的权利</w:t>
      </w:r>
    </w:p>
    <w:p w14:paraId="2D3FD99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364A9B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承包人应在订立合同前查勘施工现场，并根据工程规模及技术参数合理预见工程施工所需的进出施工现场的方式、手段、路径等。因承包人未合理预见所增加的费用和（或）延误的工期由承包人承担。</w:t>
      </w:r>
    </w:p>
    <w:p w14:paraId="04B516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1.10.2 场外交通</w:t>
      </w:r>
    </w:p>
    <w:p w14:paraId="770CDF6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BAD66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1.10.3场内交通</w:t>
      </w:r>
    </w:p>
    <w:p w14:paraId="7A6FE80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4DBF5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3D724A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场外交通和场内交通的边界由合同当事人在专用合同条款中约定。</w:t>
      </w:r>
    </w:p>
    <w:p w14:paraId="27A8101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1.10.4 超大件和超重件的运输</w:t>
      </w:r>
    </w:p>
    <w:p w14:paraId="4A2230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01C0D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1.10.5 道路和桥梁的损坏责任</w:t>
      </w:r>
    </w:p>
    <w:p w14:paraId="742A616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因承包人运输造成施工场地内外公共道路和桥梁损坏的，由承包人承担修复损坏的全部费用和可能引起的赔偿。</w:t>
      </w:r>
    </w:p>
    <w:p w14:paraId="1A20A6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1.10.6 水路和航空运输</w:t>
      </w:r>
    </w:p>
    <w:p w14:paraId="3AEDF24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本款前述各项的内容适用于水路运输和航空运输，其中“道路”一词的涵义包括河道、航线、船闸、机场、码头、堤防以及水路或航空运输中其他相似结构物；“车辆”一词的涵义包括船舶和飞机等。</w:t>
      </w:r>
    </w:p>
    <w:p w14:paraId="68F995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 xml:space="preserve">1.11知识产权 </w:t>
      </w:r>
    </w:p>
    <w:p w14:paraId="4F9B265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D36B8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001B66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488AC9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1.11.4 除专用合同条款另有约定外，承包人在合同签订前和签订时已确定采用的专利、专有技术、技术秘密的使用费已包含在签约合同价中。</w:t>
      </w:r>
    </w:p>
    <w:p w14:paraId="4F16DDE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1.12保密</w:t>
      </w:r>
    </w:p>
    <w:p w14:paraId="0B35E3B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除法律规定或合同另有约定外，未经发包人同意，承包人不得将发包人提供的图纸、文件以及声明需要保密的资料信息等商业秘密泄露给第三方。</w:t>
      </w:r>
    </w:p>
    <w:p w14:paraId="51188A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除法律规定或合同另有约定外，未经承包人同意，发包人不得将承包人提供的技术秘密及声明需要保密的资料信息等商业秘密泄露给第三方。</w:t>
      </w:r>
    </w:p>
    <w:p w14:paraId="479D0E1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1.13工程量清单错误的修正</w:t>
      </w:r>
    </w:p>
    <w:p w14:paraId="2DE143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除专用合同条款另有约定外，发包人提供的工程量清单，应被认为是准确的和完整的。出现下列情形之一时，发包人应予以修正，并相应调整合同价格：</w:t>
      </w:r>
    </w:p>
    <w:p w14:paraId="543A7C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（1）工程量清单存在缺项、漏项的；</w:t>
      </w:r>
    </w:p>
    <w:p w14:paraId="26F76E0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（2）工程量清单偏差超出专用合同条款约定的工程量偏差范围的；</w:t>
      </w:r>
    </w:p>
    <w:p w14:paraId="1E6FF72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（3）未按照国家现行计量规范强制性规定计量的。</w:t>
      </w:r>
    </w:p>
    <w:p w14:paraId="2FFEF32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 发包人</w:t>
      </w:r>
    </w:p>
    <w:p w14:paraId="3188356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2.1 许可或批准</w:t>
      </w:r>
    </w:p>
    <w:p w14:paraId="5B30D8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5AC29D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因发包人原因未能及时办理完毕前述许可、批准或备案，由发包人承担由此增加的费用和（或）延误的工期，并支付承包人合理的利润。</w:t>
      </w:r>
    </w:p>
    <w:p w14:paraId="623A3C9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2.2 发包人代表</w:t>
      </w:r>
    </w:p>
    <w:p w14:paraId="7E39EA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6BC851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发包人代表不能按照合同约定履行其职责及义务，并导致合同无法继续正常履行的，承包人可以要求发包人撤换发包人代表。</w:t>
      </w:r>
    </w:p>
    <w:p w14:paraId="6324AF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不属于法定必须监理的工程，监理人的职权可以由发包人代表或发包人指定的其他人员行使。</w:t>
      </w:r>
    </w:p>
    <w:p w14:paraId="2D32F4E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2.3 发包人人员</w:t>
      </w:r>
    </w:p>
    <w:p w14:paraId="36039E1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发包人应要求在施工现场的发包人人员遵守法律及有关安全、质量、环境保护、文明施工等规定，并保障承包人免于承受因发包人人员未遵守上述要求给承包人造成的损失和责任。</w:t>
      </w:r>
    </w:p>
    <w:p w14:paraId="2BD89EC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发包人人员包括发包人代表及其他由发包人派驻施工现场的人员。</w:t>
      </w:r>
    </w:p>
    <w:p w14:paraId="07BC02C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 xml:space="preserve">2.4 施工现场、施工条件和基础资料的提供  </w:t>
      </w:r>
    </w:p>
    <w:p w14:paraId="044C42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2.4.1 提供施工现场</w:t>
      </w:r>
    </w:p>
    <w:p w14:paraId="535871D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除专用合同条款另有约定外，发包人应最迟于开工日期7天前向承包人移交施工现场。</w:t>
      </w:r>
    </w:p>
    <w:p w14:paraId="113714F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2.4.2 提供施工条件</w:t>
      </w:r>
    </w:p>
    <w:p w14:paraId="32BD741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除专用合同条款另有约定外，发包人应负责提供施工所需要的条件，包括：</w:t>
      </w:r>
    </w:p>
    <w:p w14:paraId="4AFBC46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（1）将施工用水、电力、通讯线路等施工所必需的条件接至施工现场内；</w:t>
      </w:r>
    </w:p>
    <w:p w14:paraId="1C1A261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（2）保证向承包人提供正常施工所需要的进入施工现场的交通条件；</w:t>
      </w:r>
    </w:p>
    <w:p w14:paraId="27ABC6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（3）协调处理施工现场周围地下管线和邻近建筑物、构筑物、古树名木的保护工作，并承担相关费用；</w:t>
      </w:r>
    </w:p>
    <w:p w14:paraId="7C127B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（4）按照专用合同条款约定应提供的其他设施和条件。</w:t>
      </w:r>
    </w:p>
    <w:p w14:paraId="666D199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2.4.3 提供基础资料</w:t>
      </w:r>
    </w:p>
    <w:p w14:paraId="3BECAD2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733332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按照法律规定确需在开工后方能提供的基础资料，发包人应尽其努力及时地在相应工程施工前的合理期限内提供，合理期限应以不影响承包人的正常施工为限。</w:t>
      </w:r>
    </w:p>
    <w:p w14:paraId="0913437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2.4.4 逾期提供的责任</w:t>
      </w:r>
    </w:p>
    <w:p w14:paraId="390EDD6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因发包人原因未能按合同约定及时向承包人提供施工现场、施工条件、基础资料的，由发包人承担由此增加的费用和（或）延误的工期。</w:t>
      </w:r>
    </w:p>
    <w:p w14:paraId="1A13D28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2.5 资金来源证明及支付担保</w:t>
      </w:r>
    </w:p>
    <w:p w14:paraId="55EAF4B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除专用合同条款另有约定外，发包人应在收到承包人要求提供资金来源证明的书面通知后28天内，向承包人提供能够按照合同约定支付合同价款的相应资金来源证明。</w:t>
      </w:r>
    </w:p>
    <w:p w14:paraId="3E354A2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除专用合同条款另有约定外，发包人要求承包人提供履约担保的，发包人应当向承包人提供支付担保。支付担保可以采用银行保函或担保公司担保等形式，具体由合同当事人在专用合同条款中约定。</w:t>
      </w:r>
    </w:p>
    <w:p w14:paraId="76E72B3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2.6 支付合同价款</w:t>
      </w:r>
    </w:p>
    <w:p w14:paraId="7FA6C53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发包人应按合同约定向承包人及时支付合同价款。</w:t>
      </w:r>
    </w:p>
    <w:p w14:paraId="383A04F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2.7 组织竣工验收</w:t>
      </w:r>
    </w:p>
    <w:p w14:paraId="263C86D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发包人应按合同约定及时组织竣工验收。</w:t>
      </w:r>
    </w:p>
    <w:p w14:paraId="2AC5048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2.8 现场统一管理协议</w:t>
      </w:r>
    </w:p>
    <w:p w14:paraId="5234FC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发包人应与承包人、由发包人直接发包的专业工程的承包人签订施工现场统一管理协议，明确各方的权利义务。施工现场统一管理协议作为专用合同条款的附件。</w:t>
      </w:r>
    </w:p>
    <w:p w14:paraId="673107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 承包人</w:t>
      </w:r>
    </w:p>
    <w:p w14:paraId="351C18A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3.1 承包人的一般义务</w:t>
      </w:r>
    </w:p>
    <w:p w14:paraId="406A8A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承包人在履行合同过程中应遵守法律和工程建设标准规范，并履行以下义务：</w:t>
      </w:r>
    </w:p>
    <w:p w14:paraId="5CB8AF8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办理法律规定应由承包人办理的许可和批准，并将办理结果书面报送发包人留存；</w:t>
      </w:r>
    </w:p>
    <w:p w14:paraId="2819A8A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（2）按法律规定和合同约定完成工程，并在保修期内承担保修义务；</w:t>
      </w:r>
    </w:p>
    <w:p w14:paraId="46EB7BF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（3）按法律规定和合同约定采取施工安全和环境保护措施，办理工伤保险，确保工程及人员、材料、设备和设施的安全；</w:t>
      </w:r>
    </w:p>
    <w:p w14:paraId="64592D8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（4）按合同约定的工作内容和施工进度要求，编制施工组织设计和施工措施计划，并对所有施工作业和施工方法的完备性和安全可靠性负责；</w:t>
      </w:r>
    </w:p>
    <w:p w14:paraId="1D7CA0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3992BA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（6）按照第6.3款〔环境保护〕约定负责施工场地及其周边环境与生态的保护工作；</w:t>
      </w:r>
    </w:p>
    <w:p w14:paraId="1FB4DA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（7）按第6.1款〔安全文明施工〕约定采取施工安全措施，确保工程及其人员、材料、设备和设施的安全，防止因工程施工造成的人身伤害和财产损失；</w:t>
      </w:r>
    </w:p>
    <w:p w14:paraId="7A6E21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（8）将发包人按合同约定支付的各项价款专用于合同工程，且应及时支付其雇用人员工资，并及时向分包人支付合同价款；</w:t>
      </w:r>
    </w:p>
    <w:p w14:paraId="3D636AA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（9）按照法律规定和合同约定编制竣工资料，完成竣工资料立卷及归档，并按专用合同条款约定的竣工资料的套数、内容、时间等要求移交发包人；</w:t>
      </w:r>
    </w:p>
    <w:p w14:paraId="616AE6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（10）应履行的其他义务。</w:t>
      </w:r>
    </w:p>
    <w:p w14:paraId="168F0DD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3.2 项目经理</w:t>
      </w:r>
    </w:p>
    <w:p w14:paraId="2ED978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9E9E05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C32429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承包人违反上述约定的，应按照专用合同条款的约定，承担违约责任。</w:t>
      </w:r>
    </w:p>
    <w:p w14:paraId="7144346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24DBB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FDD1C0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F1F31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3.2.5 项目经理因特殊情况授权其下属人员履行其某项工作职责的，该下属人员应具备履行相应职责的能力，并应提前7天将上述人员的姓名和授权范围书面通知监理人，并征得发包人书面同意。</w:t>
      </w:r>
    </w:p>
    <w:p w14:paraId="5BEE0DA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3.3 承包人人员</w:t>
      </w:r>
    </w:p>
    <w:p w14:paraId="0095922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80F30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9C48FF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特殊工种作业人员均应持有相应的资格证明，监理人可以随时检查。</w:t>
      </w:r>
    </w:p>
    <w:p w14:paraId="11EB5A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40BE0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8ECB2B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3.3.5 承包人擅自更换主要施工管理人员，或前述人员未经监理人或发包人同意擅自离开施工现场的，应按照专用合同条款约定承担违约责任。</w:t>
      </w:r>
    </w:p>
    <w:p w14:paraId="3402348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3.4 承包人现场查勘</w:t>
      </w:r>
    </w:p>
    <w:p w14:paraId="0E2BBCF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承包人应对基于发包人按照第2.4.3项〔提供基础资料〕提交的基础资料所做出的解释和推断负责，但因基础资料存在错误、遗漏导致承包人解释或推断失实的，由发包人承担责任。</w:t>
      </w:r>
    </w:p>
    <w:p w14:paraId="2F5CF1B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CD0684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3.5 分包</w:t>
      </w:r>
    </w:p>
    <w:p w14:paraId="42516CFE">
      <w:pPr>
        <w:pStyle w:val="66"/>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rPr>
      </w:pPr>
      <w:r>
        <w:rPr>
          <w:rFonts w:hint="eastAsia" w:ascii="宋体" w:hAnsi="宋体" w:eastAsia="宋体" w:cs="宋体"/>
        </w:rPr>
        <w:t>3.5.1 分包的一般约定</w:t>
      </w:r>
    </w:p>
    <w:p w14:paraId="1FCC1B1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5A93D7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承包人不得以劳务分包的名义转包或违法分包工程。</w:t>
      </w:r>
    </w:p>
    <w:p w14:paraId="223A523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3.5.2 分包的确定</w:t>
      </w:r>
    </w:p>
    <w:p w14:paraId="150B084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1D24D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3.5.3 分包管理</w:t>
      </w:r>
    </w:p>
    <w:p w14:paraId="7A43A9F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承包人应向监理人提交分包人的主要施工管理人员表，并对分包人的施工人员进行实名制管理，包括但不限于进出场管理、登记造册以及各种证照的办理。</w:t>
      </w:r>
    </w:p>
    <w:p w14:paraId="08DB84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3.5.4 分包合同价款</w:t>
      </w:r>
    </w:p>
    <w:p w14:paraId="551C295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（1）除本项第（2）目约定的情况或专用合同条款另有约定外，分包合同价款由承包人与分包人结算，未经承包人同意，发包人不得向分包人支付分包工程价款；</w:t>
      </w:r>
    </w:p>
    <w:p w14:paraId="033A361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（2）生效法律文书要求发包人向分包人支付分包合同价款的，发包人有权从应付承包人工程款中扣除该部分款项。</w:t>
      </w:r>
    </w:p>
    <w:p w14:paraId="79C9130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3.5.5 分包合同权益的转让</w:t>
      </w:r>
    </w:p>
    <w:p w14:paraId="714517D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AD4601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3.6 工程照管与成品、半成品保护</w:t>
      </w:r>
    </w:p>
    <w:p w14:paraId="7A07EA5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（1）除专用合同条款另有约定外，自发包人向承包人移交施工现场之日起，承包人应负责照管工程及工程相关的材料、工程设备，直到颁发工程接收证书之日止。</w:t>
      </w:r>
    </w:p>
    <w:p w14:paraId="37C1B3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（2）在承包人负责照管期间，因承包人原因造成工程、材料、工程设备损坏的，由承包人负责修复或更换，并承担由此增加的费用和（或）延误的工期。</w:t>
      </w:r>
    </w:p>
    <w:p w14:paraId="6831744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（3）对合同内分期完成的成品和半成品，在工程接收证书颁发前，由承包人承担保护责任。因承包人原因造成成品或半成品损坏的，由承包人负责修复或更换，并承担由此增加的费用和（或）延误的工期。</w:t>
      </w:r>
    </w:p>
    <w:p w14:paraId="4ED2095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3.7 履约担保</w:t>
      </w:r>
    </w:p>
    <w:p w14:paraId="68759D7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9CE519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因承包人原因导致工期延长的，继续提供履约担保所增加的费用由承包人承担；非因承包人原因导致工期延长的，继续提供履约担保所增加的费用由发包人承担。</w:t>
      </w:r>
    </w:p>
    <w:p w14:paraId="2FD6CCC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3.8 联合体</w:t>
      </w:r>
    </w:p>
    <w:p w14:paraId="33DD170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3.8.1 联合体各方应共同与发包人签订合同协议书。联合体各方应为履行合同向发包人承担连带责任。</w:t>
      </w:r>
    </w:p>
    <w:p w14:paraId="7F8AEF8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3.8.2 联合体协议经发包人确认后作为合同附件。在履行合同过程中，未经发包人同意，不得修改联合体协议。</w:t>
      </w:r>
    </w:p>
    <w:p w14:paraId="6869176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3.8.3 联合体牵头人负责与发包人和监理人联系，并接受指示，负责组织联合体各成员全面履行合同。</w:t>
      </w:r>
    </w:p>
    <w:p w14:paraId="4A4798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4. 监理人</w:t>
      </w:r>
    </w:p>
    <w:p w14:paraId="3A0913D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4.1监理人的一般规定</w:t>
      </w:r>
    </w:p>
    <w:p w14:paraId="192C9C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02F3F4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除专用合同条款另有约定外，监理人在施工现场的办公场所、生活场所由承包人提供，所发生的费用由发包人承担。</w:t>
      </w:r>
    </w:p>
    <w:p w14:paraId="65AB067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4.2监理人员</w:t>
      </w:r>
    </w:p>
    <w:p w14:paraId="5B3B3F7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510E2F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4.3监理人的指示</w:t>
      </w:r>
    </w:p>
    <w:p w14:paraId="658E5E65">
      <w:pPr>
        <w:pStyle w:val="66"/>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rPr>
      </w:pPr>
      <w:r>
        <w:rPr>
          <w:rFonts w:hint="eastAsia" w:ascii="宋体" w:hAnsi="宋体" w:eastAsia="宋体" w:cs="宋体"/>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15FB08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E4F4E1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承包人对监理人发出的指示有疑问的，应向监理人提出书面异议，监理人应在48小时内对该指示予以确认、更改或撤销，监理人逾期未回复的，承包人有权拒绝执行上述指示。</w:t>
      </w:r>
    </w:p>
    <w:p w14:paraId="79CF29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监理人对承包人的任何工作、工程或其采用的材料和工程设备未在约定的或合理期限内提出意见的，视为批准，但不免除或减轻承包人对该工作、工程、材料、工程设备等应承担的责任和义务。</w:t>
      </w:r>
    </w:p>
    <w:p w14:paraId="08FC989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4.4 商定或确定</w:t>
      </w:r>
    </w:p>
    <w:p w14:paraId="252819E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合同当事人进行商定或确定时，总监理工程师应当会同合同当事人尽量通过协商达成一致，不能达成一致的，由总监理工程师按照合同约定审慎做出公正的确定。</w:t>
      </w:r>
    </w:p>
    <w:p w14:paraId="3D89BE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09579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5. 工程质量</w:t>
      </w:r>
    </w:p>
    <w:p w14:paraId="5A6906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5.1质量要求</w:t>
      </w:r>
    </w:p>
    <w:p w14:paraId="0CC4C16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5.1.1 工程质量标准必须符合现行国家有关工程施工质量验收规范和标准的要求。有关工程质量的特殊标准或要求由合同当事人在专用合同条款中约定。</w:t>
      </w:r>
    </w:p>
    <w:p w14:paraId="1341A70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5.1.2 因发包人原因造成工程质量未达到合同约定标准的，由发包人承担由此增加的费用和（或）延误的工期，并支付承包人合理的利润。</w:t>
      </w:r>
    </w:p>
    <w:p w14:paraId="4686DB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5.1.3 因承包人原因造成工程质量未达到合同约定标准的，发包人有权要求承包人返工直至工程质量达到合同约定的标准为止，并由承包人承担由此增加的费用和（或）延误的工期。</w:t>
      </w:r>
    </w:p>
    <w:p w14:paraId="128014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5.2质量保证措施</w:t>
      </w:r>
    </w:p>
    <w:p w14:paraId="7E8A4B0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bookmarkStart w:id="53" w:name="_Toc3746"/>
      <w:r>
        <w:rPr>
          <w:rFonts w:hint="eastAsia" w:ascii="宋体" w:hAnsi="宋体" w:eastAsia="宋体" w:cs="宋体"/>
        </w:rPr>
        <w:t>5.2.1 发包人的质量管理</w:t>
      </w:r>
      <w:bookmarkEnd w:id="53"/>
    </w:p>
    <w:p w14:paraId="15BBB19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发包人应按照法律规定及合同约定完成与工程质量有关的各项工作。</w:t>
      </w:r>
    </w:p>
    <w:p w14:paraId="7B6240A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5.2.2 承包人的质量管理</w:t>
      </w:r>
    </w:p>
    <w:p w14:paraId="533ECFD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A7D5B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承包人应对施工人员进行质量教育和技术培训，定期考核施工人员的劳动技能，严格执行施工规范和操作规程。</w:t>
      </w:r>
    </w:p>
    <w:p w14:paraId="3171B9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70E58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bookmarkStart w:id="54" w:name="_Toc24987"/>
      <w:r>
        <w:rPr>
          <w:rFonts w:hint="eastAsia" w:ascii="宋体" w:hAnsi="宋体" w:eastAsia="宋体" w:cs="宋体"/>
        </w:rPr>
        <w:t>5.2.3 监理人的质量检查和检验</w:t>
      </w:r>
      <w:bookmarkEnd w:id="54"/>
    </w:p>
    <w:p w14:paraId="6271C5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BF0925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A62A5D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5.3 隐蔽工程检查</w:t>
      </w:r>
    </w:p>
    <w:p w14:paraId="3A94B0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5.3.1承包人自检</w:t>
      </w:r>
    </w:p>
    <w:p w14:paraId="14C46BC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承包人应当对工程隐蔽部位进行自检，并经自检确认是否具备覆盖条件。</w:t>
      </w:r>
    </w:p>
    <w:p w14:paraId="1FF73E5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5.3.2检查程序</w:t>
      </w:r>
    </w:p>
    <w:p w14:paraId="4F091E1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95EA87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14638C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75F9F8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5.3.3 重新检查</w:t>
      </w:r>
    </w:p>
    <w:p w14:paraId="0B3FCF7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21C9CF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5.3.4 承包人私自覆盖</w:t>
      </w:r>
    </w:p>
    <w:p w14:paraId="5C5EF1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承包人未通知监理人到场检查，私自将工程隐蔽部位覆盖的，监理人有权指示承包人钻孔探测或揭开检查，无论工程隐蔽部位质量是否合格，由此增加的费用和（或）延误的工期均由承包人承担。</w:t>
      </w:r>
    </w:p>
    <w:p w14:paraId="10A4B94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5.4不合格工程的处理</w:t>
      </w:r>
    </w:p>
    <w:p w14:paraId="0627793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197BD7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5.4.2 因发包人原因造成工程不合格的，由此增加的费用和（或）延误的工期由发包人承担，并支付承包人合理的利润。</w:t>
      </w:r>
    </w:p>
    <w:p w14:paraId="00CD2A1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5.5 质量争议检测</w:t>
      </w:r>
    </w:p>
    <w:p w14:paraId="3133871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合同当事人对工程质量有争议的，由双方协商确定的工程质量检测机构鉴定，由此产生的费用及因此造成的损失，由责任方承担。</w:t>
      </w:r>
    </w:p>
    <w:p w14:paraId="5A218AA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合同当事人均有责任的，由双方根据其责任分别承担。合同当事人无法达成一致的，按照第4.4款〔商定或确定〕执行。</w:t>
      </w:r>
    </w:p>
    <w:p w14:paraId="0F1252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6. 安全文明施工与环境保护</w:t>
      </w:r>
    </w:p>
    <w:p w14:paraId="220094A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6.1安全文明施工</w:t>
      </w:r>
    </w:p>
    <w:p w14:paraId="08A99C2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6.1.1安全生产要求</w:t>
      </w:r>
    </w:p>
    <w:p w14:paraId="165A41D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A19C66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在施工过程中，如遇到突发的地质变动、事先未知的地下施工障碍等影响施工安全的紧急情况，承包人应及时报告监理人和发包人，发包人应当及时下令停工并报政府有关行政管理部门采取应急措施。</w:t>
      </w:r>
    </w:p>
    <w:p w14:paraId="58EDA9D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因安全生产需要暂停施工的，按照第7.8款〔暂停施工〕的约定执行。</w:t>
      </w:r>
    </w:p>
    <w:p w14:paraId="78B588F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6.1.2 安全生产保证措施</w:t>
      </w:r>
    </w:p>
    <w:p w14:paraId="6A5912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F386CE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6.1.3特别安全生产事项</w:t>
      </w:r>
    </w:p>
    <w:p w14:paraId="62461BC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56D9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承包人在动力设备、输电线路、地下管道、密封防震车间、易燃易爆地段以及临街交通要道附近施工时，施工开始前应向发包人和监理人提出安全防护措施，经发包人认可后实施。 </w:t>
      </w:r>
    </w:p>
    <w:p w14:paraId="1B02F5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实施爆破作业，在放射、毒害性环境中施工（含储存、运输、使用）及使用毒害性、腐蚀性物品施工时，承包人应在施工前7天以书面通知发包人和监理人，并报送相应的安全防护措施，经发包人认可后实施。</w:t>
      </w:r>
    </w:p>
    <w:p w14:paraId="7037A4C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需单独编制危险性较大分部分项专项工程施工方案的，及要求进行专家论证的超过一定规模的危险性较大的分部分项工程，承包人应及时编制和组织论证。</w:t>
      </w:r>
    </w:p>
    <w:p w14:paraId="05EBE25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6.1.4 治安保卫</w:t>
      </w:r>
    </w:p>
    <w:p w14:paraId="5483A58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除专用合同条款另有约定外，发包人应与当地公安部门协商，在现场建立治安管理机构或联防组织，统一管理施工场地的治安保卫事项，履行合同工程的治安保卫职责。</w:t>
      </w:r>
    </w:p>
    <w:p w14:paraId="3E31C73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发包人和承包人除应协助现场治安管理机构或联防组织维护施工场地的社会治安外，还应做好包括生活区在内的各自管辖区的治安保卫工作。</w:t>
      </w:r>
    </w:p>
    <w:p w14:paraId="3FF6979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E33D70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6.1.5 文明施工</w:t>
      </w:r>
    </w:p>
    <w:p w14:paraId="1A1808D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E0ABF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689280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6.1.6 安全文明施工费</w:t>
      </w:r>
    </w:p>
    <w:p w14:paraId="3B7FD93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安全文明施工费由发包人承担，发包人不得以任何形式扣减该部分费用。因基准日期后合同所适用的法律或政府有关规定发生变化，增加的安全文明施工费由发包人承担。</w:t>
      </w:r>
    </w:p>
    <w:p w14:paraId="4BC4A0C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5D10DD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F296F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F2F97D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6.1.7 紧急情况处理</w:t>
      </w:r>
    </w:p>
    <w:p w14:paraId="236185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65F8E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6.1.8 事故处理</w:t>
      </w:r>
    </w:p>
    <w:p w14:paraId="7A83B4E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A0761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6.1.9 安全生产责任</w:t>
      </w:r>
    </w:p>
    <w:p w14:paraId="1E75F8E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6.1.9.1 发包人的安全责任</w:t>
      </w:r>
    </w:p>
    <w:p w14:paraId="5EB206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发包人应负责赔偿以下各种情况造成的损失：</w:t>
      </w:r>
    </w:p>
    <w:p w14:paraId="750DFC5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（1）工程或工程的任何部分对土地的占用所造成的第三者财产损失；</w:t>
      </w:r>
    </w:p>
    <w:p w14:paraId="07A9E77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（2）由于发包人原因在施工场地及其毗邻地带造成的第三者人身伤亡和财产损失；</w:t>
      </w:r>
    </w:p>
    <w:p w14:paraId="658E5B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（3）由于发包人原因对承包人、监理人造成的人员人身伤亡和财产损失；</w:t>
      </w:r>
    </w:p>
    <w:p w14:paraId="3C139DB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（4）由于发包人原因造成的发包人自身人员的人身伤害以及财产损失。</w:t>
      </w:r>
    </w:p>
    <w:p w14:paraId="78A2314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6.1.9.2 承包人的安全责任</w:t>
      </w:r>
    </w:p>
    <w:p w14:paraId="6C6F367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由于承包人原因在施工场地内及其毗邻地带造成的发包人、监理人以及第三者人员伤亡和财产损失，由承包人负责赔偿。</w:t>
      </w:r>
    </w:p>
    <w:p w14:paraId="3ADFAC0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6.2 职业健康</w:t>
      </w:r>
    </w:p>
    <w:p w14:paraId="44B336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6.2.1 劳动保护</w:t>
      </w:r>
    </w:p>
    <w:p w14:paraId="1E35917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052CF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38AE9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承包人应按法律规定安排工作时间，保证其雇佣人员享有休息和休假的权利。因工程施工的特殊需要占用休假日或延长工作时间的，应不超过法律规定的限度，并按法律规定给予补休或付酬。</w:t>
      </w:r>
    </w:p>
    <w:p w14:paraId="2652FC5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6.2.2 生活条件</w:t>
      </w:r>
    </w:p>
    <w:p w14:paraId="3A93250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C43A5F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6.3 环境保护</w:t>
      </w:r>
    </w:p>
    <w:p w14:paraId="6A1ABCF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CF64FC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承包人应当承担因其原因引起的环境污染侵权损害赔偿责任，因上述环境污染引起纠纷而导致暂停施工的，由此增加的费用和（或）延误的工期由承包人承担。</w:t>
      </w:r>
    </w:p>
    <w:p w14:paraId="6BC06F5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 工期和进度</w:t>
      </w:r>
    </w:p>
    <w:p w14:paraId="23DCD7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7.1施工组织设计</w:t>
      </w:r>
    </w:p>
    <w:p w14:paraId="3BD8989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7.1.1 施工组织设计的内容</w:t>
      </w:r>
    </w:p>
    <w:p w14:paraId="72BD5C6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施工组织设计应包含以下内容：</w:t>
      </w:r>
    </w:p>
    <w:p w14:paraId="7E3C22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（1）施工方案； </w:t>
      </w:r>
    </w:p>
    <w:p w14:paraId="2089CE3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（2）施工现场平面布置图；</w:t>
      </w:r>
    </w:p>
    <w:p w14:paraId="318060E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（3）施工进度计划和保证措施； </w:t>
      </w:r>
    </w:p>
    <w:p w14:paraId="70BEBF7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（4）劳动力及材料供应计划；</w:t>
      </w:r>
    </w:p>
    <w:p w14:paraId="0C843EF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（5）施工机械设备的选用；</w:t>
      </w:r>
    </w:p>
    <w:p w14:paraId="096465E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（6）质量保证体系及措施；</w:t>
      </w:r>
    </w:p>
    <w:p w14:paraId="372BA3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（7）安全生产、文明施工措施；</w:t>
      </w:r>
    </w:p>
    <w:p w14:paraId="45610A3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（8）环境保护、成本控制措施；</w:t>
      </w:r>
    </w:p>
    <w:p w14:paraId="4AF19E4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（9）合同当事人约定的其他内容。</w:t>
      </w:r>
    </w:p>
    <w:p w14:paraId="17CB997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7.1.2 施工组织设计的提交和修改</w:t>
      </w:r>
    </w:p>
    <w:p w14:paraId="25ABB2E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EC2E8E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施工进度计划的编制和修改按照第7.2款〔施工进度计划〕执行。</w:t>
      </w:r>
    </w:p>
    <w:p w14:paraId="482743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7.2 施工进度计划</w:t>
      </w:r>
    </w:p>
    <w:p w14:paraId="759A1C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7.2.1 施工进度计划的编制</w:t>
      </w:r>
    </w:p>
    <w:p w14:paraId="6C6213C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00D04D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7.2.2 施工进度计划的修订</w:t>
      </w:r>
    </w:p>
    <w:p w14:paraId="68E8BA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D96B80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7.3 开工</w:t>
      </w:r>
    </w:p>
    <w:p w14:paraId="382489E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7.3.1 开工准备</w:t>
      </w:r>
    </w:p>
    <w:p w14:paraId="24A66F4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CC0F3C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除专用合同条款另有约定外，合同当事人应按约定完成开工准备工作。</w:t>
      </w:r>
    </w:p>
    <w:p w14:paraId="5E21208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7.3.2 开工通知</w:t>
      </w:r>
    </w:p>
    <w:p w14:paraId="603B888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4F658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B097DD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7.4测量放线</w:t>
      </w:r>
    </w:p>
    <w:p w14:paraId="22823A6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662E41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1250E3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37E23B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施工过程中对施工现场内水准点等测量标志物的保护工作由承包人负责。</w:t>
      </w:r>
    </w:p>
    <w:p w14:paraId="6CA9252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7.5 工期延误</w:t>
      </w:r>
    </w:p>
    <w:p w14:paraId="5FD9AC2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7.5.1 因发包人原因导致工期延误</w:t>
      </w:r>
    </w:p>
    <w:p w14:paraId="52F71DB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在合同履行过程中，因下列情况导致工期延误和（或）费用增加的，由发包人承担由此延误的工期和（或）增加的费用，且发包人应支付承包人合理的利润： </w:t>
      </w:r>
    </w:p>
    <w:p w14:paraId="667BCEC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（1）发包人未能按合同约定提供图纸或所提供图纸不符合合同约定的；</w:t>
      </w:r>
    </w:p>
    <w:p w14:paraId="211D10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（2）发包人未能按合同约定提供施工现场、施工条件、基础资料、许可、批准等开工条件的；</w:t>
      </w:r>
    </w:p>
    <w:p w14:paraId="0261610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（3）发包人提供的测量基准点、基准线和水准点及其书面资料存在错误或疏漏的；</w:t>
      </w:r>
    </w:p>
    <w:p w14:paraId="23FB98C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（4）发包人未能在计划开工日期之日起7天内同意下达开工通知的；</w:t>
      </w:r>
    </w:p>
    <w:p w14:paraId="2968CC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（5）发包人未能按合同约定日期支付工程预付款、进度款或竣工结算款的；</w:t>
      </w:r>
    </w:p>
    <w:p w14:paraId="3D3DE4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（6）监理人未按合同约定发出指示、批准等文件的；</w:t>
      </w:r>
    </w:p>
    <w:p w14:paraId="563C7CA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（7）专用合同条款中约定的其他情形。</w:t>
      </w:r>
    </w:p>
    <w:p w14:paraId="48CA5F7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8D97EE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7.5.2 因承包人原因导致工期延误</w:t>
      </w:r>
    </w:p>
    <w:p w14:paraId="03C3D8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因承包人原因造成工期延误的，可以在专用合同条款中约定逾期竣工违约金的计算方法和逾期竣工违约金的上限。承包人支付逾期竣工违约金后，不免除承包人继续完成工程及修补缺陷的义务。</w:t>
      </w:r>
    </w:p>
    <w:p w14:paraId="2044FE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7.6 不利物质条件</w:t>
      </w:r>
    </w:p>
    <w:p w14:paraId="66B18CA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5585A5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CF8689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7.7 异常恶劣的气候条件</w:t>
      </w:r>
    </w:p>
    <w:p w14:paraId="6FF8AD6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09DE37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77B491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bookmarkStart w:id="55" w:name="_Toc4815"/>
      <w:r>
        <w:rPr>
          <w:rFonts w:hint="eastAsia" w:ascii="宋体" w:hAnsi="宋体" w:eastAsia="宋体" w:cs="宋体"/>
        </w:rPr>
        <w:t>7.8 暂停施工</w:t>
      </w:r>
      <w:bookmarkEnd w:id="55"/>
    </w:p>
    <w:p w14:paraId="3CCB5C9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7.8.1发包人原因引起的暂停施工</w:t>
      </w:r>
    </w:p>
    <w:p w14:paraId="1E7ECD1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因发包人原因引起暂停施工的，监理人经发包人同意后，应及时下达暂停施工指示。情况紧急且监理人未及时下达暂停施工指示的，按照第7.8.4项〔紧急情况下的暂停施工〕执行。</w:t>
      </w:r>
    </w:p>
    <w:p w14:paraId="1D3101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因发包人原因引起的暂停施工，发包人应承担由此增加的费用和（或）延误的工期，并支付承包人合理的利润。</w:t>
      </w:r>
    </w:p>
    <w:p w14:paraId="484F06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7.8.2 承包人原因引起的暂停施工</w:t>
      </w:r>
    </w:p>
    <w:p w14:paraId="1C85CAE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7BCF7E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7.8.3 指示暂停施工</w:t>
      </w:r>
    </w:p>
    <w:p w14:paraId="2AF849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监理人认为有必要时，并经发包人批准后，可向承包人作出暂停施工的指示，承包人应按监理人指示暂停施工。</w:t>
      </w:r>
    </w:p>
    <w:p w14:paraId="153F1B5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7.8.4 紧急情况下的暂停施工</w:t>
      </w:r>
    </w:p>
    <w:p w14:paraId="355C15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89A3FE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7.8.5 暂停施工后的复工</w:t>
      </w:r>
    </w:p>
    <w:p w14:paraId="033DBB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A27F9B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承包人无故拖延和拒绝复工的，承包人承担由此增加的费用和（或）延误的工期；因发包人原因无法按时复工的，按照第7.5.1项〔因发包人原因导致工期延误〕约定办理。</w:t>
      </w:r>
    </w:p>
    <w:p w14:paraId="55B903A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7.8.6 暂停施工持续56天以上</w:t>
      </w:r>
    </w:p>
    <w:p w14:paraId="709DE5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8111B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989BF1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7.8.7 暂停施工期间的工程照管</w:t>
      </w:r>
    </w:p>
    <w:p w14:paraId="1EDCDD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暂停施工期间，承包人应负责妥善照管工程并提供安全保障，由此增加的费用由责任方承担。</w:t>
      </w:r>
    </w:p>
    <w:p w14:paraId="2777B98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7.8.8 暂停施工的措施</w:t>
      </w:r>
    </w:p>
    <w:p w14:paraId="0C5A6D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暂停施工期间，发包人和承包人均应采取必要的措施确保工程质量及安全，防止因暂停施工扩大损失。</w:t>
      </w:r>
    </w:p>
    <w:p w14:paraId="2C43526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7.9提前竣工</w:t>
      </w:r>
    </w:p>
    <w:p w14:paraId="23A4BB5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0B2687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7.9.2 发包人要求承包人提前竣工，或承包人提出提前竣工的建议能够给发包人带来效益的，合同当事人可以在专用合同条款中约定提前竣工的奖励。</w:t>
      </w:r>
    </w:p>
    <w:p w14:paraId="7CC4101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 材料与设备</w:t>
      </w:r>
    </w:p>
    <w:p w14:paraId="23E76DD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8.1发包人供应材料与工程设备</w:t>
      </w:r>
    </w:p>
    <w:p w14:paraId="1BD8718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发包人自行供应材料、工程设备的，应在签订合同时在专用合同条款的附件《发包人供应材料设备一览表》中明确材料、工程设备的品种、规格、型号、数量、单价、质量等级和送达地点。</w:t>
      </w:r>
    </w:p>
    <w:p w14:paraId="10DF7A4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AB531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8.2承包人采购材料与工程设备</w:t>
      </w:r>
    </w:p>
    <w:p w14:paraId="1A6F59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9BBADF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8.3材料与工程设备的接收与拒收</w:t>
      </w:r>
    </w:p>
    <w:p w14:paraId="27566F1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557E3F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发包人提供的材料和工程设备的规格、数量或质量不符合合同约定的，或因发包人原因导致交货日期延误或交货地点变更等情况的，按照第16.1款〔发包人违约〕约定办理。</w:t>
      </w:r>
    </w:p>
    <w:p w14:paraId="2CC450E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5C4218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2EE3BF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8.4材料与工程设备的保管与使用</w:t>
      </w:r>
    </w:p>
    <w:p w14:paraId="1B447DD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8.4.1 发包人供应材料与工程设备的保管与使用</w:t>
      </w:r>
    </w:p>
    <w:p w14:paraId="4FAACF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8D7494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发包人供应的材料和工程设备使用前，由承包人负责检验，检验费用由发包人承担，不合格的不得使用。</w:t>
      </w:r>
    </w:p>
    <w:p w14:paraId="2C04BD1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8.4.2 承包人采购材料与工程设备的保管与使用</w:t>
      </w:r>
    </w:p>
    <w:p w14:paraId="4EF879B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FF4DD2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发包人或监理人发现承包人使用不符合设计或有关标准要求的材料和工程设备时，有权要求承包人进行修复、拆除或重新采购，由此增加的费用和（或）延误的工期，由承包人承担。</w:t>
      </w:r>
    </w:p>
    <w:p w14:paraId="425B013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8.5禁止使用不合格的材料和工程设备</w:t>
      </w:r>
    </w:p>
    <w:p w14:paraId="7228A36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8.5.1 监理人有权拒绝承包人提供的不合格材料或工程设备，并要求承包人立即进行更换。监理人应在更换后再次进行检查和检验，由此增加的费用和（或）延误的工期由承包人承担。</w:t>
      </w:r>
    </w:p>
    <w:p w14:paraId="6814DE6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8.5.2 监理人发现承包人使用了不合格的材料和工程设备，承包人应按照监理人的指示立即改正，并禁止在工程中继续使用不合格的材料和工程设备。</w:t>
      </w:r>
    </w:p>
    <w:p w14:paraId="5B4AAB2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8.5.3 发包人提供的材料或工程设备不符合合同要求的，承包人有权拒绝，并可要求发包人更换，由此增加的费用和（或）延误的工期由发包人承担，并支付承包人合理的利润。</w:t>
      </w:r>
    </w:p>
    <w:p w14:paraId="47C3BA2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8.6 样品</w:t>
      </w:r>
    </w:p>
    <w:p w14:paraId="323B2AE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8.6.1</w:t>
      </w:r>
      <w:r>
        <w:rPr>
          <w:rFonts w:hint="eastAsia" w:ascii="宋体" w:hAnsi="宋体" w:eastAsia="宋体" w:cs="宋体"/>
        </w:rPr>
        <w:tab/>
      </w:r>
      <w:r>
        <w:rPr>
          <w:rFonts w:hint="eastAsia" w:ascii="宋体" w:hAnsi="宋体" w:eastAsia="宋体" w:cs="宋体"/>
        </w:rPr>
        <w:t>样品的报送与封存</w:t>
      </w:r>
    </w:p>
    <w:p w14:paraId="3AFD8D3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需要承包人报送样品的材料或工程设备，样品的种类、名称、规格、数量等要求均应在专用合同条款中约定。样品的报送程序如下：</w:t>
      </w:r>
    </w:p>
    <w:p w14:paraId="34735D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FECF46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EC7F6A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（3）经发包人和监理人审批确认的样品应按约定的方法封样，封存的样品作为检验工程相关部分的标准之一。承包人在施工过程中不得使用与样品不符的材料或工程设备。</w:t>
      </w:r>
    </w:p>
    <w:p w14:paraId="37AF701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CC5113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8.6.2 样品的保管</w:t>
      </w:r>
    </w:p>
    <w:p w14:paraId="034854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经批准的样品应由监理人负责封存于现场，承包人应在现场为保存样品提供适当和固定的场所并保持适当和良好的存储环境条件。</w:t>
      </w:r>
    </w:p>
    <w:p w14:paraId="4ED5A3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8.7材料与工程设备的替代</w:t>
      </w:r>
    </w:p>
    <w:p w14:paraId="3B5EBB7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8.7.1 出现下列情况需要使用替代材料和工程设备的，承包人应按照第8.7.2项约定的程序执行：</w:t>
      </w:r>
    </w:p>
    <w:p w14:paraId="5BAB681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（1）基准日期后生效的法律规定禁止使用的；</w:t>
      </w:r>
    </w:p>
    <w:p w14:paraId="3CBAE20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（2）发包人要求使用替代品的；</w:t>
      </w:r>
    </w:p>
    <w:p w14:paraId="1C1FCC8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（3）因其他原因必须使用替代品的。</w:t>
      </w:r>
    </w:p>
    <w:p w14:paraId="6CDA5B1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8.7.2 承包人应在使用替代材料和工程设备28天前书面通知监理人，并附下列文件：</w:t>
      </w:r>
    </w:p>
    <w:p w14:paraId="2730A5C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（1）被替代的材料和工程设备的名称、数量、规格、型号、品牌、性能、价格及其他相关资料；</w:t>
      </w:r>
    </w:p>
    <w:p w14:paraId="6BA88E1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（2）替代品的名称、数量、规格、型号、品牌、性能、价格及其他相关资料；</w:t>
      </w:r>
    </w:p>
    <w:p w14:paraId="7C1B99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（3）替代品与被替代产品之间的差异以及使用替代品可能对工程产生的影响；</w:t>
      </w:r>
    </w:p>
    <w:p w14:paraId="4073F94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（4）替代品与被替代产品的价格差异；</w:t>
      </w:r>
    </w:p>
    <w:p w14:paraId="77C09DC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（5）使用替代品的理由和原因说明；</w:t>
      </w:r>
    </w:p>
    <w:p w14:paraId="0235B4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（6）监理人要求的其他文件。</w:t>
      </w:r>
    </w:p>
    <w:p w14:paraId="0F214EF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监理人应在收到通知后14天内向承包人发出经发包人签认的书面指示；监理人逾期发出书面指示的，视为发包人和监理人同意使用替代品。</w:t>
      </w:r>
    </w:p>
    <w:p w14:paraId="6320B76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20A416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8.8施工设备和临时设施</w:t>
      </w:r>
    </w:p>
    <w:p w14:paraId="369A19D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8.8.1 承包人提供的施工设备和临时设施</w:t>
      </w:r>
    </w:p>
    <w:p w14:paraId="4DE0E2D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承包人应按合同进度计划的要求，及时配置施工设备和修建临时设施。进入施工场地的承包人设备需经监理人核查后才能投入使用。承包人更换合同约定的承包人设备的，应报监理人批准。</w:t>
      </w:r>
    </w:p>
    <w:p w14:paraId="0939462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除专用合同条款另有约定外，承包人应自行承担修建临时设施的费用，需要临时占地的，应由发包人办理申请手续并承担相应费用。</w:t>
      </w:r>
    </w:p>
    <w:p w14:paraId="5457106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8.8.2发包人提供的施工设备和临时设施</w:t>
      </w:r>
    </w:p>
    <w:p w14:paraId="1A7017E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发包人提供的施工设备或临时设施在专用合同条款中约定。</w:t>
      </w:r>
    </w:p>
    <w:p w14:paraId="291F396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8.8.3要求承包人增加或更换施工设备</w:t>
      </w:r>
    </w:p>
    <w:p w14:paraId="2FE451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承包人使用的施工设备不能满足合同进度计划和（或）质量要求时，监理人有权要求承包人增加或更换施工设备，承包人应及时增加或更换，由此增加的费用和（或）延误的工期由承包人承担。</w:t>
      </w:r>
    </w:p>
    <w:p w14:paraId="76E5575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8.9材料与设备专用要求</w:t>
      </w:r>
    </w:p>
    <w:p w14:paraId="316B55E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2C09D36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9. 试验与检验</w:t>
      </w:r>
    </w:p>
    <w:p w14:paraId="7FA415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9.1试验设备与试验人员</w:t>
      </w:r>
    </w:p>
    <w:p w14:paraId="2119750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0B7D1D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9.1.2 承包人应按专用合同条款的约定提供试验设备、取样装置、试验场所和试验条件，并向监理人提交相应进场计划表。</w:t>
      </w:r>
    </w:p>
    <w:p w14:paraId="7EE7F0C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承包人配置的试验设备要符合相应试验规程的要求并经过具有资质的检测单位检测，且在正式使用该试验设备前，需要经过监理人与承包人共同校定。</w:t>
      </w:r>
    </w:p>
    <w:p w14:paraId="28846F8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9.1.3 承包人应向监理人提交试验人员的名单及其岗位、资格等证明资料，试验人员必须能够熟练进行相应的检测试验，承包人对试验人员的试验程序和试验结果的正确性负责。</w:t>
      </w:r>
    </w:p>
    <w:p w14:paraId="5E88A2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9.2取样</w:t>
      </w:r>
    </w:p>
    <w:p w14:paraId="6C2267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试验属于自检性质的，承包人可以单独取样。试验属于监理人抽检性质的，可由监理人取样，也可由承包人的试验人员在监理人的监督下取样。</w:t>
      </w:r>
    </w:p>
    <w:p w14:paraId="160A077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9.3材料、工程设备和工程的试验和检验</w:t>
      </w:r>
    </w:p>
    <w:p w14:paraId="2E5DA5B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9609B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1952D6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E29D2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9.4现场工艺试验</w:t>
      </w:r>
    </w:p>
    <w:p w14:paraId="4CF286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承包人应按合同约定或监理人指示进行现场工艺试验。对大型的现场工艺试验，监理人认为必要时，承包人应根据监理人提出的工艺试验要求，编制工艺试验措施计划，报送监理人审查</w:t>
      </w:r>
      <w:r>
        <w:rPr>
          <w:rFonts w:hint="eastAsia" w:ascii="宋体" w:hAnsi="宋体" w:eastAsia="宋体" w:cs="宋体"/>
        </w:rPr>
        <w:t>。</w:t>
      </w:r>
    </w:p>
    <w:p w14:paraId="3995326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 变更</w:t>
      </w:r>
    </w:p>
    <w:p w14:paraId="6FAD948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10.1变更的范围</w:t>
      </w:r>
    </w:p>
    <w:p w14:paraId="58B4632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除专用合同条款另有约定外，合同履行过程中发生以下情形的，应按照本条约定进行变更：</w:t>
      </w:r>
    </w:p>
    <w:p w14:paraId="45D26FF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（1）增加或减少合同中任何工作，或追加额外的工作；</w:t>
      </w:r>
    </w:p>
    <w:p w14:paraId="109F278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（2）取消合同中任何工作，但转由他人实施的工作除外；</w:t>
      </w:r>
    </w:p>
    <w:p w14:paraId="0C73415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（3）改变合同中任何工作的质量标准或其他特性；</w:t>
      </w:r>
    </w:p>
    <w:p w14:paraId="5A20C58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（4）改变工程的基线、标高、位置和尺寸；</w:t>
      </w:r>
    </w:p>
    <w:p w14:paraId="12D54B2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（5）改变工程的时间安排或实施顺序。</w:t>
      </w:r>
    </w:p>
    <w:p w14:paraId="088DA3C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10.2变更权</w:t>
      </w:r>
    </w:p>
    <w:p w14:paraId="386ADF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916186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涉及设计变更的，应由设计人提供变更后的图纸和说明。如变更超过原设计标准或批准的建设规模时，发包人应及时办理规划、设计变更等审批手续。</w:t>
      </w:r>
    </w:p>
    <w:p w14:paraId="435E320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10.3变更程序</w:t>
      </w:r>
    </w:p>
    <w:p w14:paraId="1A11CB3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10.3.1 发包人提出变更</w:t>
      </w:r>
    </w:p>
    <w:p w14:paraId="1E4094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发包人提出变更的，应通过监理人向承包人发出变更指示，变更指示应说明计划变更的工程范围和变更的内容。</w:t>
      </w:r>
    </w:p>
    <w:p w14:paraId="18F9957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10.3.2 监理人提出变更建议</w:t>
      </w:r>
    </w:p>
    <w:p w14:paraId="188861E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56D3E6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10.3.3 变更执行</w:t>
      </w:r>
    </w:p>
    <w:p w14:paraId="5266DCD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C4E0EA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10.4变更估价</w:t>
      </w:r>
    </w:p>
    <w:p w14:paraId="77F7077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10.4.1 变更估价原则</w:t>
      </w:r>
    </w:p>
    <w:p w14:paraId="72F630E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除专用合同条款另有约定外，变更估价按照本款约定处理：</w:t>
      </w:r>
    </w:p>
    <w:p w14:paraId="6E1F0F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（1）已标价工程量清单或预算书有相同项目的，按照相同项目单价认定；</w:t>
      </w:r>
    </w:p>
    <w:p w14:paraId="6D92CBA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6"/>
          <w:sz w:val="21"/>
        </w:rPr>
        <w:t>已标价工程量清单或预算书中无相同项目，但有类似项目的，参照类似项目的单价认定</w:t>
      </w:r>
      <w:r>
        <w:rPr>
          <w:rFonts w:hint="eastAsia" w:ascii="宋体" w:hAnsi="宋体" w:eastAsia="宋体" w:cs="宋体"/>
        </w:rPr>
        <w:t>；</w:t>
      </w:r>
    </w:p>
    <w:p w14:paraId="2932116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6"/>
          <w:sz w:val="21"/>
        </w:rPr>
        <w:t>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r>
        <w:rPr>
          <w:rFonts w:hint="eastAsia" w:ascii="宋体" w:hAnsi="宋体" w:eastAsia="宋体" w:cs="宋体"/>
        </w:rPr>
        <w:t>。</w:t>
      </w:r>
    </w:p>
    <w:p w14:paraId="72B509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10.4.2 变更估价程序</w:t>
      </w:r>
    </w:p>
    <w:p w14:paraId="3D24510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FBBBAD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因变更引起的价格调整应计入最近一期的进度款中支付。</w:t>
      </w:r>
    </w:p>
    <w:p w14:paraId="69B4F16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10.5承包人的合理化建议</w:t>
      </w:r>
    </w:p>
    <w:p w14:paraId="21DC6E4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承包人提出合理化建议的，应向监理人提交合理化建议说明，说明建议的内容和理由，以及实施该建议对合同价格和工期的影响。</w:t>
      </w:r>
    </w:p>
    <w:p w14:paraId="2E5E414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B46F3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合理化建议降低了合同价格或者提高了工程经济效益的，发包人可对承包人给予奖励，奖励的方法和金额在专用合同条款中约定。</w:t>
      </w:r>
    </w:p>
    <w:p w14:paraId="6800FA1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 xml:space="preserve">10.6变更引起的工期调整   </w:t>
      </w:r>
    </w:p>
    <w:p w14:paraId="73A516B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因变更引起工期变化的，合同当事人均可要求调整合同工期，由合同当事人按照第4.4款〔商定或确定〕并参考工程所在地的工期定额标准确定增减工期天数。</w:t>
      </w:r>
    </w:p>
    <w:p w14:paraId="3B939FF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10.7暂估价</w:t>
      </w:r>
    </w:p>
    <w:p w14:paraId="27F6E17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暂估价专业分包工程、服务、材料和工程设备的明细由合同当事人在专用合同条款中约定。</w:t>
      </w:r>
    </w:p>
    <w:p w14:paraId="3CA2B4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10.7.1 依法必须招标的暂估价项目</w:t>
      </w:r>
    </w:p>
    <w:p w14:paraId="7B7EC1B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对于依法必须招标的暂估价项目，采取以下第1种方式确定。合同当事人也可以在专用合同条款中选择其他招标方式。</w:t>
      </w:r>
    </w:p>
    <w:p w14:paraId="161091A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第1种方式：对于依法必须招标的暂估价项目，由承包人招标，对该暂估价项目的确认和批准按照以下约定执行：</w:t>
      </w:r>
    </w:p>
    <w:p w14:paraId="2AFA02A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CDD8FB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778927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1E0C1F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AA8C55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10.7.2不属于依法必须招标的暂估价项目</w:t>
      </w:r>
    </w:p>
    <w:p w14:paraId="6D2CEFB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除专用合同条款另有约定外，对于不属于依法必须招标的暂估价项目，采取以下第1种方式确定： </w:t>
      </w:r>
    </w:p>
    <w:p w14:paraId="753A6A2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第1种方式：对于不属于依法必须招标的暂估价项目，按本项约定确认和批准：</w:t>
      </w:r>
    </w:p>
    <w:p w14:paraId="52CEB06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5AF2D3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（2）发包人认为承包人确定的供应商、分包人无法满足工程质量或合同要求的，发包人可以要求承包人重新确定暂估价项目的供应商、分包人;</w:t>
      </w:r>
    </w:p>
    <w:p w14:paraId="20B6E1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（3）承包人应当在签订暂估价合同后7天内，将暂估价合同副本报送发包人留存。</w:t>
      </w:r>
    </w:p>
    <w:p w14:paraId="7755C4E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第2种方式：承包人按照第10.7.1项〔依法必须招标的暂估价项目〕约定的第1种方式确定暂估价项目。</w:t>
      </w:r>
    </w:p>
    <w:p w14:paraId="20CEC70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第3种方式：承包人直接实施的暂估价项目</w:t>
      </w:r>
    </w:p>
    <w:p w14:paraId="20E0A0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承包人具备实施暂估价项目的资格和条件的，经发包人和承包人协商一致后，可由承包人自行实施暂估价项目，合同当事人可以在专用合同条款约定具体事项。</w:t>
      </w:r>
    </w:p>
    <w:p w14:paraId="0012374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F073D1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10.8暂列金额</w:t>
      </w:r>
    </w:p>
    <w:p w14:paraId="46FEB8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暂列金额应按照发包人的要求使用，发包人的要求应通过监理人发出。合同当事人可以在专用合同条款中协商确定有关事项。</w:t>
      </w:r>
    </w:p>
    <w:p w14:paraId="1D0A683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 xml:space="preserve">10.9计日工 </w:t>
      </w:r>
    </w:p>
    <w:p w14:paraId="515A5FA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76F29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采用计日工计价的任何一项工作，承包人应在该项工作实施过程中，每天提交以下报表和有关凭证报送监理人审查：</w:t>
      </w:r>
    </w:p>
    <w:p w14:paraId="51275EC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（1）工作名称、内容和数量；</w:t>
      </w:r>
    </w:p>
    <w:p w14:paraId="43A2A9A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（2）投入该工作的所有人员的姓名、专业、工种、级别和耗用工时；</w:t>
      </w:r>
    </w:p>
    <w:p w14:paraId="07CBF4B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（3）投入该工作的材料类别和数量；</w:t>
      </w:r>
    </w:p>
    <w:p w14:paraId="2D7999B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（4）投入该工作的施工设备型号、台数和耗用台时；</w:t>
      </w:r>
    </w:p>
    <w:p w14:paraId="761A8AF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（5）其他有关资料和凭证。</w:t>
      </w:r>
    </w:p>
    <w:p w14:paraId="635943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 计日工由承包人汇总后，列入最近一期进度付款申请单，由监理人审查并经发包人批准后列入进度付款。</w:t>
      </w:r>
    </w:p>
    <w:p w14:paraId="5244241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 价格调整</w:t>
      </w:r>
    </w:p>
    <w:p w14:paraId="4780505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11.1市场价格波动引起的调整</w:t>
      </w:r>
    </w:p>
    <w:p w14:paraId="0FB5B1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除专用合同条款另有约定外，市场价格波动超过合同当事人约定的范围，合同价格应当调整。合同当事人可以在专用合同条款中约定选择以下一种方式对合同价格进行调整：</w:t>
      </w:r>
    </w:p>
    <w:p w14:paraId="671CA82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第1种方式：采用价格指数进行价格调整。</w:t>
      </w:r>
    </w:p>
    <w:p w14:paraId="7DA005D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（1）价格调整公式</w:t>
      </w:r>
    </w:p>
    <w:p w14:paraId="094FE3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因人工、材料和设备等价格波动影响合同价格时，根据专用合同条款中约定的数据，按以下公式计算差额并调整合同价格：</w:t>
      </w:r>
    </w:p>
    <w:p w14:paraId="123A336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jc w:val="center"/>
        <w:textAlignment w:val="auto"/>
        <w:rPr>
          <w:rFonts w:hint="eastAsia" w:ascii="宋体" w:hAnsi="宋体" w:eastAsia="宋体" w:cs="宋体"/>
        </w:rPr>
      </w:pPr>
      <w:r>
        <w:rPr>
          <w:rFonts w:hint="eastAsia" w:ascii="宋体" w:hAnsi="宋体" w:eastAsia="宋体" w:cs="宋体"/>
        </w:rPr>
        <w:object>
          <v:shape id="_x0000_i1025" o:spt="75" type="#_x0000_t75" style="height:43.9pt;width:359.85pt;" o:ole="t" filled="f" stroked="f" coordsize="21600,21600">
            <v:path/>
            <v:fill on="f" focussize="0,0"/>
            <v:stroke on="f"/>
            <v:imagedata r:id="rId9" o:title=""/>
            <o:lock v:ext="edit" grouping="f" rotation="f" text="f" aspectratio="t"/>
            <w10:wrap type="none"/>
            <w10:anchorlock/>
          </v:shape>
          <o:OLEObject Type="Embed" ProgID="Equation.KSEE3" ShapeID="_x0000_i1025" DrawAspect="Content" ObjectID="_1468075725" r:id="rId8">
            <o:LockedField>false</o:LockedField>
          </o:OLEObject>
        </w:object>
      </w:r>
    </w:p>
    <w:p w14:paraId="44CD16D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公式中：ΔP——需调整的价格差额；</w:t>
      </w:r>
    </w:p>
    <w:p w14:paraId="7E33215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object>
          <v:shape id="_x0000_i1026" o:spt="75" type="#_x0000_t75" style="height:17.95pt;width:17.95pt;" o:ole="t" filled="f" stroked="f" coordsize="21600,21600">
            <v:path/>
            <v:fill on="f" focussize="0,0"/>
            <v:stroke on="f"/>
            <v:imagedata r:id="rId11" o:title=""/>
            <o:lock v:ext="edit" grouping="f" rotation="f" text="f" aspectratio="t"/>
            <w10:wrap type="none"/>
            <w10:anchorlock/>
          </v:shape>
          <o:OLEObject Type="Embed" ProgID="Equation.KSEE3" ShapeID="_x0000_i1026" DrawAspect="Content" ObjectID="_1468075726" r:id="rId10">
            <o:LockedField>false</o:LockedField>
          </o:OLEObject>
        </w:object>
      </w:r>
      <w:r>
        <w:rPr>
          <w:rFonts w:hint="eastAsia" w:ascii="宋体" w:hAnsi="宋体" w:eastAsia="宋体" w:cs="宋体"/>
        </w:rPr>
        <w:t>——约定的付款证书中承包人应得到的已完成工程量的金额。此项金额应不包括价格调整、不计质量保证金的扣留和支付、预付款的支付和扣回。约定的变更及其他金额已按现行价格计价的，也不计在内；</w:t>
      </w:r>
    </w:p>
    <w:p w14:paraId="3237855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A——定值权重（即不调部分的权重）；</w:t>
      </w:r>
    </w:p>
    <w:p w14:paraId="1A72604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object>
          <v:shape id="_x0000_i1027" o:spt="75" type="#_x0000_t75" style="height:21.05pt;width:101pt;" o:ole="t" filled="f" stroked="f" coordsize="21600,21600">
            <v:path/>
            <v:fill on="f" focussize="0,0"/>
            <v:stroke on="f"/>
            <v:imagedata r:id="rId13" o:title=""/>
            <o:lock v:ext="edit" grouping="f" rotation="f" text="f" aspectratio="t"/>
            <w10:wrap type="none"/>
            <w10:anchorlock/>
          </v:shape>
          <o:OLEObject Type="Embed" ProgID="Equation.KSEE3" ShapeID="_x0000_i1027" DrawAspect="Content" ObjectID="_1468075727" r:id="rId12">
            <o:LockedField>false</o:LockedField>
          </o:OLEObject>
        </w:object>
      </w:r>
      <w:r>
        <w:rPr>
          <w:rFonts w:hint="eastAsia" w:ascii="宋体" w:hAnsi="宋体" w:eastAsia="宋体" w:cs="宋体"/>
        </w:rPr>
        <w:t>——各可调因子的变值权重（即可调部分的权重），为各可调因子在签约合同价中所占的比例；</w:t>
      </w:r>
    </w:p>
    <w:p w14:paraId="0EF7AE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object>
          <v:shape id="_x0000_i1028" o:spt="75" type="#_x0000_t75" style="height:20.6pt;width:102.05pt;" o:ole="t" filled="f" stroked="f" coordsize="21600,21600">
            <v:path/>
            <v:fill on="f" focussize="0,0"/>
            <v:stroke on="f"/>
            <v:imagedata r:id="rId15" o:title=""/>
            <o:lock v:ext="edit" grouping="f" rotation="f" text="f" aspectratio="t"/>
            <w10:wrap type="none"/>
            <w10:anchorlock/>
          </v:shape>
          <o:OLEObject Type="Embed" ProgID="Equation.KSEE3" ShapeID="_x0000_i1028" DrawAspect="Content" ObjectID="_1468075728" r:id="rId14">
            <o:LockedField>false</o:LockedField>
          </o:OLEObject>
        </w:object>
      </w:r>
      <w:r>
        <w:rPr>
          <w:rFonts w:hint="eastAsia" w:ascii="宋体" w:hAnsi="宋体" w:eastAsia="宋体" w:cs="宋体"/>
        </w:rPr>
        <w:t>——各可调因子的现行价格指数，指约定的付款证书相关周期最后一天的前42天的各可调因子的价格指数；</w:t>
      </w:r>
    </w:p>
    <w:p w14:paraId="5828455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object>
          <v:shape id="_x0000_i1029" o:spt="75" type="#_x0000_t75" style="height:20.2pt;width:108pt;" o:ole="t" filled="f" stroked="f" coordsize="21600,21600">
            <v:path/>
            <v:fill on="f" focussize="0,0"/>
            <v:stroke on="f"/>
            <v:imagedata r:id="rId17" o:title=""/>
            <o:lock v:ext="edit" grouping="f" rotation="f" text="f" aspectratio="t"/>
            <w10:wrap type="none"/>
            <w10:anchorlock/>
          </v:shape>
          <o:OLEObject Type="Embed" ProgID="Equation.KSEE3" ShapeID="_x0000_i1029" DrawAspect="Content" ObjectID="_1468075729" r:id="rId16">
            <o:LockedField>false</o:LockedField>
          </o:OLEObject>
        </w:object>
      </w:r>
      <w:r>
        <w:rPr>
          <w:rFonts w:hint="eastAsia" w:ascii="宋体" w:hAnsi="宋体" w:eastAsia="宋体" w:cs="宋体"/>
        </w:rPr>
        <w:t>——各可调因子的基本价格指数，指基准日期的各可调因子的价格指数。</w:t>
      </w:r>
    </w:p>
    <w:p w14:paraId="3898BDB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55685C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（2）暂时确定调整差额</w:t>
      </w:r>
    </w:p>
    <w:p w14:paraId="4D41F44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在计算调整差额时无现行价格指数的，合同当事人同意暂用前次价格指数计算。实际价格指数有调整的，合同当事人进行相应调整。</w:t>
      </w:r>
    </w:p>
    <w:p w14:paraId="26A896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（3）权重的调整</w:t>
      </w:r>
    </w:p>
    <w:p w14:paraId="457AB03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因变更导致合同约定的权重不合理时，按照第4.4款〔商定或确定〕执行。</w:t>
      </w:r>
    </w:p>
    <w:p w14:paraId="440A0DE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（4）因承包人原因工期延误后的价格调整</w:t>
      </w:r>
    </w:p>
    <w:p w14:paraId="2617A72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因承包人原因未按期竣工的，对合同约定的竣工日期后继续施工的工程，在使用价格调整公式时，应采用计划竣工日期与实际竣工日期的两个价格指数中较低的一个作为现行价格指数。</w:t>
      </w:r>
    </w:p>
    <w:p w14:paraId="1928DE8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第2种方式：采用造价信息进行价格调整。</w:t>
      </w:r>
    </w:p>
    <w:p w14:paraId="69A55F6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DF6548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9BED5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（2）材料、工程设备价格变化的价款调整按照发包人提供的基准价格，按以下风险范围规定执行:</w:t>
      </w:r>
    </w:p>
    <w:p w14:paraId="26D9DF1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6AD4B6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E3A410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③</w:t>
      </w:r>
      <w:r>
        <w:rPr>
          <w:rFonts w:hint="eastAsia" w:ascii="宋体" w:hAnsi="宋体" w:eastAsia="宋体" w:cs="宋体"/>
          <w:spacing w:val="-2"/>
          <w:sz w:val="21"/>
        </w:rPr>
        <w:t>承包人在已标价工程量清单或预算书中载明材料单价等于基准价格的：除专用合同条款另有约定外，合同履行期间材料单价涨跌幅以基准价格为基础超过±5%时，其超过部分据实调整</w:t>
      </w:r>
      <w:r>
        <w:rPr>
          <w:rFonts w:hint="eastAsia" w:ascii="宋体" w:hAnsi="宋体" w:eastAsia="宋体" w:cs="宋体"/>
        </w:rPr>
        <w:t>。</w:t>
      </w:r>
    </w:p>
    <w:p w14:paraId="52BB90D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A0A726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前述基准价格是指由发包人在招标文件或专用合同条款中给定的材料、工程设备的价格，该价格原则上应当按照省级或行业建设主管部门或其授权的工程造价管理机构发布的信息价编制</w:t>
      </w:r>
      <w:r>
        <w:rPr>
          <w:rFonts w:hint="eastAsia" w:ascii="宋体" w:hAnsi="宋体" w:eastAsia="宋体" w:cs="宋体"/>
        </w:rPr>
        <w:t>。</w:t>
      </w:r>
    </w:p>
    <w:p w14:paraId="6CBAE08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（3）施工机械台班单价或施工机械使用费发生变化超过省级或行业建设主管部门或其授权的工程造价管理机构规定的范围时，按规定调整合同价格。</w:t>
      </w:r>
    </w:p>
    <w:p w14:paraId="0D14DC3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第3种方式：专用合同条款约定的其他方式。</w:t>
      </w:r>
    </w:p>
    <w:p w14:paraId="4D2C9A9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11.2法律变化引起的调整</w:t>
      </w:r>
    </w:p>
    <w:p w14:paraId="228043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D21751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因法律变化引起的合同价格和工期调整，合同当事人无法达成一致的，由总监理工程师按第4.4款〔商定或确定〕的约定处理。</w:t>
      </w:r>
    </w:p>
    <w:p w14:paraId="0BEC829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因承包人原因造成工期延误，在工期延误期间出现法律变化的，由此增加的费用和（或）延误的工期由承包人承担。</w:t>
      </w:r>
    </w:p>
    <w:p w14:paraId="3DACE2E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 合同价格、计量与支付</w:t>
      </w:r>
    </w:p>
    <w:p w14:paraId="38CD4DB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12.1 合同价格形式</w:t>
      </w:r>
    </w:p>
    <w:p w14:paraId="0358A9C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发包人和承包人应在合同协议书中选择下列一种合同价格形式： </w:t>
      </w:r>
    </w:p>
    <w:p w14:paraId="61B050C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1.单价合同</w:t>
      </w:r>
    </w:p>
    <w:p w14:paraId="6F448AC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36562A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2.总价合同</w:t>
      </w:r>
    </w:p>
    <w:p w14:paraId="704B94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E9F39D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3.其它价格形式</w:t>
      </w:r>
    </w:p>
    <w:p w14:paraId="3FDA97A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合同当事人可在专用合同条款中约定其他合同价格形式。</w:t>
      </w:r>
    </w:p>
    <w:p w14:paraId="79E7A66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12.2预付款</w:t>
      </w:r>
    </w:p>
    <w:p w14:paraId="7694AB4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12.2.1预付款的支付</w:t>
      </w:r>
    </w:p>
    <w:p w14:paraId="4412A6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预付款的支付按照专用合同条款约定执行，但至迟应在开工通知载明的开工日期7天前支付。预付款应当用于材料、工程设备、施工设备的采购及修建临时工程、组织施工队伍进场等。</w:t>
      </w:r>
    </w:p>
    <w:p w14:paraId="1B8864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除专用合同条款另有约定外，预付款在进度付款中同比例扣回。在颁发工程接收证书前，提前解除合同的，尚未扣完的预付款应与合同价款一并结算。</w:t>
      </w:r>
    </w:p>
    <w:p w14:paraId="77448A6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发包人逾期支付预付款超过7天的，承包人有权向发包人发出要求预付的催告通知，发包人收到通知后7天内仍未支付的，承包人有权暂停施工，并按第16.1.1项〔发包人违约的情形〕执行。</w:t>
      </w:r>
    </w:p>
    <w:p w14:paraId="42BE5F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12.2.2 预付款担保</w:t>
      </w:r>
    </w:p>
    <w:p w14:paraId="537322C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r>
        <w:rPr>
          <w:rFonts w:hint="eastAsia" w:ascii="宋体" w:hAnsi="宋体" w:eastAsia="宋体" w:cs="宋体"/>
        </w:rPr>
        <w:t>。</w:t>
      </w:r>
    </w:p>
    <w:p w14:paraId="6E8F84C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发包人在工程款中逐期扣回预付款后，预付款担保额度应相应减少，但剩余的预付款担保金额不得低于未被扣回的预付款金额。</w:t>
      </w:r>
    </w:p>
    <w:p w14:paraId="266DB7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12.3计量</w:t>
      </w:r>
    </w:p>
    <w:p w14:paraId="123A2EC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12.3.1 计量原则</w:t>
      </w:r>
    </w:p>
    <w:p w14:paraId="754A93A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工程量计量按照合同约定的工程量计算规则、图纸及变更指示等进行计量。工程量计算规则应以相关的国家标准、行业标准等为依据，由合同当事人在专用合同条款中约定。</w:t>
      </w:r>
    </w:p>
    <w:p w14:paraId="692D13B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12.3.2 计量周期</w:t>
      </w:r>
    </w:p>
    <w:p w14:paraId="45B5C0E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除专用合同条款另有约定外，工程量的计量按月进行。</w:t>
      </w:r>
    </w:p>
    <w:p w14:paraId="7DDFEA2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12.3.3 单价合同的计量</w:t>
      </w:r>
    </w:p>
    <w:p w14:paraId="50347E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除专用合同条款另有约定外，单价合同的计量按照本项约定执行：</w:t>
      </w:r>
    </w:p>
    <w:p w14:paraId="067BC67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（1）承包人应于每月25日向监理人报送上月20日至当月19日已完成的工程量报告，并附具进度付款申请单、已完成工程量报表和有关资料。</w:t>
      </w:r>
    </w:p>
    <w:p w14:paraId="7DD168F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A75E7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（3）监理人未在收到承包人提交的工程量报表后的7天内完成审核的，承包人报送的工程量报告中的工程量视为承包人实际完成的工程量，据此计算工程价款。</w:t>
      </w:r>
    </w:p>
    <w:p w14:paraId="1E4F584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12.3.4 总价合同的计量</w:t>
      </w:r>
    </w:p>
    <w:p w14:paraId="3185FDD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除专用合同条款另有约定外，按月计量支付的总价合同，按照本项约定执行：</w:t>
      </w:r>
    </w:p>
    <w:p w14:paraId="079D108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（1）承包人应于每月25日向监理人报送上月20日至当月19日已完成的工程量报告，并附具进度付款申请单、已完成工程量报表和有关资料。</w:t>
      </w:r>
    </w:p>
    <w:p w14:paraId="32D1C12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56C8B3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（3）监理人未在收到承包人提交的工程量报表后的7天内完成复核的，承包人提交的工程量报告中的工程量视为承包人实际完成的工程量。</w:t>
      </w:r>
    </w:p>
    <w:p w14:paraId="6C17471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12.3.5 总价合同采用支付分解表计量支付的，可以按照第12.3.4项〔总价合同的计量〕约定进行计量，但合同价款按照支付分解表进行支付。</w:t>
      </w:r>
    </w:p>
    <w:p w14:paraId="3E13F7D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12.3.6 其他价格形式合同的计量</w:t>
      </w:r>
    </w:p>
    <w:p w14:paraId="25F6E16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合同当事人可在专用合同条款中约定其他价格形式合同的计量方式和程序。</w:t>
      </w:r>
    </w:p>
    <w:p w14:paraId="2D6A528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12.4工程进度款支付</w:t>
      </w:r>
    </w:p>
    <w:p w14:paraId="6E4E336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bookmarkStart w:id="56" w:name="_Toc26251"/>
      <w:r>
        <w:rPr>
          <w:rFonts w:hint="eastAsia" w:ascii="宋体" w:hAnsi="宋体" w:eastAsia="宋体" w:cs="宋体"/>
        </w:rPr>
        <w:t>12.4.1 付款周期</w:t>
      </w:r>
      <w:bookmarkEnd w:id="56"/>
    </w:p>
    <w:p w14:paraId="5CEA518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除专用合同条款另有约定外，付款周期应按照第12.3.2项〔计量周期〕的约定与计量周期保持一致。</w:t>
      </w:r>
    </w:p>
    <w:p w14:paraId="20AACFC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12.4.2 进度付款申请单的编制</w:t>
      </w:r>
    </w:p>
    <w:p w14:paraId="04CA928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除专用合同条款另有约定外，进度付款申请单应包括下列内容：</w:t>
      </w:r>
    </w:p>
    <w:p w14:paraId="7501BE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（1）截至本次付款周期已完成工作对应的金额；</w:t>
      </w:r>
    </w:p>
    <w:p w14:paraId="3D0EEEB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（2）根据第10条〔变更〕应增加和扣减的变更金额；</w:t>
      </w:r>
    </w:p>
    <w:p w14:paraId="730148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（3）根据第12.2款〔预付款〕约定应支付的预付款和扣减的返还预付款；</w:t>
      </w:r>
    </w:p>
    <w:p w14:paraId="00D5699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（4）根据第15.3款〔质量保证金〕约定应扣减的质量保证金；</w:t>
      </w:r>
    </w:p>
    <w:p w14:paraId="6DB205C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（5）根据第19条〔索赔〕应增加和扣减的索赔金额；</w:t>
      </w:r>
    </w:p>
    <w:p w14:paraId="28743EF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w:t>
      </w:r>
      <w:r>
        <w:rPr>
          <w:rFonts w:hint="eastAsia" w:ascii="宋体" w:hAnsi="宋体" w:eastAsia="宋体" w:cs="宋体"/>
          <w:spacing w:val="-4"/>
          <w:sz w:val="21"/>
        </w:rPr>
        <w:t>对已签发的进度款支付证书中出现错误的修正，应在本次进度付款中支付或扣除的金额</w:t>
      </w:r>
      <w:r>
        <w:rPr>
          <w:rFonts w:hint="eastAsia" w:ascii="宋体" w:hAnsi="宋体" w:eastAsia="宋体" w:cs="宋体"/>
        </w:rPr>
        <w:t>；</w:t>
      </w:r>
    </w:p>
    <w:p w14:paraId="347AB58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（7）根据合同约定应增加和扣减的其他金额。</w:t>
      </w:r>
    </w:p>
    <w:p w14:paraId="623A23C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bookmarkStart w:id="57" w:name="_Toc17473"/>
      <w:r>
        <w:rPr>
          <w:rFonts w:hint="eastAsia" w:ascii="宋体" w:hAnsi="宋体" w:eastAsia="宋体" w:cs="宋体"/>
        </w:rPr>
        <w:t>12.4.3 进度付款申请单的提交</w:t>
      </w:r>
      <w:bookmarkEnd w:id="57"/>
    </w:p>
    <w:p w14:paraId="4287E84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（1）单价合同进度付款申请单的提交</w:t>
      </w:r>
    </w:p>
    <w:p w14:paraId="21086E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620E5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（2）总价合同进度付款申请单的提交</w:t>
      </w:r>
    </w:p>
    <w:p w14:paraId="545C020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总价合同按月计量支付的，承包人按照第12.3.4项〔总价合同的计量〕约定的时间按月向监理人提交进度付款申请单，并附上已完成工程量报表和有关资料。</w:t>
      </w:r>
    </w:p>
    <w:p w14:paraId="5E0B0D8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总价合同按支付分解表支付的，承包人应按照第12.4.6项〔支付分解表〕及第12.4.2项〔进度付款申请单的编制〕的约定向监理人提交进度付款申请单。</w:t>
      </w:r>
    </w:p>
    <w:p w14:paraId="31B1B49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（3）其他价格形式合同的进度付款申请单的提交</w:t>
      </w:r>
    </w:p>
    <w:p w14:paraId="05267AB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396" w:firstLineChars="200"/>
        <w:textAlignment w:val="auto"/>
        <w:rPr>
          <w:rFonts w:hint="eastAsia" w:ascii="宋体" w:hAnsi="宋体" w:eastAsia="宋体" w:cs="宋体"/>
        </w:rPr>
      </w:pPr>
      <w:r>
        <w:rPr>
          <w:rFonts w:hint="eastAsia" w:ascii="宋体" w:hAnsi="宋体" w:eastAsia="宋体" w:cs="宋体"/>
          <w:spacing w:val="-6"/>
          <w:sz w:val="21"/>
        </w:rPr>
        <w:t>合同当事人可在专用合同条款中约定其他价格形式合同的进度付款申请单的编制和提交程序</w:t>
      </w:r>
      <w:r>
        <w:rPr>
          <w:rFonts w:hint="eastAsia" w:ascii="宋体" w:hAnsi="宋体" w:eastAsia="宋体" w:cs="宋体"/>
        </w:rPr>
        <w:t>。</w:t>
      </w:r>
    </w:p>
    <w:p w14:paraId="36F9D09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12.4.4 进度款审核和支付</w:t>
      </w:r>
    </w:p>
    <w:p w14:paraId="10AE4C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F63717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84394A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（2）除专用合同条款另有约定外，发包人应在进度款支付证书或临时进度款支付证书签发后14天内完成支付，发包人逾期支付进度款的，应按照中国人民银行发布的同期同类贷款基准利率支付违约金。</w:t>
      </w:r>
    </w:p>
    <w:p w14:paraId="73C5867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（3）发包人签发进度款支付证书或临时进度款支付证书，不表明发包人已同意、批准或接受了承包人完成的相应部分的工作。</w:t>
      </w:r>
    </w:p>
    <w:p w14:paraId="674C29A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12.4.5 进度付款的修正</w:t>
      </w:r>
    </w:p>
    <w:p w14:paraId="6918A88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在对已签发的进度款支付证书进行阶段汇总和复核中发现错误、遗漏或重复的，发包人和承包人均有权提出修正申请。经发包人和承包人同意的修正，应在下期进度付款中支付或扣除。</w:t>
      </w:r>
    </w:p>
    <w:p w14:paraId="081D34C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12.4.6 支付分解表</w:t>
      </w:r>
    </w:p>
    <w:p w14:paraId="68D13A7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1.支付分解表的编制要求</w:t>
      </w:r>
    </w:p>
    <w:p w14:paraId="60E7740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（1）支付分解表中所列的每期付款金额，应为第12.4.2项〔进度付款申请单的编制〕第（1）目的估算金额；</w:t>
      </w:r>
    </w:p>
    <w:p w14:paraId="65E6D90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（2）实际进度与施工进度计划不一致的，合同当事人可按照第4.4款〔商定或确定〕修改支付分解表；</w:t>
      </w:r>
    </w:p>
    <w:p w14:paraId="061914A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（3）不采用支付分解表的，承包人应向发包人和监理人提交按季度编制的支付估算分解表，用于支付参考。</w:t>
      </w:r>
    </w:p>
    <w:p w14:paraId="4281660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2.总价合同支付分解表的编制与审批</w:t>
      </w:r>
    </w:p>
    <w:p w14:paraId="4DB91BA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86A437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（2）监理人应在收到支付分解表后7天内完成审核并报送发包人。发包人应在收到经监理人审核的支付分解表后7天内完成审批，经发包人批准的支付分解表为有约束力的支付分解表。</w:t>
      </w:r>
    </w:p>
    <w:p w14:paraId="7A0B277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（3）发包人逾期未完成支付分解表审批的，也未及时要求承包人进行修正和提供补充资料的，则承包人提交的支付分解表视为已经获得发包人批准。</w:t>
      </w:r>
    </w:p>
    <w:p w14:paraId="15927E9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3.单价合同的总价项目支付分解表的编制与审批</w:t>
      </w:r>
    </w:p>
    <w:p w14:paraId="3D90D0E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13190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12.5支付账户</w:t>
      </w:r>
    </w:p>
    <w:p w14:paraId="19BA64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发包人应将合同价款支付至合同协议书中约定的承包人账户。</w:t>
      </w:r>
    </w:p>
    <w:p w14:paraId="1F5B3DA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 验收和工程试车</w:t>
      </w:r>
    </w:p>
    <w:p w14:paraId="4712071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13.1分部分项工程验收</w:t>
      </w:r>
    </w:p>
    <w:p w14:paraId="66F82CD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13.1.1 分部分项工程质量应符合国家有关工程施工验收规范、标准及合同约定，承包人应按照施工组织设计的要求完成分部分项工程施工。</w:t>
      </w:r>
    </w:p>
    <w:p w14:paraId="5272122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2FF62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分部分项工程的验收资料应当作为竣工资料的组成部分。</w:t>
      </w:r>
    </w:p>
    <w:p w14:paraId="474FB88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13.2竣工验收</w:t>
      </w:r>
    </w:p>
    <w:p w14:paraId="39AF50B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13.2.1竣工验收条件</w:t>
      </w:r>
    </w:p>
    <w:p w14:paraId="4D1FE6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工程具备以下条件的，承包人可以申请竣工验收：</w:t>
      </w:r>
    </w:p>
    <w:p w14:paraId="43EA4E3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（1）除发包人同意的甩项工作和缺陷修补工作外，合同范围内的全部工程以及有关工作，包括合同要求的试验、试运行以及检验均已完成，并符合合同要求；</w:t>
      </w:r>
    </w:p>
    <w:p w14:paraId="2B32EE8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（2）已按合同约定编制了甩项工作和缺陷修补工作清单以及相应的施工计划；</w:t>
      </w:r>
    </w:p>
    <w:p w14:paraId="055D0B0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（3）已按合同约定的内容和份数备齐竣工资料。</w:t>
      </w:r>
    </w:p>
    <w:p w14:paraId="361D06A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13.2.2竣工验收程序</w:t>
      </w:r>
    </w:p>
    <w:p w14:paraId="401D51D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除专用合同条款另有约定外，承包人申请竣工验收的，应当按照以下程序进行：</w:t>
      </w:r>
    </w:p>
    <w:p w14:paraId="138E89D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D40EAA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8AF460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（3）竣工验收合格的，发包人应在验收合格后14天内向承包人签发工程接收证书。发包人无正当理由逾期不颁发工程接收证书的，自验收合格后第15天起视为已颁发工程接收证书。</w:t>
      </w:r>
    </w:p>
    <w:p w14:paraId="2081520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4AAAE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D7E15C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除专用合同条款另有约定外，发包人不按照本项约定组织竣工验收、颁发工程接收证书的，每逾期一天，应以签约合同价为基数，按照中国人民银行发布的同期同类贷款基准利率支付违约金。</w:t>
      </w:r>
    </w:p>
    <w:p w14:paraId="3D754A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13.2.3竣工日期</w:t>
      </w:r>
    </w:p>
    <w:p w14:paraId="00223AE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435B72B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bookmarkStart w:id="58" w:name="_Toc13197"/>
      <w:r>
        <w:rPr>
          <w:rFonts w:hint="eastAsia" w:ascii="宋体" w:hAnsi="宋体" w:eastAsia="宋体" w:cs="宋体"/>
        </w:rPr>
        <w:t>13.2.4 拒绝接收全部或部分工程</w:t>
      </w:r>
      <w:bookmarkEnd w:id="58"/>
    </w:p>
    <w:p w14:paraId="73527B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2A200A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13.2.5 移交、接收全部与部分工程</w:t>
      </w:r>
    </w:p>
    <w:p w14:paraId="34FE678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除专用合同条款另有约定外，合同当事人应当在颁发工程接收证书后7天内完成工程的移交</w:t>
      </w:r>
      <w:r>
        <w:rPr>
          <w:rFonts w:hint="eastAsia" w:ascii="宋体" w:hAnsi="宋体" w:eastAsia="宋体" w:cs="宋体"/>
        </w:rPr>
        <w:t>。</w:t>
      </w:r>
    </w:p>
    <w:p w14:paraId="1683877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发包人无正当理由不接收工程的，发包人自应当接收工程之日起，承担工程照管、成品保护、保管等与工程有关的各项费用，合同当事人可以在专用合同条款中另行约定发包人逾期接收工程的违约责任。</w:t>
      </w:r>
    </w:p>
    <w:p w14:paraId="18BF65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04" w:firstLineChars="200"/>
        <w:textAlignment w:val="auto"/>
        <w:rPr>
          <w:rFonts w:hint="eastAsia" w:ascii="宋体" w:hAnsi="宋体" w:eastAsia="宋体" w:cs="宋体"/>
        </w:rPr>
      </w:pPr>
      <w:r>
        <w:rPr>
          <w:rFonts w:hint="eastAsia" w:ascii="宋体" w:hAnsi="宋体" w:eastAsia="宋体" w:cs="宋体"/>
          <w:spacing w:val="-4"/>
          <w:sz w:val="21"/>
        </w:rPr>
        <w:t>承包人无正当理由不移交工程的，承包人应承担工程照管、成品保护、保管等与工程有关的各项费用，合同当事人可以在专用合同条款中另行约定承包人无正当理由不移交工程的违约责任</w:t>
      </w:r>
      <w:r>
        <w:rPr>
          <w:rFonts w:hint="eastAsia" w:ascii="宋体" w:hAnsi="宋体" w:eastAsia="宋体" w:cs="宋体"/>
        </w:rPr>
        <w:t>。</w:t>
      </w:r>
    </w:p>
    <w:p w14:paraId="483602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13.3工程试车</w:t>
      </w:r>
    </w:p>
    <w:p w14:paraId="5170509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13.3.1试车程序</w:t>
      </w:r>
    </w:p>
    <w:p w14:paraId="216D502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工程需要试车的，除专用合同条款另有约定外，试车内容应与承包人承包范围相一致，试车费用由承包人承担。工程试车应按如下程序进行：</w:t>
      </w:r>
    </w:p>
    <w:p w14:paraId="095F87E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2"/>
          <w:sz w:val="21"/>
        </w:rPr>
        <w:t>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r>
        <w:rPr>
          <w:rFonts w:hint="eastAsia" w:ascii="宋体" w:hAnsi="宋体" w:eastAsia="宋体" w:cs="宋体"/>
        </w:rPr>
        <w:t>。</w:t>
      </w:r>
    </w:p>
    <w:p w14:paraId="359BB6D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8ED7B4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2"/>
          <w:sz w:val="21"/>
        </w:rPr>
        <w:t>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778389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13.3.2 试车中的责任</w:t>
      </w:r>
    </w:p>
    <w:p w14:paraId="58F7CB9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D5700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06B6D8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13.3.3 投料试车</w:t>
      </w:r>
    </w:p>
    <w:p w14:paraId="4947578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如需进行投料试车的，发包人应在工程竣工验收后组织投料试车。发包人要求在工程竣工验收前进行或需要承包人配合时，应征得承包人同意，并在专用合同条款中约定有关事项。</w:t>
      </w:r>
    </w:p>
    <w:p w14:paraId="23CDA71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54B6A8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13.4提前交付单位工程的验收</w:t>
      </w:r>
    </w:p>
    <w:p w14:paraId="2049A74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13.4.1 发包人需要在工程竣工前使用单位工程的，或承包人提出提前交付已经竣工的单位工程且经发包人同意的，可进行单位工程验收，验收的程序按照第13.2款〔竣工验收〕的约定进行。</w:t>
      </w:r>
    </w:p>
    <w:p w14:paraId="59CE879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验收合格后，由监理人向承包人出具经发包人签认的单位工程接收证书。已签发单位工程接收证书的单位工程由发包人负责照管。单位工程的验收成果和结论作为整体工程竣工验收申请报告的附件。</w:t>
      </w:r>
    </w:p>
    <w:p w14:paraId="1102650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13.4.2 发包人要求在工程竣工前交付单位工程，由此导致承包人费用增加和（或）工期延误的，由发包人承担由此增加的费用和（或）延误的工期，并支付承包人合理的利润。</w:t>
      </w:r>
    </w:p>
    <w:p w14:paraId="4BD7906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13.5 施工期运行</w:t>
      </w:r>
    </w:p>
    <w:p w14:paraId="0D3429E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CEE4C2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13.5.2 在施工期运行中发现工程或工程设备损坏或存在缺陷的，由承包人按第15.2款〔缺陷责任期〕约定进行修复。</w:t>
      </w:r>
    </w:p>
    <w:p w14:paraId="56AF0EC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13.6 竣工退场</w:t>
      </w:r>
    </w:p>
    <w:p w14:paraId="61230BF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13.6.1 竣工退场</w:t>
      </w:r>
    </w:p>
    <w:p w14:paraId="5A4DAD0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颁发工程接收证书后，承包人应按以下要求对施工现场进行清理：</w:t>
      </w:r>
    </w:p>
    <w:p w14:paraId="57103A6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（1）施工现场内残留的垃圾已全部清除出场；</w:t>
      </w:r>
    </w:p>
    <w:p w14:paraId="183A53E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（2）临时工程已拆除，场地已进行清理、平整或复原；</w:t>
      </w:r>
    </w:p>
    <w:p w14:paraId="677BCC9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（3）按合同约定应撤离的人员、承包人施工设备和剩余的材料，包括废弃的施工设备和材料，已按计划撤离施工现场；</w:t>
      </w:r>
    </w:p>
    <w:p w14:paraId="23ECE66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（4）施工现场周边及其附近道路、河道的施工堆积物，已全部清理；</w:t>
      </w:r>
    </w:p>
    <w:p w14:paraId="35C7180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（5）施工现场其他场地清理工作已全部完成。</w:t>
      </w:r>
    </w:p>
    <w:p w14:paraId="5D83865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8B5686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13.6.2 地表还原</w:t>
      </w:r>
    </w:p>
    <w:p w14:paraId="7838C87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承包人应按发包人要求恢复临时占地及清理场地，承包人未按发包人的要求恢复临时占地，或者场地清理未达到合同约定要求的，发包人有权委托其他人恢复或清理，所发生的费用由承包人承担。</w:t>
      </w:r>
    </w:p>
    <w:p w14:paraId="2A284DA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14. 竣工结算</w:t>
      </w:r>
    </w:p>
    <w:p w14:paraId="7B144A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14.1 竣工结算申请</w:t>
      </w:r>
    </w:p>
    <w:p w14:paraId="02FC26B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EAC728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除专用合同条款另有约定外，竣工结算申请单应包括以下内容：</w:t>
      </w:r>
    </w:p>
    <w:p w14:paraId="10BD4DB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（1）竣工结算合同价格；</w:t>
      </w:r>
    </w:p>
    <w:p w14:paraId="1D56A67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（2）发包人已支付承包人的款项；</w:t>
      </w:r>
    </w:p>
    <w:p w14:paraId="6850F08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（3）应扣留的质量保证金。已缴纳履约保证金的或提供其他工程质量担保方式的除外； </w:t>
      </w:r>
    </w:p>
    <w:p w14:paraId="3A03991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（4）发包人应支付承包人的合同价款。</w:t>
      </w:r>
    </w:p>
    <w:p w14:paraId="56842E1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14.2 竣工结算审核</w:t>
      </w:r>
    </w:p>
    <w:p w14:paraId="57304AF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D122D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460D82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2"/>
          <w:sz w:val="21"/>
        </w:rPr>
        <w:t>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r>
        <w:rPr>
          <w:rFonts w:hint="eastAsia" w:ascii="宋体" w:hAnsi="宋体" w:eastAsia="宋体" w:cs="宋体"/>
        </w:rPr>
        <w:t>。</w:t>
      </w:r>
    </w:p>
    <w:p w14:paraId="1E6AEA6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B039A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14.3 甩项竣工协议</w:t>
      </w:r>
    </w:p>
    <w:p w14:paraId="337856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要求甩项竣工的，合同当事人应签订甩项竣工协议。在甩项竣工协议中应明确，合同当事人按照第14.1款〔竣工结算申请〕及14.2款〔竣工结算审核〕的约定，对已完合格工程进行结算，并支付相应合同价款。</w:t>
      </w:r>
    </w:p>
    <w:p w14:paraId="4530FB9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14.4 最终结清</w:t>
      </w:r>
    </w:p>
    <w:p w14:paraId="0D3033E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14.4.1 最终结清申请单</w:t>
      </w:r>
    </w:p>
    <w:p w14:paraId="1884E4C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（1）除专用合同条款另有约定外，承包人应在缺陷责任期终止证书颁发后7天内，按专用合同条款约定的份数向发包人提交最终结清申请单，并提供相关证明材料。</w:t>
      </w:r>
    </w:p>
    <w:p w14:paraId="1063CC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除专用合同条款另有约定外，最终结清申请单应列明质量保证金、应扣除的质量保证金、缺陷责任期内发生的增减费用。</w:t>
      </w:r>
    </w:p>
    <w:p w14:paraId="29F2EE4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（2）发包人对最终结清申请单内容有异议的，有权要求承包人进行修正和提供补充资料，承包人应向发包人提交修正后的最终结清申请单。</w:t>
      </w:r>
    </w:p>
    <w:p w14:paraId="392EB2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14.4.2 最终结清证书和支付</w:t>
      </w:r>
    </w:p>
    <w:p w14:paraId="18A52F7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5E673C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A08E17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（3）承包人对发包人颁发的最终结清证书有异议的，按第20条〔争议解决〕的约定办理。</w:t>
      </w:r>
    </w:p>
    <w:p w14:paraId="795F42B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15. 缺陷责任与保修</w:t>
      </w:r>
    </w:p>
    <w:p w14:paraId="141DD88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15.1 工程保修的原则</w:t>
      </w:r>
    </w:p>
    <w:p w14:paraId="479AEA3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在工程移交发包人后，因承包人原因产生的质量缺陷，承包人应承担质量缺陷责任和保修义务。缺陷责任期届满，承包人仍应按合同约定的工程各部位保修年限承担保修义务。</w:t>
      </w:r>
    </w:p>
    <w:p w14:paraId="20832ED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15.2 缺陷责任期</w:t>
      </w:r>
    </w:p>
    <w:p w14:paraId="5D13314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15.2.1 缺陷责任期从工程通过竣工验收之日起计算，合同当事人应在专用合同条款约定缺陷责任期的具体期限，但该期限最长不超过24个月。</w:t>
      </w:r>
    </w:p>
    <w:p w14:paraId="07A9F83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2A557E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9C2272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由他人原因造成的缺陷，发包人负责组织维修，承包人不承担费用，且发包人不得从保证金中扣除费用。</w:t>
      </w:r>
    </w:p>
    <w:p w14:paraId="4DEFB69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15.2.3 任何一项缺陷或损坏修复后，经检查证明其影响了工程或工程设备的使用性能，承包人应重新进行合同约定的试验和试运行，试验和试运行的全部费用应由责任方承担。</w:t>
      </w:r>
    </w:p>
    <w:p w14:paraId="00A216B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AB8B56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15.3 质量保证金</w:t>
      </w:r>
    </w:p>
    <w:p w14:paraId="531BCDD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经合同当事人协商一致扣留质量保证金的，应在专用合同条款中予以明确。</w:t>
      </w:r>
    </w:p>
    <w:p w14:paraId="19CBC00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在工程项目竣工前，承包人已经提供履约担保的，发包人不得同时预留工程质量保证金。</w:t>
      </w:r>
    </w:p>
    <w:p w14:paraId="1181126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15.3.1 承包人提供质量保证金的方式</w:t>
      </w:r>
    </w:p>
    <w:p w14:paraId="509EA3B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承包人提供质量保证金有以下三种方式：</w:t>
      </w:r>
    </w:p>
    <w:p w14:paraId="1778CCD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（1）质量保证金保函； </w:t>
      </w:r>
    </w:p>
    <w:p w14:paraId="21532B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（2）相应比例的工程款；</w:t>
      </w:r>
    </w:p>
    <w:p w14:paraId="706EAE2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（3）双方约定的其他方式。</w:t>
      </w:r>
    </w:p>
    <w:p w14:paraId="66B5DE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除专用合同条款另有约定外，质量保证金原则上采用上述第（1）种方式。</w:t>
      </w:r>
    </w:p>
    <w:p w14:paraId="24588EE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15.3.2 质量保证金的扣留</w:t>
      </w:r>
    </w:p>
    <w:p w14:paraId="68C22E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质量保证金的扣留有以下三种方式：</w:t>
      </w:r>
    </w:p>
    <w:p w14:paraId="64C48F6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（1）在支付工程进度款时逐次扣留，在此情形下，质量保证金的计算基数不包括预付款的支付、扣回以及价格调整的金额；</w:t>
      </w:r>
    </w:p>
    <w:p w14:paraId="4592D4D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（2）工程竣工结算时一次性扣留质量保证金；</w:t>
      </w:r>
    </w:p>
    <w:p w14:paraId="23FEB49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（3）双方约定的其他扣留方式。</w:t>
      </w:r>
    </w:p>
    <w:p w14:paraId="34EF9F1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除专用合同条款另有约定外，质量保证金的扣留原则上采用上述第（1）种方式。</w:t>
      </w:r>
    </w:p>
    <w:p w14:paraId="350B53F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B176F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发包人在退还质量保证金的同时按照中国人民银行发布的同期同类贷款基准利率支付利息</w:t>
      </w:r>
      <w:r>
        <w:rPr>
          <w:rFonts w:hint="eastAsia" w:ascii="宋体" w:hAnsi="宋体" w:eastAsia="宋体" w:cs="宋体"/>
        </w:rPr>
        <w:t>。</w:t>
      </w:r>
    </w:p>
    <w:p w14:paraId="61AE1DD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15.3.3 质量保证金的退还</w:t>
      </w:r>
    </w:p>
    <w:p w14:paraId="762007F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缺陷责任期内，承包人认真履行合同约定的责任，到期后，承包人可向发包人申请返还保证金。</w:t>
      </w:r>
    </w:p>
    <w:p w14:paraId="36FBDCF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666FFE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发包人和承包人对保证金预留、返还以及工程维修质量、费用有争议的，按本合同第20条约定的争议和纠纷解决程序处理。</w:t>
      </w:r>
    </w:p>
    <w:p w14:paraId="11DBCBB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15.4 保修</w:t>
      </w:r>
    </w:p>
    <w:p w14:paraId="27A8844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15.4.1保修责任</w:t>
      </w:r>
    </w:p>
    <w:p w14:paraId="4798A18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54BB88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发包人未经竣工验收擅自使用工程的，保修期自转移占有之日起算。</w:t>
      </w:r>
    </w:p>
    <w:p w14:paraId="0FC8D93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15.4.2 修复费用</w:t>
      </w:r>
    </w:p>
    <w:p w14:paraId="1AB2EF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保修期内，修复的费用按照以下约定处理：</w:t>
      </w:r>
    </w:p>
    <w:p w14:paraId="51DB299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（1）保修期内，因承包人原因造成工程的缺陷、损坏，承包人应负责修复，并承担修复的费用以及因工程的缺陷、损坏造成的人身伤害和财产损失；</w:t>
      </w:r>
    </w:p>
    <w:p w14:paraId="1B010B2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（2）保修期内，因发包人使用不当造成工程的缺陷、损坏，可以委托承包人修复，但发包人应承担修复的费用，并支付承包人合理利润；</w:t>
      </w:r>
    </w:p>
    <w:p w14:paraId="2507C63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（3）因其他原因造成工程的缺陷、损坏，可以委托承包人修复，发包人应承担修复的费用，并支付承包人合理的利润，因工程的缺陷、损坏造成的人身伤害和财产损失由责任方承担。</w:t>
      </w:r>
    </w:p>
    <w:p w14:paraId="28E151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15.4.3 修复通知</w:t>
      </w:r>
    </w:p>
    <w:p w14:paraId="3AE8A9F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A773B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15.4.4 未能修复</w:t>
      </w:r>
    </w:p>
    <w:p w14:paraId="0C8ABC4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231A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15.4.5 承包人出入权</w:t>
      </w:r>
    </w:p>
    <w:p w14:paraId="305C5E4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68701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16. 违约</w:t>
      </w:r>
    </w:p>
    <w:p w14:paraId="112DDF6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16.1 发包人违约</w:t>
      </w:r>
    </w:p>
    <w:p w14:paraId="1BB0D14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16.1.1 发包人违约的情形</w:t>
      </w:r>
    </w:p>
    <w:p w14:paraId="2C09C3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在合同履行过程中发生的下列情形，属于发包人违约：</w:t>
      </w:r>
    </w:p>
    <w:p w14:paraId="0B0F63C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（1）因发包人原因未能在计划开工日期前7天内下达开工通知的；</w:t>
      </w:r>
    </w:p>
    <w:p w14:paraId="5A70D3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（2）因发包人原因未能按合同约定支付合同价款的；</w:t>
      </w:r>
    </w:p>
    <w:p w14:paraId="05403B6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（3）发包人违反第10.1款〔变更的范围〕第（2）项约定，自行实施被取消的工作或转由他人实施的；</w:t>
      </w:r>
    </w:p>
    <w:p w14:paraId="65AF112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（4）发包人提供的材料、工程设备的规格、数量或质量不符合合同约定，或因发包人原因导致交货日期延误或交货地点变更等情况的；</w:t>
      </w:r>
    </w:p>
    <w:p w14:paraId="280A913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（5）因发包人违反合同约定造成暂停施工的；</w:t>
      </w:r>
    </w:p>
    <w:p w14:paraId="40ECEB5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（6）发包人无正当理由没有在约定期限内发出复工指示，导致承包人无法复工的；</w:t>
      </w:r>
    </w:p>
    <w:p w14:paraId="14EDF04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（7）发包人明确表示或者以其行为表明不履行合同主要义务的；</w:t>
      </w:r>
    </w:p>
    <w:p w14:paraId="71F0B22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（8）发包人未能按照合同约定履行其他义务的。</w:t>
      </w:r>
    </w:p>
    <w:p w14:paraId="150B057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22AB79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16.1.2 发包人违约的责任</w:t>
      </w:r>
    </w:p>
    <w:p w14:paraId="1BF9E4F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发包人应承担因其违约给承包人增加的费用和（或）延误的工期，并支付承包人合理的利润。此外，合同当事人可在专用合同条款中另行约定发包人违约责任的承担方式和计算方法。</w:t>
      </w:r>
    </w:p>
    <w:p w14:paraId="35A6FC5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16.1.3 因发包人违约解除合同</w:t>
      </w:r>
    </w:p>
    <w:p w14:paraId="335696A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DA86E6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16.1.4 因发包人违约解除合同后的付款</w:t>
      </w:r>
    </w:p>
    <w:p w14:paraId="32F96B6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承包人按照本款约定解除合同的，发包人应在解除合同后28天内支付下列款项，并解除履约担保：</w:t>
      </w:r>
    </w:p>
    <w:p w14:paraId="39D94B5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（1）合同解除前所完成工作的价款；</w:t>
      </w:r>
    </w:p>
    <w:p w14:paraId="754E1C5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（2）承包人为工程施工订购并已付款的材料、工程设备和其他物品的价款；</w:t>
      </w:r>
    </w:p>
    <w:p w14:paraId="20E20E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（3）承包人撤离施工现场以及遣散承包人人员的款项；</w:t>
      </w:r>
    </w:p>
    <w:p w14:paraId="233DA90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（4）按照合同约定在合同解除前应支付的违约金；</w:t>
      </w:r>
    </w:p>
    <w:p w14:paraId="1B2A78D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（5）按照合同约定应当支付给承包人的其他款项；</w:t>
      </w:r>
    </w:p>
    <w:p w14:paraId="73FBA0B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（6）按照合同约定应退还的质量保证金；</w:t>
      </w:r>
    </w:p>
    <w:p w14:paraId="4BD9036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（7）因解除合同给承包人造成的损失。</w:t>
      </w:r>
    </w:p>
    <w:p w14:paraId="3D0DC09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合同当事人未能就解除合同后的结清达成一致的，按照第20条〔争议解决〕的约定处理。</w:t>
      </w:r>
    </w:p>
    <w:p w14:paraId="1214401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承包人应妥善做好已完工程和与工程有关的已购材料、工程设备的保护和移交工作，并将施工设备和人员撤出施工现场，发包人应为承包人撤出提供必要条件。</w:t>
      </w:r>
    </w:p>
    <w:p w14:paraId="37886FE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16.2 承包人违约</w:t>
      </w:r>
    </w:p>
    <w:p w14:paraId="50F6C9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16.2.1 承包人违约的情形</w:t>
      </w:r>
    </w:p>
    <w:p w14:paraId="58643D7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在合同履行过程中发生的下列情形，属于承包人违约：</w:t>
      </w:r>
    </w:p>
    <w:p w14:paraId="3D76279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（1）承包人违反合同约定进行转包或违法分包的；</w:t>
      </w:r>
    </w:p>
    <w:p w14:paraId="6989DC5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（2）承包人违反合同约定采购和使用不合格的材料和工程设备的；</w:t>
      </w:r>
    </w:p>
    <w:p w14:paraId="648AD6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（3）因承包人原因导致工程质量不符合合同要求的； </w:t>
      </w:r>
    </w:p>
    <w:p w14:paraId="0D6970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（4）承包人违反第8.9款〔材料与设备专用要求〕的约定，未经批准，私自将已按照合同约定进入施工现场的材料或设备撤离施工现场的；</w:t>
      </w:r>
    </w:p>
    <w:p w14:paraId="45A6C69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（5）承包人未能按施工进度计划及时完成合同约定的工作，造成工期延误的；</w:t>
      </w:r>
    </w:p>
    <w:p w14:paraId="01527C0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（6）承包人在缺陷责任期及保修期内，未能在合理期限对工程缺陷进行修复，或拒绝按发包人要求进行修复的；</w:t>
      </w:r>
    </w:p>
    <w:p w14:paraId="623BBC1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（7）承包人明确表示或者以其行为表明不履行合同主要义务的；</w:t>
      </w:r>
    </w:p>
    <w:p w14:paraId="4B383EF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（8）承包人未能按照合同约定履行其他义务的。</w:t>
      </w:r>
    </w:p>
    <w:p w14:paraId="291269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承包人发生除本项第（7）目约定以外的其他违约情况时，监理人可向承包人发出整改通知，要求其在指定的期限内改正。</w:t>
      </w:r>
    </w:p>
    <w:p w14:paraId="2E9C209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16.2.2 承包人违约的责任</w:t>
      </w:r>
    </w:p>
    <w:p w14:paraId="1E85240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承包人应承担因其违约行为而增加的费用和（或）延误的工期。此外，合同当事人可在专用合同条款中另行约定承包人违约责任的承担方式和计算方法。</w:t>
      </w:r>
    </w:p>
    <w:p w14:paraId="4E21FEA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16.2.3 因承包人违约解除合同</w:t>
      </w:r>
    </w:p>
    <w:p w14:paraId="53D7C44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C7FE36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16.2.4因承包人违约解除合同后的处理</w:t>
      </w:r>
    </w:p>
    <w:p w14:paraId="217EFBC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因承包人原因导致合同解除的，则合同当事人应在合同解除后28天内完成估价、付款和清算，并按以下约定执行：</w:t>
      </w:r>
    </w:p>
    <w:p w14:paraId="4C1628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（1）合同解除后，按第4.4款〔商定或确定〕商定或确定承包人实际完成工作对应的合同价款，以及承包人已提供的材料、工程设备、施工设备和临时工程等的价值；</w:t>
      </w:r>
    </w:p>
    <w:p w14:paraId="675855F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（2）合同解除后，承包人应支付的违约金；</w:t>
      </w:r>
    </w:p>
    <w:p w14:paraId="0FB45DF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（3）合同解除后，因解除合同给发包人造成的损失；</w:t>
      </w:r>
    </w:p>
    <w:p w14:paraId="1AB4007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（4）合同解除后，承包人应按照发包人要求和监理人的指示完成现场的清理和撤离；</w:t>
      </w:r>
    </w:p>
    <w:p w14:paraId="5F65E39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（5）发包人和承包人应在合同解除后进行清算，出具最终结清付款证书，结清全部款项。</w:t>
      </w:r>
    </w:p>
    <w:p w14:paraId="27B4C4A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因承包人违约解除合同的，发包人有权暂停对承包人的付款，查清各项付款和已扣款项。发包人和承包人未能就合同解除后的清算和款项支付达成一致的，按照第20条〔争议解决〕的约定处理。</w:t>
      </w:r>
    </w:p>
    <w:p w14:paraId="6DFFAC9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16.2.5采购合同权益转让</w:t>
      </w:r>
    </w:p>
    <w:p w14:paraId="7219413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6DE8A0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16.3 第三人造成的违约</w:t>
      </w:r>
    </w:p>
    <w:p w14:paraId="7F6217F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在履行合同过程中，一方当事人因第三人的原因造成违约的，应当向对方当事人承担违约责任。一方当事人和第三人之间的纠纷，依照法律规定或者按照约定解决。</w:t>
      </w:r>
    </w:p>
    <w:p w14:paraId="12DD16E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 xml:space="preserve">17. 不可抗力 </w:t>
      </w:r>
    </w:p>
    <w:p w14:paraId="6834A60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17.1 不可抗力的确认</w:t>
      </w:r>
    </w:p>
    <w:p w14:paraId="1254BB9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不可抗力是指合同当事人在签订合同时不可预见，在合同履行过程中不可避免且不能克服的自然灾害和社会性突发事件，如地震、海啸、瘟疫、骚乱、戒严、暴动、战争和专用合同条款中约定的其他情形。</w:t>
      </w:r>
    </w:p>
    <w:p w14:paraId="33948CC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r>
        <w:rPr>
          <w:rFonts w:hint="eastAsia" w:ascii="宋体" w:hAnsi="宋体" w:eastAsia="宋体" w:cs="宋体"/>
        </w:rPr>
        <w:t>。</w:t>
      </w:r>
    </w:p>
    <w:p w14:paraId="302349B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17.2 不可抗力的通知</w:t>
      </w:r>
    </w:p>
    <w:p w14:paraId="614941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合同一方当事人遇到不可抗力事件，使其履行合同义务受到阻碍时，应立即通知合同另一方当事人和监理人，书面说明不可抗力和受阻碍的详细情况，并提供必要的证明。</w:t>
      </w:r>
    </w:p>
    <w:p w14:paraId="0669B88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04" w:firstLineChars="200"/>
        <w:textAlignment w:val="auto"/>
        <w:rPr>
          <w:rFonts w:hint="eastAsia" w:ascii="宋体" w:hAnsi="宋体" w:eastAsia="宋体" w:cs="宋体"/>
        </w:rPr>
      </w:pPr>
      <w:r>
        <w:rPr>
          <w:rFonts w:hint="eastAsia" w:ascii="宋体" w:hAnsi="宋体" w:eastAsia="宋体" w:cs="宋体"/>
          <w:spacing w:val="-4"/>
          <w:sz w:val="21"/>
        </w:rPr>
        <w:t>不可抗力持续发生的，合同一方当事人应及时向合同另一方当事人和监理人提交中间报告，说明不可抗力和履行合同受阻的情况，并于不可抗力事件结束后28天内提交最终报告及有关资料</w:t>
      </w:r>
      <w:r>
        <w:rPr>
          <w:rFonts w:hint="eastAsia" w:ascii="宋体" w:hAnsi="宋体" w:eastAsia="宋体" w:cs="宋体"/>
        </w:rPr>
        <w:t>。</w:t>
      </w:r>
    </w:p>
    <w:p w14:paraId="3AAAEA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17.3 不可抗力后果的承担</w:t>
      </w:r>
    </w:p>
    <w:p w14:paraId="28F989B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17.3.1 不可抗力引起的后果及造成的损失由合同当事人按照法律规定及合同约定各自承担。不可抗力发生前已完成的工程应当按照合同约定进行计量支付。</w:t>
      </w:r>
    </w:p>
    <w:p w14:paraId="55DE52C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17.3.2 不可抗力导致的人员伤亡、财产损失、费用增加和（或）工期延误等后果，由合同当事人按以下原则承担：</w:t>
      </w:r>
    </w:p>
    <w:p w14:paraId="4A94C7C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（1）永久工程、已运至施工现场的材料和工程设备的损坏，以及因工程损坏造成的第三人人员伤亡和财产损失由发包人承担；</w:t>
      </w:r>
    </w:p>
    <w:p w14:paraId="37AD418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（2）承包人施工设备的损坏由承包人承担；</w:t>
      </w:r>
    </w:p>
    <w:p w14:paraId="42BFB7D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（3）发包人和承包人承担各自人员伤亡和财产的损失；</w:t>
      </w:r>
    </w:p>
    <w:p w14:paraId="349EB5A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A1B68C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（5）因不可抗力引起或将引起工期延误，发包人要求赶工的，由此增加的赶工费用由发包人承担；</w:t>
      </w:r>
    </w:p>
    <w:p w14:paraId="2D648E7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（6）承包人在停工期间按照发包人要求照管、清理和修复工程的费用由发包人承担。</w:t>
      </w:r>
    </w:p>
    <w:p w14:paraId="0734FBF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不可抗力发生后，合同当事人均应采取措施尽量避免和减少损失的扩大，任何一方当事人没有采取有效措施导致损失扩大的，应对扩大的损失承担责任。</w:t>
      </w:r>
    </w:p>
    <w:p w14:paraId="689743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因合同一方迟延履行合同义务，在迟延履行期间遭遇不可抗力的，不免除其违约责任。</w:t>
      </w:r>
    </w:p>
    <w:p w14:paraId="61F849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17.4 因不可抗力解除合同</w:t>
      </w:r>
    </w:p>
    <w:p w14:paraId="055FE4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因不可抗力导致合同无法履行连续超过84天或累计超过140天的，发包人和承包人均有权解除合同。合同解除后，由双方当事人按照第4.4款〔商定或确定〕商定或确定发包人应支付的款项，该款项包括：</w:t>
      </w:r>
    </w:p>
    <w:p w14:paraId="1A94EBB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（1）合同解除前承包人已完成工作的价款；</w:t>
      </w:r>
    </w:p>
    <w:p w14:paraId="1E02D2D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（2）承包人为工程订购的并已交付给承包人，或承包人有责任接受交付的材料、工程设备和其他物品的价款；</w:t>
      </w:r>
    </w:p>
    <w:p w14:paraId="38B2FCD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（3）发包人要求承包人退货或解除订货合同而产生的费用，或因不能退货或解除合同而产生的损失；</w:t>
      </w:r>
    </w:p>
    <w:p w14:paraId="125B5D3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（4）承包人撤离施工现场以及遣散承包人人员的费用；</w:t>
      </w:r>
    </w:p>
    <w:p w14:paraId="5376E95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（5）按照合同约定在合同解除前应支付给承包人的其他款项；</w:t>
      </w:r>
    </w:p>
    <w:p w14:paraId="19B6F1D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（6）扣减承包人按照合同约定应向发包人支付的款项；</w:t>
      </w:r>
    </w:p>
    <w:p w14:paraId="6ED2FA2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（7）双方商定或确定的其他款项。</w:t>
      </w:r>
    </w:p>
    <w:p w14:paraId="671B532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除专用合同条款另有约定外，合同解除后，发包人应在商定或确定上述款项后28天内完成上述款项的支付。</w:t>
      </w:r>
    </w:p>
    <w:p w14:paraId="5E2D5B5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 保险</w:t>
      </w:r>
    </w:p>
    <w:p w14:paraId="3609844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18.1 工程保险</w:t>
      </w:r>
    </w:p>
    <w:p w14:paraId="472D746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除专用合同条款另有约定外，发包人应投保建筑工程一切险或安装工程一切险；发包人委托承包人投保的，因投保产生的保险费和其他相关费用由发包人承担。</w:t>
      </w:r>
    </w:p>
    <w:p w14:paraId="5D881BB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18.2 工伤保险</w:t>
      </w:r>
    </w:p>
    <w:p w14:paraId="448AA32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18.2.1 发包人应依照法律规定参加工伤保险，并为在施工现场的全部员工办理工伤保险，缴纳工伤保险费，并要求监理人及由发包人为履行合同聘请的第三方依法参加工伤保险。</w:t>
      </w:r>
    </w:p>
    <w:p w14:paraId="69A3774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18.2.2 承包人应依照法律规定参加工伤保险，并为其履行合同的全部员工办理工伤保险，缴纳工伤保险费，并要求分包人及由承包人为履行合同聘请的第三方依法参加工伤保险。</w:t>
      </w:r>
    </w:p>
    <w:p w14:paraId="743718C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18.3其他保险</w:t>
      </w:r>
    </w:p>
    <w:p w14:paraId="5BDBCA1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发包人和承包人可以为其施工现场的全部人员办理意外伤害保险并支付保险费，包括其员工及为履行合同聘请的第三方的人员，具体事项由合同当事人在专用合同条款约定。</w:t>
      </w:r>
    </w:p>
    <w:p w14:paraId="353BC5D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除专用合同条款另有约定外，承包人应为其施工设备等办理财产保险。</w:t>
      </w:r>
    </w:p>
    <w:p w14:paraId="1349BF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18.4持续保险</w:t>
      </w:r>
    </w:p>
    <w:p w14:paraId="45E2F85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合同当事人应与保险人保持联系，使保险人能够随时了解工程实施中的变动，并确保按保险合同条款要求持续保险。</w:t>
      </w:r>
    </w:p>
    <w:p w14:paraId="7A5B1D3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18.5 保险凭证</w:t>
      </w:r>
    </w:p>
    <w:p w14:paraId="2DA14DC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合同当事人应及时向另一方当事人提交其已投保的各项保险的凭证和保险单复印件。</w:t>
      </w:r>
    </w:p>
    <w:p w14:paraId="43F8E03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18.6 未按约定投保的补救</w:t>
      </w:r>
    </w:p>
    <w:p w14:paraId="6277AA4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18.6.1发包人未按合同约定办理保险，或未能使保险持续有效的，则承包人可代为办理，所需费用由发包人承担。发包人未按合同约定办理保险，导致未能得到足额赔偿的，由发包人负责补足。</w:t>
      </w:r>
    </w:p>
    <w:p w14:paraId="519FE26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18.6.2承包人未按合同约定办理保险，或未能使保险持续有效的，则发包人可代为办理，所需费用由承包人承担。承包人未按合同约定办理保险，导致未能得到足额赔偿的，由承包人负责补足。</w:t>
      </w:r>
    </w:p>
    <w:p w14:paraId="4755724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18.7 通知义务</w:t>
      </w:r>
    </w:p>
    <w:p w14:paraId="3A94400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除专用合同条款另有约定外，发包人变更除工伤保险之外的保险合同时，应事先征得承包人同意，并通知监理人；承包人变更除工伤保险之外的保险合同时，应事先征得发包人同意，并通知监理人。</w:t>
      </w:r>
    </w:p>
    <w:p w14:paraId="28FE64D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保险事故发生时，投保人应按照保险合同规定的条件和期限及时向保险人报告。发包人和承包人应当在知道保险事故发生后及时通知对方。</w:t>
      </w:r>
    </w:p>
    <w:p w14:paraId="29FA440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 索赔</w:t>
      </w:r>
    </w:p>
    <w:p w14:paraId="2DA883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19.1承包人的索赔</w:t>
      </w:r>
    </w:p>
    <w:p w14:paraId="45FEB04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根据合同约定，承包人认为有权得到追加付款和（或）延长工期的，应按以下程序向发包人提出索赔：</w:t>
      </w:r>
    </w:p>
    <w:p w14:paraId="4D74A427">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E63B79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（2）承包人应在发出索赔意向通知书后28天内，向监理人正式递交索赔报告；索赔报告应详细说明索赔理由以及要求追加的付款金额和（或）延长的工期，并附必要的记录和证明材料；</w:t>
      </w:r>
    </w:p>
    <w:p w14:paraId="200A00B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（3）索赔事件具有持续影响的，承包人应按合理时间间隔继续递交延续索赔通知，说明持续影响的实际情况和记录，列出累计的追加付款金额和（或）工期延长天数；</w:t>
      </w:r>
    </w:p>
    <w:p w14:paraId="4ECA1BE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（4）在索赔事件影响结束后28天内，承包人应向监理人递交最终索赔报告，说明最终要求索赔的追加付款金额和（或）延长的工期，并附必要的记录和证明材料。</w:t>
      </w:r>
    </w:p>
    <w:p w14:paraId="6BF1C07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19.2 对承包人索赔的处理</w:t>
      </w:r>
    </w:p>
    <w:p w14:paraId="171FC20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对承包人索赔的处理如下：</w:t>
      </w:r>
    </w:p>
    <w:p w14:paraId="5DA22AF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（1）监理人应在收到索赔报告后14天内完成审查并报送发包人。监理人对索赔报告存在异议的，有权要求承包人提交全部原始记录副本；</w:t>
      </w:r>
    </w:p>
    <w:p w14:paraId="2E107F5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（2）发包人应在监理人收到索赔报告或有关索赔的进一步证明材料后的28天内，由监理人向承包人出具经发包人签认的索赔处理结果。发包人逾期答复的，则视为认可承包人的索赔要求；</w:t>
      </w:r>
    </w:p>
    <w:p w14:paraId="1F4C48E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（3）承包人接受索赔处理结果的，索赔款项在当期进度款中进行支付；承包人不接受索赔处理结果的，按照第20条〔争议解决〕约定处理。</w:t>
      </w:r>
    </w:p>
    <w:p w14:paraId="6A89947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19.3发包人的索赔</w:t>
      </w:r>
    </w:p>
    <w:p w14:paraId="455BF5D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根据合同约定，发包人认为有权得到赔付金额和（或）延长缺陷责任期的，监理人应向承包人发出通知并附有详细的证明。</w:t>
      </w:r>
    </w:p>
    <w:p w14:paraId="4D3F56D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12" w:firstLineChars="200"/>
        <w:textAlignment w:val="auto"/>
        <w:rPr>
          <w:rFonts w:hint="eastAsia" w:ascii="宋体" w:hAnsi="宋体" w:eastAsia="宋体" w:cs="宋体"/>
        </w:rPr>
      </w:pPr>
      <w:r>
        <w:rPr>
          <w:rFonts w:hint="eastAsia" w:ascii="宋体" w:hAnsi="宋体" w:eastAsia="宋体" w:cs="宋体"/>
          <w:spacing w:val="-2"/>
          <w:sz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r>
        <w:rPr>
          <w:rFonts w:hint="eastAsia" w:ascii="宋体" w:hAnsi="宋体" w:eastAsia="宋体" w:cs="宋体"/>
        </w:rPr>
        <w:t>。</w:t>
      </w:r>
    </w:p>
    <w:p w14:paraId="2745B7C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19.4 对发包人索赔的处理</w:t>
      </w:r>
    </w:p>
    <w:p w14:paraId="0974267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对发包人索赔的处理如下：</w:t>
      </w:r>
    </w:p>
    <w:p w14:paraId="0096C45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（1）承包人收到发包人提交的索赔报告后，应及时审查索赔报告的内容、查验发包人证明材料；</w:t>
      </w:r>
    </w:p>
    <w:p w14:paraId="436ECAC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（2）承包人应在收到索赔报告或有关索赔的进一步证明材料后28天内，将索赔处理结果答复发包人。如果承包人未在上述期限内作出答复的，则视为对发包人索赔要求的认可；</w:t>
      </w:r>
    </w:p>
    <w:p w14:paraId="62A8315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（3）承包人接受索赔处理结果的，发包人可从应支付给承包人的合同价款中扣除赔付的金额或延长缺陷责任期；发包人不接受索赔处理结果的，按第20条〔争议解决〕约定处理。</w:t>
      </w:r>
    </w:p>
    <w:p w14:paraId="402D0DD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19.5 提出索赔的期限</w:t>
      </w:r>
    </w:p>
    <w:p w14:paraId="57429D3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（1）承包人按第14.2款〔竣工结算审核〕约定接收竣工付款证书后，应被视为已无权再提出在工程接收证书颁发前所发生的任何索赔。</w:t>
      </w:r>
    </w:p>
    <w:p w14:paraId="7779155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（2）承包人按第14.4款〔最终结清〕提交的最终结清申请单中，只限于提出工程接收证书颁发后发生的索赔。提出索赔的期限自接受最终结清证书时终止。</w:t>
      </w:r>
    </w:p>
    <w:p w14:paraId="73740B5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20. 争议解决</w:t>
      </w:r>
    </w:p>
    <w:p w14:paraId="2ACF89F6">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20.1和解</w:t>
      </w:r>
    </w:p>
    <w:p w14:paraId="1F8589B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合同当事人可以就争议自行和解，自行和解达成协议的经双方签字并盖章后作为合同补充文件，双方均应遵照执行。</w:t>
      </w:r>
    </w:p>
    <w:p w14:paraId="5111354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20.2调解</w:t>
      </w:r>
    </w:p>
    <w:p w14:paraId="675A464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合同当事人可以就争议请求建设行政主管部门、行业协会或其他第三方进行调解，调解达成协议的，经双方签字并盖章后作为合同补充文件，双方均应遵照执行。</w:t>
      </w:r>
    </w:p>
    <w:p w14:paraId="688A036D">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20.3争议评审</w:t>
      </w:r>
    </w:p>
    <w:p w14:paraId="22EAECD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合同当事人在专用合同条款中约定采取争议评审方式解决争议以及评审规则，并按下列约定执行： </w:t>
      </w:r>
    </w:p>
    <w:p w14:paraId="736AA508">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20.3.1 争议评审小组的确定</w:t>
      </w:r>
    </w:p>
    <w:p w14:paraId="7C70792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合同当事人可以共同选择一名或三名争议评审员，组成争议评审小组。除专用合同条款另有约定外，合同当事人应当自合同签订后28天内，或者争议发生后14天内，选定争议评审员。</w:t>
      </w:r>
    </w:p>
    <w:p w14:paraId="5709CCA9">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51E983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除专用合同条款另有约定外，评审员报酬由发包人和承包人各承担一半。</w:t>
      </w:r>
    </w:p>
    <w:p w14:paraId="7029E62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20.3.2 争议评审小组的决定</w:t>
      </w:r>
    </w:p>
    <w:p w14:paraId="16703964">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AE3F39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20.3.3 争议评审小组决定的效力</w:t>
      </w:r>
    </w:p>
    <w:p w14:paraId="797B3841">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争议评审小组作出的书面决定经合同当事人签字确认后，对双方具有约束力，双方应遵照执行。</w:t>
      </w:r>
    </w:p>
    <w:p w14:paraId="5E69A7D2">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任何一方当事人不接受争议评审小组决定或不履行争议评审小组决定的，双方可选择采用其他争议解决方式。</w:t>
      </w:r>
    </w:p>
    <w:p w14:paraId="751521CB">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20.4仲裁或诉讼</w:t>
      </w:r>
    </w:p>
    <w:p w14:paraId="1C50B5E3">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因合同及合同有关事项产生的争议，合同当事人可以在专用合同条款中约定以下一种方式解决争议：</w:t>
      </w:r>
    </w:p>
    <w:p w14:paraId="5E8C181A">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（1）向约定的仲裁委员会申请仲裁；</w:t>
      </w:r>
    </w:p>
    <w:p w14:paraId="5BCAF67E">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（2）向有管辖权的人民法院起诉。</w:t>
      </w:r>
    </w:p>
    <w:p w14:paraId="54579A85">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r>
        <w:rPr>
          <w:rFonts w:hint="eastAsia" w:ascii="宋体" w:hAnsi="宋体" w:eastAsia="宋体" w:cs="宋体"/>
        </w:rPr>
        <w:t>20.5争议解决条款效力</w:t>
      </w:r>
    </w:p>
    <w:p w14:paraId="2308504F">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420" w:firstLineChars="200"/>
        <w:textAlignment w:val="auto"/>
        <w:rPr>
          <w:rFonts w:hint="eastAsia" w:ascii="宋体" w:hAnsi="宋体" w:eastAsia="宋体" w:cs="宋体"/>
        </w:rPr>
      </w:pPr>
      <w:r>
        <w:rPr>
          <w:rFonts w:hint="eastAsia" w:ascii="宋体" w:hAnsi="宋体" w:eastAsia="宋体" w:cs="宋体"/>
        </w:rPr>
        <w:t>合同有关争议解决的条款独立存在，合同的变更、解除、终止、无效或者被撤销均不影响其效力。</w:t>
      </w:r>
    </w:p>
    <w:p w14:paraId="5394757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p>
    <w:p w14:paraId="7AB19ABC">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textAlignment w:val="auto"/>
        <w:rPr>
          <w:rFonts w:hint="eastAsia" w:ascii="宋体" w:hAnsi="宋体" w:eastAsia="宋体" w:cs="宋体"/>
        </w:rPr>
      </w:pPr>
    </w:p>
    <w:p w14:paraId="5E830960">
      <w:pPr>
        <w:pStyle w:val="66"/>
        <w:keepNext w:val="0"/>
        <w:keepLines w:val="0"/>
        <w:pageBreakBefore w:val="0"/>
        <w:widowControl w:val="0"/>
        <w:kinsoku/>
        <w:wordWrap/>
        <w:overflowPunct/>
        <w:topLinePunct w:val="0"/>
        <w:autoSpaceDE/>
        <w:autoSpaceDN/>
        <w:bidi w:val="0"/>
        <w:adjustRightInd/>
        <w:snapToGrid/>
        <w:spacing w:line="396" w:lineRule="auto"/>
        <w:ind w:left="0" w:leftChars="0" w:firstLine="0" w:firstLineChars="0"/>
        <w:jc w:val="center"/>
        <w:textAlignment w:val="auto"/>
        <w:rPr>
          <w:rFonts w:hint="eastAsia" w:ascii="宋体" w:hAnsi="宋体" w:eastAsia="宋体" w:cs="宋体"/>
          <w:b/>
          <w:bCs/>
          <w:sz w:val="30"/>
          <w:szCs w:val="30"/>
        </w:rPr>
      </w:pPr>
      <w:r>
        <w:rPr>
          <w:rFonts w:hint="eastAsia" w:ascii="宋体" w:hAnsi="宋体" w:eastAsia="宋体" w:cs="宋体"/>
        </w:rPr>
        <w:br w:type="page"/>
      </w:r>
      <w:r>
        <w:rPr>
          <w:rFonts w:hint="eastAsia" w:ascii="宋体" w:hAnsi="宋体" w:eastAsia="宋体" w:cs="宋体"/>
          <w:b/>
          <w:bCs/>
          <w:sz w:val="30"/>
          <w:szCs w:val="30"/>
        </w:rPr>
        <w:t>第三部分 专用合同条款</w:t>
      </w:r>
    </w:p>
    <w:p w14:paraId="6EB300FE">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1.一般规定</w:t>
      </w:r>
    </w:p>
    <w:p w14:paraId="18941409">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kern w:val="0"/>
          <w:sz w:val="21"/>
          <w:szCs w:val="21"/>
        </w:rPr>
      </w:pPr>
      <w:r>
        <w:rPr>
          <w:rFonts w:hint="eastAsia" w:ascii="宋体" w:hAnsi="宋体" w:eastAsia="宋体" w:cs="宋体"/>
          <w:b/>
          <w:kern w:val="0"/>
          <w:sz w:val="21"/>
          <w:szCs w:val="21"/>
        </w:rPr>
        <w:t>1.4.标准和规范</w:t>
      </w:r>
    </w:p>
    <w:p w14:paraId="183FA4C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1.4.1本合同只使用汉语。</w:t>
      </w:r>
    </w:p>
    <w:p w14:paraId="5A098E2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1.4.2适用法律和法规： </w:t>
      </w:r>
      <w:r>
        <w:rPr>
          <w:rFonts w:hint="eastAsia" w:ascii="宋体" w:hAnsi="宋体" w:eastAsia="宋体" w:cs="宋体"/>
          <w:kern w:val="0"/>
          <w:sz w:val="21"/>
          <w:szCs w:val="21"/>
          <w:u w:val="single"/>
        </w:rPr>
        <w:t>国家现行的有关法律、法规、规章和河南省及郑州市现行的有关法规、规章和规范性文件均对本合同有约束力。</w:t>
      </w:r>
    </w:p>
    <w:p w14:paraId="7E5A3E2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1.4.3适用标准、规范</w:t>
      </w:r>
    </w:p>
    <w:p w14:paraId="53225917">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适用标准、规范的名称：现行的国家、行业及地方有关医疗卫生、设计、施工与验收等方面的标准、规范，主要内容详见招标文件第六章：技术标准与要求。并按如下办法确定适用的标准、规范：</w:t>
      </w:r>
    </w:p>
    <w:p w14:paraId="3EBB1E6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（1）凡涉及到国家、行业强制性标准的，必须执行；</w:t>
      </w:r>
    </w:p>
    <w:p w14:paraId="670FB98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（2）国家、行业没有强制性标准的，按照推荐性标准；</w:t>
      </w:r>
    </w:p>
    <w:p w14:paraId="4A82D6B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（3）凡国家与行业没有强制性标准的，地方相关方面的技术规范优先采用；</w:t>
      </w:r>
    </w:p>
    <w:p w14:paraId="38D437E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（4）针对同一内容，国家或地方都有规定时，采用最新颁布的标准或规范。</w:t>
      </w:r>
    </w:p>
    <w:p w14:paraId="6A5977D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发包人提供标准、规范的时间：</w:t>
      </w:r>
      <w:r>
        <w:rPr>
          <w:rFonts w:hint="eastAsia" w:ascii="宋体" w:hAnsi="宋体" w:eastAsia="宋体" w:cs="宋体"/>
          <w:kern w:val="0"/>
          <w:sz w:val="21"/>
          <w:szCs w:val="21"/>
          <w:u w:val="single"/>
        </w:rPr>
        <w:t xml:space="preserve"> 标准、规范由承包人自行提供解决；</w:t>
      </w:r>
    </w:p>
    <w:p w14:paraId="6B6F1AE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国内没有相应标准、规范时的约定：</w:t>
      </w:r>
      <w:r>
        <w:rPr>
          <w:rFonts w:hint="eastAsia" w:ascii="宋体" w:hAnsi="宋体" w:eastAsia="宋体" w:cs="宋体"/>
          <w:kern w:val="0"/>
          <w:sz w:val="21"/>
          <w:szCs w:val="21"/>
          <w:u w:val="single"/>
        </w:rPr>
        <w:t>参照惯例、行业协会及企业标准，经发包人、承包人等相关方确认后执行。</w:t>
      </w:r>
    </w:p>
    <w:p w14:paraId="7055B109">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1.5.合同文件的优先顺序</w:t>
      </w:r>
    </w:p>
    <w:p w14:paraId="781594F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1）本合同协议书；（2）本合同专用条款；（3）中标通知书；（4）招标文件及其附件；（5）投标书及其附件；（6）本合同通用条款；（7）标准、规范及有关技术文件；（8）图纸；（9）已标价工程量清单；（10）工程报价单或预算书；（11）其他合同文件。</w:t>
      </w:r>
    </w:p>
    <w:p w14:paraId="2DF0DAF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合同履行中，发包人承包人有关工程的洽商、变更等书面协议或文件视为本合同的组成部分。以上各项合同文件包括合同当事人就该项合同所作出的补充和修改，属于同一类内容的文件，应以最新签署的为准。</w:t>
      </w:r>
    </w:p>
    <w:p w14:paraId="5B1E9430">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 xml:space="preserve">1.6.图纸和承包人文件 </w:t>
      </w:r>
    </w:p>
    <w:p w14:paraId="0489B91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1.6.1发包人向承包人提供图纸日期和套数：</w:t>
      </w:r>
      <w:r>
        <w:rPr>
          <w:rFonts w:hint="eastAsia" w:ascii="宋体" w:hAnsi="宋体" w:eastAsia="宋体" w:cs="宋体"/>
          <w:kern w:val="0"/>
          <w:sz w:val="21"/>
          <w:szCs w:val="21"/>
          <w:u w:val="single"/>
        </w:rPr>
        <w:t xml:space="preserve">  开工前，提供二套。</w:t>
      </w:r>
    </w:p>
    <w:p w14:paraId="0E5A055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发包人对图纸的保密要求：</w:t>
      </w:r>
      <w:r>
        <w:rPr>
          <w:rFonts w:hint="eastAsia" w:ascii="宋体" w:hAnsi="宋体" w:eastAsia="宋体" w:cs="宋体"/>
          <w:kern w:val="0"/>
          <w:sz w:val="21"/>
          <w:szCs w:val="21"/>
          <w:u w:val="single"/>
        </w:rPr>
        <w:t>未经发包人同意，承包人不得提供给第三人，否则将承担相应的经济和法律责任。工程质量保修期满后，除承包人存档需要的图纸外，应将全部图纸退还给发包人。</w:t>
      </w:r>
    </w:p>
    <w:p w14:paraId="6C86BFB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使用额外图纸的要求及费用承担：</w:t>
      </w:r>
      <w:r>
        <w:rPr>
          <w:rFonts w:hint="eastAsia" w:ascii="宋体" w:hAnsi="宋体" w:eastAsia="宋体" w:cs="宋体"/>
          <w:kern w:val="0"/>
          <w:sz w:val="21"/>
          <w:szCs w:val="21"/>
          <w:u w:val="single"/>
        </w:rPr>
        <w:t xml:space="preserve"> 发包人不承担额外费用 </w:t>
      </w:r>
    </w:p>
    <w:p w14:paraId="168CCBA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1.6.2 需要由承包人提供的文件，包括：</w:t>
      </w:r>
      <w:r>
        <w:rPr>
          <w:rFonts w:hint="eastAsia" w:ascii="宋体" w:hAnsi="宋体" w:eastAsia="宋体" w:cs="宋体"/>
          <w:kern w:val="0"/>
          <w:sz w:val="21"/>
          <w:szCs w:val="21"/>
          <w:u w:val="single"/>
        </w:rPr>
        <w:t xml:space="preserve">施工组织设计、专项施工方案、技术措施等发包人要求承包人提供的文件 </w:t>
      </w:r>
    </w:p>
    <w:p w14:paraId="0141C49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1.11.知识产权</w:t>
      </w:r>
    </w:p>
    <w:p w14:paraId="28D1F97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1"/>
          <w:szCs w:val="21"/>
          <w:u w:val="single"/>
        </w:rPr>
        <w:t>发包人。</w:t>
      </w:r>
    </w:p>
    <w:p w14:paraId="4A5E568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b/>
          <w:kern w:val="0"/>
          <w:sz w:val="21"/>
          <w:szCs w:val="21"/>
        </w:rPr>
      </w:pPr>
      <w:r>
        <w:rPr>
          <w:rFonts w:hint="eastAsia" w:ascii="宋体" w:hAnsi="宋体" w:eastAsia="宋体" w:cs="宋体"/>
          <w:kern w:val="0"/>
          <w:sz w:val="21"/>
          <w:szCs w:val="21"/>
        </w:rPr>
        <w:t>1.11.2 关于承包人为实施工程所编制文件的著作权的归属：</w:t>
      </w:r>
      <w:r>
        <w:rPr>
          <w:rFonts w:hint="eastAsia" w:ascii="宋体" w:hAnsi="宋体" w:eastAsia="宋体" w:cs="宋体"/>
          <w:kern w:val="0"/>
          <w:sz w:val="21"/>
          <w:szCs w:val="21"/>
          <w:u w:val="single"/>
        </w:rPr>
        <w:t>发包人。</w:t>
      </w:r>
    </w:p>
    <w:p w14:paraId="663C46D0">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2.发包人</w:t>
      </w:r>
    </w:p>
    <w:p w14:paraId="4503D665">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2.2发包人代表</w:t>
      </w:r>
    </w:p>
    <w:p w14:paraId="4103A7C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姓名：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职务：</w:t>
      </w:r>
      <w:r>
        <w:rPr>
          <w:rFonts w:hint="eastAsia" w:ascii="宋体" w:hAnsi="宋体" w:eastAsia="宋体" w:cs="宋体"/>
          <w:kern w:val="0"/>
          <w:sz w:val="21"/>
          <w:szCs w:val="21"/>
          <w:u w:val="single"/>
        </w:rPr>
        <w:t xml:space="preserve"> 现场代表      </w:t>
      </w:r>
    </w:p>
    <w:p w14:paraId="218FF3D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职权：</w:t>
      </w:r>
      <w:r>
        <w:rPr>
          <w:rFonts w:hint="eastAsia" w:ascii="宋体" w:hAnsi="宋体" w:eastAsia="宋体" w:cs="宋体"/>
          <w:kern w:val="0"/>
          <w:sz w:val="21"/>
          <w:szCs w:val="21"/>
          <w:u w:val="single"/>
        </w:rPr>
        <w:t>1、负责施工过程中协调工作，监督工程质量和进度，现场经济签证、材料设备认价，审核签发工程款权，工程现场签证审批权及与本工程相关的一切事宜。2、负责合同的履行。3、发包人</w:t>
      </w:r>
      <w:r>
        <w:rPr>
          <w:rFonts w:hint="eastAsia" w:ascii="宋体" w:hAnsi="宋体" w:eastAsia="宋体" w:cs="宋体"/>
          <w:sz w:val="21"/>
          <w:szCs w:val="21"/>
          <w:u w:val="single"/>
        </w:rPr>
        <w:t>保有随时修改的权力。</w:t>
      </w:r>
    </w:p>
    <w:p w14:paraId="151FE0EB">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2.4施工现场、施工条件和基础资料的提供：</w:t>
      </w:r>
    </w:p>
    <w:p w14:paraId="026625F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 xml:space="preserve">（1）施工场地具备施工条件的要求及完成的时间： </w:t>
      </w:r>
      <w:r>
        <w:rPr>
          <w:rFonts w:hint="eastAsia" w:ascii="宋体" w:hAnsi="宋体" w:eastAsia="宋体" w:cs="宋体"/>
          <w:kern w:val="0"/>
          <w:sz w:val="21"/>
          <w:szCs w:val="21"/>
          <w:u w:val="single"/>
        </w:rPr>
        <w:t>施工场地已经具备施工条件。</w:t>
      </w:r>
    </w:p>
    <w:p w14:paraId="0444C59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（2）将施工所需的水、电、电讯线路接至施工场地的时间、地点和供应要求：</w:t>
      </w:r>
      <w:r>
        <w:rPr>
          <w:rFonts w:hint="eastAsia" w:ascii="宋体" w:hAnsi="宋体" w:eastAsia="宋体" w:cs="宋体"/>
          <w:kern w:val="0"/>
          <w:sz w:val="21"/>
          <w:szCs w:val="21"/>
          <w:u w:val="single"/>
        </w:rPr>
        <w:t>发包人提供接水、接电、通信的位置，并协助承包人办理有关手续，承包人自行安装计量设备并承担安装费用和水电使用费用及其他产生的费用。</w:t>
      </w:r>
    </w:p>
    <w:p w14:paraId="3EE4AF5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（3）由发包人办理的施工所需证件、批件的名称和完成时间: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w:t>
      </w:r>
    </w:p>
    <w:p w14:paraId="365B3C1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（4）水准点与座标控制点要求：</w:t>
      </w:r>
      <w:r>
        <w:rPr>
          <w:rFonts w:hint="eastAsia" w:ascii="宋体" w:hAnsi="宋体" w:eastAsia="宋体" w:cs="宋体"/>
          <w:kern w:val="0"/>
          <w:sz w:val="21"/>
          <w:szCs w:val="21"/>
          <w:u w:val="single"/>
        </w:rPr>
        <w:t xml:space="preserve"> 如果需要，承包人进场后现场交验，做好交验记录</w:t>
      </w:r>
      <w:r>
        <w:rPr>
          <w:rFonts w:hint="eastAsia" w:ascii="宋体" w:hAnsi="宋体" w:eastAsia="宋体" w:cs="宋体"/>
          <w:kern w:val="0"/>
          <w:sz w:val="21"/>
          <w:szCs w:val="21"/>
        </w:rPr>
        <w:t>。</w:t>
      </w:r>
    </w:p>
    <w:p w14:paraId="7C3EB01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（5）图纸会审和设计交底时间：</w:t>
      </w:r>
      <w:r>
        <w:rPr>
          <w:rFonts w:hint="eastAsia" w:ascii="宋体" w:hAnsi="宋体" w:eastAsia="宋体" w:cs="宋体"/>
          <w:kern w:val="0"/>
          <w:sz w:val="21"/>
          <w:szCs w:val="21"/>
          <w:u w:val="single"/>
        </w:rPr>
        <w:t xml:space="preserve"> 开工前，由发包人组织承包人、设计院、监理人等相关单位进行图纸会审和设计交底，具体时间发包人以书面形式通知承包人</w:t>
      </w:r>
      <w:r>
        <w:rPr>
          <w:rFonts w:hint="eastAsia" w:ascii="宋体" w:hAnsi="宋体" w:eastAsia="宋体" w:cs="宋体"/>
          <w:kern w:val="0"/>
          <w:sz w:val="21"/>
          <w:szCs w:val="21"/>
        </w:rPr>
        <w:t>。</w:t>
      </w:r>
    </w:p>
    <w:p w14:paraId="64E15DD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（6）双方约定发包人应做的其他工作：</w:t>
      </w:r>
      <w:r>
        <w:rPr>
          <w:rFonts w:hint="eastAsia" w:ascii="宋体" w:hAnsi="宋体" w:eastAsia="宋体" w:cs="宋体"/>
          <w:kern w:val="0"/>
          <w:sz w:val="21"/>
          <w:szCs w:val="21"/>
          <w:u w:val="single"/>
        </w:rPr>
        <w:t>无</w:t>
      </w:r>
      <w:r>
        <w:rPr>
          <w:rFonts w:hint="eastAsia" w:ascii="宋体" w:hAnsi="宋体" w:eastAsia="宋体" w:cs="宋体"/>
          <w:kern w:val="0"/>
          <w:sz w:val="21"/>
          <w:szCs w:val="21"/>
        </w:rPr>
        <w:t>。</w:t>
      </w:r>
    </w:p>
    <w:p w14:paraId="494DDE33">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3.承包人</w:t>
      </w:r>
    </w:p>
    <w:p w14:paraId="5A8A4782">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3.1承包人的一般义务：</w:t>
      </w:r>
    </w:p>
    <w:p w14:paraId="1D0EEA5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（1）应提供计划、报表的名称及完成时间:</w:t>
      </w:r>
      <w:r>
        <w:rPr>
          <w:rFonts w:hint="eastAsia" w:ascii="宋体" w:hAnsi="宋体" w:eastAsia="宋体" w:cs="宋体"/>
          <w:kern w:val="0"/>
          <w:sz w:val="21"/>
          <w:szCs w:val="21"/>
          <w:u w:val="single"/>
        </w:rPr>
        <w:t>1、图纸会审后7天内，承包人应编制施工组织设计、专项施工方案及详细的工期、质量、安全文明保证措施方案，并报监理工程师审定。2、已完工程量和施工形象进度月报表为每月25日</w:t>
      </w:r>
      <w:r>
        <w:rPr>
          <w:rFonts w:hint="eastAsia" w:ascii="宋体" w:hAnsi="宋体" w:eastAsia="宋体" w:cs="宋体"/>
          <w:kern w:val="0"/>
          <w:sz w:val="21"/>
          <w:szCs w:val="21"/>
        </w:rPr>
        <w:t>。</w:t>
      </w:r>
    </w:p>
    <w:p w14:paraId="17A1B54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b/>
          <w:bCs/>
          <w:kern w:val="0"/>
          <w:sz w:val="21"/>
          <w:szCs w:val="21"/>
          <w:u w:val="single"/>
        </w:rPr>
      </w:pPr>
      <w:r>
        <w:rPr>
          <w:rFonts w:hint="eastAsia" w:ascii="宋体" w:hAnsi="宋体" w:eastAsia="宋体" w:cs="宋体"/>
          <w:kern w:val="0"/>
          <w:sz w:val="21"/>
          <w:szCs w:val="21"/>
        </w:rPr>
        <w:t>（2）需由业务范围允许且有相应设计资质等级的承包人完成的设计文件提交时间:</w:t>
      </w:r>
      <w:r>
        <w:rPr>
          <w:rFonts w:hint="eastAsia" w:ascii="宋体" w:hAnsi="宋体" w:eastAsia="宋体" w:cs="宋体"/>
          <w:kern w:val="0"/>
          <w:sz w:val="21"/>
          <w:szCs w:val="21"/>
          <w:u w:val="single"/>
        </w:rPr>
        <w:t>承包人承包范围内需二次或深化设计的工程项目设计文件、技术经济指标（如有需要），应在相关工作开工前14日向发包人提交，由发包人确认后方可实施</w:t>
      </w:r>
      <w:r>
        <w:rPr>
          <w:rFonts w:hint="eastAsia" w:ascii="宋体" w:hAnsi="宋体" w:eastAsia="宋体" w:cs="宋体"/>
          <w:kern w:val="0"/>
          <w:sz w:val="21"/>
          <w:szCs w:val="21"/>
        </w:rPr>
        <w:t>。</w:t>
      </w:r>
    </w:p>
    <w:p w14:paraId="3DF1658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b/>
          <w:bCs/>
          <w:kern w:val="0"/>
          <w:sz w:val="21"/>
          <w:szCs w:val="21"/>
          <w:u w:val="single"/>
        </w:rPr>
      </w:pPr>
      <w:r>
        <w:rPr>
          <w:rFonts w:hint="eastAsia" w:ascii="宋体" w:hAnsi="宋体" w:eastAsia="宋体" w:cs="宋体"/>
          <w:kern w:val="0"/>
          <w:sz w:val="21"/>
          <w:szCs w:val="21"/>
        </w:rPr>
        <w:t>（3）承担施工安全保卫工作及非夜间施工照明的责任和要求:</w:t>
      </w:r>
      <w:r>
        <w:rPr>
          <w:rFonts w:hint="eastAsia" w:ascii="宋体" w:hAnsi="宋体" w:eastAsia="宋体" w:cs="宋体"/>
          <w:kern w:val="0"/>
          <w:sz w:val="21"/>
          <w:szCs w:val="21"/>
          <w:u w:val="single"/>
        </w:rPr>
        <w:t>承包人按《郑州市建筑工地文明施工管理规定》执行</w:t>
      </w:r>
      <w:r>
        <w:rPr>
          <w:rFonts w:hint="eastAsia" w:ascii="宋体" w:hAnsi="宋体" w:eastAsia="宋体" w:cs="宋体"/>
          <w:kern w:val="0"/>
          <w:sz w:val="21"/>
          <w:szCs w:val="21"/>
        </w:rPr>
        <w:t>。</w:t>
      </w:r>
    </w:p>
    <w:p w14:paraId="24AA69F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（5）承包人办理的有关施工场地交通、环卫和施工噪音管理等手续:</w:t>
      </w:r>
      <w:r>
        <w:rPr>
          <w:rFonts w:hint="eastAsia" w:ascii="宋体" w:hAnsi="宋体" w:eastAsia="宋体" w:cs="宋体"/>
          <w:kern w:val="0"/>
          <w:sz w:val="21"/>
          <w:szCs w:val="21"/>
          <w:u w:val="single"/>
        </w:rPr>
        <w:t xml:space="preserve"> 遵守地方政府和有关部门对施工场地交通、环卫和施工噪音等管理规定，并办理相关审批手续。所有手续的费用由承包人承担。承包人应采取有效措施尽量减小尘土和噪音污染，需要进行夜间作业时应经发包人批准。按监理要求标准化管理及环保要求实施施工管理并承担相关费用，发包人给予配合</w:t>
      </w:r>
      <w:r>
        <w:rPr>
          <w:rFonts w:hint="eastAsia" w:ascii="宋体" w:hAnsi="宋体" w:eastAsia="宋体" w:cs="宋体"/>
          <w:kern w:val="0"/>
          <w:sz w:val="21"/>
          <w:szCs w:val="21"/>
        </w:rPr>
        <w:t>。</w:t>
      </w:r>
    </w:p>
    <w:p w14:paraId="1FE6966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b/>
          <w:bCs/>
          <w:kern w:val="0"/>
          <w:sz w:val="21"/>
          <w:szCs w:val="21"/>
          <w:u w:val="single"/>
        </w:rPr>
      </w:pPr>
      <w:r>
        <w:rPr>
          <w:rFonts w:hint="eastAsia" w:ascii="宋体" w:hAnsi="宋体" w:eastAsia="宋体" w:cs="宋体"/>
          <w:kern w:val="0"/>
          <w:sz w:val="21"/>
          <w:szCs w:val="21"/>
        </w:rPr>
        <w:t>（6）完工工程成品保护的特殊要求及费用承担:</w:t>
      </w:r>
      <w:r>
        <w:rPr>
          <w:rFonts w:hint="eastAsia" w:ascii="宋体" w:hAnsi="宋体" w:eastAsia="宋体" w:cs="宋体"/>
          <w:kern w:val="0"/>
          <w:sz w:val="21"/>
          <w:szCs w:val="21"/>
          <w:u w:val="single"/>
        </w:rPr>
        <w:t xml:space="preserve"> 在工程竣工验收交付前，由承包人对已完工程成品保护，并承担施工交叉作业引起损坏的修复费用和成品保护费用</w:t>
      </w:r>
      <w:r>
        <w:rPr>
          <w:rFonts w:hint="eastAsia" w:ascii="宋体" w:hAnsi="宋体" w:eastAsia="宋体" w:cs="宋体"/>
          <w:kern w:val="0"/>
          <w:sz w:val="21"/>
          <w:szCs w:val="21"/>
        </w:rPr>
        <w:t>。</w:t>
      </w:r>
    </w:p>
    <w:p w14:paraId="21BA9757">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（7）施工现场清洁卫生的要求：</w:t>
      </w:r>
      <w:r>
        <w:rPr>
          <w:rFonts w:hint="eastAsia" w:ascii="宋体" w:hAnsi="宋体" w:eastAsia="宋体" w:cs="宋体"/>
          <w:kern w:val="0"/>
          <w:sz w:val="21"/>
          <w:szCs w:val="21"/>
          <w:u w:val="single"/>
        </w:rPr>
        <w:t xml:space="preserve"> 承包人按《郑州市建筑工地文明管理规定》有关条款执行，承包人施工范围内的场地清洁卫生由承包人负责，并要求做到“工完、料净、场地清”。工程交付使用后7日内承包人拆除所有临建、撤走机具、人员，并按发包人要求清理现场</w:t>
      </w:r>
      <w:r>
        <w:rPr>
          <w:rFonts w:hint="eastAsia" w:ascii="宋体" w:hAnsi="宋体" w:eastAsia="宋体" w:cs="宋体"/>
          <w:kern w:val="0"/>
          <w:sz w:val="21"/>
          <w:szCs w:val="21"/>
        </w:rPr>
        <w:t>。</w:t>
      </w:r>
    </w:p>
    <w:p w14:paraId="72B0C41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（8）施工现场周围地下管线和邻近建筑物、构筑物（含文物保护建筑）、古树名木的保护要求及费用承担：</w:t>
      </w:r>
      <w:r>
        <w:rPr>
          <w:rFonts w:hint="eastAsia" w:ascii="宋体" w:hAnsi="宋体" w:eastAsia="宋体" w:cs="宋体"/>
          <w:kern w:val="0"/>
          <w:sz w:val="21"/>
          <w:szCs w:val="21"/>
          <w:u w:val="single"/>
        </w:rPr>
        <w:t xml:space="preserve"> 承包人应根据审批的施工方案，认真做好施工场地周围地下、地上各种管线和设备设施的保护工作，因调查不详或施工原因造成防护不当的责任和损失由承包人负责</w:t>
      </w:r>
      <w:r>
        <w:rPr>
          <w:rFonts w:hint="eastAsia" w:ascii="宋体" w:hAnsi="宋体" w:eastAsia="宋体" w:cs="宋体"/>
          <w:kern w:val="0"/>
          <w:sz w:val="21"/>
          <w:szCs w:val="21"/>
        </w:rPr>
        <w:t>。</w:t>
      </w:r>
    </w:p>
    <w:p w14:paraId="5BF369A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w:t>
      </w:r>
      <w:r>
        <w:rPr>
          <w:rFonts w:hint="eastAsia" w:ascii="宋体" w:hAnsi="宋体" w:eastAsia="宋体" w:cs="宋体"/>
          <w:kern w:val="0"/>
          <w:sz w:val="21"/>
          <w:szCs w:val="21"/>
          <w:u w:val="single"/>
        </w:rPr>
        <w:t>承包人应配合发包人办理施工所需证件、批件及其他相关手续</w:t>
      </w:r>
      <w:r>
        <w:rPr>
          <w:rFonts w:hint="eastAsia" w:ascii="宋体" w:hAnsi="宋体" w:eastAsia="宋体" w:cs="宋体"/>
          <w:kern w:val="0"/>
          <w:sz w:val="21"/>
          <w:szCs w:val="21"/>
        </w:rPr>
        <w:t>。</w:t>
      </w:r>
    </w:p>
    <w:p w14:paraId="06B5646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（10）</w:t>
      </w:r>
      <w:r>
        <w:rPr>
          <w:rFonts w:hint="eastAsia" w:ascii="宋体" w:hAnsi="宋体" w:eastAsia="宋体" w:cs="宋体"/>
          <w:kern w:val="0"/>
          <w:sz w:val="21"/>
          <w:szCs w:val="21"/>
          <w:u w:val="single"/>
        </w:rPr>
        <w:t>承包人应按建筑行政管理部门和相关部门的要求，设置护板、围栏等设施等，以保护公共安全，费用自理。杜绝重大人身伤亡及设备事故，如有发生，每发生一次重大人身伤亡及以上重大事故，发包人将对承包人处以10万元的罚金。履约担保不足支付罚款时，从工程结算款中补充扣除。如在施工期间出现人员伤亡（含第三方），承包人承担全部责任。</w:t>
      </w:r>
    </w:p>
    <w:p w14:paraId="478CB2E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w:t>
      </w:r>
      <w:r>
        <w:rPr>
          <w:rFonts w:hint="eastAsia" w:ascii="宋体" w:hAnsi="宋体" w:eastAsia="宋体" w:cs="宋体"/>
          <w:kern w:val="0"/>
          <w:sz w:val="21"/>
          <w:szCs w:val="21"/>
          <w:u w:val="single"/>
        </w:rPr>
        <w:t>承包人负责施工用水、电、通讯、道路等设施日常维护工作，以确保施工正常安全进行，费用自理。</w:t>
      </w:r>
    </w:p>
    <w:p w14:paraId="32BCB51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（12）</w:t>
      </w:r>
      <w:r>
        <w:rPr>
          <w:rFonts w:hint="eastAsia" w:ascii="宋体" w:hAnsi="宋体" w:eastAsia="宋体" w:cs="宋体"/>
          <w:kern w:val="0"/>
          <w:sz w:val="21"/>
          <w:szCs w:val="21"/>
          <w:u w:val="single"/>
        </w:rPr>
        <w:t>承包人应及时将所采购的设备、材料运至工地现场，并承担提供全部试验、试样及检测的费用；当承包人必须开展与本合同有关的各种试验、试样、检测工作不符合现行有关规定（包括不及时开展相关工作）时，发包人有权直接指定符合有关规定的试验检测机构进行相关试验、试样、检测工作，由此发生的所有费用由承包人承担</w:t>
      </w:r>
      <w:r>
        <w:rPr>
          <w:rFonts w:hint="eastAsia" w:ascii="宋体" w:hAnsi="宋体" w:eastAsia="宋体" w:cs="宋体"/>
          <w:kern w:val="0"/>
          <w:sz w:val="21"/>
          <w:szCs w:val="21"/>
        </w:rPr>
        <w:t>。</w:t>
      </w:r>
    </w:p>
    <w:p w14:paraId="19C3F7C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（13）</w:t>
      </w:r>
      <w:r>
        <w:rPr>
          <w:rFonts w:hint="eastAsia" w:ascii="宋体" w:hAnsi="宋体" w:eastAsia="宋体" w:cs="宋体"/>
          <w:kern w:val="0"/>
          <w:sz w:val="21"/>
          <w:szCs w:val="21"/>
          <w:u w:val="single"/>
        </w:rPr>
        <w:t>承包人在投标文件中所有的承诺与优惠措施及投标答应承诺应真实有效，承包人应严格执行。</w:t>
      </w:r>
    </w:p>
    <w:p w14:paraId="4D4BB48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（14）</w:t>
      </w:r>
      <w:r>
        <w:rPr>
          <w:rFonts w:hint="eastAsia" w:ascii="宋体" w:hAnsi="宋体" w:eastAsia="宋体" w:cs="宋体"/>
          <w:kern w:val="0"/>
          <w:sz w:val="21"/>
          <w:szCs w:val="21"/>
          <w:u w:val="single"/>
        </w:rPr>
        <w:t>承包人应全权负责其劳务及职员的雇佣、工资的支付、房屋、膳食及运输的安排。承包人在任何时候应采取一切合理的预防措施，以防止发生任何违法的、妨害治安的行为，并维护治安和保护工程附近的个人或财产免遭破坏。</w:t>
      </w:r>
    </w:p>
    <w:p w14:paraId="357B48B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（15）</w:t>
      </w:r>
      <w:r>
        <w:rPr>
          <w:rFonts w:hint="eastAsia" w:ascii="宋体" w:hAnsi="宋体" w:eastAsia="宋体" w:cs="宋体"/>
          <w:kern w:val="0"/>
          <w:sz w:val="21"/>
          <w:szCs w:val="21"/>
          <w:u w:val="single"/>
        </w:rPr>
        <w:t>承包人应按安全施工管理有关规定，配备安全管理机构，配备合格的安全管理人员，负责处理全体工作人员和劳务人员的安全保护和事故预防等问题。</w:t>
      </w:r>
    </w:p>
    <w:p w14:paraId="3D73FC3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（16）</w:t>
      </w:r>
      <w:r>
        <w:rPr>
          <w:rFonts w:hint="eastAsia" w:ascii="宋体" w:hAnsi="宋体" w:eastAsia="宋体" w:cs="宋体"/>
          <w:kern w:val="0"/>
          <w:sz w:val="21"/>
          <w:szCs w:val="21"/>
          <w:u w:val="single"/>
        </w:rPr>
        <w:t>承包人应配合发包人对拆除的旧材料进行回收或处理。</w:t>
      </w:r>
    </w:p>
    <w:p w14:paraId="5D04CD9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3.2项目经理</w:t>
      </w:r>
    </w:p>
    <w:p w14:paraId="6879404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3.2.1 项目经理：</w:t>
      </w:r>
    </w:p>
    <w:p w14:paraId="23819D9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姓    名： </w:t>
      </w:r>
    </w:p>
    <w:p w14:paraId="7EFBDB1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职    务：</w:t>
      </w:r>
    </w:p>
    <w:p w14:paraId="5D49D27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项目经理执业资格证书编号：      </w:t>
      </w:r>
    </w:p>
    <w:p w14:paraId="0FACD60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关于项目经理每周在施工现场的时间要求：</w:t>
      </w:r>
      <w:r>
        <w:rPr>
          <w:rFonts w:hint="eastAsia" w:ascii="宋体" w:hAnsi="宋体" w:eastAsia="宋体" w:cs="宋体"/>
          <w:kern w:val="0"/>
          <w:sz w:val="21"/>
          <w:szCs w:val="21"/>
          <w:u w:val="single"/>
        </w:rPr>
        <w:t>对中标项目经理实行签到制，项目经理每周在施工现场不得少于5天。</w:t>
      </w:r>
    </w:p>
    <w:p w14:paraId="112E7CC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承包人未提交劳动合同，以及没有为项目经理缴纳社会保险证明的违约责任：</w:t>
      </w:r>
      <w:r>
        <w:rPr>
          <w:rFonts w:hint="eastAsia" w:ascii="宋体" w:hAnsi="宋体" w:eastAsia="宋体" w:cs="宋体"/>
          <w:kern w:val="0"/>
          <w:sz w:val="21"/>
          <w:szCs w:val="21"/>
          <w:u w:val="single"/>
        </w:rPr>
        <w:t xml:space="preserve">承包人不提交上述文件的，项目经理无权履行职责，发包人有权要求更换项目经理，由此增加的费用和（或）延误的工期由承包人承担。 </w:t>
      </w:r>
    </w:p>
    <w:p w14:paraId="7ED4812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项目经理未经批准，擅自离开施工现场的违约责任：</w:t>
      </w:r>
      <w:r>
        <w:rPr>
          <w:rFonts w:hint="eastAsia" w:ascii="宋体" w:hAnsi="宋体" w:eastAsia="宋体" w:cs="宋体"/>
          <w:kern w:val="0"/>
          <w:sz w:val="21"/>
          <w:szCs w:val="21"/>
          <w:u w:val="single"/>
        </w:rPr>
        <w:t>发包人若发现项目经理无故不到位，每发现1天将向发包人支付违约金伍仟元（5000元）。未经发包人书面许可，连续5天或累计15天无故不到位者，发包人有权终止合同并进行索赔。</w:t>
      </w:r>
    </w:p>
    <w:p w14:paraId="7348CD3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3.2.3 承包人擅自更换项目经理的违约责任：</w:t>
      </w:r>
      <w:r>
        <w:rPr>
          <w:rFonts w:hint="eastAsia" w:ascii="宋体" w:hAnsi="宋体" w:eastAsia="宋体" w:cs="宋体"/>
          <w:kern w:val="0"/>
          <w:sz w:val="21"/>
          <w:szCs w:val="21"/>
          <w:u w:val="single"/>
        </w:rPr>
        <w:t>中标的项目经理不得更换，否则，向发包人支付违约金20万元。</w:t>
      </w:r>
    </w:p>
    <w:p w14:paraId="3345B53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3.2.4 承包人无正当理由拒绝更换项目经理的违约责任：</w:t>
      </w:r>
      <w:r>
        <w:rPr>
          <w:rFonts w:hint="eastAsia" w:ascii="宋体" w:hAnsi="宋体" w:eastAsia="宋体" w:cs="宋体"/>
          <w:kern w:val="0"/>
          <w:sz w:val="21"/>
          <w:szCs w:val="21"/>
          <w:u w:val="single"/>
        </w:rPr>
        <w:t>向发包人支付违约金20万元。</w:t>
      </w:r>
    </w:p>
    <w:p w14:paraId="4D350974">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3.3 承包人人员</w:t>
      </w:r>
    </w:p>
    <w:p w14:paraId="4DA2F7D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3.3.1 承包人提交项目管理机构及施工现场管理人员安排报告的期限：</w:t>
      </w:r>
      <w:r>
        <w:rPr>
          <w:rFonts w:hint="eastAsia" w:ascii="宋体" w:hAnsi="宋体" w:eastAsia="宋体" w:cs="宋体"/>
          <w:kern w:val="0"/>
          <w:sz w:val="21"/>
          <w:szCs w:val="21"/>
          <w:u w:val="single"/>
        </w:rPr>
        <w:t>开工日期前7天 。</w:t>
      </w:r>
    </w:p>
    <w:p w14:paraId="6AC4084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3.3.3承包人无正当理由拒绝撤换主要施工管理人员的违约责任：</w:t>
      </w:r>
      <w:r>
        <w:rPr>
          <w:rFonts w:hint="eastAsia" w:ascii="宋体" w:hAnsi="宋体" w:eastAsia="宋体" w:cs="宋体"/>
          <w:kern w:val="0"/>
          <w:sz w:val="21"/>
          <w:szCs w:val="21"/>
          <w:u w:val="single"/>
        </w:rPr>
        <w:t>在发包人规定的期限内未更换，向发包人支付违约金10万元。</w:t>
      </w:r>
    </w:p>
    <w:p w14:paraId="2536974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3.3.4承包人擅自更换主要施工管理人员的违约责任：</w:t>
      </w:r>
      <w:r>
        <w:rPr>
          <w:rFonts w:hint="eastAsia" w:ascii="宋体" w:hAnsi="宋体" w:eastAsia="宋体" w:cs="宋体"/>
          <w:kern w:val="0"/>
          <w:sz w:val="21"/>
          <w:szCs w:val="21"/>
          <w:u w:val="single"/>
        </w:rPr>
        <w:t>承包人在投标书中承诺的项目主要施工管理人员必须按时到位，未经发包人书面许可，承包人不得更换其中任何成员。如若必须更换的，须经发包人书面许可，每发生1名，发包人将索赔人民币1万元，且调整人数不得超过20%。未经发包人书面许可更换的，每发现1名，发包人将索赔人民币5万元，但总调整人数超过20%时，发包人有权终止合同，由此引起的经济损失由承包人负责。</w:t>
      </w:r>
    </w:p>
    <w:p w14:paraId="4C03543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3.3.5承包人主要施工管理人员擅自离开施工现场的违约责任：</w:t>
      </w:r>
      <w:r>
        <w:rPr>
          <w:rFonts w:hint="eastAsia" w:ascii="宋体" w:hAnsi="宋体" w:eastAsia="宋体" w:cs="宋体"/>
          <w:kern w:val="0"/>
          <w:sz w:val="21"/>
          <w:szCs w:val="21"/>
          <w:u w:val="single"/>
        </w:rPr>
        <w:t>承包人在投标书中承诺的主要施工管理人员必须按时到位，每周不得少于5天，承包人进场后，发包人将对承包人投标书中所列的项目部主要工种工长以上人员进行真实性及到岗率复核，未经招标人同意擅离工作岗位的，承包人向发包人支付违约金500元/天·人。</w:t>
      </w:r>
    </w:p>
    <w:p w14:paraId="375E3D03">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3.7 履约担保</w:t>
      </w:r>
    </w:p>
    <w:p w14:paraId="6166DFC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承包人是否提供履约担保：</w:t>
      </w:r>
      <w:r>
        <w:rPr>
          <w:rFonts w:hint="eastAsia" w:ascii="宋体" w:hAnsi="宋体" w:eastAsia="宋体" w:cs="宋体"/>
          <w:kern w:val="0"/>
          <w:sz w:val="21"/>
          <w:szCs w:val="21"/>
          <w:u w:val="single"/>
        </w:rPr>
        <w:t xml:space="preserve">  提供     。</w:t>
      </w:r>
    </w:p>
    <w:p w14:paraId="2F9383E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承包人提供履约担保的形式、金额及期限:</w:t>
      </w:r>
    </w:p>
    <w:p w14:paraId="04E5114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时间：投标人收到中标通知书10日内；</w:t>
      </w:r>
    </w:p>
    <w:p w14:paraId="0DADFA1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履约保证金的形式：履约保证金或银行开具的履约保函；</w:t>
      </w:r>
    </w:p>
    <w:p w14:paraId="2B275CF7">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履约保证金的金额：合同金额的5%。</w:t>
      </w:r>
    </w:p>
    <w:p w14:paraId="47FF002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履约保证金退还：项目竣工验收后发包人无息退还给承包人。</w:t>
      </w:r>
    </w:p>
    <w:p w14:paraId="380F450D">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kern w:val="0"/>
          <w:sz w:val="21"/>
          <w:szCs w:val="21"/>
        </w:rPr>
      </w:pPr>
      <w:r>
        <w:rPr>
          <w:rFonts w:hint="eastAsia" w:ascii="宋体" w:hAnsi="宋体" w:eastAsia="宋体" w:cs="宋体"/>
          <w:b/>
          <w:kern w:val="0"/>
          <w:sz w:val="21"/>
          <w:szCs w:val="21"/>
        </w:rPr>
        <w:t>4.监理人</w:t>
      </w:r>
    </w:p>
    <w:p w14:paraId="4C606A74">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4.1监理人的一般规定</w:t>
      </w:r>
    </w:p>
    <w:p w14:paraId="13BD811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关于监理人的监理内容：</w:t>
      </w:r>
      <w:r>
        <w:rPr>
          <w:rFonts w:hint="eastAsia" w:ascii="宋体" w:hAnsi="宋体" w:eastAsia="宋体" w:cs="宋体"/>
          <w:kern w:val="0"/>
          <w:sz w:val="21"/>
          <w:szCs w:val="21"/>
          <w:u w:val="single"/>
        </w:rPr>
        <w:t xml:space="preserve"> 施工组织设计及方案审批权，施工阶段对建设工程质量、造价、进度进行控制，工程质量签认权、进出场材料（设备）检验权及批准使用权，对工程建设相关方的关系进行协调，索赔审核权，并履行建设工程安全生产管理法定职责的服务活动。 </w:t>
      </w:r>
    </w:p>
    <w:p w14:paraId="7450DE3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关于监理人的监理权限：</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凡涉及工程价款及工期调整的，需经发包人、监理人书面确认。</w:t>
      </w:r>
    </w:p>
    <w:p w14:paraId="3D568BEB">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4.2监理单位委派的总监理工程师</w:t>
      </w:r>
    </w:p>
    <w:p w14:paraId="1B94EF1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color w:val="FF0000"/>
          <w:kern w:val="0"/>
          <w:sz w:val="21"/>
          <w:szCs w:val="21"/>
        </w:rPr>
      </w:pPr>
      <w:r>
        <w:rPr>
          <w:rFonts w:hint="eastAsia" w:ascii="宋体" w:hAnsi="宋体" w:eastAsia="宋体" w:cs="宋体"/>
          <w:kern w:val="0"/>
          <w:sz w:val="21"/>
          <w:szCs w:val="21"/>
        </w:rPr>
        <w:t>姓名：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职务：  </w:t>
      </w:r>
      <w:r>
        <w:rPr>
          <w:rFonts w:hint="eastAsia" w:ascii="宋体" w:hAnsi="宋体" w:eastAsia="宋体" w:cs="宋体"/>
          <w:kern w:val="0"/>
          <w:sz w:val="21"/>
          <w:szCs w:val="21"/>
          <w:u w:val="single"/>
        </w:rPr>
        <w:t xml:space="preserve">  总监理工程师   </w:t>
      </w:r>
      <w:r>
        <w:rPr>
          <w:rFonts w:hint="eastAsia" w:ascii="宋体" w:hAnsi="宋体" w:eastAsia="宋体" w:cs="宋体"/>
          <w:kern w:val="0"/>
          <w:sz w:val="21"/>
          <w:szCs w:val="21"/>
        </w:rPr>
        <w:t xml:space="preserve">  </w:t>
      </w:r>
    </w:p>
    <w:p w14:paraId="63F03C3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5、工程质量</w:t>
      </w:r>
    </w:p>
    <w:p w14:paraId="0B946214">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kern w:val="0"/>
          <w:sz w:val="21"/>
          <w:szCs w:val="21"/>
        </w:rPr>
      </w:pPr>
      <w:r>
        <w:rPr>
          <w:rFonts w:hint="eastAsia" w:ascii="宋体" w:hAnsi="宋体" w:eastAsia="宋体" w:cs="宋体"/>
          <w:b/>
          <w:kern w:val="0"/>
          <w:sz w:val="21"/>
          <w:szCs w:val="21"/>
        </w:rPr>
        <w:t>5.3.隐蔽工程检查</w:t>
      </w:r>
    </w:p>
    <w:p w14:paraId="3974264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5.3.2双方约定中间验收部位：</w:t>
      </w:r>
      <w:r>
        <w:rPr>
          <w:rFonts w:hint="eastAsia" w:ascii="宋体" w:hAnsi="宋体" w:eastAsia="宋体" w:cs="宋体"/>
          <w:kern w:val="0"/>
          <w:sz w:val="21"/>
          <w:szCs w:val="21"/>
          <w:u w:val="single"/>
        </w:rPr>
        <w:t xml:space="preserve"> 按当地质量监督部门和监理工程师的要求执行。</w:t>
      </w:r>
    </w:p>
    <w:p w14:paraId="71078FBD">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6、安全文明施工与环境保护</w:t>
      </w:r>
    </w:p>
    <w:p w14:paraId="51FDCAF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承包人应在施工组织设计中针对工程特点，提出安全文明施工措施，保证安全施工。承包人不应对公众的便利及公用道路使用或占有，应严格遵照发包人的现场布置要求堆放施工用材料、设施等。未经发包人的同意，不得擅自占用其他场地，因施工引起的各类安全事故的相关责任和费用由承包人承担。</w:t>
      </w:r>
    </w:p>
    <w:p w14:paraId="014C6447">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bCs/>
          <w:kern w:val="0"/>
          <w:sz w:val="21"/>
          <w:szCs w:val="21"/>
          <w:u w:val="single"/>
        </w:rPr>
        <w:t>必须严格按照郑州市安全文明施工管理规定和发包人的要求落实相关安全文明施工设施，费用中投标报价中考虑。</w:t>
      </w:r>
    </w:p>
    <w:p w14:paraId="1A987CE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施工范围内的治安保卫工作由承包人自行安排，费用自行承担，但是不得与发包人的管理有冲突。</w:t>
      </w:r>
    </w:p>
    <w:p w14:paraId="0A5ADB4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7.工期和进度</w:t>
      </w:r>
    </w:p>
    <w:p w14:paraId="171EDBD9">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7.1 施工组织设计</w:t>
      </w:r>
    </w:p>
    <w:p w14:paraId="6188390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7.1.2承包人提交详细施工组织设计的期限的约定：</w:t>
      </w:r>
      <w:r>
        <w:rPr>
          <w:rFonts w:hint="eastAsia" w:ascii="宋体" w:hAnsi="宋体" w:eastAsia="宋体" w:cs="宋体"/>
          <w:kern w:val="0"/>
          <w:sz w:val="21"/>
          <w:szCs w:val="21"/>
          <w:u w:val="single"/>
        </w:rPr>
        <w:t>承包人应根据发包人和监理工程师提出的意见，按要求修改施工组织设计和施工进度计划，并于开工前7天内提供。</w:t>
      </w:r>
    </w:p>
    <w:p w14:paraId="120940A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u w:val="single"/>
        </w:rPr>
      </w:pPr>
      <w:r>
        <w:rPr>
          <w:rFonts w:hint="eastAsia" w:ascii="宋体" w:hAnsi="宋体" w:eastAsia="宋体" w:cs="宋体"/>
          <w:b/>
          <w:bCs/>
          <w:kern w:val="0"/>
          <w:sz w:val="21"/>
          <w:szCs w:val="21"/>
          <w:u w:val="single"/>
        </w:rPr>
        <w:t>承包人进场后上报的施工组织设计应是在投标时的施工组织设计的基础上，根据现场实际情况进行优化完善，以满足施工需要，且不因此增加任何措施费用。</w:t>
      </w:r>
    </w:p>
    <w:p w14:paraId="152FF0F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7.5工期延误</w:t>
      </w:r>
    </w:p>
    <w:p w14:paraId="7B4D88C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7.5.2 因承包人原因导致工期延误</w:t>
      </w:r>
    </w:p>
    <w:p w14:paraId="22B3A17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因承包人原因造成工期延误，逾期竣工违约金的计算方法为：</w:t>
      </w:r>
    </w:p>
    <w:p w14:paraId="3EF0692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合同工期拖延先缴纳10万元违约金后，发包人再对承包人实施5000元/天的累加违约金。</w:t>
      </w:r>
    </w:p>
    <w:p w14:paraId="7C4DF47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 xml:space="preserve"> 合同总金额的10%。</w:t>
      </w:r>
    </w:p>
    <w:p w14:paraId="028D370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8.材料和设备</w:t>
      </w:r>
    </w:p>
    <w:p w14:paraId="41A4FE4D">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8.1.承包人采购材料设备</w:t>
      </w:r>
    </w:p>
    <w:p w14:paraId="4E22A33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8.1.1承包人采购材料设备的约定：</w:t>
      </w:r>
    </w:p>
    <w:p w14:paraId="5BAEC0C6">
      <w:pPr>
        <w:keepNext w:val="0"/>
        <w:keepLines w:val="0"/>
        <w:pageBreakBefore w:val="0"/>
        <w:widowControl w:val="0"/>
        <w:numPr>
          <w:ilvl w:val="0"/>
          <w:numId w:val="4"/>
        </w:numPr>
        <w:kinsoku/>
        <w:wordWrap/>
        <w:overflowPunct/>
        <w:topLinePunct w:val="0"/>
        <w:autoSpaceDE/>
        <w:autoSpaceDN/>
        <w:bidi w:val="0"/>
        <w:snapToGrid/>
        <w:spacing w:line="396"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u w:val="single"/>
        </w:rPr>
        <w:t>主</w:t>
      </w:r>
      <w:r>
        <w:rPr>
          <w:rFonts w:hint="eastAsia" w:ascii="宋体" w:hAnsi="宋体" w:eastAsia="宋体" w:cs="宋体"/>
          <w:bCs/>
          <w:color w:val="auto"/>
          <w:spacing w:val="-2"/>
          <w:kern w:val="0"/>
          <w:sz w:val="21"/>
          <w:szCs w:val="21"/>
          <w:highlight w:val="none"/>
          <w:u w:val="single"/>
        </w:rPr>
        <w:t>要材料必须选用国内一线品牌，品牌范围参见第六章《主要材料材质及品牌一览表》。承包人在投标标价中应综合考虑国内一线品牌价格，在综合单价中予以反映；如因特殊原因需要变更材料品牌，材料在采购前上报至少3个品牌或规格的相关资料及样品，经发包人审核同意后方可采购，不因发包人指定或要求的品牌再提出材料费用差额要求，发包人也不再进行材料的认价工作。所有主要材料的质量标准必须满足设计和发包人的要求，并提供产品合格证书及材质检验证明，在采购时需发包人、监理人、承包人共同考察；所有材料设备均需报验。</w:t>
      </w:r>
    </w:p>
    <w:p w14:paraId="5463E9EC">
      <w:pPr>
        <w:keepNext w:val="0"/>
        <w:keepLines w:val="0"/>
        <w:pageBreakBefore w:val="0"/>
        <w:widowControl w:val="0"/>
        <w:numPr>
          <w:ilvl w:val="0"/>
          <w:numId w:val="4"/>
        </w:numPr>
        <w:kinsoku/>
        <w:wordWrap/>
        <w:overflowPunct/>
        <w:topLinePunct w:val="0"/>
        <w:autoSpaceDE/>
        <w:autoSpaceDN/>
        <w:bidi w:val="0"/>
        <w:snapToGrid/>
        <w:spacing w:line="396"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如果承包人所提供材料连续两次因质量问题，如不满足招标文件、图纸、规范要求，以及未报检送样经发包人和监理方认可，擅自使用的，发包人有权指定生产商和供货商，由此造成的损失由承包人承担。</w:t>
      </w:r>
    </w:p>
    <w:p w14:paraId="789E836B">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10.工程变更 </w:t>
      </w:r>
    </w:p>
    <w:p w14:paraId="0B0E6BB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rPr>
        <w:t>10.1工程设计变更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需提前7天以书面形式向承包人发出变更通知。</w:t>
      </w:r>
    </w:p>
    <w:p w14:paraId="3C0D7EC6">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rPr>
        <w:t>10.4变更估价原则</w:t>
      </w:r>
    </w:p>
    <w:p w14:paraId="70283F7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变更估计原则</w:t>
      </w:r>
    </w:p>
    <w:p w14:paraId="23E5567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关于变更估价的约定:工程变更费用须监理人审查，发包人书面确认。</w:t>
      </w:r>
    </w:p>
    <w:p w14:paraId="68EA2B21">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u w:val="single"/>
        </w:rPr>
      </w:pPr>
      <w:r>
        <w:rPr>
          <w:rFonts w:hint="eastAsia" w:ascii="宋体" w:hAnsi="宋体" w:eastAsia="宋体" w:cs="宋体"/>
          <w:b/>
          <w:bCs/>
          <w:color w:val="auto"/>
          <w:kern w:val="0"/>
          <w:sz w:val="21"/>
          <w:szCs w:val="21"/>
          <w:highlight w:val="none"/>
          <w:u w:val="single"/>
        </w:rPr>
        <w:t>计价原则：①已标价工程量清单中有适用的综合单价，按照已有的综合单价确定；②已标价工程量清单中没有适用或类似的</w:t>
      </w:r>
      <w:r>
        <w:rPr>
          <w:rFonts w:hint="eastAsia" w:ascii="宋体" w:hAnsi="宋体" w:eastAsia="宋体" w:cs="宋体"/>
          <w:b/>
          <w:bCs/>
          <w:kern w:val="0"/>
          <w:sz w:val="21"/>
          <w:szCs w:val="21"/>
          <w:u w:val="single"/>
        </w:rPr>
        <w:t>综合单价，由承包人提出综合单价，综合单价执行《河南省房屋建筑与装饰工程预算定额（HA 01-31-2016）》、《河南省通用安装工程预算定额（HA 02-31-2016）》、《河南省市政工程预算定额（HA A1-31-2016）》、《建设工程工程量清单计价规范》（GB50500-2013）及省、市有关造价管理规定，材料价格按照投标文件中已标价工程量清单中的材料价格执行，如投标文件中已标价工程量清单中的无相应材料价格则按照施工同期郑州市建设工程造价管理办公室发布的《郑州市建设工程材料基准价格信息》进行计算，如果信息价也无相应材料价格，则有发包人、监理、承包人进行认价。</w:t>
      </w:r>
    </w:p>
    <w:p w14:paraId="64558CA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u w:val="single"/>
        </w:rPr>
      </w:pPr>
      <w:r>
        <w:rPr>
          <w:rFonts w:hint="eastAsia" w:ascii="宋体" w:hAnsi="宋体" w:eastAsia="宋体" w:cs="宋体"/>
          <w:b/>
          <w:bCs/>
          <w:kern w:val="0"/>
          <w:sz w:val="21"/>
          <w:szCs w:val="21"/>
          <w:u w:val="single"/>
        </w:rPr>
        <w:t>变更综合单价=经发包人确认后的综合单价×（中标价-发包人供应材料价）/（招标控制价-发包人供应材料价）（若承包人承诺更优惠的费率，按更优惠的费率执行）</w:t>
      </w:r>
    </w:p>
    <w:p w14:paraId="2CC5178C">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12. 合同价格、计量与支付</w:t>
      </w:r>
    </w:p>
    <w:p w14:paraId="1806A629">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12.1合同价格形式</w:t>
      </w:r>
    </w:p>
    <w:p w14:paraId="24EFD37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12.1.1本合同价款采用</w:t>
      </w:r>
      <w:r>
        <w:rPr>
          <w:rFonts w:hint="eastAsia" w:ascii="宋体" w:hAnsi="宋体" w:eastAsia="宋体" w:cs="宋体"/>
          <w:kern w:val="0"/>
          <w:sz w:val="21"/>
          <w:szCs w:val="21"/>
          <w:u w:val="single"/>
        </w:rPr>
        <w:t xml:space="preserve">  固定单价  </w:t>
      </w:r>
      <w:r>
        <w:rPr>
          <w:rFonts w:hint="eastAsia" w:ascii="宋体" w:hAnsi="宋体" w:eastAsia="宋体" w:cs="宋体"/>
          <w:kern w:val="0"/>
          <w:sz w:val="21"/>
          <w:szCs w:val="21"/>
        </w:rPr>
        <w:t>方式确定。</w:t>
      </w:r>
    </w:p>
    <w:p w14:paraId="502D7A0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(1)综合单价（包含但不限于）的风险范围：</w:t>
      </w:r>
      <w:r>
        <w:rPr>
          <w:rFonts w:hint="eastAsia" w:ascii="宋体" w:hAnsi="宋体" w:eastAsia="宋体" w:cs="宋体"/>
          <w:kern w:val="0"/>
          <w:sz w:val="21"/>
          <w:szCs w:val="21"/>
          <w:u w:val="single"/>
        </w:rPr>
        <w:t>① 工程量的变化；② 施工期间停水、停电引起的费用增加；③市场价格的变化；④材料设备检验或试验的费用；⑤因实际需要进行的赶工；⑥施工条件变化的风险；⑦为保证医院正常医疗秩序的临时停工的风险。</w:t>
      </w:r>
    </w:p>
    <w:p w14:paraId="3931D14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风险费用的计算方法：</w:t>
      </w:r>
      <w:r>
        <w:rPr>
          <w:rFonts w:hint="eastAsia" w:ascii="宋体" w:hAnsi="宋体" w:eastAsia="宋体" w:cs="宋体"/>
          <w:kern w:val="0"/>
          <w:sz w:val="21"/>
          <w:szCs w:val="21"/>
          <w:u w:val="single"/>
        </w:rPr>
        <w:t>在投标报价时考虑</w:t>
      </w:r>
      <w:r>
        <w:rPr>
          <w:rFonts w:hint="eastAsia" w:ascii="宋体" w:hAnsi="宋体" w:eastAsia="宋体" w:cs="宋体"/>
          <w:kern w:val="0"/>
          <w:sz w:val="21"/>
          <w:szCs w:val="21"/>
        </w:rPr>
        <w:t>。</w:t>
      </w:r>
    </w:p>
    <w:p w14:paraId="679C745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风险范围以外合同价格的调整方法：</w:t>
      </w:r>
    </w:p>
    <w:p w14:paraId="7BB35F8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计价原则：①已标价工程量清单中有适用的综合单价，按照已有的综合单价确定；</w:t>
      </w:r>
      <w:r>
        <w:rPr>
          <w:rFonts w:hint="eastAsia" w:ascii="宋体" w:hAnsi="宋体" w:eastAsia="宋体" w:cs="宋体"/>
          <w:b/>
          <w:bCs/>
          <w:kern w:val="0"/>
          <w:sz w:val="21"/>
          <w:szCs w:val="21"/>
          <w:u w:val="single"/>
        </w:rPr>
        <w:t>②</w:t>
      </w:r>
      <w:r>
        <w:rPr>
          <w:rFonts w:hint="eastAsia" w:ascii="宋体" w:hAnsi="宋体" w:eastAsia="宋体" w:cs="宋体"/>
          <w:kern w:val="0"/>
          <w:sz w:val="21"/>
          <w:szCs w:val="21"/>
          <w:u w:val="single"/>
        </w:rPr>
        <w:t>已标价工程量清单中没有适用或类似的综合单价，由承包人提出综合单价，综合单价执行《河南省房屋建筑与装饰工程预算定额（HA 01-31-2016）》、《河南省通用安装工程预算定额（HA 02-31-2016）》、《河南省市政工程预算定额（HA A1-31-2016）》、《建设工程工程量清单计价规范》（GB50500-2013）及省、市有关造价管理规定，</w:t>
      </w:r>
      <w:r>
        <w:rPr>
          <w:rFonts w:hint="eastAsia" w:ascii="宋体" w:hAnsi="宋体" w:eastAsia="宋体" w:cs="宋体"/>
          <w:bCs/>
          <w:kern w:val="0"/>
          <w:sz w:val="21"/>
          <w:szCs w:val="21"/>
          <w:u w:val="single"/>
        </w:rPr>
        <w:t>材料价格按照投标文件中已标价工程量清单中的材料价格执行，如投标文件中已标价工程量清单中的无相应材料价格则按照施工同期郑州市建设工程造价管理办公室发布的《郑州市建设工程材料基准价格信息》进行计算，如果信息价也无相应材料价格，则有发包人、监理、承包人进行认价</w:t>
      </w:r>
      <w:r>
        <w:rPr>
          <w:rFonts w:hint="eastAsia" w:ascii="宋体" w:hAnsi="宋体" w:eastAsia="宋体" w:cs="宋体"/>
          <w:kern w:val="0"/>
          <w:sz w:val="21"/>
          <w:szCs w:val="21"/>
          <w:u w:val="single"/>
        </w:rPr>
        <w:t>。</w:t>
      </w:r>
    </w:p>
    <w:p w14:paraId="688DB216">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u w:val="single"/>
        </w:rPr>
      </w:pPr>
      <w:r>
        <w:rPr>
          <w:rFonts w:hint="eastAsia" w:ascii="宋体" w:hAnsi="宋体" w:eastAsia="宋体" w:cs="宋体"/>
          <w:b/>
          <w:bCs/>
          <w:kern w:val="0"/>
          <w:sz w:val="21"/>
          <w:szCs w:val="21"/>
          <w:u w:val="single"/>
        </w:rPr>
        <w:t>变更综合单价=经发包人确认后的综合单价×（中标价-发包人供应材料价）/（招标控制价-发包人供应材料价）（若承包人承诺更优惠的费率，按更优惠的费率执行）</w:t>
      </w:r>
    </w:p>
    <w:p w14:paraId="7B37A776">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12.2工程预付款</w:t>
      </w:r>
    </w:p>
    <w:p w14:paraId="0CFF836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双方约定的工程款（进度款）支付的方式和时间：</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rPr>
        <w:t xml:space="preserve">∥ </w:t>
      </w:r>
    </w:p>
    <w:p w14:paraId="32F0610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12.3计量</w:t>
      </w:r>
    </w:p>
    <w:p w14:paraId="144489C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12.3.1承包人向工程师提交已完工程量报告的时间：</w:t>
      </w:r>
      <w:r>
        <w:rPr>
          <w:rFonts w:hint="eastAsia" w:ascii="宋体" w:hAnsi="宋体" w:eastAsia="宋体" w:cs="宋体"/>
          <w:kern w:val="0"/>
          <w:sz w:val="21"/>
          <w:szCs w:val="21"/>
          <w:u w:val="single"/>
        </w:rPr>
        <w:t>每月25日前。</w:t>
      </w:r>
    </w:p>
    <w:p w14:paraId="4A01F05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12.4进度款审核和支付</w:t>
      </w:r>
    </w:p>
    <w:p w14:paraId="14DC4C9F">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12.4.2监理人审查并报送发包人的期限：</w:t>
      </w:r>
      <w:r>
        <w:rPr>
          <w:rFonts w:hint="eastAsia" w:ascii="宋体" w:hAnsi="宋体" w:eastAsia="宋体" w:cs="宋体"/>
          <w:kern w:val="0"/>
          <w:sz w:val="21"/>
          <w:szCs w:val="21"/>
          <w:u w:val="single"/>
        </w:rPr>
        <w:t>监理人应在收到承包人进度付款申请单以及相关资料后7天内完成审查并报送发包人。</w:t>
      </w:r>
    </w:p>
    <w:p w14:paraId="1BF058C8">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12.4.4进度款审核和支付：</w:t>
      </w:r>
    </w:p>
    <w:p w14:paraId="403B6D1D">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在工程进展中，每月25日前承包人上报当月完成工程量，按发包人、监理单位、跟踪审计核定的形象进度的已完且合格工程的80%支付工程进度款，工程完工并通过五大责任主体竣工验收合格后，经发包人审计结算，支付价款至工程审计结算价的97%，剩余3%待缺陷责任期满后30日内支付（无息）。工程款以转帐方式支付（附发票）。</w:t>
      </w:r>
    </w:p>
    <w:p w14:paraId="17CA783E">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因特殊原因造成发包人不能及时支付工程进度款，承包人应无条件连续施工六个月。</w:t>
      </w:r>
    </w:p>
    <w:p w14:paraId="62083695">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13.验收和工程试车</w:t>
      </w:r>
    </w:p>
    <w:p w14:paraId="66CE2302">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13.2竣工验收</w:t>
      </w:r>
    </w:p>
    <w:p w14:paraId="2A6CB9D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13.2.2竣工验收程序</w:t>
      </w:r>
    </w:p>
    <w:p w14:paraId="5CCDC0D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关于竣工验收程序的约定</w:t>
      </w:r>
      <w:r>
        <w:rPr>
          <w:rFonts w:hint="eastAsia" w:ascii="宋体" w:hAnsi="宋体" w:eastAsia="宋体" w:cs="宋体"/>
          <w:kern w:val="0"/>
          <w:sz w:val="21"/>
          <w:szCs w:val="21"/>
          <w:u w:val="single"/>
        </w:rPr>
        <w:t>：工程完成，达到合同要求的竣工验收条件后，由承包人向监理人报送竣工验收申请报告；监理人会同承包人进行初步验收，初步验收合格后；发包人组织监理人、承包人、设计人、审计公司等相关单位完成竣工验收。竣工验收通过的，验收合格之日即为竣工日期。在竣工验收后承包人向发包人提供六套竣工图纸和相关技术资料、电子文本一套（竣工后14天内）。</w:t>
      </w:r>
    </w:p>
    <w:p w14:paraId="070BABD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 xml:space="preserve">对竣工图纸要求如下： </w:t>
      </w:r>
      <w:r>
        <w:rPr>
          <w:rFonts w:hint="eastAsia" w:ascii="宋体" w:hAnsi="宋体" w:eastAsia="宋体" w:cs="宋体"/>
          <w:kern w:val="0"/>
          <w:sz w:val="21"/>
          <w:szCs w:val="21"/>
          <w:u w:val="single"/>
        </w:rPr>
        <w:t>(1)工程中有设计变更，承包人在施工图变更位置注明，并连同经发包人同意的变更签证，于竣工后由承包人加盖公章，经监理人签字盖章后，交发包人；(2)对于原施工图难以作为竣工图，应由承包人组织重新绘制竣工图并承担相应费用，经监理人签字盖章后，交发包人。</w:t>
      </w:r>
    </w:p>
    <w:p w14:paraId="3F1300A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中间交工工程的范围和竣工时间：</w:t>
      </w:r>
      <w:r>
        <w:rPr>
          <w:rFonts w:hint="eastAsia" w:ascii="宋体" w:hAnsi="宋体" w:eastAsia="宋体" w:cs="宋体"/>
          <w:kern w:val="0"/>
          <w:sz w:val="21"/>
          <w:szCs w:val="21"/>
          <w:u w:val="single"/>
        </w:rPr>
        <w:t xml:space="preserve"> 按监理工程师要求。</w:t>
      </w:r>
    </w:p>
    <w:p w14:paraId="597B3C7A">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14. 竣工结算</w:t>
      </w:r>
    </w:p>
    <w:p w14:paraId="46D4E1B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14.1 依据</w:t>
      </w:r>
    </w:p>
    <w:p w14:paraId="2A9B33C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（1）《建设工程工程量清单计价规范》（GB50500-2013）</w:t>
      </w:r>
    </w:p>
    <w:p w14:paraId="7790CF5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（2）施工合同</w:t>
      </w:r>
    </w:p>
    <w:p w14:paraId="7EDA107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（3）工程竣工图纸及资料</w:t>
      </w:r>
    </w:p>
    <w:p w14:paraId="7AEF1EC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（4）各方确认的工程量</w:t>
      </w:r>
    </w:p>
    <w:p w14:paraId="6DF3F5E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（5）各方确认追加(减)的工程价款</w:t>
      </w:r>
    </w:p>
    <w:p w14:paraId="50C5D71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（6）各方确认的索赔、现场签证事项及价款</w:t>
      </w:r>
    </w:p>
    <w:p w14:paraId="231BC87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（7）投标文件</w:t>
      </w:r>
    </w:p>
    <w:p w14:paraId="45ECAAA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（8）招标文件</w:t>
      </w:r>
    </w:p>
    <w:p w14:paraId="2B785A6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（9）其他依据</w:t>
      </w:r>
    </w:p>
    <w:p w14:paraId="266D8DF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14.2 分部分项工程费应依据双方确认的工程量、合同约定的综合单价计算；如发生调整的，以发包人、承包人、监理、跟踪审计多方共同确认调整的综合单价计算。</w:t>
      </w:r>
    </w:p>
    <w:p w14:paraId="4546A70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14.3 措施项目费应依据合同约定的项目和金额计算；如发生调整的，以发包人、承包人、监理、审计多方共同确认调整的金额计算，其中安全文明施工费应按河南省行业建设主管部门的计价规定计算。</w:t>
      </w:r>
    </w:p>
    <w:p w14:paraId="2D3DD94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14.4 其他项目费用应按下列规定计算：</w:t>
      </w:r>
    </w:p>
    <w:p w14:paraId="0A4961F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（1）计日工应按发包人实际签证确认的事项计算；</w:t>
      </w:r>
    </w:p>
    <w:p w14:paraId="0D0C7DC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（2）暂估价中的材料单价应按发、承包双方最终确认价在综合单价中调整；专业工程暂估价应按中标价或发包人、承包人与分包人最终确认价计算；</w:t>
      </w:r>
    </w:p>
    <w:p w14:paraId="4984871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（3）根据招标文件，本工程施工配合费承包人在投标报价中已包含，发包人不再单独列项承担，该部分费用数额由承包人与总包单位自行协商，该工作在合同签订前应协商完毕；</w:t>
      </w:r>
    </w:p>
    <w:p w14:paraId="602CC05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（4）索赔费用应依据发包人、监理、审计、承包人多方共同确认的索赔事项和金额计算；</w:t>
      </w:r>
    </w:p>
    <w:p w14:paraId="557C1E8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（5）现场签证费用应依据发包人、监理、审计、承包人多方共同签证资料确认的金额计算；</w:t>
      </w:r>
    </w:p>
    <w:p w14:paraId="14D1BD9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（6）暂列金额应减去工程价款调整与索赔、现场签证金额计算，如有余额归发包人。</w:t>
      </w:r>
    </w:p>
    <w:p w14:paraId="56C0A26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（7）因为承包人原因引起的变更，不予以调整。</w:t>
      </w:r>
    </w:p>
    <w:p w14:paraId="3594E1C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14.5 规费和税金按河南省行业建设主管部门的规定计算。</w:t>
      </w:r>
    </w:p>
    <w:p w14:paraId="01671F1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签证审核：承包人应当将调整原因、金额</w:t>
      </w:r>
      <w:r>
        <w:rPr>
          <w:rFonts w:hint="eastAsia" w:ascii="宋体" w:hAnsi="宋体" w:eastAsia="宋体" w:cs="宋体"/>
          <w:bCs/>
          <w:kern w:val="0"/>
          <w:sz w:val="21"/>
          <w:szCs w:val="21"/>
          <w:u w:val="single"/>
        </w:rPr>
        <w:t>以书面形式通知监理人、审计、发包人</w:t>
      </w:r>
      <w:r>
        <w:rPr>
          <w:rFonts w:hint="eastAsia" w:ascii="宋体" w:hAnsi="宋体" w:eastAsia="宋体" w:cs="宋体"/>
          <w:kern w:val="0"/>
          <w:sz w:val="21"/>
          <w:szCs w:val="21"/>
          <w:u w:val="single"/>
        </w:rPr>
        <w:t>，多方共同确认调整金额后作为追加合同价款，在工程结算时一并予以审核确认。</w:t>
      </w:r>
    </w:p>
    <w:p w14:paraId="44C4D0B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14.6 竣工结算审核</w:t>
      </w:r>
    </w:p>
    <w:p w14:paraId="0865DF97">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u w:val="single"/>
        </w:rPr>
      </w:pPr>
      <w:r>
        <w:rPr>
          <w:rFonts w:hint="eastAsia" w:ascii="宋体" w:hAnsi="宋体" w:eastAsia="宋体" w:cs="宋体"/>
          <w:b/>
          <w:bCs/>
          <w:kern w:val="0"/>
          <w:sz w:val="21"/>
          <w:szCs w:val="21"/>
          <w:u w:val="single"/>
        </w:rPr>
        <w:t>本工程竣工结算纳入河南省人民医院审计，审计中审减不审增。若承包人所报结算价的审减率在5%-10%（含5%）的，审计费用由承包方承担50%；若审减率超过10%（含10%）的，承包方承担全部审计费用；审减率在20%以上（含20%）的，将列入河南省人民医院投资建设“黑名单“，不得参与医院投资项目招投标，承包人若需支付审计费，审计费从竣工结算款中扣除。</w:t>
      </w:r>
    </w:p>
    <w:p w14:paraId="1FF737B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本项目竣工结算优惠率为：（投标总价-合同总价）/投标总价。签证变更等执行竣工结算优惠率，认质认价材料参与优惠。</w:t>
      </w:r>
    </w:p>
    <w:p w14:paraId="36BD6EA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发包人完成竣工付款的期限：</w:t>
      </w:r>
      <w:r>
        <w:rPr>
          <w:rFonts w:hint="eastAsia" w:ascii="宋体" w:hAnsi="宋体" w:eastAsia="宋体" w:cs="宋体"/>
          <w:kern w:val="0"/>
          <w:sz w:val="21"/>
          <w:szCs w:val="21"/>
          <w:u w:val="single"/>
        </w:rPr>
        <w:t>发包人根据竣工结算报告与承包人进行结算，工程结算价款的支付以发包人审计部门批复后的日期为准，三个月内支付结算价款。发包人不承担审计审批期间未支付工程款的利息。</w:t>
      </w:r>
    </w:p>
    <w:p w14:paraId="576E4FC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关于竣工付款证书异议部分复核的方式和程序：</w:t>
      </w:r>
      <w:r>
        <w:rPr>
          <w:rFonts w:hint="eastAsia" w:ascii="宋体" w:hAnsi="宋体" w:eastAsia="宋体" w:cs="宋体"/>
          <w:kern w:val="0"/>
          <w:sz w:val="21"/>
          <w:szCs w:val="21"/>
          <w:u w:val="single"/>
        </w:rPr>
        <w:t xml:space="preserve"> 双方协商。</w:t>
      </w:r>
    </w:p>
    <w:p w14:paraId="5613B8A8">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16.违约</w:t>
      </w:r>
    </w:p>
    <w:p w14:paraId="4B6B42C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16.1本合同中关于发包人违约的具体责任如下：</w:t>
      </w:r>
    </w:p>
    <w:p w14:paraId="15C4712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16.2本合同中关于承包人违约的具体责任如下：</w:t>
      </w:r>
    </w:p>
    <w:p w14:paraId="623BD5E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16.2.1承包人赔偿金额按下列方法确定：</w:t>
      </w:r>
    </w:p>
    <w:p w14:paraId="4E3ED7A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1、因承包人违约给发包人造成直接经济损失的，承包人除交纳违约金外，还应支付赔偿金。</w:t>
      </w:r>
    </w:p>
    <w:p w14:paraId="472E509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2、承包人违反本合同的约定，应当按约定向发包人承担相应的违约责任，违约责任形式包括但不限于：</w:t>
      </w:r>
    </w:p>
    <w:p w14:paraId="2AE255F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（1）限期改正。承包人未履行或未按时履行或未按质履行义务时，发包人有权提出书面警告，承包人必须在发包人限定的时间内履行义务。每一次书面警告必须向发包人交纳违约金10000元。</w:t>
      </w:r>
    </w:p>
    <w:p w14:paraId="21A7AC8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（2）一般违约责任。承包人按本合同约定应当承担一般违约责任时，必须向发包人交纳违约金50000元。</w:t>
      </w:r>
    </w:p>
    <w:p w14:paraId="4DFA845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（3）严重违约责任。承包人按本合同约定应当承担严重违约责任时，必须向发包人交纳违约金200000元。</w:t>
      </w:r>
    </w:p>
    <w:p w14:paraId="63CB9D0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3、承包人累计三次严重违约责任，发包人有权单方解除合同。</w:t>
      </w:r>
    </w:p>
    <w:p w14:paraId="53900B1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4、承包人违约需向发包人支付违约金时，发包人有权从应支付承包人的工程款中直接抵扣。</w:t>
      </w:r>
    </w:p>
    <w:p w14:paraId="77698E8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5、当承包人无正当理由而不履行或不充分履行其相关承诺及施工义务、本合同中约定的施工工作内容，发包人可书面通知承包人，指明其未能履行的内容和发包人要求其承担责任的等级。</w:t>
      </w:r>
    </w:p>
    <w:p w14:paraId="724E7EF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为保证工程建设项目有序、规范和顺利进行，承包人必须主动支持发包人工作，对发包人的指令和书面通知，若无正当理由又未提前报告、得到认可，而公开或变相拒不执行，按承包人严重违约处理，同时，承包人还要承担发包人由此造成的一切经济损失。</w:t>
      </w:r>
    </w:p>
    <w:p w14:paraId="5560797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7、承包人未按承诺建立组织架构、派驻管理人员和投入设备，承包人必须按发包人要求限期整改，并承担相应违约责任。</w:t>
      </w:r>
    </w:p>
    <w:p w14:paraId="3461E717">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8、项目经理在本项目工作每月不少于22天，项目经理不在场期间应委托现场经理驻场行使其职权。管理人员在本项目工作每月不少于25天，否则每违约一次，发包人将要求承包人承担一般违约责任1次。</w:t>
      </w:r>
    </w:p>
    <w:p w14:paraId="29A3E6A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现场经理若需离开施工现场2日以上需报经发包人批准，总请假日数每月不得超过4日（含节假日）。在其请假离开的时间段内应由项目经理驻现场。否则每违约一次，发包人将要求承包人承担一般违约责任1次。</w:t>
      </w:r>
    </w:p>
    <w:p w14:paraId="5479CAC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10、发包人参加的会议，项目经理必须到会，未经发包人同意不到会者，承包人应当承担限期改正责任1次。</w:t>
      </w:r>
    </w:p>
    <w:p w14:paraId="16473BF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11、承包人在工程施工过程中应认真做好职责范围内的相关工程资料。若发现存在缺失资料的现象则根据缺失资料数量及重要程度承担一般违约责任1次。</w:t>
      </w:r>
    </w:p>
    <w:p w14:paraId="4093464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12、工程出现一人受伤，处以书面警告一次，并支付10000元违约金，违约金按人数累计；工程出现一人死亡，处以严重违约责任一次，违约金按人数累计。此处罚不能抵消国家或地方有关部门的处罚。</w:t>
      </w:r>
    </w:p>
    <w:p w14:paraId="749819B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13、工程未按预先制定的节点工期完成，视为一般违约责任1次。</w:t>
      </w:r>
    </w:p>
    <w:p w14:paraId="7640637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承包人必须使用本企业施工队伍进行施工，不得以任何形式转包，或未经发包人书面认可分包给他人。如发现有上述情况，发包人有权终止施工合同，并按施工合同价的10%扣除违约金，由此造成的其他经济损失，由承包人全部承担 。</w:t>
      </w:r>
    </w:p>
    <w:p w14:paraId="31A6FD5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注：所有罚款和违约金在发出书面通知的当期进度款中扣除。</w:t>
      </w:r>
    </w:p>
    <w:p w14:paraId="1594DC5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双方约定的承包人其他违约责任：</w:t>
      </w:r>
      <w:r>
        <w:rPr>
          <w:rFonts w:hint="eastAsia" w:ascii="宋体" w:hAnsi="宋体" w:eastAsia="宋体" w:cs="宋体"/>
          <w:kern w:val="0"/>
          <w:sz w:val="21"/>
          <w:szCs w:val="21"/>
          <w:u w:val="single"/>
        </w:rPr>
        <w:t xml:space="preserve"> 协商 </w:t>
      </w:r>
    </w:p>
    <w:p w14:paraId="45166960">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17.不可抗力</w:t>
      </w:r>
    </w:p>
    <w:p w14:paraId="57009BC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17.1双方关于不可抗力的约定： </w:t>
      </w:r>
      <w:r>
        <w:rPr>
          <w:rFonts w:hint="eastAsia" w:ascii="宋体" w:hAnsi="宋体" w:eastAsia="宋体" w:cs="宋体"/>
          <w:kern w:val="0"/>
          <w:sz w:val="21"/>
          <w:szCs w:val="21"/>
          <w:u w:val="single"/>
        </w:rPr>
        <w:t>灾害性的暴风、雪、洪、震和特大暴雨，视为不可抗力（以政府有关部门公布的为准）。</w:t>
      </w:r>
      <w:r>
        <w:rPr>
          <w:rFonts w:hint="eastAsia" w:ascii="宋体" w:hAnsi="宋体" w:eastAsia="宋体" w:cs="宋体"/>
          <w:kern w:val="0"/>
          <w:sz w:val="21"/>
          <w:szCs w:val="21"/>
        </w:rPr>
        <w:t xml:space="preserve">  </w:t>
      </w:r>
    </w:p>
    <w:p w14:paraId="38DB8EA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17.2本工程双方约定投保内容如下:</w:t>
      </w:r>
    </w:p>
    <w:p w14:paraId="75A0DF0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(l)发包人投保内容: </w:t>
      </w:r>
      <w:r>
        <w:rPr>
          <w:rFonts w:hint="eastAsia" w:ascii="宋体" w:hAnsi="宋体" w:eastAsia="宋体" w:cs="宋体"/>
          <w:kern w:val="0"/>
          <w:sz w:val="21"/>
          <w:szCs w:val="21"/>
          <w:u w:val="single"/>
        </w:rPr>
        <w:t xml:space="preserve">       /                            </w:t>
      </w:r>
    </w:p>
    <w:p w14:paraId="514AC75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发包人委托承包人办理的保险事项:</w:t>
      </w:r>
      <w:r>
        <w:rPr>
          <w:rFonts w:hint="eastAsia" w:ascii="宋体" w:hAnsi="宋体" w:eastAsia="宋体" w:cs="宋体"/>
          <w:kern w:val="0"/>
          <w:sz w:val="21"/>
          <w:szCs w:val="21"/>
          <w:u w:val="single"/>
        </w:rPr>
        <w:t xml:space="preserve">    /                   </w:t>
      </w:r>
    </w:p>
    <w:p w14:paraId="5E37BBCB">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b/>
          <w:bCs/>
          <w:kern w:val="0"/>
          <w:sz w:val="21"/>
          <w:szCs w:val="21"/>
        </w:rPr>
      </w:pPr>
      <w:r>
        <w:rPr>
          <w:rFonts w:hint="eastAsia" w:ascii="宋体" w:hAnsi="宋体" w:eastAsia="宋体" w:cs="宋体"/>
          <w:kern w:val="0"/>
          <w:sz w:val="21"/>
          <w:szCs w:val="21"/>
        </w:rPr>
        <w:t>(2)承包人投保内容:</w:t>
      </w:r>
      <w:r>
        <w:rPr>
          <w:rFonts w:hint="eastAsia" w:ascii="宋体" w:hAnsi="宋体" w:eastAsia="宋体" w:cs="宋体"/>
          <w:kern w:val="0"/>
          <w:sz w:val="21"/>
          <w:szCs w:val="21"/>
          <w:u w:val="single"/>
        </w:rPr>
        <w:t>自身的财产及施工现场内的自身员工的人员伤害及财产，从事危险作业员工的意外伤害，由投保人负责其费用。</w:t>
      </w:r>
    </w:p>
    <w:p w14:paraId="07F8D4F4">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20.争议解决</w:t>
      </w:r>
    </w:p>
    <w:p w14:paraId="0878703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20.1双方约定，在履行合同过程中产生争议时：</w:t>
      </w:r>
    </w:p>
    <w:p w14:paraId="115EB02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因本合同引起的或与本合同相关的任何争议，合同双方友好协商，协商不成的，发承包双方均可向发包人所在地人民法院起诉。</w:t>
      </w:r>
    </w:p>
    <w:p w14:paraId="09FEF273">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21.补充条款</w:t>
      </w:r>
    </w:p>
    <w:p w14:paraId="0239A52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1.承包人必须保证节假日正常施工，每发现一天节假日停工，扣除承包人工程合同价款的万分之一作为处罚。</w:t>
      </w:r>
    </w:p>
    <w:p w14:paraId="3960A784">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2.因承包人管理不善，使得与本工程无关闲杂人员进入工地现场，发生的一切安全事故、事件，一切责任后果由承包人承担；</w:t>
      </w:r>
    </w:p>
    <w:p w14:paraId="04DB2157">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3.承包人必须服从发包人和监理人的管理，不得与发包人现场管理人员和监理人员起冲突，若有意见分歧，双方协商解决；若发生冲突，承包人须给予相关人员相应处罚，并承担一切损失；</w:t>
      </w:r>
    </w:p>
    <w:p w14:paraId="61C0320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4.承包人负责施工现场成品的保护工作，因承包人施工造成的原有成品拆除、恢复、修复等费用均由承包人承担，该费用计入投标报价之内，如未计入，视为优惠。</w:t>
      </w:r>
    </w:p>
    <w:p w14:paraId="2E860BB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5.承包人自行办理进驻现场与施工有关的全部手续，并承担相应费用；承包人施工用水用电，分别装表计量，水电费的线路损坏由承包人承担。</w:t>
      </w:r>
    </w:p>
    <w:p w14:paraId="3CD4C5B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6.现场签证每项工作内容费用含税造价不超过10,000元的，不进行签证，签证单中工作内容费用不累计计取。</w:t>
      </w:r>
    </w:p>
    <w:p w14:paraId="3BED442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7.施工图纸和工程量清单内未包括的工程内容，如发包人交由承包人施工，承包人应无条件同意施工，该工程的计价原则按变更估价原则执行。</w:t>
      </w:r>
    </w:p>
    <w:p w14:paraId="7F54A2F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8.关于竣工后服务的承诺：承包人承诺工程交工后，成立工程维修小组，对工程投入使用后发现的问题，进行跟踪维护和维修。交付使用后，承包人用户服务中心应以电话、信函、上门访问等形式进行定期回访，并在雨季、夏冬季进行季节性回访，对“四新”的应用进行技术性回访，以确保医务人员的工作环境舒适。</w:t>
      </w:r>
    </w:p>
    <w:p w14:paraId="177080A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9.发包人按合同支付第一次工程款时，承包人财务部门必须持政府介绍信和财务专用章到发包人财务部门确认“收款单位全称、账户、开户行”，此后承包人账号、开户行发生变更必须以书面形式通知发包人。发包人将工程款汇入双方确认的承包人账户。</w:t>
      </w:r>
    </w:p>
    <w:p w14:paraId="28F9FD2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10.施工现场不得建立生活区。</w:t>
      </w:r>
    </w:p>
    <w:p w14:paraId="53BB2B9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11.施工过程中各分项工程质量到不到相关规范及设计要求时，承包人须无条件返工，并采取相应的补救及预防措施，费用由承包人承担，工期不顺延。</w:t>
      </w:r>
    </w:p>
    <w:p w14:paraId="6D4B158C">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以下无正文。</w:t>
      </w:r>
    </w:p>
    <w:p w14:paraId="56A26FED">
      <w:pPr>
        <w:keepNext w:val="0"/>
        <w:keepLines w:val="0"/>
        <w:pageBreakBefore w:val="0"/>
        <w:widowControl w:val="0"/>
        <w:kinsoku/>
        <w:wordWrap/>
        <w:overflowPunct/>
        <w:topLinePunct w:val="0"/>
        <w:autoSpaceDE/>
        <w:autoSpaceDN/>
        <w:bidi w:val="0"/>
        <w:snapToGrid/>
        <w:spacing w:line="396" w:lineRule="auto"/>
        <w:ind w:firstLine="422" w:firstLineChars="200"/>
        <w:rPr>
          <w:rFonts w:hint="eastAsia" w:ascii="宋体" w:hAnsi="宋体" w:eastAsia="宋体" w:cs="宋体"/>
          <w:b/>
          <w:bCs/>
          <w:sz w:val="21"/>
          <w:szCs w:val="21"/>
        </w:rPr>
      </w:pPr>
    </w:p>
    <w:p w14:paraId="2594651B">
      <w:pPr>
        <w:keepNext w:val="0"/>
        <w:keepLines w:val="0"/>
        <w:pageBreakBefore w:val="0"/>
        <w:widowControl w:val="0"/>
        <w:kinsoku/>
        <w:wordWrap/>
        <w:overflowPunct/>
        <w:topLinePunct w:val="0"/>
        <w:autoSpaceDE/>
        <w:autoSpaceDN/>
        <w:bidi w:val="0"/>
        <w:snapToGrid/>
        <w:spacing w:line="396" w:lineRule="auto"/>
        <w:rPr>
          <w:rFonts w:hint="eastAsia" w:ascii="宋体" w:hAnsi="宋体" w:eastAsia="宋体" w:cs="宋体"/>
          <w:b/>
          <w:bCs/>
          <w:sz w:val="21"/>
          <w:szCs w:val="21"/>
        </w:rPr>
      </w:pPr>
      <w:r>
        <w:rPr>
          <w:rFonts w:hint="eastAsia" w:ascii="宋体" w:hAnsi="宋体" w:eastAsia="宋体" w:cs="宋体"/>
          <w:b/>
          <w:bCs/>
          <w:sz w:val="21"/>
          <w:szCs w:val="21"/>
        </w:rPr>
        <w:br w:type="page"/>
      </w:r>
      <w:r>
        <w:rPr>
          <w:rFonts w:hint="eastAsia" w:ascii="宋体" w:hAnsi="宋体" w:eastAsia="宋体" w:cs="宋体"/>
          <w:b/>
          <w:bCs/>
          <w:sz w:val="21"/>
          <w:szCs w:val="21"/>
        </w:rPr>
        <w:t>附件1.</w:t>
      </w:r>
    </w:p>
    <w:p w14:paraId="5D2111AA">
      <w:pPr>
        <w:keepNext w:val="0"/>
        <w:keepLines w:val="0"/>
        <w:pageBreakBefore w:val="0"/>
        <w:widowControl w:val="0"/>
        <w:kinsoku/>
        <w:wordWrap/>
        <w:overflowPunct/>
        <w:topLinePunct w:val="0"/>
        <w:autoSpaceDE/>
        <w:autoSpaceDN/>
        <w:bidi w:val="0"/>
        <w:snapToGrid/>
        <w:spacing w:line="396" w:lineRule="auto"/>
        <w:jc w:val="center"/>
        <w:rPr>
          <w:rFonts w:hint="eastAsia" w:ascii="宋体" w:hAnsi="宋体" w:eastAsia="宋体" w:cs="宋体"/>
          <w:b/>
          <w:sz w:val="21"/>
          <w:szCs w:val="21"/>
        </w:rPr>
      </w:pPr>
      <w:r>
        <w:rPr>
          <w:rFonts w:hint="eastAsia" w:ascii="宋体" w:hAnsi="宋体" w:eastAsia="宋体" w:cs="宋体"/>
          <w:b/>
          <w:sz w:val="21"/>
          <w:szCs w:val="21"/>
        </w:rPr>
        <w:t>发包工程安全文明施工协议</w:t>
      </w:r>
    </w:p>
    <w:p w14:paraId="32F5388E">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发包人（全称）：</w:t>
      </w:r>
      <w:r>
        <w:rPr>
          <w:rFonts w:hint="eastAsia" w:ascii="宋体" w:hAnsi="宋体" w:eastAsia="宋体" w:cs="宋体"/>
          <w:bCs/>
          <w:sz w:val="21"/>
          <w:szCs w:val="21"/>
          <w:u w:val="single"/>
        </w:rPr>
        <w:t>河南省人民医院</w:t>
      </w:r>
      <w:r>
        <w:rPr>
          <w:rFonts w:hint="eastAsia" w:ascii="宋体" w:hAnsi="宋体" w:eastAsia="宋体" w:cs="宋体"/>
          <w:sz w:val="21"/>
          <w:szCs w:val="21"/>
          <w:u w:val="single"/>
        </w:rPr>
        <w:t xml:space="preserve">  </w:t>
      </w:r>
    </w:p>
    <w:p w14:paraId="4E1706E7">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承包人（全称）：</w:t>
      </w:r>
      <w:r>
        <w:rPr>
          <w:rFonts w:hint="eastAsia" w:ascii="宋体" w:hAnsi="宋体" w:eastAsia="宋体" w:cs="宋体"/>
          <w:kern w:val="0"/>
          <w:sz w:val="21"/>
          <w:szCs w:val="21"/>
          <w:u w:val="single"/>
        </w:rPr>
        <w:t xml:space="preserve">                  </w:t>
      </w:r>
    </w:p>
    <w:p w14:paraId="5D58D1A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为了加强安全生产，严格工地纪律，便于管理，切实做到各自履行职责，确保本工程安全无事故，经协商，特签订如下条款，以兹约束。</w:t>
      </w:r>
    </w:p>
    <w:p w14:paraId="0F8239A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1、所有各参建单位必须严格执行国家、省、市关于安全生产的法律法规和规章，自觉服从和执行发包人和监理人关于安全生产以及文明施工方面的要求和规定。</w:t>
      </w:r>
    </w:p>
    <w:p w14:paraId="57A7BA3D">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2、对发包人和监理人下发的所有安全整改通知以及现场文明施工要及时回复或处理，拒不整改或者整改不及时、不到位者视其情况严重性处罚5000～10000元。</w:t>
      </w:r>
    </w:p>
    <w:p w14:paraId="3FC8187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3、施工现场应做到工完料清场净，文明施工。</w:t>
      </w:r>
    </w:p>
    <w:p w14:paraId="6C503B0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树立安全意识，加强安全教育，应加强对工地操作工人的安全教育和培训，每周（月）应有工地安全教育的记录，以备监理人检查。特别是新进工人的安全教育和培训，应有档案记载。经抽查，凡违反者，一次罚款10000～20000元。</w:t>
      </w:r>
    </w:p>
    <w:p w14:paraId="079F5DB6">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5、确保工地道路畅通、排水畅通，泥浆、污水、废水排放有序，违反者视其情况罚款20000～50000元。</w:t>
      </w:r>
    </w:p>
    <w:p w14:paraId="55CBCA9C">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6、建筑材料必须整齐堆放，名称、品种、规格等应悬挂标牌，以备相关部门和单位检查。对施工中的成品、半成品要堆放整齐，加强保护，应设置警示标志，严禁随处放置。违反者，视其情况处罚10000～50000元。</w:t>
      </w:r>
    </w:p>
    <w:p w14:paraId="66C70E9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7、特殊工种（电气焊工、电工、小型机械工等）必须持证上岗且证件在有效期内，检查发现无上岗证作业者，每发现一人罚款1000元。</w:t>
      </w:r>
    </w:p>
    <w:p w14:paraId="1A72E54F">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8、建筑垃圾必须按照施工组织设计的布置或者发包人和监理人的要求予以堆放，严禁随处丢掷，影响施工现场的形象。违反者，视其情况罚款20000～50000元。</w:t>
      </w:r>
    </w:p>
    <w:p w14:paraId="4ADB76A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9、易燃易爆品应分类存放，承包人应随时进行检查，发现隐患及时处理。凡违反者，一次罚款10000～20000元。</w:t>
      </w:r>
    </w:p>
    <w:p w14:paraId="7FA0628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10、为了保持现场清洁，文明施工，施工现场除指定地点处大小便外，严禁随地便溺。对随意大小便者罚款1000元，并责令立即清理干净。</w:t>
      </w:r>
    </w:p>
    <w:p w14:paraId="0CAF39EA">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11、要加强对现场工人的精神文明和思想品德的教育，施工现场严禁赌博、打架斗殴，酗酒闹事，凡发生者，均按每次20000元对项目部予以处罚。</w:t>
      </w:r>
    </w:p>
    <w:p w14:paraId="73F19540">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12、执行政府有关文明施工的管理规定，进行经常性的文明施工教育，完善“六牌二图”。工地应有标语、彩旗、安全警示牌。若做不到位，视其情况，予以处罚5000～10000元。</w:t>
      </w:r>
    </w:p>
    <w:p w14:paraId="764E7033">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发包人在办理与本工程有关手续需要承包人提供资料或配合时，承包人应无条件配合并按发包人要求及时提供，若因承包人不积极配合或因承包人原因导致发包人预定的工作内容不能按时完成的，每滞后一天罚款2000元，超出10天后，每滞后一天罚款3000元。</w:t>
      </w:r>
    </w:p>
    <w:p w14:paraId="16151B38">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14、承包人在施工过程中所产生的垃圾自行清理至现场发包人指定位置，若未按发包人要求及时清理，发包人有权自行处理，所产生费用由承包人承担且双倍从工程款中扣除。</w:t>
      </w:r>
    </w:p>
    <w:p w14:paraId="3535CF71">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承包人现场布置应经监理、发包人工程部批准后执行。未经批准或超过合同规定的工期，承包人临时建筑及施工机械等影响其他施工单位施工时必须无条件拆除或移位，不按要求拆除或移位的，由发包人委托他人拆除或移位，所发生费用从承包人工程款中扣除。经过批准在合同规定的工期之内，发包人需要施工单位临建、施工机械迁移的，承包人必须积极配合，费用由发包人承担，故意拖延、拒绝配合的，发包人有权对承包人进行2000～3000元的处罚。</w:t>
      </w:r>
    </w:p>
    <w:p w14:paraId="6FCBB632">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16、承包人负责协调地方关系，包括材料运输、采购、装卸、协调地方周边关系等全部环境因素，并承担相应费用。</w:t>
      </w:r>
    </w:p>
    <w:p w14:paraId="362BB209">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17、因承包人未及时支付工人工资及供货商货款，造成工地工人或供货商围堵工地、发包人办公场所的，每出现一次，承包人需向发包人支付违约金50000元。</w:t>
      </w:r>
    </w:p>
    <w:p w14:paraId="5D17A315">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承包人承诺遵守发包人要求的周报制度，周报在每周例会前一天报送监理工程师及发包人，周报包括本周完成工作、未完成情况说明（包括拟采取措施、最终完成时间）和下周计划。下周施工计划必须具体、详细，包括人力安排、增加人力的来源、工程量等。如不按时、按要求报送，承包人应接受发包人按照现场工程管理制度进行的处罚。</w:t>
      </w:r>
    </w:p>
    <w:p w14:paraId="05B4ABEE">
      <w:pPr>
        <w:keepNext w:val="0"/>
        <w:keepLines w:val="0"/>
        <w:pageBreakBefore w:val="0"/>
        <w:widowControl w:val="0"/>
        <w:kinsoku/>
        <w:wordWrap/>
        <w:overflowPunct/>
        <w:topLinePunct w:val="0"/>
        <w:autoSpaceDE/>
        <w:autoSpaceDN/>
        <w:bidi w:val="0"/>
        <w:snapToGrid/>
        <w:spacing w:line="39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以上作为合同的附件，在施工过程中严格执行。</w:t>
      </w:r>
    </w:p>
    <w:p w14:paraId="365241C9">
      <w:pPr>
        <w:keepNext w:val="0"/>
        <w:keepLines w:val="0"/>
        <w:pageBreakBefore w:val="0"/>
        <w:widowControl w:val="0"/>
        <w:kinsoku/>
        <w:wordWrap/>
        <w:overflowPunct/>
        <w:topLinePunct w:val="0"/>
        <w:autoSpaceDE/>
        <w:autoSpaceDN/>
        <w:bidi w:val="0"/>
        <w:snapToGrid/>
        <w:spacing w:line="396" w:lineRule="auto"/>
        <w:rPr>
          <w:rFonts w:hint="eastAsia" w:ascii="宋体" w:hAnsi="宋体" w:eastAsia="宋体" w:cs="宋体"/>
          <w:bCs/>
          <w:kern w:val="0"/>
          <w:sz w:val="21"/>
          <w:szCs w:val="21"/>
        </w:rPr>
      </w:pPr>
      <w:r>
        <w:rPr>
          <w:rFonts w:hint="eastAsia" w:ascii="宋体" w:hAnsi="宋体" w:eastAsia="宋体" w:cs="宋体"/>
          <w:kern w:val="0"/>
          <w:sz w:val="21"/>
          <w:szCs w:val="21"/>
        </w:rPr>
        <w:br w:type="page"/>
      </w:r>
      <w:r>
        <w:rPr>
          <w:rFonts w:hint="eastAsia" w:ascii="宋体" w:hAnsi="宋体" w:eastAsia="宋体" w:cs="宋体"/>
          <w:b/>
          <w:bCs/>
          <w:kern w:val="0"/>
          <w:sz w:val="21"/>
          <w:szCs w:val="21"/>
        </w:rPr>
        <w:t>附件2.</w:t>
      </w:r>
    </w:p>
    <w:p w14:paraId="0BE44E87">
      <w:pPr>
        <w:keepNext w:val="0"/>
        <w:keepLines w:val="0"/>
        <w:pageBreakBefore w:val="0"/>
        <w:widowControl w:val="0"/>
        <w:kinsoku/>
        <w:wordWrap/>
        <w:overflowPunct/>
        <w:topLinePunct w:val="0"/>
        <w:autoSpaceDE/>
        <w:autoSpaceDN/>
        <w:bidi w:val="0"/>
        <w:adjustRightInd w:val="0"/>
        <w:snapToGrid/>
        <w:spacing w:line="396" w:lineRule="auto"/>
        <w:jc w:val="center"/>
        <w:textAlignment w:val="baseline"/>
        <w:rPr>
          <w:rFonts w:hint="eastAsia" w:ascii="宋体" w:hAnsi="宋体" w:eastAsia="宋体" w:cs="宋体"/>
          <w:b/>
          <w:bCs/>
          <w:kern w:val="0"/>
          <w:sz w:val="21"/>
          <w:szCs w:val="21"/>
        </w:rPr>
      </w:pPr>
      <w:r>
        <w:rPr>
          <w:rFonts w:hint="eastAsia" w:ascii="宋体" w:hAnsi="宋体" w:eastAsia="宋体" w:cs="宋体"/>
          <w:b/>
          <w:bCs/>
          <w:kern w:val="0"/>
          <w:sz w:val="21"/>
          <w:szCs w:val="21"/>
        </w:rPr>
        <w:t>河南省人民医院</w:t>
      </w:r>
      <w:r>
        <w:rPr>
          <w:rFonts w:hint="eastAsia" w:ascii="宋体" w:hAnsi="宋体" w:eastAsia="宋体" w:cs="宋体"/>
          <w:b/>
          <w:bCs/>
          <w:kern w:val="0"/>
          <w:sz w:val="21"/>
          <w:szCs w:val="21"/>
          <w:lang w:val="en-US" w:eastAsia="zh-CN"/>
        </w:rPr>
        <w:t>15号楼视光学中心、屈光学中心改造</w:t>
      </w:r>
      <w:r>
        <w:rPr>
          <w:rFonts w:hint="eastAsia" w:ascii="宋体" w:hAnsi="宋体" w:eastAsia="宋体" w:cs="宋体"/>
          <w:b/>
          <w:bCs/>
          <w:kern w:val="0"/>
          <w:sz w:val="21"/>
          <w:szCs w:val="21"/>
        </w:rPr>
        <w:t>工程</w:t>
      </w:r>
    </w:p>
    <w:p w14:paraId="09607D31">
      <w:pPr>
        <w:keepNext w:val="0"/>
        <w:keepLines w:val="0"/>
        <w:pageBreakBefore w:val="0"/>
        <w:widowControl w:val="0"/>
        <w:kinsoku/>
        <w:wordWrap/>
        <w:overflowPunct/>
        <w:topLinePunct w:val="0"/>
        <w:autoSpaceDE/>
        <w:autoSpaceDN/>
        <w:bidi w:val="0"/>
        <w:adjustRightInd w:val="0"/>
        <w:snapToGrid/>
        <w:spacing w:line="396" w:lineRule="auto"/>
        <w:jc w:val="center"/>
        <w:textAlignment w:val="baseline"/>
        <w:rPr>
          <w:rFonts w:hint="eastAsia" w:ascii="宋体" w:hAnsi="宋体" w:eastAsia="宋体" w:cs="宋体"/>
          <w:b/>
          <w:bCs/>
          <w:kern w:val="0"/>
          <w:sz w:val="21"/>
          <w:szCs w:val="21"/>
        </w:rPr>
      </w:pPr>
      <w:r>
        <w:rPr>
          <w:rFonts w:hint="eastAsia" w:ascii="宋体" w:hAnsi="宋体" w:eastAsia="宋体" w:cs="宋体"/>
          <w:b/>
          <w:bCs/>
          <w:kern w:val="0"/>
          <w:sz w:val="21"/>
          <w:szCs w:val="21"/>
        </w:rPr>
        <w:t>质量保修书</w:t>
      </w:r>
    </w:p>
    <w:p w14:paraId="12CF82EC">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p>
    <w:p w14:paraId="77C9FA10">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发包人（全称）：</w:t>
      </w:r>
      <w:r>
        <w:rPr>
          <w:rFonts w:hint="eastAsia" w:ascii="宋体" w:hAnsi="宋体" w:eastAsia="宋体" w:cs="宋体"/>
          <w:bCs/>
          <w:sz w:val="21"/>
          <w:szCs w:val="21"/>
          <w:u w:val="single"/>
        </w:rPr>
        <w:t>河南省人民医院</w:t>
      </w:r>
      <w:r>
        <w:rPr>
          <w:rFonts w:hint="eastAsia" w:ascii="宋体" w:hAnsi="宋体" w:eastAsia="宋体" w:cs="宋体"/>
          <w:sz w:val="21"/>
          <w:szCs w:val="21"/>
          <w:u w:val="single"/>
        </w:rPr>
        <w:t xml:space="preserve">  </w:t>
      </w:r>
    </w:p>
    <w:p w14:paraId="79A27D21">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承包人（全称）：</w:t>
      </w:r>
      <w:r>
        <w:rPr>
          <w:rFonts w:hint="eastAsia" w:ascii="宋体" w:hAnsi="宋体" w:eastAsia="宋体" w:cs="宋体"/>
          <w:kern w:val="0"/>
          <w:sz w:val="21"/>
          <w:szCs w:val="21"/>
          <w:u w:val="single"/>
        </w:rPr>
        <w:t xml:space="preserve">                  </w:t>
      </w:r>
    </w:p>
    <w:p w14:paraId="605B01EF">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发包人、</w:t>
      </w:r>
      <w:r>
        <w:rPr>
          <w:rFonts w:hint="eastAsia" w:ascii="宋体" w:hAnsi="宋体" w:eastAsia="宋体" w:cs="宋体"/>
          <w:bCs/>
          <w:kern w:val="0"/>
          <w:sz w:val="21"/>
          <w:szCs w:val="21"/>
        </w:rPr>
        <w:t>承包人根据《中华人民共和国建筑法》、《建设工程质量管理条例》和《房屋建筑工程质量保修办法》，经协商一致，对河南省人民医院医疗美容中心改造改造施工施工</w:t>
      </w:r>
      <w:r>
        <w:rPr>
          <w:rFonts w:hint="eastAsia" w:ascii="宋体" w:hAnsi="宋体" w:eastAsia="宋体" w:cs="宋体"/>
          <w:kern w:val="0"/>
          <w:sz w:val="21"/>
          <w:szCs w:val="21"/>
        </w:rPr>
        <w:t>签订工程质量保修书。</w:t>
      </w:r>
    </w:p>
    <w:p w14:paraId="52A07C71">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一、工程质量保修范围和内容</w:t>
      </w:r>
    </w:p>
    <w:p w14:paraId="6E40190A">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承包人在质量保修期内，按照有关法律、法规、规章的管理规定和双方约定，承担本工程质量保修责任。</w:t>
      </w:r>
    </w:p>
    <w:p w14:paraId="0769FA28">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质量保修范围包括主体结构工程，屋面防水工程、有防水要求的卫生间、房间和外墙面的防渗漏，供热与供冷系统，电气管线、给排水管道、设备安装和装修工程，以及双方约定的其他项目。</w:t>
      </w:r>
    </w:p>
    <w:p w14:paraId="6CAAA039">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二、质量保修期</w:t>
      </w:r>
    </w:p>
    <w:p w14:paraId="3354B1A3">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双方根据《建设工程质量管理条例》及有关规定，约定本工程的质量保修期如下：</w:t>
      </w:r>
    </w:p>
    <w:p w14:paraId="021CE2DE">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1、主体结构工程为设计文件规定的该工程合理使用年限；</w:t>
      </w:r>
    </w:p>
    <w:p w14:paraId="6410E503">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2、屋面防水工程、有防水要求的卫生间、房间和外墙面的防渗漏为</w:t>
      </w:r>
      <w:r>
        <w:rPr>
          <w:rFonts w:hint="eastAsia" w:ascii="宋体" w:hAnsi="宋体" w:eastAsia="宋体" w:cs="宋体"/>
          <w:sz w:val="21"/>
          <w:szCs w:val="21"/>
          <w:u w:val="single"/>
        </w:rPr>
        <w:t>5</w:t>
      </w:r>
      <w:r>
        <w:rPr>
          <w:rFonts w:hint="eastAsia" w:ascii="宋体" w:hAnsi="宋体" w:eastAsia="宋体" w:cs="宋体"/>
          <w:kern w:val="0"/>
          <w:sz w:val="21"/>
          <w:szCs w:val="21"/>
        </w:rPr>
        <w:t>年；</w:t>
      </w:r>
    </w:p>
    <w:p w14:paraId="1CC03308">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3、一般装饰工程为2年；</w:t>
      </w:r>
    </w:p>
    <w:p w14:paraId="7B6529CA">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4、电气管线、给排水管道、设备安装工程为2年；</w:t>
      </w:r>
    </w:p>
    <w:p w14:paraId="1E876CD9">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5、供热与供冷系统为2个采暖期、供冷期。</w:t>
      </w:r>
    </w:p>
    <w:p w14:paraId="31B3B399">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6、承包人承建的其他工程为2年。</w:t>
      </w:r>
    </w:p>
    <w:p w14:paraId="55B813AC">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质量保修期自工程竣工验收合格之日起计算（投标人的投标文件中提供的期限优于上述期限的，以投标人的表述为准）。</w:t>
      </w:r>
    </w:p>
    <w:p w14:paraId="7F8A4BF1">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三、缺陷责任期</w:t>
      </w:r>
    </w:p>
    <w:p w14:paraId="270D9FC7">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工程缺陷责任期为24个月，缺陷责任期自工程通过竣工验收之日起计算。单位工程先于全部工程进行验收，单位工程缺陷责任期自单位工程验收合格之日起算。缺陷责任期终止后，发包人应退还剩余的质量保证金。</w:t>
      </w:r>
    </w:p>
    <w:p w14:paraId="43A39083">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三、质量保修责任</w:t>
      </w:r>
    </w:p>
    <w:p w14:paraId="3E1DD2C9">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属于保修范围、内容的项目，承包人应当在接到故障报修通知之时起半小时内响应，1小时内到达现场维修。承包人不在约定期限内派人保修的，发包人可以委托他人修理，由此产生的所有费用由承包人承担。承包人未能及时提供服务或提供服务未能达到质量要求，对承包人处以</w:t>
      </w:r>
      <w:r>
        <w:rPr>
          <w:rFonts w:hint="eastAsia" w:ascii="宋体" w:hAnsi="宋体" w:eastAsia="宋体" w:cs="宋体"/>
          <w:kern w:val="0"/>
          <w:sz w:val="21"/>
          <w:szCs w:val="21"/>
          <w:u w:val="single"/>
        </w:rPr>
        <w:t>壹万元</w:t>
      </w:r>
      <w:r>
        <w:rPr>
          <w:rFonts w:hint="eastAsia" w:ascii="宋体" w:hAnsi="宋体" w:eastAsia="宋体" w:cs="宋体"/>
          <w:kern w:val="0"/>
          <w:sz w:val="21"/>
          <w:szCs w:val="21"/>
        </w:rPr>
        <w:t>人民币/次的惩罚，罚款以及发包人委托他人修理的费用从质保金中直接扣除。</w:t>
      </w:r>
    </w:p>
    <w:p w14:paraId="2FB32B38">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2、发生紧急抢修事故的，承包人在接到事故通知后，应当立即到达事故现场抢修。</w:t>
      </w:r>
    </w:p>
    <w:p w14:paraId="3CE7D59E">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658CDF2">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4、质量保修完成后，由发包人组织验收。</w:t>
      </w:r>
    </w:p>
    <w:p w14:paraId="2B7DF26E">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5、对于在保修期内因产品缺陷或其他过失而进行的修理式更换的零件及材料，保修期限自动延长6个月。</w:t>
      </w:r>
    </w:p>
    <w:p w14:paraId="4581A080">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6、因发包人责任导致的损失不在保修范围，正常损耗，非人为故意损坏在保修范围内。</w:t>
      </w:r>
    </w:p>
    <w:p w14:paraId="02304840">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四、保修费用</w:t>
      </w:r>
    </w:p>
    <w:p w14:paraId="38D05851">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完全免费。</w:t>
      </w:r>
    </w:p>
    <w:p w14:paraId="065455F9">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五、其他</w:t>
      </w:r>
    </w:p>
    <w:p w14:paraId="59028CD5">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双方约定的其他工程质量保修事项：另行协商。</w:t>
      </w:r>
    </w:p>
    <w:p w14:paraId="6A439357">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本工程质量保修书，由施工合同发包人、承包人双方在竣工验收前共同签署，作为施工合同附件，其有效期限至保修期满。</w:t>
      </w:r>
    </w:p>
    <w:p w14:paraId="1A919B62">
      <w:pPr>
        <w:keepNext w:val="0"/>
        <w:keepLines w:val="0"/>
        <w:pageBreakBefore w:val="0"/>
        <w:widowControl w:val="0"/>
        <w:kinsoku/>
        <w:wordWrap/>
        <w:overflowPunct/>
        <w:topLinePunct w:val="0"/>
        <w:autoSpaceDE/>
        <w:autoSpaceDN/>
        <w:bidi w:val="0"/>
        <w:snapToGrid/>
        <w:spacing w:line="396" w:lineRule="auto"/>
        <w:rPr>
          <w:rFonts w:hint="eastAsia" w:ascii="宋体" w:hAnsi="宋体" w:eastAsia="宋体" w:cs="宋体"/>
          <w:kern w:val="0"/>
          <w:sz w:val="21"/>
          <w:szCs w:val="21"/>
        </w:rPr>
      </w:pPr>
      <w:r>
        <w:rPr>
          <w:rFonts w:hint="eastAsia" w:ascii="宋体" w:hAnsi="宋体" w:eastAsia="宋体" w:cs="宋体"/>
          <w:kern w:val="0"/>
          <w:sz w:val="21"/>
          <w:szCs w:val="21"/>
        </w:rPr>
        <w:br w:type="page"/>
      </w:r>
      <w:r>
        <w:rPr>
          <w:rFonts w:hint="eastAsia" w:ascii="宋体" w:hAnsi="宋体" w:eastAsia="宋体" w:cs="宋体"/>
          <w:b/>
          <w:bCs/>
          <w:kern w:val="0"/>
          <w:sz w:val="21"/>
          <w:szCs w:val="21"/>
        </w:rPr>
        <w:t>附件3:</w:t>
      </w:r>
    </w:p>
    <w:p w14:paraId="79BB7CDB">
      <w:pPr>
        <w:keepNext w:val="0"/>
        <w:keepLines w:val="0"/>
        <w:pageBreakBefore w:val="0"/>
        <w:widowControl w:val="0"/>
        <w:kinsoku/>
        <w:wordWrap/>
        <w:overflowPunct/>
        <w:topLinePunct w:val="0"/>
        <w:autoSpaceDE/>
        <w:autoSpaceDN/>
        <w:bidi w:val="0"/>
        <w:adjustRightInd w:val="0"/>
        <w:snapToGrid/>
        <w:spacing w:line="396" w:lineRule="auto"/>
        <w:jc w:val="center"/>
        <w:textAlignment w:val="baseline"/>
        <w:rPr>
          <w:rFonts w:hint="eastAsia" w:ascii="宋体" w:hAnsi="宋体" w:eastAsia="宋体" w:cs="宋体"/>
          <w:b/>
          <w:bCs/>
          <w:kern w:val="0"/>
          <w:sz w:val="21"/>
          <w:szCs w:val="21"/>
        </w:rPr>
      </w:pPr>
      <w:r>
        <w:rPr>
          <w:rFonts w:hint="eastAsia" w:ascii="宋体" w:hAnsi="宋体" w:eastAsia="宋体" w:cs="宋体"/>
          <w:b/>
          <w:bCs/>
          <w:kern w:val="0"/>
          <w:sz w:val="21"/>
          <w:szCs w:val="21"/>
        </w:rPr>
        <w:t>河南省人民医院</w:t>
      </w:r>
      <w:r>
        <w:rPr>
          <w:rFonts w:hint="eastAsia" w:ascii="宋体" w:hAnsi="宋体" w:eastAsia="宋体" w:cs="宋体"/>
          <w:b/>
          <w:bCs/>
          <w:kern w:val="0"/>
          <w:sz w:val="21"/>
          <w:szCs w:val="21"/>
          <w:lang w:val="en-US" w:eastAsia="zh-CN"/>
        </w:rPr>
        <w:t>15号楼视光学中心、屈光学中心改造</w:t>
      </w:r>
      <w:r>
        <w:rPr>
          <w:rFonts w:hint="eastAsia" w:ascii="宋体" w:hAnsi="宋体" w:eastAsia="宋体" w:cs="宋体"/>
          <w:b/>
          <w:bCs/>
          <w:kern w:val="0"/>
          <w:sz w:val="21"/>
          <w:szCs w:val="21"/>
        </w:rPr>
        <w:t>工程</w:t>
      </w:r>
    </w:p>
    <w:p w14:paraId="23263123">
      <w:pPr>
        <w:keepNext w:val="0"/>
        <w:keepLines w:val="0"/>
        <w:pageBreakBefore w:val="0"/>
        <w:widowControl w:val="0"/>
        <w:kinsoku/>
        <w:wordWrap/>
        <w:overflowPunct/>
        <w:topLinePunct w:val="0"/>
        <w:autoSpaceDE/>
        <w:autoSpaceDN/>
        <w:bidi w:val="0"/>
        <w:adjustRightInd w:val="0"/>
        <w:snapToGrid/>
        <w:spacing w:line="396" w:lineRule="auto"/>
        <w:jc w:val="center"/>
        <w:textAlignment w:val="baseline"/>
        <w:rPr>
          <w:rFonts w:hint="eastAsia" w:ascii="宋体" w:hAnsi="宋体" w:eastAsia="宋体" w:cs="宋体"/>
          <w:bCs/>
          <w:kern w:val="0"/>
          <w:sz w:val="21"/>
          <w:szCs w:val="21"/>
        </w:rPr>
      </w:pPr>
      <w:r>
        <w:rPr>
          <w:rFonts w:hint="eastAsia" w:ascii="宋体" w:hAnsi="宋体" w:eastAsia="宋体" w:cs="宋体"/>
          <w:b/>
          <w:bCs/>
          <w:kern w:val="0"/>
          <w:sz w:val="21"/>
          <w:szCs w:val="21"/>
        </w:rPr>
        <w:t>廉洁承诺书</w:t>
      </w:r>
    </w:p>
    <w:p w14:paraId="08A3F8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发包人（全称）：</w:t>
      </w:r>
      <w:r>
        <w:rPr>
          <w:rFonts w:hint="eastAsia" w:ascii="宋体" w:hAnsi="宋体" w:eastAsia="宋体" w:cs="宋体"/>
          <w:b/>
          <w:bCs/>
          <w:sz w:val="21"/>
          <w:szCs w:val="21"/>
          <w:u w:val="single"/>
        </w:rPr>
        <w:t xml:space="preserve">河南省人民医院  </w:t>
      </w:r>
    </w:p>
    <w:p w14:paraId="6DF3F44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b/>
          <w:kern w:val="0"/>
          <w:sz w:val="21"/>
          <w:szCs w:val="21"/>
        </w:rPr>
      </w:pPr>
      <w:r>
        <w:rPr>
          <w:rFonts w:hint="eastAsia" w:ascii="宋体" w:hAnsi="宋体" w:eastAsia="宋体" w:cs="宋体"/>
          <w:kern w:val="0"/>
          <w:sz w:val="21"/>
          <w:szCs w:val="21"/>
        </w:rPr>
        <w:t>承包人（全称）：</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u w:val="single"/>
        </w:rPr>
        <w:t xml:space="preserve"> </w:t>
      </w:r>
    </w:p>
    <w:p w14:paraId="6F523B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为加强对项目管理，预防腐败现象的发生，规范工程建设项目承包人、发包人及监理人等的各项活动，防止各种谋取不正当利益的违法行为，保护工程参建者和当事人的合法权益并确保合同能够得到高效、严格的履行，根据工程建设和国家及我院廉洁建设的有关规定，特签订本廉洁承诺书。</w:t>
      </w:r>
    </w:p>
    <w:p w14:paraId="28BC13B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第一条 发承包双方的权利和义务</w:t>
      </w:r>
    </w:p>
    <w:p w14:paraId="3D07740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双方同意并声明，在业务活动中：</w:t>
      </w:r>
    </w:p>
    <w:p w14:paraId="3A7A9A5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1、严格、自觉的遵守和执行国家及公司关于工程建设、和市场活动的有关法律、法规、相关政策以及廉洁建设的各项规定。严格执行经济合同文件，执行工程建设管理制度。</w:t>
      </w:r>
    </w:p>
    <w:p w14:paraId="653856E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2、双方的业务活动坚持公开、公正、诚信的原则(除法律认定的商业秘密和合同文件另有规定之外)，严格、自觉按照合同办事，不得损害对方和发承包双方的利益。</w:t>
      </w:r>
    </w:p>
    <w:p w14:paraId="5FD23EF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3、认真落实工程建设责任制，按照谁主管谁负责的原则，加强对本单位工作人员职务行为的监督和管理，加强其廉洁意识、守法意识和守约意识。实行工程廉洁承诺，并认真监督查处违法违纪及渎职行为。</w:t>
      </w:r>
    </w:p>
    <w:p w14:paraId="64938B8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4、倡导相互监督，发现对方在业务活动中有违反廉洁规定行为的，有及时提醒对方纠正的权利和义务。发现对方违反承诺条款的，有向对方上级有关部门举报并要求告知处理结果的权利。</w:t>
      </w:r>
    </w:p>
    <w:p w14:paraId="39AF8A2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5、不以损害发承包双方或第三人利益为代价获取不正当的利益。</w:t>
      </w:r>
    </w:p>
    <w:p w14:paraId="6AC26A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第二条：发包人的承诺</w:t>
      </w:r>
    </w:p>
    <w:p w14:paraId="14EA28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发包人工作人员在工程建设中应遵守如下规定：</w:t>
      </w:r>
    </w:p>
    <w:p w14:paraId="14F5CFC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1、不得索要或接受承包人钱物(现金、有价证券、信用卡、礼金、奖金、补贴、物品等)，不得在承包人报销任何应由发包人或个人支付的费用。</w:t>
      </w:r>
    </w:p>
    <w:p w14:paraId="749922B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2、不得接受承包人安排的可能影响公务的住宿、宴请娱乐、旅游观光活动;不得接受承包人提供的合同规定外的通讯工具、交通工具和高档办公用品等。</w:t>
      </w:r>
    </w:p>
    <w:p w14:paraId="27666B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3、不得要求或者接受承包人为其及家庭成员在住房装修、婚丧嫁娶、旅游等方面提供方便。</w:t>
      </w:r>
    </w:p>
    <w:p w14:paraId="140FF76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4、发包人工作人员及其配偶、子女、亲属不得从事与工程有关的材料设备供应、工程分包、劳务等经济活动。</w:t>
      </w:r>
    </w:p>
    <w:p w14:paraId="5E33B99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5、不得违反规定向承包人推荐分包单位和设备、材料供应商，不得要求承包人购买合同规定外的材料和设备等。</w:t>
      </w:r>
    </w:p>
    <w:p w14:paraId="24024B3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6、不得为获取承包人回扣或其他谋取私利而多签或多算工程量、多结工程款;不得从承包人承包的工程中收受回扣，谋取私利。</w:t>
      </w:r>
    </w:p>
    <w:p w14:paraId="64BCDD3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7、不得因承包人拒绝本人的不合理要求，而故意刁难承包人。</w:t>
      </w:r>
    </w:p>
    <w:p w14:paraId="36A8F1A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8、其它有关违反公司廉洁规定的行为。</w:t>
      </w:r>
    </w:p>
    <w:p w14:paraId="7EF10E4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第三条 承包人的承诺</w:t>
      </w:r>
    </w:p>
    <w:p w14:paraId="410A35B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承包人应与发包人保持正常的业务来往，按照有关法律、法规和工作程序开展业务工作并遵守以下规定：</w:t>
      </w:r>
    </w:p>
    <w:p w14:paraId="3826E4F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1、不得以任何理由向发包人、监理单位赠送钱物(现金、有价证券、信用卡、礼金、奖金、补贴、物品等)。</w:t>
      </w:r>
    </w:p>
    <w:p w14:paraId="1145BC9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2、不得以任何名义为发包人、监理单位报销应由发包人、监理单位或个人支付的任何费用。</w:t>
      </w:r>
    </w:p>
    <w:p w14:paraId="2B7B8E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3、不准以任何理由为发包人、监理单位和其它相关单位及其工作人员提供有可能影响执行公务的宴请、健身和娱乐等活动。</w:t>
      </w:r>
    </w:p>
    <w:p w14:paraId="71D99A3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4、不得为发包人和监理单位的相关人员购置或提供合同规定外的通讯工具、交通工具和高档办公用品等。</w:t>
      </w:r>
    </w:p>
    <w:p w14:paraId="35D84FE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5、不准接受或暗示为发包人、监理单位和其它相关单位及其工作人员装修房屋、婚丧嫁娶、配偶子女的工作安排旅游观光活动提供方便。</w:t>
      </w:r>
    </w:p>
    <w:p w14:paraId="72E7C2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6、不准利用黄、赌、贿等各种手段拉拢腐蚀发包人工作人员。</w:t>
      </w:r>
    </w:p>
    <w:p w14:paraId="0A3CBB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第四条 责任追究</w:t>
      </w:r>
    </w:p>
    <w:p w14:paraId="62C3F49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1、发包人若违反本承诺规定，按照发包人的管理规定执行。</w:t>
      </w:r>
    </w:p>
    <w:p w14:paraId="18248C0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2、承包人若违反本承诺规定，发包人有权要求承包人对责任人进行处理。情节严重的，追究法律责任。</w:t>
      </w:r>
    </w:p>
    <w:p w14:paraId="5C0B857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第五条 本承诺书由双方单位互相监督执行。</w:t>
      </w:r>
    </w:p>
    <w:p w14:paraId="142749E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本合同作为工程施工合同的组成部分，双方签字盖章后即生效，有效期为双方签署之日起至该工程项目竣工验收合格并办理完毕工程结算后止。</w:t>
      </w:r>
    </w:p>
    <w:p w14:paraId="2341ACC7">
      <w:pPr>
        <w:keepNext w:val="0"/>
        <w:keepLines w:val="0"/>
        <w:pageBreakBefore w:val="0"/>
        <w:widowControl w:val="0"/>
        <w:kinsoku/>
        <w:wordWrap/>
        <w:overflowPunct/>
        <w:topLinePunct w:val="0"/>
        <w:autoSpaceDE/>
        <w:autoSpaceDN/>
        <w:bidi w:val="0"/>
        <w:adjustRightInd w:val="0"/>
        <w:snapToGrid/>
        <w:spacing w:line="396" w:lineRule="auto"/>
        <w:jc w:val="left"/>
        <w:textAlignment w:val="baseline"/>
        <w:rPr>
          <w:rFonts w:hint="eastAsia" w:ascii="宋体" w:hAnsi="宋体" w:eastAsia="宋体" w:cs="宋体"/>
          <w:b/>
          <w:bCs/>
          <w:kern w:val="0"/>
          <w:sz w:val="21"/>
          <w:szCs w:val="21"/>
        </w:rPr>
      </w:pPr>
      <w:r>
        <w:rPr>
          <w:rFonts w:hint="eastAsia" w:ascii="宋体" w:hAnsi="宋体" w:eastAsia="宋体" w:cs="宋体"/>
          <w:b/>
          <w:bCs/>
          <w:kern w:val="0"/>
          <w:sz w:val="21"/>
          <w:szCs w:val="21"/>
        </w:rPr>
        <w:br w:type="page"/>
      </w:r>
      <w:r>
        <w:rPr>
          <w:rFonts w:hint="eastAsia" w:ascii="宋体" w:hAnsi="宋体" w:eastAsia="宋体" w:cs="宋体"/>
          <w:b/>
          <w:bCs/>
          <w:kern w:val="0"/>
          <w:sz w:val="21"/>
          <w:szCs w:val="21"/>
        </w:rPr>
        <w:t>附件4:</w:t>
      </w:r>
    </w:p>
    <w:p w14:paraId="4F37276D">
      <w:pPr>
        <w:keepNext w:val="0"/>
        <w:keepLines w:val="0"/>
        <w:pageBreakBefore w:val="0"/>
        <w:widowControl w:val="0"/>
        <w:kinsoku/>
        <w:wordWrap/>
        <w:overflowPunct/>
        <w:topLinePunct w:val="0"/>
        <w:autoSpaceDE/>
        <w:autoSpaceDN/>
        <w:bidi w:val="0"/>
        <w:adjustRightInd w:val="0"/>
        <w:snapToGrid/>
        <w:spacing w:line="396" w:lineRule="auto"/>
        <w:jc w:val="center"/>
        <w:textAlignment w:val="baseline"/>
        <w:rPr>
          <w:rFonts w:hint="eastAsia" w:ascii="宋体" w:hAnsi="宋体" w:eastAsia="宋体" w:cs="宋体"/>
          <w:b/>
          <w:bCs/>
          <w:kern w:val="0"/>
          <w:sz w:val="21"/>
          <w:szCs w:val="21"/>
        </w:rPr>
      </w:pPr>
      <w:r>
        <w:rPr>
          <w:rFonts w:hint="eastAsia" w:ascii="宋体" w:hAnsi="宋体" w:eastAsia="宋体" w:cs="宋体"/>
          <w:b/>
          <w:bCs/>
          <w:kern w:val="0"/>
          <w:sz w:val="21"/>
          <w:szCs w:val="21"/>
        </w:rPr>
        <w:t>河南省人民医院</w:t>
      </w:r>
      <w:r>
        <w:rPr>
          <w:rFonts w:hint="eastAsia" w:ascii="宋体" w:hAnsi="宋体" w:eastAsia="宋体" w:cs="宋体"/>
          <w:b/>
          <w:bCs/>
          <w:kern w:val="0"/>
          <w:sz w:val="21"/>
          <w:szCs w:val="21"/>
          <w:lang w:val="en-US" w:eastAsia="zh-CN"/>
        </w:rPr>
        <w:t>15号楼视光学中心、屈光学中心改造</w:t>
      </w:r>
      <w:r>
        <w:rPr>
          <w:rFonts w:hint="eastAsia" w:ascii="宋体" w:hAnsi="宋体" w:eastAsia="宋体" w:cs="宋体"/>
          <w:b/>
          <w:bCs/>
          <w:kern w:val="0"/>
          <w:sz w:val="21"/>
          <w:szCs w:val="21"/>
        </w:rPr>
        <w:t>工程</w:t>
      </w:r>
    </w:p>
    <w:p w14:paraId="2190947C">
      <w:pPr>
        <w:keepNext w:val="0"/>
        <w:keepLines w:val="0"/>
        <w:pageBreakBefore w:val="0"/>
        <w:widowControl w:val="0"/>
        <w:kinsoku/>
        <w:wordWrap/>
        <w:overflowPunct/>
        <w:topLinePunct w:val="0"/>
        <w:autoSpaceDE/>
        <w:autoSpaceDN/>
        <w:bidi w:val="0"/>
        <w:adjustRightInd w:val="0"/>
        <w:snapToGrid/>
        <w:spacing w:line="396" w:lineRule="auto"/>
        <w:jc w:val="center"/>
        <w:textAlignment w:val="baseline"/>
        <w:rPr>
          <w:rFonts w:hint="eastAsia" w:ascii="宋体" w:hAnsi="宋体" w:eastAsia="宋体" w:cs="宋体"/>
          <w:b/>
          <w:bCs/>
          <w:kern w:val="0"/>
          <w:sz w:val="21"/>
          <w:szCs w:val="21"/>
        </w:rPr>
      </w:pPr>
      <w:r>
        <w:rPr>
          <w:rFonts w:hint="eastAsia" w:ascii="宋体" w:hAnsi="宋体" w:eastAsia="宋体" w:cs="宋体"/>
          <w:b/>
          <w:bCs/>
          <w:kern w:val="0"/>
          <w:sz w:val="21"/>
          <w:szCs w:val="21"/>
        </w:rPr>
        <w:t>消防安全管理协议书</w:t>
      </w:r>
    </w:p>
    <w:p w14:paraId="705D255C">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kern w:val="0"/>
          <w:sz w:val="21"/>
          <w:szCs w:val="21"/>
        </w:rPr>
      </w:pPr>
    </w:p>
    <w:p w14:paraId="6336A02E">
      <w:pPr>
        <w:keepNext w:val="0"/>
        <w:keepLines w:val="0"/>
        <w:pageBreakBefore w:val="0"/>
        <w:widowControl w:val="0"/>
        <w:kinsoku/>
        <w:wordWrap/>
        <w:overflowPunct/>
        <w:topLinePunct w:val="0"/>
        <w:autoSpaceDE/>
        <w:autoSpaceDN/>
        <w:bidi w:val="0"/>
        <w:adjustRightInd w:val="0"/>
        <w:snapToGrid/>
        <w:spacing w:line="396" w:lineRule="auto"/>
        <w:ind w:firstLine="420" w:firstLineChars="200"/>
        <w:textAlignment w:val="baseline"/>
        <w:rPr>
          <w:rFonts w:hint="eastAsia" w:ascii="宋体" w:hAnsi="宋体" w:eastAsia="宋体" w:cs="宋体"/>
          <w:sz w:val="21"/>
          <w:szCs w:val="21"/>
          <w:u w:val="single"/>
        </w:rPr>
      </w:pPr>
      <w:r>
        <w:rPr>
          <w:rFonts w:hint="eastAsia" w:ascii="宋体" w:hAnsi="宋体" w:eastAsia="宋体" w:cs="宋体"/>
          <w:kern w:val="0"/>
          <w:sz w:val="21"/>
          <w:szCs w:val="21"/>
        </w:rPr>
        <w:t>发包人（全称</w:t>
      </w:r>
      <w:r>
        <w:rPr>
          <w:rFonts w:hint="eastAsia" w:ascii="宋体" w:hAnsi="宋体" w:eastAsia="宋体" w:cs="宋体"/>
          <w:sz w:val="21"/>
          <w:szCs w:val="21"/>
        </w:rPr>
        <w:t>）：</w:t>
      </w:r>
      <w:r>
        <w:rPr>
          <w:rFonts w:hint="eastAsia" w:ascii="宋体" w:hAnsi="宋体" w:eastAsia="宋体" w:cs="宋体"/>
          <w:sz w:val="21"/>
          <w:szCs w:val="21"/>
          <w:u w:val="single"/>
        </w:rPr>
        <w:t xml:space="preserve"> 河南省人民医院  </w:t>
      </w:r>
    </w:p>
    <w:p w14:paraId="6A54FF5A">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承包人（全称）：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54A8C91">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为保障施工过程中的消防安全，防止火灾发生，根据《中华人民共和国消防法》和公安部《机关、团体、企业、事业单位消防安全管理规定》，特制定本责任书，并确定</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为该施工区域的防火责任人。</w:t>
      </w:r>
    </w:p>
    <w:p w14:paraId="2669A7BF">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其责任如下：</w:t>
      </w:r>
    </w:p>
    <w:p w14:paraId="56C9FEC9">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一、施工现场的消防安全，由施工部门（或单位）负责。施工中必须严格遵守消防法规、行业行规，严禁违章指挥、违章操作，杜绝违反劳动纪律现象发生。建设单位消防管理部门负责督促检查施工方防火负责人做好消防安全工作，施工方必须认直配合。 </w:t>
      </w:r>
    </w:p>
    <w:p w14:paraId="79F1A6D1">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二、施工使用的设备必须符合消防安全规定，严格防火措施，禁止违章作业。</w:t>
      </w:r>
    </w:p>
    <w:p w14:paraId="6C5A6C34">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三、施工现场使用明火时，必须事先办理审批手续，经批准后方可作业。电、气焊作业人员必须持证上岗，动火现场必须配备必要的灭火器材，明确专人监护，清除周围可燃物；动火结束，必须认真检查，彻底熄灭遗留火种。</w:t>
      </w:r>
    </w:p>
    <w:p w14:paraId="6450B16D">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四、施工中需使用汽油、脱剂等易燃物品时，必须符合安全規定。易燃品要存入专用库房，由专人保管，不可将易燃易爆物品存放在施工现场。</w:t>
      </w:r>
    </w:p>
    <w:p w14:paraId="1480691A">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五、施工中不准大面积使用脱漆剂等易燃液体，尽可能不在现场进行喷漆作业。如必须在现场喷漆时，要有良好的通风和防止明火的措施。</w:t>
      </w:r>
    </w:p>
    <w:p w14:paraId="50CFD35E">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六、施工中使用易燃易爆化学物品应限额领料，随用随领；禁止在作业场所分装、调料；禁止在施工现场使用液化石油气钢瓶、乙炔发生器等。</w:t>
      </w:r>
    </w:p>
    <w:p w14:paraId="3593C86D">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七、工程施工如果影响原有消防设施、消防设备的使用功能时，须事先报消防监督机构同意，并采取有效措施。</w:t>
      </w:r>
    </w:p>
    <w:p w14:paraId="7A36DD0A">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八、施工的堆料和垃圾不得圈占消防设施、占用消防通道，不得堵塞走廊、楼梯等疏散。</w:t>
      </w:r>
    </w:p>
    <w:p w14:paraId="02ADECF3">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九、对本单位全体施工人员进行消防安全教和逃生、自救技能培训，使其都能掌握和使用所配备的消防设施器材。</w:t>
      </w:r>
    </w:p>
    <w:p w14:paraId="7B88D861">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十、对施工过程中的消防工作要经常检查、定期总结，同时接受消防监督机构的检查监督。</w:t>
      </w:r>
    </w:p>
    <w:p w14:paraId="7CE1A368">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十</w:t>
      </w:r>
      <w:r>
        <w:rPr>
          <w:rFonts w:hint="eastAsia" w:ascii="宋体" w:hAnsi="宋体" w:eastAsia="宋体" w:cs="宋体"/>
          <w:kern w:val="0"/>
          <w:sz w:val="21"/>
          <w:szCs w:val="21"/>
          <w:lang w:val="en-US" w:eastAsia="zh-CN"/>
        </w:rPr>
        <w:t>一</w:t>
      </w:r>
      <w:r>
        <w:rPr>
          <w:rFonts w:hint="eastAsia" w:ascii="宋体" w:hAnsi="宋体" w:eastAsia="宋体" w:cs="宋体"/>
          <w:kern w:val="0"/>
          <w:sz w:val="21"/>
          <w:szCs w:val="21"/>
        </w:rPr>
        <w:t>、发生火灾要积极组织扑救，组织引导在场人员硫散，并服从现场指挥人员的统一指挥。</w:t>
      </w:r>
    </w:p>
    <w:p w14:paraId="2008B4FF">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十二、因施工单位管理不善，造成火灾，一切损失由施工单位承担，对发包人造成的损失，发包人保留索赔的权利。</w:t>
      </w:r>
    </w:p>
    <w:p w14:paraId="63C3A6BA">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十三、火灾扑灭后，要保护火灾现场，协助有关部门调查火灾原因。</w:t>
      </w:r>
    </w:p>
    <w:p w14:paraId="58D0C12E">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十四、本责任书自签字之日起生效，至工程竣工、施工单位离开现场为止。</w:t>
      </w:r>
    </w:p>
    <w:p w14:paraId="17D59BAE">
      <w:pPr>
        <w:keepNext w:val="0"/>
        <w:keepLines w:val="0"/>
        <w:pageBreakBefore w:val="0"/>
        <w:widowControl w:val="0"/>
        <w:kinsoku/>
        <w:wordWrap/>
        <w:overflowPunct/>
        <w:topLinePunct w:val="0"/>
        <w:autoSpaceDE/>
        <w:autoSpaceDN/>
        <w:bidi w:val="0"/>
        <w:snapToGrid/>
        <w:spacing w:line="396" w:lineRule="auto"/>
        <w:ind w:firstLine="420" w:firstLineChars="200"/>
        <w:jc w:val="left"/>
        <w:rPr>
          <w:rFonts w:hint="eastAsia" w:ascii="宋体" w:hAnsi="宋体" w:eastAsia="宋体" w:cs="宋体"/>
          <w:kern w:val="0"/>
          <w:sz w:val="21"/>
          <w:szCs w:val="21"/>
        </w:rPr>
      </w:pPr>
    </w:p>
    <w:p w14:paraId="431A21FD">
      <w:pPr>
        <w:pStyle w:val="66"/>
        <w:keepNext w:val="0"/>
        <w:keepLines w:val="0"/>
        <w:pageBreakBefore w:val="0"/>
        <w:widowControl w:val="0"/>
        <w:kinsoku/>
        <w:wordWrap/>
        <w:overflowPunct/>
        <w:topLinePunct w:val="0"/>
        <w:autoSpaceDE/>
        <w:autoSpaceDN/>
        <w:bidi w:val="0"/>
        <w:adjustRightInd/>
        <w:snapToGrid/>
        <w:spacing w:after="0" w:afterLines="0" w:line="396"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以上作为合同的附件，在施工过程中严格执行。</w:t>
      </w:r>
    </w:p>
    <w:p w14:paraId="3B647384">
      <w:pPr>
        <w:pageBreakBefore w:val="0"/>
        <w:widowControl w:val="0"/>
        <w:kinsoku/>
        <w:wordWrap w:val="0"/>
        <w:overflowPunct/>
        <w:topLinePunct w:val="0"/>
        <w:bidi w:val="0"/>
        <w:snapToGrid w:val="0"/>
        <w:spacing w:line="396" w:lineRule="auto"/>
        <w:jc w:val="left"/>
        <w:textAlignment w:val="auto"/>
        <w:rPr>
          <w:rFonts w:hint="eastAsia" w:ascii="宋体" w:hAnsi="宋体" w:eastAsia="宋体" w:cs="宋体"/>
          <w:color w:val="000000"/>
          <w:szCs w:val="21"/>
        </w:rPr>
      </w:pPr>
    </w:p>
    <w:p w14:paraId="56D4752C">
      <w:pPr>
        <w:pageBreakBefore w:val="0"/>
        <w:wordWrap w:val="0"/>
        <w:overflowPunct/>
        <w:topLinePunct/>
        <w:autoSpaceDE/>
        <w:autoSpaceDN/>
        <w:bidi w:val="0"/>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br w:type="page"/>
      </w:r>
    </w:p>
    <w:p w14:paraId="0D3820F4">
      <w:pPr>
        <w:pStyle w:val="2"/>
        <w:pageBreakBefore w:val="0"/>
        <w:wordWrap w:val="0"/>
        <w:overflowPunct/>
        <w:topLinePunct/>
        <w:autoSpaceDE/>
        <w:autoSpaceDN/>
        <w:bidi w:val="0"/>
        <w:rPr>
          <w:rFonts w:hint="eastAsia" w:ascii="宋体" w:hAnsi="宋体" w:eastAsia="宋体" w:cs="宋体"/>
          <w:color w:val="auto"/>
          <w:spacing w:val="0"/>
          <w:position w:val="0"/>
          <w:lang w:val="en-US" w:eastAsia="zh-CN"/>
        </w:rPr>
      </w:pPr>
      <w:bookmarkStart w:id="59" w:name="_Toc518"/>
      <w:r>
        <w:rPr>
          <w:rFonts w:hint="eastAsia" w:ascii="宋体" w:hAnsi="宋体" w:eastAsia="宋体" w:cs="宋体"/>
          <w:color w:val="auto"/>
          <w:spacing w:val="0"/>
          <w:position w:val="0"/>
        </w:rPr>
        <w:t xml:space="preserve">第五章  </w:t>
      </w:r>
      <w:r>
        <w:rPr>
          <w:rFonts w:hint="eastAsia" w:ascii="宋体" w:hAnsi="宋体" w:eastAsia="宋体" w:cs="宋体"/>
          <w:color w:val="auto"/>
          <w:spacing w:val="0"/>
          <w:position w:val="0"/>
          <w:lang w:val="en-US" w:eastAsia="zh-CN"/>
        </w:rPr>
        <w:t>工程量清单</w:t>
      </w:r>
      <w:bookmarkEnd w:id="59"/>
    </w:p>
    <w:p w14:paraId="25B2649F">
      <w:pPr>
        <w:pStyle w:val="44"/>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eastAsia" w:ascii="宋体" w:hAnsi="宋体" w:eastAsia="宋体" w:cs="宋体"/>
          <w:color w:val="auto"/>
          <w:spacing w:val="0"/>
          <w:position w:val="0"/>
          <w:sz w:val="28"/>
          <w:szCs w:val="28"/>
          <w:lang w:eastAsia="zh-CN"/>
        </w:rPr>
      </w:pPr>
      <w:r>
        <w:rPr>
          <w:rFonts w:hint="eastAsia" w:ascii="宋体" w:hAnsi="宋体" w:eastAsia="宋体" w:cs="宋体"/>
          <w:color w:val="auto"/>
          <w:spacing w:val="0"/>
          <w:position w:val="0"/>
          <w:sz w:val="28"/>
          <w:szCs w:val="28"/>
          <w:lang w:eastAsia="zh-CN"/>
        </w:rPr>
        <w:t>（</w:t>
      </w:r>
      <w:r>
        <w:rPr>
          <w:rFonts w:hint="eastAsia" w:ascii="宋体" w:hAnsi="宋体" w:eastAsia="宋体" w:cs="宋体"/>
          <w:color w:val="auto"/>
          <w:spacing w:val="0"/>
          <w:position w:val="0"/>
          <w:sz w:val="28"/>
          <w:szCs w:val="28"/>
          <w:lang w:val="en-US" w:eastAsia="zh-CN"/>
        </w:rPr>
        <w:t>另附</w:t>
      </w:r>
      <w:r>
        <w:rPr>
          <w:rFonts w:hint="eastAsia" w:ascii="宋体" w:hAnsi="宋体" w:eastAsia="宋体" w:cs="宋体"/>
          <w:color w:val="auto"/>
          <w:spacing w:val="0"/>
          <w:position w:val="0"/>
          <w:sz w:val="28"/>
          <w:szCs w:val="28"/>
          <w:lang w:eastAsia="zh-CN"/>
        </w:rPr>
        <w:t>）</w:t>
      </w:r>
    </w:p>
    <w:p w14:paraId="75BA865A">
      <w:pPr>
        <w:pageBreakBefore w:val="0"/>
        <w:wordWrap w:val="0"/>
        <w:overflowPunct/>
        <w:bidi w:val="0"/>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br w:type="page"/>
      </w:r>
    </w:p>
    <w:p w14:paraId="023A93BB">
      <w:pPr>
        <w:pStyle w:val="2"/>
        <w:pageBreakBefore w:val="0"/>
        <w:wordWrap w:val="0"/>
        <w:overflowPunct/>
        <w:topLinePunct/>
        <w:autoSpaceDE/>
        <w:autoSpaceDN/>
        <w:bidi w:val="0"/>
        <w:rPr>
          <w:rFonts w:hint="eastAsia" w:ascii="宋体" w:hAnsi="宋体" w:eastAsia="宋体" w:cs="宋体"/>
          <w:color w:val="auto"/>
          <w:spacing w:val="0"/>
          <w:position w:val="0"/>
          <w:lang w:val="en-US" w:eastAsia="zh-CN"/>
        </w:rPr>
      </w:pPr>
      <w:bookmarkStart w:id="60" w:name="_Toc25901"/>
      <w:r>
        <w:rPr>
          <w:rFonts w:hint="eastAsia" w:ascii="宋体" w:hAnsi="宋体" w:eastAsia="宋体" w:cs="宋体"/>
          <w:color w:val="auto"/>
          <w:spacing w:val="0"/>
          <w:position w:val="0"/>
        </w:rPr>
        <w:t>第</w:t>
      </w:r>
      <w:r>
        <w:rPr>
          <w:rFonts w:hint="eastAsia" w:ascii="宋体" w:hAnsi="宋体" w:eastAsia="宋体" w:cs="宋体"/>
          <w:color w:val="auto"/>
          <w:spacing w:val="0"/>
          <w:position w:val="0"/>
          <w:lang w:val="en-US" w:eastAsia="zh-CN"/>
        </w:rPr>
        <w:t>六</w:t>
      </w:r>
      <w:r>
        <w:rPr>
          <w:rFonts w:hint="eastAsia" w:ascii="宋体" w:hAnsi="宋体" w:eastAsia="宋体" w:cs="宋体"/>
          <w:color w:val="auto"/>
          <w:spacing w:val="0"/>
          <w:position w:val="0"/>
        </w:rPr>
        <w:t xml:space="preserve">章  </w:t>
      </w:r>
      <w:r>
        <w:rPr>
          <w:rFonts w:hint="eastAsia" w:ascii="宋体" w:hAnsi="宋体" w:eastAsia="宋体" w:cs="宋体"/>
          <w:color w:val="auto"/>
          <w:spacing w:val="0"/>
          <w:position w:val="0"/>
          <w:lang w:val="en-US" w:eastAsia="zh-CN"/>
        </w:rPr>
        <w:t>图纸</w:t>
      </w:r>
      <w:bookmarkEnd w:id="60"/>
    </w:p>
    <w:p w14:paraId="17D8D3D9">
      <w:pPr>
        <w:pStyle w:val="44"/>
        <w:keepNext w:val="0"/>
        <w:keepLines w:val="0"/>
        <w:pageBreakBefore w:val="0"/>
        <w:widowControl w:val="0"/>
        <w:kinsoku/>
        <w:wordWrap w:val="0"/>
        <w:overflowPunct/>
        <w:topLinePunct/>
        <w:autoSpaceDE/>
        <w:autoSpaceDN/>
        <w:bidi w:val="0"/>
        <w:adjustRightInd/>
        <w:snapToGrid/>
        <w:spacing w:after="0"/>
        <w:ind w:left="0" w:leftChars="0" w:firstLine="0" w:firstLineChars="0"/>
        <w:jc w:val="center"/>
        <w:textAlignment w:val="auto"/>
        <w:rPr>
          <w:rFonts w:hint="eastAsia" w:ascii="宋体" w:hAnsi="宋体" w:eastAsia="宋体" w:cs="宋体"/>
          <w:color w:val="auto"/>
          <w:spacing w:val="0"/>
          <w:position w:val="0"/>
          <w:sz w:val="28"/>
          <w:szCs w:val="28"/>
          <w:lang w:eastAsia="zh-CN"/>
        </w:rPr>
      </w:pPr>
      <w:r>
        <w:rPr>
          <w:rFonts w:hint="eastAsia" w:ascii="宋体" w:hAnsi="宋体" w:eastAsia="宋体" w:cs="宋体"/>
          <w:color w:val="auto"/>
          <w:spacing w:val="0"/>
          <w:position w:val="0"/>
          <w:sz w:val="28"/>
          <w:szCs w:val="28"/>
          <w:lang w:eastAsia="zh-CN"/>
        </w:rPr>
        <w:t>（</w:t>
      </w:r>
      <w:r>
        <w:rPr>
          <w:rFonts w:hint="eastAsia" w:ascii="宋体" w:hAnsi="宋体" w:eastAsia="宋体" w:cs="宋体"/>
          <w:color w:val="auto"/>
          <w:spacing w:val="0"/>
          <w:position w:val="0"/>
          <w:sz w:val="28"/>
          <w:szCs w:val="28"/>
          <w:lang w:val="en-US" w:eastAsia="zh-CN"/>
        </w:rPr>
        <w:t>另附</w:t>
      </w:r>
      <w:r>
        <w:rPr>
          <w:rFonts w:hint="eastAsia" w:ascii="宋体" w:hAnsi="宋体" w:eastAsia="宋体" w:cs="宋体"/>
          <w:color w:val="auto"/>
          <w:spacing w:val="0"/>
          <w:position w:val="0"/>
          <w:sz w:val="28"/>
          <w:szCs w:val="28"/>
          <w:lang w:eastAsia="zh-CN"/>
        </w:rPr>
        <w:t>）</w:t>
      </w:r>
    </w:p>
    <w:p w14:paraId="4029EA89">
      <w:pPr>
        <w:pageBreakBefore w:val="0"/>
        <w:wordWrap w:val="0"/>
        <w:overflowPunct/>
        <w:bidi w:val="0"/>
        <w:rPr>
          <w:rFonts w:hint="eastAsia" w:ascii="宋体" w:hAnsi="宋体" w:eastAsia="宋体" w:cs="宋体"/>
          <w:color w:val="auto"/>
          <w:spacing w:val="0"/>
          <w:position w:val="0"/>
          <w:szCs w:val="21"/>
          <w:lang w:eastAsia="zh-CN"/>
        </w:rPr>
      </w:pPr>
      <w:r>
        <w:rPr>
          <w:rFonts w:hint="eastAsia" w:ascii="宋体" w:hAnsi="宋体" w:eastAsia="宋体" w:cs="宋体"/>
          <w:color w:val="auto"/>
          <w:spacing w:val="0"/>
          <w:position w:val="0"/>
          <w:szCs w:val="21"/>
          <w:lang w:eastAsia="zh-CN"/>
        </w:rPr>
        <w:br w:type="page"/>
      </w:r>
    </w:p>
    <w:p w14:paraId="748AB81F">
      <w:pPr>
        <w:pStyle w:val="2"/>
        <w:pageBreakBefore w:val="0"/>
        <w:wordWrap w:val="0"/>
        <w:overflowPunct/>
        <w:topLinePunct/>
        <w:autoSpaceDE/>
        <w:autoSpaceDN/>
        <w:bidi w:val="0"/>
        <w:rPr>
          <w:rFonts w:hint="eastAsia" w:ascii="宋体" w:hAnsi="宋体" w:eastAsia="宋体" w:cs="宋体"/>
          <w:color w:val="auto"/>
          <w:spacing w:val="0"/>
          <w:position w:val="0"/>
          <w:lang w:val="en-US" w:eastAsia="zh-CN"/>
        </w:rPr>
      </w:pPr>
      <w:bookmarkStart w:id="61" w:name="_Toc4258"/>
      <w:r>
        <w:rPr>
          <w:rFonts w:hint="eastAsia" w:ascii="宋体" w:hAnsi="宋体" w:eastAsia="宋体" w:cs="宋体"/>
          <w:color w:val="auto"/>
          <w:spacing w:val="0"/>
          <w:position w:val="0"/>
        </w:rPr>
        <w:t>第</w:t>
      </w:r>
      <w:r>
        <w:rPr>
          <w:rFonts w:hint="eastAsia" w:ascii="宋体" w:hAnsi="宋体" w:eastAsia="宋体" w:cs="宋体"/>
          <w:color w:val="auto"/>
          <w:spacing w:val="0"/>
          <w:position w:val="0"/>
          <w:lang w:val="en-US" w:eastAsia="zh-CN"/>
        </w:rPr>
        <w:t>七</w:t>
      </w:r>
      <w:r>
        <w:rPr>
          <w:rFonts w:hint="eastAsia" w:ascii="宋体" w:hAnsi="宋体" w:eastAsia="宋体" w:cs="宋体"/>
          <w:color w:val="auto"/>
          <w:spacing w:val="0"/>
          <w:position w:val="0"/>
        </w:rPr>
        <w:t xml:space="preserve">章  </w:t>
      </w:r>
      <w:r>
        <w:rPr>
          <w:rFonts w:hint="eastAsia" w:ascii="宋体" w:hAnsi="宋体" w:eastAsia="宋体" w:cs="宋体"/>
          <w:color w:val="auto"/>
          <w:spacing w:val="0"/>
          <w:position w:val="0"/>
          <w:lang w:val="en-US" w:eastAsia="zh-CN"/>
        </w:rPr>
        <w:t>技术标准和要求</w:t>
      </w:r>
      <w:bookmarkEnd w:id="61"/>
    </w:p>
    <w:p w14:paraId="0C366C09">
      <w:pPr>
        <w:keepNext w:val="0"/>
        <w:keepLines w:val="0"/>
        <w:pageBreakBefore w:val="0"/>
        <w:widowControl w:val="0"/>
        <w:kinsoku/>
        <w:wordWrap w:val="0"/>
        <w:overflowPunct/>
        <w:topLinePunct/>
        <w:autoSpaceDE/>
        <w:autoSpaceDN/>
        <w:bidi w:val="0"/>
        <w:adjustRightInd/>
        <w:snapToGrid/>
        <w:spacing w:line="372" w:lineRule="auto"/>
        <w:textAlignment w:val="auto"/>
        <w:rPr>
          <w:rFonts w:hint="eastAsia" w:ascii="宋体" w:hAnsi="宋体" w:eastAsia="宋体" w:cs="宋体"/>
          <w:color w:val="000000"/>
          <w:sz w:val="21"/>
          <w:szCs w:val="21"/>
        </w:rPr>
      </w:pPr>
      <w:bookmarkStart w:id="62" w:name="_Toc473131855"/>
      <w:bookmarkStart w:id="63" w:name="_Toc473132270"/>
      <w:bookmarkStart w:id="64" w:name="_Toc16307"/>
      <w:bookmarkStart w:id="65" w:name="_Toc278469602"/>
      <w:bookmarkStart w:id="66" w:name="_Toc295831289"/>
      <w:bookmarkStart w:id="67" w:name="_Toc4570"/>
      <w:bookmarkStart w:id="68" w:name="_Toc11273"/>
      <w:bookmarkStart w:id="69" w:name="_Toc278465760"/>
      <w:bookmarkStart w:id="70" w:name="_Toc298427105"/>
      <w:bookmarkStart w:id="71" w:name="_Toc26405"/>
      <w:r>
        <w:rPr>
          <w:rFonts w:hint="eastAsia" w:ascii="宋体" w:hAnsi="宋体" w:eastAsia="宋体" w:cs="宋体"/>
          <w:color w:val="000000"/>
          <w:sz w:val="21"/>
          <w:szCs w:val="21"/>
        </w:rPr>
        <w:t>一、</w:t>
      </w:r>
      <w:bookmarkEnd w:id="62"/>
      <w:bookmarkEnd w:id="63"/>
      <w:bookmarkStart w:id="72" w:name="_Toc473132271"/>
      <w:bookmarkStart w:id="73" w:name="_Toc473131856"/>
      <w:r>
        <w:rPr>
          <w:rFonts w:hint="eastAsia" w:ascii="宋体" w:hAnsi="宋体" w:eastAsia="宋体" w:cs="宋体"/>
          <w:color w:val="000000"/>
          <w:sz w:val="21"/>
          <w:szCs w:val="21"/>
        </w:rPr>
        <w:t>工程概况</w:t>
      </w:r>
      <w:bookmarkEnd w:id="64"/>
      <w:bookmarkEnd w:id="65"/>
      <w:bookmarkEnd w:id="66"/>
      <w:bookmarkEnd w:id="67"/>
      <w:bookmarkEnd w:id="68"/>
      <w:bookmarkEnd w:id="69"/>
      <w:bookmarkEnd w:id="70"/>
      <w:bookmarkEnd w:id="71"/>
      <w:bookmarkEnd w:id="72"/>
      <w:bookmarkEnd w:id="73"/>
    </w:p>
    <w:p w14:paraId="7AC3A967">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bookmarkStart w:id="74" w:name="_Toc473131857"/>
      <w:bookmarkStart w:id="75" w:name="_Toc8538"/>
      <w:bookmarkStart w:id="76" w:name="_Toc473132272"/>
      <w:bookmarkStart w:id="77" w:name="_Toc295831290"/>
      <w:bookmarkStart w:id="78" w:name="_Toc278469603"/>
      <w:bookmarkStart w:id="79" w:name="_Toc298427106"/>
      <w:bookmarkStart w:id="80" w:name="_Toc278465761"/>
      <w:r>
        <w:rPr>
          <w:rFonts w:hint="eastAsia" w:ascii="宋体" w:hAnsi="宋体" w:eastAsia="宋体" w:cs="宋体"/>
          <w:color w:val="000000"/>
          <w:sz w:val="21"/>
          <w:szCs w:val="21"/>
        </w:rPr>
        <w:t>本项目范围内的原建筑拆除，结构工程、土建工程、室内装修、安装工程、射线防护工程、配合医疗设备厂家安装设备等招标文件、施工图纸及工程量清单范围内的施工、设备安装、调试、竣工验收及保修等。</w:t>
      </w:r>
    </w:p>
    <w:p w14:paraId="3A2D710C">
      <w:pPr>
        <w:keepNext w:val="0"/>
        <w:keepLines w:val="0"/>
        <w:pageBreakBefore w:val="0"/>
        <w:widowControl w:val="0"/>
        <w:kinsoku/>
        <w:wordWrap w:val="0"/>
        <w:overflowPunct/>
        <w:topLinePunct/>
        <w:autoSpaceDE/>
        <w:autoSpaceDN/>
        <w:bidi w:val="0"/>
        <w:adjustRightInd/>
        <w:snapToGrid/>
        <w:spacing w:line="372"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二、招标范围</w:t>
      </w:r>
      <w:bookmarkEnd w:id="74"/>
      <w:bookmarkEnd w:id="75"/>
      <w:bookmarkEnd w:id="76"/>
      <w:bookmarkEnd w:id="77"/>
      <w:bookmarkEnd w:id="78"/>
      <w:bookmarkEnd w:id="79"/>
      <w:bookmarkEnd w:id="80"/>
    </w:p>
    <w:p w14:paraId="698685A5">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bookmarkStart w:id="81" w:name="_Toc278469604"/>
      <w:bookmarkStart w:id="82" w:name="_Toc278465762"/>
      <w:bookmarkStart w:id="83" w:name="_Toc295831291"/>
      <w:r>
        <w:rPr>
          <w:rFonts w:hint="eastAsia" w:ascii="宋体" w:hAnsi="宋体" w:eastAsia="宋体" w:cs="宋体"/>
          <w:color w:val="000000"/>
          <w:sz w:val="21"/>
          <w:szCs w:val="21"/>
        </w:rPr>
        <w:t>工程主要内容包括：</w:t>
      </w:r>
    </w:p>
    <w:p w14:paraId="34AE0671">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1、本项目范围内原建筑拆除</w:t>
      </w:r>
    </w:p>
    <w:p w14:paraId="6284DF39">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2、本项目范围内局部的结构施工；</w:t>
      </w:r>
    </w:p>
    <w:p w14:paraId="046A3FD0">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3、本项目范围内的土建工程、室内装饰装修、安装工程、射线防护工程、净化工程；</w:t>
      </w:r>
    </w:p>
    <w:p w14:paraId="772558F2">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4、设计图纸及工程量清单范围内的其他工作；</w:t>
      </w:r>
    </w:p>
    <w:p w14:paraId="57BD85B1">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5、本项目范围内的设备安装、调试、竣工验收及保修工作。</w:t>
      </w:r>
    </w:p>
    <w:p w14:paraId="2532F39B">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6、与本项目范围外其他区域相关施工单位的配合工作；</w:t>
      </w:r>
    </w:p>
    <w:p w14:paraId="4662D020">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7、招标人要求的其他工作。</w:t>
      </w:r>
    </w:p>
    <w:p w14:paraId="0038EEB6">
      <w:pPr>
        <w:keepNext w:val="0"/>
        <w:keepLines w:val="0"/>
        <w:pageBreakBefore w:val="0"/>
        <w:widowControl w:val="0"/>
        <w:kinsoku/>
        <w:wordWrap w:val="0"/>
        <w:overflowPunct/>
        <w:topLinePunct/>
        <w:autoSpaceDE/>
        <w:autoSpaceDN/>
        <w:bidi w:val="0"/>
        <w:adjustRightInd/>
        <w:snapToGrid/>
        <w:spacing w:line="372" w:lineRule="auto"/>
        <w:textAlignment w:val="auto"/>
        <w:rPr>
          <w:rFonts w:hint="eastAsia" w:ascii="宋体" w:hAnsi="宋体" w:eastAsia="宋体" w:cs="宋体"/>
          <w:color w:val="000000"/>
          <w:sz w:val="21"/>
          <w:szCs w:val="21"/>
        </w:rPr>
      </w:pPr>
      <w:bookmarkStart w:id="84" w:name="_Toc473132273"/>
      <w:bookmarkStart w:id="85" w:name="_Toc473131858"/>
      <w:bookmarkStart w:id="86" w:name="_Toc10194"/>
      <w:bookmarkStart w:id="87" w:name="_Toc298427138"/>
      <w:r>
        <w:rPr>
          <w:rFonts w:hint="eastAsia" w:ascii="宋体" w:hAnsi="宋体" w:eastAsia="宋体" w:cs="宋体"/>
          <w:color w:val="000000"/>
          <w:sz w:val="21"/>
          <w:szCs w:val="21"/>
        </w:rPr>
        <w:t>三、技术要求</w:t>
      </w:r>
      <w:bookmarkEnd w:id="81"/>
      <w:bookmarkEnd w:id="82"/>
      <w:bookmarkEnd w:id="83"/>
      <w:bookmarkEnd w:id="84"/>
      <w:bookmarkEnd w:id="85"/>
      <w:bookmarkEnd w:id="86"/>
      <w:bookmarkEnd w:id="87"/>
    </w:p>
    <w:p w14:paraId="461055C9">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投标人充分考虑施工位置位于已建成住宅楼底层，楼上居民居住，门诊正常开诊，考虑施工不便对投标报价的影响。</w:t>
      </w:r>
    </w:p>
    <w:p w14:paraId="4E946166">
      <w:pPr>
        <w:keepNext w:val="0"/>
        <w:keepLines w:val="0"/>
        <w:pageBreakBefore w:val="0"/>
        <w:widowControl w:val="0"/>
        <w:kinsoku/>
        <w:wordWrap w:val="0"/>
        <w:overflowPunct/>
        <w:topLinePunct/>
        <w:autoSpaceDE/>
        <w:autoSpaceDN/>
        <w:bidi w:val="0"/>
        <w:adjustRightInd/>
        <w:snapToGrid/>
        <w:spacing w:line="372"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其他具体要求详见图纸</w:t>
      </w:r>
    </w:p>
    <w:p w14:paraId="2865486F">
      <w:pPr>
        <w:keepNext w:val="0"/>
        <w:keepLines w:val="0"/>
        <w:pageBreakBefore w:val="0"/>
        <w:widowControl w:val="0"/>
        <w:kinsoku/>
        <w:wordWrap w:val="0"/>
        <w:overflowPunct/>
        <w:topLinePunct/>
        <w:autoSpaceDE/>
        <w:autoSpaceDN/>
        <w:bidi w:val="0"/>
        <w:adjustRightInd/>
        <w:snapToGrid/>
        <w:spacing w:line="372"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四、主要材料材质及品牌一览表</w:t>
      </w:r>
    </w:p>
    <w:tbl>
      <w:tblPr>
        <w:tblStyle w:val="46"/>
        <w:tblW w:w="9236" w:type="dxa"/>
        <w:jc w:val="center"/>
        <w:tblLayout w:type="fixed"/>
        <w:tblCellMar>
          <w:top w:w="0" w:type="dxa"/>
          <w:left w:w="108" w:type="dxa"/>
          <w:bottom w:w="0" w:type="dxa"/>
          <w:right w:w="108" w:type="dxa"/>
        </w:tblCellMar>
      </w:tblPr>
      <w:tblGrid>
        <w:gridCol w:w="747"/>
        <w:gridCol w:w="2062"/>
        <w:gridCol w:w="1704"/>
        <w:gridCol w:w="1693"/>
        <w:gridCol w:w="2312"/>
        <w:gridCol w:w="718"/>
      </w:tblGrid>
      <w:tr w14:paraId="30D9C55F">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5355B0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062" w:type="dxa"/>
            <w:tcBorders>
              <w:top w:val="single" w:color="auto" w:sz="4" w:space="0"/>
              <w:left w:val="nil"/>
              <w:bottom w:val="single" w:color="auto" w:sz="4" w:space="0"/>
              <w:right w:val="single" w:color="auto" w:sz="4" w:space="0"/>
            </w:tcBorders>
            <w:noWrap w:val="0"/>
            <w:vAlign w:val="center"/>
          </w:tcPr>
          <w:p w14:paraId="69CA9FF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分类</w:t>
            </w:r>
          </w:p>
        </w:tc>
        <w:tc>
          <w:tcPr>
            <w:tcW w:w="1704" w:type="dxa"/>
            <w:tcBorders>
              <w:top w:val="single" w:color="auto" w:sz="4" w:space="0"/>
              <w:left w:val="nil"/>
              <w:bottom w:val="single" w:color="auto" w:sz="4" w:space="0"/>
              <w:right w:val="single" w:color="auto" w:sz="4" w:space="0"/>
            </w:tcBorders>
            <w:noWrap w:val="0"/>
            <w:vAlign w:val="center"/>
          </w:tcPr>
          <w:p w14:paraId="6836836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设备材料名称</w:t>
            </w:r>
          </w:p>
        </w:tc>
        <w:tc>
          <w:tcPr>
            <w:tcW w:w="1693" w:type="dxa"/>
            <w:tcBorders>
              <w:top w:val="single" w:color="auto" w:sz="4" w:space="0"/>
              <w:left w:val="nil"/>
              <w:bottom w:val="single" w:color="auto" w:sz="4" w:space="0"/>
              <w:right w:val="nil"/>
            </w:tcBorders>
            <w:noWrap w:val="0"/>
            <w:vAlign w:val="center"/>
          </w:tcPr>
          <w:p w14:paraId="30694B2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型号规格</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86331C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参考品牌</w:t>
            </w:r>
          </w:p>
        </w:tc>
        <w:tc>
          <w:tcPr>
            <w:tcW w:w="718" w:type="dxa"/>
            <w:tcBorders>
              <w:top w:val="single" w:color="auto" w:sz="4" w:space="0"/>
              <w:left w:val="nil"/>
              <w:bottom w:val="single" w:color="auto" w:sz="4" w:space="0"/>
              <w:right w:val="single" w:color="auto" w:sz="4" w:space="0"/>
            </w:tcBorders>
            <w:noWrap w:val="0"/>
            <w:vAlign w:val="center"/>
          </w:tcPr>
          <w:p w14:paraId="7E3E2B3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1E91CF29">
        <w:tblPrEx>
          <w:tblCellMar>
            <w:top w:w="0" w:type="dxa"/>
            <w:left w:w="108" w:type="dxa"/>
            <w:bottom w:w="0" w:type="dxa"/>
            <w:right w:w="108" w:type="dxa"/>
          </w:tblCellMar>
        </w:tblPrEx>
        <w:trPr>
          <w:trHeight w:val="567" w:hRule="atLeast"/>
          <w:jc w:val="center"/>
        </w:trPr>
        <w:tc>
          <w:tcPr>
            <w:tcW w:w="747" w:type="dxa"/>
            <w:tcBorders>
              <w:top w:val="nil"/>
              <w:left w:val="single" w:color="auto" w:sz="4" w:space="0"/>
              <w:right w:val="single" w:color="auto" w:sz="4" w:space="0"/>
            </w:tcBorders>
            <w:noWrap w:val="0"/>
            <w:vAlign w:val="center"/>
          </w:tcPr>
          <w:p w14:paraId="4A2FD28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62" w:type="dxa"/>
            <w:tcBorders>
              <w:top w:val="nil"/>
              <w:left w:val="nil"/>
              <w:right w:val="single" w:color="auto" w:sz="4" w:space="0"/>
            </w:tcBorders>
            <w:noWrap w:val="0"/>
            <w:vAlign w:val="center"/>
          </w:tcPr>
          <w:p w14:paraId="7DF5604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墙面、地面</w:t>
            </w:r>
          </w:p>
        </w:tc>
        <w:tc>
          <w:tcPr>
            <w:tcW w:w="1704" w:type="dxa"/>
            <w:tcBorders>
              <w:top w:val="nil"/>
              <w:left w:val="nil"/>
              <w:bottom w:val="single" w:color="auto" w:sz="4" w:space="0"/>
              <w:right w:val="single" w:color="auto" w:sz="4" w:space="0"/>
            </w:tcBorders>
            <w:noWrap w:val="0"/>
            <w:vAlign w:val="center"/>
          </w:tcPr>
          <w:p w14:paraId="62DB444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墙面砖、地板砖</w:t>
            </w:r>
          </w:p>
        </w:tc>
        <w:tc>
          <w:tcPr>
            <w:tcW w:w="1693" w:type="dxa"/>
            <w:tcBorders>
              <w:top w:val="nil"/>
              <w:left w:val="nil"/>
              <w:bottom w:val="single" w:color="auto" w:sz="4" w:space="0"/>
              <w:right w:val="nil"/>
            </w:tcBorders>
            <w:noWrap w:val="0"/>
            <w:vAlign w:val="center"/>
          </w:tcPr>
          <w:p w14:paraId="298693E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nil"/>
              <w:left w:val="single" w:color="auto" w:sz="4" w:space="0"/>
              <w:bottom w:val="single" w:color="auto" w:sz="4" w:space="0"/>
              <w:right w:val="single" w:color="auto" w:sz="4" w:space="0"/>
            </w:tcBorders>
            <w:noWrap w:val="0"/>
            <w:vAlign w:val="center"/>
          </w:tcPr>
          <w:p w14:paraId="7861FAC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斯米克、马可波罗、冠军、诺贝尔、东鹏</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6AE4447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57A950CE">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26D685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62" w:type="dxa"/>
            <w:tcBorders>
              <w:top w:val="single" w:color="auto" w:sz="4" w:space="0"/>
              <w:left w:val="nil"/>
              <w:bottom w:val="single" w:color="auto" w:sz="4" w:space="0"/>
              <w:right w:val="single" w:color="auto" w:sz="4" w:space="0"/>
            </w:tcBorders>
            <w:noWrap w:val="0"/>
            <w:vAlign w:val="center"/>
          </w:tcPr>
          <w:p w14:paraId="7B1FAE6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铝扣板吊顶</w:t>
            </w:r>
          </w:p>
        </w:tc>
        <w:tc>
          <w:tcPr>
            <w:tcW w:w="1704" w:type="dxa"/>
            <w:tcBorders>
              <w:top w:val="single" w:color="auto" w:sz="4" w:space="0"/>
              <w:left w:val="nil"/>
              <w:bottom w:val="single" w:color="auto" w:sz="4" w:space="0"/>
              <w:right w:val="single" w:color="auto" w:sz="4" w:space="0"/>
            </w:tcBorders>
            <w:noWrap w:val="0"/>
            <w:vAlign w:val="center"/>
          </w:tcPr>
          <w:p w14:paraId="4ADD8B4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6691F8C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8DE93A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拓普泰德、中茂、CKM</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31C17CF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664CA340">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07689BC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62" w:type="dxa"/>
            <w:tcBorders>
              <w:top w:val="single" w:color="auto" w:sz="4" w:space="0"/>
              <w:left w:val="nil"/>
              <w:bottom w:val="single" w:color="auto" w:sz="4" w:space="0"/>
              <w:right w:val="single" w:color="auto" w:sz="4" w:space="0"/>
            </w:tcBorders>
            <w:noWrap w:val="0"/>
            <w:vAlign w:val="center"/>
          </w:tcPr>
          <w:p w14:paraId="37BDDD4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钢筋、钢材</w:t>
            </w:r>
          </w:p>
        </w:tc>
        <w:tc>
          <w:tcPr>
            <w:tcW w:w="1704" w:type="dxa"/>
            <w:tcBorders>
              <w:top w:val="single" w:color="auto" w:sz="4" w:space="0"/>
              <w:left w:val="nil"/>
              <w:bottom w:val="single" w:color="auto" w:sz="4" w:space="0"/>
              <w:right w:val="single" w:color="auto" w:sz="4" w:space="0"/>
            </w:tcBorders>
            <w:noWrap w:val="0"/>
            <w:vAlign w:val="center"/>
          </w:tcPr>
          <w:p w14:paraId="491896B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638D5F0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7CBD18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宝钢、武钢、首钢</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32545D9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15D0B748">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949A78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62" w:type="dxa"/>
            <w:tcBorders>
              <w:top w:val="single" w:color="auto" w:sz="4" w:space="0"/>
              <w:left w:val="nil"/>
              <w:bottom w:val="single" w:color="auto" w:sz="4" w:space="0"/>
              <w:right w:val="single" w:color="auto" w:sz="4" w:space="0"/>
            </w:tcBorders>
            <w:noWrap w:val="0"/>
            <w:vAlign w:val="center"/>
          </w:tcPr>
          <w:p w14:paraId="64ABF10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橡胶地板</w:t>
            </w:r>
          </w:p>
        </w:tc>
        <w:tc>
          <w:tcPr>
            <w:tcW w:w="1704" w:type="dxa"/>
            <w:tcBorders>
              <w:top w:val="single" w:color="auto" w:sz="4" w:space="0"/>
              <w:left w:val="nil"/>
              <w:bottom w:val="single" w:color="auto" w:sz="4" w:space="0"/>
              <w:right w:val="single" w:color="auto" w:sz="4" w:space="0"/>
            </w:tcBorders>
            <w:noWrap w:val="0"/>
            <w:vAlign w:val="center"/>
          </w:tcPr>
          <w:p w14:paraId="13D645B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7DECF71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CD94A7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阿姆斯壮、诺拉</w:t>
            </w:r>
            <w:r>
              <w:rPr>
                <w:rFonts w:hint="eastAsia" w:ascii="宋体" w:hAnsi="宋体" w:cs="宋体"/>
                <w:color w:val="000000"/>
                <w:sz w:val="21"/>
                <w:szCs w:val="21"/>
                <w:lang w:eastAsia="zh-CN"/>
              </w:rPr>
              <w:t>、得嘉</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6F9A906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7058F2E2">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1E17EC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62" w:type="dxa"/>
            <w:tcBorders>
              <w:top w:val="single" w:color="auto" w:sz="4" w:space="0"/>
              <w:left w:val="nil"/>
              <w:bottom w:val="single" w:color="auto" w:sz="4" w:space="0"/>
              <w:right w:val="single" w:color="auto" w:sz="4" w:space="0"/>
            </w:tcBorders>
            <w:noWrap w:val="0"/>
            <w:vAlign w:val="center"/>
          </w:tcPr>
          <w:p w14:paraId="3222D16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门</w:t>
            </w:r>
          </w:p>
        </w:tc>
        <w:tc>
          <w:tcPr>
            <w:tcW w:w="1704" w:type="dxa"/>
            <w:tcBorders>
              <w:top w:val="single" w:color="auto" w:sz="4" w:space="0"/>
              <w:left w:val="nil"/>
              <w:bottom w:val="single" w:color="auto" w:sz="4" w:space="0"/>
              <w:right w:val="single" w:color="auto" w:sz="4" w:space="0"/>
            </w:tcBorders>
            <w:noWrap w:val="0"/>
            <w:vAlign w:val="center"/>
          </w:tcPr>
          <w:p w14:paraId="28F5D2E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5FE544C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987110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盼盼、少林、美心</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5A53705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09AB4AA7">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D1FCC0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2062" w:type="dxa"/>
            <w:tcBorders>
              <w:top w:val="single" w:color="auto" w:sz="4" w:space="0"/>
              <w:left w:val="nil"/>
              <w:bottom w:val="single" w:color="auto" w:sz="4" w:space="0"/>
              <w:right w:val="single" w:color="auto" w:sz="4" w:space="0"/>
            </w:tcBorders>
            <w:noWrap w:val="0"/>
            <w:vAlign w:val="center"/>
          </w:tcPr>
          <w:p w14:paraId="0078B93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铅制观察窗</w:t>
            </w:r>
          </w:p>
        </w:tc>
        <w:tc>
          <w:tcPr>
            <w:tcW w:w="1704" w:type="dxa"/>
            <w:tcBorders>
              <w:top w:val="single" w:color="auto" w:sz="4" w:space="0"/>
              <w:left w:val="nil"/>
              <w:bottom w:val="single" w:color="auto" w:sz="4" w:space="0"/>
              <w:right w:val="single" w:color="auto" w:sz="4" w:space="0"/>
            </w:tcBorders>
            <w:noWrap w:val="0"/>
            <w:vAlign w:val="center"/>
          </w:tcPr>
          <w:p w14:paraId="08EF8DC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45AF12B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B892E3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42631A2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48693487">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26C14A0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2062" w:type="dxa"/>
            <w:tcBorders>
              <w:top w:val="single" w:color="auto" w:sz="4" w:space="0"/>
              <w:left w:val="nil"/>
              <w:bottom w:val="single" w:color="auto" w:sz="4" w:space="0"/>
              <w:right w:val="single" w:color="auto" w:sz="4" w:space="0"/>
            </w:tcBorders>
            <w:noWrap w:val="0"/>
            <w:vAlign w:val="center"/>
          </w:tcPr>
          <w:p w14:paraId="4BAF251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无机预涂板</w:t>
            </w:r>
          </w:p>
        </w:tc>
        <w:tc>
          <w:tcPr>
            <w:tcW w:w="1704" w:type="dxa"/>
            <w:tcBorders>
              <w:top w:val="single" w:color="auto" w:sz="4" w:space="0"/>
              <w:left w:val="nil"/>
              <w:bottom w:val="single" w:color="auto" w:sz="4" w:space="0"/>
              <w:right w:val="single" w:color="auto" w:sz="4" w:space="0"/>
            </w:tcBorders>
            <w:noWrap w:val="0"/>
            <w:vAlign w:val="center"/>
          </w:tcPr>
          <w:p w14:paraId="15DAD5E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2E80EE0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77D3CB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林音、格特、卡利</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47F3D91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7311C47D">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205665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2062" w:type="dxa"/>
            <w:tcBorders>
              <w:top w:val="single" w:color="auto" w:sz="4" w:space="0"/>
              <w:left w:val="nil"/>
              <w:bottom w:val="single" w:color="auto" w:sz="4" w:space="0"/>
              <w:right w:val="single" w:color="auto" w:sz="4" w:space="0"/>
            </w:tcBorders>
            <w:noWrap w:val="0"/>
            <w:vAlign w:val="center"/>
          </w:tcPr>
          <w:p w14:paraId="467CC23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无机涂料</w:t>
            </w:r>
          </w:p>
        </w:tc>
        <w:tc>
          <w:tcPr>
            <w:tcW w:w="1704" w:type="dxa"/>
            <w:tcBorders>
              <w:top w:val="single" w:color="auto" w:sz="4" w:space="0"/>
              <w:left w:val="nil"/>
              <w:bottom w:val="single" w:color="auto" w:sz="4" w:space="0"/>
              <w:right w:val="single" w:color="auto" w:sz="4" w:space="0"/>
            </w:tcBorders>
            <w:noWrap w:val="0"/>
            <w:vAlign w:val="center"/>
          </w:tcPr>
          <w:p w14:paraId="28858E3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6FE202D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D16C71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7E8B5C1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7ECB9071">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08A34EB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2062" w:type="dxa"/>
            <w:tcBorders>
              <w:top w:val="single" w:color="auto" w:sz="4" w:space="0"/>
              <w:left w:val="nil"/>
              <w:bottom w:val="single" w:color="auto" w:sz="4" w:space="0"/>
              <w:right w:val="single" w:color="auto" w:sz="4" w:space="0"/>
            </w:tcBorders>
            <w:noWrap w:val="0"/>
            <w:vAlign w:val="center"/>
          </w:tcPr>
          <w:p w14:paraId="10652B5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系统窗</w:t>
            </w:r>
          </w:p>
        </w:tc>
        <w:tc>
          <w:tcPr>
            <w:tcW w:w="1704" w:type="dxa"/>
            <w:tcBorders>
              <w:top w:val="single" w:color="auto" w:sz="4" w:space="0"/>
              <w:left w:val="nil"/>
              <w:bottom w:val="single" w:color="auto" w:sz="4" w:space="0"/>
              <w:right w:val="single" w:color="auto" w:sz="4" w:space="0"/>
            </w:tcBorders>
            <w:noWrap w:val="0"/>
            <w:vAlign w:val="center"/>
          </w:tcPr>
          <w:p w14:paraId="28338CB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nil"/>
            </w:tcBorders>
            <w:noWrap w:val="0"/>
            <w:vAlign w:val="center"/>
          </w:tcPr>
          <w:p w14:paraId="4F79A95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1D1F7F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5EC3E4F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2D271644">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8161E3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0</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985F73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净化设备</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1D36D4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D2CFD0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80B44C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雅士、开利、国祥、天加</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69AC907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51B30F48">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146322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9F8E4F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七氟丙烷灭火装置</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26F83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826BCD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62776D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3A741F5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494E58A9">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556572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32A494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烟感、消防报警系统、报警主机</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360EA1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586D567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E18CF2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海湾、青鸟、利达等</w:t>
            </w:r>
          </w:p>
        </w:tc>
        <w:tc>
          <w:tcPr>
            <w:tcW w:w="718" w:type="dxa"/>
            <w:tcBorders>
              <w:top w:val="single" w:color="auto" w:sz="4" w:space="0"/>
              <w:left w:val="nil"/>
              <w:bottom w:val="single" w:color="auto" w:sz="4" w:space="0"/>
              <w:right w:val="single" w:color="auto" w:sz="4" w:space="0"/>
            </w:tcBorders>
            <w:noWrap w:val="0"/>
            <w:vAlign w:val="center"/>
          </w:tcPr>
          <w:p w14:paraId="75202F8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131366C7">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7EE379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561733D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疏散指示灯</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AC23A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66C4FD4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F0BD78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7F50D9B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101C00D6">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93290C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51E584D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保温材料</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5999D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橡塑保温棉</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6BFFE4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A2FB81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华美、奥乐斯、福乐斯、阿姆斯壮、金福莱斯</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269E53A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11FBC525">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96FE41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p>
        </w:tc>
        <w:tc>
          <w:tcPr>
            <w:tcW w:w="2062" w:type="dxa"/>
            <w:tcBorders>
              <w:top w:val="single" w:color="auto" w:sz="4" w:space="0"/>
              <w:left w:val="nil"/>
              <w:bottom w:val="single" w:color="auto" w:sz="4" w:space="0"/>
              <w:right w:val="single" w:color="auto" w:sz="4" w:space="0"/>
            </w:tcBorders>
            <w:noWrap w:val="0"/>
            <w:vAlign w:val="center"/>
          </w:tcPr>
          <w:p w14:paraId="47E70C6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配电箱、低压柜、电器元件</w:t>
            </w:r>
          </w:p>
        </w:tc>
        <w:tc>
          <w:tcPr>
            <w:tcW w:w="1704" w:type="dxa"/>
            <w:tcBorders>
              <w:top w:val="single" w:color="auto" w:sz="4" w:space="0"/>
              <w:left w:val="nil"/>
              <w:bottom w:val="single" w:color="auto" w:sz="4" w:space="0"/>
              <w:right w:val="single" w:color="auto" w:sz="4" w:space="0"/>
            </w:tcBorders>
            <w:noWrap w:val="0"/>
            <w:vAlign w:val="center"/>
          </w:tcPr>
          <w:p w14:paraId="6FEA778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配电箱、低压柜、主要电器元件</w:t>
            </w:r>
          </w:p>
        </w:tc>
        <w:tc>
          <w:tcPr>
            <w:tcW w:w="1693" w:type="dxa"/>
            <w:tcBorders>
              <w:top w:val="single" w:color="auto" w:sz="4" w:space="0"/>
              <w:left w:val="nil"/>
              <w:bottom w:val="single" w:color="auto" w:sz="4" w:space="0"/>
              <w:right w:val="single" w:color="auto" w:sz="4" w:space="0"/>
            </w:tcBorders>
            <w:noWrap w:val="0"/>
            <w:vAlign w:val="center"/>
          </w:tcPr>
          <w:p w14:paraId="50EC8DD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2B1FD32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施耐德、ABB、西门子</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1CF02F5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7A8147B1">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BEC09C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6</w:t>
            </w:r>
          </w:p>
        </w:tc>
        <w:tc>
          <w:tcPr>
            <w:tcW w:w="2062" w:type="dxa"/>
            <w:tcBorders>
              <w:top w:val="single" w:color="auto" w:sz="4" w:space="0"/>
              <w:left w:val="nil"/>
              <w:bottom w:val="single" w:color="auto" w:sz="4" w:space="0"/>
              <w:right w:val="single" w:color="auto" w:sz="4" w:space="0"/>
            </w:tcBorders>
            <w:noWrap w:val="0"/>
            <w:vAlign w:val="center"/>
          </w:tcPr>
          <w:p w14:paraId="6636174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隔离变压器</w:t>
            </w:r>
          </w:p>
        </w:tc>
        <w:tc>
          <w:tcPr>
            <w:tcW w:w="1704" w:type="dxa"/>
            <w:tcBorders>
              <w:top w:val="single" w:color="auto" w:sz="4" w:space="0"/>
              <w:left w:val="nil"/>
              <w:bottom w:val="single" w:color="auto" w:sz="4" w:space="0"/>
              <w:right w:val="single" w:color="auto" w:sz="4" w:space="0"/>
            </w:tcBorders>
            <w:noWrap w:val="0"/>
            <w:vAlign w:val="center"/>
          </w:tcPr>
          <w:p w14:paraId="7739ED3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26490B8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0B3E790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本德尔、海博格、博赫尔</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4E6B598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2BDE1437">
        <w:tblPrEx>
          <w:tblCellMar>
            <w:top w:w="0" w:type="dxa"/>
            <w:left w:w="108" w:type="dxa"/>
            <w:bottom w:w="0" w:type="dxa"/>
            <w:right w:w="108" w:type="dxa"/>
          </w:tblCellMar>
        </w:tblPrEx>
        <w:trPr>
          <w:trHeight w:val="567" w:hRule="atLeast"/>
          <w:jc w:val="center"/>
        </w:trPr>
        <w:tc>
          <w:tcPr>
            <w:tcW w:w="747" w:type="dxa"/>
            <w:tcBorders>
              <w:top w:val="nil"/>
              <w:left w:val="single" w:color="auto" w:sz="4" w:space="0"/>
              <w:bottom w:val="single" w:color="auto" w:sz="4" w:space="0"/>
              <w:right w:val="single" w:color="auto" w:sz="4" w:space="0"/>
            </w:tcBorders>
            <w:noWrap w:val="0"/>
            <w:vAlign w:val="center"/>
          </w:tcPr>
          <w:p w14:paraId="53E13BA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7</w:t>
            </w:r>
          </w:p>
        </w:tc>
        <w:tc>
          <w:tcPr>
            <w:tcW w:w="2062" w:type="dxa"/>
            <w:tcBorders>
              <w:top w:val="nil"/>
              <w:left w:val="nil"/>
              <w:bottom w:val="single" w:color="auto" w:sz="4" w:space="0"/>
              <w:right w:val="single" w:color="auto" w:sz="4" w:space="0"/>
            </w:tcBorders>
            <w:noWrap w:val="0"/>
            <w:vAlign w:val="center"/>
          </w:tcPr>
          <w:p w14:paraId="52E426F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开关</w:t>
            </w:r>
          </w:p>
        </w:tc>
        <w:tc>
          <w:tcPr>
            <w:tcW w:w="1704" w:type="dxa"/>
            <w:tcBorders>
              <w:top w:val="nil"/>
              <w:left w:val="nil"/>
              <w:bottom w:val="single" w:color="auto" w:sz="4" w:space="0"/>
              <w:right w:val="single" w:color="auto" w:sz="4" w:space="0"/>
            </w:tcBorders>
            <w:noWrap w:val="0"/>
            <w:vAlign w:val="center"/>
          </w:tcPr>
          <w:p w14:paraId="0A0EAED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开关</w:t>
            </w:r>
          </w:p>
        </w:tc>
        <w:tc>
          <w:tcPr>
            <w:tcW w:w="1693" w:type="dxa"/>
            <w:tcBorders>
              <w:top w:val="nil"/>
              <w:left w:val="nil"/>
              <w:bottom w:val="single" w:color="auto" w:sz="4" w:space="0"/>
              <w:right w:val="single" w:color="auto" w:sz="4" w:space="0"/>
            </w:tcBorders>
            <w:noWrap w:val="0"/>
            <w:vAlign w:val="center"/>
          </w:tcPr>
          <w:p w14:paraId="48A387C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nil"/>
              <w:left w:val="nil"/>
              <w:bottom w:val="single" w:color="auto" w:sz="4" w:space="0"/>
              <w:right w:val="single" w:color="auto" w:sz="4" w:space="0"/>
            </w:tcBorders>
            <w:noWrap w:val="0"/>
            <w:vAlign w:val="center"/>
          </w:tcPr>
          <w:p w14:paraId="76DDE9B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西门子、施耐德、松下</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27BD00C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055E455B">
        <w:tblPrEx>
          <w:tblCellMar>
            <w:top w:w="0" w:type="dxa"/>
            <w:left w:w="108" w:type="dxa"/>
            <w:bottom w:w="0" w:type="dxa"/>
            <w:right w:w="108" w:type="dxa"/>
          </w:tblCellMar>
        </w:tblPrEx>
        <w:trPr>
          <w:trHeight w:val="567" w:hRule="atLeast"/>
          <w:jc w:val="center"/>
        </w:trPr>
        <w:tc>
          <w:tcPr>
            <w:tcW w:w="747" w:type="dxa"/>
            <w:tcBorders>
              <w:top w:val="nil"/>
              <w:left w:val="single" w:color="auto" w:sz="4" w:space="0"/>
              <w:bottom w:val="single" w:color="auto" w:sz="4" w:space="0"/>
              <w:right w:val="single" w:color="auto" w:sz="4" w:space="0"/>
            </w:tcBorders>
            <w:noWrap w:val="0"/>
            <w:vAlign w:val="center"/>
          </w:tcPr>
          <w:p w14:paraId="382D75A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8</w:t>
            </w:r>
          </w:p>
        </w:tc>
        <w:tc>
          <w:tcPr>
            <w:tcW w:w="2062" w:type="dxa"/>
            <w:tcBorders>
              <w:top w:val="nil"/>
              <w:left w:val="nil"/>
              <w:bottom w:val="single" w:color="auto" w:sz="4" w:space="0"/>
              <w:right w:val="single" w:color="auto" w:sz="4" w:space="0"/>
            </w:tcBorders>
            <w:noWrap w:val="0"/>
            <w:vAlign w:val="center"/>
          </w:tcPr>
          <w:p w14:paraId="1071A32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插座</w:t>
            </w:r>
          </w:p>
        </w:tc>
        <w:tc>
          <w:tcPr>
            <w:tcW w:w="1704" w:type="dxa"/>
            <w:tcBorders>
              <w:top w:val="nil"/>
              <w:left w:val="nil"/>
              <w:bottom w:val="single" w:color="auto" w:sz="4" w:space="0"/>
              <w:right w:val="single" w:color="auto" w:sz="4" w:space="0"/>
            </w:tcBorders>
            <w:noWrap w:val="0"/>
            <w:vAlign w:val="center"/>
          </w:tcPr>
          <w:p w14:paraId="7B53FA8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插座</w:t>
            </w:r>
          </w:p>
        </w:tc>
        <w:tc>
          <w:tcPr>
            <w:tcW w:w="1693" w:type="dxa"/>
            <w:tcBorders>
              <w:top w:val="nil"/>
              <w:left w:val="nil"/>
              <w:bottom w:val="single" w:color="auto" w:sz="4" w:space="0"/>
              <w:right w:val="single" w:color="auto" w:sz="4" w:space="0"/>
            </w:tcBorders>
            <w:noWrap w:val="0"/>
            <w:vAlign w:val="center"/>
          </w:tcPr>
          <w:p w14:paraId="230B6DE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nil"/>
              <w:left w:val="nil"/>
              <w:bottom w:val="single" w:color="auto" w:sz="4" w:space="0"/>
              <w:right w:val="single" w:color="auto" w:sz="4" w:space="0"/>
            </w:tcBorders>
            <w:noWrap w:val="0"/>
            <w:vAlign w:val="center"/>
          </w:tcPr>
          <w:p w14:paraId="7E0E19B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西门子、施耐德、松下</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505774D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23ACCA6C">
        <w:tblPrEx>
          <w:tblCellMar>
            <w:top w:w="0" w:type="dxa"/>
            <w:left w:w="108" w:type="dxa"/>
            <w:bottom w:w="0" w:type="dxa"/>
            <w:right w:w="108" w:type="dxa"/>
          </w:tblCellMar>
        </w:tblPrEx>
        <w:trPr>
          <w:trHeight w:val="567" w:hRule="atLeast"/>
          <w:jc w:val="center"/>
        </w:trPr>
        <w:tc>
          <w:tcPr>
            <w:tcW w:w="747" w:type="dxa"/>
            <w:tcBorders>
              <w:top w:val="nil"/>
              <w:left w:val="single" w:color="auto" w:sz="4" w:space="0"/>
              <w:bottom w:val="single" w:color="auto" w:sz="4" w:space="0"/>
              <w:right w:val="single" w:color="auto" w:sz="4" w:space="0"/>
            </w:tcBorders>
            <w:noWrap w:val="0"/>
            <w:vAlign w:val="center"/>
          </w:tcPr>
          <w:p w14:paraId="7702A7B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9</w:t>
            </w:r>
          </w:p>
        </w:tc>
        <w:tc>
          <w:tcPr>
            <w:tcW w:w="2062" w:type="dxa"/>
            <w:tcBorders>
              <w:top w:val="nil"/>
              <w:left w:val="nil"/>
              <w:bottom w:val="single" w:color="auto" w:sz="4" w:space="0"/>
              <w:right w:val="single" w:color="auto" w:sz="4" w:space="0"/>
            </w:tcBorders>
            <w:noWrap w:val="0"/>
            <w:vAlign w:val="center"/>
          </w:tcPr>
          <w:p w14:paraId="4CE1774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电线、电缆</w:t>
            </w:r>
          </w:p>
        </w:tc>
        <w:tc>
          <w:tcPr>
            <w:tcW w:w="1704" w:type="dxa"/>
            <w:tcBorders>
              <w:top w:val="nil"/>
              <w:left w:val="nil"/>
              <w:bottom w:val="single" w:color="auto" w:sz="4" w:space="0"/>
              <w:right w:val="single" w:color="auto" w:sz="4" w:space="0"/>
            </w:tcBorders>
            <w:noWrap w:val="0"/>
            <w:vAlign w:val="center"/>
          </w:tcPr>
          <w:p w14:paraId="5871BED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电线、电缆</w:t>
            </w:r>
          </w:p>
        </w:tc>
        <w:tc>
          <w:tcPr>
            <w:tcW w:w="1693" w:type="dxa"/>
            <w:tcBorders>
              <w:top w:val="nil"/>
              <w:left w:val="nil"/>
              <w:bottom w:val="single" w:color="auto" w:sz="4" w:space="0"/>
              <w:right w:val="single" w:color="auto" w:sz="4" w:space="0"/>
            </w:tcBorders>
            <w:noWrap w:val="0"/>
            <w:vAlign w:val="center"/>
          </w:tcPr>
          <w:p w14:paraId="60EAE94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nil"/>
              <w:left w:val="nil"/>
              <w:bottom w:val="single" w:color="auto" w:sz="4" w:space="0"/>
              <w:right w:val="single" w:color="auto" w:sz="4" w:space="0"/>
            </w:tcBorders>
            <w:noWrap w:val="0"/>
            <w:vAlign w:val="center"/>
          </w:tcPr>
          <w:p w14:paraId="211569B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无锡华美、上海胜华、远东电缆、江南电缆、金水电缆</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714134F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5208EAF8">
        <w:tblPrEx>
          <w:tblCellMar>
            <w:top w:w="0" w:type="dxa"/>
            <w:left w:w="108" w:type="dxa"/>
            <w:bottom w:w="0" w:type="dxa"/>
            <w:right w:w="108" w:type="dxa"/>
          </w:tblCellMar>
        </w:tblPrEx>
        <w:trPr>
          <w:trHeight w:val="567" w:hRule="atLeast"/>
          <w:jc w:val="center"/>
        </w:trPr>
        <w:tc>
          <w:tcPr>
            <w:tcW w:w="747" w:type="dxa"/>
            <w:tcBorders>
              <w:top w:val="nil"/>
              <w:left w:val="single" w:color="auto" w:sz="4" w:space="0"/>
              <w:bottom w:val="single" w:color="auto" w:sz="4" w:space="0"/>
              <w:right w:val="single" w:color="auto" w:sz="4" w:space="0"/>
            </w:tcBorders>
            <w:noWrap w:val="0"/>
            <w:vAlign w:val="center"/>
          </w:tcPr>
          <w:p w14:paraId="12E752B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2062" w:type="dxa"/>
            <w:tcBorders>
              <w:top w:val="nil"/>
              <w:left w:val="nil"/>
              <w:bottom w:val="single" w:color="auto" w:sz="4" w:space="0"/>
              <w:right w:val="single" w:color="auto" w:sz="4" w:space="0"/>
            </w:tcBorders>
            <w:noWrap w:val="0"/>
            <w:vAlign w:val="center"/>
          </w:tcPr>
          <w:p w14:paraId="6717D73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灯具</w:t>
            </w:r>
          </w:p>
        </w:tc>
        <w:tc>
          <w:tcPr>
            <w:tcW w:w="1704" w:type="dxa"/>
            <w:tcBorders>
              <w:top w:val="nil"/>
              <w:left w:val="nil"/>
              <w:bottom w:val="single" w:color="auto" w:sz="4" w:space="0"/>
              <w:right w:val="single" w:color="auto" w:sz="4" w:space="0"/>
            </w:tcBorders>
            <w:noWrap w:val="0"/>
            <w:vAlign w:val="center"/>
          </w:tcPr>
          <w:p w14:paraId="17D8258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平板灯、筒灯</w:t>
            </w:r>
          </w:p>
        </w:tc>
        <w:tc>
          <w:tcPr>
            <w:tcW w:w="1693" w:type="dxa"/>
            <w:tcBorders>
              <w:top w:val="nil"/>
              <w:left w:val="nil"/>
              <w:bottom w:val="single" w:color="auto" w:sz="4" w:space="0"/>
              <w:right w:val="single" w:color="auto" w:sz="4" w:space="0"/>
            </w:tcBorders>
            <w:noWrap w:val="0"/>
            <w:vAlign w:val="center"/>
          </w:tcPr>
          <w:p w14:paraId="594E798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nil"/>
              <w:left w:val="nil"/>
              <w:bottom w:val="single" w:color="auto" w:sz="4" w:space="0"/>
              <w:right w:val="single" w:color="auto" w:sz="4" w:space="0"/>
            </w:tcBorders>
            <w:noWrap w:val="0"/>
            <w:vAlign w:val="center"/>
          </w:tcPr>
          <w:p w14:paraId="6FA69AE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三雄极光、飞利浦、松下、欧普</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6212E0D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0740534F">
        <w:tblPrEx>
          <w:tblCellMar>
            <w:top w:w="0" w:type="dxa"/>
            <w:left w:w="108" w:type="dxa"/>
            <w:bottom w:w="0" w:type="dxa"/>
            <w:right w:w="108" w:type="dxa"/>
          </w:tblCellMar>
        </w:tblPrEx>
        <w:trPr>
          <w:trHeight w:val="567" w:hRule="atLeast"/>
          <w:jc w:val="center"/>
        </w:trPr>
        <w:tc>
          <w:tcPr>
            <w:tcW w:w="747" w:type="dxa"/>
            <w:tcBorders>
              <w:top w:val="nil"/>
              <w:left w:val="single" w:color="auto" w:sz="4" w:space="0"/>
              <w:bottom w:val="single" w:color="auto" w:sz="4" w:space="0"/>
              <w:right w:val="single" w:color="auto" w:sz="4" w:space="0"/>
            </w:tcBorders>
            <w:shd w:val="clear" w:color="auto" w:fill="auto"/>
            <w:noWrap w:val="0"/>
            <w:vAlign w:val="center"/>
          </w:tcPr>
          <w:p w14:paraId="0B6C735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1</w:t>
            </w:r>
          </w:p>
        </w:tc>
        <w:tc>
          <w:tcPr>
            <w:tcW w:w="2062" w:type="dxa"/>
            <w:tcBorders>
              <w:top w:val="nil"/>
              <w:left w:val="nil"/>
              <w:bottom w:val="single" w:color="auto" w:sz="4" w:space="0"/>
              <w:right w:val="single" w:color="auto" w:sz="4" w:space="0"/>
            </w:tcBorders>
            <w:shd w:val="clear" w:color="000000" w:fill="FFFFFF"/>
            <w:noWrap w:val="0"/>
            <w:vAlign w:val="center"/>
          </w:tcPr>
          <w:p w14:paraId="09A2A31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风管</w:t>
            </w:r>
          </w:p>
        </w:tc>
        <w:tc>
          <w:tcPr>
            <w:tcW w:w="1704" w:type="dxa"/>
            <w:tcBorders>
              <w:top w:val="nil"/>
              <w:left w:val="nil"/>
              <w:bottom w:val="single" w:color="auto" w:sz="4" w:space="0"/>
              <w:right w:val="single" w:color="auto" w:sz="4" w:space="0"/>
            </w:tcBorders>
            <w:shd w:val="clear" w:color="000000" w:fill="FFFFFF"/>
            <w:noWrap w:val="0"/>
            <w:vAlign w:val="center"/>
          </w:tcPr>
          <w:p w14:paraId="62D6063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镀锌风管</w:t>
            </w:r>
          </w:p>
        </w:tc>
        <w:tc>
          <w:tcPr>
            <w:tcW w:w="1693" w:type="dxa"/>
            <w:tcBorders>
              <w:top w:val="nil"/>
              <w:left w:val="nil"/>
              <w:bottom w:val="single" w:color="auto" w:sz="4" w:space="0"/>
              <w:right w:val="single" w:color="auto" w:sz="4" w:space="0"/>
            </w:tcBorders>
            <w:shd w:val="clear" w:color="auto" w:fill="auto"/>
            <w:noWrap w:val="0"/>
            <w:vAlign w:val="center"/>
          </w:tcPr>
          <w:p w14:paraId="75C7954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shd w:val="clear" w:color="000000" w:fill="FFFFFF"/>
            <w:noWrap w:val="0"/>
            <w:vAlign w:val="center"/>
          </w:tcPr>
          <w:p w14:paraId="10B36C8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宝钢、武钢、首钢</w:t>
            </w:r>
            <w:r>
              <w:rPr>
                <w:rFonts w:hint="default" w:ascii="宋体" w:hAnsi="宋体" w:eastAsia="宋体" w:cs="宋体"/>
                <w:color w:val="000000"/>
                <w:sz w:val="21"/>
                <w:szCs w:val="21"/>
                <w:lang w:val="en-US" w:eastAsia="zh-CN"/>
              </w:rPr>
              <w:t>等</w:t>
            </w:r>
          </w:p>
        </w:tc>
        <w:tc>
          <w:tcPr>
            <w:tcW w:w="718" w:type="dxa"/>
            <w:tcBorders>
              <w:top w:val="nil"/>
              <w:left w:val="nil"/>
              <w:bottom w:val="single" w:color="auto" w:sz="4" w:space="0"/>
              <w:right w:val="single" w:color="auto" w:sz="4" w:space="0"/>
            </w:tcBorders>
            <w:noWrap w:val="0"/>
            <w:vAlign w:val="center"/>
          </w:tcPr>
          <w:p w14:paraId="6495893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69C2CB32">
        <w:tblPrEx>
          <w:tblCellMar>
            <w:top w:w="0" w:type="dxa"/>
            <w:left w:w="108" w:type="dxa"/>
            <w:bottom w:w="0" w:type="dxa"/>
            <w:right w:w="108" w:type="dxa"/>
          </w:tblCellMar>
        </w:tblPrEx>
        <w:trPr>
          <w:trHeight w:val="567"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774147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2</w:t>
            </w: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14:paraId="1DDC4E7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卫生洁具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D03EF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淋浴器</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990458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冷热水</w:t>
            </w:r>
          </w:p>
        </w:tc>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14:paraId="2026E8F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TOTO、箭牌、科勒</w:t>
            </w:r>
            <w:r>
              <w:rPr>
                <w:rFonts w:hint="default" w:ascii="宋体" w:hAnsi="宋体" w:eastAsia="宋体" w:cs="宋体"/>
                <w:color w:val="000000"/>
                <w:sz w:val="21"/>
                <w:szCs w:val="21"/>
                <w:lang w:val="en-US" w:eastAsia="zh-CN"/>
              </w:rPr>
              <w:t>等</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CB71F2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1188FA77">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2E383EC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7E2F7A9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9C92C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分体式下排水（普通连接）坐便器</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46AE36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220V自动感应阀符合图纸设计要求</w:t>
            </w:r>
          </w:p>
        </w:tc>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14:paraId="734C861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6E70186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5316208C">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4134B27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1BB4086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0FC163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感应式冲洗阀挂式小便器</w:t>
            </w:r>
          </w:p>
        </w:tc>
        <w:tc>
          <w:tcPr>
            <w:tcW w:w="1693" w:type="dxa"/>
            <w:tcBorders>
              <w:top w:val="single" w:color="auto" w:sz="4" w:space="0"/>
              <w:left w:val="nil"/>
              <w:bottom w:val="single" w:color="auto" w:sz="4" w:space="0"/>
              <w:right w:val="single" w:color="auto" w:sz="4" w:space="0"/>
            </w:tcBorders>
            <w:noWrap w:val="0"/>
            <w:vAlign w:val="center"/>
          </w:tcPr>
          <w:p w14:paraId="40A7520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220V自动感应阀符合图纸设计要求</w:t>
            </w:r>
          </w:p>
        </w:tc>
        <w:tc>
          <w:tcPr>
            <w:tcW w:w="2312" w:type="dxa"/>
            <w:vMerge w:val="continue"/>
            <w:tcBorders>
              <w:top w:val="single" w:color="auto" w:sz="4" w:space="0"/>
              <w:left w:val="nil"/>
              <w:right w:val="single" w:color="auto" w:sz="4" w:space="0"/>
            </w:tcBorders>
            <w:noWrap w:val="0"/>
            <w:vAlign w:val="center"/>
          </w:tcPr>
          <w:p w14:paraId="0F96276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4525313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145A8F4A">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DA03A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5A63D1A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68CFA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蹲式大便器（自带存水弯）</w:t>
            </w:r>
          </w:p>
        </w:tc>
        <w:tc>
          <w:tcPr>
            <w:tcW w:w="1693" w:type="dxa"/>
            <w:tcBorders>
              <w:top w:val="single" w:color="auto" w:sz="4" w:space="0"/>
              <w:left w:val="nil"/>
              <w:bottom w:val="single" w:color="auto" w:sz="4" w:space="0"/>
              <w:right w:val="single" w:color="auto" w:sz="4" w:space="0"/>
            </w:tcBorders>
            <w:noWrap w:val="0"/>
            <w:vAlign w:val="center"/>
          </w:tcPr>
          <w:p w14:paraId="1609A9B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220V自动感应阀符合图纸设计要求</w:t>
            </w:r>
          </w:p>
        </w:tc>
        <w:tc>
          <w:tcPr>
            <w:tcW w:w="2312" w:type="dxa"/>
            <w:vMerge w:val="continue"/>
            <w:tcBorders>
              <w:left w:val="nil"/>
              <w:right w:val="single" w:color="auto" w:sz="4" w:space="0"/>
            </w:tcBorders>
            <w:noWrap w:val="0"/>
            <w:vAlign w:val="center"/>
          </w:tcPr>
          <w:p w14:paraId="6E03B5B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6A9E001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71718C56">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710330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3149859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B30D8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污水池</w:t>
            </w:r>
          </w:p>
        </w:tc>
        <w:tc>
          <w:tcPr>
            <w:tcW w:w="1693" w:type="dxa"/>
            <w:tcBorders>
              <w:top w:val="single" w:color="auto" w:sz="4" w:space="0"/>
              <w:left w:val="nil"/>
              <w:bottom w:val="single" w:color="auto" w:sz="4" w:space="0"/>
              <w:right w:val="single" w:color="auto" w:sz="4" w:space="0"/>
            </w:tcBorders>
            <w:noWrap w:val="0"/>
            <w:vAlign w:val="center"/>
          </w:tcPr>
          <w:p w14:paraId="7F7BA99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vMerge w:val="continue"/>
            <w:tcBorders>
              <w:left w:val="nil"/>
              <w:bottom w:val="single" w:color="auto" w:sz="4" w:space="0"/>
              <w:right w:val="single" w:color="auto" w:sz="4" w:space="0"/>
            </w:tcBorders>
            <w:noWrap w:val="0"/>
            <w:vAlign w:val="center"/>
          </w:tcPr>
          <w:p w14:paraId="1DA47D2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3C0E5E1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22441F97">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ABC662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2F500B9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6DA6DC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感应水嘴（220V交流电）洗脸盆</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67786B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14:paraId="45B592A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1B6FF18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3CC34F6E">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514131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2BD8A06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30888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洗手盆（220V自动感应阀）</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1B7B0D5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14:paraId="2A65F70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2700333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4328927E">
        <w:tblPrEx>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80EC70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2062" w:type="dxa"/>
            <w:vMerge w:val="continue"/>
            <w:tcBorders>
              <w:top w:val="single" w:color="auto" w:sz="4" w:space="0"/>
              <w:left w:val="nil"/>
              <w:bottom w:val="single" w:color="auto" w:sz="4" w:space="0"/>
              <w:right w:val="single" w:color="auto" w:sz="4" w:space="0"/>
            </w:tcBorders>
            <w:noWrap w:val="0"/>
            <w:vAlign w:val="center"/>
          </w:tcPr>
          <w:p w14:paraId="739D21E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704" w:type="dxa"/>
            <w:tcBorders>
              <w:top w:val="single" w:color="auto" w:sz="4" w:space="0"/>
              <w:left w:val="nil"/>
              <w:bottom w:val="single" w:color="auto" w:sz="4" w:space="0"/>
              <w:right w:val="single" w:color="auto" w:sz="4" w:space="0"/>
            </w:tcBorders>
            <w:noWrap w:val="0"/>
            <w:vAlign w:val="center"/>
          </w:tcPr>
          <w:p w14:paraId="39C14238">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洗涤盆</w:t>
            </w:r>
          </w:p>
        </w:tc>
        <w:tc>
          <w:tcPr>
            <w:tcW w:w="1693" w:type="dxa"/>
            <w:tcBorders>
              <w:top w:val="single" w:color="auto" w:sz="4" w:space="0"/>
              <w:left w:val="nil"/>
              <w:bottom w:val="single" w:color="auto" w:sz="4" w:space="0"/>
              <w:right w:val="single" w:color="auto" w:sz="4" w:space="0"/>
            </w:tcBorders>
            <w:noWrap w:val="0"/>
            <w:vAlign w:val="center"/>
          </w:tcPr>
          <w:p w14:paraId="38106AA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vMerge w:val="continue"/>
            <w:tcBorders>
              <w:top w:val="single" w:color="auto" w:sz="4" w:space="0"/>
              <w:left w:val="nil"/>
              <w:bottom w:val="single" w:color="auto" w:sz="4" w:space="0"/>
              <w:right w:val="single" w:color="auto" w:sz="4" w:space="0"/>
            </w:tcBorders>
            <w:noWrap w:val="0"/>
            <w:vAlign w:val="center"/>
          </w:tcPr>
          <w:p w14:paraId="6FAEEE2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69CA0DB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5111C3E8">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D4C077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3</w:t>
            </w:r>
          </w:p>
        </w:tc>
        <w:tc>
          <w:tcPr>
            <w:tcW w:w="2062" w:type="dxa"/>
            <w:tcBorders>
              <w:left w:val="nil"/>
              <w:bottom w:val="single" w:color="auto" w:sz="4" w:space="0"/>
              <w:right w:val="single" w:color="auto" w:sz="4" w:space="0"/>
            </w:tcBorders>
            <w:noWrap w:val="0"/>
            <w:vAlign w:val="center"/>
          </w:tcPr>
          <w:p w14:paraId="658659A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阀门</w:t>
            </w:r>
          </w:p>
        </w:tc>
        <w:tc>
          <w:tcPr>
            <w:tcW w:w="1704" w:type="dxa"/>
            <w:tcBorders>
              <w:top w:val="single" w:color="auto" w:sz="4" w:space="0"/>
              <w:left w:val="nil"/>
              <w:bottom w:val="single" w:color="auto" w:sz="4" w:space="0"/>
              <w:right w:val="single" w:color="auto" w:sz="4" w:space="0"/>
            </w:tcBorders>
            <w:noWrap w:val="0"/>
            <w:vAlign w:val="center"/>
          </w:tcPr>
          <w:p w14:paraId="26A5DE0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1978172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241E970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高山、埃美柯、霍尼韦尔</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11D5E8B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6A01BF1E">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A6CD5E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4</w:t>
            </w:r>
          </w:p>
        </w:tc>
        <w:tc>
          <w:tcPr>
            <w:tcW w:w="2062" w:type="dxa"/>
            <w:tcBorders>
              <w:top w:val="single" w:color="auto" w:sz="4" w:space="0"/>
              <w:left w:val="nil"/>
              <w:bottom w:val="single" w:color="auto" w:sz="4" w:space="0"/>
              <w:right w:val="single" w:color="auto" w:sz="4" w:space="0"/>
            </w:tcBorders>
            <w:noWrap w:val="0"/>
            <w:vAlign w:val="center"/>
          </w:tcPr>
          <w:p w14:paraId="49B153E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PPR管及管件</w:t>
            </w:r>
          </w:p>
        </w:tc>
        <w:tc>
          <w:tcPr>
            <w:tcW w:w="1704" w:type="dxa"/>
            <w:tcBorders>
              <w:top w:val="single" w:color="auto" w:sz="4" w:space="0"/>
              <w:left w:val="nil"/>
              <w:bottom w:val="single" w:color="auto" w:sz="4" w:space="0"/>
              <w:right w:val="single" w:color="auto" w:sz="4" w:space="0"/>
            </w:tcBorders>
            <w:noWrap w:val="0"/>
            <w:vAlign w:val="center"/>
          </w:tcPr>
          <w:p w14:paraId="53B82B8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PPR管及管件</w:t>
            </w:r>
          </w:p>
        </w:tc>
        <w:tc>
          <w:tcPr>
            <w:tcW w:w="1693" w:type="dxa"/>
            <w:tcBorders>
              <w:top w:val="single" w:color="auto" w:sz="4" w:space="0"/>
              <w:left w:val="nil"/>
              <w:bottom w:val="single" w:color="auto" w:sz="4" w:space="0"/>
              <w:right w:val="single" w:color="auto" w:sz="4" w:space="0"/>
            </w:tcBorders>
            <w:noWrap w:val="0"/>
            <w:vAlign w:val="center"/>
          </w:tcPr>
          <w:p w14:paraId="717DCD0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7312585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日丰、金德、联塑</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2F26AAF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0072B0B7">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28C759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5</w:t>
            </w:r>
          </w:p>
        </w:tc>
        <w:tc>
          <w:tcPr>
            <w:tcW w:w="2062" w:type="dxa"/>
            <w:tcBorders>
              <w:top w:val="single" w:color="auto" w:sz="4" w:space="0"/>
              <w:left w:val="nil"/>
              <w:bottom w:val="single" w:color="auto" w:sz="4" w:space="0"/>
              <w:right w:val="single" w:color="auto" w:sz="4" w:space="0"/>
            </w:tcBorders>
            <w:noWrap w:val="0"/>
            <w:vAlign w:val="center"/>
          </w:tcPr>
          <w:p w14:paraId="6B83D89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PVC管及管件</w:t>
            </w:r>
          </w:p>
        </w:tc>
        <w:tc>
          <w:tcPr>
            <w:tcW w:w="1704" w:type="dxa"/>
            <w:tcBorders>
              <w:top w:val="single" w:color="auto" w:sz="4" w:space="0"/>
              <w:left w:val="nil"/>
              <w:bottom w:val="single" w:color="auto" w:sz="4" w:space="0"/>
              <w:right w:val="single" w:color="auto" w:sz="4" w:space="0"/>
            </w:tcBorders>
            <w:noWrap w:val="0"/>
            <w:vAlign w:val="center"/>
          </w:tcPr>
          <w:p w14:paraId="0D772CB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PVC管及管件</w:t>
            </w:r>
          </w:p>
        </w:tc>
        <w:tc>
          <w:tcPr>
            <w:tcW w:w="1693" w:type="dxa"/>
            <w:tcBorders>
              <w:top w:val="single" w:color="auto" w:sz="4" w:space="0"/>
              <w:left w:val="nil"/>
              <w:bottom w:val="single" w:color="auto" w:sz="4" w:space="0"/>
              <w:right w:val="single" w:color="auto" w:sz="4" w:space="0"/>
            </w:tcBorders>
            <w:noWrap w:val="0"/>
            <w:vAlign w:val="center"/>
          </w:tcPr>
          <w:p w14:paraId="256AA48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6A74499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联塑、中财、公元</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28F9689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37C00BF8">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54535A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6</w:t>
            </w:r>
          </w:p>
        </w:tc>
        <w:tc>
          <w:tcPr>
            <w:tcW w:w="2062" w:type="dxa"/>
            <w:tcBorders>
              <w:top w:val="single" w:color="auto" w:sz="4" w:space="0"/>
              <w:left w:val="nil"/>
              <w:bottom w:val="single" w:color="auto" w:sz="4" w:space="0"/>
              <w:right w:val="single" w:color="auto" w:sz="4" w:space="0"/>
            </w:tcBorders>
            <w:noWrap w:val="0"/>
            <w:vAlign w:val="center"/>
          </w:tcPr>
          <w:p w14:paraId="5BB2F3B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钢材</w:t>
            </w:r>
          </w:p>
        </w:tc>
        <w:tc>
          <w:tcPr>
            <w:tcW w:w="1704" w:type="dxa"/>
            <w:tcBorders>
              <w:top w:val="single" w:color="auto" w:sz="4" w:space="0"/>
              <w:left w:val="nil"/>
              <w:bottom w:val="single" w:color="auto" w:sz="4" w:space="0"/>
              <w:right w:val="single" w:color="auto" w:sz="4" w:space="0"/>
            </w:tcBorders>
            <w:noWrap w:val="0"/>
            <w:vAlign w:val="center"/>
          </w:tcPr>
          <w:p w14:paraId="4BFC600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55ABA0B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785F3F80">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宝钢、武钢、首钢</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3BF5508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647C6671">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2B241CC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7</w:t>
            </w:r>
          </w:p>
        </w:tc>
        <w:tc>
          <w:tcPr>
            <w:tcW w:w="2062" w:type="dxa"/>
            <w:tcBorders>
              <w:top w:val="single" w:color="auto" w:sz="4" w:space="0"/>
              <w:left w:val="nil"/>
              <w:bottom w:val="single" w:color="auto" w:sz="4" w:space="0"/>
              <w:right w:val="single" w:color="auto" w:sz="4" w:space="0"/>
            </w:tcBorders>
            <w:noWrap w:val="0"/>
            <w:vAlign w:val="center"/>
          </w:tcPr>
          <w:p w14:paraId="022AA75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交换机</w:t>
            </w:r>
          </w:p>
        </w:tc>
        <w:tc>
          <w:tcPr>
            <w:tcW w:w="1704" w:type="dxa"/>
            <w:tcBorders>
              <w:top w:val="single" w:color="auto" w:sz="4" w:space="0"/>
              <w:left w:val="nil"/>
              <w:bottom w:val="single" w:color="auto" w:sz="4" w:space="0"/>
              <w:right w:val="single" w:color="auto" w:sz="4" w:space="0"/>
            </w:tcBorders>
            <w:noWrap w:val="0"/>
            <w:vAlign w:val="center"/>
          </w:tcPr>
          <w:p w14:paraId="6F376CB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67F28BC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465AE01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0C5CFBE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26C1D9A0">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2F3DDF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8</w:t>
            </w:r>
          </w:p>
        </w:tc>
        <w:tc>
          <w:tcPr>
            <w:tcW w:w="2062" w:type="dxa"/>
            <w:tcBorders>
              <w:top w:val="single" w:color="auto" w:sz="4" w:space="0"/>
              <w:left w:val="nil"/>
              <w:bottom w:val="single" w:color="auto" w:sz="4" w:space="0"/>
              <w:right w:val="single" w:color="auto" w:sz="4" w:space="0"/>
            </w:tcBorders>
            <w:noWrap w:val="0"/>
            <w:vAlign w:val="center"/>
          </w:tcPr>
          <w:p w14:paraId="7C50E47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硬盘</w:t>
            </w:r>
          </w:p>
        </w:tc>
        <w:tc>
          <w:tcPr>
            <w:tcW w:w="1704" w:type="dxa"/>
            <w:tcBorders>
              <w:top w:val="single" w:color="auto" w:sz="4" w:space="0"/>
              <w:left w:val="nil"/>
              <w:bottom w:val="single" w:color="auto" w:sz="4" w:space="0"/>
              <w:right w:val="single" w:color="auto" w:sz="4" w:space="0"/>
            </w:tcBorders>
            <w:noWrap w:val="0"/>
            <w:vAlign w:val="center"/>
          </w:tcPr>
          <w:p w14:paraId="33772CD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5125C03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符合设计要求</w:t>
            </w:r>
          </w:p>
        </w:tc>
        <w:tc>
          <w:tcPr>
            <w:tcW w:w="2312" w:type="dxa"/>
            <w:tcBorders>
              <w:top w:val="single" w:color="auto" w:sz="4" w:space="0"/>
              <w:left w:val="nil"/>
              <w:bottom w:val="single" w:color="auto" w:sz="4" w:space="0"/>
              <w:right w:val="single" w:color="auto" w:sz="4" w:space="0"/>
            </w:tcBorders>
            <w:noWrap w:val="0"/>
            <w:vAlign w:val="center"/>
          </w:tcPr>
          <w:p w14:paraId="52ED8B7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63AC5F0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0EE171F3">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731573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9</w:t>
            </w:r>
          </w:p>
        </w:tc>
        <w:tc>
          <w:tcPr>
            <w:tcW w:w="2062" w:type="dxa"/>
            <w:tcBorders>
              <w:top w:val="single" w:color="auto" w:sz="4" w:space="0"/>
              <w:left w:val="nil"/>
              <w:bottom w:val="single" w:color="auto" w:sz="4" w:space="0"/>
              <w:right w:val="single" w:color="auto" w:sz="4" w:space="0"/>
            </w:tcBorders>
            <w:noWrap w:val="0"/>
            <w:vAlign w:val="center"/>
          </w:tcPr>
          <w:p w14:paraId="17E62F7F">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彩色监控摄像头</w:t>
            </w:r>
          </w:p>
        </w:tc>
        <w:tc>
          <w:tcPr>
            <w:tcW w:w="1704" w:type="dxa"/>
            <w:tcBorders>
              <w:top w:val="single" w:color="auto" w:sz="4" w:space="0"/>
              <w:left w:val="nil"/>
              <w:bottom w:val="single" w:color="auto" w:sz="4" w:space="0"/>
              <w:right w:val="single" w:color="auto" w:sz="4" w:space="0"/>
            </w:tcBorders>
            <w:noWrap w:val="0"/>
            <w:vAlign w:val="center"/>
          </w:tcPr>
          <w:p w14:paraId="03BC04E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2EE56A4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7487757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大华、海康威视、三星</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1AA4D90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6094BFD8">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22FCA73D">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2062" w:type="dxa"/>
            <w:tcBorders>
              <w:top w:val="single" w:color="auto" w:sz="4" w:space="0"/>
              <w:left w:val="nil"/>
              <w:bottom w:val="single" w:color="auto" w:sz="4" w:space="0"/>
              <w:right w:val="single" w:color="auto" w:sz="4" w:space="0"/>
            </w:tcBorders>
            <w:noWrap w:val="0"/>
            <w:vAlign w:val="center"/>
          </w:tcPr>
          <w:p w14:paraId="3C07369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六类非屏蔽网线</w:t>
            </w:r>
          </w:p>
        </w:tc>
        <w:tc>
          <w:tcPr>
            <w:tcW w:w="1704" w:type="dxa"/>
            <w:tcBorders>
              <w:top w:val="single" w:color="auto" w:sz="4" w:space="0"/>
              <w:left w:val="nil"/>
              <w:bottom w:val="single" w:color="auto" w:sz="4" w:space="0"/>
              <w:right w:val="single" w:color="auto" w:sz="4" w:space="0"/>
            </w:tcBorders>
            <w:noWrap w:val="0"/>
            <w:vAlign w:val="center"/>
          </w:tcPr>
          <w:p w14:paraId="02E5011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47A8470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349C264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海康、康普、安普</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048476C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6BC71467">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C5DBA1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1</w:t>
            </w:r>
          </w:p>
        </w:tc>
        <w:tc>
          <w:tcPr>
            <w:tcW w:w="2062" w:type="dxa"/>
            <w:tcBorders>
              <w:top w:val="single" w:color="auto" w:sz="4" w:space="0"/>
              <w:left w:val="nil"/>
              <w:bottom w:val="single" w:color="auto" w:sz="4" w:space="0"/>
              <w:right w:val="single" w:color="auto" w:sz="4" w:space="0"/>
            </w:tcBorders>
            <w:noWrap w:val="0"/>
            <w:vAlign w:val="center"/>
          </w:tcPr>
          <w:p w14:paraId="7E236E5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电话、网络接口</w:t>
            </w:r>
          </w:p>
        </w:tc>
        <w:tc>
          <w:tcPr>
            <w:tcW w:w="1704" w:type="dxa"/>
            <w:tcBorders>
              <w:top w:val="single" w:color="auto" w:sz="4" w:space="0"/>
              <w:left w:val="nil"/>
              <w:bottom w:val="single" w:color="auto" w:sz="4" w:space="0"/>
              <w:right w:val="single" w:color="auto" w:sz="4" w:space="0"/>
            </w:tcBorders>
            <w:noWrap w:val="0"/>
            <w:vAlign w:val="center"/>
          </w:tcPr>
          <w:p w14:paraId="7FA73FB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24217D79">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3C8711E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康普、西蒙、安普</w:t>
            </w:r>
            <w:r>
              <w:rPr>
                <w:rFonts w:hint="default" w:ascii="宋体" w:hAnsi="宋体" w:eastAsia="宋体" w:cs="宋体"/>
                <w:color w:val="000000"/>
                <w:sz w:val="21"/>
                <w:szCs w:val="21"/>
                <w:lang w:val="en-US" w:eastAsia="zh-CN"/>
              </w:rPr>
              <w:t>等</w:t>
            </w:r>
          </w:p>
        </w:tc>
        <w:tc>
          <w:tcPr>
            <w:tcW w:w="718" w:type="dxa"/>
            <w:tcBorders>
              <w:top w:val="single" w:color="auto" w:sz="4" w:space="0"/>
              <w:left w:val="nil"/>
              <w:bottom w:val="single" w:color="auto" w:sz="4" w:space="0"/>
              <w:right w:val="single" w:color="auto" w:sz="4" w:space="0"/>
            </w:tcBorders>
            <w:noWrap w:val="0"/>
            <w:vAlign w:val="center"/>
          </w:tcPr>
          <w:p w14:paraId="153A233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r w14:paraId="5F70799A">
        <w:tblPrEx>
          <w:tblCellMar>
            <w:top w:w="0" w:type="dxa"/>
            <w:left w:w="108" w:type="dxa"/>
            <w:bottom w:w="0" w:type="dxa"/>
            <w:right w:w="108" w:type="dxa"/>
          </w:tblCellMar>
        </w:tblPrEx>
        <w:trPr>
          <w:trHeight w:val="5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EC762BE">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2</w:t>
            </w:r>
          </w:p>
        </w:tc>
        <w:tc>
          <w:tcPr>
            <w:tcW w:w="2062" w:type="dxa"/>
            <w:tcBorders>
              <w:top w:val="single" w:color="auto" w:sz="4" w:space="0"/>
              <w:left w:val="nil"/>
              <w:bottom w:val="single" w:color="auto" w:sz="4" w:space="0"/>
              <w:right w:val="single" w:color="auto" w:sz="4" w:space="0"/>
            </w:tcBorders>
            <w:noWrap w:val="0"/>
            <w:vAlign w:val="center"/>
          </w:tcPr>
          <w:p w14:paraId="4FBA0477">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无机预涂板</w:t>
            </w:r>
          </w:p>
        </w:tc>
        <w:tc>
          <w:tcPr>
            <w:tcW w:w="1704" w:type="dxa"/>
            <w:tcBorders>
              <w:top w:val="single" w:color="auto" w:sz="4" w:space="0"/>
              <w:left w:val="nil"/>
              <w:bottom w:val="single" w:color="auto" w:sz="4" w:space="0"/>
              <w:right w:val="single" w:color="auto" w:sz="4" w:space="0"/>
            </w:tcBorders>
            <w:noWrap w:val="0"/>
            <w:vAlign w:val="center"/>
          </w:tcPr>
          <w:p w14:paraId="338143E2">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1693" w:type="dxa"/>
            <w:tcBorders>
              <w:top w:val="single" w:color="auto" w:sz="4" w:space="0"/>
              <w:left w:val="nil"/>
              <w:bottom w:val="single" w:color="auto" w:sz="4" w:space="0"/>
              <w:right w:val="single" w:color="auto" w:sz="4" w:space="0"/>
            </w:tcBorders>
            <w:noWrap w:val="0"/>
            <w:vAlign w:val="center"/>
          </w:tcPr>
          <w:p w14:paraId="3B929F7B">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符合图纸设计要求</w:t>
            </w:r>
          </w:p>
        </w:tc>
        <w:tc>
          <w:tcPr>
            <w:tcW w:w="2312" w:type="dxa"/>
            <w:tcBorders>
              <w:top w:val="single" w:color="auto" w:sz="4" w:space="0"/>
              <w:left w:val="nil"/>
              <w:bottom w:val="single" w:color="auto" w:sz="4" w:space="0"/>
              <w:right w:val="single" w:color="auto" w:sz="4" w:space="0"/>
            </w:tcBorders>
            <w:noWrap w:val="0"/>
            <w:vAlign w:val="center"/>
          </w:tcPr>
          <w:p w14:paraId="790BB1A3">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c>
          <w:tcPr>
            <w:tcW w:w="718" w:type="dxa"/>
            <w:tcBorders>
              <w:top w:val="single" w:color="auto" w:sz="4" w:space="0"/>
              <w:left w:val="nil"/>
              <w:bottom w:val="single" w:color="auto" w:sz="4" w:space="0"/>
              <w:right w:val="single" w:color="auto" w:sz="4" w:space="0"/>
            </w:tcBorders>
            <w:noWrap w:val="0"/>
            <w:vAlign w:val="center"/>
          </w:tcPr>
          <w:p w14:paraId="693774E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1"/>
                <w:szCs w:val="21"/>
              </w:rPr>
            </w:pPr>
          </w:p>
        </w:tc>
      </w:tr>
    </w:tbl>
    <w:p w14:paraId="25DBA430">
      <w:pPr>
        <w:pageBreakBefore w:val="0"/>
        <w:wordWrap w:val="0"/>
        <w:bidi w:val="0"/>
        <w:spacing w:line="480" w:lineRule="auto"/>
        <w:ind w:firstLine="210" w:firstLineChars="100"/>
        <w:rPr>
          <w:rFonts w:hint="eastAsia" w:ascii="宋体" w:hAnsi="宋体" w:eastAsia="宋体" w:cs="宋体"/>
          <w:color w:val="000000"/>
          <w:sz w:val="21"/>
          <w:szCs w:val="21"/>
        </w:rPr>
      </w:pPr>
    </w:p>
    <w:p w14:paraId="3A282EF4">
      <w:pPr>
        <w:pageBreakBefore w:val="0"/>
        <w:wordWrap w:val="0"/>
        <w:bidi w:val="0"/>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上述品牌，仅作为性能及技术参数说明并非限制性，投标人可以选用性能及技术参数优于或相当于上述品牌的产品。上述材料或设备进场前，还需发包人和监理人的认可。投标人在投标附录中必须列明包括但不限于上述材料设备。</w:t>
      </w:r>
    </w:p>
    <w:p w14:paraId="55CF312A">
      <w:pPr>
        <w:pageBreakBefore w:val="0"/>
        <w:wordWrap w:val="0"/>
        <w:bidi w:val="0"/>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若施工图、工程量清单及招标文件技术要求不一致，则采用较高技术标准。</w:t>
      </w:r>
    </w:p>
    <w:p w14:paraId="417647F0">
      <w:pPr>
        <w:pageBreakBefore w:val="0"/>
        <w:wordWrap w:val="0"/>
        <w:bidi w:val="0"/>
        <w:spacing w:line="48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五、实施的有关标准与法规</w:t>
      </w:r>
    </w:p>
    <w:p w14:paraId="653E8994">
      <w:pPr>
        <w:pageBreakBefore w:val="0"/>
        <w:wordWrap w:val="0"/>
        <w:bidi w:val="0"/>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235F2A07">
      <w:pPr>
        <w:pageBreakBefore w:val="0"/>
        <w:wordWrap w:val="0"/>
        <w:bidi w:val="0"/>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中约定的任何承包方应予遵照执行的国家规范、规程和标准都指他们各自的最新版本。如果在构成本工程规范和技术说明的任何内容与任何现行国家规范、规程和标准包括他们适用的修改之间出现相互矛盾之处或不一致的指示，承包方应按照其中要求最严格的标准执行。材料、施工工艺和本工程都应依照本工程规范和技术说明以及相关国家规范、规程和标准的最新版本；或把最新版本的要求当作对承包方工作的最起码要求，而执行更高的标准。</w:t>
      </w:r>
    </w:p>
    <w:p w14:paraId="59429304">
      <w:pPr>
        <w:pageBreakBefore w:val="0"/>
        <w:wordWrap w:val="0"/>
        <w:bidi w:val="0"/>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本规范与图纸中明显地未提到的任何细节，或在涉及任何条款的细节说明中有明显的遗漏，都应被认为指的是采用令人满意的房屋建筑工程的习惯作法。</w:t>
      </w:r>
    </w:p>
    <w:p w14:paraId="1C2BDBAA">
      <w:pPr>
        <w:pageBreakBefore w:val="0"/>
        <w:wordWrap w:val="0"/>
        <w:bidi w:val="0"/>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本工程实施中采用图纸中指定的技术规范和标准。</w:t>
      </w:r>
    </w:p>
    <w:p w14:paraId="188586DE">
      <w:pPr>
        <w:pStyle w:val="44"/>
        <w:keepNext w:val="0"/>
        <w:keepLines w:val="0"/>
        <w:pageBreakBefore w:val="0"/>
        <w:widowControl w:val="0"/>
        <w:kinsoku/>
        <w:wordWrap w:val="0"/>
        <w:overflowPunct/>
        <w:topLinePunct/>
        <w:autoSpaceDE/>
        <w:autoSpaceDN/>
        <w:bidi w:val="0"/>
        <w:adjustRightInd/>
        <w:snapToGrid/>
        <w:spacing w:after="0" w:line="396" w:lineRule="auto"/>
        <w:ind w:left="0" w:leftChars="0" w:firstLine="480" w:firstLineChars="200"/>
        <w:jc w:val="both"/>
        <w:textAlignment w:val="auto"/>
        <w:rPr>
          <w:rFonts w:hint="eastAsia" w:ascii="宋体" w:hAnsi="宋体" w:eastAsia="宋体" w:cs="宋体"/>
          <w:color w:val="auto"/>
          <w:spacing w:val="0"/>
          <w:position w:val="0"/>
          <w:sz w:val="24"/>
          <w:szCs w:val="24"/>
          <w:lang w:eastAsia="zh-CN"/>
        </w:rPr>
      </w:pPr>
    </w:p>
    <w:p w14:paraId="7B0EC920">
      <w:pPr>
        <w:pStyle w:val="44"/>
        <w:keepNext w:val="0"/>
        <w:keepLines w:val="0"/>
        <w:pageBreakBefore w:val="0"/>
        <w:widowControl w:val="0"/>
        <w:kinsoku/>
        <w:wordWrap w:val="0"/>
        <w:overflowPunct/>
        <w:topLinePunct/>
        <w:autoSpaceDE/>
        <w:autoSpaceDN/>
        <w:bidi w:val="0"/>
        <w:adjustRightInd/>
        <w:snapToGrid/>
        <w:spacing w:after="0" w:line="360" w:lineRule="auto"/>
        <w:ind w:left="0" w:leftChars="0" w:firstLine="0" w:firstLineChars="0"/>
        <w:jc w:val="both"/>
        <w:textAlignment w:val="auto"/>
        <w:rPr>
          <w:rFonts w:hint="default" w:ascii="宋体" w:hAnsi="宋体" w:eastAsia="宋体" w:cs="宋体"/>
          <w:color w:val="auto"/>
          <w:spacing w:val="0"/>
          <w:position w:val="0"/>
          <w:sz w:val="21"/>
          <w:szCs w:val="21"/>
          <w:highlight w:val="none"/>
          <w:lang w:val="en-US" w:eastAsia="zh-CN"/>
        </w:rPr>
      </w:pPr>
    </w:p>
    <w:p w14:paraId="360C72D4">
      <w:pPr>
        <w:pStyle w:val="44"/>
        <w:keepNext w:val="0"/>
        <w:keepLines w:val="0"/>
        <w:pageBreakBefore w:val="0"/>
        <w:widowControl w:val="0"/>
        <w:kinsoku/>
        <w:wordWrap w:val="0"/>
        <w:overflowPunct/>
        <w:topLinePunct/>
        <w:autoSpaceDE/>
        <w:autoSpaceDN/>
        <w:bidi w:val="0"/>
        <w:adjustRightInd/>
        <w:snapToGrid/>
        <w:spacing w:after="0"/>
        <w:ind w:left="0" w:leftChars="0" w:firstLine="0" w:firstLineChars="0"/>
        <w:textAlignment w:val="auto"/>
        <w:rPr>
          <w:rFonts w:hint="eastAsia" w:ascii="宋体" w:hAnsi="宋体" w:eastAsia="宋体" w:cs="宋体"/>
          <w:color w:val="auto"/>
          <w:spacing w:val="0"/>
          <w:position w:val="0"/>
          <w:szCs w:val="21"/>
          <w:lang w:eastAsia="zh-CN"/>
        </w:rPr>
      </w:pPr>
    </w:p>
    <w:p w14:paraId="29925EC1">
      <w:pPr>
        <w:pageBreakBefore w:val="0"/>
        <w:wordWrap w:val="0"/>
        <w:overflowPunct/>
        <w:topLinePunct/>
        <w:autoSpaceDE/>
        <w:autoSpaceDN/>
        <w:bidi w:val="0"/>
        <w:rPr>
          <w:rFonts w:hint="eastAsia" w:ascii="宋体" w:hAnsi="宋体" w:eastAsia="宋体" w:cs="宋体"/>
          <w:color w:val="auto"/>
          <w:spacing w:val="0"/>
          <w:position w:val="0"/>
        </w:rPr>
      </w:pPr>
      <w:r>
        <w:rPr>
          <w:rFonts w:hint="eastAsia" w:ascii="宋体" w:hAnsi="宋体" w:eastAsia="宋体" w:cs="宋体"/>
          <w:color w:val="auto"/>
          <w:spacing w:val="0"/>
          <w:position w:val="0"/>
        </w:rPr>
        <w:br w:type="page"/>
      </w:r>
    </w:p>
    <w:p w14:paraId="0BA430B0">
      <w:pPr>
        <w:pStyle w:val="2"/>
        <w:pageBreakBefore w:val="0"/>
        <w:wordWrap w:val="0"/>
        <w:overflowPunct/>
        <w:topLinePunct/>
        <w:autoSpaceDE/>
        <w:autoSpaceDN/>
        <w:bidi w:val="0"/>
        <w:rPr>
          <w:rFonts w:hint="eastAsia" w:ascii="宋体" w:hAnsi="宋体" w:eastAsia="宋体" w:cs="宋体"/>
          <w:color w:val="auto"/>
          <w:spacing w:val="0"/>
          <w:position w:val="0"/>
        </w:rPr>
      </w:pPr>
      <w:bookmarkStart w:id="88" w:name="_Toc28219"/>
      <w:r>
        <w:rPr>
          <w:rFonts w:hint="eastAsia" w:ascii="宋体" w:hAnsi="宋体" w:eastAsia="宋体" w:cs="宋体"/>
          <w:color w:val="auto"/>
          <w:spacing w:val="0"/>
          <w:position w:val="0"/>
        </w:rPr>
        <w:t>第</w:t>
      </w:r>
      <w:r>
        <w:rPr>
          <w:rFonts w:hint="eastAsia" w:ascii="宋体" w:hAnsi="宋体" w:eastAsia="宋体" w:cs="宋体"/>
          <w:color w:val="auto"/>
          <w:spacing w:val="0"/>
          <w:position w:val="0"/>
          <w:lang w:val="en-US" w:eastAsia="zh-CN"/>
        </w:rPr>
        <w:t>八</w:t>
      </w:r>
      <w:r>
        <w:rPr>
          <w:rFonts w:hint="eastAsia" w:ascii="宋体" w:hAnsi="宋体" w:eastAsia="宋体" w:cs="宋体"/>
          <w:color w:val="auto"/>
          <w:spacing w:val="0"/>
          <w:position w:val="0"/>
        </w:rPr>
        <w:t xml:space="preserve">章  </w:t>
      </w:r>
      <w:r>
        <w:rPr>
          <w:rFonts w:hint="eastAsia" w:ascii="宋体" w:hAnsi="宋体" w:eastAsia="宋体" w:cs="宋体"/>
          <w:color w:val="auto"/>
          <w:spacing w:val="0"/>
          <w:position w:val="0"/>
          <w:lang w:eastAsia="zh-CN"/>
        </w:rPr>
        <w:t>响应文件</w:t>
      </w:r>
      <w:r>
        <w:rPr>
          <w:rFonts w:hint="eastAsia" w:ascii="宋体" w:hAnsi="宋体" w:eastAsia="宋体" w:cs="宋体"/>
          <w:color w:val="auto"/>
          <w:spacing w:val="0"/>
          <w:position w:val="0"/>
        </w:rPr>
        <w:t>格式</w:t>
      </w:r>
      <w:bookmarkEnd w:id="88"/>
    </w:p>
    <w:p w14:paraId="6D7106DC">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278AACEC">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12A53A89">
      <w:pPr>
        <w:pageBreakBefore w:val="0"/>
        <w:wordWrap w:val="0"/>
        <w:overflowPunct/>
        <w:topLinePunct/>
        <w:autoSpaceDE/>
        <w:autoSpaceDN/>
        <w:bidi w:val="0"/>
        <w:jc w:val="center"/>
        <w:rPr>
          <w:rFonts w:hint="eastAsia" w:ascii="宋体" w:hAnsi="宋体" w:eastAsia="宋体" w:cs="宋体"/>
          <w:b/>
          <w:color w:val="auto"/>
          <w:spacing w:val="0"/>
          <w:position w:val="0"/>
          <w:sz w:val="28"/>
          <w:u w:val="single"/>
        </w:rPr>
      </w:pPr>
      <w:r>
        <w:rPr>
          <w:rFonts w:hint="eastAsia" w:ascii="宋体" w:hAnsi="宋体" w:eastAsia="宋体" w:cs="宋体"/>
          <w:b/>
          <w:color w:val="auto"/>
          <w:spacing w:val="0"/>
          <w:position w:val="0"/>
          <w:sz w:val="28"/>
          <w:u w:val="single"/>
        </w:rPr>
        <w:t xml:space="preserve">                                  </w:t>
      </w:r>
      <w:r>
        <w:rPr>
          <w:rFonts w:hint="eastAsia" w:ascii="宋体" w:hAnsi="宋体" w:eastAsia="宋体" w:cs="宋体"/>
          <w:b/>
          <w:color w:val="auto"/>
          <w:spacing w:val="0"/>
          <w:position w:val="0"/>
          <w:sz w:val="28"/>
        </w:rPr>
        <w:t>（项目名称）</w:t>
      </w:r>
    </w:p>
    <w:p w14:paraId="5F03A451">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2482472B">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1514033E">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112D4AE8">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0039AA32">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61A502AF">
      <w:pPr>
        <w:pageBreakBefore w:val="0"/>
        <w:wordWrap w:val="0"/>
        <w:overflowPunct/>
        <w:topLinePunct/>
        <w:autoSpaceDE/>
        <w:autoSpaceDN/>
        <w:bidi w:val="0"/>
        <w:jc w:val="center"/>
        <w:rPr>
          <w:rFonts w:hint="eastAsia" w:ascii="宋体" w:hAnsi="宋体" w:eastAsia="宋体" w:cs="宋体"/>
          <w:b/>
          <w:color w:val="auto"/>
          <w:spacing w:val="0"/>
          <w:position w:val="0"/>
          <w:sz w:val="44"/>
        </w:rPr>
      </w:pPr>
      <w:r>
        <w:rPr>
          <w:rFonts w:hint="eastAsia" w:ascii="宋体" w:hAnsi="宋体" w:eastAsia="宋体" w:cs="宋体"/>
          <w:b/>
          <w:color w:val="auto"/>
          <w:spacing w:val="0"/>
          <w:position w:val="0"/>
          <w:sz w:val="44"/>
          <w:lang w:val="en-US" w:eastAsia="zh-CN"/>
        </w:rPr>
        <w:t>响 应</w:t>
      </w:r>
      <w:r>
        <w:rPr>
          <w:rFonts w:hint="eastAsia" w:ascii="宋体" w:hAnsi="宋体" w:eastAsia="宋体" w:cs="宋体"/>
          <w:b/>
          <w:color w:val="auto"/>
          <w:spacing w:val="0"/>
          <w:position w:val="0"/>
          <w:sz w:val="44"/>
        </w:rPr>
        <w:t xml:space="preserve"> 文 件</w:t>
      </w:r>
    </w:p>
    <w:p w14:paraId="15385897">
      <w:pPr>
        <w:pageBreakBefore w:val="0"/>
        <w:wordWrap w:val="0"/>
        <w:overflowPunct/>
        <w:topLinePunct/>
        <w:autoSpaceDE/>
        <w:autoSpaceDN/>
        <w:bidi w:val="0"/>
        <w:jc w:val="center"/>
        <w:rPr>
          <w:rFonts w:hint="eastAsia" w:ascii="宋体" w:hAnsi="宋体" w:eastAsia="宋体" w:cs="宋体"/>
          <w:b/>
          <w:color w:val="auto"/>
          <w:spacing w:val="0"/>
          <w:position w:val="0"/>
          <w:sz w:val="28"/>
        </w:rPr>
      </w:pPr>
      <w:r>
        <w:rPr>
          <w:rFonts w:hint="eastAsia" w:ascii="宋体" w:hAnsi="宋体" w:eastAsia="宋体" w:cs="宋体"/>
          <w:b/>
          <w:color w:val="auto"/>
          <w:spacing w:val="0"/>
          <w:position w:val="0"/>
          <w:sz w:val="28"/>
        </w:rPr>
        <w:t>编号：</w:t>
      </w:r>
    </w:p>
    <w:p w14:paraId="470B9CC3">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4D8E6610">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28C8D373">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0AE43DBA">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40B137FF">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059DB7A3">
      <w:pPr>
        <w:pageBreakBefore w:val="0"/>
        <w:wordWrap w:val="0"/>
        <w:overflowPunct/>
        <w:topLinePunct/>
        <w:autoSpaceDE/>
        <w:autoSpaceDN/>
        <w:bidi w:val="0"/>
        <w:jc w:val="left"/>
        <w:rPr>
          <w:rFonts w:hint="eastAsia" w:ascii="宋体" w:hAnsi="宋体" w:eastAsia="宋体" w:cs="宋体"/>
          <w:b/>
          <w:color w:val="auto"/>
          <w:spacing w:val="0"/>
          <w:position w:val="0"/>
          <w:sz w:val="28"/>
        </w:rPr>
      </w:pPr>
    </w:p>
    <w:p w14:paraId="2E9E6E00">
      <w:pPr>
        <w:pageBreakBefore w:val="0"/>
        <w:wordWrap w:val="0"/>
        <w:overflowPunct/>
        <w:topLinePunct/>
        <w:autoSpaceDE/>
        <w:autoSpaceDN/>
        <w:bidi w:val="0"/>
        <w:jc w:val="center"/>
        <w:rPr>
          <w:rFonts w:hint="eastAsia" w:ascii="宋体" w:hAnsi="宋体" w:eastAsia="宋体" w:cs="宋体"/>
          <w:b/>
          <w:color w:val="auto"/>
          <w:spacing w:val="0"/>
          <w:position w:val="0"/>
          <w:sz w:val="28"/>
        </w:rPr>
      </w:pPr>
      <w:r>
        <w:rPr>
          <w:rFonts w:hint="eastAsia" w:ascii="宋体" w:hAnsi="宋体" w:eastAsia="宋体" w:cs="宋体"/>
          <w:b/>
          <w:color w:val="auto"/>
          <w:spacing w:val="0"/>
          <w:position w:val="0"/>
          <w:sz w:val="28"/>
          <w:lang w:eastAsia="zh-CN"/>
        </w:rPr>
        <w:t>供应商</w:t>
      </w:r>
      <w:r>
        <w:rPr>
          <w:rFonts w:hint="eastAsia" w:ascii="宋体" w:hAnsi="宋体" w:eastAsia="宋体" w:cs="宋体"/>
          <w:b/>
          <w:color w:val="auto"/>
          <w:spacing w:val="0"/>
          <w:position w:val="0"/>
          <w:sz w:val="28"/>
        </w:rPr>
        <w:t>：（</w:t>
      </w:r>
      <w:r>
        <w:rPr>
          <w:rFonts w:hint="eastAsia" w:ascii="宋体" w:hAnsi="宋体" w:eastAsia="宋体" w:cs="宋体"/>
          <w:b/>
          <w:color w:val="auto"/>
          <w:spacing w:val="0"/>
          <w:position w:val="0"/>
          <w:sz w:val="28"/>
          <w:lang w:eastAsia="zh-CN"/>
        </w:rPr>
        <w:t>盖单位公章</w:t>
      </w:r>
      <w:r>
        <w:rPr>
          <w:rFonts w:hint="eastAsia" w:ascii="宋体" w:hAnsi="宋体" w:eastAsia="宋体" w:cs="宋体"/>
          <w:b/>
          <w:color w:val="auto"/>
          <w:spacing w:val="0"/>
          <w:position w:val="0"/>
          <w:sz w:val="28"/>
        </w:rPr>
        <w:t>）</w:t>
      </w:r>
    </w:p>
    <w:p w14:paraId="3EEBBD99">
      <w:pPr>
        <w:pageBreakBefore w:val="0"/>
        <w:wordWrap w:val="0"/>
        <w:overflowPunct/>
        <w:topLinePunct/>
        <w:autoSpaceDE/>
        <w:autoSpaceDN/>
        <w:bidi w:val="0"/>
        <w:jc w:val="center"/>
        <w:rPr>
          <w:rFonts w:hint="eastAsia" w:ascii="宋体" w:hAnsi="宋体" w:eastAsia="宋体" w:cs="宋体"/>
          <w:b/>
          <w:color w:val="auto"/>
          <w:spacing w:val="0"/>
          <w:position w:val="0"/>
          <w:sz w:val="28"/>
        </w:rPr>
      </w:pPr>
      <w:r>
        <w:rPr>
          <w:rFonts w:hint="eastAsia" w:ascii="宋体" w:hAnsi="宋体" w:eastAsia="宋体" w:cs="宋体"/>
          <w:b/>
          <w:color w:val="auto"/>
          <w:spacing w:val="0"/>
          <w:position w:val="0"/>
          <w:sz w:val="28"/>
        </w:rPr>
        <w:t>法定代表人或其委托代理人：（</w:t>
      </w:r>
      <w:r>
        <w:rPr>
          <w:rFonts w:hint="eastAsia" w:ascii="宋体" w:hAnsi="宋体" w:eastAsia="宋体" w:cs="宋体"/>
          <w:b/>
          <w:color w:val="auto"/>
          <w:spacing w:val="0"/>
          <w:position w:val="0"/>
          <w:sz w:val="28"/>
          <w:lang w:eastAsia="zh-CN"/>
        </w:rPr>
        <w:t>签字或盖章</w:t>
      </w:r>
      <w:r>
        <w:rPr>
          <w:rFonts w:hint="eastAsia" w:ascii="宋体" w:hAnsi="宋体" w:eastAsia="宋体" w:cs="宋体"/>
          <w:b/>
          <w:color w:val="auto"/>
          <w:spacing w:val="0"/>
          <w:position w:val="0"/>
          <w:sz w:val="28"/>
        </w:rPr>
        <w:t>）</w:t>
      </w:r>
    </w:p>
    <w:p w14:paraId="42FC8CDA">
      <w:pPr>
        <w:pageBreakBefore w:val="0"/>
        <w:wordWrap w:val="0"/>
        <w:overflowPunct/>
        <w:topLinePunct/>
        <w:autoSpaceDE/>
        <w:autoSpaceDN/>
        <w:bidi w:val="0"/>
        <w:jc w:val="center"/>
        <w:rPr>
          <w:rFonts w:hint="eastAsia" w:ascii="宋体" w:hAnsi="宋体" w:eastAsia="宋体" w:cs="宋体"/>
          <w:b/>
          <w:color w:val="auto"/>
          <w:spacing w:val="0"/>
          <w:position w:val="0"/>
          <w:sz w:val="28"/>
          <w:lang w:val="en-US" w:eastAsia="zh-CN"/>
        </w:rPr>
      </w:pPr>
      <w:r>
        <w:rPr>
          <w:rFonts w:hint="eastAsia" w:ascii="宋体" w:hAnsi="宋体" w:eastAsia="宋体" w:cs="宋体"/>
          <w:b/>
          <w:color w:val="auto"/>
          <w:spacing w:val="0"/>
          <w:position w:val="0"/>
          <w:sz w:val="28"/>
        </w:rPr>
        <w:t>年  月</w:t>
      </w:r>
      <w:r>
        <w:rPr>
          <w:rFonts w:hint="eastAsia" w:ascii="宋体" w:hAnsi="宋体" w:eastAsia="宋体" w:cs="宋体"/>
          <w:b/>
          <w:color w:val="auto"/>
          <w:spacing w:val="0"/>
          <w:position w:val="0"/>
          <w:sz w:val="28"/>
          <w:lang w:val="en-US" w:eastAsia="zh-CN"/>
        </w:rPr>
        <w:t xml:space="preserve">   日</w:t>
      </w:r>
    </w:p>
    <w:p w14:paraId="7819D636">
      <w:pPr>
        <w:pageBreakBefore w:val="0"/>
        <w:wordWrap w:val="0"/>
        <w:overflowPunct/>
        <w:topLinePunct/>
        <w:autoSpaceDE/>
        <w:autoSpaceDN/>
        <w:bidi w:val="0"/>
        <w:jc w:val="center"/>
        <w:rPr>
          <w:rFonts w:hint="eastAsia" w:ascii="宋体" w:hAnsi="宋体" w:eastAsia="宋体" w:cs="宋体"/>
          <w:b/>
          <w:color w:val="auto"/>
          <w:spacing w:val="0"/>
          <w:position w:val="0"/>
          <w:sz w:val="28"/>
        </w:rPr>
      </w:pPr>
    </w:p>
    <w:p w14:paraId="29A54A88">
      <w:pPr>
        <w:pageBreakBefore w:val="0"/>
        <w:wordWrap w:val="0"/>
        <w:overflowPunct/>
        <w:topLinePunct/>
        <w:autoSpaceDE/>
        <w:autoSpaceDN/>
        <w:bidi w:val="0"/>
        <w:jc w:val="center"/>
        <w:rPr>
          <w:rFonts w:hint="eastAsia" w:ascii="宋体" w:hAnsi="宋体" w:eastAsia="宋体" w:cs="宋体"/>
          <w:b/>
          <w:color w:val="auto"/>
          <w:spacing w:val="0"/>
          <w:position w:val="0"/>
          <w:sz w:val="28"/>
        </w:rPr>
      </w:pPr>
    </w:p>
    <w:p w14:paraId="764BD521">
      <w:pPr>
        <w:pStyle w:val="3"/>
        <w:pageBreakBefore w:val="0"/>
        <w:wordWrap w:val="0"/>
        <w:overflowPunct/>
        <w:topLinePunct/>
        <w:autoSpaceDE/>
        <w:autoSpaceDN/>
        <w:bidi w:val="0"/>
        <w:ind w:left="420"/>
        <w:rPr>
          <w:rFonts w:hint="eastAsia" w:ascii="宋体" w:hAnsi="宋体" w:eastAsia="宋体" w:cs="宋体"/>
          <w:color w:val="auto"/>
          <w:spacing w:val="0"/>
          <w:position w:val="0"/>
        </w:rPr>
      </w:pPr>
      <w:bookmarkStart w:id="89" w:name="_Toc22901"/>
      <w:r>
        <w:rPr>
          <w:rFonts w:hint="eastAsia" w:ascii="宋体" w:hAnsi="宋体" w:eastAsia="宋体" w:cs="宋体"/>
          <w:color w:val="auto"/>
          <w:spacing w:val="0"/>
          <w:position w:val="0"/>
        </w:rPr>
        <w:t>一、响应函</w:t>
      </w:r>
      <w:bookmarkEnd w:id="89"/>
    </w:p>
    <w:p w14:paraId="13F87D56">
      <w:pPr>
        <w:keepNext w:val="0"/>
        <w:keepLines w:val="0"/>
        <w:pageBreakBefore w:val="0"/>
        <w:widowControl w:val="0"/>
        <w:kinsoku/>
        <w:wordWrap w:val="0"/>
        <w:overflowPunct/>
        <w:topLinePunct/>
        <w:autoSpaceDE/>
        <w:autoSpaceDN/>
        <w:bidi w:val="0"/>
        <w:adjustRightInd/>
        <w:snapToGrid/>
        <w:spacing w:line="396" w:lineRule="auto"/>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致：</w:t>
      </w:r>
      <w:r>
        <w:rPr>
          <w:rFonts w:hint="eastAsia" w:ascii="宋体" w:hAnsi="宋体" w:eastAsia="宋体" w:cs="宋体"/>
          <w:color w:val="auto"/>
          <w:spacing w:val="0"/>
          <w:position w:val="0"/>
          <w:sz w:val="21"/>
          <w:szCs w:val="21"/>
          <w:u w:val="single"/>
        </w:rPr>
        <w:t>（采购人或采购代理机构名称）</w:t>
      </w:r>
    </w:p>
    <w:p w14:paraId="499BF7CF">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1.我方已仔细研究了</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项目</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的全部内容，愿按照</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中规定的条款和要求，完成本项目。响应报价为</w:t>
      </w:r>
      <w:r>
        <w:rPr>
          <w:rFonts w:hint="eastAsia" w:ascii="宋体" w:hAnsi="宋体" w:eastAsia="宋体" w:cs="宋体"/>
          <w:color w:val="auto"/>
          <w:spacing w:val="0"/>
          <w:position w:val="0"/>
          <w:sz w:val="21"/>
          <w:szCs w:val="21"/>
          <w:u w:val="none"/>
          <w:lang w:val="en-US" w:eastAsia="zh-CN"/>
        </w:rPr>
        <w:t>（大写）</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none"/>
          <w:lang w:val="en-US" w:eastAsia="zh-CN"/>
        </w:rPr>
        <w:t>元人民币（小写 RMB￥：</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val="en-US" w:eastAsia="zh-CN"/>
        </w:rPr>
        <w:t>工</w:t>
      </w:r>
      <w:r>
        <w:rPr>
          <w:rFonts w:hint="eastAsia" w:ascii="宋体" w:hAnsi="宋体" w:eastAsia="宋体" w:cs="宋体"/>
          <w:color w:val="auto"/>
          <w:spacing w:val="0"/>
          <w:position w:val="0"/>
          <w:sz w:val="21"/>
          <w:szCs w:val="21"/>
        </w:rPr>
        <w:t>期</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rPr>
        <w:t>，质量</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w:t>
      </w:r>
    </w:p>
    <w:p w14:paraId="6E81CACD">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2.如果我方中标，我方将按</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的规定签订并严格履行合同中的责任和义务，在签订合同时不向你方提出附加条件，在合同约定的期限内完成合同规定的全部内容。</w:t>
      </w:r>
    </w:p>
    <w:p w14:paraId="5A0BCA86">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3.我方已详细审查全部</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，包括修改文件以及全部参考资料和有关附件。我们完全理解并同意放弃对这方面有不明及误解的权力。</w:t>
      </w:r>
    </w:p>
    <w:p w14:paraId="165F9883">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4.</w:t>
      </w:r>
      <w:r>
        <w:rPr>
          <w:rFonts w:hint="eastAsia" w:ascii="宋体" w:hAnsi="宋体" w:eastAsia="宋体" w:cs="宋体"/>
          <w:color w:val="auto"/>
          <w:spacing w:val="0"/>
          <w:position w:val="0"/>
          <w:sz w:val="21"/>
          <w:szCs w:val="21"/>
          <w:lang w:eastAsia="zh-CN"/>
        </w:rPr>
        <w:t>磋商有效期</w:t>
      </w:r>
      <w:r>
        <w:rPr>
          <w:rFonts w:hint="eastAsia" w:ascii="宋体" w:hAnsi="宋体" w:eastAsia="宋体" w:cs="宋体"/>
          <w:color w:val="auto"/>
          <w:spacing w:val="0"/>
          <w:position w:val="0"/>
          <w:sz w:val="21"/>
          <w:szCs w:val="21"/>
        </w:rPr>
        <w:t>为提交</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的截止之日起60日历天。</w:t>
      </w:r>
    </w:p>
    <w:p w14:paraId="5F948A6C">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5.如果在规定的开标时间后，我方承诺在</w:t>
      </w:r>
      <w:r>
        <w:rPr>
          <w:rFonts w:hint="eastAsia" w:ascii="宋体" w:hAnsi="宋体" w:eastAsia="宋体" w:cs="宋体"/>
          <w:color w:val="auto"/>
          <w:spacing w:val="0"/>
          <w:position w:val="0"/>
          <w:sz w:val="21"/>
          <w:szCs w:val="21"/>
          <w:lang w:eastAsia="zh-CN"/>
        </w:rPr>
        <w:t>磋商有效期</w:t>
      </w:r>
      <w:r>
        <w:rPr>
          <w:rFonts w:hint="eastAsia" w:ascii="宋体" w:hAnsi="宋体" w:eastAsia="宋体" w:cs="宋体"/>
          <w:color w:val="auto"/>
          <w:spacing w:val="0"/>
          <w:position w:val="0"/>
          <w:sz w:val="21"/>
          <w:szCs w:val="21"/>
        </w:rPr>
        <w:t>内不撤回投标。</w:t>
      </w:r>
    </w:p>
    <w:p w14:paraId="7F5425A0">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6.我方在此声明，所递交的</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及有关资料内容完整、真实和准确。</w:t>
      </w:r>
    </w:p>
    <w:p w14:paraId="2C5BA6AB">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7.</w:t>
      </w:r>
      <w:r>
        <w:rPr>
          <w:rFonts w:hint="eastAsia" w:ascii="宋体" w:hAnsi="宋体" w:eastAsia="宋体" w:cs="宋体"/>
          <w:color w:val="auto"/>
          <w:spacing w:val="0"/>
          <w:position w:val="0"/>
          <w:sz w:val="21"/>
          <w:szCs w:val="21"/>
        </w:rPr>
        <w:t>我方同意提供按照贵方可能要求的与其投标有关的一切数据或资料，完全理解贵方不一定接受最低价的投标或收到的任何投标。</w:t>
      </w:r>
    </w:p>
    <w:p w14:paraId="76BFE669">
      <w:pPr>
        <w:keepNext w:val="0"/>
        <w:keepLines w:val="0"/>
        <w:pageBreakBefore w:val="0"/>
        <w:widowControl w:val="0"/>
        <w:kinsoku/>
        <w:wordWrap w:val="0"/>
        <w:overflowPunct/>
        <w:topLinePunct/>
        <w:autoSpaceDE/>
        <w:autoSpaceDN/>
        <w:bidi w:val="0"/>
        <w:adjustRightInd/>
        <w:snapToGrid/>
        <w:spacing w:line="396"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9</w:t>
      </w:r>
      <w:r>
        <w:rPr>
          <w:rFonts w:hint="eastAsia" w:ascii="宋体" w:hAnsi="宋体" w:eastAsia="宋体" w:cs="宋体"/>
          <w:color w:val="auto"/>
          <w:spacing w:val="0"/>
          <w:position w:val="0"/>
          <w:sz w:val="21"/>
          <w:szCs w:val="21"/>
        </w:rPr>
        <w:t>.我方承诺完全响应</w:t>
      </w:r>
      <w:r>
        <w:rPr>
          <w:rFonts w:hint="eastAsia" w:ascii="宋体" w:hAnsi="宋体" w:eastAsia="宋体" w:cs="宋体"/>
          <w:color w:val="auto"/>
          <w:spacing w:val="0"/>
          <w:position w:val="0"/>
          <w:sz w:val="21"/>
          <w:szCs w:val="21"/>
          <w:lang w:val="en-US" w:eastAsia="zh-CN"/>
        </w:rPr>
        <w:t>磋商文件要求的所有</w:t>
      </w:r>
      <w:r>
        <w:rPr>
          <w:rFonts w:hint="eastAsia" w:ascii="宋体" w:hAnsi="宋体" w:eastAsia="宋体" w:cs="宋体"/>
          <w:color w:val="auto"/>
          <w:spacing w:val="0"/>
          <w:position w:val="0"/>
          <w:sz w:val="21"/>
          <w:szCs w:val="21"/>
        </w:rPr>
        <w:t>内容。</w:t>
      </w:r>
    </w:p>
    <w:p w14:paraId="3E6B0C46">
      <w:pPr>
        <w:keepNext w:val="0"/>
        <w:keepLines w:val="0"/>
        <w:pageBreakBefore w:val="0"/>
        <w:widowControl w:val="0"/>
        <w:kinsoku/>
        <w:wordWrap w:val="0"/>
        <w:overflowPunct/>
        <w:topLinePunct/>
        <w:autoSpaceDE/>
        <w:autoSpaceDN/>
        <w:bidi w:val="0"/>
        <w:adjustRightInd/>
        <w:snapToGrid/>
        <w:spacing w:line="396" w:lineRule="auto"/>
        <w:textAlignment w:val="auto"/>
        <w:rPr>
          <w:rFonts w:hint="eastAsia" w:ascii="宋体" w:hAnsi="宋体" w:eastAsia="宋体" w:cs="宋体"/>
          <w:color w:val="auto"/>
          <w:spacing w:val="0"/>
          <w:position w:val="0"/>
          <w:sz w:val="21"/>
          <w:szCs w:val="21"/>
        </w:rPr>
      </w:pPr>
    </w:p>
    <w:p w14:paraId="025AB1BB">
      <w:pPr>
        <w:pStyle w:val="44"/>
        <w:pageBreakBefore w:val="0"/>
        <w:wordWrap w:val="0"/>
        <w:overflowPunct/>
        <w:topLinePunct/>
        <w:autoSpaceDE/>
        <w:autoSpaceDN/>
        <w:bidi w:val="0"/>
        <w:rPr>
          <w:rFonts w:hint="eastAsia" w:ascii="宋体" w:hAnsi="宋体" w:eastAsia="宋体" w:cs="宋体"/>
          <w:color w:val="auto"/>
          <w:spacing w:val="0"/>
          <w:position w:val="0"/>
          <w:sz w:val="21"/>
          <w:szCs w:val="21"/>
        </w:rPr>
      </w:pPr>
    </w:p>
    <w:p w14:paraId="54F879A7">
      <w:pPr>
        <w:pStyle w:val="44"/>
        <w:pageBreakBefore w:val="0"/>
        <w:wordWrap w:val="0"/>
        <w:overflowPunct/>
        <w:topLinePunct/>
        <w:autoSpaceDE/>
        <w:autoSpaceDN/>
        <w:bidi w:val="0"/>
        <w:rPr>
          <w:rFonts w:hint="eastAsia" w:ascii="宋体" w:hAnsi="宋体" w:eastAsia="宋体" w:cs="宋体"/>
          <w:color w:val="auto"/>
          <w:spacing w:val="0"/>
          <w:position w:val="0"/>
          <w:sz w:val="21"/>
          <w:szCs w:val="21"/>
        </w:rPr>
      </w:pPr>
    </w:p>
    <w:p w14:paraId="42B31FF9">
      <w:pPr>
        <w:keepNext w:val="0"/>
        <w:keepLines w:val="0"/>
        <w:pageBreakBefore w:val="0"/>
        <w:widowControl w:val="0"/>
        <w:kinsoku/>
        <w:wordWrap w:val="0"/>
        <w:overflowPunct/>
        <w:topLinePunct/>
        <w:autoSpaceDE/>
        <w:autoSpaceDN/>
        <w:bidi w:val="0"/>
        <w:adjustRightInd/>
        <w:snapToGrid/>
        <w:spacing w:line="396"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法定代表人或授权代表（</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 xml:space="preserve">）：   </w:t>
      </w:r>
    </w:p>
    <w:p w14:paraId="5ABBA063">
      <w:pPr>
        <w:keepNext w:val="0"/>
        <w:keepLines w:val="0"/>
        <w:pageBreakBefore w:val="0"/>
        <w:widowControl w:val="0"/>
        <w:kinsoku/>
        <w:wordWrap w:val="0"/>
        <w:overflowPunct/>
        <w:topLinePunct/>
        <w:autoSpaceDE/>
        <w:autoSpaceDN/>
        <w:bidi w:val="0"/>
        <w:adjustRightInd/>
        <w:snapToGrid/>
        <w:spacing w:line="396"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558B400B">
      <w:pPr>
        <w:keepNext w:val="0"/>
        <w:keepLines w:val="0"/>
        <w:pageBreakBefore w:val="0"/>
        <w:widowControl w:val="0"/>
        <w:kinsoku/>
        <w:wordWrap w:val="0"/>
        <w:overflowPunct/>
        <w:topLinePunct/>
        <w:autoSpaceDE/>
        <w:autoSpaceDN/>
        <w:bidi w:val="0"/>
        <w:adjustRightInd/>
        <w:snapToGrid/>
        <w:spacing w:line="396"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日期：</w:t>
      </w:r>
    </w:p>
    <w:p w14:paraId="52E7BEA8">
      <w:pPr>
        <w:pageBreakBefore w:val="0"/>
        <w:widowControl/>
        <w:wordWrap w:val="0"/>
        <w:overflowPunct/>
        <w:topLinePunct/>
        <w:autoSpaceDE/>
        <w:autoSpaceDN/>
        <w:bidi w:val="0"/>
        <w:jc w:val="left"/>
        <w:rPr>
          <w:rFonts w:hint="eastAsia" w:ascii="宋体" w:hAnsi="宋体" w:eastAsia="宋体" w:cs="宋体"/>
          <w:color w:val="auto"/>
          <w:spacing w:val="0"/>
          <w:position w:val="0"/>
        </w:rPr>
      </w:pPr>
      <w:r>
        <w:rPr>
          <w:rFonts w:hint="eastAsia" w:ascii="宋体" w:hAnsi="宋体" w:eastAsia="宋体" w:cs="宋体"/>
          <w:color w:val="auto"/>
          <w:spacing w:val="0"/>
          <w:position w:val="0"/>
        </w:rPr>
        <w:br w:type="page"/>
      </w:r>
    </w:p>
    <w:p w14:paraId="28FD0AB6">
      <w:pPr>
        <w:pStyle w:val="3"/>
        <w:pageBreakBefore w:val="0"/>
        <w:wordWrap w:val="0"/>
        <w:overflowPunct/>
        <w:topLinePunct/>
        <w:autoSpaceDE/>
        <w:autoSpaceDN/>
        <w:bidi w:val="0"/>
        <w:ind w:left="420"/>
        <w:rPr>
          <w:rFonts w:hint="eastAsia" w:ascii="宋体" w:hAnsi="宋体" w:eastAsia="宋体" w:cs="宋体"/>
          <w:color w:val="auto"/>
          <w:spacing w:val="0"/>
          <w:position w:val="0"/>
        </w:rPr>
      </w:pPr>
      <w:bookmarkStart w:id="90" w:name="_Toc24546"/>
      <w:r>
        <w:rPr>
          <w:rFonts w:hint="eastAsia" w:ascii="宋体" w:hAnsi="宋体" w:eastAsia="宋体" w:cs="宋体"/>
          <w:color w:val="auto"/>
          <w:spacing w:val="0"/>
          <w:position w:val="0"/>
        </w:rPr>
        <w:t>二、</w:t>
      </w:r>
      <w:bookmarkStart w:id="91" w:name="_Toc30860"/>
      <w:r>
        <w:rPr>
          <w:rFonts w:hint="eastAsia" w:ascii="宋体" w:hAnsi="宋体" w:eastAsia="宋体" w:cs="宋体"/>
          <w:color w:val="auto"/>
          <w:spacing w:val="0"/>
          <w:position w:val="0"/>
        </w:rPr>
        <w:t>开标一览表</w:t>
      </w:r>
      <w:bookmarkEnd w:id="90"/>
    </w:p>
    <w:bookmarkEnd w:id="91"/>
    <w:tbl>
      <w:tblPr>
        <w:tblStyle w:val="46"/>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130"/>
        <w:gridCol w:w="2187"/>
        <w:gridCol w:w="2907"/>
      </w:tblGrid>
      <w:tr w14:paraId="4B4A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51036159">
            <w:pPr>
              <w:pStyle w:val="188"/>
              <w:keepNext w:val="0"/>
              <w:keepLines w:val="0"/>
              <w:pageBreakBefore w:val="0"/>
              <w:widowControl w:val="0"/>
              <w:kinsoku/>
              <w:wordWrap w:val="0"/>
              <w:overflowPunct/>
              <w:topLinePunct/>
              <w:autoSpaceDE/>
              <w:autoSpaceDN/>
              <w:bidi w:val="0"/>
              <w:snapToGrid/>
              <w:spacing w:before="48" w:beforeLines="15" w:after="48" w:afterLines="15" w:line="276" w:lineRule="auto"/>
              <w:ind w:firstLine="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项目名称</w:t>
            </w:r>
          </w:p>
        </w:tc>
        <w:tc>
          <w:tcPr>
            <w:tcW w:w="7224" w:type="dxa"/>
            <w:gridSpan w:val="3"/>
            <w:noWrap w:val="0"/>
            <w:vAlign w:val="center"/>
          </w:tcPr>
          <w:p w14:paraId="3291AD77">
            <w:pPr>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河南省人民医院15号楼视光学中心、屈光学中心改造项目</w:t>
            </w:r>
          </w:p>
        </w:tc>
      </w:tr>
      <w:tr w14:paraId="2110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08DB5FBD">
            <w:pPr>
              <w:pStyle w:val="188"/>
              <w:keepNext w:val="0"/>
              <w:keepLines w:val="0"/>
              <w:pageBreakBefore w:val="0"/>
              <w:widowControl w:val="0"/>
              <w:kinsoku/>
              <w:wordWrap w:val="0"/>
              <w:overflowPunct/>
              <w:topLinePunct/>
              <w:autoSpaceDE/>
              <w:autoSpaceDN/>
              <w:bidi w:val="0"/>
              <w:snapToGrid/>
              <w:spacing w:before="48" w:beforeLines="15" w:after="48" w:afterLines="15" w:line="276" w:lineRule="auto"/>
              <w:ind w:firstLine="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名称</w:t>
            </w:r>
          </w:p>
        </w:tc>
        <w:tc>
          <w:tcPr>
            <w:tcW w:w="7224" w:type="dxa"/>
            <w:gridSpan w:val="3"/>
            <w:noWrap w:val="0"/>
            <w:vAlign w:val="center"/>
          </w:tcPr>
          <w:p w14:paraId="41BF5041">
            <w:pPr>
              <w:pStyle w:val="188"/>
              <w:keepNext w:val="0"/>
              <w:keepLines w:val="0"/>
              <w:pageBreakBefore w:val="0"/>
              <w:widowControl w:val="0"/>
              <w:kinsoku/>
              <w:wordWrap w:val="0"/>
              <w:overflowPunct/>
              <w:topLinePunct/>
              <w:autoSpaceDE/>
              <w:autoSpaceDN/>
              <w:bidi w:val="0"/>
              <w:snapToGrid/>
              <w:spacing w:before="48" w:beforeLines="15" w:after="48" w:afterLines="15" w:line="276" w:lineRule="auto"/>
              <w:ind w:firstLine="0"/>
              <w:jc w:val="center"/>
              <w:textAlignment w:val="auto"/>
              <w:rPr>
                <w:rFonts w:hint="eastAsia" w:ascii="宋体" w:hAnsi="宋体" w:eastAsia="宋体" w:cs="宋体"/>
                <w:color w:val="auto"/>
                <w:spacing w:val="0"/>
                <w:position w:val="0"/>
                <w:sz w:val="21"/>
                <w:szCs w:val="21"/>
                <w:highlight w:val="none"/>
              </w:rPr>
            </w:pPr>
          </w:p>
        </w:tc>
      </w:tr>
      <w:tr w14:paraId="590B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6CDD65DA">
            <w:pPr>
              <w:pStyle w:val="188"/>
              <w:keepNext w:val="0"/>
              <w:keepLines w:val="0"/>
              <w:pageBreakBefore w:val="0"/>
              <w:widowControl w:val="0"/>
              <w:kinsoku/>
              <w:wordWrap w:val="0"/>
              <w:overflowPunct/>
              <w:topLinePunct/>
              <w:autoSpaceDE/>
              <w:autoSpaceDN/>
              <w:bidi w:val="0"/>
              <w:snapToGrid/>
              <w:spacing w:before="48" w:beforeLines="15" w:after="48" w:afterLines="15" w:line="276" w:lineRule="auto"/>
              <w:ind w:firstLine="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响应</w:t>
            </w:r>
            <w:r>
              <w:rPr>
                <w:rFonts w:hint="eastAsia" w:ascii="宋体" w:hAnsi="宋体" w:eastAsia="宋体" w:cs="宋体"/>
                <w:color w:val="auto"/>
                <w:spacing w:val="0"/>
                <w:position w:val="0"/>
                <w:sz w:val="21"/>
                <w:szCs w:val="21"/>
                <w:highlight w:val="none"/>
              </w:rPr>
              <w:t>范围</w:t>
            </w:r>
          </w:p>
        </w:tc>
        <w:tc>
          <w:tcPr>
            <w:tcW w:w="7224" w:type="dxa"/>
            <w:gridSpan w:val="3"/>
            <w:noWrap w:val="0"/>
            <w:vAlign w:val="center"/>
          </w:tcPr>
          <w:p w14:paraId="308A11AC">
            <w:pPr>
              <w:pStyle w:val="185"/>
              <w:keepNext w:val="0"/>
              <w:keepLines w:val="0"/>
              <w:pageBreakBefore w:val="0"/>
              <w:widowControl w:val="0"/>
              <w:kinsoku/>
              <w:wordWrap w:val="0"/>
              <w:overflowPunct/>
              <w:topLinePunct/>
              <w:autoSpaceDE/>
              <w:autoSpaceDN/>
              <w:bidi w:val="0"/>
              <w:snapToGrid/>
              <w:spacing w:before="48" w:beforeLines="15" w:after="48" w:afterLines="15" w:line="276" w:lineRule="auto"/>
              <w:ind w:left="0" w:leftChars="0"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本项目范围内的原建筑拆除，室内装修、安装工程、消防工程、手术室净化工程，配合医疗设备厂家安装设备等招标文件、施工图纸及工程量清单范围内的施工、设备安装、调试、竣工验收及保修等</w:t>
            </w:r>
          </w:p>
        </w:tc>
      </w:tr>
      <w:tr w14:paraId="07EA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476C63CA">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磋商</w:t>
            </w:r>
            <w:r>
              <w:rPr>
                <w:rFonts w:hint="eastAsia" w:ascii="宋体" w:hAnsi="宋体" w:eastAsia="宋体" w:cs="宋体"/>
                <w:color w:val="auto"/>
                <w:spacing w:val="0"/>
                <w:position w:val="0"/>
                <w:sz w:val="21"/>
                <w:szCs w:val="21"/>
                <w:highlight w:val="none"/>
              </w:rPr>
              <w:t>报价</w:t>
            </w:r>
          </w:p>
          <w:p w14:paraId="1A5A703A">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（元）</w:t>
            </w:r>
          </w:p>
        </w:tc>
        <w:tc>
          <w:tcPr>
            <w:tcW w:w="7224" w:type="dxa"/>
            <w:gridSpan w:val="3"/>
            <w:tcBorders>
              <w:bottom w:val="single" w:color="auto" w:sz="4" w:space="0"/>
            </w:tcBorders>
            <w:noWrap w:val="0"/>
            <w:vAlign w:val="center"/>
          </w:tcPr>
          <w:p w14:paraId="198055E1">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大写：</w:t>
            </w:r>
          </w:p>
          <w:p w14:paraId="133FF964">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小写：</w:t>
            </w:r>
          </w:p>
          <w:p w14:paraId="619376AE">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lang w:val="en-US" w:eastAsia="zh-CN"/>
              </w:rPr>
            </w:pPr>
          </w:p>
          <w:p w14:paraId="6EB2738C">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（供应商应在此填第一次报价，但以供应商最后一次的磋商报价为成交价）</w:t>
            </w:r>
          </w:p>
        </w:tc>
      </w:tr>
      <w:tr w14:paraId="523A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026129BB">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项目负责人</w:t>
            </w:r>
          </w:p>
          <w:p w14:paraId="51941CA8">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（姓名）</w:t>
            </w:r>
          </w:p>
        </w:tc>
        <w:tc>
          <w:tcPr>
            <w:tcW w:w="2130" w:type="dxa"/>
            <w:tcBorders>
              <w:bottom w:val="single" w:color="auto" w:sz="4" w:space="0"/>
            </w:tcBorders>
            <w:noWrap w:val="0"/>
            <w:vAlign w:val="center"/>
          </w:tcPr>
          <w:p w14:paraId="0F4C9411">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rPr>
            </w:pPr>
          </w:p>
        </w:tc>
        <w:tc>
          <w:tcPr>
            <w:tcW w:w="2187" w:type="dxa"/>
            <w:tcBorders>
              <w:bottom w:val="single" w:color="auto" w:sz="4" w:space="0"/>
            </w:tcBorders>
            <w:noWrap w:val="0"/>
            <w:vAlign w:val="center"/>
          </w:tcPr>
          <w:p w14:paraId="50BFC6BB">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证书编号</w:t>
            </w:r>
          </w:p>
        </w:tc>
        <w:tc>
          <w:tcPr>
            <w:tcW w:w="2907" w:type="dxa"/>
            <w:tcBorders>
              <w:bottom w:val="single" w:color="auto" w:sz="4" w:space="0"/>
            </w:tcBorders>
            <w:noWrap w:val="0"/>
            <w:vAlign w:val="center"/>
          </w:tcPr>
          <w:p w14:paraId="3FA6A5BE">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rPr>
            </w:pPr>
          </w:p>
        </w:tc>
      </w:tr>
      <w:tr w14:paraId="6A8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3EF5DDFF">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lang w:val="en-US" w:eastAsia="zh-CN"/>
              </w:rPr>
            </w:pPr>
            <w:r>
              <w:rPr>
                <w:rStyle w:val="49"/>
                <w:rFonts w:hint="eastAsia" w:hAnsi="宋体" w:eastAsia="宋体" w:cs="宋体"/>
                <w:b w:val="0"/>
                <w:bCs/>
                <w:color w:val="auto"/>
                <w:spacing w:val="0"/>
                <w:kern w:val="21"/>
                <w:position w:val="0"/>
                <w:sz w:val="21"/>
                <w:szCs w:val="21"/>
                <w:highlight w:val="none"/>
                <w:lang w:val="en-US" w:eastAsia="zh-CN"/>
              </w:rPr>
              <w:t>工期</w:t>
            </w:r>
          </w:p>
        </w:tc>
        <w:tc>
          <w:tcPr>
            <w:tcW w:w="7224" w:type="dxa"/>
            <w:gridSpan w:val="3"/>
            <w:noWrap w:val="0"/>
            <w:vAlign w:val="center"/>
          </w:tcPr>
          <w:p w14:paraId="295EADD3">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rPr>
            </w:pPr>
          </w:p>
        </w:tc>
      </w:tr>
      <w:tr w14:paraId="6F40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50F8C39B">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7224" w:type="dxa"/>
            <w:gridSpan w:val="3"/>
            <w:noWrap w:val="0"/>
            <w:vAlign w:val="center"/>
          </w:tcPr>
          <w:p w14:paraId="68AFC177">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textAlignment w:val="auto"/>
              <w:rPr>
                <w:rFonts w:hint="eastAsia" w:ascii="宋体" w:hAnsi="宋体" w:eastAsia="宋体" w:cs="宋体"/>
                <w:color w:val="auto"/>
                <w:spacing w:val="0"/>
                <w:position w:val="0"/>
                <w:sz w:val="21"/>
                <w:szCs w:val="21"/>
                <w:highlight w:val="none"/>
              </w:rPr>
            </w:pPr>
          </w:p>
        </w:tc>
      </w:tr>
      <w:tr w14:paraId="1897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54000BC8">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磋商有效期</w:t>
            </w:r>
          </w:p>
        </w:tc>
        <w:tc>
          <w:tcPr>
            <w:tcW w:w="7224" w:type="dxa"/>
            <w:gridSpan w:val="3"/>
            <w:noWrap w:val="0"/>
            <w:vAlign w:val="center"/>
          </w:tcPr>
          <w:p w14:paraId="77A850CF">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自投标截止之日起60日历天</w:t>
            </w:r>
          </w:p>
        </w:tc>
      </w:tr>
      <w:tr w14:paraId="0F49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55" w:type="dxa"/>
            <w:noWrap w:val="0"/>
            <w:vAlign w:val="center"/>
          </w:tcPr>
          <w:p w14:paraId="13AAF1D6">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   注</w:t>
            </w:r>
          </w:p>
        </w:tc>
        <w:tc>
          <w:tcPr>
            <w:tcW w:w="7224" w:type="dxa"/>
            <w:gridSpan w:val="3"/>
            <w:noWrap w:val="0"/>
            <w:vAlign w:val="center"/>
          </w:tcPr>
          <w:p w14:paraId="21822072">
            <w:pPr>
              <w:pStyle w:val="24"/>
              <w:keepNext w:val="0"/>
              <w:keepLines w:val="0"/>
              <w:pageBreakBefore w:val="0"/>
              <w:widowControl w:val="0"/>
              <w:kinsoku/>
              <w:wordWrap w:val="0"/>
              <w:overflowPunct/>
              <w:topLinePunct/>
              <w:autoSpaceDE/>
              <w:autoSpaceDN/>
              <w:bidi w:val="0"/>
              <w:snapToGrid/>
              <w:spacing w:before="48" w:beforeLines="15" w:after="48" w:afterLines="15" w:line="276" w:lineRule="auto"/>
              <w:jc w:val="center"/>
              <w:textAlignment w:val="auto"/>
              <w:rPr>
                <w:rFonts w:hint="eastAsia" w:ascii="宋体" w:hAnsi="宋体" w:eastAsia="宋体" w:cs="宋体"/>
                <w:color w:val="auto"/>
                <w:spacing w:val="0"/>
                <w:position w:val="0"/>
                <w:sz w:val="21"/>
                <w:szCs w:val="21"/>
                <w:highlight w:val="none"/>
              </w:rPr>
            </w:pPr>
          </w:p>
        </w:tc>
      </w:tr>
    </w:tbl>
    <w:p w14:paraId="2AF6A3B7">
      <w:pPr>
        <w:pageBreakBefore w:val="0"/>
        <w:wordWrap w:val="0"/>
        <w:overflowPunct/>
        <w:topLinePunct/>
        <w:autoSpaceDE/>
        <w:autoSpaceDN/>
        <w:bidi w:val="0"/>
        <w:rPr>
          <w:rFonts w:hint="eastAsia" w:ascii="宋体" w:hAnsi="宋体" w:eastAsia="宋体" w:cs="宋体"/>
          <w:color w:val="auto"/>
          <w:spacing w:val="0"/>
          <w:position w:val="0"/>
        </w:rPr>
      </w:pPr>
    </w:p>
    <w:p w14:paraId="09322898">
      <w:pPr>
        <w:pageBreakBefore w:val="0"/>
        <w:widowControl/>
        <w:wordWrap w:val="0"/>
        <w:overflowPunct/>
        <w:topLinePunct/>
        <w:autoSpaceDE/>
        <w:autoSpaceDN/>
        <w:bidi w:val="0"/>
        <w:jc w:val="left"/>
        <w:rPr>
          <w:rFonts w:hint="eastAsia" w:ascii="宋体" w:hAnsi="宋体" w:eastAsia="宋体" w:cs="宋体"/>
          <w:color w:val="auto"/>
          <w:spacing w:val="0"/>
          <w:position w:val="0"/>
        </w:rPr>
      </w:pPr>
      <w:r>
        <w:rPr>
          <w:rFonts w:hint="eastAsia" w:ascii="宋体" w:hAnsi="宋体" w:eastAsia="宋体" w:cs="宋体"/>
          <w:color w:val="000000"/>
          <w:sz w:val="21"/>
          <w:szCs w:val="21"/>
          <w:lang w:val="en-US" w:eastAsia="zh-CN"/>
        </w:rPr>
        <w:t>注：</w:t>
      </w:r>
      <w:r>
        <w:rPr>
          <w:rFonts w:hint="eastAsia" w:ascii="宋体" w:hAnsi="宋体" w:eastAsia="宋体" w:cs="宋体"/>
          <w:color w:val="000000"/>
          <w:sz w:val="21"/>
          <w:szCs w:val="21"/>
        </w:rPr>
        <w:t>投标人在</w:t>
      </w:r>
      <w:r>
        <w:rPr>
          <w:rFonts w:hint="eastAsia" w:ascii="宋体" w:hAnsi="宋体" w:eastAsia="宋体" w:cs="宋体"/>
          <w:color w:val="000000"/>
          <w:sz w:val="21"/>
          <w:szCs w:val="21"/>
          <w:lang w:val="en-US" w:eastAsia="zh-CN"/>
        </w:rPr>
        <w:t>本</w:t>
      </w:r>
      <w:r>
        <w:rPr>
          <w:rFonts w:hint="eastAsia" w:ascii="宋体" w:hAnsi="宋体" w:eastAsia="宋体" w:cs="宋体"/>
          <w:color w:val="000000"/>
          <w:sz w:val="21"/>
          <w:szCs w:val="21"/>
        </w:rPr>
        <w:t>附录中</w:t>
      </w:r>
      <w:r>
        <w:rPr>
          <w:rFonts w:hint="eastAsia" w:ascii="宋体" w:hAnsi="宋体" w:eastAsia="宋体" w:cs="宋体"/>
          <w:color w:val="000000"/>
          <w:sz w:val="21"/>
          <w:szCs w:val="21"/>
          <w:lang w:val="en-US" w:eastAsia="zh-CN"/>
        </w:rPr>
        <w:t>按“技术标准和要求”</w:t>
      </w:r>
      <w:r>
        <w:rPr>
          <w:rFonts w:hint="eastAsia" w:ascii="宋体" w:hAnsi="宋体" w:eastAsia="宋体" w:cs="宋体"/>
          <w:color w:val="000000"/>
          <w:sz w:val="21"/>
          <w:szCs w:val="21"/>
        </w:rPr>
        <w:t>列明包括但不限于上述材料设备</w:t>
      </w:r>
    </w:p>
    <w:p w14:paraId="2EFD7A29">
      <w:pPr>
        <w:pageBreakBefore w:val="0"/>
        <w:widowControl/>
        <w:wordWrap w:val="0"/>
        <w:overflowPunct/>
        <w:topLinePunct/>
        <w:autoSpaceDE/>
        <w:autoSpaceDN/>
        <w:bidi w:val="0"/>
        <w:spacing w:line="360" w:lineRule="auto"/>
        <w:jc w:val="right"/>
        <w:rPr>
          <w:rFonts w:hint="eastAsia" w:ascii="宋体" w:hAnsi="宋体" w:eastAsia="宋体" w:cs="宋体"/>
          <w:color w:val="auto"/>
          <w:spacing w:val="0"/>
          <w:position w:val="0"/>
          <w:sz w:val="21"/>
          <w:szCs w:val="21"/>
        </w:rPr>
      </w:pPr>
    </w:p>
    <w:p w14:paraId="0B7DC6EA">
      <w:pPr>
        <w:pageBreakBefore w:val="0"/>
        <w:widowControl/>
        <w:wordWrap w:val="0"/>
        <w:overflowPunct/>
        <w:topLinePunct/>
        <w:autoSpaceDE/>
        <w:autoSpaceDN/>
        <w:bidi w:val="0"/>
        <w:spacing w:line="360" w:lineRule="auto"/>
        <w:jc w:val="right"/>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法定代表人或授权代表（</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 xml:space="preserve">）：   </w:t>
      </w:r>
    </w:p>
    <w:p w14:paraId="423CA265">
      <w:pPr>
        <w:pageBreakBefore w:val="0"/>
        <w:widowControl/>
        <w:wordWrap w:val="0"/>
        <w:overflowPunct/>
        <w:topLinePunct/>
        <w:autoSpaceDE/>
        <w:autoSpaceDN/>
        <w:bidi w:val="0"/>
        <w:spacing w:line="360" w:lineRule="auto"/>
        <w:jc w:val="right"/>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7B4C0EEA">
      <w:pPr>
        <w:pageBreakBefore w:val="0"/>
        <w:widowControl/>
        <w:wordWrap w:val="0"/>
        <w:overflowPunct/>
        <w:topLinePunct/>
        <w:autoSpaceDE/>
        <w:autoSpaceDN/>
        <w:bidi w:val="0"/>
        <w:spacing w:line="360" w:lineRule="auto"/>
        <w:jc w:val="right"/>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日期：</w:t>
      </w:r>
    </w:p>
    <w:p w14:paraId="4D216F8C">
      <w:pPr>
        <w:rPr>
          <w:rFonts w:hint="eastAsia"/>
        </w:rPr>
      </w:pPr>
      <w:r>
        <w:rPr>
          <w:rFonts w:hint="eastAsia"/>
        </w:rPr>
        <w:br w:type="page"/>
      </w:r>
    </w:p>
    <w:p w14:paraId="76E228E7">
      <w:pPr>
        <w:pStyle w:val="3"/>
        <w:pageBreakBefore w:val="0"/>
        <w:wordWrap w:val="0"/>
        <w:overflowPunct/>
        <w:topLinePunct/>
        <w:autoSpaceDE/>
        <w:autoSpaceDN/>
        <w:bidi w:val="0"/>
        <w:ind w:left="420"/>
        <w:rPr>
          <w:rFonts w:hint="eastAsia" w:ascii="宋体" w:hAnsi="宋体" w:eastAsia="宋体" w:cs="宋体"/>
          <w:color w:val="auto"/>
          <w:spacing w:val="0"/>
          <w:position w:val="0"/>
        </w:rPr>
      </w:pPr>
      <w:bookmarkStart w:id="92" w:name="_Toc14268"/>
      <w:r>
        <w:rPr>
          <w:rFonts w:hint="eastAsia" w:ascii="宋体" w:hAnsi="宋体" w:eastAsia="宋体" w:cs="宋体"/>
          <w:color w:val="auto"/>
          <w:spacing w:val="0"/>
          <w:position w:val="0"/>
        </w:rPr>
        <w:t>三、法定代表人身份证明</w:t>
      </w:r>
      <w:bookmarkEnd w:id="92"/>
    </w:p>
    <w:p w14:paraId="4F653F2E">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lang w:val="en-US" w:eastAsia="zh-CN"/>
        </w:rPr>
      </w:pPr>
    </w:p>
    <w:p w14:paraId="36B8FAAC">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w:t>
      </w:r>
      <w:r>
        <w:rPr>
          <w:rFonts w:hint="eastAsia" w:ascii="宋体" w:hAnsi="宋体" w:eastAsia="宋体" w:cs="宋体"/>
          <w:color w:val="auto"/>
          <w:spacing w:val="0"/>
          <w:position w:val="0"/>
          <w:sz w:val="21"/>
          <w:szCs w:val="21"/>
          <w:u w:val="single"/>
        </w:rPr>
        <w:t xml:space="preserve">                       </w:t>
      </w:r>
    </w:p>
    <w:p w14:paraId="1B0416C0">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单位性质：                      </w:t>
      </w:r>
    </w:p>
    <w:p w14:paraId="5B15C58D">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地址：                        </w:t>
      </w:r>
    </w:p>
    <w:p w14:paraId="6B522E42">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成立时间：     年   月   日</w:t>
      </w:r>
    </w:p>
    <w:p w14:paraId="48834810">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经营期限：                 </w:t>
      </w:r>
    </w:p>
    <w:p w14:paraId="034C8366">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姓名：          性别：   年龄：   职务：   </w:t>
      </w:r>
    </w:p>
    <w:p w14:paraId="659C96AE">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系                       （</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名称）的法定代表人。</w:t>
      </w:r>
    </w:p>
    <w:p w14:paraId="668A7CF3">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p>
    <w:p w14:paraId="5D185B8E">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特此证明。</w:t>
      </w:r>
    </w:p>
    <w:p w14:paraId="789D8647">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p>
    <w:p w14:paraId="07F3272F">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p>
    <w:p w14:paraId="77B4626F">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sz w:val="21"/>
          <w:szCs w:val="21"/>
        </w:rPr>
      </w:pPr>
    </w:p>
    <w:p w14:paraId="32D2D1A3">
      <w:pPr>
        <w:keepNext w:val="0"/>
        <w:keepLines w:val="0"/>
        <w:pageBreakBefore w:val="0"/>
        <w:widowControl w:val="0"/>
        <w:kinsoku/>
        <w:wordWrap w:val="0"/>
        <w:overflowPunct/>
        <w:topLinePunct/>
        <w:autoSpaceDE/>
        <w:autoSpaceDN/>
        <w:bidi w:val="0"/>
        <w:adjustRightInd/>
        <w:snapToGrid/>
        <w:ind w:firstLine="420" w:firstLineChars="200"/>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投 标 人：                 （</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428FC748">
      <w:pPr>
        <w:keepNext w:val="0"/>
        <w:keepLines w:val="0"/>
        <w:pageBreakBefore w:val="0"/>
        <w:widowControl w:val="0"/>
        <w:kinsoku/>
        <w:wordWrap w:val="0"/>
        <w:overflowPunct/>
        <w:topLinePunct/>
        <w:autoSpaceDE/>
        <w:autoSpaceDN/>
        <w:bidi w:val="0"/>
        <w:adjustRightInd/>
        <w:snapToGrid/>
        <w:ind w:firstLine="420" w:firstLineChars="200"/>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 xml:space="preserve">日    期：    年 </w:t>
      </w:r>
      <w:r>
        <w:rPr>
          <w:rFonts w:hint="eastAsia" w:ascii="宋体" w:hAnsi="宋体" w:eastAsia="宋体" w:cs="宋体"/>
          <w:color w:val="auto"/>
          <w:spacing w:val="0"/>
          <w:position w:val="0"/>
          <w:sz w:val="21"/>
          <w:szCs w:val="21"/>
          <w:lang w:val="en-US" w:eastAsia="zh-CN"/>
        </w:rPr>
        <w:t xml:space="preserve"> </w:t>
      </w:r>
      <w:r>
        <w:rPr>
          <w:rFonts w:hint="eastAsia" w:ascii="宋体" w:hAnsi="宋体" w:eastAsia="宋体" w:cs="宋体"/>
          <w:color w:val="auto"/>
          <w:spacing w:val="0"/>
          <w:position w:val="0"/>
          <w:sz w:val="21"/>
          <w:szCs w:val="21"/>
        </w:rPr>
        <w:t xml:space="preserve"> 月  日</w:t>
      </w:r>
    </w:p>
    <w:p w14:paraId="2C122AB1">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color w:val="auto"/>
          <w:spacing w:val="0"/>
          <w:position w:val="0"/>
        </w:rPr>
      </w:pPr>
    </w:p>
    <w:p w14:paraId="408D52EC">
      <w:pPr>
        <w:pageBreakBefore w:val="0"/>
        <w:wordWrap w:val="0"/>
        <w:overflowPunct/>
        <w:topLinePunct/>
        <w:autoSpaceDE/>
        <w:autoSpaceDN/>
        <w:bidi w:val="0"/>
        <w:rPr>
          <w:rFonts w:hint="eastAsia" w:ascii="宋体" w:hAnsi="宋体" w:eastAsia="宋体" w:cs="宋体"/>
          <w:b/>
          <w:color w:val="auto"/>
          <w:spacing w:val="0"/>
          <w:position w:val="0"/>
        </w:rPr>
      </w:pPr>
      <w:r>
        <w:rPr>
          <w:rFonts w:hint="eastAsia" w:ascii="宋体" w:hAnsi="宋体" w:eastAsia="宋体" w:cs="宋体"/>
          <w:b/>
          <w:color w:val="auto"/>
          <w:spacing w:val="0"/>
          <w:position w:val="0"/>
        </w:rPr>
        <w:br w:type="page"/>
      </w:r>
    </w:p>
    <w:p w14:paraId="2FF9316D">
      <w:pPr>
        <w:pStyle w:val="3"/>
        <w:pageBreakBefore w:val="0"/>
        <w:wordWrap w:val="0"/>
        <w:overflowPunct/>
        <w:topLinePunct/>
        <w:autoSpaceDE/>
        <w:autoSpaceDN/>
        <w:bidi w:val="0"/>
        <w:ind w:left="420"/>
        <w:rPr>
          <w:rFonts w:hint="eastAsia" w:ascii="宋体" w:hAnsi="宋体" w:eastAsia="宋体" w:cs="宋体"/>
          <w:color w:val="auto"/>
          <w:spacing w:val="0"/>
          <w:position w:val="0"/>
        </w:rPr>
      </w:pPr>
      <w:bookmarkStart w:id="93" w:name="_Toc25721"/>
      <w:r>
        <w:rPr>
          <w:rFonts w:hint="eastAsia" w:ascii="宋体" w:hAnsi="宋体" w:eastAsia="宋体" w:cs="宋体"/>
          <w:color w:val="auto"/>
          <w:spacing w:val="0"/>
          <w:position w:val="0"/>
          <w:lang w:val="en-US" w:eastAsia="zh-CN"/>
        </w:rPr>
        <w:t>四</w:t>
      </w:r>
      <w:r>
        <w:rPr>
          <w:rFonts w:hint="eastAsia" w:ascii="宋体" w:hAnsi="宋体" w:eastAsia="宋体" w:cs="宋体"/>
          <w:color w:val="auto"/>
          <w:spacing w:val="0"/>
          <w:position w:val="0"/>
        </w:rPr>
        <w:t>、授权委托书</w:t>
      </w:r>
      <w:bookmarkEnd w:id="93"/>
    </w:p>
    <w:p w14:paraId="05E63B2F">
      <w:pPr>
        <w:keepNext w:val="0"/>
        <w:keepLines w:val="0"/>
        <w:pageBreakBefore w:val="0"/>
        <w:widowControl w:val="0"/>
        <w:kinsoku/>
        <w:wordWrap w:val="0"/>
        <w:overflowPunct/>
        <w:topLinePunct/>
        <w:autoSpaceDE/>
        <w:autoSpaceDN/>
        <w:bidi w:val="0"/>
        <w:adjustRightInd/>
        <w:snapToGrid/>
        <w:spacing w:line="420" w:lineRule="auto"/>
        <w:ind w:firstLine="420" w:firstLineChars="200"/>
        <w:textAlignment w:val="auto"/>
        <w:rPr>
          <w:rFonts w:hint="eastAsia" w:ascii="宋体" w:hAnsi="宋体" w:eastAsia="宋体" w:cs="宋体"/>
          <w:color w:val="auto"/>
          <w:spacing w:val="0"/>
          <w:position w:val="0"/>
          <w:sz w:val="21"/>
          <w:szCs w:val="21"/>
        </w:rPr>
      </w:pPr>
    </w:p>
    <w:p w14:paraId="1BF83EFF">
      <w:pPr>
        <w:keepNext w:val="0"/>
        <w:keepLines w:val="0"/>
        <w:pageBreakBefore w:val="0"/>
        <w:widowControl w:val="0"/>
        <w:kinsoku/>
        <w:wordWrap w:val="0"/>
        <w:overflowPunct/>
        <w:topLinePunct/>
        <w:autoSpaceDE/>
        <w:autoSpaceDN/>
        <w:bidi w:val="0"/>
        <w:adjustRightInd/>
        <w:snapToGrid/>
        <w:spacing w:line="42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本人</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（姓名）系</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名称）的法定代表人，现委托</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（姓名）为我方代理人。代理人根据授权，以我方名义签署、澄清、说明、补正、递交、撤回、修改</w:t>
      </w:r>
      <w:r>
        <w:rPr>
          <w:rFonts w:hint="eastAsia" w:ascii="宋体" w:hAnsi="宋体" w:eastAsia="宋体" w:cs="宋体"/>
          <w:color w:val="auto"/>
          <w:spacing w:val="0"/>
          <w:position w:val="0"/>
          <w:sz w:val="21"/>
          <w:szCs w:val="21"/>
          <w:u w:val="single"/>
        </w:rPr>
        <w:t xml:space="preserve">       （项目名称）    </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、签订合同和处理有关事宜，其法律后果由我方承担。</w:t>
      </w:r>
    </w:p>
    <w:p w14:paraId="7B69E26D">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6A25463D">
      <w:pPr>
        <w:keepNext w:val="0"/>
        <w:keepLines w:val="0"/>
        <w:pageBreakBefore w:val="0"/>
        <w:widowControl w:val="0"/>
        <w:kinsoku/>
        <w:wordWrap w:val="0"/>
        <w:overflowPunct/>
        <w:topLinePunct/>
        <w:autoSpaceDE/>
        <w:autoSpaceDN/>
        <w:bidi w:val="0"/>
        <w:adjustRightInd/>
        <w:snapToGrid/>
        <w:spacing w:line="42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委托期限：</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w:t>
      </w:r>
    </w:p>
    <w:p w14:paraId="000FE39D">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09B5E786">
      <w:pPr>
        <w:keepNext w:val="0"/>
        <w:keepLines w:val="0"/>
        <w:pageBreakBefore w:val="0"/>
        <w:widowControl w:val="0"/>
        <w:kinsoku/>
        <w:wordWrap w:val="0"/>
        <w:overflowPunct/>
        <w:topLinePunct/>
        <w:autoSpaceDE/>
        <w:autoSpaceDN/>
        <w:bidi w:val="0"/>
        <w:adjustRightInd/>
        <w:snapToGrid/>
        <w:spacing w:line="42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代理人无转委托权。</w:t>
      </w:r>
    </w:p>
    <w:p w14:paraId="3F6C3A49">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39BC1881">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49A37B8C">
      <w:pPr>
        <w:keepNext w:val="0"/>
        <w:keepLines w:val="0"/>
        <w:pageBreakBefore w:val="0"/>
        <w:widowControl w:val="0"/>
        <w:kinsoku/>
        <w:wordWrap w:val="0"/>
        <w:overflowPunct/>
        <w:topLinePunct/>
        <w:autoSpaceDE/>
        <w:autoSpaceDN/>
        <w:bidi w:val="0"/>
        <w:adjustRightInd/>
        <w:snapToGrid/>
        <w:spacing w:line="42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附：法定代表人身份证及委托代理人身份证复印件</w:t>
      </w:r>
    </w:p>
    <w:p w14:paraId="0927CA46">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64AFBC8F">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743B446B">
      <w:pPr>
        <w:keepNext w:val="0"/>
        <w:keepLines w:val="0"/>
        <w:pageBreakBefore w:val="0"/>
        <w:widowControl w:val="0"/>
        <w:kinsoku/>
        <w:wordWrap w:val="0"/>
        <w:overflowPunct/>
        <w:topLinePunct/>
        <w:autoSpaceDE/>
        <w:autoSpaceDN/>
        <w:bidi w:val="0"/>
        <w:adjustRightInd/>
        <w:snapToGrid/>
        <w:spacing w:line="420" w:lineRule="auto"/>
        <w:textAlignment w:val="auto"/>
        <w:rPr>
          <w:rFonts w:hint="eastAsia" w:ascii="宋体" w:hAnsi="宋体" w:eastAsia="宋体" w:cs="宋体"/>
          <w:color w:val="auto"/>
          <w:spacing w:val="0"/>
          <w:position w:val="0"/>
          <w:sz w:val="21"/>
          <w:szCs w:val="21"/>
        </w:rPr>
      </w:pPr>
    </w:p>
    <w:p w14:paraId="354378FD">
      <w:pPr>
        <w:keepNext w:val="0"/>
        <w:keepLines w:val="0"/>
        <w:pageBreakBefore w:val="0"/>
        <w:widowControl w:val="0"/>
        <w:kinsoku/>
        <w:wordWrap w:val="0"/>
        <w:overflowPunct/>
        <w:topLinePunct/>
        <w:autoSpaceDE/>
        <w:autoSpaceDN/>
        <w:bidi w:val="0"/>
        <w:adjustRightInd/>
        <w:snapToGrid/>
        <w:spacing w:line="420"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供应商</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35726181">
      <w:pPr>
        <w:keepNext w:val="0"/>
        <w:keepLines w:val="0"/>
        <w:pageBreakBefore w:val="0"/>
        <w:widowControl w:val="0"/>
        <w:kinsoku/>
        <w:wordWrap w:val="0"/>
        <w:overflowPunct/>
        <w:topLinePunct/>
        <w:autoSpaceDE/>
        <w:autoSpaceDN/>
        <w:bidi w:val="0"/>
        <w:adjustRightInd/>
        <w:snapToGrid/>
        <w:spacing w:line="420"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法定代表人：</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w:t>
      </w:r>
    </w:p>
    <w:p w14:paraId="0643B2B9">
      <w:pPr>
        <w:keepNext w:val="0"/>
        <w:keepLines w:val="0"/>
        <w:pageBreakBefore w:val="0"/>
        <w:widowControl w:val="0"/>
        <w:kinsoku/>
        <w:wordWrap w:val="0"/>
        <w:overflowPunct/>
        <w:topLinePunct/>
        <w:autoSpaceDE/>
        <w:autoSpaceDN/>
        <w:bidi w:val="0"/>
        <w:adjustRightInd/>
        <w:snapToGrid/>
        <w:spacing w:line="420"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身份证号码：</w:t>
      </w:r>
      <w:r>
        <w:rPr>
          <w:rFonts w:hint="eastAsia" w:ascii="宋体" w:hAnsi="宋体" w:eastAsia="宋体" w:cs="宋体"/>
          <w:color w:val="auto"/>
          <w:spacing w:val="0"/>
          <w:position w:val="0"/>
          <w:sz w:val="21"/>
          <w:szCs w:val="21"/>
          <w:u w:val="single"/>
        </w:rPr>
        <w:t xml:space="preserve">                          </w:t>
      </w:r>
    </w:p>
    <w:p w14:paraId="3C7D816C">
      <w:pPr>
        <w:keepNext w:val="0"/>
        <w:keepLines w:val="0"/>
        <w:pageBreakBefore w:val="0"/>
        <w:widowControl w:val="0"/>
        <w:kinsoku/>
        <w:wordWrap w:val="0"/>
        <w:overflowPunct/>
        <w:topLinePunct/>
        <w:autoSpaceDE/>
        <w:autoSpaceDN/>
        <w:bidi w:val="0"/>
        <w:adjustRightInd/>
        <w:snapToGrid/>
        <w:spacing w:line="420"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委托代理人：</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w:t>
      </w:r>
    </w:p>
    <w:p w14:paraId="572BC8A3">
      <w:pPr>
        <w:keepNext w:val="0"/>
        <w:keepLines w:val="0"/>
        <w:pageBreakBefore w:val="0"/>
        <w:widowControl w:val="0"/>
        <w:kinsoku/>
        <w:wordWrap w:val="0"/>
        <w:overflowPunct/>
        <w:topLinePunct/>
        <w:autoSpaceDE/>
        <w:autoSpaceDN/>
        <w:bidi w:val="0"/>
        <w:adjustRightInd/>
        <w:snapToGrid/>
        <w:spacing w:line="420"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身份证号码：</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u w:val="single"/>
        </w:rPr>
        <w:t xml:space="preserve">            </w:t>
      </w:r>
    </w:p>
    <w:p w14:paraId="76A2E8EA">
      <w:pPr>
        <w:keepNext w:val="0"/>
        <w:keepLines w:val="0"/>
        <w:pageBreakBefore w:val="0"/>
        <w:widowControl w:val="0"/>
        <w:kinsoku/>
        <w:wordWrap w:val="0"/>
        <w:overflowPunct/>
        <w:topLinePunct/>
        <w:autoSpaceDE/>
        <w:autoSpaceDN/>
        <w:bidi w:val="0"/>
        <w:adjustRightInd/>
        <w:snapToGrid/>
        <w:spacing w:line="420" w:lineRule="auto"/>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      期：     年    月    日</w:t>
      </w:r>
    </w:p>
    <w:p w14:paraId="44CA6F9D">
      <w:pPr>
        <w:pageBreakBefore w:val="0"/>
        <w:wordWrap w:val="0"/>
        <w:overflowPunct/>
        <w:topLinePunct/>
        <w:autoSpaceDE/>
        <w:autoSpaceDN/>
        <w:bidi w:val="0"/>
        <w:rPr>
          <w:rFonts w:hint="eastAsia" w:ascii="宋体" w:hAnsi="宋体" w:eastAsia="宋体" w:cs="宋体"/>
          <w:color w:val="auto"/>
          <w:spacing w:val="0"/>
          <w:position w:val="0"/>
          <w:sz w:val="28"/>
        </w:rPr>
      </w:pPr>
      <w:r>
        <w:rPr>
          <w:rFonts w:hint="eastAsia" w:ascii="宋体" w:hAnsi="宋体" w:eastAsia="宋体" w:cs="宋体"/>
          <w:color w:val="auto"/>
          <w:spacing w:val="0"/>
          <w:position w:val="0"/>
          <w:sz w:val="28"/>
        </w:rPr>
        <w:br w:type="page"/>
      </w:r>
    </w:p>
    <w:p w14:paraId="3969BC9D">
      <w:pPr>
        <w:pStyle w:val="3"/>
        <w:pageBreakBefore w:val="0"/>
        <w:wordWrap w:val="0"/>
        <w:overflowPunct/>
        <w:topLinePunct/>
        <w:autoSpaceDE/>
        <w:autoSpaceDN/>
        <w:bidi w:val="0"/>
        <w:rPr>
          <w:rFonts w:hint="eastAsia" w:ascii="宋体" w:hAnsi="宋体" w:eastAsia="宋体" w:cs="宋体"/>
          <w:color w:val="auto"/>
          <w:spacing w:val="0"/>
          <w:position w:val="0"/>
        </w:rPr>
      </w:pPr>
      <w:bookmarkStart w:id="94" w:name="_Toc8275"/>
      <w:r>
        <w:rPr>
          <w:rFonts w:hint="eastAsia" w:ascii="宋体" w:hAnsi="宋体" w:eastAsia="宋体" w:cs="宋体"/>
          <w:color w:val="auto"/>
          <w:spacing w:val="0"/>
          <w:position w:val="0"/>
          <w:lang w:val="en-US" w:eastAsia="zh-CN"/>
        </w:rPr>
        <w:t>五</w:t>
      </w:r>
      <w:r>
        <w:rPr>
          <w:rFonts w:hint="eastAsia" w:ascii="宋体" w:hAnsi="宋体" w:eastAsia="宋体" w:cs="宋体"/>
          <w:color w:val="auto"/>
          <w:spacing w:val="0"/>
          <w:position w:val="0"/>
        </w:rPr>
        <w:t>、</w:t>
      </w:r>
      <w:r>
        <w:rPr>
          <w:rFonts w:hint="eastAsia" w:ascii="宋体" w:hAnsi="宋体" w:eastAsia="宋体" w:cs="宋体"/>
          <w:color w:val="auto"/>
          <w:spacing w:val="0"/>
          <w:position w:val="0"/>
          <w:lang w:eastAsia="zh-CN"/>
        </w:rPr>
        <w:t>供应商</w:t>
      </w:r>
      <w:r>
        <w:rPr>
          <w:rFonts w:hint="eastAsia" w:ascii="宋体" w:hAnsi="宋体" w:eastAsia="宋体" w:cs="宋体"/>
          <w:color w:val="auto"/>
          <w:spacing w:val="0"/>
          <w:position w:val="0"/>
        </w:rPr>
        <w:t>承诺函</w:t>
      </w:r>
      <w:bookmarkEnd w:id="94"/>
    </w:p>
    <w:p w14:paraId="0ACE67FA">
      <w:pPr>
        <w:pStyle w:val="4"/>
        <w:pageBreakBefore w:val="0"/>
        <w:wordWrap w:val="0"/>
        <w:overflowPunct/>
        <w:topLinePunct/>
        <w:autoSpaceDE/>
        <w:autoSpaceDN/>
        <w:bidi w:val="0"/>
        <w:jc w:val="center"/>
        <w:rPr>
          <w:rFonts w:hint="eastAsia" w:ascii="宋体" w:hAnsi="宋体" w:eastAsia="宋体" w:cs="宋体"/>
          <w:color w:val="auto"/>
          <w:spacing w:val="0"/>
          <w:position w:val="0"/>
          <w:sz w:val="24"/>
          <w:szCs w:val="24"/>
        </w:rPr>
      </w:pPr>
      <w:bookmarkStart w:id="95" w:name="_Toc23604"/>
      <w:bookmarkStart w:id="96" w:name="_Toc5692"/>
      <w:bookmarkStart w:id="97" w:name="_Toc18887"/>
      <w:bookmarkStart w:id="98" w:name="_Toc20897"/>
      <w:bookmarkStart w:id="99" w:name="_Toc22292"/>
      <w:r>
        <w:rPr>
          <w:rFonts w:hint="eastAsia" w:ascii="宋体" w:hAnsi="宋体" w:eastAsia="宋体" w:cs="宋体"/>
          <w:color w:val="auto"/>
          <w:spacing w:val="0"/>
          <w:position w:val="0"/>
          <w:sz w:val="24"/>
          <w:szCs w:val="24"/>
        </w:rPr>
        <w:t>1.投标承诺函</w:t>
      </w:r>
      <w:bookmarkEnd w:id="95"/>
      <w:bookmarkEnd w:id="96"/>
      <w:bookmarkEnd w:id="97"/>
      <w:bookmarkEnd w:id="98"/>
      <w:bookmarkEnd w:id="99"/>
    </w:p>
    <w:p w14:paraId="40711CAB">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致</w:t>
      </w:r>
      <w:r>
        <w:rPr>
          <w:rFonts w:hint="eastAsia"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rPr>
        <w:t>（采购人或采购代理机构）：</w:t>
      </w:r>
    </w:p>
    <w:p w14:paraId="197C2E3F">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我公司作为本次采购项目的</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，根据</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要求，现郑重承诺如下：</w:t>
      </w:r>
    </w:p>
    <w:p w14:paraId="68FAD1A2">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一、具备《中华人民共和国政府采购法》第二十二条第一款和本项目规定的条件。</w:t>
      </w:r>
    </w:p>
    <w:p w14:paraId="3F33AF7B">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二、完全接受和满足本项目</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中规定的实质性要求，如对</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有异议，已经在投标截止时间届满前依法进行维权救济，不存在对</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有异议的同时又参加投标以求侥幸中标或者为实现其他非法目的的行为。</w:t>
      </w:r>
    </w:p>
    <w:p w14:paraId="70C5DFE5">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三、参加本次招标采购活动，不存在和其他</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在同一合同项下的采购项目中，同时委托同一个自然人、同一家庭的人员、同一单位的人员作为代理人的行为。</w:t>
      </w:r>
    </w:p>
    <w:p w14:paraId="184AC7B5">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四</w:t>
      </w:r>
      <w:r>
        <w:rPr>
          <w:rFonts w:hint="eastAsia" w:ascii="宋体" w:hAnsi="宋体" w:eastAsia="宋体" w:cs="宋体"/>
          <w:color w:val="auto"/>
          <w:spacing w:val="0"/>
          <w:position w:val="0"/>
          <w:sz w:val="21"/>
          <w:szCs w:val="21"/>
        </w:rPr>
        <w:t>、</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中提供的能够给予我公司带来优惠、好处的任何材料资料和技术、服务、商务等响应承诺情况都是真实的、有效的、合法的。</w:t>
      </w:r>
    </w:p>
    <w:p w14:paraId="3F574E00">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五</w:t>
      </w:r>
      <w:r>
        <w:rPr>
          <w:rFonts w:hint="eastAsia" w:ascii="宋体" w:hAnsi="宋体" w:eastAsia="宋体" w:cs="宋体"/>
          <w:color w:val="auto"/>
          <w:spacing w:val="0"/>
          <w:position w:val="0"/>
          <w:sz w:val="21"/>
          <w:szCs w:val="21"/>
        </w:rPr>
        <w:t>、存在以下行为之一的愿意接受相关部门的处理：</w:t>
      </w:r>
    </w:p>
    <w:p w14:paraId="5079C97E">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（一）</w:t>
      </w:r>
      <w:r>
        <w:rPr>
          <w:rFonts w:hint="eastAsia" w:ascii="宋体" w:hAnsi="宋体" w:eastAsia="宋体" w:cs="宋体"/>
          <w:color w:val="auto"/>
          <w:spacing w:val="0"/>
          <w:position w:val="0"/>
          <w:sz w:val="21"/>
          <w:szCs w:val="21"/>
          <w:lang w:eastAsia="zh-CN"/>
        </w:rPr>
        <w:t>磋商有效期</w:t>
      </w:r>
      <w:r>
        <w:rPr>
          <w:rFonts w:hint="eastAsia" w:ascii="宋体" w:hAnsi="宋体" w:eastAsia="宋体" w:cs="宋体"/>
          <w:color w:val="auto"/>
          <w:spacing w:val="0"/>
          <w:position w:val="0"/>
          <w:sz w:val="21"/>
          <w:szCs w:val="21"/>
        </w:rPr>
        <w:t>内撤销</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的；</w:t>
      </w:r>
    </w:p>
    <w:p w14:paraId="64ABA17F">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（二）在采购人确定</w:t>
      </w:r>
      <w:r>
        <w:rPr>
          <w:rFonts w:hint="eastAsia" w:ascii="宋体" w:hAnsi="宋体" w:eastAsia="宋体" w:cs="宋体"/>
          <w:color w:val="auto"/>
          <w:spacing w:val="0"/>
          <w:position w:val="0"/>
          <w:sz w:val="21"/>
          <w:szCs w:val="21"/>
          <w:lang w:eastAsia="zh-CN"/>
        </w:rPr>
        <w:t>成交人</w:t>
      </w:r>
      <w:r>
        <w:rPr>
          <w:rFonts w:hint="eastAsia" w:ascii="宋体" w:hAnsi="宋体" w:eastAsia="宋体" w:cs="宋体"/>
          <w:color w:val="auto"/>
          <w:spacing w:val="0"/>
          <w:position w:val="0"/>
          <w:sz w:val="21"/>
          <w:szCs w:val="21"/>
        </w:rPr>
        <w:t>以前放弃中标候选资格的；</w:t>
      </w:r>
    </w:p>
    <w:p w14:paraId="091DCF0B">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（三）由于</w:t>
      </w:r>
      <w:r>
        <w:rPr>
          <w:rFonts w:hint="eastAsia" w:ascii="宋体" w:hAnsi="宋体" w:eastAsia="宋体" w:cs="宋体"/>
          <w:color w:val="auto"/>
          <w:spacing w:val="0"/>
          <w:position w:val="0"/>
          <w:sz w:val="21"/>
          <w:szCs w:val="21"/>
          <w:lang w:eastAsia="zh-CN"/>
        </w:rPr>
        <w:t>成交人</w:t>
      </w:r>
      <w:r>
        <w:rPr>
          <w:rFonts w:hint="eastAsia" w:ascii="宋体" w:hAnsi="宋体" w:eastAsia="宋体" w:cs="宋体"/>
          <w:color w:val="auto"/>
          <w:spacing w:val="0"/>
          <w:position w:val="0"/>
          <w:sz w:val="21"/>
          <w:szCs w:val="21"/>
        </w:rPr>
        <w:t>的原因未能按照</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的规定与采购人签订合同；</w:t>
      </w:r>
    </w:p>
    <w:p w14:paraId="4237573B">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（四）在</w:t>
      </w:r>
      <w:r>
        <w:rPr>
          <w:rFonts w:hint="eastAsia" w:ascii="宋体" w:hAnsi="宋体" w:eastAsia="宋体" w:cs="宋体"/>
          <w:color w:val="auto"/>
          <w:spacing w:val="0"/>
          <w:position w:val="0"/>
          <w:sz w:val="21"/>
          <w:szCs w:val="21"/>
          <w:lang w:eastAsia="zh-CN"/>
        </w:rPr>
        <w:t>响应文件</w:t>
      </w:r>
      <w:r>
        <w:rPr>
          <w:rFonts w:hint="eastAsia" w:ascii="宋体" w:hAnsi="宋体" w:eastAsia="宋体" w:cs="宋体"/>
          <w:color w:val="auto"/>
          <w:spacing w:val="0"/>
          <w:position w:val="0"/>
          <w:sz w:val="21"/>
          <w:szCs w:val="21"/>
        </w:rPr>
        <w:t>中提供虚假材料谋取中标；</w:t>
      </w:r>
    </w:p>
    <w:p w14:paraId="20F5A25D">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（五）与采购人、其他</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或者采购代理机构恶意串通的；</w:t>
      </w:r>
    </w:p>
    <w:p w14:paraId="4CBA3A2F">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（六）</w:t>
      </w:r>
      <w:r>
        <w:rPr>
          <w:rFonts w:hint="eastAsia" w:ascii="宋体" w:hAnsi="宋体" w:eastAsia="宋体" w:cs="宋体"/>
          <w:color w:val="auto"/>
          <w:spacing w:val="0"/>
          <w:position w:val="0"/>
          <w:sz w:val="21"/>
          <w:szCs w:val="21"/>
          <w:lang w:eastAsia="zh-CN"/>
        </w:rPr>
        <w:t>磋商有效期</w:t>
      </w:r>
      <w:r>
        <w:rPr>
          <w:rFonts w:hint="eastAsia" w:ascii="宋体" w:hAnsi="宋体" w:eastAsia="宋体" w:cs="宋体"/>
          <w:color w:val="auto"/>
          <w:spacing w:val="0"/>
          <w:position w:val="0"/>
          <w:sz w:val="21"/>
          <w:szCs w:val="21"/>
        </w:rPr>
        <w:t>内，</w:t>
      </w: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在政府采购活动中有违法、违规、违纪行为。</w:t>
      </w:r>
    </w:p>
    <w:p w14:paraId="30C670D6">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由此产生的一切法律后果和责任由我公司承担。我公司声明放弃对此提出任何异议和追索的权利。</w:t>
      </w:r>
    </w:p>
    <w:p w14:paraId="2F7F66C8">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本公司对上述承诺的内容事项真实性负责。如经查实上述承诺的内容事项存在虚假，我公司愿意接受以提供虚假材料谋取中标追究法律责任。</w:t>
      </w:r>
    </w:p>
    <w:p w14:paraId="65D53823">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textAlignment w:val="auto"/>
        <w:rPr>
          <w:rFonts w:hint="eastAsia" w:ascii="宋体" w:hAnsi="宋体" w:eastAsia="宋体" w:cs="宋体"/>
          <w:color w:val="auto"/>
          <w:spacing w:val="0"/>
          <w:position w:val="0"/>
          <w:sz w:val="21"/>
          <w:szCs w:val="21"/>
        </w:rPr>
      </w:pPr>
    </w:p>
    <w:p w14:paraId="16D1303E">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65"/>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6D508468">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65"/>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法定代表人或授权代表（</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w:t>
      </w:r>
    </w:p>
    <w:p w14:paraId="1EDE9F9B">
      <w:pPr>
        <w:pStyle w:val="41"/>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0"/>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     期：</w:t>
      </w:r>
    </w:p>
    <w:p w14:paraId="56BACC9E">
      <w:pPr>
        <w:pageBreakBefore w:val="0"/>
        <w:widowControl/>
        <w:wordWrap w:val="0"/>
        <w:overflowPunct/>
        <w:topLinePunct/>
        <w:autoSpaceDE/>
        <w:autoSpaceDN/>
        <w:bidi w:val="0"/>
        <w:jc w:val="left"/>
        <w:rPr>
          <w:rFonts w:hint="eastAsia" w:ascii="宋体" w:hAnsi="宋体" w:eastAsia="宋体" w:cs="宋体"/>
          <w:b/>
          <w:color w:val="auto"/>
          <w:spacing w:val="0"/>
          <w:position w:val="0"/>
        </w:rPr>
      </w:pPr>
      <w:r>
        <w:rPr>
          <w:rFonts w:hint="eastAsia" w:ascii="宋体" w:hAnsi="宋体" w:eastAsia="宋体" w:cs="宋体"/>
          <w:b/>
          <w:color w:val="auto"/>
          <w:spacing w:val="0"/>
          <w:position w:val="0"/>
        </w:rPr>
        <w:br w:type="page"/>
      </w:r>
    </w:p>
    <w:p w14:paraId="09C20F50">
      <w:pPr>
        <w:pStyle w:val="4"/>
        <w:pageBreakBefore w:val="0"/>
        <w:wordWrap w:val="0"/>
        <w:overflowPunct/>
        <w:topLinePunct/>
        <w:autoSpaceDE/>
        <w:autoSpaceDN/>
        <w:bidi w:val="0"/>
        <w:jc w:val="center"/>
        <w:rPr>
          <w:rFonts w:hint="eastAsia" w:ascii="宋体" w:hAnsi="宋体" w:eastAsia="宋体" w:cs="宋体"/>
          <w:color w:val="auto"/>
          <w:spacing w:val="0"/>
          <w:position w:val="0"/>
          <w:sz w:val="24"/>
          <w:szCs w:val="24"/>
        </w:rPr>
      </w:pPr>
      <w:bookmarkStart w:id="100" w:name="_Toc22391"/>
      <w:bookmarkStart w:id="101" w:name="_Toc3282"/>
      <w:bookmarkStart w:id="102" w:name="_Toc31050"/>
      <w:bookmarkStart w:id="103" w:name="_Toc32457"/>
      <w:bookmarkStart w:id="104" w:name="_Toc3625"/>
      <w:r>
        <w:rPr>
          <w:rFonts w:hint="eastAsia" w:ascii="宋体" w:hAnsi="宋体" w:eastAsia="宋体" w:cs="宋体"/>
          <w:color w:val="auto"/>
          <w:spacing w:val="0"/>
          <w:position w:val="0"/>
          <w:sz w:val="24"/>
          <w:szCs w:val="24"/>
        </w:rPr>
        <w:t>2.招标代理服务费承诺函</w:t>
      </w:r>
      <w:bookmarkEnd w:id="100"/>
      <w:bookmarkEnd w:id="101"/>
      <w:bookmarkEnd w:id="102"/>
      <w:bookmarkEnd w:id="103"/>
      <w:bookmarkEnd w:id="104"/>
    </w:p>
    <w:p w14:paraId="33E2DA08">
      <w:pPr>
        <w:pStyle w:val="41"/>
        <w:pageBreakBefore w:val="0"/>
        <w:wordWrap w:val="0"/>
        <w:overflowPunct/>
        <w:topLinePunct/>
        <w:autoSpaceDE/>
        <w:autoSpaceDN/>
        <w:bidi w:val="0"/>
        <w:spacing w:before="0" w:beforeAutospacing="0" w:after="0" w:afterAutospacing="0" w:line="480" w:lineRule="auto"/>
        <w:jc w:val="both"/>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致</w:t>
      </w:r>
      <w:r>
        <w:rPr>
          <w:rFonts w:hint="eastAsia" w:cs="宋体"/>
          <w:color w:val="auto"/>
          <w:spacing w:val="0"/>
          <w:position w:val="0"/>
          <w:sz w:val="21"/>
          <w:szCs w:val="21"/>
          <w:u w:val="single"/>
          <w:lang w:val="en-US" w:eastAsia="zh-CN"/>
        </w:rPr>
        <w:t xml:space="preserve">            </w:t>
      </w:r>
      <w:r>
        <w:rPr>
          <w:rFonts w:hint="eastAsia" w:ascii="宋体" w:hAnsi="宋体" w:eastAsia="宋体" w:cs="宋体"/>
          <w:color w:val="auto"/>
          <w:spacing w:val="0"/>
          <w:position w:val="0"/>
          <w:sz w:val="21"/>
          <w:szCs w:val="21"/>
        </w:rPr>
        <w:t>（采购人或采购代理机构）：</w:t>
      </w:r>
    </w:p>
    <w:p w14:paraId="5C0421D6">
      <w:pPr>
        <w:pStyle w:val="41"/>
        <w:pageBreakBefore w:val="0"/>
        <w:wordWrap w:val="0"/>
        <w:overflowPunct/>
        <w:topLinePunct/>
        <w:autoSpaceDE/>
        <w:autoSpaceDN/>
        <w:bidi w:val="0"/>
        <w:spacing w:before="0" w:beforeAutospacing="0" w:after="0" w:afterAutospacing="0" w:line="480" w:lineRule="auto"/>
        <w:ind w:firstLine="480"/>
        <w:jc w:val="both"/>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我们在贵公司组织的（</w:t>
      </w:r>
      <w:r>
        <w:rPr>
          <w:rFonts w:hint="eastAsia" w:ascii="宋体" w:hAnsi="宋体" w:eastAsia="宋体" w:cs="宋体"/>
          <w:color w:val="auto"/>
          <w:spacing w:val="0"/>
          <w:position w:val="0"/>
          <w:sz w:val="21"/>
          <w:szCs w:val="21"/>
          <w:u w:val="single"/>
        </w:rPr>
        <w:t xml:space="preserve">项目名称：     ，采购编号：      </w:t>
      </w:r>
      <w:r>
        <w:rPr>
          <w:rFonts w:hint="eastAsia" w:ascii="宋体" w:hAnsi="宋体" w:eastAsia="宋体" w:cs="宋体"/>
          <w:color w:val="auto"/>
          <w:spacing w:val="0"/>
          <w:position w:val="0"/>
          <w:sz w:val="21"/>
          <w:szCs w:val="21"/>
        </w:rPr>
        <w:t>）招标中若获中标，我们保证在</w:t>
      </w:r>
      <w:r>
        <w:rPr>
          <w:rFonts w:hint="eastAsia" w:ascii="宋体" w:hAnsi="宋体" w:eastAsia="宋体" w:cs="宋体"/>
          <w:color w:val="auto"/>
          <w:spacing w:val="0"/>
          <w:position w:val="0"/>
          <w:sz w:val="21"/>
          <w:szCs w:val="21"/>
          <w:lang w:eastAsia="zh-CN"/>
        </w:rPr>
        <w:t>成交公告</w:t>
      </w:r>
      <w:r>
        <w:rPr>
          <w:rFonts w:hint="eastAsia" w:ascii="宋体" w:hAnsi="宋体" w:eastAsia="宋体" w:cs="宋体"/>
          <w:color w:val="auto"/>
          <w:spacing w:val="0"/>
          <w:position w:val="0"/>
          <w:sz w:val="21"/>
          <w:szCs w:val="21"/>
        </w:rPr>
        <w:t>发布后5个工作日内，按</w:t>
      </w:r>
      <w:r>
        <w:rPr>
          <w:rFonts w:hint="eastAsia" w:ascii="宋体" w:hAnsi="宋体" w:eastAsia="宋体" w:cs="宋体"/>
          <w:color w:val="auto"/>
          <w:spacing w:val="0"/>
          <w:position w:val="0"/>
          <w:sz w:val="21"/>
          <w:szCs w:val="21"/>
          <w:lang w:eastAsia="zh-CN"/>
        </w:rPr>
        <w:t>磋商文件</w:t>
      </w:r>
      <w:r>
        <w:rPr>
          <w:rFonts w:hint="eastAsia" w:ascii="宋体" w:hAnsi="宋体" w:eastAsia="宋体" w:cs="宋体"/>
          <w:color w:val="auto"/>
          <w:spacing w:val="0"/>
          <w:position w:val="0"/>
          <w:sz w:val="21"/>
          <w:szCs w:val="21"/>
        </w:rPr>
        <w:t>的规定，以银行转账或现金，向贵公司一次性支付招标代理服务费用。否则，由此产生的一切法律后果和责任由我公司承担。我公司声明放弃对此提出任何异议和追索的权利。</w:t>
      </w:r>
    </w:p>
    <w:p w14:paraId="123778DC">
      <w:pPr>
        <w:pStyle w:val="41"/>
        <w:pageBreakBefore w:val="0"/>
        <w:wordWrap w:val="0"/>
        <w:overflowPunct/>
        <w:topLinePunct/>
        <w:autoSpaceDE/>
        <w:autoSpaceDN/>
        <w:bidi w:val="0"/>
        <w:spacing w:before="0" w:beforeAutospacing="0" w:after="0" w:afterAutospacing="0" w:line="480" w:lineRule="auto"/>
        <w:jc w:val="both"/>
        <w:rPr>
          <w:rFonts w:hint="eastAsia" w:ascii="宋体" w:hAnsi="宋体" w:eastAsia="宋体" w:cs="宋体"/>
          <w:color w:val="auto"/>
          <w:spacing w:val="0"/>
          <w:position w:val="0"/>
          <w:sz w:val="21"/>
          <w:szCs w:val="21"/>
        </w:rPr>
      </w:pPr>
    </w:p>
    <w:p w14:paraId="20E3FC23">
      <w:pPr>
        <w:pStyle w:val="41"/>
        <w:pageBreakBefore w:val="0"/>
        <w:wordWrap w:val="0"/>
        <w:overflowPunct/>
        <w:topLinePunct/>
        <w:autoSpaceDE/>
        <w:autoSpaceDN/>
        <w:bidi w:val="0"/>
        <w:spacing w:before="0" w:beforeAutospacing="0" w:after="0" w:afterAutospacing="0" w:line="480" w:lineRule="auto"/>
        <w:ind w:firstLine="420" w:firstLineChars="200"/>
        <w:jc w:val="both"/>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特此承诺。</w:t>
      </w:r>
    </w:p>
    <w:p w14:paraId="78BBC153">
      <w:pPr>
        <w:pStyle w:val="41"/>
        <w:pageBreakBefore w:val="0"/>
        <w:wordWrap w:val="0"/>
        <w:overflowPunct/>
        <w:topLinePunct/>
        <w:autoSpaceDE/>
        <w:autoSpaceDN/>
        <w:bidi w:val="0"/>
        <w:spacing w:before="0" w:beforeAutospacing="0" w:after="0" w:afterAutospacing="0" w:line="480" w:lineRule="auto"/>
        <w:jc w:val="both"/>
        <w:rPr>
          <w:rFonts w:hint="eastAsia" w:ascii="宋体" w:hAnsi="宋体" w:eastAsia="宋体" w:cs="宋体"/>
          <w:color w:val="auto"/>
          <w:spacing w:val="0"/>
          <w:position w:val="0"/>
          <w:sz w:val="21"/>
          <w:szCs w:val="21"/>
        </w:rPr>
      </w:pPr>
    </w:p>
    <w:p w14:paraId="4B28EFE2">
      <w:pPr>
        <w:pStyle w:val="41"/>
        <w:pageBreakBefore w:val="0"/>
        <w:wordWrap w:val="0"/>
        <w:overflowPunct/>
        <w:topLinePunct/>
        <w:autoSpaceDE/>
        <w:autoSpaceDN/>
        <w:bidi w:val="0"/>
        <w:spacing w:before="0" w:beforeAutospacing="0" w:after="0" w:afterAutospacing="0" w:line="480" w:lineRule="auto"/>
        <w:jc w:val="both"/>
        <w:rPr>
          <w:rFonts w:hint="eastAsia" w:ascii="宋体" w:hAnsi="宋体" w:eastAsia="宋体" w:cs="宋体"/>
          <w:color w:val="auto"/>
          <w:spacing w:val="0"/>
          <w:position w:val="0"/>
          <w:sz w:val="21"/>
          <w:szCs w:val="21"/>
        </w:rPr>
      </w:pPr>
    </w:p>
    <w:p w14:paraId="30A6A116">
      <w:pPr>
        <w:pStyle w:val="41"/>
        <w:pageBreakBefore w:val="0"/>
        <w:wordWrap w:val="0"/>
        <w:overflowPunct/>
        <w:topLinePunct/>
        <w:autoSpaceDE/>
        <w:autoSpaceDN/>
        <w:bidi w:val="0"/>
        <w:spacing w:before="0" w:beforeAutospacing="0" w:after="0" w:afterAutospacing="0" w:line="480" w:lineRule="auto"/>
        <w:jc w:val="both"/>
        <w:rPr>
          <w:rFonts w:hint="eastAsia" w:ascii="宋体" w:hAnsi="宋体" w:eastAsia="宋体" w:cs="宋体"/>
          <w:color w:val="auto"/>
          <w:spacing w:val="0"/>
          <w:position w:val="0"/>
          <w:sz w:val="21"/>
          <w:szCs w:val="21"/>
        </w:rPr>
      </w:pPr>
    </w:p>
    <w:p w14:paraId="12B07D3D">
      <w:pPr>
        <w:pStyle w:val="41"/>
        <w:pageBreakBefore w:val="0"/>
        <w:wordWrap w:val="0"/>
        <w:overflowPunct/>
        <w:topLinePunct/>
        <w:autoSpaceDE/>
        <w:autoSpaceDN/>
        <w:bidi w:val="0"/>
        <w:spacing w:before="0" w:beforeAutospacing="0" w:after="0" w:afterAutospacing="0" w:line="480" w:lineRule="auto"/>
        <w:jc w:val="both"/>
        <w:rPr>
          <w:rFonts w:hint="eastAsia" w:ascii="宋体" w:hAnsi="宋体" w:eastAsia="宋体" w:cs="宋体"/>
          <w:color w:val="auto"/>
          <w:spacing w:val="0"/>
          <w:position w:val="0"/>
          <w:sz w:val="21"/>
          <w:szCs w:val="21"/>
        </w:rPr>
      </w:pPr>
    </w:p>
    <w:p w14:paraId="23BFA3DD">
      <w:pPr>
        <w:pStyle w:val="41"/>
        <w:pageBreakBefore w:val="0"/>
        <w:wordWrap w:val="0"/>
        <w:overflowPunct/>
        <w:topLinePunct/>
        <w:autoSpaceDE/>
        <w:autoSpaceDN/>
        <w:bidi w:val="0"/>
        <w:spacing w:before="0" w:beforeAutospacing="0" w:after="0" w:afterAutospacing="0" w:line="480" w:lineRule="auto"/>
        <w:ind w:firstLine="465"/>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0D87365E">
      <w:pPr>
        <w:pStyle w:val="41"/>
        <w:pageBreakBefore w:val="0"/>
        <w:wordWrap w:val="0"/>
        <w:overflowPunct/>
        <w:topLinePunct/>
        <w:autoSpaceDE/>
        <w:autoSpaceDN/>
        <w:bidi w:val="0"/>
        <w:spacing w:before="0" w:beforeAutospacing="0" w:after="0" w:afterAutospacing="0" w:line="480" w:lineRule="auto"/>
        <w:ind w:firstLine="465"/>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法定代表人或授权代表（</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w:t>
      </w:r>
    </w:p>
    <w:p w14:paraId="563D8201">
      <w:pPr>
        <w:pStyle w:val="41"/>
        <w:pageBreakBefore w:val="0"/>
        <w:wordWrap w:val="0"/>
        <w:overflowPunct/>
        <w:topLinePunct/>
        <w:autoSpaceDE/>
        <w:autoSpaceDN/>
        <w:bidi w:val="0"/>
        <w:spacing w:before="0" w:beforeAutospacing="0" w:after="0" w:afterAutospacing="0" w:line="480" w:lineRule="auto"/>
        <w:ind w:firstLine="480"/>
        <w:jc w:val="both"/>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     期：</w:t>
      </w:r>
    </w:p>
    <w:p w14:paraId="430E32B4">
      <w:pPr>
        <w:pStyle w:val="41"/>
        <w:pageBreakBefore w:val="0"/>
        <w:wordWrap w:val="0"/>
        <w:overflowPunct/>
        <w:topLinePunct/>
        <w:autoSpaceDE/>
        <w:autoSpaceDN/>
        <w:bidi w:val="0"/>
        <w:spacing w:before="0" w:beforeAutospacing="0" w:after="0" w:afterAutospacing="0" w:line="360" w:lineRule="auto"/>
        <w:jc w:val="both"/>
        <w:rPr>
          <w:rFonts w:hint="eastAsia" w:ascii="宋体" w:hAnsi="宋体" w:eastAsia="宋体" w:cs="宋体"/>
          <w:color w:val="auto"/>
          <w:spacing w:val="0"/>
          <w:position w:val="0"/>
          <w:sz w:val="26"/>
          <w:szCs w:val="26"/>
        </w:rPr>
      </w:pPr>
    </w:p>
    <w:p w14:paraId="1484E8C9">
      <w:pPr>
        <w:pageBreakBefore w:val="0"/>
        <w:wordWrap w:val="0"/>
        <w:overflowPunct/>
        <w:topLinePunct/>
        <w:autoSpaceDE/>
        <w:autoSpaceDN/>
        <w:bidi w:val="0"/>
        <w:rPr>
          <w:rFonts w:hint="eastAsia" w:ascii="宋体" w:hAnsi="宋体" w:eastAsia="宋体" w:cs="宋体"/>
          <w:color w:val="auto"/>
          <w:spacing w:val="0"/>
          <w:position w:val="0"/>
        </w:rPr>
      </w:pPr>
    </w:p>
    <w:p w14:paraId="6BD51195">
      <w:pPr>
        <w:pageBreakBefore w:val="0"/>
        <w:widowControl/>
        <w:wordWrap w:val="0"/>
        <w:overflowPunct/>
        <w:topLinePunct/>
        <w:autoSpaceDE/>
        <w:autoSpaceDN/>
        <w:bidi w:val="0"/>
        <w:jc w:val="left"/>
        <w:rPr>
          <w:rFonts w:hint="eastAsia" w:ascii="宋体" w:hAnsi="宋体" w:eastAsia="宋体" w:cs="宋体"/>
          <w:color w:val="auto"/>
          <w:spacing w:val="0"/>
          <w:position w:val="0"/>
        </w:rPr>
      </w:pPr>
      <w:r>
        <w:rPr>
          <w:rFonts w:hint="eastAsia" w:ascii="宋体" w:hAnsi="宋体" w:eastAsia="宋体" w:cs="宋体"/>
          <w:color w:val="auto"/>
          <w:spacing w:val="0"/>
          <w:position w:val="0"/>
        </w:rPr>
        <w:br w:type="page"/>
      </w:r>
    </w:p>
    <w:p w14:paraId="010641FF">
      <w:pPr>
        <w:pStyle w:val="3"/>
        <w:pageBreakBefore w:val="0"/>
        <w:wordWrap w:val="0"/>
        <w:overflowPunct/>
        <w:topLinePunct/>
        <w:autoSpaceDE/>
        <w:autoSpaceDN/>
        <w:bidi w:val="0"/>
        <w:ind w:left="420"/>
        <w:rPr>
          <w:rFonts w:hint="eastAsia" w:ascii="宋体" w:hAnsi="宋体" w:eastAsia="宋体" w:cs="宋体"/>
          <w:color w:val="auto"/>
          <w:spacing w:val="0"/>
          <w:position w:val="0"/>
          <w:lang w:val="en-US" w:eastAsia="zh-CN"/>
        </w:rPr>
      </w:pPr>
      <w:bookmarkStart w:id="105" w:name="_Toc16938"/>
      <w:r>
        <w:rPr>
          <w:rFonts w:hint="eastAsia" w:ascii="宋体" w:hAnsi="宋体" w:eastAsia="宋体" w:cs="宋体"/>
          <w:color w:val="auto"/>
          <w:spacing w:val="0"/>
          <w:position w:val="0"/>
          <w:lang w:val="en-US" w:eastAsia="zh-CN"/>
        </w:rPr>
        <w:t>六</w:t>
      </w:r>
      <w:r>
        <w:rPr>
          <w:rFonts w:hint="eastAsia" w:ascii="宋体" w:hAnsi="宋体" w:eastAsia="宋体" w:cs="宋体"/>
          <w:color w:val="auto"/>
          <w:spacing w:val="0"/>
          <w:position w:val="0"/>
          <w:lang w:eastAsia="zh-CN"/>
        </w:rPr>
        <w:t>、</w:t>
      </w:r>
      <w:r>
        <w:rPr>
          <w:rFonts w:hint="eastAsia" w:ascii="宋体" w:hAnsi="宋体" w:eastAsia="宋体" w:cs="宋体"/>
          <w:color w:val="auto"/>
          <w:spacing w:val="0"/>
          <w:position w:val="0"/>
          <w:lang w:val="en-US" w:eastAsia="zh-CN"/>
        </w:rPr>
        <w:t>已标价工程量清单</w:t>
      </w:r>
      <w:bookmarkEnd w:id="105"/>
    </w:p>
    <w:p w14:paraId="1A060AB9">
      <w:pPr>
        <w:pageBreakBefore w:val="0"/>
        <w:widowControl/>
        <w:wordWrap w:val="0"/>
        <w:overflowPunct/>
        <w:topLinePunct/>
        <w:autoSpaceDE/>
        <w:autoSpaceDN/>
        <w:bidi w:val="0"/>
        <w:jc w:val="left"/>
        <w:rPr>
          <w:rFonts w:hint="eastAsia" w:ascii="宋体" w:hAnsi="宋体" w:eastAsia="宋体" w:cs="宋体"/>
          <w:color w:val="auto"/>
          <w:spacing w:val="0"/>
          <w:position w:val="0"/>
        </w:rPr>
      </w:pPr>
    </w:p>
    <w:p w14:paraId="40EACAC0">
      <w:pPr>
        <w:pStyle w:val="24"/>
        <w:pageBreakBefore w:val="0"/>
        <w:wordWrap w:val="0"/>
        <w:overflowPunct/>
        <w:topLinePunct/>
        <w:autoSpaceDE/>
        <w:autoSpaceDN/>
        <w:bidi w:val="0"/>
        <w:rPr>
          <w:rFonts w:hint="eastAsia" w:ascii="宋体" w:hAnsi="宋体" w:eastAsia="宋体" w:cs="宋体"/>
          <w:color w:val="auto"/>
          <w:spacing w:val="0"/>
          <w:position w:val="0"/>
        </w:rPr>
      </w:pPr>
    </w:p>
    <w:p w14:paraId="33A7D5F4">
      <w:pPr>
        <w:pageBreakBefore w:val="0"/>
        <w:wordWrap w:val="0"/>
        <w:overflowPunct/>
        <w:topLinePunct/>
        <w:autoSpaceDE/>
        <w:autoSpaceDN/>
        <w:bidi w:val="0"/>
        <w:rPr>
          <w:rFonts w:hint="eastAsia" w:ascii="宋体" w:hAnsi="宋体" w:eastAsia="宋体" w:cs="宋体"/>
          <w:color w:val="auto"/>
          <w:spacing w:val="0"/>
          <w:position w:val="0"/>
        </w:rPr>
      </w:pPr>
    </w:p>
    <w:p w14:paraId="4988E108">
      <w:pPr>
        <w:pStyle w:val="24"/>
        <w:pageBreakBefore w:val="0"/>
        <w:wordWrap w:val="0"/>
        <w:overflowPunct/>
        <w:topLinePunct/>
        <w:autoSpaceDE/>
        <w:autoSpaceDN/>
        <w:bidi w:val="0"/>
        <w:rPr>
          <w:rFonts w:hint="eastAsia" w:ascii="宋体" w:hAnsi="宋体" w:eastAsia="宋体" w:cs="宋体"/>
          <w:color w:val="auto"/>
          <w:spacing w:val="0"/>
          <w:position w:val="0"/>
        </w:rPr>
      </w:pPr>
    </w:p>
    <w:p w14:paraId="4FE1394E">
      <w:pPr>
        <w:pStyle w:val="24"/>
        <w:pageBreakBefore w:val="0"/>
        <w:wordWrap w:val="0"/>
        <w:overflowPunct/>
        <w:topLinePunct/>
        <w:autoSpaceDE/>
        <w:autoSpaceDN/>
        <w:bidi w:val="0"/>
        <w:rPr>
          <w:rFonts w:hint="eastAsia" w:ascii="宋体" w:hAnsi="宋体" w:eastAsia="宋体" w:cs="宋体"/>
          <w:color w:val="auto"/>
          <w:spacing w:val="0"/>
          <w:position w:val="0"/>
        </w:rPr>
      </w:pPr>
    </w:p>
    <w:p w14:paraId="6F6753CA">
      <w:pPr>
        <w:pageBreakBefore w:val="0"/>
        <w:widowControl/>
        <w:wordWrap w:val="0"/>
        <w:overflowPunct/>
        <w:topLinePunct/>
        <w:autoSpaceDE/>
        <w:autoSpaceDN/>
        <w:bidi w:val="0"/>
        <w:jc w:val="left"/>
        <w:rPr>
          <w:rFonts w:hint="eastAsia" w:ascii="宋体" w:hAnsi="宋体" w:eastAsia="宋体" w:cs="宋体"/>
          <w:b/>
          <w:bCs/>
          <w:color w:val="auto"/>
          <w:spacing w:val="0"/>
          <w:position w:val="0"/>
          <w:sz w:val="28"/>
          <w:szCs w:val="32"/>
        </w:rPr>
      </w:pPr>
      <w:r>
        <w:rPr>
          <w:rFonts w:hint="eastAsia" w:ascii="宋体" w:hAnsi="宋体" w:eastAsia="宋体" w:cs="宋体"/>
          <w:color w:val="auto"/>
          <w:spacing w:val="0"/>
          <w:position w:val="0"/>
          <w:sz w:val="28"/>
        </w:rPr>
        <w:br w:type="page"/>
      </w:r>
    </w:p>
    <w:p w14:paraId="2C14CB0A">
      <w:pPr>
        <w:pStyle w:val="3"/>
        <w:pageBreakBefore w:val="0"/>
        <w:wordWrap w:val="0"/>
        <w:overflowPunct/>
        <w:topLinePunct/>
        <w:autoSpaceDE/>
        <w:autoSpaceDN/>
        <w:bidi w:val="0"/>
        <w:ind w:left="420"/>
        <w:rPr>
          <w:rFonts w:hint="eastAsia" w:ascii="宋体" w:hAnsi="宋体" w:eastAsia="宋体" w:cs="宋体"/>
          <w:color w:val="auto"/>
          <w:spacing w:val="0"/>
          <w:position w:val="0"/>
          <w:lang w:val="en-US" w:eastAsia="zh-CN"/>
        </w:rPr>
      </w:pPr>
      <w:bookmarkStart w:id="106" w:name="_Toc12455"/>
      <w:r>
        <w:rPr>
          <w:rFonts w:hint="eastAsia" w:ascii="宋体" w:hAnsi="宋体" w:eastAsia="宋体" w:cs="宋体"/>
          <w:color w:val="auto"/>
          <w:spacing w:val="0"/>
          <w:position w:val="0"/>
          <w:lang w:val="en-US" w:eastAsia="zh-CN"/>
        </w:rPr>
        <w:t>七、项目管理机构</w:t>
      </w:r>
      <w:bookmarkEnd w:id="106"/>
    </w:p>
    <w:p w14:paraId="7CE20274">
      <w:pPr>
        <w:pStyle w:val="4"/>
        <w:pageBreakBefore w:val="0"/>
        <w:wordWrap w:val="0"/>
        <w:overflowPunct/>
        <w:topLinePunct w:val="0"/>
        <w:autoSpaceDE/>
        <w:autoSpaceDN/>
        <w:bidi w:val="0"/>
        <w:spacing w:before="156" w:beforeLines="50" w:after="156" w:afterLines="50" w:line="360" w:lineRule="auto"/>
        <w:jc w:val="center"/>
        <w:textAlignment w:val="auto"/>
        <w:rPr>
          <w:rFonts w:hint="eastAsia" w:ascii="宋体" w:hAnsi="宋体" w:eastAsia="宋体" w:cs="宋体"/>
          <w:bCs/>
          <w:color w:val="auto"/>
          <w:spacing w:val="0"/>
          <w:position w:val="0"/>
          <w:sz w:val="24"/>
          <w:szCs w:val="24"/>
        </w:rPr>
      </w:pPr>
      <w:bookmarkStart w:id="107" w:name="_Toc75721406"/>
      <w:bookmarkStart w:id="108" w:name="_Toc352755762"/>
      <w:bookmarkStart w:id="109" w:name="_Toc2670986"/>
      <w:bookmarkStart w:id="110" w:name="_Toc352762586"/>
      <w:bookmarkStart w:id="111" w:name="_Toc383698888"/>
      <w:bookmarkStart w:id="112" w:name="_Toc350589458"/>
      <w:bookmarkStart w:id="113" w:name="_Toc75721294"/>
      <w:bookmarkStart w:id="114" w:name="_Toc8640582"/>
      <w:bookmarkStart w:id="115" w:name="_Toc2672930"/>
      <w:bookmarkStart w:id="116" w:name="_Toc20394"/>
      <w:bookmarkStart w:id="117" w:name="_Toc87802573"/>
      <w:bookmarkStart w:id="118" w:name="_Toc2670822"/>
      <w:bookmarkStart w:id="119" w:name="_Toc351053275"/>
      <w:bookmarkStart w:id="120" w:name="_Toc5710"/>
      <w:bookmarkStart w:id="121" w:name="_Toc18803"/>
      <w:bookmarkStart w:id="122" w:name="_Toc23512"/>
      <w:r>
        <w:rPr>
          <w:rFonts w:hint="eastAsia" w:ascii="宋体" w:hAnsi="宋体" w:eastAsia="宋体" w:cs="宋体"/>
          <w:bCs/>
          <w:color w:val="auto"/>
          <w:spacing w:val="0"/>
          <w:position w:val="0"/>
          <w:sz w:val="24"/>
          <w:szCs w:val="24"/>
        </w:rPr>
        <w:t>（一）</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Cs/>
          <w:color w:val="auto"/>
          <w:spacing w:val="0"/>
          <w:position w:val="0"/>
          <w:sz w:val="24"/>
          <w:szCs w:val="24"/>
        </w:rPr>
        <w:t>项目管理机构组成表</w:t>
      </w:r>
      <w:bookmarkEnd w:id="122"/>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89"/>
        <w:gridCol w:w="789"/>
        <w:gridCol w:w="1262"/>
        <w:gridCol w:w="858"/>
        <w:gridCol w:w="877"/>
        <w:gridCol w:w="946"/>
        <w:gridCol w:w="1866"/>
        <w:gridCol w:w="788"/>
      </w:tblGrid>
      <w:tr w14:paraId="42A7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vMerge w:val="restart"/>
            <w:noWrap w:val="0"/>
            <w:vAlign w:val="center"/>
          </w:tcPr>
          <w:p w14:paraId="0CE82607">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职务</w:t>
            </w:r>
          </w:p>
        </w:tc>
        <w:tc>
          <w:tcPr>
            <w:tcW w:w="789" w:type="dxa"/>
            <w:vMerge w:val="restart"/>
            <w:noWrap w:val="0"/>
            <w:vAlign w:val="center"/>
          </w:tcPr>
          <w:p w14:paraId="4F35F265">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姓名</w:t>
            </w:r>
          </w:p>
        </w:tc>
        <w:tc>
          <w:tcPr>
            <w:tcW w:w="789" w:type="dxa"/>
            <w:vMerge w:val="restart"/>
            <w:noWrap w:val="0"/>
            <w:vAlign w:val="center"/>
          </w:tcPr>
          <w:p w14:paraId="42C73B2A">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职称</w:t>
            </w:r>
          </w:p>
        </w:tc>
        <w:tc>
          <w:tcPr>
            <w:tcW w:w="5809" w:type="dxa"/>
            <w:gridSpan w:val="5"/>
            <w:noWrap w:val="0"/>
            <w:vAlign w:val="center"/>
          </w:tcPr>
          <w:p w14:paraId="0849227E">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执业或职业资格证明</w:t>
            </w:r>
          </w:p>
        </w:tc>
        <w:tc>
          <w:tcPr>
            <w:tcW w:w="788" w:type="dxa"/>
            <w:vMerge w:val="restart"/>
            <w:noWrap w:val="0"/>
            <w:vAlign w:val="center"/>
          </w:tcPr>
          <w:p w14:paraId="4F3D4FA0">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备注</w:t>
            </w:r>
          </w:p>
        </w:tc>
      </w:tr>
      <w:tr w14:paraId="2BEE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vMerge w:val="continue"/>
            <w:noWrap w:val="0"/>
            <w:vAlign w:val="center"/>
          </w:tcPr>
          <w:p w14:paraId="473A0622">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vMerge w:val="continue"/>
            <w:noWrap w:val="0"/>
            <w:vAlign w:val="center"/>
          </w:tcPr>
          <w:p w14:paraId="329D5C7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vMerge w:val="continue"/>
            <w:noWrap w:val="0"/>
            <w:vAlign w:val="center"/>
          </w:tcPr>
          <w:p w14:paraId="0321D89A">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1BAC6723">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证书名称</w:t>
            </w:r>
          </w:p>
        </w:tc>
        <w:tc>
          <w:tcPr>
            <w:tcW w:w="858" w:type="dxa"/>
            <w:noWrap w:val="0"/>
            <w:vAlign w:val="center"/>
          </w:tcPr>
          <w:p w14:paraId="05A561AD">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级别</w:t>
            </w:r>
          </w:p>
        </w:tc>
        <w:tc>
          <w:tcPr>
            <w:tcW w:w="877" w:type="dxa"/>
            <w:noWrap w:val="0"/>
            <w:vAlign w:val="center"/>
          </w:tcPr>
          <w:p w14:paraId="0FA2A3A4">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证号</w:t>
            </w:r>
          </w:p>
        </w:tc>
        <w:tc>
          <w:tcPr>
            <w:tcW w:w="946" w:type="dxa"/>
            <w:noWrap w:val="0"/>
            <w:vAlign w:val="center"/>
          </w:tcPr>
          <w:p w14:paraId="07935513">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专业</w:t>
            </w:r>
          </w:p>
        </w:tc>
        <w:tc>
          <w:tcPr>
            <w:tcW w:w="1866" w:type="dxa"/>
            <w:noWrap w:val="0"/>
            <w:vAlign w:val="center"/>
          </w:tcPr>
          <w:p w14:paraId="11E14276">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养老保险</w:t>
            </w:r>
          </w:p>
        </w:tc>
        <w:tc>
          <w:tcPr>
            <w:tcW w:w="788" w:type="dxa"/>
            <w:vMerge w:val="continue"/>
            <w:noWrap w:val="0"/>
            <w:vAlign w:val="center"/>
          </w:tcPr>
          <w:p w14:paraId="5607F3AA">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29E9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07B57DC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166DDDCD">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65590C6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1E78501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0D3279E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7291832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5FDAEA34">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27AE5F62">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112636CD">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4371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68D53F7A">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3D23705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7817AF6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5C36DA6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4E5A5E2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3FFF4852">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7F8CECF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0D50A2CD">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7009D254">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5135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27F95A1A">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3DF59B1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2279975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5D141E8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39EE3C40">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1A920C61">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30F6588D">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4F769EE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3DB847BB">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4735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412C42D1">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00EC785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603FAC4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1B3CC97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393EE84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17D09A2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568AF67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225523A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2E92BDDA">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3624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6218EDB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4F60857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08EC1B7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241B2FC0">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6C2F325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1E836D61">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751ED4B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4A6FC8B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48563769">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7702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3605A12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5F78231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78BC878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6D27760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06368CE4">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52E06CA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2203ABD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1192D4B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1F694FC5">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7B91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4250248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7056603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15B2976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4C3E8B64">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6A6FC8F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2402A25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52B4517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5B182F9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72801D81">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1760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33D1D97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071A870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207D50B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288E1B6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379F05E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6FB22BB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6F97B6E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0A9D3C2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39E2D0B9">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364A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1BCF50E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4F5C2474">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502A52F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2D0692B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4EA98A8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7C6871B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43374CE1">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6DAEE94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09D21ACE">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4D1B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4A5B4A0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5911C50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4F3D245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0BA78C11">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46A2D45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54D67E5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3BDA4BA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0E65E70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42E56960">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6510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04C0088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0B4E5DE1">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45A45CC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2BF5726D">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153EA204">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09B6E2A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044EC143">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1CB5D9D4">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04A5C515">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10B3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07F5317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5C64379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0593B62E">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5D95F24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7C34C3D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2516D00A">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6424B75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0D16201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777F314D">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2B17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2B3AE640">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349701D2">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36AC34E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36A06B9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0BC5A81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1781D3A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572F59F8">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7C0F7D27">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018AAFE9">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4C7B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9" w:type="dxa"/>
            <w:noWrap w:val="0"/>
            <w:vAlign w:val="center"/>
          </w:tcPr>
          <w:p w14:paraId="664F4C85">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78B6BE4F">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9" w:type="dxa"/>
            <w:noWrap w:val="0"/>
            <w:vAlign w:val="center"/>
          </w:tcPr>
          <w:p w14:paraId="68D8E14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262" w:type="dxa"/>
            <w:noWrap w:val="0"/>
            <w:vAlign w:val="center"/>
          </w:tcPr>
          <w:p w14:paraId="3270F03B">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58" w:type="dxa"/>
            <w:noWrap w:val="0"/>
            <w:vAlign w:val="center"/>
          </w:tcPr>
          <w:p w14:paraId="6C1949B6">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877" w:type="dxa"/>
            <w:noWrap w:val="0"/>
            <w:vAlign w:val="center"/>
          </w:tcPr>
          <w:p w14:paraId="009CEA6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946" w:type="dxa"/>
            <w:noWrap w:val="0"/>
            <w:vAlign w:val="center"/>
          </w:tcPr>
          <w:p w14:paraId="6E0532DC">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1866" w:type="dxa"/>
            <w:noWrap w:val="0"/>
            <w:vAlign w:val="center"/>
          </w:tcPr>
          <w:p w14:paraId="3B81AEC9">
            <w:pPr>
              <w:pageBreakBefore w:val="0"/>
              <w:wordWrap w:val="0"/>
              <w:topLinePunct w:val="0"/>
              <w:autoSpaceDE/>
              <w:autoSpaceDN/>
              <w:bidi w:val="0"/>
              <w:spacing w:after="0"/>
              <w:jc w:val="center"/>
              <w:textAlignment w:val="auto"/>
              <w:rPr>
                <w:rFonts w:hint="eastAsia" w:ascii="宋体" w:hAnsi="宋体" w:eastAsia="宋体" w:cs="宋体"/>
                <w:szCs w:val="21"/>
              </w:rPr>
            </w:pPr>
          </w:p>
        </w:tc>
        <w:tc>
          <w:tcPr>
            <w:tcW w:w="788" w:type="dxa"/>
            <w:noWrap w:val="0"/>
            <w:vAlign w:val="center"/>
          </w:tcPr>
          <w:p w14:paraId="1C238991">
            <w:pPr>
              <w:pageBreakBefore w:val="0"/>
              <w:wordWrap w:val="0"/>
              <w:topLinePunct w:val="0"/>
              <w:autoSpaceDE/>
              <w:autoSpaceDN/>
              <w:bidi w:val="0"/>
              <w:spacing w:after="0"/>
              <w:jc w:val="center"/>
              <w:textAlignment w:val="auto"/>
              <w:rPr>
                <w:rFonts w:hint="eastAsia" w:ascii="宋体" w:hAnsi="宋体" w:eastAsia="宋体" w:cs="宋体"/>
                <w:szCs w:val="21"/>
              </w:rPr>
            </w:pPr>
          </w:p>
        </w:tc>
      </w:tr>
    </w:tbl>
    <w:p w14:paraId="57B4DF14">
      <w:pPr>
        <w:rPr>
          <w:rFonts w:hint="eastAsia" w:ascii="宋体" w:hAnsi="宋体" w:eastAsia="宋体" w:cs="宋体"/>
        </w:rPr>
      </w:pPr>
    </w:p>
    <w:p w14:paraId="7B690243">
      <w:pPr>
        <w:pStyle w:val="4"/>
        <w:pageBreakBefore w:val="0"/>
        <w:wordWrap w:val="0"/>
        <w:overflowPunct/>
        <w:topLinePunct w:val="0"/>
        <w:autoSpaceDE/>
        <w:autoSpaceDN/>
        <w:bidi w:val="0"/>
        <w:spacing w:before="156" w:beforeLines="50" w:after="156" w:afterLines="50" w:line="360" w:lineRule="auto"/>
        <w:jc w:val="center"/>
        <w:textAlignment w:val="auto"/>
        <w:rPr>
          <w:rFonts w:hint="eastAsia" w:ascii="宋体" w:hAnsi="宋体" w:eastAsia="宋体" w:cs="宋体"/>
          <w:bCs/>
          <w:color w:val="auto"/>
          <w:spacing w:val="0"/>
          <w:position w:val="0"/>
          <w:sz w:val="24"/>
          <w:szCs w:val="24"/>
        </w:rPr>
      </w:pPr>
      <w:r>
        <w:rPr>
          <w:rFonts w:hint="eastAsia" w:ascii="宋体" w:hAnsi="宋体" w:eastAsia="宋体" w:cs="宋体"/>
          <w:color w:val="auto"/>
          <w:spacing w:val="0"/>
          <w:position w:val="0"/>
          <w:szCs w:val="21"/>
        </w:rPr>
        <w:br w:type="page"/>
      </w:r>
      <w:bookmarkStart w:id="123" w:name="_Toc75721295"/>
      <w:bookmarkStart w:id="124" w:name="_Toc75721407"/>
      <w:bookmarkStart w:id="125" w:name="_Toc352762587"/>
      <w:bookmarkStart w:id="126" w:name="_Toc351053276"/>
      <w:bookmarkStart w:id="127" w:name="_Toc2672931"/>
      <w:bookmarkStart w:id="128" w:name="_Toc29306"/>
      <w:bookmarkStart w:id="129" w:name="_Toc352755763"/>
      <w:bookmarkStart w:id="130" w:name="_Toc2670987"/>
      <w:bookmarkStart w:id="131" w:name="_Toc2670823"/>
      <w:bookmarkStart w:id="132" w:name="_Toc8640583"/>
      <w:bookmarkStart w:id="133" w:name="_Toc20768"/>
      <w:bookmarkStart w:id="134" w:name="_Toc87802574"/>
      <w:bookmarkStart w:id="135" w:name="_Toc350589459"/>
      <w:bookmarkStart w:id="136" w:name="_Toc383698889"/>
      <w:bookmarkStart w:id="137" w:name="_Toc18102"/>
      <w:bookmarkStart w:id="138" w:name="_Toc20414"/>
      <w:r>
        <w:rPr>
          <w:rFonts w:hint="eastAsia" w:ascii="宋体" w:hAnsi="宋体" w:eastAsia="宋体" w:cs="宋体"/>
          <w:bCs/>
          <w:color w:val="auto"/>
          <w:spacing w:val="0"/>
          <w:position w:val="0"/>
          <w:sz w:val="24"/>
          <w:szCs w:val="24"/>
        </w:rPr>
        <w:t>（二）项目经理简历表</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DE9D079">
      <w:pPr>
        <w:pageBreakBefore w:val="0"/>
        <w:wordWrap w:val="0"/>
        <w:overflowPunct/>
        <w:topLinePunct w:val="0"/>
        <w:autoSpaceDE/>
        <w:autoSpaceDN/>
        <w:bidi w:val="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项目经理应附建造师注册证书、安全生产考核合格证书、身份证、养老保险。</w:t>
      </w:r>
    </w:p>
    <w:tbl>
      <w:tblPr>
        <w:tblStyle w:val="46"/>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10"/>
        <w:gridCol w:w="1215"/>
        <w:gridCol w:w="1367"/>
        <w:gridCol w:w="1975"/>
        <w:gridCol w:w="2279"/>
      </w:tblGrid>
      <w:tr w14:paraId="3ABB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60AC0ED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姓名</w:t>
            </w:r>
          </w:p>
        </w:tc>
        <w:tc>
          <w:tcPr>
            <w:tcW w:w="1110" w:type="dxa"/>
            <w:noWrap w:val="0"/>
            <w:vAlign w:val="center"/>
          </w:tcPr>
          <w:p w14:paraId="78B8412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215" w:type="dxa"/>
            <w:noWrap w:val="0"/>
            <w:vAlign w:val="center"/>
          </w:tcPr>
          <w:p w14:paraId="293EB6C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年龄</w:t>
            </w:r>
          </w:p>
        </w:tc>
        <w:tc>
          <w:tcPr>
            <w:tcW w:w="1367" w:type="dxa"/>
            <w:noWrap w:val="0"/>
            <w:vAlign w:val="center"/>
          </w:tcPr>
          <w:p w14:paraId="4DB2A0C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4CCDA97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学历</w:t>
            </w:r>
          </w:p>
        </w:tc>
        <w:tc>
          <w:tcPr>
            <w:tcW w:w="2279" w:type="dxa"/>
            <w:noWrap w:val="0"/>
            <w:vAlign w:val="center"/>
          </w:tcPr>
          <w:p w14:paraId="1ABB8AB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56FC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4C35012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职称</w:t>
            </w:r>
          </w:p>
        </w:tc>
        <w:tc>
          <w:tcPr>
            <w:tcW w:w="1110" w:type="dxa"/>
            <w:noWrap w:val="0"/>
            <w:vAlign w:val="center"/>
          </w:tcPr>
          <w:p w14:paraId="1F83AD4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215" w:type="dxa"/>
            <w:noWrap w:val="0"/>
            <w:vAlign w:val="center"/>
          </w:tcPr>
          <w:p w14:paraId="529931C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职务</w:t>
            </w:r>
          </w:p>
        </w:tc>
        <w:tc>
          <w:tcPr>
            <w:tcW w:w="1367" w:type="dxa"/>
            <w:noWrap w:val="0"/>
            <w:vAlign w:val="center"/>
          </w:tcPr>
          <w:p w14:paraId="0307F6B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6F1B423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拟在本工程任职</w:t>
            </w:r>
          </w:p>
        </w:tc>
        <w:tc>
          <w:tcPr>
            <w:tcW w:w="2279" w:type="dxa"/>
            <w:noWrap w:val="0"/>
            <w:vAlign w:val="center"/>
          </w:tcPr>
          <w:p w14:paraId="56BC024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项目经理</w:t>
            </w:r>
          </w:p>
        </w:tc>
      </w:tr>
      <w:tr w14:paraId="11CA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95" w:type="dxa"/>
            <w:gridSpan w:val="3"/>
            <w:noWrap w:val="0"/>
            <w:vAlign w:val="center"/>
          </w:tcPr>
          <w:p w14:paraId="4B61EE8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注册建造师执业资格等级</w:t>
            </w:r>
          </w:p>
        </w:tc>
        <w:tc>
          <w:tcPr>
            <w:tcW w:w="1367" w:type="dxa"/>
            <w:noWrap w:val="0"/>
            <w:vAlign w:val="center"/>
          </w:tcPr>
          <w:p w14:paraId="4F85440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级</w:t>
            </w:r>
          </w:p>
        </w:tc>
        <w:tc>
          <w:tcPr>
            <w:tcW w:w="1975" w:type="dxa"/>
            <w:noWrap w:val="0"/>
            <w:vAlign w:val="center"/>
          </w:tcPr>
          <w:p w14:paraId="30AF579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建造师专业</w:t>
            </w:r>
          </w:p>
        </w:tc>
        <w:tc>
          <w:tcPr>
            <w:tcW w:w="2279" w:type="dxa"/>
            <w:noWrap w:val="0"/>
            <w:vAlign w:val="center"/>
          </w:tcPr>
          <w:p w14:paraId="12F6EDA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22F4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95" w:type="dxa"/>
            <w:gridSpan w:val="3"/>
            <w:noWrap w:val="0"/>
            <w:vAlign w:val="center"/>
          </w:tcPr>
          <w:p w14:paraId="6CC0D88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安全生产考核合格证书</w:t>
            </w:r>
          </w:p>
        </w:tc>
        <w:tc>
          <w:tcPr>
            <w:tcW w:w="5621" w:type="dxa"/>
            <w:gridSpan w:val="3"/>
            <w:noWrap w:val="0"/>
            <w:vAlign w:val="center"/>
          </w:tcPr>
          <w:p w14:paraId="1BFB3AF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6547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6" w:type="dxa"/>
            <w:gridSpan w:val="6"/>
            <w:noWrap w:val="0"/>
            <w:vAlign w:val="center"/>
          </w:tcPr>
          <w:p w14:paraId="2B8E0CE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主要工作经历</w:t>
            </w:r>
          </w:p>
        </w:tc>
      </w:tr>
      <w:tr w14:paraId="1BB2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4ACC9DF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时间</w:t>
            </w:r>
          </w:p>
        </w:tc>
        <w:tc>
          <w:tcPr>
            <w:tcW w:w="3692" w:type="dxa"/>
            <w:gridSpan w:val="3"/>
            <w:noWrap w:val="0"/>
            <w:vAlign w:val="center"/>
          </w:tcPr>
          <w:p w14:paraId="2127A90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参加过的类似项目名称</w:t>
            </w:r>
          </w:p>
        </w:tc>
        <w:tc>
          <w:tcPr>
            <w:tcW w:w="1975" w:type="dxa"/>
            <w:noWrap w:val="0"/>
            <w:vAlign w:val="center"/>
          </w:tcPr>
          <w:p w14:paraId="165D29D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工程概况说明</w:t>
            </w:r>
          </w:p>
        </w:tc>
        <w:tc>
          <w:tcPr>
            <w:tcW w:w="2279" w:type="dxa"/>
            <w:noWrap w:val="0"/>
            <w:vAlign w:val="center"/>
          </w:tcPr>
          <w:p w14:paraId="15084A1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发包人及联系电话</w:t>
            </w:r>
          </w:p>
        </w:tc>
      </w:tr>
      <w:tr w14:paraId="1252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4011E76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6779E80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2EBF2B8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087226E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6BD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1836412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25B8B65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09D6E8C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5F6B47D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7FBC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53A29B5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60946B0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7567BF7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66B4005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7F15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3D6A675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51EBB23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2B8D8AE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5702EB1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4923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6443E0B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5CBA843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7745030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1D4EEB0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19E2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5C6D068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4004B13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3CFCAF6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7C07C30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r w14:paraId="7E31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70" w:type="dxa"/>
            <w:noWrap w:val="0"/>
            <w:vAlign w:val="center"/>
          </w:tcPr>
          <w:p w14:paraId="528F070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3692" w:type="dxa"/>
            <w:gridSpan w:val="3"/>
            <w:noWrap w:val="0"/>
            <w:vAlign w:val="center"/>
          </w:tcPr>
          <w:p w14:paraId="0E90429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1975" w:type="dxa"/>
            <w:noWrap w:val="0"/>
            <w:vAlign w:val="center"/>
          </w:tcPr>
          <w:p w14:paraId="4172239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c>
          <w:tcPr>
            <w:tcW w:w="2279" w:type="dxa"/>
            <w:noWrap w:val="0"/>
            <w:vAlign w:val="center"/>
          </w:tcPr>
          <w:p w14:paraId="7B12AC5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Cs w:val="21"/>
              </w:rPr>
            </w:pPr>
          </w:p>
        </w:tc>
      </w:tr>
    </w:tbl>
    <w:p w14:paraId="1A185EDB">
      <w:pPr>
        <w:pageBreakBefore w:val="0"/>
        <w:wordWrap w:val="0"/>
        <w:overflowPunct/>
        <w:topLinePunct w:val="0"/>
        <w:autoSpaceDE/>
        <w:autoSpaceDN/>
        <w:bidi w:val="0"/>
        <w:spacing w:line="420" w:lineRule="exact"/>
        <w:textAlignment w:val="auto"/>
        <w:rPr>
          <w:rFonts w:hint="eastAsia" w:ascii="宋体" w:hAnsi="宋体" w:eastAsia="宋体" w:cs="宋体"/>
          <w:color w:val="auto"/>
          <w:spacing w:val="0"/>
          <w:position w:val="0"/>
          <w:szCs w:val="21"/>
        </w:rPr>
      </w:pPr>
    </w:p>
    <w:p w14:paraId="4A250D4A">
      <w:pPr>
        <w:pStyle w:val="4"/>
        <w:pageBreakBefore w:val="0"/>
        <w:wordWrap w:val="0"/>
        <w:topLinePunct w:val="0"/>
        <w:autoSpaceDE/>
        <w:autoSpaceDN/>
        <w:bidi w:val="0"/>
        <w:spacing w:before="156" w:beforeLines="50" w:after="156" w:afterLines="50"/>
        <w:jc w:val="center"/>
        <w:textAlignment w:val="auto"/>
        <w:rPr>
          <w:rFonts w:hint="eastAsia" w:ascii="宋体" w:hAnsi="宋体" w:eastAsia="宋体" w:cs="宋体"/>
          <w:bCs/>
          <w:color w:val="auto"/>
          <w:spacing w:val="0"/>
          <w:position w:val="0"/>
          <w:sz w:val="24"/>
          <w:szCs w:val="24"/>
        </w:rPr>
      </w:pPr>
      <w:r>
        <w:rPr>
          <w:rFonts w:hint="eastAsia" w:ascii="宋体" w:hAnsi="宋体" w:eastAsia="宋体" w:cs="宋体"/>
          <w:color w:val="auto"/>
          <w:spacing w:val="0"/>
          <w:position w:val="0"/>
          <w:szCs w:val="21"/>
        </w:rPr>
        <w:br w:type="page"/>
      </w:r>
      <w:bookmarkStart w:id="139" w:name="_Toc75721408"/>
      <w:bookmarkStart w:id="140" w:name="_Toc75721296"/>
      <w:bookmarkStart w:id="141" w:name="_Toc87802575"/>
      <w:bookmarkStart w:id="142" w:name="_Toc18255"/>
      <w:bookmarkStart w:id="143" w:name="_Toc22024"/>
      <w:bookmarkStart w:id="144" w:name="_Toc6344"/>
      <w:bookmarkStart w:id="145" w:name="_Toc75721297"/>
      <w:bookmarkStart w:id="146" w:name="_Toc16618"/>
      <w:bookmarkStart w:id="147" w:name="_Toc19215"/>
      <w:bookmarkStart w:id="148" w:name="_Toc87802576"/>
      <w:bookmarkStart w:id="149" w:name="_Toc75721409"/>
      <w:r>
        <w:rPr>
          <w:rFonts w:hint="eastAsia" w:ascii="宋体" w:hAnsi="宋体" w:eastAsia="宋体" w:cs="宋体"/>
          <w:bCs/>
          <w:color w:val="auto"/>
          <w:spacing w:val="0"/>
          <w:position w:val="0"/>
          <w:sz w:val="24"/>
          <w:szCs w:val="24"/>
        </w:rPr>
        <w:t>（三）</w:t>
      </w:r>
      <w:bookmarkEnd w:id="139"/>
      <w:bookmarkEnd w:id="140"/>
      <w:bookmarkEnd w:id="141"/>
      <w:r>
        <w:rPr>
          <w:rFonts w:hint="eastAsia" w:ascii="宋体" w:hAnsi="宋体" w:eastAsia="宋体" w:cs="宋体"/>
          <w:bCs/>
          <w:color w:val="auto"/>
          <w:spacing w:val="0"/>
          <w:position w:val="0"/>
          <w:sz w:val="24"/>
          <w:szCs w:val="24"/>
        </w:rPr>
        <w:t>其他主要人员简历表</w:t>
      </w:r>
      <w:bookmarkEnd w:id="142"/>
    </w:p>
    <w:p w14:paraId="44279241">
      <w:pPr>
        <w:pageBreakBefore w:val="0"/>
        <w:wordWrap w:val="0"/>
        <w:topLinePunct w:val="0"/>
        <w:autoSpaceDE/>
        <w:autoSpaceDN/>
        <w:bidi w:val="0"/>
        <w:textAlignment w:val="auto"/>
        <w:rPr>
          <w:rFonts w:hint="eastAsia" w:ascii="宋体" w:hAnsi="宋体" w:eastAsia="宋体" w:cs="宋体"/>
          <w:szCs w:val="21"/>
        </w:rPr>
      </w:pPr>
      <w:r>
        <w:rPr>
          <w:rFonts w:hint="eastAsia" w:ascii="宋体" w:hAnsi="宋体" w:eastAsia="宋体" w:cs="宋体"/>
          <w:szCs w:val="21"/>
        </w:rPr>
        <w:t>其他主要人员应各专业人员搭配合理，满足本工程需要，并附执业或职业资格证（上岗证）。</w:t>
      </w:r>
    </w:p>
    <w:tbl>
      <w:tblPr>
        <w:tblStyle w:val="4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914"/>
        <w:gridCol w:w="2251"/>
        <w:gridCol w:w="2265"/>
        <w:gridCol w:w="2253"/>
      </w:tblGrid>
      <w:tr w14:paraId="63AF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64" w:type="dxa"/>
            <w:gridSpan w:val="2"/>
            <w:noWrap w:val="0"/>
            <w:vAlign w:val="center"/>
          </w:tcPr>
          <w:p w14:paraId="2DBBC971">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岗位名称</w:t>
            </w:r>
          </w:p>
        </w:tc>
        <w:tc>
          <w:tcPr>
            <w:tcW w:w="6769" w:type="dxa"/>
            <w:gridSpan w:val="3"/>
            <w:noWrap w:val="0"/>
            <w:vAlign w:val="center"/>
          </w:tcPr>
          <w:p w14:paraId="50B3569A">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r w14:paraId="0635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64" w:type="dxa"/>
            <w:gridSpan w:val="2"/>
            <w:noWrap w:val="0"/>
            <w:vAlign w:val="center"/>
          </w:tcPr>
          <w:p w14:paraId="12164E15">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姓    名</w:t>
            </w:r>
          </w:p>
        </w:tc>
        <w:tc>
          <w:tcPr>
            <w:tcW w:w="2251" w:type="dxa"/>
            <w:noWrap w:val="0"/>
            <w:vAlign w:val="center"/>
          </w:tcPr>
          <w:p w14:paraId="62FACB6A">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c>
          <w:tcPr>
            <w:tcW w:w="2265" w:type="dxa"/>
            <w:noWrap w:val="0"/>
            <w:vAlign w:val="center"/>
          </w:tcPr>
          <w:p w14:paraId="64659A63">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年    龄</w:t>
            </w:r>
          </w:p>
        </w:tc>
        <w:tc>
          <w:tcPr>
            <w:tcW w:w="2253" w:type="dxa"/>
            <w:noWrap w:val="0"/>
            <w:vAlign w:val="center"/>
          </w:tcPr>
          <w:p w14:paraId="63BEF85E">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r w14:paraId="0EF0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64" w:type="dxa"/>
            <w:gridSpan w:val="2"/>
            <w:noWrap w:val="0"/>
            <w:vAlign w:val="center"/>
          </w:tcPr>
          <w:p w14:paraId="29DFD5FC">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性    别</w:t>
            </w:r>
          </w:p>
        </w:tc>
        <w:tc>
          <w:tcPr>
            <w:tcW w:w="2251" w:type="dxa"/>
            <w:noWrap w:val="0"/>
            <w:vAlign w:val="center"/>
          </w:tcPr>
          <w:p w14:paraId="477C49A4">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c>
          <w:tcPr>
            <w:tcW w:w="2265" w:type="dxa"/>
            <w:noWrap w:val="0"/>
            <w:vAlign w:val="center"/>
          </w:tcPr>
          <w:p w14:paraId="5B119CF2">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毕业学校</w:t>
            </w:r>
          </w:p>
        </w:tc>
        <w:tc>
          <w:tcPr>
            <w:tcW w:w="2253" w:type="dxa"/>
            <w:noWrap w:val="0"/>
            <w:vAlign w:val="center"/>
          </w:tcPr>
          <w:p w14:paraId="1853E67A">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r w14:paraId="756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64" w:type="dxa"/>
            <w:gridSpan w:val="2"/>
            <w:noWrap w:val="0"/>
            <w:vAlign w:val="center"/>
          </w:tcPr>
          <w:p w14:paraId="69649BCD">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学历和专业</w:t>
            </w:r>
          </w:p>
        </w:tc>
        <w:tc>
          <w:tcPr>
            <w:tcW w:w="2251" w:type="dxa"/>
            <w:noWrap w:val="0"/>
            <w:vAlign w:val="center"/>
          </w:tcPr>
          <w:p w14:paraId="0EA1E292">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c>
          <w:tcPr>
            <w:tcW w:w="2265" w:type="dxa"/>
            <w:noWrap w:val="0"/>
            <w:vAlign w:val="center"/>
          </w:tcPr>
          <w:p w14:paraId="2FF58989">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毕业时间</w:t>
            </w:r>
          </w:p>
        </w:tc>
        <w:tc>
          <w:tcPr>
            <w:tcW w:w="2253" w:type="dxa"/>
            <w:noWrap w:val="0"/>
            <w:vAlign w:val="center"/>
          </w:tcPr>
          <w:p w14:paraId="315A0314">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r w14:paraId="56F9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64" w:type="dxa"/>
            <w:gridSpan w:val="2"/>
            <w:noWrap w:val="0"/>
            <w:vAlign w:val="center"/>
          </w:tcPr>
          <w:p w14:paraId="74EC2F53">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拥有的执业资格</w:t>
            </w:r>
          </w:p>
        </w:tc>
        <w:tc>
          <w:tcPr>
            <w:tcW w:w="2251" w:type="dxa"/>
            <w:noWrap w:val="0"/>
            <w:vAlign w:val="center"/>
          </w:tcPr>
          <w:p w14:paraId="4DC40726">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c>
          <w:tcPr>
            <w:tcW w:w="2265" w:type="dxa"/>
            <w:noWrap w:val="0"/>
            <w:vAlign w:val="center"/>
          </w:tcPr>
          <w:p w14:paraId="14E2AC2E">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专业职称</w:t>
            </w:r>
          </w:p>
        </w:tc>
        <w:tc>
          <w:tcPr>
            <w:tcW w:w="2253" w:type="dxa"/>
            <w:noWrap w:val="0"/>
            <w:vAlign w:val="center"/>
          </w:tcPr>
          <w:p w14:paraId="4D677648">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r w14:paraId="2CC1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64" w:type="dxa"/>
            <w:gridSpan w:val="2"/>
            <w:noWrap w:val="0"/>
            <w:vAlign w:val="center"/>
          </w:tcPr>
          <w:p w14:paraId="170BAEEE">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执业资格证书编号</w:t>
            </w:r>
          </w:p>
        </w:tc>
        <w:tc>
          <w:tcPr>
            <w:tcW w:w="2251" w:type="dxa"/>
            <w:noWrap w:val="0"/>
            <w:vAlign w:val="center"/>
          </w:tcPr>
          <w:p w14:paraId="2B2B6681">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c>
          <w:tcPr>
            <w:tcW w:w="2265" w:type="dxa"/>
            <w:noWrap w:val="0"/>
            <w:vAlign w:val="center"/>
          </w:tcPr>
          <w:p w14:paraId="7A91B412">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工作年限</w:t>
            </w:r>
          </w:p>
        </w:tc>
        <w:tc>
          <w:tcPr>
            <w:tcW w:w="2253" w:type="dxa"/>
            <w:noWrap w:val="0"/>
            <w:vAlign w:val="center"/>
          </w:tcPr>
          <w:p w14:paraId="2D8C72C2">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r w14:paraId="3B3C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jc w:val="center"/>
        </w:trPr>
        <w:tc>
          <w:tcPr>
            <w:tcW w:w="1350" w:type="dxa"/>
            <w:noWrap w:val="0"/>
            <w:vAlign w:val="center"/>
          </w:tcPr>
          <w:p w14:paraId="144F4F1F">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主</w:t>
            </w:r>
          </w:p>
          <w:p w14:paraId="64968AE5">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要</w:t>
            </w:r>
          </w:p>
          <w:p w14:paraId="71BFFFAB">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工</w:t>
            </w:r>
          </w:p>
          <w:p w14:paraId="64422DE0">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作</w:t>
            </w:r>
          </w:p>
          <w:p w14:paraId="6DC6A29D">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业</w:t>
            </w:r>
          </w:p>
          <w:p w14:paraId="5C830C5C">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绩</w:t>
            </w:r>
          </w:p>
          <w:p w14:paraId="693CEA65">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及</w:t>
            </w:r>
          </w:p>
          <w:p w14:paraId="0980A498">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担</w:t>
            </w:r>
          </w:p>
          <w:p w14:paraId="058FC592">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任</w:t>
            </w:r>
          </w:p>
          <w:p w14:paraId="62701222">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的</w:t>
            </w:r>
          </w:p>
          <w:p w14:paraId="3F882A46">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主</w:t>
            </w:r>
          </w:p>
          <w:p w14:paraId="68494105">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要</w:t>
            </w:r>
          </w:p>
          <w:p w14:paraId="7B381D5C">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工</w:t>
            </w:r>
          </w:p>
          <w:p w14:paraId="10C27F7C">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r>
              <w:rPr>
                <w:rFonts w:hint="eastAsia" w:ascii="宋体" w:hAnsi="宋体" w:eastAsia="宋体" w:cs="宋体"/>
                <w:szCs w:val="21"/>
              </w:rPr>
              <w:t>作</w:t>
            </w:r>
          </w:p>
        </w:tc>
        <w:tc>
          <w:tcPr>
            <w:tcW w:w="7683" w:type="dxa"/>
            <w:gridSpan w:val="4"/>
            <w:noWrap w:val="0"/>
            <w:vAlign w:val="center"/>
          </w:tcPr>
          <w:p w14:paraId="34E0B4D7">
            <w:pPr>
              <w:pageBreakBefore w:val="0"/>
              <w:wordWrap w:val="0"/>
              <w:topLinePunct w:val="0"/>
              <w:autoSpaceDE/>
              <w:autoSpaceDN/>
              <w:bidi w:val="0"/>
              <w:spacing w:after="0" w:line="276" w:lineRule="auto"/>
              <w:jc w:val="center"/>
              <w:textAlignment w:val="auto"/>
              <w:rPr>
                <w:rFonts w:hint="eastAsia" w:ascii="宋体" w:hAnsi="宋体" w:eastAsia="宋体" w:cs="宋体"/>
                <w:szCs w:val="21"/>
              </w:rPr>
            </w:pPr>
          </w:p>
        </w:tc>
      </w:tr>
    </w:tbl>
    <w:p w14:paraId="57755996">
      <w:pPr>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rPr>
        <w:br w:type="page"/>
      </w:r>
    </w:p>
    <w:p w14:paraId="143F96ED">
      <w:pPr>
        <w:pStyle w:val="4"/>
        <w:pageBreakBefore w:val="0"/>
        <w:wordWrap w:val="0"/>
        <w:topLinePunct w:val="0"/>
        <w:autoSpaceDE/>
        <w:autoSpaceDN/>
        <w:bidi w:val="0"/>
        <w:spacing w:before="156" w:beforeLines="50" w:after="156" w:afterLines="50"/>
        <w:jc w:val="center"/>
        <w:textAlignment w:val="auto"/>
        <w:rPr>
          <w:rFonts w:hint="eastAsia" w:ascii="宋体" w:hAnsi="宋体" w:eastAsia="宋体" w:cs="宋体"/>
          <w:bCs/>
          <w:color w:val="auto"/>
          <w:spacing w:val="0"/>
          <w:position w:val="0"/>
          <w:sz w:val="24"/>
          <w:szCs w:val="24"/>
        </w:rPr>
      </w:pPr>
      <w:bookmarkStart w:id="150" w:name="_Toc3008"/>
      <w:r>
        <w:rPr>
          <w:rFonts w:hint="eastAsia" w:ascii="宋体" w:hAnsi="宋体" w:eastAsia="宋体" w:cs="宋体"/>
          <w:bCs/>
          <w:color w:val="auto"/>
          <w:spacing w:val="0"/>
          <w:position w:val="0"/>
          <w:sz w:val="24"/>
          <w:szCs w:val="24"/>
        </w:rPr>
        <w:t>（</w:t>
      </w:r>
      <w:r>
        <w:rPr>
          <w:rFonts w:hint="eastAsia" w:ascii="宋体" w:hAnsi="宋体" w:eastAsia="宋体" w:cs="宋体"/>
          <w:bCs/>
          <w:color w:val="auto"/>
          <w:spacing w:val="0"/>
          <w:position w:val="0"/>
          <w:sz w:val="24"/>
          <w:szCs w:val="24"/>
          <w:lang w:val="en-US" w:eastAsia="zh-CN"/>
        </w:rPr>
        <w:t>四</w:t>
      </w:r>
      <w:r>
        <w:rPr>
          <w:rFonts w:hint="eastAsia" w:ascii="宋体" w:hAnsi="宋体" w:eastAsia="宋体" w:cs="宋体"/>
          <w:bCs/>
          <w:color w:val="auto"/>
          <w:spacing w:val="0"/>
          <w:position w:val="0"/>
          <w:sz w:val="24"/>
          <w:szCs w:val="24"/>
        </w:rPr>
        <w:t>）承诺书</w:t>
      </w:r>
      <w:bookmarkEnd w:id="143"/>
      <w:bookmarkEnd w:id="144"/>
      <w:bookmarkEnd w:id="145"/>
      <w:bookmarkEnd w:id="146"/>
      <w:bookmarkEnd w:id="147"/>
      <w:bookmarkEnd w:id="148"/>
      <w:bookmarkEnd w:id="149"/>
      <w:bookmarkEnd w:id="150"/>
    </w:p>
    <w:p w14:paraId="62C73059">
      <w:pPr>
        <w:pageBreakBefore w:val="0"/>
        <w:wordWrap w:val="0"/>
        <w:overflowPunct/>
        <w:topLinePunct w:val="0"/>
        <w:autoSpaceDE/>
        <w:autoSpaceDN/>
        <w:bidi w:val="0"/>
        <w:spacing w:before="312" w:beforeLines="100" w:after="312" w:afterLines="100"/>
        <w:jc w:val="center"/>
        <w:textAlignment w:val="auto"/>
        <w:rPr>
          <w:rFonts w:hint="eastAsia" w:ascii="宋体" w:hAnsi="宋体" w:eastAsia="宋体" w:cs="宋体"/>
          <w:color w:val="auto"/>
          <w:spacing w:val="0"/>
          <w:position w:val="0"/>
          <w:sz w:val="28"/>
          <w:szCs w:val="28"/>
        </w:rPr>
      </w:pPr>
      <w:r>
        <w:rPr>
          <w:rFonts w:hint="eastAsia" w:ascii="宋体" w:hAnsi="宋体" w:eastAsia="宋体" w:cs="宋体"/>
          <w:color w:val="auto"/>
          <w:spacing w:val="0"/>
          <w:position w:val="0"/>
          <w:sz w:val="28"/>
          <w:szCs w:val="28"/>
        </w:rPr>
        <w:t>承诺书</w:t>
      </w:r>
    </w:p>
    <w:p w14:paraId="1541D9D2">
      <w:pPr>
        <w:pageBreakBefore w:val="0"/>
        <w:wordWrap w:val="0"/>
        <w:overflowPunct/>
        <w:topLinePunct w:val="0"/>
        <w:autoSpaceDE/>
        <w:autoSpaceDN/>
        <w:bidi w:val="0"/>
        <w:spacing w:after="312" w:afterLines="100" w:line="480" w:lineRule="auto"/>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u w:val="single"/>
        </w:rPr>
        <w:t xml:space="preserve">                   </w:t>
      </w:r>
      <w:r>
        <w:rPr>
          <w:rFonts w:hint="eastAsia" w:ascii="宋体" w:hAnsi="宋体" w:eastAsia="宋体" w:cs="宋体"/>
          <w:color w:val="auto"/>
          <w:spacing w:val="0"/>
          <w:position w:val="0"/>
          <w:szCs w:val="21"/>
        </w:rPr>
        <w:t>（</w:t>
      </w:r>
      <w:r>
        <w:rPr>
          <w:rFonts w:hint="eastAsia" w:ascii="宋体" w:hAnsi="宋体" w:eastAsia="宋体" w:cs="宋体"/>
          <w:color w:val="auto"/>
          <w:spacing w:val="0"/>
          <w:position w:val="0"/>
          <w:szCs w:val="21"/>
          <w:lang w:val="en-US" w:eastAsia="zh-CN"/>
        </w:rPr>
        <w:t>采购</w:t>
      </w:r>
      <w:r>
        <w:rPr>
          <w:rFonts w:hint="eastAsia" w:ascii="宋体" w:hAnsi="宋体" w:eastAsia="宋体" w:cs="宋体"/>
          <w:color w:val="auto"/>
          <w:spacing w:val="0"/>
          <w:position w:val="0"/>
          <w:szCs w:val="21"/>
        </w:rPr>
        <w:t>人名称）：</w:t>
      </w:r>
    </w:p>
    <w:p w14:paraId="1626800A">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我方在此声明，我方拟派往</w:t>
      </w:r>
      <w:r>
        <w:rPr>
          <w:rFonts w:hint="eastAsia" w:ascii="宋体" w:hAnsi="宋体" w:eastAsia="宋体" w:cs="宋体"/>
          <w:color w:val="auto"/>
          <w:spacing w:val="0"/>
          <w:position w:val="0"/>
          <w:szCs w:val="21"/>
          <w:u w:val="single"/>
        </w:rPr>
        <w:t xml:space="preserve">            </w:t>
      </w:r>
      <w:r>
        <w:rPr>
          <w:rFonts w:hint="eastAsia" w:ascii="宋体" w:hAnsi="宋体" w:eastAsia="宋体" w:cs="宋体"/>
          <w:color w:val="auto"/>
          <w:spacing w:val="0"/>
          <w:position w:val="0"/>
          <w:szCs w:val="21"/>
        </w:rPr>
        <w:t>（项目名称）（以下简称“本工程”）的项目经理</w:t>
      </w:r>
      <w:r>
        <w:rPr>
          <w:rFonts w:hint="eastAsia" w:ascii="宋体" w:hAnsi="宋体" w:eastAsia="宋体" w:cs="宋体"/>
          <w:color w:val="auto"/>
          <w:spacing w:val="0"/>
          <w:position w:val="0"/>
          <w:szCs w:val="21"/>
          <w:u w:val="single"/>
        </w:rPr>
        <w:t xml:space="preserve">           </w:t>
      </w:r>
      <w:r>
        <w:rPr>
          <w:rFonts w:hint="eastAsia" w:ascii="宋体" w:hAnsi="宋体" w:eastAsia="宋体" w:cs="宋体"/>
          <w:color w:val="auto"/>
          <w:spacing w:val="0"/>
          <w:position w:val="0"/>
          <w:szCs w:val="21"/>
        </w:rPr>
        <w:t>（项目经理姓名）现阶段没有担任任何在施建设工程项目的项目经理。</w:t>
      </w:r>
    </w:p>
    <w:p w14:paraId="12AB0469">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我方保证上述信息的真实和准确，并愿意承担因我方就此弄虚作假所引起的一切法律后果。</w:t>
      </w:r>
    </w:p>
    <w:p w14:paraId="7643BF5A">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p>
    <w:p w14:paraId="4AC722A4">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p>
    <w:p w14:paraId="1862F3B9">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特此承诺</w:t>
      </w:r>
    </w:p>
    <w:p w14:paraId="68CFFA46">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p>
    <w:p w14:paraId="2D477BEC">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p>
    <w:p w14:paraId="1538D711">
      <w:pPr>
        <w:pageBreakBefore w:val="0"/>
        <w:wordWrap w:val="0"/>
        <w:overflowPunct/>
        <w:topLinePunct w:val="0"/>
        <w:autoSpaceDE/>
        <w:autoSpaceDN/>
        <w:bidi w:val="0"/>
        <w:spacing w:line="480" w:lineRule="auto"/>
        <w:ind w:firstLine="420" w:firstLineChars="200"/>
        <w:textAlignment w:val="auto"/>
        <w:rPr>
          <w:rFonts w:hint="eastAsia" w:ascii="宋体" w:hAnsi="宋体" w:eastAsia="宋体" w:cs="宋体"/>
          <w:color w:val="auto"/>
          <w:spacing w:val="0"/>
          <w:position w:val="0"/>
          <w:szCs w:val="21"/>
        </w:rPr>
      </w:pPr>
    </w:p>
    <w:p w14:paraId="42A6C633">
      <w:pPr>
        <w:pStyle w:val="41"/>
        <w:pageBreakBefore w:val="0"/>
        <w:wordWrap w:val="0"/>
        <w:overflowPunct/>
        <w:topLinePunct/>
        <w:autoSpaceDE/>
        <w:autoSpaceDN/>
        <w:bidi w:val="0"/>
        <w:spacing w:before="0" w:beforeAutospacing="0" w:after="0" w:afterAutospacing="0" w:line="480" w:lineRule="auto"/>
        <w:ind w:firstLine="465"/>
        <w:jc w:val="right"/>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rPr>
        <w:t>名称（</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w:t>
      </w:r>
    </w:p>
    <w:p w14:paraId="53293859">
      <w:pPr>
        <w:pStyle w:val="41"/>
        <w:pageBreakBefore w:val="0"/>
        <w:wordWrap w:val="0"/>
        <w:overflowPunct/>
        <w:topLinePunct/>
        <w:autoSpaceDE/>
        <w:autoSpaceDN/>
        <w:bidi w:val="0"/>
        <w:spacing w:before="0" w:beforeAutospacing="0" w:after="0" w:afterAutospacing="0" w:line="480" w:lineRule="auto"/>
        <w:ind w:firstLine="465"/>
        <w:jc w:val="right"/>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法定代表人（</w:t>
      </w:r>
      <w:r>
        <w:rPr>
          <w:rFonts w:hint="eastAsia" w:ascii="宋体" w:hAnsi="宋体" w:eastAsia="宋体" w:cs="宋体"/>
          <w:color w:val="auto"/>
          <w:spacing w:val="0"/>
          <w:position w:val="0"/>
          <w:sz w:val="21"/>
          <w:szCs w:val="21"/>
          <w:lang w:eastAsia="zh-CN"/>
        </w:rPr>
        <w:t>签字或盖章</w:t>
      </w:r>
      <w:r>
        <w:rPr>
          <w:rFonts w:hint="eastAsia" w:ascii="宋体" w:hAnsi="宋体" w:eastAsia="宋体" w:cs="宋体"/>
          <w:color w:val="auto"/>
          <w:spacing w:val="0"/>
          <w:position w:val="0"/>
          <w:sz w:val="21"/>
          <w:szCs w:val="21"/>
        </w:rPr>
        <w:t>）：</w:t>
      </w:r>
    </w:p>
    <w:p w14:paraId="358D4CF1">
      <w:pPr>
        <w:pStyle w:val="41"/>
        <w:pageBreakBefore w:val="0"/>
        <w:wordWrap w:val="0"/>
        <w:overflowPunct/>
        <w:topLinePunct/>
        <w:autoSpaceDE/>
        <w:autoSpaceDN/>
        <w:bidi w:val="0"/>
        <w:spacing w:before="0" w:beforeAutospacing="0" w:after="0" w:afterAutospacing="0" w:line="480" w:lineRule="auto"/>
        <w:ind w:firstLine="480"/>
        <w:jc w:val="right"/>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     期：</w:t>
      </w:r>
    </w:p>
    <w:p w14:paraId="3C7A6798">
      <w:pPr>
        <w:pageBreakBefore w:val="0"/>
        <w:wordWrap w:val="0"/>
        <w:overflowPunct/>
        <w:topLinePunct w:val="0"/>
        <w:autoSpaceDE/>
        <w:autoSpaceDN/>
        <w:bidi w:val="0"/>
        <w:spacing w:line="480" w:lineRule="auto"/>
        <w:jc w:val="center"/>
        <w:textAlignment w:val="auto"/>
        <w:rPr>
          <w:rFonts w:hint="eastAsia" w:ascii="宋体" w:hAnsi="宋体" w:eastAsia="宋体" w:cs="宋体"/>
          <w:color w:val="auto"/>
          <w:spacing w:val="0"/>
          <w:position w:val="0"/>
          <w:szCs w:val="21"/>
        </w:rPr>
      </w:pPr>
    </w:p>
    <w:p w14:paraId="78298D30">
      <w:pPr>
        <w:pStyle w:val="185"/>
        <w:pageBreakBefore w:val="0"/>
        <w:widowControl w:val="0"/>
        <w:numPr>
          <w:ilvl w:val="0"/>
          <w:numId w:val="0"/>
        </w:numPr>
        <w:wordWrap w:val="0"/>
        <w:overflowPunct/>
        <w:topLinePunct/>
        <w:autoSpaceDE/>
        <w:autoSpaceDN/>
        <w:bidi w:val="0"/>
        <w:spacing w:line="240" w:lineRule="auto"/>
        <w:jc w:val="both"/>
        <w:rPr>
          <w:rFonts w:hint="eastAsia" w:ascii="宋体" w:hAnsi="宋体" w:eastAsia="宋体" w:cs="宋体"/>
          <w:b/>
          <w:bCs/>
          <w:color w:val="auto"/>
          <w:spacing w:val="0"/>
          <w:position w:val="0"/>
          <w:sz w:val="32"/>
          <w:szCs w:val="32"/>
          <w:highlight w:val="none"/>
        </w:rPr>
      </w:pPr>
    </w:p>
    <w:p w14:paraId="4E9BE948">
      <w:pPr>
        <w:pageBreakBefore w:val="0"/>
        <w:wordWrap w:val="0"/>
        <w:overflowPunct/>
        <w:topLinePunct/>
        <w:autoSpaceDE/>
        <w:autoSpaceDN/>
        <w:bidi w:val="0"/>
        <w:rPr>
          <w:rFonts w:hint="eastAsia" w:ascii="宋体" w:hAnsi="宋体" w:eastAsia="宋体" w:cs="宋体"/>
          <w:b/>
          <w:bCs/>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br w:type="page"/>
      </w:r>
    </w:p>
    <w:p w14:paraId="703E5C37">
      <w:pPr>
        <w:pStyle w:val="3"/>
        <w:pageBreakBefore w:val="0"/>
        <w:wordWrap w:val="0"/>
        <w:overflowPunct/>
        <w:topLinePunct/>
        <w:autoSpaceDE/>
        <w:autoSpaceDN/>
        <w:bidi w:val="0"/>
        <w:ind w:left="420"/>
        <w:rPr>
          <w:rFonts w:hint="eastAsia" w:ascii="宋体" w:hAnsi="宋体" w:eastAsia="宋体" w:cs="宋体"/>
          <w:color w:val="auto"/>
          <w:spacing w:val="0"/>
          <w:position w:val="0"/>
          <w:lang w:val="en-US" w:eastAsia="zh-CN"/>
        </w:rPr>
      </w:pPr>
      <w:bookmarkStart w:id="151" w:name="_Toc3636"/>
      <w:bookmarkStart w:id="152" w:name="_Toc21538"/>
      <w:r>
        <w:rPr>
          <w:rFonts w:hint="eastAsia" w:ascii="宋体" w:hAnsi="宋体" w:eastAsia="宋体" w:cs="宋体"/>
          <w:color w:val="auto"/>
          <w:spacing w:val="0"/>
          <w:position w:val="0"/>
          <w:lang w:val="en-US" w:eastAsia="zh-CN"/>
        </w:rPr>
        <w:t>八、资格审查资料</w:t>
      </w:r>
      <w:bookmarkEnd w:id="151"/>
      <w:bookmarkEnd w:id="152"/>
    </w:p>
    <w:p w14:paraId="1FEC0D52">
      <w:pPr>
        <w:pStyle w:val="4"/>
        <w:keepNext/>
        <w:keepLines/>
        <w:pageBreakBefore w:val="0"/>
        <w:widowControl w:val="0"/>
        <w:kinsoku/>
        <w:wordWrap w:val="0"/>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Cs/>
          <w:color w:val="auto"/>
          <w:spacing w:val="0"/>
          <w:position w:val="0"/>
          <w:sz w:val="24"/>
          <w:szCs w:val="24"/>
        </w:rPr>
      </w:pPr>
      <w:bookmarkStart w:id="153" w:name="_Toc75721412"/>
      <w:bookmarkStart w:id="154" w:name="_Toc2670989"/>
      <w:bookmarkStart w:id="155" w:name="_Toc2670825"/>
      <w:bookmarkStart w:id="156" w:name="_Toc24061"/>
      <w:bookmarkStart w:id="157" w:name="_Toc351053278"/>
      <w:bookmarkStart w:id="158" w:name="_Toc2672933"/>
      <w:bookmarkStart w:id="159" w:name="_Toc87802578"/>
      <w:bookmarkStart w:id="160" w:name="_Toc8640585"/>
      <w:bookmarkStart w:id="161" w:name="_Toc352755765"/>
      <w:bookmarkStart w:id="162" w:name="_Toc4061"/>
      <w:bookmarkStart w:id="163" w:name="_Toc27208"/>
      <w:bookmarkStart w:id="164" w:name="_Toc75721300"/>
      <w:bookmarkStart w:id="165" w:name="_Toc25582"/>
      <w:bookmarkStart w:id="166" w:name="_Toc383698891"/>
      <w:r>
        <w:rPr>
          <w:rFonts w:hint="eastAsia" w:ascii="宋体" w:hAnsi="宋体" w:eastAsia="宋体" w:cs="宋体"/>
          <w:bCs/>
          <w:color w:val="auto"/>
          <w:spacing w:val="0"/>
          <w:position w:val="0"/>
          <w:sz w:val="24"/>
          <w:szCs w:val="24"/>
        </w:rPr>
        <w:t>（一）</w:t>
      </w:r>
      <w:r>
        <w:rPr>
          <w:rFonts w:hint="eastAsia" w:ascii="宋体" w:hAnsi="宋体" w:eastAsia="宋体" w:cs="宋体"/>
          <w:bCs/>
          <w:color w:val="auto"/>
          <w:spacing w:val="0"/>
          <w:position w:val="0"/>
          <w:sz w:val="24"/>
          <w:szCs w:val="24"/>
          <w:lang w:eastAsia="zh-CN"/>
        </w:rPr>
        <w:t>供应商</w:t>
      </w:r>
      <w:r>
        <w:rPr>
          <w:rFonts w:hint="eastAsia" w:ascii="宋体" w:hAnsi="宋体" w:eastAsia="宋体" w:cs="宋体"/>
          <w:bCs/>
          <w:color w:val="auto"/>
          <w:spacing w:val="0"/>
          <w:position w:val="0"/>
          <w:sz w:val="24"/>
          <w:szCs w:val="24"/>
        </w:rPr>
        <w:t>基本情况表</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tbl>
      <w:tblPr>
        <w:tblStyle w:val="46"/>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939"/>
        <w:gridCol w:w="1069"/>
        <w:gridCol w:w="1040"/>
        <w:gridCol w:w="296"/>
        <w:gridCol w:w="204"/>
        <w:gridCol w:w="1304"/>
        <w:gridCol w:w="273"/>
        <w:gridCol w:w="742"/>
        <w:gridCol w:w="1483"/>
      </w:tblGrid>
      <w:tr w14:paraId="48E8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2960296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名称</w:t>
            </w:r>
          </w:p>
        </w:tc>
        <w:tc>
          <w:tcPr>
            <w:tcW w:w="7350" w:type="dxa"/>
            <w:gridSpan w:val="9"/>
            <w:noWrap w:val="0"/>
            <w:vAlign w:val="center"/>
          </w:tcPr>
          <w:p w14:paraId="49EF463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5E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721A59C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注册地址</w:t>
            </w:r>
          </w:p>
        </w:tc>
        <w:tc>
          <w:tcPr>
            <w:tcW w:w="3548" w:type="dxa"/>
            <w:gridSpan w:val="5"/>
            <w:noWrap w:val="0"/>
            <w:vAlign w:val="center"/>
          </w:tcPr>
          <w:p w14:paraId="60EE6E1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304" w:type="dxa"/>
            <w:noWrap w:val="0"/>
            <w:vAlign w:val="center"/>
          </w:tcPr>
          <w:p w14:paraId="4B10591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邮政编码</w:t>
            </w:r>
          </w:p>
        </w:tc>
        <w:tc>
          <w:tcPr>
            <w:tcW w:w="2498" w:type="dxa"/>
            <w:gridSpan w:val="3"/>
            <w:noWrap w:val="0"/>
            <w:vAlign w:val="center"/>
          </w:tcPr>
          <w:p w14:paraId="788AB92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649E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vMerge w:val="restart"/>
            <w:noWrap w:val="0"/>
            <w:vAlign w:val="center"/>
          </w:tcPr>
          <w:p w14:paraId="7D4B543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联系方式</w:t>
            </w:r>
          </w:p>
        </w:tc>
        <w:tc>
          <w:tcPr>
            <w:tcW w:w="939" w:type="dxa"/>
            <w:noWrap w:val="0"/>
            <w:vAlign w:val="center"/>
          </w:tcPr>
          <w:p w14:paraId="7AAB769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联系人</w:t>
            </w:r>
          </w:p>
        </w:tc>
        <w:tc>
          <w:tcPr>
            <w:tcW w:w="2609" w:type="dxa"/>
            <w:gridSpan w:val="4"/>
            <w:noWrap w:val="0"/>
            <w:vAlign w:val="center"/>
          </w:tcPr>
          <w:p w14:paraId="7D782E2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304" w:type="dxa"/>
            <w:noWrap w:val="0"/>
            <w:vAlign w:val="center"/>
          </w:tcPr>
          <w:p w14:paraId="5CA443D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电  话</w:t>
            </w:r>
          </w:p>
        </w:tc>
        <w:tc>
          <w:tcPr>
            <w:tcW w:w="2498" w:type="dxa"/>
            <w:gridSpan w:val="3"/>
            <w:noWrap w:val="0"/>
            <w:vAlign w:val="center"/>
          </w:tcPr>
          <w:p w14:paraId="0E7463A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725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vMerge w:val="continue"/>
            <w:noWrap w:val="0"/>
            <w:vAlign w:val="center"/>
          </w:tcPr>
          <w:p w14:paraId="4A84941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9" w:type="dxa"/>
            <w:noWrap w:val="0"/>
            <w:vAlign w:val="center"/>
          </w:tcPr>
          <w:p w14:paraId="786D187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传  真</w:t>
            </w:r>
          </w:p>
        </w:tc>
        <w:tc>
          <w:tcPr>
            <w:tcW w:w="2609" w:type="dxa"/>
            <w:gridSpan w:val="4"/>
            <w:noWrap w:val="0"/>
            <w:vAlign w:val="center"/>
          </w:tcPr>
          <w:p w14:paraId="22DA948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304" w:type="dxa"/>
            <w:noWrap w:val="0"/>
            <w:vAlign w:val="center"/>
          </w:tcPr>
          <w:p w14:paraId="02C1D10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网  址</w:t>
            </w:r>
          </w:p>
        </w:tc>
        <w:tc>
          <w:tcPr>
            <w:tcW w:w="2498" w:type="dxa"/>
            <w:gridSpan w:val="3"/>
            <w:noWrap w:val="0"/>
            <w:vAlign w:val="center"/>
          </w:tcPr>
          <w:p w14:paraId="444065C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0C90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4172D62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组织结构</w:t>
            </w:r>
          </w:p>
        </w:tc>
        <w:tc>
          <w:tcPr>
            <w:tcW w:w="7350" w:type="dxa"/>
            <w:gridSpan w:val="9"/>
            <w:noWrap w:val="0"/>
            <w:vAlign w:val="center"/>
          </w:tcPr>
          <w:p w14:paraId="32DEDF3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820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52C056C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法定代表人</w:t>
            </w:r>
          </w:p>
        </w:tc>
        <w:tc>
          <w:tcPr>
            <w:tcW w:w="939" w:type="dxa"/>
            <w:noWrap w:val="0"/>
            <w:vAlign w:val="center"/>
          </w:tcPr>
          <w:p w14:paraId="481E7B7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姓名</w:t>
            </w:r>
          </w:p>
        </w:tc>
        <w:tc>
          <w:tcPr>
            <w:tcW w:w="1069" w:type="dxa"/>
            <w:noWrap w:val="0"/>
            <w:vAlign w:val="center"/>
          </w:tcPr>
          <w:p w14:paraId="5AB8FD1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336" w:type="dxa"/>
            <w:gridSpan w:val="2"/>
            <w:noWrap w:val="0"/>
            <w:vAlign w:val="center"/>
          </w:tcPr>
          <w:p w14:paraId="3EC9A4A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技术职称</w:t>
            </w:r>
          </w:p>
        </w:tc>
        <w:tc>
          <w:tcPr>
            <w:tcW w:w="1781" w:type="dxa"/>
            <w:gridSpan w:val="3"/>
            <w:noWrap w:val="0"/>
            <w:vAlign w:val="center"/>
          </w:tcPr>
          <w:p w14:paraId="22B22AC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42" w:type="dxa"/>
            <w:noWrap w:val="0"/>
            <w:vAlign w:val="center"/>
          </w:tcPr>
          <w:p w14:paraId="1DD604E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电话</w:t>
            </w:r>
          </w:p>
        </w:tc>
        <w:tc>
          <w:tcPr>
            <w:tcW w:w="1483" w:type="dxa"/>
            <w:noWrap w:val="0"/>
            <w:vAlign w:val="center"/>
          </w:tcPr>
          <w:p w14:paraId="6FF4D5A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D28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6EC9FDA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技术负责人</w:t>
            </w:r>
          </w:p>
        </w:tc>
        <w:tc>
          <w:tcPr>
            <w:tcW w:w="939" w:type="dxa"/>
            <w:noWrap w:val="0"/>
            <w:vAlign w:val="center"/>
          </w:tcPr>
          <w:p w14:paraId="1081E25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姓名</w:t>
            </w:r>
          </w:p>
        </w:tc>
        <w:tc>
          <w:tcPr>
            <w:tcW w:w="1069" w:type="dxa"/>
            <w:noWrap w:val="0"/>
            <w:vAlign w:val="center"/>
          </w:tcPr>
          <w:p w14:paraId="735FA06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336" w:type="dxa"/>
            <w:gridSpan w:val="2"/>
            <w:noWrap w:val="0"/>
            <w:vAlign w:val="center"/>
          </w:tcPr>
          <w:p w14:paraId="34C27AB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技术职称</w:t>
            </w:r>
          </w:p>
        </w:tc>
        <w:tc>
          <w:tcPr>
            <w:tcW w:w="1781" w:type="dxa"/>
            <w:gridSpan w:val="3"/>
            <w:noWrap w:val="0"/>
            <w:vAlign w:val="center"/>
          </w:tcPr>
          <w:p w14:paraId="3E7FE5E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42" w:type="dxa"/>
            <w:noWrap w:val="0"/>
            <w:vAlign w:val="center"/>
          </w:tcPr>
          <w:p w14:paraId="67820CE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电话</w:t>
            </w:r>
          </w:p>
        </w:tc>
        <w:tc>
          <w:tcPr>
            <w:tcW w:w="1483" w:type="dxa"/>
            <w:noWrap w:val="0"/>
            <w:vAlign w:val="center"/>
          </w:tcPr>
          <w:p w14:paraId="01474F0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585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0EAA053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成立时间</w:t>
            </w:r>
          </w:p>
        </w:tc>
        <w:tc>
          <w:tcPr>
            <w:tcW w:w="2008" w:type="dxa"/>
            <w:gridSpan w:val="2"/>
            <w:noWrap w:val="0"/>
            <w:vAlign w:val="center"/>
          </w:tcPr>
          <w:p w14:paraId="0ADEB65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5342" w:type="dxa"/>
            <w:gridSpan w:val="7"/>
            <w:noWrap w:val="0"/>
            <w:vAlign w:val="center"/>
          </w:tcPr>
          <w:p w14:paraId="3EFC5A7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员工总人数：</w:t>
            </w:r>
          </w:p>
        </w:tc>
      </w:tr>
      <w:tr w14:paraId="61A6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65A339D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企业资质等级</w:t>
            </w:r>
          </w:p>
        </w:tc>
        <w:tc>
          <w:tcPr>
            <w:tcW w:w="2008" w:type="dxa"/>
            <w:gridSpan w:val="2"/>
            <w:noWrap w:val="0"/>
            <w:vAlign w:val="center"/>
          </w:tcPr>
          <w:p w14:paraId="2288C41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40" w:type="dxa"/>
            <w:vMerge w:val="restart"/>
            <w:noWrap w:val="0"/>
            <w:vAlign w:val="center"/>
          </w:tcPr>
          <w:p w14:paraId="6FA2CED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其中</w:t>
            </w:r>
          </w:p>
        </w:tc>
        <w:tc>
          <w:tcPr>
            <w:tcW w:w="2077" w:type="dxa"/>
            <w:gridSpan w:val="4"/>
            <w:noWrap w:val="0"/>
            <w:vAlign w:val="center"/>
          </w:tcPr>
          <w:p w14:paraId="070555F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项目经理</w:t>
            </w:r>
          </w:p>
        </w:tc>
        <w:tc>
          <w:tcPr>
            <w:tcW w:w="2225" w:type="dxa"/>
            <w:gridSpan w:val="2"/>
            <w:noWrap w:val="0"/>
            <w:vAlign w:val="center"/>
          </w:tcPr>
          <w:p w14:paraId="2037C9C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8AD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6C72E00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营业执照号</w:t>
            </w:r>
          </w:p>
        </w:tc>
        <w:tc>
          <w:tcPr>
            <w:tcW w:w="2008" w:type="dxa"/>
            <w:gridSpan w:val="2"/>
            <w:noWrap w:val="0"/>
            <w:vAlign w:val="center"/>
          </w:tcPr>
          <w:p w14:paraId="5BC302F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40" w:type="dxa"/>
            <w:vMerge w:val="continue"/>
            <w:noWrap w:val="0"/>
            <w:vAlign w:val="center"/>
          </w:tcPr>
          <w:p w14:paraId="24B6C12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2077" w:type="dxa"/>
            <w:gridSpan w:val="4"/>
            <w:noWrap w:val="0"/>
            <w:vAlign w:val="center"/>
          </w:tcPr>
          <w:p w14:paraId="083CBB9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高级职称人员</w:t>
            </w:r>
          </w:p>
        </w:tc>
        <w:tc>
          <w:tcPr>
            <w:tcW w:w="2225" w:type="dxa"/>
            <w:gridSpan w:val="2"/>
            <w:noWrap w:val="0"/>
            <w:vAlign w:val="center"/>
          </w:tcPr>
          <w:p w14:paraId="0AF18E6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5D4E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56F0C7B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注册资金</w:t>
            </w:r>
          </w:p>
        </w:tc>
        <w:tc>
          <w:tcPr>
            <w:tcW w:w="2008" w:type="dxa"/>
            <w:gridSpan w:val="2"/>
            <w:noWrap w:val="0"/>
            <w:vAlign w:val="center"/>
          </w:tcPr>
          <w:p w14:paraId="4FA0FEA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40" w:type="dxa"/>
            <w:vMerge w:val="continue"/>
            <w:noWrap w:val="0"/>
            <w:vAlign w:val="center"/>
          </w:tcPr>
          <w:p w14:paraId="4E208A0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2077" w:type="dxa"/>
            <w:gridSpan w:val="4"/>
            <w:noWrap w:val="0"/>
            <w:vAlign w:val="center"/>
          </w:tcPr>
          <w:p w14:paraId="7077111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中级职称人员</w:t>
            </w:r>
          </w:p>
        </w:tc>
        <w:tc>
          <w:tcPr>
            <w:tcW w:w="2225" w:type="dxa"/>
            <w:gridSpan w:val="2"/>
            <w:noWrap w:val="0"/>
            <w:vAlign w:val="center"/>
          </w:tcPr>
          <w:p w14:paraId="5B936EF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0933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059C81D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开户银行</w:t>
            </w:r>
          </w:p>
        </w:tc>
        <w:tc>
          <w:tcPr>
            <w:tcW w:w="2008" w:type="dxa"/>
            <w:gridSpan w:val="2"/>
            <w:noWrap w:val="0"/>
            <w:vAlign w:val="center"/>
          </w:tcPr>
          <w:p w14:paraId="7D6AD2B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40" w:type="dxa"/>
            <w:vMerge w:val="continue"/>
            <w:noWrap w:val="0"/>
            <w:vAlign w:val="center"/>
          </w:tcPr>
          <w:p w14:paraId="590534D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2077" w:type="dxa"/>
            <w:gridSpan w:val="4"/>
            <w:noWrap w:val="0"/>
            <w:vAlign w:val="center"/>
          </w:tcPr>
          <w:p w14:paraId="47222E5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初级职称人员</w:t>
            </w:r>
          </w:p>
        </w:tc>
        <w:tc>
          <w:tcPr>
            <w:tcW w:w="2225" w:type="dxa"/>
            <w:gridSpan w:val="2"/>
            <w:noWrap w:val="0"/>
            <w:vAlign w:val="center"/>
          </w:tcPr>
          <w:p w14:paraId="4B64753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F92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1D5DF18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账号</w:t>
            </w:r>
          </w:p>
        </w:tc>
        <w:tc>
          <w:tcPr>
            <w:tcW w:w="2008" w:type="dxa"/>
            <w:gridSpan w:val="2"/>
            <w:noWrap w:val="0"/>
            <w:vAlign w:val="center"/>
          </w:tcPr>
          <w:p w14:paraId="51DEBC4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40" w:type="dxa"/>
            <w:vMerge w:val="continue"/>
            <w:noWrap w:val="0"/>
            <w:vAlign w:val="center"/>
          </w:tcPr>
          <w:p w14:paraId="1A4700A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2077" w:type="dxa"/>
            <w:gridSpan w:val="4"/>
            <w:noWrap w:val="0"/>
            <w:vAlign w:val="center"/>
          </w:tcPr>
          <w:p w14:paraId="6AA3D37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技  工</w:t>
            </w:r>
          </w:p>
        </w:tc>
        <w:tc>
          <w:tcPr>
            <w:tcW w:w="2225" w:type="dxa"/>
            <w:gridSpan w:val="2"/>
            <w:noWrap w:val="0"/>
            <w:vAlign w:val="center"/>
          </w:tcPr>
          <w:p w14:paraId="4DDFEF0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E19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555" w:type="dxa"/>
            <w:noWrap w:val="0"/>
            <w:vAlign w:val="center"/>
          </w:tcPr>
          <w:p w14:paraId="47AABAD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经营范围</w:t>
            </w:r>
          </w:p>
        </w:tc>
        <w:tc>
          <w:tcPr>
            <w:tcW w:w="7350" w:type="dxa"/>
            <w:gridSpan w:val="9"/>
            <w:noWrap w:val="0"/>
            <w:vAlign w:val="center"/>
          </w:tcPr>
          <w:p w14:paraId="0F5EFB4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76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55" w:type="dxa"/>
            <w:noWrap w:val="0"/>
            <w:vAlign w:val="center"/>
          </w:tcPr>
          <w:p w14:paraId="03FE633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备注</w:t>
            </w:r>
          </w:p>
        </w:tc>
        <w:tc>
          <w:tcPr>
            <w:tcW w:w="7350" w:type="dxa"/>
            <w:gridSpan w:val="9"/>
            <w:noWrap w:val="0"/>
            <w:vAlign w:val="center"/>
          </w:tcPr>
          <w:p w14:paraId="42D295F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bl>
    <w:p w14:paraId="7364C706">
      <w:pPr>
        <w:pageBreakBefore w:val="0"/>
        <w:wordWrap w:val="0"/>
        <w:overflowPunct/>
        <w:topLinePunct w:val="0"/>
        <w:autoSpaceDE/>
        <w:autoSpaceDN/>
        <w:bidi w:val="0"/>
        <w:textAlignment w:val="auto"/>
        <w:rPr>
          <w:rFonts w:hint="eastAsia" w:ascii="宋体" w:hAnsi="宋体" w:eastAsia="宋体" w:cs="宋体"/>
          <w:b/>
          <w:color w:val="auto"/>
          <w:spacing w:val="0"/>
          <w:position w:val="0"/>
          <w:szCs w:val="21"/>
        </w:rPr>
      </w:pPr>
      <w:r>
        <w:rPr>
          <w:rFonts w:hint="eastAsia" w:ascii="宋体" w:hAnsi="宋体" w:eastAsia="宋体" w:cs="宋体"/>
          <w:b/>
          <w:color w:val="auto"/>
          <w:spacing w:val="0"/>
          <w:position w:val="0"/>
          <w:szCs w:val="21"/>
        </w:rPr>
        <w:t>备注：本表中涉及的营业执照、企业资质证书副本、安全生产许可证等材料。</w:t>
      </w:r>
    </w:p>
    <w:p w14:paraId="74F4AF73">
      <w:pPr>
        <w:pStyle w:val="4"/>
        <w:keepNext/>
        <w:keepLines/>
        <w:pageBreakBefore w:val="0"/>
        <w:widowControl w:val="0"/>
        <w:kinsoku/>
        <w:wordWrap w:val="0"/>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Cs/>
          <w:color w:val="auto"/>
          <w:spacing w:val="0"/>
          <w:position w:val="0"/>
          <w:sz w:val="24"/>
          <w:szCs w:val="24"/>
        </w:rPr>
      </w:pPr>
      <w:r>
        <w:rPr>
          <w:rFonts w:hint="eastAsia" w:ascii="宋体" w:hAnsi="宋体" w:eastAsia="宋体" w:cs="宋体"/>
          <w:color w:val="auto"/>
          <w:spacing w:val="0"/>
          <w:position w:val="0"/>
          <w:szCs w:val="21"/>
        </w:rPr>
        <w:br w:type="page"/>
      </w:r>
      <w:bookmarkStart w:id="167" w:name="_Toc383698893"/>
      <w:bookmarkStart w:id="168" w:name="_Toc75721302"/>
      <w:bookmarkStart w:id="169" w:name="_Toc2670991"/>
      <w:bookmarkStart w:id="170" w:name="_Toc2670827"/>
      <w:bookmarkStart w:id="171" w:name="_Toc16842"/>
      <w:bookmarkStart w:id="172" w:name="_Toc11787"/>
      <w:bookmarkStart w:id="173" w:name="_Toc2672935"/>
      <w:bookmarkStart w:id="174" w:name="_Toc7191"/>
      <w:bookmarkStart w:id="175" w:name="_Toc8640587"/>
      <w:bookmarkStart w:id="176" w:name="_Toc352755767"/>
      <w:bookmarkStart w:id="177" w:name="_Toc75721414"/>
      <w:bookmarkStart w:id="178" w:name="_Toc87802580"/>
      <w:bookmarkStart w:id="179" w:name="_Toc351053280"/>
      <w:bookmarkStart w:id="180" w:name="_Toc9774"/>
      <w:r>
        <w:rPr>
          <w:rFonts w:hint="eastAsia" w:ascii="宋体" w:hAnsi="宋体" w:eastAsia="宋体" w:cs="宋体"/>
          <w:bCs/>
          <w:color w:val="auto"/>
          <w:spacing w:val="0"/>
          <w:position w:val="0"/>
          <w:sz w:val="24"/>
          <w:szCs w:val="24"/>
        </w:rPr>
        <w:t>（</w:t>
      </w:r>
      <w:r>
        <w:rPr>
          <w:rFonts w:hint="eastAsia" w:ascii="宋体" w:hAnsi="宋体" w:eastAsia="宋体" w:cs="宋体"/>
          <w:bCs/>
          <w:color w:val="auto"/>
          <w:spacing w:val="0"/>
          <w:position w:val="0"/>
          <w:sz w:val="24"/>
          <w:szCs w:val="24"/>
          <w:lang w:val="en-US" w:eastAsia="zh-CN"/>
        </w:rPr>
        <w:t>二</w:t>
      </w:r>
      <w:r>
        <w:rPr>
          <w:rFonts w:hint="eastAsia" w:ascii="宋体" w:hAnsi="宋体" w:eastAsia="宋体" w:cs="宋体"/>
          <w:bCs/>
          <w:color w:val="auto"/>
          <w:spacing w:val="0"/>
          <w:position w:val="0"/>
          <w:sz w:val="24"/>
          <w:szCs w:val="24"/>
        </w:rPr>
        <w:t>）</w:t>
      </w:r>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宋体" w:hAnsi="宋体" w:eastAsia="宋体" w:cs="宋体"/>
          <w:bCs/>
          <w:color w:val="auto"/>
          <w:spacing w:val="0"/>
          <w:position w:val="0"/>
          <w:sz w:val="24"/>
          <w:szCs w:val="24"/>
        </w:rPr>
        <w:t>近年完成的类似项目情况表</w:t>
      </w:r>
      <w:bookmarkEnd w:id="180"/>
    </w:p>
    <w:tbl>
      <w:tblPr>
        <w:tblStyle w:val="46"/>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464"/>
      </w:tblGrid>
      <w:tr w14:paraId="6677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93916B2">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项目名称</w:t>
            </w:r>
          </w:p>
        </w:tc>
        <w:tc>
          <w:tcPr>
            <w:tcW w:w="6464" w:type="dxa"/>
            <w:noWrap w:val="0"/>
            <w:vAlign w:val="center"/>
          </w:tcPr>
          <w:p w14:paraId="3154069C">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3E07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A581489">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项目所在地</w:t>
            </w:r>
          </w:p>
        </w:tc>
        <w:tc>
          <w:tcPr>
            <w:tcW w:w="6464" w:type="dxa"/>
            <w:noWrap w:val="0"/>
            <w:vAlign w:val="center"/>
          </w:tcPr>
          <w:p w14:paraId="2628B836">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35D9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195F766">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发包人名称</w:t>
            </w:r>
          </w:p>
        </w:tc>
        <w:tc>
          <w:tcPr>
            <w:tcW w:w="6464" w:type="dxa"/>
            <w:noWrap w:val="0"/>
            <w:vAlign w:val="center"/>
          </w:tcPr>
          <w:p w14:paraId="0F18747B">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0D47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D84EFEC">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发包人地址</w:t>
            </w:r>
          </w:p>
        </w:tc>
        <w:tc>
          <w:tcPr>
            <w:tcW w:w="6464" w:type="dxa"/>
            <w:noWrap w:val="0"/>
            <w:vAlign w:val="center"/>
          </w:tcPr>
          <w:p w14:paraId="355B4C06">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155B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6D1867A">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发包人联系人及电话</w:t>
            </w:r>
          </w:p>
        </w:tc>
        <w:tc>
          <w:tcPr>
            <w:tcW w:w="6464" w:type="dxa"/>
            <w:noWrap w:val="0"/>
            <w:vAlign w:val="center"/>
          </w:tcPr>
          <w:p w14:paraId="22FB9FB1">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0761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2F06624">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合同价格</w:t>
            </w:r>
          </w:p>
        </w:tc>
        <w:tc>
          <w:tcPr>
            <w:tcW w:w="6464" w:type="dxa"/>
            <w:noWrap w:val="0"/>
            <w:vAlign w:val="center"/>
          </w:tcPr>
          <w:p w14:paraId="3FADCB0D">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354F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1128AF">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开工日期</w:t>
            </w:r>
          </w:p>
        </w:tc>
        <w:tc>
          <w:tcPr>
            <w:tcW w:w="6464" w:type="dxa"/>
            <w:noWrap w:val="0"/>
            <w:vAlign w:val="center"/>
          </w:tcPr>
          <w:p w14:paraId="43737BA2">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6031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944E86">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竣工日期</w:t>
            </w:r>
          </w:p>
        </w:tc>
        <w:tc>
          <w:tcPr>
            <w:tcW w:w="6464" w:type="dxa"/>
            <w:noWrap w:val="0"/>
            <w:vAlign w:val="center"/>
          </w:tcPr>
          <w:p w14:paraId="7084EDD4">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6D75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12988AF">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承担的工作</w:t>
            </w:r>
          </w:p>
        </w:tc>
        <w:tc>
          <w:tcPr>
            <w:tcW w:w="6464" w:type="dxa"/>
            <w:noWrap w:val="0"/>
            <w:vAlign w:val="center"/>
          </w:tcPr>
          <w:p w14:paraId="7A70654E">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1C25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FB79B59">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工程质量</w:t>
            </w:r>
          </w:p>
        </w:tc>
        <w:tc>
          <w:tcPr>
            <w:tcW w:w="6464" w:type="dxa"/>
            <w:noWrap w:val="0"/>
            <w:vAlign w:val="center"/>
          </w:tcPr>
          <w:p w14:paraId="43B5BA25">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750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5FF94BA">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项目经理</w:t>
            </w:r>
          </w:p>
        </w:tc>
        <w:tc>
          <w:tcPr>
            <w:tcW w:w="6464" w:type="dxa"/>
            <w:noWrap w:val="0"/>
            <w:vAlign w:val="center"/>
          </w:tcPr>
          <w:p w14:paraId="46EC59D3">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667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35387BB">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技术负责人</w:t>
            </w:r>
          </w:p>
        </w:tc>
        <w:tc>
          <w:tcPr>
            <w:tcW w:w="6464" w:type="dxa"/>
            <w:noWrap w:val="0"/>
            <w:vAlign w:val="center"/>
          </w:tcPr>
          <w:p w14:paraId="5C1137A8">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1B10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30A2339">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总监理工程师及电话</w:t>
            </w:r>
          </w:p>
        </w:tc>
        <w:tc>
          <w:tcPr>
            <w:tcW w:w="6464" w:type="dxa"/>
            <w:noWrap w:val="0"/>
            <w:vAlign w:val="center"/>
          </w:tcPr>
          <w:p w14:paraId="540BA379">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0E7F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2411" w:type="dxa"/>
            <w:noWrap w:val="0"/>
            <w:vAlign w:val="center"/>
          </w:tcPr>
          <w:p w14:paraId="7E4F40FC">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项目描述</w:t>
            </w:r>
          </w:p>
        </w:tc>
        <w:tc>
          <w:tcPr>
            <w:tcW w:w="6464" w:type="dxa"/>
            <w:noWrap w:val="0"/>
            <w:vAlign w:val="center"/>
          </w:tcPr>
          <w:p w14:paraId="1D3076EA">
            <w:pPr>
              <w:pageBreakBefore w:val="0"/>
              <w:wordWrap w:val="0"/>
              <w:topLinePunct w:val="0"/>
              <w:autoSpaceDE/>
              <w:autoSpaceDN/>
              <w:bidi w:val="0"/>
              <w:spacing w:after="0"/>
              <w:jc w:val="center"/>
              <w:textAlignment w:val="auto"/>
              <w:rPr>
                <w:rFonts w:hint="eastAsia" w:ascii="宋体" w:hAnsi="宋体" w:eastAsia="宋体" w:cs="宋体"/>
                <w:szCs w:val="21"/>
              </w:rPr>
            </w:pPr>
          </w:p>
        </w:tc>
      </w:tr>
      <w:tr w14:paraId="64AF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930328F">
            <w:pPr>
              <w:pageBreakBefore w:val="0"/>
              <w:wordWrap w:val="0"/>
              <w:topLinePunct w:val="0"/>
              <w:autoSpaceDE/>
              <w:autoSpaceDN/>
              <w:bidi w:val="0"/>
              <w:spacing w:after="0"/>
              <w:jc w:val="center"/>
              <w:textAlignment w:val="auto"/>
              <w:rPr>
                <w:rFonts w:hint="eastAsia" w:ascii="宋体" w:hAnsi="宋体" w:eastAsia="宋体" w:cs="宋体"/>
                <w:szCs w:val="21"/>
              </w:rPr>
            </w:pPr>
            <w:r>
              <w:rPr>
                <w:rFonts w:hint="eastAsia" w:ascii="宋体" w:hAnsi="宋体" w:eastAsia="宋体" w:cs="宋体"/>
                <w:szCs w:val="21"/>
              </w:rPr>
              <w:t>备注</w:t>
            </w:r>
          </w:p>
        </w:tc>
        <w:tc>
          <w:tcPr>
            <w:tcW w:w="6464" w:type="dxa"/>
            <w:noWrap w:val="0"/>
            <w:vAlign w:val="center"/>
          </w:tcPr>
          <w:p w14:paraId="41CD1382">
            <w:pPr>
              <w:pageBreakBefore w:val="0"/>
              <w:wordWrap w:val="0"/>
              <w:topLinePunct w:val="0"/>
              <w:autoSpaceDE/>
              <w:autoSpaceDN/>
              <w:bidi w:val="0"/>
              <w:spacing w:after="0"/>
              <w:jc w:val="center"/>
              <w:textAlignment w:val="auto"/>
              <w:rPr>
                <w:rFonts w:hint="eastAsia" w:ascii="宋体" w:hAnsi="宋体" w:eastAsia="宋体" w:cs="宋体"/>
                <w:szCs w:val="21"/>
              </w:rPr>
            </w:pPr>
          </w:p>
        </w:tc>
      </w:tr>
    </w:tbl>
    <w:p w14:paraId="360765B6">
      <w:pPr>
        <w:pageBreakBefore w:val="0"/>
        <w:wordWrap w:val="0"/>
        <w:overflowPunct/>
        <w:topLinePunct w:val="0"/>
        <w:autoSpaceDE/>
        <w:autoSpaceDN/>
        <w:bidi w:val="0"/>
        <w:spacing w:line="440" w:lineRule="exact"/>
        <w:textAlignment w:val="auto"/>
        <w:rPr>
          <w:rFonts w:hint="eastAsia" w:ascii="宋体" w:hAnsi="宋体" w:eastAsia="宋体" w:cs="宋体"/>
          <w:color w:val="auto"/>
          <w:spacing w:val="0"/>
          <w:position w:val="0"/>
          <w:szCs w:val="21"/>
        </w:rPr>
      </w:pPr>
      <w:r>
        <w:rPr>
          <w:rFonts w:hint="eastAsia" w:ascii="宋体" w:hAnsi="宋体" w:eastAsia="宋体" w:cs="宋体"/>
          <w:szCs w:val="21"/>
        </w:rPr>
        <w:t>备注：本表后附中标或成交通知书、合同协议书。</w:t>
      </w:r>
    </w:p>
    <w:p w14:paraId="29993E64">
      <w:pPr>
        <w:rPr>
          <w:rFonts w:hint="eastAsia" w:ascii="宋体" w:hAnsi="宋体" w:eastAsia="宋体" w:cs="宋体"/>
        </w:rPr>
      </w:pPr>
      <w:r>
        <w:rPr>
          <w:rFonts w:hint="eastAsia" w:ascii="宋体" w:hAnsi="宋体" w:eastAsia="宋体" w:cs="宋体"/>
        </w:rPr>
        <w:br w:type="page"/>
      </w:r>
    </w:p>
    <w:p w14:paraId="420E7888">
      <w:pPr>
        <w:pStyle w:val="4"/>
        <w:pageBreakBefore w:val="0"/>
        <w:wordWrap w:val="0"/>
        <w:overflowPunct/>
        <w:topLinePunct w:val="0"/>
        <w:autoSpaceDE/>
        <w:autoSpaceDN/>
        <w:bidi w:val="0"/>
        <w:spacing w:before="156" w:beforeLines="50" w:after="156" w:afterLines="50" w:line="480" w:lineRule="exact"/>
        <w:jc w:val="center"/>
        <w:textAlignment w:val="auto"/>
        <w:rPr>
          <w:rFonts w:hint="eastAsia" w:ascii="宋体" w:hAnsi="宋体" w:eastAsia="宋体" w:cs="宋体"/>
          <w:b/>
          <w:bCs/>
          <w:color w:val="auto"/>
          <w:spacing w:val="0"/>
          <w:kern w:val="2"/>
          <w:position w:val="0"/>
          <w:sz w:val="24"/>
          <w:szCs w:val="24"/>
          <w:lang w:val="en-US" w:eastAsia="zh-CN" w:bidi="ar-SA"/>
        </w:rPr>
      </w:pPr>
      <w:bookmarkStart w:id="181" w:name="_Toc7228"/>
      <w:bookmarkStart w:id="182" w:name="_Toc20294"/>
      <w:bookmarkStart w:id="183" w:name="_Toc17692"/>
      <w:r>
        <w:rPr>
          <w:rFonts w:hint="eastAsia" w:ascii="宋体" w:hAnsi="宋体" w:eastAsia="宋体" w:cs="宋体"/>
          <w:bCs/>
          <w:color w:val="auto"/>
          <w:spacing w:val="0"/>
          <w:position w:val="0"/>
          <w:sz w:val="24"/>
          <w:szCs w:val="24"/>
        </w:rPr>
        <w:t>（</w:t>
      </w:r>
      <w:r>
        <w:rPr>
          <w:rFonts w:hint="eastAsia" w:ascii="宋体" w:hAnsi="宋体" w:eastAsia="宋体" w:cs="宋体"/>
          <w:bCs/>
          <w:color w:val="auto"/>
          <w:spacing w:val="0"/>
          <w:position w:val="0"/>
          <w:sz w:val="24"/>
          <w:szCs w:val="24"/>
          <w:lang w:val="en-US" w:eastAsia="zh-CN"/>
        </w:rPr>
        <w:t>三</w:t>
      </w:r>
      <w:r>
        <w:rPr>
          <w:rFonts w:hint="eastAsia" w:ascii="宋体" w:hAnsi="宋体" w:eastAsia="宋体" w:cs="宋体"/>
          <w:bCs/>
          <w:color w:val="auto"/>
          <w:spacing w:val="0"/>
          <w:position w:val="0"/>
          <w:sz w:val="24"/>
          <w:szCs w:val="24"/>
        </w:rPr>
        <w:t>）</w:t>
      </w:r>
      <w:bookmarkEnd w:id="181"/>
      <w:bookmarkEnd w:id="182"/>
      <w:bookmarkStart w:id="184" w:name="_Toc27743"/>
      <w:bookmarkStart w:id="185" w:name="_Toc75721416"/>
      <w:bookmarkStart w:id="186" w:name="_Toc75721304"/>
      <w:bookmarkStart w:id="187" w:name="_Toc5492"/>
      <w:bookmarkStart w:id="188" w:name="_Toc6222"/>
      <w:bookmarkStart w:id="189" w:name="_Toc87802582"/>
      <w:r>
        <w:rPr>
          <w:rFonts w:hint="eastAsia" w:ascii="宋体" w:hAnsi="宋体" w:eastAsia="宋体" w:cs="宋体"/>
          <w:b/>
          <w:bCs/>
          <w:color w:val="auto"/>
          <w:spacing w:val="0"/>
          <w:kern w:val="2"/>
          <w:position w:val="0"/>
          <w:sz w:val="24"/>
          <w:szCs w:val="24"/>
          <w:lang w:val="en-US" w:eastAsia="zh-CN" w:bidi="ar-SA"/>
        </w:rPr>
        <w:t>资格</w:t>
      </w:r>
      <w:r>
        <w:rPr>
          <w:rFonts w:hint="eastAsia" w:ascii="宋体" w:hAnsi="宋体" w:eastAsia="宋体" w:cs="宋体"/>
          <w:bCs/>
          <w:color w:val="auto"/>
          <w:spacing w:val="0"/>
          <w:position w:val="0"/>
          <w:sz w:val="24"/>
          <w:szCs w:val="24"/>
          <w:lang w:val="en-US" w:eastAsia="zh-CN"/>
        </w:rPr>
        <w:t>审查</w:t>
      </w:r>
      <w:r>
        <w:rPr>
          <w:rFonts w:hint="eastAsia" w:ascii="宋体" w:hAnsi="宋体" w:eastAsia="宋体" w:cs="宋体"/>
          <w:b/>
          <w:bCs/>
          <w:color w:val="auto"/>
          <w:spacing w:val="0"/>
          <w:kern w:val="2"/>
          <w:position w:val="0"/>
          <w:sz w:val="24"/>
          <w:szCs w:val="24"/>
          <w:lang w:val="en-US" w:eastAsia="zh-CN" w:bidi="ar-SA"/>
        </w:rPr>
        <w:t>要求的其他材料</w:t>
      </w:r>
      <w:bookmarkEnd w:id="183"/>
      <w:bookmarkEnd w:id="184"/>
      <w:bookmarkEnd w:id="185"/>
      <w:bookmarkEnd w:id="186"/>
      <w:bookmarkEnd w:id="187"/>
      <w:bookmarkEnd w:id="188"/>
      <w:bookmarkEnd w:id="189"/>
    </w:p>
    <w:p w14:paraId="5DEF011F">
      <w:pPr>
        <w:pageBreakBefore w:val="0"/>
        <w:wordWrap w:val="0"/>
        <w:overflowPunct/>
        <w:topLinePunct/>
        <w:autoSpaceDE/>
        <w:autoSpaceDN/>
        <w:bidi w:val="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一、满足《中华人民共和国政府采购法》第二十二条规定：</w:t>
      </w:r>
    </w:p>
    <w:p w14:paraId="543023E2">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（1）具有独立承担民事责任的能力（提供法人或者其他组织的营业执照等证明文件）。</w:t>
      </w:r>
    </w:p>
    <w:p w14:paraId="5CDCE0A8">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（2）具有良好的商业信誉和健全的财务会计制度（提供2023年度会计师事务所出具的财务审计报告，公司成立时间不足一年的提供基本开户银行出具的资信证明)。</w:t>
      </w:r>
    </w:p>
    <w:p w14:paraId="1276EC78">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（3）</w:t>
      </w:r>
      <w:r>
        <w:rPr>
          <w:rFonts w:hint="eastAsia" w:ascii="宋体" w:hAnsi="宋体" w:eastAsia="宋体" w:cs="宋体"/>
          <w:color w:val="auto"/>
          <w:spacing w:val="-6"/>
          <w:position w:val="0"/>
          <w:sz w:val="21"/>
          <w:lang w:val="en-US" w:eastAsia="zh-CN"/>
        </w:rPr>
        <w:t>具有履行合同所必需的设备和专业技术能力（提供承诺书或相关证明材料，格式自拟）</w:t>
      </w:r>
      <w:r>
        <w:rPr>
          <w:rFonts w:hint="eastAsia" w:ascii="宋体" w:hAnsi="宋体" w:eastAsia="宋体" w:cs="宋体"/>
          <w:color w:val="auto"/>
          <w:spacing w:val="0"/>
          <w:position w:val="0"/>
          <w:lang w:val="en-US" w:eastAsia="zh-CN"/>
        </w:rPr>
        <w:t>。</w:t>
      </w:r>
    </w:p>
    <w:p w14:paraId="47E6B36B">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4）有依法缴纳税收和社会保障资金的良好记录（提供2024年1月1日以来任意一个月的社保缴纳证明材料和税收缴纳证明材料；依法免税或不需要缴纳社会保障资金的供应商，应提供相应文件证明其依法免税或者不需要缴纳社会保障资金）。</w:t>
      </w:r>
    </w:p>
    <w:p w14:paraId="0B4F6CE6">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5）参加本次政府采购活动前三年内，在经营活动中没有重大违法记录的书面声明；重大违法记录指供应商因违法经营受到刑事处罚或者责令停产停业、吊销许可证或者执照、较大数额罚款等行政处罚（提供承诺书，格式自拟）。</w:t>
      </w:r>
    </w:p>
    <w:p w14:paraId="378BA540">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（6）</w:t>
      </w:r>
      <w:r>
        <w:rPr>
          <w:rFonts w:hint="eastAsia" w:ascii="宋体" w:hAnsi="宋体" w:eastAsia="宋体" w:cs="宋体"/>
          <w:color w:val="auto"/>
          <w:spacing w:val="-6"/>
          <w:position w:val="0"/>
          <w:sz w:val="21"/>
          <w:lang w:val="en-US" w:eastAsia="zh-CN"/>
        </w:rPr>
        <w:t>企业（2021年1月1日以来）没有处于被责令停业、停产，投标资格被取消，财产被冻结、接管、破产状态，未存在被有关部门暂停投标资格并在暂停期内（自行承诺，格式自拟）</w:t>
      </w:r>
      <w:r>
        <w:rPr>
          <w:rFonts w:hint="eastAsia" w:ascii="宋体" w:hAnsi="宋体" w:eastAsia="宋体" w:cs="宋体"/>
          <w:color w:val="auto"/>
          <w:spacing w:val="0"/>
          <w:position w:val="0"/>
          <w:lang w:val="en-US" w:eastAsia="zh-CN"/>
        </w:rPr>
        <w:t>。</w:t>
      </w:r>
    </w:p>
    <w:p w14:paraId="0DF4F943">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（7）相关网站查询企业信用信息。</w:t>
      </w:r>
    </w:p>
    <w:p w14:paraId="44A458D8">
      <w:pPr>
        <w:pageBreakBefore w:val="0"/>
        <w:wordWrap w:val="0"/>
        <w:overflowPunct/>
        <w:topLinePunct/>
        <w:autoSpaceDE/>
        <w:autoSpaceDN/>
        <w:bidi w:val="0"/>
        <w:ind w:firstLine="420" w:firstLineChars="20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8）单位负责人为同一人或者存在直接控股、管理关系的不同供应商，不得参加同一合同项下的政府采购活动。提供“国家企业信用信息公示系统”中查询打印的相关信息（须显示基息中的“营业执照信息”和“股东及出资信息”）。</w:t>
      </w:r>
    </w:p>
    <w:p w14:paraId="09CEBB7B">
      <w:pPr>
        <w:pageBreakBefore w:val="0"/>
        <w:wordWrap w:val="0"/>
        <w:overflowPunct/>
        <w:topLinePunct/>
        <w:autoSpaceDE/>
        <w:autoSpaceDN/>
        <w:bidi w:val="0"/>
        <w:rPr>
          <w:rFonts w:hint="eastAsia" w:ascii="宋体" w:hAnsi="宋体" w:eastAsia="宋体" w:cs="宋体"/>
          <w:color w:val="auto"/>
          <w:spacing w:val="0"/>
          <w:position w:val="0"/>
          <w:lang w:val="en-US" w:eastAsia="zh-CN"/>
        </w:rPr>
      </w:pPr>
    </w:p>
    <w:p w14:paraId="0E62D84E">
      <w:pPr>
        <w:pageBreakBefore w:val="0"/>
        <w:wordWrap w:val="0"/>
        <w:overflowPunct/>
        <w:topLinePunct/>
        <w:autoSpaceDE/>
        <w:autoSpaceDN/>
        <w:bidi w:val="0"/>
        <w:rPr>
          <w:rFonts w:hint="eastAsia" w:ascii="宋体" w:hAnsi="宋体" w:eastAsia="宋体" w:cs="宋体"/>
          <w:color w:val="auto"/>
          <w:spacing w:val="0"/>
          <w:position w:val="0"/>
          <w:lang w:val="en-US" w:eastAsia="zh-CN"/>
        </w:rPr>
      </w:pPr>
    </w:p>
    <w:p w14:paraId="74AB389F">
      <w:pPr>
        <w:pageBreakBefore w:val="0"/>
        <w:wordWrap w:val="0"/>
        <w:overflowPunct/>
        <w:topLinePunct/>
        <w:autoSpaceDE/>
        <w:autoSpaceDN/>
        <w:bidi w:val="0"/>
        <w:rPr>
          <w:rFonts w:hint="eastAsia" w:ascii="宋体" w:hAnsi="宋体" w:eastAsia="宋体" w:cs="宋体"/>
          <w:color w:val="auto"/>
          <w:spacing w:val="0"/>
          <w:position w:val="0"/>
        </w:rPr>
      </w:pPr>
      <w:r>
        <w:rPr>
          <w:rFonts w:hint="eastAsia" w:ascii="宋体" w:hAnsi="宋体" w:eastAsia="宋体" w:cs="宋体"/>
          <w:color w:val="auto"/>
          <w:spacing w:val="0"/>
          <w:position w:val="0"/>
          <w:lang w:val="en-US" w:eastAsia="zh-CN"/>
        </w:rPr>
        <w:t>二、</w:t>
      </w:r>
      <w:r>
        <w:rPr>
          <w:rFonts w:hint="eastAsia" w:ascii="宋体" w:hAnsi="宋体" w:eastAsia="宋体" w:cs="宋体"/>
          <w:color w:val="auto"/>
          <w:spacing w:val="0"/>
          <w:position w:val="0"/>
          <w:lang w:eastAsia="zh-CN"/>
        </w:rPr>
        <w:t>供应商</w:t>
      </w:r>
      <w:r>
        <w:rPr>
          <w:rFonts w:hint="eastAsia" w:ascii="宋体" w:hAnsi="宋体" w:eastAsia="宋体" w:cs="宋体"/>
          <w:color w:val="auto"/>
          <w:spacing w:val="0"/>
          <w:position w:val="0"/>
        </w:rPr>
        <w:t>认为应附的其他资料。</w:t>
      </w:r>
    </w:p>
    <w:p w14:paraId="365A85E8">
      <w:pPr>
        <w:rPr>
          <w:rFonts w:hint="eastAsia" w:ascii="宋体" w:hAnsi="宋体" w:eastAsia="宋体" w:cs="宋体"/>
          <w:color w:val="auto"/>
          <w:spacing w:val="0"/>
          <w:position w:val="0"/>
        </w:rPr>
      </w:pPr>
      <w:r>
        <w:rPr>
          <w:rFonts w:hint="eastAsia" w:ascii="宋体" w:hAnsi="宋体" w:eastAsia="宋体" w:cs="宋体"/>
          <w:color w:val="auto"/>
          <w:spacing w:val="0"/>
          <w:position w:val="0"/>
        </w:rPr>
        <w:br w:type="page"/>
      </w:r>
    </w:p>
    <w:p w14:paraId="380C2676">
      <w:pPr>
        <w:pStyle w:val="3"/>
        <w:pageBreakBefore w:val="0"/>
        <w:wordWrap w:val="0"/>
        <w:overflowPunct/>
        <w:topLinePunct/>
        <w:autoSpaceDE/>
        <w:autoSpaceDN/>
        <w:bidi w:val="0"/>
        <w:ind w:left="420"/>
        <w:rPr>
          <w:rFonts w:hint="eastAsia" w:ascii="宋体" w:hAnsi="宋体" w:eastAsia="宋体" w:cs="宋体"/>
          <w:color w:val="auto"/>
          <w:spacing w:val="0"/>
          <w:position w:val="0"/>
          <w:sz w:val="28"/>
          <w:szCs w:val="28"/>
          <w:lang w:eastAsia="zh-CN"/>
        </w:rPr>
      </w:pPr>
      <w:bookmarkStart w:id="190" w:name="_Toc2081"/>
      <w:bookmarkStart w:id="191" w:name="_Toc567"/>
      <w:bookmarkStart w:id="192" w:name="_Toc26487"/>
      <w:r>
        <w:rPr>
          <w:rFonts w:hint="eastAsia" w:ascii="宋体" w:hAnsi="宋体" w:cs="宋体"/>
          <w:color w:val="auto"/>
          <w:spacing w:val="0"/>
          <w:position w:val="0"/>
          <w:lang w:val="en-US" w:eastAsia="zh-CN"/>
        </w:rPr>
        <w:t>九、</w:t>
      </w:r>
      <w:bookmarkEnd w:id="190"/>
      <w:bookmarkEnd w:id="191"/>
      <w:r>
        <w:rPr>
          <w:rFonts w:hint="eastAsia" w:ascii="宋体" w:hAnsi="宋体" w:cs="宋体"/>
          <w:color w:val="auto"/>
          <w:spacing w:val="0"/>
          <w:position w:val="0"/>
          <w:lang w:val="en-US" w:eastAsia="zh-CN"/>
        </w:rPr>
        <w:t>施工组织设计</w:t>
      </w:r>
      <w:bookmarkEnd w:id="192"/>
    </w:p>
    <w:p w14:paraId="37ACAE2B">
      <w:pPr>
        <w:pageBreakBefore w:val="0"/>
        <w:tabs>
          <w:tab w:val="left" w:pos="1680"/>
          <w:tab w:val="left" w:pos="3580"/>
          <w:tab w:val="left" w:pos="4100"/>
          <w:tab w:val="left" w:pos="8000"/>
        </w:tabs>
        <w:wordWrap w:val="0"/>
        <w:overflowPunct/>
        <w:topLinePunct w:val="0"/>
        <w:autoSpaceDE/>
        <w:autoSpaceDN/>
        <w:bidi w:val="0"/>
        <w:adjustRightInd w:val="0"/>
        <w:spacing w:line="396" w:lineRule="auto"/>
        <w:jc w:val="center"/>
        <w:textAlignment w:val="auto"/>
        <w:rPr>
          <w:rFonts w:hint="eastAsia" w:ascii="宋体" w:hAnsi="宋体" w:eastAsia="宋体" w:cs="宋体"/>
          <w:b/>
          <w:bCs/>
          <w:color w:val="auto"/>
          <w:spacing w:val="0"/>
          <w:position w:val="0"/>
          <w:sz w:val="24"/>
          <w:szCs w:val="24"/>
          <w:lang w:eastAsia="zh-CN"/>
        </w:rPr>
      </w:pPr>
      <w:r>
        <w:rPr>
          <w:rFonts w:hint="eastAsia" w:ascii="宋体" w:hAnsi="宋体" w:eastAsia="宋体" w:cs="宋体"/>
          <w:b/>
          <w:bCs/>
          <w:color w:val="auto"/>
          <w:spacing w:val="0"/>
          <w:position w:val="0"/>
          <w:sz w:val="24"/>
          <w:szCs w:val="24"/>
          <w:lang w:eastAsia="zh-CN"/>
        </w:rPr>
        <w:t>（</w:t>
      </w:r>
      <w:r>
        <w:rPr>
          <w:rFonts w:hint="eastAsia" w:ascii="宋体" w:hAnsi="宋体" w:eastAsia="宋体" w:cs="宋体"/>
          <w:b/>
          <w:bCs/>
          <w:color w:val="auto"/>
          <w:spacing w:val="0"/>
          <w:position w:val="0"/>
          <w:sz w:val="24"/>
          <w:szCs w:val="24"/>
          <w:lang w:val="en-US" w:eastAsia="zh-CN"/>
        </w:rPr>
        <w:t>格式自拟</w:t>
      </w:r>
      <w:r>
        <w:rPr>
          <w:rFonts w:hint="eastAsia" w:ascii="宋体" w:hAnsi="宋体" w:eastAsia="宋体" w:cs="宋体"/>
          <w:b/>
          <w:bCs/>
          <w:color w:val="auto"/>
          <w:spacing w:val="0"/>
          <w:position w:val="0"/>
          <w:sz w:val="24"/>
          <w:szCs w:val="24"/>
          <w:lang w:eastAsia="zh-CN"/>
        </w:rPr>
        <w:t>）</w:t>
      </w:r>
    </w:p>
    <w:p w14:paraId="4D3D6875">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bCs/>
          <w:color w:val="auto"/>
          <w:spacing w:val="0"/>
          <w:position w:val="0"/>
          <w:szCs w:val="21"/>
        </w:rPr>
      </w:pPr>
      <w:r>
        <w:rPr>
          <w:rFonts w:hint="eastAsia" w:ascii="宋体" w:hAnsi="宋体" w:eastAsia="宋体" w:cs="宋体"/>
          <w:color w:val="auto"/>
          <w:spacing w:val="0"/>
          <w:position w:val="0"/>
          <w:szCs w:val="21"/>
        </w:rPr>
        <w:t>1．</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应采用文字并结合图表形式，参考以下要点编制本工程的施工组织设计：施工方案与技术措施</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质量管理体系与措施</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安全管理体系与措施</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环境保护管理体系与措施</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工程进度计划与措施</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施工总平面布置</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劳动力、施工设备及试验、检验仪器设备配备计划</w:t>
      </w:r>
      <w:r>
        <w:rPr>
          <w:rFonts w:hint="eastAsia" w:ascii="宋体" w:hAnsi="宋体" w:eastAsia="宋体" w:cs="宋体"/>
          <w:color w:val="auto"/>
          <w:spacing w:val="0"/>
          <w:position w:val="0"/>
          <w:szCs w:val="21"/>
          <w:lang w:eastAsia="zh-CN"/>
        </w:rPr>
        <w:t>、</w:t>
      </w:r>
      <w:r>
        <w:rPr>
          <w:rFonts w:hint="eastAsia" w:ascii="宋体" w:hAnsi="宋体" w:eastAsia="宋体" w:cs="宋体"/>
          <w:color w:val="auto"/>
          <w:spacing w:val="0"/>
          <w:position w:val="0"/>
          <w:szCs w:val="21"/>
        </w:rPr>
        <w:t>成品保护及现场管理措施。</w:t>
      </w:r>
    </w:p>
    <w:p w14:paraId="6EBF139D">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w:t>
      </w:r>
      <w:r>
        <w:rPr>
          <w:rFonts w:hint="eastAsia" w:ascii="宋体" w:hAnsi="宋体" w:eastAsia="宋体" w:cs="宋体"/>
          <w:color w:val="auto"/>
          <w:spacing w:val="0"/>
          <w:position w:val="0"/>
          <w:szCs w:val="21"/>
          <w:lang w:val="en-US" w:eastAsia="zh-CN"/>
        </w:rPr>
        <w:t>施工方案</w:t>
      </w:r>
      <w:r>
        <w:rPr>
          <w:rFonts w:hint="eastAsia" w:ascii="宋体" w:hAnsi="宋体" w:eastAsia="宋体" w:cs="宋体"/>
          <w:color w:val="auto"/>
          <w:spacing w:val="0"/>
          <w:position w:val="0"/>
          <w:szCs w:val="21"/>
        </w:rPr>
        <w:t>除采用文字表述外可附下列图表，图表及格式要求附后。</w:t>
      </w:r>
    </w:p>
    <w:p w14:paraId="64C387B2">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附表一  拟投入本工程的主要施工设备表</w:t>
      </w:r>
    </w:p>
    <w:p w14:paraId="57712757">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附表二  拟配备本工程的试验和检测仪器设备表</w:t>
      </w:r>
    </w:p>
    <w:p w14:paraId="006C9245">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附表三  劳动力计划表</w:t>
      </w:r>
    </w:p>
    <w:p w14:paraId="530AA295">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附表四  计划开、竣工日期和施工进度表</w:t>
      </w:r>
    </w:p>
    <w:p w14:paraId="14056ABD">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附表五  施工总平面图</w:t>
      </w:r>
    </w:p>
    <w:p w14:paraId="50E4CC74">
      <w:pPr>
        <w:pageBreakBefore w:val="0"/>
        <w:tabs>
          <w:tab w:val="left" w:pos="1680"/>
          <w:tab w:val="left" w:pos="3580"/>
          <w:tab w:val="left" w:pos="4100"/>
          <w:tab w:val="left" w:pos="8000"/>
        </w:tabs>
        <w:wordWrap w:val="0"/>
        <w:overflowPunct/>
        <w:topLinePunct w:val="0"/>
        <w:autoSpaceDE/>
        <w:autoSpaceDN/>
        <w:bidi w:val="0"/>
        <w:adjustRightInd w:val="0"/>
        <w:spacing w:line="396" w:lineRule="auto"/>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附表六  临时用地表</w:t>
      </w:r>
    </w:p>
    <w:p w14:paraId="6F0995B6">
      <w:pPr>
        <w:pageBreakBefore w:val="0"/>
        <w:wordWrap w:val="0"/>
        <w:overflowPunct/>
        <w:bidi w:val="0"/>
        <w:spacing w:line="360" w:lineRule="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Cs w:val="21"/>
        </w:rPr>
        <w:br w:type="page"/>
      </w:r>
      <w:bookmarkStart w:id="193" w:name="_Toc2670978"/>
      <w:bookmarkStart w:id="194" w:name="_Toc75721399"/>
      <w:bookmarkStart w:id="195" w:name="_Toc87802566"/>
      <w:bookmarkStart w:id="196" w:name="_Toc8640574"/>
      <w:bookmarkStart w:id="197" w:name="_Toc2672922"/>
      <w:bookmarkStart w:id="198" w:name="_Toc2670814"/>
      <w:bookmarkStart w:id="199" w:name="_Toc75721287"/>
      <w:r>
        <w:rPr>
          <w:rFonts w:hint="eastAsia" w:ascii="宋体" w:hAnsi="宋体" w:eastAsia="宋体" w:cs="宋体"/>
          <w:color w:val="auto"/>
          <w:spacing w:val="0"/>
          <w:position w:val="0"/>
          <w:sz w:val="24"/>
          <w:szCs w:val="24"/>
        </w:rPr>
        <w:t>附表一：拟投入本工程的主要施工设备表</w:t>
      </w:r>
      <w:bookmarkEnd w:id="193"/>
      <w:bookmarkEnd w:id="194"/>
      <w:bookmarkEnd w:id="195"/>
      <w:bookmarkEnd w:id="196"/>
      <w:bookmarkEnd w:id="197"/>
      <w:bookmarkEnd w:id="198"/>
      <w:bookmarkEnd w:id="199"/>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36"/>
        <w:gridCol w:w="718"/>
        <w:gridCol w:w="1092"/>
        <w:gridCol w:w="757"/>
        <w:gridCol w:w="757"/>
        <w:gridCol w:w="1256"/>
        <w:gridCol w:w="931"/>
        <w:gridCol w:w="931"/>
        <w:gridCol w:w="817"/>
      </w:tblGrid>
      <w:tr w14:paraId="0B57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8" w:type="dxa"/>
            <w:noWrap w:val="0"/>
            <w:vAlign w:val="center"/>
          </w:tcPr>
          <w:p w14:paraId="3D79004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序号</w:t>
            </w:r>
          </w:p>
        </w:tc>
        <w:tc>
          <w:tcPr>
            <w:tcW w:w="1136" w:type="dxa"/>
            <w:noWrap w:val="0"/>
            <w:vAlign w:val="center"/>
          </w:tcPr>
          <w:p w14:paraId="406277C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设备名称</w:t>
            </w:r>
          </w:p>
        </w:tc>
        <w:tc>
          <w:tcPr>
            <w:tcW w:w="718" w:type="dxa"/>
            <w:noWrap w:val="0"/>
            <w:vAlign w:val="center"/>
          </w:tcPr>
          <w:p w14:paraId="4AF19BB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型号</w:t>
            </w:r>
          </w:p>
          <w:p w14:paraId="5663A65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规格</w:t>
            </w:r>
          </w:p>
        </w:tc>
        <w:tc>
          <w:tcPr>
            <w:tcW w:w="1092" w:type="dxa"/>
            <w:noWrap w:val="0"/>
            <w:vAlign w:val="center"/>
          </w:tcPr>
          <w:p w14:paraId="2074B28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数  量</w:t>
            </w:r>
          </w:p>
        </w:tc>
        <w:tc>
          <w:tcPr>
            <w:tcW w:w="757" w:type="dxa"/>
            <w:noWrap w:val="0"/>
            <w:vAlign w:val="center"/>
          </w:tcPr>
          <w:p w14:paraId="7AB5A43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国别</w:t>
            </w:r>
          </w:p>
          <w:p w14:paraId="20D38C8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产地</w:t>
            </w:r>
          </w:p>
        </w:tc>
        <w:tc>
          <w:tcPr>
            <w:tcW w:w="757" w:type="dxa"/>
            <w:noWrap w:val="0"/>
            <w:vAlign w:val="center"/>
          </w:tcPr>
          <w:p w14:paraId="44B94F6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制造</w:t>
            </w:r>
          </w:p>
          <w:p w14:paraId="0C632C2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年份</w:t>
            </w:r>
          </w:p>
        </w:tc>
        <w:tc>
          <w:tcPr>
            <w:tcW w:w="1256" w:type="dxa"/>
            <w:noWrap w:val="0"/>
            <w:vAlign w:val="center"/>
          </w:tcPr>
          <w:p w14:paraId="081CEDB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额定功率</w:t>
            </w:r>
          </w:p>
          <w:p w14:paraId="3F88870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（KW）</w:t>
            </w:r>
          </w:p>
        </w:tc>
        <w:tc>
          <w:tcPr>
            <w:tcW w:w="931" w:type="dxa"/>
            <w:noWrap w:val="0"/>
            <w:vAlign w:val="center"/>
          </w:tcPr>
          <w:p w14:paraId="72C66D0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生产</w:t>
            </w:r>
          </w:p>
          <w:p w14:paraId="6D72652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能力</w:t>
            </w:r>
          </w:p>
        </w:tc>
        <w:tc>
          <w:tcPr>
            <w:tcW w:w="931" w:type="dxa"/>
            <w:noWrap w:val="0"/>
            <w:vAlign w:val="center"/>
          </w:tcPr>
          <w:p w14:paraId="6859412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用于施</w:t>
            </w:r>
          </w:p>
          <w:p w14:paraId="4AF8DE5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工部位</w:t>
            </w:r>
          </w:p>
        </w:tc>
        <w:tc>
          <w:tcPr>
            <w:tcW w:w="817" w:type="dxa"/>
            <w:noWrap w:val="0"/>
            <w:vAlign w:val="center"/>
          </w:tcPr>
          <w:p w14:paraId="674BC0E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备注</w:t>
            </w:r>
          </w:p>
        </w:tc>
      </w:tr>
      <w:tr w14:paraId="6602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4AE571F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236B583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1E46BFD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3AF78C5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6A505D7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13368B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7CB24D9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028AA19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4462C5D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429A286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096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7EB4426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390FD37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4DD15A7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2508FE3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EC2E55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7B27655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56421D6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1463437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3D3AB1C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0765998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A9A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57927DF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4CB3FC8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6CDF10A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02A5D97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2656DD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E31E03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31E5BBF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FCE349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D122CC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6988E30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7AB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5883EB8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78A82E6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3E3156B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18F0CFE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27E42BD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196E072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499D173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6F36CD9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9AE9FF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346003E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6460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1AFEE12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43A1C69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1769D2F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395D2F1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5EF14E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3531CF0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3F5C3B6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723529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057D7C6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A9B7AF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7C5A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4B97FAE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3F707A1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7EEB9B6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66FB6AF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21D76D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E52B04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52F6C00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938DBE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3A265B7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3643D6A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1EE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3FDA249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2947854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411F23E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3D62745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06A60A9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1D6E91A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08ED091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7BFB2F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2AC5630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3C207A1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7A70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5DB95FF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764D304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224283A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3263C66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3C0FFA8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05A7954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6B0A4AD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69F611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3ADF904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4271675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701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4096C4E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62D2258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0CAB6F6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52DB600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138EA75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745D171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75B7F27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A48D1B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2737D07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57AD523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0E5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206DAC0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6905B6A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5DCA9FA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6D14679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79F6DD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69ADA1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01A3E8C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24187E8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27F9C5C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145584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F28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29C70C1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31C0C06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0CC0728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5636687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3FC9216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66F2457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716800E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AA72BA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0B02ACE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F996A9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3B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1D1C47D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567E243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6D22307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0D2DD31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8AFF3B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832256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229C811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18D3699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1197A67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8E67C0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5F13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1DF7F66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3BE44FC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140957D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34DA354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2308D3A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1398C07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7196882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A27274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164910D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2E2FF73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494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74CA0E3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5532074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057DB28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0137145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8C2987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3A327E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2DCB0D8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6101686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2426F0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2CABC2F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128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517ACC7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6608495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0478DD9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7403E5B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0A661BD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EDBBAC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21C7832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35E0744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EBA100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7AFA3A2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14E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2D6DCE2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19591D6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5D787F2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14D0D8B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20AB327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2EF387A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280CE81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4FDE7D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273F61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15D425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72E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71EFB42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69C48BF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4EC7E60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3AD98D3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3A6EDF8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731472F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1B03EEE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E29D1C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346F855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421043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B8D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3B180BF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0B7ADA0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3D823C8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7B08489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070E6D7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A195EA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6E5D783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006BB2D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4EACF8E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4365926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5C07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1AB1D1C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4BABD55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05D904A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2C0AFFA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304E3E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03DD9D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6208A50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6806D04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59078F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686B72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E11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39EE097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0BFCA34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25A385A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6A4BC7A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3237BC4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46EF99A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2C56414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1179F17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77F1A12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446597B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5313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075F6F7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05B1971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5098F94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230C940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07AF371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01C8084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018593F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811D06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1BC91A0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7353E94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6BD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4C14332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7584215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3291DE5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0DC45D1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7AE3E58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29F0B14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52CDA20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2F66886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3A91283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1F46E82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CF2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8" w:type="dxa"/>
            <w:noWrap w:val="0"/>
            <w:vAlign w:val="center"/>
          </w:tcPr>
          <w:p w14:paraId="5EC6A30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36" w:type="dxa"/>
            <w:noWrap w:val="0"/>
            <w:vAlign w:val="center"/>
          </w:tcPr>
          <w:p w14:paraId="359FE19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18" w:type="dxa"/>
            <w:noWrap w:val="0"/>
            <w:vAlign w:val="center"/>
          </w:tcPr>
          <w:p w14:paraId="31E6F8E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092" w:type="dxa"/>
            <w:noWrap w:val="0"/>
            <w:vAlign w:val="center"/>
          </w:tcPr>
          <w:p w14:paraId="4E698E6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69FD8C9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757" w:type="dxa"/>
            <w:noWrap w:val="0"/>
            <w:vAlign w:val="center"/>
          </w:tcPr>
          <w:p w14:paraId="5D395D6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256" w:type="dxa"/>
            <w:noWrap w:val="0"/>
            <w:vAlign w:val="center"/>
          </w:tcPr>
          <w:p w14:paraId="334005B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05813E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931" w:type="dxa"/>
            <w:noWrap w:val="0"/>
            <w:vAlign w:val="center"/>
          </w:tcPr>
          <w:p w14:paraId="59DD6EC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817" w:type="dxa"/>
            <w:noWrap w:val="0"/>
            <w:vAlign w:val="center"/>
          </w:tcPr>
          <w:p w14:paraId="4B29162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bl>
    <w:p w14:paraId="07458672">
      <w:pPr>
        <w:pageBreakBefore w:val="0"/>
        <w:wordWrap w:val="0"/>
        <w:overflowPunct/>
        <w:topLinePunct w:val="0"/>
        <w:autoSpaceDE/>
        <w:autoSpaceDN/>
        <w:bidi w:val="0"/>
        <w:spacing w:line="420" w:lineRule="exact"/>
        <w:textAlignment w:val="auto"/>
        <w:rPr>
          <w:rFonts w:hint="eastAsia" w:ascii="宋体" w:hAnsi="宋体" w:eastAsia="宋体" w:cs="宋体"/>
          <w:color w:val="auto"/>
          <w:spacing w:val="0"/>
          <w:position w:val="0"/>
          <w:szCs w:val="21"/>
        </w:rPr>
      </w:pPr>
    </w:p>
    <w:p w14:paraId="6538796A">
      <w:pPr>
        <w:pageBreakBefore w:val="0"/>
        <w:wordWrap w:val="0"/>
        <w:overflowPunct/>
        <w:bidi w:val="0"/>
        <w:spacing w:line="360" w:lineRule="auto"/>
        <w:rPr>
          <w:rFonts w:hint="eastAsia" w:ascii="宋体" w:hAnsi="宋体" w:eastAsia="宋体" w:cs="宋体"/>
          <w:b w:val="0"/>
          <w:bCs w:val="0"/>
          <w:color w:val="auto"/>
          <w:spacing w:val="0"/>
          <w:kern w:val="2"/>
          <w:position w:val="0"/>
          <w:sz w:val="24"/>
          <w:szCs w:val="24"/>
          <w:lang w:val="en-US" w:eastAsia="zh-CN" w:bidi="ar-SA"/>
        </w:rPr>
      </w:pPr>
      <w:r>
        <w:rPr>
          <w:rFonts w:hint="eastAsia" w:ascii="宋体" w:hAnsi="宋体" w:eastAsia="宋体" w:cs="宋体"/>
          <w:color w:val="auto"/>
          <w:spacing w:val="0"/>
          <w:position w:val="0"/>
          <w:szCs w:val="21"/>
        </w:rPr>
        <w:br w:type="page"/>
      </w:r>
      <w:bookmarkStart w:id="200" w:name="_Toc2670815"/>
      <w:bookmarkStart w:id="201" w:name="_Toc2672923"/>
      <w:bookmarkStart w:id="202" w:name="_Toc75721400"/>
      <w:bookmarkStart w:id="203" w:name="_Toc2670979"/>
      <w:bookmarkStart w:id="204" w:name="_Toc87802567"/>
      <w:bookmarkStart w:id="205" w:name="_Toc75721288"/>
      <w:bookmarkStart w:id="206" w:name="_Toc8640575"/>
      <w:r>
        <w:rPr>
          <w:rFonts w:hint="eastAsia" w:ascii="宋体" w:hAnsi="宋体" w:eastAsia="宋体" w:cs="宋体"/>
          <w:b w:val="0"/>
          <w:bCs w:val="0"/>
          <w:color w:val="auto"/>
          <w:spacing w:val="0"/>
          <w:kern w:val="2"/>
          <w:position w:val="0"/>
          <w:sz w:val="24"/>
          <w:szCs w:val="24"/>
          <w:lang w:val="en-US" w:eastAsia="zh-CN" w:bidi="ar-SA"/>
        </w:rPr>
        <w:t>附表二：拟配备本工程的试验和检测仪器设备表</w:t>
      </w:r>
      <w:bookmarkEnd w:id="200"/>
      <w:bookmarkEnd w:id="201"/>
      <w:bookmarkEnd w:id="202"/>
      <w:bookmarkEnd w:id="203"/>
      <w:bookmarkEnd w:id="204"/>
      <w:bookmarkEnd w:id="205"/>
      <w:bookmarkEnd w:id="206"/>
    </w:p>
    <w:tbl>
      <w:tblPr>
        <w:tblStyle w:val="4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14"/>
        <w:gridCol w:w="703"/>
        <w:gridCol w:w="1070"/>
        <w:gridCol w:w="742"/>
        <w:gridCol w:w="742"/>
        <w:gridCol w:w="1231"/>
        <w:gridCol w:w="1737"/>
        <w:gridCol w:w="890"/>
      </w:tblGrid>
      <w:tr w14:paraId="43D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noWrap w:val="0"/>
            <w:vAlign w:val="center"/>
          </w:tcPr>
          <w:p w14:paraId="1B6EBC6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序号</w:t>
            </w:r>
          </w:p>
        </w:tc>
        <w:tc>
          <w:tcPr>
            <w:tcW w:w="1114" w:type="dxa"/>
            <w:noWrap w:val="0"/>
            <w:vAlign w:val="center"/>
          </w:tcPr>
          <w:p w14:paraId="690BBB4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仪器设备</w:t>
            </w:r>
          </w:p>
          <w:p w14:paraId="7FB2CF9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名    称</w:t>
            </w:r>
          </w:p>
        </w:tc>
        <w:tc>
          <w:tcPr>
            <w:tcW w:w="703" w:type="dxa"/>
            <w:noWrap w:val="0"/>
            <w:vAlign w:val="center"/>
          </w:tcPr>
          <w:p w14:paraId="2E627E3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型号</w:t>
            </w:r>
          </w:p>
          <w:p w14:paraId="1617157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规格</w:t>
            </w:r>
          </w:p>
        </w:tc>
        <w:tc>
          <w:tcPr>
            <w:tcW w:w="1070" w:type="dxa"/>
            <w:noWrap w:val="0"/>
            <w:vAlign w:val="center"/>
          </w:tcPr>
          <w:p w14:paraId="49D938A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数  量</w:t>
            </w:r>
          </w:p>
        </w:tc>
        <w:tc>
          <w:tcPr>
            <w:tcW w:w="742" w:type="dxa"/>
            <w:noWrap w:val="0"/>
            <w:vAlign w:val="center"/>
          </w:tcPr>
          <w:p w14:paraId="73C0A26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国别</w:t>
            </w:r>
          </w:p>
          <w:p w14:paraId="7D5977F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产地</w:t>
            </w:r>
          </w:p>
        </w:tc>
        <w:tc>
          <w:tcPr>
            <w:tcW w:w="742" w:type="dxa"/>
            <w:noWrap w:val="0"/>
            <w:vAlign w:val="center"/>
          </w:tcPr>
          <w:p w14:paraId="6AC1154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制造</w:t>
            </w:r>
          </w:p>
          <w:p w14:paraId="530CAD4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年份</w:t>
            </w:r>
          </w:p>
        </w:tc>
        <w:tc>
          <w:tcPr>
            <w:tcW w:w="1231" w:type="dxa"/>
            <w:noWrap w:val="0"/>
            <w:vAlign w:val="center"/>
          </w:tcPr>
          <w:p w14:paraId="3DD2FC4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已使用台</w:t>
            </w:r>
          </w:p>
          <w:p w14:paraId="70E13C3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时    数</w:t>
            </w:r>
          </w:p>
        </w:tc>
        <w:tc>
          <w:tcPr>
            <w:tcW w:w="1737" w:type="dxa"/>
            <w:noWrap w:val="0"/>
            <w:vAlign w:val="center"/>
          </w:tcPr>
          <w:p w14:paraId="44E11F1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用  途</w:t>
            </w:r>
          </w:p>
        </w:tc>
        <w:tc>
          <w:tcPr>
            <w:tcW w:w="890" w:type="dxa"/>
            <w:noWrap w:val="0"/>
            <w:vAlign w:val="center"/>
          </w:tcPr>
          <w:p w14:paraId="4367224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备注</w:t>
            </w:r>
          </w:p>
        </w:tc>
      </w:tr>
      <w:tr w14:paraId="279D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04FE1D8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4657026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4F83666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209075E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C74C2D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9A9A68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5618C21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527F8B8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70FC4D4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416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151055F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4F18468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3D4DFE2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60F52CD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87BCB9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1F0E344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0DFE8D1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23C5410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08B0BD4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7083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60C5CF0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6CDCAB3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0D55716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1E9C1A2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62898C5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6B4A83C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71CC10A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06776AD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55D9BAF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14ED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08574C4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3881BCE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3751E76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45598E2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6CAF90F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546EBD5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677333E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35F20ED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33ACC09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02F9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6A444BD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064755C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7786192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4D349E7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4295E19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0140B52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2367B8F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1DCB7D0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1765B81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6262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3227FAC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1F5AF1A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137ACC3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05BD8C7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519AFD4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0320DDE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2222A85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1CDC32A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02695EB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737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062D2C5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4814793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7DA6706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0C3FE67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4D89C51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05E7F8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41DC5BC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185643C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544420A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7305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76A01C2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74E41F2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389DC18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37A98E2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2469CAC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94629F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39BF586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6F7D392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0FC9372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5AFA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367F051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34257A3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3E3F60A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29CCC2F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6140F56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1CCCBE6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4A78050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64C3BA1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34FE3FD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5910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639F78C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6E86A7E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5C4935A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3D55664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658C658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2BBC2E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7F91DE7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79B6299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51C3C04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4E2E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3C7B520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20C3F02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5AC052E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542D944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9FA25F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4B371F3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4854565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66A4FE1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12514E9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7B80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4422447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130D210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4C68ABC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779E494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03ED144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456E8CB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0EC7573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7AE42B4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073D962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210D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6E74F74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5472843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34679A8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227C32B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424BA5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B9F278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04286FE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793B048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116462F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0EC5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457A246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61B7E1B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64562FA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60C235D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498AD8D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81BB5A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0B5A1D4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4AA250C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39EC701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3DF2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46D7F09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04726E4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1519A5E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26AB0BF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40C5DE3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6FDC5C8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7B766FF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476468D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6F5558C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7C7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59A2455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3B07777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262AC18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58B3038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2F3B496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130C263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3583488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79194A1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55B155E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36B0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59FBBB4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729952E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0E84DA2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5C790C6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06A194FE">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5E148244">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653DE7A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31F40BD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0F18BEA9">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6593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2A49BF6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42EDE77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32A031F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214DDEF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1AE5F51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3137036">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1C8C560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3D665B0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6D475A8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5C66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667DDAA2">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7673DA9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77E0626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3571DA6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215AF3C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DF7511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67DAC6B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48FBA85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522E38B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3A35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62590B87">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1FA05251">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1AF1943C">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282A1435">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0835321B">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756523D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2F9AE2C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7CD6784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06ACAA8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r w14:paraId="3D95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4" w:type="dxa"/>
            <w:noWrap w:val="0"/>
            <w:vAlign w:val="center"/>
          </w:tcPr>
          <w:p w14:paraId="0D78B98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114" w:type="dxa"/>
            <w:noWrap w:val="0"/>
            <w:vAlign w:val="center"/>
          </w:tcPr>
          <w:p w14:paraId="0130800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03" w:type="dxa"/>
            <w:noWrap w:val="0"/>
            <w:vAlign w:val="center"/>
          </w:tcPr>
          <w:p w14:paraId="51BB5FFA">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070" w:type="dxa"/>
            <w:noWrap w:val="0"/>
            <w:vAlign w:val="center"/>
          </w:tcPr>
          <w:p w14:paraId="56ED4D50">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270C81BF">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742" w:type="dxa"/>
            <w:noWrap w:val="0"/>
            <w:vAlign w:val="center"/>
          </w:tcPr>
          <w:p w14:paraId="3D93286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231" w:type="dxa"/>
            <w:noWrap w:val="0"/>
            <w:vAlign w:val="center"/>
          </w:tcPr>
          <w:p w14:paraId="5D827A48">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1737" w:type="dxa"/>
            <w:noWrap w:val="0"/>
            <w:vAlign w:val="center"/>
          </w:tcPr>
          <w:p w14:paraId="426552DD">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c>
          <w:tcPr>
            <w:tcW w:w="890" w:type="dxa"/>
            <w:noWrap w:val="0"/>
            <w:vAlign w:val="center"/>
          </w:tcPr>
          <w:p w14:paraId="7D8EBCB3">
            <w:pPr>
              <w:keepNext w:val="0"/>
              <w:keepLines w:val="0"/>
              <w:pageBreakBefore w:val="0"/>
              <w:widowControl w:val="0"/>
              <w:kinsoku/>
              <w:wordWrap w:val="0"/>
              <w:overflowPunct/>
              <w:topLinePunct w:val="0"/>
              <w:autoSpaceDE/>
              <w:autoSpaceDN/>
              <w:bidi w:val="0"/>
              <w:adjustRightInd/>
              <w:snapToGrid/>
              <w:spacing w:after="0"/>
              <w:jc w:val="center"/>
              <w:textAlignment w:val="auto"/>
              <w:rPr>
                <w:rFonts w:hint="eastAsia" w:ascii="宋体" w:hAnsi="宋体" w:eastAsia="宋体" w:cs="宋体"/>
                <w:color w:val="auto"/>
                <w:spacing w:val="0"/>
                <w:position w:val="0"/>
                <w:sz w:val="21"/>
                <w:szCs w:val="21"/>
              </w:rPr>
            </w:pPr>
          </w:p>
        </w:tc>
      </w:tr>
    </w:tbl>
    <w:p w14:paraId="643ABFF7">
      <w:pPr>
        <w:pageBreakBefore w:val="0"/>
        <w:wordWrap w:val="0"/>
        <w:overflowPunct/>
        <w:topLinePunct w:val="0"/>
        <w:autoSpaceDE/>
        <w:autoSpaceDN/>
        <w:bidi w:val="0"/>
        <w:spacing w:line="420" w:lineRule="exact"/>
        <w:textAlignment w:val="auto"/>
        <w:rPr>
          <w:rFonts w:hint="eastAsia" w:ascii="宋体" w:hAnsi="宋体" w:eastAsia="宋体" w:cs="宋体"/>
          <w:color w:val="auto"/>
          <w:spacing w:val="0"/>
          <w:position w:val="0"/>
          <w:szCs w:val="21"/>
        </w:rPr>
      </w:pPr>
    </w:p>
    <w:p w14:paraId="6B21C905">
      <w:pPr>
        <w:pageBreakBefore w:val="0"/>
        <w:wordWrap w:val="0"/>
        <w:overflowPunct/>
        <w:bidi w:val="0"/>
        <w:spacing w:line="360" w:lineRule="auto"/>
        <w:rPr>
          <w:rFonts w:hint="eastAsia" w:ascii="宋体" w:hAnsi="宋体" w:eastAsia="宋体" w:cs="宋体"/>
          <w:b w:val="0"/>
          <w:bCs w:val="0"/>
          <w:color w:val="auto"/>
          <w:spacing w:val="0"/>
          <w:kern w:val="2"/>
          <w:position w:val="0"/>
          <w:sz w:val="24"/>
          <w:szCs w:val="24"/>
          <w:lang w:val="en-US" w:eastAsia="zh-CN" w:bidi="ar-SA"/>
        </w:rPr>
      </w:pPr>
      <w:r>
        <w:rPr>
          <w:rFonts w:hint="eastAsia" w:ascii="宋体" w:hAnsi="宋体" w:eastAsia="宋体" w:cs="宋体"/>
          <w:color w:val="auto"/>
          <w:spacing w:val="0"/>
          <w:position w:val="0"/>
          <w:szCs w:val="21"/>
        </w:rPr>
        <w:br w:type="page"/>
      </w:r>
      <w:bookmarkStart w:id="207" w:name="_Toc75721401"/>
      <w:bookmarkStart w:id="208" w:name="_Toc87802568"/>
      <w:bookmarkStart w:id="209" w:name="_Toc75721289"/>
      <w:bookmarkStart w:id="210" w:name="_Toc2672924"/>
      <w:bookmarkStart w:id="211" w:name="_Toc2670816"/>
      <w:bookmarkStart w:id="212" w:name="_Toc2670980"/>
      <w:bookmarkStart w:id="213" w:name="_Toc8640576"/>
      <w:r>
        <w:rPr>
          <w:rFonts w:hint="eastAsia" w:ascii="宋体" w:hAnsi="宋体" w:eastAsia="宋体" w:cs="宋体"/>
          <w:b w:val="0"/>
          <w:bCs w:val="0"/>
          <w:color w:val="auto"/>
          <w:spacing w:val="0"/>
          <w:kern w:val="2"/>
          <w:position w:val="0"/>
          <w:sz w:val="24"/>
          <w:szCs w:val="24"/>
          <w:lang w:val="en-US" w:eastAsia="zh-CN" w:bidi="ar-SA"/>
        </w:rPr>
        <w:t>附表三：劳动力配备计划表</w:t>
      </w:r>
      <w:bookmarkEnd w:id="207"/>
      <w:bookmarkEnd w:id="208"/>
      <w:bookmarkEnd w:id="209"/>
      <w:bookmarkEnd w:id="210"/>
      <w:bookmarkEnd w:id="211"/>
      <w:bookmarkEnd w:id="212"/>
      <w:bookmarkEnd w:id="213"/>
    </w:p>
    <w:p w14:paraId="4675030F">
      <w:pPr>
        <w:pageBreakBefore w:val="0"/>
        <w:wordWrap w:val="0"/>
        <w:overflowPunct/>
        <w:topLinePunct w:val="0"/>
        <w:autoSpaceDE/>
        <w:autoSpaceDN/>
        <w:bidi w:val="0"/>
        <w:spacing w:line="420" w:lineRule="exact"/>
        <w:jc w:val="right"/>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 xml:space="preserve">单位：人   </w:t>
      </w:r>
    </w:p>
    <w:tbl>
      <w:tblPr>
        <w:tblStyle w:val="46"/>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84"/>
        <w:gridCol w:w="1113"/>
        <w:gridCol w:w="1113"/>
        <w:gridCol w:w="1113"/>
        <w:gridCol w:w="1113"/>
        <w:gridCol w:w="1113"/>
        <w:gridCol w:w="1113"/>
      </w:tblGrid>
      <w:tr w14:paraId="0C7A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2" w:type="dxa"/>
            <w:noWrap w:val="0"/>
            <w:vAlign w:val="center"/>
          </w:tcPr>
          <w:p w14:paraId="3D6D53B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工种</w:t>
            </w:r>
          </w:p>
        </w:tc>
        <w:tc>
          <w:tcPr>
            <w:tcW w:w="8162" w:type="dxa"/>
            <w:gridSpan w:val="7"/>
            <w:noWrap w:val="0"/>
            <w:vAlign w:val="center"/>
          </w:tcPr>
          <w:p w14:paraId="1381101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按工程施工阶段投入劳动力情况</w:t>
            </w:r>
          </w:p>
        </w:tc>
      </w:tr>
      <w:tr w14:paraId="58E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4826A1E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55FEC14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98710F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E7A5BD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93F1B3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96E4B1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9F270B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50A69E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5A1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3BF4019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0140F0C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636E93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546D52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FBAF32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73BF6C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B2089D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F06A03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FAD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649EA7D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6FE24AF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427199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C0FFFA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56D76F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0E78AF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284C7E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9C361E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54E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5A2EF9A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0D06543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FA7208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021972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192BA9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C2888C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6A6661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EF659C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7F45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507E96D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675F397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12E044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AF9CCF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69FA22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147D57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8E6657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23F8B4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7AC9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0EFC072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2A552FE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92CB90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557804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4E2E55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F24476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175615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567BD0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7DB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3277098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0ECE8C4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121199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C00C6A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8AAD9F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44E4EB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A0A26E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896636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01DD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11E2FD0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3C9B094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7F1549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6F358D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8AB4D4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6FF445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2C8DE2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13F7E8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15FE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3B71B15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3574A1F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F1B112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485B92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DA6FB5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085B99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5BA226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73A6C4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0B9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050195F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3E155EA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FAAE83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199FD3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C09C0A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CE8F01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F25BA8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B1697C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CF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570F60F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182F2F2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7CAEEA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9106DB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C72786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90826F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79B20A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A88A33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6BBA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2E8B663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46514E5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A9C5A7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379546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EE8B9C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1B0858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93364D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39E159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0ECD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05DFF8F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3554406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7EA1F4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A8A1A4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D27A7E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580D94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1477EC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DC5D52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3F3D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32F26A6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48F12D8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2E63AE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C026DB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76B9D1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988B72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176F5F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524DC3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596D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2222259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66C263E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D87276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D9F6EC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6B79BE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83495C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13859C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513322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21EF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1FA1F98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5089F237">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ADBB76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523EA6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16BE3A5">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C8273A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706E20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4E715F9">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42E4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3EB89F4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3A53D32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87DF764">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29C4190">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B4241B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E49B58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3D4634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3DC4F3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0083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01122B0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374E1BB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264C546">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54C5BC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FF9DAE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457503CA">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7F71696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89EF15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6F53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2C0747DD">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1C32BED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B849B7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BB73F3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5AAA70A1">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BE3AA6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EC3FEAE">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AA635A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r w14:paraId="76F2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noWrap w:val="0"/>
            <w:vAlign w:val="center"/>
          </w:tcPr>
          <w:p w14:paraId="17FF105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484" w:type="dxa"/>
            <w:noWrap w:val="0"/>
            <w:vAlign w:val="center"/>
          </w:tcPr>
          <w:p w14:paraId="28FE1E3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3E0A1E9C">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D36B728">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09DCA77F">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18473033">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67D1FF22">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c>
          <w:tcPr>
            <w:tcW w:w="1113" w:type="dxa"/>
            <w:noWrap w:val="0"/>
            <w:vAlign w:val="center"/>
          </w:tcPr>
          <w:p w14:paraId="24C274EB">
            <w:pPr>
              <w:pageBreakBefore w:val="0"/>
              <w:wordWrap w:val="0"/>
              <w:overflowPunct/>
              <w:topLinePunct w:val="0"/>
              <w:autoSpaceDE/>
              <w:autoSpaceDN/>
              <w:bidi w:val="0"/>
              <w:spacing w:after="0"/>
              <w:jc w:val="center"/>
              <w:textAlignment w:val="auto"/>
              <w:rPr>
                <w:rFonts w:hint="eastAsia" w:ascii="宋体" w:hAnsi="宋体" w:eastAsia="宋体" w:cs="宋体"/>
                <w:color w:val="auto"/>
                <w:spacing w:val="0"/>
                <w:position w:val="0"/>
                <w:szCs w:val="21"/>
              </w:rPr>
            </w:pPr>
          </w:p>
        </w:tc>
      </w:tr>
    </w:tbl>
    <w:p w14:paraId="622C9BAE">
      <w:pPr>
        <w:pageBreakBefore w:val="0"/>
        <w:wordWrap w:val="0"/>
        <w:overflowPunct/>
        <w:topLinePunct w:val="0"/>
        <w:autoSpaceDE/>
        <w:autoSpaceDN/>
        <w:bidi w:val="0"/>
        <w:spacing w:line="420" w:lineRule="exact"/>
        <w:textAlignment w:val="auto"/>
        <w:rPr>
          <w:rFonts w:hint="eastAsia" w:ascii="宋体" w:hAnsi="宋体" w:eastAsia="宋体" w:cs="宋体"/>
          <w:color w:val="auto"/>
          <w:spacing w:val="0"/>
          <w:position w:val="0"/>
          <w:szCs w:val="21"/>
        </w:rPr>
      </w:pPr>
    </w:p>
    <w:p w14:paraId="076E1CFA">
      <w:pPr>
        <w:pageBreakBefore w:val="0"/>
        <w:wordWrap w:val="0"/>
        <w:overflowPunct/>
        <w:bidi w:val="0"/>
        <w:rPr>
          <w:rFonts w:hint="eastAsia" w:ascii="宋体" w:hAnsi="宋体" w:eastAsia="宋体" w:cs="宋体"/>
          <w:b w:val="0"/>
          <w:bCs w:val="0"/>
          <w:color w:val="auto"/>
          <w:spacing w:val="0"/>
          <w:kern w:val="2"/>
          <w:position w:val="0"/>
          <w:sz w:val="24"/>
          <w:szCs w:val="24"/>
          <w:lang w:val="en-US" w:eastAsia="zh-CN" w:bidi="ar-SA"/>
        </w:rPr>
      </w:pPr>
      <w:r>
        <w:rPr>
          <w:rFonts w:hint="eastAsia" w:ascii="宋体" w:hAnsi="宋体" w:eastAsia="宋体" w:cs="宋体"/>
          <w:color w:val="auto"/>
          <w:spacing w:val="0"/>
          <w:position w:val="0"/>
          <w:szCs w:val="21"/>
        </w:rPr>
        <w:br w:type="page"/>
      </w:r>
      <w:bookmarkStart w:id="214" w:name="_Toc2670817"/>
      <w:bookmarkStart w:id="215" w:name="_Toc75721290"/>
      <w:bookmarkStart w:id="216" w:name="_Toc75721402"/>
      <w:bookmarkStart w:id="217" w:name="_Toc87802569"/>
      <w:bookmarkStart w:id="218" w:name="_Toc2670981"/>
      <w:bookmarkStart w:id="219" w:name="_Toc2672925"/>
      <w:bookmarkStart w:id="220" w:name="_Toc8640577"/>
      <w:r>
        <w:rPr>
          <w:rFonts w:hint="eastAsia" w:ascii="宋体" w:hAnsi="宋体" w:eastAsia="宋体" w:cs="宋体"/>
          <w:b w:val="0"/>
          <w:bCs w:val="0"/>
          <w:color w:val="auto"/>
          <w:spacing w:val="0"/>
          <w:kern w:val="2"/>
          <w:position w:val="0"/>
          <w:sz w:val="24"/>
          <w:szCs w:val="24"/>
          <w:lang w:val="en-US" w:eastAsia="zh-CN" w:bidi="ar-SA"/>
        </w:rPr>
        <w:t>附表四：计划开、竣工日期和施工进度计划图</w:t>
      </w:r>
      <w:bookmarkEnd w:id="214"/>
      <w:bookmarkEnd w:id="215"/>
      <w:bookmarkEnd w:id="216"/>
      <w:bookmarkEnd w:id="217"/>
      <w:bookmarkEnd w:id="218"/>
      <w:bookmarkEnd w:id="219"/>
      <w:bookmarkEnd w:id="220"/>
    </w:p>
    <w:p w14:paraId="3BCF9128">
      <w:pPr>
        <w:pageBreakBefore w:val="0"/>
        <w:wordWrap w:val="0"/>
        <w:overflowPunct/>
        <w:topLinePunct w:val="0"/>
        <w:autoSpaceDE/>
        <w:autoSpaceDN/>
        <w:bidi w:val="0"/>
        <w:spacing w:line="420" w:lineRule="exact"/>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1．</w:t>
      </w: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应递交施工进度计划图或施工进度表，说明按招标文件要求的计划工期进行施工的各个关键日期。</w:t>
      </w:r>
    </w:p>
    <w:p w14:paraId="6DB351D2">
      <w:pPr>
        <w:pageBreakBefore w:val="0"/>
        <w:wordWrap w:val="0"/>
        <w:overflowPunct/>
        <w:topLinePunct w:val="0"/>
        <w:autoSpaceDE/>
        <w:autoSpaceDN/>
        <w:bidi w:val="0"/>
        <w:spacing w:line="420" w:lineRule="exact"/>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rPr>
        <w:t>2．施工进度表可采用网络图和（或）横道图表示。</w:t>
      </w:r>
    </w:p>
    <w:p w14:paraId="4443EA13">
      <w:pPr>
        <w:pageBreakBefore w:val="0"/>
        <w:wordWrap w:val="0"/>
        <w:overflowPunct/>
        <w:bidi w:val="0"/>
        <w:rPr>
          <w:rFonts w:hint="eastAsia" w:ascii="宋体" w:hAnsi="宋体" w:eastAsia="宋体" w:cs="宋体"/>
          <w:b w:val="0"/>
          <w:bCs w:val="0"/>
          <w:color w:val="auto"/>
          <w:spacing w:val="0"/>
          <w:kern w:val="2"/>
          <w:position w:val="0"/>
          <w:sz w:val="24"/>
          <w:szCs w:val="24"/>
          <w:lang w:val="en-US" w:eastAsia="zh-CN" w:bidi="ar-SA"/>
        </w:rPr>
      </w:pPr>
      <w:bookmarkStart w:id="221" w:name="_Toc87802570"/>
      <w:bookmarkStart w:id="222" w:name="_Toc75721291"/>
      <w:bookmarkStart w:id="223" w:name="_Toc2670982"/>
      <w:bookmarkStart w:id="224" w:name="_Toc409099922"/>
      <w:bookmarkStart w:id="225" w:name="_Toc2670818"/>
      <w:bookmarkStart w:id="226" w:name="_Toc298243096"/>
      <w:bookmarkStart w:id="227" w:name="_Toc75721403"/>
      <w:bookmarkStart w:id="228" w:name="_Toc8640578"/>
      <w:bookmarkStart w:id="229" w:name="_Toc2672926"/>
    </w:p>
    <w:p w14:paraId="7ECE6D04">
      <w:pPr>
        <w:pageBreakBefore w:val="0"/>
        <w:wordWrap w:val="0"/>
        <w:overflowPunct/>
        <w:bidi w:val="0"/>
        <w:rPr>
          <w:rFonts w:hint="eastAsia" w:ascii="宋体" w:hAnsi="宋体" w:eastAsia="宋体" w:cs="宋体"/>
          <w:b w:val="0"/>
          <w:bCs w:val="0"/>
          <w:color w:val="auto"/>
          <w:spacing w:val="0"/>
          <w:kern w:val="2"/>
          <w:position w:val="0"/>
          <w:sz w:val="24"/>
          <w:szCs w:val="24"/>
          <w:lang w:val="en-US" w:eastAsia="zh-CN" w:bidi="ar-SA"/>
        </w:rPr>
      </w:pPr>
      <w:r>
        <w:rPr>
          <w:rFonts w:hint="eastAsia" w:ascii="宋体" w:hAnsi="宋体" w:eastAsia="宋体" w:cs="宋体"/>
          <w:b w:val="0"/>
          <w:bCs w:val="0"/>
          <w:color w:val="auto"/>
          <w:spacing w:val="0"/>
          <w:kern w:val="2"/>
          <w:position w:val="0"/>
          <w:sz w:val="24"/>
          <w:szCs w:val="24"/>
          <w:lang w:val="en-US" w:eastAsia="zh-CN" w:bidi="ar-SA"/>
        </w:rPr>
        <w:t>附表五：施工总平面图</w:t>
      </w:r>
      <w:bookmarkEnd w:id="221"/>
      <w:bookmarkEnd w:id="222"/>
      <w:bookmarkEnd w:id="223"/>
      <w:bookmarkEnd w:id="224"/>
      <w:bookmarkEnd w:id="225"/>
      <w:bookmarkEnd w:id="226"/>
      <w:bookmarkEnd w:id="227"/>
      <w:bookmarkEnd w:id="228"/>
      <w:bookmarkEnd w:id="229"/>
    </w:p>
    <w:p w14:paraId="1BC933A4">
      <w:pPr>
        <w:pageBreakBefore w:val="0"/>
        <w:wordWrap w:val="0"/>
        <w:overflowPunct/>
        <w:topLinePunct w:val="0"/>
        <w:autoSpaceDE/>
        <w:autoSpaceDN/>
        <w:bidi w:val="0"/>
        <w:ind w:firstLine="420" w:firstLineChars="200"/>
        <w:textAlignment w:val="auto"/>
        <w:rPr>
          <w:rFonts w:hint="eastAsia" w:ascii="宋体" w:hAnsi="宋体" w:eastAsia="宋体" w:cs="宋体"/>
          <w:color w:val="auto"/>
          <w:spacing w:val="0"/>
          <w:position w:val="0"/>
          <w:szCs w:val="21"/>
        </w:rPr>
      </w:pPr>
    </w:p>
    <w:p w14:paraId="1E7AE511">
      <w:pPr>
        <w:pageBreakBefore w:val="0"/>
        <w:wordWrap w:val="0"/>
        <w:overflowPunct/>
        <w:topLinePunct w:val="0"/>
        <w:autoSpaceDE/>
        <w:autoSpaceDN/>
        <w:bidi w:val="0"/>
        <w:ind w:firstLine="420" w:firstLineChars="200"/>
        <w:textAlignment w:val="auto"/>
        <w:rPr>
          <w:rFonts w:hint="eastAsia" w:ascii="宋体" w:hAnsi="宋体" w:eastAsia="宋体" w:cs="宋体"/>
          <w:color w:val="auto"/>
          <w:spacing w:val="0"/>
          <w:position w:val="0"/>
          <w:szCs w:val="21"/>
        </w:rPr>
      </w:pPr>
      <w:r>
        <w:rPr>
          <w:rFonts w:hint="eastAsia" w:ascii="宋体" w:hAnsi="宋体" w:eastAsia="宋体" w:cs="宋体"/>
          <w:color w:val="auto"/>
          <w:spacing w:val="0"/>
          <w:position w:val="0"/>
          <w:szCs w:val="21"/>
          <w:lang w:eastAsia="zh-CN"/>
        </w:rPr>
        <w:t>供应商</w:t>
      </w:r>
      <w:r>
        <w:rPr>
          <w:rFonts w:hint="eastAsia" w:ascii="宋体" w:hAnsi="宋体" w:eastAsia="宋体" w:cs="宋体"/>
          <w:color w:val="auto"/>
          <w:spacing w:val="0"/>
          <w:position w:val="0"/>
          <w:szCs w:val="21"/>
        </w:rPr>
        <w:t>应递交一份施工总平面图，绘出现场临时设施布置图表并附文字说明，说明临时设施、加工车间、现场办公、设备及仓储、供电、供水、卫生、生活、道路、消防等设施的情况和布置。</w:t>
      </w:r>
    </w:p>
    <w:p w14:paraId="3796690C">
      <w:pPr>
        <w:pageBreakBefore w:val="0"/>
        <w:wordWrap w:val="0"/>
        <w:overflowPunct/>
        <w:bidi w:val="0"/>
        <w:rPr>
          <w:rFonts w:hint="eastAsia" w:ascii="宋体" w:hAnsi="宋体" w:eastAsia="宋体" w:cs="宋体"/>
          <w:b w:val="0"/>
          <w:bCs w:val="0"/>
          <w:color w:val="auto"/>
          <w:spacing w:val="0"/>
          <w:kern w:val="2"/>
          <w:position w:val="0"/>
          <w:sz w:val="24"/>
          <w:szCs w:val="24"/>
          <w:lang w:val="en-US" w:eastAsia="zh-CN" w:bidi="ar-SA"/>
        </w:rPr>
      </w:pPr>
      <w:bookmarkStart w:id="230" w:name="_Toc8640579"/>
      <w:bookmarkStart w:id="231" w:name="_Toc2670983"/>
      <w:bookmarkStart w:id="232" w:name="_Toc409099923"/>
      <w:bookmarkStart w:id="233" w:name="_Toc2672927"/>
      <w:bookmarkStart w:id="234" w:name="_Toc87802571"/>
      <w:bookmarkStart w:id="235" w:name="_Toc75721292"/>
      <w:bookmarkStart w:id="236" w:name="_Toc298243097"/>
      <w:bookmarkStart w:id="237" w:name="_Toc75721404"/>
      <w:bookmarkStart w:id="238" w:name="_Toc2670819"/>
    </w:p>
    <w:p w14:paraId="1D7591B3">
      <w:pPr>
        <w:pageBreakBefore w:val="0"/>
        <w:wordWrap w:val="0"/>
        <w:overflowPunct/>
        <w:bidi w:val="0"/>
        <w:rPr>
          <w:rFonts w:hint="eastAsia" w:ascii="宋体" w:hAnsi="宋体" w:eastAsia="宋体" w:cs="宋体"/>
          <w:b w:val="0"/>
          <w:bCs w:val="0"/>
          <w:color w:val="auto"/>
          <w:spacing w:val="0"/>
          <w:kern w:val="2"/>
          <w:position w:val="0"/>
          <w:sz w:val="24"/>
          <w:szCs w:val="24"/>
          <w:lang w:val="en-US" w:eastAsia="zh-CN" w:bidi="ar-SA"/>
        </w:rPr>
      </w:pPr>
      <w:r>
        <w:rPr>
          <w:rFonts w:hint="eastAsia" w:ascii="宋体" w:hAnsi="宋体" w:eastAsia="宋体" w:cs="宋体"/>
          <w:b w:val="0"/>
          <w:bCs w:val="0"/>
          <w:color w:val="auto"/>
          <w:spacing w:val="0"/>
          <w:kern w:val="2"/>
          <w:position w:val="0"/>
          <w:sz w:val="24"/>
          <w:szCs w:val="24"/>
          <w:lang w:val="en-US" w:eastAsia="zh-CN" w:bidi="ar-SA"/>
        </w:rPr>
        <w:t>附表六：临时用地表</w:t>
      </w:r>
      <w:bookmarkEnd w:id="230"/>
      <w:bookmarkEnd w:id="231"/>
      <w:bookmarkEnd w:id="232"/>
      <w:bookmarkEnd w:id="233"/>
      <w:bookmarkEnd w:id="234"/>
      <w:bookmarkEnd w:id="235"/>
      <w:bookmarkEnd w:id="236"/>
      <w:bookmarkEnd w:id="237"/>
      <w:bookmarkEnd w:id="238"/>
    </w:p>
    <w:p w14:paraId="2BEE271E">
      <w:pPr>
        <w:pageBreakBefore w:val="0"/>
        <w:wordWrap w:val="0"/>
        <w:overflowPunct/>
        <w:topLinePunct w:val="0"/>
        <w:autoSpaceDE/>
        <w:autoSpaceDN/>
        <w:bidi w:val="0"/>
        <w:textAlignment w:val="auto"/>
        <w:rPr>
          <w:rFonts w:hint="eastAsia" w:ascii="宋体" w:hAnsi="宋体" w:eastAsia="宋体" w:cs="宋体"/>
          <w:color w:val="auto"/>
          <w:spacing w:val="0"/>
          <w:position w:val="0"/>
        </w:rPr>
      </w:pPr>
    </w:p>
    <w:tbl>
      <w:tblPr>
        <w:tblStyle w:val="4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2330"/>
        <w:gridCol w:w="2330"/>
        <w:gridCol w:w="2330"/>
      </w:tblGrid>
      <w:tr w14:paraId="232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center"/>
          </w:tcPr>
          <w:p w14:paraId="50DBAAAD">
            <w:pPr>
              <w:pageBreakBefore w:val="0"/>
              <w:wordWrap w:val="0"/>
              <w:overflowPunct/>
              <w:topLinePunct w:val="0"/>
              <w:autoSpaceDE/>
              <w:autoSpaceDN/>
              <w:bidi w:val="0"/>
              <w:adjustRightInd w:val="0"/>
              <w:spacing w:after="0"/>
              <w:ind w:right="97" w:firstLine="67" w:firstLineChars="28"/>
              <w:jc w:val="center"/>
              <w:textAlignment w:val="auto"/>
              <w:rPr>
                <w:rFonts w:hint="eastAsia" w:ascii="宋体" w:hAnsi="宋体" w:eastAsia="宋体" w:cs="宋体"/>
                <w:color w:val="auto"/>
                <w:spacing w:val="0"/>
                <w:kern w:val="0"/>
                <w:position w:val="0"/>
                <w:sz w:val="24"/>
              </w:rPr>
            </w:pPr>
            <w:r>
              <w:rPr>
                <w:rFonts w:hint="eastAsia" w:ascii="宋体" w:hAnsi="宋体" w:eastAsia="宋体" w:cs="宋体"/>
                <w:color w:val="auto"/>
                <w:spacing w:val="0"/>
                <w:kern w:val="0"/>
                <w:position w:val="0"/>
                <w:sz w:val="24"/>
              </w:rPr>
              <w:t>用  途</w:t>
            </w:r>
          </w:p>
        </w:tc>
        <w:tc>
          <w:tcPr>
            <w:tcW w:w="2330" w:type="dxa"/>
            <w:noWrap w:val="0"/>
            <w:vAlign w:val="center"/>
          </w:tcPr>
          <w:p w14:paraId="0835A4A8">
            <w:pPr>
              <w:pageBreakBefore w:val="0"/>
              <w:wordWrap w:val="0"/>
              <w:overflowPunct/>
              <w:topLinePunct w:val="0"/>
              <w:autoSpaceDE/>
              <w:autoSpaceDN/>
              <w:bidi w:val="0"/>
              <w:adjustRightInd w:val="0"/>
              <w:spacing w:after="0"/>
              <w:ind w:right="97" w:firstLine="67" w:firstLineChars="28"/>
              <w:jc w:val="center"/>
              <w:textAlignment w:val="auto"/>
              <w:rPr>
                <w:rFonts w:hint="eastAsia" w:ascii="宋体" w:hAnsi="宋体" w:eastAsia="宋体" w:cs="宋体"/>
                <w:color w:val="auto"/>
                <w:spacing w:val="0"/>
                <w:kern w:val="0"/>
                <w:position w:val="0"/>
                <w:sz w:val="24"/>
              </w:rPr>
            </w:pPr>
            <w:r>
              <w:rPr>
                <w:rFonts w:hint="eastAsia" w:ascii="宋体" w:hAnsi="宋体" w:eastAsia="宋体" w:cs="宋体"/>
                <w:color w:val="auto"/>
                <w:spacing w:val="0"/>
                <w:kern w:val="0"/>
                <w:position w:val="0"/>
                <w:sz w:val="24"/>
              </w:rPr>
              <w:t>面  积（平方米）</w:t>
            </w:r>
          </w:p>
        </w:tc>
        <w:tc>
          <w:tcPr>
            <w:tcW w:w="2330" w:type="dxa"/>
            <w:noWrap w:val="0"/>
            <w:vAlign w:val="center"/>
          </w:tcPr>
          <w:p w14:paraId="40D79A1D">
            <w:pPr>
              <w:pageBreakBefore w:val="0"/>
              <w:wordWrap w:val="0"/>
              <w:overflowPunct/>
              <w:topLinePunct w:val="0"/>
              <w:autoSpaceDE/>
              <w:autoSpaceDN/>
              <w:bidi w:val="0"/>
              <w:adjustRightInd w:val="0"/>
              <w:spacing w:after="0"/>
              <w:ind w:right="97" w:firstLine="67" w:firstLineChars="28"/>
              <w:jc w:val="center"/>
              <w:textAlignment w:val="auto"/>
              <w:rPr>
                <w:rFonts w:hint="eastAsia" w:ascii="宋体" w:hAnsi="宋体" w:eastAsia="宋体" w:cs="宋体"/>
                <w:color w:val="auto"/>
                <w:spacing w:val="0"/>
                <w:kern w:val="0"/>
                <w:position w:val="0"/>
                <w:sz w:val="24"/>
              </w:rPr>
            </w:pPr>
            <w:r>
              <w:rPr>
                <w:rFonts w:hint="eastAsia" w:ascii="宋体" w:hAnsi="宋体" w:eastAsia="宋体" w:cs="宋体"/>
                <w:color w:val="auto"/>
                <w:spacing w:val="0"/>
                <w:kern w:val="0"/>
                <w:position w:val="0"/>
                <w:sz w:val="24"/>
              </w:rPr>
              <w:t>位  置</w:t>
            </w:r>
          </w:p>
        </w:tc>
        <w:tc>
          <w:tcPr>
            <w:tcW w:w="2330" w:type="dxa"/>
            <w:noWrap w:val="0"/>
            <w:vAlign w:val="center"/>
          </w:tcPr>
          <w:p w14:paraId="2B1293CE">
            <w:pPr>
              <w:pageBreakBefore w:val="0"/>
              <w:wordWrap w:val="0"/>
              <w:overflowPunct/>
              <w:topLinePunct w:val="0"/>
              <w:autoSpaceDE/>
              <w:autoSpaceDN/>
              <w:bidi w:val="0"/>
              <w:adjustRightInd w:val="0"/>
              <w:spacing w:after="0"/>
              <w:ind w:right="97" w:firstLine="67" w:firstLineChars="28"/>
              <w:jc w:val="center"/>
              <w:textAlignment w:val="auto"/>
              <w:rPr>
                <w:rFonts w:hint="eastAsia" w:ascii="宋体" w:hAnsi="宋体" w:eastAsia="宋体" w:cs="宋体"/>
                <w:color w:val="auto"/>
                <w:spacing w:val="0"/>
                <w:kern w:val="0"/>
                <w:position w:val="0"/>
                <w:sz w:val="24"/>
              </w:rPr>
            </w:pPr>
            <w:r>
              <w:rPr>
                <w:rFonts w:hint="eastAsia" w:ascii="宋体" w:hAnsi="宋体" w:eastAsia="宋体" w:cs="宋体"/>
                <w:color w:val="auto"/>
                <w:spacing w:val="0"/>
                <w:kern w:val="0"/>
                <w:position w:val="0"/>
                <w:sz w:val="24"/>
              </w:rPr>
              <w:t>需用时间</w:t>
            </w:r>
          </w:p>
        </w:tc>
      </w:tr>
      <w:tr w14:paraId="6B44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29" w:type="dxa"/>
            <w:noWrap w:val="0"/>
            <w:vAlign w:val="top"/>
          </w:tcPr>
          <w:p w14:paraId="56867DC1">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2BF4C200">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50C02ECC">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2532F13B">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r w14:paraId="63E5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top"/>
          </w:tcPr>
          <w:p w14:paraId="7D79FD51">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506DF573">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6CAEEC87">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4AB0F755">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r w14:paraId="17D3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top"/>
          </w:tcPr>
          <w:p w14:paraId="5A0EDB3C">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78404A67">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6BF66171">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10CF79AA">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r w14:paraId="7B8E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top"/>
          </w:tcPr>
          <w:p w14:paraId="4A70DBED">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14BD870E">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5D011305">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6BAA626D">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r w14:paraId="6CFE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top"/>
          </w:tcPr>
          <w:p w14:paraId="173ED369">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0C236A07">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412A7680">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7254482F">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r w14:paraId="3D06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top"/>
          </w:tcPr>
          <w:p w14:paraId="4A67C3A9">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37D9BBDA">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40069AE7">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4CCC3FDE">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r w14:paraId="321C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29" w:type="dxa"/>
            <w:noWrap w:val="0"/>
            <w:vAlign w:val="top"/>
          </w:tcPr>
          <w:p w14:paraId="061DB4F1">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39DB5EDA">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699157E1">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c>
          <w:tcPr>
            <w:tcW w:w="2330" w:type="dxa"/>
            <w:noWrap w:val="0"/>
            <w:vAlign w:val="top"/>
          </w:tcPr>
          <w:p w14:paraId="73F7E2C4">
            <w:pPr>
              <w:pageBreakBefore w:val="0"/>
              <w:wordWrap w:val="0"/>
              <w:overflowPunct/>
              <w:topLinePunct w:val="0"/>
              <w:autoSpaceDE/>
              <w:autoSpaceDN/>
              <w:bidi w:val="0"/>
              <w:spacing w:after="0"/>
              <w:textAlignment w:val="auto"/>
              <w:rPr>
                <w:rFonts w:hint="eastAsia" w:ascii="宋体" w:hAnsi="宋体" w:eastAsia="宋体" w:cs="宋体"/>
                <w:color w:val="auto"/>
                <w:spacing w:val="0"/>
                <w:position w:val="0"/>
              </w:rPr>
            </w:pPr>
          </w:p>
        </w:tc>
      </w:tr>
    </w:tbl>
    <w:p w14:paraId="47B1FD4C">
      <w:pPr>
        <w:pageBreakBefore w:val="0"/>
        <w:wordWrap w:val="0"/>
        <w:overflowPunct/>
        <w:topLinePunct w:val="0"/>
        <w:autoSpaceDE/>
        <w:autoSpaceDN/>
        <w:bidi w:val="0"/>
        <w:textAlignment w:val="auto"/>
        <w:rPr>
          <w:rFonts w:hint="eastAsia" w:ascii="宋体" w:hAnsi="宋体" w:eastAsia="宋体" w:cs="宋体"/>
          <w:color w:val="auto"/>
          <w:spacing w:val="0"/>
          <w:position w:val="0"/>
        </w:rPr>
      </w:pPr>
    </w:p>
    <w:p w14:paraId="67027196">
      <w:pPr>
        <w:pStyle w:val="185"/>
        <w:pageBreakBefore w:val="0"/>
        <w:wordWrap w:val="0"/>
        <w:overflowPunct/>
        <w:topLinePunct/>
        <w:autoSpaceDE/>
        <w:autoSpaceDN/>
        <w:bidi w:val="0"/>
        <w:ind w:left="0" w:leftChars="0" w:firstLine="0" w:firstLineChars="0"/>
        <w:rPr>
          <w:rFonts w:hint="eastAsia" w:ascii="宋体" w:hAnsi="宋体" w:eastAsia="宋体" w:cs="宋体"/>
          <w:color w:val="auto"/>
          <w:spacing w:val="0"/>
          <w:position w:val="0"/>
        </w:rPr>
      </w:pPr>
    </w:p>
    <w:p w14:paraId="6412CD5F">
      <w:pPr>
        <w:pageBreakBefore w:val="0"/>
        <w:widowControl/>
        <w:wordWrap w:val="0"/>
        <w:overflowPunct/>
        <w:topLinePunct/>
        <w:autoSpaceDE/>
        <w:autoSpaceDN/>
        <w:bidi w:val="0"/>
        <w:jc w:val="left"/>
        <w:rPr>
          <w:rFonts w:hint="eastAsia" w:ascii="宋体" w:hAnsi="宋体" w:eastAsia="宋体" w:cs="宋体"/>
          <w:color w:val="auto"/>
          <w:spacing w:val="0"/>
          <w:position w:val="0"/>
        </w:rPr>
      </w:pPr>
      <w:r>
        <w:rPr>
          <w:rFonts w:hint="eastAsia" w:ascii="宋体" w:hAnsi="宋体" w:eastAsia="宋体" w:cs="宋体"/>
          <w:color w:val="auto"/>
          <w:spacing w:val="0"/>
          <w:position w:val="0"/>
        </w:rPr>
        <w:br w:type="page"/>
      </w:r>
    </w:p>
    <w:p w14:paraId="68DFD592">
      <w:pPr>
        <w:pStyle w:val="3"/>
        <w:pageBreakBefore w:val="0"/>
        <w:wordWrap w:val="0"/>
        <w:overflowPunct/>
        <w:topLinePunct/>
        <w:autoSpaceDE/>
        <w:autoSpaceDN/>
        <w:bidi w:val="0"/>
        <w:ind w:left="420"/>
        <w:rPr>
          <w:rFonts w:hint="default" w:ascii="宋体" w:hAnsi="宋体" w:eastAsia="宋体" w:cs="宋体"/>
          <w:color w:val="auto"/>
          <w:spacing w:val="0"/>
          <w:position w:val="0"/>
          <w:lang w:val="en-US" w:eastAsia="zh-CN"/>
        </w:rPr>
      </w:pPr>
      <w:bookmarkStart w:id="239" w:name="_Toc12902"/>
      <w:r>
        <w:rPr>
          <w:rFonts w:hint="eastAsia" w:ascii="宋体" w:hAnsi="宋体" w:cs="宋体"/>
          <w:color w:val="auto"/>
          <w:spacing w:val="0"/>
          <w:position w:val="0"/>
          <w:lang w:val="en-US" w:eastAsia="zh-CN"/>
        </w:rPr>
        <w:t>十、材料规格一览表</w:t>
      </w:r>
    </w:p>
    <w:tbl>
      <w:tblPr>
        <w:tblStyle w:val="46"/>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979"/>
        <w:gridCol w:w="1125"/>
        <w:gridCol w:w="1165"/>
        <w:gridCol w:w="1357"/>
        <w:gridCol w:w="1147"/>
        <w:gridCol w:w="1095"/>
      </w:tblGrid>
      <w:tr w14:paraId="6C4D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73A94EBC">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序号</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C2A7332">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设备及材料名称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9ED7E80">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规格型号</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AEA5999">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品牌</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246109E">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技术参数</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0507C69">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6144F8">
            <w:pPr>
              <w:adjustRightInd w:val="0"/>
              <w:snapToGrid w:val="0"/>
              <w:spacing w:line="276" w:lineRule="auto"/>
              <w:jc w:val="center"/>
              <w:rPr>
                <w:rFonts w:hint="eastAsia" w:ascii="宋体" w:hAnsi="宋体" w:cs="宋体"/>
                <w:sz w:val="21"/>
                <w:szCs w:val="21"/>
              </w:rPr>
            </w:pPr>
            <w:r>
              <w:rPr>
                <w:rFonts w:hint="eastAsia" w:ascii="宋体" w:hAnsi="宋体" w:cs="宋体"/>
                <w:sz w:val="21"/>
                <w:szCs w:val="21"/>
              </w:rPr>
              <w:t>原产国</w:t>
            </w:r>
          </w:p>
        </w:tc>
      </w:tr>
      <w:tr w14:paraId="2BBB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01AC5780">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C847A57">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17430E8">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D907DC2">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D446739">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1A6E89F">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9EBD41">
            <w:pPr>
              <w:adjustRightInd w:val="0"/>
              <w:snapToGrid w:val="0"/>
              <w:spacing w:line="276" w:lineRule="auto"/>
              <w:jc w:val="center"/>
              <w:rPr>
                <w:rFonts w:hint="eastAsia" w:ascii="宋体" w:hAnsi="宋体" w:cs="宋体"/>
                <w:sz w:val="21"/>
                <w:szCs w:val="21"/>
              </w:rPr>
            </w:pPr>
          </w:p>
        </w:tc>
      </w:tr>
      <w:tr w14:paraId="2749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40F4A4ED">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7B2A178">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63BE9E9">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A2D6DCB">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CBE4267">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0D8BB72">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0A35901">
            <w:pPr>
              <w:adjustRightInd w:val="0"/>
              <w:snapToGrid w:val="0"/>
              <w:spacing w:line="276" w:lineRule="auto"/>
              <w:jc w:val="center"/>
              <w:rPr>
                <w:rFonts w:hint="eastAsia" w:ascii="宋体" w:hAnsi="宋体" w:cs="宋体"/>
                <w:sz w:val="21"/>
                <w:szCs w:val="21"/>
              </w:rPr>
            </w:pPr>
          </w:p>
        </w:tc>
      </w:tr>
      <w:tr w14:paraId="264E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46086BD7">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3A5ABF8">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62041AA">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105DC48">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60CE319">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EEA87FF">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3D8A0F">
            <w:pPr>
              <w:adjustRightInd w:val="0"/>
              <w:snapToGrid w:val="0"/>
              <w:spacing w:line="276" w:lineRule="auto"/>
              <w:jc w:val="center"/>
              <w:rPr>
                <w:rFonts w:hint="eastAsia" w:ascii="宋体" w:hAnsi="宋体" w:cs="宋体"/>
                <w:sz w:val="21"/>
                <w:szCs w:val="21"/>
              </w:rPr>
            </w:pPr>
          </w:p>
        </w:tc>
      </w:tr>
      <w:tr w14:paraId="020C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4E26C993">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7B96B783">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6D72B22">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31264C7">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84CF215">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42D751">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3A9E841">
            <w:pPr>
              <w:adjustRightInd w:val="0"/>
              <w:snapToGrid w:val="0"/>
              <w:spacing w:line="276" w:lineRule="auto"/>
              <w:jc w:val="center"/>
              <w:rPr>
                <w:rFonts w:hint="eastAsia" w:ascii="宋体" w:hAnsi="宋体" w:cs="宋体"/>
                <w:sz w:val="21"/>
                <w:szCs w:val="21"/>
              </w:rPr>
            </w:pPr>
          </w:p>
        </w:tc>
      </w:tr>
      <w:tr w14:paraId="4B15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4FC17AF7">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A3CFE0F">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67B6A53">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BBCEBC2">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7C39F89">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E3E57E0">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316438E">
            <w:pPr>
              <w:adjustRightInd w:val="0"/>
              <w:snapToGrid w:val="0"/>
              <w:spacing w:line="276" w:lineRule="auto"/>
              <w:jc w:val="center"/>
              <w:rPr>
                <w:rFonts w:hint="eastAsia" w:ascii="宋体" w:hAnsi="宋体" w:cs="宋体"/>
                <w:sz w:val="21"/>
                <w:szCs w:val="21"/>
              </w:rPr>
            </w:pPr>
          </w:p>
        </w:tc>
      </w:tr>
      <w:tr w14:paraId="47C9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782A8977">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21BF863">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6FE521C">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0DED946">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33D3573">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0A23C02">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CB4EC9">
            <w:pPr>
              <w:adjustRightInd w:val="0"/>
              <w:snapToGrid w:val="0"/>
              <w:spacing w:line="276" w:lineRule="auto"/>
              <w:jc w:val="center"/>
              <w:rPr>
                <w:rFonts w:hint="eastAsia" w:ascii="宋体" w:hAnsi="宋体" w:cs="宋体"/>
                <w:sz w:val="21"/>
                <w:szCs w:val="21"/>
              </w:rPr>
            </w:pPr>
          </w:p>
        </w:tc>
      </w:tr>
      <w:tr w14:paraId="5547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7F748909">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2CB68A39">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0804F76">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88839AB">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B63F8D9">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BC3AE9">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EB9C593">
            <w:pPr>
              <w:adjustRightInd w:val="0"/>
              <w:snapToGrid w:val="0"/>
              <w:spacing w:line="276" w:lineRule="auto"/>
              <w:jc w:val="center"/>
              <w:rPr>
                <w:rFonts w:hint="eastAsia" w:ascii="宋体" w:hAnsi="宋体" w:cs="宋体"/>
                <w:sz w:val="21"/>
                <w:szCs w:val="21"/>
              </w:rPr>
            </w:pPr>
          </w:p>
        </w:tc>
      </w:tr>
      <w:tr w14:paraId="56DD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289FF686">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54147ED8">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42548FC">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9CCCE17">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09C692D">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CF43F69">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98C81F">
            <w:pPr>
              <w:adjustRightInd w:val="0"/>
              <w:snapToGrid w:val="0"/>
              <w:spacing w:line="276" w:lineRule="auto"/>
              <w:jc w:val="center"/>
              <w:rPr>
                <w:rFonts w:hint="eastAsia" w:ascii="宋体" w:hAnsi="宋体" w:cs="宋体"/>
                <w:sz w:val="21"/>
                <w:szCs w:val="21"/>
              </w:rPr>
            </w:pPr>
          </w:p>
        </w:tc>
      </w:tr>
      <w:tr w14:paraId="63CE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31CB1C6E">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DA37744">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36C7FA">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5476657">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B215C58">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57FBC08">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F3CFC82">
            <w:pPr>
              <w:adjustRightInd w:val="0"/>
              <w:snapToGrid w:val="0"/>
              <w:spacing w:line="276" w:lineRule="auto"/>
              <w:jc w:val="center"/>
              <w:rPr>
                <w:rFonts w:hint="eastAsia" w:ascii="宋体" w:hAnsi="宋体" w:cs="宋体"/>
                <w:sz w:val="21"/>
                <w:szCs w:val="21"/>
              </w:rPr>
            </w:pPr>
          </w:p>
        </w:tc>
      </w:tr>
      <w:tr w14:paraId="1477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54F2B74D">
            <w:pPr>
              <w:adjustRightInd w:val="0"/>
              <w:snapToGrid w:val="0"/>
              <w:spacing w:line="276" w:lineRule="auto"/>
              <w:jc w:val="center"/>
              <w:rPr>
                <w:rFonts w:hint="eastAsia" w:ascii="宋体" w:hAnsi="宋体" w:cs="宋体"/>
                <w:sz w:val="21"/>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5A47458F">
            <w:pPr>
              <w:adjustRightInd w:val="0"/>
              <w:snapToGrid w:val="0"/>
              <w:spacing w:line="276" w:lineRule="auto"/>
              <w:jc w:val="center"/>
              <w:rPr>
                <w:rFonts w:hint="eastAsia" w:ascii="宋体" w:hAnsi="宋体" w:cs="宋体"/>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A4F4F50">
            <w:pPr>
              <w:adjustRightInd w:val="0"/>
              <w:snapToGrid w:val="0"/>
              <w:spacing w:line="276" w:lineRule="auto"/>
              <w:jc w:val="center"/>
              <w:rPr>
                <w:rFonts w:hint="eastAsia" w:ascii="宋体" w:hAnsi="宋体" w:cs="宋体"/>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4C7CE5C">
            <w:pPr>
              <w:adjustRightInd w:val="0"/>
              <w:snapToGrid w:val="0"/>
              <w:spacing w:line="276" w:lineRule="auto"/>
              <w:jc w:val="center"/>
              <w:rPr>
                <w:rFonts w:hint="eastAsia" w:ascii="宋体" w:hAnsi="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482A9AE">
            <w:pPr>
              <w:adjustRightInd w:val="0"/>
              <w:snapToGrid w:val="0"/>
              <w:spacing w:line="276" w:lineRule="auto"/>
              <w:jc w:val="center"/>
              <w:rPr>
                <w:rFonts w:hint="eastAsia" w:ascii="宋体" w:hAnsi="宋体" w:cs="宋体"/>
                <w:sz w:val="21"/>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346864">
            <w:pPr>
              <w:adjustRightInd w:val="0"/>
              <w:snapToGrid w:val="0"/>
              <w:spacing w:line="276" w:lineRule="auto"/>
              <w:jc w:val="center"/>
              <w:rPr>
                <w:rFonts w:hint="eastAsia" w:ascii="宋体" w:hAnsi="宋体" w:cs="宋体"/>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203B29C">
            <w:pPr>
              <w:adjustRightInd w:val="0"/>
              <w:snapToGrid w:val="0"/>
              <w:spacing w:line="276" w:lineRule="auto"/>
              <w:jc w:val="center"/>
              <w:rPr>
                <w:rFonts w:hint="eastAsia" w:ascii="宋体" w:hAnsi="宋体" w:cs="宋体"/>
                <w:sz w:val="21"/>
                <w:szCs w:val="21"/>
              </w:rPr>
            </w:pPr>
          </w:p>
        </w:tc>
      </w:tr>
    </w:tbl>
    <w:p w14:paraId="3E139331">
      <w:pPr>
        <w:keepNext w:val="0"/>
        <w:keepLines w:val="0"/>
        <w:pageBreakBefore w:val="0"/>
        <w:widowControl w:val="0"/>
        <w:kinsoku/>
        <w:wordWrap/>
        <w:overflowPunct/>
        <w:topLinePunct w:val="0"/>
        <w:autoSpaceDE/>
        <w:autoSpaceDN/>
        <w:bidi w:val="0"/>
        <w:adjustRightInd w:val="0"/>
        <w:snapToGrid w:val="0"/>
        <w:spacing w:before="120" w:beforeLines="50" w:line="396" w:lineRule="auto"/>
        <w:textAlignment w:val="auto"/>
        <w:rPr>
          <w:rFonts w:hint="eastAsia" w:ascii="宋体" w:hAnsi="宋体" w:cs="宋体"/>
          <w:sz w:val="21"/>
          <w:szCs w:val="21"/>
        </w:rPr>
      </w:pPr>
      <w:r>
        <w:rPr>
          <w:rFonts w:hint="eastAsia" w:ascii="宋体" w:hAnsi="宋体" w:cs="宋体"/>
          <w:sz w:val="21"/>
          <w:szCs w:val="21"/>
        </w:rPr>
        <w:t>说明：</w:t>
      </w:r>
    </w:p>
    <w:p w14:paraId="37BE9BC8">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hint="eastAsia" w:ascii="宋体" w:hAnsi="宋体" w:cs="宋体"/>
          <w:sz w:val="21"/>
          <w:szCs w:val="21"/>
        </w:rPr>
      </w:pPr>
      <w:r>
        <w:rPr>
          <w:rFonts w:hint="eastAsia" w:ascii="宋体" w:hAnsi="宋体" w:cs="宋体"/>
          <w:sz w:val="21"/>
          <w:szCs w:val="21"/>
        </w:rPr>
        <w:t>1、设备序号应与</w:t>
      </w:r>
      <w:r>
        <w:rPr>
          <w:rFonts w:hint="eastAsia" w:ascii="宋体" w:hAnsi="宋体" w:cs="宋体"/>
          <w:b/>
          <w:bCs/>
          <w:sz w:val="21"/>
          <w:szCs w:val="21"/>
        </w:rPr>
        <w:t>第七章技术标准与要求中的</w:t>
      </w:r>
      <w:r>
        <w:rPr>
          <w:rFonts w:hint="eastAsia" w:ascii="宋体" w:hAnsi="宋体" w:cs="宋体"/>
          <w:b/>
          <w:bCs/>
          <w:kern w:val="0"/>
          <w:sz w:val="21"/>
          <w:szCs w:val="21"/>
        </w:rPr>
        <w:t>主</w:t>
      </w:r>
      <w:r>
        <w:rPr>
          <w:rFonts w:hint="eastAsia" w:ascii="宋体" w:hAnsi="宋体" w:cs="宋体"/>
          <w:b/>
          <w:kern w:val="0"/>
          <w:sz w:val="21"/>
          <w:szCs w:val="21"/>
        </w:rPr>
        <w:t>要材料材质及品牌一览表</w:t>
      </w:r>
      <w:r>
        <w:rPr>
          <w:rFonts w:hint="eastAsia" w:ascii="宋体" w:hAnsi="宋体" w:cs="宋体"/>
          <w:sz w:val="21"/>
          <w:szCs w:val="21"/>
        </w:rPr>
        <w:t xml:space="preserve">一致或多于一览表。 </w:t>
      </w:r>
    </w:p>
    <w:p w14:paraId="2818E4AB">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hint="eastAsia" w:ascii="宋体" w:hAnsi="宋体" w:cs="宋体"/>
          <w:sz w:val="21"/>
          <w:szCs w:val="21"/>
        </w:rPr>
      </w:pPr>
      <w:r>
        <w:rPr>
          <w:rFonts w:hint="eastAsia" w:ascii="宋体" w:hAnsi="宋体" w:cs="宋体"/>
          <w:sz w:val="21"/>
          <w:szCs w:val="21"/>
        </w:rPr>
        <w:t xml:space="preserve">2、设备规格参数如有详细描述可另作说明。 </w:t>
      </w:r>
    </w:p>
    <w:p w14:paraId="41F852F0">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hint="eastAsia" w:ascii="宋体" w:hAnsi="宋体" w:cs="宋体"/>
          <w:sz w:val="21"/>
          <w:szCs w:val="21"/>
        </w:rPr>
      </w:pPr>
      <w:r>
        <w:rPr>
          <w:rFonts w:hint="eastAsia" w:ascii="宋体" w:hAnsi="宋体" w:cs="宋体"/>
          <w:sz w:val="21"/>
          <w:szCs w:val="21"/>
        </w:rPr>
        <w:t>3、投标人可对该产品的特性和优点作详细的文字说明。</w:t>
      </w:r>
    </w:p>
    <w:p w14:paraId="697201C0">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4、本次采购产品属于国家强制采购节能产品认证目录内的，必须提供节能产品认证证书（如有）。</w:t>
      </w:r>
    </w:p>
    <w:p w14:paraId="6204995A">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5、本次采购产品属于国家强制性环保产品认证目录内的，必须提供环保产品认证证书（如有）。</w:t>
      </w:r>
    </w:p>
    <w:p w14:paraId="5281E1AA">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6、投标人提供的产品均应为全新的合格产品，中标后随产品提供产品合格证，否则，采购人有权视其为不合格产品而不予接收。</w:t>
      </w:r>
    </w:p>
    <w:p w14:paraId="2EE20CAD">
      <w:pPr>
        <w:rPr>
          <w:rFonts w:hint="eastAsia"/>
          <w:lang w:val="en-US" w:eastAsia="zh-CN"/>
        </w:rPr>
      </w:pPr>
    </w:p>
    <w:p w14:paraId="26AE68DE">
      <w:pPr>
        <w:rPr>
          <w:rFonts w:hint="eastAsia"/>
          <w:lang w:val="en-US" w:eastAsia="zh-CN"/>
        </w:rPr>
      </w:pPr>
    </w:p>
    <w:p w14:paraId="7BA8F9E9">
      <w:pPr>
        <w:pStyle w:val="3"/>
        <w:pageBreakBefore w:val="0"/>
        <w:wordWrap w:val="0"/>
        <w:overflowPunct/>
        <w:topLinePunct/>
        <w:autoSpaceDE/>
        <w:autoSpaceDN/>
        <w:bidi w:val="0"/>
        <w:ind w:left="420"/>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十</w:t>
      </w:r>
      <w:r>
        <w:rPr>
          <w:rFonts w:hint="eastAsia" w:ascii="宋体" w:hAnsi="宋体" w:cs="宋体"/>
          <w:color w:val="auto"/>
          <w:spacing w:val="0"/>
          <w:position w:val="0"/>
          <w:lang w:val="en-US" w:eastAsia="zh-CN"/>
        </w:rPr>
        <w:t>一</w:t>
      </w:r>
      <w:r>
        <w:rPr>
          <w:rFonts w:hint="eastAsia" w:ascii="宋体" w:hAnsi="宋体" w:eastAsia="宋体" w:cs="宋体"/>
          <w:color w:val="auto"/>
          <w:spacing w:val="0"/>
          <w:position w:val="0"/>
          <w:lang w:val="en-US" w:eastAsia="zh-CN"/>
        </w:rPr>
        <w:t>、中小企业声明函</w:t>
      </w:r>
      <w:bookmarkEnd w:id="239"/>
    </w:p>
    <w:p w14:paraId="462117CD">
      <w:pPr>
        <w:pStyle w:val="5"/>
        <w:pageBreakBefore w:val="0"/>
        <w:wordWrap w:val="0"/>
        <w:overflowPunct/>
        <w:topLinePunct/>
        <w:autoSpaceDE/>
        <w:autoSpaceDN/>
        <w:bidi w:val="0"/>
        <w:spacing w:before="0" w:after="0"/>
        <w:jc w:val="center"/>
        <w:rPr>
          <w:rFonts w:hint="eastAsia" w:ascii="宋体" w:hAnsi="宋体" w:eastAsia="宋体" w:cs="宋体"/>
          <w:color w:val="auto"/>
          <w:spacing w:val="0"/>
          <w:position w:val="0"/>
          <w:sz w:val="24"/>
        </w:rPr>
      </w:pPr>
      <w:r>
        <w:rPr>
          <w:rFonts w:hint="eastAsia" w:ascii="宋体" w:hAnsi="宋体" w:eastAsia="宋体" w:cs="宋体"/>
          <w:color w:val="auto"/>
          <w:spacing w:val="0"/>
          <w:position w:val="0"/>
          <w:sz w:val="24"/>
        </w:rPr>
        <w:t>1.中小企业声明函</w:t>
      </w:r>
    </w:p>
    <w:p w14:paraId="3FC78179">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bookmarkStart w:id="240" w:name="_Hlk113357012"/>
      <w:r>
        <w:rPr>
          <w:rFonts w:hint="eastAsia" w:ascii="宋体" w:hAnsi="宋体" w:eastAsia="宋体" w:cs="宋体"/>
          <w:color w:val="auto"/>
          <w:spacing w:val="0"/>
          <w:kern w:val="2"/>
          <w:position w:val="0"/>
          <w:sz w:val="21"/>
          <w:szCs w:val="21"/>
        </w:rPr>
        <w:t>本公司（联合体）郑重声明，根据《政府采购促进中小企业发展管理办法》（财库﹝2020﹞46 号）的规定，本公司（联合体）参加</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（单位名称）的</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14:paraId="46516F5A">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r>
        <w:rPr>
          <w:rFonts w:hint="eastAsia" w:ascii="宋体" w:hAnsi="宋体" w:eastAsia="宋体" w:cs="宋体"/>
          <w:color w:val="auto"/>
          <w:spacing w:val="0"/>
          <w:kern w:val="2"/>
          <w:position w:val="0"/>
          <w:sz w:val="21"/>
          <w:szCs w:val="21"/>
        </w:rPr>
        <w:t>1.</w:t>
      </w:r>
      <w:r>
        <w:rPr>
          <w:rFonts w:hint="eastAsia" w:ascii="宋体" w:hAnsi="宋体" w:eastAsia="宋体" w:cs="宋体"/>
          <w:color w:val="auto"/>
          <w:spacing w:val="0"/>
          <w:kern w:val="2"/>
          <w:position w:val="0"/>
          <w:sz w:val="21"/>
          <w:szCs w:val="21"/>
          <w:u w:val="single"/>
        </w:rPr>
        <w:t xml:space="preserve">  （标的名称）  </w:t>
      </w:r>
      <w:r>
        <w:rPr>
          <w:rFonts w:hint="eastAsia" w:ascii="宋体" w:hAnsi="宋体" w:eastAsia="宋体" w:cs="宋体"/>
          <w:color w:val="auto"/>
          <w:spacing w:val="0"/>
          <w:kern w:val="2"/>
          <w:position w:val="0"/>
          <w:sz w:val="21"/>
          <w:szCs w:val="21"/>
        </w:rPr>
        <w:t>，属于</w:t>
      </w:r>
      <w:r>
        <w:rPr>
          <w:rFonts w:hint="eastAsia" w:ascii="宋体" w:hAnsi="宋体" w:eastAsia="宋体" w:cs="宋体"/>
          <w:color w:val="auto"/>
          <w:spacing w:val="0"/>
          <w:kern w:val="2"/>
          <w:position w:val="0"/>
          <w:sz w:val="21"/>
          <w:szCs w:val="21"/>
          <w:u w:val="single"/>
        </w:rPr>
        <w:t xml:space="preserve">  （采购文件中明确的所属行业）  </w:t>
      </w:r>
      <w:r>
        <w:rPr>
          <w:rFonts w:hint="eastAsia" w:ascii="宋体" w:hAnsi="宋体" w:eastAsia="宋体" w:cs="宋体"/>
          <w:color w:val="auto"/>
          <w:spacing w:val="0"/>
          <w:kern w:val="2"/>
          <w:position w:val="0"/>
          <w:sz w:val="21"/>
          <w:szCs w:val="21"/>
        </w:rPr>
        <w:t>；承建（承接）企业为</w:t>
      </w:r>
      <w:r>
        <w:rPr>
          <w:rFonts w:hint="eastAsia" w:ascii="宋体" w:hAnsi="宋体" w:eastAsia="宋体" w:cs="宋体"/>
          <w:color w:val="auto"/>
          <w:spacing w:val="0"/>
          <w:kern w:val="2"/>
          <w:position w:val="0"/>
          <w:sz w:val="21"/>
          <w:szCs w:val="21"/>
          <w:u w:val="single"/>
        </w:rPr>
        <w:t xml:space="preserve">  （企业名称）  </w:t>
      </w:r>
      <w:r>
        <w:rPr>
          <w:rFonts w:hint="eastAsia" w:ascii="宋体" w:hAnsi="宋体" w:eastAsia="宋体" w:cs="宋体"/>
          <w:color w:val="auto"/>
          <w:spacing w:val="0"/>
          <w:kern w:val="2"/>
          <w:position w:val="0"/>
          <w:sz w:val="21"/>
          <w:szCs w:val="21"/>
        </w:rPr>
        <w:t>，从业人员</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人，营业收入为</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万元，资产总额为</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万元，属于</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（中型企业、小型企业、微型企业）；</w:t>
      </w:r>
    </w:p>
    <w:p w14:paraId="153DE2E3">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r>
        <w:rPr>
          <w:rFonts w:hint="eastAsia" w:ascii="宋体" w:hAnsi="宋体" w:eastAsia="宋体" w:cs="宋体"/>
          <w:color w:val="auto"/>
          <w:spacing w:val="0"/>
          <w:kern w:val="2"/>
          <w:position w:val="0"/>
          <w:sz w:val="21"/>
          <w:szCs w:val="21"/>
        </w:rPr>
        <w:t>2.</w:t>
      </w:r>
      <w:r>
        <w:rPr>
          <w:rFonts w:hint="eastAsia" w:ascii="宋体" w:hAnsi="宋体" w:eastAsia="宋体" w:cs="宋体"/>
          <w:color w:val="auto"/>
          <w:spacing w:val="0"/>
          <w:kern w:val="2"/>
          <w:position w:val="0"/>
          <w:sz w:val="21"/>
          <w:szCs w:val="21"/>
          <w:u w:val="single"/>
        </w:rPr>
        <w:t xml:space="preserve">  （标的名称）  </w:t>
      </w:r>
      <w:r>
        <w:rPr>
          <w:rFonts w:hint="eastAsia" w:ascii="宋体" w:hAnsi="宋体" w:eastAsia="宋体" w:cs="宋体"/>
          <w:color w:val="auto"/>
          <w:spacing w:val="0"/>
          <w:kern w:val="2"/>
          <w:position w:val="0"/>
          <w:sz w:val="21"/>
          <w:szCs w:val="21"/>
        </w:rPr>
        <w:t>，属于</w:t>
      </w:r>
      <w:r>
        <w:rPr>
          <w:rFonts w:hint="eastAsia" w:ascii="宋体" w:hAnsi="宋体" w:eastAsia="宋体" w:cs="宋体"/>
          <w:color w:val="auto"/>
          <w:spacing w:val="0"/>
          <w:kern w:val="2"/>
          <w:position w:val="0"/>
          <w:sz w:val="21"/>
          <w:szCs w:val="21"/>
          <w:u w:val="single"/>
        </w:rPr>
        <w:t xml:space="preserve">  （采购文件中明确的所属行业）  </w:t>
      </w:r>
      <w:r>
        <w:rPr>
          <w:rFonts w:hint="eastAsia" w:ascii="宋体" w:hAnsi="宋体" w:eastAsia="宋体" w:cs="宋体"/>
          <w:color w:val="auto"/>
          <w:spacing w:val="0"/>
          <w:kern w:val="2"/>
          <w:position w:val="0"/>
          <w:sz w:val="21"/>
          <w:szCs w:val="21"/>
        </w:rPr>
        <w:t>；承建（承接）企业为</w:t>
      </w:r>
      <w:r>
        <w:rPr>
          <w:rFonts w:hint="eastAsia" w:ascii="宋体" w:hAnsi="宋体" w:eastAsia="宋体" w:cs="宋体"/>
          <w:color w:val="auto"/>
          <w:spacing w:val="0"/>
          <w:kern w:val="2"/>
          <w:position w:val="0"/>
          <w:sz w:val="21"/>
          <w:szCs w:val="21"/>
          <w:u w:val="single"/>
        </w:rPr>
        <w:t xml:space="preserve">  （企业名称）  </w:t>
      </w:r>
      <w:r>
        <w:rPr>
          <w:rFonts w:hint="eastAsia" w:ascii="宋体" w:hAnsi="宋体" w:eastAsia="宋体" w:cs="宋体"/>
          <w:color w:val="auto"/>
          <w:spacing w:val="0"/>
          <w:kern w:val="2"/>
          <w:position w:val="0"/>
          <w:sz w:val="21"/>
          <w:szCs w:val="21"/>
        </w:rPr>
        <w:t>，从业人员</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人，营业收入为</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万元，资产总额为</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万元，属于</w:t>
      </w:r>
      <w:r>
        <w:rPr>
          <w:rFonts w:hint="eastAsia" w:ascii="宋体" w:hAnsi="宋体" w:eastAsia="宋体" w:cs="宋体"/>
          <w:color w:val="auto"/>
          <w:spacing w:val="0"/>
          <w:kern w:val="2"/>
          <w:position w:val="0"/>
          <w:sz w:val="21"/>
          <w:szCs w:val="21"/>
          <w:u w:val="single"/>
        </w:rPr>
        <w:t xml:space="preserve">      </w:t>
      </w:r>
      <w:r>
        <w:rPr>
          <w:rFonts w:hint="eastAsia" w:ascii="宋体" w:hAnsi="宋体" w:eastAsia="宋体" w:cs="宋体"/>
          <w:color w:val="auto"/>
          <w:spacing w:val="0"/>
          <w:kern w:val="2"/>
          <w:position w:val="0"/>
          <w:sz w:val="21"/>
          <w:szCs w:val="21"/>
        </w:rPr>
        <w:t>（中型企业、小型企业、微型企业）；</w:t>
      </w:r>
    </w:p>
    <w:p w14:paraId="40C2E7A0">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r>
        <w:rPr>
          <w:rFonts w:hint="eastAsia" w:ascii="宋体" w:hAnsi="宋体" w:eastAsia="宋体" w:cs="宋体"/>
          <w:color w:val="auto"/>
          <w:spacing w:val="0"/>
          <w:kern w:val="2"/>
          <w:position w:val="0"/>
          <w:sz w:val="21"/>
          <w:szCs w:val="21"/>
        </w:rPr>
        <w:t>……</w:t>
      </w:r>
    </w:p>
    <w:p w14:paraId="3082826E">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r>
        <w:rPr>
          <w:rFonts w:hint="eastAsia" w:ascii="宋体" w:hAnsi="宋体" w:eastAsia="宋体" w:cs="宋体"/>
          <w:color w:val="auto"/>
          <w:spacing w:val="0"/>
          <w:kern w:val="2"/>
          <w:position w:val="0"/>
          <w:sz w:val="21"/>
          <w:szCs w:val="21"/>
        </w:rPr>
        <w:t>以上企业，不属于大企业的分支机构，不存在控股股东为大企业的情形，也不存在与大企业的负责人为同一人的情形。</w:t>
      </w:r>
    </w:p>
    <w:p w14:paraId="74A8AAA9">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r>
        <w:rPr>
          <w:rFonts w:hint="eastAsia" w:ascii="宋体" w:hAnsi="宋体" w:eastAsia="宋体" w:cs="宋体"/>
          <w:color w:val="auto"/>
          <w:spacing w:val="0"/>
          <w:kern w:val="2"/>
          <w:position w:val="0"/>
          <w:sz w:val="21"/>
          <w:szCs w:val="21"/>
        </w:rPr>
        <w:t>本企业对上述声明内容的真实性负责。如有虚假，将依法承担相应责任。</w:t>
      </w:r>
    </w:p>
    <w:p w14:paraId="4496D663">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p>
    <w:p w14:paraId="12264AC8">
      <w:pPr>
        <w:pStyle w:val="41"/>
        <w:keepNext w:val="0"/>
        <w:keepLines w:val="0"/>
        <w:pageBreakBefore w:val="0"/>
        <w:kinsoku/>
        <w:wordWrap w:val="0"/>
        <w:overflowPunct/>
        <w:autoSpaceDE/>
        <w:autoSpaceDN/>
        <w:bidi w:val="0"/>
        <w:adjustRightInd/>
        <w:snapToGrid/>
        <w:spacing w:before="0" w:beforeAutospacing="0" w:after="0" w:afterAutospacing="0" w:line="360" w:lineRule="auto"/>
        <w:ind w:firstLine="420" w:firstLineChars="200"/>
        <w:rPr>
          <w:rFonts w:hint="eastAsia" w:ascii="宋体" w:hAnsi="宋体" w:eastAsia="宋体" w:cs="宋体"/>
          <w:color w:val="auto"/>
          <w:spacing w:val="0"/>
          <w:kern w:val="2"/>
          <w:position w:val="0"/>
          <w:sz w:val="21"/>
          <w:szCs w:val="21"/>
        </w:rPr>
      </w:pPr>
      <w:r>
        <w:rPr>
          <w:rFonts w:hint="eastAsia" w:ascii="宋体" w:hAnsi="宋体" w:eastAsia="宋体" w:cs="宋体"/>
          <w:color w:val="auto"/>
          <w:spacing w:val="0"/>
          <w:kern w:val="2"/>
          <w:position w:val="0"/>
          <w:sz w:val="21"/>
          <w:szCs w:val="21"/>
        </w:rPr>
        <w:t>企业名称（盖章）：</w:t>
      </w:r>
    </w:p>
    <w:p w14:paraId="30546586">
      <w:pPr>
        <w:keepNext w:val="0"/>
        <w:keepLines w:val="0"/>
        <w:pageBreakBefore w:val="0"/>
        <w:widowControl/>
        <w:kinsoku/>
        <w:wordWrap w:val="0"/>
        <w:overflowPunct/>
        <w:topLinePunct/>
        <w:autoSpaceDE/>
        <w:autoSpaceDN/>
        <w:bidi w:val="0"/>
        <w:adjustRightInd/>
        <w:snapToGrid/>
        <w:spacing w:after="240" w:line="360" w:lineRule="auto"/>
        <w:ind w:firstLine="420" w:firstLineChars="200"/>
        <w:jc w:val="left"/>
        <w:textAlignment w:val="baseline"/>
        <w:rPr>
          <w:rFonts w:hint="eastAsia" w:ascii="宋体" w:hAnsi="宋体" w:eastAsia="宋体" w:cs="宋体"/>
          <w:color w:val="auto"/>
          <w:spacing w:val="0"/>
          <w:kern w:val="0"/>
          <w:position w:val="0"/>
          <w:sz w:val="24"/>
        </w:rPr>
      </w:pPr>
      <w:r>
        <w:rPr>
          <w:rFonts w:hint="eastAsia" w:ascii="宋体" w:hAnsi="宋体" w:eastAsia="宋体" w:cs="宋体"/>
          <w:color w:val="auto"/>
          <w:spacing w:val="0"/>
          <w:kern w:val="2"/>
          <w:position w:val="0"/>
          <w:sz w:val="21"/>
          <w:szCs w:val="21"/>
        </w:rPr>
        <w:t>日期：</w:t>
      </w:r>
    </w:p>
    <w:p w14:paraId="44B4CDD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sz w:val="24"/>
        </w:rPr>
      </w:pPr>
      <w:r>
        <w:rPr>
          <w:rFonts w:hint="eastAsia" w:ascii="宋体" w:hAnsi="宋体" w:eastAsia="宋体" w:cs="宋体"/>
          <w:b/>
          <w:bCs/>
          <w:color w:val="auto"/>
          <w:spacing w:val="0"/>
          <w:position w:val="0"/>
          <w:sz w:val="24"/>
        </w:rPr>
        <w:t>说明：</w:t>
      </w:r>
    </w:p>
    <w:p w14:paraId="1B25043E">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szCs w:val="20"/>
        </w:rPr>
      </w:pPr>
      <w:r>
        <w:rPr>
          <w:rFonts w:hint="eastAsia" w:ascii="宋体" w:hAnsi="宋体" w:eastAsia="宋体" w:cs="宋体"/>
          <w:b/>
          <w:bCs/>
          <w:color w:val="auto"/>
          <w:spacing w:val="0"/>
          <w:position w:val="0"/>
          <w:szCs w:val="20"/>
        </w:rPr>
        <w:t>（1）从业人员、营业收入、资产总额填报上一年度数据，无上一年度数据的新成立企业可不填报。</w:t>
      </w:r>
    </w:p>
    <w:p w14:paraId="59B16576">
      <w:pPr>
        <w:pStyle w:val="24"/>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szCs w:val="20"/>
        </w:rPr>
      </w:pPr>
      <w:r>
        <w:rPr>
          <w:rFonts w:hint="eastAsia" w:ascii="宋体" w:hAnsi="宋体" w:eastAsia="宋体" w:cs="宋体"/>
          <w:b/>
          <w:bCs/>
          <w:color w:val="auto"/>
          <w:spacing w:val="0"/>
          <w:position w:val="0"/>
          <w:szCs w:val="20"/>
        </w:rPr>
        <w:t>（2）</w:t>
      </w:r>
      <w:r>
        <w:rPr>
          <w:rFonts w:hint="eastAsia" w:ascii="宋体" w:hAnsi="宋体" w:eastAsia="宋体" w:cs="宋体"/>
          <w:b/>
          <w:bCs/>
          <w:color w:val="auto"/>
          <w:spacing w:val="0"/>
          <w:kern w:val="0"/>
          <w:position w:val="0"/>
          <w:szCs w:val="20"/>
        </w:rPr>
        <w:t>监狱企业视同小型、微型企业，应当提供省级及以上监狱管理局、戒毒管理局（含新疆生产建设兵团）出具的属于监狱企业的证明文件</w:t>
      </w:r>
      <w:r>
        <w:rPr>
          <w:rFonts w:hint="eastAsia" w:ascii="宋体" w:hAnsi="宋体" w:eastAsia="宋体" w:cs="宋体"/>
          <w:b/>
          <w:bCs/>
          <w:color w:val="auto"/>
          <w:spacing w:val="0"/>
          <w:position w:val="0"/>
          <w:szCs w:val="20"/>
        </w:rPr>
        <w:t>。</w:t>
      </w:r>
    </w:p>
    <w:p w14:paraId="1AF091D0">
      <w:pPr>
        <w:pStyle w:val="24"/>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szCs w:val="20"/>
        </w:rPr>
      </w:pPr>
      <w:r>
        <w:rPr>
          <w:rFonts w:hint="eastAsia" w:ascii="宋体" w:hAnsi="宋体" w:eastAsia="宋体" w:cs="宋体"/>
          <w:b/>
          <w:bCs/>
          <w:color w:val="auto"/>
          <w:spacing w:val="0"/>
          <w:kern w:val="0"/>
          <w:position w:val="0"/>
          <w:szCs w:val="20"/>
        </w:rPr>
        <w:t>（3）本采购标的所属行业为</w:t>
      </w:r>
      <w:r>
        <w:rPr>
          <w:rFonts w:hint="eastAsia" w:ascii="宋体" w:hAnsi="宋体" w:eastAsia="宋体" w:cs="宋体"/>
          <w:b/>
          <w:bCs/>
          <w:color w:val="auto"/>
          <w:spacing w:val="0"/>
          <w:kern w:val="0"/>
          <w:position w:val="0"/>
          <w:szCs w:val="20"/>
          <w:lang w:eastAsia="zh-CN"/>
        </w:rPr>
        <w:t>建筑业</w:t>
      </w:r>
      <w:r>
        <w:rPr>
          <w:rFonts w:hint="eastAsia" w:ascii="宋体" w:hAnsi="宋体" w:eastAsia="宋体" w:cs="宋体"/>
          <w:b/>
          <w:bCs/>
          <w:color w:val="auto"/>
          <w:spacing w:val="0"/>
          <w:kern w:val="0"/>
          <w:position w:val="0"/>
          <w:szCs w:val="20"/>
        </w:rPr>
        <w:t>。</w:t>
      </w:r>
    </w:p>
    <w:bookmarkEnd w:id="240"/>
    <w:p w14:paraId="429DF4DF">
      <w:pPr>
        <w:pageBreakBefore w:val="0"/>
        <w:widowControl/>
        <w:wordWrap w:val="0"/>
        <w:overflowPunct/>
        <w:topLinePunct/>
        <w:autoSpaceDE/>
        <w:autoSpaceDN/>
        <w:bidi w:val="0"/>
        <w:jc w:val="left"/>
        <w:rPr>
          <w:rFonts w:hint="eastAsia" w:ascii="宋体" w:hAnsi="宋体" w:eastAsia="宋体" w:cs="宋体"/>
          <w:b/>
          <w:bCs/>
          <w:color w:val="auto"/>
          <w:spacing w:val="0"/>
          <w:position w:val="0"/>
          <w:sz w:val="24"/>
          <w:szCs w:val="28"/>
        </w:rPr>
      </w:pPr>
      <w:r>
        <w:rPr>
          <w:rFonts w:hint="eastAsia" w:ascii="宋体" w:hAnsi="宋体" w:eastAsia="宋体" w:cs="宋体"/>
          <w:color w:val="auto"/>
          <w:spacing w:val="0"/>
          <w:position w:val="0"/>
          <w:sz w:val="24"/>
        </w:rPr>
        <w:br w:type="page"/>
      </w:r>
    </w:p>
    <w:p w14:paraId="4ADED7D8">
      <w:pPr>
        <w:pStyle w:val="5"/>
        <w:pageBreakBefore w:val="0"/>
        <w:wordWrap w:val="0"/>
        <w:overflowPunct/>
        <w:topLinePunct/>
        <w:autoSpaceDE/>
        <w:autoSpaceDN/>
        <w:bidi w:val="0"/>
        <w:spacing w:before="0" w:after="0"/>
        <w:jc w:val="center"/>
        <w:rPr>
          <w:rFonts w:hint="eastAsia" w:ascii="宋体" w:hAnsi="宋体" w:eastAsia="宋体" w:cs="宋体"/>
          <w:color w:val="auto"/>
          <w:spacing w:val="0"/>
          <w:position w:val="0"/>
          <w:sz w:val="24"/>
        </w:rPr>
      </w:pPr>
      <w:r>
        <w:rPr>
          <w:rFonts w:hint="eastAsia" w:ascii="宋体" w:hAnsi="宋体" w:eastAsia="宋体" w:cs="宋体"/>
          <w:color w:val="auto"/>
          <w:spacing w:val="0"/>
          <w:position w:val="0"/>
          <w:sz w:val="24"/>
        </w:rPr>
        <w:t>2.残疾人福利性单位声明函</w:t>
      </w:r>
    </w:p>
    <w:p w14:paraId="47BA24A3">
      <w:pPr>
        <w:keepNext w:val="0"/>
        <w:keepLines w:val="0"/>
        <w:pageBreakBefore w:val="0"/>
        <w:widowControl w:val="0"/>
        <w:kinsoku/>
        <w:wordWrap w:val="0"/>
        <w:overflowPunct/>
        <w:topLinePunct/>
        <w:autoSpaceDE/>
        <w:autoSpaceDN/>
        <w:bidi w:val="0"/>
        <w:adjustRightInd/>
        <w:snapToGrid/>
        <w:spacing w:line="360" w:lineRule="auto"/>
        <w:ind w:firstLine="630" w:firstLineChars="3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 xml:space="preserve">单位的 </w:t>
      </w:r>
      <w:r>
        <w:rPr>
          <w:rFonts w:hint="eastAsia" w:ascii="宋体" w:hAnsi="宋体" w:eastAsia="宋体" w:cs="宋体"/>
          <w:color w:val="auto"/>
          <w:spacing w:val="0"/>
          <w:position w:val="0"/>
          <w:sz w:val="21"/>
          <w:szCs w:val="21"/>
          <w:u w:val="single"/>
        </w:rPr>
        <w:t xml:space="preserve">              </w:t>
      </w:r>
      <w:r>
        <w:rPr>
          <w:rFonts w:hint="eastAsia" w:ascii="宋体" w:hAnsi="宋体" w:eastAsia="宋体" w:cs="宋体"/>
          <w:color w:val="auto"/>
          <w:spacing w:val="0"/>
          <w:position w:val="0"/>
          <w:sz w:val="21"/>
          <w:szCs w:val="21"/>
        </w:rPr>
        <w:t>项目采购活动提供本单位制造的货物（由本单位承担工程/提供服务），或者提供其他残疾人福利性单位制造的货物（不包括使用非残疾人福利性单位注册商标的货物）。</w:t>
      </w:r>
    </w:p>
    <w:p w14:paraId="3910C84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本单位对上述声明的真实性负责。如有虚假，将依法承担相应责任。</w:t>
      </w:r>
    </w:p>
    <w:p w14:paraId="7EB1C382">
      <w:pPr>
        <w:keepNext w:val="0"/>
        <w:keepLines w:val="0"/>
        <w:pageBreakBefore w:val="0"/>
        <w:widowControl w:val="0"/>
        <w:kinsoku/>
        <w:wordWrap w:val="0"/>
        <w:overflowPunct/>
        <w:topLinePunct/>
        <w:autoSpaceDE/>
        <w:autoSpaceDN/>
        <w:bidi w:val="0"/>
        <w:adjustRightInd/>
        <w:snapToGrid/>
        <w:spacing w:line="360" w:lineRule="auto"/>
        <w:jc w:val="right"/>
        <w:textAlignment w:val="auto"/>
        <w:rPr>
          <w:rFonts w:hint="eastAsia" w:ascii="宋体" w:hAnsi="宋体" w:eastAsia="宋体" w:cs="宋体"/>
          <w:color w:val="auto"/>
          <w:spacing w:val="0"/>
          <w:position w:val="0"/>
          <w:sz w:val="21"/>
          <w:szCs w:val="21"/>
        </w:rPr>
      </w:pPr>
    </w:p>
    <w:p w14:paraId="782EC018">
      <w:pPr>
        <w:keepNext w:val="0"/>
        <w:keepLines w:val="0"/>
        <w:pageBreakBefore w:val="0"/>
        <w:widowControl w:val="0"/>
        <w:kinsoku/>
        <w:wordWrap w:val="0"/>
        <w:overflowPunct/>
        <w:topLinePunct/>
        <w:autoSpaceDE/>
        <w:autoSpaceDN/>
        <w:bidi w:val="0"/>
        <w:adjustRightInd/>
        <w:snapToGrid/>
        <w:spacing w:line="360" w:lineRule="auto"/>
        <w:ind w:right="210"/>
        <w:jc w:val="right"/>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单位名称（</w:t>
      </w:r>
      <w:r>
        <w:rPr>
          <w:rFonts w:hint="eastAsia" w:ascii="宋体" w:hAnsi="宋体" w:eastAsia="宋体" w:cs="宋体"/>
          <w:color w:val="auto"/>
          <w:spacing w:val="0"/>
          <w:position w:val="0"/>
          <w:sz w:val="21"/>
          <w:szCs w:val="21"/>
          <w:lang w:eastAsia="zh-CN"/>
        </w:rPr>
        <w:t>盖单位公章</w:t>
      </w:r>
      <w:r>
        <w:rPr>
          <w:rFonts w:hint="eastAsia" w:ascii="宋体" w:hAnsi="宋体" w:eastAsia="宋体" w:cs="宋体"/>
          <w:color w:val="auto"/>
          <w:spacing w:val="0"/>
          <w:position w:val="0"/>
          <w:sz w:val="21"/>
          <w:szCs w:val="21"/>
        </w:rPr>
        <w:t xml:space="preserve">）：        </w:t>
      </w:r>
    </w:p>
    <w:p w14:paraId="5EB33642">
      <w:pPr>
        <w:keepNext w:val="0"/>
        <w:keepLines w:val="0"/>
        <w:pageBreakBefore w:val="0"/>
        <w:widowControl w:val="0"/>
        <w:kinsoku/>
        <w:wordWrap w:val="0"/>
        <w:overflowPunct/>
        <w:topLinePunct/>
        <w:autoSpaceDE/>
        <w:autoSpaceDN/>
        <w:bidi w:val="0"/>
        <w:adjustRightInd/>
        <w:snapToGrid/>
        <w:spacing w:line="360" w:lineRule="auto"/>
        <w:ind w:firstLine="5460" w:firstLineChars="26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日  期：</w:t>
      </w:r>
    </w:p>
    <w:p w14:paraId="048C608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position w:val="0"/>
          <w:sz w:val="21"/>
          <w:szCs w:val="21"/>
        </w:rPr>
      </w:pPr>
      <w:bookmarkStart w:id="241" w:name="_Hlk113357043"/>
      <w:r>
        <w:rPr>
          <w:rFonts w:hint="eastAsia" w:ascii="宋体" w:hAnsi="宋体" w:eastAsia="宋体" w:cs="宋体"/>
          <w:color w:val="auto"/>
          <w:spacing w:val="0"/>
          <w:position w:val="0"/>
          <w:sz w:val="21"/>
          <w:szCs w:val="21"/>
        </w:rPr>
        <w:t>说明：</w:t>
      </w:r>
    </w:p>
    <w:p w14:paraId="7C86EB6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一、享受政府采购支持政策的残疾人福利性单位应当同时满足以下条件：</w:t>
      </w:r>
    </w:p>
    <w:p w14:paraId="4DDEC1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（一）安置的残疾人占本单位在职职工人数的比例不低于25%（含25%），并且安置的残疾人人数不少于10人（含10人）；</w:t>
      </w:r>
    </w:p>
    <w:p w14:paraId="48C4C49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（二）依法与安置的每位残疾人签订了一年以上（含一年）的劳动合同或服务协议；</w:t>
      </w:r>
    </w:p>
    <w:p w14:paraId="037ECA4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（三）为安置的每位残疾人按月足额缴纳了基本养老保险、基本医疗保险、失业保险、工伤保险和生育保险等社会保险费；</w:t>
      </w:r>
    </w:p>
    <w:p w14:paraId="5FCE36A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（四）通过银行等金融机构向安置的每位残疾人，按月支付了不低于单位所在区县适用的经省级人民政府批准的月最低工资标准的工资；</w:t>
      </w:r>
    </w:p>
    <w:p w14:paraId="0DDBB2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（五）提供本单位制造的货物、承担的工程或者服务（以下简称产品），或者提供其他残疾人福利性单位制造的货物（不包括使用非残疾人福利性单位注册商标的货物）。</w:t>
      </w:r>
    </w:p>
    <w:p w14:paraId="4ED9A0F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449D7C">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color w:val="auto"/>
          <w:spacing w:val="0"/>
          <w:position w:val="0"/>
          <w:sz w:val="21"/>
          <w:szCs w:val="21"/>
        </w:rPr>
      </w:pPr>
      <w:r>
        <w:rPr>
          <w:rFonts w:hint="eastAsia" w:ascii="宋体" w:hAnsi="宋体" w:eastAsia="宋体" w:cs="宋体"/>
          <w:b/>
          <w:color w:val="auto"/>
          <w:spacing w:val="0"/>
          <w:position w:val="0"/>
          <w:sz w:val="21"/>
          <w:szCs w:val="21"/>
        </w:rPr>
        <w:t>注意：如果</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不是残疾人福利性单位，则不需要提供《残疾人福利性单位声明函》。否则，因此导致虚假投标的后果由</w:t>
      </w:r>
      <w:r>
        <w:rPr>
          <w:rFonts w:hint="eastAsia" w:ascii="宋体" w:hAnsi="宋体" w:eastAsia="宋体" w:cs="宋体"/>
          <w:b/>
          <w:color w:val="auto"/>
          <w:spacing w:val="0"/>
          <w:position w:val="0"/>
          <w:sz w:val="21"/>
          <w:szCs w:val="21"/>
          <w:lang w:eastAsia="zh-CN"/>
        </w:rPr>
        <w:t>供应商</w:t>
      </w:r>
      <w:r>
        <w:rPr>
          <w:rFonts w:hint="eastAsia" w:ascii="宋体" w:hAnsi="宋体" w:eastAsia="宋体" w:cs="宋体"/>
          <w:b/>
          <w:color w:val="auto"/>
          <w:spacing w:val="0"/>
          <w:position w:val="0"/>
          <w:sz w:val="21"/>
          <w:szCs w:val="21"/>
        </w:rPr>
        <w:t>自行承担。</w:t>
      </w:r>
    </w:p>
    <w:bookmarkEnd w:id="241"/>
    <w:p w14:paraId="2AC22BAE">
      <w:pPr>
        <w:pageBreakBefore w:val="0"/>
        <w:widowControl/>
        <w:wordWrap w:val="0"/>
        <w:overflowPunct/>
        <w:topLinePunct/>
        <w:autoSpaceDE/>
        <w:autoSpaceDN/>
        <w:bidi w:val="0"/>
        <w:jc w:val="left"/>
        <w:rPr>
          <w:rFonts w:hint="eastAsia" w:ascii="宋体" w:hAnsi="宋体" w:eastAsia="宋体" w:cs="宋体"/>
          <w:color w:val="auto"/>
          <w:spacing w:val="0"/>
          <w:position w:val="0"/>
        </w:rPr>
      </w:pPr>
    </w:p>
    <w:p w14:paraId="5890C611">
      <w:pPr>
        <w:pageBreakBefore w:val="0"/>
        <w:wordWrap w:val="0"/>
        <w:overflowPunct/>
        <w:topLinePunct/>
        <w:autoSpaceDE/>
        <w:autoSpaceDN/>
        <w:bidi w:val="0"/>
        <w:rPr>
          <w:rFonts w:hint="eastAsia" w:ascii="宋体" w:hAnsi="宋体" w:eastAsia="宋体" w:cs="宋体"/>
          <w:color w:val="auto"/>
          <w:spacing w:val="0"/>
          <w:position w:val="0"/>
          <w:sz w:val="28"/>
        </w:rPr>
      </w:pPr>
      <w:r>
        <w:rPr>
          <w:rFonts w:hint="eastAsia" w:ascii="宋体" w:hAnsi="宋体" w:eastAsia="宋体" w:cs="宋体"/>
          <w:color w:val="auto"/>
          <w:spacing w:val="0"/>
          <w:position w:val="0"/>
          <w:sz w:val="28"/>
        </w:rPr>
        <w:br w:type="page"/>
      </w:r>
    </w:p>
    <w:p w14:paraId="6669CF73">
      <w:pPr>
        <w:pStyle w:val="3"/>
        <w:pageBreakBefore w:val="0"/>
        <w:wordWrap w:val="0"/>
        <w:overflowPunct/>
        <w:topLinePunct/>
        <w:autoSpaceDE/>
        <w:autoSpaceDN/>
        <w:bidi w:val="0"/>
        <w:ind w:left="420"/>
        <w:rPr>
          <w:rFonts w:hint="eastAsia" w:ascii="宋体" w:hAnsi="宋体" w:eastAsia="宋体" w:cs="宋体"/>
          <w:color w:val="auto"/>
          <w:spacing w:val="0"/>
          <w:position w:val="0"/>
          <w:lang w:val="en-US" w:eastAsia="zh-CN"/>
        </w:rPr>
      </w:pPr>
      <w:bookmarkStart w:id="242" w:name="_Toc17679"/>
      <w:bookmarkStart w:id="243" w:name="_Toc27975"/>
      <w:r>
        <w:rPr>
          <w:rFonts w:hint="eastAsia" w:ascii="宋体" w:hAnsi="宋体" w:eastAsia="宋体" w:cs="宋体"/>
          <w:sz w:val="28"/>
        </w:rPr>
        <w:t>十</w:t>
      </w:r>
      <w:bookmarkEnd w:id="242"/>
      <w:r>
        <w:rPr>
          <w:rFonts w:hint="eastAsia" w:ascii="宋体" w:hAnsi="宋体" w:cs="宋体"/>
          <w:sz w:val="28"/>
          <w:lang w:val="en-US" w:eastAsia="zh-CN"/>
        </w:rPr>
        <w:t>二</w:t>
      </w:r>
      <w:r>
        <w:rPr>
          <w:rFonts w:hint="eastAsia" w:ascii="宋体" w:hAnsi="宋体" w:eastAsia="宋体" w:cs="宋体"/>
          <w:color w:val="auto"/>
          <w:spacing w:val="0"/>
          <w:position w:val="0"/>
          <w:lang w:val="en-US" w:eastAsia="zh-CN"/>
        </w:rPr>
        <w:t>、供应商认为需要提供的其他资料</w:t>
      </w:r>
      <w:bookmarkEnd w:id="243"/>
    </w:p>
    <w:sectPr>
      <w:footerReference r:id="rId5" w:type="default"/>
      <w:pgSz w:w="11906" w:h="16838"/>
      <w:pgMar w:top="1417" w:right="1587" w:bottom="1417" w:left="1587" w:header="851" w:footer="992"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6BAD">
    <w:pPr>
      <w:pStyle w:val="28"/>
      <w:keepNext w:val="0"/>
      <w:keepLines w:val="0"/>
      <w:pageBreakBefore w:val="0"/>
      <w:widowControl w:val="0"/>
      <w:pBdr>
        <w:top w:val="thinThickSmallGap" w:color="823B0B" w:sz="24" w:space="1"/>
      </w:pBdr>
      <w:tabs>
        <w:tab w:val="center" w:pos="0"/>
        <w:tab w:val="left" w:pos="8610"/>
        <w:tab w:val="clear" w:pos="8306"/>
      </w:tabs>
      <w:kinsoku/>
      <w:wordWrap/>
      <w:overflowPunct/>
      <w:topLinePunct w:val="0"/>
      <w:bidi w:val="0"/>
      <w:adjustRightInd/>
      <w:snapToGrid w:val="0"/>
      <w:ind w:right="31" w:rightChars="15"/>
      <w:jc w:val="center"/>
      <w:textAlignment w:val="auto"/>
      <w:rPr>
        <w:rFonts w:ascii="Times New Roman" w:hAnsi="Times New Roman" w:eastAsia="仿宋_GB2312"/>
        <w:sz w:val="24"/>
      </w:rPr>
    </w:pPr>
    <w:r>
      <w:rPr>
        <w:rFonts w:hint="eastAsia" w:ascii="宋体" w:hAnsi="宋体" w:eastAsia="宋体" w:cs="宋体"/>
        <w:b/>
        <w:bCs w:val="0"/>
        <w:sz w:val="18"/>
        <w:szCs w:val="18"/>
        <w:lang w:eastAsia="zh-CN"/>
      </w:rPr>
      <w:t>河南省伟信招标管理咨询有限公司</w:t>
    </w:r>
    <w:r>
      <w:rPr>
        <w:rFonts w:hint="eastAsia" w:ascii="宋体" w:hAnsi="宋体" w:eastAsia="宋体" w:cs="宋体"/>
        <w:b/>
        <w:bCs w:val="0"/>
        <w:sz w:val="18"/>
        <w:szCs w:val="18"/>
      </w:rPr>
      <w:ptab w:relativeTo="margin" w:alignment="right" w:leader="none"/>
    </w:r>
    <w:r>
      <w:rPr>
        <w:rFonts w:hint="eastAsia" w:ascii="宋体" w:hAnsi="宋体" w:eastAsia="宋体" w:cs="宋体"/>
        <w:b/>
        <w:bCs w:val="0"/>
        <w:sz w:val="18"/>
        <w:szCs w:val="18"/>
      </w:rPr>
      <w:fldChar w:fldCharType="begin"/>
    </w:r>
    <w:r>
      <w:rPr>
        <w:rFonts w:hint="eastAsia" w:ascii="宋体" w:hAnsi="宋体" w:eastAsia="宋体" w:cs="宋体"/>
        <w:b/>
        <w:bCs w:val="0"/>
        <w:sz w:val="18"/>
        <w:szCs w:val="18"/>
      </w:rPr>
      <w:instrText xml:space="preserve">PAGE   \* MERGEFORMAT</w:instrText>
    </w:r>
    <w:r>
      <w:rPr>
        <w:rFonts w:hint="eastAsia" w:ascii="宋体" w:hAnsi="宋体" w:eastAsia="宋体" w:cs="宋体"/>
        <w:b/>
        <w:bCs w:val="0"/>
        <w:sz w:val="18"/>
        <w:szCs w:val="18"/>
      </w:rPr>
      <w:fldChar w:fldCharType="separate"/>
    </w:r>
    <w:r>
      <w:rPr>
        <w:rFonts w:hint="eastAsia" w:ascii="宋体" w:hAnsi="宋体" w:eastAsia="宋体" w:cs="宋体"/>
        <w:b/>
        <w:bCs w:val="0"/>
        <w:sz w:val="18"/>
        <w:szCs w:val="18"/>
        <w:lang w:val="zh-CN"/>
      </w:rPr>
      <w:t>6</w:t>
    </w:r>
    <w:r>
      <w:rPr>
        <w:rFonts w:hint="eastAsia" w:ascii="宋体" w:hAnsi="宋体" w:eastAsia="宋体" w:cs="宋体"/>
        <w:b/>
        <w:bCs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097B6"/>
    <w:multiLevelType w:val="singleLevel"/>
    <w:tmpl w:val="980097B6"/>
    <w:lvl w:ilvl="0" w:tentative="0">
      <w:start w:val="1"/>
      <w:numFmt w:val="decimal"/>
      <w:lvlText w:val="(%1)"/>
      <w:lvlJc w:val="left"/>
      <w:pPr>
        <w:ind w:left="845" w:hanging="425"/>
      </w:pPr>
      <w:rPr>
        <w:rFonts w:hint="default"/>
      </w:rPr>
    </w:lvl>
  </w:abstractNum>
  <w:abstractNum w:abstractNumId="1">
    <w:nsid w:val="E38344E7"/>
    <w:multiLevelType w:val="singleLevel"/>
    <w:tmpl w:val="E38344E7"/>
    <w:lvl w:ilvl="0" w:tentative="0">
      <w:start w:val="1"/>
      <w:numFmt w:val="decimal"/>
      <w:lvlText w:val="(%1)"/>
      <w:lvlJc w:val="left"/>
      <w:pPr>
        <w:ind w:left="425" w:hanging="425"/>
      </w:pPr>
      <w:rPr>
        <w:rFonts w:hint="default"/>
      </w:rPr>
    </w:lvl>
  </w:abstractNum>
  <w:abstractNum w:abstractNumId="2">
    <w:nsid w:val="4F3FF634"/>
    <w:multiLevelType w:val="singleLevel"/>
    <w:tmpl w:val="4F3FF634"/>
    <w:lvl w:ilvl="0" w:tentative="0">
      <w:start w:val="2"/>
      <w:numFmt w:val="decimal"/>
      <w:lvlText w:val="%1."/>
      <w:lvlJc w:val="left"/>
      <w:pPr>
        <w:tabs>
          <w:tab w:val="left" w:pos="312"/>
        </w:tabs>
      </w:pPr>
    </w:lvl>
  </w:abstractNum>
  <w:abstractNum w:abstractNumId="3">
    <w:nsid w:val="58861ADE"/>
    <w:multiLevelType w:val="singleLevel"/>
    <w:tmpl w:val="58861ADE"/>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210"/>
  <w:drawingGridVerticalSpacing w:val="159"/>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ZGViYWMwNGFjOWFkZjE5ZWI2MTlkMmFjNTc0OGQifQ=="/>
  </w:docVars>
  <w:rsids>
    <w:rsidRoot w:val="00172A27"/>
    <w:rsid w:val="00001C72"/>
    <w:rsid w:val="00001F74"/>
    <w:rsid w:val="00001F98"/>
    <w:rsid w:val="00002044"/>
    <w:rsid w:val="00006418"/>
    <w:rsid w:val="00007B73"/>
    <w:rsid w:val="00010982"/>
    <w:rsid w:val="00011F18"/>
    <w:rsid w:val="00013188"/>
    <w:rsid w:val="00013846"/>
    <w:rsid w:val="00013FA2"/>
    <w:rsid w:val="0001464E"/>
    <w:rsid w:val="000148E1"/>
    <w:rsid w:val="00014AFE"/>
    <w:rsid w:val="000151A2"/>
    <w:rsid w:val="000214E8"/>
    <w:rsid w:val="000216CB"/>
    <w:rsid w:val="000222C1"/>
    <w:rsid w:val="00023EC0"/>
    <w:rsid w:val="000248F6"/>
    <w:rsid w:val="00024D78"/>
    <w:rsid w:val="00026743"/>
    <w:rsid w:val="000349AF"/>
    <w:rsid w:val="00036119"/>
    <w:rsid w:val="00037E89"/>
    <w:rsid w:val="00040263"/>
    <w:rsid w:val="0004043C"/>
    <w:rsid w:val="00040986"/>
    <w:rsid w:val="0004148C"/>
    <w:rsid w:val="00043352"/>
    <w:rsid w:val="00044CE9"/>
    <w:rsid w:val="00045AAA"/>
    <w:rsid w:val="00047B0D"/>
    <w:rsid w:val="0005126B"/>
    <w:rsid w:val="00052CD3"/>
    <w:rsid w:val="00052EC4"/>
    <w:rsid w:val="00053414"/>
    <w:rsid w:val="000548D4"/>
    <w:rsid w:val="00054CD2"/>
    <w:rsid w:val="00056124"/>
    <w:rsid w:val="00060F1F"/>
    <w:rsid w:val="00062100"/>
    <w:rsid w:val="00062D24"/>
    <w:rsid w:val="00065873"/>
    <w:rsid w:val="00066C87"/>
    <w:rsid w:val="00067034"/>
    <w:rsid w:val="00067C64"/>
    <w:rsid w:val="00074631"/>
    <w:rsid w:val="000800C8"/>
    <w:rsid w:val="000807FB"/>
    <w:rsid w:val="000831BE"/>
    <w:rsid w:val="00084A9D"/>
    <w:rsid w:val="00084C50"/>
    <w:rsid w:val="0008518B"/>
    <w:rsid w:val="00085945"/>
    <w:rsid w:val="00085CDA"/>
    <w:rsid w:val="0008668D"/>
    <w:rsid w:val="0009113D"/>
    <w:rsid w:val="00091B76"/>
    <w:rsid w:val="00091DA6"/>
    <w:rsid w:val="00092247"/>
    <w:rsid w:val="00092902"/>
    <w:rsid w:val="000952D0"/>
    <w:rsid w:val="000A0469"/>
    <w:rsid w:val="000A2ACE"/>
    <w:rsid w:val="000A2BC6"/>
    <w:rsid w:val="000A37D6"/>
    <w:rsid w:val="000A5CE7"/>
    <w:rsid w:val="000A67C1"/>
    <w:rsid w:val="000B46DD"/>
    <w:rsid w:val="000B54CB"/>
    <w:rsid w:val="000B630C"/>
    <w:rsid w:val="000B655F"/>
    <w:rsid w:val="000B6D63"/>
    <w:rsid w:val="000C1569"/>
    <w:rsid w:val="000C3B6F"/>
    <w:rsid w:val="000C3CF5"/>
    <w:rsid w:val="000C4FB7"/>
    <w:rsid w:val="000C5150"/>
    <w:rsid w:val="000C604F"/>
    <w:rsid w:val="000C6524"/>
    <w:rsid w:val="000D206B"/>
    <w:rsid w:val="000D3AFF"/>
    <w:rsid w:val="000D5D6C"/>
    <w:rsid w:val="000D7032"/>
    <w:rsid w:val="000D7B70"/>
    <w:rsid w:val="000E1250"/>
    <w:rsid w:val="000E1E60"/>
    <w:rsid w:val="000E39B3"/>
    <w:rsid w:val="000E3EFF"/>
    <w:rsid w:val="000E66FC"/>
    <w:rsid w:val="000E7BCF"/>
    <w:rsid w:val="000F3B72"/>
    <w:rsid w:val="000F45AE"/>
    <w:rsid w:val="000F4FF1"/>
    <w:rsid w:val="000F6D08"/>
    <w:rsid w:val="000F7E9A"/>
    <w:rsid w:val="001022C1"/>
    <w:rsid w:val="00103948"/>
    <w:rsid w:val="001041E1"/>
    <w:rsid w:val="001073D9"/>
    <w:rsid w:val="00112AC1"/>
    <w:rsid w:val="00112EDC"/>
    <w:rsid w:val="00113906"/>
    <w:rsid w:val="001139D2"/>
    <w:rsid w:val="00115411"/>
    <w:rsid w:val="00115C88"/>
    <w:rsid w:val="00116525"/>
    <w:rsid w:val="00116D44"/>
    <w:rsid w:val="00117596"/>
    <w:rsid w:val="001176A5"/>
    <w:rsid w:val="00117A6A"/>
    <w:rsid w:val="0012352F"/>
    <w:rsid w:val="001251AE"/>
    <w:rsid w:val="00125ECC"/>
    <w:rsid w:val="00126F6C"/>
    <w:rsid w:val="00130063"/>
    <w:rsid w:val="00131473"/>
    <w:rsid w:val="0013166A"/>
    <w:rsid w:val="0013185C"/>
    <w:rsid w:val="00131CB8"/>
    <w:rsid w:val="00132216"/>
    <w:rsid w:val="00132D28"/>
    <w:rsid w:val="001338ED"/>
    <w:rsid w:val="001340FA"/>
    <w:rsid w:val="0013580E"/>
    <w:rsid w:val="00135A31"/>
    <w:rsid w:val="00135B92"/>
    <w:rsid w:val="0014065F"/>
    <w:rsid w:val="0014197E"/>
    <w:rsid w:val="00141AB3"/>
    <w:rsid w:val="00144318"/>
    <w:rsid w:val="001444F0"/>
    <w:rsid w:val="00145504"/>
    <w:rsid w:val="00145CDC"/>
    <w:rsid w:val="001465F6"/>
    <w:rsid w:val="00147DC9"/>
    <w:rsid w:val="0015154F"/>
    <w:rsid w:val="00160943"/>
    <w:rsid w:val="00160DA2"/>
    <w:rsid w:val="001619B8"/>
    <w:rsid w:val="00162BA3"/>
    <w:rsid w:val="00163FE7"/>
    <w:rsid w:val="00165A7E"/>
    <w:rsid w:val="0016670A"/>
    <w:rsid w:val="001672B1"/>
    <w:rsid w:val="00170534"/>
    <w:rsid w:val="0017090D"/>
    <w:rsid w:val="001750F6"/>
    <w:rsid w:val="00175689"/>
    <w:rsid w:val="00175AE8"/>
    <w:rsid w:val="00177715"/>
    <w:rsid w:val="001822E7"/>
    <w:rsid w:val="0018249E"/>
    <w:rsid w:val="00186AE9"/>
    <w:rsid w:val="00187EFF"/>
    <w:rsid w:val="00190FCE"/>
    <w:rsid w:val="00191956"/>
    <w:rsid w:val="00191F40"/>
    <w:rsid w:val="0019219B"/>
    <w:rsid w:val="00195C2D"/>
    <w:rsid w:val="001A2FC1"/>
    <w:rsid w:val="001A3338"/>
    <w:rsid w:val="001A33FC"/>
    <w:rsid w:val="001A4986"/>
    <w:rsid w:val="001A6860"/>
    <w:rsid w:val="001A7654"/>
    <w:rsid w:val="001B2147"/>
    <w:rsid w:val="001B2337"/>
    <w:rsid w:val="001B2939"/>
    <w:rsid w:val="001B4601"/>
    <w:rsid w:val="001B550C"/>
    <w:rsid w:val="001C1512"/>
    <w:rsid w:val="001C15D9"/>
    <w:rsid w:val="001C3B27"/>
    <w:rsid w:val="001C4D37"/>
    <w:rsid w:val="001C67AD"/>
    <w:rsid w:val="001D260D"/>
    <w:rsid w:val="001D2C39"/>
    <w:rsid w:val="001D3ACD"/>
    <w:rsid w:val="001E006B"/>
    <w:rsid w:val="001E0479"/>
    <w:rsid w:val="001E17BA"/>
    <w:rsid w:val="001E283A"/>
    <w:rsid w:val="001E4D23"/>
    <w:rsid w:val="001E5B65"/>
    <w:rsid w:val="001E61AA"/>
    <w:rsid w:val="001E70F6"/>
    <w:rsid w:val="001E7E62"/>
    <w:rsid w:val="001F0A9B"/>
    <w:rsid w:val="001F1642"/>
    <w:rsid w:val="001F21DA"/>
    <w:rsid w:val="001F26D2"/>
    <w:rsid w:val="001F4502"/>
    <w:rsid w:val="001F53D0"/>
    <w:rsid w:val="001F693C"/>
    <w:rsid w:val="001F7A2A"/>
    <w:rsid w:val="00202BC1"/>
    <w:rsid w:val="00203E8A"/>
    <w:rsid w:val="0020427B"/>
    <w:rsid w:val="00204EB6"/>
    <w:rsid w:val="00205014"/>
    <w:rsid w:val="00207E26"/>
    <w:rsid w:val="002125CA"/>
    <w:rsid w:val="002128D5"/>
    <w:rsid w:val="00213242"/>
    <w:rsid w:val="00213AE6"/>
    <w:rsid w:val="00214D78"/>
    <w:rsid w:val="00215EEF"/>
    <w:rsid w:val="002208D1"/>
    <w:rsid w:val="00222A20"/>
    <w:rsid w:val="00223809"/>
    <w:rsid w:val="002244D4"/>
    <w:rsid w:val="00225C80"/>
    <w:rsid w:val="00226442"/>
    <w:rsid w:val="002270AF"/>
    <w:rsid w:val="00232EB6"/>
    <w:rsid w:val="00233C1D"/>
    <w:rsid w:val="00234774"/>
    <w:rsid w:val="00237416"/>
    <w:rsid w:val="00240210"/>
    <w:rsid w:val="00241A17"/>
    <w:rsid w:val="00244119"/>
    <w:rsid w:val="00244FA3"/>
    <w:rsid w:val="00247742"/>
    <w:rsid w:val="00250AFB"/>
    <w:rsid w:val="00250E5C"/>
    <w:rsid w:val="00252512"/>
    <w:rsid w:val="002565C8"/>
    <w:rsid w:val="00257405"/>
    <w:rsid w:val="00257CDF"/>
    <w:rsid w:val="00263668"/>
    <w:rsid w:val="0026498B"/>
    <w:rsid w:val="00265E96"/>
    <w:rsid w:val="002668BE"/>
    <w:rsid w:val="00267153"/>
    <w:rsid w:val="00270E9C"/>
    <w:rsid w:val="00270F87"/>
    <w:rsid w:val="00270FBB"/>
    <w:rsid w:val="00271A74"/>
    <w:rsid w:val="00271BC7"/>
    <w:rsid w:val="0027281C"/>
    <w:rsid w:val="0027418D"/>
    <w:rsid w:val="0027768A"/>
    <w:rsid w:val="00282DDD"/>
    <w:rsid w:val="0028441E"/>
    <w:rsid w:val="002853A9"/>
    <w:rsid w:val="00287700"/>
    <w:rsid w:val="002878E0"/>
    <w:rsid w:val="00290F12"/>
    <w:rsid w:val="00293AE1"/>
    <w:rsid w:val="002941C0"/>
    <w:rsid w:val="0029525F"/>
    <w:rsid w:val="00295DC0"/>
    <w:rsid w:val="00296250"/>
    <w:rsid w:val="00297B34"/>
    <w:rsid w:val="002A140F"/>
    <w:rsid w:val="002A6DDA"/>
    <w:rsid w:val="002B17D3"/>
    <w:rsid w:val="002B2327"/>
    <w:rsid w:val="002B3EA4"/>
    <w:rsid w:val="002B49AD"/>
    <w:rsid w:val="002B5C0B"/>
    <w:rsid w:val="002B633F"/>
    <w:rsid w:val="002B6455"/>
    <w:rsid w:val="002C1F74"/>
    <w:rsid w:val="002C3CC5"/>
    <w:rsid w:val="002C3E18"/>
    <w:rsid w:val="002C40FB"/>
    <w:rsid w:val="002D555D"/>
    <w:rsid w:val="002D5EDF"/>
    <w:rsid w:val="002D7BF0"/>
    <w:rsid w:val="002E0316"/>
    <w:rsid w:val="002E0E19"/>
    <w:rsid w:val="002E2AF8"/>
    <w:rsid w:val="002E6056"/>
    <w:rsid w:val="002F23D1"/>
    <w:rsid w:val="002F3478"/>
    <w:rsid w:val="002F3E8C"/>
    <w:rsid w:val="002F45A1"/>
    <w:rsid w:val="003003EE"/>
    <w:rsid w:val="003027A0"/>
    <w:rsid w:val="0030320F"/>
    <w:rsid w:val="003045C7"/>
    <w:rsid w:val="00312AA2"/>
    <w:rsid w:val="00314270"/>
    <w:rsid w:val="00317C5E"/>
    <w:rsid w:val="00320B1B"/>
    <w:rsid w:val="00322717"/>
    <w:rsid w:val="00326EC3"/>
    <w:rsid w:val="0033039A"/>
    <w:rsid w:val="00330446"/>
    <w:rsid w:val="00331D00"/>
    <w:rsid w:val="00332487"/>
    <w:rsid w:val="00332E7F"/>
    <w:rsid w:val="00332FC3"/>
    <w:rsid w:val="003336DD"/>
    <w:rsid w:val="003338E9"/>
    <w:rsid w:val="0033421B"/>
    <w:rsid w:val="00335FA7"/>
    <w:rsid w:val="003368A5"/>
    <w:rsid w:val="00336956"/>
    <w:rsid w:val="0034634E"/>
    <w:rsid w:val="00350F73"/>
    <w:rsid w:val="003512A0"/>
    <w:rsid w:val="00351B15"/>
    <w:rsid w:val="0035494B"/>
    <w:rsid w:val="00355DFE"/>
    <w:rsid w:val="0035692C"/>
    <w:rsid w:val="0035731A"/>
    <w:rsid w:val="0036248D"/>
    <w:rsid w:val="00362CBC"/>
    <w:rsid w:val="0036413C"/>
    <w:rsid w:val="00364F02"/>
    <w:rsid w:val="003654B6"/>
    <w:rsid w:val="00366D70"/>
    <w:rsid w:val="00372071"/>
    <w:rsid w:val="00373B09"/>
    <w:rsid w:val="00374317"/>
    <w:rsid w:val="00377325"/>
    <w:rsid w:val="00380335"/>
    <w:rsid w:val="00381C09"/>
    <w:rsid w:val="00382406"/>
    <w:rsid w:val="00382F72"/>
    <w:rsid w:val="00384B7E"/>
    <w:rsid w:val="00385472"/>
    <w:rsid w:val="00386B3A"/>
    <w:rsid w:val="00387861"/>
    <w:rsid w:val="00390CBC"/>
    <w:rsid w:val="003913AE"/>
    <w:rsid w:val="00392AB3"/>
    <w:rsid w:val="00396EDE"/>
    <w:rsid w:val="00397CD9"/>
    <w:rsid w:val="003A1547"/>
    <w:rsid w:val="003A1B78"/>
    <w:rsid w:val="003A25C0"/>
    <w:rsid w:val="003A2868"/>
    <w:rsid w:val="003A31F7"/>
    <w:rsid w:val="003A3BF6"/>
    <w:rsid w:val="003A4305"/>
    <w:rsid w:val="003A5306"/>
    <w:rsid w:val="003A5407"/>
    <w:rsid w:val="003A660A"/>
    <w:rsid w:val="003A73DD"/>
    <w:rsid w:val="003B0149"/>
    <w:rsid w:val="003B37A0"/>
    <w:rsid w:val="003B392D"/>
    <w:rsid w:val="003B3EFC"/>
    <w:rsid w:val="003B3FAF"/>
    <w:rsid w:val="003B519A"/>
    <w:rsid w:val="003B69AB"/>
    <w:rsid w:val="003B7159"/>
    <w:rsid w:val="003B7385"/>
    <w:rsid w:val="003C09D9"/>
    <w:rsid w:val="003C2B1B"/>
    <w:rsid w:val="003C373C"/>
    <w:rsid w:val="003C4ABC"/>
    <w:rsid w:val="003C62B3"/>
    <w:rsid w:val="003C71C3"/>
    <w:rsid w:val="003C792E"/>
    <w:rsid w:val="003D0265"/>
    <w:rsid w:val="003D0E3A"/>
    <w:rsid w:val="003D17FB"/>
    <w:rsid w:val="003D37C6"/>
    <w:rsid w:val="003D47C4"/>
    <w:rsid w:val="003D53C5"/>
    <w:rsid w:val="003D56CD"/>
    <w:rsid w:val="003D773B"/>
    <w:rsid w:val="003E1374"/>
    <w:rsid w:val="003E2474"/>
    <w:rsid w:val="003E25EF"/>
    <w:rsid w:val="003E2AFE"/>
    <w:rsid w:val="003E43C0"/>
    <w:rsid w:val="003E4669"/>
    <w:rsid w:val="003E6767"/>
    <w:rsid w:val="003E6B1E"/>
    <w:rsid w:val="003E6B52"/>
    <w:rsid w:val="003E6F76"/>
    <w:rsid w:val="003E703B"/>
    <w:rsid w:val="003E79B0"/>
    <w:rsid w:val="003F4262"/>
    <w:rsid w:val="003F4DFD"/>
    <w:rsid w:val="003F5736"/>
    <w:rsid w:val="003F6632"/>
    <w:rsid w:val="00403B64"/>
    <w:rsid w:val="00404838"/>
    <w:rsid w:val="00404B32"/>
    <w:rsid w:val="004056EA"/>
    <w:rsid w:val="00406B62"/>
    <w:rsid w:val="00407A12"/>
    <w:rsid w:val="00411CF3"/>
    <w:rsid w:val="00411F45"/>
    <w:rsid w:val="00413140"/>
    <w:rsid w:val="00416EC1"/>
    <w:rsid w:val="0042007D"/>
    <w:rsid w:val="0042093D"/>
    <w:rsid w:val="004241EF"/>
    <w:rsid w:val="0042548A"/>
    <w:rsid w:val="004254DE"/>
    <w:rsid w:val="00427817"/>
    <w:rsid w:val="00430B09"/>
    <w:rsid w:val="00432497"/>
    <w:rsid w:val="0043249E"/>
    <w:rsid w:val="00433158"/>
    <w:rsid w:val="00433407"/>
    <w:rsid w:val="00433722"/>
    <w:rsid w:val="00434835"/>
    <w:rsid w:val="00435E76"/>
    <w:rsid w:val="0044019F"/>
    <w:rsid w:val="004406C8"/>
    <w:rsid w:val="0044143E"/>
    <w:rsid w:val="00443C1C"/>
    <w:rsid w:val="00443F47"/>
    <w:rsid w:val="004457DF"/>
    <w:rsid w:val="00447D60"/>
    <w:rsid w:val="004500A1"/>
    <w:rsid w:val="00450CF0"/>
    <w:rsid w:val="00451215"/>
    <w:rsid w:val="004515DC"/>
    <w:rsid w:val="00451F30"/>
    <w:rsid w:val="00452E6C"/>
    <w:rsid w:val="00454107"/>
    <w:rsid w:val="00456989"/>
    <w:rsid w:val="0046092D"/>
    <w:rsid w:val="00461493"/>
    <w:rsid w:val="004620A8"/>
    <w:rsid w:val="00462563"/>
    <w:rsid w:val="00462C2B"/>
    <w:rsid w:val="0046339F"/>
    <w:rsid w:val="004673F2"/>
    <w:rsid w:val="00467C8E"/>
    <w:rsid w:val="00471BDB"/>
    <w:rsid w:val="0047487A"/>
    <w:rsid w:val="00474E1C"/>
    <w:rsid w:val="00480C6F"/>
    <w:rsid w:val="00481376"/>
    <w:rsid w:val="00482751"/>
    <w:rsid w:val="004836F1"/>
    <w:rsid w:val="00483D1E"/>
    <w:rsid w:val="00486297"/>
    <w:rsid w:val="004875BB"/>
    <w:rsid w:val="00490529"/>
    <w:rsid w:val="0049324A"/>
    <w:rsid w:val="00495C27"/>
    <w:rsid w:val="00495D8C"/>
    <w:rsid w:val="00497382"/>
    <w:rsid w:val="004A0BE7"/>
    <w:rsid w:val="004A15DA"/>
    <w:rsid w:val="004A17F9"/>
    <w:rsid w:val="004A39B6"/>
    <w:rsid w:val="004A3D74"/>
    <w:rsid w:val="004A4345"/>
    <w:rsid w:val="004A6B16"/>
    <w:rsid w:val="004B088D"/>
    <w:rsid w:val="004B12B3"/>
    <w:rsid w:val="004B3EA5"/>
    <w:rsid w:val="004B68A2"/>
    <w:rsid w:val="004C012B"/>
    <w:rsid w:val="004C0F24"/>
    <w:rsid w:val="004C1E5F"/>
    <w:rsid w:val="004C26B6"/>
    <w:rsid w:val="004C481E"/>
    <w:rsid w:val="004C55A1"/>
    <w:rsid w:val="004C606B"/>
    <w:rsid w:val="004C60BC"/>
    <w:rsid w:val="004C6814"/>
    <w:rsid w:val="004C6A9E"/>
    <w:rsid w:val="004D0023"/>
    <w:rsid w:val="004D0C28"/>
    <w:rsid w:val="004D0C3B"/>
    <w:rsid w:val="004D2963"/>
    <w:rsid w:val="004D4138"/>
    <w:rsid w:val="004D4AB1"/>
    <w:rsid w:val="004D7360"/>
    <w:rsid w:val="004E065D"/>
    <w:rsid w:val="004E4A97"/>
    <w:rsid w:val="004E5077"/>
    <w:rsid w:val="004E708B"/>
    <w:rsid w:val="004E7FDC"/>
    <w:rsid w:val="004F0CBE"/>
    <w:rsid w:val="004F1460"/>
    <w:rsid w:val="004F217E"/>
    <w:rsid w:val="004F3543"/>
    <w:rsid w:val="004F3926"/>
    <w:rsid w:val="004F3EEC"/>
    <w:rsid w:val="004F4F06"/>
    <w:rsid w:val="005018FE"/>
    <w:rsid w:val="005027C3"/>
    <w:rsid w:val="00504E2E"/>
    <w:rsid w:val="00506868"/>
    <w:rsid w:val="00506ABD"/>
    <w:rsid w:val="00506C3D"/>
    <w:rsid w:val="00510E1A"/>
    <w:rsid w:val="00511588"/>
    <w:rsid w:val="00514DCC"/>
    <w:rsid w:val="0051687E"/>
    <w:rsid w:val="005228D6"/>
    <w:rsid w:val="00523F01"/>
    <w:rsid w:val="005303BF"/>
    <w:rsid w:val="005312D3"/>
    <w:rsid w:val="00532F30"/>
    <w:rsid w:val="005342A6"/>
    <w:rsid w:val="00536684"/>
    <w:rsid w:val="00537422"/>
    <w:rsid w:val="00541351"/>
    <w:rsid w:val="0054395C"/>
    <w:rsid w:val="005441CC"/>
    <w:rsid w:val="00547412"/>
    <w:rsid w:val="00550CDD"/>
    <w:rsid w:val="005520EC"/>
    <w:rsid w:val="00553C98"/>
    <w:rsid w:val="005541FB"/>
    <w:rsid w:val="00556FE0"/>
    <w:rsid w:val="005578AE"/>
    <w:rsid w:val="005621FE"/>
    <w:rsid w:val="005633EB"/>
    <w:rsid w:val="00563E36"/>
    <w:rsid w:val="005643C0"/>
    <w:rsid w:val="0056512A"/>
    <w:rsid w:val="005736E4"/>
    <w:rsid w:val="00574185"/>
    <w:rsid w:val="00575898"/>
    <w:rsid w:val="0057661F"/>
    <w:rsid w:val="0057773C"/>
    <w:rsid w:val="005807C7"/>
    <w:rsid w:val="00580C6B"/>
    <w:rsid w:val="00580D40"/>
    <w:rsid w:val="005848C6"/>
    <w:rsid w:val="005855C6"/>
    <w:rsid w:val="00585AE0"/>
    <w:rsid w:val="00585F53"/>
    <w:rsid w:val="00590D6E"/>
    <w:rsid w:val="005913D1"/>
    <w:rsid w:val="0059503F"/>
    <w:rsid w:val="0059522F"/>
    <w:rsid w:val="00595EE8"/>
    <w:rsid w:val="005965D4"/>
    <w:rsid w:val="005A32C0"/>
    <w:rsid w:val="005A32F7"/>
    <w:rsid w:val="005A5336"/>
    <w:rsid w:val="005A6EFE"/>
    <w:rsid w:val="005A7530"/>
    <w:rsid w:val="005B0128"/>
    <w:rsid w:val="005B19DF"/>
    <w:rsid w:val="005B1AC7"/>
    <w:rsid w:val="005B26C6"/>
    <w:rsid w:val="005B3436"/>
    <w:rsid w:val="005B5EA5"/>
    <w:rsid w:val="005B7127"/>
    <w:rsid w:val="005B779A"/>
    <w:rsid w:val="005C0BA4"/>
    <w:rsid w:val="005C235E"/>
    <w:rsid w:val="005C2F70"/>
    <w:rsid w:val="005C41A4"/>
    <w:rsid w:val="005D164E"/>
    <w:rsid w:val="005D16CB"/>
    <w:rsid w:val="005D1A46"/>
    <w:rsid w:val="005D64F8"/>
    <w:rsid w:val="005D756E"/>
    <w:rsid w:val="005E00EF"/>
    <w:rsid w:val="005E01F1"/>
    <w:rsid w:val="005E0715"/>
    <w:rsid w:val="005E1372"/>
    <w:rsid w:val="005E1A3D"/>
    <w:rsid w:val="005E1B88"/>
    <w:rsid w:val="005E1CDA"/>
    <w:rsid w:val="005E2CB9"/>
    <w:rsid w:val="005E340C"/>
    <w:rsid w:val="005E5D09"/>
    <w:rsid w:val="005E6067"/>
    <w:rsid w:val="005E78A9"/>
    <w:rsid w:val="005F12FE"/>
    <w:rsid w:val="005F28A6"/>
    <w:rsid w:val="005F3CB4"/>
    <w:rsid w:val="005F3DE6"/>
    <w:rsid w:val="005F3EED"/>
    <w:rsid w:val="005F432D"/>
    <w:rsid w:val="005F47C2"/>
    <w:rsid w:val="005F4D36"/>
    <w:rsid w:val="005F62AA"/>
    <w:rsid w:val="005F694B"/>
    <w:rsid w:val="005F6B59"/>
    <w:rsid w:val="00600E93"/>
    <w:rsid w:val="00600F5D"/>
    <w:rsid w:val="0060100C"/>
    <w:rsid w:val="00601D63"/>
    <w:rsid w:val="0060340F"/>
    <w:rsid w:val="006034FA"/>
    <w:rsid w:val="006049C9"/>
    <w:rsid w:val="006054AE"/>
    <w:rsid w:val="00605FC6"/>
    <w:rsid w:val="00606940"/>
    <w:rsid w:val="00607BF3"/>
    <w:rsid w:val="006118D4"/>
    <w:rsid w:val="006119FD"/>
    <w:rsid w:val="006128F4"/>
    <w:rsid w:val="00612A59"/>
    <w:rsid w:val="006146D6"/>
    <w:rsid w:val="006159EA"/>
    <w:rsid w:val="00615E63"/>
    <w:rsid w:val="0061652A"/>
    <w:rsid w:val="0061769C"/>
    <w:rsid w:val="00617CA9"/>
    <w:rsid w:val="0062149E"/>
    <w:rsid w:val="00621F66"/>
    <w:rsid w:val="00622D37"/>
    <w:rsid w:val="00624C43"/>
    <w:rsid w:val="00624D0F"/>
    <w:rsid w:val="00626769"/>
    <w:rsid w:val="00627071"/>
    <w:rsid w:val="0063265B"/>
    <w:rsid w:val="00633DF9"/>
    <w:rsid w:val="0063636D"/>
    <w:rsid w:val="0063665B"/>
    <w:rsid w:val="006402C3"/>
    <w:rsid w:val="00640B89"/>
    <w:rsid w:val="0064128D"/>
    <w:rsid w:val="00643DA8"/>
    <w:rsid w:val="00644754"/>
    <w:rsid w:val="0065240A"/>
    <w:rsid w:val="00653EE9"/>
    <w:rsid w:val="0065430B"/>
    <w:rsid w:val="0065695E"/>
    <w:rsid w:val="00656ED7"/>
    <w:rsid w:val="00657AE6"/>
    <w:rsid w:val="0066034D"/>
    <w:rsid w:val="006624C8"/>
    <w:rsid w:val="00662676"/>
    <w:rsid w:val="00662F2F"/>
    <w:rsid w:val="00664C32"/>
    <w:rsid w:val="006656FE"/>
    <w:rsid w:val="00666A3F"/>
    <w:rsid w:val="00667878"/>
    <w:rsid w:val="006704B8"/>
    <w:rsid w:val="0067262B"/>
    <w:rsid w:val="00673A80"/>
    <w:rsid w:val="00673AEB"/>
    <w:rsid w:val="006762D5"/>
    <w:rsid w:val="00676951"/>
    <w:rsid w:val="00676F31"/>
    <w:rsid w:val="00677E4C"/>
    <w:rsid w:val="00680C20"/>
    <w:rsid w:val="00680FD1"/>
    <w:rsid w:val="006812FC"/>
    <w:rsid w:val="00684B14"/>
    <w:rsid w:val="00693F36"/>
    <w:rsid w:val="006958A5"/>
    <w:rsid w:val="00695A17"/>
    <w:rsid w:val="00695B99"/>
    <w:rsid w:val="00696AF8"/>
    <w:rsid w:val="006A1FA6"/>
    <w:rsid w:val="006A23DA"/>
    <w:rsid w:val="006A70CE"/>
    <w:rsid w:val="006B05F7"/>
    <w:rsid w:val="006B07CE"/>
    <w:rsid w:val="006B2113"/>
    <w:rsid w:val="006B2F4D"/>
    <w:rsid w:val="006B3F85"/>
    <w:rsid w:val="006B4174"/>
    <w:rsid w:val="006B4C5E"/>
    <w:rsid w:val="006B740B"/>
    <w:rsid w:val="006C061C"/>
    <w:rsid w:val="006C1007"/>
    <w:rsid w:val="006C1BC7"/>
    <w:rsid w:val="006C2013"/>
    <w:rsid w:val="006C3103"/>
    <w:rsid w:val="006C6CEB"/>
    <w:rsid w:val="006C770C"/>
    <w:rsid w:val="006D027B"/>
    <w:rsid w:val="006D0494"/>
    <w:rsid w:val="006D2E04"/>
    <w:rsid w:val="006D47A2"/>
    <w:rsid w:val="006D4CC9"/>
    <w:rsid w:val="006D7127"/>
    <w:rsid w:val="006D725D"/>
    <w:rsid w:val="006D7615"/>
    <w:rsid w:val="006E0BC5"/>
    <w:rsid w:val="006E1B3F"/>
    <w:rsid w:val="006E1F9E"/>
    <w:rsid w:val="006E3397"/>
    <w:rsid w:val="006F05EF"/>
    <w:rsid w:val="006F05FB"/>
    <w:rsid w:val="006F230F"/>
    <w:rsid w:val="007043EC"/>
    <w:rsid w:val="00705648"/>
    <w:rsid w:val="00705A6A"/>
    <w:rsid w:val="0070651A"/>
    <w:rsid w:val="00710B31"/>
    <w:rsid w:val="007119D9"/>
    <w:rsid w:val="00711EC4"/>
    <w:rsid w:val="00712F0E"/>
    <w:rsid w:val="00715126"/>
    <w:rsid w:val="0071715E"/>
    <w:rsid w:val="0072074F"/>
    <w:rsid w:val="00721FA3"/>
    <w:rsid w:val="00723248"/>
    <w:rsid w:val="007244AA"/>
    <w:rsid w:val="00725CDB"/>
    <w:rsid w:val="00726002"/>
    <w:rsid w:val="00730BB8"/>
    <w:rsid w:val="00730C13"/>
    <w:rsid w:val="0073134F"/>
    <w:rsid w:val="0073210B"/>
    <w:rsid w:val="007348B3"/>
    <w:rsid w:val="00734A47"/>
    <w:rsid w:val="00735A26"/>
    <w:rsid w:val="00737961"/>
    <w:rsid w:val="007425C3"/>
    <w:rsid w:val="0074279F"/>
    <w:rsid w:val="00742D4E"/>
    <w:rsid w:val="007440C9"/>
    <w:rsid w:val="00744467"/>
    <w:rsid w:val="00744AFF"/>
    <w:rsid w:val="00744C5E"/>
    <w:rsid w:val="00744D44"/>
    <w:rsid w:val="00745254"/>
    <w:rsid w:val="00745D42"/>
    <w:rsid w:val="00746259"/>
    <w:rsid w:val="00750494"/>
    <w:rsid w:val="007507E6"/>
    <w:rsid w:val="00751C32"/>
    <w:rsid w:val="00752B04"/>
    <w:rsid w:val="007534EE"/>
    <w:rsid w:val="00754C7D"/>
    <w:rsid w:val="007553DF"/>
    <w:rsid w:val="00755FF9"/>
    <w:rsid w:val="00756944"/>
    <w:rsid w:val="0076001D"/>
    <w:rsid w:val="00760510"/>
    <w:rsid w:val="00765DF3"/>
    <w:rsid w:val="007662B0"/>
    <w:rsid w:val="00767A3B"/>
    <w:rsid w:val="0077172D"/>
    <w:rsid w:val="0077264D"/>
    <w:rsid w:val="0077394E"/>
    <w:rsid w:val="007749B1"/>
    <w:rsid w:val="007753AD"/>
    <w:rsid w:val="00775933"/>
    <w:rsid w:val="00775A18"/>
    <w:rsid w:val="00775F43"/>
    <w:rsid w:val="00775FB0"/>
    <w:rsid w:val="00776ED2"/>
    <w:rsid w:val="00780894"/>
    <w:rsid w:val="007818B1"/>
    <w:rsid w:val="007823E2"/>
    <w:rsid w:val="007852A8"/>
    <w:rsid w:val="00785D61"/>
    <w:rsid w:val="007861AF"/>
    <w:rsid w:val="007918BB"/>
    <w:rsid w:val="00793A17"/>
    <w:rsid w:val="00794105"/>
    <w:rsid w:val="00794FCD"/>
    <w:rsid w:val="00796874"/>
    <w:rsid w:val="00796C95"/>
    <w:rsid w:val="0079780C"/>
    <w:rsid w:val="007A1615"/>
    <w:rsid w:val="007A4F6F"/>
    <w:rsid w:val="007A5428"/>
    <w:rsid w:val="007A5974"/>
    <w:rsid w:val="007B2F62"/>
    <w:rsid w:val="007B73CD"/>
    <w:rsid w:val="007C0C20"/>
    <w:rsid w:val="007C1508"/>
    <w:rsid w:val="007C32A4"/>
    <w:rsid w:val="007C3BA3"/>
    <w:rsid w:val="007D066E"/>
    <w:rsid w:val="007D092E"/>
    <w:rsid w:val="007D12D6"/>
    <w:rsid w:val="007D20E9"/>
    <w:rsid w:val="007D2522"/>
    <w:rsid w:val="007D3D74"/>
    <w:rsid w:val="007D4464"/>
    <w:rsid w:val="007D577F"/>
    <w:rsid w:val="007D6023"/>
    <w:rsid w:val="007E075D"/>
    <w:rsid w:val="007E14A0"/>
    <w:rsid w:val="007E2B16"/>
    <w:rsid w:val="007E303F"/>
    <w:rsid w:val="007E5D81"/>
    <w:rsid w:val="007F1B7E"/>
    <w:rsid w:val="007F422F"/>
    <w:rsid w:val="007F65BB"/>
    <w:rsid w:val="00800028"/>
    <w:rsid w:val="00800654"/>
    <w:rsid w:val="00802CE8"/>
    <w:rsid w:val="0081116B"/>
    <w:rsid w:val="008116DC"/>
    <w:rsid w:val="008120B2"/>
    <w:rsid w:val="00814C63"/>
    <w:rsid w:val="0081599F"/>
    <w:rsid w:val="00817B58"/>
    <w:rsid w:val="008215FE"/>
    <w:rsid w:val="00823508"/>
    <w:rsid w:val="0082461B"/>
    <w:rsid w:val="00825473"/>
    <w:rsid w:val="00825D4B"/>
    <w:rsid w:val="00826C55"/>
    <w:rsid w:val="00830B26"/>
    <w:rsid w:val="0083145B"/>
    <w:rsid w:val="00832B2A"/>
    <w:rsid w:val="008339E8"/>
    <w:rsid w:val="0083416F"/>
    <w:rsid w:val="00834D01"/>
    <w:rsid w:val="00834EE8"/>
    <w:rsid w:val="00835247"/>
    <w:rsid w:val="00836E9B"/>
    <w:rsid w:val="008404EF"/>
    <w:rsid w:val="00845759"/>
    <w:rsid w:val="00847210"/>
    <w:rsid w:val="00847B1A"/>
    <w:rsid w:val="00850703"/>
    <w:rsid w:val="00850BE4"/>
    <w:rsid w:val="0085213A"/>
    <w:rsid w:val="0085286E"/>
    <w:rsid w:val="00852D6C"/>
    <w:rsid w:val="00854916"/>
    <w:rsid w:val="00856D0F"/>
    <w:rsid w:val="00861F6E"/>
    <w:rsid w:val="00865265"/>
    <w:rsid w:val="008679C9"/>
    <w:rsid w:val="0087034F"/>
    <w:rsid w:val="00870A20"/>
    <w:rsid w:val="0087137A"/>
    <w:rsid w:val="008715E9"/>
    <w:rsid w:val="00872F5B"/>
    <w:rsid w:val="00873CBF"/>
    <w:rsid w:val="00873DA6"/>
    <w:rsid w:val="008816B2"/>
    <w:rsid w:val="008819B5"/>
    <w:rsid w:val="0088442C"/>
    <w:rsid w:val="00885736"/>
    <w:rsid w:val="0088759E"/>
    <w:rsid w:val="0088773C"/>
    <w:rsid w:val="0088787E"/>
    <w:rsid w:val="008906F6"/>
    <w:rsid w:val="0089422E"/>
    <w:rsid w:val="0089589E"/>
    <w:rsid w:val="00897366"/>
    <w:rsid w:val="00897E23"/>
    <w:rsid w:val="008A2EB4"/>
    <w:rsid w:val="008A52E6"/>
    <w:rsid w:val="008A5B38"/>
    <w:rsid w:val="008A7C4F"/>
    <w:rsid w:val="008B7835"/>
    <w:rsid w:val="008C1993"/>
    <w:rsid w:val="008C26F2"/>
    <w:rsid w:val="008C2776"/>
    <w:rsid w:val="008C399A"/>
    <w:rsid w:val="008C47E6"/>
    <w:rsid w:val="008C5396"/>
    <w:rsid w:val="008C55FC"/>
    <w:rsid w:val="008C64AC"/>
    <w:rsid w:val="008C7B0C"/>
    <w:rsid w:val="008D045A"/>
    <w:rsid w:val="008D1D7F"/>
    <w:rsid w:val="008D280C"/>
    <w:rsid w:val="008D4643"/>
    <w:rsid w:val="008E3A67"/>
    <w:rsid w:val="008E4B6F"/>
    <w:rsid w:val="008E5819"/>
    <w:rsid w:val="008E6854"/>
    <w:rsid w:val="008E72B0"/>
    <w:rsid w:val="008F049D"/>
    <w:rsid w:val="008F0697"/>
    <w:rsid w:val="008F0BD7"/>
    <w:rsid w:val="008F2C5A"/>
    <w:rsid w:val="008F3C89"/>
    <w:rsid w:val="008F6381"/>
    <w:rsid w:val="009005D5"/>
    <w:rsid w:val="009024D8"/>
    <w:rsid w:val="00904411"/>
    <w:rsid w:val="0090572F"/>
    <w:rsid w:val="00906642"/>
    <w:rsid w:val="00912113"/>
    <w:rsid w:val="00912321"/>
    <w:rsid w:val="009137A6"/>
    <w:rsid w:val="00913F6A"/>
    <w:rsid w:val="009149FC"/>
    <w:rsid w:val="009162EA"/>
    <w:rsid w:val="0091667D"/>
    <w:rsid w:val="00920744"/>
    <w:rsid w:val="009226F6"/>
    <w:rsid w:val="0092787B"/>
    <w:rsid w:val="00927DF9"/>
    <w:rsid w:val="00932C5F"/>
    <w:rsid w:val="009331E8"/>
    <w:rsid w:val="009336E3"/>
    <w:rsid w:val="00933EDC"/>
    <w:rsid w:val="009367C7"/>
    <w:rsid w:val="009417D2"/>
    <w:rsid w:val="00943E4B"/>
    <w:rsid w:val="00946FD8"/>
    <w:rsid w:val="00950369"/>
    <w:rsid w:val="00952D32"/>
    <w:rsid w:val="00954D62"/>
    <w:rsid w:val="00955273"/>
    <w:rsid w:val="00955EDB"/>
    <w:rsid w:val="009571C5"/>
    <w:rsid w:val="00960261"/>
    <w:rsid w:val="009604DB"/>
    <w:rsid w:val="00960935"/>
    <w:rsid w:val="00962488"/>
    <w:rsid w:val="00963D96"/>
    <w:rsid w:val="0096477D"/>
    <w:rsid w:val="009739F8"/>
    <w:rsid w:val="00973C7A"/>
    <w:rsid w:val="0097447A"/>
    <w:rsid w:val="00975ABD"/>
    <w:rsid w:val="0097687B"/>
    <w:rsid w:val="00976FA6"/>
    <w:rsid w:val="00977022"/>
    <w:rsid w:val="0098179E"/>
    <w:rsid w:val="00981A98"/>
    <w:rsid w:val="00982F17"/>
    <w:rsid w:val="00983668"/>
    <w:rsid w:val="00983957"/>
    <w:rsid w:val="00983AAC"/>
    <w:rsid w:val="00983FEC"/>
    <w:rsid w:val="00984D56"/>
    <w:rsid w:val="00985860"/>
    <w:rsid w:val="009859B5"/>
    <w:rsid w:val="009902F8"/>
    <w:rsid w:val="00990F96"/>
    <w:rsid w:val="00992D87"/>
    <w:rsid w:val="00993925"/>
    <w:rsid w:val="00994A5E"/>
    <w:rsid w:val="00995388"/>
    <w:rsid w:val="009A0D9C"/>
    <w:rsid w:val="009A422A"/>
    <w:rsid w:val="009A58A4"/>
    <w:rsid w:val="009A700B"/>
    <w:rsid w:val="009B0CCB"/>
    <w:rsid w:val="009B0D79"/>
    <w:rsid w:val="009B22E2"/>
    <w:rsid w:val="009B2654"/>
    <w:rsid w:val="009B2785"/>
    <w:rsid w:val="009B3868"/>
    <w:rsid w:val="009B4867"/>
    <w:rsid w:val="009B4CF7"/>
    <w:rsid w:val="009B5148"/>
    <w:rsid w:val="009B592F"/>
    <w:rsid w:val="009B6119"/>
    <w:rsid w:val="009C0FCA"/>
    <w:rsid w:val="009C3FB2"/>
    <w:rsid w:val="009C57F2"/>
    <w:rsid w:val="009C70A9"/>
    <w:rsid w:val="009D031E"/>
    <w:rsid w:val="009D1A8A"/>
    <w:rsid w:val="009D39AB"/>
    <w:rsid w:val="009D4445"/>
    <w:rsid w:val="009D5DCD"/>
    <w:rsid w:val="009D7339"/>
    <w:rsid w:val="009D7928"/>
    <w:rsid w:val="009D7B59"/>
    <w:rsid w:val="009E005D"/>
    <w:rsid w:val="009E043B"/>
    <w:rsid w:val="009E079A"/>
    <w:rsid w:val="009E2533"/>
    <w:rsid w:val="009E63E7"/>
    <w:rsid w:val="009F057D"/>
    <w:rsid w:val="009F145C"/>
    <w:rsid w:val="009F2ECF"/>
    <w:rsid w:val="00A01FFE"/>
    <w:rsid w:val="00A0263B"/>
    <w:rsid w:val="00A02D07"/>
    <w:rsid w:val="00A02FE7"/>
    <w:rsid w:val="00A038A0"/>
    <w:rsid w:val="00A03AF8"/>
    <w:rsid w:val="00A05340"/>
    <w:rsid w:val="00A10375"/>
    <w:rsid w:val="00A13D01"/>
    <w:rsid w:val="00A1463F"/>
    <w:rsid w:val="00A15C4B"/>
    <w:rsid w:val="00A207B8"/>
    <w:rsid w:val="00A20B32"/>
    <w:rsid w:val="00A2189B"/>
    <w:rsid w:val="00A21B3C"/>
    <w:rsid w:val="00A21EE2"/>
    <w:rsid w:val="00A23280"/>
    <w:rsid w:val="00A239D2"/>
    <w:rsid w:val="00A2639C"/>
    <w:rsid w:val="00A26992"/>
    <w:rsid w:val="00A306B5"/>
    <w:rsid w:val="00A32764"/>
    <w:rsid w:val="00A32F50"/>
    <w:rsid w:val="00A3423C"/>
    <w:rsid w:val="00A34346"/>
    <w:rsid w:val="00A360EF"/>
    <w:rsid w:val="00A3740E"/>
    <w:rsid w:val="00A44A54"/>
    <w:rsid w:val="00A45BE7"/>
    <w:rsid w:val="00A46B07"/>
    <w:rsid w:val="00A52D43"/>
    <w:rsid w:val="00A5432D"/>
    <w:rsid w:val="00A547CE"/>
    <w:rsid w:val="00A54A97"/>
    <w:rsid w:val="00A56ABC"/>
    <w:rsid w:val="00A60D94"/>
    <w:rsid w:val="00A6262D"/>
    <w:rsid w:val="00A6294B"/>
    <w:rsid w:val="00A62FB5"/>
    <w:rsid w:val="00A65354"/>
    <w:rsid w:val="00A6673C"/>
    <w:rsid w:val="00A66D62"/>
    <w:rsid w:val="00A73693"/>
    <w:rsid w:val="00A73DA7"/>
    <w:rsid w:val="00A77A3A"/>
    <w:rsid w:val="00A81055"/>
    <w:rsid w:val="00A81535"/>
    <w:rsid w:val="00A817E8"/>
    <w:rsid w:val="00A83D31"/>
    <w:rsid w:val="00A86506"/>
    <w:rsid w:val="00A867EF"/>
    <w:rsid w:val="00A873F1"/>
    <w:rsid w:val="00A875AD"/>
    <w:rsid w:val="00A87C7A"/>
    <w:rsid w:val="00A94C44"/>
    <w:rsid w:val="00A96904"/>
    <w:rsid w:val="00AA4D2C"/>
    <w:rsid w:val="00AA5055"/>
    <w:rsid w:val="00AA53C4"/>
    <w:rsid w:val="00AA5792"/>
    <w:rsid w:val="00AA62C9"/>
    <w:rsid w:val="00AA6310"/>
    <w:rsid w:val="00AA6D07"/>
    <w:rsid w:val="00AA6D6E"/>
    <w:rsid w:val="00AA7F83"/>
    <w:rsid w:val="00AB1AB3"/>
    <w:rsid w:val="00AB33C9"/>
    <w:rsid w:val="00AB353D"/>
    <w:rsid w:val="00AB49FD"/>
    <w:rsid w:val="00AB57D0"/>
    <w:rsid w:val="00AB7512"/>
    <w:rsid w:val="00AC06AF"/>
    <w:rsid w:val="00AC0F0E"/>
    <w:rsid w:val="00AC22E6"/>
    <w:rsid w:val="00AC260B"/>
    <w:rsid w:val="00AC28CA"/>
    <w:rsid w:val="00AC34B8"/>
    <w:rsid w:val="00AC5286"/>
    <w:rsid w:val="00AC5BC5"/>
    <w:rsid w:val="00AC774D"/>
    <w:rsid w:val="00AD1573"/>
    <w:rsid w:val="00AD1688"/>
    <w:rsid w:val="00AD389E"/>
    <w:rsid w:val="00AD43DD"/>
    <w:rsid w:val="00AD48E1"/>
    <w:rsid w:val="00AE0FE0"/>
    <w:rsid w:val="00AE1D32"/>
    <w:rsid w:val="00AE2506"/>
    <w:rsid w:val="00AE27E3"/>
    <w:rsid w:val="00AE29DE"/>
    <w:rsid w:val="00AE5E56"/>
    <w:rsid w:val="00AE6F6B"/>
    <w:rsid w:val="00AE6FB4"/>
    <w:rsid w:val="00AF2979"/>
    <w:rsid w:val="00AF41A1"/>
    <w:rsid w:val="00AF4716"/>
    <w:rsid w:val="00AF4EDB"/>
    <w:rsid w:val="00AF6481"/>
    <w:rsid w:val="00AF6B9A"/>
    <w:rsid w:val="00B018DA"/>
    <w:rsid w:val="00B02F48"/>
    <w:rsid w:val="00B0447B"/>
    <w:rsid w:val="00B0743B"/>
    <w:rsid w:val="00B105AA"/>
    <w:rsid w:val="00B110AB"/>
    <w:rsid w:val="00B113B3"/>
    <w:rsid w:val="00B13C4F"/>
    <w:rsid w:val="00B15D0F"/>
    <w:rsid w:val="00B15E44"/>
    <w:rsid w:val="00B16AFC"/>
    <w:rsid w:val="00B16CCC"/>
    <w:rsid w:val="00B17773"/>
    <w:rsid w:val="00B17A75"/>
    <w:rsid w:val="00B22589"/>
    <w:rsid w:val="00B24148"/>
    <w:rsid w:val="00B255B6"/>
    <w:rsid w:val="00B2710E"/>
    <w:rsid w:val="00B309A3"/>
    <w:rsid w:val="00B3169E"/>
    <w:rsid w:val="00B334A3"/>
    <w:rsid w:val="00B33E56"/>
    <w:rsid w:val="00B33EB8"/>
    <w:rsid w:val="00B34158"/>
    <w:rsid w:val="00B35FA4"/>
    <w:rsid w:val="00B4062F"/>
    <w:rsid w:val="00B40B0E"/>
    <w:rsid w:val="00B4331C"/>
    <w:rsid w:val="00B439AD"/>
    <w:rsid w:val="00B4611A"/>
    <w:rsid w:val="00B46504"/>
    <w:rsid w:val="00B46C59"/>
    <w:rsid w:val="00B50447"/>
    <w:rsid w:val="00B51E37"/>
    <w:rsid w:val="00B5262B"/>
    <w:rsid w:val="00B52FE0"/>
    <w:rsid w:val="00B53CF3"/>
    <w:rsid w:val="00B543EC"/>
    <w:rsid w:val="00B56755"/>
    <w:rsid w:val="00B5702E"/>
    <w:rsid w:val="00B60934"/>
    <w:rsid w:val="00B612D9"/>
    <w:rsid w:val="00B63035"/>
    <w:rsid w:val="00B63378"/>
    <w:rsid w:val="00B65C10"/>
    <w:rsid w:val="00B660E5"/>
    <w:rsid w:val="00B661AC"/>
    <w:rsid w:val="00B72309"/>
    <w:rsid w:val="00B7260C"/>
    <w:rsid w:val="00B74788"/>
    <w:rsid w:val="00B75689"/>
    <w:rsid w:val="00B77719"/>
    <w:rsid w:val="00B80FA6"/>
    <w:rsid w:val="00B831B6"/>
    <w:rsid w:val="00B8463E"/>
    <w:rsid w:val="00B84FF0"/>
    <w:rsid w:val="00B867D2"/>
    <w:rsid w:val="00B92507"/>
    <w:rsid w:val="00B92B85"/>
    <w:rsid w:val="00B92BA9"/>
    <w:rsid w:val="00B93233"/>
    <w:rsid w:val="00B932F5"/>
    <w:rsid w:val="00B94C7D"/>
    <w:rsid w:val="00B94CE7"/>
    <w:rsid w:val="00B95C42"/>
    <w:rsid w:val="00B96733"/>
    <w:rsid w:val="00B96ED6"/>
    <w:rsid w:val="00BA0DCB"/>
    <w:rsid w:val="00BA4006"/>
    <w:rsid w:val="00BA4007"/>
    <w:rsid w:val="00BA6249"/>
    <w:rsid w:val="00BA6DB5"/>
    <w:rsid w:val="00BB11BC"/>
    <w:rsid w:val="00BB1476"/>
    <w:rsid w:val="00BB22F2"/>
    <w:rsid w:val="00BB2935"/>
    <w:rsid w:val="00BB4B87"/>
    <w:rsid w:val="00BB6AFA"/>
    <w:rsid w:val="00BB6D95"/>
    <w:rsid w:val="00BC3261"/>
    <w:rsid w:val="00BC4CAD"/>
    <w:rsid w:val="00BC51A4"/>
    <w:rsid w:val="00BC5586"/>
    <w:rsid w:val="00BD17F5"/>
    <w:rsid w:val="00BD2A71"/>
    <w:rsid w:val="00BD2AB6"/>
    <w:rsid w:val="00BD2D4B"/>
    <w:rsid w:val="00BD70BD"/>
    <w:rsid w:val="00BD73F5"/>
    <w:rsid w:val="00BD7AA7"/>
    <w:rsid w:val="00BD7F27"/>
    <w:rsid w:val="00BE1132"/>
    <w:rsid w:val="00BE166F"/>
    <w:rsid w:val="00BE3C34"/>
    <w:rsid w:val="00BE5926"/>
    <w:rsid w:val="00BE5BF8"/>
    <w:rsid w:val="00BE608D"/>
    <w:rsid w:val="00BE70E9"/>
    <w:rsid w:val="00BE7902"/>
    <w:rsid w:val="00BF07D6"/>
    <w:rsid w:val="00BF2A50"/>
    <w:rsid w:val="00BF2B37"/>
    <w:rsid w:val="00BF54E1"/>
    <w:rsid w:val="00BF72A6"/>
    <w:rsid w:val="00C0063B"/>
    <w:rsid w:val="00C029AF"/>
    <w:rsid w:val="00C0422F"/>
    <w:rsid w:val="00C05690"/>
    <w:rsid w:val="00C071EF"/>
    <w:rsid w:val="00C10195"/>
    <w:rsid w:val="00C106A2"/>
    <w:rsid w:val="00C10DD5"/>
    <w:rsid w:val="00C1171C"/>
    <w:rsid w:val="00C11931"/>
    <w:rsid w:val="00C12AB3"/>
    <w:rsid w:val="00C13898"/>
    <w:rsid w:val="00C1445B"/>
    <w:rsid w:val="00C14463"/>
    <w:rsid w:val="00C14746"/>
    <w:rsid w:val="00C148E8"/>
    <w:rsid w:val="00C1709D"/>
    <w:rsid w:val="00C20B63"/>
    <w:rsid w:val="00C20CE4"/>
    <w:rsid w:val="00C24CC3"/>
    <w:rsid w:val="00C24D7B"/>
    <w:rsid w:val="00C27914"/>
    <w:rsid w:val="00C27A59"/>
    <w:rsid w:val="00C27C38"/>
    <w:rsid w:val="00C317D0"/>
    <w:rsid w:val="00C3291A"/>
    <w:rsid w:val="00C32944"/>
    <w:rsid w:val="00C33D57"/>
    <w:rsid w:val="00C34075"/>
    <w:rsid w:val="00C376A2"/>
    <w:rsid w:val="00C37C3E"/>
    <w:rsid w:val="00C37F84"/>
    <w:rsid w:val="00C416EB"/>
    <w:rsid w:val="00C41E55"/>
    <w:rsid w:val="00C42065"/>
    <w:rsid w:val="00C43034"/>
    <w:rsid w:val="00C433E2"/>
    <w:rsid w:val="00C466EE"/>
    <w:rsid w:val="00C52587"/>
    <w:rsid w:val="00C53C9B"/>
    <w:rsid w:val="00C57244"/>
    <w:rsid w:val="00C6166F"/>
    <w:rsid w:val="00C619DC"/>
    <w:rsid w:val="00C6246B"/>
    <w:rsid w:val="00C6295E"/>
    <w:rsid w:val="00C63BB9"/>
    <w:rsid w:val="00C6468B"/>
    <w:rsid w:val="00C64CA4"/>
    <w:rsid w:val="00C65874"/>
    <w:rsid w:val="00C66AF7"/>
    <w:rsid w:val="00C674F5"/>
    <w:rsid w:val="00C724EC"/>
    <w:rsid w:val="00C72A04"/>
    <w:rsid w:val="00C742DA"/>
    <w:rsid w:val="00C77E56"/>
    <w:rsid w:val="00C800F9"/>
    <w:rsid w:val="00C80A2D"/>
    <w:rsid w:val="00C81B55"/>
    <w:rsid w:val="00C81BB3"/>
    <w:rsid w:val="00C81F78"/>
    <w:rsid w:val="00C82C13"/>
    <w:rsid w:val="00C83D2E"/>
    <w:rsid w:val="00C84600"/>
    <w:rsid w:val="00C85709"/>
    <w:rsid w:val="00C8588A"/>
    <w:rsid w:val="00C85E44"/>
    <w:rsid w:val="00C9131D"/>
    <w:rsid w:val="00C967B9"/>
    <w:rsid w:val="00C975EA"/>
    <w:rsid w:val="00CA1EFB"/>
    <w:rsid w:val="00CA4B75"/>
    <w:rsid w:val="00CB0B8C"/>
    <w:rsid w:val="00CB1137"/>
    <w:rsid w:val="00CB207D"/>
    <w:rsid w:val="00CB2176"/>
    <w:rsid w:val="00CB35BC"/>
    <w:rsid w:val="00CB5EDE"/>
    <w:rsid w:val="00CB6869"/>
    <w:rsid w:val="00CB6A94"/>
    <w:rsid w:val="00CB7D04"/>
    <w:rsid w:val="00CC2E9E"/>
    <w:rsid w:val="00CC470A"/>
    <w:rsid w:val="00CD023B"/>
    <w:rsid w:val="00CD5F9F"/>
    <w:rsid w:val="00CD7EA0"/>
    <w:rsid w:val="00CE0517"/>
    <w:rsid w:val="00CE19E7"/>
    <w:rsid w:val="00CE242E"/>
    <w:rsid w:val="00CE38C9"/>
    <w:rsid w:val="00CE457A"/>
    <w:rsid w:val="00CE6E0C"/>
    <w:rsid w:val="00CF2A91"/>
    <w:rsid w:val="00CF2B3B"/>
    <w:rsid w:val="00CF431E"/>
    <w:rsid w:val="00CF51E3"/>
    <w:rsid w:val="00D01F2D"/>
    <w:rsid w:val="00D027ED"/>
    <w:rsid w:val="00D02D23"/>
    <w:rsid w:val="00D03CDD"/>
    <w:rsid w:val="00D0559D"/>
    <w:rsid w:val="00D07F44"/>
    <w:rsid w:val="00D1208A"/>
    <w:rsid w:val="00D13F94"/>
    <w:rsid w:val="00D14BC4"/>
    <w:rsid w:val="00D153D5"/>
    <w:rsid w:val="00D15759"/>
    <w:rsid w:val="00D1767A"/>
    <w:rsid w:val="00D202C4"/>
    <w:rsid w:val="00D214DF"/>
    <w:rsid w:val="00D21899"/>
    <w:rsid w:val="00D21A69"/>
    <w:rsid w:val="00D22F6B"/>
    <w:rsid w:val="00D23242"/>
    <w:rsid w:val="00D253EC"/>
    <w:rsid w:val="00D274ED"/>
    <w:rsid w:val="00D30CFC"/>
    <w:rsid w:val="00D34CA1"/>
    <w:rsid w:val="00D358AB"/>
    <w:rsid w:val="00D35BC6"/>
    <w:rsid w:val="00D36E36"/>
    <w:rsid w:val="00D37108"/>
    <w:rsid w:val="00D4072E"/>
    <w:rsid w:val="00D41527"/>
    <w:rsid w:val="00D4403E"/>
    <w:rsid w:val="00D4681C"/>
    <w:rsid w:val="00D515D1"/>
    <w:rsid w:val="00D53CF9"/>
    <w:rsid w:val="00D5646A"/>
    <w:rsid w:val="00D567C1"/>
    <w:rsid w:val="00D603AB"/>
    <w:rsid w:val="00D60D30"/>
    <w:rsid w:val="00D6454B"/>
    <w:rsid w:val="00D64649"/>
    <w:rsid w:val="00D6474C"/>
    <w:rsid w:val="00D65BF1"/>
    <w:rsid w:val="00D669A5"/>
    <w:rsid w:val="00D670BB"/>
    <w:rsid w:val="00D709B4"/>
    <w:rsid w:val="00D718E3"/>
    <w:rsid w:val="00D727A7"/>
    <w:rsid w:val="00D72835"/>
    <w:rsid w:val="00D72AF2"/>
    <w:rsid w:val="00D73D3A"/>
    <w:rsid w:val="00D758C1"/>
    <w:rsid w:val="00D76F7A"/>
    <w:rsid w:val="00D8133D"/>
    <w:rsid w:val="00D82A21"/>
    <w:rsid w:val="00D82D14"/>
    <w:rsid w:val="00D84A66"/>
    <w:rsid w:val="00D8687F"/>
    <w:rsid w:val="00D872BB"/>
    <w:rsid w:val="00D90449"/>
    <w:rsid w:val="00D9169B"/>
    <w:rsid w:val="00D92DE9"/>
    <w:rsid w:val="00D93130"/>
    <w:rsid w:val="00D93D92"/>
    <w:rsid w:val="00D946DA"/>
    <w:rsid w:val="00D95B0D"/>
    <w:rsid w:val="00DA1F1F"/>
    <w:rsid w:val="00DA2476"/>
    <w:rsid w:val="00DA4020"/>
    <w:rsid w:val="00DA4730"/>
    <w:rsid w:val="00DA4BC2"/>
    <w:rsid w:val="00DA602F"/>
    <w:rsid w:val="00DA732B"/>
    <w:rsid w:val="00DA75F8"/>
    <w:rsid w:val="00DA775D"/>
    <w:rsid w:val="00DB057D"/>
    <w:rsid w:val="00DB1819"/>
    <w:rsid w:val="00DB1FA2"/>
    <w:rsid w:val="00DB202D"/>
    <w:rsid w:val="00DB22FC"/>
    <w:rsid w:val="00DB32ED"/>
    <w:rsid w:val="00DB3357"/>
    <w:rsid w:val="00DB386F"/>
    <w:rsid w:val="00DB4D33"/>
    <w:rsid w:val="00DB71A4"/>
    <w:rsid w:val="00DC4B5E"/>
    <w:rsid w:val="00DC5632"/>
    <w:rsid w:val="00DD2298"/>
    <w:rsid w:val="00DD373A"/>
    <w:rsid w:val="00DD3973"/>
    <w:rsid w:val="00DD39A8"/>
    <w:rsid w:val="00DD561D"/>
    <w:rsid w:val="00DD5920"/>
    <w:rsid w:val="00DD66F2"/>
    <w:rsid w:val="00DD7E14"/>
    <w:rsid w:val="00DE089D"/>
    <w:rsid w:val="00DE1C8B"/>
    <w:rsid w:val="00DE22A2"/>
    <w:rsid w:val="00DE2BFA"/>
    <w:rsid w:val="00DE5D50"/>
    <w:rsid w:val="00DE5E77"/>
    <w:rsid w:val="00DE63D9"/>
    <w:rsid w:val="00DF3FE8"/>
    <w:rsid w:val="00DF4201"/>
    <w:rsid w:val="00DF6801"/>
    <w:rsid w:val="00DF73D6"/>
    <w:rsid w:val="00E00F39"/>
    <w:rsid w:val="00E01C69"/>
    <w:rsid w:val="00E0306C"/>
    <w:rsid w:val="00E0530D"/>
    <w:rsid w:val="00E10330"/>
    <w:rsid w:val="00E10D7D"/>
    <w:rsid w:val="00E139E3"/>
    <w:rsid w:val="00E147C7"/>
    <w:rsid w:val="00E151C3"/>
    <w:rsid w:val="00E17076"/>
    <w:rsid w:val="00E213EE"/>
    <w:rsid w:val="00E21AB6"/>
    <w:rsid w:val="00E22235"/>
    <w:rsid w:val="00E241C6"/>
    <w:rsid w:val="00E2515E"/>
    <w:rsid w:val="00E25B2C"/>
    <w:rsid w:val="00E3064C"/>
    <w:rsid w:val="00E30C0A"/>
    <w:rsid w:val="00E30D00"/>
    <w:rsid w:val="00E31218"/>
    <w:rsid w:val="00E326F3"/>
    <w:rsid w:val="00E357A1"/>
    <w:rsid w:val="00E359F7"/>
    <w:rsid w:val="00E3700B"/>
    <w:rsid w:val="00E37F28"/>
    <w:rsid w:val="00E44F46"/>
    <w:rsid w:val="00E451CD"/>
    <w:rsid w:val="00E45C17"/>
    <w:rsid w:val="00E464E2"/>
    <w:rsid w:val="00E50309"/>
    <w:rsid w:val="00E50B1E"/>
    <w:rsid w:val="00E510F4"/>
    <w:rsid w:val="00E517FB"/>
    <w:rsid w:val="00E53BB6"/>
    <w:rsid w:val="00E61898"/>
    <w:rsid w:val="00E621C2"/>
    <w:rsid w:val="00E62B70"/>
    <w:rsid w:val="00E62F52"/>
    <w:rsid w:val="00E64FD1"/>
    <w:rsid w:val="00E6673D"/>
    <w:rsid w:val="00E67EF3"/>
    <w:rsid w:val="00E71BCC"/>
    <w:rsid w:val="00E73A30"/>
    <w:rsid w:val="00E76EA3"/>
    <w:rsid w:val="00E77386"/>
    <w:rsid w:val="00E81FA0"/>
    <w:rsid w:val="00E82E28"/>
    <w:rsid w:val="00E83453"/>
    <w:rsid w:val="00E8443C"/>
    <w:rsid w:val="00E8482D"/>
    <w:rsid w:val="00E87FD3"/>
    <w:rsid w:val="00E90138"/>
    <w:rsid w:val="00E94A5D"/>
    <w:rsid w:val="00E97A3A"/>
    <w:rsid w:val="00EA20D5"/>
    <w:rsid w:val="00EA3795"/>
    <w:rsid w:val="00EA3968"/>
    <w:rsid w:val="00EA3DA7"/>
    <w:rsid w:val="00EA4424"/>
    <w:rsid w:val="00EA4B71"/>
    <w:rsid w:val="00EA5E09"/>
    <w:rsid w:val="00EB1FB4"/>
    <w:rsid w:val="00EB2E3A"/>
    <w:rsid w:val="00EB3641"/>
    <w:rsid w:val="00EB371C"/>
    <w:rsid w:val="00EB3786"/>
    <w:rsid w:val="00EB3D71"/>
    <w:rsid w:val="00EB3FBB"/>
    <w:rsid w:val="00EB5783"/>
    <w:rsid w:val="00EB5F19"/>
    <w:rsid w:val="00EC0275"/>
    <w:rsid w:val="00EC117A"/>
    <w:rsid w:val="00EC2202"/>
    <w:rsid w:val="00EC5E3F"/>
    <w:rsid w:val="00EC63D4"/>
    <w:rsid w:val="00ED013C"/>
    <w:rsid w:val="00ED0CB4"/>
    <w:rsid w:val="00ED4AFE"/>
    <w:rsid w:val="00ED70CD"/>
    <w:rsid w:val="00EE2E7B"/>
    <w:rsid w:val="00EE3645"/>
    <w:rsid w:val="00EE475D"/>
    <w:rsid w:val="00EF118D"/>
    <w:rsid w:val="00EF3663"/>
    <w:rsid w:val="00EF37F5"/>
    <w:rsid w:val="00EF4277"/>
    <w:rsid w:val="00EF462C"/>
    <w:rsid w:val="00EF4BDC"/>
    <w:rsid w:val="00EF6196"/>
    <w:rsid w:val="00EF7A48"/>
    <w:rsid w:val="00EF7BA1"/>
    <w:rsid w:val="00F001EB"/>
    <w:rsid w:val="00F00BC5"/>
    <w:rsid w:val="00F00C3B"/>
    <w:rsid w:val="00F026C8"/>
    <w:rsid w:val="00F0281F"/>
    <w:rsid w:val="00F0630C"/>
    <w:rsid w:val="00F07867"/>
    <w:rsid w:val="00F128EE"/>
    <w:rsid w:val="00F15120"/>
    <w:rsid w:val="00F166EA"/>
    <w:rsid w:val="00F17DFF"/>
    <w:rsid w:val="00F21B09"/>
    <w:rsid w:val="00F22E3B"/>
    <w:rsid w:val="00F231A7"/>
    <w:rsid w:val="00F26304"/>
    <w:rsid w:val="00F27C4F"/>
    <w:rsid w:val="00F32C35"/>
    <w:rsid w:val="00F338AA"/>
    <w:rsid w:val="00F33A75"/>
    <w:rsid w:val="00F342CE"/>
    <w:rsid w:val="00F34561"/>
    <w:rsid w:val="00F34AA7"/>
    <w:rsid w:val="00F36105"/>
    <w:rsid w:val="00F37A1F"/>
    <w:rsid w:val="00F37D1A"/>
    <w:rsid w:val="00F40CCD"/>
    <w:rsid w:val="00F413DB"/>
    <w:rsid w:val="00F41455"/>
    <w:rsid w:val="00F46C9D"/>
    <w:rsid w:val="00F47564"/>
    <w:rsid w:val="00F47A49"/>
    <w:rsid w:val="00F54670"/>
    <w:rsid w:val="00F5497E"/>
    <w:rsid w:val="00F54C26"/>
    <w:rsid w:val="00F558CF"/>
    <w:rsid w:val="00F560B4"/>
    <w:rsid w:val="00F56EB4"/>
    <w:rsid w:val="00F5763D"/>
    <w:rsid w:val="00F60A4B"/>
    <w:rsid w:val="00F66F84"/>
    <w:rsid w:val="00F71BE2"/>
    <w:rsid w:val="00F72102"/>
    <w:rsid w:val="00F7258E"/>
    <w:rsid w:val="00F73762"/>
    <w:rsid w:val="00F74BD2"/>
    <w:rsid w:val="00F74EA0"/>
    <w:rsid w:val="00F7607F"/>
    <w:rsid w:val="00F761CC"/>
    <w:rsid w:val="00F8296D"/>
    <w:rsid w:val="00F83D24"/>
    <w:rsid w:val="00F8422D"/>
    <w:rsid w:val="00F8714F"/>
    <w:rsid w:val="00F937BF"/>
    <w:rsid w:val="00FA038D"/>
    <w:rsid w:val="00FA0807"/>
    <w:rsid w:val="00FA0DDF"/>
    <w:rsid w:val="00FA2B6B"/>
    <w:rsid w:val="00FA52B1"/>
    <w:rsid w:val="00FA5BB7"/>
    <w:rsid w:val="00FA697C"/>
    <w:rsid w:val="00FA6DD9"/>
    <w:rsid w:val="00FA7093"/>
    <w:rsid w:val="00FA7312"/>
    <w:rsid w:val="00FB6E82"/>
    <w:rsid w:val="00FB75C5"/>
    <w:rsid w:val="00FC015F"/>
    <w:rsid w:val="00FC0362"/>
    <w:rsid w:val="00FC1CB0"/>
    <w:rsid w:val="00FC39A4"/>
    <w:rsid w:val="00FC7D7E"/>
    <w:rsid w:val="00FD2DC5"/>
    <w:rsid w:val="00FD2F87"/>
    <w:rsid w:val="00FD594A"/>
    <w:rsid w:val="00FE15A7"/>
    <w:rsid w:val="00FE4A8B"/>
    <w:rsid w:val="00FE5FCF"/>
    <w:rsid w:val="00FE7B0E"/>
    <w:rsid w:val="00FF2B65"/>
    <w:rsid w:val="00FF3E60"/>
    <w:rsid w:val="00FF46D1"/>
    <w:rsid w:val="00FF49AD"/>
    <w:rsid w:val="014C3441"/>
    <w:rsid w:val="016043AA"/>
    <w:rsid w:val="01CD7566"/>
    <w:rsid w:val="02014580"/>
    <w:rsid w:val="020A0527"/>
    <w:rsid w:val="024A32E9"/>
    <w:rsid w:val="0259674A"/>
    <w:rsid w:val="02A41583"/>
    <w:rsid w:val="02B82AC7"/>
    <w:rsid w:val="02C05028"/>
    <w:rsid w:val="02DC2E18"/>
    <w:rsid w:val="02E910D4"/>
    <w:rsid w:val="02F73C38"/>
    <w:rsid w:val="02FA356B"/>
    <w:rsid w:val="030D0211"/>
    <w:rsid w:val="034D0AF7"/>
    <w:rsid w:val="03673E4D"/>
    <w:rsid w:val="03D64DF8"/>
    <w:rsid w:val="03E57BBF"/>
    <w:rsid w:val="03F32BAC"/>
    <w:rsid w:val="04273552"/>
    <w:rsid w:val="045441F3"/>
    <w:rsid w:val="04671EF4"/>
    <w:rsid w:val="0469583E"/>
    <w:rsid w:val="04AB1410"/>
    <w:rsid w:val="04B0714F"/>
    <w:rsid w:val="04BE5FB8"/>
    <w:rsid w:val="04D87252"/>
    <w:rsid w:val="04FB7722"/>
    <w:rsid w:val="05084BEB"/>
    <w:rsid w:val="05317378"/>
    <w:rsid w:val="0539452C"/>
    <w:rsid w:val="053B48D4"/>
    <w:rsid w:val="055C20DC"/>
    <w:rsid w:val="05624BDD"/>
    <w:rsid w:val="05C212BC"/>
    <w:rsid w:val="06381496"/>
    <w:rsid w:val="06533EC6"/>
    <w:rsid w:val="06537B56"/>
    <w:rsid w:val="06542106"/>
    <w:rsid w:val="06982838"/>
    <w:rsid w:val="06BA0DDD"/>
    <w:rsid w:val="06C31F14"/>
    <w:rsid w:val="06F37760"/>
    <w:rsid w:val="074A19B1"/>
    <w:rsid w:val="074E3AA1"/>
    <w:rsid w:val="07571DAC"/>
    <w:rsid w:val="076170CE"/>
    <w:rsid w:val="077262FE"/>
    <w:rsid w:val="07761D8D"/>
    <w:rsid w:val="07807F76"/>
    <w:rsid w:val="07A6504F"/>
    <w:rsid w:val="07CF2B05"/>
    <w:rsid w:val="07D70E44"/>
    <w:rsid w:val="07E31891"/>
    <w:rsid w:val="081128A2"/>
    <w:rsid w:val="082864B5"/>
    <w:rsid w:val="082F6363"/>
    <w:rsid w:val="0867088A"/>
    <w:rsid w:val="086808E2"/>
    <w:rsid w:val="087A0447"/>
    <w:rsid w:val="08803584"/>
    <w:rsid w:val="088735F4"/>
    <w:rsid w:val="08B12270"/>
    <w:rsid w:val="08B407EF"/>
    <w:rsid w:val="08BA0B74"/>
    <w:rsid w:val="08C7781A"/>
    <w:rsid w:val="08DB6A0C"/>
    <w:rsid w:val="090A2615"/>
    <w:rsid w:val="09457501"/>
    <w:rsid w:val="094F481A"/>
    <w:rsid w:val="094F6865"/>
    <w:rsid w:val="095433F9"/>
    <w:rsid w:val="096017F4"/>
    <w:rsid w:val="099A74AA"/>
    <w:rsid w:val="09CA1EED"/>
    <w:rsid w:val="09EB0422"/>
    <w:rsid w:val="09F61C94"/>
    <w:rsid w:val="09FB3C72"/>
    <w:rsid w:val="0A157CFC"/>
    <w:rsid w:val="0A6678AC"/>
    <w:rsid w:val="0A6D6112"/>
    <w:rsid w:val="0A7F0917"/>
    <w:rsid w:val="0AB82D2B"/>
    <w:rsid w:val="0AC21C32"/>
    <w:rsid w:val="0AD91C61"/>
    <w:rsid w:val="0B2F5D49"/>
    <w:rsid w:val="0B4E5A61"/>
    <w:rsid w:val="0B550CF8"/>
    <w:rsid w:val="0B592648"/>
    <w:rsid w:val="0B6616EB"/>
    <w:rsid w:val="0B7078E0"/>
    <w:rsid w:val="0B786794"/>
    <w:rsid w:val="0B7F4B2F"/>
    <w:rsid w:val="0B9D5167"/>
    <w:rsid w:val="0B9E3B3E"/>
    <w:rsid w:val="0BAB4DBC"/>
    <w:rsid w:val="0BB2614A"/>
    <w:rsid w:val="0BC67500"/>
    <w:rsid w:val="0BCD088E"/>
    <w:rsid w:val="0BDE00AF"/>
    <w:rsid w:val="0C2675E6"/>
    <w:rsid w:val="0C3A5E99"/>
    <w:rsid w:val="0C73446D"/>
    <w:rsid w:val="0C7777A4"/>
    <w:rsid w:val="0C8C1106"/>
    <w:rsid w:val="0C9A254D"/>
    <w:rsid w:val="0CB87790"/>
    <w:rsid w:val="0CD272A4"/>
    <w:rsid w:val="0CF10AD0"/>
    <w:rsid w:val="0D0416FB"/>
    <w:rsid w:val="0D0C15A1"/>
    <w:rsid w:val="0D0E5602"/>
    <w:rsid w:val="0D207BE3"/>
    <w:rsid w:val="0D2E2D05"/>
    <w:rsid w:val="0D434636"/>
    <w:rsid w:val="0D4738C8"/>
    <w:rsid w:val="0D4A3843"/>
    <w:rsid w:val="0D692839"/>
    <w:rsid w:val="0DA66B93"/>
    <w:rsid w:val="0DAF51F7"/>
    <w:rsid w:val="0DD24882"/>
    <w:rsid w:val="0E0B7D94"/>
    <w:rsid w:val="0E1E7AC7"/>
    <w:rsid w:val="0E1F0A4D"/>
    <w:rsid w:val="0E30791C"/>
    <w:rsid w:val="0E4C4D50"/>
    <w:rsid w:val="0E4D5CB6"/>
    <w:rsid w:val="0E57112D"/>
    <w:rsid w:val="0E603A9C"/>
    <w:rsid w:val="0E7F2213"/>
    <w:rsid w:val="0E822978"/>
    <w:rsid w:val="0E9D1879"/>
    <w:rsid w:val="0E9E5723"/>
    <w:rsid w:val="0EBB6C32"/>
    <w:rsid w:val="0F383104"/>
    <w:rsid w:val="0F3D571F"/>
    <w:rsid w:val="0F6072F5"/>
    <w:rsid w:val="0F6849F5"/>
    <w:rsid w:val="0F960D4A"/>
    <w:rsid w:val="0FBD1A3F"/>
    <w:rsid w:val="0FFD0565"/>
    <w:rsid w:val="0FFF7484"/>
    <w:rsid w:val="102124D3"/>
    <w:rsid w:val="102D7270"/>
    <w:rsid w:val="103A0B86"/>
    <w:rsid w:val="104D26B4"/>
    <w:rsid w:val="10B820FF"/>
    <w:rsid w:val="10CD7582"/>
    <w:rsid w:val="10FC5E0D"/>
    <w:rsid w:val="114966C9"/>
    <w:rsid w:val="11674128"/>
    <w:rsid w:val="11B55A0E"/>
    <w:rsid w:val="11B75770"/>
    <w:rsid w:val="11E00BDC"/>
    <w:rsid w:val="120C4803"/>
    <w:rsid w:val="12137217"/>
    <w:rsid w:val="123724CE"/>
    <w:rsid w:val="123E14FD"/>
    <w:rsid w:val="12974979"/>
    <w:rsid w:val="129E2F84"/>
    <w:rsid w:val="12CC107D"/>
    <w:rsid w:val="12F6206C"/>
    <w:rsid w:val="13070B2A"/>
    <w:rsid w:val="137166EB"/>
    <w:rsid w:val="13C77DC3"/>
    <w:rsid w:val="13DE2CF5"/>
    <w:rsid w:val="13EA5200"/>
    <w:rsid w:val="14125509"/>
    <w:rsid w:val="147817F9"/>
    <w:rsid w:val="148265F0"/>
    <w:rsid w:val="14AF6371"/>
    <w:rsid w:val="14FF122B"/>
    <w:rsid w:val="15D53B8A"/>
    <w:rsid w:val="15DA0777"/>
    <w:rsid w:val="15F14CE5"/>
    <w:rsid w:val="15FB249C"/>
    <w:rsid w:val="1617304A"/>
    <w:rsid w:val="161B4F15"/>
    <w:rsid w:val="163360DA"/>
    <w:rsid w:val="163F3E27"/>
    <w:rsid w:val="169362CF"/>
    <w:rsid w:val="169A2B53"/>
    <w:rsid w:val="16DF48DF"/>
    <w:rsid w:val="16ED09C9"/>
    <w:rsid w:val="17113815"/>
    <w:rsid w:val="17292A22"/>
    <w:rsid w:val="175D340E"/>
    <w:rsid w:val="17651AEB"/>
    <w:rsid w:val="17733DBC"/>
    <w:rsid w:val="17A42811"/>
    <w:rsid w:val="17DC1859"/>
    <w:rsid w:val="17F756BE"/>
    <w:rsid w:val="17F87BC4"/>
    <w:rsid w:val="180531C8"/>
    <w:rsid w:val="180A5720"/>
    <w:rsid w:val="180C0F1F"/>
    <w:rsid w:val="181F682C"/>
    <w:rsid w:val="183569CC"/>
    <w:rsid w:val="184620F4"/>
    <w:rsid w:val="18EE17C0"/>
    <w:rsid w:val="18FE477D"/>
    <w:rsid w:val="19595F04"/>
    <w:rsid w:val="19665EE9"/>
    <w:rsid w:val="196D1903"/>
    <w:rsid w:val="19796E86"/>
    <w:rsid w:val="197A1548"/>
    <w:rsid w:val="19810F0A"/>
    <w:rsid w:val="19916B44"/>
    <w:rsid w:val="19A11619"/>
    <w:rsid w:val="19DC08CF"/>
    <w:rsid w:val="19F142E2"/>
    <w:rsid w:val="19F7370F"/>
    <w:rsid w:val="1A280D9B"/>
    <w:rsid w:val="1A833378"/>
    <w:rsid w:val="1AA2382E"/>
    <w:rsid w:val="1AA366DA"/>
    <w:rsid w:val="1AC05A8A"/>
    <w:rsid w:val="1ACD0F46"/>
    <w:rsid w:val="1ADD2B92"/>
    <w:rsid w:val="1AE161AE"/>
    <w:rsid w:val="1AF62E44"/>
    <w:rsid w:val="1AFE56FC"/>
    <w:rsid w:val="1B41737E"/>
    <w:rsid w:val="1B4C2CD0"/>
    <w:rsid w:val="1B8558EE"/>
    <w:rsid w:val="1B972C67"/>
    <w:rsid w:val="1BB21158"/>
    <w:rsid w:val="1BBC3DFE"/>
    <w:rsid w:val="1BC3591D"/>
    <w:rsid w:val="1BDF2ED8"/>
    <w:rsid w:val="1BEB62F2"/>
    <w:rsid w:val="1BFE6A01"/>
    <w:rsid w:val="1C1147C7"/>
    <w:rsid w:val="1C136A38"/>
    <w:rsid w:val="1C1B10A9"/>
    <w:rsid w:val="1C991009"/>
    <w:rsid w:val="1CA93AF4"/>
    <w:rsid w:val="1CC35E00"/>
    <w:rsid w:val="1CC621F8"/>
    <w:rsid w:val="1D005D31"/>
    <w:rsid w:val="1D112226"/>
    <w:rsid w:val="1D1D0F4A"/>
    <w:rsid w:val="1D660BA4"/>
    <w:rsid w:val="1D7EAB62"/>
    <w:rsid w:val="1E215DAF"/>
    <w:rsid w:val="1E263141"/>
    <w:rsid w:val="1E652BA8"/>
    <w:rsid w:val="1E751B3E"/>
    <w:rsid w:val="1E8108B1"/>
    <w:rsid w:val="1E8108FE"/>
    <w:rsid w:val="1E81097F"/>
    <w:rsid w:val="1EA731C1"/>
    <w:rsid w:val="1ECA6EAF"/>
    <w:rsid w:val="1EDC6C10"/>
    <w:rsid w:val="1EE14CE9"/>
    <w:rsid w:val="1EE555A7"/>
    <w:rsid w:val="1F0E3240"/>
    <w:rsid w:val="1F193FA4"/>
    <w:rsid w:val="1F35573C"/>
    <w:rsid w:val="1F460C2C"/>
    <w:rsid w:val="1F64306C"/>
    <w:rsid w:val="1F6D323E"/>
    <w:rsid w:val="1F7258B6"/>
    <w:rsid w:val="1F92646F"/>
    <w:rsid w:val="1FCD44B1"/>
    <w:rsid w:val="1FF05620"/>
    <w:rsid w:val="1FF93EF0"/>
    <w:rsid w:val="1FFCF776"/>
    <w:rsid w:val="1FFD7B91"/>
    <w:rsid w:val="1FFE0878"/>
    <w:rsid w:val="20114C0E"/>
    <w:rsid w:val="201A3274"/>
    <w:rsid w:val="203950E8"/>
    <w:rsid w:val="20983709"/>
    <w:rsid w:val="20A76F70"/>
    <w:rsid w:val="20EF00B2"/>
    <w:rsid w:val="20EF0551"/>
    <w:rsid w:val="20F1482F"/>
    <w:rsid w:val="21110DC5"/>
    <w:rsid w:val="211F36DB"/>
    <w:rsid w:val="21244F9D"/>
    <w:rsid w:val="212666B3"/>
    <w:rsid w:val="2130749E"/>
    <w:rsid w:val="21515666"/>
    <w:rsid w:val="21674E89"/>
    <w:rsid w:val="21963FDE"/>
    <w:rsid w:val="21E60A80"/>
    <w:rsid w:val="221B014E"/>
    <w:rsid w:val="22492B53"/>
    <w:rsid w:val="2258379E"/>
    <w:rsid w:val="22866270"/>
    <w:rsid w:val="229D6DB5"/>
    <w:rsid w:val="22BB46CF"/>
    <w:rsid w:val="22D10020"/>
    <w:rsid w:val="22F15A64"/>
    <w:rsid w:val="23574ECF"/>
    <w:rsid w:val="23580F2E"/>
    <w:rsid w:val="235D099A"/>
    <w:rsid w:val="23A621F2"/>
    <w:rsid w:val="240864B0"/>
    <w:rsid w:val="240D4995"/>
    <w:rsid w:val="245A486E"/>
    <w:rsid w:val="24B83B8C"/>
    <w:rsid w:val="24CF3471"/>
    <w:rsid w:val="253F66D1"/>
    <w:rsid w:val="25893620"/>
    <w:rsid w:val="25AC4CBA"/>
    <w:rsid w:val="25EC3BAF"/>
    <w:rsid w:val="26444389"/>
    <w:rsid w:val="26AE0814"/>
    <w:rsid w:val="26ED2F39"/>
    <w:rsid w:val="26EF5F67"/>
    <w:rsid w:val="26F9151C"/>
    <w:rsid w:val="2737519E"/>
    <w:rsid w:val="275935DA"/>
    <w:rsid w:val="276A5735"/>
    <w:rsid w:val="277D4C2F"/>
    <w:rsid w:val="27CA188D"/>
    <w:rsid w:val="27F84A8D"/>
    <w:rsid w:val="2846566C"/>
    <w:rsid w:val="28500425"/>
    <w:rsid w:val="285C14C0"/>
    <w:rsid w:val="286979C1"/>
    <w:rsid w:val="288B3B53"/>
    <w:rsid w:val="2898760C"/>
    <w:rsid w:val="28A169ED"/>
    <w:rsid w:val="28B46C06"/>
    <w:rsid w:val="28CA17C3"/>
    <w:rsid w:val="29051C33"/>
    <w:rsid w:val="296D5007"/>
    <w:rsid w:val="298B1709"/>
    <w:rsid w:val="29943E6A"/>
    <w:rsid w:val="299665C5"/>
    <w:rsid w:val="29D56857"/>
    <w:rsid w:val="29EA145D"/>
    <w:rsid w:val="29F319B0"/>
    <w:rsid w:val="2A0B4CC0"/>
    <w:rsid w:val="2A391AC2"/>
    <w:rsid w:val="2A573CED"/>
    <w:rsid w:val="2A590825"/>
    <w:rsid w:val="2A921C42"/>
    <w:rsid w:val="2A961B94"/>
    <w:rsid w:val="2A97027B"/>
    <w:rsid w:val="2A9D36CA"/>
    <w:rsid w:val="2AA75D9B"/>
    <w:rsid w:val="2AA97847"/>
    <w:rsid w:val="2AE35581"/>
    <w:rsid w:val="2AE61149"/>
    <w:rsid w:val="2B04425A"/>
    <w:rsid w:val="2B230073"/>
    <w:rsid w:val="2B2A1401"/>
    <w:rsid w:val="2B345623"/>
    <w:rsid w:val="2B4D7022"/>
    <w:rsid w:val="2B7729B9"/>
    <w:rsid w:val="2B886128"/>
    <w:rsid w:val="2B9E594C"/>
    <w:rsid w:val="2BAE3DE1"/>
    <w:rsid w:val="2BBE6148"/>
    <w:rsid w:val="2BBFF617"/>
    <w:rsid w:val="2BDD6474"/>
    <w:rsid w:val="2BFD2672"/>
    <w:rsid w:val="2C0559CB"/>
    <w:rsid w:val="2C210A47"/>
    <w:rsid w:val="2C250F4B"/>
    <w:rsid w:val="2C3B319A"/>
    <w:rsid w:val="2C4662BD"/>
    <w:rsid w:val="2C587642"/>
    <w:rsid w:val="2C7D1BF1"/>
    <w:rsid w:val="2C7D37B3"/>
    <w:rsid w:val="2CAD4098"/>
    <w:rsid w:val="2CE13D42"/>
    <w:rsid w:val="2D1729C0"/>
    <w:rsid w:val="2D1B7685"/>
    <w:rsid w:val="2D5C5ABE"/>
    <w:rsid w:val="2D5E0D01"/>
    <w:rsid w:val="2D76478D"/>
    <w:rsid w:val="2D8F7FAC"/>
    <w:rsid w:val="2D9139BA"/>
    <w:rsid w:val="2DAC2D48"/>
    <w:rsid w:val="2DB11966"/>
    <w:rsid w:val="2DF92E65"/>
    <w:rsid w:val="2E43ADDA"/>
    <w:rsid w:val="2E7A444E"/>
    <w:rsid w:val="2E7F3812"/>
    <w:rsid w:val="2E862DF3"/>
    <w:rsid w:val="2E9574DA"/>
    <w:rsid w:val="2E976DAE"/>
    <w:rsid w:val="2EB706EE"/>
    <w:rsid w:val="2EC54CB0"/>
    <w:rsid w:val="2ED7364E"/>
    <w:rsid w:val="2F2F348A"/>
    <w:rsid w:val="2F5C3B54"/>
    <w:rsid w:val="2F8165BD"/>
    <w:rsid w:val="2F9161FF"/>
    <w:rsid w:val="2F9C1AD3"/>
    <w:rsid w:val="2FB10810"/>
    <w:rsid w:val="2FC319E8"/>
    <w:rsid w:val="305C66DF"/>
    <w:rsid w:val="30766328"/>
    <w:rsid w:val="30A87C8B"/>
    <w:rsid w:val="310778CF"/>
    <w:rsid w:val="3126266B"/>
    <w:rsid w:val="314307E5"/>
    <w:rsid w:val="314C707A"/>
    <w:rsid w:val="315B3E9C"/>
    <w:rsid w:val="318B2BC8"/>
    <w:rsid w:val="31907DF6"/>
    <w:rsid w:val="31BC6B2B"/>
    <w:rsid w:val="31BD12D6"/>
    <w:rsid w:val="32052280"/>
    <w:rsid w:val="32186C6B"/>
    <w:rsid w:val="322270B1"/>
    <w:rsid w:val="32244DFC"/>
    <w:rsid w:val="3226690F"/>
    <w:rsid w:val="32331E10"/>
    <w:rsid w:val="324C69B7"/>
    <w:rsid w:val="325112E4"/>
    <w:rsid w:val="328A4821"/>
    <w:rsid w:val="32A215FF"/>
    <w:rsid w:val="32A6050E"/>
    <w:rsid w:val="32B92D89"/>
    <w:rsid w:val="32D20BBF"/>
    <w:rsid w:val="32E225C2"/>
    <w:rsid w:val="32E61DB5"/>
    <w:rsid w:val="335C63FE"/>
    <w:rsid w:val="337A40F4"/>
    <w:rsid w:val="337B5D32"/>
    <w:rsid w:val="339750BD"/>
    <w:rsid w:val="339D41E2"/>
    <w:rsid w:val="33AA7D8A"/>
    <w:rsid w:val="33AB6E58"/>
    <w:rsid w:val="33B4492C"/>
    <w:rsid w:val="33B56E30"/>
    <w:rsid w:val="33C0133A"/>
    <w:rsid w:val="33CC66C0"/>
    <w:rsid w:val="33DD0306"/>
    <w:rsid w:val="33F51CCF"/>
    <w:rsid w:val="340C598E"/>
    <w:rsid w:val="340F5638"/>
    <w:rsid w:val="342E1F62"/>
    <w:rsid w:val="34312369"/>
    <w:rsid w:val="343F6B5B"/>
    <w:rsid w:val="349140DB"/>
    <w:rsid w:val="34914FCD"/>
    <w:rsid w:val="34B41877"/>
    <w:rsid w:val="34B75597"/>
    <w:rsid w:val="34B85CD0"/>
    <w:rsid w:val="34CA2690"/>
    <w:rsid w:val="34CD7FBA"/>
    <w:rsid w:val="353E03C8"/>
    <w:rsid w:val="354A3FDF"/>
    <w:rsid w:val="358931C8"/>
    <w:rsid w:val="35D2703F"/>
    <w:rsid w:val="36127662"/>
    <w:rsid w:val="361B02C4"/>
    <w:rsid w:val="362F3B35"/>
    <w:rsid w:val="364516CE"/>
    <w:rsid w:val="36471A85"/>
    <w:rsid w:val="364D6FFD"/>
    <w:rsid w:val="365E46EA"/>
    <w:rsid w:val="368F678C"/>
    <w:rsid w:val="36B129D7"/>
    <w:rsid w:val="36CB25E9"/>
    <w:rsid w:val="36E2410D"/>
    <w:rsid w:val="370F4400"/>
    <w:rsid w:val="372C1456"/>
    <w:rsid w:val="37985581"/>
    <w:rsid w:val="37A756FD"/>
    <w:rsid w:val="37AD284F"/>
    <w:rsid w:val="37B704C1"/>
    <w:rsid w:val="37B7AE68"/>
    <w:rsid w:val="37D50947"/>
    <w:rsid w:val="37E9D6CA"/>
    <w:rsid w:val="37F255AD"/>
    <w:rsid w:val="37F75750"/>
    <w:rsid w:val="37F91D11"/>
    <w:rsid w:val="381C47C8"/>
    <w:rsid w:val="384B44A4"/>
    <w:rsid w:val="38530A0B"/>
    <w:rsid w:val="385365E5"/>
    <w:rsid w:val="38591578"/>
    <w:rsid w:val="38977A54"/>
    <w:rsid w:val="389E3764"/>
    <w:rsid w:val="38D60A8B"/>
    <w:rsid w:val="38D85623"/>
    <w:rsid w:val="38DB2D93"/>
    <w:rsid w:val="38F85BFF"/>
    <w:rsid w:val="39103E24"/>
    <w:rsid w:val="3930119A"/>
    <w:rsid w:val="39475874"/>
    <w:rsid w:val="3968485A"/>
    <w:rsid w:val="39693A3D"/>
    <w:rsid w:val="39924D42"/>
    <w:rsid w:val="39A764DB"/>
    <w:rsid w:val="39B10F55"/>
    <w:rsid w:val="39B71F20"/>
    <w:rsid w:val="39FB3010"/>
    <w:rsid w:val="3A334D25"/>
    <w:rsid w:val="3ADC4454"/>
    <w:rsid w:val="3AF34676"/>
    <w:rsid w:val="3AFDFCEA"/>
    <w:rsid w:val="3B141786"/>
    <w:rsid w:val="3B1A3654"/>
    <w:rsid w:val="3B1C2CC2"/>
    <w:rsid w:val="3B784AF0"/>
    <w:rsid w:val="3B7D43F6"/>
    <w:rsid w:val="3B810EE2"/>
    <w:rsid w:val="3BD130AB"/>
    <w:rsid w:val="3BD15E3E"/>
    <w:rsid w:val="3BD53828"/>
    <w:rsid w:val="3BE2277D"/>
    <w:rsid w:val="3BFBCC53"/>
    <w:rsid w:val="3BFE5DE5"/>
    <w:rsid w:val="3BFFEDD6"/>
    <w:rsid w:val="3C4B7CA5"/>
    <w:rsid w:val="3C5C7A17"/>
    <w:rsid w:val="3C6407B5"/>
    <w:rsid w:val="3CAC1FDE"/>
    <w:rsid w:val="3CB32E5D"/>
    <w:rsid w:val="3CFB4EA6"/>
    <w:rsid w:val="3D263AE1"/>
    <w:rsid w:val="3D2B69BB"/>
    <w:rsid w:val="3D2C725B"/>
    <w:rsid w:val="3D4C6F97"/>
    <w:rsid w:val="3D4E5423"/>
    <w:rsid w:val="3D65311A"/>
    <w:rsid w:val="3D747A54"/>
    <w:rsid w:val="3D950B09"/>
    <w:rsid w:val="3DDC0543"/>
    <w:rsid w:val="3DF44C30"/>
    <w:rsid w:val="3DF66436"/>
    <w:rsid w:val="3DFB9D05"/>
    <w:rsid w:val="3E0922B4"/>
    <w:rsid w:val="3E43485C"/>
    <w:rsid w:val="3E6A0C1E"/>
    <w:rsid w:val="3E7E3189"/>
    <w:rsid w:val="3E99447C"/>
    <w:rsid w:val="3EAD4507"/>
    <w:rsid w:val="3ECA0DF0"/>
    <w:rsid w:val="3EDD8252"/>
    <w:rsid w:val="3F10163C"/>
    <w:rsid w:val="3F35511B"/>
    <w:rsid w:val="3F5F115B"/>
    <w:rsid w:val="3F815467"/>
    <w:rsid w:val="3F9A4950"/>
    <w:rsid w:val="3FAE974A"/>
    <w:rsid w:val="3FAF7569"/>
    <w:rsid w:val="3FBB0439"/>
    <w:rsid w:val="3FBD063E"/>
    <w:rsid w:val="3FD904C4"/>
    <w:rsid w:val="3FE536F1"/>
    <w:rsid w:val="3FE81BAF"/>
    <w:rsid w:val="3FEFEE89"/>
    <w:rsid w:val="400E517B"/>
    <w:rsid w:val="402A0A9B"/>
    <w:rsid w:val="4064523A"/>
    <w:rsid w:val="40793ED9"/>
    <w:rsid w:val="4092537A"/>
    <w:rsid w:val="40953369"/>
    <w:rsid w:val="40BD59A0"/>
    <w:rsid w:val="41782A6F"/>
    <w:rsid w:val="417E1395"/>
    <w:rsid w:val="418F7DB9"/>
    <w:rsid w:val="41B65B32"/>
    <w:rsid w:val="41F86F7D"/>
    <w:rsid w:val="421A76D8"/>
    <w:rsid w:val="424854EA"/>
    <w:rsid w:val="4256273B"/>
    <w:rsid w:val="426F49B7"/>
    <w:rsid w:val="42722BDC"/>
    <w:rsid w:val="42AD162D"/>
    <w:rsid w:val="42B0448A"/>
    <w:rsid w:val="42C44321"/>
    <w:rsid w:val="43252017"/>
    <w:rsid w:val="43573408"/>
    <w:rsid w:val="43B32016"/>
    <w:rsid w:val="43C30B5C"/>
    <w:rsid w:val="43E229B6"/>
    <w:rsid w:val="43F03796"/>
    <w:rsid w:val="44067C10"/>
    <w:rsid w:val="444E4F44"/>
    <w:rsid w:val="445E217C"/>
    <w:rsid w:val="4466385E"/>
    <w:rsid w:val="447E5A81"/>
    <w:rsid w:val="44854751"/>
    <w:rsid w:val="449A590D"/>
    <w:rsid w:val="449F4646"/>
    <w:rsid w:val="44FD25E5"/>
    <w:rsid w:val="4502080D"/>
    <w:rsid w:val="450E314E"/>
    <w:rsid w:val="451D24E5"/>
    <w:rsid w:val="452A22D2"/>
    <w:rsid w:val="45437932"/>
    <w:rsid w:val="45506B85"/>
    <w:rsid w:val="455A3783"/>
    <w:rsid w:val="455E06EB"/>
    <w:rsid w:val="459260C9"/>
    <w:rsid w:val="45940736"/>
    <w:rsid w:val="45A96D0F"/>
    <w:rsid w:val="45DB6C62"/>
    <w:rsid w:val="45E316FA"/>
    <w:rsid w:val="461164EB"/>
    <w:rsid w:val="46192A58"/>
    <w:rsid w:val="46333041"/>
    <w:rsid w:val="46582E6F"/>
    <w:rsid w:val="46624F74"/>
    <w:rsid w:val="46822C95"/>
    <w:rsid w:val="468D3E8B"/>
    <w:rsid w:val="4698326B"/>
    <w:rsid w:val="46E62229"/>
    <w:rsid w:val="46FFF313"/>
    <w:rsid w:val="47021D0D"/>
    <w:rsid w:val="4703300A"/>
    <w:rsid w:val="471F69DC"/>
    <w:rsid w:val="473F503E"/>
    <w:rsid w:val="47472098"/>
    <w:rsid w:val="476B072D"/>
    <w:rsid w:val="47D33CB8"/>
    <w:rsid w:val="47E82FD1"/>
    <w:rsid w:val="47EFC40C"/>
    <w:rsid w:val="47F566D5"/>
    <w:rsid w:val="480F1C53"/>
    <w:rsid w:val="481808E7"/>
    <w:rsid w:val="48195588"/>
    <w:rsid w:val="483C58DF"/>
    <w:rsid w:val="4868469C"/>
    <w:rsid w:val="48A2598E"/>
    <w:rsid w:val="48F301C0"/>
    <w:rsid w:val="491237A9"/>
    <w:rsid w:val="491347C8"/>
    <w:rsid w:val="49153299"/>
    <w:rsid w:val="491B4F0A"/>
    <w:rsid w:val="4940420A"/>
    <w:rsid w:val="497004D0"/>
    <w:rsid w:val="49896118"/>
    <w:rsid w:val="498E6F7D"/>
    <w:rsid w:val="4A150BD9"/>
    <w:rsid w:val="4A1E7F2C"/>
    <w:rsid w:val="4A3672B8"/>
    <w:rsid w:val="4A49144C"/>
    <w:rsid w:val="4A4C2CEB"/>
    <w:rsid w:val="4A6942B1"/>
    <w:rsid w:val="4A752C5B"/>
    <w:rsid w:val="4A9F72BE"/>
    <w:rsid w:val="4AAA7A11"/>
    <w:rsid w:val="4AAE45D1"/>
    <w:rsid w:val="4AD807FC"/>
    <w:rsid w:val="4ADA6548"/>
    <w:rsid w:val="4B33401B"/>
    <w:rsid w:val="4B714561"/>
    <w:rsid w:val="4BAF1520"/>
    <w:rsid w:val="4BCC06C0"/>
    <w:rsid w:val="4BF020F5"/>
    <w:rsid w:val="4C9F22F5"/>
    <w:rsid w:val="4CA8017F"/>
    <w:rsid w:val="4CDF1BF4"/>
    <w:rsid w:val="4D2656A5"/>
    <w:rsid w:val="4D3D15E2"/>
    <w:rsid w:val="4D404277"/>
    <w:rsid w:val="4D5E470F"/>
    <w:rsid w:val="4D610C84"/>
    <w:rsid w:val="4D775AFB"/>
    <w:rsid w:val="4D922D30"/>
    <w:rsid w:val="4DB5402C"/>
    <w:rsid w:val="4DC33854"/>
    <w:rsid w:val="4DF69778"/>
    <w:rsid w:val="4DFD491A"/>
    <w:rsid w:val="4DFF5AA1"/>
    <w:rsid w:val="4E01203E"/>
    <w:rsid w:val="4E3F66C2"/>
    <w:rsid w:val="4EA336C1"/>
    <w:rsid w:val="4EBC7BD9"/>
    <w:rsid w:val="4EC67CB9"/>
    <w:rsid w:val="4F060883"/>
    <w:rsid w:val="4F0973FC"/>
    <w:rsid w:val="4F365D17"/>
    <w:rsid w:val="4F44293C"/>
    <w:rsid w:val="4F5573BE"/>
    <w:rsid w:val="4F665F13"/>
    <w:rsid w:val="4F6F4D85"/>
    <w:rsid w:val="4F712E54"/>
    <w:rsid w:val="4FAD5FDA"/>
    <w:rsid w:val="4FC559B4"/>
    <w:rsid w:val="50091EEE"/>
    <w:rsid w:val="502B04CC"/>
    <w:rsid w:val="5032028D"/>
    <w:rsid w:val="503E4EE2"/>
    <w:rsid w:val="5055041F"/>
    <w:rsid w:val="507B5903"/>
    <w:rsid w:val="507D0679"/>
    <w:rsid w:val="507E5A75"/>
    <w:rsid w:val="50BA1E43"/>
    <w:rsid w:val="50EB68A8"/>
    <w:rsid w:val="5119144D"/>
    <w:rsid w:val="51275918"/>
    <w:rsid w:val="512C1180"/>
    <w:rsid w:val="519248BF"/>
    <w:rsid w:val="5196797D"/>
    <w:rsid w:val="51E1640E"/>
    <w:rsid w:val="522B5182"/>
    <w:rsid w:val="52392C19"/>
    <w:rsid w:val="525E7A5F"/>
    <w:rsid w:val="52A94B53"/>
    <w:rsid w:val="52BD477F"/>
    <w:rsid w:val="52BE31A5"/>
    <w:rsid w:val="52BE768D"/>
    <w:rsid w:val="52CE4502"/>
    <w:rsid w:val="52E87431"/>
    <w:rsid w:val="5300792D"/>
    <w:rsid w:val="53044600"/>
    <w:rsid w:val="5307543C"/>
    <w:rsid w:val="532268C9"/>
    <w:rsid w:val="535350EA"/>
    <w:rsid w:val="5367649F"/>
    <w:rsid w:val="53AA2830"/>
    <w:rsid w:val="53AB5843"/>
    <w:rsid w:val="53D0274A"/>
    <w:rsid w:val="542377C9"/>
    <w:rsid w:val="545236AA"/>
    <w:rsid w:val="545A5249"/>
    <w:rsid w:val="545D451E"/>
    <w:rsid w:val="549E2185"/>
    <w:rsid w:val="54B22B1E"/>
    <w:rsid w:val="54F378FB"/>
    <w:rsid w:val="54F55E2E"/>
    <w:rsid w:val="550E3A0B"/>
    <w:rsid w:val="552E6008"/>
    <w:rsid w:val="55471AC8"/>
    <w:rsid w:val="55652EB2"/>
    <w:rsid w:val="557213D8"/>
    <w:rsid w:val="559B17AB"/>
    <w:rsid w:val="55BFF152"/>
    <w:rsid w:val="55C2076D"/>
    <w:rsid w:val="55DC2AD0"/>
    <w:rsid w:val="5612303A"/>
    <w:rsid w:val="564E7C04"/>
    <w:rsid w:val="567B1675"/>
    <w:rsid w:val="56A25A40"/>
    <w:rsid w:val="56AE6CA9"/>
    <w:rsid w:val="56B42145"/>
    <w:rsid w:val="56DA01B6"/>
    <w:rsid w:val="56DC36BA"/>
    <w:rsid w:val="56DD0123"/>
    <w:rsid w:val="56E147BB"/>
    <w:rsid w:val="570109B9"/>
    <w:rsid w:val="579A6471"/>
    <w:rsid w:val="57B6149D"/>
    <w:rsid w:val="57BF6BBB"/>
    <w:rsid w:val="57E7759A"/>
    <w:rsid w:val="581F7096"/>
    <w:rsid w:val="584A09A2"/>
    <w:rsid w:val="58615BB3"/>
    <w:rsid w:val="586C27AA"/>
    <w:rsid w:val="5878260D"/>
    <w:rsid w:val="58B33C41"/>
    <w:rsid w:val="58BE5760"/>
    <w:rsid w:val="591209B2"/>
    <w:rsid w:val="59644A3A"/>
    <w:rsid w:val="598D29D8"/>
    <w:rsid w:val="59927F28"/>
    <w:rsid w:val="59BB12F3"/>
    <w:rsid w:val="59C52172"/>
    <w:rsid w:val="59DC08E3"/>
    <w:rsid w:val="59E96926"/>
    <w:rsid w:val="5A167699"/>
    <w:rsid w:val="5A1B4DB3"/>
    <w:rsid w:val="5A40563A"/>
    <w:rsid w:val="5A5D2FC6"/>
    <w:rsid w:val="5A695B00"/>
    <w:rsid w:val="5A870A5E"/>
    <w:rsid w:val="5AA31C50"/>
    <w:rsid w:val="5AEB3B39"/>
    <w:rsid w:val="5AFBB39F"/>
    <w:rsid w:val="5B3300A3"/>
    <w:rsid w:val="5B655388"/>
    <w:rsid w:val="5B93203D"/>
    <w:rsid w:val="5BAB947F"/>
    <w:rsid w:val="5BBF4F13"/>
    <w:rsid w:val="5BD3A87E"/>
    <w:rsid w:val="5BE56BAA"/>
    <w:rsid w:val="5BFA4553"/>
    <w:rsid w:val="5C04539A"/>
    <w:rsid w:val="5C0C10D0"/>
    <w:rsid w:val="5C6C2EAC"/>
    <w:rsid w:val="5C974187"/>
    <w:rsid w:val="5C994992"/>
    <w:rsid w:val="5CC30C5B"/>
    <w:rsid w:val="5CD76E43"/>
    <w:rsid w:val="5D017965"/>
    <w:rsid w:val="5D0D3F39"/>
    <w:rsid w:val="5D2933BE"/>
    <w:rsid w:val="5D7F3ED8"/>
    <w:rsid w:val="5D7F7390"/>
    <w:rsid w:val="5DBFA747"/>
    <w:rsid w:val="5DFE37CC"/>
    <w:rsid w:val="5E131D9C"/>
    <w:rsid w:val="5E1C7DE3"/>
    <w:rsid w:val="5E1D6378"/>
    <w:rsid w:val="5E362DA1"/>
    <w:rsid w:val="5E5C62FE"/>
    <w:rsid w:val="5E5FDDB0"/>
    <w:rsid w:val="5E791C40"/>
    <w:rsid w:val="5E7F0716"/>
    <w:rsid w:val="5EA52572"/>
    <w:rsid w:val="5EC04C39"/>
    <w:rsid w:val="5EC92704"/>
    <w:rsid w:val="5ED75BF1"/>
    <w:rsid w:val="5F3FB621"/>
    <w:rsid w:val="5F4C55A7"/>
    <w:rsid w:val="5F4F92F2"/>
    <w:rsid w:val="5F5B1589"/>
    <w:rsid w:val="5F5E0F4F"/>
    <w:rsid w:val="5F6B5569"/>
    <w:rsid w:val="5F77BF38"/>
    <w:rsid w:val="5F830EB2"/>
    <w:rsid w:val="5F90573E"/>
    <w:rsid w:val="5F927A48"/>
    <w:rsid w:val="5FC44C79"/>
    <w:rsid w:val="5FDF4CC3"/>
    <w:rsid w:val="5FF1B8B8"/>
    <w:rsid w:val="5FF321A8"/>
    <w:rsid w:val="5FF64FAC"/>
    <w:rsid w:val="5FFCEF1B"/>
    <w:rsid w:val="601205F3"/>
    <w:rsid w:val="602738FC"/>
    <w:rsid w:val="602C2F4B"/>
    <w:rsid w:val="604F276E"/>
    <w:rsid w:val="605F2B43"/>
    <w:rsid w:val="606C2B70"/>
    <w:rsid w:val="607D54CF"/>
    <w:rsid w:val="60AA20C1"/>
    <w:rsid w:val="60AC2BDE"/>
    <w:rsid w:val="60AC408B"/>
    <w:rsid w:val="60BD5F46"/>
    <w:rsid w:val="60D3492A"/>
    <w:rsid w:val="612D2E3D"/>
    <w:rsid w:val="61502578"/>
    <w:rsid w:val="61587F5F"/>
    <w:rsid w:val="61604C1E"/>
    <w:rsid w:val="616109D2"/>
    <w:rsid w:val="6170330B"/>
    <w:rsid w:val="6183150C"/>
    <w:rsid w:val="61BC2938"/>
    <w:rsid w:val="61F20BFA"/>
    <w:rsid w:val="621F0F53"/>
    <w:rsid w:val="62436329"/>
    <w:rsid w:val="62514006"/>
    <w:rsid w:val="62525C5A"/>
    <w:rsid w:val="629E05AD"/>
    <w:rsid w:val="62AB5051"/>
    <w:rsid w:val="62D80B9A"/>
    <w:rsid w:val="62EF0425"/>
    <w:rsid w:val="62F7012E"/>
    <w:rsid w:val="632F7FD4"/>
    <w:rsid w:val="633339D6"/>
    <w:rsid w:val="635307EE"/>
    <w:rsid w:val="636D547C"/>
    <w:rsid w:val="637B774E"/>
    <w:rsid w:val="63861816"/>
    <w:rsid w:val="638B22F2"/>
    <w:rsid w:val="63C5095D"/>
    <w:rsid w:val="63F14158"/>
    <w:rsid w:val="6486709D"/>
    <w:rsid w:val="64992B79"/>
    <w:rsid w:val="64B911FE"/>
    <w:rsid w:val="64EB52CA"/>
    <w:rsid w:val="65897B2B"/>
    <w:rsid w:val="65A73073"/>
    <w:rsid w:val="65AB4220"/>
    <w:rsid w:val="65D26D3E"/>
    <w:rsid w:val="65E46075"/>
    <w:rsid w:val="66185900"/>
    <w:rsid w:val="66285F62"/>
    <w:rsid w:val="662E7672"/>
    <w:rsid w:val="66352C13"/>
    <w:rsid w:val="664045D4"/>
    <w:rsid w:val="6648044C"/>
    <w:rsid w:val="6660618E"/>
    <w:rsid w:val="6675638B"/>
    <w:rsid w:val="66873AE7"/>
    <w:rsid w:val="66877CDA"/>
    <w:rsid w:val="669F5E33"/>
    <w:rsid w:val="66D936C4"/>
    <w:rsid w:val="66FB10EF"/>
    <w:rsid w:val="671F1BE5"/>
    <w:rsid w:val="67256946"/>
    <w:rsid w:val="672A7AB8"/>
    <w:rsid w:val="674851C4"/>
    <w:rsid w:val="67654512"/>
    <w:rsid w:val="676E209B"/>
    <w:rsid w:val="67C00933"/>
    <w:rsid w:val="67F7B096"/>
    <w:rsid w:val="67FA7AD8"/>
    <w:rsid w:val="67FB863B"/>
    <w:rsid w:val="68150152"/>
    <w:rsid w:val="681D29C9"/>
    <w:rsid w:val="684D1CB0"/>
    <w:rsid w:val="68531B15"/>
    <w:rsid w:val="6874345A"/>
    <w:rsid w:val="68910DAF"/>
    <w:rsid w:val="689549F6"/>
    <w:rsid w:val="68C13E28"/>
    <w:rsid w:val="68FA5C6F"/>
    <w:rsid w:val="69140A20"/>
    <w:rsid w:val="691B0000"/>
    <w:rsid w:val="691D5429"/>
    <w:rsid w:val="693134C4"/>
    <w:rsid w:val="693764BC"/>
    <w:rsid w:val="694826A4"/>
    <w:rsid w:val="69511A3E"/>
    <w:rsid w:val="69761F41"/>
    <w:rsid w:val="69763B96"/>
    <w:rsid w:val="697E3E6E"/>
    <w:rsid w:val="69A67BA4"/>
    <w:rsid w:val="69C02956"/>
    <w:rsid w:val="69C61284"/>
    <w:rsid w:val="69C67397"/>
    <w:rsid w:val="69C76052"/>
    <w:rsid w:val="69CB5582"/>
    <w:rsid w:val="69ED5B0B"/>
    <w:rsid w:val="69FC9584"/>
    <w:rsid w:val="6A0675A3"/>
    <w:rsid w:val="6A131580"/>
    <w:rsid w:val="6A1518A4"/>
    <w:rsid w:val="6A2A6EB0"/>
    <w:rsid w:val="6A3E36A8"/>
    <w:rsid w:val="6A6B512C"/>
    <w:rsid w:val="6A94006A"/>
    <w:rsid w:val="6A962C03"/>
    <w:rsid w:val="6A9811DC"/>
    <w:rsid w:val="6A9E7EDB"/>
    <w:rsid w:val="6ABA0007"/>
    <w:rsid w:val="6ABF49BB"/>
    <w:rsid w:val="6AC92E2F"/>
    <w:rsid w:val="6ACE43D9"/>
    <w:rsid w:val="6AD87C8C"/>
    <w:rsid w:val="6ADD2837"/>
    <w:rsid w:val="6ADE958E"/>
    <w:rsid w:val="6B044814"/>
    <w:rsid w:val="6B2B4D5B"/>
    <w:rsid w:val="6B9D2F71"/>
    <w:rsid w:val="6BB572F3"/>
    <w:rsid w:val="6BD95492"/>
    <w:rsid w:val="6C010A69"/>
    <w:rsid w:val="6C0A444D"/>
    <w:rsid w:val="6CE34991"/>
    <w:rsid w:val="6CFF25D0"/>
    <w:rsid w:val="6D1B05CF"/>
    <w:rsid w:val="6D3E71D7"/>
    <w:rsid w:val="6D4D179A"/>
    <w:rsid w:val="6D855A48"/>
    <w:rsid w:val="6D9D5488"/>
    <w:rsid w:val="6DEE71E8"/>
    <w:rsid w:val="6DF65EF8"/>
    <w:rsid w:val="6DFEC888"/>
    <w:rsid w:val="6E3851B0"/>
    <w:rsid w:val="6E5A3053"/>
    <w:rsid w:val="6E7837FF"/>
    <w:rsid w:val="6E9D3429"/>
    <w:rsid w:val="6EBE59ED"/>
    <w:rsid w:val="6ED924EF"/>
    <w:rsid w:val="6EDB7231"/>
    <w:rsid w:val="6F0357BE"/>
    <w:rsid w:val="6F0F4163"/>
    <w:rsid w:val="6F253944"/>
    <w:rsid w:val="6F2658B0"/>
    <w:rsid w:val="6F527BE2"/>
    <w:rsid w:val="6F7D6439"/>
    <w:rsid w:val="6F91760E"/>
    <w:rsid w:val="6F9B7D62"/>
    <w:rsid w:val="6FAC3799"/>
    <w:rsid w:val="6FBA63CB"/>
    <w:rsid w:val="6FC142A4"/>
    <w:rsid w:val="6FC51330"/>
    <w:rsid w:val="6FCEB006"/>
    <w:rsid w:val="6FF67D01"/>
    <w:rsid w:val="6FF77172"/>
    <w:rsid w:val="6FF781EF"/>
    <w:rsid w:val="6FFEDCD8"/>
    <w:rsid w:val="7005776A"/>
    <w:rsid w:val="701D6F1F"/>
    <w:rsid w:val="7027728A"/>
    <w:rsid w:val="7086591A"/>
    <w:rsid w:val="709E0E70"/>
    <w:rsid w:val="70D26412"/>
    <w:rsid w:val="70E208E6"/>
    <w:rsid w:val="70E231B1"/>
    <w:rsid w:val="711A254A"/>
    <w:rsid w:val="713D23C0"/>
    <w:rsid w:val="71500A63"/>
    <w:rsid w:val="71506E3D"/>
    <w:rsid w:val="7188160E"/>
    <w:rsid w:val="71A02333"/>
    <w:rsid w:val="71A55281"/>
    <w:rsid w:val="71D75408"/>
    <w:rsid w:val="71E2713D"/>
    <w:rsid w:val="71F429EE"/>
    <w:rsid w:val="72031631"/>
    <w:rsid w:val="723D2E50"/>
    <w:rsid w:val="725400DF"/>
    <w:rsid w:val="727A1783"/>
    <w:rsid w:val="72867055"/>
    <w:rsid w:val="72BF37AA"/>
    <w:rsid w:val="72E639F4"/>
    <w:rsid w:val="72ED38E1"/>
    <w:rsid w:val="72F37B89"/>
    <w:rsid w:val="72FA2A34"/>
    <w:rsid w:val="72FD15E6"/>
    <w:rsid w:val="73012015"/>
    <w:rsid w:val="733D0B73"/>
    <w:rsid w:val="735F72D9"/>
    <w:rsid w:val="73781BAB"/>
    <w:rsid w:val="73B07C85"/>
    <w:rsid w:val="73B3520F"/>
    <w:rsid w:val="73FF5902"/>
    <w:rsid w:val="741A0AAF"/>
    <w:rsid w:val="74697267"/>
    <w:rsid w:val="746E12FE"/>
    <w:rsid w:val="7473350A"/>
    <w:rsid w:val="74736F42"/>
    <w:rsid w:val="7487654A"/>
    <w:rsid w:val="74986393"/>
    <w:rsid w:val="74A561AC"/>
    <w:rsid w:val="74B07EB4"/>
    <w:rsid w:val="74B80DF9"/>
    <w:rsid w:val="74BF5CE3"/>
    <w:rsid w:val="74C07CAE"/>
    <w:rsid w:val="74C93C49"/>
    <w:rsid w:val="74FA6D1C"/>
    <w:rsid w:val="7509045C"/>
    <w:rsid w:val="750C41FF"/>
    <w:rsid w:val="758A336E"/>
    <w:rsid w:val="75A228F3"/>
    <w:rsid w:val="75B16448"/>
    <w:rsid w:val="75BA487A"/>
    <w:rsid w:val="75CA2AB6"/>
    <w:rsid w:val="75D21316"/>
    <w:rsid w:val="75E168B7"/>
    <w:rsid w:val="75E538F2"/>
    <w:rsid w:val="75ED062E"/>
    <w:rsid w:val="75FE45EA"/>
    <w:rsid w:val="76577E25"/>
    <w:rsid w:val="7677B433"/>
    <w:rsid w:val="767DA199"/>
    <w:rsid w:val="768F34E2"/>
    <w:rsid w:val="76AA3EEA"/>
    <w:rsid w:val="76DA32A9"/>
    <w:rsid w:val="76DBEA81"/>
    <w:rsid w:val="76FB544D"/>
    <w:rsid w:val="770B16B4"/>
    <w:rsid w:val="770DA1DD"/>
    <w:rsid w:val="772067E2"/>
    <w:rsid w:val="772D6303"/>
    <w:rsid w:val="7733608A"/>
    <w:rsid w:val="773D3837"/>
    <w:rsid w:val="773F04C4"/>
    <w:rsid w:val="776F42E7"/>
    <w:rsid w:val="778E6C24"/>
    <w:rsid w:val="77A15B74"/>
    <w:rsid w:val="77EB0D46"/>
    <w:rsid w:val="77F162D0"/>
    <w:rsid w:val="77FB51D3"/>
    <w:rsid w:val="77FC62BC"/>
    <w:rsid w:val="782C50FB"/>
    <w:rsid w:val="7883116B"/>
    <w:rsid w:val="789A51C2"/>
    <w:rsid w:val="789B6A68"/>
    <w:rsid w:val="789F19E5"/>
    <w:rsid w:val="78A92F3B"/>
    <w:rsid w:val="78B46688"/>
    <w:rsid w:val="78BC09F5"/>
    <w:rsid w:val="78BE8143"/>
    <w:rsid w:val="78C15556"/>
    <w:rsid w:val="79174450"/>
    <w:rsid w:val="791855D1"/>
    <w:rsid w:val="792D5BB0"/>
    <w:rsid w:val="79546459"/>
    <w:rsid w:val="79592E1C"/>
    <w:rsid w:val="79770913"/>
    <w:rsid w:val="798A3DB3"/>
    <w:rsid w:val="79A76D6D"/>
    <w:rsid w:val="79BA19DB"/>
    <w:rsid w:val="79BC4EE7"/>
    <w:rsid w:val="79E4316F"/>
    <w:rsid w:val="79EB5317"/>
    <w:rsid w:val="7A13262E"/>
    <w:rsid w:val="7A286FF9"/>
    <w:rsid w:val="7A667758"/>
    <w:rsid w:val="7A6F4A7A"/>
    <w:rsid w:val="7A725897"/>
    <w:rsid w:val="7A730B94"/>
    <w:rsid w:val="7AAE5B95"/>
    <w:rsid w:val="7AC07CD8"/>
    <w:rsid w:val="7AF9101A"/>
    <w:rsid w:val="7B3311D9"/>
    <w:rsid w:val="7B3A4A2B"/>
    <w:rsid w:val="7B4F6158"/>
    <w:rsid w:val="7B560A24"/>
    <w:rsid w:val="7B5A49B8"/>
    <w:rsid w:val="7B63089B"/>
    <w:rsid w:val="7B6C6499"/>
    <w:rsid w:val="7B836E59"/>
    <w:rsid w:val="7BAC2D3A"/>
    <w:rsid w:val="7BAF222A"/>
    <w:rsid w:val="7BBA69FD"/>
    <w:rsid w:val="7BC15D10"/>
    <w:rsid w:val="7BF90886"/>
    <w:rsid w:val="7C445936"/>
    <w:rsid w:val="7C4D1E27"/>
    <w:rsid w:val="7C643219"/>
    <w:rsid w:val="7C7F494C"/>
    <w:rsid w:val="7C8F76D3"/>
    <w:rsid w:val="7CC92281"/>
    <w:rsid w:val="7CCB71F0"/>
    <w:rsid w:val="7CED166A"/>
    <w:rsid w:val="7CF8296D"/>
    <w:rsid w:val="7D166862"/>
    <w:rsid w:val="7D2A6155"/>
    <w:rsid w:val="7D2D6387"/>
    <w:rsid w:val="7D47F157"/>
    <w:rsid w:val="7D8B7494"/>
    <w:rsid w:val="7D937254"/>
    <w:rsid w:val="7D9C7649"/>
    <w:rsid w:val="7D9F4904"/>
    <w:rsid w:val="7DA368AE"/>
    <w:rsid w:val="7DDD1916"/>
    <w:rsid w:val="7DDF0A2F"/>
    <w:rsid w:val="7DF759C8"/>
    <w:rsid w:val="7DFA3FD5"/>
    <w:rsid w:val="7DFFCEDD"/>
    <w:rsid w:val="7E030D35"/>
    <w:rsid w:val="7E182DFA"/>
    <w:rsid w:val="7E4D72C9"/>
    <w:rsid w:val="7E560BB9"/>
    <w:rsid w:val="7E61605D"/>
    <w:rsid w:val="7E778D86"/>
    <w:rsid w:val="7E881F09"/>
    <w:rsid w:val="7EA66ED8"/>
    <w:rsid w:val="7EBAC386"/>
    <w:rsid w:val="7EE9514D"/>
    <w:rsid w:val="7EEEE83F"/>
    <w:rsid w:val="7EF70770"/>
    <w:rsid w:val="7EF75CF2"/>
    <w:rsid w:val="7EFF1FF0"/>
    <w:rsid w:val="7EFF6A6A"/>
    <w:rsid w:val="7F2F0C8C"/>
    <w:rsid w:val="7F37B89D"/>
    <w:rsid w:val="7F395B31"/>
    <w:rsid w:val="7F414376"/>
    <w:rsid w:val="7F4867B6"/>
    <w:rsid w:val="7F573819"/>
    <w:rsid w:val="7F5821A1"/>
    <w:rsid w:val="7F5A2F8A"/>
    <w:rsid w:val="7F6F0306"/>
    <w:rsid w:val="7F6F5DEE"/>
    <w:rsid w:val="7F794234"/>
    <w:rsid w:val="7F79A2C6"/>
    <w:rsid w:val="7F7F575F"/>
    <w:rsid w:val="7F8BD2BB"/>
    <w:rsid w:val="7FA77277"/>
    <w:rsid w:val="7FAD3B3E"/>
    <w:rsid w:val="7FBA7420"/>
    <w:rsid w:val="7FBE5171"/>
    <w:rsid w:val="7FBFFFD8"/>
    <w:rsid w:val="7FDB7C59"/>
    <w:rsid w:val="7FDFCB86"/>
    <w:rsid w:val="7FDFFF9C"/>
    <w:rsid w:val="7FE17456"/>
    <w:rsid w:val="7FE81850"/>
    <w:rsid w:val="7FF35EE4"/>
    <w:rsid w:val="7FF54AFB"/>
    <w:rsid w:val="7FFE29BE"/>
    <w:rsid w:val="7FFF266D"/>
    <w:rsid w:val="7FFF6C25"/>
    <w:rsid w:val="86E7A35C"/>
    <w:rsid w:val="93FFD778"/>
    <w:rsid w:val="975F589A"/>
    <w:rsid w:val="9D7D4C71"/>
    <w:rsid w:val="9DFFEFB5"/>
    <w:rsid w:val="9F7F032F"/>
    <w:rsid w:val="AB762A95"/>
    <w:rsid w:val="ACC76BDF"/>
    <w:rsid w:val="AD62DA46"/>
    <w:rsid w:val="AFB33FC2"/>
    <w:rsid w:val="AFF1E7DE"/>
    <w:rsid w:val="B4D3816E"/>
    <w:rsid w:val="B9FF6F9D"/>
    <w:rsid w:val="BB3DD9AB"/>
    <w:rsid w:val="BBFF3917"/>
    <w:rsid w:val="BCFFFC63"/>
    <w:rsid w:val="BD7DEE9D"/>
    <w:rsid w:val="BDFF7AAE"/>
    <w:rsid w:val="BF5FB8FE"/>
    <w:rsid w:val="BFC6AC94"/>
    <w:rsid w:val="BFED6168"/>
    <w:rsid w:val="C569FADA"/>
    <w:rsid w:val="CBDE27B7"/>
    <w:rsid w:val="CD9F3621"/>
    <w:rsid w:val="CF9F2999"/>
    <w:rsid w:val="CFBFC3A1"/>
    <w:rsid w:val="CFF998F5"/>
    <w:rsid w:val="D01E1E28"/>
    <w:rsid w:val="D3FF5535"/>
    <w:rsid w:val="D42CF24B"/>
    <w:rsid w:val="D5FF65FE"/>
    <w:rsid w:val="D7F8C555"/>
    <w:rsid w:val="D9B8097B"/>
    <w:rsid w:val="D9F91096"/>
    <w:rsid w:val="DBBF4040"/>
    <w:rsid w:val="DD3D9127"/>
    <w:rsid w:val="DD57E7CE"/>
    <w:rsid w:val="DD654030"/>
    <w:rsid w:val="DDDD5BF6"/>
    <w:rsid w:val="DF39BCDA"/>
    <w:rsid w:val="DFBD712D"/>
    <w:rsid w:val="DFD74C1C"/>
    <w:rsid w:val="DFDAE3CF"/>
    <w:rsid w:val="DFFD1ED2"/>
    <w:rsid w:val="E3DEE08F"/>
    <w:rsid w:val="E5EF1D8F"/>
    <w:rsid w:val="E76F1870"/>
    <w:rsid w:val="E7FF2C0D"/>
    <w:rsid w:val="EBF74B1F"/>
    <w:rsid w:val="EDF7714B"/>
    <w:rsid w:val="EEEE6B5C"/>
    <w:rsid w:val="EEFB6B26"/>
    <w:rsid w:val="EEFFB669"/>
    <w:rsid w:val="EF3A8780"/>
    <w:rsid w:val="EF9E4CF3"/>
    <w:rsid w:val="EFEEC415"/>
    <w:rsid w:val="EFFAA7B7"/>
    <w:rsid w:val="EFFCB58F"/>
    <w:rsid w:val="EFFE5714"/>
    <w:rsid w:val="EFFF68FD"/>
    <w:rsid w:val="EFFFD714"/>
    <w:rsid w:val="F1ADF032"/>
    <w:rsid w:val="F1CF6FDD"/>
    <w:rsid w:val="F27E1C1F"/>
    <w:rsid w:val="F33F6A1E"/>
    <w:rsid w:val="F36F7AA6"/>
    <w:rsid w:val="F5FB3529"/>
    <w:rsid w:val="F6639C74"/>
    <w:rsid w:val="F6E77BD9"/>
    <w:rsid w:val="F74FE36B"/>
    <w:rsid w:val="F79BFC0F"/>
    <w:rsid w:val="F7BB26DD"/>
    <w:rsid w:val="F8F3865E"/>
    <w:rsid w:val="F9BF7C10"/>
    <w:rsid w:val="FABF5C79"/>
    <w:rsid w:val="FAFF6ECB"/>
    <w:rsid w:val="FB2F53B7"/>
    <w:rsid w:val="FB9C54AB"/>
    <w:rsid w:val="FBF688EB"/>
    <w:rsid w:val="FBFF1C96"/>
    <w:rsid w:val="FC3782F4"/>
    <w:rsid w:val="FCF7C91A"/>
    <w:rsid w:val="FDD9D2F7"/>
    <w:rsid w:val="FDED2C5C"/>
    <w:rsid w:val="FDFF09EE"/>
    <w:rsid w:val="FDFF3B45"/>
    <w:rsid w:val="FDFF47C5"/>
    <w:rsid w:val="FEA75407"/>
    <w:rsid w:val="FEEBCFE8"/>
    <w:rsid w:val="FEEEBC13"/>
    <w:rsid w:val="FEF4177E"/>
    <w:rsid w:val="FEFD73AC"/>
    <w:rsid w:val="FEFF66AD"/>
    <w:rsid w:val="FF555BC8"/>
    <w:rsid w:val="FF6924EA"/>
    <w:rsid w:val="FF9C04F6"/>
    <w:rsid w:val="FFAF2673"/>
    <w:rsid w:val="FFBF36C6"/>
    <w:rsid w:val="FFBF589E"/>
    <w:rsid w:val="FFBF5F5E"/>
    <w:rsid w:val="FFDAC955"/>
    <w:rsid w:val="FFDCE5DA"/>
    <w:rsid w:val="FFDDF5B5"/>
    <w:rsid w:val="FFDFEB17"/>
    <w:rsid w:val="FFE92171"/>
    <w:rsid w:val="FFEF1177"/>
    <w:rsid w:val="FFF700F3"/>
    <w:rsid w:val="FFF78757"/>
    <w:rsid w:val="FFF98F2D"/>
    <w:rsid w:val="FFFB0183"/>
    <w:rsid w:val="FFFD2324"/>
    <w:rsid w:val="FFFD631D"/>
    <w:rsid w:val="FFFF3AE7"/>
    <w:rsid w:val="FFFFA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iPriority="99" w:name="Body Text 2"/>
    <w:lsdException w:qFormat="1" w:uiPriority="99" w:name="Body Text 3"/>
    <w:lsdException w:uiPriority="99" w:name="Body Text Indent 2"/>
    <w:lsdException w:qFormat="1"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70"/>
    <w:autoRedefine/>
    <w:qFormat/>
    <w:uiPriority w:val="0"/>
    <w:pPr>
      <w:keepNext/>
      <w:keepLines/>
      <w:spacing w:line="360" w:lineRule="auto"/>
      <w:jc w:val="center"/>
      <w:outlineLvl w:val="0"/>
    </w:pPr>
    <w:rPr>
      <w:rFonts w:ascii="宋体" w:hAnsi="宋体" w:eastAsia="宋体"/>
      <w:b/>
      <w:bCs/>
      <w:kern w:val="44"/>
      <w:sz w:val="32"/>
      <w:szCs w:val="44"/>
    </w:rPr>
  </w:style>
  <w:style w:type="paragraph" w:styleId="3">
    <w:name w:val="heading 2"/>
    <w:basedOn w:val="1"/>
    <w:next w:val="1"/>
    <w:link w:val="220"/>
    <w:autoRedefine/>
    <w:qFormat/>
    <w:uiPriority w:val="0"/>
    <w:pPr>
      <w:keepNext/>
      <w:keepLines/>
      <w:tabs>
        <w:tab w:val="left" w:pos="840"/>
      </w:tabs>
      <w:spacing w:line="360" w:lineRule="auto"/>
      <w:ind w:left="420" w:hanging="420"/>
      <w:jc w:val="center"/>
      <w:outlineLvl w:val="1"/>
    </w:pPr>
    <w:rPr>
      <w:rFonts w:ascii="Arial" w:hAnsi="Arial" w:eastAsia="宋体" w:cs="Times New Roman"/>
      <w:b/>
      <w:sz w:val="28"/>
      <w:szCs w:val="20"/>
    </w:rPr>
  </w:style>
  <w:style w:type="paragraph" w:styleId="4">
    <w:name w:val="heading 3"/>
    <w:basedOn w:val="1"/>
    <w:next w:val="1"/>
    <w:link w:val="22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13"/>
    <w:autoRedefine/>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07"/>
    <w:autoRedefine/>
    <w:qFormat/>
    <w:uiPriority w:val="0"/>
    <w:pPr>
      <w:ind w:left="420"/>
      <w:outlineLvl w:val="4"/>
    </w:pPr>
    <w:rPr>
      <w:rFonts w:ascii="宋体" w:hAnsi="宋体" w:eastAsia="宋体" w:cs="宋体"/>
      <w:sz w:val="36"/>
      <w:szCs w:val="36"/>
    </w:rPr>
  </w:style>
  <w:style w:type="paragraph" w:styleId="7">
    <w:name w:val="heading 6"/>
    <w:basedOn w:val="1"/>
    <w:next w:val="1"/>
    <w:link w:val="223"/>
    <w:autoRedefine/>
    <w:qFormat/>
    <w:uiPriority w:val="0"/>
    <w:pPr>
      <w:keepNext/>
      <w:keepLines/>
      <w:spacing w:before="240" w:beforeLines="0" w:after="64" w:afterLines="0" w:line="317" w:lineRule="auto"/>
      <w:jc w:val="both"/>
      <w:outlineLvl w:val="5"/>
    </w:pPr>
    <w:rPr>
      <w:rFonts w:ascii="Cambria" w:hAnsi="Cambria" w:eastAsia="宋体" w:cs="Times New Roman"/>
      <w:b/>
      <w:bCs/>
      <w:sz w:val="24"/>
      <w:szCs w:val="24"/>
    </w:rPr>
  </w:style>
  <w:style w:type="paragraph" w:styleId="8">
    <w:name w:val="heading 7"/>
    <w:basedOn w:val="1"/>
    <w:next w:val="1"/>
    <w:link w:val="191"/>
    <w:autoRedefine/>
    <w:qFormat/>
    <w:uiPriority w:val="0"/>
    <w:pPr>
      <w:keepNext/>
      <w:keepLines/>
      <w:spacing w:before="240" w:beforeLines="0" w:after="64" w:afterLines="0" w:line="317" w:lineRule="auto"/>
      <w:jc w:val="both"/>
      <w:outlineLvl w:val="6"/>
    </w:pPr>
    <w:rPr>
      <w:rFonts w:ascii="Calibri" w:hAnsi="Calibri" w:eastAsia="宋体" w:cs="Times New Roman"/>
      <w:b/>
      <w:bCs/>
      <w:sz w:val="24"/>
      <w:szCs w:val="24"/>
    </w:rPr>
  </w:style>
  <w:style w:type="paragraph" w:styleId="9">
    <w:name w:val="heading 8"/>
    <w:basedOn w:val="1"/>
    <w:next w:val="1"/>
    <w:link w:val="211"/>
    <w:autoRedefine/>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19"/>
    <w:autoRedefine/>
    <w:qFormat/>
    <w:uiPriority w:val="0"/>
    <w:pPr>
      <w:keepNext/>
      <w:keepLines/>
      <w:spacing w:before="240" w:beforeLines="0" w:after="64" w:afterLines="0" w:line="317" w:lineRule="auto"/>
      <w:jc w:val="both"/>
      <w:outlineLvl w:val="8"/>
    </w:pPr>
    <w:rPr>
      <w:rFonts w:ascii="Cambria" w:hAnsi="Cambria" w:eastAsia="宋体" w:cs="Times New Roman"/>
      <w:szCs w:val="21"/>
    </w:rPr>
  </w:style>
  <w:style w:type="character" w:default="1" w:styleId="48">
    <w:name w:val="Default Paragraph Font"/>
    <w:autoRedefine/>
    <w:qFormat/>
    <w:uiPriority w:val="0"/>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line="240" w:lineRule="auto"/>
      <w:ind w:left="2520" w:leftChars="1200"/>
      <w:jc w:val="both"/>
    </w:pPr>
    <w:rPr>
      <w:rFonts w:ascii="Calibri" w:hAnsi="Calibri" w:eastAsia="宋体" w:cs="Times New Roman"/>
    </w:rPr>
  </w:style>
  <w:style w:type="paragraph" w:styleId="12">
    <w:name w:val="Normal Indent"/>
    <w:basedOn w:val="1"/>
    <w:next w:val="13"/>
    <w:link w:val="71"/>
    <w:autoRedefine/>
    <w:qFormat/>
    <w:uiPriority w:val="0"/>
    <w:pPr>
      <w:ind w:firstLine="420" w:firstLineChars="200"/>
    </w:pPr>
  </w:style>
  <w:style w:type="paragraph" w:styleId="13">
    <w:name w:val="Body Text 2"/>
    <w:basedOn w:val="1"/>
    <w:autoRedefine/>
    <w:semiHidden/>
    <w:unhideWhenUsed/>
    <w:qFormat/>
    <w:uiPriority w:val="99"/>
    <w:pPr>
      <w:widowControl/>
      <w:overflowPunct w:val="0"/>
      <w:autoSpaceDE w:val="0"/>
      <w:autoSpaceDN w:val="0"/>
      <w:adjustRightInd w:val="0"/>
      <w:jc w:val="left"/>
      <w:textAlignment w:val="baseline"/>
    </w:pPr>
  </w:style>
  <w:style w:type="paragraph" w:styleId="14">
    <w:name w:val="caption"/>
    <w:basedOn w:val="1"/>
    <w:next w:val="1"/>
    <w:autoRedefine/>
    <w:qFormat/>
    <w:uiPriority w:val="0"/>
    <w:pPr>
      <w:spacing w:line="240" w:lineRule="auto"/>
      <w:jc w:val="both"/>
    </w:pPr>
    <w:rPr>
      <w:rFonts w:ascii="Cambria" w:hAnsi="Cambria" w:eastAsia="黑体" w:cs="Times New Roman"/>
      <w:sz w:val="20"/>
      <w:szCs w:val="20"/>
    </w:rPr>
  </w:style>
  <w:style w:type="paragraph" w:styleId="15">
    <w:name w:val="Document Map"/>
    <w:basedOn w:val="1"/>
    <w:link w:val="204"/>
    <w:autoRedefine/>
    <w:qFormat/>
    <w:uiPriority w:val="0"/>
    <w:pPr>
      <w:shd w:val="clear" w:color="auto" w:fill="000080"/>
      <w:spacing w:line="240" w:lineRule="auto"/>
      <w:jc w:val="both"/>
    </w:pPr>
    <w:rPr>
      <w:rFonts w:ascii="Times New Roman" w:hAnsi="Times New Roman" w:eastAsia="宋体" w:cs="Times New Roman"/>
      <w:kern w:val="0"/>
      <w:sz w:val="20"/>
      <w:szCs w:val="24"/>
      <w:shd w:val="clear" w:color="auto" w:fill="000080"/>
    </w:rPr>
  </w:style>
  <w:style w:type="paragraph" w:styleId="16">
    <w:name w:val="annotation text"/>
    <w:basedOn w:val="1"/>
    <w:link w:val="91"/>
    <w:autoRedefine/>
    <w:qFormat/>
    <w:uiPriority w:val="0"/>
    <w:pPr>
      <w:jc w:val="left"/>
    </w:pPr>
    <w:rPr>
      <w:szCs w:val="24"/>
    </w:rPr>
  </w:style>
  <w:style w:type="paragraph" w:styleId="17">
    <w:name w:val="Body Text 3"/>
    <w:basedOn w:val="1"/>
    <w:link w:val="77"/>
    <w:autoRedefine/>
    <w:semiHidden/>
    <w:unhideWhenUsed/>
    <w:qFormat/>
    <w:uiPriority w:val="99"/>
    <w:pPr>
      <w:spacing w:after="120"/>
    </w:pPr>
    <w:rPr>
      <w:sz w:val="16"/>
      <w:szCs w:val="16"/>
    </w:rPr>
  </w:style>
  <w:style w:type="paragraph" w:styleId="18">
    <w:name w:val="Body Text"/>
    <w:basedOn w:val="1"/>
    <w:link w:val="209"/>
    <w:autoRedefine/>
    <w:qFormat/>
    <w:uiPriority w:val="0"/>
    <w:pPr>
      <w:adjustRightInd w:val="0"/>
      <w:jc w:val="left"/>
      <w:textAlignment w:val="baseline"/>
    </w:pPr>
    <w:rPr>
      <w:rFonts w:ascii="楷体_GB2312" w:hAnsi="Times New Roman" w:eastAsia="楷体_GB2312" w:cs="Times New Roman"/>
      <w:kern w:val="0"/>
      <w:sz w:val="28"/>
      <w:szCs w:val="20"/>
    </w:rPr>
  </w:style>
  <w:style w:type="paragraph" w:styleId="19">
    <w:name w:val="Body Text Indent"/>
    <w:basedOn w:val="1"/>
    <w:link w:val="79"/>
    <w:autoRedefine/>
    <w:semiHidden/>
    <w:unhideWhenUsed/>
    <w:qFormat/>
    <w:uiPriority w:val="99"/>
    <w:pPr>
      <w:spacing w:after="120"/>
      <w:ind w:left="420" w:leftChars="200"/>
    </w:pPr>
  </w:style>
  <w:style w:type="paragraph" w:styleId="20">
    <w:name w:val="List 2"/>
    <w:basedOn w:val="1"/>
    <w:autoRedefine/>
    <w:semiHidden/>
    <w:unhideWhenUsed/>
    <w:qFormat/>
    <w:uiPriority w:val="99"/>
    <w:pPr>
      <w:ind w:left="100" w:leftChars="200" w:hanging="200" w:hangingChars="200"/>
    </w:pPr>
  </w:style>
  <w:style w:type="paragraph" w:styleId="21">
    <w:name w:val="index 4"/>
    <w:basedOn w:val="1"/>
    <w:next w:val="1"/>
    <w:autoRedefine/>
    <w:qFormat/>
    <w:uiPriority w:val="0"/>
    <w:pPr>
      <w:spacing w:line="240" w:lineRule="auto"/>
      <w:ind w:left="600" w:leftChars="600"/>
      <w:jc w:val="both"/>
    </w:pPr>
    <w:rPr>
      <w:rFonts w:ascii="Times New Roman" w:hAnsi="Times New Roman" w:eastAsia="宋体" w:cs="Times New Roman"/>
      <w:szCs w:val="24"/>
    </w:rPr>
  </w:style>
  <w:style w:type="paragraph" w:styleId="22">
    <w:name w:val="toc 5"/>
    <w:basedOn w:val="1"/>
    <w:next w:val="1"/>
    <w:autoRedefine/>
    <w:qFormat/>
    <w:uiPriority w:val="0"/>
    <w:pPr>
      <w:tabs>
        <w:tab w:val="right" w:leader="dot" w:pos="8296"/>
      </w:tabs>
      <w:spacing w:line="240" w:lineRule="auto"/>
      <w:ind w:left="1050" w:leftChars="500"/>
      <w:jc w:val="both"/>
    </w:pPr>
    <w:rPr>
      <w:rFonts w:ascii="Calibri" w:hAnsi="Calibri" w:eastAsia="宋体" w:cs="Times New Roman"/>
    </w:rPr>
  </w:style>
  <w:style w:type="paragraph" w:styleId="23">
    <w:name w:val="toc 3"/>
    <w:basedOn w:val="1"/>
    <w:next w:val="1"/>
    <w:autoRedefine/>
    <w:qFormat/>
    <w:uiPriority w:val="0"/>
    <w:pPr>
      <w:widowControl/>
      <w:spacing w:after="100" w:line="276" w:lineRule="auto"/>
      <w:ind w:left="440"/>
      <w:jc w:val="left"/>
    </w:pPr>
    <w:rPr>
      <w:kern w:val="0"/>
      <w:sz w:val="22"/>
    </w:rPr>
  </w:style>
  <w:style w:type="paragraph" w:styleId="24">
    <w:name w:val="Plain Text"/>
    <w:basedOn w:val="1"/>
    <w:link w:val="80"/>
    <w:autoRedefine/>
    <w:semiHidden/>
    <w:unhideWhenUsed/>
    <w:qFormat/>
    <w:uiPriority w:val="99"/>
    <w:rPr>
      <w:rFonts w:ascii="宋体" w:hAnsi="Courier New"/>
    </w:rPr>
  </w:style>
  <w:style w:type="paragraph" w:styleId="25">
    <w:name w:val="toc 8"/>
    <w:basedOn w:val="1"/>
    <w:next w:val="1"/>
    <w:autoRedefine/>
    <w:qFormat/>
    <w:uiPriority w:val="0"/>
    <w:pPr>
      <w:spacing w:line="240" w:lineRule="auto"/>
      <w:ind w:left="2940" w:leftChars="1400"/>
      <w:jc w:val="both"/>
    </w:pPr>
    <w:rPr>
      <w:rFonts w:ascii="Calibri" w:hAnsi="Calibri" w:eastAsia="宋体" w:cs="Times New Roman"/>
    </w:rPr>
  </w:style>
  <w:style w:type="paragraph" w:styleId="26">
    <w:name w:val="Date"/>
    <w:basedOn w:val="1"/>
    <w:next w:val="1"/>
    <w:link w:val="199"/>
    <w:autoRedefine/>
    <w:qFormat/>
    <w:uiPriority w:val="0"/>
    <w:pPr>
      <w:ind w:left="100" w:leftChars="2500"/>
    </w:pPr>
  </w:style>
  <w:style w:type="paragraph" w:styleId="27">
    <w:name w:val="Balloon Text"/>
    <w:basedOn w:val="1"/>
    <w:link w:val="210"/>
    <w:autoRedefine/>
    <w:qFormat/>
    <w:uiPriority w:val="0"/>
    <w:rPr>
      <w:sz w:val="18"/>
      <w:szCs w:val="18"/>
    </w:rPr>
  </w:style>
  <w:style w:type="paragraph" w:styleId="28">
    <w:name w:val="footer"/>
    <w:basedOn w:val="1"/>
    <w:link w:val="225"/>
    <w:autoRedefine/>
    <w:qFormat/>
    <w:uiPriority w:val="0"/>
    <w:pPr>
      <w:tabs>
        <w:tab w:val="center" w:pos="4153"/>
        <w:tab w:val="right" w:pos="8306"/>
      </w:tabs>
      <w:snapToGrid w:val="0"/>
      <w:jc w:val="left"/>
    </w:pPr>
    <w:rPr>
      <w:sz w:val="18"/>
      <w:szCs w:val="18"/>
    </w:rPr>
  </w:style>
  <w:style w:type="paragraph" w:styleId="29">
    <w:name w:val="envelope return"/>
    <w:basedOn w:val="1"/>
    <w:autoRedefine/>
    <w:semiHidden/>
    <w:unhideWhenUsed/>
    <w:qFormat/>
    <w:uiPriority w:val="99"/>
    <w:pPr>
      <w:snapToGrid w:val="0"/>
    </w:pPr>
    <w:rPr>
      <w:rFonts w:ascii="Arial" w:hAnsi="Arial"/>
    </w:rPr>
  </w:style>
  <w:style w:type="paragraph" w:styleId="30">
    <w:name w:val="header"/>
    <w:basedOn w:val="1"/>
    <w:link w:val="202"/>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widowControl/>
      <w:spacing w:after="100" w:line="276" w:lineRule="auto"/>
      <w:jc w:val="left"/>
    </w:pPr>
    <w:rPr>
      <w:kern w:val="0"/>
      <w:sz w:val="22"/>
    </w:rPr>
  </w:style>
  <w:style w:type="paragraph" w:styleId="32">
    <w:name w:val="toc 4"/>
    <w:basedOn w:val="1"/>
    <w:next w:val="1"/>
    <w:autoRedefine/>
    <w:qFormat/>
    <w:uiPriority w:val="0"/>
    <w:pPr>
      <w:tabs>
        <w:tab w:val="left" w:pos="1890"/>
        <w:tab w:val="right" w:leader="dot" w:pos="8296"/>
      </w:tabs>
      <w:spacing w:line="240" w:lineRule="auto"/>
      <w:ind w:left="630" w:leftChars="300"/>
      <w:jc w:val="both"/>
    </w:pPr>
    <w:rPr>
      <w:rFonts w:ascii="Calibri" w:hAnsi="Calibri" w:eastAsia="宋体" w:cs="Times New Roman"/>
    </w:rPr>
  </w:style>
  <w:style w:type="paragraph" w:styleId="33">
    <w:name w:val="Subtitle"/>
    <w:basedOn w:val="1"/>
    <w:next w:val="1"/>
    <w:link w:val="224"/>
    <w:autoRedefine/>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4">
    <w:name w:val="footnote text"/>
    <w:basedOn w:val="1"/>
    <w:qFormat/>
    <w:uiPriority w:val="0"/>
    <w:pPr>
      <w:snapToGrid w:val="0"/>
      <w:jc w:val="left"/>
    </w:pPr>
    <w:rPr>
      <w:kern w:val="0"/>
      <w:sz w:val="18"/>
      <w:szCs w:val="18"/>
    </w:rPr>
  </w:style>
  <w:style w:type="paragraph" w:styleId="35">
    <w:name w:val="toc 6"/>
    <w:basedOn w:val="1"/>
    <w:next w:val="1"/>
    <w:autoRedefine/>
    <w:qFormat/>
    <w:uiPriority w:val="0"/>
    <w:pPr>
      <w:spacing w:line="240" w:lineRule="auto"/>
      <w:ind w:left="2100" w:leftChars="1000"/>
      <w:jc w:val="both"/>
    </w:pPr>
    <w:rPr>
      <w:rFonts w:ascii="Calibri" w:hAnsi="Calibri" w:eastAsia="宋体" w:cs="Times New Roman"/>
    </w:rPr>
  </w:style>
  <w:style w:type="paragraph" w:styleId="36">
    <w:name w:val="Body Text Indent 3"/>
    <w:basedOn w:val="1"/>
    <w:autoRedefine/>
    <w:semiHidden/>
    <w:unhideWhenUsed/>
    <w:qFormat/>
    <w:uiPriority w:val="99"/>
    <w:pPr>
      <w:spacing w:after="120" w:afterLines="0"/>
      <w:ind w:left="420" w:leftChars="200"/>
    </w:pPr>
    <w:rPr>
      <w:sz w:val="16"/>
      <w:szCs w:val="16"/>
    </w:rPr>
  </w:style>
  <w:style w:type="paragraph" w:styleId="37">
    <w:name w:val="table of figures"/>
    <w:basedOn w:val="1"/>
    <w:next w:val="1"/>
    <w:autoRedefine/>
    <w:semiHidden/>
    <w:unhideWhenUsed/>
    <w:qFormat/>
    <w:uiPriority w:val="99"/>
    <w:pPr>
      <w:ind w:left="200" w:leftChars="200" w:hanging="200" w:hangingChars="200"/>
    </w:pPr>
  </w:style>
  <w:style w:type="paragraph" w:styleId="38">
    <w:name w:val="toc 2"/>
    <w:basedOn w:val="1"/>
    <w:next w:val="1"/>
    <w:autoRedefine/>
    <w:qFormat/>
    <w:uiPriority w:val="0"/>
    <w:pPr>
      <w:widowControl/>
      <w:spacing w:after="100" w:line="276" w:lineRule="auto"/>
      <w:ind w:left="220"/>
      <w:jc w:val="left"/>
    </w:pPr>
    <w:rPr>
      <w:kern w:val="0"/>
      <w:sz w:val="22"/>
    </w:rPr>
  </w:style>
  <w:style w:type="paragraph" w:styleId="39">
    <w:name w:val="toc 9"/>
    <w:basedOn w:val="1"/>
    <w:next w:val="1"/>
    <w:autoRedefine/>
    <w:qFormat/>
    <w:uiPriority w:val="0"/>
    <w:pPr>
      <w:spacing w:line="240" w:lineRule="auto"/>
      <w:ind w:left="3360" w:leftChars="1600"/>
      <w:jc w:val="both"/>
    </w:pPr>
    <w:rPr>
      <w:rFonts w:ascii="Calibri" w:hAnsi="Calibri" w:eastAsia="宋体" w:cs="Times New Roman"/>
    </w:rPr>
  </w:style>
  <w:style w:type="paragraph" w:styleId="40">
    <w:name w:val="HTML Preformatted"/>
    <w:basedOn w:val="1"/>
    <w:link w:val="86"/>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1">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2">
    <w:name w:val="Title"/>
    <w:basedOn w:val="1"/>
    <w:next w:val="1"/>
    <w:link w:val="222"/>
    <w:autoRedefine/>
    <w:qFormat/>
    <w:uiPriority w:val="0"/>
    <w:pPr>
      <w:spacing w:before="240" w:beforeLines="0" w:after="60" w:afterLines="0" w:line="240" w:lineRule="auto"/>
      <w:jc w:val="center"/>
      <w:outlineLvl w:val="0"/>
    </w:pPr>
    <w:rPr>
      <w:rFonts w:ascii="Cambria" w:hAnsi="Cambria" w:eastAsia="宋体" w:cs="Times New Roman"/>
      <w:b/>
      <w:bCs/>
      <w:sz w:val="32"/>
      <w:szCs w:val="32"/>
    </w:rPr>
  </w:style>
  <w:style w:type="paragraph" w:styleId="43">
    <w:name w:val="annotation subject"/>
    <w:basedOn w:val="16"/>
    <w:next w:val="16"/>
    <w:link w:val="212"/>
    <w:autoRedefine/>
    <w:qFormat/>
    <w:uiPriority w:val="0"/>
    <w:pPr>
      <w:spacing w:line="240" w:lineRule="auto"/>
    </w:pPr>
    <w:rPr>
      <w:rFonts w:ascii="宋体" w:hAnsi="Times New Roman" w:eastAsia="宋体" w:cs="Times New Roman"/>
      <w:b/>
      <w:bCs/>
      <w:kern w:val="0"/>
      <w:sz w:val="28"/>
      <w:szCs w:val="20"/>
    </w:rPr>
  </w:style>
  <w:style w:type="paragraph" w:styleId="44">
    <w:name w:val="Body Text First Indent"/>
    <w:basedOn w:val="18"/>
    <w:next w:val="1"/>
    <w:link w:val="87"/>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45">
    <w:name w:val="Body Text First Indent 2"/>
    <w:basedOn w:val="19"/>
    <w:next w:val="1"/>
    <w:link w:val="88"/>
    <w:autoRedefine/>
    <w:semiHidden/>
    <w:unhideWhenUsed/>
    <w:qFormat/>
    <w:uiPriority w:val="99"/>
    <w:pPr>
      <w:ind w:firstLine="420" w:firstLineChars="200"/>
    </w:pPr>
  </w:style>
  <w:style w:type="table" w:styleId="47">
    <w:name w:val="Table Grid"/>
    <w:basedOn w:val="4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0"/>
    <w:rPr>
      <w:b/>
    </w:rPr>
  </w:style>
  <w:style w:type="character" w:styleId="50">
    <w:name w:val="page number"/>
    <w:autoRedefine/>
    <w:qFormat/>
    <w:uiPriority w:val="0"/>
    <w:rPr>
      <w:rFonts w:ascii="Calibri" w:hAnsi="Calibri" w:eastAsia="宋体" w:cs="Times New Roman"/>
    </w:rPr>
  </w:style>
  <w:style w:type="character" w:styleId="51">
    <w:name w:val="FollowedHyperlink"/>
    <w:basedOn w:val="48"/>
    <w:autoRedefine/>
    <w:semiHidden/>
    <w:unhideWhenUsed/>
    <w:qFormat/>
    <w:uiPriority w:val="99"/>
    <w:rPr>
      <w:color w:val="800080"/>
      <w:u w:val="none"/>
    </w:rPr>
  </w:style>
  <w:style w:type="character" w:styleId="52">
    <w:name w:val="Emphasis"/>
    <w:basedOn w:val="48"/>
    <w:autoRedefine/>
    <w:qFormat/>
    <w:uiPriority w:val="0"/>
    <w:rPr>
      <w:i/>
    </w:rPr>
  </w:style>
  <w:style w:type="character" w:styleId="53">
    <w:name w:val="HTML Definition"/>
    <w:basedOn w:val="48"/>
    <w:autoRedefine/>
    <w:semiHidden/>
    <w:unhideWhenUsed/>
    <w:qFormat/>
    <w:uiPriority w:val="99"/>
  </w:style>
  <w:style w:type="character" w:styleId="54">
    <w:name w:val="HTML Typewriter"/>
    <w:basedOn w:val="48"/>
    <w:autoRedefine/>
    <w:semiHidden/>
    <w:unhideWhenUsed/>
    <w:qFormat/>
    <w:uiPriority w:val="99"/>
    <w:rPr>
      <w:rFonts w:ascii="monospace" w:hAnsi="monospace" w:eastAsia="monospace" w:cs="monospace"/>
      <w:sz w:val="20"/>
    </w:rPr>
  </w:style>
  <w:style w:type="character" w:styleId="55">
    <w:name w:val="HTML Acronym"/>
    <w:basedOn w:val="48"/>
    <w:autoRedefine/>
    <w:semiHidden/>
    <w:unhideWhenUsed/>
    <w:qFormat/>
    <w:uiPriority w:val="99"/>
  </w:style>
  <w:style w:type="character" w:styleId="56">
    <w:name w:val="HTML Variable"/>
    <w:basedOn w:val="48"/>
    <w:autoRedefine/>
    <w:semiHidden/>
    <w:unhideWhenUsed/>
    <w:qFormat/>
    <w:uiPriority w:val="99"/>
  </w:style>
  <w:style w:type="character" w:styleId="57">
    <w:name w:val="Hyperlink"/>
    <w:basedOn w:val="48"/>
    <w:autoRedefine/>
    <w:qFormat/>
    <w:uiPriority w:val="0"/>
    <w:rPr>
      <w:color w:val="0000FF" w:themeColor="hyperlink"/>
      <w:u w:val="single"/>
      <w14:textFill>
        <w14:solidFill>
          <w14:schemeClr w14:val="hlink"/>
        </w14:solidFill>
      </w14:textFill>
    </w:rPr>
  </w:style>
  <w:style w:type="character" w:styleId="58">
    <w:name w:val="HTML Code"/>
    <w:basedOn w:val="48"/>
    <w:autoRedefine/>
    <w:semiHidden/>
    <w:unhideWhenUsed/>
    <w:qFormat/>
    <w:uiPriority w:val="99"/>
    <w:rPr>
      <w:rFonts w:hint="default" w:ascii="monospace" w:hAnsi="monospace" w:eastAsia="monospace" w:cs="monospace"/>
      <w:sz w:val="20"/>
    </w:rPr>
  </w:style>
  <w:style w:type="character" w:styleId="59">
    <w:name w:val="annotation reference"/>
    <w:basedOn w:val="48"/>
    <w:autoRedefine/>
    <w:qFormat/>
    <w:uiPriority w:val="0"/>
    <w:rPr>
      <w:sz w:val="21"/>
      <w:szCs w:val="21"/>
    </w:rPr>
  </w:style>
  <w:style w:type="character" w:styleId="60">
    <w:name w:val="HTML Cite"/>
    <w:basedOn w:val="48"/>
    <w:autoRedefine/>
    <w:semiHidden/>
    <w:unhideWhenUsed/>
    <w:qFormat/>
    <w:uiPriority w:val="99"/>
  </w:style>
  <w:style w:type="character" w:styleId="61">
    <w:name w:val="HTML Keyboard"/>
    <w:basedOn w:val="48"/>
    <w:autoRedefine/>
    <w:semiHidden/>
    <w:unhideWhenUsed/>
    <w:qFormat/>
    <w:uiPriority w:val="99"/>
    <w:rPr>
      <w:rFonts w:hint="default" w:ascii="monospace" w:hAnsi="monospace" w:eastAsia="monospace" w:cs="monospace"/>
      <w:sz w:val="20"/>
    </w:rPr>
  </w:style>
  <w:style w:type="character" w:styleId="62">
    <w:name w:val="HTML Sample"/>
    <w:basedOn w:val="48"/>
    <w:autoRedefine/>
    <w:semiHidden/>
    <w:unhideWhenUsed/>
    <w:qFormat/>
    <w:uiPriority w:val="99"/>
    <w:rPr>
      <w:rFonts w:hint="default" w:ascii="monospace" w:hAnsi="monospace" w:eastAsia="monospace" w:cs="monospace"/>
    </w:rPr>
  </w:style>
  <w:style w:type="character" w:customStyle="1" w:styleId="63">
    <w:name w:val="标题 1 Char"/>
    <w:basedOn w:val="48"/>
    <w:link w:val="2"/>
    <w:autoRedefine/>
    <w:qFormat/>
    <w:uiPriority w:val="9"/>
    <w:rPr>
      <w:rFonts w:ascii="宋体" w:hAnsi="宋体" w:eastAsia="宋体"/>
      <w:b/>
      <w:bCs/>
      <w:kern w:val="44"/>
      <w:sz w:val="32"/>
      <w:szCs w:val="44"/>
    </w:rPr>
  </w:style>
  <w:style w:type="paragraph" w:customStyle="1" w:styleId="6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5">
    <w:name w:val="表格文字"/>
    <w:basedOn w:val="1"/>
    <w:next w:val="18"/>
    <w:autoRedefine/>
    <w:qFormat/>
    <w:uiPriority w:val="0"/>
    <w:pPr>
      <w:adjustRightInd w:val="0"/>
      <w:spacing w:line="420" w:lineRule="atLeast"/>
      <w:jc w:val="left"/>
      <w:textAlignment w:val="baseline"/>
    </w:pPr>
    <w:rPr>
      <w:kern w:val="0"/>
    </w:rPr>
  </w:style>
  <w:style w:type="paragraph" w:customStyle="1" w:styleId="66">
    <w:name w:val="正文首行缩进 21"/>
    <w:basedOn w:val="67"/>
    <w:autoRedefine/>
    <w:qFormat/>
    <w:uiPriority w:val="0"/>
    <w:pPr>
      <w:spacing w:after="0" w:afterLines="0" w:afterAutospacing="0" w:line="500" w:lineRule="exact"/>
      <w:ind w:left="0" w:leftChars="0" w:firstLine="420" w:firstLineChars="200"/>
      <w:jc w:val="both"/>
    </w:pPr>
    <w:rPr>
      <w:rFonts w:ascii="Times New Roman" w:hAnsi="Times New Roman" w:cs="Times New Roman"/>
      <w:szCs w:val="22"/>
    </w:rPr>
  </w:style>
  <w:style w:type="paragraph" w:customStyle="1" w:styleId="67">
    <w:name w:val="正文文本缩进1"/>
    <w:basedOn w:val="1"/>
    <w:autoRedefine/>
    <w:qFormat/>
    <w:uiPriority w:val="0"/>
    <w:pPr>
      <w:spacing w:after="120" w:afterLines="0" w:afterAutospacing="0"/>
      <w:ind w:left="420" w:leftChars="200"/>
    </w:pPr>
  </w:style>
  <w:style w:type="paragraph" w:customStyle="1" w:styleId="68">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69">
    <w:name w:val="大标题"/>
    <w:basedOn w:val="1"/>
    <w:next w:val="45"/>
    <w:autoRedefine/>
    <w:qFormat/>
    <w:uiPriority w:val="0"/>
    <w:pPr>
      <w:jc w:val="center"/>
    </w:pPr>
    <w:rPr>
      <w:rFonts w:ascii="Arial" w:hAnsi="Arial"/>
      <w:b/>
    </w:rPr>
  </w:style>
  <w:style w:type="character" w:customStyle="1" w:styleId="70">
    <w:name w:val="标题 1 字符"/>
    <w:basedOn w:val="48"/>
    <w:link w:val="2"/>
    <w:autoRedefine/>
    <w:qFormat/>
    <w:uiPriority w:val="9"/>
    <w:rPr>
      <w:rFonts w:ascii="宋体" w:hAnsi="宋体" w:eastAsia="宋体"/>
      <w:b/>
      <w:bCs/>
      <w:kern w:val="44"/>
      <w:sz w:val="32"/>
      <w:szCs w:val="44"/>
    </w:rPr>
  </w:style>
  <w:style w:type="character" w:customStyle="1" w:styleId="71">
    <w:name w:val="正文缩进 字符"/>
    <w:link w:val="12"/>
    <w:autoRedefine/>
    <w:qFormat/>
    <w:uiPriority w:val="0"/>
  </w:style>
  <w:style w:type="character" w:customStyle="1" w:styleId="72">
    <w:name w:val="标题 2 字符"/>
    <w:basedOn w:val="48"/>
    <w:link w:val="3"/>
    <w:autoRedefine/>
    <w:qFormat/>
    <w:uiPriority w:val="0"/>
    <w:rPr>
      <w:rFonts w:ascii="Arial" w:hAnsi="Arial" w:eastAsia="宋体" w:cs="Times New Roman"/>
      <w:b/>
      <w:sz w:val="28"/>
      <w:szCs w:val="20"/>
    </w:rPr>
  </w:style>
  <w:style w:type="character" w:customStyle="1" w:styleId="73">
    <w:name w:val="标题 3 字符"/>
    <w:basedOn w:val="48"/>
    <w:link w:val="4"/>
    <w:autoRedefine/>
    <w:qFormat/>
    <w:uiPriority w:val="9"/>
    <w:rPr>
      <w:b/>
      <w:bCs/>
      <w:sz w:val="32"/>
      <w:szCs w:val="32"/>
    </w:rPr>
  </w:style>
  <w:style w:type="character" w:customStyle="1" w:styleId="74">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75">
    <w:name w:val="标题 8 字符"/>
    <w:basedOn w:val="48"/>
    <w:link w:val="9"/>
    <w:autoRedefine/>
    <w:qFormat/>
    <w:uiPriority w:val="0"/>
    <w:rPr>
      <w:rFonts w:asciiTheme="majorHAnsi" w:hAnsiTheme="majorHAnsi" w:eastAsiaTheme="majorEastAsia" w:cstheme="majorBidi"/>
      <w:kern w:val="2"/>
      <w:sz w:val="24"/>
      <w:szCs w:val="24"/>
    </w:rPr>
  </w:style>
  <w:style w:type="character" w:customStyle="1" w:styleId="76">
    <w:name w:val="批注文字 字符"/>
    <w:link w:val="16"/>
    <w:autoRedefine/>
    <w:qFormat/>
    <w:uiPriority w:val="0"/>
    <w:rPr>
      <w:szCs w:val="24"/>
    </w:rPr>
  </w:style>
  <w:style w:type="character" w:customStyle="1" w:styleId="77">
    <w:name w:val="正文文本 3 字符"/>
    <w:basedOn w:val="48"/>
    <w:link w:val="17"/>
    <w:autoRedefine/>
    <w:semiHidden/>
    <w:qFormat/>
    <w:uiPriority w:val="99"/>
    <w:rPr>
      <w:sz w:val="16"/>
      <w:szCs w:val="16"/>
    </w:rPr>
  </w:style>
  <w:style w:type="character" w:customStyle="1" w:styleId="78">
    <w:name w:val="正文文本 字符"/>
    <w:basedOn w:val="48"/>
    <w:link w:val="18"/>
    <w:autoRedefine/>
    <w:qFormat/>
    <w:uiPriority w:val="99"/>
    <w:rPr>
      <w:rFonts w:ascii="楷体_GB2312" w:hAnsi="Times New Roman" w:eastAsia="楷体_GB2312" w:cs="Times New Roman"/>
      <w:kern w:val="0"/>
      <w:sz w:val="28"/>
      <w:szCs w:val="20"/>
    </w:rPr>
  </w:style>
  <w:style w:type="character" w:customStyle="1" w:styleId="79">
    <w:name w:val="正文文本缩进 字符"/>
    <w:basedOn w:val="48"/>
    <w:link w:val="19"/>
    <w:autoRedefine/>
    <w:semiHidden/>
    <w:qFormat/>
    <w:uiPriority w:val="99"/>
  </w:style>
  <w:style w:type="character" w:customStyle="1" w:styleId="80">
    <w:name w:val="纯文本 字符"/>
    <w:link w:val="24"/>
    <w:autoRedefine/>
    <w:qFormat/>
    <w:uiPriority w:val="0"/>
    <w:rPr>
      <w:rFonts w:ascii="宋体" w:hAnsi="Courier New"/>
    </w:rPr>
  </w:style>
  <w:style w:type="character" w:customStyle="1" w:styleId="81">
    <w:name w:val="日期 字符"/>
    <w:basedOn w:val="48"/>
    <w:link w:val="26"/>
    <w:autoRedefine/>
    <w:semiHidden/>
    <w:qFormat/>
    <w:uiPriority w:val="99"/>
    <w:rPr>
      <w:kern w:val="2"/>
      <w:sz w:val="21"/>
      <w:szCs w:val="22"/>
    </w:rPr>
  </w:style>
  <w:style w:type="character" w:customStyle="1" w:styleId="82">
    <w:name w:val="批注框文本 字符"/>
    <w:basedOn w:val="48"/>
    <w:link w:val="27"/>
    <w:autoRedefine/>
    <w:semiHidden/>
    <w:qFormat/>
    <w:uiPriority w:val="99"/>
    <w:rPr>
      <w:rFonts w:asciiTheme="minorHAnsi" w:hAnsiTheme="minorHAnsi" w:eastAsiaTheme="minorEastAsia" w:cstheme="minorBidi"/>
      <w:kern w:val="2"/>
      <w:sz w:val="18"/>
      <w:szCs w:val="18"/>
    </w:rPr>
  </w:style>
  <w:style w:type="character" w:customStyle="1" w:styleId="83">
    <w:name w:val="页脚 字符"/>
    <w:basedOn w:val="48"/>
    <w:link w:val="28"/>
    <w:autoRedefine/>
    <w:qFormat/>
    <w:uiPriority w:val="99"/>
    <w:rPr>
      <w:sz w:val="18"/>
      <w:szCs w:val="18"/>
    </w:rPr>
  </w:style>
  <w:style w:type="character" w:customStyle="1" w:styleId="84">
    <w:name w:val="页眉 字符"/>
    <w:basedOn w:val="48"/>
    <w:link w:val="30"/>
    <w:autoRedefine/>
    <w:qFormat/>
    <w:uiPriority w:val="99"/>
    <w:rPr>
      <w:sz w:val="18"/>
      <w:szCs w:val="18"/>
    </w:rPr>
  </w:style>
  <w:style w:type="character" w:customStyle="1" w:styleId="85">
    <w:name w:val="副标题 字符"/>
    <w:basedOn w:val="48"/>
    <w:link w:val="33"/>
    <w:autoRedefine/>
    <w:qFormat/>
    <w:uiPriority w:val="11"/>
    <w:rPr>
      <w:rFonts w:eastAsia="宋体" w:asciiTheme="majorHAnsi" w:hAnsiTheme="majorHAnsi" w:cstheme="majorBidi"/>
      <w:b/>
      <w:bCs/>
      <w:kern w:val="28"/>
      <w:sz w:val="32"/>
      <w:szCs w:val="32"/>
    </w:rPr>
  </w:style>
  <w:style w:type="character" w:customStyle="1" w:styleId="86">
    <w:name w:val="HTML 预设格式 字符"/>
    <w:basedOn w:val="48"/>
    <w:link w:val="40"/>
    <w:autoRedefine/>
    <w:qFormat/>
    <w:uiPriority w:val="0"/>
    <w:rPr>
      <w:rFonts w:ascii="宋体" w:hAnsi="宋体"/>
      <w:sz w:val="24"/>
      <w:szCs w:val="24"/>
    </w:rPr>
  </w:style>
  <w:style w:type="character" w:customStyle="1" w:styleId="87">
    <w:name w:val="正文文本首行缩进 字符"/>
    <w:basedOn w:val="78"/>
    <w:link w:val="44"/>
    <w:autoRedefine/>
    <w:semiHidden/>
    <w:qFormat/>
    <w:uiPriority w:val="99"/>
    <w:rPr>
      <w:rFonts w:ascii="楷体_GB2312" w:hAnsi="Times New Roman" w:eastAsia="楷体_GB2312" w:cs="Times New Roman"/>
      <w:kern w:val="0"/>
      <w:sz w:val="28"/>
      <w:szCs w:val="20"/>
    </w:rPr>
  </w:style>
  <w:style w:type="character" w:customStyle="1" w:styleId="88">
    <w:name w:val="正文文本首行缩进 2 字符"/>
    <w:basedOn w:val="79"/>
    <w:link w:val="45"/>
    <w:autoRedefine/>
    <w:semiHidden/>
    <w:qFormat/>
    <w:uiPriority w:val="99"/>
    <w:rPr>
      <w:rFonts w:asciiTheme="minorHAnsi" w:hAnsiTheme="minorHAnsi" w:eastAsiaTheme="minorEastAsia" w:cstheme="minorBidi"/>
      <w:kern w:val="2"/>
      <w:sz w:val="21"/>
      <w:szCs w:val="22"/>
    </w:rPr>
  </w:style>
  <w:style w:type="table" w:customStyle="1" w:styleId="89">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90">
    <w:name w:val="Table Paragraph"/>
    <w:basedOn w:val="1"/>
    <w:autoRedefine/>
    <w:qFormat/>
    <w:uiPriority w:val="1"/>
    <w:pPr>
      <w:jc w:val="left"/>
    </w:pPr>
    <w:rPr>
      <w:kern w:val="0"/>
      <w:sz w:val="22"/>
      <w:lang w:eastAsia="en-US"/>
    </w:rPr>
  </w:style>
  <w:style w:type="character" w:customStyle="1" w:styleId="91">
    <w:name w:val="批注文字 Char"/>
    <w:basedOn w:val="48"/>
    <w:link w:val="16"/>
    <w:autoRedefine/>
    <w:semiHidden/>
    <w:qFormat/>
    <w:uiPriority w:val="99"/>
  </w:style>
  <w:style w:type="character" w:customStyle="1" w:styleId="92">
    <w:name w:val="纯文本 Char1"/>
    <w:basedOn w:val="48"/>
    <w:autoRedefine/>
    <w:semiHidden/>
    <w:qFormat/>
    <w:uiPriority w:val="99"/>
    <w:rPr>
      <w:rFonts w:ascii="宋体" w:hAnsi="Courier New" w:eastAsia="宋体" w:cs="Courier New"/>
      <w:szCs w:val="21"/>
    </w:rPr>
  </w:style>
  <w:style w:type="paragraph" w:customStyle="1" w:styleId="93">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font01"/>
    <w:autoRedefine/>
    <w:qFormat/>
    <w:uiPriority w:val="0"/>
    <w:rPr>
      <w:rFonts w:hint="eastAsia" w:ascii="宋体" w:hAnsi="宋体" w:eastAsia="宋体" w:cs="宋体"/>
      <w:color w:val="000000"/>
      <w:sz w:val="22"/>
      <w:szCs w:val="22"/>
      <w:u w:val="none"/>
    </w:rPr>
  </w:style>
  <w:style w:type="paragraph" w:customStyle="1" w:styleId="95">
    <w:name w:val="TOC 标题1"/>
    <w:basedOn w:val="2"/>
    <w:next w:val="1"/>
    <w:autoRedefine/>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96">
    <w:name w:val="List Paragraph"/>
    <w:basedOn w:val="1"/>
    <w:autoRedefine/>
    <w:qFormat/>
    <w:uiPriority w:val="0"/>
    <w:pPr>
      <w:ind w:firstLine="420" w:firstLineChars="200"/>
    </w:pPr>
  </w:style>
  <w:style w:type="paragraph" w:customStyle="1" w:styleId="97">
    <w:name w:val="样式 标题 2 + Times New Roman 四号 非加粗 段前: 5 磅 段后: 0 磅 行距: 固定值 20..."/>
    <w:basedOn w:val="3"/>
    <w:autoRedefine/>
    <w:qFormat/>
    <w:uiPriority w:val="0"/>
    <w:pPr>
      <w:tabs>
        <w:tab w:val="clear" w:pos="840"/>
      </w:tabs>
      <w:spacing w:before="100" w:after="0" w:line="360" w:lineRule="auto"/>
    </w:pPr>
    <w:rPr>
      <w:rFonts w:ascii="Times New Roman" w:hAnsi="Times New Roman" w:cs="宋体"/>
      <w:b w:val="0"/>
      <w:kern w:val="0"/>
      <w:sz w:val="28"/>
      <w:lang w:eastAsia="en-US"/>
    </w:rPr>
  </w:style>
  <w:style w:type="paragraph" w:customStyle="1" w:styleId="98">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0">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1">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102">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3">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04">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0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0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0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10">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11">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12">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2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3">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4">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5">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26">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2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2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12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3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3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3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3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3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4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4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4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5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5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5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6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6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6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6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6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列出段落1"/>
    <w:basedOn w:val="1"/>
    <w:link w:val="168"/>
    <w:autoRedefine/>
    <w:qFormat/>
    <w:uiPriority w:val="1"/>
    <w:pPr>
      <w:ind w:firstLine="420" w:firstLineChars="200"/>
    </w:pPr>
    <w:rPr>
      <w:rFonts w:ascii="Calibri" w:hAnsi="Calibri" w:eastAsia="宋体" w:cs="Times New Roman"/>
    </w:rPr>
  </w:style>
  <w:style w:type="character" w:customStyle="1" w:styleId="168">
    <w:name w:val="List Paragraph Char Char"/>
    <w:link w:val="167"/>
    <w:autoRedefine/>
    <w:qFormat/>
    <w:uiPriority w:val="0"/>
    <w:rPr>
      <w:rFonts w:ascii="Calibri" w:hAnsi="Calibri"/>
      <w:kern w:val="2"/>
      <w:sz w:val="21"/>
      <w:szCs w:val="22"/>
    </w:rPr>
  </w:style>
  <w:style w:type="character" w:customStyle="1" w:styleId="169">
    <w:name w:val="纯文本 字符1"/>
    <w:autoRedefine/>
    <w:qFormat/>
    <w:uiPriority w:val="0"/>
    <w:rPr>
      <w:rFonts w:ascii="宋体" w:hAnsi="Courier New"/>
      <w:kern w:val="2"/>
      <w:sz w:val="21"/>
    </w:rPr>
  </w:style>
  <w:style w:type="character" w:customStyle="1" w:styleId="170">
    <w:name w:val="font61"/>
    <w:basedOn w:val="48"/>
    <w:autoRedefine/>
    <w:qFormat/>
    <w:uiPriority w:val="0"/>
    <w:rPr>
      <w:rFonts w:hint="eastAsia" w:ascii="宋体" w:hAnsi="宋体" w:eastAsia="宋体" w:cs="宋体"/>
      <w:color w:val="000000"/>
      <w:sz w:val="18"/>
      <w:szCs w:val="18"/>
      <w:u w:val="none"/>
    </w:rPr>
  </w:style>
  <w:style w:type="paragraph" w:customStyle="1" w:styleId="171">
    <w:name w:val="列出段落2"/>
    <w:basedOn w:val="1"/>
    <w:autoRedefine/>
    <w:qFormat/>
    <w:uiPriority w:val="99"/>
    <w:pPr>
      <w:spacing w:line="360" w:lineRule="auto"/>
      <w:ind w:firstLine="420" w:firstLineChars="200"/>
    </w:pPr>
    <w:rPr>
      <w:rFonts w:ascii="宋体" w:hAnsi="宋体" w:eastAsia="仿宋" w:cs="Times New Roman"/>
      <w:sz w:val="32"/>
    </w:rPr>
  </w:style>
  <w:style w:type="paragraph" w:customStyle="1" w:styleId="172">
    <w:name w:val="正文 A"/>
    <w:autoRedefine/>
    <w:qFormat/>
    <w:uiPriority w:val="0"/>
    <w:rPr>
      <w:rFonts w:ascii="Times New Roman" w:hAnsi="Times New Roman" w:eastAsia="Arial Unicode MS" w:cs="Arial Unicode MS"/>
      <w:color w:val="000000"/>
      <w:sz w:val="22"/>
      <w:szCs w:val="22"/>
      <w:lang w:val="en-US" w:eastAsia="zh-CN" w:bidi="ar-SA"/>
    </w:rPr>
  </w:style>
  <w:style w:type="paragraph" w:customStyle="1" w:styleId="173">
    <w:name w:val="正文 A A"/>
    <w:autoRedefine/>
    <w:qFormat/>
    <w:uiPriority w:val="0"/>
    <w:rPr>
      <w:rFonts w:ascii="Times New Roman" w:hAnsi="Times New Roman" w:eastAsia="Times New Roman" w:cs="Times New Roman"/>
      <w:color w:val="000000"/>
      <w:sz w:val="22"/>
      <w:szCs w:val="22"/>
      <w:lang w:val="en-US" w:eastAsia="zh-CN" w:bidi="ar-SA"/>
    </w:rPr>
  </w:style>
  <w:style w:type="paragraph" w:customStyle="1" w:styleId="174">
    <w:name w:val="_Style 103"/>
    <w:basedOn w:val="1"/>
    <w:next w:val="96"/>
    <w:autoRedefine/>
    <w:qFormat/>
    <w:uiPriority w:val="0"/>
    <w:pPr>
      <w:ind w:left="100" w:leftChars="100" w:firstLine="420" w:firstLineChars="200"/>
    </w:pPr>
    <w:rPr>
      <w:rFonts w:ascii="Times New Roman" w:hAnsi="Times New Roman" w:eastAsia="宋体" w:cs="Times New Roman"/>
    </w:rPr>
  </w:style>
  <w:style w:type="paragraph" w:styleId="175">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176">
    <w:name w:val="表格CXH"/>
    <w:basedOn w:val="1"/>
    <w:autoRedefine/>
    <w:qFormat/>
    <w:uiPriority w:val="0"/>
  </w:style>
  <w:style w:type="paragraph" w:customStyle="1" w:styleId="17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178">
    <w:name w:val="layui-layer-tabnow"/>
    <w:basedOn w:val="48"/>
    <w:autoRedefine/>
    <w:qFormat/>
    <w:uiPriority w:val="0"/>
    <w:rPr>
      <w:bdr w:val="single" w:color="CCCCCC" w:sz="6" w:space="0"/>
      <w:shd w:val="clear" w:color="auto" w:fill="FFFFFF"/>
    </w:rPr>
  </w:style>
  <w:style w:type="character" w:customStyle="1" w:styleId="179">
    <w:name w:val="first-child"/>
    <w:basedOn w:val="48"/>
    <w:autoRedefine/>
    <w:qFormat/>
    <w:uiPriority w:val="0"/>
  </w:style>
  <w:style w:type="character" w:customStyle="1" w:styleId="180">
    <w:name w:val="nth-child(3)"/>
    <w:basedOn w:val="48"/>
    <w:autoRedefine/>
    <w:qFormat/>
    <w:uiPriority w:val="0"/>
  </w:style>
  <w:style w:type="character" w:customStyle="1" w:styleId="181">
    <w:name w:val="nth-child(2)"/>
    <w:basedOn w:val="48"/>
    <w:autoRedefine/>
    <w:qFormat/>
    <w:uiPriority w:val="0"/>
  </w:style>
  <w:style w:type="table" w:customStyle="1" w:styleId="182">
    <w:name w:val="网格型1"/>
    <w:basedOn w:val="46"/>
    <w:autoRedefine/>
    <w:qFormat/>
    <w:uiPriority w:val="39"/>
    <w:pPr>
      <w:ind w:firstLine="200" w:firstLineChars="200"/>
      <w:jc w:val="both"/>
    </w:pPr>
    <w:rPr>
      <w:rFonts w:ascii="仿宋" w:hAnsi="仿宋" w:eastAsia="仿宋"/>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
    <w:name w:val="fontstyle01"/>
    <w:basedOn w:val="48"/>
    <w:autoRedefine/>
    <w:qFormat/>
    <w:uiPriority w:val="0"/>
    <w:rPr>
      <w:rFonts w:hint="eastAsia" w:ascii="仿宋_GB2312" w:eastAsia="仿宋_GB2312"/>
      <w:color w:val="000000"/>
      <w:sz w:val="32"/>
      <w:szCs w:val="32"/>
    </w:rPr>
  </w:style>
  <w:style w:type="table" w:customStyle="1" w:styleId="184">
    <w:name w:val="网格型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85">
    <w:name w:val="List2"/>
    <w:basedOn w:val="1"/>
    <w:autoRedefine/>
    <w:qFormat/>
    <w:uiPriority w:val="0"/>
    <w:pPr>
      <w:spacing w:line="240" w:lineRule="auto"/>
      <w:ind w:left="100" w:leftChars="200" w:hanging="200" w:hangingChars="200"/>
      <w:jc w:val="both"/>
    </w:pPr>
  </w:style>
  <w:style w:type="paragraph" w:customStyle="1" w:styleId="186">
    <w:name w:val="标书正文"/>
    <w:basedOn w:val="1"/>
    <w:autoRedefine/>
    <w:qFormat/>
    <w:uiPriority w:val="0"/>
    <w:pPr>
      <w:snapToGrid w:val="0"/>
      <w:spacing w:before="50" w:line="480" w:lineRule="exact"/>
      <w:ind w:firstLine="454" w:firstLineChars="200"/>
      <w:jc w:val="left"/>
    </w:pPr>
    <w:rPr>
      <w:rFonts w:ascii="黑体" w:hAnsi="Times New Roman" w:eastAsia="黑体" w:cs="Times New Roman"/>
      <w:sz w:val="24"/>
      <w:szCs w:val="24"/>
    </w:rPr>
  </w:style>
  <w:style w:type="character" w:customStyle="1" w:styleId="187">
    <w:name w:val="NormalCharacter"/>
    <w:autoRedefine/>
    <w:semiHidden/>
    <w:qFormat/>
    <w:uiPriority w:val="0"/>
    <w:rPr>
      <w:kern w:val="2"/>
      <w:sz w:val="21"/>
      <w:szCs w:val="24"/>
      <w:lang w:val="en-US" w:eastAsia="zh-CN" w:bidi="ar-SA"/>
    </w:rPr>
  </w:style>
  <w:style w:type="paragraph" w:customStyle="1" w:styleId="188">
    <w:name w:val="文档正文"/>
    <w:basedOn w:val="1"/>
    <w:autoRedefine/>
    <w:qFormat/>
    <w:uiPriority w:val="0"/>
    <w:pPr>
      <w:keepNext w:val="0"/>
      <w:keepLines w:val="0"/>
      <w:widowControl w:val="0"/>
      <w:suppressLineNumbers w:val="0"/>
      <w:adjustRightInd w:val="0"/>
      <w:spacing w:before="0" w:beforeAutospacing="0" w:after="0" w:afterAutospacing="0" w:line="480" w:lineRule="atLeast"/>
      <w:ind w:left="0" w:right="0" w:firstLine="567"/>
      <w:jc w:val="both"/>
    </w:pPr>
    <w:rPr>
      <w:rFonts w:hint="eastAsia" w:ascii="仿宋_GB2312" w:hAnsi="Times New Roman" w:eastAsia="仿宋_GB2312" w:cs="Times New Roman"/>
      <w:kern w:val="0"/>
      <w:sz w:val="28"/>
      <w:szCs w:val="20"/>
      <w:lang w:val="en-US" w:eastAsia="zh-CN" w:bidi="ar"/>
    </w:rPr>
  </w:style>
  <w:style w:type="paragraph" w:customStyle="1" w:styleId="189">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bCs w:val="0"/>
      <w:szCs w:val="20"/>
    </w:rPr>
  </w:style>
  <w:style w:type="character" w:customStyle="1" w:styleId="190">
    <w:name w:val="正文文本 Char1"/>
    <w:autoRedefine/>
    <w:qFormat/>
    <w:uiPriority w:val="0"/>
    <w:rPr>
      <w:rFonts w:ascii="Calibri" w:hAnsi="Calibri" w:eastAsia="宋体" w:cs="Times New Roman"/>
      <w:kern w:val="2"/>
      <w:sz w:val="21"/>
      <w:szCs w:val="22"/>
    </w:rPr>
  </w:style>
  <w:style w:type="character" w:customStyle="1" w:styleId="191">
    <w:name w:val="标题 7 Char"/>
    <w:link w:val="8"/>
    <w:autoRedefine/>
    <w:qFormat/>
    <w:uiPriority w:val="0"/>
    <w:rPr>
      <w:rFonts w:ascii="Calibri" w:hAnsi="Calibri" w:eastAsia="宋体" w:cs="Times New Roman"/>
      <w:b/>
      <w:bCs/>
      <w:sz w:val="24"/>
      <w:szCs w:val="24"/>
    </w:rPr>
  </w:style>
  <w:style w:type="character" w:customStyle="1" w:styleId="192">
    <w:name w:val="明显引用 Char"/>
    <w:link w:val="193"/>
    <w:autoRedefine/>
    <w:qFormat/>
    <w:uiPriority w:val="0"/>
    <w:rPr>
      <w:rFonts w:ascii="Calibri" w:hAnsi="Calibri" w:eastAsia="宋体" w:cs="Times New Roman"/>
      <w:b/>
      <w:bCs/>
      <w:i/>
      <w:iCs/>
      <w:color w:val="4F81BD"/>
    </w:rPr>
  </w:style>
  <w:style w:type="paragraph" w:styleId="193">
    <w:name w:val="Intense Quote"/>
    <w:basedOn w:val="1"/>
    <w:next w:val="1"/>
    <w:link w:val="192"/>
    <w:autoRedefine/>
    <w:qFormat/>
    <w:uiPriority w:val="0"/>
    <w:pPr>
      <w:pBdr>
        <w:bottom w:val="single" w:color="4F81BD" w:sz="4" w:space="4"/>
      </w:pBdr>
      <w:spacing w:before="200" w:beforeLines="0" w:after="280" w:afterLines="0" w:line="240" w:lineRule="auto"/>
      <w:ind w:left="936" w:right="936"/>
      <w:jc w:val="both"/>
    </w:pPr>
    <w:rPr>
      <w:rFonts w:ascii="Calibri" w:hAnsi="Calibri" w:eastAsia="宋体" w:cs="Times New Roman"/>
      <w:b/>
      <w:bCs/>
      <w:i/>
      <w:iCs/>
      <w:color w:val="4F81BD"/>
    </w:rPr>
  </w:style>
  <w:style w:type="character" w:customStyle="1" w:styleId="194">
    <w:name w:val="_Style 189"/>
    <w:autoRedefine/>
    <w:qFormat/>
    <w:uiPriority w:val="0"/>
    <w:rPr>
      <w:rFonts w:ascii="Calibri" w:hAnsi="Calibri" w:eastAsia="宋体" w:cs="Times New Roman"/>
      <w:i/>
      <w:iCs/>
      <w:color w:val="808080"/>
    </w:rPr>
  </w:style>
  <w:style w:type="character" w:customStyle="1" w:styleId="195">
    <w:name w:val="标题4 Char Char"/>
    <w:link w:val="196"/>
    <w:autoRedefine/>
    <w:qFormat/>
    <w:uiPriority w:val="0"/>
    <w:rPr>
      <w:rFonts w:ascii="Arial" w:hAnsi="Arial" w:eastAsia="宋体" w:cs="Times New Roman"/>
      <w:kern w:val="0"/>
      <w:sz w:val="24"/>
    </w:rPr>
  </w:style>
  <w:style w:type="paragraph" w:customStyle="1" w:styleId="196">
    <w:name w:val="标题4"/>
    <w:basedOn w:val="3"/>
    <w:next w:val="21"/>
    <w:link w:val="195"/>
    <w:autoRedefine/>
    <w:qFormat/>
    <w:uiPriority w:val="0"/>
    <w:pPr>
      <w:spacing w:before="260" w:beforeLines="0" w:after="260" w:afterLines="0" w:line="413" w:lineRule="auto"/>
      <w:ind w:left="0" w:firstLine="0"/>
      <w:jc w:val="both"/>
    </w:pPr>
    <w:rPr>
      <w:rFonts w:ascii="Arial" w:hAnsi="Arial" w:eastAsia="宋体" w:cs="Times New Roman"/>
      <w:b w:val="0"/>
      <w:bCs/>
      <w:kern w:val="0"/>
      <w:sz w:val="24"/>
      <w:szCs w:val="32"/>
    </w:rPr>
  </w:style>
  <w:style w:type="character" w:customStyle="1" w:styleId="197">
    <w:name w:val="标题5 Char Char"/>
    <w:link w:val="198"/>
    <w:autoRedefine/>
    <w:qFormat/>
    <w:uiPriority w:val="0"/>
    <w:rPr>
      <w:rFonts w:ascii="Arial" w:hAnsi="Arial" w:eastAsia="宋体" w:cs="Times New Roman"/>
      <w:kern w:val="0"/>
      <w:sz w:val="24"/>
    </w:rPr>
  </w:style>
  <w:style w:type="paragraph" w:customStyle="1" w:styleId="198">
    <w:name w:val="标题5"/>
    <w:basedOn w:val="4"/>
    <w:link w:val="197"/>
    <w:autoRedefine/>
    <w:qFormat/>
    <w:uiPriority w:val="0"/>
    <w:pPr>
      <w:spacing w:beforeLines="0" w:afterLines="0" w:line="413" w:lineRule="auto"/>
      <w:jc w:val="both"/>
    </w:pPr>
    <w:rPr>
      <w:rFonts w:ascii="Arial" w:hAnsi="Arial" w:eastAsia="宋体" w:cs="Times New Roman"/>
      <w:b w:val="0"/>
      <w:bCs w:val="0"/>
      <w:kern w:val="0"/>
      <w:sz w:val="24"/>
    </w:rPr>
  </w:style>
  <w:style w:type="character" w:customStyle="1" w:styleId="199">
    <w:name w:val="日期 Char"/>
    <w:link w:val="26"/>
    <w:autoRedefine/>
    <w:qFormat/>
    <w:uiPriority w:val="0"/>
    <w:rPr>
      <w:rFonts w:ascii="宋体" w:hAnsi="Times New Roman" w:eastAsia="宋体" w:cs="Times New Roman"/>
      <w:sz w:val="28"/>
    </w:rPr>
  </w:style>
  <w:style w:type="character" w:customStyle="1" w:styleId="200">
    <w:name w:val="_Style 195"/>
    <w:autoRedefine/>
    <w:qFormat/>
    <w:uiPriority w:val="0"/>
    <w:rPr>
      <w:rFonts w:ascii="Calibri" w:hAnsi="Calibri" w:eastAsia="宋体" w:cs="Times New Roman"/>
      <w:b/>
      <w:bCs/>
      <w:smallCaps/>
      <w:color w:val="C0504D"/>
      <w:spacing w:val="5"/>
      <w:u w:val="single"/>
    </w:rPr>
  </w:style>
  <w:style w:type="character" w:customStyle="1" w:styleId="201">
    <w:name w:val="_Style 196"/>
    <w:autoRedefine/>
    <w:qFormat/>
    <w:uiPriority w:val="0"/>
    <w:rPr>
      <w:rFonts w:ascii="Calibri" w:hAnsi="Calibri" w:eastAsia="宋体" w:cs="Times New Roman"/>
      <w:b/>
      <w:bCs/>
      <w:smallCaps/>
      <w:spacing w:val="5"/>
    </w:rPr>
  </w:style>
  <w:style w:type="character" w:customStyle="1" w:styleId="202">
    <w:name w:val="页眉 Char"/>
    <w:link w:val="30"/>
    <w:autoRedefine/>
    <w:qFormat/>
    <w:uiPriority w:val="0"/>
    <w:rPr>
      <w:rFonts w:ascii="Calibri" w:hAnsi="Calibri" w:eastAsia="宋体" w:cs="Times New Roman"/>
      <w:kern w:val="2"/>
      <w:sz w:val="18"/>
      <w:szCs w:val="18"/>
    </w:rPr>
  </w:style>
  <w:style w:type="character" w:customStyle="1" w:styleId="203">
    <w:name w:val="批注框文本 Char1"/>
    <w:autoRedefine/>
    <w:qFormat/>
    <w:uiPriority w:val="0"/>
    <w:rPr>
      <w:rFonts w:ascii="Calibri" w:hAnsi="Calibri" w:eastAsia="宋体" w:cs="Times New Roman"/>
      <w:kern w:val="2"/>
      <w:sz w:val="18"/>
      <w:szCs w:val="18"/>
    </w:rPr>
  </w:style>
  <w:style w:type="character" w:customStyle="1" w:styleId="204">
    <w:name w:val="文档结构图 Char"/>
    <w:link w:val="15"/>
    <w:autoRedefine/>
    <w:qFormat/>
    <w:uiPriority w:val="0"/>
    <w:rPr>
      <w:rFonts w:ascii="Times New Roman" w:hAnsi="Times New Roman" w:eastAsia="宋体" w:cs="Times New Roman"/>
      <w:kern w:val="0"/>
      <w:sz w:val="20"/>
      <w:szCs w:val="24"/>
      <w:shd w:val="clear" w:color="auto" w:fill="000080"/>
    </w:rPr>
  </w:style>
  <w:style w:type="character" w:customStyle="1" w:styleId="205">
    <w:name w:val="引用 Char"/>
    <w:link w:val="206"/>
    <w:autoRedefine/>
    <w:qFormat/>
    <w:uiPriority w:val="0"/>
    <w:rPr>
      <w:rFonts w:ascii="Calibri" w:hAnsi="Calibri" w:eastAsia="宋体" w:cs="Times New Roman"/>
      <w:i/>
      <w:iCs/>
      <w:color w:val="000000"/>
    </w:rPr>
  </w:style>
  <w:style w:type="paragraph" w:styleId="206">
    <w:name w:val="Quote"/>
    <w:basedOn w:val="1"/>
    <w:next w:val="1"/>
    <w:link w:val="205"/>
    <w:autoRedefine/>
    <w:qFormat/>
    <w:uiPriority w:val="0"/>
    <w:pPr>
      <w:spacing w:line="240" w:lineRule="auto"/>
      <w:jc w:val="both"/>
    </w:pPr>
    <w:rPr>
      <w:rFonts w:ascii="Calibri" w:hAnsi="Calibri" w:eastAsia="宋体" w:cs="Times New Roman"/>
      <w:i/>
      <w:iCs/>
      <w:color w:val="000000"/>
    </w:rPr>
  </w:style>
  <w:style w:type="character" w:customStyle="1" w:styleId="207">
    <w:name w:val="标题 5 Char"/>
    <w:link w:val="6"/>
    <w:autoRedefine/>
    <w:qFormat/>
    <w:uiPriority w:val="0"/>
    <w:rPr>
      <w:rFonts w:ascii="宋体" w:hAnsi="宋体" w:eastAsia="宋体" w:cs="宋体"/>
      <w:sz w:val="36"/>
      <w:szCs w:val="36"/>
    </w:rPr>
  </w:style>
  <w:style w:type="character" w:customStyle="1" w:styleId="208">
    <w:name w:val="批注主题 Char1"/>
    <w:autoRedefine/>
    <w:qFormat/>
    <w:uiPriority w:val="0"/>
    <w:rPr>
      <w:rFonts w:ascii="Calibri" w:hAnsi="Calibri" w:eastAsia="宋体" w:cs="Times New Roman"/>
      <w:b/>
      <w:bCs/>
      <w:kern w:val="2"/>
      <w:sz w:val="21"/>
      <w:szCs w:val="22"/>
    </w:rPr>
  </w:style>
  <w:style w:type="character" w:customStyle="1" w:styleId="209">
    <w:name w:val="正文文本 Char"/>
    <w:link w:val="18"/>
    <w:autoRedefine/>
    <w:qFormat/>
    <w:uiPriority w:val="0"/>
    <w:rPr>
      <w:rFonts w:ascii="Times New Roman" w:hAnsi="Times New Roman" w:eastAsia="宋体" w:cs="Times New Roman"/>
    </w:rPr>
  </w:style>
  <w:style w:type="character" w:customStyle="1" w:styleId="210">
    <w:name w:val="批注框文本 Char"/>
    <w:link w:val="27"/>
    <w:autoRedefine/>
    <w:qFormat/>
    <w:uiPriority w:val="0"/>
    <w:rPr>
      <w:rFonts w:ascii="宋体" w:hAnsi="Times New Roman" w:eastAsia="宋体" w:cs="Times New Roman"/>
      <w:sz w:val="18"/>
      <w:szCs w:val="18"/>
    </w:rPr>
  </w:style>
  <w:style w:type="character" w:customStyle="1" w:styleId="211">
    <w:name w:val="标题 8 Char"/>
    <w:link w:val="9"/>
    <w:autoRedefine/>
    <w:qFormat/>
    <w:uiPriority w:val="0"/>
    <w:rPr>
      <w:rFonts w:ascii="Cambria" w:hAnsi="Cambria" w:eastAsia="宋体" w:cs="Times New Roman"/>
      <w:kern w:val="2"/>
      <w:sz w:val="24"/>
      <w:szCs w:val="24"/>
    </w:rPr>
  </w:style>
  <w:style w:type="character" w:customStyle="1" w:styleId="212">
    <w:name w:val="批注主题 Char"/>
    <w:link w:val="43"/>
    <w:autoRedefine/>
    <w:qFormat/>
    <w:uiPriority w:val="0"/>
    <w:rPr>
      <w:rFonts w:ascii="宋体" w:hAnsi="Times New Roman" w:eastAsia="宋体" w:cs="Times New Roman"/>
      <w:b/>
      <w:bCs/>
      <w:kern w:val="0"/>
      <w:sz w:val="28"/>
      <w:szCs w:val="20"/>
    </w:rPr>
  </w:style>
  <w:style w:type="character" w:customStyle="1" w:styleId="213">
    <w:name w:val="标题 4 Char"/>
    <w:link w:val="5"/>
    <w:autoRedefine/>
    <w:qFormat/>
    <w:uiPriority w:val="0"/>
    <w:rPr>
      <w:rFonts w:ascii="Cambria" w:hAnsi="Cambria" w:eastAsia="宋体" w:cs="Times New Roman"/>
      <w:b/>
      <w:bCs/>
      <w:kern w:val="2"/>
      <w:sz w:val="28"/>
      <w:szCs w:val="28"/>
    </w:rPr>
  </w:style>
  <w:style w:type="character" w:customStyle="1" w:styleId="214">
    <w:name w:val="日期 Char1"/>
    <w:autoRedefine/>
    <w:qFormat/>
    <w:uiPriority w:val="0"/>
    <w:rPr>
      <w:rFonts w:ascii="Calibri" w:hAnsi="Calibri" w:eastAsia="宋体" w:cs="Times New Roman"/>
      <w:kern w:val="2"/>
      <w:sz w:val="21"/>
      <w:szCs w:val="22"/>
    </w:rPr>
  </w:style>
  <w:style w:type="character" w:customStyle="1" w:styleId="215">
    <w:name w:val="_Style 210"/>
    <w:autoRedefine/>
    <w:qFormat/>
    <w:uiPriority w:val="0"/>
    <w:rPr>
      <w:rFonts w:ascii="Calibri" w:hAnsi="Calibri" w:eastAsia="宋体" w:cs="Times New Roman"/>
      <w:b/>
      <w:bCs/>
      <w:i/>
      <w:iCs/>
      <w:color w:val="4F81BD"/>
    </w:rPr>
  </w:style>
  <w:style w:type="character" w:customStyle="1" w:styleId="216">
    <w:name w:val="textcontents"/>
    <w:autoRedefine/>
    <w:qFormat/>
    <w:uiPriority w:val="0"/>
    <w:rPr>
      <w:rFonts w:ascii="Calibri" w:hAnsi="Calibri" w:eastAsia="宋体" w:cs="Times New Roman"/>
    </w:rPr>
  </w:style>
  <w:style w:type="character" w:customStyle="1" w:styleId="217">
    <w:name w:val="_Style 212"/>
    <w:autoRedefine/>
    <w:qFormat/>
    <w:uiPriority w:val="0"/>
    <w:rPr>
      <w:rFonts w:ascii="Calibri" w:hAnsi="Calibri" w:eastAsia="宋体" w:cs="Times New Roman"/>
      <w:smallCaps/>
      <w:color w:val="C0504D"/>
      <w:u w:val="single"/>
    </w:rPr>
  </w:style>
  <w:style w:type="character" w:customStyle="1" w:styleId="218">
    <w:name w:val="批注文字 Char Char"/>
    <w:autoRedefine/>
    <w:qFormat/>
    <w:uiPriority w:val="0"/>
    <w:rPr>
      <w:rFonts w:ascii="宋体" w:hAnsi="Times New Roman" w:eastAsia="宋体" w:cs="Times New Roman"/>
      <w:sz w:val="28"/>
      <w:szCs w:val="20"/>
    </w:rPr>
  </w:style>
  <w:style w:type="character" w:customStyle="1" w:styleId="219">
    <w:name w:val="标题 9 Char"/>
    <w:link w:val="10"/>
    <w:autoRedefine/>
    <w:qFormat/>
    <w:uiPriority w:val="0"/>
    <w:rPr>
      <w:rFonts w:ascii="Cambria" w:hAnsi="Cambria" w:eastAsia="宋体" w:cs="Times New Roman"/>
      <w:szCs w:val="21"/>
    </w:rPr>
  </w:style>
  <w:style w:type="character" w:customStyle="1" w:styleId="220">
    <w:name w:val="标题 2 Char"/>
    <w:link w:val="3"/>
    <w:autoRedefine/>
    <w:qFormat/>
    <w:uiPriority w:val="0"/>
    <w:rPr>
      <w:rFonts w:ascii="Cambria" w:hAnsi="Cambria" w:eastAsia="宋体" w:cs="Times New Roman"/>
      <w:b/>
      <w:bCs/>
      <w:kern w:val="2"/>
      <w:sz w:val="32"/>
      <w:szCs w:val="32"/>
    </w:rPr>
  </w:style>
  <w:style w:type="character" w:customStyle="1" w:styleId="221">
    <w:name w:val="标题 3 Char"/>
    <w:link w:val="4"/>
    <w:autoRedefine/>
    <w:qFormat/>
    <w:uiPriority w:val="0"/>
    <w:rPr>
      <w:rFonts w:ascii="Calibri" w:hAnsi="Calibri" w:eastAsia="宋体" w:cs="Times New Roman"/>
      <w:b/>
      <w:bCs/>
      <w:kern w:val="2"/>
      <w:sz w:val="32"/>
      <w:szCs w:val="32"/>
    </w:rPr>
  </w:style>
  <w:style w:type="character" w:customStyle="1" w:styleId="222">
    <w:name w:val="标题 Char"/>
    <w:link w:val="42"/>
    <w:autoRedefine/>
    <w:qFormat/>
    <w:uiPriority w:val="0"/>
    <w:rPr>
      <w:rFonts w:ascii="Cambria" w:hAnsi="Cambria" w:eastAsia="宋体" w:cs="Times New Roman"/>
      <w:b/>
      <w:bCs/>
      <w:sz w:val="32"/>
      <w:szCs w:val="32"/>
    </w:rPr>
  </w:style>
  <w:style w:type="character" w:customStyle="1" w:styleId="223">
    <w:name w:val="标题 6 Char"/>
    <w:link w:val="7"/>
    <w:autoRedefine/>
    <w:qFormat/>
    <w:uiPriority w:val="0"/>
    <w:rPr>
      <w:rFonts w:ascii="Cambria" w:hAnsi="Cambria" w:eastAsia="宋体" w:cs="Times New Roman"/>
      <w:b/>
      <w:bCs/>
      <w:sz w:val="24"/>
      <w:szCs w:val="24"/>
    </w:rPr>
  </w:style>
  <w:style w:type="character" w:customStyle="1" w:styleId="224">
    <w:name w:val="副标题 Char"/>
    <w:link w:val="33"/>
    <w:autoRedefine/>
    <w:qFormat/>
    <w:uiPriority w:val="0"/>
    <w:rPr>
      <w:rFonts w:ascii="Cambria" w:hAnsi="Cambria" w:eastAsia="宋体" w:cs="Times New Roman"/>
      <w:b/>
      <w:bCs/>
      <w:kern w:val="28"/>
      <w:sz w:val="32"/>
      <w:szCs w:val="32"/>
    </w:rPr>
  </w:style>
  <w:style w:type="character" w:customStyle="1" w:styleId="225">
    <w:name w:val="页脚 Char"/>
    <w:link w:val="28"/>
    <w:autoRedefine/>
    <w:qFormat/>
    <w:uiPriority w:val="0"/>
    <w:rPr>
      <w:rFonts w:ascii="Calibri" w:hAnsi="Calibri" w:eastAsia="宋体" w:cs="Times New Roman"/>
      <w:kern w:val="2"/>
      <w:sz w:val="18"/>
      <w:szCs w:val="18"/>
    </w:rPr>
  </w:style>
  <w:style w:type="character" w:customStyle="1" w:styleId="226">
    <w:name w:val="文档结构图 Char1"/>
    <w:autoRedefine/>
    <w:qFormat/>
    <w:uiPriority w:val="0"/>
    <w:rPr>
      <w:rFonts w:ascii="宋体" w:hAnsi="Calibri" w:eastAsia="宋体" w:cs="Times New Roman"/>
      <w:kern w:val="2"/>
      <w:sz w:val="18"/>
      <w:szCs w:val="18"/>
    </w:rPr>
  </w:style>
  <w:style w:type="paragraph" w:customStyle="1" w:styleId="227">
    <w:name w:val="_Style 222"/>
    <w:autoRedefine/>
    <w:qFormat/>
    <w:uiPriority w:val="0"/>
    <w:rPr>
      <w:rFonts w:ascii="Times New Roman" w:hAnsi="Times New Roman" w:eastAsia="宋体" w:cs="Times New Roman"/>
      <w:kern w:val="2"/>
      <w:sz w:val="21"/>
      <w:szCs w:val="24"/>
      <w:lang w:val="en-US" w:eastAsia="zh-CN" w:bidi="ar-SA"/>
    </w:rPr>
  </w:style>
  <w:style w:type="paragraph" w:customStyle="1" w:styleId="228">
    <w:name w:val="_Style 223"/>
    <w:basedOn w:val="2"/>
    <w:next w:val="1"/>
    <w:autoRedefine/>
    <w:qFormat/>
    <w:uiPriority w:val="0"/>
    <w:pPr>
      <w:spacing w:before="340" w:beforeLines="0" w:after="330" w:afterLines="0" w:line="576" w:lineRule="auto"/>
      <w:jc w:val="both"/>
      <w:outlineLvl w:val="9"/>
    </w:pPr>
    <w:rPr>
      <w:rFonts w:ascii="Calibri" w:hAnsi="Calibri" w:eastAsia="宋体" w:cs="Times New Roman"/>
      <w:b w:val="0"/>
      <w:bCs w:val="0"/>
      <w:sz w:val="44"/>
    </w:rPr>
  </w:style>
  <w:style w:type="paragraph" w:customStyle="1" w:styleId="229">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kern w:val="0"/>
      <w:sz w:val="30"/>
      <w:szCs w:val="20"/>
    </w:rPr>
  </w:style>
  <w:style w:type="paragraph" w:customStyle="1" w:styleId="230">
    <w:name w:val="flNote"/>
    <w:basedOn w:val="1"/>
    <w:autoRedefine/>
    <w:qFormat/>
    <w:uiPriority w:val="0"/>
    <w:pPr>
      <w:adjustRightInd w:val="0"/>
      <w:spacing w:before="320" w:beforeLines="0" w:after="160" w:afterLines="0" w:line="360" w:lineRule="atLeast"/>
      <w:jc w:val="center"/>
      <w:textAlignment w:val="baseline"/>
    </w:pPr>
    <w:rPr>
      <w:rFonts w:ascii="Arial" w:hAnsi="Times New Roman" w:eastAsia="黑体" w:cs="Times New Roman"/>
      <w:kern w:val="0"/>
      <w:sz w:val="30"/>
      <w:szCs w:val="20"/>
    </w:rPr>
  </w:style>
  <w:style w:type="paragraph" w:customStyle="1" w:styleId="231">
    <w:name w:val="Table Text"/>
    <w:basedOn w:val="1"/>
    <w:autoRedefine/>
    <w:semiHidden/>
    <w:qFormat/>
    <w:uiPriority w:val="0"/>
    <w:rPr>
      <w:rFonts w:ascii="宋体" w:hAnsi="宋体" w:eastAsia="宋体" w:cs="宋体"/>
      <w:sz w:val="18"/>
      <w:szCs w:val="18"/>
      <w:lang w:val="en-US" w:eastAsia="en-US" w:bidi="ar-SA"/>
    </w:rPr>
  </w:style>
  <w:style w:type="paragraph" w:customStyle="1" w:styleId="232">
    <w:name w:val="_Style 3"/>
    <w:basedOn w:val="2"/>
    <w:next w:val="1"/>
    <w:autoRedefine/>
    <w:qFormat/>
    <w:uiPriority w:val="0"/>
    <w:pPr>
      <w:outlineLvl w:val="9"/>
    </w:pPr>
  </w:style>
  <w:style w:type="character" w:customStyle="1" w:styleId="233">
    <w:name w:val="font21"/>
    <w:basedOn w:val="48"/>
    <w:autoRedefine/>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148</Pages>
  <Words>12561</Words>
  <Characters>13593</Characters>
  <Lines>406</Lines>
  <Paragraphs>114</Paragraphs>
  <TotalTime>26</TotalTime>
  <ScaleCrop>false</ScaleCrop>
  <LinksUpToDate>false</LinksUpToDate>
  <CharactersWithSpaces>13854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2020-07-20T09:54:00Z</dcterms:created>
  <dc:creator>NTKO</dc:creator>
  <cp:lastModifiedBy>河南省伟信招标管理咨询有限公司</cp:lastModifiedBy>
  <cp:lastPrinted>2024-04-11T04:52:00Z</cp:lastPrinted>
  <dcterms:modified xsi:type="dcterms:W3CDTF">2024-11-06T03:50:45Z</dcterms:modified>
  <dc:title>郑州市盲聋哑学校智能聋生手语翻译显示设备采购项目                      招标文件</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91A4BE1FC465426CB6DF4D095190EB24_13</vt:lpwstr>
  </property>
  <property fmtid="{D5CDD505-2E9C-101B-9397-08002B2CF9AE}" pid="4" name="commondata">
    <vt:lpwstr>eyJoZGlkIjoiMjMzYTk3N2NhNGI1YzMxOTM0OGRjNmQ4NGYzNTNmMGMifQ==</vt:lpwstr>
  </property>
</Properties>
</file>