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F090">
      <w:pPr>
        <w:jc w:val="center"/>
        <w:rPr>
          <w:rFonts w:hint="default" w:ascii="Times New Roman" w:hAnsi="Times New Roman" w:eastAsia="宋体" w:cs="Times New Roman"/>
          <w:b/>
          <w:color w:val="auto"/>
          <w:sz w:val="56"/>
          <w:szCs w:val="56"/>
          <w:lang w:val="en-US" w:eastAsia="zh-CN"/>
        </w:rPr>
      </w:pPr>
      <w:r>
        <w:rPr>
          <w:rFonts w:hint="default" w:ascii="Times New Roman" w:hAnsi="Times New Roman" w:eastAsia="宋体" w:cs="Times New Roman"/>
          <w:b/>
          <w:color w:val="auto"/>
          <w:spacing w:val="20"/>
          <w:sz w:val="56"/>
          <w:szCs w:val="56"/>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宋体" w:cs="Times New Roman"/>
          <w:b/>
          <w:color w:val="auto"/>
          <w:spacing w:val="20"/>
          <w:sz w:val="56"/>
          <w:szCs w:val="56"/>
          <w:lang w:val="en-US" w:eastAsia="zh-CN"/>
        </w:rPr>
        <w:instrText xml:space="preserve">ADDIN CNKISM.UserStyle</w:instrText>
      </w:r>
      <w:r>
        <w:rPr>
          <w:rFonts w:hint="default" w:ascii="Times New Roman" w:hAnsi="Times New Roman" w:eastAsia="宋体" w:cs="Times New Roman"/>
          <w:b/>
          <w:color w:val="auto"/>
          <w:spacing w:val="20"/>
          <w:sz w:val="56"/>
          <w:szCs w:val="56"/>
          <w:lang w:val="en-US" w:eastAsia="zh-CN"/>
        </w:rPr>
        <w:fldChar w:fldCharType="separate"/>
      </w:r>
      <w:r>
        <w:rPr>
          <w:rFonts w:hint="default" w:ascii="Times New Roman" w:hAnsi="Times New Roman" w:eastAsia="宋体" w:cs="Times New Roman"/>
          <w:b/>
          <w:color w:val="auto"/>
          <w:spacing w:val="20"/>
          <w:sz w:val="56"/>
          <w:szCs w:val="56"/>
          <w:lang w:val="en-US" w:eastAsia="zh-CN"/>
        </w:rPr>
        <w:fldChar w:fldCharType="end"/>
      </w:r>
      <w:r>
        <w:rPr>
          <w:rFonts w:ascii="Times New Roman" w:hAnsi="Times New Roman" w:eastAsia="宋体" w:cs="Times New Roman"/>
          <w:b/>
          <w:color w:val="auto"/>
          <w:spacing w:val="20"/>
          <w:sz w:val="56"/>
          <w:szCs w:val="56"/>
          <w:lang w:val="en-US" w:eastAsia="zh-CN"/>
        </w:rPr>
        <w:t>郑州信息科技职业学院东校区加装电梯-电梯采购及安装项目</w:t>
      </w:r>
      <w:r>
        <w:rPr>
          <w:rFonts w:hint="default" w:ascii="Times New Roman" w:hAnsi="Times New Roman" w:eastAsia="宋体" w:cs="Times New Roman"/>
          <w:b/>
          <w:color w:val="auto"/>
          <w:sz w:val="56"/>
          <w:szCs w:val="56"/>
          <w:lang w:val="en-US" w:eastAsia="zh-CN"/>
        </w:rPr>
        <w:t xml:space="preserve"> </w:t>
      </w:r>
    </w:p>
    <w:p w14:paraId="442B7F2F">
      <w:pPr>
        <w:pStyle w:val="12"/>
        <w:rPr>
          <w:rFonts w:hint="default" w:ascii="Times New Roman" w:hAnsi="Times New Roman" w:eastAsia="宋体" w:cs="Times New Roman"/>
          <w:b/>
          <w:color w:val="auto"/>
          <w:sz w:val="56"/>
          <w:szCs w:val="56"/>
          <w:lang w:val="en-US" w:eastAsia="zh-CN"/>
        </w:rPr>
      </w:pPr>
    </w:p>
    <w:p w14:paraId="1D22EC7F">
      <w:pPr>
        <w:rPr>
          <w:rFonts w:hint="default" w:ascii="Times New Roman" w:hAnsi="Times New Roman" w:eastAsia="宋体" w:cs="Times New Roman"/>
          <w:b/>
          <w:color w:val="auto"/>
          <w:sz w:val="56"/>
          <w:szCs w:val="56"/>
          <w:lang w:val="en-US" w:eastAsia="zh-CN"/>
        </w:rPr>
      </w:pPr>
    </w:p>
    <w:p w14:paraId="5A3EB680">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2746B11A">
      <w:pPr>
        <w:tabs>
          <w:tab w:val="left" w:pos="1950"/>
        </w:tabs>
        <w:jc w:val="left"/>
        <w:rPr>
          <w:rFonts w:hint="default" w:ascii="Times New Roman" w:hAnsi="Times New Roman" w:eastAsia="宋体" w:cs="Times New Roman"/>
          <w:b/>
          <w:bCs/>
          <w:color w:val="auto"/>
          <w:lang w:val="en-US" w:eastAsia="zh-CN"/>
        </w:rPr>
      </w:pPr>
    </w:p>
    <w:p w14:paraId="43F869C4">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791607CC">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eastAsia="zh-CN"/>
        </w:rPr>
        <w:t>豫财招标采购-2025-1164</w:t>
      </w:r>
    </w:p>
    <w:p w14:paraId="0E73C223">
      <w:pPr>
        <w:pStyle w:val="100"/>
        <w:rPr>
          <w:rFonts w:ascii="Times New Roman" w:hAnsi="Times New Roman" w:cs="Times New Roman"/>
          <w:lang w:val="en"/>
        </w:rPr>
      </w:pPr>
    </w:p>
    <w:p w14:paraId="16359D22">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114300" distR="114300">
            <wp:extent cx="1398905" cy="139890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398905" cy="1398905"/>
                    </a:xfrm>
                    <a:prstGeom prst="rect">
                      <a:avLst/>
                    </a:prstGeom>
                    <a:noFill/>
                    <a:ln>
                      <a:noFill/>
                    </a:ln>
                  </pic:spPr>
                </pic:pic>
              </a:graphicData>
            </a:graphic>
          </wp:inline>
        </w:drawing>
      </w:r>
    </w:p>
    <w:p w14:paraId="23D160E2">
      <w:pPr>
        <w:spacing w:line="240" w:lineRule="atLeast"/>
        <w:ind w:left="1080" w:hanging="540"/>
        <w:jc w:val="center"/>
        <w:rPr>
          <w:rFonts w:hint="default" w:ascii="Times New Roman" w:hAnsi="Times New Roman" w:eastAsia="宋体" w:cs="Times New Roman"/>
          <w:b/>
          <w:bCs/>
          <w:color w:val="auto"/>
          <w:sz w:val="28"/>
          <w:szCs w:val="28"/>
          <w:lang w:val="en-US"/>
        </w:rPr>
      </w:pPr>
    </w:p>
    <w:p w14:paraId="35943029">
      <w:pPr>
        <w:spacing w:line="240" w:lineRule="atLeast"/>
        <w:ind w:left="1080" w:hanging="540"/>
        <w:jc w:val="center"/>
        <w:rPr>
          <w:rFonts w:hint="default" w:ascii="Times New Roman" w:hAnsi="Times New Roman" w:eastAsia="宋体" w:cs="Times New Roman"/>
          <w:b/>
          <w:bCs/>
          <w:color w:val="auto"/>
          <w:sz w:val="28"/>
          <w:szCs w:val="28"/>
          <w:lang w:val="en-US"/>
        </w:rPr>
      </w:pPr>
    </w:p>
    <w:p w14:paraId="7B9756AE">
      <w:pPr>
        <w:pStyle w:val="12"/>
        <w:rPr>
          <w:rFonts w:hint="default" w:ascii="Times New Roman" w:hAnsi="Times New Roman" w:eastAsia="宋体" w:cs="Times New Roman"/>
          <w:b/>
          <w:bCs/>
          <w:color w:val="auto"/>
          <w:sz w:val="28"/>
          <w:szCs w:val="28"/>
          <w:lang w:val="en-US"/>
        </w:rPr>
      </w:pPr>
    </w:p>
    <w:p w14:paraId="6FBDB078">
      <w:pPr>
        <w:rPr>
          <w:lang w:val="en-US"/>
        </w:rPr>
      </w:pPr>
    </w:p>
    <w:p w14:paraId="77164A52">
      <w:pPr>
        <w:spacing w:line="240" w:lineRule="atLeast"/>
        <w:ind w:left="1080" w:hanging="540"/>
        <w:jc w:val="center"/>
        <w:rPr>
          <w:rFonts w:hint="default" w:ascii="Times New Roman" w:hAnsi="Times New Roman" w:eastAsia="宋体" w:cs="Times New Roman"/>
          <w:b/>
          <w:bCs/>
          <w:color w:val="auto"/>
          <w:sz w:val="28"/>
          <w:szCs w:val="28"/>
          <w:lang w:val="en-US"/>
        </w:rPr>
      </w:pPr>
    </w:p>
    <w:p w14:paraId="7968EB32">
      <w:pPr>
        <w:spacing w:line="700" w:lineRule="exact"/>
        <w:ind w:left="1050" w:leftChars="500"/>
        <w:rPr>
          <w:rFonts w:hint="default" w:ascii="Times New Roman" w:hAnsi="Times New Roman" w:eastAsia="宋体" w:cs="Times New Roman"/>
          <w:b/>
          <w:color w:val="auto"/>
          <w:sz w:val="36"/>
          <w:szCs w:val="36"/>
          <w:highlight w:val="yellow"/>
          <w:lang w:eastAsia="zh-CN"/>
        </w:rPr>
      </w:pPr>
      <w:r>
        <w:rPr>
          <w:rFonts w:hint="default" w:ascii="Times New Roman" w:hAnsi="Times New Roman" w:eastAsia="宋体" w:cs="Times New Roman"/>
          <w:b/>
          <w:color w:val="auto"/>
          <w:sz w:val="36"/>
          <w:szCs w:val="36"/>
          <w:lang w:eastAsia="zh-CN"/>
        </w:rPr>
        <w:t>采   购   人：</w:t>
      </w:r>
      <w:r>
        <w:rPr>
          <w:rFonts w:ascii="Times New Roman" w:hAnsi="Times New Roman" w:eastAsia="宋体" w:cs="Times New Roman"/>
          <w:b/>
          <w:color w:val="auto"/>
          <w:sz w:val="36"/>
          <w:szCs w:val="36"/>
          <w:lang w:eastAsia="zh-CN"/>
        </w:rPr>
        <w:t>郑州信息科技职业学院</w:t>
      </w:r>
    </w:p>
    <w:p w14:paraId="161A6EA0">
      <w:pPr>
        <w:spacing w:line="700" w:lineRule="exact"/>
        <w:ind w:left="1050" w:leftChars="500"/>
        <w:rPr>
          <w:rFonts w:hint="default" w:ascii="Times New Roman" w:hAnsi="Times New Roman" w:eastAsia="宋体" w:cs="Times New Roman"/>
          <w:b/>
          <w:color w:val="auto"/>
          <w:sz w:val="36"/>
          <w:szCs w:val="36"/>
          <w:highlight w:val="yellow"/>
          <w:lang w:eastAsia="zh-CN"/>
        </w:rPr>
      </w:pPr>
      <w:r>
        <w:rPr>
          <w:rFonts w:hint="default" w:ascii="Times New Roman" w:hAnsi="Times New Roman" w:eastAsia="宋体" w:cs="Times New Roman"/>
          <w:b/>
          <w:color w:val="auto"/>
          <w:sz w:val="36"/>
          <w:szCs w:val="36"/>
          <w:lang w:eastAsia="zh-CN"/>
        </w:rPr>
        <w:t>集中采购机构：河南省公共资源交易中心</w:t>
      </w:r>
    </w:p>
    <w:p w14:paraId="0872C6E2">
      <w:pPr>
        <w:jc w:val="center"/>
        <w:rPr>
          <w:rFonts w:hint="default" w:ascii="Times New Roman" w:hAnsi="Times New Roman" w:eastAsia="宋体" w:cs="Times New Roman"/>
          <w:b/>
          <w:bCs/>
          <w:color w:val="auto"/>
          <w:lang w:val="en-US" w:eastAsia="zh-CN"/>
        </w:rPr>
      </w:pPr>
    </w:p>
    <w:p w14:paraId="09E9D49A">
      <w:pPr>
        <w:spacing w:line="240" w:lineRule="atLeast"/>
        <w:jc w:val="center"/>
        <w:rPr>
          <w:rFonts w:hint="default" w:ascii="Times New Roman" w:hAnsi="Times New Roman" w:eastAsia="宋体" w:cs="Times New Roman"/>
          <w:b/>
          <w:color w:val="auto"/>
          <w:sz w:val="36"/>
          <w:szCs w:val="36"/>
        </w:rPr>
      </w:pPr>
      <w:r>
        <w:rPr>
          <w:rFonts w:ascii="Times New Roman" w:hAnsi="Times New Roman" w:eastAsia="宋体" w:cs="Times New Roman"/>
          <w:b/>
          <w:bCs/>
          <w:color w:val="auto"/>
          <w:sz w:val="36"/>
          <w:szCs w:val="36"/>
          <w:lang w:val="en" w:eastAsia="zh-CN"/>
        </w:rPr>
        <w:t>2025年</w:t>
      </w:r>
      <w:r>
        <w:rPr>
          <w:rFonts w:ascii="Times New Roman" w:hAnsi="Times New Roman" w:eastAsia="宋体" w:cs="Times New Roman"/>
          <w:b/>
          <w:bCs/>
          <w:color w:val="auto"/>
          <w:sz w:val="36"/>
          <w:szCs w:val="36"/>
          <w:lang w:val="en-US" w:eastAsia="zh-CN"/>
        </w:rPr>
        <w:t>10</w:t>
      </w:r>
      <w:r>
        <w:rPr>
          <w:rFonts w:ascii="Times New Roman" w:hAnsi="Times New Roman" w:eastAsia="宋体" w:cs="Times New Roman"/>
          <w:b/>
          <w:bCs/>
          <w:color w:val="auto"/>
          <w:sz w:val="36"/>
          <w:szCs w:val="36"/>
          <w:lang w:val="en" w:eastAsia="zh-CN"/>
        </w:rPr>
        <w:t>月</w:t>
      </w:r>
    </w:p>
    <w:p w14:paraId="0CD79194">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14:paraId="4186EF03">
      <w:pPr>
        <w:pStyle w:val="99"/>
        <w:rPr>
          <w:rFonts w:ascii="Times New Roman" w:hAnsi="Times New Roman" w:cs="Times New Roman"/>
        </w:rPr>
      </w:pPr>
    </w:p>
    <w:p w14:paraId="79E37880">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b/>
          <w:bCs/>
          <w:color w:val="auto"/>
          <w:sz w:val="44"/>
          <w:szCs w:val="44"/>
        </w:rPr>
        <w:t>目</w:t>
      </w:r>
      <w:r>
        <w:rPr>
          <w:rFonts w:hint="default" w:ascii="Times New Roman" w:hAnsi="Times New Roman" w:eastAsia="宋体" w:cs="Times New Roman"/>
          <w:b/>
          <w:bCs/>
          <w:color w:val="auto"/>
          <w:sz w:val="44"/>
          <w:szCs w:val="44"/>
          <w:lang w:val="en"/>
        </w:rPr>
        <w:t xml:space="preserve"> </w:t>
      </w:r>
      <w:r>
        <w:rPr>
          <w:rFonts w:hint="default" w:ascii="Times New Roman" w:hAnsi="Times New Roman" w:eastAsia="宋体" w:cs="Times New Roman"/>
          <w:b/>
          <w:bCs/>
          <w:color w:val="auto"/>
          <w:sz w:val="44"/>
          <w:szCs w:val="44"/>
        </w:rPr>
        <w:t>录</w:t>
      </w:r>
    </w:p>
    <w:bookmarkEnd w:id="0"/>
    <w:p w14:paraId="421022BA">
      <w:pPr>
        <w:pStyle w:val="32"/>
        <w:tabs>
          <w:tab w:val="right" w:leader="dot" w:pos="8306"/>
        </w:tabs>
        <w:spacing w:line="360" w:lineRule="auto"/>
        <w:rPr>
          <w:rFonts w:ascii="Times New Roman" w:hAnsi="Times New Roman"/>
          <w:sz w:val="32"/>
          <w:szCs w:val="32"/>
        </w:rPr>
      </w:pPr>
    </w:p>
    <w:p w14:paraId="50810892">
      <w:pPr>
        <w:pStyle w:val="32"/>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fldChar w:fldCharType="begin"/>
      </w:r>
      <w:r>
        <w:instrText xml:space="preserve"> HYPERLINK \l "_Toc1653908397" </w:instrText>
      </w:r>
      <w:r>
        <w:fldChar w:fldCharType="separate"/>
      </w:r>
      <w:r>
        <w:rPr>
          <w:rFonts w:hint="eastAsia" w:ascii="仿宋_GB2312" w:hAnsi="仿宋_GB2312" w:eastAsia="仿宋_GB2312" w:cs="仿宋_GB2312"/>
          <w:sz w:val="32"/>
          <w:szCs w:val="32"/>
        </w:rPr>
        <w:t>第一章 投标邀请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_Toc1653908397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BEA06F">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"_Toc826019295" </w:instrText>
      </w:r>
      <w:r>
        <w:fldChar w:fldCharType="separate"/>
      </w:r>
      <w:r>
        <w:rPr>
          <w:rFonts w:hint="eastAsia" w:ascii="仿宋_GB2312" w:hAnsi="仿宋_GB2312" w:eastAsia="仿宋_GB2312" w:cs="仿宋_GB2312"/>
          <w:sz w:val="32"/>
          <w:szCs w:val="32"/>
        </w:rPr>
        <w:t>第二章 投标人</w:t>
      </w:r>
      <w:bookmarkStart w:id="1" w:name="_Hlt145347466"/>
      <w:bookmarkStart w:id="2" w:name="_Hlt145347467"/>
      <w:r>
        <w:rPr>
          <w:rFonts w:hint="eastAsia" w:ascii="仿宋_GB2312" w:hAnsi="仿宋_GB2312" w:eastAsia="仿宋_GB2312" w:cs="仿宋_GB2312"/>
          <w:sz w:val="32"/>
          <w:szCs w:val="32"/>
        </w:rPr>
        <w:t>须</w:t>
      </w:r>
      <w:bookmarkEnd w:id="1"/>
      <w:bookmarkEnd w:id="2"/>
      <w:r>
        <w:rPr>
          <w:rFonts w:hint="eastAsia" w:ascii="仿宋_GB2312" w:hAnsi="仿宋_GB2312" w:eastAsia="仿宋_GB2312" w:cs="仿宋_GB2312"/>
          <w:sz w:val="32"/>
          <w:szCs w:val="32"/>
        </w:rPr>
        <w:t>知前附表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_Toc826019295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78B592">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"_Toc876903712"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_Toc876903712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F75866">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"_Toc893337798" </w:instrText>
      </w:r>
      <w:r>
        <w:fldChar w:fldCharType="separate"/>
      </w:r>
      <w:r>
        <w:rPr>
          <w:rFonts w:hint="eastAsia" w:ascii="仿宋_GB2312" w:hAnsi="仿宋_GB2312" w:eastAsia="仿宋_GB2312" w:cs="仿宋_GB2312"/>
          <w:sz w:val="32"/>
          <w:szCs w:val="32"/>
        </w:rPr>
        <w:t>第四章 资格证</w:t>
      </w:r>
      <w:bookmarkStart w:id="3" w:name="_Hlt145347476"/>
      <w:r>
        <w:rPr>
          <w:rFonts w:hint="eastAsia" w:ascii="仿宋_GB2312" w:hAnsi="仿宋_GB2312" w:eastAsia="仿宋_GB2312" w:cs="仿宋_GB2312"/>
          <w:sz w:val="32"/>
          <w:szCs w:val="32"/>
        </w:rPr>
        <w:t>明</w:t>
      </w:r>
      <w:bookmarkEnd w:id="3"/>
      <w:r>
        <w:rPr>
          <w:rFonts w:hint="eastAsia" w:ascii="仿宋_GB2312" w:hAnsi="仿宋_GB2312" w:eastAsia="仿宋_GB2312" w:cs="仿宋_GB2312"/>
          <w:sz w:val="32"/>
          <w:szCs w:val="32"/>
        </w:rPr>
        <w:t>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_Toc893337798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ACC973">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"_Toc1398644272" </w:instrText>
      </w:r>
      <w:r>
        <w:fldChar w:fldCharType="separate"/>
      </w:r>
      <w:r>
        <w:rPr>
          <w:rFonts w:hint="eastAsia" w:ascii="仿宋_GB2312" w:hAnsi="仿宋_GB2312" w:eastAsia="仿宋_GB2312" w:cs="仿宋_GB2312"/>
          <w:sz w:val="32"/>
          <w:szCs w:val="32"/>
        </w:rPr>
        <w:t>第五章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_Toc1398644272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B61761">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"_Toc208470034" </w:instrText>
      </w:r>
      <w:r>
        <w:fldChar w:fldCharType="separate"/>
      </w:r>
      <w:r>
        <w:rPr>
          <w:rFonts w:hint="eastAsia" w:ascii="仿宋_GB2312" w:hAnsi="仿宋_GB2312" w:eastAsia="仿宋_GB2312" w:cs="仿宋_GB2312"/>
          <w:bCs/>
          <w:kern w:val="44"/>
          <w:sz w:val="32"/>
          <w:szCs w:val="32"/>
        </w:rPr>
        <w:t>第六章 项目需</w:t>
      </w:r>
      <w:bookmarkStart w:id="4" w:name="_Hlt145350581"/>
      <w:r>
        <w:rPr>
          <w:rFonts w:hint="eastAsia" w:ascii="仿宋_GB2312" w:hAnsi="仿宋_GB2312" w:eastAsia="仿宋_GB2312" w:cs="仿宋_GB2312"/>
          <w:bCs/>
          <w:kern w:val="44"/>
          <w:sz w:val="32"/>
          <w:szCs w:val="32"/>
        </w:rPr>
        <w:t>求</w:t>
      </w:r>
      <w:bookmarkEnd w:id="4"/>
      <w:r>
        <w:rPr>
          <w:rFonts w:hint="eastAsia" w:ascii="仿宋_GB2312" w:hAnsi="仿宋_GB2312" w:eastAsia="仿宋_GB2312" w:cs="仿宋_GB2312"/>
          <w:bCs/>
          <w:kern w:val="44"/>
          <w:sz w:val="32"/>
          <w:szCs w:val="32"/>
        </w:rPr>
        <w:t>及技术要求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_Toc208470034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C33E5D">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"_Toc358334306" </w:instrText>
      </w:r>
      <w:r>
        <w:fldChar w:fldCharType="separate"/>
      </w:r>
      <w:r>
        <w:rPr>
          <w:rFonts w:hint="eastAsia" w:ascii="仿宋_GB2312" w:hAnsi="仿宋_GB2312" w:eastAsia="仿宋_GB2312" w:cs="仿宋_GB2312"/>
          <w:bCs/>
          <w:kern w:val="44"/>
          <w:sz w:val="32"/>
          <w:szCs w:val="32"/>
        </w:rPr>
        <w:t>第七章 评标</w:t>
      </w:r>
      <w:bookmarkStart w:id="5" w:name="_Hlt145350891"/>
      <w:r>
        <w:rPr>
          <w:rFonts w:hint="eastAsia" w:ascii="仿宋_GB2312" w:hAnsi="仿宋_GB2312" w:eastAsia="仿宋_GB2312" w:cs="仿宋_GB2312"/>
          <w:bCs/>
          <w:kern w:val="44"/>
          <w:sz w:val="32"/>
          <w:szCs w:val="32"/>
        </w:rPr>
        <w:t>方</w:t>
      </w:r>
      <w:bookmarkEnd w:id="5"/>
      <w:r>
        <w:rPr>
          <w:rFonts w:hint="eastAsia" w:ascii="仿宋_GB2312" w:hAnsi="仿宋_GB2312" w:eastAsia="仿宋_GB2312" w:cs="仿宋_GB2312"/>
          <w:bCs/>
          <w:kern w:val="44"/>
          <w:sz w:val="32"/>
          <w:szCs w:val="32"/>
        </w:rPr>
        <w:t>法</w:t>
      </w:r>
      <w:bookmarkStart w:id="6" w:name="_Hlt145350590"/>
      <w:r>
        <w:rPr>
          <w:rFonts w:hint="eastAsia" w:ascii="仿宋_GB2312" w:hAnsi="仿宋_GB2312" w:eastAsia="仿宋_GB2312" w:cs="仿宋_GB2312"/>
          <w:bCs/>
          <w:kern w:val="44"/>
          <w:sz w:val="32"/>
          <w:szCs w:val="32"/>
        </w:rPr>
        <w:t>和</w:t>
      </w:r>
      <w:bookmarkEnd w:id="6"/>
      <w:r>
        <w:rPr>
          <w:rFonts w:hint="eastAsia" w:ascii="仿宋_GB2312" w:hAnsi="仿宋_GB2312" w:eastAsia="仿宋_GB2312" w:cs="仿宋_GB2312"/>
          <w:bCs/>
          <w:kern w:val="44"/>
          <w:sz w:val="32"/>
          <w:szCs w:val="32"/>
        </w:rPr>
        <w:t>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_Toc358334306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99B3A0">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"_Toc120110768" </w:instrText>
      </w:r>
      <w:r>
        <w:fldChar w:fldCharType="separate"/>
      </w:r>
      <w:r>
        <w:rPr>
          <w:rFonts w:hint="eastAsia" w:ascii="仿宋_GB2312" w:hAnsi="仿宋_GB2312" w:eastAsia="仿宋_GB2312" w:cs="仿宋_GB2312"/>
          <w:bCs/>
          <w:kern w:val="44"/>
          <w:sz w:val="32"/>
          <w:szCs w:val="32"/>
        </w:rPr>
        <w:t>第八章 政府采购合同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_Toc120110768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103749">
      <w:pPr>
        <w:pStyle w:val="32"/>
        <w:tabs>
          <w:tab w:val="right" w:leader="dot" w:pos="8306"/>
        </w:tabs>
        <w:rPr>
          <w:rFonts w:hint="eastAsia" w:ascii="仿宋_GB2312" w:hAnsi="仿宋_GB2312" w:eastAsia="仿宋_GB2312" w:cs="仿宋_GB2312"/>
          <w:sz w:val="32"/>
          <w:szCs w:val="32"/>
        </w:rPr>
      </w:pPr>
      <w:r>
        <w:fldChar w:fldCharType="begin"/>
      </w:r>
      <w:r>
        <w:instrText xml:space="preserve"> HYPERLINK \l "_Toc1535080439" </w:instrText>
      </w:r>
      <w:r>
        <w:fldChar w:fldCharType="separate"/>
      </w:r>
      <w:r>
        <w:rPr>
          <w:rFonts w:hint="eastAsia" w:ascii="仿宋_GB2312" w:hAnsi="仿宋_GB2312" w:eastAsia="仿宋_GB2312" w:cs="仿宋_GB2312"/>
          <w:bCs/>
          <w:kern w:val="44"/>
          <w:sz w:val="32"/>
          <w:szCs w:val="32"/>
        </w:rPr>
        <w:t>第九章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_Toc1535080439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885912">
      <w:pPr>
        <w:pStyle w:val="16"/>
        <w:spacing w:line="360" w:lineRule="auto"/>
        <w:rPr>
          <w:rFonts w:ascii="Times New Roman" w:hAnsi="Times New Roman"/>
        </w:rPr>
      </w:pPr>
      <w:r>
        <w:rPr>
          <w:rFonts w:hint="eastAsia" w:ascii="仿宋_GB2312" w:hAnsi="仿宋_GB2312" w:eastAsia="仿宋_GB2312" w:cs="仿宋_GB2312"/>
          <w:sz w:val="32"/>
          <w:szCs w:val="32"/>
        </w:rPr>
        <w:fldChar w:fldCharType="end"/>
      </w:r>
    </w:p>
    <w:p w14:paraId="25371667">
      <w:pPr>
        <w:pStyle w:val="2"/>
        <w:spacing w:before="0" w:after="0" w:line="240" w:lineRule="auto"/>
        <w:jc w:val="center"/>
        <w:rPr>
          <w:rFonts w:ascii="Times New Roman" w:hAnsi="Times New Roman" w:eastAsia="宋体"/>
          <w:color w:val="auto"/>
          <w:sz w:val="36"/>
          <w:szCs w:val="36"/>
          <w:lang w:eastAsia="zh-CN"/>
        </w:rPr>
        <w:sectPr>
          <w:footerReference r:id="rId3" w:type="default"/>
          <w:pgSz w:w="11900" w:h="16840"/>
          <w:pgMar w:top="1440" w:right="1797" w:bottom="1440" w:left="1797" w:header="851" w:footer="992" w:gutter="0"/>
          <w:pgNumType w:start="1"/>
          <w:cols w:space="720" w:num="1"/>
        </w:sectPr>
      </w:pPr>
      <w:bookmarkStart w:id="7" w:name="_Toc1076329457"/>
      <w:bookmarkStart w:id="8" w:name="_Toc424031016"/>
      <w:bookmarkStart w:id="9" w:name="_Toc175269916"/>
      <w:bookmarkStart w:id="10" w:name="_Toc1664555187_WPSOffice_Level1"/>
      <w:bookmarkStart w:id="11" w:name="_Toc471743684"/>
      <w:bookmarkStart w:id="12" w:name="_Toc932735091"/>
      <w:bookmarkStart w:id="13" w:name="_Toc1997956478"/>
      <w:bookmarkStart w:id="14" w:name="_Toc1877678980_WPSOffice_Level1"/>
      <w:bookmarkStart w:id="15" w:name="_Toc1232167429_WPSOffice_Level1"/>
      <w:bookmarkStart w:id="16" w:name="_Toc36262373_WPSOffice_Level1"/>
      <w:bookmarkStart w:id="17" w:name="_Toc1592953130"/>
      <w:bookmarkStart w:id="18" w:name="_Toc774922682"/>
      <w:bookmarkStart w:id="19" w:name="_Toc1788225408"/>
      <w:bookmarkStart w:id="20" w:name="_Toc968113947"/>
      <w:bookmarkStart w:id="21" w:name="_Toc1653908397"/>
      <w:bookmarkStart w:id="22" w:name="_Toc729479254"/>
      <w:bookmarkStart w:id="23" w:name="_Toc432774317_WPSOffice_Level1"/>
      <w:bookmarkStart w:id="24" w:name="_Toc1306098204"/>
      <w:bookmarkStart w:id="25" w:name="_Toc887145848"/>
      <w:bookmarkStart w:id="26" w:name="_Toc1932859446_WPSOffice_Level1"/>
      <w:bookmarkStart w:id="27" w:name="_Toc1718516571"/>
      <w:bookmarkStart w:id="28" w:name="_Toc1158409811_WPSOffice_Level1"/>
      <w:bookmarkStart w:id="29" w:name="_Toc894622228"/>
      <w:bookmarkStart w:id="30" w:name="_Toc339222953_WPSOffice_Level1"/>
      <w:bookmarkStart w:id="31" w:name="_Toc1378990171"/>
      <w:bookmarkStart w:id="32" w:name="_Toc969346985"/>
      <w:bookmarkStart w:id="33" w:name="_Toc2032132179"/>
      <w:bookmarkStart w:id="34" w:name="_Toc403451568"/>
      <w:bookmarkStart w:id="35" w:name="_Toc337485847"/>
      <w:bookmarkStart w:id="36" w:name="_Toc719882491_WPSOffice_Level1"/>
      <w:bookmarkStart w:id="37" w:name="_Toc1520451966"/>
    </w:p>
    <w:p w14:paraId="7A83A7FD">
      <w:pPr>
        <w:pStyle w:val="2"/>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36"/>
          <w:szCs w:val="36"/>
          <w:lang w:eastAsia="zh-CN"/>
        </w:rPr>
        <w:t xml:space="preserve">第一章 </w:t>
      </w:r>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Times New Roman" w:hAnsi="Times New Roman" w:eastAsia="宋体"/>
          <w:color w:val="auto"/>
          <w:sz w:val="36"/>
          <w:szCs w:val="36"/>
          <w:lang w:eastAsia="zh-CN"/>
        </w:rPr>
        <w:t>投标邀请</w:t>
      </w:r>
      <w:bookmarkEnd w:id="21"/>
      <w:bookmarkEnd w:id="22"/>
      <w:bookmarkEnd w:id="23"/>
      <w:bookmarkEnd w:id="24"/>
      <w:bookmarkEnd w:id="25"/>
    </w:p>
    <w:p w14:paraId="114C4410">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US" w:eastAsia="zh-CN"/>
        </w:rPr>
        <w:t xml:space="preserve"> </w:t>
      </w:r>
      <w:r>
        <w:rPr>
          <w:rFonts w:ascii="Times New Roman" w:hAnsi="Times New Roman" w:eastAsia="仿宋_GB2312" w:cs="Times New Roman"/>
          <w:b/>
          <w:color w:val="auto"/>
          <w:sz w:val="32"/>
          <w:szCs w:val="32"/>
          <w:lang w:val="en-US" w:eastAsia="zh-CN"/>
        </w:rPr>
        <w:t>郑州信息科技职业学院东校区加装电梯-电梯采购及安装项目</w:t>
      </w:r>
      <w:r>
        <w:rPr>
          <w:rFonts w:ascii="Times New Roman" w:hAnsi="Times New Roman" w:eastAsia="仿宋_GB2312" w:cs="Times New Roman"/>
          <w:b/>
          <w:color w:val="auto"/>
          <w:sz w:val="32"/>
          <w:szCs w:val="32"/>
          <w:lang w:val="en-US" w:eastAsia="zh-CN"/>
        </w:rPr>
        <w:tab/>
      </w:r>
      <w:r>
        <w:rPr>
          <w:rFonts w:hint="default" w:ascii="Times New Roman" w:hAnsi="Times New Roman" w:eastAsia="仿宋_GB2312" w:cs="Times New Roman"/>
          <w:b/>
          <w:color w:val="auto"/>
          <w:sz w:val="32"/>
          <w:szCs w:val="32"/>
          <w:lang w:eastAsia="zh-CN"/>
        </w:rPr>
        <w:t>公开招标公告</w:t>
      </w:r>
    </w:p>
    <w:p w14:paraId="4DF081DB">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172085</wp:posOffset>
                </wp:positionV>
                <wp:extent cx="5495925" cy="2075815"/>
                <wp:effectExtent l="4445" t="5080" r="5080" b="14605"/>
                <wp:wrapTopAndBottom/>
                <wp:docPr id="22118531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cmpd="sng">
                          <a:solidFill>
                            <a:srgbClr val="000000"/>
                          </a:solidFill>
                          <a:miter lim="800000"/>
                        </a:ln>
                        <a:effectLst/>
                      </wps:spPr>
                      <wps:txbx>
                        <w:txbxContent>
                          <w:p w14:paraId="3D452639">
                            <w:pPr>
                              <w:pStyle w:val="237"/>
                              <w:spacing w:line="360" w:lineRule="auto"/>
                              <w:ind w:firstLine="562" w:firstLineChars="200"/>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56EB8BFD">
                            <w:pPr>
                              <w:pStyle w:val="237"/>
                              <w:spacing w:line="360" w:lineRule="auto"/>
                              <w:ind w:firstLine="562" w:firstLineChars="200"/>
                              <w:jc w:val="both"/>
                              <w:rPr>
                                <w:rFonts w:hint="eastAsia"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lang w:val="en"/>
                              </w:rPr>
                              <w:t>郑州信息科技职业学院东校区加装电梯-电梯采购及安装项目</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3"/>
                                <w:rFonts w:hint="eastAsia" w:ascii="仿宋_GB2312" w:hAnsi="仿宋_GB2312" w:eastAsia="仿宋_GB2312" w:cs="仿宋_GB2312"/>
                                <w:b/>
                                <w:bCs/>
                                <w:sz w:val="28"/>
                                <w:szCs w:val="28"/>
                              </w:rPr>
                              <w:t>hnsggzyjy.henan.gov.cn）</w:t>
                            </w:r>
                            <w:r>
                              <w:rPr>
                                <w:rStyle w:val="63"/>
                                <w:rFonts w:hint="eastAsia" w:ascii="仿宋_GB2312" w:hAnsi="仿宋_GB2312" w:eastAsia="仿宋_GB2312" w:cs="仿宋_GB2312"/>
                                <w:sz w:val="28"/>
                                <w:szCs w:val="28"/>
                              </w:rPr>
                              <w:t>获取招标文件，并于</w:t>
                            </w:r>
                            <w:r>
                              <w:rPr>
                                <w:rStyle w:val="63"/>
                                <w:rFonts w:ascii="仿宋_GB2312" w:hAnsi="仿宋_GB2312" w:eastAsia="仿宋_GB2312" w:cs="仿宋_GB2312"/>
                                <w:b/>
                                <w:bCs/>
                                <w:sz w:val="28"/>
                                <w:szCs w:val="28"/>
                                <w:lang w:val="en"/>
                              </w:rPr>
                              <w:t>202</w:t>
                            </w:r>
                            <w:r>
                              <w:rPr>
                                <w:rStyle w:val="63"/>
                                <w:rFonts w:hint="eastAsia" w:ascii="仿宋_GB2312" w:hAnsi="仿宋_GB2312" w:eastAsia="仿宋_GB2312" w:cs="仿宋_GB2312"/>
                                <w:b/>
                                <w:bCs/>
                                <w:sz w:val="28"/>
                                <w:szCs w:val="28"/>
                              </w:rPr>
                              <w:t>5年</w:t>
                            </w:r>
                            <w:r>
                              <w:rPr>
                                <w:rStyle w:val="63"/>
                                <w:rFonts w:hint="eastAsia" w:ascii="仿宋_GB2312" w:hAnsi="仿宋_GB2312" w:eastAsia="仿宋_GB2312" w:cs="仿宋_GB2312"/>
                                <w:b/>
                                <w:bCs/>
                                <w:sz w:val="28"/>
                                <w:szCs w:val="28"/>
                              </w:rPr>
                              <w:fldChar w:fldCharType="end"/>
                            </w:r>
                            <w:r>
                              <w:rPr>
                                <w:rStyle w:val="63"/>
                                <w:rFonts w:hint="eastAsia" w:ascii="仿宋_GB2312" w:hAnsi="仿宋_GB2312" w:eastAsia="仿宋_GB2312" w:cs="仿宋_GB2312"/>
                                <w:b/>
                                <w:bCs/>
                                <w:sz w:val="28"/>
                                <w:szCs w:val="28"/>
                              </w:rPr>
                              <w:t>1</w:t>
                            </w:r>
                            <w:r>
                              <w:rPr>
                                <w:rStyle w:val="63"/>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14:paraId="1265C4A5">
                            <w:pPr>
                              <w:pStyle w:val="237"/>
                              <w:spacing w:line="360" w:lineRule="auto"/>
                              <w:ind w:firstLine="482"/>
                            </w:pP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35pt;margin-top:13.55pt;height:163.45pt;width:432.75pt;mso-wrap-distance-bottom:0pt;mso-wrap-distance-top:0pt;z-index:251659264;mso-width-relative:page;mso-height-relative:page;" fillcolor="#FFFFFF" filled="t" stroked="t" coordsize="21600,21600" o:gfxdata="UEsDBAoAAAAAAIdO4kAAAAAAAAAAAAAAAAAEAAAAZHJzL1BLAwQUAAAACACHTuJARYjl4NgAAAAJ&#10;AQAADwAAAGRycy9kb3ducmV2LnhtbE2PMU/DMBSEdyT+g/WQWBC1k4bGhDgdkECwlYJgdePXJCJ+&#10;Drabln+PmWA83enuu3p9siOb0YfBkYJsIYAhtc4M1Cl4e324lsBC1GT06AgVfGOAdXN+VuvKuCO9&#10;4LyNHUslFCqtoI9xqjgPbY9Wh4WbkJK3d97qmKTvuPH6mMrtyHMhVtzqgdJCrye877H93B6sAlk8&#10;zR/hebl5b1f78TZelfPjl1fq8iITd8AinuJfGH7xEzo0iWnnDmQCG5OWZUoqyMsMWPKlLHJgOwXL&#10;m0IAb2r+/0HzA1BLAwQUAAAACACHTuJA6Jb+BVUCAACpBAAADgAAAGRycy9lMm9Eb2MueG1srVTN&#10;jtMwEL4j8Q6W7zRNt6VttOlq2VUR0vIjLTyA6ziJhe0xtttkeQB4A05cuPNcfQ7GTrdUC0h7IAfL&#10;9oy/+eabmZxf9FqRnXBegilpPhpTIgyHSpqmpB/er58tKPGBmYopMKKkd8LTi9XTJ+edLcQEWlCV&#10;cARBjC86W9I2BFtkmeet0MyPwAqDxhqcZgGPrskqxzpE1yqbjMfPsw5cZR1w4T3eXg9GekB0jwGE&#10;upZcXAPfamHCgOqEYgFT8q20nq4S27oWPLytay8CUSXFTENaMQjuN3HNVuesaByzreQHCuwxFB7k&#10;pJk0GPQIdc0CI1sn/4DSkjvwUIcRB50NiSRFMIt8/ECb25ZZkXJBqb09iu7/Hyx/s3vniKxKOpnk&#10;+WJ2ls8pMUxj4fffvu6//9z/+ELmUabO+gK9by36h/4F9Ng8KWVvb4B/9MTAVctMIy6dg64VrEKa&#10;eXyZnTwdcHwE2XSvocI4bBsgAfW101FDVIUgOpbo7lgi0QfC8XI2Xc6WkxklHG35/Gy6mKQiZqy4&#10;f26dDy8FaBI3JXXYAwme7W58iHRYce8So3lQslpLpdLBNZsr5ciOYb+s05cyeOCmDOlKupwlItqi&#10;et40gxj/RBun729oWgacKCV1SRenTspESiJ18YF6VDKKN8gY+k1/qMwGqjvU1MHQ4TjfuGnBfaak&#10;w+5Ggp+2zAlK1CuDdVnm02kch3SYzuYoInGnls2phRmOUCUNlAzbqzCM0NY62bQYaegEA5dYy1om&#10;lSPVgdWhA7CDk/iHaYsjcnpOXr//M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Yjl4NgAAAAJ&#10;AQAADwAAAAAAAAABACAAAAAiAAAAZHJzL2Rvd25yZXYueG1sUEsBAhQAFAAAAAgAh07iQOiW/gVV&#10;AgAAqQQAAA4AAAAAAAAAAQAgAAAAJwEAAGRycy9lMm9Eb2MueG1sUEsFBgAAAAAGAAYAWQEAAO4F&#10;AAAAAA==&#10;">
                <v:fill on="t" focussize="0,0"/>
                <v:stroke color="#000000" miterlimit="8" joinstyle="miter"/>
                <v:imagedata o:title=""/>
                <o:lock v:ext="edit" aspectratio="f"/>
                <v:textbox>
                  <w:txbxContent>
                    <w:p w14:paraId="3D452639">
                      <w:pPr>
                        <w:pStyle w:val="237"/>
                        <w:spacing w:line="360" w:lineRule="auto"/>
                        <w:ind w:firstLine="562" w:firstLineChars="200"/>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56EB8BFD">
                      <w:pPr>
                        <w:pStyle w:val="237"/>
                        <w:spacing w:line="360" w:lineRule="auto"/>
                        <w:ind w:firstLine="562" w:firstLineChars="200"/>
                        <w:jc w:val="both"/>
                        <w:rPr>
                          <w:rFonts w:hint="eastAsia"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lang w:val="en"/>
                        </w:rPr>
                        <w:t>郑州信息科技职业学院东校区加装电梯-电梯采购及安装项目</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3"/>
                          <w:rFonts w:hint="eastAsia" w:ascii="仿宋_GB2312" w:hAnsi="仿宋_GB2312" w:eastAsia="仿宋_GB2312" w:cs="仿宋_GB2312"/>
                          <w:b/>
                          <w:bCs/>
                          <w:sz w:val="28"/>
                          <w:szCs w:val="28"/>
                        </w:rPr>
                        <w:t>hnsggzyjy.henan.gov.cn）</w:t>
                      </w:r>
                      <w:r>
                        <w:rPr>
                          <w:rStyle w:val="63"/>
                          <w:rFonts w:hint="eastAsia" w:ascii="仿宋_GB2312" w:hAnsi="仿宋_GB2312" w:eastAsia="仿宋_GB2312" w:cs="仿宋_GB2312"/>
                          <w:sz w:val="28"/>
                          <w:szCs w:val="28"/>
                        </w:rPr>
                        <w:t>获取招标文件，并于</w:t>
                      </w:r>
                      <w:r>
                        <w:rPr>
                          <w:rStyle w:val="63"/>
                          <w:rFonts w:ascii="仿宋_GB2312" w:hAnsi="仿宋_GB2312" w:eastAsia="仿宋_GB2312" w:cs="仿宋_GB2312"/>
                          <w:b/>
                          <w:bCs/>
                          <w:sz w:val="28"/>
                          <w:szCs w:val="28"/>
                          <w:lang w:val="en"/>
                        </w:rPr>
                        <w:t>202</w:t>
                      </w:r>
                      <w:r>
                        <w:rPr>
                          <w:rStyle w:val="63"/>
                          <w:rFonts w:hint="eastAsia" w:ascii="仿宋_GB2312" w:hAnsi="仿宋_GB2312" w:eastAsia="仿宋_GB2312" w:cs="仿宋_GB2312"/>
                          <w:b/>
                          <w:bCs/>
                          <w:sz w:val="28"/>
                          <w:szCs w:val="28"/>
                        </w:rPr>
                        <w:t>5年</w:t>
                      </w:r>
                      <w:r>
                        <w:rPr>
                          <w:rStyle w:val="63"/>
                          <w:rFonts w:hint="eastAsia" w:ascii="仿宋_GB2312" w:hAnsi="仿宋_GB2312" w:eastAsia="仿宋_GB2312" w:cs="仿宋_GB2312"/>
                          <w:b/>
                          <w:bCs/>
                          <w:sz w:val="28"/>
                          <w:szCs w:val="28"/>
                        </w:rPr>
                        <w:fldChar w:fldCharType="end"/>
                      </w:r>
                      <w:r>
                        <w:rPr>
                          <w:rStyle w:val="63"/>
                          <w:rFonts w:hint="eastAsia" w:ascii="仿宋_GB2312" w:hAnsi="仿宋_GB2312" w:eastAsia="仿宋_GB2312" w:cs="仿宋_GB2312"/>
                          <w:b/>
                          <w:bCs/>
                          <w:sz w:val="28"/>
                          <w:szCs w:val="28"/>
                        </w:rPr>
                        <w:t>1</w:t>
                      </w:r>
                      <w:r>
                        <w:rPr>
                          <w:rStyle w:val="63"/>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14:paraId="1265C4A5">
                      <w:pPr>
                        <w:pStyle w:val="237"/>
                        <w:spacing w:line="360" w:lineRule="auto"/>
                        <w:ind w:firstLine="482"/>
                      </w:pPr>
                    </w:p>
                  </w:txbxContent>
                </v:textbox>
                <w10:wrap type="topAndBottom"/>
              </v:shape>
            </w:pict>
          </mc:Fallback>
        </mc:AlternateContent>
      </w:r>
    </w:p>
    <w:p w14:paraId="144DA54C">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8" w:name="_Toc2031125453_WPSOffice_Level2"/>
      <w:bookmarkStart w:id="39" w:name="_Toc1456310841_WPSOffice_Level2"/>
      <w:bookmarkStart w:id="40" w:name="_Toc1811351892_WPSOffice_Level2"/>
      <w:bookmarkStart w:id="41" w:name="_Toc1853601844_WPSOffice_Level2"/>
      <w:r>
        <w:rPr>
          <w:rFonts w:hint="default" w:ascii="Times New Roman" w:hAnsi="Times New Roman" w:eastAsia="方正小标宋_GBK" w:cs="Times New Roman"/>
          <w:color w:val="auto"/>
          <w:sz w:val="28"/>
          <w:szCs w:val="28"/>
          <w:lang w:eastAsia="zh-CN"/>
        </w:rPr>
        <w:t>一、项目基本情况</w:t>
      </w:r>
      <w:bookmarkEnd w:id="38"/>
      <w:bookmarkEnd w:id="39"/>
      <w:bookmarkEnd w:id="40"/>
      <w:bookmarkEnd w:id="41"/>
    </w:p>
    <w:p w14:paraId="73B9333A">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42" w:name="_Toc632830029_WPSOffice_Level3"/>
      <w:bookmarkStart w:id="43"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42"/>
      <w:bookmarkEnd w:id="43"/>
      <w:bookmarkStart w:id="44" w:name="_Toc2136105441_WPSOffice_Level3"/>
      <w:bookmarkStart w:id="45" w:name="_Toc1019416_WPSOffice_Level3"/>
      <w:r>
        <w:rPr>
          <w:rFonts w:ascii="Times New Roman" w:hAnsi="Times New Roman" w:eastAsia="仿宋_GB2312" w:cs="Times New Roman"/>
          <w:color w:val="auto"/>
          <w:sz w:val="28"/>
          <w:szCs w:val="28"/>
          <w:lang w:eastAsia="zh-CN"/>
        </w:rPr>
        <w:t>豫财招标采购-2025-1164</w:t>
      </w:r>
    </w:p>
    <w:p w14:paraId="2B1D7E1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2、项目名称：</w:t>
      </w:r>
      <w:bookmarkEnd w:id="44"/>
      <w:bookmarkEnd w:id="45"/>
      <w:bookmarkStart w:id="46" w:name="_Hlk211095272"/>
      <w:r>
        <w:rPr>
          <w:rFonts w:ascii="Times New Roman" w:hAnsi="Times New Roman" w:eastAsia="仿宋_GB2312" w:cs="Times New Roman"/>
          <w:color w:val="auto"/>
          <w:sz w:val="28"/>
          <w:szCs w:val="28"/>
          <w:lang w:val="en" w:eastAsia="zh-CN"/>
        </w:rPr>
        <w:t>郑州信息科技职业学院东校区加装电梯-电梯采购及安装项目</w:t>
      </w:r>
      <w:bookmarkEnd w:id="46"/>
    </w:p>
    <w:p w14:paraId="503F8183">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47" w:name="_Toc997609044_WPSOffice_Level3"/>
      <w:bookmarkStart w:id="48" w:name="_Toc1331877378_WPSOffice_Level3"/>
      <w:r>
        <w:rPr>
          <w:rFonts w:hint="default" w:ascii="Times New Roman" w:hAnsi="Times New Roman" w:eastAsia="仿宋_GB2312" w:cs="Times New Roman"/>
          <w:color w:val="auto"/>
          <w:sz w:val="28"/>
          <w:szCs w:val="28"/>
          <w:lang w:eastAsia="zh-CN"/>
        </w:rPr>
        <w:t>3、采购方式：公开招标</w:t>
      </w:r>
      <w:bookmarkEnd w:id="47"/>
      <w:bookmarkEnd w:id="48"/>
    </w:p>
    <w:p w14:paraId="1BE05C81">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49" w:name="_Toc91128674_WPSOffice_Level3"/>
      <w:bookmarkStart w:id="50" w:name="_Toc654106674_WPSOffice_Level3"/>
      <w:r>
        <w:rPr>
          <w:rFonts w:hint="default" w:ascii="Times New Roman" w:hAnsi="Times New Roman" w:eastAsia="仿宋_GB2312" w:cs="Times New Roman"/>
          <w:color w:val="auto"/>
          <w:sz w:val="28"/>
          <w:szCs w:val="28"/>
          <w:lang w:eastAsia="zh-CN"/>
        </w:rPr>
        <w:t>4、预算金额：</w:t>
      </w:r>
      <w:r>
        <w:rPr>
          <w:rFonts w:ascii="Times New Roman" w:hAnsi="Times New Roman" w:eastAsia="仿宋_GB2312" w:cs="Times New Roman"/>
          <w:color w:val="auto"/>
          <w:sz w:val="28"/>
          <w:szCs w:val="28"/>
          <w:lang w:val="en-US" w:eastAsia="zh-CN"/>
        </w:rPr>
        <w:t>3820500</w:t>
      </w:r>
      <w:r>
        <w:rPr>
          <w:rFonts w:hint="default" w:ascii="Times New Roman" w:hAnsi="Times New Roman" w:eastAsia="仿宋_GB2312" w:cs="Times New Roman"/>
          <w:color w:val="auto"/>
          <w:sz w:val="28"/>
          <w:szCs w:val="28"/>
          <w:lang w:eastAsia="zh-CN"/>
        </w:rPr>
        <w:t>元</w:t>
      </w:r>
      <w:bookmarkEnd w:id="49"/>
      <w:bookmarkEnd w:id="50"/>
    </w:p>
    <w:p w14:paraId="5A426DC1">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ascii="Times New Roman" w:hAnsi="Times New Roman" w:eastAsia="仿宋_GB2312" w:cs="Times New Roman"/>
          <w:color w:val="auto"/>
          <w:sz w:val="28"/>
          <w:szCs w:val="28"/>
          <w:lang w:val="en-US" w:eastAsia="zh-CN"/>
        </w:rPr>
        <w:t>3820500</w:t>
      </w:r>
      <w:r>
        <w:rPr>
          <w:rFonts w:hint="default" w:ascii="Times New Roman" w:hAnsi="Times New Roman" w:eastAsia="仿宋_GB2312" w:cs="Times New Roman"/>
          <w:color w:val="auto"/>
          <w:sz w:val="28"/>
          <w:szCs w:val="28"/>
          <w:lang w:eastAsia="zh-CN"/>
        </w:rPr>
        <w:t>元</w:t>
      </w:r>
    </w:p>
    <w:tbl>
      <w:tblPr>
        <w:tblStyle w:val="52"/>
        <w:tblW w:w="9241" w:type="dxa"/>
        <w:tblInd w:w="-81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575"/>
        <w:gridCol w:w="2514"/>
        <w:gridCol w:w="3082"/>
        <w:gridCol w:w="1558"/>
        <w:gridCol w:w="1512"/>
      </w:tblGrid>
      <w:tr w14:paraId="288A4D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57" w:hRule="atLeast"/>
        </w:trPr>
        <w:tc>
          <w:tcPr>
            <w:tcW w:w="5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5799001">
            <w:pPr>
              <w:spacing w:line="500" w:lineRule="exact"/>
              <w:jc w:val="center"/>
              <w:rPr>
                <w:rFonts w:ascii="仿宋_GB2312" w:hAnsi="仿宋_GB2312" w:eastAsia="仿宋_GB2312" w:cs="仿宋_GB2312"/>
                <w:color w:val="auto"/>
                <w:kern w:val="0"/>
                <w:sz w:val="28"/>
                <w:szCs w:val="28"/>
              </w:rPr>
            </w:pPr>
            <w:bookmarkStart w:id="51" w:name="_Toc1585577024_WPSOffice_Level3"/>
            <w:bookmarkStart w:id="52" w:name="_Toc1882423541_WPSOffice_Level3"/>
            <w:r>
              <w:rPr>
                <w:rFonts w:ascii="仿宋_GB2312" w:hAnsi="仿宋_GB2312" w:eastAsia="仿宋_GB2312" w:cs="仿宋_GB2312"/>
                <w:color w:val="auto"/>
                <w:kern w:val="0"/>
                <w:sz w:val="28"/>
                <w:szCs w:val="28"/>
              </w:rPr>
              <w:t>序号</w:t>
            </w:r>
          </w:p>
        </w:tc>
        <w:tc>
          <w:tcPr>
            <w:tcW w:w="251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804DD3">
            <w:pPr>
              <w:spacing w:line="500" w:lineRule="exact"/>
              <w:jc w:val="center"/>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包号</w:t>
            </w:r>
          </w:p>
        </w:tc>
        <w:tc>
          <w:tcPr>
            <w:tcW w:w="30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2ED9D1">
            <w:pPr>
              <w:spacing w:line="500" w:lineRule="exact"/>
              <w:jc w:val="center"/>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包名称</w:t>
            </w:r>
          </w:p>
        </w:tc>
        <w:tc>
          <w:tcPr>
            <w:tcW w:w="15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6FBA88">
            <w:pPr>
              <w:spacing w:line="500" w:lineRule="exact"/>
              <w:jc w:val="center"/>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包预算（元）</w:t>
            </w:r>
          </w:p>
        </w:tc>
        <w:tc>
          <w:tcPr>
            <w:tcW w:w="15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BD89E49">
            <w:pPr>
              <w:spacing w:line="500" w:lineRule="exact"/>
              <w:jc w:val="center"/>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包最高限价（元）</w:t>
            </w:r>
          </w:p>
        </w:tc>
      </w:tr>
      <w:tr w14:paraId="04A7B2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08" w:hRule="atLeast"/>
        </w:trPr>
        <w:tc>
          <w:tcPr>
            <w:tcW w:w="5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B33E042">
            <w:pPr>
              <w:spacing w:line="500" w:lineRule="exact"/>
              <w:jc w:val="center"/>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lang w:val="en-US"/>
              </w:rPr>
              <w:t>1</w:t>
            </w:r>
          </w:p>
        </w:tc>
        <w:tc>
          <w:tcPr>
            <w:tcW w:w="251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A9AC357">
            <w:pPr>
              <w:jc w:val="center"/>
              <w:rPr>
                <w:rFonts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 豫政采(1)20250247-1 </w:t>
            </w:r>
          </w:p>
        </w:tc>
        <w:tc>
          <w:tcPr>
            <w:tcW w:w="30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129B2FB">
            <w:pPr>
              <w:spacing w:line="50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 w:eastAsia="zh-CN"/>
              </w:rPr>
              <w:t>郑州信息科技职业学院东校区加装电梯-电梯采购及安装项目</w:t>
            </w:r>
          </w:p>
        </w:tc>
        <w:tc>
          <w:tcPr>
            <w:tcW w:w="15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09FB82D">
            <w:pPr>
              <w:spacing w:line="500" w:lineRule="exact"/>
              <w:jc w:val="center"/>
              <w:rPr>
                <w:rFonts w:ascii="仿宋_GB2312" w:hAnsi="仿宋_GB2312" w:eastAsia="仿宋_GB2312" w:cs="仿宋_GB2312"/>
                <w:color w:val="auto"/>
                <w:kern w:val="0"/>
                <w:sz w:val="28"/>
                <w:szCs w:val="28"/>
                <w:lang w:val="en" w:eastAsia="zh-CN"/>
              </w:rPr>
            </w:pPr>
            <w:r>
              <w:rPr>
                <w:rFonts w:ascii="Times New Roman" w:hAnsi="Times New Roman" w:eastAsia="仿宋_GB2312" w:cs="Times New Roman"/>
                <w:color w:val="auto"/>
                <w:sz w:val="28"/>
                <w:szCs w:val="28"/>
                <w:lang w:val="en-US" w:eastAsia="zh-CN"/>
              </w:rPr>
              <w:t>3820500</w:t>
            </w:r>
          </w:p>
        </w:tc>
        <w:tc>
          <w:tcPr>
            <w:tcW w:w="15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D8A4591">
            <w:pPr>
              <w:spacing w:line="500" w:lineRule="exact"/>
              <w:jc w:val="center"/>
              <w:rPr>
                <w:rFonts w:ascii="仿宋_GB2312" w:hAnsi="仿宋_GB2312" w:eastAsia="仿宋_GB2312" w:cs="仿宋_GB2312"/>
                <w:color w:val="auto"/>
                <w:kern w:val="0"/>
                <w:sz w:val="28"/>
                <w:szCs w:val="28"/>
                <w:lang w:val="en" w:eastAsia="zh-CN"/>
              </w:rPr>
            </w:pPr>
            <w:r>
              <w:rPr>
                <w:rFonts w:ascii="Times New Roman" w:hAnsi="Times New Roman" w:eastAsia="仿宋_GB2312" w:cs="Times New Roman"/>
                <w:color w:val="auto"/>
                <w:sz w:val="28"/>
                <w:szCs w:val="28"/>
                <w:lang w:val="en-US" w:eastAsia="zh-CN"/>
              </w:rPr>
              <w:t>3820500</w:t>
            </w:r>
          </w:p>
        </w:tc>
      </w:tr>
    </w:tbl>
    <w:p w14:paraId="13AAFEC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51"/>
      <w:bookmarkEnd w:id="52"/>
    </w:p>
    <w:p w14:paraId="5C66DACA">
      <w:pPr>
        <w:spacing w:line="500" w:lineRule="exact"/>
        <w:ind w:firstLine="560" w:firstLineChars="200"/>
        <w:rPr>
          <w:rFonts w:hint="default" w:ascii="Times New Roman" w:hAnsi="Times New Roman" w:eastAsia="仿宋_GB2312" w:cs="Times New Roman"/>
          <w:sz w:val="28"/>
          <w:szCs w:val="28"/>
          <w:lang w:val="en-US" w:eastAsia="zh-CN"/>
        </w:rPr>
      </w:pPr>
      <w:bookmarkStart w:id="53" w:name="_Toc1866155745_WPSOffice_Level3"/>
      <w:bookmarkStart w:id="54" w:name="_Toc1031072132_WPSOffice_Level3"/>
      <w:r>
        <w:rPr>
          <w:rFonts w:hint="default" w:ascii="Times New Roman" w:hAnsi="Times New Roman" w:eastAsia="仿宋_GB2312" w:cs="Times New Roman"/>
          <w:color w:val="auto"/>
          <w:sz w:val="28"/>
          <w:szCs w:val="28"/>
          <w:lang w:val="en-US" w:eastAsia="zh-CN"/>
        </w:rPr>
        <w:t>（1）采购内容：</w:t>
      </w:r>
      <w:r>
        <w:rPr>
          <w:rFonts w:ascii="Times New Roman" w:hAnsi="Times New Roman" w:eastAsia="仿宋_GB2312" w:cs="Times New Roman"/>
          <w:color w:val="auto"/>
          <w:sz w:val="28"/>
          <w:szCs w:val="28"/>
          <w:lang w:val="en" w:eastAsia="zh-CN"/>
        </w:rPr>
        <w:t>郑州信息科技职业学院东校区加装电梯-电梯采购及安装项目</w:t>
      </w:r>
      <w:r>
        <w:rPr>
          <w:rFonts w:hint="default" w:ascii="Times New Roman" w:hAnsi="Times New Roman" w:eastAsia="仿宋_GB2312" w:cs="Times New Roman"/>
          <w:color w:val="auto"/>
          <w:sz w:val="28"/>
          <w:szCs w:val="28"/>
          <w:lang w:val="en-US" w:eastAsia="zh-CN"/>
        </w:rPr>
        <w:t>，共分</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个包</w:t>
      </w:r>
      <w:r>
        <w:rPr>
          <w:rFonts w:ascii="Times New Roman" w:hAnsi="Times New Roman" w:eastAsia="仿宋_GB2312" w:cs="Times New Roman"/>
          <w:color w:val="auto"/>
          <w:sz w:val="28"/>
          <w:szCs w:val="28"/>
          <w:lang w:val="en-US" w:eastAsia="zh-CN"/>
        </w:rPr>
        <w:t>，包含：</w:t>
      </w:r>
      <w:r>
        <w:rPr>
          <w:rFonts w:ascii="Times New Roman" w:hAnsi="Times New Roman" w:eastAsia="仿宋_GB2312" w:cs="Times New Roman"/>
          <w:sz w:val="28"/>
          <w:szCs w:val="28"/>
          <w:lang w:val="en-US" w:eastAsia="zh-CN"/>
        </w:rPr>
        <w:t>9台电梯设备</w:t>
      </w:r>
      <w:r>
        <w:rPr>
          <w:rFonts w:ascii="Times New Roman" w:hAnsi="Times New Roman" w:eastAsia="仿宋_GB2312" w:cs="Times New Roman"/>
          <w:color w:val="auto"/>
          <w:sz w:val="28"/>
          <w:szCs w:val="28"/>
          <w:lang w:val="en-US" w:eastAsia="zh-CN"/>
        </w:rPr>
        <w:t>的采购、安装、调试等</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sz w:val="28"/>
          <w:szCs w:val="28"/>
          <w:lang w:val="en-US" w:eastAsia="zh-CN"/>
        </w:rPr>
        <w:t>载重量为量1600kg（21人）电梯，额定速度≥1.5m/s。</w:t>
      </w:r>
    </w:p>
    <w:p w14:paraId="4915AE0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（2）交货期：</w:t>
      </w:r>
      <w:bookmarkStart w:id="55" w:name="_Hlk211096577"/>
      <w:r>
        <w:rPr>
          <w:rFonts w:hint="default" w:ascii="Times New Roman" w:hAnsi="Times New Roman" w:eastAsia="仿宋_GB2312" w:cs="Times New Roman"/>
          <w:color w:val="auto"/>
          <w:sz w:val="28"/>
          <w:szCs w:val="28"/>
          <w:lang w:val="en-US" w:eastAsia="zh-CN"/>
        </w:rPr>
        <w:t>合同签订后</w:t>
      </w:r>
      <w:r>
        <w:rPr>
          <w:rFonts w:ascii="Times New Roman" w:hAnsi="Times New Roman" w:eastAsia="仿宋_GB2312" w:cs="Times New Roman"/>
          <w:color w:val="auto"/>
          <w:sz w:val="28"/>
          <w:szCs w:val="28"/>
          <w:lang w:val="en-US" w:eastAsia="zh-CN"/>
        </w:rPr>
        <w:t>90天</w:t>
      </w:r>
      <w:r>
        <w:rPr>
          <w:rFonts w:hint="default" w:ascii="Times New Roman" w:hAnsi="Times New Roman" w:eastAsia="仿宋_GB2312" w:cs="Times New Roman"/>
          <w:color w:val="auto"/>
          <w:sz w:val="28"/>
          <w:szCs w:val="28"/>
          <w:lang w:val="en-US" w:eastAsia="zh-CN"/>
        </w:rPr>
        <w:t>内完成本项目的供货、安装及调试</w:t>
      </w:r>
      <w:r>
        <w:rPr>
          <w:rFonts w:ascii="Times New Roman" w:hAnsi="Times New Roman" w:eastAsia="仿宋_GB2312" w:cs="Times New Roman"/>
          <w:color w:val="auto"/>
          <w:sz w:val="28"/>
          <w:szCs w:val="28"/>
          <w:lang w:val="en-US" w:eastAsia="zh-CN"/>
        </w:rPr>
        <w:t>并取得使用登记证</w:t>
      </w:r>
      <w:bookmarkEnd w:id="55"/>
      <w:r>
        <w:rPr>
          <w:rFonts w:hint="default" w:ascii="Times New Roman" w:hAnsi="Times New Roman" w:eastAsia="仿宋_GB2312" w:cs="Times New Roman"/>
          <w:color w:val="auto"/>
          <w:sz w:val="28"/>
          <w:szCs w:val="28"/>
          <w:lang w:val="en-US" w:eastAsia="zh-CN"/>
        </w:rPr>
        <w:t>。</w:t>
      </w:r>
    </w:p>
    <w:p w14:paraId="683FDC0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（3）交货地点：</w:t>
      </w:r>
      <w:r>
        <w:rPr>
          <w:rFonts w:ascii="Times New Roman" w:hAnsi="Times New Roman" w:eastAsia="仿宋_GB2312" w:cs="Times New Roman"/>
          <w:color w:val="auto"/>
          <w:sz w:val="28"/>
          <w:szCs w:val="28"/>
          <w:lang w:val="en-US" w:eastAsia="zh-CN"/>
        </w:rPr>
        <w:t>郑州信息科技职业学院（</w:t>
      </w:r>
      <w:r>
        <w:rPr>
          <w:rFonts w:ascii="Times New Roman" w:hAnsi="Times New Roman" w:eastAsia="仿宋_GB2312" w:cs="Times New Roman"/>
          <w:color w:val="auto"/>
          <w:sz w:val="28"/>
          <w:szCs w:val="28"/>
          <w:lang w:eastAsia="zh-CN"/>
        </w:rPr>
        <w:t>河南省郑州市金水区龙子湖北路36号</w:t>
      </w:r>
      <w:r>
        <w:rPr>
          <w:rFonts w:ascii="Times New Roman" w:hAnsi="Times New Roman" w:eastAsia="仿宋_GB2312" w:cs="Times New Roman"/>
          <w:color w:val="auto"/>
          <w:sz w:val="28"/>
          <w:szCs w:val="28"/>
          <w:lang w:val="en-US" w:eastAsia="zh-CN"/>
        </w:rPr>
        <w:t>）。</w:t>
      </w:r>
    </w:p>
    <w:p w14:paraId="0F0C04C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（4）质量标准：合格。</w:t>
      </w:r>
    </w:p>
    <w:p w14:paraId="15B1242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（5）质量保证期：</w:t>
      </w:r>
      <w:r>
        <w:rPr>
          <w:rFonts w:ascii="Times New Roman" w:hAnsi="Times New Roman" w:eastAsia="仿宋_GB2312" w:cs="Times New Roman"/>
          <w:color w:val="auto"/>
          <w:sz w:val="28"/>
          <w:szCs w:val="28"/>
          <w:lang w:val="en-US" w:eastAsia="zh-CN"/>
        </w:rPr>
        <w:t>1年，从取得登记证之日起开始计算</w:t>
      </w:r>
      <w:r>
        <w:rPr>
          <w:rFonts w:hint="default" w:ascii="Times New Roman" w:hAnsi="Times New Roman" w:eastAsia="仿宋_GB2312" w:cs="Times New Roman"/>
          <w:color w:val="auto"/>
          <w:sz w:val="28"/>
          <w:szCs w:val="28"/>
          <w:lang w:val="en-US" w:eastAsia="zh-CN"/>
        </w:rPr>
        <w:t>。</w:t>
      </w:r>
    </w:p>
    <w:p w14:paraId="66F73A5F">
      <w:pPr>
        <w:spacing w:line="500" w:lineRule="exact"/>
        <w:ind w:firstLine="560" w:firstLineChars="200"/>
        <w:jc w:val="left"/>
        <w:rPr>
          <w:rFonts w:hint="default" w:ascii="Times New Roman" w:hAnsi="Times New Roman" w:eastAsia="仿宋_GB2312" w:cs="Times New Roman"/>
          <w:color w:val="auto"/>
          <w:sz w:val="28"/>
          <w:szCs w:val="28"/>
          <w:highlight w:val="red"/>
          <w:lang w:val="en-US" w:eastAsia="zh-CN"/>
        </w:rPr>
      </w:pPr>
      <w:r>
        <w:rPr>
          <w:rFonts w:hint="default" w:ascii="Times New Roman" w:hAnsi="Times New Roman" w:eastAsia="仿宋_GB2312" w:cs="Times New Roman"/>
          <w:color w:val="auto"/>
          <w:sz w:val="28"/>
          <w:szCs w:val="28"/>
          <w:lang w:val="en-US" w:eastAsia="zh-CN"/>
        </w:rPr>
        <w:t>6.合同履行期限：</w:t>
      </w:r>
      <w:bookmarkEnd w:id="53"/>
      <w:bookmarkEnd w:id="54"/>
      <w:r>
        <w:rPr>
          <w:rFonts w:hint="default" w:ascii="Times New Roman" w:hAnsi="Times New Roman" w:eastAsia="仿宋_GB2312" w:cs="Times New Roman"/>
          <w:color w:val="auto"/>
          <w:sz w:val="28"/>
          <w:szCs w:val="28"/>
          <w:lang w:val="en-US" w:eastAsia="zh-CN"/>
        </w:rPr>
        <w:t>同交货期</w:t>
      </w:r>
    </w:p>
    <w:p w14:paraId="22AFAD6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804008546_WPSOffice_Level3"/>
      <w:bookmarkStart w:id="57" w:name="_Toc1547155158_WPSOffice_Level3"/>
      <w:r>
        <w:rPr>
          <w:rFonts w:hint="default" w:ascii="Times New Roman" w:hAnsi="Times New Roman" w:eastAsia="仿宋_GB2312" w:cs="Times New Roman"/>
          <w:color w:val="auto"/>
          <w:sz w:val="28"/>
          <w:szCs w:val="28"/>
          <w:lang w:val="en-US" w:eastAsia="zh-CN"/>
        </w:rPr>
        <w:t>7.本项目是否接受联合体投标：否</w:t>
      </w:r>
      <w:bookmarkEnd w:id="56"/>
      <w:bookmarkEnd w:id="57"/>
    </w:p>
    <w:p w14:paraId="10069AE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8" w:name="_Toc1454916570_WPSOffice_Level3"/>
      <w:bookmarkStart w:id="59" w:name="_Toc1075148766_WPSOffice_Level3"/>
      <w:r>
        <w:rPr>
          <w:rFonts w:hint="default" w:ascii="Times New Roman" w:hAnsi="Times New Roman" w:eastAsia="仿宋_GB2312" w:cs="Times New Roman"/>
          <w:color w:val="auto"/>
          <w:sz w:val="28"/>
          <w:szCs w:val="28"/>
          <w:lang w:val="en-US" w:eastAsia="zh-CN"/>
        </w:rPr>
        <w:t>8.是否</w:t>
      </w:r>
      <w:r>
        <w:rPr>
          <w:rFonts w:ascii="Times New Roman" w:hAnsi="Times New Roman" w:eastAsia="仿宋_GB2312" w:cs="Times New Roman"/>
          <w:color w:val="auto"/>
          <w:sz w:val="28"/>
          <w:szCs w:val="28"/>
          <w:lang w:val="en-US" w:eastAsia="zh-CN"/>
        </w:rPr>
        <w:t>接受</w:t>
      </w:r>
      <w:r>
        <w:rPr>
          <w:rFonts w:hint="default" w:ascii="Times New Roman" w:hAnsi="Times New Roman" w:eastAsia="仿宋_GB2312" w:cs="Times New Roman"/>
          <w:color w:val="auto"/>
          <w:sz w:val="28"/>
          <w:szCs w:val="28"/>
          <w:lang w:val="en-US" w:eastAsia="zh-CN"/>
        </w:rPr>
        <w:t>进口产品：否</w:t>
      </w:r>
      <w:bookmarkEnd w:id="58"/>
      <w:bookmarkEnd w:id="59"/>
    </w:p>
    <w:p w14:paraId="6F9487F2">
      <w:pPr>
        <w:pStyle w:val="99"/>
        <w:spacing w:line="500" w:lineRule="exact"/>
        <w:ind w:firstLine="560" w:firstLineChars="200"/>
        <w:rPr>
          <w:rFonts w:ascii="Times New Roman" w:hAnsi="Times New Roman" w:eastAsia="仿宋_GB2312" w:cs="Times New Roman"/>
          <w:color w:val="auto"/>
          <w:kern w:val="2"/>
          <w:sz w:val="28"/>
          <w:szCs w:val="28"/>
        </w:rPr>
      </w:pPr>
      <w:r>
        <w:rPr>
          <w:rFonts w:ascii="Times New Roman" w:hAnsi="Times New Roman" w:eastAsia="仿宋_GB2312" w:cs="Times New Roman"/>
          <w:color w:val="auto"/>
          <w:kern w:val="2"/>
          <w:sz w:val="28"/>
          <w:szCs w:val="28"/>
        </w:rPr>
        <w:t>9</w:t>
      </w:r>
      <w:r>
        <w:rPr>
          <w:rFonts w:hint="eastAsia" w:ascii="Times New Roman" w:hAnsi="Times New Roman" w:eastAsia="仿宋_GB2312" w:cs="Times New Roman"/>
          <w:color w:val="auto"/>
          <w:kern w:val="2"/>
          <w:sz w:val="28"/>
          <w:szCs w:val="28"/>
        </w:rPr>
        <w:t>.</w:t>
      </w:r>
      <w:r>
        <w:rPr>
          <w:rFonts w:ascii="Times New Roman" w:hAnsi="Times New Roman" w:eastAsia="仿宋_GB2312" w:cs="Times New Roman"/>
          <w:color w:val="auto"/>
          <w:kern w:val="2"/>
          <w:sz w:val="28"/>
          <w:szCs w:val="28"/>
        </w:rPr>
        <w:t>是否专门面向中小企业：</w:t>
      </w:r>
      <w:r>
        <w:rPr>
          <w:rFonts w:hint="eastAsia" w:ascii="Times New Roman" w:hAnsi="Times New Roman" w:eastAsia="仿宋_GB2312" w:cs="Times New Roman"/>
          <w:color w:val="auto"/>
          <w:kern w:val="2"/>
          <w:sz w:val="28"/>
          <w:szCs w:val="28"/>
        </w:rPr>
        <w:t>否</w:t>
      </w:r>
    </w:p>
    <w:p w14:paraId="75510F68">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0" w:name="_Toc1298400066_WPSOffice_Level2"/>
      <w:bookmarkStart w:id="61" w:name="_Toc2026118901_WPSOffice_Level2"/>
      <w:bookmarkStart w:id="62" w:name="_Toc584363550_WPSOffice_Level2"/>
      <w:bookmarkStart w:id="63" w:name="_Toc407944620_WPSOffice_Level2"/>
      <w:r>
        <w:rPr>
          <w:rFonts w:hint="default" w:ascii="Times New Roman" w:hAnsi="Times New Roman" w:eastAsia="方正小标宋_GBK" w:cs="Times New Roman"/>
          <w:color w:val="auto"/>
          <w:sz w:val="28"/>
          <w:szCs w:val="28"/>
          <w:lang w:val="en-US" w:eastAsia="zh-CN"/>
        </w:rPr>
        <w:t>二、申请人资格要求</w:t>
      </w:r>
      <w:bookmarkEnd w:id="60"/>
      <w:bookmarkEnd w:id="61"/>
      <w:bookmarkEnd w:id="62"/>
      <w:bookmarkEnd w:id="63"/>
      <w:r>
        <w:rPr>
          <w:rFonts w:hint="default" w:ascii="Times New Roman" w:hAnsi="Times New Roman" w:eastAsia="仿宋_GB2312" w:cs="Times New Roman"/>
          <w:color w:val="auto"/>
          <w:sz w:val="28"/>
          <w:szCs w:val="28"/>
          <w:lang w:val="en-US" w:eastAsia="zh-CN"/>
        </w:rPr>
        <w:t>：</w:t>
      </w:r>
    </w:p>
    <w:p w14:paraId="140E3E7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288167634_WPSOffice_Level3"/>
      <w:bookmarkStart w:id="65" w:name="_Toc795001869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64"/>
      <w:bookmarkEnd w:id="65"/>
    </w:p>
    <w:p w14:paraId="4739441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6" w:name="_Toc1004075335_WPSOffice_Level3"/>
      <w:bookmarkStart w:id="67" w:name="_Toc282163985_WPSOffice_Level3"/>
      <w:r>
        <w:rPr>
          <w:rFonts w:hint="default" w:ascii="Times New Roman" w:hAnsi="Times New Roman" w:eastAsia="仿宋_GB2312" w:cs="Times New Roman"/>
          <w:color w:val="auto"/>
          <w:sz w:val="28"/>
          <w:szCs w:val="28"/>
          <w:lang w:val="en-US" w:eastAsia="zh-CN"/>
        </w:rPr>
        <w:t>2.</w:t>
      </w:r>
      <w:bookmarkEnd w:id="66"/>
      <w:r>
        <w:rPr>
          <w:rFonts w:hint="default" w:ascii="Times New Roman" w:hAnsi="Times New Roman" w:eastAsia="仿宋_GB2312" w:cs="Times New Roman"/>
          <w:color w:val="auto"/>
          <w:sz w:val="28"/>
          <w:szCs w:val="28"/>
          <w:lang w:val="en-US" w:eastAsia="zh-CN"/>
        </w:rPr>
        <w:t>落实政府采购政策满足的资格要求：</w:t>
      </w:r>
    </w:p>
    <w:bookmarkEnd w:id="67"/>
    <w:p w14:paraId="7B152171">
      <w:pPr>
        <w:spacing w:line="48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无</w:t>
      </w:r>
      <w:r>
        <w:rPr>
          <w:rFonts w:hint="default" w:ascii="Times New Roman" w:hAnsi="Times New Roman" w:eastAsia="仿宋_GB2312" w:cs="Times New Roman"/>
          <w:color w:val="auto"/>
          <w:sz w:val="28"/>
          <w:szCs w:val="28"/>
          <w:lang w:val="en-US" w:eastAsia="zh-CN"/>
        </w:rPr>
        <w:t>。</w:t>
      </w:r>
    </w:p>
    <w:p w14:paraId="37C9B92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p>
    <w:p w14:paraId="4EF00E7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8" w:name="_Toc2045253496_WPSOffice_Level2"/>
      <w:bookmarkStart w:id="69" w:name="_Toc295468326_WPSOffice_Level2"/>
      <w:bookmarkStart w:id="70" w:name="_Toc1144697108_WPSOffice_Level2"/>
      <w:bookmarkStart w:id="71" w:name="_Toc872248170_WPSOffice_Level2"/>
      <w:r>
        <w:rPr>
          <w:rFonts w:hint="default" w:ascii="Times New Roman" w:hAnsi="Times New Roman" w:eastAsia="仿宋_GB2312" w:cs="Times New Roman"/>
          <w:color w:val="auto"/>
          <w:sz w:val="28"/>
          <w:szCs w:val="28"/>
          <w:lang w:val="en-US" w:eastAsia="zh-CN"/>
        </w:rPr>
        <w:t>A制造商参与投标的需具备的资格条件</w:t>
      </w:r>
    </w:p>
    <w:p w14:paraId="7BBCDF7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1）具有有效的《中华人民共和国特种设备生产许可证》，许可项目：电梯制造（含安装、修理、改造），许可子项目：曳引驱动乘客电梯（含消防员电梯）；</w:t>
      </w:r>
    </w:p>
    <w:p w14:paraId="42B987C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2）具有有效的《中华人民共和国特种设备制造许可证》（电梯）B级以上</w:t>
      </w:r>
      <w:r>
        <w:rPr>
          <w:rFonts w:ascii="Times New Roman" w:hAnsi="Times New Roman" w:eastAsia="仿宋_GB2312" w:cs="Times New Roman"/>
          <w:color w:val="auto"/>
          <w:sz w:val="28"/>
          <w:szCs w:val="28"/>
          <w:lang w:val="en-US" w:eastAsia="zh-CN"/>
        </w:rPr>
        <w:t>和</w:t>
      </w:r>
      <w:r>
        <w:rPr>
          <w:rFonts w:hint="default" w:ascii="Times New Roman" w:hAnsi="Times New Roman" w:eastAsia="仿宋_GB2312" w:cs="Times New Roman"/>
          <w:color w:val="auto"/>
          <w:sz w:val="28"/>
          <w:szCs w:val="28"/>
          <w:lang w:val="en-US" w:eastAsia="zh-CN"/>
        </w:rPr>
        <w:t>《中华人民共和国特种设备安装改造维修许可证》（电梯）安装、维修均为B级以上。</w:t>
      </w:r>
    </w:p>
    <w:p w14:paraId="7F2BFBF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3209247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B</w:t>
      </w:r>
      <w:r>
        <w:rPr>
          <w:rFonts w:hint="default" w:ascii="Times New Roman" w:hAnsi="Times New Roman" w:eastAsia="仿宋_GB2312" w:cs="Times New Roman"/>
          <w:color w:val="auto"/>
          <w:sz w:val="28"/>
          <w:szCs w:val="28"/>
          <w:lang w:val="en-US" w:eastAsia="zh-CN"/>
        </w:rPr>
        <w:t>代理商参与投标的需具备的资格条件</w:t>
      </w:r>
    </w:p>
    <w:p w14:paraId="283C98B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B.1代理商资格条件：</w:t>
      </w:r>
    </w:p>
    <w:p w14:paraId="4B7C49C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1）有效的《中华人民共和国特种设备生产许可证》，许可项目：电梯安装（含修理），许可子项目：曳引驱动乘客电梯（含消防员电梯）；</w:t>
      </w:r>
    </w:p>
    <w:p w14:paraId="324581D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2）具有有效的《中华人民共和国特种设备安装改造维修许可证》（电梯）安装、维修均为B级以上。</w:t>
      </w:r>
    </w:p>
    <w:p w14:paraId="3D97B48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1690A8B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B.2 电梯品牌制造商</w:t>
      </w:r>
      <w:r>
        <w:rPr>
          <w:rFonts w:ascii="Times New Roman" w:hAnsi="Times New Roman" w:eastAsia="仿宋_GB2312" w:cs="Times New Roman"/>
          <w:color w:val="auto"/>
          <w:sz w:val="28"/>
          <w:szCs w:val="28"/>
          <w:lang w:val="en-US" w:eastAsia="zh-CN"/>
        </w:rPr>
        <w:t>资格条件</w:t>
      </w:r>
      <w:r>
        <w:rPr>
          <w:rFonts w:hint="default" w:ascii="Times New Roman" w:hAnsi="Times New Roman" w:eastAsia="仿宋_GB2312" w:cs="Times New Roman"/>
          <w:color w:val="auto"/>
          <w:sz w:val="28"/>
          <w:szCs w:val="28"/>
          <w:lang w:val="en-US" w:eastAsia="zh-CN"/>
        </w:rPr>
        <w:t>：</w:t>
      </w:r>
    </w:p>
    <w:p w14:paraId="1478508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1）有效的《中华人民共和国特种设备生产许可证》，许可项目：电梯制造，许可子项目：曳引驱动乘客电梯（含消防员电梯）；</w:t>
      </w:r>
    </w:p>
    <w:p w14:paraId="05B96E4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2）具有有效的《中华人民共和国特种设备制造许可证》（电梯）B级以上。</w:t>
      </w:r>
    </w:p>
    <w:p w14:paraId="7B31001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0AD2376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B.3</w:t>
      </w:r>
      <w:r>
        <w:rPr>
          <w:rFonts w:hint="default" w:ascii="Times New Roman" w:hAnsi="Times New Roman" w:eastAsia="仿宋_GB2312" w:cs="Times New Roman"/>
          <w:color w:val="auto"/>
          <w:sz w:val="28"/>
          <w:szCs w:val="28"/>
          <w:lang w:val="en-US" w:eastAsia="zh-CN"/>
        </w:rPr>
        <w:t>制造商对本项目的授权书</w:t>
      </w:r>
      <w:r>
        <w:rPr>
          <w:rFonts w:ascii="Times New Roman" w:hAnsi="Times New Roman" w:eastAsia="仿宋_GB2312" w:cs="Times New Roman"/>
          <w:color w:val="auto"/>
          <w:sz w:val="28"/>
          <w:szCs w:val="28"/>
          <w:lang w:val="en-US" w:eastAsia="zh-CN"/>
        </w:rPr>
        <w:t>。</w:t>
      </w:r>
    </w:p>
    <w:p w14:paraId="3C0706DD">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8"/>
      <w:bookmarkEnd w:id="69"/>
      <w:bookmarkEnd w:id="70"/>
      <w:bookmarkEnd w:id="71"/>
    </w:p>
    <w:p w14:paraId="03BFB0F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ascii="Times New Roman" w:hAnsi="Times New Roman" w:eastAsia="仿宋_GB2312" w:cs="Times New Roman"/>
          <w:color w:val="auto"/>
          <w:sz w:val="28"/>
          <w:szCs w:val="28"/>
          <w:lang w:val="en-US" w:eastAsia="zh-CN"/>
        </w:rPr>
        <w:t>2025年10月</w:t>
      </w:r>
      <w:r>
        <w:rPr>
          <w:rFonts w:hint="eastAsia"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lang w:val="en-US" w:eastAsia="zh-CN"/>
        </w:rPr>
        <w:t>日至</w:t>
      </w:r>
      <w:r>
        <w:rPr>
          <w:rFonts w:ascii="Times New Roman" w:hAnsi="Times New Roman" w:eastAsia="仿宋_GB2312" w:cs="Times New Roman"/>
          <w:color w:val="auto"/>
          <w:sz w:val="28"/>
          <w:szCs w:val="28"/>
          <w:lang w:val="en-US" w:eastAsia="zh-CN"/>
        </w:rPr>
        <w:t>2025年10月</w:t>
      </w:r>
      <w:r>
        <w:rPr>
          <w:rFonts w:hint="eastAsia"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sz w:val="28"/>
          <w:szCs w:val="28"/>
          <w:lang w:val="en-US" w:eastAsia="zh-CN"/>
        </w:rPr>
        <w:t>每天上午</w:t>
      </w:r>
      <w:r>
        <w:rPr>
          <w:rFonts w:ascii="Times New Roman" w:hAnsi="Times New Roman" w:eastAsia="仿宋_GB2312" w:cs="Times New Roman"/>
          <w:sz w:val="28"/>
          <w:szCs w:val="28"/>
          <w:lang w:val="en-US" w:eastAsia="zh-CN"/>
        </w:rPr>
        <w:t>00</w:t>
      </w:r>
      <w:r>
        <w:rPr>
          <w:rFonts w:hint="default" w:ascii="Times New Roman" w:hAnsi="Times New Roman" w:eastAsia="仿宋_GB2312" w:cs="Times New Roman"/>
          <w:sz w:val="28"/>
          <w:szCs w:val="28"/>
          <w:lang w:val="en-US" w:eastAsia="zh-CN"/>
        </w:rPr>
        <w:t>:00至12:00，下午1</w:t>
      </w:r>
      <w:r>
        <w:rPr>
          <w:rFonts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val="en-US" w:eastAsia="zh-CN"/>
        </w:rPr>
        <w:t>0至</w:t>
      </w:r>
      <w:r>
        <w:rPr>
          <w:rFonts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59</w:t>
      </w:r>
      <w:r>
        <w:rPr>
          <w:rFonts w:hint="default" w:ascii="Times New Roman" w:hAnsi="Times New Roman" w:eastAsia="仿宋_GB2312" w:cs="Times New Roman"/>
          <w:sz w:val="28"/>
          <w:szCs w:val="28"/>
          <w:lang w:val="en-US" w:eastAsia="zh-CN"/>
        </w:rPr>
        <w:t xml:space="preserve">（北京时间，法定节假日除外）。 </w:t>
      </w:r>
    </w:p>
    <w:p w14:paraId="07147D09">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w:t>
      </w:r>
      <w:r>
        <w:rPr>
          <w:rFonts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val="en-US" w:eastAsia="zh-CN"/>
        </w:rPr>
        <w:t>）。</w:t>
      </w:r>
    </w:p>
    <w:p w14:paraId="1A00EF62">
      <w:pPr>
        <w:spacing w:line="500" w:lineRule="exact"/>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_GB2312" w:cs="Times New Roman"/>
          <w:color w:val="auto"/>
          <w:sz w:val="28"/>
          <w:szCs w:val="28"/>
          <w:lang w:val="en-US"/>
        </w:rPr>
        <w:t>3.方式：投标人</w:t>
      </w:r>
      <w:r>
        <w:rPr>
          <w:rFonts w:hint="default" w:ascii="Times New Roman" w:hAnsi="Times New Roman" w:eastAsia="仿宋" w:cs="Times New Roman"/>
          <w:color w:val="auto"/>
          <w:sz w:val="28"/>
          <w:szCs w:val="28"/>
        </w:rPr>
        <w:t>使用</w:t>
      </w:r>
      <w:r>
        <w:rPr>
          <w:rFonts w:hint="default" w:ascii="Times New Roman" w:hAnsi="Times New Roman" w:eastAsia="仿宋" w:cs="Times New Roman"/>
          <w:color w:val="auto"/>
          <w:sz w:val="28"/>
          <w:szCs w:val="28"/>
          <w:lang w:val="en-US"/>
        </w:rPr>
        <w:t>CA</w:t>
      </w:r>
      <w:r>
        <w:rPr>
          <w:rFonts w:hint="default" w:ascii="Times New Roman" w:hAnsi="Times New Roman" w:eastAsia="仿宋" w:cs="Times New Roman"/>
          <w:color w:val="auto"/>
          <w:sz w:val="28"/>
          <w:szCs w:val="28"/>
        </w:rPr>
        <w:t>数字证书登录</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rPr>
        <w:t>河南省公共资源交易中心</w:t>
      </w:r>
      <w:r>
        <w:rPr>
          <w:rFonts w:ascii="Times New Roman" w:hAnsi="Times New Roman" w:eastAsia="仿宋" w:cs="Times New Roman"/>
          <w:color w:val="auto"/>
          <w:sz w:val="28"/>
          <w:szCs w:val="28"/>
          <w:lang w:val="en-US" w:eastAsia="zh-CN"/>
        </w:rPr>
        <w:t>网站</w:t>
      </w:r>
      <w:r>
        <w:rPr>
          <w:rFonts w:hint="default" w:ascii="Times New Roman" w:hAnsi="Times New Roman" w:eastAsia="仿宋" w:cs="Times New Roman"/>
          <w:color w:val="auto"/>
          <w:sz w:val="28"/>
          <w:szCs w:val="28"/>
          <w:lang w:val="en-US"/>
        </w:rPr>
        <w:t>（</w:t>
      </w:r>
      <w:r>
        <w:rPr>
          <w:rFonts w:ascii="Times New Roman" w:hAnsi="Times New Roman" w:eastAsia="仿宋" w:cs="Times New Roman"/>
          <w:color w:val="auto"/>
          <w:sz w:val="28"/>
          <w:szCs w:val="28"/>
          <w:lang w:val="en-US" w:eastAsia="zh-CN"/>
        </w:rPr>
        <w:t>hnsggzyjy.henan.gov.cn</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rPr>
        <w:t>并按网上提示下载投标项目所含格式</w:t>
      </w:r>
      <w:r>
        <w:rPr>
          <w:rFonts w:hint="default" w:ascii="Times New Roman" w:hAnsi="Times New Roman" w:eastAsia="仿宋" w:cs="Times New Roman"/>
          <w:color w:val="auto"/>
          <w:sz w:val="28"/>
          <w:szCs w:val="28"/>
          <w:lang w:val="en-US"/>
        </w:rPr>
        <w:t>(.hnzf)</w:t>
      </w:r>
      <w:r>
        <w:rPr>
          <w:rFonts w:hint="default" w:ascii="Times New Roman" w:hAnsi="Times New Roman" w:eastAsia="仿宋" w:cs="Times New Roman"/>
          <w:color w:val="auto"/>
          <w:sz w:val="28"/>
          <w:szCs w:val="28"/>
        </w:rPr>
        <w:t>的招标文件及资料。</w:t>
      </w:r>
      <w:r>
        <w:rPr>
          <w:rFonts w:hint="default" w:ascii="Times New Roman" w:hAnsi="Times New Roman" w:eastAsia="仿宋" w:cs="Times New Roman"/>
          <w:color w:val="auto"/>
          <w:sz w:val="28"/>
          <w:szCs w:val="28"/>
          <w:lang w:eastAsia="zh-CN"/>
        </w:rPr>
        <w:t>注册、登录、下载等</w:t>
      </w:r>
      <w:r>
        <w:rPr>
          <w:rFonts w:hint="default" w:ascii="Times New Roman" w:hAnsi="Times New Roman" w:eastAsia="仿宋" w:cs="Times New Roman"/>
          <w:color w:val="auto"/>
          <w:sz w:val="28"/>
          <w:szCs w:val="28"/>
          <w:lang w:val="en-US" w:eastAsia="zh-CN"/>
        </w:rPr>
        <w:t>具体事宜请查阅河南省公共资源交易中心网站“公共服务”→“办事指南”。</w:t>
      </w:r>
    </w:p>
    <w:p w14:paraId="25A24AD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745A9D2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72" w:name="_Toc2091398558_WPSOffice_Level2"/>
      <w:bookmarkStart w:id="73" w:name="_Toc994305580_WPSOffice_Level2"/>
      <w:bookmarkStart w:id="74" w:name="_Toc1432496505_WPSOffice_Level2"/>
      <w:bookmarkStart w:id="75" w:name="_Toc1361166934_WPSOffice_Level2"/>
      <w:r>
        <w:rPr>
          <w:rFonts w:hint="default" w:ascii="Times New Roman" w:hAnsi="Times New Roman" w:eastAsia="方正小标宋_GBK" w:cs="Times New Roman"/>
          <w:color w:val="auto"/>
          <w:sz w:val="28"/>
          <w:szCs w:val="28"/>
          <w:lang w:val="en-US" w:eastAsia="zh-CN"/>
        </w:rPr>
        <w:t>四、投标截止时间及地点</w:t>
      </w:r>
      <w:bookmarkEnd w:id="72"/>
      <w:bookmarkEnd w:id="73"/>
      <w:bookmarkEnd w:id="74"/>
      <w:bookmarkEnd w:id="75"/>
    </w:p>
    <w:p w14:paraId="55985E0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ascii="Times New Roman" w:hAnsi="Times New Roman" w:eastAsia="仿宋_GB2312" w:cs="Times New Roman"/>
          <w:color w:val="auto"/>
          <w:sz w:val="28"/>
          <w:szCs w:val="28"/>
          <w:lang w:val="en-US" w:eastAsia="zh-CN"/>
        </w:rPr>
        <w:t>2025年1</w:t>
      </w:r>
      <w:r>
        <w:rPr>
          <w:rFonts w:hint="eastAsia"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日</w:t>
      </w:r>
      <w:r>
        <w:rPr>
          <w:rFonts w:ascii="Times New Roman" w:hAnsi="Times New Roman" w:eastAsia="仿宋_GB2312" w:cs="Times New Roman"/>
          <w:color w:val="auto"/>
          <w:sz w:val="28"/>
          <w:szCs w:val="28"/>
          <w:lang w:val="en-US" w:eastAsia="zh-CN"/>
        </w:rPr>
        <w:t>09</w:t>
      </w:r>
      <w:r>
        <w:rPr>
          <w:rFonts w:hint="default" w:ascii="Times New Roman" w:hAnsi="Times New Roman" w:eastAsia="仿宋_GB2312" w:cs="Times New Roman"/>
          <w:color w:val="auto"/>
          <w:sz w:val="28"/>
          <w:szCs w:val="28"/>
          <w:lang w:val="en-US" w:eastAsia="zh-CN"/>
        </w:rPr>
        <w:t>时00分（北京时间）</w:t>
      </w:r>
    </w:p>
    <w:p w14:paraId="109813BB">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eastAsia="zh-CN"/>
        </w:rPr>
        <w:t>网</w:t>
      </w:r>
      <w:r>
        <w:rPr>
          <w:rFonts w:hint="default" w:ascii="Times New Roman" w:hAnsi="Times New Roman" w:eastAsia="仿宋" w:cs="Times New Roman"/>
          <w:color w:val="auto"/>
          <w:sz w:val="28"/>
          <w:szCs w:val="28"/>
          <w:lang w:val="en-US"/>
        </w:rPr>
        <w:t>（</w:t>
      </w:r>
      <w:r>
        <w:rPr>
          <w:rFonts w:ascii="Times New Roman" w:hAnsi="Times New Roman" w:eastAsia="仿宋" w:cs="Times New Roman"/>
          <w:color w:val="auto"/>
          <w:sz w:val="28"/>
          <w:szCs w:val="28"/>
          <w:lang w:val="en-US" w:eastAsia="zh-CN"/>
        </w:rPr>
        <w:t>hnsggzyjy.henan.gov.cn</w:t>
      </w:r>
      <w:r>
        <w:rPr>
          <w:rFonts w:hint="default" w:ascii="Times New Roman" w:hAnsi="Times New Roman" w:eastAsia="仿宋" w:cs="Times New Roman"/>
          <w:color w:val="auto"/>
          <w:sz w:val="28"/>
          <w:szCs w:val="28"/>
          <w:lang w:val="en-US"/>
        </w:rPr>
        <w:t>）</w:t>
      </w:r>
    </w:p>
    <w:p w14:paraId="6FAD7EA8">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6" w:name="_Toc2015382973_WPSOffice_Level2"/>
      <w:bookmarkStart w:id="77" w:name="_Toc843072336_WPSOffice_Level2"/>
      <w:bookmarkStart w:id="78" w:name="_Toc1501260250_WPSOffice_Level2"/>
      <w:bookmarkStart w:id="79" w:name="_Toc29068487_WPSOffice_Level2"/>
      <w:r>
        <w:rPr>
          <w:rFonts w:hint="default" w:ascii="Times New Roman" w:hAnsi="Times New Roman" w:eastAsia="方正小标宋_GBK" w:cs="Times New Roman"/>
          <w:color w:val="auto"/>
          <w:sz w:val="28"/>
          <w:szCs w:val="28"/>
          <w:lang w:val="en-US" w:eastAsia="zh-CN"/>
        </w:rPr>
        <w:t>五、开标时间及地点</w:t>
      </w:r>
      <w:bookmarkEnd w:id="76"/>
      <w:bookmarkEnd w:id="77"/>
      <w:bookmarkEnd w:id="78"/>
      <w:bookmarkEnd w:id="79"/>
    </w:p>
    <w:p w14:paraId="32A9643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ascii="Times New Roman" w:hAnsi="Times New Roman" w:eastAsia="仿宋_GB2312" w:cs="Times New Roman"/>
          <w:color w:val="auto"/>
          <w:sz w:val="28"/>
          <w:szCs w:val="28"/>
          <w:lang w:val="en-US" w:eastAsia="zh-CN"/>
        </w:rPr>
        <w:t>2025年1</w:t>
      </w:r>
      <w:r>
        <w:rPr>
          <w:rFonts w:hint="eastAsia"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lang w:val="en-US" w:eastAsia="zh-CN"/>
        </w:rPr>
        <w:t>日09时00分</w:t>
      </w:r>
      <w:r>
        <w:rPr>
          <w:rFonts w:hint="default" w:ascii="Times New Roman" w:hAnsi="Times New Roman" w:eastAsia="仿宋_GB2312" w:cs="Times New Roman"/>
          <w:color w:val="auto"/>
          <w:sz w:val="28"/>
          <w:szCs w:val="28"/>
          <w:lang w:val="en-US" w:eastAsia="zh-CN"/>
        </w:rPr>
        <w:t>（北京时间）</w:t>
      </w:r>
    </w:p>
    <w:p w14:paraId="3438E6A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80" w:name="_Toc74330375_WPSOffice_Level2"/>
      <w:bookmarkStart w:id="81" w:name="_Toc1101443234_WPSOffice_Level2"/>
      <w:bookmarkStart w:id="82" w:name="_Toc847108981_WPSOffice_Level2"/>
      <w:r>
        <w:rPr>
          <w:rFonts w:hint="default" w:ascii="Times New Roman" w:hAnsi="Times New Roman" w:eastAsia="仿宋_GB2312" w:cs="Times New Roman"/>
          <w:color w:val="auto"/>
          <w:sz w:val="28"/>
          <w:szCs w:val="28"/>
          <w:lang w:val="en-US" w:eastAsia="zh-CN"/>
        </w:rPr>
        <w:t>河南省公共资源交易中心</w:t>
      </w:r>
      <w:r>
        <w:rPr>
          <w:rFonts w:ascii="Times New Roman" w:hAnsi="Times New Roman" w:eastAsia="仿宋_GB2312" w:cs="Times New Roman"/>
          <w:color w:val="auto"/>
          <w:sz w:val="28"/>
          <w:szCs w:val="28"/>
          <w:lang w:val="en-US" w:eastAsia="zh-CN"/>
        </w:rPr>
        <w:t>远程</w:t>
      </w:r>
      <w:r>
        <w:rPr>
          <w:rFonts w:hint="default" w:ascii="Times New Roman" w:hAnsi="Times New Roman" w:eastAsia="仿宋_GB2312" w:cs="Times New Roman"/>
          <w:color w:val="auto"/>
          <w:sz w:val="28"/>
          <w:szCs w:val="28"/>
          <w:lang w:val="en-US" w:eastAsia="zh-CN"/>
        </w:rPr>
        <w:t>开标室；“河南省公共资源交易中心”</w:t>
      </w:r>
      <w:r>
        <w:rPr>
          <w:rFonts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val="en-US" w:eastAsia="zh-CN"/>
        </w:rPr>
        <w:t>）——不见面开标大厅。</w:t>
      </w:r>
    </w:p>
    <w:p w14:paraId="3BE8900C">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3"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80"/>
      <w:bookmarkEnd w:id="81"/>
      <w:bookmarkEnd w:id="82"/>
      <w:bookmarkEnd w:id="83"/>
    </w:p>
    <w:p w14:paraId="0B5B2DC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7D5C7789">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4" w:name="_Toc1849985481_WPSOffice_Level2"/>
      <w:bookmarkStart w:id="85" w:name="_Toc934758795_WPSOffice_Level2"/>
      <w:bookmarkStart w:id="86" w:name="_Toc1765891161_WPSOffice_Level2"/>
      <w:bookmarkStart w:id="87" w:name="_Toc271688487_WPSOffice_Level2"/>
      <w:r>
        <w:rPr>
          <w:rFonts w:hint="default" w:ascii="Times New Roman" w:hAnsi="Times New Roman" w:eastAsia="方正小标宋_GBK" w:cs="Times New Roman"/>
          <w:color w:val="auto"/>
          <w:sz w:val="28"/>
          <w:szCs w:val="28"/>
          <w:lang w:val="en-US" w:eastAsia="zh-CN"/>
        </w:rPr>
        <w:t>七、其他补充事宜</w:t>
      </w:r>
      <w:bookmarkEnd w:id="84"/>
      <w:bookmarkEnd w:id="85"/>
      <w:bookmarkEnd w:id="86"/>
      <w:bookmarkEnd w:id="87"/>
    </w:p>
    <w:p w14:paraId="411410D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8" w:name="_Toc1844119755_WPSOffice_Level2"/>
      <w:bookmarkStart w:id="89" w:name="_Toc1528591159_WPSOffice_Level2"/>
      <w:bookmarkStart w:id="90" w:name="_Toc1643921422_WPSOffice_Level2"/>
      <w:bookmarkStart w:id="91" w:name="_Toc104417590_WPSOffice_Level2"/>
      <w:r>
        <w:rPr>
          <w:rFonts w:hint="default" w:ascii="Times New Roman" w:hAnsi="Times New Roman" w:eastAsia="仿宋_GB2312" w:cs="Times New Roman"/>
          <w:color w:val="auto"/>
          <w:sz w:val="28"/>
          <w:szCs w:val="28"/>
          <w:lang w:val="en-US" w:eastAsia="zh-CN"/>
        </w:rPr>
        <w:t>本项目落实</w:t>
      </w:r>
      <w:r>
        <w:rPr>
          <w:rFonts w:ascii="Times New Roman" w:hAnsi="Times New Roman" w:eastAsia="仿宋_GB2312" w:cs="Times New Roman"/>
          <w:color w:val="auto"/>
          <w:sz w:val="28"/>
          <w:szCs w:val="28"/>
          <w:lang w:val="en-US" w:eastAsia="zh-CN"/>
        </w:rPr>
        <w:t>节能环保、</w:t>
      </w:r>
      <w:r>
        <w:rPr>
          <w:rFonts w:hint="default" w:ascii="Times New Roman" w:hAnsi="Times New Roman" w:eastAsia="仿宋_GB2312" w:cs="Times New Roman"/>
          <w:color w:val="auto"/>
          <w:sz w:val="28"/>
          <w:szCs w:val="28"/>
          <w:lang w:val="en-US" w:eastAsia="zh-CN"/>
        </w:rPr>
        <w:t>中小企业</w:t>
      </w:r>
      <w:r>
        <w:rPr>
          <w:rFonts w:ascii="Times New Roman" w:hAnsi="Times New Roman" w:eastAsia="仿宋_GB2312" w:cs="Times New Roman"/>
          <w:color w:val="auto"/>
          <w:sz w:val="28"/>
          <w:szCs w:val="28"/>
          <w:lang w:val="en-US" w:eastAsia="zh-CN"/>
        </w:rPr>
        <w:t>扶持、</w:t>
      </w:r>
      <w:r>
        <w:rPr>
          <w:rFonts w:hint="default" w:ascii="Times New Roman" w:hAnsi="Times New Roman" w:eastAsia="仿宋_GB2312" w:cs="Times New Roman"/>
          <w:color w:val="auto"/>
          <w:sz w:val="28"/>
          <w:szCs w:val="28"/>
          <w:lang w:val="en-US" w:eastAsia="zh-CN"/>
        </w:rPr>
        <w:t>促进残疾人就业等</w:t>
      </w:r>
      <w:r>
        <w:rPr>
          <w:rFonts w:ascii="Times New Roman" w:hAnsi="Times New Roman" w:eastAsia="仿宋_GB2312" w:cs="Times New Roman"/>
          <w:color w:val="auto"/>
          <w:sz w:val="28"/>
          <w:szCs w:val="28"/>
          <w:lang w:val="en-US" w:eastAsia="zh-CN"/>
        </w:rPr>
        <w:t>相关政府采购政策</w:t>
      </w:r>
      <w:r>
        <w:rPr>
          <w:rFonts w:hint="default" w:ascii="Times New Roman" w:hAnsi="Times New Roman" w:eastAsia="仿宋_GB2312" w:cs="Times New Roman"/>
          <w:color w:val="auto"/>
          <w:sz w:val="28"/>
          <w:szCs w:val="28"/>
          <w:lang w:val="en-US" w:eastAsia="zh-CN"/>
        </w:rPr>
        <w:t>。</w:t>
      </w:r>
    </w:p>
    <w:p w14:paraId="4B3D6E8D">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8"/>
      <w:bookmarkEnd w:id="89"/>
      <w:bookmarkEnd w:id="90"/>
      <w:bookmarkEnd w:id="91"/>
    </w:p>
    <w:p w14:paraId="0BAF4D9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92" w:name="_Toc1644240802_WPSOffice_Level3"/>
      <w:bookmarkStart w:id="93" w:name="_Toc116085146_WPSOffice_Level3"/>
      <w:r>
        <w:rPr>
          <w:rFonts w:hint="default" w:ascii="Times New Roman" w:hAnsi="Times New Roman" w:eastAsia="仿宋_GB2312" w:cs="Times New Roman"/>
          <w:color w:val="auto"/>
          <w:sz w:val="28"/>
          <w:szCs w:val="28"/>
          <w:lang w:val="en-US" w:eastAsia="zh-CN"/>
        </w:rPr>
        <w:t xml:space="preserve">1. 采购人信息 </w:t>
      </w:r>
    </w:p>
    <w:p w14:paraId="18F87B6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 xml:space="preserve">名称：郑州信息科技职业学院 </w:t>
      </w:r>
    </w:p>
    <w:p w14:paraId="254F1CB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地址：</w:t>
      </w:r>
      <w:r>
        <w:rPr>
          <w:rFonts w:ascii="Times New Roman" w:hAnsi="Times New Roman" w:eastAsia="仿宋_GB2312" w:cs="Times New Roman"/>
          <w:color w:val="auto"/>
          <w:sz w:val="28"/>
          <w:szCs w:val="28"/>
          <w:lang w:eastAsia="zh-CN"/>
        </w:rPr>
        <w:t>河南省郑州市金水区龙子湖北路36号</w:t>
      </w:r>
    </w:p>
    <w:p w14:paraId="64ECEB8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联系人：朱老师</w:t>
      </w:r>
    </w:p>
    <w:p w14:paraId="4D94B25B">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sz w:val="28"/>
          <w:szCs w:val="28"/>
          <w:lang w:val="en-US" w:eastAsia="zh-CN"/>
        </w:rPr>
        <w:t>0371-58525280</w:t>
      </w:r>
    </w:p>
    <w:p w14:paraId="43BF5C6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5478824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6A5E916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35BB620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w:t>
      </w:r>
      <w:r>
        <w:rPr>
          <w:rFonts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余老师</w:t>
      </w:r>
    </w:p>
    <w:p w14:paraId="232B374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1993036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61667E0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项目联系人：朱超</w:t>
      </w:r>
    </w:p>
    <w:p w14:paraId="21EBABD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sz w:val="28"/>
          <w:szCs w:val="28"/>
          <w:lang w:val="en-US" w:eastAsia="zh-CN"/>
        </w:rPr>
        <w:t>0371-58525280</w:t>
      </w:r>
    </w:p>
    <w:bookmarkEnd w:id="92"/>
    <w:bookmarkEnd w:id="93"/>
    <w:p w14:paraId="36993F75">
      <w:pPr>
        <w:pStyle w:val="2"/>
        <w:spacing w:before="0" w:after="0" w:line="360" w:lineRule="auto"/>
        <w:jc w:val="center"/>
        <w:rPr>
          <w:rFonts w:ascii="Times New Roman" w:hAnsi="Times New Roman" w:eastAsia="宋体"/>
          <w:color w:val="auto"/>
          <w:sz w:val="36"/>
          <w:szCs w:val="36"/>
          <w:lang w:eastAsia="zh-CN"/>
        </w:rPr>
      </w:pPr>
      <w:bookmarkStart w:id="94" w:name="_Toc827828127_WPSOffice_Level1"/>
      <w:bookmarkStart w:id="95" w:name="_Toc888082094"/>
      <w:bookmarkStart w:id="96" w:name="_Toc826019295"/>
      <w:r>
        <w:rPr>
          <w:rFonts w:ascii="Times New Roman" w:hAnsi="Times New Roman" w:eastAsia="宋体"/>
          <w:color w:val="auto"/>
          <w:sz w:val="36"/>
          <w:szCs w:val="36"/>
          <w:lang w:eastAsia="zh-CN"/>
        </w:rPr>
        <w:br w:type="page"/>
      </w:r>
      <w:r>
        <w:rPr>
          <w:rFonts w:ascii="Times New Roman" w:hAnsi="Times New Roman" w:eastAsia="宋体"/>
          <w:color w:val="auto"/>
          <w:sz w:val="36"/>
          <w:szCs w:val="36"/>
          <w:lang w:eastAsia="zh-CN"/>
        </w:rPr>
        <w:t>第二章 投标人须知前附表</w:t>
      </w:r>
      <w:bookmarkEnd w:id="26"/>
      <w:bookmarkEnd w:id="27"/>
      <w:bookmarkEnd w:id="28"/>
      <w:bookmarkEnd w:id="29"/>
      <w:bookmarkEnd w:id="30"/>
      <w:bookmarkEnd w:id="31"/>
      <w:bookmarkEnd w:id="32"/>
      <w:bookmarkEnd w:id="33"/>
      <w:bookmarkEnd w:id="34"/>
      <w:bookmarkEnd w:id="35"/>
      <w:bookmarkEnd w:id="36"/>
      <w:bookmarkEnd w:id="37"/>
      <w:bookmarkEnd w:id="94"/>
      <w:bookmarkEnd w:id="95"/>
      <w:bookmarkEnd w:id="96"/>
    </w:p>
    <w:p w14:paraId="5F3646B7">
      <w:pPr>
        <w:spacing w:line="54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w:t>
      </w:r>
    </w:p>
    <w:tbl>
      <w:tblPr>
        <w:tblStyle w:val="52"/>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6DA0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vAlign w:val="center"/>
          </w:tcPr>
          <w:p w14:paraId="2D4868F2">
            <w:pPr>
              <w:spacing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751" w:type="dxa"/>
            <w:vAlign w:val="center"/>
          </w:tcPr>
          <w:p w14:paraId="1BB9C141">
            <w:pPr>
              <w:spacing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7912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vAlign w:val="center"/>
          </w:tcPr>
          <w:p w14:paraId="6D5FB3D0">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7751" w:type="dxa"/>
            <w:vAlign w:val="center"/>
          </w:tcPr>
          <w:p w14:paraId="183074CB">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lang w:val="en" w:eastAsia="zh-CN"/>
              </w:rPr>
              <w:t>郑州信息科技职业学院东校区加装电梯-电梯采购及安装项目</w:t>
            </w:r>
            <w:r>
              <w:rPr>
                <w:rFonts w:ascii="Times New Roman" w:hAnsi="Times New Roman" w:eastAsia="仿宋_GB2312" w:cs="Times New Roman"/>
                <w:color w:val="auto"/>
                <w:sz w:val="28"/>
                <w:szCs w:val="28"/>
                <w:lang w:val="en" w:eastAsia="zh-CN"/>
              </w:rPr>
              <w:tab/>
            </w:r>
            <w:r>
              <w:rPr>
                <w:rFonts w:hint="default" w:ascii="Times New Roman" w:hAnsi="Times New Roman" w:eastAsia="仿宋_GB2312" w:cs="Times New Roman"/>
                <w:color w:val="auto"/>
                <w:sz w:val="28"/>
                <w:szCs w:val="28"/>
                <w:lang w:val="en-US" w:eastAsia="zh-CN"/>
              </w:rPr>
              <w:t xml:space="preserve"> </w:t>
            </w:r>
          </w:p>
        </w:tc>
      </w:tr>
      <w:tr w14:paraId="1CE81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vAlign w:val="center"/>
          </w:tcPr>
          <w:p w14:paraId="75A78E20">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7751" w:type="dxa"/>
            <w:vAlign w:val="center"/>
          </w:tcPr>
          <w:p w14:paraId="37723F0A">
            <w:pPr>
              <w:spacing w:line="360" w:lineRule="auto"/>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采购编号：</w:t>
            </w:r>
            <w:r>
              <w:rPr>
                <w:rFonts w:ascii="Times New Roman" w:hAnsi="Times New Roman" w:eastAsia="仿宋_GB2312" w:cs="Times New Roman"/>
                <w:color w:val="auto"/>
                <w:sz w:val="28"/>
                <w:szCs w:val="28"/>
                <w:lang w:eastAsia="zh-CN"/>
              </w:rPr>
              <w:t>豫财招标采购-2025-1164</w:t>
            </w:r>
          </w:p>
        </w:tc>
      </w:tr>
      <w:tr w14:paraId="30E61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41ACAD33">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7751" w:type="dxa"/>
            <w:vAlign w:val="center"/>
          </w:tcPr>
          <w:p w14:paraId="548E9CD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采购项目简要说明</w:t>
            </w:r>
            <w:r>
              <w:rPr>
                <w:rFonts w:hint="default" w:ascii="Times New Roman" w:hAnsi="Times New Roman" w:eastAsia="仿宋_GB2312" w:cs="Times New Roman"/>
                <w:color w:val="auto"/>
                <w:sz w:val="28"/>
                <w:szCs w:val="28"/>
                <w:lang w:eastAsia="zh-CN"/>
              </w:rPr>
              <w:t>：见“第一章 投标邀请”</w:t>
            </w:r>
          </w:p>
        </w:tc>
      </w:tr>
      <w:tr w14:paraId="2CF7E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147B61B4">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7751" w:type="dxa"/>
            <w:vAlign w:val="center"/>
          </w:tcPr>
          <w:p w14:paraId="7AEBB7CA">
            <w:pPr>
              <w:pStyle w:val="98"/>
              <w:ind w:firstLine="0" w:firstLineChars="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采购人：</w:t>
            </w:r>
            <w:r>
              <w:rPr>
                <w:rFonts w:ascii="Times New Roman" w:hAnsi="Times New Roman" w:eastAsia="仿宋_GB2312" w:cs="Times New Roman"/>
                <w:color w:val="auto"/>
                <w:sz w:val="28"/>
                <w:szCs w:val="28"/>
                <w:lang w:val="en" w:eastAsia="zh-CN"/>
              </w:rPr>
              <w:t>郑州信息科技职业学院</w:t>
            </w:r>
            <w:r>
              <w:rPr>
                <w:rFonts w:hint="default" w:ascii="Times New Roman" w:hAnsi="Times New Roman" w:eastAsia="仿宋_GB2312" w:cs="Times New Roman"/>
                <w:color w:val="auto"/>
                <w:sz w:val="28"/>
                <w:szCs w:val="28"/>
                <w:lang w:val="en-US" w:eastAsia="zh-CN"/>
              </w:rPr>
              <w:t xml:space="preserve"> </w:t>
            </w:r>
          </w:p>
          <w:p w14:paraId="6256AFA4">
            <w:pPr>
              <w:pStyle w:val="98"/>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地址：</w:t>
            </w:r>
            <w:r>
              <w:rPr>
                <w:rFonts w:ascii="Times New Roman" w:hAnsi="Times New Roman" w:eastAsia="仿宋_GB2312" w:cs="Times New Roman"/>
                <w:color w:val="auto"/>
                <w:sz w:val="28"/>
                <w:szCs w:val="28"/>
                <w:lang w:eastAsia="zh-CN"/>
              </w:rPr>
              <w:t>河南省郑州市金水区龙子湖北路36号</w:t>
            </w:r>
          </w:p>
          <w:p w14:paraId="4614AFC9">
            <w:pPr>
              <w:pStyle w:val="98"/>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w:t>
            </w:r>
            <w:r>
              <w:rPr>
                <w:rFonts w:ascii="Times New Roman" w:hAnsi="Times New Roman" w:eastAsia="仿宋_GB2312" w:cs="Times New Roman"/>
                <w:color w:val="auto"/>
                <w:sz w:val="28"/>
                <w:szCs w:val="28"/>
                <w:lang w:val="en-US" w:eastAsia="zh-CN"/>
              </w:rPr>
              <w:t>朱老师</w:t>
            </w:r>
          </w:p>
          <w:p w14:paraId="1C1B1816">
            <w:pPr>
              <w:pStyle w:val="98"/>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联系方式：</w:t>
            </w:r>
            <w:r>
              <w:rPr>
                <w:rFonts w:ascii="Times New Roman" w:hAnsi="Times New Roman" w:eastAsia="仿宋_GB2312" w:cs="Times New Roman"/>
                <w:sz w:val="28"/>
                <w:szCs w:val="28"/>
                <w:lang w:val="en-US" w:eastAsia="zh-CN"/>
              </w:rPr>
              <w:t>0371-58525280</w:t>
            </w:r>
          </w:p>
          <w:p w14:paraId="2FE5B4D8">
            <w:pPr>
              <w:pStyle w:val="98"/>
              <w:ind w:firstLine="0" w:firstLineChars="0"/>
              <w:rPr>
                <w:rFonts w:hint="default" w:ascii="Times New Roman" w:hAnsi="Times New Roman" w:eastAsia="仿宋_GB2312" w:cs="Times New Roman"/>
                <w:color w:val="auto"/>
                <w:sz w:val="28"/>
                <w:szCs w:val="28"/>
                <w:lang w:val="en-US"/>
              </w:rPr>
            </w:pPr>
            <w:r>
              <w:rPr>
                <w:rFonts w:ascii="Times New Roman" w:hAnsi="Times New Roman" w:eastAsia="仿宋_GB2312" w:cs="Times New Roman"/>
                <w:color w:val="auto"/>
                <w:sz w:val="28"/>
                <w:szCs w:val="28"/>
                <w:lang w:val="en-US"/>
              </w:rPr>
              <w:t>邮箱：hnkfdxhqbzfwzx@163.com</w:t>
            </w:r>
          </w:p>
        </w:tc>
      </w:tr>
      <w:tr w14:paraId="29AD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vAlign w:val="center"/>
          </w:tcPr>
          <w:p w14:paraId="27F79171">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7751" w:type="dxa"/>
            <w:vAlign w:val="center"/>
          </w:tcPr>
          <w:p w14:paraId="7CA95A0B">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0AB4C045">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2C4F5F84">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联系人：郭老师</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余老师</w:t>
            </w:r>
          </w:p>
          <w:p w14:paraId="4BE04BD7">
            <w:pPr>
              <w:spacing w:line="360" w:lineRule="auto"/>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rPr>
              <w:t>联系电话：0371-65915560</w:t>
            </w:r>
          </w:p>
          <w:p w14:paraId="010AFAE8">
            <w:pPr>
              <w:spacing w:line="36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邮箱：hnggzyzfcg@163.com</w:t>
            </w:r>
          </w:p>
        </w:tc>
      </w:tr>
      <w:tr w14:paraId="23A25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14:paraId="2CDCFD4C">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w:t>
            </w:r>
          </w:p>
        </w:tc>
        <w:tc>
          <w:tcPr>
            <w:tcW w:w="7751" w:type="dxa"/>
            <w:vAlign w:val="center"/>
          </w:tcPr>
          <w:p w14:paraId="25C3832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ascii="Times New Roman" w:hAnsi="Times New Roman" w:eastAsia="仿宋_GB2312" w:cs="Times New Roman"/>
                <w:b/>
                <w:bCs/>
                <w:color w:val="auto"/>
                <w:sz w:val="28"/>
                <w:szCs w:val="28"/>
                <w:lang w:val="en-US" w:eastAsia="zh-CN"/>
              </w:rPr>
              <w:t>否</w:t>
            </w:r>
          </w:p>
        </w:tc>
      </w:tr>
      <w:tr w14:paraId="4A62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vAlign w:val="center"/>
          </w:tcPr>
          <w:p w14:paraId="439DD929">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2.5.2</w:t>
            </w:r>
          </w:p>
        </w:tc>
        <w:tc>
          <w:tcPr>
            <w:tcW w:w="7751" w:type="dxa"/>
            <w:vAlign w:val="center"/>
          </w:tcPr>
          <w:p w14:paraId="1932A9F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27FC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14:paraId="4C0F4B38">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751" w:type="dxa"/>
            <w:vAlign w:val="center"/>
          </w:tcPr>
          <w:p w14:paraId="15154595">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4F11273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14:paraId="7188DAFE">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004F0C7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3B2E1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vAlign w:val="center"/>
          </w:tcPr>
          <w:p w14:paraId="09D7A579">
            <w:pPr>
              <w:spacing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6.6</w:t>
            </w:r>
          </w:p>
        </w:tc>
        <w:tc>
          <w:tcPr>
            <w:tcW w:w="7751" w:type="dxa"/>
            <w:vAlign w:val="center"/>
          </w:tcPr>
          <w:p w14:paraId="0D7D3E7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20C3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vAlign w:val="center"/>
          </w:tcPr>
          <w:p w14:paraId="608668E5">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7751" w:type="dxa"/>
            <w:vAlign w:val="center"/>
          </w:tcPr>
          <w:p w14:paraId="41FE8B26">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一个包</w:t>
            </w:r>
          </w:p>
        </w:tc>
      </w:tr>
      <w:tr w14:paraId="2E83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vAlign w:val="center"/>
          </w:tcPr>
          <w:p w14:paraId="16CEDAEA">
            <w:pPr>
              <w:spacing w:line="360" w:lineRule="auto"/>
              <w:jc w:val="center"/>
              <w:rPr>
                <w:rFonts w:hint="default" w:ascii="Times New Roman" w:hAnsi="Times New Roman" w:eastAsia="仿宋_GB2312" w:cs="Times New Roman"/>
                <w:strike/>
                <w:color w:val="auto"/>
                <w:sz w:val="28"/>
                <w:szCs w:val="28"/>
                <w:highlight w:val="cyan"/>
              </w:rPr>
            </w:pPr>
            <w:r>
              <w:rPr>
                <w:rFonts w:hint="default" w:ascii="Times New Roman" w:hAnsi="Times New Roman" w:eastAsia="仿宋_GB2312" w:cs="Times New Roman"/>
                <w:color w:val="auto"/>
                <w:sz w:val="28"/>
                <w:szCs w:val="28"/>
                <w:lang w:val="en-US" w:eastAsia="zh-CN"/>
              </w:rPr>
              <w:t>17.2</w:t>
            </w:r>
          </w:p>
        </w:tc>
        <w:tc>
          <w:tcPr>
            <w:tcW w:w="7751" w:type="dxa"/>
            <w:vAlign w:val="center"/>
          </w:tcPr>
          <w:p w14:paraId="3BDAEB76">
            <w:pPr>
              <w:spacing w:line="360" w:lineRule="auto"/>
              <w:rPr>
                <w:rFonts w:hint="default" w:ascii="Times New Roman" w:hAnsi="Times New Roman" w:eastAsia="仿宋_GB2312" w:cs="Times New Roman"/>
                <w:strike/>
                <w:color w:val="auto"/>
                <w:sz w:val="28"/>
                <w:szCs w:val="28"/>
                <w:highlight w:val="cyan"/>
                <w:lang w:eastAsia="zh-CN"/>
              </w:rPr>
            </w:pPr>
            <w:r>
              <w:rPr>
                <w:rFonts w:hint="default" w:ascii="Times New Roman" w:hAnsi="Times New Roman" w:eastAsia="仿宋_GB2312" w:cs="Times New Roman"/>
                <w:color w:val="auto"/>
                <w:sz w:val="28"/>
                <w:szCs w:val="28"/>
                <w:lang w:eastAsia="zh-CN"/>
              </w:rPr>
              <w:t>资格审查内容：须上传到“资格审查材料”中。</w:t>
            </w:r>
          </w:p>
        </w:tc>
      </w:tr>
      <w:tr w14:paraId="1707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728D4AD2">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7751" w:type="dxa"/>
            <w:vAlign w:val="center"/>
          </w:tcPr>
          <w:p w14:paraId="2984CA7C">
            <w:pPr>
              <w:pStyle w:val="99"/>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14:paraId="1A135739">
            <w:pPr>
              <w:spacing w:line="360" w:lineRule="auto"/>
              <w:jc w:val="left"/>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Cs/>
                <w:color w:val="auto"/>
                <w:sz w:val="28"/>
                <w:szCs w:val="28"/>
                <w:lang w:eastAsia="zh-CN"/>
              </w:rPr>
              <w:t>投标报价超过</w:t>
            </w:r>
            <w:r>
              <w:rPr>
                <w:rFonts w:hint="default" w:ascii="Times New Roman" w:hAnsi="Times New Roman" w:eastAsia="仿宋_GB2312" w:cs="Times New Roman"/>
                <w:bCs/>
                <w:color w:val="auto"/>
                <w:kern w:val="0"/>
                <w:sz w:val="28"/>
                <w:szCs w:val="28"/>
                <w:lang w:eastAsia="zh-CN"/>
              </w:rPr>
              <w:t>最高限价</w:t>
            </w:r>
            <w:r>
              <w:rPr>
                <w:rFonts w:hint="default" w:ascii="Times New Roman" w:hAnsi="Times New Roman" w:eastAsia="仿宋_GB2312" w:cs="Times New Roman"/>
                <w:bCs/>
                <w:color w:val="auto"/>
                <w:sz w:val="28"/>
                <w:szCs w:val="28"/>
                <w:lang w:eastAsia="zh-CN"/>
              </w:rPr>
              <w:t>的按无效投标处理。</w:t>
            </w:r>
          </w:p>
        </w:tc>
      </w:tr>
      <w:tr w14:paraId="7C9F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vAlign w:val="center"/>
          </w:tcPr>
          <w:p w14:paraId="7ABE8E66">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7751" w:type="dxa"/>
            <w:vAlign w:val="center"/>
          </w:tcPr>
          <w:p w14:paraId="604A8269">
            <w:pPr>
              <w:spacing w:line="360" w:lineRule="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0E25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vAlign w:val="center"/>
          </w:tcPr>
          <w:p w14:paraId="45312206">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7751" w:type="dxa"/>
            <w:vAlign w:val="center"/>
          </w:tcPr>
          <w:p w14:paraId="4FEA4C4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482DBC0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（1）法人或者其他组织的营业执照等证明文件或自然人的身份证明；</w:t>
            </w:r>
          </w:p>
          <w:p w14:paraId="2237408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val="en-US" w:eastAsia="zh-CN"/>
              </w:rPr>
              <w:t>2024</w:t>
            </w:r>
            <w:r>
              <w:rPr>
                <w:rFonts w:hint="default" w:ascii="Times New Roman" w:hAnsi="Times New Roman" w:eastAsia="仿宋_GB2312" w:cs="Times New Roman"/>
                <w:color w:val="auto"/>
                <w:sz w:val="28"/>
                <w:szCs w:val="28"/>
                <w:lang w:val="en-US" w:eastAsia="zh-CN"/>
              </w:rPr>
              <w:t>年度财务审计报告扫描件（要求注册会计师签字并加盖会计师印章）；</w:t>
            </w:r>
          </w:p>
          <w:p w14:paraId="498C8DB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（3）依法缴纳税收和社会保障资金的相关材料（提供自202</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14:paraId="7F5217E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（4）具备履行合同所必需的设备和专业技术能力的证明材料；</w:t>
            </w:r>
          </w:p>
          <w:p w14:paraId="6243962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（5）参加政府采购活动前3年内在经营活动中没有重大违法记录的书面声明。</w:t>
            </w:r>
          </w:p>
          <w:p w14:paraId="2B3DC04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（6）投标人关联单位的说明</w:t>
            </w:r>
            <w:r>
              <w:rPr>
                <w:rFonts w:ascii="Times New Roman" w:hAnsi="Times New Roman" w:eastAsia="仿宋_GB2312" w:cs="Times New Roman"/>
                <w:color w:val="auto"/>
                <w:sz w:val="28"/>
                <w:szCs w:val="28"/>
                <w:lang w:val="en-US" w:eastAsia="zh-CN"/>
              </w:rPr>
              <w:t>；</w:t>
            </w:r>
          </w:p>
          <w:p w14:paraId="746B43E1">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本项目的特定资格要求</w:t>
            </w:r>
            <w:r>
              <w:rPr>
                <w:rFonts w:ascii="Times New Roman" w:hAnsi="Times New Roman" w:eastAsia="仿宋_GB2312" w:cs="Times New Roman"/>
                <w:color w:val="auto"/>
                <w:sz w:val="28"/>
                <w:szCs w:val="28"/>
                <w:lang w:val="en-US" w:eastAsia="zh-CN"/>
              </w:rPr>
              <w:t>：</w:t>
            </w:r>
          </w:p>
          <w:p w14:paraId="67ABEFE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A制造商参与投标的需具备的资格条件</w:t>
            </w:r>
          </w:p>
          <w:p w14:paraId="58EAE67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1）：具有有效的《中华人民共和国特种设备生产许可证》，许可项目：电梯制造（含安装、修理、改造），许可子项目：曳引驱动乘客电梯（含消防员电梯）；</w:t>
            </w:r>
          </w:p>
          <w:p w14:paraId="42B845F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2）：具有有效的《中华人民共和国特种设备制造许可证》（电梯）B级以上</w:t>
            </w:r>
            <w:r>
              <w:rPr>
                <w:rFonts w:ascii="Times New Roman" w:hAnsi="Times New Roman" w:eastAsia="仿宋_GB2312" w:cs="Times New Roman"/>
                <w:color w:val="auto"/>
                <w:sz w:val="28"/>
                <w:szCs w:val="28"/>
                <w:lang w:val="en-US" w:eastAsia="zh-CN"/>
              </w:rPr>
              <w:t>和</w:t>
            </w:r>
            <w:r>
              <w:rPr>
                <w:rFonts w:hint="default" w:ascii="Times New Roman" w:hAnsi="Times New Roman" w:eastAsia="仿宋_GB2312" w:cs="Times New Roman"/>
                <w:color w:val="auto"/>
                <w:sz w:val="28"/>
                <w:szCs w:val="28"/>
                <w:lang w:val="en-US" w:eastAsia="zh-CN"/>
              </w:rPr>
              <w:t>《中华人民共和国特种设备安装改造维修许可证》（电梯）安装、维修均为B级以上。</w:t>
            </w:r>
          </w:p>
          <w:p w14:paraId="4292CB7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493764D8">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B</w:t>
            </w:r>
            <w:r>
              <w:rPr>
                <w:rFonts w:hint="default" w:ascii="Times New Roman" w:hAnsi="Times New Roman" w:eastAsia="仿宋_GB2312" w:cs="Times New Roman"/>
                <w:color w:val="auto"/>
                <w:sz w:val="28"/>
                <w:szCs w:val="28"/>
                <w:lang w:val="en-US" w:eastAsia="zh-CN"/>
              </w:rPr>
              <w:t>代理商参与投标的需具备的资格条件</w:t>
            </w:r>
          </w:p>
          <w:p w14:paraId="533C67B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B.1代理商资格条件：</w:t>
            </w:r>
          </w:p>
          <w:p w14:paraId="04A1896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1）：有效的《中华人民共和国特种设备生产许可证》，许可项目：电梯安装（含修理），许可子项目：曳引驱动乘客电梯（含消防员电梯）；</w:t>
            </w:r>
          </w:p>
          <w:p w14:paraId="209ADBB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2）：具有有效的《中华人民共和国特种设备安装改造维修许可证》（电梯）安装、维修均为B级以上。</w:t>
            </w:r>
          </w:p>
          <w:p w14:paraId="159EDD1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704C392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B.2 电梯品牌制造商</w:t>
            </w:r>
            <w:r>
              <w:rPr>
                <w:rFonts w:ascii="Times New Roman" w:hAnsi="Times New Roman" w:eastAsia="仿宋_GB2312" w:cs="Times New Roman"/>
                <w:color w:val="auto"/>
                <w:sz w:val="28"/>
                <w:szCs w:val="28"/>
                <w:lang w:val="en-US" w:eastAsia="zh-CN"/>
              </w:rPr>
              <w:t>资格条件</w:t>
            </w:r>
            <w:r>
              <w:rPr>
                <w:rFonts w:hint="default" w:ascii="Times New Roman" w:hAnsi="Times New Roman" w:eastAsia="仿宋_GB2312" w:cs="Times New Roman"/>
                <w:color w:val="auto"/>
                <w:sz w:val="28"/>
                <w:szCs w:val="28"/>
                <w:lang w:val="en-US" w:eastAsia="zh-CN"/>
              </w:rPr>
              <w:t>：</w:t>
            </w:r>
          </w:p>
          <w:p w14:paraId="7FA7A63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1）：有效的《中华人民共和国特种设备生产许可证》，许可项目：电梯制造，许可子项目：曳引驱动乘客电梯（含消防员电梯）；</w:t>
            </w:r>
          </w:p>
          <w:p w14:paraId="196B6E2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2）：具有有效的《中华人民共和国特种设备制造许可证》（电梯）B级以上。</w:t>
            </w:r>
          </w:p>
          <w:p w14:paraId="12F98AA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4E2A3794">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B.3</w:t>
            </w:r>
            <w:r>
              <w:rPr>
                <w:rFonts w:hint="default" w:ascii="Times New Roman" w:hAnsi="Times New Roman" w:eastAsia="仿宋_GB2312" w:cs="Times New Roman"/>
                <w:color w:val="auto"/>
                <w:sz w:val="28"/>
                <w:szCs w:val="28"/>
                <w:lang w:val="en-US" w:eastAsia="zh-CN"/>
              </w:rPr>
              <w:t>制造商对本项目的授权书。</w:t>
            </w:r>
          </w:p>
          <w:p w14:paraId="26644D1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14:paraId="6507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vAlign w:val="center"/>
          </w:tcPr>
          <w:p w14:paraId="0CE8BE5F">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7751" w:type="dxa"/>
            <w:vAlign w:val="center"/>
          </w:tcPr>
          <w:p w14:paraId="17438F57">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投标有效期</w:t>
            </w:r>
            <w:r>
              <w:rPr>
                <w:rFonts w:hint="default" w:ascii="Times New Roman" w:hAnsi="Times New Roman" w:eastAsia="仿宋_GB2312" w:cs="Times New Roman"/>
                <w:color w:val="auto"/>
                <w:sz w:val="28"/>
                <w:szCs w:val="28"/>
                <w:lang w:eastAsia="zh-CN"/>
              </w:rPr>
              <w:t>：从投标截止之日起60</w:t>
            </w:r>
            <w:r>
              <w:rPr>
                <w:rFonts w:hint="default" w:ascii="Times New Roman" w:hAnsi="Times New Roman" w:eastAsia="仿宋_GB2312" w:cs="Times New Roman"/>
                <w:color w:val="auto"/>
                <w:sz w:val="28"/>
                <w:szCs w:val="28"/>
                <w:lang w:val="en-US" w:eastAsia="zh-CN"/>
              </w:rPr>
              <w:t>天</w:t>
            </w:r>
          </w:p>
        </w:tc>
      </w:tr>
      <w:tr w14:paraId="55158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7B2C0061">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vAlign w:val="center"/>
          </w:tcPr>
          <w:p w14:paraId="10FE1200">
            <w:pPr>
              <w:spacing w:line="36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hnsggzyjy.henan.gov.cn</w:t>
            </w:r>
            <w:r>
              <w:rPr>
                <w:rFonts w:hint="default" w:ascii="Times New Roman" w:hAnsi="Times New Roman" w:eastAsia="仿宋_GB2312" w:cs="Times New Roman"/>
                <w:color w:val="auto"/>
                <w:sz w:val="28"/>
                <w:szCs w:val="28"/>
              </w:rPr>
              <w:t>）”电子交易平台加密上传。</w:t>
            </w:r>
          </w:p>
        </w:tc>
      </w:tr>
      <w:tr w14:paraId="110E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0A6361D0">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7751" w:type="dxa"/>
            <w:vAlign w:val="center"/>
          </w:tcPr>
          <w:p w14:paraId="01327625">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w:t>
            </w:r>
            <w:r>
              <w:rPr>
                <w:rFonts w:hint="default" w:ascii="Times New Roman" w:hAnsi="Times New Roman" w:eastAsia="仿宋_GB2312" w:cs="Times New Roman"/>
                <w:b/>
                <w:color w:val="auto"/>
                <w:sz w:val="28"/>
                <w:szCs w:val="28"/>
                <w:lang w:val="en-US" w:eastAsia="zh-CN"/>
              </w:rPr>
              <w:t>详见“第一章 投标邀请”</w:t>
            </w:r>
          </w:p>
        </w:tc>
      </w:tr>
      <w:tr w14:paraId="562E8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3BB4B067">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7751" w:type="dxa"/>
            <w:vAlign w:val="center"/>
          </w:tcPr>
          <w:p w14:paraId="7326B99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2BFCE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vAlign w:val="center"/>
          </w:tcPr>
          <w:p w14:paraId="104CB9DB">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7751" w:type="dxa"/>
            <w:vAlign w:val="center"/>
          </w:tcPr>
          <w:p w14:paraId="297009F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（hnsggzyjy.henan.gov.cn）——不见面开标大厅。</w:t>
            </w:r>
          </w:p>
        </w:tc>
      </w:tr>
      <w:tr w14:paraId="2466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1FD9E453">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.3</w:t>
            </w:r>
          </w:p>
        </w:tc>
        <w:tc>
          <w:tcPr>
            <w:tcW w:w="7751" w:type="dxa"/>
            <w:vAlign w:val="center"/>
          </w:tcPr>
          <w:p w14:paraId="44422855">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69F943DF">
            <w:pPr>
              <w:spacing w:line="360" w:lineRule="auto"/>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开标地点：详见“第一章 投标邀请”</w:t>
            </w:r>
          </w:p>
        </w:tc>
      </w:tr>
      <w:tr w14:paraId="6107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60DCE24D">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7751" w:type="dxa"/>
            <w:vAlign w:val="center"/>
          </w:tcPr>
          <w:p w14:paraId="613BF0F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采购人依据以下标准对投标人的资格进行审查，有一项不符合审查标准的，该投标人资格为不合格。</w:t>
            </w:r>
          </w:p>
          <w:p w14:paraId="7C9D9E6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（1）法人或者其他组织的营业执照等证明文件或自然人的身份证明符合招标文件规定；</w:t>
            </w:r>
          </w:p>
          <w:p w14:paraId="5503FBA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（2）财务审计报告（</w:t>
            </w:r>
            <w:r>
              <w:rPr>
                <w:rFonts w:ascii="Times New Roman" w:hAnsi="Times New Roman" w:eastAsia="仿宋_GB2312" w:cs="Times New Roman"/>
                <w:color w:val="auto"/>
                <w:sz w:val="28"/>
                <w:szCs w:val="28"/>
                <w:lang w:val="en-US" w:eastAsia="zh-CN"/>
              </w:rPr>
              <w:t>2024年度</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等材料</w:t>
            </w:r>
            <w:r>
              <w:rPr>
                <w:rFonts w:hint="default" w:ascii="Times New Roman" w:hAnsi="Times New Roman" w:eastAsia="仿宋_GB2312" w:cs="Times New Roman"/>
                <w:color w:val="auto"/>
                <w:sz w:val="28"/>
                <w:szCs w:val="28"/>
                <w:lang w:eastAsia="zh-CN"/>
              </w:rPr>
              <w:t>符合招标文件规定；</w:t>
            </w:r>
          </w:p>
          <w:p w14:paraId="506FC8B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（3）依法缴纳税收和依法缴纳社会保障资金的证明材料符合招标文件规定（自202</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年1月1日以来至少一个月）；</w:t>
            </w:r>
          </w:p>
          <w:p w14:paraId="63A7696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（4）具备履行合同所必需的设备和专业技术能力；</w:t>
            </w:r>
          </w:p>
          <w:p w14:paraId="0F105A2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（5）参加政府采购活动前3年内在经营活动中没有重大违法记录声明符合招标文件规定;</w:t>
            </w:r>
          </w:p>
          <w:p w14:paraId="242BEA1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（6）信用查询记录符合招标文件规定；</w:t>
            </w:r>
          </w:p>
          <w:p w14:paraId="71911E6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（7）不同投标人单位负责人不是同一人或者未存在直接控股、管理关系；</w:t>
            </w:r>
          </w:p>
          <w:p w14:paraId="33FAC37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）非联合体投标</w:t>
            </w:r>
            <w:r>
              <w:rPr>
                <w:rFonts w:ascii="Times New Roman" w:hAnsi="Times New Roman" w:eastAsia="仿宋_GB2312" w:cs="Times New Roman"/>
                <w:color w:val="auto"/>
                <w:sz w:val="28"/>
                <w:szCs w:val="28"/>
                <w:lang w:eastAsia="zh-CN"/>
              </w:rPr>
              <w:t>；</w:t>
            </w:r>
          </w:p>
          <w:p w14:paraId="27A48792">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lang w:val="en-US" w:eastAsia="zh-CN"/>
              </w:rPr>
              <w:t>9</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本项目的特定资格要求</w:t>
            </w:r>
            <w:r>
              <w:rPr>
                <w:rFonts w:ascii="Times New Roman" w:hAnsi="Times New Roman" w:eastAsia="仿宋_GB2312" w:cs="Times New Roman"/>
                <w:color w:val="auto"/>
                <w:sz w:val="28"/>
                <w:szCs w:val="28"/>
                <w:lang w:val="en-US" w:eastAsia="zh-CN"/>
              </w:rPr>
              <w:t>符合招标文件要求：</w:t>
            </w:r>
          </w:p>
          <w:p w14:paraId="3B8534E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A制造商参与投标的需具备的资格条件</w:t>
            </w:r>
          </w:p>
          <w:p w14:paraId="049BD08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1）具有有效的《中华人民共和国特种设备生产许可证》，许可项目：电梯制造（含安装、修理、改造），许可子项目：曳引驱动乘客电梯（含消防员电梯）；</w:t>
            </w:r>
          </w:p>
          <w:p w14:paraId="7AAD0FF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2）具有有效的《中华人民共和国特种设备制造许可证》（电梯）B级以上</w:t>
            </w:r>
            <w:r>
              <w:rPr>
                <w:rFonts w:ascii="Times New Roman" w:hAnsi="Times New Roman" w:eastAsia="仿宋_GB2312" w:cs="Times New Roman"/>
                <w:color w:val="auto"/>
                <w:sz w:val="28"/>
                <w:szCs w:val="28"/>
                <w:lang w:val="en-US" w:eastAsia="zh-CN"/>
              </w:rPr>
              <w:t>和</w:t>
            </w:r>
            <w:r>
              <w:rPr>
                <w:rFonts w:hint="default" w:ascii="Times New Roman" w:hAnsi="Times New Roman" w:eastAsia="仿宋_GB2312" w:cs="Times New Roman"/>
                <w:color w:val="auto"/>
                <w:sz w:val="28"/>
                <w:szCs w:val="28"/>
                <w:lang w:val="en-US" w:eastAsia="zh-CN"/>
              </w:rPr>
              <w:t>《中华人民共和国特种设备安装改造维修许可证》（电梯）安装、维修均为B级以上。</w:t>
            </w:r>
          </w:p>
          <w:p w14:paraId="274458B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3BD2BB7C">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B</w:t>
            </w:r>
            <w:r>
              <w:rPr>
                <w:rFonts w:hint="default" w:ascii="Times New Roman" w:hAnsi="Times New Roman" w:eastAsia="仿宋_GB2312" w:cs="Times New Roman"/>
                <w:color w:val="auto"/>
                <w:sz w:val="28"/>
                <w:szCs w:val="28"/>
                <w:lang w:val="en-US" w:eastAsia="zh-CN"/>
              </w:rPr>
              <w:t>代理商参与投标的需具备的资格条件</w:t>
            </w:r>
          </w:p>
          <w:p w14:paraId="400E914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B.1代理商资格条件：</w:t>
            </w:r>
          </w:p>
          <w:p w14:paraId="1D7B0C3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1）有效的《中华人民共和国特种设备生产许可证》，许可项目：电梯安装（含修理），许可子项目：曳引驱动乘客电梯（含消防员电梯）；</w:t>
            </w:r>
          </w:p>
          <w:p w14:paraId="5C3410B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2）具有有效的《中华人民共和国特种设备安装改造维修许可证》（电梯）安装、维修均为B级以上。</w:t>
            </w:r>
          </w:p>
          <w:p w14:paraId="018B13F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771175A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B.2 电梯品牌制造商</w:t>
            </w:r>
            <w:r>
              <w:rPr>
                <w:rFonts w:ascii="Times New Roman" w:hAnsi="Times New Roman" w:eastAsia="仿宋_GB2312" w:cs="Times New Roman"/>
                <w:color w:val="auto"/>
                <w:sz w:val="28"/>
                <w:szCs w:val="28"/>
                <w:lang w:val="en-US" w:eastAsia="zh-CN"/>
              </w:rPr>
              <w:t>资格条件</w:t>
            </w:r>
            <w:r>
              <w:rPr>
                <w:rFonts w:hint="default" w:ascii="Times New Roman" w:hAnsi="Times New Roman" w:eastAsia="仿宋_GB2312" w:cs="Times New Roman"/>
                <w:color w:val="auto"/>
                <w:sz w:val="28"/>
                <w:szCs w:val="28"/>
                <w:lang w:val="en-US" w:eastAsia="zh-CN"/>
              </w:rPr>
              <w:t>：</w:t>
            </w:r>
          </w:p>
          <w:p w14:paraId="50BC33C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1）有效的《中华人民共和国特种设备生产许可证》，许可项目：电梯制造，许可子项目：曳引驱动乘客电梯（含消防员电梯）；</w:t>
            </w:r>
          </w:p>
          <w:p w14:paraId="1AD20B3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2）具有有效的《中华人民共和国特种设备制造许可证》（电梯）B级以上。</w:t>
            </w:r>
          </w:p>
          <w:p w14:paraId="45874FE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注：1）或2）满足其一即可</w:t>
            </w:r>
          </w:p>
          <w:p w14:paraId="13B6E615">
            <w:pPr>
              <w:spacing w:line="360" w:lineRule="auto"/>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B.3</w:t>
            </w:r>
            <w:r>
              <w:rPr>
                <w:rFonts w:hint="default" w:ascii="Times New Roman" w:hAnsi="Times New Roman" w:eastAsia="仿宋_GB2312" w:cs="Times New Roman"/>
                <w:color w:val="auto"/>
                <w:sz w:val="28"/>
                <w:szCs w:val="28"/>
                <w:lang w:val="en-US" w:eastAsia="zh-CN"/>
              </w:rPr>
              <w:t>制造商对本项目的授权书。</w:t>
            </w:r>
          </w:p>
        </w:tc>
      </w:tr>
      <w:tr w14:paraId="4840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0C6FF54D">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7751" w:type="dxa"/>
            <w:vAlign w:val="center"/>
          </w:tcPr>
          <w:p w14:paraId="5DF48D6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w:t>
            </w:r>
            <w:r>
              <w:rPr>
                <w:rFonts w:ascii="Times New Roman" w:hAnsi="Times New Roman" w:eastAsia="仿宋_GB2312" w:cs="Times New Roman"/>
                <w:color w:val="auto"/>
                <w:sz w:val="28"/>
                <w:szCs w:val="28"/>
                <w:lang w:val="en-US" w:eastAsia="zh-CN"/>
              </w:rPr>
              <w:t>当天</w:t>
            </w:r>
            <w:r>
              <w:rPr>
                <w:rFonts w:hint="default" w:ascii="Times New Roman" w:hAnsi="Times New Roman" w:eastAsia="仿宋_GB2312" w:cs="Times New Roman"/>
                <w:color w:val="auto"/>
                <w:sz w:val="28"/>
                <w:szCs w:val="28"/>
                <w:lang w:val="en-US" w:eastAsia="zh-CN"/>
              </w:rPr>
              <w:t>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2159816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1A23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5FBF2FBF">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7751" w:type="dxa"/>
            <w:vAlign w:val="center"/>
          </w:tcPr>
          <w:p w14:paraId="72450B95">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人，其中评审专家不得少于成员总数的三分之二。</w:t>
            </w:r>
          </w:p>
        </w:tc>
      </w:tr>
      <w:tr w14:paraId="20B1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2A6E0543">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35.4</w:t>
            </w:r>
          </w:p>
        </w:tc>
        <w:tc>
          <w:tcPr>
            <w:tcW w:w="7751" w:type="dxa"/>
            <w:vAlign w:val="center"/>
          </w:tcPr>
          <w:p w14:paraId="04A3A53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节能环保政策</w:t>
            </w:r>
          </w:p>
          <w:p w14:paraId="03A9909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6833F20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14:paraId="60E3B7E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tc>
      </w:tr>
      <w:tr w14:paraId="3CEB6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15EEA84F">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35.6</w:t>
            </w:r>
          </w:p>
        </w:tc>
        <w:tc>
          <w:tcPr>
            <w:tcW w:w="7751" w:type="dxa"/>
            <w:vAlign w:val="center"/>
          </w:tcPr>
          <w:p w14:paraId="0437451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14:paraId="6D51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490BA3C1">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vAlign w:val="center"/>
          </w:tcPr>
          <w:p w14:paraId="536E05C3">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中小企业扶持:</w:t>
            </w:r>
          </w:p>
          <w:p w14:paraId="3F1122A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14:paraId="7A980B22">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本采购项目所属行业：“第六章 项目需求及技术要求”</w:t>
            </w:r>
          </w:p>
        </w:tc>
      </w:tr>
      <w:tr w14:paraId="470CD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vAlign w:val="center"/>
          </w:tcPr>
          <w:p w14:paraId="7F40D54D">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7751" w:type="dxa"/>
            <w:vAlign w:val="center"/>
          </w:tcPr>
          <w:p w14:paraId="0FA5321B">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3FD7161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1597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vAlign w:val="center"/>
          </w:tcPr>
          <w:p w14:paraId="07E04B5F">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7751" w:type="dxa"/>
            <w:vAlign w:val="center"/>
          </w:tcPr>
          <w:p w14:paraId="5AD9597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p>
          <w:p w14:paraId="01157309">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p>
        </w:tc>
      </w:tr>
      <w:tr w14:paraId="0288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21426A9F">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7751" w:type="dxa"/>
            <w:vAlign w:val="center"/>
          </w:tcPr>
          <w:p w14:paraId="1EDE8BC1">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6E4D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25A3E2EA">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7751" w:type="dxa"/>
            <w:vAlign w:val="center"/>
          </w:tcPr>
          <w:p w14:paraId="5E496C0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14:paraId="3B31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58D9B0C0">
            <w:pPr>
              <w:spacing w:line="360" w:lineRule="auto"/>
              <w:jc w:val="center"/>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45</w:t>
            </w:r>
          </w:p>
        </w:tc>
        <w:tc>
          <w:tcPr>
            <w:tcW w:w="7751" w:type="dxa"/>
            <w:vAlign w:val="center"/>
          </w:tcPr>
          <w:p w14:paraId="201D539C">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付款方式：1.在合同签订之日起30日内，采购人向中标人支付合同总价的30%作为预付款；</w:t>
            </w:r>
          </w:p>
          <w:p w14:paraId="56668ABA">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2.电梯安装调试完成，通过特种设备安全监督管理部门验收合格并取得检验报告和使用合格证后30日内，采购人向成交人支付至合同总价的100%。</w:t>
            </w:r>
          </w:p>
        </w:tc>
      </w:tr>
      <w:tr w14:paraId="6BB4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623DA308">
            <w:pPr>
              <w:spacing w:line="500" w:lineRule="exact"/>
              <w:jc w:val="center"/>
              <w:rPr>
                <w:rFonts w:hint="default" w:ascii="Times New Roman" w:hAnsi="Times New Roman" w:eastAsia="仿宋_GB2312" w:cs="Times New Roman"/>
                <w:color w:val="auto"/>
                <w:sz w:val="28"/>
                <w:szCs w:val="28"/>
              </w:rPr>
            </w:pPr>
            <w:r>
              <w:rPr>
                <w:rFonts w:ascii="仿宋_GB2312" w:hAnsi="仿宋_GB2312" w:eastAsia="仿宋_GB2312" w:cs="仿宋_GB2312"/>
                <w:sz w:val="28"/>
                <w:szCs w:val="28"/>
                <w:lang w:val="en-US" w:eastAsia="zh-CN"/>
              </w:rPr>
              <w:t>46</w:t>
            </w:r>
          </w:p>
        </w:tc>
        <w:tc>
          <w:tcPr>
            <w:tcW w:w="7751" w:type="dxa"/>
            <w:vAlign w:val="center"/>
          </w:tcPr>
          <w:p w14:paraId="4145D60F">
            <w:pPr>
              <w:numPr>
                <w:ilvl w:val="0"/>
                <w:numId w:val="1"/>
              </w:numPr>
              <w:spacing w:line="500" w:lineRule="exact"/>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履约保证金：履约保证金为合同金额的5%；</w:t>
            </w:r>
          </w:p>
          <w:p w14:paraId="21E6F1FC">
            <w:pPr>
              <w:numPr>
                <w:ilvl w:val="0"/>
                <w:numId w:val="1"/>
              </w:numPr>
              <w:spacing w:line="500" w:lineRule="exact"/>
              <w:rPr>
                <w:rFonts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缴纳时间：</w:t>
            </w:r>
            <w:r>
              <w:rPr>
                <w:rFonts w:ascii="仿宋_GB2312" w:hAnsi="仿宋_GB2312" w:eastAsia="仿宋_GB2312" w:cs="仿宋_GB2312"/>
                <w:sz w:val="28"/>
                <w:szCs w:val="28"/>
                <w:lang w:val="en-US" w:eastAsia="zh-CN"/>
              </w:rPr>
              <w:t>中标人</w:t>
            </w:r>
            <w:r>
              <w:rPr>
                <w:rFonts w:hint="default" w:ascii="仿宋_GB2312" w:hAnsi="仿宋_GB2312" w:eastAsia="仿宋_GB2312" w:cs="仿宋_GB2312"/>
                <w:sz w:val="28"/>
                <w:szCs w:val="28"/>
                <w:lang w:eastAsia="zh-CN"/>
              </w:rPr>
              <w:t>需在合同签订后</w:t>
            </w:r>
            <w:r>
              <w:rPr>
                <w:rFonts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eastAsia="zh-CN"/>
              </w:rPr>
              <w:t>0日历天内向采购方缴纳</w:t>
            </w:r>
            <w:r>
              <w:rPr>
                <w:rFonts w:ascii="仿宋_GB2312" w:hAnsi="仿宋_GB2312" w:eastAsia="仿宋_GB2312" w:cs="仿宋_GB2312"/>
                <w:sz w:val="28"/>
                <w:szCs w:val="28"/>
                <w:lang w:eastAsia="zh-CN"/>
              </w:rPr>
              <w:t>；</w:t>
            </w:r>
          </w:p>
          <w:p w14:paraId="344D4B67">
            <w:pPr>
              <w:spacing w:line="500" w:lineRule="exact"/>
              <w:rPr>
                <w:rFonts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3</w:t>
            </w:r>
            <w:r>
              <w:rPr>
                <w:rFonts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交纳方式：以电汇、支票、汇票、本票、保函等非现金形式</w:t>
            </w:r>
            <w:r>
              <w:rPr>
                <w:rFonts w:ascii="仿宋_GB2312" w:hAnsi="仿宋_GB2312" w:eastAsia="仿宋_GB2312" w:cs="仿宋_GB2312"/>
                <w:sz w:val="28"/>
                <w:szCs w:val="28"/>
                <w:lang w:eastAsia="zh-CN"/>
              </w:rPr>
              <w:t>；</w:t>
            </w:r>
          </w:p>
          <w:p w14:paraId="7DC1298A">
            <w:pPr>
              <w:spacing w:line="500" w:lineRule="exact"/>
              <w:rPr>
                <w:rFonts w:hint="default" w:ascii="Times New Roman" w:hAnsi="Times New Roman" w:eastAsia="仿宋_GB2312" w:cs="Times New Roman"/>
                <w:color w:val="auto"/>
                <w:sz w:val="28"/>
                <w:szCs w:val="28"/>
                <w:lang w:eastAsia="zh-CN"/>
              </w:rPr>
            </w:pPr>
            <w:r>
              <w:rPr>
                <w:rFonts w:hint="default" w:ascii="仿宋_GB2312" w:hAnsi="仿宋_GB2312" w:eastAsia="仿宋_GB2312" w:cs="仿宋_GB2312"/>
                <w:sz w:val="28"/>
                <w:szCs w:val="28"/>
                <w:lang w:eastAsia="zh-CN"/>
              </w:rPr>
              <w:t>4、履约保证金的退还：</w:t>
            </w:r>
            <w:r>
              <w:rPr>
                <w:rFonts w:hint="default" w:ascii="仿宋_GB2312" w:hAnsi="仿宋_GB2312" w:eastAsia="仿宋_GB2312" w:cs="仿宋_GB2312"/>
                <w:color w:val="auto"/>
                <w:sz w:val="28"/>
                <w:szCs w:val="28"/>
                <w:lang w:eastAsia="zh-CN"/>
              </w:rPr>
              <w:t>采购人于项目验收通过后</w:t>
            </w:r>
            <w:r>
              <w:rPr>
                <w:rFonts w:ascii="仿宋_GB2312" w:hAnsi="仿宋_GB2312" w:eastAsia="仿宋_GB2312" w:cs="仿宋_GB2312"/>
                <w:color w:val="auto"/>
                <w:sz w:val="28"/>
                <w:szCs w:val="28"/>
                <w:lang w:val="en-US" w:eastAsia="zh-CN"/>
              </w:rPr>
              <w:t>15</w:t>
            </w:r>
            <w:r>
              <w:rPr>
                <w:rFonts w:hint="default" w:ascii="仿宋_GB2312" w:hAnsi="仿宋_GB2312" w:eastAsia="仿宋_GB2312" w:cs="仿宋_GB2312"/>
                <w:color w:val="auto"/>
                <w:sz w:val="28"/>
                <w:szCs w:val="28"/>
                <w:lang w:eastAsia="zh-CN"/>
              </w:rPr>
              <w:t>日历</w:t>
            </w:r>
            <w:r>
              <w:rPr>
                <w:rFonts w:ascii="仿宋_GB2312" w:hAnsi="仿宋_GB2312" w:eastAsia="仿宋_GB2312" w:cs="仿宋_GB2312"/>
                <w:color w:val="auto"/>
                <w:sz w:val="28"/>
                <w:szCs w:val="28"/>
                <w:lang w:val="en-US" w:eastAsia="zh-CN"/>
              </w:rPr>
              <w:t>天</w:t>
            </w:r>
            <w:r>
              <w:rPr>
                <w:rFonts w:hint="default" w:ascii="仿宋_GB2312" w:hAnsi="仿宋_GB2312" w:eastAsia="仿宋_GB2312" w:cs="仿宋_GB2312"/>
                <w:color w:val="auto"/>
                <w:sz w:val="28"/>
                <w:szCs w:val="28"/>
                <w:lang w:eastAsia="zh-CN"/>
              </w:rPr>
              <w:t>内无息退还</w:t>
            </w:r>
            <w:r>
              <w:rPr>
                <w:rFonts w:ascii="仿宋_GB2312" w:hAnsi="仿宋_GB2312" w:eastAsia="仿宋_GB2312" w:cs="仿宋_GB2312"/>
                <w:color w:val="auto"/>
                <w:sz w:val="28"/>
                <w:szCs w:val="28"/>
                <w:lang w:val="en-US" w:eastAsia="zh-CN"/>
              </w:rPr>
              <w:t>中标人</w:t>
            </w:r>
            <w:r>
              <w:rPr>
                <w:rFonts w:hint="default" w:ascii="仿宋_GB2312" w:hAnsi="仿宋_GB2312" w:eastAsia="仿宋_GB2312" w:cs="仿宋_GB2312"/>
                <w:color w:val="auto"/>
                <w:sz w:val="28"/>
                <w:szCs w:val="28"/>
                <w:lang w:eastAsia="zh-CN"/>
              </w:rPr>
              <w:t>履约保证金</w:t>
            </w:r>
            <w:r>
              <w:rPr>
                <w:rFonts w:hint="default" w:ascii="仿宋_GB2312" w:hAnsi="仿宋_GB2312" w:eastAsia="仿宋_GB2312" w:cs="仿宋_GB2312"/>
                <w:sz w:val="28"/>
                <w:szCs w:val="28"/>
                <w:lang w:eastAsia="zh-CN"/>
              </w:rPr>
              <w:t>。</w:t>
            </w:r>
          </w:p>
        </w:tc>
      </w:tr>
      <w:tr w14:paraId="1987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4C2D19CC">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7751" w:type="dxa"/>
            <w:vAlign w:val="center"/>
          </w:tcPr>
          <w:p w14:paraId="4C9A8B5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37C5B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1444D2A7">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7751" w:type="dxa"/>
            <w:vAlign w:val="center"/>
          </w:tcPr>
          <w:p w14:paraId="2CF9D5E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1D90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vAlign w:val="center"/>
          </w:tcPr>
          <w:p w14:paraId="3A7E27E9">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p>
        </w:tc>
        <w:tc>
          <w:tcPr>
            <w:tcW w:w="7751" w:type="dxa"/>
            <w:vAlign w:val="center"/>
          </w:tcPr>
          <w:p w14:paraId="31175DDD">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399D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5F826200">
            <w:pPr>
              <w:spacing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p>
        </w:tc>
        <w:tc>
          <w:tcPr>
            <w:tcW w:w="7751" w:type="dxa"/>
            <w:vAlign w:val="center"/>
          </w:tcPr>
          <w:p w14:paraId="1AD362C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ascii="Times New Roman" w:hAnsi="Times New Roman" w:eastAsia="仿宋_GB2312" w:cs="Times New Roman"/>
                <w:b/>
                <w:bCs/>
                <w:color w:val="auto"/>
                <w:position w:val="-5"/>
                <w:sz w:val="42"/>
                <w:szCs w:val="28"/>
                <w:lang w:eastAsia="zh-CN"/>
              </w:rPr>
              <w:instrText xml:space="preserve">,</w:instrText>
            </w:r>
            <w:r>
              <w:rPr>
                <w:rFonts w:ascii="Times New Roman" w:hAnsi="Times New Roman" w:eastAsia="仿宋_GB2312" w:cs="Times New Roman"/>
                <w:b/>
                <w:bCs/>
                <w:color w:val="auto"/>
                <w:sz w:val="29"/>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1B45C800">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（2）非单一产品采购项目，将在招标文件中载明核心产品。多家投标人提供的核心产品品牌相同的，按（1）“单一产品采购项目”规定处理。</w:t>
            </w:r>
          </w:p>
        </w:tc>
      </w:tr>
      <w:tr w14:paraId="3810E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33260244">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7751" w:type="dxa"/>
            <w:vAlign w:val="center"/>
          </w:tcPr>
          <w:p w14:paraId="68B61021">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sz w:val="28"/>
                <w:szCs w:val="28"/>
                <w:lang w:val="en-US" w:eastAsia="zh-CN"/>
              </w:rPr>
              <w:t>一号咨询”服务：</w:t>
            </w:r>
            <w:r>
              <w:rPr>
                <w:rFonts w:hint="default" w:ascii="Times New Roman"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14:paraId="17654EA0">
      <w:pPr>
        <w:spacing w:line="540" w:lineRule="exact"/>
        <w:ind w:left="1077" w:hanging="539"/>
        <w:rPr>
          <w:rFonts w:hint="default" w:ascii="Times New Roman" w:hAnsi="Times New Roman" w:eastAsia="宋体" w:cs="Times New Roman"/>
          <w:color w:val="auto"/>
          <w:lang w:eastAsia="zh-CN"/>
        </w:rPr>
        <w:sectPr>
          <w:footerReference r:id="rId4" w:type="default"/>
          <w:pgSz w:w="11900" w:h="16840"/>
          <w:pgMar w:top="1440" w:right="1797" w:bottom="1440" w:left="1797" w:header="851" w:footer="992" w:gutter="0"/>
          <w:cols w:space="720" w:num="1"/>
        </w:sectPr>
      </w:pPr>
    </w:p>
    <w:p w14:paraId="16E9F932">
      <w:pPr>
        <w:pStyle w:val="2"/>
        <w:spacing w:before="0" w:after="0" w:line="360" w:lineRule="auto"/>
        <w:jc w:val="center"/>
        <w:rPr>
          <w:rFonts w:ascii="Times New Roman" w:hAnsi="Times New Roman" w:eastAsia="宋体"/>
          <w:color w:val="auto"/>
          <w:sz w:val="36"/>
          <w:szCs w:val="36"/>
          <w:lang w:val="en-US" w:eastAsia="zh-CN"/>
        </w:rPr>
      </w:pPr>
      <w:bookmarkStart w:id="97" w:name="_Toc580298809"/>
      <w:bookmarkStart w:id="98" w:name="_Toc1484219635"/>
      <w:bookmarkStart w:id="99" w:name="_Toc755709613"/>
      <w:bookmarkStart w:id="100" w:name="_Toc653624039"/>
      <w:bookmarkStart w:id="101" w:name="_Toc876903712"/>
      <w:bookmarkStart w:id="102" w:name="_Toc1069896118_WPSOffice_Level1"/>
      <w:bookmarkStart w:id="103" w:name="_Toc672784450_WPSOffice_Level1"/>
      <w:bookmarkStart w:id="104" w:name="_Toc2118786865_WPSOffice_Level1"/>
      <w:bookmarkStart w:id="105" w:name="_Toc1426170078"/>
      <w:bookmarkStart w:id="106" w:name="_Toc754728636"/>
      <w:bookmarkStart w:id="107" w:name="_Toc1341383622_WPSOffice_Level1"/>
      <w:bookmarkStart w:id="108" w:name="_Toc194396107"/>
      <w:bookmarkStart w:id="109" w:name="_Toc457436968_WPSOffice_Level1"/>
      <w:bookmarkStart w:id="110" w:name="_Toc309192439"/>
      <w:bookmarkStart w:id="111" w:name="_Toc511855247"/>
      <w:bookmarkStart w:id="112" w:name="_Toc540794793"/>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9B0C06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13" w:name="_Toc940441734"/>
      <w:bookmarkStart w:id="114" w:name="_Toc1698066625"/>
      <w:bookmarkStart w:id="115" w:name="_Toc1605126531"/>
      <w:bookmarkStart w:id="116" w:name="_Toc587412607"/>
      <w:bookmarkStart w:id="117" w:name="_Toc1420306246"/>
      <w:bookmarkStart w:id="118" w:name="_Toc1597513343"/>
      <w:bookmarkStart w:id="119" w:name="_Toc1875035149"/>
      <w:bookmarkStart w:id="120" w:name="_Toc753331058"/>
      <w:bookmarkStart w:id="121" w:name="_Toc1724158210_WPSOffice_Level2"/>
      <w:bookmarkStart w:id="122" w:name="_Toc795505054"/>
      <w:bookmarkStart w:id="123" w:name="_Toc72595909_WPSOffice_Level2"/>
      <w:bookmarkStart w:id="124" w:name="_Toc1820077040_WPSOffice_Level2"/>
      <w:bookmarkStart w:id="125" w:name="_Toc6348"/>
      <w:bookmarkStart w:id="126" w:name="_Toc225324457"/>
      <w:bookmarkStart w:id="127" w:name="_Toc1053718759_WPSOffice_Level2"/>
      <w:r>
        <w:rPr>
          <w:rFonts w:hint="default" w:ascii="Times New Roman" w:hAnsi="Times New Roman" w:eastAsia="方正小标宋_GBK" w:cs="Times New Roman"/>
          <w:bCs/>
          <w:color w:val="auto"/>
          <w:kern w:val="0"/>
          <w:sz w:val="30"/>
          <w:szCs w:val="30"/>
          <w:lang w:val="en-US" w:eastAsia="zh-CN"/>
        </w:rPr>
        <w:t>一、说  明</w:t>
      </w:r>
      <w:bookmarkEnd w:id="113"/>
      <w:bookmarkEnd w:id="114"/>
      <w:bookmarkEnd w:id="115"/>
      <w:bookmarkEnd w:id="116"/>
      <w:bookmarkEnd w:id="117"/>
      <w:bookmarkEnd w:id="118"/>
      <w:bookmarkEnd w:id="119"/>
      <w:bookmarkEnd w:id="120"/>
      <w:bookmarkEnd w:id="121"/>
      <w:bookmarkEnd w:id="122"/>
      <w:bookmarkEnd w:id="123"/>
      <w:bookmarkEnd w:id="124"/>
    </w:p>
    <w:p w14:paraId="7EFFCB8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14:paraId="7171351F">
      <w:pPr>
        <w:spacing w:line="360" w:lineRule="auto"/>
        <w:rPr>
          <w:rFonts w:hint="default" w:ascii="Times New Roman" w:hAnsi="Times New Roman" w:eastAsia="仿宋_GB2312" w:cs="Times New Roman"/>
          <w:color w:val="auto"/>
          <w:sz w:val="28"/>
          <w:szCs w:val="28"/>
          <w:lang w:eastAsia="zh-CN"/>
        </w:rPr>
      </w:pPr>
      <w:bookmarkStart w:id="128" w:name="_Toc532150620_WPSOffice_Level3"/>
      <w:bookmarkStart w:id="129" w:name="_Toc196648728_WPSOffice_Level3"/>
      <w:r>
        <w:rPr>
          <w:rFonts w:hint="default" w:ascii="Times New Roman" w:hAnsi="Times New Roman" w:eastAsia="仿宋_GB2312" w:cs="Times New Roman"/>
          <w:color w:val="auto"/>
          <w:sz w:val="28"/>
          <w:szCs w:val="28"/>
          <w:lang w:eastAsia="zh-CN"/>
        </w:rPr>
        <w:t>1.1本招标文件仅适用于本次公开招标所述的货物。</w:t>
      </w:r>
      <w:bookmarkEnd w:id="128"/>
      <w:bookmarkEnd w:id="129"/>
    </w:p>
    <w:p w14:paraId="68B5B038">
      <w:pPr>
        <w:spacing w:line="360" w:lineRule="auto"/>
        <w:rPr>
          <w:rFonts w:hint="default" w:ascii="Times New Roman" w:hAnsi="Times New Roman" w:eastAsia="仿宋_GB2312" w:cs="Times New Roman"/>
          <w:color w:val="auto"/>
          <w:sz w:val="28"/>
          <w:szCs w:val="28"/>
          <w:lang w:eastAsia="zh-CN"/>
        </w:rPr>
      </w:pPr>
      <w:bookmarkStart w:id="130" w:name="_Toc1359847161_WPSOffice_Level3"/>
      <w:bookmarkStart w:id="131" w:name="_Toc900722191_WPSOffice_Level3"/>
      <w:r>
        <w:rPr>
          <w:rFonts w:hint="default" w:ascii="Times New Roman" w:hAnsi="Times New Roman" w:eastAsia="仿宋_GB2312" w:cs="Times New Roman"/>
          <w:color w:val="auto"/>
          <w:sz w:val="28"/>
          <w:szCs w:val="28"/>
          <w:lang w:eastAsia="zh-CN"/>
        </w:rPr>
        <w:t>1.2</w:t>
      </w: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：见“投标人须知前附表”。</w:t>
      </w:r>
      <w:bookmarkEnd w:id="130"/>
      <w:bookmarkEnd w:id="131"/>
    </w:p>
    <w:p w14:paraId="3AC3A701">
      <w:pPr>
        <w:spacing w:line="360" w:lineRule="auto"/>
        <w:rPr>
          <w:rFonts w:hint="default" w:ascii="Times New Roman" w:hAnsi="Times New Roman" w:eastAsia="仿宋_GB2312" w:cs="Times New Roman"/>
          <w:color w:val="auto"/>
          <w:sz w:val="28"/>
          <w:szCs w:val="28"/>
          <w:lang w:eastAsia="zh-CN"/>
        </w:rPr>
      </w:pPr>
      <w:bookmarkStart w:id="132" w:name="_Toc1512585633_WPSOffice_Level3"/>
      <w:bookmarkStart w:id="133" w:name="_Toc334765003_WPSOffice_Level3"/>
      <w:r>
        <w:rPr>
          <w:rFonts w:hint="default" w:ascii="Times New Roman" w:hAnsi="Times New Roman" w:eastAsia="仿宋_GB2312" w:cs="Times New Roman"/>
          <w:color w:val="auto"/>
          <w:sz w:val="28"/>
          <w:szCs w:val="28"/>
          <w:lang w:eastAsia="zh-CN"/>
        </w:rPr>
        <w:t>1.3采购</w:t>
      </w:r>
      <w:r>
        <w:rPr>
          <w:rFonts w:hint="default" w:ascii="Times New Roman" w:hAnsi="Times New Roman" w:eastAsia="仿宋_GB2312" w:cs="Times New Roman"/>
          <w:color w:val="auto"/>
          <w:sz w:val="28"/>
          <w:szCs w:val="28"/>
          <w:lang w:val="en" w:eastAsia="zh-CN"/>
        </w:rPr>
        <w:t>编号</w:t>
      </w:r>
      <w:r>
        <w:rPr>
          <w:rFonts w:hint="default" w:ascii="Times New Roman" w:hAnsi="Times New Roman" w:eastAsia="仿宋_GB2312" w:cs="Times New Roman"/>
          <w:color w:val="auto"/>
          <w:sz w:val="28"/>
          <w:szCs w:val="28"/>
          <w:lang w:eastAsia="zh-CN"/>
        </w:rPr>
        <w:t>：见“投标人须知前附表”。</w:t>
      </w:r>
      <w:bookmarkEnd w:id="132"/>
      <w:bookmarkEnd w:id="133"/>
    </w:p>
    <w:p w14:paraId="1FE4F38D">
      <w:pPr>
        <w:spacing w:line="360" w:lineRule="auto"/>
        <w:rPr>
          <w:rFonts w:hint="default" w:ascii="Times New Roman" w:hAnsi="Times New Roman" w:eastAsia="仿宋_GB2312" w:cs="Times New Roman"/>
          <w:color w:val="auto"/>
          <w:sz w:val="28"/>
          <w:szCs w:val="28"/>
          <w:lang w:eastAsia="zh-CN"/>
        </w:rPr>
      </w:pPr>
      <w:bookmarkStart w:id="134" w:name="_Toc2062433103_WPSOffice_Level3"/>
      <w:bookmarkStart w:id="135" w:name="_Toc1513112147_WPSOffice_Level3"/>
      <w:r>
        <w:rPr>
          <w:rFonts w:hint="default" w:ascii="Times New Roman" w:hAnsi="Times New Roman" w:eastAsia="仿宋_GB2312" w:cs="Times New Roman"/>
          <w:color w:val="auto"/>
          <w:sz w:val="28"/>
          <w:szCs w:val="28"/>
          <w:lang w:eastAsia="zh-CN"/>
        </w:rPr>
        <w:t>1.4采购项目简要说明：见“投标人须知前附表”。</w:t>
      </w:r>
      <w:bookmarkEnd w:id="134"/>
      <w:bookmarkEnd w:id="135"/>
    </w:p>
    <w:p w14:paraId="51F0C79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14:paraId="0208525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14:paraId="546CB3B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14:paraId="2724C4C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2.3集中采购机构：“投标人须知前附表”中所述的受采购人委托组织集中采购的代理机构。</w:t>
      </w:r>
    </w:p>
    <w:p w14:paraId="1DD607F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14:paraId="5130BDB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2.5合格投标人：提供资格证明文件并通过资格审查的投标人。</w:t>
      </w:r>
    </w:p>
    <w:p w14:paraId="1C2A074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2.5.1若投标人须知前附表中写明专门面向中小企业采购的，如投标人非中小企业，其投标将被认定为投标无效。</w:t>
      </w:r>
    </w:p>
    <w:p w14:paraId="0C0B4156">
      <w:pPr>
        <w:spacing w:line="360" w:lineRule="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28"/>
          <w:szCs w:val="28"/>
          <w:lang w:val="en-US" w:eastAsia="zh-CN"/>
        </w:rPr>
        <w:t>2.5.2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0FEB803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2.6投标文件：指投标人根据招标文件提交的所有文件。</w:t>
      </w:r>
    </w:p>
    <w:p w14:paraId="0480D04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2.7货物及相关服务：按项目需求及有关要求提供的全部货物及相关服务。</w:t>
      </w:r>
    </w:p>
    <w:p w14:paraId="256F59D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14:paraId="704A9BB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6E5E6FE5">
      <w:pPr>
        <w:spacing w:line="360" w:lineRule="auto"/>
        <w:rPr>
          <w:rFonts w:hint="default" w:ascii="Times New Roman" w:hAnsi="Times New Roman" w:eastAsia="仿宋_GB2312" w:cs="Times New Roman"/>
          <w:b/>
          <w:bCs/>
          <w:color w:val="auto"/>
          <w:sz w:val="28"/>
          <w:szCs w:val="28"/>
          <w:lang w:eastAsia="zh-CN"/>
        </w:rPr>
      </w:pPr>
      <w:bookmarkStart w:id="136" w:name="_Toc441214089"/>
      <w:bookmarkStart w:id="137" w:name="_Toc284337471"/>
      <w:bookmarkStart w:id="138" w:name="_Toc337225031"/>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36"/>
      <w:bookmarkEnd w:id="137"/>
      <w:bookmarkEnd w:id="138"/>
    </w:p>
    <w:p w14:paraId="1E8C115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14:paraId="6C5AF21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14:paraId="3106B15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14:paraId="68E1D63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257A116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14:paraId="42054FB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14:paraId="367328A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14:paraId="28D05A6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2C458FA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409E39A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16C54E3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52CBAC1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724EF4F4">
      <w:pPr>
        <w:pStyle w:val="16"/>
        <w:spacing w:line="360" w:lineRule="auto"/>
        <w:rPr>
          <w:rFonts w:ascii="Times New Roman" w:hAnsi="Times New Roman"/>
          <w:lang w:val="en" w:eastAsia="zh-CN"/>
        </w:rPr>
      </w:pPr>
      <w:r>
        <w:rPr>
          <w:rFonts w:ascii="Times New Roman" w:hAnsi="Times New Roman" w:eastAsia="仿宋_GB2312"/>
          <w:sz w:val="28"/>
          <w:szCs w:val="28"/>
          <w:lang w:val="en" w:eastAsia="zh-CN"/>
        </w:rPr>
        <w:t>6.6</w:t>
      </w:r>
      <w:r>
        <w:rPr>
          <w:rFonts w:ascii="Times New Roman" w:hAnsi="Times New Roman" w:eastAsia="仿宋_GB2312"/>
          <w:sz w:val="28"/>
          <w:szCs w:val="28"/>
          <w:lang w:val="en-US" w:eastAsia="zh-CN"/>
        </w:rPr>
        <w:t>是否允许联合体投标见投标人须知前附表。</w:t>
      </w:r>
    </w:p>
    <w:p w14:paraId="6C91EC7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14:paraId="2A7DCD6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4C0D563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14:paraId="292E20C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79DB30CC">
      <w:pPr>
        <w:spacing w:line="56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389D5B72">
      <w:pPr>
        <w:spacing w:line="560" w:lineRule="exact"/>
        <w:rPr>
          <w:rFonts w:hint="default" w:ascii="Times New Roman" w:hAnsi="Times New Roman" w:eastAsia="仿宋_GB2312" w:cs="Times New Roman"/>
          <w:color w:val="auto"/>
          <w:sz w:val="28"/>
          <w:szCs w:val="28"/>
          <w:lang w:eastAsia="zh-CN"/>
        </w:rPr>
      </w:pPr>
      <w:r>
        <w:rPr>
          <w:rFonts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lang w:val="en-US" w:eastAsia="zh-CN"/>
        </w:rPr>
        <w:t>3</w:t>
      </w:r>
      <w:r>
        <w:rPr>
          <w:rFonts w:ascii="仿宋_GB2312" w:hAnsi="仿宋_GB2312" w:eastAsia="仿宋_GB2312" w:cs="仿宋_GB2312"/>
          <w:color w:val="auto"/>
          <w:sz w:val="28"/>
          <w:szCs w:val="28"/>
          <w:lang w:eastAsia="zh-CN"/>
        </w:rPr>
        <w:t>）投标人</w:t>
      </w:r>
      <w:r>
        <w:rPr>
          <w:rFonts w:ascii="仿宋_GB2312" w:hAnsi="仿宋_GB2312" w:eastAsia="仿宋_GB2312" w:cs="仿宋_GB2312"/>
          <w:color w:val="auto"/>
          <w:sz w:val="28"/>
          <w:szCs w:val="28"/>
        </w:rPr>
        <w:t>应当按照</w:t>
      </w:r>
      <w:r>
        <w:rPr>
          <w:rFonts w:ascii="仿宋_GB2312" w:hAnsi="仿宋_GB2312" w:eastAsia="仿宋_GB2312" w:cs="仿宋_GB2312"/>
          <w:color w:val="auto"/>
          <w:sz w:val="28"/>
          <w:szCs w:val="28"/>
          <w:lang w:eastAsia="zh-CN"/>
        </w:rPr>
        <w:t>招标</w:t>
      </w:r>
      <w:r>
        <w:rPr>
          <w:rFonts w:ascii="仿宋_GB2312" w:hAnsi="仿宋_GB2312" w:eastAsia="仿宋_GB2312" w:cs="仿宋_GB2312"/>
          <w:color w:val="auto"/>
          <w:sz w:val="28"/>
          <w:szCs w:val="28"/>
        </w:rPr>
        <w:t>文件的要求编制</w:t>
      </w:r>
      <w:r>
        <w:rPr>
          <w:rFonts w:ascii="仿宋_GB2312" w:hAnsi="仿宋_GB2312" w:eastAsia="仿宋_GB2312" w:cs="仿宋_GB2312"/>
          <w:color w:val="auto"/>
          <w:sz w:val="28"/>
          <w:szCs w:val="28"/>
          <w:lang w:eastAsia="zh-CN"/>
        </w:rPr>
        <w:t>投标</w:t>
      </w:r>
      <w:r>
        <w:rPr>
          <w:rFonts w:ascii="仿宋_GB2312" w:hAnsi="仿宋_GB2312" w:eastAsia="仿宋_GB2312" w:cs="仿宋_GB2312"/>
          <w:color w:val="auto"/>
          <w:sz w:val="28"/>
          <w:szCs w:val="28"/>
        </w:rPr>
        <w:t>文件</w:t>
      </w:r>
      <w:r>
        <w:rPr>
          <w:rFonts w:ascii="仿宋_GB2312" w:hAnsi="仿宋_GB2312" w:eastAsia="仿宋_GB2312" w:cs="仿宋_GB2312"/>
          <w:color w:val="auto"/>
          <w:sz w:val="28"/>
          <w:szCs w:val="28"/>
          <w:lang w:eastAsia="zh-CN"/>
        </w:rPr>
        <w:t>，并予以提交。投标人的</w:t>
      </w:r>
      <w:r>
        <w:rPr>
          <w:rFonts w:ascii="仿宋_GB2312" w:hAnsi="仿宋_GB2312" w:eastAsia="仿宋_GB2312" w:cs="仿宋_GB2312"/>
          <w:color w:val="auto"/>
          <w:sz w:val="28"/>
          <w:szCs w:val="28"/>
        </w:rPr>
        <w:t>入库信息</w:t>
      </w:r>
      <w:r>
        <w:rPr>
          <w:rFonts w:ascii="仿宋_GB2312" w:hAnsi="仿宋_GB2312" w:eastAsia="仿宋_GB2312" w:cs="仿宋_GB2312"/>
          <w:color w:val="auto"/>
          <w:sz w:val="28"/>
          <w:szCs w:val="28"/>
          <w:lang w:eastAsia="zh-CN"/>
        </w:rPr>
        <w:t>不作为评审的依据。</w:t>
      </w:r>
    </w:p>
    <w:p w14:paraId="76CFB07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14:paraId="7B3D592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14:paraId="2DF74978">
      <w:pPr>
        <w:spacing w:line="360" w:lineRule="auto"/>
        <w:rPr>
          <w:rFonts w:hint="default" w:ascii="Times New Roman" w:hAnsi="Times New Roman" w:eastAsia="仿宋_GB2312" w:cs="Times New Roman"/>
          <w:color w:val="auto"/>
          <w:sz w:val="28"/>
          <w:szCs w:val="28"/>
          <w:lang w:eastAsia="zh-CN"/>
        </w:rPr>
      </w:pPr>
    </w:p>
    <w:p w14:paraId="3D04C7E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9" w:name="_Toc1090042493_WPSOffice_Level2"/>
      <w:bookmarkStart w:id="140" w:name="_Toc60779224"/>
      <w:bookmarkStart w:id="141" w:name="_Toc812246970"/>
      <w:bookmarkStart w:id="142" w:name="_Toc1145263954"/>
      <w:bookmarkStart w:id="143" w:name="_Toc1225442179_WPSOffice_Level2"/>
      <w:bookmarkStart w:id="144" w:name="_Toc2021756318"/>
      <w:bookmarkStart w:id="145" w:name="_Toc923512225_WPSOffice_Level2"/>
      <w:bookmarkStart w:id="146" w:name="_Toc1045699149"/>
      <w:bookmarkStart w:id="147" w:name="_Toc28660129"/>
      <w:bookmarkStart w:id="148" w:name="_Toc601554517"/>
      <w:bookmarkStart w:id="149" w:name="_Toc1613525329"/>
      <w:bookmarkStart w:id="150" w:name="_Toc1035752825"/>
      <w:r>
        <w:rPr>
          <w:rFonts w:hint="default" w:ascii="Times New Roman" w:hAnsi="Times New Roman" w:eastAsia="方正小标宋_GBK" w:cs="Times New Roman"/>
          <w:bCs/>
          <w:color w:val="auto"/>
          <w:kern w:val="0"/>
          <w:sz w:val="30"/>
          <w:szCs w:val="30"/>
          <w:lang w:val="en-US" w:eastAsia="zh-CN"/>
        </w:rPr>
        <w:t>二、招标文件</w:t>
      </w:r>
      <w:bookmarkEnd w:id="139"/>
      <w:bookmarkEnd w:id="140"/>
      <w:bookmarkEnd w:id="141"/>
      <w:bookmarkEnd w:id="142"/>
      <w:bookmarkEnd w:id="143"/>
      <w:bookmarkEnd w:id="144"/>
      <w:bookmarkEnd w:id="145"/>
      <w:bookmarkEnd w:id="146"/>
      <w:bookmarkEnd w:id="147"/>
      <w:bookmarkEnd w:id="148"/>
      <w:bookmarkEnd w:id="149"/>
      <w:bookmarkEnd w:id="150"/>
    </w:p>
    <w:p w14:paraId="10675B7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14:paraId="63C34DC6">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招标文件共八章，构成如下：</w:t>
      </w:r>
    </w:p>
    <w:p w14:paraId="3FABC149">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投标邀请</w:t>
      </w:r>
    </w:p>
    <w:p w14:paraId="52EA8543">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投标人须知前附表</w:t>
      </w:r>
    </w:p>
    <w:p w14:paraId="5B8A7999">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投标人须知</w:t>
      </w:r>
    </w:p>
    <w:p w14:paraId="065D4693">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第四章  资格证明文件格式</w:t>
      </w:r>
    </w:p>
    <w:p w14:paraId="0CEF87AC">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第五章  投标文件格式</w:t>
      </w:r>
    </w:p>
    <w:p w14:paraId="33EB43E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第六章  项目需求及技术要求</w:t>
      </w:r>
    </w:p>
    <w:p w14:paraId="5323B713">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第七章  评</w:t>
      </w:r>
      <w:r>
        <w:rPr>
          <w:rFonts w:ascii="Times New Roman" w:hAnsi="Times New Roman" w:eastAsia="仿宋_GB2312" w:cs="Times New Roman"/>
          <w:color w:val="auto"/>
          <w:sz w:val="28"/>
          <w:szCs w:val="28"/>
          <w:lang w:val="en-US" w:eastAsia="zh-CN"/>
        </w:rPr>
        <w:t>标方</w:t>
      </w:r>
      <w:r>
        <w:rPr>
          <w:rFonts w:hint="default" w:ascii="Times New Roman" w:hAnsi="Times New Roman" w:eastAsia="仿宋_GB2312" w:cs="Times New Roman"/>
          <w:color w:val="auto"/>
          <w:sz w:val="28"/>
          <w:szCs w:val="28"/>
          <w:lang w:val="en-US" w:eastAsia="zh-CN"/>
        </w:rPr>
        <w:t>法和标准</w:t>
      </w:r>
    </w:p>
    <w:p w14:paraId="68F1A82E">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第八章  政府采购合同</w:t>
      </w:r>
    </w:p>
    <w:p w14:paraId="3F466E23">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第九章  附件</w:t>
      </w:r>
    </w:p>
    <w:p w14:paraId="3977DD6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7681C57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4873EEE0">
      <w:pPr>
        <w:numPr>
          <w:ilvl w:val="0"/>
          <w:numId w:val="3"/>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14:paraId="1CCEE30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w:t>
      </w:r>
    </w:p>
    <w:p w14:paraId="67EADFA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41E9826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11.3招标文件的澄清（更正）或修改在交易平台上公布给投标人，但不指明澄清问题的来源。</w:t>
      </w:r>
    </w:p>
    <w:p w14:paraId="673134F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color w:val="auto"/>
          <w:sz w:val="28"/>
          <w:szCs w:val="28"/>
          <w:lang w:val="en-US" w:eastAsia="zh-CN"/>
        </w:rPr>
        <w:t>河南省政府采购网”（zfcg.henan.gov.cn）“河南省公共资源交易网</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lang w:val="en-US" w:eastAsia="zh-CN"/>
        </w:rPr>
        <w:t>”（hnsggzyjy.henan.gov.cn）网站“变更（澄清或更正）公告”和系统内部“答疑文件”告知投标人，各投标人重新下载最新的答疑、变更（澄清或更正）文件，以此编制投标文件。</w:t>
      </w:r>
    </w:p>
    <w:p w14:paraId="5F785E4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51" w:name="_Hlk86850585"/>
      <w:r>
        <w:rPr>
          <w:rFonts w:hint="default" w:ascii="Times New Roman" w:hAnsi="Times New Roman" w:eastAsia="仿宋_GB2312" w:cs="Times New Roman"/>
          <w:color w:val="auto"/>
          <w:sz w:val="28"/>
          <w:szCs w:val="28"/>
          <w:lang w:val="en-US" w:eastAsia="zh-CN"/>
        </w:rPr>
        <w:t>《河南省公共资源交易中心》</w:t>
      </w:r>
      <w:bookmarkEnd w:id="151"/>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52" w:name="_Hlk86850663"/>
      <w:r>
        <w:rPr>
          <w:rFonts w:hint="default" w:ascii="Times New Roman" w:hAnsi="Times New Roman" w:eastAsia="仿宋_GB2312" w:cs="Times New Roman"/>
          <w:color w:val="auto"/>
          <w:sz w:val="28"/>
          <w:szCs w:val="28"/>
          <w:lang w:val="en-US" w:eastAsia="zh-CN"/>
        </w:rPr>
        <w:t>。</w:t>
      </w:r>
    </w:p>
    <w:bookmarkEnd w:id="152"/>
    <w:p w14:paraId="4A7D7890">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投标截止时间的顺延</w:t>
      </w:r>
    </w:p>
    <w:p w14:paraId="54E8CD56">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32AAB00A">
      <w:pPr>
        <w:pStyle w:val="16"/>
        <w:rPr>
          <w:rFonts w:ascii="Times New Roman" w:hAnsi="Times New Roman"/>
          <w:lang w:val="en-US" w:eastAsia="zh-CN"/>
        </w:rPr>
      </w:pPr>
    </w:p>
    <w:p w14:paraId="6870038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53" w:name="_Toc868408535"/>
      <w:bookmarkStart w:id="154" w:name="_Toc1574480330"/>
      <w:bookmarkStart w:id="155" w:name="_Toc993246922"/>
      <w:bookmarkStart w:id="156" w:name="_Toc1078664286_WPSOffice_Level2"/>
      <w:bookmarkStart w:id="157" w:name="_Toc1106273699"/>
      <w:bookmarkStart w:id="158" w:name="_Toc395976497"/>
      <w:bookmarkStart w:id="159" w:name="_Toc1060332415"/>
      <w:bookmarkStart w:id="160" w:name="_Toc1317763722"/>
      <w:bookmarkStart w:id="161" w:name="_Toc587380469_WPSOffice_Level2"/>
      <w:bookmarkStart w:id="162" w:name="_Toc760401867"/>
      <w:bookmarkStart w:id="163" w:name="_Toc933740821_WPSOffice_Level2"/>
      <w:bookmarkStart w:id="164" w:name="_Toc1289807408"/>
      <w:r>
        <w:rPr>
          <w:rFonts w:hint="default" w:ascii="Times New Roman" w:hAnsi="Times New Roman" w:eastAsia="方正小标宋_GBK" w:cs="Times New Roman"/>
          <w:bCs/>
          <w:color w:val="auto"/>
          <w:kern w:val="0"/>
          <w:sz w:val="30"/>
          <w:szCs w:val="30"/>
          <w:lang w:val="en-US" w:eastAsia="zh-CN"/>
        </w:rPr>
        <w:t>三、投标文件的编制</w:t>
      </w:r>
      <w:bookmarkEnd w:id="153"/>
      <w:bookmarkEnd w:id="154"/>
      <w:bookmarkEnd w:id="155"/>
      <w:bookmarkEnd w:id="156"/>
      <w:bookmarkEnd w:id="157"/>
      <w:bookmarkEnd w:id="158"/>
      <w:bookmarkEnd w:id="159"/>
      <w:bookmarkEnd w:id="160"/>
      <w:bookmarkEnd w:id="161"/>
      <w:bookmarkEnd w:id="162"/>
      <w:bookmarkEnd w:id="163"/>
      <w:bookmarkEnd w:id="164"/>
    </w:p>
    <w:p w14:paraId="61169C4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14:paraId="4DD9BA1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1D353F4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14:paraId="3A16CCE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23BFE286">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15.投标文件的组成</w:t>
      </w:r>
    </w:p>
    <w:p w14:paraId="76F5032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79F5EAD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14:paraId="61FF824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14:paraId="3B16BA2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22C0FE2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14:paraId="0201D2C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14:paraId="06656F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18.1投标人报价超过招标文件规定的预算金额或者分项、分包最高限价的，其投标将被认定为投标无效。</w:t>
      </w:r>
    </w:p>
    <w:p w14:paraId="31F9FC7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.2投标人应在投标分项报价表上标明投标货物及相关服务的单价（如适用）和总价。</w:t>
      </w:r>
    </w:p>
    <w:p w14:paraId="3A83728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14:paraId="11D5E39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每种货物只能有一个投标报价。采购人不接受具有附加条件的报价。</w:t>
      </w:r>
    </w:p>
    <w:p w14:paraId="66170A6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14:paraId="6B53658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除非“投标人须知前附表”另有规定，投标人提供的所有货物及相关服务用人民币报价。</w:t>
      </w:r>
    </w:p>
    <w:p w14:paraId="34D11D3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14:paraId="296F045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14:paraId="5745A9F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14:paraId="491F35A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14:paraId="3885ADB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14:paraId="43D67B9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14:paraId="141FF69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14:paraId="77B35E2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14:paraId="3741EB1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14:paraId="2CB50B7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14:paraId="41B88DB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14:paraId="090307FD">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7550735D">
      <w:pPr>
        <w:spacing w:line="360" w:lineRule="auto"/>
        <w:rPr>
          <w:rFonts w:hint="default" w:ascii="Times New Roman" w:hAnsi="Times New Roman" w:eastAsia="仿宋_GB2312" w:cs="Times New Roman"/>
          <w:b/>
          <w:bCs/>
          <w:color w:val="auto"/>
          <w:sz w:val="28"/>
          <w:szCs w:val="28"/>
          <w:lang w:val="en-US" w:eastAsia="zh-CN"/>
        </w:rPr>
      </w:pPr>
      <w:bookmarkStart w:id="165"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165"/>
    </w:p>
    <w:p w14:paraId="7E04BBF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14:paraId="6F53B53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14:paraId="28D9D20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14:paraId="1EA2CC3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14:paraId="184BD7F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14:paraId="3F6A9F35">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rPr>
        <w:t>5</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rPr>
        <w:t>2</w:t>
      </w:r>
      <w:r>
        <w:rPr>
          <w:rFonts w:hint="default" w:ascii="Times New Roman" w:hAnsi="Times New Roman" w:eastAsia="仿宋_GB2312" w:cs="Times New Roman"/>
          <w:color w:val="auto"/>
          <w:sz w:val="28"/>
          <w:szCs w:val="28"/>
        </w:rPr>
        <w:t>投标人可登录“河南省公共资源交易中心（</w:t>
      </w:r>
      <w:r>
        <w:rPr>
          <w:rFonts w:ascii="Times New Roman" w:hAnsi="Times New Roman" w:eastAsia="仿宋_GB2312" w:cs="Times New Roman"/>
          <w:color w:val="auto"/>
          <w:sz w:val="28"/>
          <w:szCs w:val="28"/>
          <w:lang w:eastAsia="zh-CN"/>
        </w:rPr>
        <w:t>hnsggzyjy.henan.gov.cn</w:t>
      </w:r>
      <w:r>
        <w:rPr>
          <w:rFonts w:hint="default" w:ascii="Times New Roman" w:hAnsi="Times New Roman" w:eastAsia="仿宋_GB2312" w:cs="Times New Roman"/>
          <w:color w:val="auto"/>
          <w:sz w:val="28"/>
          <w:szCs w:val="28"/>
        </w:rPr>
        <w:t>）”网站查看公共服务—办事指南—</w:t>
      </w:r>
      <w:r>
        <w:rPr>
          <w:rFonts w:hint="default" w:ascii="Times New Roman" w:hAnsi="Times New Roman" w:eastAsia="仿宋_GB2312" w:cs="Times New Roman"/>
          <w:color w:val="auto"/>
          <w:sz w:val="28"/>
          <w:szCs w:val="28"/>
          <w:lang w:val="en-US"/>
        </w:rPr>
        <w:t>新交易平台使用手册（培训资料）</w:t>
      </w:r>
      <w:r>
        <w:rPr>
          <w:rFonts w:hint="default" w:ascii="Times New Roman" w:hAnsi="Times New Roman" w:eastAsia="仿宋_GB2312" w:cs="Times New Roman"/>
          <w:color w:val="auto"/>
          <w:sz w:val="28"/>
          <w:szCs w:val="28"/>
        </w:rPr>
        <w:t>。</w:t>
      </w:r>
    </w:p>
    <w:p w14:paraId="395543E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14:paraId="33DE920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14:paraId="68F5F4C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14:paraId="4DFCB1C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14:paraId="4EAA8FD9">
      <w:pPr>
        <w:pStyle w:val="16"/>
        <w:rPr>
          <w:rFonts w:ascii="Times New Roman" w:hAnsi="Times New Roman"/>
          <w:lang w:eastAsia="zh-CN"/>
        </w:rPr>
      </w:pPr>
    </w:p>
    <w:p w14:paraId="440FAAC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6" w:name="_Toc1958475392"/>
      <w:bookmarkStart w:id="167" w:name="_Toc269831806"/>
      <w:bookmarkStart w:id="168" w:name="_Toc340063481"/>
      <w:bookmarkStart w:id="169" w:name="_Toc814900001_WPSOffice_Level2"/>
      <w:bookmarkStart w:id="170" w:name="_Toc2066227387"/>
      <w:bookmarkStart w:id="171" w:name="_Toc99139981"/>
      <w:bookmarkStart w:id="172" w:name="_Toc689398289_WPSOffice_Level2"/>
      <w:bookmarkStart w:id="173" w:name="_Toc477778366"/>
      <w:bookmarkStart w:id="174" w:name="_Toc99171812"/>
      <w:bookmarkStart w:id="175" w:name="_Toc1446727086"/>
      <w:bookmarkStart w:id="176" w:name="_Toc1602167768_WPSOffice_Level2"/>
      <w:bookmarkStart w:id="177" w:name="_Toc1517317572"/>
      <w:r>
        <w:rPr>
          <w:rFonts w:hint="default" w:ascii="Times New Roman" w:hAnsi="Times New Roman" w:eastAsia="方正小标宋_GBK" w:cs="Times New Roman"/>
          <w:bCs/>
          <w:color w:val="auto"/>
          <w:kern w:val="0"/>
          <w:sz w:val="30"/>
          <w:szCs w:val="30"/>
          <w:lang w:val="en-US" w:eastAsia="zh-CN"/>
        </w:rPr>
        <w:t>四、投标文件的上传</w:t>
      </w:r>
      <w:bookmarkEnd w:id="166"/>
      <w:bookmarkEnd w:id="167"/>
      <w:bookmarkEnd w:id="168"/>
      <w:bookmarkEnd w:id="169"/>
      <w:bookmarkEnd w:id="170"/>
      <w:bookmarkEnd w:id="171"/>
      <w:bookmarkEnd w:id="172"/>
      <w:bookmarkEnd w:id="173"/>
      <w:bookmarkEnd w:id="174"/>
      <w:bookmarkEnd w:id="175"/>
      <w:bookmarkEnd w:id="176"/>
      <w:bookmarkEnd w:id="177"/>
    </w:p>
    <w:p w14:paraId="2CBFC37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14:paraId="78317F5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.1加密电子投标文件的上传：见“投标人须知前附表”。</w:t>
      </w:r>
    </w:p>
    <w:p w14:paraId="30D1AD2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55DFA8E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14:paraId="18F9AB4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.1投标人应在“投标人须知前附表”规定的投标截止时间前上传投标文件。</w:t>
      </w:r>
    </w:p>
    <w:p w14:paraId="0089451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14:paraId="243FF35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14:paraId="3853303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14:paraId="36BA2A6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14:paraId="3CE76AA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14:paraId="250F56B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14:paraId="4A3742C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14:paraId="787C9889">
      <w:pPr>
        <w:pStyle w:val="16"/>
        <w:rPr>
          <w:rFonts w:ascii="Times New Roman" w:hAnsi="Times New Roman"/>
          <w:lang w:eastAsia="zh-CN"/>
        </w:rPr>
      </w:pPr>
    </w:p>
    <w:p w14:paraId="6A92569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78" w:name="_Toc1109071882"/>
      <w:bookmarkStart w:id="179" w:name="_Toc1239968650"/>
      <w:bookmarkStart w:id="180" w:name="_Toc960388964"/>
      <w:bookmarkStart w:id="181" w:name="_Toc1288741030"/>
      <w:bookmarkStart w:id="182" w:name="_Toc1744903856_WPSOffice_Level2"/>
      <w:bookmarkStart w:id="183" w:name="_Toc705042226"/>
      <w:bookmarkStart w:id="184" w:name="_Toc516778272"/>
      <w:bookmarkStart w:id="185" w:name="_Toc1550393937_WPSOffice_Level2"/>
      <w:bookmarkStart w:id="186" w:name="_Toc516757662_WPSOffice_Level2"/>
      <w:bookmarkStart w:id="187" w:name="_Toc874621790"/>
      <w:bookmarkStart w:id="188" w:name="_Toc229139457"/>
      <w:bookmarkStart w:id="189" w:name="_Toc1130786219"/>
      <w:r>
        <w:rPr>
          <w:rFonts w:hint="default" w:ascii="Times New Roman" w:hAnsi="Times New Roman" w:eastAsia="方正小标宋_GBK" w:cs="Times New Roman"/>
          <w:bCs/>
          <w:color w:val="auto"/>
          <w:kern w:val="0"/>
          <w:sz w:val="30"/>
          <w:szCs w:val="30"/>
          <w:lang w:val="en-US" w:eastAsia="zh-CN"/>
        </w:rPr>
        <w:t>五、开标与评标</w:t>
      </w:r>
      <w:bookmarkEnd w:id="178"/>
      <w:bookmarkEnd w:id="179"/>
      <w:bookmarkEnd w:id="180"/>
      <w:bookmarkEnd w:id="181"/>
      <w:bookmarkEnd w:id="182"/>
      <w:bookmarkEnd w:id="183"/>
      <w:bookmarkEnd w:id="184"/>
      <w:bookmarkEnd w:id="185"/>
      <w:bookmarkEnd w:id="186"/>
      <w:bookmarkEnd w:id="187"/>
      <w:bookmarkEnd w:id="188"/>
      <w:bookmarkEnd w:id="189"/>
    </w:p>
    <w:p w14:paraId="608DCA9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14:paraId="28DBF18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.1开标及解密方式：见“投标人须知前附表”。</w:t>
      </w:r>
    </w:p>
    <w:p w14:paraId="2508783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.2不见面开标大厅网址：见“投标人须知前附表”。</w:t>
      </w:r>
    </w:p>
    <w:p w14:paraId="7C1B99E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.3开标时间和开标地点：见“投标人须知前附表”。</w:t>
      </w:r>
    </w:p>
    <w:p w14:paraId="65F8734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14:paraId="3611671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14:paraId="4B0B16C1">
      <w:pPr>
        <w:spacing w:line="360" w:lineRule="auto"/>
        <w:rPr>
          <w:rFonts w:hint="default" w:ascii="Times New Roman" w:hAnsi="Times New Roman" w:eastAsia="仿宋_GB2312" w:cs="Times New Roman"/>
          <w:color w:val="auto"/>
          <w:sz w:val="28"/>
          <w:szCs w:val="28"/>
          <w:lang w:eastAsia="zh-CN"/>
        </w:rPr>
      </w:pPr>
      <w:bookmarkStart w:id="190" w:name="_Toc694141672_WPSOffice_Level3"/>
      <w:bookmarkStart w:id="191" w:name="_Toc158498951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190"/>
      <w:bookmarkEnd w:id="191"/>
    </w:p>
    <w:p w14:paraId="56F52139">
      <w:pPr>
        <w:spacing w:line="360" w:lineRule="auto"/>
        <w:rPr>
          <w:rFonts w:hint="default" w:ascii="Times New Roman" w:hAnsi="Times New Roman" w:eastAsia="仿宋_GB2312" w:cs="Times New Roman"/>
          <w:color w:val="auto"/>
          <w:sz w:val="28"/>
          <w:szCs w:val="28"/>
          <w:lang w:eastAsia="zh-CN"/>
        </w:rPr>
      </w:pPr>
      <w:bookmarkStart w:id="192" w:name="_Toc1693296442_WPSOffice_Level3"/>
      <w:bookmarkStart w:id="193" w:name="_Toc1493406836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192"/>
      <w:bookmarkEnd w:id="193"/>
    </w:p>
    <w:p w14:paraId="15A31A9C">
      <w:pPr>
        <w:spacing w:line="360" w:lineRule="auto"/>
        <w:rPr>
          <w:rFonts w:hint="default" w:ascii="Times New Roman" w:hAnsi="Times New Roman" w:eastAsia="仿宋_GB2312" w:cs="Times New Roman"/>
          <w:color w:val="auto"/>
          <w:sz w:val="28"/>
          <w:szCs w:val="28"/>
          <w:lang w:eastAsia="zh-CN"/>
        </w:rPr>
      </w:pPr>
      <w:bookmarkStart w:id="194" w:name="_Toc1971674233_WPSOffice_Level3"/>
      <w:bookmarkStart w:id="195" w:name="_Toc1285333830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.3资格审查标准见“投标人须知前附表”。</w:t>
      </w:r>
      <w:bookmarkEnd w:id="194"/>
      <w:bookmarkEnd w:id="195"/>
    </w:p>
    <w:p w14:paraId="31392FEF">
      <w:pPr>
        <w:spacing w:line="360" w:lineRule="auto"/>
        <w:rPr>
          <w:rFonts w:hint="default" w:ascii="Times New Roman" w:hAnsi="Times New Roman" w:eastAsia="仿宋_GB2312" w:cs="Times New Roman"/>
          <w:color w:val="auto"/>
          <w:sz w:val="28"/>
          <w:szCs w:val="28"/>
          <w:lang w:eastAsia="zh-CN"/>
        </w:rPr>
      </w:pPr>
      <w:bookmarkStart w:id="196" w:name="_Toc1102086292_WPSOffice_Level3"/>
      <w:bookmarkStart w:id="197" w:name="_Toc468577997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信用记录的查询方法：见“投标人须知前附表”。</w:t>
      </w:r>
      <w:bookmarkEnd w:id="196"/>
      <w:bookmarkEnd w:id="197"/>
    </w:p>
    <w:p w14:paraId="14940DA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14:paraId="74899AA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14:paraId="19C7036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14:paraId="357A6A0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14:paraId="03A6589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14:paraId="021ACF9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6C01EFE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14:paraId="1E8FD80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14:paraId="7982F37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14:paraId="2B10858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符合性审查的</w:t>
      </w:r>
      <w:r>
        <w:rPr>
          <w:rFonts w:hint="default" w:ascii="Times New Roman" w:hAnsi="Times New Roman" w:eastAsia="仿宋_GB2312" w:cs="Times New Roman"/>
          <w:color w:val="auto"/>
          <w:sz w:val="28"/>
          <w:szCs w:val="28"/>
          <w:lang w:eastAsia="zh-CN"/>
        </w:rPr>
        <w:t>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14:paraId="0E1A837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14:paraId="1D1917B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14:paraId="7D14733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14:paraId="405AA89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14:paraId="25DD168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14:paraId="00FE460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676DD3A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14:paraId="285BACE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762B1D0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14:paraId="1B37FC4C">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14:paraId="0C1A8BD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14:paraId="72561FF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14:paraId="1C53DBC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14:paraId="22699C9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14:paraId="7ED76E3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14:paraId="248A8EE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14:paraId="151DA51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14:paraId="1689F09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14:paraId="689E322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14:paraId="78579A7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14:paraId="6B4C707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14:paraId="0E12B29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14:paraId="18DDAB4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14:paraId="6266F49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299DF96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0D02A1E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14:paraId="54F4130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.4节能环保政策</w:t>
      </w:r>
    </w:p>
    <w:p w14:paraId="7FD1557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14:paraId="441817E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15CCA3E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14:paraId="521A58A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p w14:paraId="0334F86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6CB057E0">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35.5 </w:t>
      </w:r>
      <w:r>
        <w:rPr>
          <w:rFonts w:hint="default" w:ascii="Times New Roman" w:hAnsi="Times New Roman" w:eastAsia="仿宋_GB2312" w:cs="Times New Roman"/>
          <w:color w:val="auto"/>
          <w:sz w:val="28"/>
          <w:szCs w:val="28"/>
          <w:lang w:eastAsia="zh-CN"/>
        </w:rPr>
        <w:t>正版软件的要求</w:t>
      </w:r>
    </w:p>
    <w:p w14:paraId="234E170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14:paraId="7BD5987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35.6</w:t>
      </w:r>
      <w:r>
        <w:rPr>
          <w:rFonts w:hint="default" w:ascii="Times New Roman" w:hAnsi="Times New Roman" w:eastAsia="仿宋_GB2312" w:cs="Times New Roman"/>
          <w:color w:val="auto"/>
          <w:sz w:val="28"/>
          <w:szCs w:val="28"/>
          <w:lang w:eastAsia="zh-CN"/>
        </w:rPr>
        <w:t>商品包装和快递包装要求</w:t>
      </w:r>
    </w:p>
    <w:p w14:paraId="4D3101A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14:paraId="254E5C7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14:paraId="61181AE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41F0C2F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（1）采购项目或采购包预留釆购份额专门面向中小企业采购；</w:t>
      </w:r>
    </w:p>
    <w:p w14:paraId="2F69277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0%的扣除，用扣除后的价格参加评审。中小企业扶持政策：见“投标人须知前附表”。</w:t>
      </w:r>
    </w:p>
    <w:p w14:paraId="040162F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4E2C603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0DFB82F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7078DC7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14:paraId="5BDB7ED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14:paraId="3815A44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2F4FFD1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520EBE51">
      <w:pPr>
        <w:pStyle w:val="99"/>
        <w:spacing w:line="360" w:lineRule="auto"/>
        <w:rPr>
          <w:rFonts w:ascii="Times New Roman" w:hAnsi="Times New Roman" w:eastAsia="仿宋_GB2312" w:cs="Times New Roman"/>
          <w:color w:val="auto"/>
        </w:rPr>
      </w:pPr>
      <w:r>
        <w:rPr>
          <w:rFonts w:ascii="Times New Roman" w:hAnsi="Times New Roman" w:eastAsia="仿宋_GB2312" w:cs="Times New Roman"/>
          <w:b/>
          <w:bCs/>
          <w:color w:val="auto"/>
          <w:sz w:val="28"/>
          <w:szCs w:val="28"/>
        </w:rPr>
        <w:t>38.</w:t>
      </w:r>
      <w:r>
        <w:rPr>
          <w:rFonts w:ascii="Times New Roman" w:hAnsi="Times New Roman" w:eastAsia="仿宋_GB2312" w:cs="Times New Roman"/>
          <w:b/>
          <w:color w:val="auto"/>
          <w:sz w:val="28"/>
          <w:szCs w:val="28"/>
        </w:rPr>
        <w:t>推荐中标候选人原则及标准</w:t>
      </w:r>
    </w:p>
    <w:p w14:paraId="60B467FA">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5B01310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14:paraId="257A99D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14:paraId="60E1E47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14:paraId="39161B3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14:paraId="61959CF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14:paraId="46ED72F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14:paraId="2F373B9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14:paraId="27CADAD2">
      <w:pPr>
        <w:pStyle w:val="103"/>
        <w:ind w:firstLine="240"/>
        <w:rPr>
          <w:rFonts w:ascii="Times New Roman" w:hAnsi="Times New Roman" w:cs="Times New Roman"/>
          <w:color w:val="auto"/>
        </w:rPr>
      </w:pPr>
    </w:p>
    <w:p w14:paraId="1F04017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8" w:name="_Toc1052785819"/>
      <w:bookmarkStart w:id="199" w:name="_Toc1092967952_WPSOffice_Level2"/>
      <w:bookmarkStart w:id="200" w:name="_Toc825115381"/>
      <w:bookmarkStart w:id="201" w:name="_Toc799007261"/>
      <w:bookmarkStart w:id="202" w:name="_Toc69887890"/>
      <w:bookmarkStart w:id="203" w:name="_Toc1781574470_WPSOffice_Level2"/>
      <w:bookmarkStart w:id="204" w:name="_Toc57506616"/>
      <w:bookmarkStart w:id="205" w:name="_Toc1542593003"/>
      <w:bookmarkStart w:id="206" w:name="_Toc469259728"/>
      <w:bookmarkStart w:id="207" w:name="_Toc2899487"/>
      <w:bookmarkStart w:id="208" w:name="_Toc1199683400_WPSOffice_Level2"/>
      <w:bookmarkStart w:id="209" w:name="_Toc395900728"/>
      <w:r>
        <w:rPr>
          <w:rFonts w:hint="default" w:ascii="Times New Roman" w:hAnsi="Times New Roman" w:eastAsia="方正小标宋_GBK" w:cs="Times New Roman"/>
          <w:bCs/>
          <w:color w:val="auto"/>
          <w:kern w:val="0"/>
          <w:sz w:val="30"/>
          <w:szCs w:val="30"/>
          <w:lang w:val="en-US" w:eastAsia="zh-CN"/>
        </w:rPr>
        <w:t>六、确定中标</w:t>
      </w:r>
      <w:bookmarkEnd w:id="198"/>
      <w:bookmarkEnd w:id="199"/>
      <w:bookmarkEnd w:id="200"/>
      <w:bookmarkEnd w:id="201"/>
      <w:bookmarkEnd w:id="202"/>
      <w:bookmarkEnd w:id="203"/>
      <w:bookmarkEnd w:id="204"/>
      <w:bookmarkEnd w:id="205"/>
      <w:bookmarkEnd w:id="206"/>
      <w:bookmarkEnd w:id="207"/>
      <w:bookmarkEnd w:id="208"/>
      <w:bookmarkEnd w:id="209"/>
    </w:p>
    <w:p w14:paraId="0BC2C126">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b/>
          <w:bCs/>
          <w:color w:val="auto"/>
          <w:sz w:val="28"/>
          <w:szCs w:val="28"/>
          <w:lang w:val="en" w:eastAsia="zh-CN"/>
        </w:rPr>
        <w:t>.</w:t>
      </w:r>
      <w:r>
        <w:rPr>
          <w:rFonts w:hint="default" w:ascii="Times New Roman" w:hAnsi="Times New Roman" w:eastAsia="仿宋_GB2312" w:cs="Times New Roman"/>
          <w:b/>
          <w:color w:val="auto"/>
          <w:kern w:val="0"/>
          <w:sz w:val="28"/>
          <w:szCs w:val="28"/>
          <w:lang w:val="en-US" w:eastAsia="zh-CN"/>
        </w:rPr>
        <w:t>确定中标人</w:t>
      </w:r>
    </w:p>
    <w:p w14:paraId="0DB8166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24B2896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40.2</w:t>
      </w:r>
      <w:r>
        <w:rPr>
          <w:rFonts w:hint="default" w:ascii="Times New Roman"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278F0415">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5BF561A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集中采购机构应将中标结果在“投标人须知前附表”规定的媒介上予以公告，中标结果公告期限为1个工作日。</w:t>
      </w:r>
    </w:p>
    <w:p w14:paraId="6F944867">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34AC2DE2">
      <w:pPr>
        <w:pStyle w:val="16"/>
        <w:spacing w:before="0" w:line="360" w:lineRule="auto"/>
        <w:rPr>
          <w:rFonts w:ascii="Times New Roman" w:hAnsi="Times New Roman"/>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14:paraId="75CD777B">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14:paraId="2689FED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6098EAAE">
      <w:pPr>
        <w:rPr>
          <w:rFonts w:hint="default" w:ascii="Times New Roman" w:hAnsi="Times New Roman" w:cs="Times New Roman"/>
          <w:color w:val="auto"/>
          <w:lang w:eastAsia="zh-CN"/>
        </w:rPr>
      </w:pPr>
    </w:p>
    <w:p w14:paraId="016D077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0" w:name="_Toc155496134_WPSOffice_Level2"/>
      <w:bookmarkStart w:id="211" w:name="_Toc289293782"/>
      <w:bookmarkStart w:id="212" w:name="_Toc1253526278"/>
      <w:bookmarkStart w:id="213" w:name="_Toc294849240"/>
      <w:bookmarkStart w:id="214" w:name="_Toc627288238"/>
      <w:bookmarkStart w:id="215" w:name="_Toc2132928082"/>
      <w:bookmarkStart w:id="216" w:name="_Toc212998948_WPSOffice_Level2"/>
      <w:bookmarkStart w:id="217" w:name="_Toc1835231440"/>
      <w:bookmarkStart w:id="218" w:name="_Toc1194929028_WPSOffice_Level2"/>
      <w:bookmarkStart w:id="219" w:name="_Toc285838294"/>
      <w:bookmarkStart w:id="220" w:name="_Toc574236286"/>
      <w:bookmarkStart w:id="221" w:name="_Toc1674499174"/>
      <w:r>
        <w:rPr>
          <w:rFonts w:hint="default" w:ascii="Times New Roman" w:hAnsi="Times New Roman" w:eastAsia="方正小标宋_GBK" w:cs="Times New Roman"/>
          <w:bCs/>
          <w:color w:val="auto"/>
          <w:kern w:val="0"/>
          <w:sz w:val="30"/>
          <w:szCs w:val="30"/>
          <w:lang w:val="en-US" w:eastAsia="zh-CN"/>
        </w:rPr>
        <w:t>七、授予合同</w:t>
      </w:r>
      <w:bookmarkEnd w:id="210"/>
      <w:bookmarkEnd w:id="211"/>
      <w:bookmarkEnd w:id="212"/>
      <w:bookmarkEnd w:id="213"/>
      <w:bookmarkEnd w:id="214"/>
      <w:bookmarkEnd w:id="215"/>
      <w:bookmarkEnd w:id="216"/>
      <w:bookmarkEnd w:id="217"/>
      <w:bookmarkEnd w:id="218"/>
      <w:bookmarkEnd w:id="219"/>
      <w:bookmarkEnd w:id="220"/>
      <w:bookmarkEnd w:id="221"/>
    </w:p>
    <w:p w14:paraId="1CD0871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14:paraId="70C0478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206DA17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w:t>
      </w:r>
      <w:r>
        <w:rPr>
          <w:rFonts w:hint="default" w:ascii="Times New Roman" w:hAnsi="Times New Roman" w:eastAsia="仿宋_GB2312" w:cs="Times New Roman"/>
          <w:b/>
          <w:bCs/>
          <w:color w:val="auto"/>
          <w:sz w:val="28"/>
          <w:szCs w:val="28"/>
          <w:lang w:val="en-US" w:eastAsia="zh-CN"/>
        </w:rPr>
        <w:t>追加</w:t>
      </w:r>
      <w:r>
        <w:rPr>
          <w:rFonts w:hint="default" w:ascii="Times New Roman" w:hAnsi="Times New Roman" w:eastAsia="仿宋_GB2312" w:cs="Times New Roman"/>
          <w:b/>
          <w:bCs/>
          <w:color w:val="auto"/>
          <w:sz w:val="28"/>
          <w:szCs w:val="28"/>
          <w:lang w:eastAsia="zh-CN"/>
        </w:rPr>
        <w:t>采购</w:t>
      </w:r>
      <w:r>
        <w:rPr>
          <w:rFonts w:hint="default" w:ascii="Times New Roman" w:hAnsi="Times New Roman" w:eastAsia="仿宋_GB2312" w:cs="Times New Roman"/>
          <w:b/>
          <w:bCs/>
          <w:color w:val="auto"/>
          <w:sz w:val="28"/>
          <w:szCs w:val="28"/>
          <w:lang w:val="en-US" w:eastAsia="zh-CN"/>
        </w:rPr>
        <w:t>货物</w:t>
      </w:r>
      <w:r>
        <w:rPr>
          <w:rFonts w:hint="default" w:ascii="Times New Roman" w:hAnsi="Times New Roman" w:eastAsia="仿宋_GB2312" w:cs="Times New Roman"/>
          <w:b/>
          <w:bCs/>
          <w:color w:val="auto"/>
          <w:sz w:val="28"/>
          <w:szCs w:val="28"/>
          <w:lang w:eastAsia="zh-CN"/>
        </w:rPr>
        <w:t>数量的权利</w:t>
      </w:r>
    </w:p>
    <w:p w14:paraId="7A30FF7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14:paraId="0DEAD17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14:paraId="29546FD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7DF8DD7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14:paraId="5DC83DC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43CF92D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508C3C2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标人应按招标文件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5986BE9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14:paraId="25CDC587">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018DF95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14:paraId="57F3DDB3">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560449D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提出书面质疑。</w:t>
      </w:r>
    </w:p>
    <w:p w14:paraId="489519F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71FCE7B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17AEAEC8">
      <w:pPr>
        <w:spacing w:line="360" w:lineRule="auto"/>
        <w:rPr>
          <w:rFonts w:hint="default" w:ascii="Times New Roman" w:hAnsi="Times New Roman" w:eastAsia="仿宋_GB2312" w:cs="Times New Roman"/>
          <w:color w:val="auto"/>
          <w:sz w:val="28"/>
          <w:szCs w:val="28"/>
          <w:lang w:eastAsia="zh-CN"/>
        </w:rPr>
      </w:pPr>
    </w:p>
    <w:p w14:paraId="53B62E1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2" w:name="_Toc1615377744"/>
      <w:bookmarkStart w:id="223" w:name="_Toc1400468441"/>
      <w:bookmarkStart w:id="224" w:name="_Toc1108985532"/>
      <w:bookmarkStart w:id="225" w:name="_Toc1766978063_WPSOffice_Level2"/>
      <w:bookmarkStart w:id="226" w:name="_Toc1789726127"/>
      <w:bookmarkStart w:id="227" w:name="_Toc2106161628_WPSOffice_Level2"/>
      <w:bookmarkStart w:id="228" w:name="_Toc2050602757_WPSOffice_Level2"/>
      <w:bookmarkStart w:id="229" w:name="_Toc691566780"/>
      <w:bookmarkStart w:id="230" w:name="_Toc512476358"/>
      <w:bookmarkStart w:id="231" w:name="_Toc1226187921"/>
      <w:bookmarkStart w:id="232" w:name="_Toc2042622906"/>
      <w:bookmarkStart w:id="233" w:name="_Toc65811364"/>
      <w:r>
        <w:rPr>
          <w:rFonts w:hint="default" w:ascii="Times New Roman" w:hAnsi="Times New Roman" w:eastAsia="方正小标宋_GBK" w:cs="Times New Roman"/>
          <w:bCs/>
          <w:color w:val="auto"/>
          <w:kern w:val="0"/>
          <w:sz w:val="30"/>
          <w:szCs w:val="30"/>
          <w:lang w:val="en-US" w:eastAsia="zh-CN"/>
        </w:rPr>
        <w:t>八、需要补充的其他内容</w:t>
      </w:r>
      <w:bookmarkEnd w:id="222"/>
      <w:bookmarkEnd w:id="223"/>
      <w:bookmarkEnd w:id="224"/>
      <w:bookmarkEnd w:id="225"/>
      <w:bookmarkEnd w:id="226"/>
      <w:bookmarkEnd w:id="227"/>
      <w:bookmarkEnd w:id="228"/>
      <w:bookmarkEnd w:id="229"/>
      <w:bookmarkEnd w:id="230"/>
      <w:bookmarkEnd w:id="231"/>
      <w:bookmarkEnd w:id="232"/>
      <w:bookmarkEnd w:id="233"/>
    </w:p>
    <w:p w14:paraId="234B432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需要补充的其他内容：见“投标人须知前附表”。</w:t>
      </w:r>
    </w:p>
    <w:p w14:paraId="03A9C62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7F0DF1FD">
      <w:pPr>
        <w:pStyle w:val="16"/>
        <w:rPr>
          <w:rFonts w:hint="eastAsia"/>
          <w:lang w:eastAsia="zh-CN"/>
        </w:rPr>
      </w:pPr>
    </w:p>
    <w:p w14:paraId="4E48B56E">
      <w:pPr>
        <w:pStyle w:val="2"/>
        <w:spacing w:before="0" w:after="0" w:line="360" w:lineRule="auto"/>
        <w:jc w:val="center"/>
        <w:rPr>
          <w:rFonts w:ascii="Times New Roman" w:hAnsi="Times New Roman" w:eastAsia="宋体"/>
          <w:color w:val="auto"/>
          <w:sz w:val="36"/>
          <w:szCs w:val="36"/>
          <w:lang w:val="en-US" w:eastAsia="zh-CN"/>
        </w:rPr>
      </w:pPr>
      <w:r>
        <w:rPr>
          <w:rFonts w:ascii="Times New Roman" w:hAnsi="Times New Roman"/>
          <w:color w:val="auto"/>
          <w:lang w:eastAsia="zh-CN"/>
        </w:rPr>
        <w:br w:type="page"/>
      </w:r>
      <w:bookmarkEnd w:id="125"/>
      <w:bookmarkEnd w:id="126"/>
      <w:bookmarkEnd w:id="127"/>
      <w:bookmarkStart w:id="234" w:name="_Toc2100027940"/>
      <w:bookmarkStart w:id="235" w:name="_Toc1340807913"/>
      <w:bookmarkStart w:id="236" w:name="_Toc63558279_WPSOffice_Level1"/>
      <w:bookmarkStart w:id="237" w:name="_Toc335147862_WPSOffice_Level1"/>
      <w:bookmarkStart w:id="238" w:name="_Toc300363790"/>
      <w:bookmarkStart w:id="239" w:name="_Toc2024009066"/>
      <w:bookmarkStart w:id="240" w:name="_Toc1644299675"/>
      <w:bookmarkStart w:id="241" w:name="_Toc1772010121"/>
      <w:bookmarkStart w:id="242" w:name="_Toc74311171"/>
      <w:bookmarkStart w:id="243" w:name="_Toc140667688"/>
      <w:bookmarkStart w:id="244" w:name="_Toc310774132_WPSOffice_Level1"/>
      <w:bookmarkStart w:id="245" w:name="_Toc839610870"/>
      <w:bookmarkStart w:id="246" w:name="_Toc764191523_WPSOffice_Level1"/>
      <w:bookmarkStart w:id="247" w:name="_Toc642928449_WPSOffice_Level1"/>
      <w:bookmarkStart w:id="248" w:name="_Toc308141697"/>
      <w:bookmarkStart w:id="249" w:name="_Toc893337798"/>
      <w:bookmarkStart w:id="250" w:name="_Toc237350522_WPSOffice_Level1"/>
      <w:bookmarkStart w:id="251" w:name="_Toc1839196008_WPSOffice_Level1"/>
      <w:bookmarkStart w:id="252" w:name="_Toc1415346380_WPSOffice_Level1"/>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2A74EA50">
      <w:pPr>
        <w:jc w:val="center"/>
        <w:rPr>
          <w:rFonts w:hint="default" w:ascii="Times New Roman" w:hAnsi="Times New Roman" w:eastAsia="宋体" w:cs="Times New Roman"/>
          <w:color w:val="auto"/>
          <w:sz w:val="48"/>
          <w:szCs w:val="48"/>
          <w:lang w:eastAsia="zh-CN"/>
        </w:rPr>
      </w:pPr>
    </w:p>
    <w:bookmarkEnd w:id="250"/>
    <w:bookmarkEnd w:id="251"/>
    <w:bookmarkEnd w:id="252"/>
    <w:p w14:paraId="49149201">
      <w:pPr>
        <w:spacing w:line="360" w:lineRule="auto"/>
        <w:ind w:left="1080" w:hanging="540"/>
        <w:jc w:val="center"/>
        <w:rPr>
          <w:rFonts w:hint="default" w:ascii="Times New Roman" w:hAnsi="Times New Roman" w:eastAsia="宋体" w:cs="Times New Roman"/>
          <w:color w:val="auto"/>
          <w:sz w:val="24"/>
          <w:szCs w:val="24"/>
          <w:lang w:val="en-US" w:eastAsia="zh-CN"/>
        </w:rPr>
      </w:pPr>
    </w:p>
    <w:p w14:paraId="6129E692">
      <w:pPr>
        <w:tabs>
          <w:tab w:val="left" w:pos="1950"/>
        </w:tabs>
        <w:jc w:val="center"/>
        <w:rPr>
          <w:rFonts w:hint="default" w:ascii="Times New Roman" w:hAnsi="Times New Roman" w:eastAsia="宋体" w:cs="Times New Roman"/>
          <w:b/>
          <w:bCs/>
          <w:color w:val="auto"/>
          <w:sz w:val="56"/>
          <w:szCs w:val="56"/>
          <w:lang w:val="en-US" w:eastAsia="zh-CN"/>
        </w:rPr>
      </w:pPr>
      <w:r>
        <w:rPr>
          <w:rFonts w:hint="default" w:ascii="Times New Roman" w:hAnsi="Times New Roman" w:eastAsia="宋体" w:cs="Times New Roman"/>
          <w:b/>
          <w:bCs/>
          <w:color w:val="auto"/>
          <w:sz w:val="56"/>
          <w:szCs w:val="56"/>
          <w:lang w:val="en-US" w:eastAsia="zh-CN"/>
        </w:rPr>
        <w:t xml:space="preserve"> </w:t>
      </w:r>
      <w:r>
        <w:rPr>
          <w:rFonts w:ascii="Times New Roman" w:hAnsi="Times New Roman" w:eastAsia="宋体" w:cs="Times New Roman"/>
          <w:b/>
          <w:bCs/>
          <w:color w:val="auto"/>
          <w:sz w:val="56"/>
          <w:szCs w:val="56"/>
          <w:lang w:val="en" w:eastAsia="zh-CN"/>
        </w:rPr>
        <w:t>郑州信息科技职业学院东校区加装电梯-电梯采购及安装项目</w:t>
      </w:r>
      <w:r>
        <w:rPr>
          <w:rFonts w:ascii="Times New Roman" w:hAnsi="Times New Roman" w:eastAsia="宋体" w:cs="Times New Roman"/>
          <w:b/>
          <w:bCs/>
          <w:color w:val="auto"/>
          <w:sz w:val="56"/>
          <w:szCs w:val="56"/>
          <w:lang w:val="en" w:eastAsia="zh-CN"/>
        </w:rPr>
        <w:tab/>
      </w:r>
    </w:p>
    <w:p w14:paraId="49D80E29">
      <w:pPr>
        <w:tabs>
          <w:tab w:val="left" w:pos="1950"/>
        </w:tabs>
        <w:jc w:val="left"/>
        <w:rPr>
          <w:rFonts w:hint="default" w:ascii="Times New Roman" w:hAnsi="Times New Roman" w:eastAsia="宋体" w:cs="Times New Roman"/>
          <w:b/>
          <w:bCs/>
          <w:color w:val="auto"/>
          <w:lang w:val="en-US" w:eastAsia="zh-CN"/>
        </w:rPr>
      </w:pPr>
    </w:p>
    <w:p w14:paraId="1DF147BC">
      <w:pPr>
        <w:tabs>
          <w:tab w:val="left" w:pos="1950"/>
        </w:tabs>
        <w:jc w:val="left"/>
        <w:rPr>
          <w:rFonts w:hint="default" w:ascii="Times New Roman" w:hAnsi="Times New Roman" w:eastAsia="宋体" w:cs="Times New Roman"/>
          <w:b/>
          <w:bCs/>
          <w:color w:val="auto"/>
          <w:lang w:val="en-US" w:eastAsia="zh-CN"/>
        </w:rPr>
      </w:pPr>
    </w:p>
    <w:p w14:paraId="09E3912B">
      <w:pPr>
        <w:tabs>
          <w:tab w:val="left" w:pos="1950"/>
        </w:tabs>
        <w:jc w:val="left"/>
        <w:rPr>
          <w:rFonts w:hint="default" w:ascii="Times New Roman" w:hAnsi="Times New Roman" w:eastAsia="宋体" w:cs="Times New Roman"/>
          <w:b/>
          <w:bCs/>
          <w:color w:val="auto"/>
          <w:lang w:val="en-US" w:eastAsia="zh-CN"/>
        </w:rPr>
      </w:pPr>
    </w:p>
    <w:p w14:paraId="293DA979">
      <w:pPr>
        <w:tabs>
          <w:tab w:val="left" w:pos="1950"/>
        </w:tabs>
        <w:jc w:val="left"/>
        <w:rPr>
          <w:rFonts w:hint="default" w:ascii="Times New Roman" w:hAnsi="Times New Roman" w:eastAsia="宋体" w:cs="Times New Roman"/>
          <w:b/>
          <w:bCs/>
          <w:color w:val="auto"/>
          <w:lang w:val="en-US" w:eastAsia="zh-CN"/>
        </w:rPr>
      </w:pPr>
    </w:p>
    <w:p w14:paraId="62A464CD">
      <w:pPr>
        <w:tabs>
          <w:tab w:val="left" w:pos="1950"/>
        </w:tabs>
        <w:jc w:val="left"/>
        <w:rPr>
          <w:rFonts w:hint="default" w:ascii="Times New Roman" w:hAnsi="Times New Roman" w:eastAsia="宋体" w:cs="Times New Roman"/>
          <w:b/>
          <w:bCs/>
          <w:color w:val="auto"/>
          <w:lang w:val="en-US" w:eastAsia="zh-CN"/>
        </w:rPr>
      </w:pPr>
    </w:p>
    <w:p w14:paraId="2C0973F4">
      <w:pPr>
        <w:tabs>
          <w:tab w:val="left" w:pos="1950"/>
        </w:tabs>
        <w:jc w:val="left"/>
        <w:rPr>
          <w:rFonts w:hint="default" w:ascii="Times New Roman" w:hAnsi="Times New Roman" w:eastAsia="宋体" w:cs="Times New Roman"/>
          <w:b/>
          <w:bCs/>
          <w:color w:val="auto"/>
          <w:lang w:val="en-US" w:eastAsia="zh-CN"/>
        </w:rPr>
      </w:pPr>
    </w:p>
    <w:p w14:paraId="4C115BCF">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14:paraId="2F0F8798">
      <w:pPr>
        <w:widowControl w:val="0"/>
        <w:tabs>
          <w:tab w:val="left" w:pos="1950"/>
        </w:tabs>
        <w:jc w:val="center"/>
        <w:rPr>
          <w:rFonts w:hint="default" w:ascii="Times New Roman" w:hAnsi="Times New Roman" w:eastAsia="宋体" w:cs="Times New Roman"/>
          <w:b/>
          <w:color w:val="auto"/>
          <w:sz w:val="36"/>
          <w:szCs w:val="36"/>
          <w:lang w:eastAsia="zh-CN"/>
        </w:rPr>
      </w:pPr>
    </w:p>
    <w:p w14:paraId="778A235C">
      <w:pPr>
        <w:widowControl w:val="0"/>
        <w:spacing w:line="360" w:lineRule="auto"/>
        <w:ind w:left="1080" w:leftChars="257" w:hanging="540"/>
        <w:jc w:val="center"/>
        <w:rPr>
          <w:rFonts w:hint="default" w:ascii="Times New Roman" w:hAnsi="Times New Roman" w:eastAsia="宋体" w:cs="Times New Roman"/>
          <w:b/>
          <w:color w:val="auto"/>
          <w:sz w:val="28"/>
          <w:szCs w:val="24"/>
          <w:lang w:val="en" w:eastAsia="zh-CN"/>
        </w:rPr>
      </w:pPr>
      <w:r>
        <w:rPr>
          <w:rFonts w:ascii="Times New Roman" w:hAnsi="Times New Roman" w:eastAsia="宋体" w:cs="Times New Roman"/>
          <w:b/>
          <w:color w:val="auto"/>
          <w:sz w:val="36"/>
          <w:szCs w:val="36"/>
          <w:lang w:eastAsia="zh-CN"/>
        </w:rPr>
        <w:t>采购编号：豫财招标采购-2025-1164</w:t>
      </w:r>
    </w:p>
    <w:p w14:paraId="01BC1B34">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D80B4BF">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1E9B399F">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1E9102D3">
      <w:pPr>
        <w:pStyle w:val="189"/>
        <w:ind w:firstLine="0"/>
        <w:rPr>
          <w:rFonts w:hint="default" w:ascii="Times New Roman" w:hAnsi="Times New Roman" w:eastAsia="宋体" w:cs="Times New Roman"/>
          <w:color w:val="auto"/>
          <w:lang w:eastAsia="zh-CN"/>
        </w:rPr>
      </w:pPr>
    </w:p>
    <w:p w14:paraId="7DDD36E1">
      <w:pPr>
        <w:spacing w:line="360" w:lineRule="auto"/>
        <w:ind w:left="708"/>
        <w:jc w:val="center"/>
        <w:rPr>
          <w:rFonts w:hint="default" w:ascii="Times New Roman" w:hAnsi="Times New Roman" w:eastAsia="仿宋_GB2312" w:cs="Times New Roman"/>
          <w:color w:val="auto"/>
          <w:sz w:val="28"/>
          <w:szCs w:val="28"/>
          <w:lang w:val="en-US" w:eastAsia="zh-CN"/>
        </w:rPr>
      </w:pPr>
    </w:p>
    <w:p w14:paraId="73445480">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53" w:name="_Toc1004915804_WPSOffice_Level3"/>
      <w:bookmarkStart w:id="254" w:name="_Toc32436634_WPSOffice_Level3"/>
    </w:p>
    <w:p w14:paraId="4B697B2B">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14:paraId="0116BB13">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53"/>
    <w:bookmarkEnd w:id="254"/>
    <w:p w14:paraId="739EC5EC">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p>
    <w:p w14:paraId="6DBCE9CF">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5" w:name="_Toc371659587_WPSOffice_Level3"/>
      <w:bookmarkStart w:id="256" w:name="_Toc835682095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255"/>
      <w:bookmarkEnd w:id="256"/>
    </w:p>
    <w:p w14:paraId="24F09E6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7" w:name="_Toc1150235750_WPSOffice_Level3"/>
      <w:bookmarkStart w:id="258"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257"/>
      <w:bookmarkEnd w:id="258"/>
    </w:p>
    <w:p w14:paraId="37D27216">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9" w:name="_Toc765241243_WPSOffice_Level3"/>
      <w:bookmarkStart w:id="260" w:name="_Toc568308316_WPSOffice_Level3"/>
      <w:bookmarkStart w:id="261" w:name="_Toc281235268_WPSOffice_Level3"/>
      <w:bookmarkStart w:id="262"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259"/>
      <w:bookmarkEnd w:id="260"/>
    </w:p>
    <w:p w14:paraId="7C0C0142">
      <w:pPr>
        <w:tabs>
          <w:tab w:val="left" w:pos="5580"/>
        </w:tabs>
        <w:spacing w:line="360" w:lineRule="auto"/>
        <w:ind w:firstLine="480"/>
        <w:rPr>
          <w:rFonts w:hint="default" w:ascii="Times New Roman" w:hAnsi="Times New Roman" w:eastAsia="仿宋_GB2312" w:cs="Times New Roman"/>
          <w:color w:val="auto"/>
          <w:kern w:val="0"/>
          <w:sz w:val="28"/>
          <w:szCs w:val="28"/>
          <w:highlight w:val="red"/>
          <w:lang w:eastAsia="zh-CN"/>
        </w:rPr>
      </w:pPr>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261"/>
      <w:bookmarkEnd w:id="262"/>
      <w:r>
        <w:rPr>
          <w:rFonts w:hint="default" w:ascii="Times New Roman" w:hAnsi="Times New Roman" w:eastAsia="仿宋_GB2312" w:cs="Times New Roman"/>
          <w:color w:val="auto"/>
          <w:kern w:val="0"/>
          <w:sz w:val="28"/>
          <w:szCs w:val="28"/>
          <w:lang w:eastAsia="zh-CN"/>
        </w:rPr>
        <w:t>声明</w:t>
      </w:r>
    </w:p>
    <w:p w14:paraId="236CB817">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263" w:name="_Toc141596040_WPSOffice_Level3"/>
      <w:bookmarkStart w:id="264" w:name="_Toc2005223374_WPSOffice_Level3"/>
      <w:bookmarkStart w:id="265" w:name="_Toc1395634740_WPSOffice_Level2"/>
      <w:r>
        <w:rPr>
          <w:rFonts w:hint="default" w:ascii="Times New Roman" w:hAnsi="Times New Roman" w:eastAsia="仿宋_GB2312" w:cs="Times New Roman"/>
          <w:color w:val="auto"/>
          <w:kern w:val="0"/>
          <w:sz w:val="28"/>
          <w:szCs w:val="28"/>
          <w:lang w:val="en-US" w:eastAsia="zh-CN"/>
        </w:rPr>
        <w:t>六、投标人关联单位的说明</w:t>
      </w:r>
    </w:p>
    <w:p w14:paraId="0BBFC06B">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eastAsia="zh-CN"/>
        </w:rPr>
        <w:t>其他资格证明文件</w:t>
      </w:r>
      <w:bookmarkEnd w:id="263"/>
      <w:bookmarkEnd w:id="264"/>
      <w:bookmarkEnd w:id="265"/>
    </w:p>
    <w:p w14:paraId="23137AE8">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14:paraId="4E9A640A">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62363A5D">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2A230479">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630C50DD">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0BBA80A9">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1E5B5C33">
      <w:pPr>
        <w:jc w:val="left"/>
        <w:rPr>
          <w:rFonts w:hint="default" w:ascii="Times New Roman" w:hAnsi="Times New Roman" w:eastAsia="宋体" w:cs="Times New Roman"/>
          <w:color w:val="auto"/>
          <w:sz w:val="28"/>
          <w:szCs w:val="28"/>
          <w:lang w:eastAsia="zh-CN"/>
        </w:rPr>
      </w:pPr>
      <w:bookmarkStart w:id="266" w:name="_Toc740001715"/>
      <w:bookmarkStart w:id="267" w:name="_Toc1892257381_WPSOffice_Level3"/>
      <w:bookmarkStart w:id="268" w:name="_Toc1666758381"/>
      <w:bookmarkStart w:id="269" w:name="_Toc442868323"/>
      <w:r>
        <w:rPr>
          <w:rFonts w:hint="default" w:ascii="Times New Roman" w:hAnsi="Times New Roman" w:eastAsia="黑体" w:cs="Times New Roman"/>
          <w:b/>
          <w:bCs/>
          <w:color w:val="auto"/>
          <w:sz w:val="28"/>
          <w:szCs w:val="28"/>
          <w:lang w:eastAsia="zh-CN"/>
        </w:rPr>
        <w:br w:type="page"/>
      </w:r>
      <w:bookmarkEnd w:id="266"/>
      <w:bookmarkEnd w:id="267"/>
      <w:bookmarkEnd w:id="268"/>
      <w:bookmarkEnd w:id="269"/>
    </w:p>
    <w:p w14:paraId="66E733BD">
      <w:pPr>
        <w:pStyle w:val="3"/>
        <w:spacing w:before="0" w:after="0" w:line="360" w:lineRule="auto"/>
        <w:jc w:val="center"/>
        <w:rPr>
          <w:rFonts w:ascii="Times New Roman" w:hAnsi="Times New Roman" w:eastAsia="黑体"/>
          <w:color w:val="auto"/>
          <w:sz w:val="28"/>
          <w:szCs w:val="28"/>
          <w:lang w:eastAsia="zh-CN"/>
        </w:rPr>
      </w:pPr>
      <w:bookmarkStart w:id="270" w:name="_Toc1876865389"/>
      <w:bookmarkStart w:id="271" w:name="_Toc503852734"/>
      <w:bookmarkStart w:id="272" w:name="_Toc1274130635"/>
      <w:bookmarkStart w:id="273" w:name="_Toc262140077"/>
      <w:bookmarkStart w:id="274" w:name="_Toc1950934252"/>
      <w:bookmarkStart w:id="275" w:name="_Toc1793820901_WPSOffice_Level3"/>
      <w:bookmarkStart w:id="276" w:name="_Toc1541909372_WPSOffice_Level3"/>
      <w:bookmarkStart w:id="277" w:name="_Toc1480748811"/>
      <w:bookmarkStart w:id="278" w:name="_Toc831756679"/>
      <w:bookmarkStart w:id="279" w:name="_Toc730361247"/>
      <w:bookmarkStart w:id="280" w:name="_Toc416910222"/>
      <w:r>
        <w:rPr>
          <w:rFonts w:ascii="Times New Roman" w:hAnsi="Times New Roman" w:eastAsia="黑体"/>
          <w:color w:val="auto"/>
          <w:sz w:val="28"/>
          <w:szCs w:val="28"/>
          <w:lang w:val="en-US" w:eastAsia="zh-CN"/>
        </w:rPr>
        <w:t>一、</w:t>
      </w:r>
      <w:bookmarkEnd w:id="270"/>
      <w:bookmarkEnd w:id="271"/>
      <w:bookmarkEnd w:id="272"/>
      <w:bookmarkEnd w:id="273"/>
      <w:bookmarkEnd w:id="274"/>
      <w:bookmarkEnd w:id="275"/>
      <w:bookmarkEnd w:id="276"/>
      <w:bookmarkEnd w:id="277"/>
      <w:bookmarkEnd w:id="278"/>
      <w:bookmarkEnd w:id="279"/>
      <w:r>
        <w:rPr>
          <w:rFonts w:ascii="Times New Roman" w:hAnsi="Times New Roman" w:eastAsia="方正小标宋_GBK"/>
          <w:b w:val="0"/>
          <w:color w:val="auto"/>
          <w:sz w:val="30"/>
          <w:szCs w:val="30"/>
          <w:lang w:val="en-US" w:eastAsia="zh-CN"/>
        </w:rPr>
        <w:t>法人或者其他组织的营业执照等证明文件或自然人的身份证明</w:t>
      </w:r>
      <w:bookmarkEnd w:id="280"/>
    </w:p>
    <w:p w14:paraId="237E9506">
      <w:pPr>
        <w:rPr>
          <w:rFonts w:hint="default" w:ascii="Times New Roman" w:hAnsi="Times New Roman" w:cs="Times New Roman"/>
          <w:color w:val="auto"/>
          <w:lang w:eastAsia="zh-CN"/>
        </w:rPr>
      </w:pPr>
    </w:p>
    <w:p w14:paraId="61E666A2">
      <w:pPr>
        <w:pStyle w:val="181"/>
        <w:tabs>
          <w:tab w:val="left" w:pos="5580"/>
        </w:tabs>
        <w:spacing w:line="360" w:lineRule="auto"/>
        <w:ind w:left="540" w:firstLine="480"/>
        <w:jc w:val="center"/>
        <w:rPr>
          <w:rFonts w:ascii="Times New Roman" w:hAnsi="Times New Roman" w:cs="Times New Roman"/>
          <w:b/>
          <w:bCs/>
          <w:color w:val="auto"/>
          <w:sz w:val="24"/>
          <w:szCs w:val="24"/>
        </w:rPr>
      </w:pPr>
    </w:p>
    <w:p w14:paraId="7DF30AA7">
      <w:pPr>
        <w:pStyle w:val="181"/>
        <w:tabs>
          <w:tab w:val="left" w:pos="5580"/>
        </w:tabs>
        <w:spacing w:line="360" w:lineRule="auto"/>
        <w:ind w:left="540" w:firstLine="480"/>
        <w:rPr>
          <w:rFonts w:ascii="Times New Roman" w:hAnsi="Times New Roman" w:cs="Times New Roman"/>
          <w:b/>
          <w:bCs/>
          <w:color w:val="auto"/>
          <w:sz w:val="24"/>
          <w:szCs w:val="24"/>
        </w:rPr>
      </w:pPr>
    </w:p>
    <w:p w14:paraId="16A25F41">
      <w:pPr>
        <w:pStyle w:val="181"/>
        <w:tabs>
          <w:tab w:val="left" w:pos="5580"/>
        </w:tabs>
        <w:spacing w:line="360" w:lineRule="auto"/>
        <w:ind w:left="540" w:firstLine="480"/>
        <w:rPr>
          <w:rFonts w:ascii="Times New Roman" w:hAnsi="Times New Roman" w:cs="Times New Roman"/>
          <w:b/>
          <w:bCs/>
          <w:color w:val="auto"/>
          <w:sz w:val="24"/>
          <w:szCs w:val="24"/>
        </w:rPr>
      </w:pPr>
    </w:p>
    <w:p w14:paraId="25BD5B52">
      <w:pPr>
        <w:pStyle w:val="181"/>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提供有效的营业执照等证明文件原件或复印件扫描件。</w:t>
      </w:r>
    </w:p>
    <w:p w14:paraId="6740B5BC">
      <w:pPr>
        <w:pStyle w:val="181"/>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281" w:name="_Toc67715126_WPSOffice_Level3"/>
      <w:bookmarkStart w:id="282" w:name="_Toc2081420463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投标人为自然人的，应提供身份证明的原件或复印件扫描件。</w:t>
      </w:r>
      <w:bookmarkEnd w:id="281"/>
      <w:bookmarkEnd w:id="282"/>
    </w:p>
    <w:p w14:paraId="01959878">
      <w:pPr>
        <w:pStyle w:val="181"/>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283" w:name="_Toc1215272460_WPSOffice_Level3"/>
      <w:bookmarkStart w:id="284"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283"/>
      <w:bookmarkEnd w:id="284"/>
    </w:p>
    <w:p w14:paraId="458BEFE9">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85" w:name="_Toc456633459_WPSOffice_Level3"/>
      <w:bookmarkStart w:id="286" w:name="_Toc868984799"/>
      <w:bookmarkStart w:id="287" w:name="_Toc1319467764"/>
      <w:bookmarkStart w:id="288" w:name="_Toc1557063548"/>
      <w:bookmarkStart w:id="289" w:name="_Toc1215314597"/>
    </w:p>
    <w:p w14:paraId="395F0EB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90" w:name="_Toc1494493586"/>
      <w:bookmarkStart w:id="291" w:name="_Toc574791252"/>
      <w:bookmarkStart w:id="292" w:name="_Toc1587241248"/>
      <w:bookmarkStart w:id="293" w:name="_Toc937091873"/>
      <w:bookmarkStart w:id="294" w:name="_Toc1518204884"/>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85"/>
      <w:bookmarkEnd w:id="286"/>
      <w:bookmarkEnd w:id="287"/>
      <w:bookmarkEnd w:id="288"/>
      <w:bookmarkEnd w:id="289"/>
      <w:bookmarkEnd w:id="290"/>
      <w:bookmarkEnd w:id="291"/>
      <w:bookmarkEnd w:id="292"/>
      <w:bookmarkEnd w:id="293"/>
      <w:bookmarkEnd w:id="294"/>
    </w:p>
    <w:p w14:paraId="61F76B60">
      <w:pPr>
        <w:spacing w:line="360" w:lineRule="auto"/>
        <w:jc w:val="center"/>
        <w:rPr>
          <w:rFonts w:hint="default" w:ascii="Times New Roman" w:hAnsi="Times New Roman" w:eastAsia="宋体" w:cs="Times New Roman"/>
          <w:color w:val="auto"/>
          <w:sz w:val="28"/>
          <w:szCs w:val="28"/>
          <w:lang w:eastAsia="zh-CN"/>
        </w:rPr>
      </w:pPr>
    </w:p>
    <w:p w14:paraId="6DB2FFE2">
      <w:pPr>
        <w:rPr>
          <w:rFonts w:hint="default" w:ascii="Times New Roman" w:hAnsi="Times New Roman" w:cs="Times New Roman"/>
          <w:color w:val="auto"/>
          <w:lang w:eastAsia="zh-CN"/>
        </w:rPr>
      </w:pPr>
    </w:p>
    <w:p w14:paraId="2EDF6CB0">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A86C7A4">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47ED3A06">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732BB94">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15B9C572">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w:t>
      </w:r>
      <w:r>
        <w:rPr>
          <w:rFonts w:ascii="Times New Roman" w:hAnsi="Times New Roman" w:eastAsia="仿宋_GB2312" w:cs="Times New Roman"/>
          <w:color w:val="auto"/>
          <w:sz w:val="28"/>
          <w:szCs w:val="28"/>
          <w:lang w:val="en-US" w:eastAsia="zh-CN"/>
        </w:rPr>
        <w:t>2024年度</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经审计的财务报告，要求注册会计师签字并加盖会计师印章；如截止到开标时间投标人成立时间不足要求时限的，须提供其开户银行出具的资信证明。</w:t>
      </w:r>
    </w:p>
    <w:p w14:paraId="3B376694">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295" w:name="_Toc1968479748"/>
      <w:bookmarkStart w:id="296" w:name="_Toc1656782056"/>
      <w:bookmarkStart w:id="297" w:name="_Toc942688044_WPSOffice_Level3"/>
      <w:bookmarkStart w:id="298" w:name="_Toc1735681444"/>
      <w:bookmarkStart w:id="299" w:name="_Toc436443482"/>
      <w:bookmarkStart w:id="300" w:name="_Toc1030212309"/>
      <w:bookmarkStart w:id="301" w:name="_Toc1125237527"/>
      <w:bookmarkStart w:id="302" w:name="_Toc2082821673"/>
      <w:bookmarkStart w:id="303" w:name="_Toc1998858666"/>
      <w:bookmarkStart w:id="304" w:name="_Toc108935773"/>
      <w:bookmarkStart w:id="305" w:name="_Toc1079740645"/>
      <w:r>
        <w:rPr>
          <w:rFonts w:ascii="Times New Roman" w:hAnsi="Times New Roman" w:eastAsia="方正小标宋_GBK"/>
          <w:b w:val="0"/>
          <w:color w:val="auto"/>
          <w:sz w:val="30"/>
          <w:szCs w:val="30"/>
          <w:lang w:val="en-US" w:eastAsia="zh-CN"/>
        </w:rPr>
        <w:t>三、依法</w:t>
      </w:r>
      <w:bookmarkEnd w:id="295"/>
      <w:r>
        <w:rPr>
          <w:rFonts w:ascii="Times New Roman" w:hAnsi="Times New Roman" w:eastAsia="方正小标宋_GBK"/>
          <w:b w:val="0"/>
          <w:color w:val="auto"/>
          <w:sz w:val="30"/>
          <w:szCs w:val="30"/>
          <w:lang w:val="en-US" w:eastAsia="zh-CN"/>
        </w:rPr>
        <w:t>缴纳税收和社会保障资金的良好记录</w:t>
      </w:r>
      <w:bookmarkEnd w:id="296"/>
      <w:bookmarkEnd w:id="297"/>
      <w:bookmarkEnd w:id="298"/>
      <w:bookmarkEnd w:id="299"/>
      <w:bookmarkEnd w:id="300"/>
      <w:bookmarkEnd w:id="301"/>
      <w:bookmarkEnd w:id="302"/>
      <w:bookmarkEnd w:id="303"/>
      <w:bookmarkEnd w:id="304"/>
      <w:bookmarkEnd w:id="305"/>
    </w:p>
    <w:p w14:paraId="6D1D652C">
      <w:pPr>
        <w:pStyle w:val="181"/>
        <w:tabs>
          <w:tab w:val="left" w:pos="5580"/>
        </w:tabs>
        <w:spacing w:line="360" w:lineRule="auto"/>
        <w:ind w:left="1080" w:hanging="540"/>
        <w:jc w:val="center"/>
        <w:rPr>
          <w:rFonts w:ascii="Times New Roman" w:hAnsi="Times New Roman" w:cs="Times New Roman"/>
          <w:b/>
          <w:bCs/>
          <w:color w:val="auto"/>
          <w:sz w:val="24"/>
          <w:szCs w:val="24"/>
        </w:rPr>
      </w:pPr>
    </w:p>
    <w:p w14:paraId="33270D68">
      <w:pPr>
        <w:pStyle w:val="181"/>
        <w:tabs>
          <w:tab w:val="left" w:pos="5580"/>
        </w:tabs>
        <w:spacing w:line="360" w:lineRule="auto"/>
        <w:ind w:left="840"/>
        <w:rPr>
          <w:rFonts w:ascii="Times New Roman" w:hAnsi="Times New Roman" w:cs="Times New Roman"/>
          <w:b/>
          <w:bCs/>
          <w:color w:val="auto"/>
          <w:sz w:val="24"/>
          <w:szCs w:val="24"/>
        </w:rPr>
      </w:pPr>
    </w:p>
    <w:p w14:paraId="0A6D0C39">
      <w:pPr>
        <w:pStyle w:val="181"/>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0F7C22A8">
      <w:pPr>
        <w:pStyle w:val="181"/>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w:t>
      </w:r>
      <w:r>
        <w:rPr>
          <w:rFonts w:hint="eastAsia" w:ascii="Times New Roman" w:hAnsi="Times New Roman" w:eastAsia="仿宋_GB2312" w:cs="Times New Roman"/>
          <w:color w:val="auto"/>
          <w:sz w:val="28"/>
          <w:szCs w:val="28"/>
        </w:rPr>
        <w:t>5</w:t>
      </w:r>
      <w:r>
        <w:rPr>
          <w:rFonts w:ascii="Times New Roman" w:hAnsi="Times New Roman" w:eastAsia="仿宋_GB2312" w:cs="Times New Roman"/>
          <w:color w:val="auto"/>
          <w:sz w:val="28"/>
          <w:szCs w:val="28"/>
        </w:rPr>
        <w:t>年1月1日以来至少一个月的纳税证明和社保缴纳证明，依法免税或不需要缴纳社会保障资金的，应提供相应文件证明其依法免税或不需要缴纳）。</w:t>
      </w:r>
    </w:p>
    <w:p w14:paraId="373634FF">
      <w:pPr>
        <w:pStyle w:val="181"/>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7B56C769">
      <w:pPr>
        <w:tabs>
          <w:tab w:val="left" w:pos="5580"/>
        </w:tabs>
        <w:spacing w:line="360" w:lineRule="auto"/>
        <w:rPr>
          <w:rFonts w:hint="default" w:ascii="Times New Roman" w:hAnsi="Times New Roman" w:eastAsia="仿宋_GB2312" w:cs="Times New Roman"/>
          <w:color w:val="auto"/>
          <w:sz w:val="28"/>
          <w:szCs w:val="28"/>
          <w:lang w:val="en-US" w:eastAsia="zh-CN"/>
        </w:rPr>
      </w:pPr>
    </w:p>
    <w:p w14:paraId="4B900516">
      <w:pPr>
        <w:tabs>
          <w:tab w:val="left" w:pos="5580"/>
        </w:tabs>
        <w:spacing w:line="360" w:lineRule="auto"/>
        <w:rPr>
          <w:rFonts w:hint="default" w:ascii="Times New Roman" w:hAnsi="Times New Roman" w:eastAsia="仿宋_GB2312" w:cs="Times New Roman"/>
          <w:color w:val="auto"/>
          <w:sz w:val="28"/>
          <w:szCs w:val="28"/>
          <w:lang w:val="en-US" w:eastAsia="zh-CN"/>
        </w:rPr>
      </w:pPr>
    </w:p>
    <w:p w14:paraId="0EA0239D">
      <w:pPr>
        <w:pStyle w:val="181"/>
        <w:tabs>
          <w:tab w:val="left" w:pos="5580"/>
        </w:tabs>
        <w:spacing w:line="360" w:lineRule="auto"/>
        <w:ind w:left="840"/>
        <w:rPr>
          <w:rFonts w:ascii="Times New Roman" w:hAnsi="Times New Roman" w:cs="Times New Roman"/>
          <w:color w:val="auto"/>
          <w:sz w:val="24"/>
          <w:szCs w:val="24"/>
        </w:rPr>
      </w:pPr>
    </w:p>
    <w:p w14:paraId="560F7509">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06" w:name="_Toc1152943509"/>
      <w:bookmarkStart w:id="307" w:name="_Toc148345819_WPSOffice_Level3"/>
      <w:bookmarkStart w:id="308" w:name="_Toc29306536"/>
      <w:bookmarkStart w:id="309" w:name="_Toc634123008"/>
      <w:bookmarkStart w:id="310" w:name="_Toc1044148797"/>
      <w:bookmarkStart w:id="311" w:name="_Toc1695519598"/>
      <w:bookmarkStart w:id="312" w:name="_Toc642483276"/>
      <w:bookmarkStart w:id="313" w:name="_Toc883013156"/>
      <w:bookmarkStart w:id="314" w:name="_Toc231434114"/>
      <w:bookmarkStart w:id="315" w:name="_Toc937672964"/>
      <w:bookmarkStart w:id="316" w:name="_Toc173874035"/>
      <w:r>
        <w:rPr>
          <w:rFonts w:ascii="Times New Roman" w:hAnsi="Times New Roman" w:eastAsia="方正小标宋_GBK"/>
          <w:b w:val="0"/>
          <w:color w:val="auto"/>
          <w:sz w:val="30"/>
          <w:szCs w:val="30"/>
          <w:lang w:val="en-US" w:eastAsia="zh-CN"/>
        </w:rPr>
        <w:t>四、具有履行合同所必需的设备和专业技术能力</w:t>
      </w:r>
      <w:bookmarkEnd w:id="306"/>
      <w:bookmarkEnd w:id="307"/>
      <w:bookmarkEnd w:id="308"/>
      <w:bookmarkEnd w:id="309"/>
      <w:bookmarkEnd w:id="310"/>
      <w:bookmarkEnd w:id="311"/>
      <w:bookmarkEnd w:id="312"/>
      <w:bookmarkEnd w:id="313"/>
      <w:bookmarkEnd w:id="314"/>
      <w:bookmarkEnd w:id="315"/>
      <w:bookmarkEnd w:id="316"/>
    </w:p>
    <w:p w14:paraId="57A0731F">
      <w:pPr>
        <w:spacing w:line="360" w:lineRule="auto"/>
        <w:rPr>
          <w:rFonts w:hint="default" w:ascii="Times New Roman" w:hAnsi="Times New Roman" w:eastAsia="仿宋_GB2312" w:cs="Times New Roman"/>
          <w:color w:val="auto"/>
          <w:sz w:val="28"/>
          <w:szCs w:val="28"/>
          <w:highlight w:val="yellow"/>
          <w:lang w:val="en" w:eastAsia="zh-CN"/>
        </w:rPr>
      </w:pPr>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 w:eastAsia="zh-CN"/>
        </w:rPr>
        <w:t>郑州信息科技职业学院</w:t>
      </w:r>
    </w:p>
    <w:p w14:paraId="73C4636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 w:eastAsia="zh-CN"/>
        </w:rPr>
        <w:t>豫财招标采购-2025-1164</w:t>
      </w:r>
      <w:r>
        <w:rPr>
          <w:rFonts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 w:eastAsia="zh-CN"/>
        </w:rPr>
        <w:t>郑州信息科技职业学院东校区加装电梯-电梯采购及安装项目</w:t>
      </w:r>
      <w:r>
        <w:rPr>
          <w:rFonts w:hint="default" w:ascii="Times New Roman" w:hAnsi="Times New Roman" w:eastAsia="仿宋_GB2312" w:cs="Times New Roman"/>
          <w:color w:val="auto"/>
          <w:sz w:val="28"/>
          <w:szCs w:val="28"/>
          <w:lang w:eastAsia="zh-CN"/>
        </w:rPr>
        <w:t>的投标,并做出如下承诺：</w:t>
      </w:r>
    </w:p>
    <w:p w14:paraId="20A26F82">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我方具有履行合同所必需的设备和专业技术能力。</w:t>
      </w:r>
    </w:p>
    <w:p w14:paraId="45F17D2C">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我方保证上述信息的真实和准确，并愿意承担因我方就此弄虚作假所引起的一切法律后果。</w:t>
      </w:r>
    </w:p>
    <w:p w14:paraId="3F06450C">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特此声明！</w:t>
      </w:r>
    </w:p>
    <w:p w14:paraId="189340BE">
      <w:pPr>
        <w:tabs>
          <w:tab w:val="left" w:pos="6300"/>
        </w:tabs>
        <w:snapToGrid w:val="0"/>
        <w:spacing w:line="360" w:lineRule="auto"/>
        <w:ind w:firstLine="277" w:firstLineChars="99"/>
        <w:rPr>
          <w:rFonts w:ascii="宋体" w:hAnsi="宋体" w:eastAsia="宋体" w:cs="宋体"/>
          <w:color w:val="auto"/>
          <w:sz w:val="28"/>
          <w:szCs w:val="28"/>
          <w:lang w:eastAsia="zh-CN"/>
        </w:rPr>
      </w:pPr>
    </w:p>
    <w:p w14:paraId="30899ABD">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6A0D2A66">
      <w:pPr>
        <w:spacing w:line="360" w:lineRule="exact"/>
        <w:ind w:firstLine="420"/>
        <w:jc w:val="right"/>
        <w:rPr>
          <w:rFonts w:hint="default" w:ascii="Times New Roman" w:hAnsi="Times New Roman" w:eastAsia="仿宋_GB2312" w:cs="Times New Roman"/>
          <w:sz w:val="28"/>
          <w:szCs w:val="28"/>
          <w:lang w:eastAsia="zh-CN"/>
        </w:rPr>
      </w:pPr>
    </w:p>
    <w:p w14:paraId="5AA2DB50">
      <w:pPr>
        <w:spacing w:line="360" w:lineRule="auto"/>
        <w:ind w:firstLine="556"/>
        <w:jc w:val="right"/>
        <w:rPr>
          <w:rFonts w:hint="default" w:ascii="Times New Roman" w:hAnsi="Times New Roman" w:eastAsia="仿宋_GB2312" w:cs="Times New Roman"/>
          <w:sz w:val="28"/>
          <w:szCs w:val="28"/>
          <w:lang w:eastAsia="zh-CN"/>
        </w:rPr>
      </w:pPr>
    </w:p>
    <w:p w14:paraId="0FFCA427">
      <w:pPr>
        <w:pStyle w:val="181"/>
        <w:tabs>
          <w:tab w:val="left" w:pos="5580"/>
        </w:tabs>
        <w:spacing w:line="360" w:lineRule="auto"/>
        <w:ind w:left="1080" w:hanging="540"/>
        <w:jc w:val="center"/>
        <w:rPr>
          <w:rFonts w:ascii="Times New Roman" w:hAnsi="Times New Roman" w:cs="Times New Roman"/>
          <w:b/>
          <w:bCs/>
          <w:sz w:val="24"/>
          <w:szCs w:val="24"/>
        </w:rPr>
      </w:pPr>
      <w:r>
        <w:rPr>
          <w:rFonts w:ascii="Times New Roman" w:hAnsi="Times New Roman" w:eastAsia="仿宋_GB2312" w:cs="Times New Roman"/>
          <w:sz w:val="28"/>
          <w:szCs w:val="28"/>
        </w:rPr>
        <w:t>日期：</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p w14:paraId="15CD8960">
      <w:pPr>
        <w:pStyle w:val="181"/>
        <w:tabs>
          <w:tab w:val="left" w:pos="5580"/>
        </w:tabs>
        <w:spacing w:line="360" w:lineRule="auto"/>
        <w:ind w:left="1080" w:hanging="540"/>
        <w:jc w:val="center"/>
        <w:rPr>
          <w:rFonts w:ascii="Times New Roman" w:hAnsi="Times New Roman" w:cs="Times New Roman"/>
          <w:b/>
          <w:bCs/>
          <w:color w:val="auto"/>
          <w:sz w:val="24"/>
          <w:szCs w:val="24"/>
        </w:rPr>
      </w:pPr>
    </w:p>
    <w:p w14:paraId="2D44037D">
      <w:pPr>
        <w:pStyle w:val="3"/>
        <w:jc w:val="center"/>
        <w:rPr>
          <w:rFonts w:ascii="Times New Roman" w:hAnsi="Times New Roman" w:eastAsia="方正小标宋_GBK"/>
          <w:b w:val="0"/>
          <w:color w:val="auto"/>
          <w:sz w:val="30"/>
          <w:szCs w:val="30"/>
          <w:lang w:val="en-US" w:eastAsia="zh-CN"/>
        </w:rPr>
      </w:pPr>
      <w:bookmarkStart w:id="317" w:name="_Toc1625950936"/>
      <w:bookmarkStart w:id="318" w:name="_Toc1835514155"/>
      <w:bookmarkStart w:id="319" w:name="_Toc2139213640"/>
      <w:bookmarkStart w:id="320" w:name="_Toc2058865505"/>
      <w:bookmarkStart w:id="321" w:name="_Toc897167010_WPSOffice_Level3"/>
      <w:bookmarkStart w:id="322" w:name="_Toc1989881438"/>
      <w:bookmarkStart w:id="323" w:name="_Toc242026376"/>
      <w:bookmarkStart w:id="324" w:name="_Toc568241575"/>
      <w:bookmarkStart w:id="325" w:name="_Toc1206650936"/>
      <w:bookmarkStart w:id="326" w:name="_Toc288533216"/>
      <w:bookmarkStart w:id="327" w:name="_Toc1554412966"/>
      <w:r>
        <w:rPr>
          <w:rFonts w:ascii="Times New Roman" w:hAnsi="Times New Roman" w:eastAsia="方正小标宋_GBK"/>
          <w:b w:val="0"/>
          <w:color w:val="auto"/>
          <w:sz w:val="30"/>
          <w:szCs w:val="30"/>
          <w:lang w:val="en-US" w:eastAsia="zh-CN"/>
        </w:rPr>
        <w:br w:type="page"/>
      </w: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17"/>
      <w:bookmarkEnd w:id="318"/>
      <w:bookmarkEnd w:id="319"/>
      <w:bookmarkEnd w:id="320"/>
      <w:bookmarkEnd w:id="321"/>
      <w:bookmarkEnd w:id="322"/>
      <w:r>
        <w:rPr>
          <w:rFonts w:ascii="Times New Roman" w:hAnsi="Times New Roman" w:eastAsia="方正小标宋_GBK"/>
          <w:b w:val="0"/>
          <w:color w:val="auto"/>
          <w:sz w:val="30"/>
          <w:szCs w:val="30"/>
          <w:lang w:val="en-US" w:eastAsia="zh-CN"/>
        </w:rPr>
        <w:t>声明</w:t>
      </w:r>
      <w:bookmarkEnd w:id="323"/>
      <w:bookmarkEnd w:id="324"/>
      <w:bookmarkEnd w:id="325"/>
      <w:bookmarkEnd w:id="326"/>
      <w:bookmarkEnd w:id="327"/>
    </w:p>
    <w:p w14:paraId="614C41F6">
      <w:pPr>
        <w:spacing w:line="360" w:lineRule="auto"/>
        <w:rPr>
          <w:rFonts w:hint="default" w:ascii="Times New Roman" w:hAnsi="Times New Roman" w:eastAsia="仿宋_GB2312" w:cs="Times New Roman"/>
          <w:color w:val="auto"/>
          <w:sz w:val="28"/>
          <w:szCs w:val="28"/>
          <w:highlight w:val="yellow"/>
          <w:lang w:val="en" w:eastAsia="zh-CN"/>
        </w:rPr>
      </w:pPr>
      <w:bookmarkStart w:id="328" w:name="_Hlk103703179"/>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 w:eastAsia="zh-CN"/>
        </w:rPr>
        <w:t>郑州信息科技职业学院</w:t>
      </w:r>
    </w:p>
    <w:p w14:paraId="1CA9409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 w:eastAsia="zh-CN"/>
        </w:rPr>
        <w:t>豫财招标采购-2025-1164</w:t>
      </w:r>
      <w:r>
        <w:rPr>
          <w:rFonts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 w:eastAsia="zh-CN"/>
        </w:rPr>
        <w:t>郑州信息科技职业学院东校区加装电梯-电梯采购及安装项目</w:t>
      </w:r>
      <w:r>
        <w:rPr>
          <w:rFonts w:hint="default" w:ascii="Times New Roman" w:hAnsi="Times New Roman" w:eastAsia="仿宋_GB2312" w:cs="Times New Roman"/>
          <w:color w:val="auto"/>
          <w:sz w:val="28"/>
          <w:szCs w:val="28"/>
          <w:lang w:eastAsia="zh-CN"/>
        </w:rPr>
        <w:t>的投标,并做出如下承诺：</w:t>
      </w:r>
    </w:p>
    <w:bookmarkEnd w:id="328"/>
    <w:p w14:paraId="68EADB4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14:paraId="33D89A0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1E1826C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0A46FDB2">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14:paraId="30CDBBFE">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438F20BB">
      <w:pPr>
        <w:spacing w:line="360" w:lineRule="exact"/>
        <w:ind w:firstLine="420"/>
        <w:jc w:val="right"/>
        <w:rPr>
          <w:rFonts w:hint="default" w:ascii="Times New Roman" w:hAnsi="Times New Roman" w:eastAsia="仿宋_GB2312" w:cs="Times New Roman"/>
          <w:color w:val="auto"/>
          <w:sz w:val="28"/>
          <w:szCs w:val="28"/>
          <w:lang w:eastAsia="zh-CN"/>
        </w:rPr>
      </w:pPr>
    </w:p>
    <w:p w14:paraId="5E32CF5A">
      <w:pPr>
        <w:spacing w:line="360" w:lineRule="auto"/>
        <w:ind w:firstLine="556"/>
        <w:jc w:val="right"/>
        <w:rPr>
          <w:rFonts w:hint="default" w:ascii="Times New Roman" w:hAnsi="Times New Roman" w:eastAsia="仿宋_GB2312" w:cs="Times New Roman"/>
          <w:color w:val="auto"/>
          <w:sz w:val="28"/>
          <w:szCs w:val="28"/>
          <w:lang w:eastAsia="zh-CN"/>
        </w:rPr>
      </w:pPr>
    </w:p>
    <w:p w14:paraId="2197985C">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7FADFFE6">
      <w:pPr>
        <w:pStyle w:val="181"/>
        <w:tabs>
          <w:tab w:val="left" w:pos="5580"/>
        </w:tabs>
        <w:spacing w:line="360" w:lineRule="auto"/>
        <w:rPr>
          <w:rFonts w:ascii="Times New Roman" w:hAnsi="Times New Roman" w:cs="Times New Roman"/>
          <w:color w:val="auto"/>
          <w:sz w:val="24"/>
          <w:szCs w:val="24"/>
        </w:rPr>
      </w:pPr>
    </w:p>
    <w:p w14:paraId="43B89598">
      <w:pPr>
        <w:pStyle w:val="181"/>
        <w:tabs>
          <w:tab w:val="left" w:pos="5580"/>
        </w:tabs>
        <w:spacing w:line="360" w:lineRule="auto"/>
        <w:rPr>
          <w:rFonts w:ascii="Times New Roman" w:hAnsi="Times New Roman" w:eastAsia="仿宋_GB2312" w:cs="Times New Roman"/>
          <w:color w:val="auto"/>
          <w:sz w:val="28"/>
          <w:szCs w:val="28"/>
          <w:lang w:val="zh-TW"/>
        </w:rPr>
      </w:pPr>
      <w:bookmarkStart w:id="329" w:name="_Toc1614236527"/>
      <w:bookmarkStart w:id="330" w:name="_Toc1462517689"/>
      <w:bookmarkStart w:id="331" w:name="_Toc1267967234"/>
      <w:bookmarkStart w:id="332" w:name="_Toc1412570441"/>
      <w:bookmarkStart w:id="333" w:name="_Toc1938095027"/>
      <w:bookmarkStart w:id="334" w:name="_Toc2073666225_WPSOffice_Level3"/>
      <w:bookmarkStart w:id="335" w:name="_Toc474620139"/>
      <w:bookmarkStart w:id="336" w:name="_Toc1237822054"/>
      <w:bookmarkStart w:id="337" w:name="_Toc996756161"/>
      <w:bookmarkStart w:id="338" w:name="_Toc250382630"/>
      <w:r>
        <w:rPr>
          <w:rFonts w:ascii="Times New Roman" w:hAnsi="Times New Roman" w:eastAsia="仿宋_GB2312" w:cs="Times New Roman"/>
          <w:color w:val="auto"/>
          <w:sz w:val="28"/>
          <w:szCs w:val="28"/>
          <w:lang w:val="zh-TW"/>
        </w:rPr>
        <w:t>说明：</w:t>
      </w:r>
    </w:p>
    <w:p w14:paraId="35049E66">
      <w:pPr>
        <w:pStyle w:val="181"/>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投标人应按照相关法规规定如实做出说明。</w:t>
      </w:r>
    </w:p>
    <w:p w14:paraId="41651DC9">
      <w:pPr>
        <w:pStyle w:val="181"/>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．按照招标文件的规定加盖企业电子签章（自然人投标的无需盖章，需要签字）。</w:t>
      </w:r>
    </w:p>
    <w:p w14:paraId="17E13B33">
      <w:pPr>
        <w:pStyle w:val="181"/>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如果是联合体投标，联合体各方均需提供上述证明。</w:t>
      </w:r>
    </w:p>
    <w:p w14:paraId="1E5FAB23">
      <w:pPr>
        <w:pStyle w:val="3"/>
        <w:jc w:val="center"/>
        <w:rPr>
          <w:rFonts w:ascii="Times New Roman" w:hAnsi="Times New Roman" w:eastAsia="方正小标宋_GBK"/>
          <w:b w:val="0"/>
          <w:color w:val="auto"/>
          <w:sz w:val="30"/>
          <w:szCs w:val="30"/>
          <w:lang w:val="en-US" w:eastAsia="zh-CN"/>
        </w:rPr>
      </w:pPr>
      <w:bookmarkStart w:id="339" w:name="_Toc1888555944"/>
      <w:bookmarkStart w:id="340" w:name="_Toc1929226479"/>
      <w:bookmarkStart w:id="341" w:name="_Toc1562600580"/>
      <w:bookmarkStart w:id="342" w:name="_Toc1306770718"/>
      <w:bookmarkStart w:id="343" w:name="_Toc237482121"/>
      <w:bookmarkStart w:id="344" w:name="_Toc1179847034"/>
      <w:bookmarkStart w:id="345" w:name="_Toc1445600282"/>
      <w:bookmarkStart w:id="346" w:name="_Toc807820015"/>
      <w:bookmarkStart w:id="347" w:name="_Toc1889987960"/>
      <w:bookmarkStart w:id="348" w:name="_Toc12832414"/>
      <w:r>
        <w:rPr>
          <w:rFonts w:ascii="Times New Roman" w:hAnsi="Times New Roman" w:eastAsia="方正小标宋_GBK"/>
          <w:b w:val="0"/>
          <w:color w:val="auto"/>
          <w:sz w:val="30"/>
          <w:szCs w:val="30"/>
          <w:lang w:val="en-US" w:eastAsia="zh-CN"/>
        </w:rPr>
        <w:t>六、</w:t>
      </w:r>
      <w:r>
        <w:rPr>
          <w:rFonts w:ascii="Times New Roman" w:hAnsi="Times New Roman" w:eastAsia="方正小标宋_GBK"/>
          <w:b w:val="0"/>
          <w:color w:val="auto"/>
          <w:sz w:val="30"/>
          <w:szCs w:val="30"/>
          <w:lang w:eastAsia="zh-CN"/>
        </w:rPr>
        <w:t>投标人关联单位的说明</w:t>
      </w:r>
      <w:bookmarkEnd w:id="339"/>
      <w:bookmarkEnd w:id="340"/>
      <w:bookmarkEnd w:id="341"/>
      <w:bookmarkEnd w:id="342"/>
      <w:bookmarkEnd w:id="343"/>
      <w:bookmarkEnd w:id="344"/>
      <w:bookmarkEnd w:id="345"/>
      <w:bookmarkEnd w:id="346"/>
      <w:bookmarkEnd w:id="347"/>
    </w:p>
    <w:p w14:paraId="7066CDA5">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6D6FC389">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p>
    <w:p w14:paraId="2123FEA8">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14:paraId="11C9CCB0">
      <w:pPr>
        <w:pStyle w:val="16"/>
        <w:rPr>
          <w:rFonts w:ascii="Times New Roman" w:hAnsi="Times New Roman"/>
          <w:lang w:eastAsia="zh-CN"/>
        </w:rPr>
      </w:pPr>
    </w:p>
    <w:p w14:paraId="0F28DA03">
      <w:pPr>
        <w:rPr>
          <w:rFonts w:hint="default" w:ascii="Times New Roman" w:hAnsi="Times New Roman" w:cs="Times New Roman"/>
          <w:color w:val="auto"/>
          <w:lang w:eastAsia="zh-CN"/>
        </w:rPr>
      </w:pPr>
    </w:p>
    <w:p w14:paraId="6A723795">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14:paraId="2D73D370">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379DA637">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5B9F19E1">
      <w:pPr>
        <w:pStyle w:val="16"/>
        <w:rPr>
          <w:rFonts w:ascii="Times New Roman" w:hAnsi="Times New Roman"/>
          <w:lang w:eastAsia="zh-CN"/>
        </w:rPr>
      </w:pPr>
    </w:p>
    <w:p w14:paraId="53B0A904">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CF1B42D">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01FDDEAB">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49906F8B">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37C8A828">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40EB8EF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cs="Times New Roman"/>
          <w:color w:val="auto"/>
          <w:lang w:eastAsia="zh-CN"/>
        </w:rPr>
        <w:br w:type="page"/>
      </w:r>
      <w:r>
        <w:rPr>
          <w:rFonts w:ascii="Times New Roman" w:hAnsi="Times New Roman" w:eastAsia="方正小标宋_GBK"/>
          <w:color w:val="auto"/>
          <w:sz w:val="30"/>
          <w:szCs w:val="30"/>
          <w:lang w:val="en-US" w:eastAsia="zh-CN"/>
        </w:rPr>
        <w:t>七、</w:t>
      </w:r>
      <w:r>
        <w:rPr>
          <w:rFonts w:hint="default" w:ascii="Times New Roman" w:hAnsi="Times New Roman" w:eastAsia="方正小标宋_GBK" w:cs="Times New Roman"/>
          <w:bCs/>
          <w:color w:val="auto"/>
          <w:kern w:val="0"/>
          <w:sz w:val="30"/>
          <w:szCs w:val="30"/>
          <w:lang w:val="en-US" w:eastAsia="zh-CN"/>
        </w:rPr>
        <w:t>其他资格证明文件</w:t>
      </w:r>
      <w:bookmarkEnd w:id="329"/>
      <w:bookmarkEnd w:id="330"/>
      <w:bookmarkEnd w:id="331"/>
      <w:bookmarkEnd w:id="332"/>
      <w:bookmarkEnd w:id="333"/>
      <w:bookmarkEnd w:id="334"/>
      <w:bookmarkEnd w:id="335"/>
      <w:bookmarkEnd w:id="336"/>
      <w:bookmarkEnd w:id="337"/>
      <w:bookmarkEnd w:id="338"/>
      <w:bookmarkEnd w:id="348"/>
    </w:p>
    <w:p w14:paraId="3C2DDDD4">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07088B6">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D27202B">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81776BE">
      <w:pPr>
        <w:pStyle w:val="181"/>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720759BF">
      <w:pPr>
        <w:pStyle w:val="181"/>
        <w:tabs>
          <w:tab w:val="left" w:pos="5580"/>
        </w:tabs>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1.应提供要求的其他资格证明文件。</w:t>
      </w:r>
    </w:p>
    <w:p w14:paraId="00E2AA6A">
      <w:pPr>
        <w:pStyle w:val="181"/>
        <w:tabs>
          <w:tab w:val="left" w:pos="5580"/>
        </w:tabs>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2.原件或复印件扫描件上应加盖企业电子签章（自然人投标的无需盖章，需要签字）。</w:t>
      </w:r>
    </w:p>
    <w:p w14:paraId="5F2C32B3">
      <w:pPr>
        <w:pStyle w:val="181"/>
        <w:tabs>
          <w:tab w:val="left" w:pos="5580"/>
        </w:tabs>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14:paraId="55DAC932">
      <w:pPr>
        <w:pStyle w:val="2"/>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349" w:name="_Toc1264393349_WPSOffice_Level2"/>
      <w:bookmarkStart w:id="350" w:name="_Toc1093923690_WPSOffice_Level2"/>
      <w:bookmarkStart w:id="351" w:name="_Toc973283021"/>
      <w:bookmarkStart w:id="352" w:name="_Toc1580344845_WPSOffice_Level2"/>
      <w:bookmarkStart w:id="353" w:name="_Toc744081619"/>
      <w:bookmarkStart w:id="354" w:name="_Toc1368632420_WPSOffice_Level2"/>
      <w:bookmarkStart w:id="355" w:name="_Toc6422905"/>
      <w:bookmarkStart w:id="356" w:name="_Toc136706314"/>
      <w:bookmarkStart w:id="357" w:name="_Toc897589225"/>
      <w:bookmarkStart w:id="358" w:name="_Toc1378165390"/>
      <w:bookmarkStart w:id="359" w:name="_Toc1398644272"/>
      <w:bookmarkStart w:id="360" w:name="_Toc37981781"/>
      <w:bookmarkStart w:id="361" w:name="_Toc1154266934_WPSOffice_Level1"/>
      <w:bookmarkStart w:id="362" w:name="_Toc1017563642"/>
      <w:bookmarkStart w:id="363" w:name="_Toc1311641928"/>
      <w:bookmarkStart w:id="364" w:name="_Toc1731438942"/>
      <w:r>
        <w:rPr>
          <w:rFonts w:ascii="Times New Roman" w:hAnsi="Times New Roman" w:eastAsia="宋体"/>
          <w:color w:val="auto"/>
          <w:sz w:val="36"/>
          <w:szCs w:val="36"/>
          <w:lang w:eastAsia="zh-CN"/>
        </w:rPr>
        <w:t>第五章 投标文件</w:t>
      </w:r>
      <w:bookmarkEnd w:id="349"/>
      <w:bookmarkEnd w:id="350"/>
      <w:bookmarkEnd w:id="351"/>
      <w:bookmarkEnd w:id="352"/>
      <w:bookmarkEnd w:id="353"/>
      <w:bookmarkEnd w:id="354"/>
      <w:bookmarkEnd w:id="355"/>
      <w:bookmarkEnd w:id="356"/>
      <w:bookmarkEnd w:id="357"/>
      <w:r>
        <w:rPr>
          <w:rFonts w:ascii="Times New Roman" w:hAnsi="Times New Roman" w:eastAsia="宋体"/>
          <w:color w:val="auto"/>
          <w:sz w:val="36"/>
          <w:szCs w:val="36"/>
          <w:lang w:eastAsia="zh-CN"/>
        </w:rPr>
        <w:t>格式</w:t>
      </w:r>
      <w:bookmarkEnd w:id="358"/>
      <w:bookmarkEnd w:id="359"/>
      <w:bookmarkEnd w:id="360"/>
      <w:bookmarkEnd w:id="361"/>
      <w:bookmarkEnd w:id="362"/>
      <w:bookmarkEnd w:id="363"/>
      <w:bookmarkEnd w:id="364"/>
    </w:p>
    <w:p w14:paraId="5C4997F5">
      <w:pPr>
        <w:spacing w:line="360" w:lineRule="auto"/>
        <w:ind w:left="1080" w:hanging="540"/>
        <w:jc w:val="center"/>
        <w:rPr>
          <w:rFonts w:hint="default" w:ascii="Times New Roman" w:hAnsi="Times New Roman" w:eastAsia="宋体" w:cs="Times New Roman"/>
          <w:color w:val="auto"/>
          <w:sz w:val="24"/>
          <w:szCs w:val="24"/>
          <w:lang w:val="en-US" w:eastAsia="zh-CN"/>
        </w:rPr>
      </w:pPr>
    </w:p>
    <w:p w14:paraId="4814040F">
      <w:pPr>
        <w:tabs>
          <w:tab w:val="left" w:pos="1950"/>
        </w:tabs>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pacing w:val="20"/>
          <w:sz w:val="56"/>
          <w:szCs w:val="56"/>
          <w:lang w:val="en-US" w:eastAsia="zh-CN"/>
        </w:rPr>
        <w:t xml:space="preserve"> </w:t>
      </w:r>
      <w:r>
        <w:rPr>
          <w:rFonts w:ascii="Times New Roman" w:hAnsi="Times New Roman" w:eastAsia="宋体" w:cs="Times New Roman"/>
          <w:b/>
          <w:bCs/>
          <w:color w:val="auto"/>
          <w:spacing w:val="20"/>
          <w:sz w:val="56"/>
          <w:szCs w:val="56"/>
          <w:lang w:val="en" w:eastAsia="zh-CN"/>
        </w:rPr>
        <w:t>郑州信息科技职业学院东校区加装电梯-电梯采购及安装项目</w:t>
      </w:r>
      <w:r>
        <w:rPr>
          <w:rFonts w:ascii="Times New Roman" w:hAnsi="Times New Roman" w:eastAsia="宋体" w:cs="Times New Roman"/>
          <w:b/>
          <w:bCs/>
          <w:color w:val="auto"/>
          <w:spacing w:val="20"/>
          <w:sz w:val="56"/>
          <w:szCs w:val="56"/>
          <w:lang w:val="en" w:eastAsia="zh-CN"/>
        </w:rPr>
        <w:tab/>
      </w:r>
      <w:r>
        <w:rPr>
          <w:rFonts w:hint="default" w:ascii="Times New Roman" w:hAnsi="Times New Roman" w:eastAsia="宋体" w:cs="Times New Roman"/>
          <w:b/>
          <w:bCs/>
          <w:color w:val="auto"/>
          <w:spacing w:val="20"/>
          <w:sz w:val="56"/>
          <w:szCs w:val="56"/>
          <w:lang w:val="en-US" w:eastAsia="zh-CN"/>
        </w:rPr>
        <w:t xml:space="preserve"> </w:t>
      </w:r>
    </w:p>
    <w:p w14:paraId="2F9287D4">
      <w:pPr>
        <w:tabs>
          <w:tab w:val="left" w:pos="1950"/>
        </w:tabs>
        <w:jc w:val="left"/>
        <w:rPr>
          <w:rFonts w:hint="default" w:ascii="Times New Roman" w:hAnsi="Times New Roman" w:eastAsia="宋体" w:cs="Times New Roman"/>
          <w:b/>
          <w:bCs/>
          <w:color w:val="auto"/>
          <w:lang w:val="en-US" w:eastAsia="zh-CN"/>
        </w:rPr>
      </w:pPr>
    </w:p>
    <w:p w14:paraId="42CB20FA">
      <w:pPr>
        <w:tabs>
          <w:tab w:val="left" w:pos="1950"/>
        </w:tabs>
        <w:jc w:val="left"/>
        <w:rPr>
          <w:rFonts w:hint="default" w:ascii="Times New Roman" w:hAnsi="Times New Roman" w:eastAsia="宋体" w:cs="Times New Roman"/>
          <w:b/>
          <w:bCs/>
          <w:color w:val="auto"/>
          <w:lang w:val="en-US" w:eastAsia="zh-CN"/>
        </w:rPr>
      </w:pPr>
    </w:p>
    <w:p w14:paraId="40144A4F">
      <w:pPr>
        <w:tabs>
          <w:tab w:val="left" w:pos="1950"/>
        </w:tabs>
        <w:jc w:val="left"/>
        <w:rPr>
          <w:rFonts w:hint="default" w:ascii="Times New Roman" w:hAnsi="Times New Roman" w:eastAsia="宋体" w:cs="Times New Roman"/>
          <w:b/>
          <w:bCs/>
          <w:color w:val="auto"/>
          <w:lang w:val="en-US" w:eastAsia="zh-CN"/>
        </w:rPr>
      </w:pPr>
    </w:p>
    <w:p w14:paraId="1EDC71AD">
      <w:pPr>
        <w:tabs>
          <w:tab w:val="left" w:pos="1950"/>
        </w:tabs>
        <w:jc w:val="left"/>
        <w:rPr>
          <w:rFonts w:hint="default" w:ascii="Times New Roman" w:hAnsi="Times New Roman" w:eastAsia="宋体" w:cs="Times New Roman"/>
          <w:b/>
          <w:bCs/>
          <w:color w:val="auto"/>
          <w:lang w:val="en-US" w:eastAsia="zh-CN"/>
        </w:rPr>
      </w:pPr>
    </w:p>
    <w:p w14:paraId="2CBF5E79">
      <w:pPr>
        <w:tabs>
          <w:tab w:val="left" w:pos="1950"/>
        </w:tabs>
        <w:jc w:val="left"/>
        <w:rPr>
          <w:rFonts w:hint="default" w:ascii="Times New Roman" w:hAnsi="Times New Roman" w:eastAsia="宋体" w:cs="Times New Roman"/>
          <w:b/>
          <w:bCs/>
          <w:color w:val="auto"/>
          <w:lang w:val="en-US" w:eastAsia="zh-CN"/>
        </w:rPr>
      </w:pPr>
    </w:p>
    <w:p w14:paraId="27F8A5E5">
      <w:pPr>
        <w:tabs>
          <w:tab w:val="left" w:pos="1950"/>
        </w:tabs>
        <w:jc w:val="left"/>
        <w:rPr>
          <w:rFonts w:hint="default" w:ascii="Times New Roman" w:hAnsi="Times New Roman" w:eastAsia="宋体" w:cs="Times New Roman"/>
          <w:b/>
          <w:bCs/>
          <w:color w:val="auto"/>
          <w:lang w:val="en-US" w:eastAsia="zh-CN"/>
        </w:rPr>
      </w:pPr>
    </w:p>
    <w:p w14:paraId="77760AA0">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14:paraId="5C2F2D98">
      <w:pPr>
        <w:widowControl w:val="0"/>
        <w:tabs>
          <w:tab w:val="left" w:pos="1950"/>
        </w:tabs>
        <w:jc w:val="center"/>
        <w:rPr>
          <w:rFonts w:hint="default" w:ascii="Times New Roman" w:hAnsi="Times New Roman" w:eastAsia="宋体" w:cs="Times New Roman"/>
          <w:b/>
          <w:color w:val="auto"/>
          <w:sz w:val="36"/>
          <w:szCs w:val="36"/>
          <w:lang w:eastAsia="zh-CN"/>
        </w:rPr>
      </w:pPr>
    </w:p>
    <w:p w14:paraId="25A7A64F">
      <w:pPr>
        <w:widowControl w:val="0"/>
        <w:spacing w:line="360" w:lineRule="auto"/>
        <w:jc w:val="center"/>
        <w:rPr>
          <w:rFonts w:hint="default" w:ascii="Times New Roman" w:hAnsi="Times New Roman" w:eastAsia="宋体" w:cs="Times New Roman"/>
          <w:b/>
          <w:color w:val="auto"/>
          <w:sz w:val="28"/>
          <w:szCs w:val="24"/>
          <w:lang w:val="en" w:eastAsia="zh-CN"/>
        </w:rPr>
      </w:pPr>
      <w:r>
        <w:rPr>
          <w:rFonts w:ascii="Times New Roman" w:hAnsi="Times New Roman" w:eastAsia="宋体" w:cs="Times New Roman"/>
          <w:b/>
          <w:color w:val="auto"/>
          <w:sz w:val="36"/>
          <w:szCs w:val="36"/>
          <w:lang w:eastAsia="zh-CN"/>
        </w:rPr>
        <w:t>采购编号：豫财招标采购-2025-1164</w:t>
      </w:r>
    </w:p>
    <w:p w14:paraId="195AD6CB">
      <w:pPr>
        <w:widowControl w:val="0"/>
        <w:spacing w:line="360" w:lineRule="auto"/>
        <w:rPr>
          <w:rFonts w:hint="default" w:ascii="Times New Roman" w:hAnsi="Times New Roman" w:eastAsia="宋体" w:cs="Times New Roman"/>
          <w:b/>
          <w:color w:val="auto"/>
          <w:sz w:val="36"/>
          <w:szCs w:val="36"/>
          <w:lang w:val="en-US" w:eastAsia="zh-CN"/>
        </w:rPr>
      </w:pPr>
      <w:r>
        <w:rPr>
          <w:rFonts w:ascii="Times New Roman" w:hAnsi="Times New Roman" w:eastAsia="宋体" w:cs="Times New Roman"/>
          <w:b/>
          <w:color w:val="auto"/>
          <w:sz w:val="36"/>
          <w:szCs w:val="36"/>
          <w:lang w:val="en-US" w:eastAsia="zh-CN"/>
        </w:rPr>
        <w:t xml:space="preserve">     </w:t>
      </w:r>
    </w:p>
    <w:p w14:paraId="1276A7AC">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1ED631A1">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55E8B9FE">
      <w:pPr>
        <w:pStyle w:val="189"/>
        <w:ind w:firstLine="0"/>
        <w:rPr>
          <w:rFonts w:hint="default" w:ascii="Times New Roman" w:hAnsi="Times New Roman" w:eastAsia="宋体" w:cs="Times New Roman"/>
          <w:color w:val="auto"/>
          <w:lang w:eastAsia="zh-CN"/>
        </w:rPr>
      </w:pPr>
    </w:p>
    <w:p w14:paraId="28C7B751">
      <w:pPr>
        <w:pStyle w:val="181"/>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br w:type="page"/>
      </w:r>
    </w:p>
    <w:p w14:paraId="471F16ED">
      <w:pPr>
        <w:pStyle w:val="181"/>
        <w:spacing w:line="360" w:lineRule="auto"/>
        <w:jc w:val="center"/>
        <w:rPr>
          <w:rFonts w:ascii="Times New Roman" w:hAnsi="Times New Roman" w:eastAsia="仿宋_GB2312" w:cs="Times New Roman"/>
          <w:b/>
          <w:bCs/>
          <w:color w:val="auto"/>
          <w:sz w:val="32"/>
          <w:szCs w:val="32"/>
          <w:lang w:val="en"/>
        </w:rPr>
      </w:pPr>
      <w:r>
        <w:rPr>
          <w:rFonts w:ascii="Times New Roman" w:hAnsi="Times New Roman" w:eastAsia="仿宋_GB2312" w:cs="Times New Roman"/>
          <w:b/>
          <w:bCs/>
          <w:color w:val="auto"/>
          <w:sz w:val="32"/>
          <w:szCs w:val="32"/>
          <w:lang w:val="en"/>
        </w:rPr>
        <w:t>目  录</w:t>
      </w:r>
    </w:p>
    <w:p w14:paraId="3778D431">
      <w:pPr>
        <w:pStyle w:val="181"/>
        <w:spacing w:line="360" w:lineRule="auto"/>
        <w:rPr>
          <w:rFonts w:ascii="Times New Roman" w:hAnsi="Times New Roman" w:eastAsia="仿宋_GB2312" w:cs="Times New Roman"/>
          <w:color w:val="auto"/>
          <w:sz w:val="28"/>
          <w:szCs w:val="28"/>
          <w:lang w:val="zh-TW"/>
        </w:rPr>
      </w:pPr>
    </w:p>
    <w:p w14:paraId="09470C8A">
      <w:pPr>
        <w:pStyle w:val="181"/>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一、投标函</w:t>
      </w:r>
    </w:p>
    <w:p w14:paraId="1B100611">
      <w:pPr>
        <w:pStyle w:val="181"/>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二、法定代表人身份证明书</w:t>
      </w:r>
    </w:p>
    <w:p w14:paraId="01087544">
      <w:pPr>
        <w:pStyle w:val="181"/>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三、投标报价表格</w:t>
      </w:r>
    </w:p>
    <w:p w14:paraId="6A9E7688">
      <w:pPr>
        <w:pStyle w:val="181"/>
        <w:spacing w:line="360"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zh-TW"/>
        </w:rPr>
        <w:t>四</w:t>
      </w:r>
      <w:r>
        <w:rPr>
          <w:rFonts w:ascii="Times New Roman" w:hAnsi="Times New Roman" w:eastAsia="仿宋_GB2312" w:cs="Times New Roman"/>
          <w:color w:val="auto"/>
          <w:sz w:val="28"/>
          <w:szCs w:val="28"/>
          <w:lang w:val="zh-TW"/>
        </w:rPr>
        <w:t>、</w:t>
      </w:r>
      <w:r>
        <w:rPr>
          <w:rFonts w:hint="eastAsia" w:ascii="Times New Roman" w:hAnsi="Times New Roman" w:eastAsia="仿宋_GB2312" w:cs="Times New Roman"/>
          <w:color w:val="auto"/>
          <w:sz w:val="28"/>
          <w:szCs w:val="28"/>
        </w:rPr>
        <w:t>企业声明函</w:t>
      </w:r>
    </w:p>
    <w:p w14:paraId="1456E5A4">
      <w:pPr>
        <w:pStyle w:val="181"/>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五</w:t>
      </w:r>
      <w:r>
        <w:rPr>
          <w:rFonts w:ascii="Times New Roman" w:hAnsi="Times New Roman" w:eastAsia="仿宋_GB2312" w:cs="Times New Roman"/>
          <w:color w:val="auto"/>
          <w:sz w:val="28"/>
          <w:szCs w:val="28"/>
          <w:lang w:val="zh-TW"/>
        </w:rPr>
        <w:t>、商务条款偏离表</w:t>
      </w:r>
    </w:p>
    <w:p w14:paraId="3BB98C46">
      <w:pPr>
        <w:pStyle w:val="181"/>
        <w:spacing w:line="360" w:lineRule="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zh-TW"/>
        </w:rPr>
        <w:t>六</w:t>
      </w:r>
      <w:r>
        <w:rPr>
          <w:rFonts w:ascii="Times New Roman" w:hAnsi="Times New Roman" w:eastAsia="仿宋_GB2312" w:cs="Times New Roman"/>
          <w:color w:val="auto"/>
          <w:sz w:val="28"/>
          <w:szCs w:val="28"/>
          <w:lang w:val="zh-TW"/>
        </w:rPr>
        <w:t>、技术规格偏离表</w:t>
      </w:r>
    </w:p>
    <w:p w14:paraId="48FBF985">
      <w:pPr>
        <w:pStyle w:val="181"/>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en"/>
        </w:rPr>
        <w:t>七</w:t>
      </w:r>
      <w:r>
        <w:rPr>
          <w:rFonts w:ascii="Times New Roman" w:hAnsi="Times New Roman" w:eastAsia="仿宋_GB2312" w:cs="Times New Roman"/>
          <w:color w:val="auto"/>
          <w:sz w:val="28"/>
          <w:szCs w:val="28"/>
          <w:lang w:val="zh-TW"/>
        </w:rPr>
        <w:t>、综合证明文件</w:t>
      </w:r>
    </w:p>
    <w:p w14:paraId="16C7D02C">
      <w:pPr>
        <w:pStyle w:val="181"/>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en"/>
        </w:rPr>
        <w:t>八</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lang w:val="zh-TW"/>
        </w:rPr>
        <w:t>其他文件</w:t>
      </w:r>
    </w:p>
    <w:p w14:paraId="65A68468">
      <w:pPr>
        <w:pStyle w:val="181"/>
        <w:spacing w:line="360" w:lineRule="auto"/>
        <w:rPr>
          <w:rFonts w:ascii="Times New Roman" w:hAnsi="Times New Roman" w:eastAsia="仿宋_GB2312" w:cs="Times New Roman"/>
          <w:color w:val="auto"/>
          <w:sz w:val="28"/>
          <w:szCs w:val="28"/>
          <w:lang w:val="zh-TW"/>
        </w:rPr>
      </w:pPr>
    </w:p>
    <w:p w14:paraId="017AD061">
      <w:pPr>
        <w:pStyle w:val="181"/>
        <w:spacing w:line="360" w:lineRule="auto"/>
        <w:rPr>
          <w:rFonts w:ascii="Times New Roman" w:hAnsi="Times New Roman" w:eastAsia="仿宋_GB2312" w:cs="Times New Roman"/>
          <w:color w:val="auto"/>
          <w:sz w:val="28"/>
          <w:szCs w:val="28"/>
          <w:lang w:val="zh-TW"/>
        </w:rPr>
      </w:pPr>
    </w:p>
    <w:p w14:paraId="169A3144">
      <w:pPr>
        <w:pStyle w:val="3"/>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color w:val="auto"/>
          <w:lang w:eastAsia="zh-CN"/>
        </w:rPr>
        <w:br w:type="page"/>
      </w:r>
      <w:bookmarkStart w:id="365" w:name="_Toc296336852"/>
      <w:bookmarkStart w:id="366" w:name="_Toc520566279"/>
      <w:bookmarkStart w:id="367" w:name="_Toc653176911"/>
      <w:bookmarkStart w:id="368" w:name="_Toc1166680205"/>
      <w:bookmarkStart w:id="369" w:name="_Toc1004533822"/>
      <w:bookmarkStart w:id="370" w:name="_Toc1032668283"/>
      <w:bookmarkStart w:id="371" w:name="_Toc1383476989"/>
      <w:bookmarkStart w:id="372" w:name="_Toc343930138"/>
      <w:bookmarkStart w:id="373" w:name="_Toc796765497"/>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365"/>
      <w:bookmarkEnd w:id="366"/>
      <w:bookmarkEnd w:id="367"/>
      <w:bookmarkEnd w:id="368"/>
      <w:bookmarkEnd w:id="369"/>
      <w:bookmarkEnd w:id="370"/>
      <w:bookmarkEnd w:id="371"/>
      <w:bookmarkEnd w:id="372"/>
      <w:bookmarkEnd w:id="373"/>
    </w:p>
    <w:p w14:paraId="1BCDD4A4">
      <w:pPr>
        <w:spacing w:line="360" w:lineRule="auto"/>
        <w:ind w:firstLine="480"/>
        <w:rPr>
          <w:rFonts w:hint="default" w:ascii="Times New Roman" w:hAnsi="Times New Roman" w:eastAsia="仿宋_GB2312" w:cs="Times New Roman"/>
          <w:color w:val="auto"/>
          <w:sz w:val="28"/>
          <w:szCs w:val="28"/>
          <w:lang w:eastAsia="zh-CN"/>
        </w:rPr>
      </w:pPr>
    </w:p>
    <w:p w14:paraId="69130E9E">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 w:eastAsia="zh-CN"/>
        </w:rPr>
        <w:t>郑州信息科技职业学院</w:t>
      </w:r>
      <w:r>
        <w:rPr>
          <w:rFonts w:hint="default" w:ascii="Times New Roman" w:hAnsi="Times New Roman" w:eastAsia="仿宋_GB2312" w:cs="Times New Roman"/>
          <w:color w:val="auto"/>
          <w:sz w:val="28"/>
          <w:szCs w:val="28"/>
          <w:u w:val="single"/>
          <w:lang w:eastAsia="zh-CN"/>
        </w:rPr>
        <w:t xml:space="preserve"> </w:t>
      </w:r>
    </w:p>
    <w:p w14:paraId="0872767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ascii="Times New Roman" w:hAnsi="Times New Roman" w:eastAsia="仿宋_GB2312" w:cs="Times New Roman"/>
          <w:color w:val="auto"/>
          <w:sz w:val="28"/>
          <w:szCs w:val="28"/>
          <w:u w:val="single"/>
          <w:lang w:eastAsia="zh-CN"/>
        </w:rPr>
        <w:t>豫财招标采购-2025-1164</w:t>
      </w:r>
      <w:r>
        <w:rPr>
          <w:rFonts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 w:eastAsia="zh-CN"/>
        </w:rPr>
        <w:t>郑州信息科技职业学院东校区加装电梯-电梯采购及安装项目</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70165D7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14:paraId="328C995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358C377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7D449FC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我们愿提供招标文件中要求的所有文件资料。</w:t>
      </w:r>
    </w:p>
    <w:p w14:paraId="75AE821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44A27AB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5F59A18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2A82D9E8">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16B7B32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C62D77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14:paraId="403F3EB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2D87480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22FA96A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301669A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0E69B96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4FA4827B">
      <w:pPr>
        <w:spacing w:line="360" w:lineRule="auto"/>
        <w:ind w:firstLine="560"/>
        <w:rPr>
          <w:rFonts w:hint="default" w:ascii="Times New Roman" w:hAnsi="Times New Roman" w:eastAsia="仿宋_GB2312" w:cs="Times New Roman"/>
          <w:color w:val="auto"/>
          <w:sz w:val="28"/>
          <w:szCs w:val="28"/>
          <w:lang w:eastAsia="zh-CN"/>
        </w:rPr>
      </w:pPr>
    </w:p>
    <w:p w14:paraId="1AAB2E5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4C8FB00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0F6B10DA">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72BA5F9D">
      <w:pPr>
        <w:spacing w:line="360" w:lineRule="auto"/>
        <w:ind w:firstLine="465"/>
        <w:rPr>
          <w:rFonts w:hint="default" w:ascii="Times New Roman" w:hAnsi="Times New Roman" w:eastAsia="仿宋_GB2312" w:cs="Times New Roman"/>
          <w:color w:val="auto"/>
          <w:sz w:val="28"/>
          <w:szCs w:val="28"/>
          <w:lang w:eastAsia="zh-CN"/>
        </w:rPr>
      </w:pPr>
    </w:p>
    <w:p w14:paraId="3DB8ADEA">
      <w:pPr>
        <w:spacing w:line="360" w:lineRule="auto"/>
        <w:ind w:firstLine="465"/>
        <w:rPr>
          <w:rFonts w:hint="default" w:ascii="Times New Roman" w:hAnsi="Times New Roman" w:eastAsia="仿宋_GB2312" w:cs="Times New Roman"/>
          <w:color w:val="auto"/>
          <w:sz w:val="28"/>
          <w:szCs w:val="28"/>
          <w:lang w:eastAsia="zh-CN"/>
        </w:rPr>
      </w:pPr>
    </w:p>
    <w:p w14:paraId="3A7C059D">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1E1AA3E6">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346BE9AB">
      <w:pPr>
        <w:pStyle w:val="16"/>
        <w:rPr>
          <w:rFonts w:ascii="Times New Roman" w:hAnsi="Times New Roman" w:eastAsia="仿宋_GB2312"/>
          <w:sz w:val="28"/>
          <w:szCs w:val="28"/>
          <w:lang w:eastAsia="zh-CN"/>
        </w:rPr>
      </w:pPr>
    </w:p>
    <w:p w14:paraId="47BD8BF5">
      <w:pPr>
        <w:rPr>
          <w:rFonts w:hint="default" w:ascii="Times New Roman" w:hAnsi="Times New Roman" w:cs="Times New Roman"/>
          <w:color w:val="auto"/>
          <w:lang w:eastAsia="zh-CN"/>
        </w:rPr>
      </w:pPr>
    </w:p>
    <w:p w14:paraId="5C4DFC6F">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22236AB7">
      <w:pPr>
        <w:pStyle w:val="3"/>
        <w:spacing w:before="0" w:after="0" w:line="360" w:lineRule="auto"/>
        <w:jc w:val="center"/>
        <w:rPr>
          <w:rFonts w:ascii="Times New Roman" w:hAnsi="Times New Roman" w:eastAsia="方正小标宋_GBK"/>
          <w:b w:val="0"/>
          <w:color w:val="auto"/>
          <w:sz w:val="30"/>
          <w:szCs w:val="30"/>
          <w:lang w:val="en-US" w:eastAsia="zh-CN"/>
        </w:rPr>
      </w:pPr>
      <w:bookmarkStart w:id="374" w:name="_Toc2582321"/>
      <w:bookmarkStart w:id="375" w:name="_Toc74240237"/>
      <w:bookmarkStart w:id="376" w:name="_Toc1881"/>
      <w:bookmarkStart w:id="377" w:name="_Toc20897"/>
      <w:bookmarkStart w:id="378" w:name="_Toc515647818"/>
      <w:bookmarkStart w:id="379" w:name="_Toc532473507"/>
      <w:r>
        <w:rPr>
          <w:rFonts w:ascii="Times New Roman" w:hAnsi="Times New Roman" w:eastAsia="黑体"/>
          <w:color w:val="auto"/>
          <w:sz w:val="28"/>
          <w:szCs w:val="28"/>
          <w:highlight w:val="green"/>
          <w:lang w:val="en-US" w:eastAsia="zh-CN"/>
        </w:rPr>
        <w:br w:type="page"/>
      </w:r>
      <w:bookmarkStart w:id="380" w:name="_Toc942115178"/>
      <w:bookmarkStart w:id="381" w:name="_Toc228367634"/>
      <w:bookmarkStart w:id="382" w:name="_Toc1552610899"/>
      <w:bookmarkStart w:id="383" w:name="_Toc2113425695"/>
      <w:bookmarkStart w:id="384" w:name="_Toc1472753336"/>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380"/>
      <w:bookmarkEnd w:id="381"/>
      <w:bookmarkEnd w:id="382"/>
      <w:bookmarkEnd w:id="383"/>
      <w:bookmarkEnd w:id="384"/>
    </w:p>
    <w:p w14:paraId="54390617">
      <w:pPr>
        <w:spacing w:line="360" w:lineRule="auto"/>
        <w:rPr>
          <w:rFonts w:hint="default" w:ascii="Times New Roman" w:hAnsi="Times New Roman" w:eastAsia="宋体" w:cs="Times New Roman"/>
          <w:color w:val="auto"/>
          <w:sz w:val="28"/>
          <w:szCs w:val="28"/>
          <w:lang w:val="en-US" w:eastAsia="zh-CN"/>
        </w:rPr>
      </w:pPr>
    </w:p>
    <w:p w14:paraId="37BB2B0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eastAsia="zh-CN"/>
        </w:rPr>
        <w:t xml:space="preserve"> </w:t>
      </w:r>
      <w:r>
        <w:rPr>
          <w:rFonts w:ascii="Times New Roman" w:hAnsi="Times New Roman" w:eastAsia="仿宋_GB2312" w:cs="Times New Roman"/>
          <w:color w:val="auto"/>
          <w:sz w:val="28"/>
          <w:szCs w:val="28"/>
          <w:u w:val="single"/>
          <w:lang w:val="en" w:eastAsia="zh-CN"/>
        </w:rPr>
        <w:t>郑州信息科技职业学院</w:t>
      </w:r>
    </w:p>
    <w:p w14:paraId="1B47D26C">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0FB5150B">
      <w:pPr>
        <w:spacing w:line="360" w:lineRule="auto"/>
        <w:ind w:firstLine="480"/>
        <w:rPr>
          <w:rFonts w:hint="default" w:ascii="Times New Roman" w:hAnsi="Times New Roman" w:eastAsia="仿宋_GB2312" w:cs="Times New Roman"/>
          <w:color w:val="auto"/>
          <w:sz w:val="28"/>
          <w:szCs w:val="28"/>
          <w:lang w:val="en-US" w:eastAsia="zh-CN"/>
        </w:rPr>
      </w:pPr>
    </w:p>
    <w:p w14:paraId="6F12B7F9">
      <w:pPr>
        <w:spacing w:line="360" w:lineRule="auto"/>
        <w:ind w:firstLine="480"/>
        <w:rPr>
          <w:rFonts w:hint="default" w:ascii="Times New Roman" w:hAnsi="Times New Roman" w:eastAsia="仿宋_GB2312" w:cs="Times New Roman"/>
          <w:color w:val="auto"/>
          <w:sz w:val="28"/>
          <w:szCs w:val="28"/>
          <w:lang w:val="en-US" w:eastAsia="zh-CN"/>
        </w:rPr>
      </w:pPr>
    </w:p>
    <w:p w14:paraId="28E5FBB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0052A7CF">
      <w:pPr>
        <w:spacing w:line="360" w:lineRule="auto"/>
        <w:ind w:firstLine="480"/>
        <w:rPr>
          <w:rFonts w:hint="default" w:ascii="Times New Roman" w:hAnsi="Times New Roman" w:eastAsia="仿宋_GB2312" w:cs="Times New Roman"/>
          <w:color w:val="auto"/>
          <w:sz w:val="28"/>
          <w:szCs w:val="28"/>
          <w:lang w:val="en-US" w:eastAsia="zh-CN"/>
        </w:rPr>
      </w:pPr>
    </w:p>
    <w:p w14:paraId="637F6A45">
      <w:pPr>
        <w:spacing w:line="360" w:lineRule="auto"/>
        <w:ind w:firstLine="480"/>
        <w:rPr>
          <w:rFonts w:hint="default" w:ascii="Times New Roman" w:hAnsi="Times New Roman" w:eastAsia="仿宋_GB2312" w:cs="Times New Roman"/>
          <w:color w:val="auto"/>
          <w:sz w:val="28"/>
          <w:szCs w:val="28"/>
          <w:lang w:val="en-US" w:eastAsia="zh-CN"/>
        </w:rPr>
      </w:pPr>
    </w:p>
    <w:p w14:paraId="412D5289">
      <w:pPr>
        <w:spacing w:line="360" w:lineRule="auto"/>
        <w:ind w:firstLine="480"/>
        <w:rPr>
          <w:rFonts w:hint="default" w:ascii="Times New Roman" w:hAnsi="Times New Roman" w:eastAsia="仿宋_GB2312" w:cs="Times New Roman"/>
          <w:color w:val="auto"/>
          <w:sz w:val="28"/>
          <w:szCs w:val="28"/>
          <w:lang w:val="en-US" w:eastAsia="zh-CN"/>
        </w:rPr>
      </w:pPr>
    </w:p>
    <w:p w14:paraId="5CC79AB0">
      <w:pPr>
        <w:pStyle w:val="181"/>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14:paraId="3D9E3A5E">
      <w:pPr>
        <w:pStyle w:val="181"/>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5E28763F">
      <w:pPr>
        <w:pStyle w:val="181"/>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2603084D">
      <w:pPr>
        <w:pStyle w:val="181"/>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5ACE1783">
      <w:pPr>
        <w:pStyle w:val="181"/>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219462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57EAA39">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F92353E">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4B8980F2">
      <w:pPr>
        <w:spacing w:line="360" w:lineRule="auto"/>
        <w:ind w:firstLine="480"/>
        <w:rPr>
          <w:rFonts w:hint="default" w:ascii="Times New Roman" w:hAnsi="Times New Roman" w:eastAsia="仿宋_GB2312" w:cs="Times New Roman"/>
          <w:color w:val="auto"/>
          <w:sz w:val="28"/>
          <w:szCs w:val="28"/>
          <w:lang w:val="en-US" w:eastAsia="zh-CN"/>
        </w:rPr>
      </w:pPr>
    </w:p>
    <w:p w14:paraId="098A117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176AD8CC">
      <w:pPr>
        <w:rPr>
          <w:rFonts w:hint="default" w:ascii="Times New Roman" w:hAnsi="Times New Roman" w:cs="Times New Roman"/>
          <w:color w:val="auto"/>
          <w:lang w:eastAsia="zh-CN"/>
        </w:rPr>
      </w:pPr>
    </w:p>
    <w:p w14:paraId="06129924">
      <w:pPr>
        <w:pStyle w:val="16"/>
        <w:rPr>
          <w:rFonts w:ascii="Times New Roman" w:hAnsi="Times New Roman"/>
          <w:lang w:eastAsia="zh-CN"/>
        </w:rPr>
      </w:pPr>
    </w:p>
    <w:p w14:paraId="0B73437C">
      <w:pPr>
        <w:pStyle w:val="40"/>
        <w:ind w:left="840" w:hanging="420"/>
        <w:rPr>
          <w:rFonts w:hint="default" w:cs="Times New Roman"/>
          <w:color w:val="auto"/>
          <w:lang w:eastAsia="zh-CN"/>
        </w:rPr>
        <w:sectPr>
          <w:headerReference r:id="rId5" w:type="default"/>
          <w:pgSz w:w="11906" w:h="16838"/>
          <w:pgMar w:top="1440" w:right="1797" w:bottom="1440" w:left="1797" w:header="851" w:footer="992" w:gutter="0"/>
          <w:cols w:space="720" w:num="1"/>
          <w:docGrid w:linePitch="312" w:charSpace="0"/>
        </w:sectPr>
      </w:pPr>
    </w:p>
    <w:p w14:paraId="51D4967B">
      <w:pPr>
        <w:pStyle w:val="3"/>
        <w:jc w:val="center"/>
        <w:rPr>
          <w:rFonts w:ascii="Times New Roman" w:hAnsi="Times New Roman" w:eastAsia="方正小标宋_GBK"/>
          <w:b w:val="0"/>
          <w:color w:val="auto"/>
          <w:sz w:val="30"/>
          <w:szCs w:val="30"/>
          <w:lang w:eastAsia="zh-CN"/>
        </w:rPr>
      </w:pPr>
      <w:bookmarkStart w:id="385" w:name="_Toc1046173163"/>
      <w:bookmarkStart w:id="386" w:name="_Toc320103337"/>
      <w:bookmarkStart w:id="387" w:name="_Toc284882205"/>
      <w:bookmarkStart w:id="388" w:name="_Toc374312795"/>
      <w:bookmarkStart w:id="389" w:name="_Toc1255393211"/>
      <w:r>
        <w:rPr>
          <w:rFonts w:hint="eastAsia" w:ascii="Times New Roman" w:hAnsi="Times New Roman" w:eastAsia="方正小标宋_GBK"/>
          <w:b w:val="0"/>
          <w:color w:val="auto"/>
          <w:sz w:val="30"/>
          <w:szCs w:val="30"/>
          <w:lang w:eastAsia="zh-CN"/>
        </w:rPr>
        <w:t>三、投标报价表格</w:t>
      </w:r>
      <w:bookmarkEnd w:id="385"/>
      <w:bookmarkEnd w:id="386"/>
      <w:bookmarkEnd w:id="387"/>
      <w:bookmarkEnd w:id="388"/>
      <w:bookmarkEnd w:id="389"/>
    </w:p>
    <w:p w14:paraId="47461E34">
      <w:pPr>
        <w:spacing w:line="480" w:lineRule="auto"/>
        <w:jc w:val="center"/>
        <w:outlineLvl w:val="2"/>
        <w:rPr>
          <w:rFonts w:hint="default" w:ascii="Times New Roman" w:hAnsi="Times New Roman" w:eastAsia="黑体" w:cs="Times New Roman"/>
          <w:color w:val="auto"/>
          <w:sz w:val="28"/>
          <w:szCs w:val="28"/>
        </w:rPr>
      </w:pPr>
      <w:bookmarkStart w:id="390" w:name="_Toc1289935819"/>
      <w:bookmarkStart w:id="391" w:name="_Toc55824951"/>
      <w:bookmarkStart w:id="392" w:name="_Toc562840553"/>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投标主要内容汇总表</w:t>
      </w:r>
      <w:bookmarkEnd w:id="390"/>
      <w:bookmarkEnd w:id="391"/>
      <w:bookmarkEnd w:id="392"/>
    </w:p>
    <w:tbl>
      <w:tblPr>
        <w:tblStyle w:val="52"/>
        <w:tblW w:w="8775" w:type="dxa"/>
        <w:tblInd w:w="-122" w:type="dxa"/>
        <w:tblLayout w:type="fixed"/>
        <w:tblCellMar>
          <w:top w:w="0" w:type="dxa"/>
          <w:left w:w="108" w:type="dxa"/>
          <w:bottom w:w="0" w:type="dxa"/>
          <w:right w:w="108" w:type="dxa"/>
        </w:tblCellMar>
      </w:tblPr>
      <w:tblGrid>
        <w:gridCol w:w="5887"/>
        <w:gridCol w:w="2888"/>
      </w:tblGrid>
      <w:tr w14:paraId="08F8F82E">
        <w:tblPrEx>
          <w:tblCellMar>
            <w:top w:w="0" w:type="dxa"/>
            <w:left w:w="108" w:type="dxa"/>
            <w:bottom w:w="0" w:type="dxa"/>
            <w:right w:w="108" w:type="dxa"/>
          </w:tblCellMar>
        </w:tblPrEx>
        <w:tc>
          <w:tcPr>
            <w:tcW w:w="5887" w:type="dxa"/>
          </w:tcPr>
          <w:p w14:paraId="68F68560">
            <w:pPr>
              <w:spacing w:line="440" w:lineRule="exact"/>
              <w:rPr>
                <w:rFonts w:hint="default" w:ascii="Times New Roman" w:hAnsi="Times New Roman" w:eastAsia="仿宋_GB2312" w:cs="Times New Roman"/>
                <w:bCs/>
                <w:color w:val="auto"/>
                <w:sz w:val="28"/>
                <w:szCs w:val="28"/>
                <w:lang w:val="en" w:eastAsia="zh-CN"/>
              </w:rPr>
            </w:pPr>
            <w:r>
              <w:rPr>
                <w:rFonts w:ascii="Times New Roman" w:hAnsi="Times New Roman" w:eastAsia="仿宋_GB2312" w:cs="Times New Roman"/>
                <w:bCs/>
                <w:color w:val="auto"/>
                <w:sz w:val="28"/>
                <w:szCs w:val="28"/>
                <w:lang w:eastAsia="zh-CN"/>
              </w:rPr>
              <w:t>采购编号：豫财招标采购-2025-1164</w:t>
            </w:r>
          </w:p>
        </w:tc>
        <w:tc>
          <w:tcPr>
            <w:tcW w:w="2888" w:type="dxa"/>
          </w:tcPr>
          <w:p w14:paraId="0A288F1E">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14:paraId="32D8A09A">
      <w:pPr>
        <w:pStyle w:val="16"/>
        <w:spacing w:before="0"/>
        <w:rPr>
          <w:rFonts w:ascii="Times New Roman" w:hAnsi="Times New Roman"/>
          <w:sz w:val="2"/>
          <w:szCs w:val="2"/>
        </w:rPr>
      </w:pPr>
    </w:p>
    <w:tbl>
      <w:tblPr>
        <w:tblStyle w:val="52"/>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612"/>
        <w:gridCol w:w="7178"/>
      </w:tblGrid>
      <w:tr w14:paraId="37073F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5"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90D2E0C">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采购项目</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EF5F56">
            <w:pPr>
              <w:ind w:right="210" w:rightChars="100"/>
              <w:jc w:val="left"/>
              <w:rPr>
                <w:rFonts w:hint="default" w:ascii="Times New Roman" w:hAnsi="Times New Roman" w:eastAsia="仿宋_GB2312" w:cs="Times New Roman"/>
                <w:bCs/>
                <w:color w:val="auto"/>
                <w:kern w:val="0"/>
                <w:sz w:val="28"/>
                <w:szCs w:val="28"/>
                <w:lang w:val="en-US" w:eastAsia="zh-CN"/>
              </w:rPr>
            </w:pPr>
            <w:r>
              <w:rPr>
                <w:rFonts w:ascii="Times New Roman" w:hAnsi="Times New Roman" w:eastAsia="仿宋_GB2312" w:cs="Times New Roman"/>
                <w:color w:val="auto"/>
                <w:sz w:val="28"/>
                <w:szCs w:val="28"/>
                <w:lang w:val="en" w:eastAsia="zh-CN"/>
              </w:rPr>
              <w:t>郑州信息科技职业学院东校区加装电梯-电梯采购及安装项目</w:t>
            </w:r>
            <w:r>
              <w:rPr>
                <w:rFonts w:ascii="Times New Roman" w:hAnsi="Times New Roman" w:eastAsia="仿宋_GB2312" w:cs="Times New Roman"/>
                <w:color w:val="auto"/>
                <w:sz w:val="28"/>
                <w:szCs w:val="28"/>
                <w:lang w:val="en" w:eastAsia="zh-CN"/>
              </w:rPr>
              <w:tab/>
            </w:r>
          </w:p>
        </w:tc>
      </w:tr>
      <w:tr w14:paraId="4765DF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2CE15C1">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投标人名称</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15551B4">
            <w:pPr>
              <w:ind w:left="210" w:leftChars="100" w:right="210" w:rightChars="100"/>
              <w:rPr>
                <w:rFonts w:hint="default" w:ascii="Times New Roman" w:hAnsi="Times New Roman" w:eastAsia="仿宋_GB2312" w:cs="Times New Roman"/>
                <w:bCs/>
                <w:color w:val="auto"/>
                <w:kern w:val="0"/>
                <w:sz w:val="28"/>
                <w:szCs w:val="28"/>
              </w:rPr>
            </w:pPr>
          </w:p>
        </w:tc>
      </w:tr>
      <w:tr w14:paraId="203502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9DE729">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投标总报价（大写）</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B6D6540">
            <w:pPr>
              <w:ind w:left="210" w:leftChars="100" w:right="210" w:rightChars="100"/>
              <w:jc w:val="center"/>
              <w:rPr>
                <w:rFonts w:hint="default" w:ascii="Times New Roman" w:hAnsi="Times New Roman" w:eastAsia="仿宋_GB2312" w:cs="Times New Roman"/>
                <w:bCs/>
                <w:color w:val="auto"/>
                <w:kern w:val="0"/>
                <w:sz w:val="28"/>
                <w:szCs w:val="28"/>
              </w:rPr>
            </w:pPr>
          </w:p>
        </w:tc>
      </w:tr>
      <w:tr w14:paraId="7F59B8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88FFB3F">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投标总报价（小写）</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0D524C">
            <w:pPr>
              <w:ind w:left="210" w:leftChars="100" w:right="210" w:rightChars="100"/>
              <w:jc w:val="center"/>
              <w:rPr>
                <w:rFonts w:hint="default" w:ascii="Times New Roman" w:hAnsi="Times New Roman" w:eastAsia="仿宋_GB2312" w:cs="Times New Roman"/>
                <w:bCs/>
                <w:color w:val="auto"/>
                <w:kern w:val="0"/>
                <w:sz w:val="28"/>
                <w:szCs w:val="28"/>
              </w:rPr>
            </w:pPr>
          </w:p>
        </w:tc>
      </w:tr>
      <w:tr w14:paraId="7E2FD9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6"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FCD9A2D">
            <w:pPr>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交货期</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06B1028">
            <w:pPr>
              <w:ind w:left="210" w:leftChars="100" w:right="210" w:rightChars="100"/>
              <w:rPr>
                <w:rFonts w:hint="default" w:ascii="Times New Roman" w:hAnsi="Times New Roman" w:eastAsia="仿宋_GB2312" w:cs="Times New Roman"/>
                <w:bCs/>
                <w:color w:val="auto"/>
                <w:kern w:val="0"/>
                <w:sz w:val="28"/>
                <w:szCs w:val="28"/>
                <w:lang w:val="en" w:eastAsia="zh-CN"/>
              </w:rPr>
            </w:pPr>
          </w:p>
        </w:tc>
      </w:tr>
      <w:tr w14:paraId="30CCAB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3445F9">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交货地点</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8716021">
            <w:pPr>
              <w:spacing w:line="360" w:lineRule="auto"/>
              <w:ind w:left="210" w:leftChars="100" w:right="210" w:rightChars="100"/>
              <w:jc w:val="left"/>
              <w:rPr>
                <w:rFonts w:hint="default" w:ascii="Times New Roman" w:hAnsi="Times New Roman" w:eastAsia="仿宋_GB2312" w:cs="Times New Roman"/>
                <w:bCs/>
                <w:color w:val="auto"/>
                <w:kern w:val="0"/>
                <w:sz w:val="28"/>
                <w:szCs w:val="28"/>
                <w:lang w:val="en-US" w:eastAsia="zh-CN"/>
              </w:rPr>
            </w:pPr>
            <w:r>
              <w:rPr>
                <w:rFonts w:ascii="Times New Roman" w:hAnsi="Times New Roman" w:eastAsia="仿宋_GB2312" w:cs="Times New Roman"/>
                <w:color w:val="auto"/>
                <w:sz w:val="28"/>
                <w:szCs w:val="28"/>
                <w:lang w:val="en" w:eastAsia="zh-CN"/>
              </w:rPr>
              <w:t>郑州信息科技职业学院</w:t>
            </w:r>
            <w:r>
              <w:rPr>
                <w:rFonts w:ascii="Times New Roman" w:hAnsi="Times New Roman" w:eastAsia="仿宋_GB2312" w:cs="Times New Roman"/>
                <w:color w:val="auto"/>
                <w:sz w:val="28"/>
                <w:szCs w:val="28"/>
                <w:lang w:val="en-US" w:eastAsia="zh-CN"/>
              </w:rPr>
              <w:t>（河南省郑州市金水区龙子湖北路36号）</w:t>
            </w:r>
          </w:p>
        </w:tc>
      </w:tr>
      <w:tr w14:paraId="2777DE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0"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104F96A">
            <w:pPr>
              <w:spacing w:line="360" w:lineRule="auto"/>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质量标准</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5271B8">
            <w:pPr>
              <w:spacing w:line="360" w:lineRule="auto"/>
              <w:ind w:left="210" w:leftChars="100" w:right="210" w:rightChars="1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合格</w:t>
            </w:r>
          </w:p>
        </w:tc>
      </w:tr>
      <w:tr w14:paraId="2BD72B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6"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D21A2B">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质量保证期</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D90F54">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ascii="Times New Roman" w:hAnsi="Times New Roman" w:eastAsia="仿宋_GB2312" w:cs="Times New Roman"/>
                <w:color w:val="auto"/>
                <w:sz w:val="28"/>
                <w:szCs w:val="28"/>
                <w:lang w:val="en-US" w:eastAsia="zh-CN"/>
              </w:rPr>
              <w:t>从取得登记证之日起开始计算</w:t>
            </w:r>
          </w:p>
        </w:tc>
      </w:tr>
      <w:tr w14:paraId="33C43F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8"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412F2A2">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投标保证金</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7E7A286">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0元</w:t>
            </w:r>
          </w:p>
        </w:tc>
      </w:tr>
      <w:tr w14:paraId="552D5E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9"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3A2C35">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投标有效期</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4E9CA49">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rPr>
              <w:t>从投标截止之日起60天</w:t>
            </w:r>
          </w:p>
        </w:tc>
      </w:tr>
      <w:tr w14:paraId="3F0555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0"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955F43">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付款方式</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32BD333">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734FC1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4"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AC47C49">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合同条款</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010797">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6BD31A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6" w:hRule="atLeast"/>
          <w:jc w:val="center"/>
        </w:trPr>
        <w:tc>
          <w:tcPr>
            <w:tcW w:w="16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556C54">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其他声明</w:t>
            </w:r>
          </w:p>
        </w:tc>
        <w:tc>
          <w:tcPr>
            <w:tcW w:w="71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781F06E">
            <w:pPr>
              <w:ind w:left="210" w:leftChars="100" w:right="210" w:rightChars="100"/>
              <w:rPr>
                <w:rFonts w:hint="default" w:ascii="Times New Roman" w:hAnsi="Times New Roman" w:eastAsia="仿宋_GB2312" w:cs="Times New Roman"/>
                <w:bCs/>
                <w:color w:val="auto"/>
                <w:kern w:val="0"/>
                <w:sz w:val="28"/>
                <w:szCs w:val="28"/>
              </w:rPr>
            </w:pPr>
          </w:p>
        </w:tc>
      </w:tr>
    </w:tbl>
    <w:p w14:paraId="6EE9E2C0">
      <w:pPr>
        <w:widowControl w:val="0"/>
        <w:jc w:val="center"/>
        <w:rPr>
          <w:rFonts w:hint="default" w:ascii="Times New Roman" w:hAnsi="Times New Roman" w:eastAsia="仿宋_GB2312" w:cs="Times New Roman"/>
          <w:color w:val="auto"/>
          <w:sz w:val="28"/>
          <w:szCs w:val="28"/>
        </w:rPr>
      </w:pPr>
    </w:p>
    <w:p w14:paraId="23702A3C">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6A3A738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3937972F">
      <w:pPr>
        <w:pStyle w:val="4"/>
        <w:spacing w:before="0" w:after="0" w:line="360" w:lineRule="auto"/>
        <w:jc w:val="center"/>
        <w:rPr>
          <w:rFonts w:ascii="Times New Roman" w:hAnsi="Times New Roman" w:eastAsia="黑体"/>
          <w:color w:val="auto"/>
          <w:kern w:val="2"/>
          <w:sz w:val="28"/>
          <w:szCs w:val="28"/>
          <w:lang w:val="en-US" w:eastAsia="zh-CN"/>
        </w:rPr>
        <w:sectPr>
          <w:headerReference r:id="rId6" w:type="default"/>
          <w:footerReference r:id="rId7" w:type="default"/>
          <w:pgSz w:w="11900" w:h="16840"/>
          <w:pgMar w:top="1440" w:right="1800" w:bottom="1440" w:left="1800" w:header="851" w:footer="992" w:gutter="0"/>
          <w:cols w:space="720" w:num="1"/>
        </w:sectPr>
      </w:pPr>
      <w:bookmarkStart w:id="393" w:name="_Toc1593252031"/>
      <w:bookmarkStart w:id="394" w:name="_Toc145274497"/>
      <w:bookmarkStart w:id="395" w:name="_Toc1901647701"/>
      <w:bookmarkStart w:id="396" w:name="_Toc1752312956"/>
    </w:p>
    <w:p w14:paraId="1A147C80">
      <w:pPr>
        <w:pStyle w:val="4"/>
        <w:spacing w:before="0" w:after="0" w:line="360" w:lineRule="auto"/>
        <w:jc w:val="center"/>
        <w:rPr>
          <w:rFonts w:ascii="Times New Roman" w:hAnsi="Times New Roman" w:eastAsia="黑体"/>
          <w:color w:val="auto"/>
          <w:kern w:val="2"/>
          <w:sz w:val="28"/>
          <w:szCs w:val="28"/>
        </w:rPr>
      </w:pPr>
      <w:bookmarkStart w:id="397" w:name="_Toc2036135302"/>
      <w:bookmarkStart w:id="398" w:name="_Toc517460750"/>
      <w:bookmarkStart w:id="399" w:name="_Toc842364303"/>
      <w:r>
        <w:rPr>
          <w:rFonts w:ascii="Times New Roman" w:hAnsi="Times New Roman" w:eastAsia="黑体"/>
          <w:color w:val="auto"/>
          <w:kern w:val="2"/>
          <w:sz w:val="28"/>
          <w:szCs w:val="28"/>
          <w:lang w:val="en-US" w:eastAsia="zh-CN"/>
        </w:rPr>
        <w:t>2.</w:t>
      </w:r>
      <w:r>
        <w:rPr>
          <w:rFonts w:ascii="Times New Roman" w:hAnsi="Times New Roman" w:eastAsia="黑体"/>
          <w:color w:val="auto"/>
          <w:kern w:val="2"/>
          <w:sz w:val="28"/>
          <w:szCs w:val="28"/>
          <w:lang w:val="en"/>
        </w:rPr>
        <w:t xml:space="preserve"> </w:t>
      </w:r>
      <w:r>
        <w:rPr>
          <w:rFonts w:ascii="Times New Roman" w:hAnsi="Times New Roman" w:eastAsia="黑体"/>
          <w:color w:val="auto"/>
          <w:kern w:val="2"/>
          <w:sz w:val="28"/>
          <w:szCs w:val="28"/>
        </w:rPr>
        <w:t>投标分项报价表</w:t>
      </w:r>
      <w:bookmarkEnd w:id="374"/>
      <w:bookmarkEnd w:id="375"/>
      <w:bookmarkEnd w:id="393"/>
      <w:bookmarkEnd w:id="394"/>
      <w:bookmarkEnd w:id="395"/>
      <w:bookmarkEnd w:id="396"/>
      <w:bookmarkEnd w:id="397"/>
      <w:bookmarkEnd w:id="398"/>
      <w:bookmarkEnd w:id="399"/>
    </w:p>
    <w:bookmarkEnd w:id="376"/>
    <w:bookmarkEnd w:id="377"/>
    <w:bookmarkEnd w:id="378"/>
    <w:bookmarkEnd w:id="379"/>
    <w:p w14:paraId="689AD07B">
      <w:pPr>
        <w:pStyle w:val="24"/>
        <w:spacing w:line="360" w:lineRule="auto"/>
        <w:ind w:left="269" w:leftChars="128"/>
        <w:rPr>
          <w:rFonts w:ascii="Times New Roman" w:hAnsi="Times New Roman"/>
          <w:sz w:val="24"/>
          <w:szCs w:val="24"/>
        </w:rPr>
      </w:pPr>
    </w:p>
    <w:tbl>
      <w:tblPr>
        <w:tblStyle w:val="52"/>
        <w:tblW w:w="0" w:type="auto"/>
        <w:tblInd w:w="221" w:type="dxa"/>
        <w:tblLayout w:type="fixed"/>
        <w:tblCellMar>
          <w:top w:w="0" w:type="dxa"/>
          <w:left w:w="108" w:type="dxa"/>
          <w:bottom w:w="0" w:type="dxa"/>
          <w:right w:w="108" w:type="dxa"/>
        </w:tblCellMar>
      </w:tblPr>
      <w:tblGrid>
        <w:gridCol w:w="10762"/>
        <w:gridCol w:w="2963"/>
      </w:tblGrid>
      <w:tr w14:paraId="5650413A">
        <w:tc>
          <w:tcPr>
            <w:tcW w:w="10762" w:type="dxa"/>
          </w:tcPr>
          <w:p w14:paraId="74B2FC1A">
            <w:pPr>
              <w:pStyle w:val="51"/>
              <w:ind w:left="0" w:leftChars="0" w:firstLine="0" w:firstLineChars="0"/>
              <w:rPr>
                <w:u w:val="single"/>
                <w:lang w:val="en-US" w:eastAsia="zh-CN"/>
              </w:rPr>
            </w:pPr>
            <w:r>
              <w:rPr>
                <w:rFonts w:ascii="Times New Roman" w:hAnsi="Times New Roman" w:eastAsia="仿宋_GB2312"/>
                <w:bCs/>
                <w:sz w:val="28"/>
                <w:szCs w:val="28"/>
                <w:lang w:eastAsia="zh-CN"/>
              </w:rPr>
              <w:t>采购编号：</w:t>
            </w:r>
            <w:r>
              <w:rPr>
                <w:rFonts w:hint="eastAsia" w:ascii="Times New Roman" w:hAnsi="Times New Roman" w:eastAsia="仿宋_GB2312"/>
                <w:bCs/>
                <w:sz w:val="28"/>
                <w:szCs w:val="28"/>
                <w:lang w:eastAsia="zh-CN"/>
              </w:rPr>
              <w:t>豫财招标采购-2025-1164</w:t>
            </w:r>
          </w:p>
        </w:tc>
        <w:tc>
          <w:tcPr>
            <w:tcW w:w="2963" w:type="dxa"/>
          </w:tcPr>
          <w:p w14:paraId="55E10C30">
            <w:pPr>
              <w:spacing w:line="440" w:lineRule="exact"/>
            </w:pPr>
            <w:r>
              <w:rPr>
                <w:rFonts w:hint="default" w:ascii="Times New Roman" w:hAnsi="Times New Roman" w:eastAsia="仿宋_GB2312" w:cs="Times New Roman"/>
                <w:bCs/>
                <w:color w:val="auto"/>
                <w:sz w:val="28"/>
                <w:szCs w:val="28"/>
              </w:rPr>
              <w:t>金额单位：元人民币</w:t>
            </w:r>
          </w:p>
        </w:tc>
      </w:tr>
    </w:tbl>
    <w:p w14:paraId="5208786D">
      <w:pPr>
        <w:pStyle w:val="24"/>
        <w:spacing w:line="360" w:lineRule="auto"/>
        <w:ind w:left="269" w:leftChars="128"/>
        <w:rPr>
          <w:rFonts w:ascii="Times New Roman" w:hAnsi="Times New Roman"/>
          <w:sz w:val="6"/>
          <w:szCs w:val="6"/>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14:paraId="2274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14:paraId="1D018BD2">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序号</w:t>
            </w:r>
          </w:p>
        </w:tc>
        <w:tc>
          <w:tcPr>
            <w:tcW w:w="2812" w:type="dxa"/>
            <w:vAlign w:val="center"/>
          </w:tcPr>
          <w:p w14:paraId="024419A7">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名称</w:t>
            </w:r>
          </w:p>
        </w:tc>
        <w:tc>
          <w:tcPr>
            <w:tcW w:w="1087" w:type="dxa"/>
            <w:vAlign w:val="center"/>
          </w:tcPr>
          <w:p w14:paraId="1C242FA6">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品牌</w:t>
            </w:r>
          </w:p>
        </w:tc>
        <w:tc>
          <w:tcPr>
            <w:tcW w:w="1641" w:type="dxa"/>
            <w:vAlign w:val="center"/>
          </w:tcPr>
          <w:p w14:paraId="217CC649">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型号和规格</w:t>
            </w:r>
          </w:p>
        </w:tc>
        <w:tc>
          <w:tcPr>
            <w:tcW w:w="1504" w:type="dxa"/>
            <w:vAlign w:val="center"/>
          </w:tcPr>
          <w:p w14:paraId="45298F28">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数量</w:t>
            </w:r>
          </w:p>
        </w:tc>
        <w:tc>
          <w:tcPr>
            <w:tcW w:w="1002" w:type="dxa"/>
            <w:vAlign w:val="center"/>
          </w:tcPr>
          <w:p w14:paraId="5E41087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原产地</w:t>
            </w:r>
          </w:p>
        </w:tc>
        <w:tc>
          <w:tcPr>
            <w:tcW w:w="1890" w:type="dxa"/>
            <w:vAlign w:val="center"/>
          </w:tcPr>
          <w:p w14:paraId="4C4E4EB5">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制造商</w:t>
            </w:r>
          </w:p>
          <w:p w14:paraId="01C6DE64">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（服务商）名称</w:t>
            </w:r>
          </w:p>
        </w:tc>
        <w:tc>
          <w:tcPr>
            <w:tcW w:w="937" w:type="dxa"/>
            <w:vAlign w:val="center"/>
          </w:tcPr>
          <w:p w14:paraId="208DCBBE">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单价</w:t>
            </w:r>
          </w:p>
        </w:tc>
        <w:tc>
          <w:tcPr>
            <w:tcW w:w="1094" w:type="dxa"/>
            <w:vAlign w:val="center"/>
          </w:tcPr>
          <w:p w14:paraId="31DBEEF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总价</w:t>
            </w:r>
          </w:p>
        </w:tc>
        <w:tc>
          <w:tcPr>
            <w:tcW w:w="1100" w:type="dxa"/>
            <w:vAlign w:val="center"/>
          </w:tcPr>
          <w:p w14:paraId="41EF4D4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备注</w:t>
            </w:r>
          </w:p>
        </w:tc>
      </w:tr>
      <w:tr w14:paraId="4FEF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14:paraId="4EE00BA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1</w:t>
            </w:r>
          </w:p>
        </w:tc>
        <w:tc>
          <w:tcPr>
            <w:tcW w:w="2812" w:type="dxa"/>
            <w:vAlign w:val="center"/>
          </w:tcPr>
          <w:p w14:paraId="37C7B62E">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货物名称</w:t>
            </w:r>
          </w:p>
        </w:tc>
        <w:tc>
          <w:tcPr>
            <w:tcW w:w="1087" w:type="dxa"/>
          </w:tcPr>
          <w:p w14:paraId="32B59188">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7EC5DE34">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61B4A6A8">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187815D9">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21431D91">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76FD96C8">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299FCD19">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4D28E352">
            <w:pPr>
              <w:pStyle w:val="24"/>
              <w:ind w:left="540" w:leftChars="257" w:firstLine="480"/>
              <w:jc w:val="center"/>
              <w:rPr>
                <w:rFonts w:ascii="Times New Roman" w:hAnsi="Times New Roman"/>
                <w:kern w:val="2"/>
                <w:sz w:val="24"/>
                <w:szCs w:val="24"/>
                <w:lang w:val="en-US" w:eastAsia="zh-CN"/>
              </w:rPr>
            </w:pPr>
          </w:p>
        </w:tc>
      </w:tr>
      <w:tr w14:paraId="05C4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08366D2D">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2</w:t>
            </w:r>
          </w:p>
        </w:tc>
        <w:tc>
          <w:tcPr>
            <w:tcW w:w="2812" w:type="dxa"/>
            <w:vAlign w:val="center"/>
          </w:tcPr>
          <w:p w14:paraId="2BDEF978">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备品备件</w:t>
            </w:r>
          </w:p>
        </w:tc>
        <w:tc>
          <w:tcPr>
            <w:tcW w:w="1087" w:type="dxa"/>
          </w:tcPr>
          <w:p w14:paraId="085FBA09">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0F7E55C2">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10685090">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44794732">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663B6D1C">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18FFA135">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7ED8D6A3">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7A8AE4F5">
            <w:pPr>
              <w:pStyle w:val="24"/>
              <w:ind w:left="540" w:leftChars="257" w:firstLine="480"/>
              <w:jc w:val="center"/>
              <w:rPr>
                <w:rFonts w:ascii="Times New Roman" w:hAnsi="Times New Roman"/>
                <w:kern w:val="2"/>
                <w:sz w:val="24"/>
                <w:szCs w:val="24"/>
                <w:lang w:val="en-US" w:eastAsia="zh-CN"/>
              </w:rPr>
            </w:pPr>
          </w:p>
        </w:tc>
      </w:tr>
      <w:tr w14:paraId="5558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14:paraId="2753CC4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3</w:t>
            </w:r>
          </w:p>
        </w:tc>
        <w:tc>
          <w:tcPr>
            <w:tcW w:w="2812" w:type="dxa"/>
            <w:vAlign w:val="center"/>
          </w:tcPr>
          <w:p w14:paraId="38FC7F9F">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专用工具</w:t>
            </w:r>
          </w:p>
        </w:tc>
        <w:tc>
          <w:tcPr>
            <w:tcW w:w="1087" w:type="dxa"/>
          </w:tcPr>
          <w:p w14:paraId="7EA49BB5">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6D2EE0D5">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2CB25106">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79402F33">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74CC3D90">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6158038F">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20D75DEB">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75A7CCC0">
            <w:pPr>
              <w:pStyle w:val="24"/>
              <w:ind w:left="540" w:leftChars="257" w:firstLine="480"/>
              <w:jc w:val="center"/>
              <w:rPr>
                <w:rFonts w:ascii="Times New Roman" w:hAnsi="Times New Roman"/>
                <w:kern w:val="2"/>
                <w:sz w:val="24"/>
                <w:szCs w:val="24"/>
                <w:lang w:val="en-US" w:eastAsia="zh-CN"/>
              </w:rPr>
            </w:pPr>
          </w:p>
        </w:tc>
      </w:tr>
      <w:tr w14:paraId="0E4B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5EB43CD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4</w:t>
            </w:r>
          </w:p>
        </w:tc>
        <w:tc>
          <w:tcPr>
            <w:tcW w:w="2812" w:type="dxa"/>
            <w:vAlign w:val="center"/>
          </w:tcPr>
          <w:p w14:paraId="67746F29">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运输（含保险）</w:t>
            </w:r>
          </w:p>
        </w:tc>
        <w:tc>
          <w:tcPr>
            <w:tcW w:w="1087" w:type="dxa"/>
          </w:tcPr>
          <w:p w14:paraId="70771C28">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50F06283">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03161454">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4CB96D12">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0CB57822">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7E4762DC">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0A3B44AC">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4284E8B4">
            <w:pPr>
              <w:pStyle w:val="24"/>
              <w:ind w:left="540" w:leftChars="257" w:firstLine="480"/>
              <w:jc w:val="center"/>
              <w:rPr>
                <w:rFonts w:ascii="Times New Roman" w:hAnsi="Times New Roman"/>
                <w:kern w:val="2"/>
                <w:sz w:val="24"/>
                <w:szCs w:val="24"/>
                <w:lang w:val="en-US" w:eastAsia="zh-CN"/>
              </w:rPr>
            </w:pPr>
          </w:p>
        </w:tc>
      </w:tr>
      <w:tr w14:paraId="0FB2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7DF11E7A">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5</w:t>
            </w:r>
          </w:p>
        </w:tc>
        <w:tc>
          <w:tcPr>
            <w:tcW w:w="2812" w:type="dxa"/>
            <w:vAlign w:val="center"/>
          </w:tcPr>
          <w:p w14:paraId="0C6034C9">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安装、调试、检验</w:t>
            </w:r>
          </w:p>
        </w:tc>
        <w:tc>
          <w:tcPr>
            <w:tcW w:w="1087" w:type="dxa"/>
          </w:tcPr>
          <w:p w14:paraId="21D62E16">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7714C2DF">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79306938">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326D0E47">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43EE31F6">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65D265F5">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7873B79C">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585BEEB0">
            <w:pPr>
              <w:pStyle w:val="24"/>
              <w:ind w:left="540" w:leftChars="257" w:firstLine="480"/>
              <w:jc w:val="center"/>
              <w:rPr>
                <w:rFonts w:ascii="Times New Roman" w:hAnsi="Times New Roman"/>
                <w:kern w:val="2"/>
                <w:sz w:val="24"/>
                <w:szCs w:val="24"/>
                <w:lang w:val="en-US" w:eastAsia="zh-CN"/>
              </w:rPr>
            </w:pPr>
          </w:p>
        </w:tc>
      </w:tr>
      <w:tr w14:paraId="35CF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14:paraId="11CEF351">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6</w:t>
            </w:r>
          </w:p>
        </w:tc>
        <w:tc>
          <w:tcPr>
            <w:tcW w:w="2812" w:type="dxa"/>
            <w:vAlign w:val="center"/>
          </w:tcPr>
          <w:p w14:paraId="1D66074B">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培训</w:t>
            </w:r>
          </w:p>
        </w:tc>
        <w:tc>
          <w:tcPr>
            <w:tcW w:w="1087" w:type="dxa"/>
          </w:tcPr>
          <w:p w14:paraId="6E9D4539">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5E4203AB">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27E2892A">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3F98404C">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7B6E48DA">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67866E72">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0423DD8C">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6BCD7646">
            <w:pPr>
              <w:pStyle w:val="24"/>
              <w:ind w:left="540" w:leftChars="257" w:firstLine="480"/>
              <w:jc w:val="center"/>
              <w:rPr>
                <w:rFonts w:ascii="Times New Roman" w:hAnsi="Times New Roman"/>
                <w:kern w:val="2"/>
                <w:sz w:val="24"/>
                <w:szCs w:val="24"/>
                <w:lang w:val="en-US" w:eastAsia="zh-CN"/>
              </w:rPr>
            </w:pPr>
          </w:p>
        </w:tc>
      </w:tr>
      <w:tr w14:paraId="091A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7880153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7</w:t>
            </w:r>
          </w:p>
        </w:tc>
        <w:tc>
          <w:tcPr>
            <w:tcW w:w="2812" w:type="dxa"/>
            <w:vAlign w:val="center"/>
          </w:tcPr>
          <w:p w14:paraId="2140C692">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技术服务</w:t>
            </w:r>
          </w:p>
        </w:tc>
        <w:tc>
          <w:tcPr>
            <w:tcW w:w="1087" w:type="dxa"/>
          </w:tcPr>
          <w:p w14:paraId="4A5C10B9">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1F4F21C0">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273B9C86">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645CD2B6">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470FAF50">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36FB0EBB">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72B8E38B">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411D7BBC">
            <w:pPr>
              <w:pStyle w:val="24"/>
              <w:ind w:left="540" w:leftChars="257" w:firstLine="480"/>
              <w:jc w:val="center"/>
              <w:rPr>
                <w:rFonts w:ascii="Times New Roman" w:hAnsi="Times New Roman"/>
                <w:kern w:val="2"/>
                <w:sz w:val="24"/>
                <w:szCs w:val="24"/>
                <w:lang w:val="en-US" w:eastAsia="zh-CN"/>
              </w:rPr>
            </w:pPr>
          </w:p>
        </w:tc>
      </w:tr>
      <w:tr w14:paraId="65C8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01883F13">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8</w:t>
            </w:r>
          </w:p>
        </w:tc>
        <w:tc>
          <w:tcPr>
            <w:tcW w:w="2812" w:type="dxa"/>
            <w:vAlign w:val="center"/>
          </w:tcPr>
          <w:p w14:paraId="08753869">
            <w:pPr>
              <w:pStyle w:val="24"/>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w:t>
            </w:r>
          </w:p>
        </w:tc>
        <w:tc>
          <w:tcPr>
            <w:tcW w:w="1087" w:type="dxa"/>
          </w:tcPr>
          <w:p w14:paraId="75D9D31F">
            <w:pPr>
              <w:pStyle w:val="24"/>
              <w:ind w:left="540" w:leftChars="257" w:firstLine="480"/>
              <w:jc w:val="center"/>
              <w:rPr>
                <w:rFonts w:ascii="Times New Roman" w:hAnsi="Times New Roman"/>
                <w:kern w:val="2"/>
                <w:sz w:val="24"/>
                <w:szCs w:val="24"/>
                <w:lang w:val="en-US" w:eastAsia="zh-CN"/>
              </w:rPr>
            </w:pPr>
          </w:p>
        </w:tc>
        <w:tc>
          <w:tcPr>
            <w:tcW w:w="1641" w:type="dxa"/>
            <w:vAlign w:val="center"/>
          </w:tcPr>
          <w:p w14:paraId="2BBE4DA9">
            <w:pPr>
              <w:pStyle w:val="24"/>
              <w:ind w:left="540" w:leftChars="257" w:firstLine="480"/>
              <w:jc w:val="center"/>
              <w:rPr>
                <w:rFonts w:ascii="Times New Roman" w:hAnsi="Times New Roman"/>
                <w:kern w:val="2"/>
                <w:sz w:val="24"/>
                <w:szCs w:val="24"/>
                <w:lang w:val="en-US" w:eastAsia="zh-CN"/>
              </w:rPr>
            </w:pPr>
          </w:p>
        </w:tc>
        <w:tc>
          <w:tcPr>
            <w:tcW w:w="1504" w:type="dxa"/>
            <w:vAlign w:val="center"/>
          </w:tcPr>
          <w:p w14:paraId="4D797488">
            <w:pPr>
              <w:pStyle w:val="24"/>
              <w:ind w:left="540" w:leftChars="257" w:firstLine="480"/>
              <w:jc w:val="center"/>
              <w:rPr>
                <w:rFonts w:ascii="Times New Roman" w:hAnsi="Times New Roman"/>
                <w:kern w:val="2"/>
                <w:sz w:val="24"/>
                <w:szCs w:val="24"/>
                <w:lang w:val="en-US" w:eastAsia="zh-CN"/>
              </w:rPr>
            </w:pPr>
          </w:p>
        </w:tc>
        <w:tc>
          <w:tcPr>
            <w:tcW w:w="1002" w:type="dxa"/>
            <w:vAlign w:val="center"/>
          </w:tcPr>
          <w:p w14:paraId="7C595037">
            <w:pPr>
              <w:pStyle w:val="24"/>
              <w:ind w:left="540" w:leftChars="257" w:firstLine="480"/>
              <w:jc w:val="center"/>
              <w:rPr>
                <w:rFonts w:ascii="Times New Roman" w:hAnsi="Times New Roman"/>
                <w:kern w:val="2"/>
                <w:sz w:val="24"/>
                <w:szCs w:val="24"/>
                <w:lang w:val="en-US" w:eastAsia="zh-CN"/>
              </w:rPr>
            </w:pPr>
          </w:p>
        </w:tc>
        <w:tc>
          <w:tcPr>
            <w:tcW w:w="1890" w:type="dxa"/>
            <w:vAlign w:val="center"/>
          </w:tcPr>
          <w:p w14:paraId="5486E2BA">
            <w:pPr>
              <w:pStyle w:val="24"/>
              <w:ind w:left="540" w:leftChars="257" w:firstLine="480"/>
              <w:jc w:val="center"/>
              <w:rPr>
                <w:rFonts w:ascii="Times New Roman" w:hAnsi="Times New Roman"/>
                <w:kern w:val="2"/>
                <w:sz w:val="24"/>
                <w:szCs w:val="24"/>
                <w:lang w:val="en-US" w:eastAsia="zh-CN"/>
              </w:rPr>
            </w:pPr>
          </w:p>
        </w:tc>
        <w:tc>
          <w:tcPr>
            <w:tcW w:w="937" w:type="dxa"/>
            <w:vAlign w:val="center"/>
          </w:tcPr>
          <w:p w14:paraId="22E24630">
            <w:pPr>
              <w:pStyle w:val="24"/>
              <w:ind w:left="540" w:leftChars="257" w:firstLine="480"/>
              <w:jc w:val="center"/>
              <w:rPr>
                <w:rFonts w:ascii="Times New Roman" w:hAnsi="Times New Roman"/>
                <w:kern w:val="2"/>
                <w:sz w:val="24"/>
                <w:szCs w:val="24"/>
                <w:lang w:val="en-US" w:eastAsia="zh-CN"/>
              </w:rPr>
            </w:pPr>
          </w:p>
        </w:tc>
        <w:tc>
          <w:tcPr>
            <w:tcW w:w="1094" w:type="dxa"/>
            <w:vAlign w:val="center"/>
          </w:tcPr>
          <w:p w14:paraId="65CBCAB9">
            <w:pPr>
              <w:pStyle w:val="24"/>
              <w:ind w:left="540" w:leftChars="257" w:firstLine="480"/>
              <w:jc w:val="center"/>
              <w:rPr>
                <w:rFonts w:ascii="Times New Roman" w:hAnsi="Times New Roman"/>
                <w:kern w:val="2"/>
                <w:sz w:val="24"/>
                <w:szCs w:val="24"/>
                <w:lang w:val="en-US" w:eastAsia="zh-CN"/>
              </w:rPr>
            </w:pPr>
          </w:p>
        </w:tc>
        <w:tc>
          <w:tcPr>
            <w:tcW w:w="1100" w:type="dxa"/>
            <w:vAlign w:val="center"/>
          </w:tcPr>
          <w:p w14:paraId="61CCF364">
            <w:pPr>
              <w:pStyle w:val="24"/>
              <w:ind w:left="540" w:leftChars="257" w:firstLine="480"/>
              <w:jc w:val="center"/>
              <w:rPr>
                <w:rFonts w:ascii="Times New Roman" w:hAnsi="Times New Roman"/>
                <w:kern w:val="2"/>
                <w:sz w:val="24"/>
                <w:szCs w:val="24"/>
                <w:lang w:val="en-US" w:eastAsia="zh-CN"/>
              </w:rPr>
            </w:pPr>
          </w:p>
        </w:tc>
      </w:tr>
      <w:tr w14:paraId="05F2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vAlign w:val="center"/>
          </w:tcPr>
          <w:p w14:paraId="058A88D9">
            <w:pPr>
              <w:pStyle w:val="24"/>
              <w:rPr>
                <w:rFonts w:ascii="Times New Roman" w:hAnsi="Times New Roman"/>
                <w:kern w:val="2"/>
                <w:sz w:val="24"/>
                <w:szCs w:val="24"/>
                <w:lang w:val="en-US" w:eastAsia="zh-CN"/>
              </w:rPr>
            </w:pPr>
            <w:r>
              <w:rPr>
                <w:rFonts w:ascii="Times New Roman" w:hAnsi="Times New Roman"/>
                <w:kern w:val="2"/>
                <w:sz w:val="24"/>
                <w:szCs w:val="24"/>
                <w:lang w:val="en-US" w:eastAsia="zh-CN"/>
              </w:rPr>
              <w:t>总价：</w:t>
            </w:r>
          </w:p>
        </w:tc>
      </w:tr>
    </w:tbl>
    <w:p w14:paraId="3CB38702">
      <w:pPr>
        <w:pStyle w:val="24"/>
        <w:tabs>
          <w:tab w:val="left" w:pos="5580"/>
        </w:tabs>
        <w:spacing w:line="360" w:lineRule="auto"/>
        <w:rPr>
          <w:rFonts w:ascii="Times New Roman" w:hAnsi="Times New Roman"/>
          <w:sz w:val="24"/>
          <w:szCs w:val="24"/>
          <w:lang w:eastAsia="zh-CN"/>
        </w:rPr>
      </w:pPr>
      <w:r>
        <w:rPr>
          <w:rFonts w:ascii="Times New Roman" w:hAnsi="Times New Roman"/>
          <w:sz w:val="24"/>
          <w:szCs w:val="24"/>
          <w:lang w:eastAsia="zh-CN"/>
        </w:rPr>
        <w:t xml:space="preserve">        法定代表人（个人电子签章）：                  </w:t>
      </w:r>
    </w:p>
    <w:p w14:paraId="5265A7C2">
      <w:pPr>
        <w:pStyle w:val="24"/>
        <w:tabs>
          <w:tab w:val="left" w:pos="5580"/>
        </w:tabs>
        <w:spacing w:line="360" w:lineRule="auto"/>
        <w:ind w:firstLine="960" w:firstLineChars="400"/>
        <w:rPr>
          <w:rFonts w:ascii="Times New Roman" w:hAnsi="Times New Roman"/>
          <w:sz w:val="24"/>
          <w:szCs w:val="24"/>
          <w:lang w:eastAsia="zh-CN"/>
        </w:rPr>
      </w:pPr>
      <w:r>
        <w:rPr>
          <w:rFonts w:ascii="Times New Roman" w:hAnsi="Times New Roman"/>
          <w:sz w:val="24"/>
          <w:szCs w:val="24"/>
          <w:lang w:eastAsia="zh-CN"/>
        </w:rPr>
        <w:t xml:space="preserve">投标人（企业电子签章）：                 </w:t>
      </w:r>
    </w:p>
    <w:p w14:paraId="2DCE71B1">
      <w:pPr>
        <w:pStyle w:val="24"/>
        <w:tabs>
          <w:tab w:val="left" w:pos="5580"/>
        </w:tabs>
        <w:spacing w:line="360" w:lineRule="auto"/>
        <w:ind w:firstLine="960" w:firstLineChars="400"/>
        <w:rPr>
          <w:rFonts w:ascii="Times New Roman" w:hAnsi="Times New Roman"/>
          <w:sz w:val="24"/>
          <w:szCs w:val="24"/>
          <w:lang w:eastAsia="zh-CN"/>
        </w:rPr>
      </w:pPr>
      <w:r>
        <w:rPr>
          <w:rFonts w:ascii="Times New Roman" w:hAnsi="Times New Roman"/>
          <w:sz w:val="24"/>
          <w:szCs w:val="24"/>
          <w:lang w:eastAsia="zh-CN"/>
        </w:rPr>
        <w:t>注:</w:t>
      </w:r>
      <w:r>
        <w:rPr>
          <w:rFonts w:ascii="Times New Roman" w:hAnsi="Times New Roman"/>
          <w:sz w:val="24"/>
          <w:szCs w:val="24"/>
          <w:lang w:val="en-US" w:eastAsia="zh-CN"/>
        </w:rPr>
        <w:t xml:space="preserve">  </w:t>
      </w:r>
      <w:r>
        <w:rPr>
          <w:rFonts w:ascii="Times New Roman" w:hAnsi="Times New Roman"/>
          <w:sz w:val="24"/>
          <w:szCs w:val="24"/>
          <w:lang w:eastAsia="zh-CN"/>
        </w:rPr>
        <w:t>格式可自拟。</w:t>
      </w:r>
      <w:bookmarkStart w:id="400" w:name="_Toc893708091"/>
      <w:bookmarkStart w:id="401" w:name="_Toc585133884"/>
      <w:bookmarkStart w:id="402" w:name="_Toc74240239"/>
      <w:bookmarkStart w:id="403" w:name="_Toc1973880807"/>
      <w:bookmarkStart w:id="404" w:name="_Toc2582323"/>
      <w:bookmarkStart w:id="405" w:name="_Toc643738620"/>
      <w:bookmarkStart w:id="406" w:name="_Toc299604904"/>
    </w:p>
    <w:p w14:paraId="0FB75F25">
      <w:pPr>
        <w:pStyle w:val="24"/>
        <w:ind w:left="540" w:leftChars="257" w:firstLine="480"/>
        <w:rPr>
          <w:rFonts w:ascii="Times New Roman" w:hAnsi="Times New Roman"/>
          <w:szCs w:val="21"/>
          <w:lang w:eastAsia="zh-CN"/>
        </w:rPr>
      </w:pPr>
    </w:p>
    <w:p w14:paraId="320919CB">
      <w:pPr>
        <w:pStyle w:val="24"/>
        <w:ind w:left="540" w:leftChars="257" w:firstLine="480"/>
        <w:rPr>
          <w:rFonts w:ascii="Times New Roman" w:hAnsi="Times New Roman"/>
          <w:szCs w:val="21"/>
          <w:lang w:val="en-US" w:eastAsia="zh-CN"/>
        </w:rPr>
        <w:sectPr>
          <w:pgSz w:w="16840" w:h="11900" w:orient="landscape"/>
          <w:pgMar w:top="1800" w:right="1440" w:bottom="1800" w:left="1440" w:header="851" w:footer="992" w:gutter="0"/>
          <w:cols w:space="720" w:num="1"/>
        </w:sectPr>
      </w:pPr>
    </w:p>
    <w:p w14:paraId="6C7B532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07" w:name="_Toc1360147113"/>
      <w:bookmarkStart w:id="408" w:name="_Toc1221324939"/>
      <w:bookmarkStart w:id="409" w:name="_Toc131578556"/>
      <w:bookmarkStart w:id="410" w:name="_Toc1251267079"/>
      <w:bookmarkStart w:id="411" w:name="_Toc821511257"/>
      <w:r>
        <w:rPr>
          <w:rFonts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US" w:eastAsia="zh-CN"/>
        </w:rPr>
        <w:t>企业声明函</w:t>
      </w:r>
    </w:p>
    <w:p w14:paraId="218AEF54">
      <w:pPr>
        <w:jc w:val="center"/>
        <w:rPr>
          <w:rFonts w:hint="default" w:ascii="Times New Roman" w:hAnsi="Times New Roman" w:eastAsia="CESI楷体-GB2312" w:cs="Times New Roman"/>
          <w:b/>
          <w:bCs/>
          <w:color w:val="auto"/>
          <w:sz w:val="32"/>
          <w:szCs w:val="32"/>
          <w:lang w:val="en-US" w:eastAsia="zh-CN"/>
        </w:rPr>
      </w:pPr>
    </w:p>
    <w:p w14:paraId="2D19A043">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14:paraId="3F768279">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（属于小型、微型企业的填写，不属于的无需填写或不提供此项内容）</w:t>
      </w:r>
    </w:p>
    <w:p w14:paraId="1929DB80">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的</w:t>
      </w:r>
      <w:r>
        <w:rPr>
          <w:rFonts w:hint="default" w:ascii="Times New Roman" w:hAnsi="Times New Roman" w:eastAsia="仿宋_GB2312" w:cs="Times New Roman"/>
          <w:color w:val="auto"/>
          <w:kern w:val="0"/>
          <w:sz w:val="28"/>
          <w:szCs w:val="28"/>
          <w:u w:val="single"/>
          <w:lang w:val="en-US" w:eastAsia="zh-CN"/>
        </w:rPr>
        <w:t xml:space="preserve">  </w:t>
      </w:r>
      <w:r>
        <w:rPr>
          <w:rFonts w:ascii="Times New Roman" w:hAnsi="Times New Roman" w:eastAsia="仿宋_GB2312" w:cs="Times New Roman"/>
          <w:color w:val="auto"/>
          <w:kern w:val="0"/>
          <w:sz w:val="28"/>
          <w:szCs w:val="28"/>
          <w:u w:val="single"/>
          <w:lang w:val="en" w:eastAsia="zh-CN"/>
        </w:rPr>
        <w:t>郑州信息科技职业学院东校区加装电梯-电梯采购及安装项目</w:t>
      </w:r>
      <w:r>
        <w:rPr>
          <w:rFonts w:hint="default" w:ascii="Times New Roman"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14:paraId="647A76D7">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4106A037">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i/>
          <w:iCs/>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0648105A">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p w14:paraId="2A551ED2">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14:paraId="66930669">
      <w:pPr>
        <w:spacing w:before="100" w:after="100" w:line="420" w:lineRule="exact"/>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本企业对上述声明内容的真实性负责。如有虚假，将依法承担相应责任。</w:t>
      </w:r>
    </w:p>
    <w:p w14:paraId="32CBFA6F">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4100E593">
      <w:pPr>
        <w:spacing w:before="100" w:after="100" w:line="360" w:lineRule="auto"/>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6B8678B2">
      <w:pPr>
        <w:pStyle w:val="99"/>
        <w:rPr>
          <w:rFonts w:ascii="Times New Roman" w:hAnsi="Times New Roman" w:eastAsia="仿宋_GB2312" w:cs="Times New Roman"/>
          <w:color w:val="auto"/>
          <w:sz w:val="28"/>
          <w:szCs w:val="28"/>
          <w:u w:val="single"/>
        </w:rPr>
      </w:pPr>
    </w:p>
    <w:p w14:paraId="2987DA85">
      <w:pPr>
        <w:pStyle w:val="226"/>
        <w:pBdr>
          <w:bottom w:val="double" w:color="auto" w:sz="4" w:space="0"/>
        </w:pBdr>
        <w:rPr>
          <w:rFonts w:ascii="Times New Roman" w:hAnsi="Times New Roman" w:eastAsia="仿宋_GB2312"/>
          <w:kern w:val="0"/>
          <w:sz w:val="28"/>
          <w:szCs w:val="28"/>
          <w:u w:val="single"/>
        </w:rPr>
      </w:pPr>
    </w:p>
    <w:p w14:paraId="0918645B">
      <w:pPr>
        <w:pStyle w:val="226"/>
        <w:rPr>
          <w:rFonts w:ascii="Times New Roman" w:hAnsi="Times New Roman" w:eastAsia="仿宋_GB2312"/>
          <w:kern w:val="0"/>
          <w:sz w:val="28"/>
          <w:szCs w:val="28"/>
          <w:u w:val="single"/>
        </w:rPr>
      </w:pPr>
    </w:p>
    <w:p w14:paraId="00F4FF83">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7B87262E">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443FAD51">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14:paraId="0CC7F5DF">
      <w:pPr>
        <w:jc w:val="center"/>
        <w:rPr>
          <w:rFonts w:hint="default" w:ascii="Times New Roman" w:hAnsi="Times New Roman"/>
          <w:color w:val="auto"/>
          <w:lang w:eastAsia="zh-CN"/>
        </w:rPr>
      </w:pPr>
      <w:r>
        <w:rPr>
          <w:rFonts w:ascii="Times New Roman" w:hAnsi="Times New Roman"/>
          <w:color w:val="auto"/>
          <w:lang w:eastAsia="zh-CN"/>
        </w:rPr>
        <w:br w:type="page"/>
      </w:r>
      <w:r>
        <w:rPr>
          <w:rFonts w:ascii="Times New Roman" w:hAnsi="Times New Roman" w:eastAsia="宋体"/>
          <w:color w:val="auto"/>
          <w:sz w:val="28"/>
          <w:szCs w:val="28"/>
          <w:lang w:eastAsia="zh-CN"/>
        </w:rPr>
        <w:t>投标人监狱企业声明函</w:t>
      </w:r>
    </w:p>
    <w:p w14:paraId="720ACF0E">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1017D1CF">
      <w:pPr>
        <w:pStyle w:val="99"/>
        <w:rPr>
          <w:rFonts w:ascii="Times New Roman" w:hAnsi="Times New Roman" w:cs="Times New Roman"/>
          <w:color w:val="auto"/>
        </w:rPr>
      </w:pPr>
    </w:p>
    <w:p w14:paraId="26D5EBB5">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5C3299B1">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61AA64A7">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640066F6">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2ADFAC0D">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268127CB">
      <w:pPr>
        <w:spacing w:line="360" w:lineRule="auto"/>
        <w:rPr>
          <w:rFonts w:hint="default" w:ascii="Times New Roman" w:hAnsi="Times New Roman" w:eastAsia="仿宋_GB2312" w:cs="Times New Roman"/>
          <w:b/>
          <w:bCs/>
          <w:color w:val="auto"/>
          <w:sz w:val="28"/>
          <w:szCs w:val="28"/>
          <w:lang w:val="en-US" w:eastAsia="zh-CN"/>
        </w:rPr>
      </w:pPr>
    </w:p>
    <w:p w14:paraId="3B4348F4">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7B1CC3C7">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134BA11F">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highlight w:val="green"/>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14:paraId="60351757">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613BAAE2">
      <w:pPr>
        <w:spacing w:line="360" w:lineRule="auto"/>
        <w:rPr>
          <w:rFonts w:hint="default" w:ascii="Times New Roman" w:hAnsi="Times New Roman" w:eastAsia="仿宋_GB2312" w:cs="Times New Roman"/>
          <w:b/>
          <w:color w:val="auto"/>
          <w:spacing w:val="6"/>
          <w:lang w:eastAsia="zh-CN"/>
        </w:rPr>
      </w:pPr>
    </w:p>
    <w:p w14:paraId="6E1C70BF">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pacing w:val="6"/>
          <w:sz w:val="28"/>
          <w:szCs w:val="28"/>
          <w:lang w:eastAsia="zh-CN"/>
        </w:rPr>
        <w:t>项目采购活动提供本单位制造的货物（不包括使用非残疾人福利性单位注册商标的货物）。</w:t>
      </w:r>
    </w:p>
    <w:p w14:paraId="566B3451">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071378F7">
      <w:pPr>
        <w:spacing w:line="360" w:lineRule="auto"/>
        <w:ind w:firstLine="444" w:firstLineChars="200"/>
        <w:rPr>
          <w:rFonts w:hint="default" w:ascii="Times New Roman" w:hAnsi="Times New Roman" w:cs="Times New Roman"/>
          <w:color w:val="auto"/>
          <w:spacing w:val="6"/>
          <w:lang w:eastAsia="zh-CN"/>
        </w:rPr>
      </w:pPr>
    </w:p>
    <w:p w14:paraId="2259E19F">
      <w:pPr>
        <w:spacing w:line="360" w:lineRule="auto"/>
        <w:ind w:firstLine="444" w:firstLineChars="200"/>
        <w:rPr>
          <w:rFonts w:hint="default" w:ascii="Times New Roman" w:hAnsi="Times New Roman" w:cs="Times New Roman"/>
          <w:color w:val="auto"/>
          <w:spacing w:val="6"/>
          <w:lang w:eastAsia="zh-CN"/>
        </w:rPr>
      </w:pPr>
    </w:p>
    <w:p w14:paraId="56C732EB">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AE5D77E">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1B409A3A">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72E4132D">
      <w:pPr>
        <w:pStyle w:val="226"/>
        <w:pBdr>
          <w:bottom w:val="double" w:color="auto" w:sz="4" w:space="0"/>
        </w:pBdr>
        <w:rPr>
          <w:rFonts w:ascii="Times New Roman" w:hAnsi="Times New Roman" w:eastAsia="仿宋_GB2312"/>
          <w:kern w:val="0"/>
          <w:sz w:val="28"/>
          <w:szCs w:val="28"/>
          <w:u w:val="single"/>
        </w:rPr>
      </w:pPr>
    </w:p>
    <w:p w14:paraId="485C1B4A">
      <w:pPr>
        <w:pStyle w:val="226"/>
        <w:pBdr>
          <w:bottom w:val="double" w:color="auto" w:sz="4" w:space="0"/>
        </w:pBdr>
        <w:rPr>
          <w:rFonts w:ascii="Times New Roman" w:hAnsi="Times New Roman" w:eastAsia="仿宋_GB2312"/>
          <w:kern w:val="0"/>
          <w:sz w:val="28"/>
          <w:szCs w:val="28"/>
          <w:u w:val="single"/>
        </w:rPr>
      </w:pPr>
    </w:p>
    <w:p w14:paraId="17600A88">
      <w:pPr>
        <w:pStyle w:val="226"/>
        <w:pBdr>
          <w:bottom w:val="double" w:color="auto" w:sz="4" w:space="0"/>
        </w:pBdr>
        <w:rPr>
          <w:rFonts w:ascii="Times New Roman" w:hAnsi="Times New Roman" w:eastAsia="仿宋_GB2312"/>
          <w:kern w:val="0"/>
          <w:sz w:val="28"/>
          <w:szCs w:val="28"/>
          <w:u w:val="single"/>
        </w:rPr>
      </w:pPr>
    </w:p>
    <w:p w14:paraId="43119CAD">
      <w:pPr>
        <w:pStyle w:val="226"/>
        <w:pBdr>
          <w:bottom w:val="double" w:color="auto" w:sz="4" w:space="0"/>
        </w:pBdr>
        <w:rPr>
          <w:rFonts w:ascii="Times New Roman" w:hAnsi="Times New Roman" w:eastAsia="仿宋_GB2312"/>
          <w:kern w:val="0"/>
          <w:sz w:val="28"/>
          <w:szCs w:val="28"/>
          <w:u w:val="single"/>
        </w:rPr>
      </w:pPr>
    </w:p>
    <w:p w14:paraId="46892DD3">
      <w:pPr>
        <w:pStyle w:val="226"/>
        <w:pBdr>
          <w:bottom w:val="double" w:color="auto" w:sz="4" w:space="0"/>
        </w:pBdr>
        <w:rPr>
          <w:rFonts w:ascii="Times New Roman" w:hAnsi="Times New Roman" w:eastAsia="仿宋_GB2312"/>
          <w:kern w:val="0"/>
          <w:sz w:val="28"/>
          <w:szCs w:val="28"/>
          <w:u w:val="single"/>
        </w:rPr>
      </w:pPr>
    </w:p>
    <w:p w14:paraId="165CA6FC">
      <w:pPr>
        <w:pStyle w:val="226"/>
        <w:pBdr>
          <w:bottom w:val="double" w:color="auto" w:sz="4" w:space="0"/>
        </w:pBdr>
        <w:rPr>
          <w:rFonts w:ascii="Times New Roman" w:hAnsi="Times New Roman" w:eastAsia="仿宋_GB2312"/>
          <w:kern w:val="0"/>
          <w:sz w:val="28"/>
          <w:szCs w:val="28"/>
          <w:u w:val="single"/>
        </w:rPr>
      </w:pPr>
    </w:p>
    <w:p w14:paraId="67836F2A">
      <w:pPr>
        <w:pStyle w:val="226"/>
        <w:pBdr>
          <w:bottom w:val="double" w:color="auto" w:sz="4" w:space="0"/>
        </w:pBdr>
        <w:rPr>
          <w:rFonts w:ascii="Times New Roman" w:hAnsi="Times New Roman" w:eastAsia="仿宋_GB2312"/>
          <w:kern w:val="0"/>
          <w:sz w:val="28"/>
          <w:szCs w:val="28"/>
          <w:u w:val="single"/>
        </w:rPr>
      </w:pPr>
    </w:p>
    <w:p w14:paraId="38A604DC">
      <w:pPr>
        <w:pStyle w:val="226"/>
        <w:pBdr>
          <w:bottom w:val="double" w:color="auto" w:sz="4" w:space="0"/>
        </w:pBdr>
        <w:rPr>
          <w:rFonts w:ascii="Times New Roman" w:hAnsi="Times New Roman" w:eastAsia="仿宋_GB2312"/>
          <w:kern w:val="0"/>
          <w:sz w:val="28"/>
          <w:szCs w:val="28"/>
          <w:u w:val="single"/>
        </w:rPr>
      </w:pPr>
    </w:p>
    <w:p w14:paraId="7771EFA6">
      <w:pPr>
        <w:pStyle w:val="226"/>
        <w:pBdr>
          <w:bottom w:val="double" w:color="auto" w:sz="4" w:space="0"/>
        </w:pBdr>
        <w:rPr>
          <w:rFonts w:ascii="Times New Roman" w:hAnsi="Times New Roman" w:eastAsia="仿宋_GB2312"/>
          <w:kern w:val="0"/>
          <w:sz w:val="28"/>
          <w:szCs w:val="28"/>
          <w:u w:val="single"/>
        </w:rPr>
      </w:pPr>
    </w:p>
    <w:p w14:paraId="0E183721">
      <w:pPr>
        <w:pStyle w:val="226"/>
        <w:pBdr>
          <w:bottom w:val="double" w:color="auto" w:sz="4" w:space="0"/>
        </w:pBdr>
        <w:rPr>
          <w:rFonts w:ascii="Times New Roman" w:hAnsi="Times New Roman" w:eastAsia="仿宋_GB2312"/>
          <w:kern w:val="0"/>
          <w:sz w:val="28"/>
          <w:szCs w:val="28"/>
          <w:u w:val="single"/>
        </w:rPr>
      </w:pPr>
    </w:p>
    <w:p w14:paraId="2DF57C3D">
      <w:pPr>
        <w:pStyle w:val="226"/>
        <w:pBdr>
          <w:bottom w:val="double" w:color="auto" w:sz="4" w:space="0"/>
        </w:pBdr>
        <w:rPr>
          <w:rFonts w:ascii="Times New Roman" w:hAnsi="Times New Roman" w:eastAsia="仿宋_GB2312"/>
          <w:kern w:val="0"/>
          <w:sz w:val="28"/>
          <w:szCs w:val="28"/>
          <w:u w:val="single"/>
        </w:rPr>
      </w:pPr>
    </w:p>
    <w:p w14:paraId="1089243D">
      <w:pPr>
        <w:pStyle w:val="226"/>
        <w:pBdr>
          <w:bottom w:val="double" w:color="auto" w:sz="4" w:space="0"/>
        </w:pBdr>
        <w:rPr>
          <w:rFonts w:ascii="Times New Roman" w:hAnsi="Times New Roman" w:eastAsia="仿宋_GB2312"/>
          <w:kern w:val="0"/>
          <w:sz w:val="28"/>
          <w:szCs w:val="28"/>
          <w:u w:val="single"/>
        </w:rPr>
      </w:pPr>
    </w:p>
    <w:p w14:paraId="6F1FED27">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3E9CAB28">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117A91FF">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14:paraId="50B67F33">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14:paraId="0BB22933">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14:paraId="21C80B2B">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14:paraId="3FF13063">
      <w:pPr>
        <w:spacing w:line="360" w:lineRule="auto"/>
        <w:rPr>
          <w:rFonts w:hint="default" w:ascii="Times New Roman" w:hAnsi="Times New Roman" w:eastAsia="仿宋_GB2312" w:cs="Times New Roman"/>
          <w:b/>
          <w:color w:val="auto"/>
          <w:spacing w:val="6"/>
          <w:lang w:eastAsia="zh-CN"/>
        </w:rPr>
      </w:pPr>
    </w:p>
    <w:p w14:paraId="61CAA5F0">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19FF6D3A">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15B5BD02">
      <w:pPr>
        <w:spacing w:line="360" w:lineRule="auto"/>
        <w:ind w:firstLine="444" w:firstLineChars="200"/>
        <w:rPr>
          <w:rFonts w:hint="default" w:ascii="Times New Roman" w:hAnsi="Times New Roman" w:cs="Times New Roman"/>
          <w:color w:val="auto"/>
          <w:spacing w:val="6"/>
          <w:lang w:eastAsia="zh-CN"/>
        </w:rPr>
      </w:pPr>
    </w:p>
    <w:p w14:paraId="1B039847">
      <w:pPr>
        <w:spacing w:line="360" w:lineRule="auto"/>
        <w:ind w:firstLine="444" w:firstLineChars="200"/>
        <w:rPr>
          <w:rFonts w:hint="default" w:ascii="Times New Roman" w:hAnsi="Times New Roman" w:cs="Times New Roman"/>
          <w:color w:val="auto"/>
          <w:spacing w:val="6"/>
          <w:lang w:eastAsia="zh-CN"/>
        </w:rPr>
      </w:pPr>
    </w:p>
    <w:p w14:paraId="12E5D763">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制造商（企业电子签章）：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3E2D6E8">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5F59EF54">
      <w:pPr>
        <w:pStyle w:val="226"/>
        <w:pBdr>
          <w:bottom w:val="double" w:color="auto" w:sz="4" w:space="0"/>
        </w:pBdr>
        <w:rPr>
          <w:rFonts w:ascii="Times New Roman" w:hAnsi="Times New Roman" w:eastAsia="仿宋_GB2312"/>
          <w:kern w:val="0"/>
          <w:sz w:val="28"/>
          <w:szCs w:val="28"/>
          <w:u w:val="single"/>
        </w:rPr>
      </w:pPr>
    </w:p>
    <w:p w14:paraId="30B799D8">
      <w:pPr>
        <w:pStyle w:val="226"/>
        <w:pBdr>
          <w:bottom w:val="double" w:color="auto" w:sz="4" w:space="0"/>
        </w:pBdr>
        <w:rPr>
          <w:rFonts w:ascii="Times New Roman" w:hAnsi="Times New Roman" w:eastAsia="仿宋_GB2312"/>
          <w:kern w:val="0"/>
          <w:sz w:val="28"/>
          <w:szCs w:val="28"/>
          <w:u w:val="single"/>
        </w:rPr>
      </w:pPr>
    </w:p>
    <w:p w14:paraId="54498C8C">
      <w:pPr>
        <w:pStyle w:val="226"/>
        <w:pBdr>
          <w:bottom w:val="double" w:color="auto" w:sz="4" w:space="0"/>
        </w:pBdr>
        <w:rPr>
          <w:rFonts w:ascii="Times New Roman" w:hAnsi="Times New Roman" w:eastAsia="仿宋_GB2312"/>
          <w:kern w:val="0"/>
          <w:sz w:val="28"/>
          <w:szCs w:val="28"/>
          <w:u w:val="single"/>
        </w:rPr>
      </w:pPr>
    </w:p>
    <w:p w14:paraId="12DDDE9A">
      <w:pPr>
        <w:pStyle w:val="226"/>
        <w:pBdr>
          <w:bottom w:val="double" w:color="auto" w:sz="4" w:space="0"/>
        </w:pBdr>
        <w:rPr>
          <w:rFonts w:ascii="Times New Roman" w:hAnsi="Times New Roman" w:eastAsia="仿宋_GB2312"/>
          <w:kern w:val="0"/>
          <w:sz w:val="28"/>
          <w:szCs w:val="28"/>
          <w:u w:val="single"/>
        </w:rPr>
      </w:pPr>
    </w:p>
    <w:p w14:paraId="7817DEFE">
      <w:pPr>
        <w:pStyle w:val="226"/>
        <w:pBdr>
          <w:bottom w:val="double" w:color="auto" w:sz="4" w:space="0"/>
        </w:pBdr>
        <w:rPr>
          <w:rFonts w:ascii="Times New Roman" w:hAnsi="Times New Roman" w:eastAsia="仿宋_GB2312"/>
          <w:kern w:val="0"/>
          <w:sz w:val="28"/>
          <w:szCs w:val="28"/>
          <w:u w:val="single"/>
        </w:rPr>
      </w:pPr>
    </w:p>
    <w:p w14:paraId="299AC6FC">
      <w:pPr>
        <w:pStyle w:val="226"/>
        <w:pBdr>
          <w:bottom w:val="double" w:color="auto" w:sz="4" w:space="0"/>
        </w:pBdr>
        <w:rPr>
          <w:rFonts w:ascii="Times New Roman" w:hAnsi="Times New Roman" w:eastAsia="仿宋_GB2312"/>
          <w:kern w:val="0"/>
          <w:sz w:val="28"/>
          <w:szCs w:val="28"/>
          <w:u w:val="single"/>
        </w:rPr>
      </w:pPr>
    </w:p>
    <w:p w14:paraId="2D2686E0">
      <w:pPr>
        <w:pStyle w:val="226"/>
        <w:pBdr>
          <w:bottom w:val="double" w:color="auto" w:sz="4" w:space="0"/>
        </w:pBdr>
        <w:rPr>
          <w:rFonts w:ascii="Times New Roman" w:hAnsi="Times New Roman" w:eastAsia="仿宋_GB2312"/>
          <w:kern w:val="0"/>
          <w:sz w:val="28"/>
          <w:szCs w:val="28"/>
          <w:u w:val="single"/>
        </w:rPr>
      </w:pPr>
    </w:p>
    <w:p w14:paraId="1BAF47E1">
      <w:pPr>
        <w:pStyle w:val="226"/>
        <w:pBdr>
          <w:bottom w:val="double" w:color="auto" w:sz="4" w:space="0"/>
        </w:pBdr>
        <w:rPr>
          <w:rFonts w:ascii="Times New Roman" w:hAnsi="Times New Roman" w:eastAsia="仿宋_GB2312"/>
          <w:kern w:val="0"/>
          <w:sz w:val="28"/>
          <w:szCs w:val="28"/>
          <w:u w:val="single"/>
        </w:rPr>
      </w:pPr>
    </w:p>
    <w:p w14:paraId="41236353">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71124F57">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3DD04BC8">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2、供应商提供的《残疾人福利性单位声明函》与事实不符的，依照《政府采购法》第七十七条第一款的规定追究法律责任。</w:t>
      </w:r>
    </w:p>
    <w:p w14:paraId="44580C62">
      <w:pPr>
        <w:jc w:val="center"/>
        <w:rPr>
          <w:rFonts w:hint="default" w:ascii="Times New Roman" w:hAnsi="Times New Roman" w:eastAsia="方正小标宋_GBK"/>
          <w:color w:val="auto"/>
          <w:sz w:val="30"/>
          <w:szCs w:val="30"/>
          <w:lang w:val="en-US" w:eastAsia="zh-CN"/>
        </w:rPr>
      </w:pPr>
    </w:p>
    <w:p w14:paraId="658465AE">
      <w:pPr>
        <w:spacing w:line="360" w:lineRule="auto"/>
        <w:jc w:val="center"/>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eastAsia="方正小标宋_GBK" w:cs="Times New Roman"/>
          <w:bCs/>
          <w:color w:val="auto"/>
          <w:kern w:val="0"/>
          <w:sz w:val="30"/>
          <w:szCs w:val="30"/>
          <w:lang w:eastAsia="zh-CN"/>
        </w:rPr>
        <w:br w:type="page"/>
      </w:r>
      <w:r>
        <w:rPr>
          <w:rFonts w:hint="default" w:ascii="Times New Roman" w:hAnsi="Times New Roman" w:eastAsia="方正小标宋_GBK" w:cs="Times New Roman"/>
          <w:bCs/>
          <w:color w:val="auto"/>
          <w:kern w:val="0"/>
          <w:sz w:val="30"/>
          <w:szCs w:val="30"/>
          <w:lang w:eastAsia="zh-CN"/>
        </w:rPr>
        <w:t>商品包装和快递包装承诺书</w:t>
      </w:r>
    </w:p>
    <w:p w14:paraId="4790131C">
      <w:pPr>
        <w:spacing w:line="360" w:lineRule="auto"/>
        <w:rPr>
          <w:rFonts w:hint="default" w:ascii="Times New Roman" w:hAnsi="Times New Roman" w:eastAsia="仿宋_GB2312" w:cs="Times New Roman"/>
          <w:color w:val="auto"/>
          <w:sz w:val="28"/>
          <w:szCs w:val="28"/>
          <w:lang w:eastAsia="zh-CN"/>
        </w:rPr>
      </w:pPr>
    </w:p>
    <w:p w14:paraId="04D86FD7">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 w:eastAsia="zh-CN"/>
        </w:rPr>
        <w:t>郑州信息科技职业学院</w:t>
      </w:r>
    </w:p>
    <w:p w14:paraId="16439FC8">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 w:eastAsia="zh-CN"/>
        </w:rPr>
        <w:t>豫财招标采购-2025-1164</w:t>
      </w:r>
      <w:r>
        <w:rPr>
          <w:rFonts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 w:eastAsia="zh-CN"/>
        </w:rPr>
        <w:t>郑州信息科技职业学院东校区加装电梯-电梯采购及安装项目</w:t>
      </w:r>
      <w:r>
        <w:rPr>
          <w:rFonts w:hint="default" w:ascii="Times New Roman" w:hAnsi="Times New Roman" w:eastAsia="仿宋_GB2312" w:cs="Times New Roman"/>
          <w:color w:val="auto"/>
          <w:sz w:val="28"/>
          <w:szCs w:val="28"/>
          <w:lang w:eastAsia="zh-CN"/>
        </w:rPr>
        <w:t>的投标,并做出如下承诺：</w:t>
      </w:r>
    </w:p>
    <w:p w14:paraId="616D260A">
      <w:pPr>
        <w:spacing w:line="52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14:paraId="27728C13">
      <w:pPr>
        <w:spacing w:line="520" w:lineRule="exact"/>
        <w:ind w:firstLine="560" w:firstLineChars="20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1CCC62C8">
      <w:pPr>
        <w:pStyle w:val="99"/>
        <w:rPr>
          <w:rFonts w:ascii="Times New Roman" w:hAnsi="Times New Roman" w:eastAsia="仿宋_GB2312" w:cs="Times New Roman"/>
          <w:color w:val="auto"/>
          <w:kern w:val="2"/>
          <w:sz w:val="28"/>
          <w:szCs w:val="28"/>
          <w:lang w:val="en"/>
        </w:rPr>
      </w:pPr>
    </w:p>
    <w:p w14:paraId="3DBAD110">
      <w:pPr>
        <w:pStyle w:val="40"/>
        <w:ind w:left="980" w:hanging="560"/>
        <w:rPr>
          <w:rFonts w:hint="default" w:eastAsia="仿宋_GB2312" w:cs="Times New Roman"/>
          <w:color w:val="auto"/>
          <w:sz w:val="28"/>
          <w:szCs w:val="28"/>
          <w:lang w:val="en" w:eastAsia="zh-CN"/>
        </w:rPr>
      </w:pPr>
    </w:p>
    <w:p w14:paraId="39681D03">
      <w:pPr>
        <w:rPr>
          <w:rFonts w:hint="default" w:ascii="Times New Roman" w:hAnsi="Times New Roman" w:cs="Times New Roman"/>
          <w:color w:val="auto"/>
          <w:lang w:val="en" w:eastAsia="zh-CN"/>
        </w:rPr>
      </w:pPr>
    </w:p>
    <w:p w14:paraId="229355E1">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D111332">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2E26D89F">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2F30CEA0">
      <w:pPr>
        <w:pStyle w:val="46"/>
        <w:spacing w:line="520" w:lineRule="exact"/>
        <w:ind w:firstLine="4771" w:firstLineChars="1704"/>
        <w:rPr>
          <w:rFonts w:ascii="Times New Roman" w:hAnsi="Times New Roman" w:eastAsia="仿宋_GB2312" w:cs="Times New Roman"/>
          <w:kern w:val="2"/>
          <w:sz w:val="28"/>
          <w:szCs w:val="28"/>
          <w:lang w:val="zh-TW"/>
        </w:rPr>
      </w:pPr>
    </w:p>
    <w:p w14:paraId="16C67AE5">
      <w:pPr>
        <w:ind w:firstLine="420" w:firstLineChars="200"/>
        <w:rPr>
          <w:rFonts w:hint="default" w:ascii="Times New Roman" w:hAnsi="Times New Roman" w:eastAsia="宋体" w:cs="Times New Roman"/>
          <w:color w:val="auto"/>
          <w:lang w:val="en-US" w:eastAsia="zh-CN"/>
        </w:rPr>
      </w:pPr>
    </w:p>
    <w:p w14:paraId="16847452">
      <w:pPr>
        <w:ind w:firstLine="420" w:firstLineChars="200"/>
        <w:rPr>
          <w:rFonts w:hint="default" w:ascii="Times New Roman" w:hAnsi="Times New Roman" w:eastAsia="宋体" w:cs="Times New Roman"/>
          <w:color w:val="auto"/>
          <w:lang w:val="en-US" w:eastAsia="zh-CN"/>
        </w:rPr>
      </w:pPr>
    </w:p>
    <w:p w14:paraId="66D12E77">
      <w:pPr>
        <w:spacing w:line="360" w:lineRule="auto"/>
        <w:ind w:left="645" w:firstLine="2640"/>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ascii="Times New Roman" w:hAnsi="Times New Roman" w:eastAsia="方正小标宋_GBK" w:cs="Times New Roman"/>
          <w:bCs/>
          <w:color w:val="auto"/>
          <w:kern w:val="0"/>
          <w:sz w:val="30"/>
          <w:szCs w:val="30"/>
          <w:lang w:val="en-US" w:eastAsia="zh-CN"/>
        </w:rPr>
        <w:t>五</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lang w:eastAsia="zh-CN"/>
        </w:rPr>
        <w:t>商务条款偏离表</w:t>
      </w:r>
      <w:bookmarkEnd w:id="400"/>
      <w:bookmarkEnd w:id="401"/>
      <w:bookmarkEnd w:id="407"/>
      <w:bookmarkEnd w:id="408"/>
      <w:bookmarkEnd w:id="409"/>
      <w:bookmarkEnd w:id="410"/>
      <w:bookmarkEnd w:id="411"/>
    </w:p>
    <w:p w14:paraId="0C639A3E">
      <w:pPr>
        <w:pStyle w:val="24"/>
        <w:spacing w:line="360" w:lineRule="auto"/>
        <w:ind w:left="269" w:leftChars="128"/>
        <w:rPr>
          <w:rFonts w:ascii="Times New Roman" w:hAnsi="Times New Roman"/>
          <w:sz w:val="24"/>
          <w:szCs w:val="24"/>
          <w:lang w:eastAsia="zh-CN"/>
        </w:rPr>
      </w:pPr>
      <w:r>
        <w:rPr>
          <w:rFonts w:ascii="Times New Roman" w:hAnsi="Times New Roman"/>
          <w:sz w:val="24"/>
          <w:szCs w:val="24"/>
          <w:lang w:eastAsia="zh-CN"/>
        </w:rPr>
        <w:t xml:space="preserve">  </w:t>
      </w:r>
    </w:p>
    <w:tbl>
      <w:tblPr>
        <w:tblStyle w:val="52"/>
        <w:tblW w:w="0" w:type="auto"/>
        <w:tblInd w:w="-10" w:type="dxa"/>
        <w:tblLayout w:type="fixed"/>
        <w:tblCellMar>
          <w:top w:w="0" w:type="dxa"/>
          <w:left w:w="108" w:type="dxa"/>
          <w:bottom w:w="0" w:type="dxa"/>
          <w:right w:w="108" w:type="dxa"/>
        </w:tblCellMar>
      </w:tblPr>
      <w:tblGrid>
        <w:gridCol w:w="5775"/>
        <w:gridCol w:w="2738"/>
      </w:tblGrid>
      <w:tr w14:paraId="79660142">
        <w:tc>
          <w:tcPr>
            <w:tcW w:w="5775" w:type="dxa"/>
          </w:tcPr>
          <w:p w14:paraId="0487129A">
            <w:pPr>
              <w:spacing w:line="440" w:lineRule="exact"/>
              <w:rPr>
                <w:rFonts w:hint="default" w:ascii="Times New Roman" w:hAnsi="Times New Roman" w:eastAsia="仿宋_GB2312" w:cs="Times New Roman"/>
                <w:bCs/>
                <w:color w:val="auto"/>
                <w:sz w:val="28"/>
                <w:szCs w:val="28"/>
                <w:lang w:val="en-US" w:eastAsia="zh-CN"/>
              </w:rPr>
            </w:pPr>
            <w:r>
              <w:rPr>
                <w:rFonts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color w:val="auto"/>
                <w:sz w:val="28"/>
                <w:szCs w:val="28"/>
                <w:u w:val="single"/>
                <w:lang w:val="en" w:eastAsia="zh-CN"/>
              </w:rPr>
              <w:t>豫财招标采购-2025-1164</w:t>
            </w:r>
            <w:r>
              <w:rPr>
                <w:rFonts w:ascii="Times New Roman" w:hAnsi="Times New Roman" w:eastAsia="仿宋_GB2312" w:cs="Times New Roman"/>
                <w:color w:val="auto"/>
                <w:sz w:val="28"/>
                <w:szCs w:val="28"/>
                <w:u w:val="single"/>
                <w:lang w:val="en-US" w:eastAsia="zh-CN"/>
              </w:rPr>
              <w:t xml:space="preserve"> </w:t>
            </w:r>
          </w:p>
        </w:tc>
        <w:tc>
          <w:tcPr>
            <w:tcW w:w="2738" w:type="dxa"/>
          </w:tcPr>
          <w:p w14:paraId="4D2D299F">
            <w:pPr>
              <w:spacing w:line="440" w:lineRule="exact"/>
              <w:rPr>
                <w:rFonts w:hint="default" w:ascii="Times New Roman" w:hAnsi="Times New Roman" w:eastAsia="仿宋_GB2312" w:cs="Times New Roman"/>
                <w:bCs/>
                <w:color w:val="auto"/>
                <w:sz w:val="28"/>
                <w:szCs w:val="28"/>
                <w:u w:val="single"/>
                <w:lang w:val="en-US" w:eastAsia="zh-CN"/>
              </w:rPr>
            </w:pPr>
          </w:p>
        </w:tc>
      </w:tr>
    </w:tbl>
    <w:p w14:paraId="05B1FF23">
      <w:pPr>
        <w:pStyle w:val="24"/>
        <w:spacing w:line="360" w:lineRule="auto"/>
        <w:ind w:left="269" w:leftChars="128"/>
        <w:rPr>
          <w:rFonts w:ascii="Times New Roman" w:hAnsi="Times New Roman"/>
          <w:sz w:val="2"/>
          <w:szCs w:val="2"/>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14:paraId="5790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vAlign w:val="center"/>
          </w:tcPr>
          <w:p w14:paraId="6249CEA8">
            <w:pPr>
              <w:pStyle w:val="24"/>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序号</w:t>
            </w:r>
          </w:p>
        </w:tc>
        <w:tc>
          <w:tcPr>
            <w:tcW w:w="3109" w:type="dxa"/>
            <w:vAlign w:val="center"/>
          </w:tcPr>
          <w:p w14:paraId="297B334B">
            <w:pPr>
              <w:pStyle w:val="24"/>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招标文件的商务条款</w:t>
            </w:r>
          </w:p>
        </w:tc>
        <w:tc>
          <w:tcPr>
            <w:tcW w:w="3109" w:type="dxa"/>
            <w:vAlign w:val="center"/>
          </w:tcPr>
          <w:p w14:paraId="30BEF983">
            <w:pPr>
              <w:pStyle w:val="24"/>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投标文件的商务条款</w:t>
            </w:r>
          </w:p>
        </w:tc>
        <w:tc>
          <w:tcPr>
            <w:tcW w:w="1110" w:type="dxa"/>
            <w:vAlign w:val="center"/>
          </w:tcPr>
          <w:p w14:paraId="28CC022D">
            <w:pPr>
              <w:pStyle w:val="24"/>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说明</w:t>
            </w:r>
          </w:p>
        </w:tc>
      </w:tr>
      <w:tr w14:paraId="17C1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03A12D51">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2C5A8473">
            <w:pPr>
              <w:pStyle w:val="24"/>
              <w:spacing w:line="360" w:lineRule="auto"/>
              <w:ind w:left="540" w:leftChars="257" w:firstLine="480"/>
              <w:jc w:val="center"/>
              <w:rPr>
                <w:rFonts w:ascii="Times New Roman" w:hAnsi="Times New Roman"/>
                <w:kern w:val="2"/>
                <w:sz w:val="24"/>
                <w:szCs w:val="24"/>
                <w:lang w:val="en-US" w:eastAsia="zh-CN"/>
              </w:rPr>
            </w:pPr>
          </w:p>
        </w:tc>
        <w:tc>
          <w:tcPr>
            <w:tcW w:w="3109" w:type="dxa"/>
          </w:tcPr>
          <w:p w14:paraId="3806DFFB">
            <w:pPr>
              <w:pStyle w:val="24"/>
              <w:spacing w:line="360" w:lineRule="auto"/>
              <w:ind w:left="540" w:leftChars="257" w:firstLine="480"/>
              <w:jc w:val="center"/>
              <w:rPr>
                <w:rFonts w:ascii="Times New Roman" w:hAnsi="Times New Roman"/>
                <w:kern w:val="2"/>
                <w:sz w:val="24"/>
                <w:szCs w:val="24"/>
                <w:lang w:val="en-US" w:eastAsia="zh-CN"/>
              </w:rPr>
            </w:pPr>
          </w:p>
        </w:tc>
        <w:tc>
          <w:tcPr>
            <w:tcW w:w="1110" w:type="dxa"/>
          </w:tcPr>
          <w:p w14:paraId="090A8CAA">
            <w:pPr>
              <w:pStyle w:val="24"/>
              <w:spacing w:line="360" w:lineRule="auto"/>
              <w:ind w:left="540" w:leftChars="257" w:firstLine="480"/>
              <w:rPr>
                <w:rFonts w:ascii="Times New Roman" w:hAnsi="Times New Roman"/>
                <w:kern w:val="2"/>
                <w:sz w:val="24"/>
                <w:szCs w:val="24"/>
                <w:lang w:val="en-US" w:eastAsia="zh-CN"/>
              </w:rPr>
            </w:pPr>
          </w:p>
        </w:tc>
      </w:tr>
      <w:tr w14:paraId="5E71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48B58157">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5C3F1088">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60FE27EB">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0B6AA6F1">
            <w:pPr>
              <w:pStyle w:val="24"/>
              <w:spacing w:line="360" w:lineRule="auto"/>
              <w:ind w:left="540" w:leftChars="257" w:firstLine="480"/>
              <w:rPr>
                <w:rFonts w:ascii="Times New Roman" w:hAnsi="Times New Roman"/>
                <w:kern w:val="2"/>
                <w:sz w:val="24"/>
                <w:szCs w:val="24"/>
                <w:lang w:val="en-US" w:eastAsia="zh-CN"/>
              </w:rPr>
            </w:pPr>
          </w:p>
        </w:tc>
      </w:tr>
      <w:tr w14:paraId="52AA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5BBB1C66">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1B34F918">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4FBEA331">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09CFB35E">
            <w:pPr>
              <w:pStyle w:val="24"/>
              <w:spacing w:line="360" w:lineRule="auto"/>
              <w:ind w:left="540" w:leftChars="257" w:firstLine="480"/>
              <w:rPr>
                <w:rFonts w:ascii="Times New Roman" w:hAnsi="Times New Roman"/>
                <w:kern w:val="2"/>
                <w:sz w:val="24"/>
                <w:szCs w:val="24"/>
                <w:lang w:val="en-US" w:eastAsia="zh-CN"/>
              </w:rPr>
            </w:pPr>
          </w:p>
        </w:tc>
      </w:tr>
      <w:tr w14:paraId="257E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686462B1">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7F0546E6">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2B3ADA7A">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694B3E69">
            <w:pPr>
              <w:pStyle w:val="24"/>
              <w:spacing w:line="360" w:lineRule="auto"/>
              <w:ind w:left="540" w:leftChars="257" w:firstLine="480"/>
              <w:rPr>
                <w:rFonts w:ascii="Times New Roman" w:hAnsi="Times New Roman"/>
                <w:kern w:val="2"/>
                <w:sz w:val="24"/>
                <w:szCs w:val="24"/>
                <w:lang w:val="en-US" w:eastAsia="zh-CN"/>
              </w:rPr>
            </w:pPr>
          </w:p>
        </w:tc>
      </w:tr>
      <w:tr w14:paraId="2AB4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2517FF4B">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0695BD67">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7B145096">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257AE899">
            <w:pPr>
              <w:pStyle w:val="24"/>
              <w:spacing w:line="360" w:lineRule="auto"/>
              <w:ind w:left="540" w:leftChars="257" w:firstLine="480"/>
              <w:rPr>
                <w:rFonts w:ascii="Times New Roman" w:hAnsi="Times New Roman"/>
                <w:kern w:val="2"/>
                <w:sz w:val="24"/>
                <w:szCs w:val="24"/>
                <w:lang w:val="en-US" w:eastAsia="zh-CN"/>
              </w:rPr>
            </w:pPr>
          </w:p>
        </w:tc>
      </w:tr>
      <w:tr w14:paraId="6990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0D9AD01">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5FB212EA">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5F0463B5">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0336A98E">
            <w:pPr>
              <w:pStyle w:val="24"/>
              <w:spacing w:line="360" w:lineRule="auto"/>
              <w:ind w:left="540" w:leftChars="257" w:firstLine="480"/>
              <w:rPr>
                <w:rFonts w:ascii="Times New Roman" w:hAnsi="Times New Roman"/>
                <w:kern w:val="2"/>
                <w:sz w:val="24"/>
                <w:szCs w:val="24"/>
                <w:lang w:val="en-US" w:eastAsia="zh-CN"/>
              </w:rPr>
            </w:pPr>
          </w:p>
        </w:tc>
      </w:tr>
      <w:tr w14:paraId="50F4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45D81C1F">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1B83D857">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5679501B">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78B9BC73">
            <w:pPr>
              <w:pStyle w:val="24"/>
              <w:spacing w:line="360" w:lineRule="auto"/>
              <w:ind w:left="540" w:leftChars="257" w:firstLine="480"/>
              <w:rPr>
                <w:rFonts w:ascii="Times New Roman" w:hAnsi="Times New Roman"/>
                <w:kern w:val="2"/>
                <w:sz w:val="24"/>
                <w:szCs w:val="24"/>
                <w:lang w:val="en-US" w:eastAsia="zh-CN"/>
              </w:rPr>
            </w:pPr>
          </w:p>
        </w:tc>
      </w:tr>
      <w:tr w14:paraId="0A12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8D58A7F">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2F0E8A57">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74569BE6">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59393A7F">
            <w:pPr>
              <w:pStyle w:val="24"/>
              <w:spacing w:line="360" w:lineRule="auto"/>
              <w:ind w:left="540" w:leftChars="257" w:firstLine="480"/>
              <w:rPr>
                <w:rFonts w:ascii="Times New Roman" w:hAnsi="Times New Roman"/>
                <w:kern w:val="2"/>
                <w:sz w:val="24"/>
                <w:szCs w:val="24"/>
                <w:lang w:val="en-US" w:eastAsia="zh-CN"/>
              </w:rPr>
            </w:pPr>
          </w:p>
        </w:tc>
      </w:tr>
      <w:tr w14:paraId="6F26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2C4857E1">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17F2082F">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6FD65B57">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1AF7319A">
            <w:pPr>
              <w:pStyle w:val="24"/>
              <w:spacing w:line="360" w:lineRule="auto"/>
              <w:ind w:left="540" w:leftChars="257" w:firstLine="480"/>
              <w:rPr>
                <w:rFonts w:ascii="Times New Roman" w:hAnsi="Times New Roman"/>
                <w:kern w:val="2"/>
                <w:sz w:val="24"/>
                <w:szCs w:val="24"/>
                <w:lang w:val="en-US" w:eastAsia="zh-CN"/>
              </w:rPr>
            </w:pPr>
          </w:p>
        </w:tc>
      </w:tr>
      <w:tr w14:paraId="4FE9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79DBAB7">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0F9EC03C">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6CA18A1B">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2A49C176">
            <w:pPr>
              <w:pStyle w:val="24"/>
              <w:spacing w:line="360" w:lineRule="auto"/>
              <w:ind w:left="540" w:leftChars="257" w:firstLine="480"/>
              <w:rPr>
                <w:rFonts w:ascii="Times New Roman" w:hAnsi="Times New Roman"/>
                <w:kern w:val="2"/>
                <w:sz w:val="24"/>
                <w:szCs w:val="24"/>
                <w:lang w:val="en-US" w:eastAsia="zh-CN"/>
              </w:rPr>
            </w:pPr>
          </w:p>
        </w:tc>
      </w:tr>
      <w:tr w14:paraId="6C16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tcPr>
          <w:p w14:paraId="4A34F934">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55885780">
            <w:pPr>
              <w:pStyle w:val="24"/>
              <w:spacing w:line="360" w:lineRule="auto"/>
              <w:ind w:left="540" w:leftChars="257" w:firstLine="480"/>
              <w:rPr>
                <w:rFonts w:ascii="Times New Roman" w:hAnsi="Times New Roman"/>
                <w:kern w:val="2"/>
                <w:sz w:val="24"/>
                <w:szCs w:val="24"/>
                <w:lang w:val="en-US" w:eastAsia="zh-CN"/>
              </w:rPr>
            </w:pPr>
          </w:p>
        </w:tc>
        <w:tc>
          <w:tcPr>
            <w:tcW w:w="3109" w:type="dxa"/>
          </w:tcPr>
          <w:p w14:paraId="5054F997">
            <w:pPr>
              <w:pStyle w:val="24"/>
              <w:spacing w:line="360" w:lineRule="auto"/>
              <w:ind w:left="540" w:leftChars="257" w:firstLine="480"/>
              <w:rPr>
                <w:rFonts w:ascii="Times New Roman" w:hAnsi="Times New Roman"/>
                <w:kern w:val="2"/>
                <w:sz w:val="24"/>
                <w:szCs w:val="24"/>
                <w:lang w:val="en-US" w:eastAsia="zh-CN"/>
              </w:rPr>
            </w:pPr>
          </w:p>
        </w:tc>
        <w:tc>
          <w:tcPr>
            <w:tcW w:w="1110" w:type="dxa"/>
          </w:tcPr>
          <w:p w14:paraId="7BE6EDC9">
            <w:pPr>
              <w:pStyle w:val="24"/>
              <w:spacing w:line="360" w:lineRule="auto"/>
              <w:ind w:left="540" w:leftChars="257" w:firstLine="480"/>
              <w:rPr>
                <w:rFonts w:ascii="Times New Roman" w:hAnsi="Times New Roman"/>
                <w:kern w:val="2"/>
                <w:sz w:val="24"/>
                <w:szCs w:val="24"/>
                <w:lang w:val="en-US" w:eastAsia="zh-CN"/>
              </w:rPr>
            </w:pPr>
          </w:p>
        </w:tc>
      </w:tr>
    </w:tbl>
    <w:p w14:paraId="0F050507">
      <w:pPr>
        <w:pStyle w:val="24"/>
        <w:spacing w:line="360" w:lineRule="auto"/>
        <w:rPr>
          <w:rFonts w:ascii="Times New Roman" w:hAnsi="Times New Roman"/>
          <w:sz w:val="24"/>
          <w:szCs w:val="24"/>
        </w:rPr>
      </w:pPr>
    </w:p>
    <w:p w14:paraId="384EEEB6">
      <w:pPr>
        <w:pStyle w:val="24"/>
        <w:spacing w:line="360" w:lineRule="auto"/>
        <w:rPr>
          <w:rFonts w:ascii="Times New Roman" w:hAnsi="Times New Roman"/>
          <w:sz w:val="24"/>
          <w:szCs w:val="24"/>
          <w:lang w:eastAsia="zh-CN"/>
        </w:rPr>
      </w:pPr>
      <w:r>
        <w:rPr>
          <w:rFonts w:ascii="Times New Roman" w:hAnsi="Times New Roman"/>
          <w:sz w:val="24"/>
          <w:szCs w:val="24"/>
          <w:lang w:eastAsia="zh-CN"/>
        </w:rPr>
        <w:t>投标人（企业电子签章）：</w:t>
      </w:r>
      <w:r>
        <w:rPr>
          <w:rFonts w:ascii="Times New Roman" w:hAnsi="Times New Roman"/>
          <w:sz w:val="24"/>
          <w:szCs w:val="24"/>
          <w:u w:val="single"/>
          <w:lang w:eastAsia="zh-CN"/>
        </w:rPr>
        <w:t xml:space="preserve">                 </w:t>
      </w:r>
    </w:p>
    <w:p w14:paraId="6EFAE0DD">
      <w:pPr>
        <w:pStyle w:val="3"/>
        <w:spacing w:before="0" w:after="0" w:line="360" w:lineRule="auto"/>
        <w:jc w:val="center"/>
        <w:rPr>
          <w:rFonts w:ascii="Times New Roman" w:hAnsi="Times New Roman" w:eastAsia="方正小标宋_GBK"/>
          <w:b w:val="0"/>
          <w:color w:val="auto"/>
          <w:sz w:val="30"/>
          <w:szCs w:val="30"/>
        </w:rPr>
      </w:pPr>
      <w:bookmarkStart w:id="412" w:name="_Hlt520350957"/>
      <w:bookmarkEnd w:id="412"/>
      <w:bookmarkStart w:id="413" w:name="_Hlt520350918"/>
      <w:bookmarkEnd w:id="413"/>
      <w:bookmarkStart w:id="414" w:name="_Hlt520273711"/>
      <w:bookmarkEnd w:id="414"/>
      <w:bookmarkStart w:id="415" w:name="_Hlt520343392"/>
      <w:bookmarkEnd w:id="415"/>
      <w:bookmarkStart w:id="416" w:name="_Hlt520274393"/>
      <w:bookmarkEnd w:id="416"/>
      <w:bookmarkStart w:id="417" w:name="_Hlt520273973"/>
      <w:bookmarkEnd w:id="417"/>
      <w:bookmarkStart w:id="418" w:name="_Hlt520343000"/>
      <w:bookmarkEnd w:id="418"/>
      <w:bookmarkStart w:id="419" w:name="_Hlt520274911"/>
      <w:bookmarkEnd w:id="419"/>
      <w:bookmarkStart w:id="420" w:name="_Hlt520274407"/>
      <w:bookmarkEnd w:id="420"/>
      <w:bookmarkStart w:id="421" w:name="_Hlt520271212"/>
      <w:bookmarkEnd w:id="421"/>
      <w:bookmarkStart w:id="422" w:name="_Hlt520274065"/>
      <w:bookmarkEnd w:id="422"/>
      <w:r>
        <w:rPr>
          <w:rFonts w:ascii="Times New Roman" w:hAnsi="Times New Roman"/>
          <w:color w:val="auto"/>
          <w:sz w:val="28"/>
          <w:szCs w:val="28"/>
          <w:lang w:eastAsia="zh-CN"/>
        </w:rPr>
        <w:br w:type="page"/>
      </w:r>
      <w:bookmarkStart w:id="423" w:name="_Toc37830125"/>
      <w:bookmarkStart w:id="424" w:name="_Toc804892690"/>
      <w:bookmarkStart w:id="425" w:name="_Toc960186873"/>
      <w:bookmarkStart w:id="426" w:name="_Toc987616865"/>
      <w:bookmarkStart w:id="427" w:name="_Toc104654542"/>
      <w:bookmarkStart w:id="428" w:name="_Toc142693684"/>
      <w:bookmarkStart w:id="429" w:name="_Toc1764653932"/>
      <w:r>
        <w:rPr>
          <w:rFonts w:hint="eastAsia" w:ascii="Times New Roman" w:hAnsi="Times New Roman" w:eastAsia="方正小标宋_GBK"/>
          <w:b w:val="0"/>
          <w:color w:val="auto"/>
          <w:sz w:val="30"/>
          <w:szCs w:val="30"/>
          <w:lang w:val="en-US" w:eastAsia="zh-CN"/>
        </w:rPr>
        <w:t>六</w:t>
      </w:r>
      <w:r>
        <w:rPr>
          <w:rFonts w:ascii="Times New Roman" w:hAnsi="Times New Roman" w:eastAsia="方正小标宋_GBK"/>
          <w:b w:val="0"/>
          <w:color w:val="auto"/>
          <w:sz w:val="30"/>
          <w:szCs w:val="30"/>
          <w:lang w:val="en-US" w:eastAsia="zh-CN"/>
        </w:rPr>
        <w:t>、</w:t>
      </w:r>
      <w:r>
        <w:rPr>
          <w:rFonts w:ascii="Times New Roman" w:hAnsi="Times New Roman" w:eastAsia="方正小标宋_GBK"/>
          <w:b w:val="0"/>
          <w:color w:val="auto"/>
          <w:sz w:val="30"/>
          <w:szCs w:val="30"/>
        </w:rPr>
        <w:t>技术规格偏离表</w:t>
      </w:r>
      <w:bookmarkEnd w:id="402"/>
      <w:bookmarkEnd w:id="403"/>
      <w:bookmarkEnd w:id="404"/>
      <w:bookmarkEnd w:id="405"/>
      <w:bookmarkEnd w:id="423"/>
      <w:bookmarkEnd w:id="424"/>
      <w:bookmarkEnd w:id="425"/>
      <w:bookmarkEnd w:id="426"/>
      <w:bookmarkEnd w:id="427"/>
      <w:bookmarkEnd w:id="428"/>
      <w:bookmarkEnd w:id="429"/>
    </w:p>
    <w:p w14:paraId="0CA29B09">
      <w:pPr>
        <w:pStyle w:val="24"/>
        <w:spacing w:line="360" w:lineRule="auto"/>
        <w:ind w:left="540" w:leftChars="257" w:firstLine="480"/>
        <w:rPr>
          <w:rFonts w:ascii="Times New Roman" w:hAnsi="Times New Roman"/>
          <w:sz w:val="24"/>
          <w:szCs w:val="24"/>
        </w:rPr>
      </w:pPr>
    </w:p>
    <w:tbl>
      <w:tblPr>
        <w:tblStyle w:val="52"/>
        <w:tblW w:w="0" w:type="auto"/>
        <w:tblInd w:w="-47" w:type="dxa"/>
        <w:tblLayout w:type="fixed"/>
        <w:tblCellMar>
          <w:top w:w="0" w:type="dxa"/>
          <w:left w:w="108" w:type="dxa"/>
          <w:bottom w:w="0" w:type="dxa"/>
          <w:right w:w="108" w:type="dxa"/>
        </w:tblCellMar>
      </w:tblPr>
      <w:tblGrid>
        <w:gridCol w:w="5812"/>
        <w:gridCol w:w="2788"/>
      </w:tblGrid>
      <w:tr w14:paraId="6E36078D">
        <w:tblPrEx>
          <w:tblCellMar>
            <w:top w:w="0" w:type="dxa"/>
            <w:left w:w="108" w:type="dxa"/>
            <w:bottom w:w="0" w:type="dxa"/>
            <w:right w:w="108" w:type="dxa"/>
          </w:tblCellMar>
        </w:tblPrEx>
        <w:tc>
          <w:tcPr>
            <w:tcW w:w="5812" w:type="dxa"/>
          </w:tcPr>
          <w:p w14:paraId="1060BC92">
            <w:pPr>
              <w:spacing w:line="440" w:lineRule="exact"/>
              <w:rPr>
                <w:rFonts w:hint="default" w:ascii="Times New Roman" w:hAnsi="Times New Roman" w:eastAsia="仿宋_GB2312" w:cs="Times New Roman"/>
                <w:bCs/>
                <w:color w:val="auto"/>
                <w:sz w:val="28"/>
                <w:szCs w:val="28"/>
                <w:lang w:val="en" w:eastAsia="zh-CN"/>
              </w:rPr>
            </w:pPr>
            <w:r>
              <w:rPr>
                <w:rFonts w:ascii="Times New Roman" w:hAnsi="Times New Roman" w:eastAsia="仿宋_GB2312" w:cs="Times New Roman"/>
                <w:bCs/>
                <w:color w:val="auto"/>
                <w:sz w:val="28"/>
                <w:szCs w:val="28"/>
                <w:lang w:eastAsia="zh-CN"/>
              </w:rPr>
              <w:t>采购编号：豫财招标采购-2025-1164</w:t>
            </w:r>
          </w:p>
        </w:tc>
        <w:tc>
          <w:tcPr>
            <w:tcW w:w="2788" w:type="dxa"/>
          </w:tcPr>
          <w:p w14:paraId="2AFD2BB0">
            <w:pPr>
              <w:spacing w:line="440" w:lineRule="exact"/>
              <w:rPr>
                <w:rFonts w:hint="default" w:ascii="Times New Roman" w:hAnsi="Times New Roman" w:eastAsia="仿宋_GB2312" w:cs="Times New Roman"/>
                <w:bCs/>
                <w:color w:val="auto"/>
                <w:sz w:val="28"/>
                <w:szCs w:val="28"/>
                <w:u w:val="single"/>
                <w:lang w:val="en-US" w:eastAsia="zh-CN"/>
              </w:rPr>
            </w:pPr>
          </w:p>
        </w:tc>
      </w:tr>
    </w:tbl>
    <w:p w14:paraId="06A93F3F">
      <w:pPr>
        <w:pStyle w:val="24"/>
        <w:spacing w:line="360" w:lineRule="auto"/>
        <w:rPr>
          <w:rFonts w:ascii="Times New Roman" w:hAnsi="Times New Roman"/>
          <w:sz w:val="2"/>
          <w:szCs w:val="2"/>
          <w:lang w:val="en-US" w:eastAsia="zh-CN"/>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4C2A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49773BA4">
            <w:pPr>
              <w:pStyle w:val="24"/>
              <w:spacing w:line="360" w:lineRule="auto"/>
              <w:ind w:left="-31" w:leftChars="-15"/>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序号</w:t>
            </w:r>
          </w:p>
        </w:tc>
        <w:tc>
          <w:tcPr>
            <w:tcW w:w="3195" w:type="dxa"/>
            <w:vAlign w:val="center"/>
          </w:tcPr>
          <w:p w14:paraId="67AF5597">
            <w:pPr>
              <w:pStyle w:val="24"/>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货物名称及伴随服务内容</w:t>
            </w:r>
          </w:p>
        </w:tc>
        <w:tc>
          <w:tcPr>
            <w:tcW w:w="1245" w:type="dxa"/>
            <w:vAlign w:val="center"/>
          </w:tcPr>
          <w:p w14:paraId="07B00E98">
            <w:pPr>
              <w:pStyle w:val="24"/>
              <w:spacing w:line="360" w:lineRule="auto"/>
              <w:ind w:left="-206" w:leftChars="-98" w:right="-166" w:rightChars="-79"/>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招标要求</w:t>
            </w:r>
          </w:p>
        </w:tc>
        <w:tc>
          <w:tcPr>
            <w:tcW w:w="1320" w:type="dxa"/>
            <w:vAlign w:val="center"/>
          </w:tcPr>
          <w:p w14:paraId="796A8BC3">
            <w:pPr>
              <w:pStyle w:val="24"/>
              <w:spacing w:line="360" w:lineRule="auto"/>
              <w:ind w:left="-48" w:leftChars="-23"/>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投标响应</w:t>
            </w:r>
          </w:p>
        </w:tc>
        <w:tc>
          <w:tcPr>
            <w:tcW w:w="1050" w:type="dxa"/>
            <w:vAlign w:val="center"/>
          </w:tcPr>
          <w:p w14:paraId="39E07DA0">
            <w:pPr>
              <w:pStyle w:val="24"/>
              <w:spacing w:line="360" w:lineRule="auto"/>
              <w:ind w:left="-34" w:leftChars="-16"/>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偏离</w:t>
            </w:r>
          </w:p>
        </w:tc>
        <w:tc>
          <w:tcPr>
            <w:tcW w:w="1068" w:type="dxa"/>
            <w:vAlign w:val="center"/>
          </w:tcPr>
          <w:p w14:paraId="4F4AD12E">
            <w:pPr>
              <w:pStyle w:val="24"/>
              <w:spacing w:line="360" w:lineRule="auto"/>
              <w:ind w:left="-82" w:leftChars="-39"/>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说明</w:t>
            </w:r>
          </w:p>
        </w:tc>
      </w:tr>
      <w:tr w14:paraId="197C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8F64460">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5C676F6A">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0510572F">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19F5417A">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4692D41B">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331AB2BA">
            <w:pPr>
              <w:pStyle w:val="24"/>
              <w:spacing w:line="360" w:lineRule="auto"/>
              <w:ind w:left="540" w:leftChars="257" w:firstLine="480"/>
              <w:rPr>
                <w:rFonts w:ascii="Times New Roman" w:hAnsi="Times New Roman"/>
                <w:kern w:val="2"/>
                <w:sz w:val="24"/>
                <w:szCs w:val="24"/>
                <w:lang w:val="en-US" w:eastAsia="zh-CN"/>
              </w:rPr>
            </w:pPr>
          </w:p>
        </w:tc>
      </w:tr>
      <w:tr w14:paraId="552E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215756E">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40D6F589">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12B35305">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0A208D1E">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5E2605FA">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67A6A7D6">
            <w:pPr>
              <w:pStyle w:val="24"/>
              <w:spacing w:line="360" w:lineRule="auto"/>
              <w:ind w:left="540" w:leftChars="257" w:firstLine="480"/>
              <w:rPr>
                <w:rFonts w:ascii="Times New Roman" w:hAnsi="Times New Roman"/>
                <w:kern w:val="2"/>
                <w:sz w:val="24"/>
                <w:szCs w:val="24"/>
                <w:lang w:val="en-US" w:eastAsia="zh-CN"/>
              </w:rPr>
            </w:pPr>
          </w:p>
        </w:tc>
      </w:tr>
      <w:tr w14:paraId="15FB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2E69D4B">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4BA9DB24">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7BAC7CB2">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4F6AEA00">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711D9CE4">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2B0D959D">
            <w:pPr>
              <w:pStyle w:val="24"/>
              <w:spacing w:line="360" w:lineRule="auto"/>
              <w:ind w:left="540" w:leftChars="257" w:firstLine="480"/>
              <w:rPr>
                <w:rFonts w:ascii="Times New Roman" w:hAnsi="Times New Roman"/>
                <w:kern w:val="2"/>
                <w:sz w:val="24"/>
                <w:szCs w:val="24"/>
                <w:lang w:val="en-US" w:eastAsia="zh-CN"/>
              </w:rPr>
            </w:pPr>
          </w:p>
        </w:tc>
      </w:tr>
      <w:tr w14:paraId="3F33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7EBE271">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073C9734">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54A6A9CF">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447537DE">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42786044">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1700835A">
            <w:pPr>
              <w:pStyle w:val="24"/>
              <w:spacing w:line="360" w:lineRule="auto"/>
              <w:ind w:left="540" w:leftChars="257" w:firstLine="480"/>
              <w:rPr>
                <w:rFonts w:ascii="Times New Roman" w:hAnsi="Times New Roman"/>
                <w:kern w:val="2"/>
                <w:sz w:val="24"/>
                <w:szCs w:val="24"/>
                <w:lang w:val="en-US" w:eastAsia="zh-CN"/>
              </w:rPr>
            </w:pPr>
          </w:p>
        </w:tc>
      </w:tr>
      <w:tr w14:paraId="10E1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D187BED">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5243BB1C">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3E1F509F">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57103FD1">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00E0BE61">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2C4792E3">
            <w:pPr>
              <w:pStyle w:val="24"/>
              <w:spacing w:line="360" w:lineRule="auto"/>
              <w:ind w:left="540" w:leftChars="257" w:firstLine="480"/>
              <w:rPr>
                <w:rFonts w:ascii="Times New Roman" w:hAnsi="Times New Roman"/>
                <w:kern w:val="2"/>
                <w:sz w:val="24"/>
                <w:szCs w:val="24"/>
                <w:lang w:val="en-US" w:eastAsia="zh-CN"/>
              </w:rPr>
            </w:pPr>
          </w:p>
        </w:tc>
      </w:tr>
      <w:tr w14:paraId="5C30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4610084">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26292AD7">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638E3EB8">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1A180B3A">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2BCED5F1">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505A9CD3">
            <w:pPr>
              <w:pStyle w:val="24"/>
              <w:spacing w:line="360" w:lineRule="auto"/>
              <w:ind w:left="540" w:leftChars="257" w:firstLine="480"/>
              <w:rPr>
                <w:rFonts w:ascii="Times New Roman" w:hAnsi="Times New Roman"/>
                <w:kern w:val="2"/>
                <w:sz w:val="24"/>
                <w:szCs w:val="24"/>
                <w:lang w:val="en-US" w:eastAsia="zh-CN"/>
              </w:rPr>
            </w:pPr>
          </w:p>
        </w:tc>
      </w:tr>
      <w:tr w14:paraId="4E7F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B251B56">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72C9A7D9">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086F873A">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2B03D702">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2055BC9F">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4D27DC73">
            <w:pPr>
              <w:pStyle w:val="24"/>
              <w:spacing w:line="360" w:lineRule="auto"/>
              <w:ind w:left="540" w:leftChars="257" w:firstLine="480"/>
              <w:rPr>
                <w:rFonts w:ascii="Times New Roman" w:hAnsi="Times New Roman"/>
                <w:kern w:val="2"/>
                <w:sz w:val="24"/>
                <w:szCs w:val="24"/>
                <w:lang w:val="en-US" w:eastAsia="zh-CN"/>
              </w:rPr>
            </w:pPr>
          </w:p>
        </w:tc>
      </w:tr>
      <w:tr w14:paraId="2B7E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9A9B556">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667D828C">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0AD961E2">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7E09A5C7">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14908CDE">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513CF516">
            <w:pPr>
              <w:pStyle w:val="24"/>
              <w:spacing w:line="360" w:lineRule="auto"/>
              <w:ind w:left="540" w:leftChars="257" w:firstLine="480"/>
              <w:rPr>
                <w:rFonts w:ascii="Times New Roman" w:hAnsi="Times New Roman"/>
                <w:kern w:val="2"/>
                <w:sz w:val="24"/>
                <w:szCs w:val="24"/>
                <w:lang w:val="en-US" w:eastAsia="zh-CN"/>
              </w:rPr>
            </w:pPr>
          </w:p>
        </w:tc>
      </w:tr>
      <w:tr w14:paraId="5F4F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572C938C">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7A50BAEC">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7007DAB2">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4D99FFF5">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39B11400">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5288C1CD">
            <w:pPr>
              <w:pStyle w:val="24"/>
              <w:spacing w:line="360" w:lineRule="auto"/>
              <w:ind w:left="540" w:leftChars="257" w:firstLine="480"/>
              <w:rPr>
                <w:rFonts w:ascii="Times New Roman" w:hAnsi="Times New Roman"/>
                <w:kern w:val="2"/>
                <w:sz w:val="24"/>
                <w:szCs w:val="24"/>
                <w:lang w:val="en-US" w:eastAsia="zh-CN"/>
              </w:rPr>
            </w:pPr>
          </w:p>
        </w:tc>
      </w:tr>
      <w:tr w14:paraId="4EED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DF87B0D">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22682FB3">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0F0467D6">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0E2520A2">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6C50D473">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1A0B73DA">
            <w:pPr>
              <w:pStyle w:val="24"/>
              <w:spacing w:line="360" w:lineRule="auto"/>
              <w:ind w:left="540" w:leftChars="257" w:firstLine="480"/>
              <w:rPr>
                <w:rFonts w:ascii="Times New Roman" w:hAnsi="Times New Roman"/>
                <w:kern w:val="2"/>
                <w:sz w:val="24"/>
                <w:szCs w:val="24"/>
                <w:lang w:val="en-US" w:eastAsia="zh-CN"/>
              </w:rPr>
            </w:pPr>
          </w:p>
        </w:tc>
      </w:tr>
      <w:tr w14:paraId="1421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0379C1FD">
            <w:pPr>
              <w:pStyle w:val="24"/>
              <w:spacing w:line="360" w:lineRule="auto"/>
              <w:ind w:left="540" w:leftChars="257" w:firstLine="480"/>
              <w:rPr>
                <w:rFonts w:ascii="Times New Roman" w:hAnsi="Times New Roman"/>
                <w:kern w:val="2"/>
                <w:sz w:val="24"/>
                <w:szCs w:val="24"/>
                <w:lang w:val="en-US" w:eastAsia="zh-CN"/>
              </w:rPr>
            </w:pPr>
          </w:p>
        </w:tc>
        <w:tc>
          <w:tcPr>
            <w:tcW w:w="3195" w:type="dxa"/>
          </w:tcPr>
          <w:p w14:paraId="217C7BC5">
            <w:pPr>
              <w:pStyle w:val="24"/>
              <w:spacing w:line="360" w:lineRule="auto"/>
              <w:ind w:left="540" w:leftChars="257" w:firstLine="480"/>
              <w:rPr>
                <w:rFonts w:ascii="Times New Roman" w:hAnsi="Times New Roman"/>
                <w:kern w:val="2"/>
                <w:sz w:val="24"/>
                <w:szCs w:val="24"/>
                <w:lang w:val="en-US" w:eastAsia="zh-CN"/>
              </w:rPr>
            </w:pPr>
          </w:p>
        </w:tc>
        <w:tc>
          <w:tcPr>
            <w:tcW w:w="1245" w:type="dxa"/>
          </w:tcPr>
          <w:p w14:paraId="0D6D16DD">
            <w:pPr>
              <w:pStyle w:val="24"/>
              <w:spacing w:line="360" w:lineRule="auto"/>
              <w:ind w:left="540" w:leftChars="257" w:firstLine="480"/>
              <w:rPr>
                <w:rFonts w:ascii="Times New Roman" w:hAnsi="Times New Roman"/>
                <w:kern w:val="2"/>
                <w:sz w:val="24"/>
                <w:szCs w:val="24"/>
                <w:lang w:val="en-US" w:eastAsia="zh-CN"/>
              </w:rPr>
            </w:pPr>
          </w:p>
        </w:tc>
        <w:tc>
          <w:tcPr>
            <w:tcW w:w="1320" w:type="dxa"/>
          </w:tcPr>
          <w:p w14:paraId="25FDB845">
            <w:pPr>
              <w:pStyle w:val="24"/>
              <w:spacing w:line="360" w:lineRule="auto"/>
              <w:ind w:left="540" w:leftChars="257" w:firstLine="480"/>
              <w:rPr>
                <w:rFonts w:ascii="Times New Roman" w:hAnsi="Times New Roman"/>
                <w:kern w:val="2"/>
                <w:sz w:val="24"/>
                <w:szCs w:val="24"/>
                <w:lang w:val="en-US" w:eastAsia="zh-CN"/>
              </w:rPr>
            </w:pPr>
          </w:p>
        </w:tc>
        <w:tc>
          <w:tcPr>
            <w:tcW w:w="1050" w:type="dxa"/>
          </w:tcPr>
          <w:p w14:paraId="13F4150B">
            <w:pPr>
              <w:pStyle w:val="24"/>
              <w:spacing w:line="360" w:lineRule="auto"/>
              <w:ind w:left="540" w:leftChars="257" w:firstLine="480"/>
              <w:rPr>
                <w:rFonts w:ascii="Times New Roman" w:hAnsi="Times New Roman"/>
                <w:kern w:val="2"/>
                <w:sz w:val="24"/>
                <w:szCs w:val="24"/>
                <w:lang w:val="en-US" w:eastAsia="zh-CN"/>
              </w:rPr>
            </w:pPr>
          </w:p>
        </w:tc>
        <w:tc>
          <w:tcPr>
            <w:tcW w:w="1068" w:type="dxa"/>
          </w:tcPr>
          <w:p w14:paraId="15E5548F">
            <w:pPr>
              <w:pStyle w:val="24"/>
              <w:spacing w:line="360" w:lineRule="auto"/>
              <w:ind w:left="540" w:leftChars="257" w:firstLine="480"/>
              <w:rPr>
                <w:rFonts w:ascii="Times New Roman" w:hAnsi="Times New Roman"/>
                <w:kern w:val="2"/>
                <w:sz w:val="24"/>
                <w:szCs w:val="24"/>
                <w:lang w:val="en-US" w:eastAsia="zh-CN"/>
              </w:rPr>
            </w:pPr>
          </w:p>
        </w:tc>
      </w:tr>
    </w:tbl>
    <w:p w14:paraId="2D566DA5">
      <w:pPr>
        <w:pStyle w:val="24"/>
        <w:spacing w:line="360" w:lineRule="auto"/>
        <w:ind w:left="540" w:leftChars="257" w:firstLine="480"/>
        <w:rPr>
          <w:rFonts w:ascii="Times New Roman" w:hAnsi="Times New Roman"/>
          <w:sz w:val="24"/>
          <w:szCs w:val="24"/>
        </w:rPr>
      </w:pPr>
    </w:p>
    <w:p w14:paraId="3A8C2D05">
      <w:pPr>
        <w:pStyle w:val="99"/>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2C8D4CB2">
      <w:pPr>
        <w:pStyle w:val="99"/>
        <w:jc w:val="center"/>
        <w:outlineLvl w:val="1"/>
        <w:rPr>
          <w:rFonts w:ascii="Times New Roman" w:hAnsi="Times New Roman" w:eastAsia="方正小标宋_GBK" w:cs="Times New Roman"/>
          <w:bCs/>
          <w:color w:val="auto"/>
          <w:sz w:val="30"/>
          <w:szCs w:val="30"/>
        </w:rPr>
      </w:pPr>
      <w:r>
        <w:rPr>
          <w:rFonts w:ascii="Times New Roman" w:hAnsi="Times New Roman" w:cs="Times New Roman"/>
          <w:color w:val="auto"/>
        </w:rPr>
        <w:br w:type="page"/>
      </w:r>
      <w:bookmarkEnd w:id="406"/>
      <w:bookmarkStart w:id="430" w:name="_Toc2003907413"/>
      <w:bookmarkStart w:id="431" w:name="_Toc42148613"/>
      <w:bookmarkStart w:id="432" w:name="_Toc1407304042"/>
      <w:bookmarkStart w:id="433" w:name="_Toc1531555161"/>
      <w:bookmarkStart w:id="434" w:name="_Toc1783728506"/>
      <w:bookmarkStart w:id="435" w:name="_Toc71543325"/>
      <w:bookmarkStart w:id="436" w:name="_Toc642155508"/>
      <w:bookmarkStart w:id="437" w:name="_Toc1191518010"/>
      <w:bookmarkStart w:id="438" w:name="_Toc91783675"/>
      <w:bookmarkStart w:id="439" w:name="_Toc374912780"/>
      <w:r>
        <w:rPr>
          <w:rFonts w:hint="eastAsia" w:ascii="Times New Roman" w:hAnsi="Times New Roman" w:eastAsia="方正小标宋_GBK" w:cs="Times New Roman"/>
          <w:bCs/>
          <w:color w:val="auto"/>
          <w:sz w:val="30"/>
          <w:szCs w:val="30"/>
        </w:rPr>
        <w:t>七</w:t>
      </w:r>
      <w:r>
        <w:rPr>
          <w:rFonts w:ascii="Times New Roman" w:hAnsi="Times New Roman" w:eastAsia="方正小标宋_GBK" w:cs="Times New Roman"/>
          <w:bCs/>
          <w:color w:val="auto"/>
          <w:sz w:val="30"/>
          <w:szCs w:val="30"/>
        </w:rPr>
        <w:t>、</w:t>
      </w:r>
      <w:bookmarkEnd w:id="430"/>
      <w:bookmarkEnd w:id="431"/>
      <w:bookmarkEnd w:id="432"/>
      <w:bookmarkEnd w:id="433"/>
      <w:bookmarkStart w:id="440" w:name="_Toc447654087"/>
      <w:bookmarkStart w:id="441" w:name="_Toc1279155327"/>
      <w:bookmarkStart w:id="442" w:name="_Toc960541360"/>
      <w:bookmarkStart w:id="443" w:name="_Toc89037649"/>
      <w:r>
        <w:rPr>
          <w:rFonts w:ascii="Times New Roman" w:hAnsi="Times New Roman" w:eastAsia="方正小标宋_GBK" w:cs="Times New Roman"/>
          <w:bCs/>
          <w:color w:val="auto"/>
          <w:sz w:val="30"/>
          <w:szCs w:val="30"/>
          <w:lang w:val="zh-TW"/>
        </w:rPr>
        <w:t>综合证明文件</w:t>
      </w:r>
      <w:bookmarkEnd w:id="434"/>
      <w:bookmarkEnd w:id="435"/>
      <w:bookmarkEnd w:id="436"/>
      <w:bookmarkEnd w:id="437"/>
      <w:bookmarkEnd w:id="438"/>
      <w:bookmarkEnd w:id="439"/>
      <w:bookmarkEnd w:id="440"/>
      <w:bookmarkEnd w:id="441"/>
      <w:bookmarkEnd w:id="442"/>
      <w:bookmarkEnd w:id="443"/>
    </w:p>
    <w:p w14:paraId="1BF52651">
      <w:pPr>
        <w:pStyle w:val="4"/>
        <w:spacing w:line="360" w:lineRule="exact"/>
        <w:rPr>
          <w:rFonts w:ascii="Times New Roman" w:hAnsi="Times New Roman" w:eastAsia="仿宋_GB2312"/>
          <w:bCs w:val="0"/>
          <w:color w:val="auto"/>
          <w:sz w:val="28"/>
          <w:szCs w:val="28"/>
          <w:lang w:eastAsia="zh-CN"/>
        </w:rPr>
      </w:pPr>
      <w:bookmarkStart w:id="444" w:name="_Toc1974888321"/>
      <w:bookmarkStart w:id="445" w:name="_Toc751864404"/>
      <w:bookmarkStart w:id="446" w:name="_Toc765014490"/>
      <w:bookmarkStart w:id="447" w:name="_Toc1325819456_WPSOffice_Level3"/>
      <w:bookmarkStart w:id="448" w:name="_Toc71543326"/>
      <w:bookmarkStart w:id="449" w:name="_Toc947281468"/>
      <w:r>
        <w:rPr>
          <w:rFonts w:ascii="Times New Roman" w:hAnsi="Times New Roman" w:eastAsia="仿宋_GB2312"/>
          <w:bCs w:val="0"/>
          <w:color w:val="auto"/>
          <w:sz w:val="28"/>
          <w:szCs w:val="28"/>
          <w:lang w:val="en-US" w:eastAsia="zh-CN"/>
        </w:rPr>
        <w:t>1</w:t>
      </w:r>
      <w:r>
        <w:rPr>
          <w:rFonts w:ascii="Times New Roman" w:hAnsi="Times New Roman" w:eastAsia="仿宋_GB2312"/>
          <w:color w:val="auto"/>
          <w:sz w:val="28"/>
          <w:szCs w:val="28"/>
          <w:lang w:val="en-US" w:eastAsia="zh-CN"/>
        </w:rPr>
        <w:t>.</w:t>
      </w:r>
      <w:r>
        <w:rPr>
          <w:rFonts w:ascii="Times New Roman" w:hAnsi="Times New Roman" w:eastAsia="仿宋_GB2312"/>
          <w:color w:val="auto"/>
          <w:sz w:val="28"/>
          <w:szCs w:val="28"/>
          <w:lang w:eastAsia="zh-CN"/>
        </w:rPr>
        <w:t>综合实力</w:t>
      </w:r>
      <w:bookmarkEnd w:id="444"/>
      <w:bookmarkEnd w:id="445"/>
      <w:bookmarkEnd w:id="446"/>
      <w:bookmarkEnd w:id="447"/>
      <w:bookmarkEnd w:id="448"/>
      <w:bookmarkEnd w:id="449"/>
    </w:p>
    <w:p w14:paraId="2CE0BBC3">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w:t>
      </w:r>
      <w:r>
        <w:rPr>
          <w:rFonts w:ascii="Times New Roman" w:hAnsi="Times New Roman" w:eastAsia="仿宋_GB2312" w:cs="Times New Roman"/>
          <w:color w:val="auto"/>
          <w:sz w:val="28"/>
          <w:szCs w:val="28"/>
          <w:lang w:val="en-US" w:eastAsia="zh-CN"/>
        </w:rPr>
        <w:t>原件</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，扫描不清晰的不得分，招标文件未要求的不需要提供）</w:t>
      </w:r>
    </w:p>
    <w:p w14:paraId="7B87DD31">
      <w:pPr>
        <w:rPr>
          <w:rFonts w:hint="default" w:ascii="Times New Roman" w:hAnsi="Times New Roman" w:eastAsia="等线" w:cs="Times New Roman"/>
          <w:color w:val="auto"/>
          <w:lang w:eastAsia="zh-CN"/>
        </w:rPr>
      </w:pPr>
    </w:p>
    <w:p w14:paraId="4FE56633">
      <w:pPr>
        <w:pStyle w:val="4"/>
        <w:spacing w:line="360" w:lineRule="exact"/>
        <w:rPr>
          <w:rFonts w:ascii="Times New Roman" w:hAnsi="Times New Roman" w:eastAsia="仿宋_GB2312"/>
          <w:bCs w:val="0"/>
          <w:color w:val="auto"/>
          <w:sz w:val="28"/>
          <w:szCs w:val="28"/>
          <w:lang w:eastAsia="zh-CN"/>
        </w:rPr>
      </w:pPr>
      <w:bookmarkStart w:id="450" w:name="_Toc799340312_WPSOffice_Level3"/>
      <w:bookmarkStart w:id="451" w:name="_Toc2110045194"/>
      <w:bookmarkStart w:id="452" w:name="_Toc619505013"/>
      <w:bookmarkStart w:id="453" w:name="_Toc71543327"/>
      <w:bookmarkStart w:id="454" w:name="_Toc1849820970"/>
      <w:bookmarkStart w:id="455" w:name="_Toc973020382"/>
      <w:r>
        <w:rPr>
          <w:rFonts w:ascii="Times New Roman" w:hAnsi="Times New Roman" w:eastAsia="仿宋_GB2312"/>
          <w:bCs w:val="0"/>
          <w:color w:val="auto"/>
          <w:sz w:val="28"/>
          <w:szCs w:val="28"/>
          <w:lang w:val="en-US" w:eastAsia="zh-CN"/>
        </w:rPr>
        <w:t>2</w:t>
      </w:r>
      <w:r>
        <w:rPr>
          <w:rFonts w:ascii="Times New Roman" w:hAnsi="Times New Roman" w:eastAsia="仿宋_GB2312"/>
          <w:color w:val="auto"/>
          <w:sz w:val="28"/>
          <w:szCs w:val="28"/>
          <w:lang w:val="en-US" w:eastAsia="zh-CN"/>
        </w:rPr>
        <w:t>.</w:t>
      </w:r>
      <w:r>
        <w:rPr>
          <w:rFonts w:ascii="Times New Roman" w:hAnsi="Times New Roman" w:eastAsia="仿宋_GB2312"/>
          <w:color w:val="auto"/>
          <w:sz w:val="28"/>
          <w:szCs w:val="28"/>
          <w:lang w:eastAsia="zh-CN"/>
        </w:rPr>
        <w:t>类似项目业绩</w:t>
      </w:r>
      <w:bookmarkEnd w:id="450"/>
      <w:bookmarkEnd w:id="451"/>
      <w:bookmarkEnd w:id="452"/>
      <w:bookmarkEnd w:id="453"/>
      <w:bookmarkEnd w:id="454"/>
      <w:bookmarkEnd w:id="455"/>
    </w:p>
    <w:p w14:paraId="0DB638EF">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52"/>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25EBE5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75B8D21D">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5863F130">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503AAEEF">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0CB3FA7A">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56B016A4">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53125924">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1C6420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256B18A">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485C932">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3B65505">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57CF07A">
            <w:pPr>
              <w:rPr>
                <w:rFonts w:hint="default" w:ascii="Times New Roman" w:hAnsi="Times New Roman" w:eastAsia="仿宋_GB2312" w:cs="Times New Roman"/>
                <w:color w:val="auto"/>
                <w:kern w:val="0"/>
                <w:sz w:val="28"/>
                <w:szCs w:val="28"/>
              </w:rPr>
            </w:pPr>
          </w:p>
        </w:tc>
      </w:tr>
      <w:tr w14:paraId="49963C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FF6E3B6">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6B01D13">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11FFC93">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8F2D49B">
            <w:pPr>
              <w:rPr>
                <w:rFonts w:hint="default" w:ascii="Times New Roman" w:hAnsi="Times New Roman" w:eastAsia="仿宋_GB2312" w:cs="Times New Roman"/>
                <w:color w:val="auto"/>
                <w:kern w:val="0"/>
                <w:sz w:val="28"/>
                <w:szCs w:val="28"/>
              </w:rPr>
            </w:pPr>
          </w:p>
        </w:tc>
      </w:tr>
      <w:tr w14:paraId="303EE7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B5DBE41">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DE0A305">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7B3E513">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E3389AA">
            <w:pPr>
              <w:rPr>
                <w:rFonts w:hint="default" w:ascii="Times New Roman" w:hAnsi="Times New Roman" w:eastAsia="仿宋_GB2312" w:cs="Times New Roman"/>
                <w:color w:val="auto"/>
                <w:kern w:val="0"/>
                <w:sz w:val="28"/>
                <w:szCs w:val="28"/>
              </w:rPr>
            </w:pPr>
          </w:p>
        </w:tc>
      </w:tr>
      <w:tr w14:paraId="742D27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159F050">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EE233BB">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ADB9830">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3922C21">
            <w:pPr>
              <w:rPr>
                <w:rFonts w:hint="default" w:ascii="Times New Roman" w:hAnsi="Times New Roman" w:eastAsia="仿宋_GB2312" w:cs="Times New Roman"/>
                <w:color w:val="auto"/>
                <w:kern w:val="0"/>
                <w:sz w:val="28"/>
                <w:szCs w:val="28"/>
              </w:rPr>
            </w:pPr>
          </w:p>
        </w:tc>
      </w:tr>
      <w:tr w14:paraId="455F81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2699CB7">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80B549E">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2EF1AE2">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E5E61B4">
            <w:pPr>
              <w:rPr>
                <w:rFonts w:hint="default" w:ascii="Times New Roman" w:hAnsi="Times New Roman" w:eastAsia="仿宋_GB2312" w:cs="Times New Roman"/>
                <w:color w:val="auto"/>
                <w:kern w:val="0"/>
                <w:sz w:val="28"/>
                <w:szCs w:val="28"/>
              </w:rPr>
            </w:pPr>
          </w:p>
        </w:tc>
      </w:tr>
    </w:tbl>
    <w:p w14:paraId="755CC146">
      <w:pPr>
        <w:widowControl w:val="0"/>
        <w:rPr>
          <w:rFonts w:hint="default" w:ascii="Times New Roman" w:hAnsi="Times New Roman" w:eastAsia="仿宋_GB2312" w:cs="Times New Roman"/>
          <w:color w:val="auto"/>
          <w:sz w:val="28"/>
          <w:szCs w:val="28"/>
        </w:rPr>
      </w:pPr>
    </w:p>
    <w:p w14:paraId="100CE1D9">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注：（</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）投标人可按上述的格式自行编制，后附扫描件。</w:t>
      </w:r>
    </w:p>
    <w:p w14:paraId="2DE2530E">
      <w:pPr>
        <w:numPr>
          <w:ilvl w:val="0"/>
          <w:numId w:val="4"/>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业绩扫描不清楚或合同总金额不明确的不予认可，虚假业绩将自行承担相关责任。</w:t>
      </w:r>
    </w:p>
    <w:p w14:paraId="48251142">
      <w:pPr>
        <w:numPr>
          <w:ilvl w:val="0"/>
          <w:numId w:val="4"/>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招标文件未要求提供业绩证明文件的，投标人可不提供。</w:t>
      </w:r>
    </w:p>
    <w:p w14:paraId="561182AD">
      <w:pPr>
        <w:pStyle w:val="3"/>
        <w:spacing w:before="0" w:after="0" w:line="360" w:lineRule="auto"/>
        <w:jc w:val="center"/>
        <w:rPr>
          <w:rFonts w:ascii="Times New Roman" w:hAnsi="Times New Roman" w:eastAsia="方正小标宋_GBK"/>
          <w:b w:val="0"/>
          <w:color w:val="auto"/>
          <w:sz w:val="30"/>
          <w:szCs w:val="30"/>
          <w:lang w:eastAsia="zh-CN"/>
        </w:rPr>
      </w:pPr>
      <w:bookmarkStart w:id="456" w:name="_Toc203536082"/>
      <w:bookmarkStart w:id="457" w:name="_Toc71543334"/>
      <w:bookmarkStart w:id="458" w:name="_Toc1405132080"/>
      <w:bookmarkStart w:id="459" w:name="_Toc1276166143"/>
      <w:bookmarkStart w:id="460" w:name="_Toc2003764980"/>
      <w:bookmarkStart w:id="461" w:name="_Toc1027952896"/>
      <w:bookmarkStart w:id="462" w:name="_Toc1342357120"/>
      <w:bookmarkStart w:id="463" w:name="_Toc349828394"/>
      <w:bookmarkStart w:id="464" w:name="_Toc1642658699"/>
      <w:bookmarkStart w:id="465" w:name="_Toc297277348"/>
      <w:bookmarkStart w:id="466" w:name="_Toc741327320"/>
      <w:r>
        <w:rPr>
          <w:rFonts w:ascii="Times New Roman" w:hAnsi="Times New Roman" w:eastAsia="方正小标宋_GBK"/>
          <w:b w:val="0"/>
          <w:color w:val="auto"/>
          <w:sz w:val="30"/>
          <w:szCs w:val="30"/>
          <w:lang w:val="en" w:eastAsia="zh-CN"/>
        </w:rPr>
        <w:br w:type="page"/>
      </w:r>
      <w:r>
        <w:rPr>
          <w:rFonts w:hint="eastAsia" w:ascii="Times New Roman" w:hAnsi="Times New Roman" w:eastAsia="方正小标宋_GBK"/>
          <w:b w:val="0"/>
          <w:color w:val="auto"/>
          <w:sz w:val="30"/>
          <w:szCs w:val="30"/>
          <w:lang w:val="en" w:eastAsia="zh-CN"/>
        </w:rPr>
        <w:t>八</w:t>
      </w:r>
      <w:r>
        <w:rPr>
          <w:rFonts w:ascii="Times New Roman" w:hAnsi="Times New Roman" w:eastAsia="方正小标宋_GBK"/>
          <w:b w:val="0"/>
          <w:color w:val="auto"/>
          <w:sz w:val="30"/>
          <w:szCs w:val="30"/>
          <w:lang w:eastAsia="zh-CN"/>
        </w:rPr>
        <w:t>、其他文件</w:t>
      </w:r>
      <w:bookmarkEnd w:id="456"/>
      <w:bookmarkEnd w:id="457"/>
      <w:bookmarkEnd w:id="458"/>
      <w:bookmarkEnd w:id="459"/>
      <w:bookmarkEnd w:id="460"/>
      <w:bookmarkEnd w:id="461"/>
      <w:bookmarkEnd w:id="462"/>
      <w:bookmarkEnd w:id="463"/>
      <w:bookmarkEnd w:id="464"/>
      <w:bookmarkEnd w:id="465"/>
      <w:bookmarkEnd w:id="466"/>
    </w:p>
    <w:p w14:paraId="694F037D">
      <w:pPr>
        <w:pStyle w:val="189"/>
        <w:rPr>
          <w:rFonts w:hint="default" w:ascii="Times New Roman" w:hAnsi="Times New Roman" w:eastAsia="宋体" w:cs="Times New Roman"/>
          <w:color w:val="auto"/>
          <w:kern w:val="0"/>
          <w:lang w:eastAsia="zh-CN"/>
        </w:rPr>
      </w:pPr>
    </w:p>
    <w:p w14:paraId="3014017C">
      <w:pPr>
        <w:pStyle w:val="189"/>
        <w:rPr>
          <w:rFonts w:hint="default" w:ascii="Times New Roman" w:hAnsi="Times New Roman" w:eastAsia="宋体" w:cs="Times New Roman"/>
          <w:color w:val="auto"/>
          <w:kern w:val="0"/>
          <w:lang w:eastAsia="zh-CN"/>
        </w:rPr>
      </w:pPr>
    </w:p>
    <w:p w14:paraId="3A5D63DF">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75AD7037">
      <w:pPr>
        <w:keepNext/>
        <w:keepLines/>
        <w:numPr>
          <w:ilvl w:val="0"/>
          <w:numId w:val="5"/>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67" w:name="_Toc1681859708"/>
      <w:bookmarkStart w:id="468" w:name="_Toc1595406418"/>
      <w:bookmarkStart w:id="469" w:name="_Toc1375616047_WPSOffice_Level1"/>
      <w:bookmarkStart w:id="470" w:name="_Toc208470034"/>
      <w:bookmarkStart w:id="471" w:name="_Toc602951741"/>
      <w:bookmarkStart w:id="472" w:name="_Toc1033050500"/>
      <w:bookmarkStart w:id="473" w:name="_Toc245603268"/>
      <w:r>
        <w:rPr>
          <w:rFonts w:hint="default" w:ascii="Times New Roman" w:hAnsi="Times New Roman" w:eastAsia="宋体" w:cs="Times New Roman"/>
          <w:b/>
          <w:bCs/>
          <w:color w:val="auto"/>
          <w:kern w:val="44"/>
          <w:sz w:val="36"/>
          <w:szCs w:val="36"/>
          <w:lang w:eastAsia="zh-CN"/>
        </w:rPr>
        <w:t>项目需求及技术要求</w:t>
      </w:r>
      <w:bookmarkEnd w:id="467"/>
      <w:bookmarkEnd w:id="468"/>
      <w:bookmarkEnd w:id="469"/>
      <w:bookmarkEnd w:id="470"/>
      <w:bookmarkEnd w:id="471"/>
      <w:bookmarkEnd w:id="472"/>
      <w:bookmarkEnd w:id="473"/>
    </w:p>
    <w:p w14:paraId="35E34B53">
      <w:pPr>
        <w:pStyle w:val="34"/>
        <w:widowControl w:val="0"/>
        <w:numPr>
          <w:ilvl w:val="0"/>
          <w:numId w:val="6"/>
        </w:numPr>
        <w:spacing w:before="0" w:after="0" w:line="560" w:lineRule="exact"/>
        <w:ind w:firstLine="643"/>
        <w:rPr>
          <w:rFonts w:ascii="楷体" w:hAnsi="楷体" w:cs="楷体"/>
          <w:sz w:val="28"/>
          <w:szCs w:val="28"/>
        </w:rPr>
      </w:pPr>
      <w:bookmarkStart w:id="474" w:name="_Toc1923589381"/>
      <w:bookmarkStart w:id="475" w:name="_Toc11006"/>
      <w:r>
        <w:rPr>
          <w:rFonts w:ascii="楷体" w:hAnsi="楷体" w:cs="楷体"/>
          <w:sz w:val="28"/>
          <w:szCs w:val="28"/>
          <w:lang w:eastAsia="zh-Hans"/>
        </w:rPr>
        <w:t>项目概括</w:t>
      </w:r>
      <w:bookmarkEnd w:id="474"/>
      <w:bookmarkEnd w:id="475"/>
    </w:p>
    <w:p w14:paraId="0738A46B">
      <w:pPr>
        <w:widowControl w:val="0"/>
        <w:numPr>
          <w:ilvl w:val="0"/>
          <w:numId w:val="7"/>
        </w:numPr>
        <w:spacing w:line="560" w:lineRule="exact"/>
        <w:ind w:firstLine="562" w:firstLineChars="200"/>
        <w:rPr>
          <w:rFonts w:ascii="仿宋_GB2312" w:hAnsi="仿宋_GB2312" w:eastAsia="仿宋_GB2312" w:cs="仿宋_GB2312"/>
          <w:b/>
          <w:bCs/>
          <w:sz w:val="28"/>
          <w:szCs w:val="22"/>
          <w:lang w:eastAsia="zh-Hans"/>
        </w:rPr>
      </w:pPr>
      <w:r>
        <w:rPr>
          <w:rFonts w:ascii="仿宋_GB2312" w:hAnsi="仿宋_GB2312" w:eastAsia="仿宋_GB2312" w:cs="仿宋_GB2312"/>
          <w:b/>
          <w:bCs/>
          <w:sz w:val="28"/>
          <w:szCs w:val="22"/>
          <w:lang w:eastAsia="zh-Hans"/>
        </w:rPr>
        <w:t>建设背景</w:t>
      </w:r>
    </w:p>
    <w:p w14:paraId="2C7E6870">
      <w:pPr>
        <w:pStyle w:val="16"/>
        <w:spacing w:line="560" w:lineRule="exact"/>
        <w:ind w:firstLine="560"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sz w:val="28"/>
          <w:szCs w:val="28"/>
          <w:u w:val="single"/>
        </w:rPr>
        <w:t>东校区</w:t>
      </w:r>
      <w:r>
        <w:rPr>
          <w:rFonts w:hint="eastAsia" w:ascii="仿宋_GB2312" w:hAnsi="仿宋_GB2312" w:eastAsia="仿宋_GB2312" w:cs="仿宋_GB2312"/>
          <w:sz w:val="28"/>
          <w:szCs w:val="28"/>
          <w:u w:val="single"/>
          <w:lang w:val="en-US" w:eastAsia="zh-CN"/>
        </w:rPr>
        <w:t>内的产学楼、体健楼、艺美楼、德先楼、启智楼以及知行楼</w:t>
      </w:r>
      <w:r>
        <w:rPr>
          <w:rFonts w:hint="eastAsia" w:ascii="仿宋_GB2312" w:hAnsi="仿宋_GB2312" w:eastAsia="仿宋_GB2312" w:cs="仿宋_GB2312"/>
          <w:bCs/>
          <w:color w:val="000000"/>
          <w:sz w:val="28"/>
          <w:szCs w:val="28"/>
          <w:u w:val="single"/>
          <w:lang w:val="en-US" w:eastAsia="zh-CN"/>
        </w:rPr>
        <w:t>均为多层建筑，且均未配备电梯设施。随着学校教学规模的持续扩大，教学活动愈发丰富，这些楼宇日常人流量大，师生上下楼面临诸多不便。</w:t>
      </w:r>
      <w:r>
        <w:rPr>
          <w:rFonts w:hint="eastAsia" w:ascii="仿宋_GB2312" w:hAnsi="仿宋_GB2312" w:eastAsia="仿宋_GB2312" w:cs="仿宋_GB2312"/>
          <w:sz w:val="28"/>
          <w:szCs w:val="28"/>
          <w:lang w:val="en-US" w:eastAsia="zh-CN"/>
        </w:rPr>
        <w:t>​</w:t>
      </w:r>
    </w:p>
    <w:p w14:paraId="61855C25">
      <w:pPr>
        <w:pStyle w:val="16"/>
        <w:spacing w:line="560" w:lineRule="exact"/>
        <w:ind w:firstLine="560"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bCs/>
          <w:color w:val="000000"/>
          <w:sz w:val="28"/>
          <w:szCs w:val="28"/>
          <w:u w:val="single"/>
          <w:lang w:val="en-US" w:eastAsia="zh-CN"/>
        </w:rPr>
        <w:t>在搬运大型教学器材时，如产学楼的实验设备、体健楼的体育器材、艺美楼的绘画工具、雕塑材料和乐器，以及</w:t>
      </w:r>
      <w:r>
        <w:rPr>
          <w:rFonts w:hint="eastAsia" w:ascii="仿宋_GB2312" w:hAnsi="仿宋_GB2312" w:eastAsia="仿宋_GB2312" w:cs="仿宋_GB2312"/>
          <w:sz w:val="28"/>
          <w:szCs w:val="28"/>
          <w:u w:val="single"/>
          <w:lang w:val="en-US" w:eastAsia="zh-CN"/>
        </w:rPr>
        <w:t>德先楼、启智楼、知行楼</w:t>
      </w:r>
      <w:r>
        <w:rPr>
          <w:rFonts w:hint="eastAsia" w:ascii="仿宋_GB2312" w:hAnsi="仿宋_GB2312" w:eastAsia="仿宋_GB2312" w:cs="仿宋_GB2312"/>
          <w:bCs/>
          <w:color w:val="000000"/>
          <w:sz w:val="28"/>
          <w:szCs w:val="28"/>
          <w:u w:val="single"/>
          <w:lang w:val="en-US" w:eastAsia="zh-CN"/>
        </w:rPr>
        <w:t>的教学道具等，师生极为吃力，严重影响教学效率。同时，对于残障学生和身体不便的师生而言，自主上下楼困难重重，不利于营造公平、便捷的教学环境。</w:t>
      </w:r>
    </w:p>
    <w:p w14:paraId="78762A74">
      <w:pPr>
        <w:widowControl w:val="0"/>
        <w:numPr>
          <w:ilvl w:val="0"/>
          <w:numId w:val="7"/>
        </w:numPr>
        <w:spacing w:line="560" w:lineRule="exact"/>
        <w:ind w:firstLine="562" w:firstLineChars="200"/>
        <w:rPr>
          <w:rFonts w:ascii="仿宋_GB2312" w:hAnsi="仿宋_GB2312" w:eastAsia="仿宋_GB2312" w:cs="仿宋_GB2312"/>
          <w:b/>
          <w:bCs/>
          <w:sz w:val="28"/>
          <w:szCs w:val="22"/>
          <w:lang w:eastAsia="zh-Hans"/>
        </w:rPr>
      </w:pPr>
      <w:r>
        <w:rPr>
          <w:rFonts w:ascii="仿宋_GB2312" w:hAnsi="仿宋_GB2312" w:eastAsia="仿宋_GB2312" w:cs="仿宋_GB2312"/>
          <w:b/>
          <w:bCs/>
          <w:sz w:val="28"/>
          <w:szCs w:val="22"/>
          <w:lang w:eastAsia="zh-Hans"/>
        </w:rPr>
        <w:t>建设目标</w:t>
      </w:r>
    </w:p>
    <w:p w14:paraId="4B2EF120">
      <w:pPr>
        <w:widowControl w:val="0"/>
        <w:spacing w:line="560" w:lineRule="exact"/>
        <w:ind w:firstLine="560" w:firstLineChars="200"/>
        <w:rPr>
          <w:rFonts w:ascii="仿宋_GB2312" w:hAnsi="仿宋_GB2312" w:eastAsia="仿宋_GB2312" w:cs="仿宋_GB2312"/>
          <w:bCs/>
          <w:sz w:val="28"/>
          <w:szCs w:val="28"/>
          <w:u w:val="single"/>
          <w:lang w:val="en-US" w:eastAsia="zh-CN"/>
        </w:rPr>
      </w:pPr>
      <w:r>
        <w:rPr>
          <w:rFonts w:ascii="仿宋_GB2312" w:hAnsi="仿宋_GB2312" w:eastAsia="仿宋_GB2312" w:cs="仿宋_GB2312"/>
          <w:bCs/>
          <w:sz w:val="28"/>
          <w:szCs w:val="28"/>
          <w:u w:val="single"/>
          <w:lang w:val="en-US" w:eastAsia="zh-CN"/>
        </w:rPr>
        <w:t>在东校区</w:t>
      </w:r>
      <w:r>
        <w:rPr>
          <w:rFonts w:ascii="仿宋_GB2312" w:hAnsi="仿宋_GB2312" w:eastAsia="仿宋_GB2312" w:cs="仿宋_GB2312"/>
          <w:sz w:val="28"/>
          <w:szCs w:val="28"/>
          <w:u w:val="single"/>
          <w:lang w:val="en-US" w:eastAsia="zh-CN"/>
        </w:rPr>
        <w:t>产学楼、体健楼、艺美楼、德先楼、启智楼以及知行楼</w:t>
      </w:r>
      <w:r>
        <w:rPr>
          <w:rFonts w:ascii="仿宋_GB2312" w:hAnsi="仿宋_GB2312" w:eastAsia="仿宋_GB2312" w:cs="仿宋_GB2312"/>
          <w:bCs/>
          <w:sz w:val="28"/>
          <w:szCs w:val="28"/>
          <w:u w:val="single"/>
          <w:lang w:val="en-US" w:eastAsia="zh-CN"/>
        </w:rPr>
        <w:t>合理位置加装电梯，构建完善的垂直交通体系，使电梯完全符合国家现行安全标准和技术规范，满足师生日常通行需求，并在特殊情况下能够作为辅助应急疏散通道，有效提升各楼宇的使用功能。</w:t>
      </w:r>
    </w:p>
    <w:p w14:paraId="026C45DF">
      <w:pPr>
        <w:widowControl w:val="0"/>
        <w:numPr>
          <w:ilvl w:val="0"/>
          <w:numId w:val="7"/>
        </w:numPr>
        <w:spacing w:line="560" w:lineRule="exact"/>
        <w:ind w:firstLine="562" w:firstLineChars="200"/>
        <w:rPr>
          <w:rFonts w:ascii="仿宋_GB2312" w:hAnsi="仿宋_GB2312" w:eastAsia="仿宋_GB2312" w:cs="仿宋_GB2312"/>
          <w:b/>
          <w:bCs/>
          <w:sz w:val="28"/>
          <w:szCs w:val="22"/>
          <w:lang w:eastAsia="zh-Hans"/>
        </w:rPr>
      </w:pPr>
      <w:r>
        <w:rPr>
          <w:rFonts w:ascii="仿宋_GB2312" w:hAnsi="仿宋_GB2312" w:eastAsia="仿宋_GB2312" w:cs="仿宋_GB2312"/>
          <w:b/>
          <w:bCs/>
          <w:sz w:val="28"/>
          <w:szCs w:val="22"/>
          <w:lang w:eastAsia="zh-Hans"/>
        </w:rPr>
        <w:t>遵循标准</w:t>
      </w:r>
    </w:p>
    <w:p w14:paraId="4B19A8EF">
      <w:pPr>
        <w:widowControl w:val="0"/>
        <w:spacing w:line="560" w:lineRule="exact"/>
        <w:ind w:firstLine="560" w:firstLineChars="200"/>
        <w:jc w:val="left"/>
        <w:rPr>
          <w:rFonts w:ascii="仿宋" w:hAnsi="仿宋" w:cs="仿宋"/>
          <w:sz w:val="28"/>
          <w:szCs w:val="28"/>
          <w:u w:val="single"/>
        </w:rPr>
      </w:pPr>
      <w:r>
        <w:rPr>
          <w:rFonts w:ascii="仿宋" w:hAnsi="仿宋" w:cs="仿宋"/>
          <w:sz w:val="28"/>
          <w:szCs w:val="28"/>
          <w:u w:val="single"/>
        </w:rPr>
        <w:t>1.《中华人民共和国特种设备安全法》；</w:t>
      </w:r>
    </w:p>
    <w:p w14:paraId="7F2EC468">
      <w:pPr>
        <w:widowControl w:val="0"/>
        <w:spacing w:line="560" w:lineRule="exact"/>
        <w:ind w:firstLine="560" w:firstLineChars="200"/>
        <w:jc w:val="left"/>
        <w:rPr>
          <w:rFonts w:ascii="宋体" w:hAnsi="宋体" w:cs="宋体"/>
          <w:sz w:val="28"/>
          <w:szCs w:val="28"/>
          <w:u w:val="single"/>
        </w:rPr>
      </w:pPr>
      <w:r>
        <w:rPr>
          <w:rFonts w:ascii="宋体" w:hAnsi="宋体" w:cs="宋体"/>
          <w:sz w:val="28"/>
          <w:szCs w:val="28"/>
          <w:u w:val="single"/>
        </w:rPr>
        <w:t>2.《特种设备安全监察条例》。</w:t>
      </w:r>
    </w:p>
    <w:p w14:paraId="766F52E3">
      <w:pPr>
        <w:pStyle w:val="34"/>
        <w:widowControl w:val="0"/>
        <w:numPr>
          <w:ilvl w:val="0"/>
          <w:numId w:val="6"/>
        </w:numPr>
        <w:spacing w:before="0" w:after="0" w:line="560" w:lineRule="exact"/>
        <w:ind w:firstLine="643"/>
        <w:rPr>
          <w:rFonts w:ascii="楷体" w:hAnsi="楷体" w:cs="楷体"/>
          <w:sz w:val="28"/>
          <w:szCs w:val="28"/>
          <w:lang w:eastAsia="zh-Hans"/>
        </w:rPr>
      </w:pPr>
      <w:bookmarkStart w:id="476" w:name="_Toc1014519145"/>
      <w:bookmarkStart w:id="477" w:name="_Toc31045"/>
      <w:r>
        <w:rPr>
          <w:rFonts w:ascii="楷体" w:hAnsi="楷体" w:cs="楷体"/>
          <w:sz w:val="28"/>
          <w:szCs w:val="28"/>
          <w:lang w:eastAsia="zh-Hans"/>
        </w:rPr>
        <w:t>采购标的汇总表</w:t>
      </w:r>
      <w:bookmarkEnd w:id="476"/>
      <w:bookmarkEnd w:id="477"/>
    </w:p>
    <w:tbl>
      <w:tblPr>
        <w:tblStyle w:val="52"/>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2226"/>
        <w:gridCol w:w="1586"/>
        <w:gridCol w:w="1417"/>
        <w:gridCol w:w="851"/>
        <w:gridCol w:w="709"/>
        <w:gridCol w:w="866"/>
        <w:gridCol w:w="866"/>
      </w:tblGrid>
      <w:tr w14:paraId="3C4F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89" w:type="dxa"/>
            <w:vAlign w:val="center"/>
          </w:tcPr>
          <w:p w14:paraId="5ABBE811">
            <w:pPr>
              <w:jc w:val="center"/>
              <w:rPr>
                <w:rFonts w:ascii="仿宋" w:hAnsi="仿宋"/>
                <w:b/>
                <w:sz w:val="24"/>
              </w:rPr>
            </w:pPr>
            <w:r>
              <w:rPr>
                <w:rFonts w:ascii="仿宋" w:hAnsi="仿宋"/>
                <w:b/>
                <w:sz w:val="24"/>
              </w:rPr>
              <w:t>序号</w:t>
            </w:r>
          </w:p>
        </w:tc>
        <w:tc>
          <w:tcPr>
            <w:tcW w:w="2226" w:type="dxa"/>
            <w:vAlign w:val="center"/>
          </w:tcPr>
          <w:p w14:paraId="2733F4BA">
            <w:pPr>
              <w:jc w:val="center"/>
              <w:rPr>
                <w:rFonts w:ascii="仿宋" w:hAnsi="仿宋"/>
                <w:b/>
                <w:sz w:val="24"/>
              </w:rPr>
            </w:pPr>
            <w:r>
              <w:rPr>
                <w:rFonts w:ascii="仿宋" w:hAnsi="仿宋"/>
                <w:b/>
                <w:sz w:val="24"/>
              </w:rPr>
              <w:t>标的名称</w:t>
            </w:r>
          </w:p>
        </w:tc>
        <w:tc>
          <w:tcPr>
            <w:tcW w:w="1586" w:type="dxa"/>
            <w:vAlign w:val="center"/>
          </w:tcPr>
          <w:p w14:paraId="5EA06749">
            <w:pPr>
              <w:adjustRightInd w:val="0"/>
              <w:snapToGrid w:val="0"/>
              <w:jc w:val="center"/>
              <w:rPr>
                <w:rFonts w:ascii="仿宋" w:hAnsi="仿宋"/>
                <w:b/>
                <w:sz w:val="24"/>
                <w:lang w:eastAsia="zh-Hans"/>
              </w:rPr>
            </w:pPr>
            <w:r>
              <w:rPr>
                <w:rFonts w:ascii="仿宋" w:hAnsi="仿宋"/>
                <w:b/>
                <w:sz w:val="24"/>
                <w:lang w:eastAsia="zh-Hans"/>
              </w:rPr>
              <w:t>品目</w:t>
            </w:r>
          </w:p>
          <w:p w14:paraId="347F47FA">
            <w:pPr>
              <w:jc w:val="center"/>
              <w:rPr>
                <w:rFonts w:ascii="仿宋" w:hAnsi="仿宋"/>
                <w:b/>
                <w:sz w:val="24"/>
              </w:rPr>
            </w:pPr>
            <w:r>
              <w:rPr>
                <w:rFonts w:ascii="仿宋" w:hAnsi="仿宋"/>
                <w:b/>
                <w:sz w:val="24"/>
                <w:lang w:eastAsia="zh-Hans"/>
              </w:rPr>
              <w:t>分类名称</w:t>
            </w:r>
          </w:p>
        </w:tc>
        <w:tc>
          <w:tcPr>
            <w:tcW w:w="1417" w:type="dxa"/>
            <w:vAlign w:val="center"/>
          </w:tcPr>
          <w:p w14:paraId="54BC1C70">
            <w:pPr>
              <w:jc w:val="center"/>
              <w:rPr>
                <w:rFonts w:ascii="仿宋" w:hAnsi="仿宋"/>
                <w:b/>
                <w:sz w:val="24"/>
              </w:rPr>
            </w:pPr>
            <w:r>
              <w:rPr>
                <w:rFonts w:ascii="仿宋" w:hAnsi="仿宋"/>
                <w:b/>
                <w:sz w:val="24"/>
              </w:rPr>
              <w:t>品目</w:t>
            </w:r>
          </w:p>
          <w:p w14:paraId="5A4B18D7">
            <w:pPr>
              <w:jc w:val="center"/>
              <w:rPr>
                <w:rFonts w:ascii="仿宋" w:hAnsi="仿宋" w:cs="仿宋"/>
                <w:sz w:val="24"/>
              </w:rPr>
            </w:pPr>
            <w:r>
              <w:rPr>
                <w:rFonts w:ascii="仿宋" w:hAnsi="仿宋"/>
                <w:b/>
                <w:sz w:val="24"/>
              </w:rPr>
              <w:t>分类编码</w:t>
            </w:r>
          </w:p>
        </w:tc>
        <w:tc>
          <w:tcPr>
            <w:tcW w:w="851" w:type="dxa"/>
            <w:vAlign w:val="center"/>
          </w:tcPr>
          <w:p w14:paraId="12C02EF3">
            <w:pPr>
              <w:jc w:val="center"/>
              <w:rPr>
                <w:rFonts w:ascii="仿宋" w:hAnsi="仿宋"/>
                <w:b/>
                <w:sz w:val="24"/>
              </w:rPr>
            </w:pPr>
            <w:r>
              <w:rPr>
                <w:rFonts w:ascii="仿宋" w:hAnsi="仿宋"/>
                <w:b/>
                <w:sz w:val="24"/>
              </w:rPr>
              <w:t>计量</w:t>
            </w:r>
          </w:p>
          <w:p w14:paraId="1BC9B573">
            <w:pPr>
              <w:jc w:val="center"/>
              <w:rPr>
                <w:rFonts w:ascii="仿宋" w:hAnsi="仿宋"/>
                <w:b/>
                <w:sz w:val="24"/>
              </w:rPr>
            </w:pPr>
            <w:r>
              <w:rPr>
                <w:rFonts w:ascii="仿宋" w:hAnsi="仿宋"/>
                <w:b/>
                <w:sz w:val="24"/>
              </w:rPr>
              <w:t>单位</w:t>
            </w:r>
          </w:p>
        </w:tc>
        <w:tc>
          <w:tcPr>
            <w:tcW w:w="709" w:type="dxa"/>
            <w:vAlign w:val="center"/>
          </w:tcPr>
          <w:p w14:paraId="610DA5DF">
            <w:pPr>
              <w:jc w:val="center"/>
              <w:rPr>
                <w:rFonts w:ascii="仿宋" w:hAnsi="仿宋"/>
                <w:b/>
                <w:sz w:val="24"/>
              </w:rPr>
            </w:pPr>
            <w:r>
              <w:rPr>
                <w:rFonts w:ascii="仿宋" w:hAnsi="仿宋"/>
                <w:b/>
                <w:sz w:val="24"/>
              </w:rPr>
              <w:t>数量</w:t>
            </w:r>
          </w:p>
        </w:tc>
        <w:tc>
          <w:tcPr>
            <w:tcW w:w="866" w:type="dxa"/>
            <w:vAlign w:val="center"/>
          </w:tcPr>
          <w:p w14:paraId="64CF8141">
            <w:pPr>
              <w:jc w:val="center"/>
              <w:rPr>
                <w:rFonts w:ascii="仿宋" w:hAnsi="仿宋"/>
                <w:b/>
                <w:sz w:val="24"/>
              </w:rPr>
            </w:pPr>
            <w:r>
              <w:rPr>
                <w:rFonts w:ascii="仿宋" w:hAnsi="仿宋"/>
                <w:b/>
                <w:sz w:val="24"/>
              </w:rPr>
              <w:t>是否进口</w:t>
            </w:r>
          </w:p>
        </w:tc>
        <w:tc>
          <w:tcPr>
            <w:tcW w:w="866" w:type="dxa"/>
            <w:vAlign w:val="center"/>
          </w:tcPr>
          <w:p w14:paraId="49545FD3">
            <w:pPr>
              <w:jc w:val="center"/>
              <w:rPr>
                <w:rFonts w:hint="eastAsia" w:ascii="仿宋" w:hAnsi="仿宋" w:eastAsia="宋体"/>
                <w:b/>
                <w:sz w:val="24"/>
                <w:lang w:val="en-US" w:eastAsia="zh-CN"/>
              </w:rPr>
            </w:pPr>
            <w:r>
              <w:rPr>
                <w:rFonts w:hint="eastAsia" w:ascii="仿宋" w:hAnsi="仿宋" w:eastAsia="宋体"/>
                <w:b/>
                <w:sz w:val="24"/>
                <w:lang w:val="en-US" w:eastAsia="zh-CN"/>
              </w:rPr>
              <w:t>所属行业</w:t>
            </w:r>
          </w:p>
        </w:tc>
      </w:tr>
      <w:tr w14:paraId="753C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9" w:type="dxa"/>
            <w:vAlign w:val="center"/>
          </w:tcPr>
          <w:p w14:paraId="0E553CC3">
            <w:pPr>
              <w:adjustRightInd w:val="0"/>
              <w:snapToGrid w:val="0"/>
              <w:jc w:val="center"/>
              <w:rPr>
                <w:rFonts w:ascii="仿宋" w:hAnsi="仿宋" w:cs="仿宋"/>
                <w:sz w:val="24"/>
              </w:rPr>
            </w:pPr>
            <w:r>
              <w:rPr>
                <w:rFonts w:ascii="仿宋" w:hAnsi="仿宋" w:cs="仿宋"/>
                <w:sz w:val="24"/>
              </w:rPr>
              <w:t>1</w:t>
            </w:r>
          </w:p>
        </w:tc>
        <w:tc>
          <w:tcPr>
            <w:tcW w:w="2226" w:type="dxa"/>
            <w:vAlign w:val="center"/>
          </w:tcPr>
          <w:p w14:paraId="5D4355F5">
            <w:pPr>
              <w:adjustRightInd w:val="0"/>
              <w:snapToGrid w:val="0"/>
              <w:jc w:val="center"/>
              <w:rPr>
                <w:rFonts w:ascii="仿宋" w:hAnsi="仿宋" w:cs="仿宋"/>
                <w:sz w:val="24"/>
                <w:lang w:val="en-US"/>
              </w:rPr>
            </w:pPr>
            <w:r>
              <w:rPr>
                <w:rFonts w:ascii="仿宋" w:hAnsi="仿宋" w:cs="仿宋"/>
                <w:sz w:val="24"/>
              </w:rPr>
              <w:t>东校区加装电梯</w:t>
            </w:r>
            <w:r>
              <w:rPr>
                <w:rFonts w:ascii="仿宋" w:hAnsi="仿宋" w:cs="仿宋"/>
                <w:sz w:val="24"/>
                <w:lang w:val="en-US" w:eastAsia="zh-CN"/>
              </w:rPr>
              <w:t>-电梯采购及安装</w:t>
            </w:r>
          </w:p>
        </w:tc>
        <w:tc>
          <w:tcPr>
            <w:tcW w:w="1586" w:type="dxa"/>
            <w:vAlign w:val="center"/>
          </w:tcPr>
          <w:p w14:paraId="03DB0265">
            <w:pPr>
              <w:jc w:val="center"/>
              <w:rPr>
                <w:rFonts w:ascii="仿宋" w:hAnsi="仿宋" w:eastAsia="仿宋" w:cs="仿宋"/>
                <w:sz w:val="24"/>
                <w:lang w:val="en-US" w:eastAsia="zh-CN"/>
              </w:rPr>
            </w:pPr>
            <w:r>
              <w:rPr>
                <w:rFonts w:ascii="仿宋_GB2312" w:hAnsi="仿宋_GB2312" w:eastAsia="仿宋_GB2312" w:cs="仿宋_GB2312"/>
                <w:bCs/>
                <w:sz w:val="24"/>
                <w:szCs w:val="24"/>
                <w:lang w:val="en-US" w:eastAsia="zh-CN"/>
              </w:rPr>
              <w:t>电梯</w:t>
            </w:r>
          </w:p>
        </w:tc>
        <w:tc>
          <w:tcPr>
            <w:tcW w:w="1417" w:type="dxa"/>
            <w:vAlign w:val="center"/>
          </w:tcPr>
          <w:p w14:paraId="48D48A24">
            <w:pPr>
              <w:adjustRightInd w:val="0"/>
              <w:snapToGrid w:val="0"/>
              <w:jc w:val="center"/>
              <w:rPr>
                <w:rFonts w:ascii="仿宋" w:hAnsi="仿宋" w:cs="仿宋"/>
                <w:sz w:val="24"/>
              </w:rPr>
            </w:pPr>
            <w:r>
              <w:rPr>
                <w:rFonts w:ascii="仿宋" w:hAnsi="仿宋" w:cs="仿宋"/>
                <w:sz w:val="24"/>
              </w:rPr>
              <w:t>A02051227</w:t>
            </w:r>
          </w:p>
        </w:tc>
        <w:tc>
          <w:tcPr>
            <w:tcW w:w="851" w:type="dxa"/>
            <w:vAlign w:val="center"/>
          </w:tcPr>
          <w:p w14:paraId="44467567">
            <w:pPr>
              <w:adjustRightInd w:val="0"/>
              <w:snapToGrid w:val="0"/>
              <w:jc w:val="center"/>
              <w:rPr>
                <w:rFonts w:ascii="仿宋" w:hAnsi="仿宋" w:eastAsia="仿宋" w:cs="仿宋"/>
                <w:sz w:val="24"/>
                <w:lang w:val="en-US" w:eastAsia="zh-CN"/>
              </w:rPr>
            </w:pPr>
            <w:r>
              <w:rPr>
                <w:rFonts w:ascii="仿宋" w:hAnsi="仿宋" w:cs="仿宋"/>
                <w:sz w:val="24"/>
                <w:lang w:val="en-US" w:eastAsia="zh-CN"/>
              </w:rPr>
              <w:t>台</w:t>
            </w:r>
          </w:p>
        </w:tc>
        <w:tc>
          <w:tcPr>
            <w:tcW w:w="709" w:type="dxa"/>
            <w:vAlign w:val="center"/>
          </w:tcPr>
          <w:p w14:paraId="6514C536">
            <w:pPr>
              <w:adjustRightInd w:val="0"/>
              <w:snapToGrid w:val="0"/>
              <w:jc w:val="center"/>
              <w:rPr>
                <w:rFonts w:ascii="仿宋" w:hAnsi="仿宋" w:eastAsia="仿宋" w:cs="仿宋"/>
                <w:sz w:val="24"/>
                <w:lang w:eastAsia="zh-CN"/>
              </w:rPr>
            </w:pPr>
            <w:r>
              <w:rPr>
                <w:rFonts w:ascii="仿宋" w:hAnsi="仿宋" w:cs="仿宋"/>
                <w:sz w:val="24"/>
                <w:lang w:val="en-US" w:eastAsia="zh-CN"/>
              </w:rPr>
              <w:t>9</w:t>
            </w:r>
          </w:p>
        </w:tc>
        <w:tc>
          <w:tcPr>
            <w:tcW w:w="866" w:type="dxa"/>
            <w:vAlign w:val="center"/>
          </w:tcPr>
          <w:p w14:paraId="7A6A668D">
            <w:pPr>
              <w:adjustRightInd w:val="0"/>
              <w:snapToGrid w:val="0"/>
              <w:jc w:val="center"/>
              <w:rPr>
                <w:rFonts w:ascii="仿宋" w:hAnsi="仿宋" w:cs="仿宋"/>
                <w:sz w:val="24"/>
              </w:rPr>
            </w:pPr>
            <w:r>
              <w:rPr>
                <w:rFonts w:ascii="仿宋" w:hAnsi="仿宋" w:cs="仿宋"/>
                <w:sz w:val="24"/>
              </w:rPr>
              <w:t>否</w:t>
            </w:r>
          </w:p>
        </w:tc>
        <w:tc>
          <w:tcPr>
            <w:tcW w:w="866" w:type="dxa"/>
            <w:vAlign w:val="center"/>
          </w:tcPr>
          <w:p w14:paraId="67C9788E">
            <w:pPr>
              <w:adjustRightInd w:val="0"/>
              <w:snapToGrid w:val="0"/>
              <w:jc w:val="center"/>
              <w:rPr>
                <w:rFonts w:hint="eastAsia" w:ascii="仿宋" w:hAnsi="仿宋" w:eastAsia="宋体" w:cs="仿宋"/>
                <w:sz w:val="24"/>
                <w:lang w:val="en-US" w:eastAsia="zh-CN"/>
              </w:rPr>
            </w:pPr>
            <w:r>
              <w:rPr>
                <w:rFonts w:hint="eastAsia" w:ascii="仿宋" w:hAnsi="仿宋" w:eastAsia="宋体" w:cs="仿宋"/>
                <w:sz w:val="24"/>
                <w:lang w:val="en-US" w:eastAsia="zh-CN"/>
              </w:rPr>
              <w:t>工业</w:t>
            </w:r>
            <w:bookmarkStart w:id="569" w:name="_GoBack"/>
            <w:bookmarkEnd w:id="569"/>
          </w:p>
        </w:tc>
      </w:tr>
    </w:tbl>
    <w:p w14:paraId="248ED069">
      <w:pPr>
        <w:pStyle w:val="34"/>
        <w:widowControl w:val="0"/>
        <w:numPr>
          <w:ilvl w:val="0"/>
          <w:numId w:val="6"/>
        </w:numPr>
        <w:spacing w:before="0" w:after="0" w:line="560" w:lineRule="exact"/>
        <w:ind w:firstLine="643"/>
        <w:rPr>
          <w:rFonts w:ascii="楷体" w:hAnsi="楷体" w:cs="楷体"/>
          <w:sz w:val="28"/>
          <w:szCs w:val="28"/>
          <w:lang w:eastAsia="zh-Hans"/>
        </w:rPr>
      </w:pPr>
      <w:bookmarkStart w:id="478" w:name="_Toc12047"/>
      <w:bookmarkStart w:id="479" w:name="_Toc1857844408"/>
      <w:bookmarkStart w:id="480" w:name="_Toc3112835"/>
      <w:r>
        <w:rPr>
          <w:rFonts w:ascii="楷体" w:hAnsi="楷体" w:cs="楷体"/>
          <w:sz w:val="28"/>
          <w:szCs w:val="28"/>
          <w:lang w:eastAsia="zh-Hans"/>
        </w:rPr>
        <w:t>采购项目预（概）算</w:t>
      </w:r>
      <w:bookmarkEnd w:id="478"/>
      <w:bookmarkEnd w:id="479"/>
      <w:bookmarkEnd w:id="480"/>
    </w:p>
    <w:p w14:paraId="25FCC654">
      <w:pPr>
        <w:spacing w:line="560" w:lineRule="exact"/>
        <w:ind w:firstLine="560" w:firstLineChars="200"/>
        <w:jc w:val="left"/>
        <w:rPr>
          <w:rFonts w:ascii="仿宋" w:hAnsi="仿宋" w:cs="仿宋"/>
          <w:sz w:val="28"/>
          <w:szCs w:val="28"/>
          <w:u w:val="single"/>
        </w:rPr>
      </w:pPr>
      <w:r>
        <w:rPr>
          <w:rFonts w:ascii="仿宋" w:hAnsi="仿宋" w:cs="仿宋"/>
          <w:sz w:val="28"/>
          <w:szCs w:val="28"/>
        </w:rPr>
        <w:t>总 预 算：</w:t>
      </w:r>
      <w:r>
        <w:rPr>
          <w:rFonts w:ascii="仿宋" w:hAnsi="仿宋" w:cs="仿宋"/>
          <w:sz w:val="28"/>
          <w:szCs w:val="28"/>
          <w:u w:val="single"/>
        </w:rPr>
        <w:t xml:space="preserve"> </w:t>
      </w:r>
      <w:r>
        <w:rPr>
          <w:rFonts w:ascii="仿宋" w:hAnsi="仿宋" w:cs="仿宋"/>
          <w:sz w:val="28"/>
          <w:szCs w:val="28"/>
          <w:u w:val="single"/>
          <w:lang w:val="en-US" w:eastAsia="zh-CN"/>
        </w:rPr>
        <w:t>382.05</w:t>
      </w:r>
      <w:r>
        <w:rPr>
          <w:rFonts w:ascii="仿宋" w:hAnsi="仿宋" w:cs="仿宋"/>
          <w:sz w:val="28"/>
          <w:szCs w:val="28"/>
          <w:u w:val="single"/>
        </w:rPr>
        <w:t xml:space="preserve">万元           </w:t>
      </w:r>
    </w:p>
    <w:p w14:paraId="2B1D8D0B">
      <w:pPr>
        <w:spacing w:line="560" w:lineRule="exact"/>
        <w:ind w:firstLine="560" w:firstLineChars="200"/>
        <w:jc w:val="left"/>
        <w:rPr>
          <w:rFonts w:ascii="仿宋" w:hAnsi="仿宋" w:cs="仿宋"/>
          <w:sz w:val="28"/>
          <w:szCs w:val="28"/>
          <w:u w:val="single"/>
        </w:rPr>
      </w:pPr>
      <w:r>
        <w:rPr>
          <w:rFonts w:ascii="仿宋" w:hAnsi="仿宋" w:cs="仿宋"/>
          <w:sz w:val="28"/>
          <w:szCs w:val="28"/>
        </w:rPr>
        <w:t>最高限价：</w:t>
      </w:r>
      <w:r>
        <w:rPr>
          <w:rFonts w:ascii="仿宋" w:hAnsi="仿宋" w:cs="仿宋"/>
          <w:sz w:val="28"/>
          <w:szCs w:val="28"/>
          <w:u w:val="single"/>
        </w:rPr>
        <w:t xml:space="preserve"> </w:t>
      </w:r>
      <w:r>
        <w:rPr>
          <w:rFonts w:ascii="仿宋" w:hAnsi="仿宋" w:cs="仿宋"/>
          <w:sz w:val="28"/>
          <w:szCs w:val="28"/>
          <w:u w:val="single"/>
          <w:lang w:val="en-US" w:eastAsia="zh-CN"/>
        </w:rPr>
        <w:t>382.05</w:t>
      </w:r>
      <w:r>
        <w:rPr>
          <w:rFonts w:ascii="仿宋" w:hAnsi="仿宋" w:cs="仿宋"/>
          <w:sz w:val="28"/>
          <w:szCs w:val="28"/>
          <w:u w:val="single"/>
        </w:rPr>
        <w:t xml:space="preserve">万元           </w:t>
      </w:r>
    </w:p>
    <w:p w14:paraId="1A96B967">
      <w:pPr>
        <w:pStyle w:val="34"/>
        <w:widowControl w:val="0"/>
        <w:numPr>
          <w:ilvl w:val="0"/>
          <w:numId w:val="6"/>
        </w:numPr>
        <w:spacing w:before="0" w:after="0" w:line="560" w:lineRule="exact"/>
        <w:ind w:firstLine="643"/>
        <w:rPr>
          <w:rFonts w:ascii="楷体" w:hAnsi="楷体" w:cs="楷体"/>
          <w:sz w:val="28"/>
          <w:szCs w:val="28"/>
          <w:lang w:eastAsia="zh-Hans"/>
        </w:rPr>
      </w:pPr>
      <w:bookmarkStart w:id="481" w:name="_Toc11201"/>
      <w:bookmarkStart w:id="482" w:name="_Toc777810317"/>
      <w:bookmarkStart w:id="483" w:name="_Toc305952224"/>
      <w:r>
        <w:rPr>
          <w:rFonts w:ascii="楷体" w:hAnsi="楷体" w:cs="楷体"/>
          <w:sz w:val="28"/>
          <w:szCs w:val="28"/>
          <w:lang w:eastAsia="zh-Hans"/>
        </w:rPr>
        <w:t>技术</w:t>
      </w:r>
      <w:r>
        <w:rPr>
          <w:rFonts w:ascii="楷体" w:hAnsi="楷体" w:cs="楷体"/>
          <w:sz w:val="28"/>
          <w:szCs w:val="28"/>
          <w:lang w:val="en-US" w:eastAsia="zh-CN"/>
        </w:rPr>
        <w:t>及商务</w:t>
      </w:r>
      <w:r>
        <w:rPr>
          <w:rFonts w:ascii="楷体" w:hAnsi="楷体" w:cs="楷体"/>
          <w:sz w:val="28"/>
          <w:szCs w:val="28"/>
          <w:lang w:eastAsia="zh-Hans"/>
        </w:rPr>
        <w:t>要求</w:t>
      </w:r>
      <w:bookmarkEnd w:id="481"/>
      <w:bookmarkEnd w:id="482"/>
      <w:bookmarkEnd w:id="483"/>
    </w:p>
    <w:p w14:paraId="3EC326F1">
      <w:pPr>
        <w:spacing w:line="560" w:lineRule="exact"/>
        <w:ind w:firstLine="560" w:firstLineChars="200"/>
        <w:jc w:val="left"/>
        <w:rPr>
          <w:rFonts w:ascii="仿宋" w:hAnsi="仿宋" w:eastAsia="宋体" w:cs="仿宋"/>
          <w:iCs/>
          <w:sz w:val="28"/>
          <w:szCs w:val="28"/>
          <w:lang w:eastAsia="zh-CN"/>
        </w:rPr>
      </w:pPr>
      <w:r>
        <w:rPr>
          <w:rFonts w:ascii="仿宋" w:hAnsi="仿宋" w:eastAsia="宋体" w:cs="仿宋"/>
          <w:sz w:val="28"/>
          <w:szCs w:val="28"/>
          <w:lang w:val="en-US" w:eastAsia="zh-CN"/>
        </w:rPr>
        <w:t>4.1</w:t>
      </w:r>
      <w:r>
        <w:rPr>
          <w:rFonts w:ascii="仿宋" w:hAnsi="仿宋" w:cs="仿宋"/>
          <w:iCs/>
          <w:sz w:val="28"/>
          <w:szCs w:val="28"/>
          <w:lang w:eastAsia="zh-Hans"/>
        </w:rPr>
        <w:t>技术</w:t>
      </w:r>
      <w:r>
        <w:rPr>
          <w:rFonts w:ascii="仿宋" w:hAnsi="仿宋" w:eastAsia="宋体" w:cs="仿宋"/>
          <w:iCs/>
          <w:sz w:val="28"/>
          <w:szCs w:val="28"/>
          <w:lang w:val="en-US" w:eastAsia="zh-CN"/>
        </w:rPr>
        <w:t>要求</w:t>
      </w:r>
    </w:p>
    <w:p w14:paraId="1A365648">
      <w:pPr>
        <w:spacing w:line="560" w:lineRule="exact"/>
        <w:ind w:firstLine="560" w:firstLineChars="200"/>
        <w:jc w:val="left"/>
        <w:rPr>
          <w:rFonts w:ascii="仿宋" w:hAnsi="仿宋" w:cs="仿宋"/>
          <w:iCs/>
          <w:sz w:val="28"/>
          <w:szCs w:val="28"/>
          <w:lang w:eastAsia="zh-Hans"/>
        </w:rPr>
      </w:pPr>
      <w:r>
        <w:rPr>
          <w:rFonts w:ascii="仿宋" w:hAnsi="仿宋" w:cs="仿宋"/>
          <w:sz w:val="28"/>
          <w:szCs w:val="28"/>
          <w:u w:val="single"/>
        </w:rPr>
        <w:t xml:space="preserve">本次采购内容包括：电梯设备，电梯安装，电梯调试及其他配套工程。                     </w:t>
      </w:r>
      <w:r>
        <w:rPr>
          <w:rFonts w:ascii="仿宋" w:hAnsi="仿宋" w:cs="仿宋"/>
          <w:szCs w:val="32"/>
          <w:u w:val="single"/>
        </w:rPr>
        <w:t xml:space="preserve">                         </w:t>
      </w:r>
    </w:p>
    <w:tbl>
      <w:tblPr>
        <w:tblStyle w:val="52"/>
        <w:tblW w:w="9224" w:type="dxa"/>
        <w:jc w:val="center"/>
        <w:tblLayout w:type="autofit"/>
        <w:tblCellMar>
          <w:top w:w="0" w:type="dxa"/>
          <w:left w:w="108" w:type="dxa"/>
          <w:bottom w:w="0" w:type="dxa"/>
          <w:right w:w="108" w:type="dxa"/>
        </w:tblCellMar>
      </w:tblPr>
      <w:tblGrid>
        <w:gridCol w:w="2566"/>
        <w:gridCol w:w="1359"/>
        <w:gridCol w:w="1166"/>
        <w:gridCol w:w="4133"/>
      </w:tblGrid>
      <w:tr w14:paraId="696D6EE3">
        <w:tblPrEx>
          <w:tblCellMar>
            <w:top w:w="0" w:type="dxa"/>
            <w:left w:w="108" w:type="dxa"/>
            <w:bottom w:w="0" w:type="dxa"/>
            <w:right w:w="108" w:type="dxa"/>
          </w:tblCellMar>
        </w:tblPrEx>
        <w:trPr>
          <w:trHeight w:val="454" w:hRule="atLeast"/>
          <w:jc w:val="center"/>
        </w:trPr>
        <w:tc>
          <w:tcPr>
            <w:tcW w:w="2566" w:type="dxa"/>
            <w:tcBorders>
              <w:top w:val="single" w:color="auto" w:sz="4" w:space="0"/>
              <w:left w:val="single" w:color="auto" w:sz="4" w:space="0"/>
              <w:right w:val="single" w:color="auto" w:sz="4" w:space="0"/>
            </w:tcBorders>
            <w:shd w:val="clear" w:color="auto" w:fill="FFFFFF"/>
            <w:vAlign w:val="center"/>
          </w:tcPr>
          <w:p w14:paraId="6E33EC45">
            <w:pPr>
              <w:jc w:val="center"/>
              <w:textAlignment w:val="center"/>
              <w:rPr>
                <w:rFonts w:ascii="仿宋" w:hAnsi="仿宋" w:cs="仿宋"/>
                <w:b/>
                <w:bCs/>
                <w:sz w:val="24"/>
                <w:lang w:bidi="ar"/>
              </w:rPr>
            </w:pPr>
            <w:r>
              <w:rPr>
                <w:rFonts w:ascii="仿宋" w:hAnsi="仿宋" w:cs="仿宋"/>
                <w:b/>
                <w:bCs/>
                <w:sz w:val="24"/>
                <w:lang w:bidi="ar"/>
              </w:rPr>
              <w:t>名 称</w:t>
            </w:r>
          </w:p>
        </w:tc>
        <w:tc>
          <w:tcPr>
            <w:tcW w:w="1359" w:type="dxa"/>
            <w:tcBorders>
              <w:top w:val="single" w:color="auto" w:sz="4" w:space="0"/>
              <w:left w:val="single" w:color="auto" w:sz="4" w:space="0"/>
              <w:right w:val="single" w:color="auto" w:sz="4" w:space="0"/>
            </w:tcBorders>
            <w:shd w:val="clear" w:color="auto" w:fill="FFFFFF"/>
            <w:vAlign w:val="center"/>
          </w:tcPr>
          <w:p w14:paraId="481DB2B8">
            <w:pPr>
              <w:jc w:val="center"/>
              <w:rPr>
                <w:rFonts w:ascii="仿宋" w:hAnsi="仿宋" w:cs="仿宋"/>
                <w:b/>
                <w:bCs/>
                <w:sz w:val="24"/>
              </w:rPr>
            </w:pPr>
            <w:r>
              <w:rPr>
                <w:rFonts w:ascii="仿宋" w:hAnsi="仿宋" w:cs="仿宋"/>
                <w:b/>
                <w:bCs/>
                <w:sz w:val="24"/>
              </w:rPr>
              <w:t>数量</w:t>
            </w:r>
          </w:p>
        </w:tc>
        <w:tc>
          <w:tcPr>
            <w:tcW w:w="1166" w:type="dxa"/>
            <w:tcBorders>
              <w:top w:val="single" w:color="auto" w:sz="4" w:space="0"/>
              <w:left w:val="single" w:color="auto" w:sz="4" w:space="0"/>
              <w:right w:val="single" w:color="auto" w:sz="4" w:space="0"/>
            </w:tcBorders>
            <w:shd w:val="clear" w:color="auto" w:fill="FFFFFF"/>
            <w:vAlign w:val="center"/>
          </w:tcPr>
          <w:p w14:paraId="1E8225F4">
            <w:pPr>
              <w:jc w:val="center"/>
              <w:rPr>
                <w:rFonts w:ascii="仿宋" w:hAnsi="仿宋" w:cs="仿宋"/>
                <w:b/>
                <w:bCs/>
                <w:sz w:val="24"/>
              </w:rPr>
            </w:pPr>
            <w:r>
              <w:rPr>
                <w:rFonts w:ascii="仿宋" w:hAnsi="仿宋" w:cs="仿宋"/>
                <w:b/>
                <w:bCs/>
                <w:sz w:val="24"/>
              </w:rPr>
              <w:t>单位</w:t>
            </w:r>
          </w:p>
        </w:tc>
        <w:tc>
          <w:tcPr>
            <w:tcW w:w="4133" w:type="dxa"/>
            <w:tcBorders>
              <w:top w:val="single" w:color="auto" w:sz="4" w:space="0"/>
              <w:left w:val="single" w:color="auto" w:sz="4" w:space="0"/>
              <w:right w:val="single" w:color="auto" w:sz="4" w:space="0"/>
            </w:tcBorders>
            <w:shd w:val="clear" w:color="auto" w:fill="FFFFFF"/>
            <w:vAlign w:val="center"/>
          </w:tcPr>
          <w:p w14:paraId="154259E7">
            <w:pPr>
              <w:jc w:val="center"/>
              <w:textAlignment w:val="center"/>
              <w:rPr>
                <w:rFonts w:ascii="仿宋" w:hAnsi="仿宋" w:cs="仿宋"/>
                <w:b/>
                <w:bCs/>
                <w:sz w:val="24"/>
                <w:lang w:bidi="ar"/>
              </w:rPr>
            </w:pPr>
            <w:r>
              <w:rPr>
                <w:rFonts w:ascii="仿宋" w:hAnsi="仿宋" w:cs="仿宋"/>
                <w:b/>
                <w:bCs/>
                <w:sz w:val="24"/>
                <w:lang w:bidi="ar"/>
              </w:rPr>
              <w:t>内容</w:t>
            </w:r>
          </w:p>
        </w:tc>
      </w:tr>
      <w:tr w14:paraId="229C3AE9">
        <w:tblPrEx>
          <w:tblCellMar>
            <w:top w:w="0" w:type="dxa"/>
            <w:left w:w="108" w:type="dxa"/>
            <w:bottom w:w="0" w:type="dxa"/>
            <w:right w:w="108" w:type="dxa"/>
          </w:tblCellMar>
        </w:tblPrEx>
        <w:trPr>
          <w:trHeight w:val="907" w:hRule="atLeast"/>
          <w:jc w:val="center"/>
        </w:trPr>
        <w:tc>
          <w:tcPr>
            <w:tcW w:w="2566" w:type="dxa"/>
            <w:tcBorders>
              <w:top w:val="single" w:color="auto" w:sz="4" w:space="0"/>
              <w:left w:val="single" w:color="auto" w:sz="4" w:space="0"/>
              <w:bottom w:val="single" w:color="auto" w:sz="4" w:space="0"/>
              <w:right w:val="single" w:color="auto" w:sz="4" w:space="0"/>
            </w:tcBorders>
            <w:shd w:val="clear" w:color="auto" w:fill="FFFFFF"/>
            <w:vAlign w:val="center"/>
          </w:tcPr>
          <w:p w14:paraId="22A9623D">
            <w:pPr>
              <w:jc w:val="center"/>
              <w:textAlignment w:val="bottom"/>
              <w:rPr>
                <w:rFonts w:ascii="仿宋" w:hAnsi="仿宋" w:cs="仿宋"/>
                <w:sz w:val="24"/>
                <w:lang w:bidi="ar"/>
              </w:rPr>
            </w:pPr>
            <w:r>
              <w:rPr>
                <w:rFonts w:ascii="仿宋" w:hAnsi="仿宋" w:cs="仿宋"/>
                <w:sz w:val="24"/>
                <w:lang w:bidi="ar"/>
              </w:rPr>
              <w:t>电梯设备采购</w:t>
            </w:r>
          </w:p>
        </w:tc>
        <w:tc>
          <w:tcPr>
            <w:tcW w:w="1359" w:type="dxa"/>
            <w:tcBorders>
              <w:top w:val="single" w:color="auto" w:sz="4" w:space="0"/>
              <w:left w:val="single" w:color="auto" w:sz="4" w:space="0"/>
              <w:bottom w:val="single" w:color="auto" w:sz="4" w:space="0"/>
              <w:right w:val="single" w:color="auto" w:sz="4" w:space="0"/>
            </w:tcBorders>
            <w:shd w:val="clear" w:color="auto" w:fill="FFFFFF"/>
            <w:vAlign w:val="center"/>
          </w:tcPr>
          <w:p w14:paraId="6DB69C03">
            <w:pPr>
              <w:jc w:val="center"/>
              <w:rPr>
                <w:rFonts w:ascii="仿宋" w:hAnsi="仿宋" w:eastAsia="仿宋" w:cs="仿宋"/>
                <w:sz w:val="24"/>
                <w:lang w:eastAsia="zh-CN"/>
              </w:rPr>
            </w:pPr>
            <w:r>
              <w:rPr>
                <w:rFonts w:ascii="仿宋" w:hAnsi="仿宋" w:cs="仿宋"/>
                <w:sz w:val="24"/>
                <w:lang w:val="en-US" w:eastAsia="zh-CN"/>
              </w:rPr>
              <w:t>9</w:t>
            </w:r>
          </w:p>
        </w:tc>
        <w:tc>
          <w:tcPr>
            <w:tcW w:w="1166" w:type="dxa"/>
            <w:tcBorders>
              <w:top w:val="single" w:color="auto" w:sz="4" w:space="0"/>
              <w:left w:val="single" w:color="auto" w:sz="4" w:space="0"/>
              <w:bottom w:val="single" w:color="auto" w:sz="4" w:space="0"/>
              <w:right w:val="single" w:color="auto" w:sz="4" w:space="0"/>
            </w:tcBorders>
            <w:shd w:val="clear" w:color="auto" w:fill="FFFFFF"/>
            <w:vAlign w:val="center"/>
          </w:tcPr>
          <w:p w14:paraId="4D3A557F">
            <w:pPr>
              <w:jc w:val="center"/>
              <w:rPr>
                <w:rFonts w:ascii="仿宋" w:hAnsi="仿宋" w:cs="仿宋"/>
                <w:sz w:val="24"/>
              </w:rPr>
            </w:pPr>
            <w:r>
              <w:rPr>
                <w:rFonts w:ascii="仿宋" w:hAnsi="仿宋" w:cs="仿宋"/>
                <w:sz w:val="24"/>
              </w:rPr>
              <w:t>台</w:t>
            </w:r>
          </w:p>
        </w:tc>
        <w:tc>
          <w:tcPr>
            <w:tcW w:w="4133" w:type="dxa"/>
            <w:tcBorders>
              <w:top w:val="single" w:color="auto" w:sz="4" w:space="0"/>
              <w:left w:val="single" w:color="auto" w:sz="4" w:space="0"/>
              <w:bottom w:val="single" w:color="auto" w:sz="4" w:space="0"/>
              <w:right w:val="single" w:color="auto" w:sz="4" w:space="0"/>
            </w:tcBorders>
            <w:shd w:val="clear" w:color="auto" w:fill="FFFFFF"/>
            <w:vAlign w:val="center"/>
          </w:tcPr>
          <w:p w14:paraId="364DAA47">
            <w:pPr>
              <w:jc w:val="center"/>
              <w:textAlignment w:val="center"/>
              <w:rPr>
                <w:rFonts w:ascii="仿宋" w:hAnsi="仿宋" w:cs="仿宋"/>
                <w:sz w:val="24"/>
                <w:lang w:bidi="ar"/>
              </w:rPr>
            </w:pPr>
            <w:r>
              <w:rPr>
                <w:rFonts w:ascii="仿宋" w:hAnsi="仿宋" w:cs="仿宋"/>
                <w:sz w:val="24"/>
                <w:lang w:bidi="ar"/>
              </w:rPr>
              <w:t>载重量为量1600kg（21人）电梯，额定速度</w:t>
            </w:r>
            <w:r>
              <w:rPr>
                <w:rFonts w:ascii="仿宋_GB2312" w:hAnsi="仿宋_GB2312" w:eastAsia="仿宋_GB2312" w:cs="仿宋_GB2312"/>
                <w:sz w:val="24"/>
                <w:szCs w:val="24"/>
                <w:lang w:val="en-US" w:eastAsia="zh-CN"/>
              </w:rPr>
              <w:t>≥</w:t>
            </w:r>
            <w:r>
              <w:rPr>
                <w:rFonts w:ascii="仿宋" w:hAnsi="仿宋" w:cs="仿宋"/>
                <w:sz w:val="24"/>
                <w:lang w:bidi="ar"/>
              </w:rPr>
              <w:t>1.5m/s。含安装、调试</w:t>
            </w:r>
            <w:r>
              <w:rPr>
                <w:rFonts w:ascii="仿宋" w:hAnsi="仿宋" w:cs="仿宋"/>
                <w:sz w:val="24"/>
                <w:lang w:val="en-US" w:eastAsia="zh-CN" w:bidi="ar"/>
              </w:rPr>
              <w:t>及配套工程</w:t>
            </w:r>
          </w:p>
        </w:tc>
      </w:tr>
    </w:tbl>
    <w:p w14:paraId="38F568C8">
      <w:pPr>
        <w:spacing w:line="560" w:lineRule="exact"/>
        <w:ind w:firstLine="560" w:firstLineChars="200"/>
        <w:jc w:val="center"/>
        <w:rPr>
          <w:rFonts w:ascii="黑体" w:hAnsi="黑体" w:eastAsia="黑体" w:cs="黑体"/>
          <w:sz w:val="28"/>
          <w:szCs w:val="28"/>
          <w:u w:val="single"/>
          <w:lang w:eastAsia="zh-Hans"/>
        </w:rPr>
      </w:pPr>
      <w:r>
        <w:rPr>
          <w:rFonts w:ascii="黑体" w:hAnsi="黑体" w:eastAsia="黑体" w:cs="黑体"/>
          <w:sz w:val="28"/>
          <w:szCs w:val="28"/>
          <w:u w:val="single"/>
          <w:lang w:val="en-US" w:eastAsia="zh-CN"/>
        </w:rPr>
        <w:t>梯台明细表</w:t>
      </w:r>
      <w:r>
        <w:rPr>
          <w:rFonts w:ascii="黑体" w:hAnsi="黑体" w:eastAsia="黑体" w:cs="黑体"/>
          <w:sz w:val="28"/>
          <w:szCs w:val="28"/>
          <w:u w:val="single"/>
          <w:lang w:eastAsia="zh-Hans"/>
        </w:rPr>
        <w:t>(本</w:t>
      </w:r>
      <w:r>
        <w:rPr>
          <w:rFonts w:ascii="黑体" w:hAnsi="黑体" w:eastAsia="黑体" w:cs="黑体"/>
          <w:sz w:val="28"/>
          <w:szCs w:val="28"/>
          <w:u w:val="single"/>
          <w:lang w:eastAsia="zh-CN"/>
        </w:rPr>
        <w:t>表</w:t>
      </w:r>
      <w:r>
        <w:rPr>
          <w:rFonts w:ascii="黑体" w:hAnsi="黑体" w:eastAsia="黑体" w:cs="黑体"/>
          <w:sz w:val="28"/>
          <w:szCs w:val="28"/>
          <w:u w:val="single"/>
          <w:lang w:eastAsia="zh-Hans"/>
        </w:rPr>
        <w:t>技术参数需全部满足，未满足本项技术参数要求的按无效标处理)</w:t>
      </w:r>
    </w:p>
    <w:p w14:paraId="51C46497">
      <w:pPr>
        <w:spacing w:line="51" w:lineRule="exact"/>
        <w:rPr>
          <w:rFonts w:ascii="仿宋" w:hAnsi="仿宋" w:cs="仿宋"/>
        </w:rPr>
      </w:pPr>
    </w:p>
    <w:tbl>
      <w:tblPr>
        <w:tblStyle w:val="52"/>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258"/>
        <w:gridCol w:w="7246"/>
      </w:tblGrid>
      <w:tr w14:paraId="0663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64" w:type="dxa"/>
            <w:vAlign w:val="center"/>
          </w:tcPr>
          <w:p w14:paraId="5C46CD18">
            <w:pPr>
              <w:jc w:val="center"/>
              <w:rPr>
                <w:rFonts w:ascii="方正仿宋_GB2312" w:hAnsi="方正仿宋_GB2312" w:eastAsia="方正仿宋_GB2312" w:cs="方正仿宋_GB2312"/>
                <w:sz w:val="24"/>
                <w:szCs w:val="24"/>
                <w:lang w:val="en-US" w:eastAsia="zh-CN"/>
              </w:rPr>
            </w:pPr>
            <w:r>
              <w:rPr>
                <w:rFonts w:ascii="方正仿宋_GB2312" w:hAnsi="方正仿宋_GB2312" w:eastAsia="方正仿宋_GB2312" w:cs="方正仿宋_GB2312"/>
                <w:sz w:val="24"/>
                <w:szCs w:val="24"/>
                <w:lang w:val="en-US" w:eastAsia="zh-CN"/>
              </w:rPr>
              <w:t>序号</w:t>
            </w:r>
          </w:p>
        </w:tc>
        <w:tc>
          <w:tcPr>
            <w:tcW w:w="1258" w:type="dxa"/>
            <w:vAlign w:val="center"/>
          </w:tcPr>
          <w:p w14:paraId="1ABD17D4">
            <w:pPr>
              <w:jc w:val="center"/>
              <w:rPr>
                <w:rFonts w:ascii="方正仿宋_GB2312" w:hAnsi="方正仿宋_GB2312" w:eastAsia="方正仿宋_GB2312" w:cs="方正仿宋_GB2312"/>
                <w:sz w:val="24"/>
                <w:szCs w:val="24"/>
                <w:lang w:val="en-US" w:eastAsia="zh-CN"/>
              </w:rPr>
            </w:pPr>
            <w:r>
              <w:rPr>
                <w:rFonts w:ascii="方正仿宋_GB2312" w:hAnsi="方正仿宋_GB2312" w:eastAsia="方正仿宋_GB2312" w:cs="方正仿宋_GB2312"/>
                <w:sz w:val="24"/>
                <w:szCs w:val="24"/>
                <w:lang w:val="en-US" w:eastAsia="zh-CN"/>
              </w:rPr>
              <w:t>名称</w:t>
            </w:r>
          </w:p>
        </w:tc>
        <w:tc>
          <w:tcPr>
            <w:tcW w:w="7246" w:type="dxa"/>
            <w:vAlign w:val="center"/>
          </w:tcPr>
          <w:p w14:paraId="734C703E">
            <w:pPr>
              <w:jc w:val="center"/>
              <w:rPr>
                <w:rFonts w:ascii="方正仿宋_GB2312" w:hAnsi="方正仿宋_GB2312" w:eastAsia="方正仿宋_GB2312" w:cs="方正仿宋_GB2312"/>
                <w:sz w:val="24"/>
                <w:szCs w:val="24"/>
                <w:lang w:val="en-US" w:eastAsia="zh-CN"/>
              </w:rPr>
            </w:pPr>
            <w:r>
              <w:rPr>
                <w:rFonts w:ascii="方正仿宋_GB2312" w:hAnsi="方正仿宋_GB2312" w:eastAsia="方正仿宋_GB2312" w:cs="方正仿宋_GB2312"/>
                <w:sz w:val="24"/>
                <w:szCs w:val="24"/>
                <w:lang w:val="en-US" w:eastAsia="zh-CN"/>
              </w:rPr>
              <w:t>规格参数</w:t>
            </w:r>
          </w:p>
        </w:tc>
      </w:tr>
      <w:tr w14:paraId="185A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4" w:type="dxa"/>
            <w:vAlign w:val="center"/>
          </w:tcPr>
          <w:p w14:paraId="330EEFD1">
            <w:pPr>
              <w:jc w:val="center"/>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1</w:t>
            </w:r>
          </w:p>
        </w:tc>
        <w:tc>
          <w:tcPr>
            <w:tcW w:w="1258" w:type="dxa"/>
            <w:vAlign w:val="center"/>
          </w:tcPr>
          <w:p w14:paraId="627DC6DD">
            <w:pPr>
              <w:jc w:val="center"/>
              <w:rPr>
                <w:rFonts w:ascii="仿宋_GB2312" w:hAnsi="仿宋_GB2312" w:eastAsia="仿宋_GB2312" w:cs="仿宋_GB2312"/>
                <w:bCs/>
                <w:sz w:val="24"/>
                <w:szCs w:val="24"/>
                <w:lang w:val="en-US" w:eastAsia="zh-CN"/>
              </w:rPr>
            </w:pPr>
            <w:r>
              <w:rPr>
                <w:rFonts w:ascii="仿宋_GB2312" w:hAnsi="仿宋_GB2312" w:eastAsia="仿宋_GB2312" w:cs="仿宋_GB2312"/>
                <w:bCs/>
                <w:sz w:val="24"/>
                <w:szCs w:val="24"/>
                <w:lang w:val="en-US" w:eastAsia="zh-CN"/>
              </w:rPr>
              <w:t>产学楼</w:t>
            </w:r>
          </w:p>
          <w:p w14:paraId="2F699E44">
            <w:pPr>
              <w:jc w:val="center"/>
              <w:rPr>
                <w:rFonts w:ascii="仿宋_GB2312" w:hAnsi="仿宋_GB2312" w:eastAsia="仿宋_GB2312" w:cs="仿宋_GB2312"/>
                <w:sz w:val="24"/>
                <w:szCs w:val="24"/>
                <w:lang w:val="en-US" w:eastAsia="zh-CN"/>
              </w:rPr>
            </w:pPr>
            <w:r>
              <w:rPr>
                <w:rFonts w:ascii="仿宋_GB2312" w:hAnsi="仿宋_GB2312" w:eastAsia="仿宋_GB2312" w:cs="仿宋_GB2312"/>
                <w:bCs/>
                <w:sz w:val="24"/>
                <w:szCs w:val="24"/>
                <w:lang w:val="en-US" w:eastAsia="zh-CN"/>
              </w:rPr>
              <w:t>1台</w:t>
            </w:r>
          </w:p>
        </w:tc>
        <w:tc>
          <w:tcPr>
            <w:tcW w:w="7246" w:type="dxa"/>
            <w:vAlign w:val="center"/>
          </w:tcPr>
          <w:p w14:paraId="5D299807">
            <w:pPr>
              <w:ind w:firstLine="480" w:firstLineChars="200"/>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额定载重:1600kg，速度≥1.5m/s，停层:1F-5F，站数:5站，井道尺寸:2750mm*2250mm，提升高度:14.1m，冲顶高度:4.2m，基坑深度1.5m，结构类型层高:新建钢结构，1F4.2m；2F-3F3.6m；4F3.3m；5F4.4m</w:t>
            </w:r>
          </w:p>
        </w:tc>
      </w:tr>
      <w:tr w14:paraId="2D46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4" w:type="dxa"/>
            <w:vAlign w:val="center"/>
          </w:tcPr>
          <w:p w14:paraId="03A7C111">
            <w:pPr>
              <w:jc w:val="center"/>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2</w:t>
            </w:r>
          </w:p>
        </w:tc>
        <w:tc>
          <w:tcPr>
            <w:tcW w:w="1258" w:type="dxa"/>
            <w:vAlign w:val="center"/>
          </w:tcPr>
          <w:p w14:paraId="1461FA84">
            <w:pPr>
              <w:jc w:val="center"/>
              <w:rPr>
                <w:rFonts w:ascii="仿宋_GB2312" w:hAnsi="仿宋_GB2312" w:eastAsia="仿宋_GB2312" w:cs="仿宋_GB2312"/>
                <w:bCs/>
                <w:sz w:val="24"/>
                <w:szCs w:val="24"/>
                <w:lang w:val="en-US" w:eastAsia="zh-CN"/>
              </w:rPr>
            </w:pPr>
            <w:r>
              <w:rPr>
                <w:rFonts w:ascii="仿宋_GB2312" w:hAnsi="仿宋_GB2312" w:eastAsia="仿宋_GB2312" w:cs="仿宋_GB2312"/>
                <w:bCs/>
                <w:sz w:val="24"/>
                <w:szCs w:val="24"/>
                <w:lang w:val="en-US" w:eastAsia="zh-CN"/>
              </w:rPr>
              <w:t>体健楼</w:t>
            </w:r>
          </w:p>
          <w:p w14:paraId="174CA47F">
            <w:pPr>
              <w:jc w:val="center"/>
              <w:rPr>
                <w:rFonts w:ascii="仿宋_GB2312" w:hAnsi="仿宋_GB2312" w:eastAsia="仿宋_GB2312" w:cs="仿宋_GB2312"/>
                <w:sz w:val="24"/>
                <w:szCs w:val="24"/>
                <w:lang w:val="en-US" w:eastAsia="zh-CN"/>
              </w:rPr>
            </w:pPr>
            <w:r>
              <w:rPr>
                <w:rFonts w:ascii="仿宋_GB2312" w:hAnsi="仿宋_GB2312" w:eastAsia="仿宋_GB2312" w:cs="仿宋_GB2312"/>
                <w:bCs/>
                <w:sz w:val="24"/>
                <w:szCs w:val="24"/>
                <w:lang w:val="en-US" w:eastAsia="zh-CN"/>
              </w:rPr>
              <w:t>1台</w:t>
            </w:r>
          </w:p>
        </w:tc>
        <w:tc>
          <w:tcPr>
            <w:tcW w:w="7246" w:type="dxa"/>
            <w:vAlign w:val="center"/>
          </w:tcPr>
          <w:p w14:paraId="75487E9F">
            <w:pPr>
              <w:ind w:firstLine="480" w:firstLineChars="200"/>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额定载重:1600kg，速度≥1.5m/s，停层:1F-3F，站数:3站，井道尺寸:2750mm*2250mm，提升高度:10.2m，冲顶高度:4.2m，基坑深度1.5m，结构类型、层高:新建钢结构，1F6.8m；2F3.4m；3F4.4m</w:t>
            </w:r>
          </w:p>
        </w:tc>
      </w:tr>
      <w:tr w14:paraId="7846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4" w:type="dxa"/>
            <w:vAlign w:val="center"/>
          </w:tcPr>
          <w:p w14:paraId="7ACBA934">
            <w:pPr>
              <w:jc w:val="center"/>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3</w:t>
            </w:r>
          </w:p>
        </w:tc>
        <w:tc>
          <w:tcPr>
            <w:tcW w:w="1258" w:type="dxa"/>
            <w:vAlign w:val="center"/>
          </w:tcPr>
          <w:p w14:paraId="21F7762E">
            <w:pPr>
              <w:jc w:val="center"/>
              <w:rPr>
                <w:rFonts w:ascii="仿宋_GB2312" w:hAnsi="仿宋_GB2312" w:eastAsia="仿宋_GB2312" w:cs="仿宋_GB2312"/>
                <w:bCs/>
                <w:sz w:val="24"/>
                <w:szCs w:val="24"/>
                <w:lang w:val="en-US" w:eastAsia="zh-CN"/>
              </w:rPr>
            </w:pPr>
            <w:r>
              <w:rPr>
                <w:rFonts w:ascii="仿宋_GB2312" w:hAnsi="仿宋_GB2312" w:eastAsia="仿宋_GB2312" w:cs="仿宋_GB2312"/>
                <w:bCs/>
                <w:sz w:val="24"/>
                <w:szCs w:val="24"/>
                <w:lang w:val="en-US" w:eastAsia="zh-CN"/>
              </w:rPr>
              <w:t>艺美楼</w:t>
            </w:r>
          </w:p>
          <w:p w14:paraId="522146F6">
            <w:pPr>
              <w:jc w:val="center"/>
              <w:rPr>
                <w:rFonts w:ascii="仿宋_GB2312" w:hAnsi="仿宋_GB2312" w:eastAsia="仿宋_GB2312" w:cs="仿宋_GB2312"/>
                <w:sz w:val="24"/>
                <w:szCs w:val="24"/>
                <w:lang w:val="en-US" w:eastAsia="zh-CN"/>
              </w:rPr>
            </w:pPr>
            <w:r>
              <w:rPr>
                <w:rFonts w:ascii="仿宋_GB2312" w:hAnsi="仿宋_GB2312" w:eastAsia="仿宋_GB2312" w:cs="仿宋_GB2312"/>
                <w:bCs/>
                <w:sz w:val="24"/>
                <w:szCs w:val="24"/>
                <w:lang w:val="en-US" w:eastAsia="zh-CN"/>
              </w:rPr>
              <w:t>1台</w:t>
            </w:r>
          </w:p>
        </w:tc>
        <w:tc>
          <w:tcPr>
            <w:tcW w:w="7246" w:type="dxa"/>
            <w:vAlign w:val="center"/>
          </w:tcPr>
          <w:p w14:paraId="1EDA7152">
            <w:pPr>
              <w:ind w:firstLine="480" w:firstLineChars="200"/>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额定载重:1600kg，速度≥1.5m/s，停层:1F-5F，站数:5站，井道尺寸:2750mm*2250mm，提升高度:18m，冲顶高度:4.2m，基坑深度1.5m，结构类型、层5高:新建钢结构，1F-2F4.8m；3F4.5m；4F3.9m，5F4.4m</w:t>
            </w:r>
          </w:p>
        </w:tc>
      </w:tr>
      <w:tr w14:paraId="2EDC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4" w:type="dxa"/>
            <w:vAlign w:val="center"/>
          </w:tcPr>
          <w:p w14:paraId="4F00C2D6">
            <w:pPr>
              <w:jc w:val="center"/>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4</w:t>
            </w:r>
          </w:p>
        </w:tc>
        <w:tc>
          <w:tcPr>
            <w:tcW w:w="1258" w:type="dxa"/>
            <w:vAlign w:val="center"/>
          </w:tcPr>
          <w:p w14:paraId="0854676B">
            <w:pPr>
              <w:jc w:val="center"/>
              <w:rPr>
                <w:rFonts w:ascii="仿宋_GB2312" w:hAnsi="仿宋_GB2312" w:eastAsia="仿宋_GB2312" w:cs="仿宋_GB2312"/>
                <w:sz w:val="24"/>
                <w:szCs w:val="24"/>
                <w:lang w:val="en-US" w:eastAsia="zh-CN"/>
              </w:rPr>
            </w:pPr>
            <w:r>
              <w:rPr>
                <w:rFonts w:ascii="仿宋" w:hAnsi="仿宋" w:eastAsia="仿宋" w:cs="仿宋"/>
                <w:sz w:val="24"/>
                <w:lang w:val="en-US" w:eastAsia="zh-CN"/>
              </w:rPr>
              <w:t>德先楼</w:t>
            </w:r>
            <w:r>
              <w:rPr>
                <w:rFonts w:ascii="仿宋" w:hAnsi="仿宋" w:cs="仿宋"/>
                <w:sz w:val="24"/>
                <w:lang w:val="en-US" w:eastAsia="zh-CN"/>
              </w:rPr>
              <w:t xml:space="preserve">  2台</w:t>
            </w:r>
          </w:p>
        </w:tc>
        <w:tc>
          <w:tcPr>
            <w:tcW w:w="7246" w:type="dxa"/>
            <w:vAlign w:val="center"/>
          </w:tcPr>
          <w:p w14:paraId="7DC34D67">
            <w:pPr>
              <w:ind w:firstLine="480" w:firstLineChars="200"/>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额定载重:1600kg，速度≥1.5m/s，停层:1F-5F站数:5站，井道尺寸:2750mm*2250mm，提升高度:15.9m，冲顶高度:4.2m，基坑深度1.5m，结构类型、层高:新建钢结构，1F4.2m;2F-4F3.9m;5F4.4m</w:t>
            </w:r>
          </w:p>
        </w:tc>
      </w:tr>
      <w:tr w14:paraId="6191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4" w:type="dxa"/>
            <w:vAlign w:val="center"/>
          </w:tcPr>
          <w:p w14:paraId="648F0D3B">
            <w:pPr>
              <w:jc w:val="center"/>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5</w:t>
            </w:r>
          </w:p>
        </w:tc>
        <w:tc>
          <w:tcPr>
            <w:tcW w:w="1258" w:type="dxa"/>
            <w:vAlign w:val="center"/>
          </w:tcPr>
          <w:p w14:paraId="34B3DCD7">
            <w:pPr>
              <w:jc w:val="center"/>
              <w:rPr>
                <w:rFonts w:ascii="仿宋_GB2312" w:hAnsi="仿宋_GB2312" w:eastAsia="仿宋_GB2312" w:cs="仿宋_GB2312"/>
                <w:sz w:val="24"/>
                <w:szCs w:val="24"/>
                <w:lang w:val="en-US" w:eastAsia="zh-CN"/>
              </w:rPr>
            </w:pPr>
            <w:r>
              <w:rPr>
                <w:rFonts w:ascii="仿宋" w:hAnsi="仿宋" w:eastAsia="仿宋" w:cs="仿宋"/>
                <w:sz w:val="24"/>
                <w:lang w:val="en-US" w:eastAsia="zh-CN"/>
              </w:rPr>
              <w:t>启智楼</w:t>
            </w:r>
            <w:r>
              <w:rPr>
                <w:rFonts w:ascii="仿宋" w:hAnsi="仿宋" w:cs="仿宋"/>
                <w:sz w:val="24"/>
                <w:lang w:val="en-US" w:eastAsia="zh-CN"/>
              </w:rPr>
              <w:t xml:space="preserve">  2台</w:t>
            </w:r>
          </w:p>
        </w:tc>
        <w:tc>
          <w:tcPr>
            <w:tcW w:w="7246" w:type="dxa"/>
            <w:vAlign w:val="center"/>
          </w:tcPr>
          <w:p w14:paraId="26F7F2D6">
            <w:pPr>
              <w:ind w:firstLine="480" w:firstLineChars="200"/>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额定载重:1600kg，速度≥1.5m/s，停层:1F-5F站数:5站，井道尺寸:2750mm*2250mm，提升高度:15.9m，冲顶高度:4.2m，基坑深度1.5m，结构类型、层高:新建钢结构，1F4.2m;2F-4F3.9m;5F4.4m</w:t>
            </w:r>
          </w:p>
        </w:tc>
      </w:tr>
      <w:tr w14:paraId="416B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4" w:type="dxa"/>
            <w:vAlign w:val="center"/>
          </w:tcPr>
          <w:p w14:paraId="12B8AA8B">
            <w:pPr>
              <w:jc w:val="center"/>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6</w:t>
            </w:r>
          </w:p>
        </w:tc>
        <w:tc>
          <w:tcPr>
            <w:tcW w:w="1258" w:type="dxa"/>
            <w:vAlign w:val="center"/>
          </w:tcPr>
          <w:p w14:paraId="5A3272D8">
            <w:pPr>
              <w:jc w:val="center"/>
              <w:rPr>
                <w:rFonts w:ascii="仿宋_GB2312" w:hAnsi="仿宋_GB2312" w:eastAsia="仿宋_GB2312" w:cs="仿宋_GB2312"/>
                <w:sz w:val="24"/>
                <w:szCs w:val="24"/>
                <w:lang w:val="en-US" w:eastAsia="zh-CN"/>
              </w:rPr>
            </w:pPr>
            <w:r>
              <w:rPr>
                <w:rFonts w:ascii="仿宋" w:hAnsi="仿宋" w:cs="仿宋"/>
                <w:sz w:val="24"/>
                <w:lang w:val="en-US" w:eastAsia="zh-CN"/>
              </w:rPr>
              <w:t>知行楼  2台</w:t>
            </w:r>
          </w:p>
        </w:tc>
        <w:tc>
          <w:tcPr>
            <w:tcW w:w="7246" w:type="dxa"/>
            <w:vAlign w:val="center"/>
          </w:tcPr>
          <w:p w14:paraId="18729E4E">
            <w:pPr>
              <w:ind w:firstLine="480" w:firstLineChars="200"/>
              <w:rPr>
                <w:rFonts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额定载重:1600kg，速度≥1.5m/s，停层:1F-6F，新数:6站，井道尺寸:2750mm*2250mm，提升高度:19.8m，冲顶高度:4.2m，基坑深度1.5m，结构类型层高:新建钢结构，1F4.2m;2F-5F3.9m;6F4.4m</w:t>
            </w:r>
          </w:p>
        </w:tc>
      </w:tr>
    </w:tbl>
    <w:p w14:paraId="5B7EA218">
      <w:pPr>
        <w:spacing w:line="348" w:lineRule="auto"/>
        <w:ind w:left="420" w:leftChars="200" w:right="11"/>
        <w:rPr>
          <w:rFonts w:ascii="仿宋" w:hAnsi="仿宋" w:cs="仿宋"/>
          <w:b/>
          <w:bCs/>
          <w:spacing w:val="-2"/>
          <w:sz w:val="28"/>
          <w:szCs w:val="28"/>
          <w:lang w:val="en-US" w:eastAsia="zh-CN"/>
        </w:rPr>
      </w:pPr>
    </w:p>
    <w:p w14:paraId="408749F8">
      <w:pPr>
        <w:numPr>
          <w:ilvl w:val="0"/>
          <w:numId w:val="8"/>
        </w:numPr>
        <w:spacing w:line="348" w:lineRule="auto"/>
        <w:ind w:left="96" w:right="11" w:firstLine="552" w:firstLineChars="200"/>
        <w:rPr>
          <w:rFonts w:ascii="仿宋" w:hAnsi="仿宋" w:cs="仿宋"/>
          <w:b/>
          <w:bCs/>
          <w:spacing w:val="-2"/>
          <w:sz w:val="28"/>
          <w:szCs w:val="28"/>
          <w:lang w:val="en-US" w:eastAsia="zh-CN"/>
        </w:rPr>
      </w:pPr>
      <w:r>
        <w:rPr>
          <w:rFonts w:ascii="仿宋" w:hAnsi="仿宋" w:cs="仿宋"/>
          <w:b/>
          <w:bCs/>
          <w:spacing w:val="-2"/>
          <w:sz w:val="28"/>
          <w:szCs w:val="28"/>
          <w:lang w:val="en-US" w:eastAsia="zh-CN"/>
        </w:rPr>
        <w:t>电梯技术规格要求</w:t>
      </w:r>
    </w:p>
    <w:p w14:paraId="38E33306">
      <w:pPr>
        <w:spacing w:line="560" w:lineRule="exact"/>
        <w:ind w:firstLine="560" w:firstLineChars="200"/>
        <w:jc w:val="left"/>
        <w:rPr>
          <w:rFonts w:ascii="仿宋" w:hAnsi="仿宋" w:cs="仿宋"/>
          <w:sz w:val="28"/>
          <w:szCs w:val="28"/>
          <w:lang w:eastAsia="zh-CN"/>
        </w:rPr>
      </w:pPr>
      <w:r>
        <w:rPr>
          <w:rFonts w:ascii="仿宋" w:hAnsi="仿宋" w:cs="仿宋"/>
          <w:sz w:val="28"/>
          <w:szCs w:val="28"/>
          <w:lang w:val="en-US" w:eastAsia="zh-CN"/>
        </w:rPr>
        <w:t>投标人</w:t>
      </w:r>
      <w:r>
        <w:rPr>
          <w:rFonts w:ascii="仿宋" w:hAnsi="仿宋" w:cs="仿宋"/>
          <w:sz w:val="28"/>
          <w:szCs w:val="28"/>
          <w:lang w:eastAsia="zh-CN"/>
        </w:rPr>
        <w:t>必须提供性能稳定的电梯产品，质量上乘、安全可靠、采用微机技术，以使电梯具有高效运行和舒适平稳的良好性能，具有节能和便于维修保养、故障诊断等优势。</w:t>
      </w:r>
    </w:p>
    <w:tbl>
      <w:tblPr>
        <w:tblStyle w:val="5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3"/>
        <w:gridCol w:w="6986"/>
      </w:tblGrid>
      <w:tr w14:paraId="585E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9" w:type="dxa"/>
            <w:vAlign w:val="center"/>
          </w:tcPr>
          <w:p w14:paraId="698D8663">
            <w:pPr>
              <w:jc w:val="center"/>
              <w:rPr>
                <w:rFonts w:ascii="宋体" w:hAnsi="宋体" w:eastAsia="宋体" w:cs="宋体"/>
                <w:sz w:val="24"/>
                <w:szCs w:val="24"/>
              </w:rPr>
            </w:pPr>
            <w:r>
              <w:rPr>
                <w:rFonts w:ascii="宋体" w:hAnsi="宋体" w:eastAsia="宋体" w:cs="宋体"/>
                <w:sz w:val="24"/>
                <w:szCs w:val="24"/>
              </w:rPr>
              <w:t>序号</w:t>
            </w:r>
          </w:p>
        </w:tc>
        <w:tc>
          <w:tcPr>
            <w:tcW w:w="1383" w:type="dxa"/>
            <w:vAlign w:val="center"/>
          </w:tcPr>
          <w:p w14:paraId="14F68038">
            <w:pPr>
              <w:jc w:val="center"/>
              <w:rPr>
                <w:rFonts w:ascii="宋体" w:hAnsi="宋体" w:eastAsia="宋体" w:cs="宋体"/>
                <w:sz w:val="24"/>
                <w:szCs w:val="24"/>
              </w:rPr>
            </w:pPr>
            <w:r>
              <w:rPr>
                <w:rFonts w:ascii="宋体" w:hAnsi="宋体" w:eastAsia="宋体" w:cs="宋体"/>
                <w:sz w:val="24"/>
                <w:szCs w:val="24"/>
              </w:rPr>
              <w:t>项目内容</w:t>
            </w:r>
          </w:p>
        </w:tc>
        <w:tc>
          <w:tcPr>
            <w:tcW w:w="6986" w:type="dxa"/>
            <w:vAlign w:val="center"/>
          </w:tcPr>
          <w:p w14:paraId="07DFB80F">
            <w:pPr>
              <w:jc w:val="center"/>
              <w:rPr>
                <w:rFonts w:ascii="宋体" w:hAnsi="宋体" w:eastAsia="宋体" w:cs="宋体"/>
                <w:sz w:val="24"/>
                <w:szCs w:val="24"/>
              </w:rPr>
            </w:pPr>
            <w:r>
              <w:rPr>
                <w:rFonts w:ascii="宋体" w:hAnsi="宋体" w:eastAsia="宋体" w:cs="宋体"/>
                <w:sz w:val="24"/>
                <w:szCs w:val="24"/>
              </w:rPr>
              <w:t>要求</w:t>
            </w:r>
          </w:p>
        </w:tc>
      </w:tr>
      <w:tr w14:paraId="1705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29" w:type="dxa"/>
            <w:vAlign w:val="center"/>
          </w:tcPr>
          <w:p w14:paraId="3096531E">
            <w:pPr>
              <w:jc w:val="center"/>
              <w:rPr>
                <w:rFonts w:ascii="宋体" w:hAnsi="宋体" w:eastAsia="宋体" w:cs="宋体"/>
                <w:sz w:val="24"/>
                <w:szCs w:val="24"/>
              </w:rPr>
            </w:pPr>
            <w:r>
              <w:rPr>
                <w:rFonts w:ascii="宋体" w:hAnsi="宋体" w:eastAsia="宋体" w:cs="宋体"/>
                <w:sz w:val="24"/>
                <w:szCs w:val="24"/>
              </w:rPr>
              <w:t>1</w:t>
            </w:r>
          </w:p>
        </w:tc>
        <w:tc>
          <w:tcPr>
            <w:tcW w:w="1383" w:type="dxa"/>
            <w:vAlign w:val="center"/>
          </w:tcPr>
          <w:p w14:paraId="1527B47F">
            <w:pPr>
              <w:jc w:val="center"/>
              <w:rPr>
                <w:rFonts w:ascii="宋体" w:hAnsi="宋体" w:eastAsia="宋体" w:cs="宋体"/>
                <w:sz w:val="24"/>
                <w:szCs w:val="24"/>
              </w:rPr>
            </w:pPr>
            <w:r>
              <w:rPr>
                <w:rFonts w:ascii="宋体" w:hAnsi="宋体" w:eastAsia="宋体" w:cs="宋体"/>
                <w:sz w:val="24"/>
                <w:szCs w:val="24"/>
              </w:rPr>
              <w:t>规格型号</w:t>
            </w:r>
          </w:p>
        </w:tc>
        <w:tc>
          <w:tcPr>
            <w:tcW w:w="6986" w:type="dxa"/>
            <w:vAlign w:val="center"/>
          </w:tcPr>
          <w:p w14:paraId="07964900">
            <w:pPr>
              <w:rPr>
                <w:rFonts w:ascii="宋体" w:hAnsi="宋体" w:eastAsia="宋体" w:cs="宋体"/>
                <w:sz w:val="24"/>
                <w:szCs w:val="24"/>
                <w:lang w:eastAsia="zh-CN"/>
              </w:rPr>
            </w:pPr>
            <w:r>
              <w:rPr>
                <w:rFonts w:ascii="宋体" w:hAnsi="宋体" w:eastAsia="宋体" w:cs="宋体"/>
                <w:sz w:val="24"/>
                <w:szCs w:val="24"/>
                <w:lang w:eastAsia="zh-CN"/>
              </w:rPr>
              <w:t>投标人必须提供完整的客梯型号规格，所提供的客梯必须是同系列技术先进、故障率低的产品。</w:t>
            </w:r>
          </w:p>
        </w:tc>
      </w:tr>
      <w:tr w14:paraId="06C9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 w:type="dxa"/>
            <w:vAlign w:val="center"/>
          </w:tcPr>
          <w:p w14:paraId="5FDD7655">
            <w:pPr>
              <w:jc w:val="center"/>
              <w:rPr>
                <w:rFonts w:ascii="宋体" w:hAnsi="宋体" w:eastAsia="宋体" w:cs="宋体"/>
                <w:sz w:val="24"/>
                <w:szCs w:val="24"/>
              </w:rPr>
            </w:pPr>
            <w:r>
              <w:rPr>
                <w:rFonts w:ascii="宋体" w:hAnsi="宋体" w:eastAsia="宋体" w:cs="宋体"/>
                <w:sz w:val="24"/>
                <w:szCs w:val="24"/>
              </w:rPr>
              <w:t>2</w:t>
            </w:r>
          </w:p>
        </w:tc>
        <w:tc>
          <w:tcPr>
            <w:tcW w:w="1383" w:type="dxa"/>
            <w:vAlign w:val="center"/>
          </w:tcPr>
          <w:p w14:paraId="5BAD1E4A">
            <w:pPr>
              <w:jc w:val="center"/>
              <w:rPr>
                <w:rFonts w:ascii="宋体" w:hAnsi="宋体" w:eastAsia="宋体" w:cs="宋体"/>
                <w:sz w:val="24"/>
                <w:szCs w:val="24"/>
              </w:rPr>
            </w:pPr>
            <w:r>
              <w:rPr>
                <w:rFonts w:ascii="宋体" w:hAnsi="宋体" w:eastAsia="宋体" w:cs="宋体"/>
                <w:sz w:val="24"/>
                <w:szCs w:val="24"/>
              </w:rPr>
              <w:t>供电电源</w:t>
            </w:r>
          </w:p>
        </w:tc>
        <w:tc>
          <w:tcPr>
            <w:tcW w:w="6986" w:type="dxa"/>
            <w:vAlign w:val="center"/>
          </w:tcPr>
          <w:p w14:paraId="746AC826">
            <w:pPr>
              <w:rPr>
                <w:rFonts w:ascii="宋体" w:hAnsi="宋体" w:eastAsia="宋体" w:cs="宋体"/>
                <w:sz w:val="24"/>
                <w:szCs w:val="24"/>
                <w:lang w:eastAsia="zh-CN"/>
              </w:rPr>
            </w:pPr>
            <w:r>
              <w:rPr>
                <w:rFonts w:ascii="宋体" w:hAnsi="宋体" w:eastAsia="宋体" w:cs="宋体"/>
                <w:sz w:val="24"/>
                <w:szCs w:val="24"/>
                <w:lang w:eastAsia="zh-CN"/>
              </w:rPr>
              <w:t>电压：380 V，3相5线制。频率：50 HZ。</w:t>
            </w:r>
          </w:p>
        </w:tc>
      </w:tr>
      <w:tr w14:paraId="74E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29" w:type="dxa"/>
            <w:vAlign w:val="center"/>
          </w:tcPr>
          <w:p w14:paraId="212B1595">
            <w:pPr>
              <w:jc w:val="center"/>
              <w:rPr>
                <w:rFonts w:ascii="宋体" w:hAnsi="宋体" w:eastAsia="宋体" w:cs="宋体"/>
                <w:sz w:val="24"/>
                <w:szCs w:val="24"/>
              </w:rPr>
            </w:pPr>
            <w:r>
              <w:rPr>
                <w:rFonts w:ascii="宋体" w:hAnsi="宋体" w:eastAsia="宋体" w:cs="宋体"/>
                <w:sz w:val="24"/>
                <w:szCs w:val="24"/>
              </w:rPr>
              <w:t>3</w:t>
            </w:r>
          </w:p>
        </w:tc>
        <w:tc>
          <w:tcPr>
            <w:tcW w:w="1383" w:type="dxa"/>
            <w:vAlign w:val="center"/>
          </w:tcPr>
          <w:p w14:paraId="7E106DDC">
            <w:pPr>
              <w:jc w:val="center"/>
              <w:rPr>
                <w:rFonts w:ascii="宋体" w:hAnsi="宋体" w:eastAsia="宋体" w:cs="宋体"/>
                <w:sz w:val="24"/>
                <w:szCs w:val="24"/>
              </w:rPr>
            </w:pPr>
            <w:r>
              <w:rPr>
                <w:rFonts w:ascii="宋体" w:hAnsi="宋体" w:eastAsia="宋体" w:cs="宋体"/>
                <w:sz w:val="24"/>
                <w:szCs w:val="24"/>
              </w:rPr>
              <w:t>噪音水平</w:t>
            </w:r>
          </w:p>
        </w:tc>
        <w:tc>
          <w:tcPr>
            <w:tcW w:w="6986" w:type="dxa"/>
            <w:vAlign w:val="center"/>
          </w:tcPr>
          <w:p w14:paraId="4D528C15">
            <w:pPr>
              <w:rPr>
                <w:rFonts w:ascii="宋体" w:hAnsi="宋体" w:eastAsia="宋体" w:cs="宋体"/>
                <w:sz w:val="24"/>
                <w:szCs w:val="24"/>
                <w:lang w:eastAsia="zh-CN"/>
              </w:rPr>
            </w:pPr>
            <w:r>
              <w:rPr>
                <w:rFonts w:ascii="宋体" w:hAnsi="宋体" w:eastAsia="宋体" w:cs="宋体"/>
                <w:sz w:val="24"/>
                <w:szCs w:val="24"/>
                <w:lang w:val="en-US" w:eastAsia="zh-CN"/>
              </w:rPr>
              <w:t>符合国标或优于国标</w:t>
            </w:r>
            <w:r>
              <w:rPr>
                <w:rFonts w:ascii="宋体" w:hAnsi="宋体" w:eastAsia="宋体" w:cs="宋体"/>
                <w:sz w:val="24"/>
                <w:szCs w:val="24"/>
                <w:lang w:eastAsia="zh-CN"/>
              </w:rPr>
              <w:t>。</w:t>
            </w:r>
          </w:p>
        </w:tc>
      </w:tr>
      <w:tr w14:paraId="1369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9" w:type="dxa"/>
            <w:vAlign w:val="center"/>
          </w:tcPr>
          <w:p w14:paraId="2DD8050F">
            <w:pPr>
              <w:jc w:val="center"/>
              <w:rPr>
                <w:rFonts w:ascii="宋体" w:hAnsi="宋体" w:eastAsia="宋体" w:cs="宋体"/>
                <w:sz w:val="24"/>
                <w:szCs w:val="24"/>
              </w:rPr>
            </w:pPr>
            <w:r>
              <w:rPr>
                <w:rFonts w:ascii="宋体" w:hAnsi="宋体" w:eastAsia="宋体" w:cs="宋体"/>
                <w:sz w:val="24"/>
                <w:szCs w:val="24"/>
              </w:rPr>
              <w:t>4</w:t>
            </w:r>
          </w:p>
        </w:tc>
        <w:tc>
          <w:tcPr>
            <w:tcW w:w="1383" w:type="dxa"/>
            <w:vAlign w:val="center"/>
          </w:tcPr>
          <w:p w14:paraId="34D42F05">
            <w:pPr>
              <w:jc w:val="center"/>
              <w:rPr>
                <w:rFonts w:ascii="宋体" w:hAnsi="宋体" w:eastAsia="宋体" w:cs="宋体"/>
                <w:sz w:val="24"/>
                <w:szCs w:val="24"/>
              </w:rPr>
            </w:pPr>
            <w:r>
              <w:rPr>
                <w:rFonts w:ascii="宋体" w:hAnsi="宋体" w:eastAsia="宋体" w:cs="宋体"/>
                <w:sz w:val="24"/>
                <w:szCs w:val="24"/>
              </w:rPr>
              <w:t>驱动系统</w:t>
            </w:r>
          </w:p>
        </w:tc>
        <w:tc>
          <w:tcPr>
            <w:tcW w:w="6986" w:type="dxa"/>
            <w:vAlign w:val="center"/>
          </w:tcPr>
          <w:p w14:paraId="78D9CB9C">
            <w:pPr>
              <w:rPr>
                <w:rFonts w:ascii="宋体" w:hAnsi="宋体" w:eastAsia="宋体" w:cs="宋体"/>
                <w:sz w:val="24"/>
                <w:szCs w:val="24"/>
                <w:lang w:eastAsia="zh-CN"/>
              </w:rPr>
            </w:pPr>
            <w:r>
              <w:rPr>
                <w:rFonts w:ascii="宋体" w:hAnsi="宋体" w:eastAsia="宋体" w:cs="宋体"/>
                <w:sz w:val="24"/>
                <w:szCs w:val="24"/>
                <w:lang w:eastAsia="zh-CN"/>
              </w:rPr>
              <w:t>交流变频变压调速器（VVVF）驱动方式。</w:t>
            </w:r>
          </w:p>
        </w:tc>
      </w:tr>
      <w:tr w14:paraId="44D5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29" w:type="dxa"/>
            <w:vAlign w:val="center"/>
          </w:tcPr>
          <w:p w14:paraId="61308F06">
            <w:pPr>
              <w:jc w:val="center"/>
              <w:rPr>
                <w:rFonts w:ascii="宋体" w:hAnsi="宋体" w:eastAsia="宋体" w:cs="宋体"/>
                <w:sz w:val="24"/>
                <w:szCs w:val="24"/>
              </w:rPr>
            </w:pPr>
            <w:r>
              <w:rPr>
                <w:rFonts w:ascii="宋体" w:hAnsi="宋体" w:eastAsia="宋体" w:cs="宋体"/>
                <w:sz w:val="24"/>
                <w:szCs w:val="24"/>
              </w:rPr>
              <w:t>5</w:t>
            </w:r>
          </w:p>
        </w:tc>
        <w:tc>
          <w:tcPr>
            <w:tcW w:w="1383" w:type="dxa"/>
            <w:vAlign w:val="center"/>
          </w:tcPr>
          <w:p w14:paraId="3290AA38">
            <w:pPr>
              <w:jc w:val="center"/>
              <w:rPr>
                <w:rFonts w:ascii="宋体" w:hAnsi="宋体" w:eastAsia="宋体" w:cs="宋体"/>
                <w:sz w:val="24"/>
                <w:szCs w:val="24"/>
              </w:rPr>
            </w:pPr>
            <w:r>
              <w:rPr>
                <w:rFonts w:ascii="宋体" w:hAnsi="宋体" w:eastAsia="宋体" w:cs="宋体"/>
                <w:sz w:val="24"/>
                <w:szCs w:val="24"/>
              </w:rPr>
              <w:t>控制系统</w:t>
            </w:r>
          </w:p>
        </w:tc>
        <w:tc>
          <w:tcPr>
            <w:tcW w:w="6986" w:type="dxa"/>
            <w:vAlign w:val="center"/>
          </w:tcPr>
          <w:p w14:paraId="793AF61C">
            <w:pPr>
              <w:rPr>
                <w:rFonts w:ascii="宋体" w:hAnsi="宋体" w:eastAsia="宋体" w:cs="宋体"/>
                <w:sz w:val="24"/>
                <w:szCs w:val="24"/>
                <w:lang w:eastAsia="zh-CN"/>
              </w:rPr>
            </w:pPr>
            <w:r>
              <w:rPr>
                <w:rFonts w:ascii="宋体" w:hAnsi="宋体" w:eastAsia="宋体" w:cs="宋体"/>
                <w:sz w:val="24"/>
                <w:szCs w:val="24"/>
                <w:lang w:eastAsia="zh-CN"/>
              </w:rPr>
              <w:t>客梯的拖动控制部分要求采用VVVF变压变频调速的控制技术；采用全微机控制，采用32位微机控制板。</w:t>
            </w:r>
          </w:p>
        </w:tc>
      </w:tr>
      <w:tr w14:paraId="1DB7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29" w:type="dxa"/>
            <w:vAlign w:val="center"/>
          </w:tcPr>
          <w:p w14:paraId="4A938117">
            <w:pPr>
              <w:jc w:val="center"/>
              <w:rPr>
                <w:rFonts w:ascii="宋体" w:hAnsi="宋体" w:eastAsia="宋体" w:cs="宋体"/>
                <w:sz w:val="24"/>
                <w:szCs w:val="24"/>
              </w:rPr>
            </w:pPr>
            <w:r>
              <w:rPr>
                <w:rFonts w:ascii="宋体" w:hAnsi="宋体" w:eastAsia="宋体" w:cs="宋体"/>
                <w:sz w:val="24"/>
                <w:szCs w:val="24"/>
              </w:rPr>
              <w:t>6</w:t>
            </w:r>
          </w:p>
        </w:tc>
        <w:tc>
          <w:tcPr>
            <w:tcW w:w="1383" w:type="dxa"/>
            <w:vAlign w:val="center"/>
          </w:tcPr>
          <w:p w14:paraId="5AE455C4">
            <w:pPr>
              <w:jc w:val="center"/>
              <w:rPr>
                <w:rFonts w:ascii="宋体" w:hAnsi="宋体" w:eastAsia="宋体" w:cs="宋体"/>
                <w:sz w:val="24"/>
                <w:szCs w:val="24"/>
              </w:rPr>
            </w:pPr>
            <w:r>
              <w:rPr>
                <w:rFonts w:ascii="宋体" w:hAnsi="宋体" w:eastAsia="宋体" w:cs="宋体"/>
                <w:sz w:val="24"/>
                <w:szCs w:val="24"/>
              </w:rPr>
              <w:t>曳引机</w:t>
            </w:r>
          </w:p>
        </w:tc>
        <w:tc>
          <w:tcPr>
            <w:tcW w:w="6986" w:type="dxa"/>
            <w:vAlign w:val="center"/>
          </w:tcPr>
          <w:p w14:paraId="537A8F39">
            <w:pPr>
              <w:rPr>
                <w:rFonts w:ascii="宋体" w:hAnsi="宋体" w:eastAsia="宋体" w:cs="宋体"/>
                <w:sz w:val="24"/>
                <w:szCs w:val="24"/>
                <w:lang w:eastAsia="zh-CN"/>
              </w:rPr>
            </w:pPr>
            <w:r>
              <w:rPr>
                <w:rFonts w:ascii="宋体" w:hAnsi="宋体" w:eastAsia="宋体" w:cs="宋体"/>
                <w:sz w:val="24"/>
                <w:szCs w:val="24"/>
                <w:lang w:eastAsia="zh-CN"/>
              </w:rPr>
              <w:t>高效节能，具有良好动力特性的永磁同步无齿轮曳引机。</w:t>
            </w:r>
          </w:p>
        </w:tc>
      </w:tr>
      <w:tr w14:paraId="3E69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29" w:type="dxa"/>
            <w:vAlign w:val="center"/>
          </w:tcPr>
          <w:p w14:paraId="03C3E445">
            <w:pPr>
              <w:jc w:val="center"/>
              <w:rPr>
                <w:rFonts w:ascii="宋体" w:hAnsi="宋体" w:eastAsia="宋体" w:cs="宋体"/>
                <w:sz w:val="24"/>
                <w:szCs w:val="24"/>
              </w:rPr>
            </w:pPr>
            <w:r>
              <w:rPr>
                <w:rFonts w:ascii="宋体" w:hAnsi="宋体" w:eastAsia="宋体" w:cs="宋体"/>
                <w:sz w:val="24"/>
                <w:szCs w:val="24"/>
              </w:rPr>
              <w:t>7</w:t>
            </w:r>
          </w:p>
        </w:tc>
        <w:tc>
          <w:tcPr>
            <w:tcW w:w="1383" w:type="dxa"/>
            <w:vAlign w:val="center"/>
          </w:tcPr>
          <w:p w14:paraId="558FAF0D">
            <w:pPr>
              <w:jc w:val="center"/>
              <w:rPr>
                <w:rFonts w:ascii="宋体" w:hAnsi="宋体" w:eastAsia="宋体" w:cs="宋体"/>
                <w:sz w:val="24"/>
                <w:szCs w:val="24"/>
              </w:rPr>
            </w:pPr>
            <w:r>
              <w:rPr>
                <w:rFonts w:ascii="宋体" w:hAnsi="宋体" w:eastAsia="宋体" w:cs="宋体"/>
                <w:sz w:val="24"/>
                <w:szCs w:val="24"/>
              </w:rPr>
              <w:t>门机系统</w:t>
            </w:r>
          </w:p>
        </w:tc>
        <w:tc>
          <w:tcPr>
            <w:tcW w:w="6986" w:type="dxa"/>
            <w:vAlign w:val="center"/>
          </w:tcPr>
          <w:p w14:paraId="6A8FE2D3">
            <w:pPr>
              <w:rPr>
                <w:rFonts w:ascii="宋体" w:hAnsi="宋体" w:eastAsia="宋体" w:cs="宋体"/>
                <w:sz w:val="24"/>
                <w:szCs w:val="24"/>
                <w:lang w:eastAsia="zh-CN"/>
              </w:rPr>
            </w:pPr>
            <w:r>
              <w:rPr>
                <w:rFonts w:ascii="宋体" w:hAnsi="宋体" w:eastAsia="宋体" w:cs="宋体"/>
                <w:sz w:val="24"/>
                <w:szCs w:val="24"/>
                <w:lang w:eastAsia="zh-CN"/>
              </w:rPr>
              <w:t>采用高精度旋转编码器闭环矢量控制，永磁变频、无连杆门机系统，门保护装置采用光幕保护，要求具有足够光束交叉形成光幕保护，光幕上下端满至门顶和门底。</w:t>
            </w:r>
          </w:p>
        </w:tc>
      </w:tr>
      <w:tr w14:paraId="6559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29" w:type="dxa"/>
            <w:vAlign w:val="center"/>
          </w:tcPr>
          <w:p w14:paraId="1FF48F4A">
            <w:pPr>
              <w:jc w:val="center"/>
              <w:rPr>
                <w:rFonts w:ascii="宋体" w:hAnsi="宋体" w:eastAsia="宋体" w:cs="宋体"/>
                <w:sz w:val="24"/>
                <w:szCs w:val="24"/>
              </w:rPr>
            </w:pPr>
            <w:r>
              <w:rPr>
                <w:rFonts w:ascii="宋体" w:hAnsi="宋体" w:eastAsia="宋体" w:cs="宋体"/>
                <w:sz w:val="24"/>
                <w:szCs w:val="24"/>
              </w:rPr>
              <w:t>8</w:t>
            </w:r>
          </w:p>
        </w:tc>
        <w:tc>
          <w:tcPr>
            <w:tcW w:w="1383" w:type="dxa"/>
            <w:vAlign w:val="center"/>
          </w:tcPr>
          <w:p w14:paraId="454ABCB9">
            <w:pPr>
              <w:jc w:val="center"/>
              <w:rPr>
                <w:rFonts w:ascii="宋体" w:hAnsi="宋体" w:eastAsia="宋体" w:cs="宋体"/>
                <w:sz w:val="24"/>
                <w:szCs w:val="24"/>
              </w:rPr>
            </w:pPr>
            <w:r>
              <w:rPr>
                <w:rFonts w:ascii="宋体" w:hAnsi="宋体" w:eastAsia="宋体" w:cs="宋体"/>
                <w:sz w:val="24"/>
                <w:szCs w:val="24"/>
              </w:rPr>
              <w:t>轿厢</w:t>
            </w:r>
          </w:p>
        </w:tc>
        <w:tc>
          <w:tcPr>
            <w:tcW w:w="6986" w:type="dxa"/>
            <w:vAlign w:val="center"/>
          </w:tcPr>
          <w:p w14:paraId="321CBE36">
            <w:pPr>
              <w:rPr>
                <w:rFonts w:ascii="宋体" w:hAnsi="宋体" w:eastAsia="宋体" w:cs="宋体"/>
                <w:sz w:val="24"/>
                <w:szCs w:val="24"/>
                <w:lang w:eastAsia="zh-CN"/>
              </w:rPr>
            </w:pPr>
            <w:r>
              <w:rPr>
                <w:rFonts w:ascii="宋体" w:hAnsi="宋体" w:eastAsia="宋体" w:cs="宋体"/>
                <w:sz w:val="24"/>
                <w:szCs w:val="24"/>
                <w:lang w:eastAsia="zh-CN"/>
              </w:rPr>
              <w:t>在所提供的井道尺寸基础上，要求提供最大尺寸的标准轿厢，轿体要求制作精良，连接坚固，抗变形能力强、隔音、防震、通风，符合相关安全标准。轿厢外顶部设置轿顶防护栏杆，装设到站钟设备，照明和换气设备良好耐用，给人以舒适的感觉。</w:t>
            </w:r>
          </w:p>
        </w:tc>
      </w:tr>
      <w:tr w14:paraId="3291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29" w:type="dxa"/>
            <w:vAlign w:val="center"/>
          </w:tcPr>
          <w:p w14:paraId="5BEE6536">
            <w:pPr>
              <w:jc w:val="center"/>
              <w:rPr>
                <w:rFonts w:ascii="宋体" w:hAnsi="宋体" w:eastAsia="宋体" w:cs="宋体"/>
                <w:sz w:val="24"/>
                <w:szCs w:val="24"/>
              </w:rPr>
            </w:pPr>
            <w:r>
              <w:rPr>
                <w:rFonts w:ascii="宋体" w:hAnsi="宋体" w:eastAsia="宋体" w:cs="宋体"/>
                <w:sz w:val="24"/>
                <w:szCs w:val="24"/>
              </w:rPr>
              <w:t>9</w:t>
            </w:r>
          </w:p>
        </w:tc>
        <w:tc>
          <w:tcPr>
            <w:tcW w:w="1383" w:type="dxa"/>
            <w:vAlign w:val="center"/>
          </w:tcPr>
          <w:p w14:paraId="6D30B2C8">
            <w:pPr>
              <w:jc w:val="center"/>
              <w:rPr>
                <w:rFonts w:ascii="宋体" w:hAnsi="宋体" w:eastAsia="宋体" w:cs="宋体"/>
                <w:sz w:val="24"/>
                <w:szCs w:val="24"/>
                <w:lang w:eastAsia="zh-CN"/>
              </w:rPr>
            </w:pPr>
            <w:r>
              <w:rPr>
                <w:rFonts w:ascii="宋体" w:hAnsi="宋体" w:eastAsia="宋体" w:cs="宋体"/>
                <w:sz w:val="24"/>
                <w:szCs w:val="24"/>
                <w:lang w:eastAsia="zh-CN"/>
              </w:rPr>
              <w:t>轿厢内站显示器和操纵箱</w:t>
            </w:r>
          </w:p>
        </w:tc>
        <w:tc>
          <w:tcPr>
            <w:tcW w:w="6986" w:type="dxa"/>
            <w:vAlign w:val="center"/>
          </w:tcPr>
          <w:p w14:paraId="1B8F05D7">
            <w:pPr>
              <w:rPr>
                <w:rFonts w:ascii="宋体" w:hAnsi="宋体" w:eastAsia="宋体" w:cs="宋体"/>
                <w:sz w:val="24"/>
                <w:szCs w:val="24"/>
                <w:lang w:eastAsia="zh-CN"/>
              </w:rPr>
            </w:pPr>
            <w:r>
              <w:rPr>
                <w:rFonts w:ascii="宋体" w:hAnsi="宋体" w:eastAsia="宋体" w:cs="宋体"/>
                <w:sz w:val="24"/>
                <w:szCs w:val="24"/>
                <w:lang w:eastAsia="zh-CN"/>
              </w:rPr>
              <w:t>要求设有内层站显示器，采用</w:t>
            </w:r>
            <w:r>
              <w:rPr>
                <w:rFonts w:ascii="宋体" w:hAnsi="宋体" w:eastAsia="宋体" w:cs="宋体"/>
                <w:sz w:val="24"/>
                <w:szCs w:val="24"/>
                <w:lang w:val="en-US" w:eastAsia="zh-CN"/>
              </w:rPr>
              <w:t>段码</w:t>
            </w:r>
            <w:r>
              <w:rPr>
                <w:rFonts w:ascii="宋体" w:hAnsi="宋体" w:eastAsia="宋体" w:cs="宋体"/>
                <w:sz w:val="24"/>
                <w:szCs w:val="24"/>
                <w:lang w:eastAsia="zh-CN"/>
              </w:rPr>
              <w:t>显示器，显示层数，上下行运行方向；轿厢内操纵箱要设有对讲机和内呼叫按钮等，提供给乘客方便的操作和显示客梯的重要运行状态并注明厂家商标，面板采用发纹不锈钢材质。</w:t>
            </w:r>
          </w:p>
        </w:tc>
      </w:tr>
      <w:tr w14:paraId="081B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9" w:type="dxa"/>
            <w:vAlign w:val="center"/>
          </w:tcPr>
          <w:p w14:paraId="3BAA0589">
            <w:pPr>
              <w:jc w:val="center"/>
              <w:rPr>
                <w:rFonts w:ascii="宋体" w:hAnsi="宋体" w:eastAsia="宋体" w:cs="宋体"/>
                <w:sz w:val="24"/>
                <w:szCs w:val="24"/>
              </w:rPr>
            </w:pPr>
            <w:r>
              <w:rPr>
                <w:rFonts w:ascii="宋体" w:hAnsi="宋体" w:eastAsia="宋体" w:cs="宋体"/>
                <w:sz w:val="24"/>
                <w:szCs w:val="24"/>
              </w:rPr>
              <w:t>10</w:t>
            </w:r>
          </w:p>
        </w:tc>
        <w:tc>
          <w:tcPr>
            <w:tcW w:w="1383" w:type="dxa"/>
            <w:vAlign w:val="center"/>
          </w:tcPr>
          <w:p w14:paraId="56178A50">
            <w:pPr>
              <w:jc w:val="center"/>
              <w:rPr>
                <w:rFonts w:ascii="宋体" w:hAnsi="宋体" w:eastAsia="宋体" w:cs="宋体"/>
                <w:sz w:val="24"/>
                <w:szCs w:val="24"/>
              </w:rPr>
            </w:pPr>
            <w:r>
              <w:rPr>
                <w:rFonts w:ascii="宋体" w:hAnsi="宋体" w:eastAsia="宋体" w:cs="宋体"/>
                <w:sz w:val="24"/>
                <w:szCs w:val="24"/>
              </w:rPr>
              <w:t>轿门</w:t>
            </w:r>
          </w:p>
        </w:tc>
        <w:tc>
          <w:tcPr>
            <w:tcW w:w="6986" w:type="dxa"/>
            <w:vAlign w:val="center"/>
          </w:tcPr>
          <w:p w14:paraId="5E3C47BF">
            <w:pPr>
              <w:rPr>
                <w:rFonts w:ascii="宋体" w:hAnsi="宋体" w:eastAsia="宋体" w:cs="宋体"/>
                <w:sz w:val="24"/>
                <w:szCs w:val="24"/>
                <w:lang w:eastAsia="zh-CN"/>
              </w:rPr>
            </w:pPr>
            <w:r>
              <w:rPr>
                <w:rFonts w:ascii="宋体" w:hAnsi="宋体" w:eastAsia="宋体" w:cs="宋体"/>
                <w:sz w:val="24"/>
                <w:szCs w:val="24"/>
                <w:lang w:eastAsia="zh-CN"/>
              </w:rPr>
              <w:t>采用双扇中分式自动门，要求开关门时间短，灵活自如，安静快捷。</w:t>
            </w:r>
          </w:p>
        </w:tc>
      </w:tr>
      <w:tr w14:paraId="66E3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29" w:type="dxa"/>
            <w:vAlign w:val="center"/>
          </w:tcPr>
          <w:p w14:paraId="738F51FC">
            <w:pPr>
              <w:jc w:val="center"/>
              <w:rPr>
                <w:rFonts w:ascii="宋体" w:hAnsi="宋体" w:eastAsia="宋体" w:cs="宋体"/>
                <w:sz w:val="24"/>
                <w:szCs w:val="24"/>
              </w:rPr>
            </w:pPr>
            <w:r>
              <w:rPr>
                <w:rFonts w:ascii="宋体" w:hAnsi="宋体" w:eastAsia="宋体" w:cs="宋体"/>
                <w:sz w:val="24"/>
                <w:szCs w:val="24"/>
              </w:rPr>
              <w:t>11</w:t>
            </w:r>
          </w:p>
        </w:tc>
        <w:tc>
          <w:tcPr>
            <w:tcW w:w="1383" w:type="dxa"/>
            <w:vAlign w:val="center"/>
          </w:tcPr>
          <w:p w14:paraId="6C21521C">
            <w:pPr>
              <w:jc w:val="center"/>
              <w:rPr>
                <w:rFonts w:ascii="宋体" w:hAnsi="宋体" w:eastAsia="宋体" w:cs="宋体"/>
                <w:sz w:val="24"/>
                <w:szCs w:val="24"/>
              </w:rPr>
            </w:pPr>
            <w:r>
              <w:rPr>
                <w:rFonts w:ascii="宋体" w:hAnsi="宋体" w:eastAsia="宋体" w:cs="宋体"/>
                <w:sz w:val="24"/>
                <w:szCs w:val="24"/>
              </w:rPr>
              <w:t>厅门</w:t>
            </w:r>
          </w:p>
        </w:tc>
        <w:tc>
          <w:tcPr>
            <w:tcW w:w="6986" w:type="dxa"/>
            <w:vAlign w:val="center"/>
          </w:tcPr>
          <w:p w14:paraId="6FA0BBFD">
            <w:pPr>
              <w:rPr>
                <w:rFonts w:ascii="宋体" w:hAnsi="宋体" w:eastAsia="宋体" w:cs="宋体"/>
                <w:sz w:val="24"/>
                <w:szCs w:val="24"/>
                <w:lang w:eastAsia="zh-CN"/>
              </w:rPr>
            </w:pPr>
            <w:r>
              <w:rPr>
                <w:rFonts w:ascii="宋体" w:hAnsi="宋体" w:eastAsia="宋体" w:cs="宋体"/>
                <w:sz w:val="24"/>
                <w:szCs w:val="24"/>
                <w:lang w:eastAsia="zh-CN"/>
              </w:rPr>
              <w:t>所有层厅门材料选用不锈钢面板。</w:t>
            </w:r>
          </w:p>
        </w:tc>
      </w:tr>
      <w:tr w14:paraId="3655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9" w:type="dxa"/>
            <w:vAlign w:val="center"/>
          </w:tcPr>
          <w:p w14:paraId="1D51E2D3">
            <w:pPr>
              <w:jc w:val="center"/>
              <w:rPr>
                <w:rFonts w:ascii="宋体" w:hAnsi="宋体" w:eastAsia="宋体" w:cs="宋体"/>
                <w:sz w:val="24"/>
                <w:szCs w:val="24"/>
              </w:rPr>
            </w:pPr>
            <w:r>
              <w:rPr>
                <w:rFonts w:ascii="宋体" w:hAnsi="宋体" w:eastAsia="宋体" w:cs="宋体"/>
                <w:sz w:val="24"/>
                <w:szCs w:val="24"/>
              </w:rPr>
              <w:t>12</w:t>
            </w:r>
          </w:p>
        </w:tc>
        <w:tc>
          <w:tcPr>
            <w:tcW w:w="1383" w:type="dxa"/>
            <w:vAlign w:val="center"/>
          </w:tcPr>
          <w:p w14:paraId="406C1330">
            <w:pPr>
              <w:jc w:val="center"/>
              <w:rPr>
                <w:rFonts w:ascii="宋体" w:hAnsi="宋体" w:eastAsia="宋体" w:cs="宋体"/>
                <w:sz w:val="24"/>
                <w:szCs w:val="24"/>
              </w:rPr>
            </w:pPr>
            <w:r>
              <w:rPr>
                <w:rFonts w:ascii="宋体" w:hAnsi="宋体" w:eastAsia="宋体" w:cs="宋体"/>
                <w:sz w:val="24"/>
                <w:szCs w:val="24"/>
              </w:rPr>
              <w:t>外呼梯按钮盒</w:t>
            </w:r>
          </w:p>
        </w:tc>
        <w:tc>
          <w:tcPr>
            <w:tcW w:w="6986" w:type="dxa"/>
            <w:vAlign w:val="center"/>
          </w:tcPr>
          <w:p w14:paraId="48405FF1">
            <w:pPr>
              <w:rPr>
                <w:rFonts w:ascii="宋体" w:hAnsi="宋体" w:eastAsia="宋体" w:cs="宋体"/>
                <w:sz w:val="24"/>
                <w:szCs w:val="24"/>
                <w:lang w:eastAsia="zh-CN"/>
              </w:rPr>
            </w:pPr>
            <w:r>
              <w:rPr>
                <w:rFonts w:ascii="宋体" w:hAnsi="宋体" w:eastAsia="宋体" w:cs="宋体"/>
                <w:sz w:val="24"/>
                <w:szCs w:val="24"/>
                <w:lang w:eastAsia="zh-CN"/>
              </w:rPr>
              <w:t>要求美观大方，结实耐用，位于厅门侧面，面板采用发纹不锈钢材质。</w:t>
            </w:r>
          </w:p>
        </w:tc>
      </w:tr>
      <w:tr w14:paraId="0BC2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9" w:type="dxa"/>
            <w:vAlign w:val="center"/>
          </w:tcPr>
          <w:p w14:paraId="41DCAB81">
            <w:pPr>
              <w:jc w:val="center"/>
              <w:rPr>
                <w:rFonts w:ascii="宋体" w:hAnsi="宋体" w:eastAsia="宋体" w:cs="宋体"/>
                <w:sz w:val="24"/>
                <w:szCs w:val="24"/>
              </w:rPr>
            </w:pPr>
            <w:r>
              <w:rPr>
                <w:rFonts w:ascii="宋体" w:hAnsi="宋体" w:eastAsia="宋体" w:cs="宋体"/>
                <w:sz w:val="24"/>
                <w:szCs w:val="24"/>
              </w:rPr>
              <w:t>13</w:t>
            </w:r>
          </w:p>
        </w:tc>
        <w:tc>
          <w:tcPr>
            <w:tcW w:w="1383" w:type="dxa"/>
            <w:vAlign w:val="center"/>
          </w:tcPr>
          <w:p w14:paraId="638CCCD9">
            <w:pPr>
              <w:jc w:val="center"/>
              <w:rPr>
                <w:rFonts w:ascii="宋体" w:hAnsi="宋体" w:eastAsia="宋体" w:cs="宋体"/>
                <w:sz w:val="24"/>
                <w:szCs w:val="24"/>
              </w:rPr>
            </w:pPr>
            <w:r>
              <w:rPr>
                <w:rFonts w:ascii="宋体" w:hAnsi="宋体" w:eastAsia="宋体" w:cs="宋体"/>
                <w:sz w:val="24"/>
                <w:szCs w:val="24"/>
              </w:rPr>
              <w:t>外层站显示器</w:t>
            </w:r>
          </w:p>
        </w:tc>
        <w:tc>
          <w:tcPr>
            <w:tcW w:w="6986" w:type="dxa"/>
            <w:vAlign w:val="center"/>
          </w:tcPr>
          <w:p w14:paraId="3E7337FA">
            <w:pPr>
              <w:rPr>
                <w:rFonts w:ascii="宋体" w:hAnsi="宋体" w:eastAsia="宋体" w:cs="宋体"/>
                <w:sz w:val="24"/>
                <w:szCs w:val="24"/>
                <w:lang w:eastAsia="zh-CN"/>
              </w:rPr>
            </w:pPr>
            <w:r>
              <w:rPr>
                <w:rFonts w:ascii="宋体" w:hAnsi="宋体" w:eastAsia="宋体" w:cs="宋体"/>
                <w:sz w:val="24"/>
                <w:szCs w:val="24"/>
                <w:lang w:eastAsia="zh-CN"/>
              </w:rPr>
              <w:t>采用</w:t>
            </w:r>
            <w:r>
              <w:rPr>
                <w:rFonts w:ascii="宋体" w:hAnsi="宋体" w:eastAsia="宋体" w:cs="宋体"/>
                <w:sz w:val="24"/>
                <w:szCs w:val="24"/>
                <w:lang w:val="en-US" w:eastAsia="zh-CN"/>
              </w:rPr>
              <w:t>段码</w:t>
            </w:r>
            <w:r>
              <w:rPr>
                <w:rFonts w:ascii="宋体" w:hAnsi="宋体" w:eastAsia="宋体" w:cs="宋体"/>
                <w:sz w:val="24"/>
                <w:szCs w:val="24"/>
                <w:lang w:eastAsia="zh-CN"/>
              </w:rPr>
              <w:t>显示器。要求美观大方、数字清晰。能够显示层数、上下运行方向、到站指示，位于厅门侧面。</w:t>
            </w:r>
          </w:p>
        </w:tc>
      </w:tr>
      <w:tr w14:paraId="0976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29" w:type="dxa"/>
            <w:vAlign w:val="center"/>
          </w:tcPr>
          <w:p w14:paraId="6AEFBC35">
            <w:pPr>
              <w:jc w:val="center"/>
              <w:rPr>
                <w:rFonts w:ascii="宋体" w:hAnsi="宋体" w:eastAsia="宋体" w:cs="宋体"/>
                <w:sz w:val="24"/>
                <w:szCs w:val="24"/>
              </w:rPr>
            </w:pPr>
            <w:r>
              <w:rPr>
                <w:rFonts w:ascii="宋体" w:hAnsi="宋体" w:eastAsia="宋体" w:cs="宋体"/>
                <w:sz w:val="24"/>
                <w:szCs w:val="24"/>
              </w:rPr>
              <w:t>14</w:t>
            </w:r>
          </w:p>
        </w:tc>
        <w:tc>
          <w:tcPr>
            <w:tcW w:w="1383" w:type="dxa"/>
            <w:vAlign w:val="center"/>
          </w:tcPr>
          <w:p w14:paraId="203EE41E">
            <w:pPr>
              <w:jc w:val="center"/>
              <w:rPr>
                <w:rFonts w:ascii="宋体" w:hAnsi="宋体" w:eastAsia="宋体" w:cs="宋体"/>
                <w:sz w:val="24"/>
                <w:szCs w:val="24"/>
                <w:lang w:eastAsia="zh-CN"/>
              </w:rPr>
            </w:pPr>
            <w:r>
              <w:rPr>
                <w:rFonts w:ascii="宋体" w:hAnsi="宋体" w:eastAsia="宋体" w:cs="宋体"/>
                <w:sz w:val="24"/>
                <w:szCs w:val="24"/>
                <w:lang w:eastAsia="zh-CN"/>
              </w:rPr>
              <w:t>导轨（轿厢导轨、对重导轨）</w:t>
            </w:r>
          </w:p>
        </w:tc>
        <w:tc>
          <w:tcPr>
            <w:tcW w:w="6986" w:type="dxa"/>
            <w:vAlign w:val="center"/>
          </w:tcPr>
          <w:p w14:paraId="54CCF27F">
            <w:pPr>
              <w:rPr>
                <w:rFonts w:ascii="宋体" w:hAnsi="宋体" w:eastAsia="宋体" w:cs="宋体"/>
                <w:sz w:val="24"/>
                <w:szCs w:val="24"/>
                <w:lang w:eastAsia="zh-CN"/>
              </w:rPr>
            </w:pPr>
            <w:r>
              <w:rPr>
                <w:rFonts w:ascii="宋体" w:hAnsi="宋体" w:eastAsia="宋体" w:cs="宋体"/>
                <w:sz w:val="24"/>
                <w:szCs w:val="24"/>
                <w:lang w:eastAsia="zh-CN"/>
              </w:rPr>
              <w:t>采用T型耐磨导轨、抗变形能力强。</w:t>
            </w:r>
          </w:p>
        </w:tc>
      </w:tr>
      <w:tr w14:paraId="5EA5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29" w:type="dxa"/>
            <w:vAlign w:val="center"/>
          </w:tcPr>
          <w:p w14:paraId="797DABB8">
            <w:pPr>
              <w:jc w:val="center"/>
              <w:rPr>
                <w:rFonts w:ascii="宋体" w:hAnsi="宋体" w:eastAsia="宋体" w:cs="宋体"/>
                <w:sz w:val="24"/>
                <w:szCs w:val="24"/>
              </w:rPr>
            </w:pPr>
            <w:r>
              <w:rPr>
                <w:rFonts w:ascii="宋体" w:hAnsi="宋体" w:eastAsia="宋体" w:cs="宋体"/>
                <w:sz w:val="24"/>
                <w:szCs w:val="24"/>
              </w:rPr>
              <w:t>15</w:t>
            </w:r>
          </w:p>
        </w:tc>
        <w:tc>
          <w:tcPr>
            <w:tcW w:w="1383" w:type="dxa"/>
            <w:vAlign w:val="center"/>
          </w:tcPr>
          <w:p w14:paraId="51B7DD60">
            <w:pPr>
              <w:jc w:val="center"/>
              <w:rPr>
                <w:rFonts w:ascii="宋体" w:hAnsi="宋体" w:eastAsia="宋体" w:cs="宋体"/>
                <w:sz w:val="24"/>
                <w:szCs w:val="24"/>
              </w:rPr>
            </w:pPr>
            <w:r>
              <w:rPr>
                <w:rFonts w:ascii="宋体" w:hAnsi="宋体" w:eastAsia="宋体" w:cs="宋体"/>
                <w:sz w:val="24"/>
                <w:szCs w:val="24"/>
              </w:rPr>
              <w:t>对重装置</w:t>
            </w:r>
          </w:p>
        </w:tc>
        <w:tc>
          <w:tcPr>
            <w:tcW w:w="6986" w:type="dxa"/>
            <w:vAlign w:val="center"/>
          </w:tcPr>
          <w:p w14:paraId="48AEDB07">
            <w:pPr>
              <w:rPr>
                <w:rFonts w:ascii="宋体" w:hAnsi="宋体" w:eastAsia="宋体" w:cs="宋体"/>
                <w:sz w:val="24"/>
                <w:szCs w:val="24"/>
                <w:lang w:eastAsia="zh-CN"/>
              </w:rPr>
            </w:pPr>
            <w:r>
              <w:rPr>
                <w:rFonts w:ascii="宋体" w:hAnsi="宋体" w:eastAsia="宋体" w:cs="宋体"/>
                <w:sz w:val="24"/>
                <w:szCs w:val="24"/>
                <w:lang w:eastAsia="zh-CN"/>
              </w:rPr>
              <w:t>对重架要求制作精细，抗变形能力强，符合相关安全标准，要求采用滑动式导。</w:t>
            </w:r>
          </w:p>
        </w:tc>
      </w:tr>
      <w:tr w14:paraId="3A41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9" w:type="dxa"/>
            <w:vAlign w:val="center"/>
          </w:tcPr>
          <w:p w14:paraId="6FACAE59">
            <w:pPr>
              <w:jc w:val="center"/>
              <w:rPr>
                <w:rFonts w:ascii="宋体" w:hAnsi="宋体" w:eastAsia="宋体" w:cs="宋体"/>
                <w:sz w:val="24"/>
                <w:szCs w:val="24"/>
              </w:rPr>
            </w:pPr>
            <w:r>
              <w:rPr>
                <w:rFonts w:ascii="宋体" w:hAnsi="宋体" w:eastAsia="宋体" w:cs="宋体"/>
                <w:sz w:val="24"/>
                <w:szCs w:val="24"/>
              </w:rPr>
              <w:t>16</w:t>
            </w:r>
          </w:p>
        </w:tc>
        <w:tc>
          <w:tcPr>
            <w:tcW w:w="1383" w:type="dxa"/>
            <w:vAlign w:val="center"/>
          </w:tcPr>
          <w:p w14:paraId="7B2D4800">
            <w:pPr>
              <w:jc w:val="center"/>
              <w:rPr>
                <w:rFonts w:ascii="宋体" w:hAnsi="宋体" w:eastAsia="宋体" w:cs="宋体"/>
                <w:sz w:val="24"/>
                <w:szCs w:val="24"/>
              </w:rPr>
            </w:pPr>
            <w:r>
              <w:rPr>
                <w:rFonts w:ascii="宋体" w:hAnsi="宋体" w:eastAsia="宋体" w:cs="宋体"/>
                <w:sz w:val="24"/>
                <w:szCs w:val="24"/>
              </w:rPr>
              <w:t>补偿装置</w:t>
            </w:r>
          </w:p>
        </w:tc>
        <w:tc>
          <w:tcPr>
            <w:tcW w:w="6986" w:type="dxa"/>
            <w:vAlign w:val="center"/>
          </w:tcPr>
          <w:p w14:paraId="09D6627A">
            <w:pPr>
              <w:rPr>
                <w:rFonts w:ascii="宋体" w:hAnsi="宋体" w:eastAsia="宋体" w:cs="宋体"/>
                <w:sz w:val="24"/>
                <w:szCs w:val="24"/>
              </w:rPr>
            </w:pPr>
            <w:r>
              <w:rPr>
                <w:rFonts w:ascii="宋体" w:hAnsi="宋体" w:eastAsia="宋体" w:cs="宋体"/>
                <w:sz w:val="24"/>
                <w:szCs w:val="24"/>
              </w:rPr>
              <w:t>采用无声补偿链。</w:t>
            </w:r>
          </w:p>
        </w:tc>
      </w:tr>
      <w:tr w14:paraId="0CF9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9" w:type="dxa"/>
            <w:vAlign w:val="center"/>
          </w:tcPr>
          <w:p w14:paraId="2B2BC7F4">
            <w:pPr>
              <w:jc w:val="center"/>
              <w:rPr>
                <w:rFonts w:ascii="宋体" w:hAnsi="宋体" w:eastAsia="宋体" w:cs="宋体"/>
                <w:sz w:val="24"/>
                <w:szCs w:val="24"/>
              </w:rPr>
            </w:pPr>
            <w:r>
              <w:rPr>
                <w:rFonts w:ascii="宋体" w:hAnsi="宋体" w:eastAsia="宋体" w:cs="宋体"/>
                <w:sz w:val="24"/>
                <w:szCs w:val="24"/>
              </w:rPr>
              <w:t>17</w:t>
            </w:r>
          </w:p>
        </w:tc>
        <w:tc>
          <w:tcPr>
            <w:tcW w:w="1383" w:type="dxa"/>
            <w:vAlign w:val="center"/>
          </w:tcPr>
          <w:p w14:paraId="4D985D13">
            <w:pPr>
              <w:jc w:val="center"/>
              <w:rPr>
                <w:rFonts w:ascii="宋体" w:hAnsi="宋体" w:eastAsia="宋体" w:cs="宋体"/>
                <w:sz w:val="24"/>
                <w:szCs w:val="24"/>
              </w:rPr>
            </w:pPr>
            <w:r>
              <w:rPr>
                <w:rFonts w:ascii="宋体" w:hAnsi="宋体" w:eastAsia="宋体" w:cs="宋体"/>
                <w:sz w:val="24"/>
                <w:szCs w:val="24"/>
              </w:rPr>
              <w:t>钢丝绳</w:t>
            </w:r>
          </w:p>
        </w:tc>
        <w:tc>
          <w:tcPr>
            <w:tcW w:w="6986" w:type="dxa"/>
            <w:vAlign w:val="center"/>
          </w:tcPr>
          <w:p w14:paraId="7667BFA9">
            <w:pPr>
              <w:rPr>
                <w:rFonts w:ascii="宋体" w:hAnsi="宋体" w:eastAsia="宋体" w:cs="宋体"/>
                <w:sz w:val="24"/>
                <w:szCs w:val="24"/>
                <w:lang w:eastAsia="zh-CN"/>
              </w:rPr>
            </w:pPr>
            <w:r>
              <w:rPr>
                <w:rFonts w:ascii="宋体" w:hAnsi="宋体" w:eastAsia="宋体" w:cs="宋体"/>
                <w:sz w:val="24"/>
                <w:szCs w:val="24"/>
                <w:lang w:eastAsia="zh-CN"/>
              </w:rPr>
              <w:t>采用客梯专用的复绕式钢丝绳，安全标准符合国家规定。</w:t>
            </w:r>
          </w:p>
        </w:tc>
      </w:tr>
      <w:tr w14:paraId="598C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9" w:type="dxa"/>
            <w:vAlign w:val="center"/>
          </w:tcPr>
          <w:p w14:paraId="2168CAE9">
            <w:pPr>
              <w:jc w:val="center"/>
              <w:rPr>
                <w:rFonts w:ascii="宋体" w:hAnsi="宋体" w:eastAsia="宋体" w:cs="宋体"/>
                <w:sz w:val="24"/>
                <w:szCs w:val="24"/>
              </w:rPr>
            </w:pPr>
            <w:r>
              <w:rPr>
                <w:rFonts w:ascii="宋体" w:hAnsi="宋体" w:eastAsia="宋体" w:cs="宋体"/>
                <w:sz w:val="24"/>
                <w:szCs w:val="24"/>
              </w:rPr>
              <w:t>18</w:t>
            </w:r>
          </w:p>
        </w:tc>
        <w:tc>
          <w:tcPr>
            <w:tcW w:w="1383" w:type="dxa"/>
            <w:vAlign w:val="center"/>
          </w:tcPr>
          <w:p w14:paraId="3742C770">
            <w:pPr>
              <w:jc w:val="center"/>
              <w:rPr>
                <w:rFonts w:ascii="宋体" w:hAnsi="宋体" w:eastAsia="宋体" w:cs="宋体"/>
                <w:sz w:val="24"/>
                <w:szCs w:val="24"/>
              </w:rPr>
            </w:pPr>
            <w:r>
              <w:rPr>
                <w:rFonts w:ascii="宋体" w:hAnsi="宋体" w:eastAsia="宋体" w:cs="宋体"/>
                <w:sz w:val="24"/>
                <w:szCs w:val="24"/>
              </w:rPr>
              <w:t>随行电缆</w:t>
            </w:r>
          </w:p>
        </w:tc>
        <w:tc>
          <w:tcPr>
            <w:tcW w:w="6986" w:type="dxa"/>
            <w:vAlign w:val="center"/>
          </w:tcPr>
          <w:p w14:paraId="41083421">
            <w:pPr>
              <w:rPr>
                <w:rFonts w:ascii="宋体" w:hAnsi="宋体" w:eastAsia="宋体" w:cs="宋体"/>
                <w:sz w:val="24"/>
                <w:szCs w:val="24"/>
                <w:lang w:eastAsia="zh-CN"/>
              </w:rPr>
            </w:pPr>
            <w:r>
              <w:rPr>
                <w:rFonts w:ascii="宋体" w:hAnsi="宋体" w:eastAsia="宋体" w:cs="宋体"/>
                <w:sz w:val="24"/>
                <w:szCs w:val="24"/>
                <w:lang w:eastAsia="zh-CN"/>
              </w:rPr>
              <w:t>要求采用客梯专用电缆，防火性能与大楼的耐火等级相匹配。</w:t>
            </w:r>
          </w:p>
        </w:tc>
      </w:tr>
      <w:tr w14:paraId="71D6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29" w:type="dxa"/>
            <w:vAlign w:val="center"/>
          </w:tcPr>
          <w:p w14:paraId="2B4900A6">
            <w:pPr>
              <w:jc w:val="center"/>
              <w:rPr>
                <w:rFonts w:ascii="宋体" w:hAnsi="宋体" w:eastAsia="宋体" w:cs="宋体"/>
                <w:sz w:val="24"/>
                <w:szCs w:val="24"/>
              </w:rPr>
            </w:pPr>
            <w:r>
              <w:rPr>
                <w:rFonts w:ascii="宋体" w:hAnsi="宋体" w:eastAsia="宋体" w:cs="宋体"/>
                <w:sz w:val="24"/>
                <w:szCs w:val="24"/>
              </w:rPr>
              <w:t>19</w:t>
            </w:r>
          </w:p>
        </w:tc>
        <w:tc>
          <w:tcPr>
            <w:tcW w:w="1383" w:type="dxa"/>
            <w:vAlign w:val="center"/>
          </w:tcPr>
          <w:p w14:paraId="167D2EB1">
            <w:pPr>
              <w:jc w:val="center"/>
              <w:rPr>
                <w:rFonts w:ascii="宋体" w:hAnsi="宋体" w:eastAsia="宋体" w:cs="宋体"/>
                <w:sz w:val="24"/>
                <w:szCs w:val="24"/>
              </w:rPr>
            </w:pPr>
            <w:r>
              <w:rPr>
                <w:rFonts w:ascii="宋体" w:hAnsi="宋体" w:eastAsia="宋体" w:cs="宋体"/>
                <w:sz w:val="24"/>
                <w:szCs w:val="24"/>
              </w:rPr>
              <w:t>井道内固定件</w:t>
            </w:r>
          </w:p>
        </w:tc>
        <w:tc>
          <w:tcPr>
            <w:tcW w:w="6986" w:type="dxa"/>
            <w:vAlign w:val="center"/>
          </w:tcPr>
          <w:p w14:paraId="14E2FD3A">
            <w:pPr>
              <w:rPr>
                <w:rFonts w:ascii="宋体" w:hAnsi="宋体" w:eastAsia="宋体" w:cs="宋体"/>
                <w:sz w:val="24"/>
                <w:szCs w:val="24"/>
                <w:lang w:eastAsia="zh-CN"/>
              </w:rPr>
            </w:pPr>
            <w:r>
              <w:rPr>
                <w:rFonts w:ascii="宋体" w:hAnsi="宋体" w:eastAsia="宋体" w:cs="宋体"/>
                <w:sz w:val="24"/>
                <w:szCs w:val="24"/>
                <w:lang w:eastAsia="zh-CN"/>
              </w:rPr>
              <w:t>要求其零部件结构合理，牢固耐用，抗锈蚀能力强。</w:t>
            </w:r>
          </w:p>
        </w:tc>
      </w:tr>
      <w:tr w14:paraId="65A5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9" w:type="dxa"/>
            <w:vAlign w:val="center"/>
          </w:tcPr>
          <w:p w14:paraId="78425E73">
            <w:pPr>
              <w:jc w:val="center"/>
              <w:rPr>
                <w:rFonts w:ascii="宋体" w:hAnsi="宋体" w:eastAsia="宋体" w:cs="宋体"/>
                <w:sz w:val="24"/>
                <w:szCs w:val="24"/>
              </w:rPr>
            </w:pPr>
            <w:r>
              <w:rPr>
                <w:rFonts w:ascii="宋体" w:hAnsi="宋体" w:eastAsia="宋体" w:cs="宋体"/>
                <w:sz w:val="24"/>
                <w:szCs w:val="24"/>
              </w:rPr>
              <w:t>20</w:t>
            </w:r>
          </w:p>
        </w:tc>
        <w:tc>
          <w:tcPr>
            <w:tcW w:w="1383" w:type="dxa"/>
            <w:vAlign w:val="center"/>
          </w:tcPr>
          <w:p w14:paraId="0AFC78B4">
            <w:pPr>
              <w:jc w:val="center"/>
              <w:rPr>
                <w:rFonts w:ascii="宋体" w:hAnsi="宋体" w:eastAsia="宋体" w:cs="宋体"/>
                <w:sz w:val="24"/>
                <w:szCs w:val="24"/>
              </w:rPr>
            </w:pPr>
            <w:r>
              <w:rPr>
                <w:rFonts w:ascii="宋体" w:hAnsi="宋体" w:eastAsia="宋体" w:cs="宋体"/>
                <w:sz w:val="24"/>
                <w:szCs w:val="24"/>
              </w:rPr>
              <w:t>井道照明</w:t>
            </w:r>
          </w:p>
        </w:tc>
        <w:tc>
          <w:tcPr>
            <w:tcW w:w="6986" w:type="dxa"/>
            <w:vAlign w:val="center"/>
          </w:tcPr>
          <w:p w14:paraId="17A184D6">
            <w:pPr>
              <w:rPr>
                <w:rFonts w:ascii="宋体" w:hAnsi="宋体" w:eastAsia="宋体" w:cs="宋体"/>
                <w:sz w:val="24"/>
                <w:szCs w:val="24"/>
              </w:rPr>
            </w:pPr>
            <w:r>
              <w:rPr>
                <w:rFonts w:ascii="宋体" w:hAnsi="宋体" w:eastAsia="宋体" w:cs="宋体"/>
                <w:sz w:val="24"/>
                <w:szCs w:val="24"/>
              </w:rPr>
              <w:t>按国家规定。</w:t>
            </w:r>
          </w:p>
        </w:tc>
      </w:tr>
      <w:tr w14:paraId="719D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Align w:val="center"/>
          </w:tcPr>
          <w:p w14:paraId="4F22AE2F">
            <w:pPr>
              <w:jc w:val="center"/>
              <w:rPr>
                <w:rFonts w:ascii="宋体" w:hAnsi="宋体" w:eastAsia="宋体" w:cs="宋体"/>
                <w:sz w:val="24"/>
                <w:szCs w:val="24"/>
              </w:rPr>
            </w:pPr>
            <w:r>
              <w:rPr>
                <w:rFonts w:ascii="宋体" w:hAnsi="宋体" w:eastAsia="宋体" w:cs="宋体"/>
                <w:sz w:val="24"/>
                <w:szCs w:val="24"/>
              </w:rPr>
              <w:t>21</w:t>
            </w:r>
          </w:p>
        </w:tc>
        <w:tc>
          <w:tcPr>
            <w:tcW w:w="1383" w:type="dxa"/>
            <w:vAlign w:val="center"/>
          </w:tcPr>
          <w:p w14:paraId="4E18BE45">
            <w:pPr>
              <w:jc w:val="center"/>
              <w:rPr>
                <w:rFonts w:ascii="宋体" w:hAnsi="宋体" w:eastAsia="宋体" w:cs="宋体"/>
                <w:sz w:val="24"/>
                <w:szCs w:val="24"/>
              </w:rPr>
            </w:pPr>
            <w:r>
              <w:rPr>
                <w:rFonts w:ascii="宋体" w:hAnsi="宋体" w:eastAsia="宋体" w:cs="宋体"/>
                <w:sz w:val="24"/>
                <w:szCs w:val="24"/>
              </w:rPr>
              <w:t>缓冲器</w:t>
            </w:r>
          </w:p>
        </w:tc>
        <w:tc>
          <w:tcPr>
            <w:tcW w:w="6986" w:type="dxa"/>
            <w:vAlign w:val="center"/>
          </w:tcPr>
          <w:p w14:paraId="20C773AC">
            <w:pPr>
              <w:rPr>
                <w:rFonts w:ascii="宋体" w:hAnsi="宋体" w:eastAsia="宋体" w:cs="宋体"/>
                <w:sz w:val="24"/>
                <w:szCs w:val="24"/>
                <w:lang w:eastAsia="zh-CN"/>
              </w:rPr>
            </w:pPr>
            <w:r>
              <w:rPr>
                <w:rFonts w:ascii="宋体" w:hAnsi="宋体" w:eastAsia="宋体" w:cs="宋体"/>
                <w:sz w:val="24"/>
                <w:szCs w:val="24"/>
                <w:lang w:eastAsia="zh-CN"/>
              </w:rPr>
              <w:t>符合国家标准，要求采用油压式缓冲器。</w:t>
            </w:r>
          </w:p>
        </w:tc>
      </w:tr>
      <w:tr w14:paraId="0C4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Align w:val="center"/>
          </w:tcPr>
          <w:p w14:paraId="28281F88">
            <w:pPr>
              <w:jc w:val="center"/>
              <w:rPr>
                <w:rFonts w:ascii="宋体" w:hAnsi="宋体" w:eastAsia="宋体" w:cs="宋体"/>
                <w:sz w:val="24"/>
                <w:szCs w:val="24"/>
              </w:rPr>
            </w:pPr>
            <w:r>
              <w:rPr>
                <w:rFonts w:ascii="宋体" w:hAnsi="宋体" w:eastAsia="宋体" w:cs="宋体"/>
                <w:sz w:val="24"/>
                <w:szCs w:val="24"/>
              </w:rPr>
              <w:t>22</w:t>
            </w:r>
          </w:p>
        </w:tc>
        <w:tc>
          <w:tcPr>
            <w:tcW w:w="1383" w:type="dxa"/>
            <w:vAlign w:val="center"/>
          </w:tcPr>
          <w:p w14:paraId="157C393D">
            <w:pPr>
              <w:jc w:val="center"/>
              <w:rPr>
                <w:rFonts w:ascii="宋体" w:hAnsi="宋体" w:eastAsia="宋体" w:cs="宋体"/>
                <w:sz w:val="24"/>
                <w:szCs w:val="24"/>
              </w:rPr>
            </w:pPr>
            <w:r>
              <w:rPr>
                <w:rFonts w:ascii="宋体" w:hAnsi="宋体" w:eastAsia="宋体" w:cs="宋体"/>
                <w:sz w:val="24"/>
                <w:szCs w:val="24"/>
              </w:rPr>
              <w:t>限速器</w:t>
            </w:r>
          </w:p>
        </w:tc>
        <w:tc>
          <w:tcPr>
            <w:tcW w:w="6986" w:type="dxa"/>
            <w:vAlign w:val="center"/>
          </w:tcPr>
          <w:p w14:paraId="33212665">
            <w:pPr>
              <w:rPr>
                <w:rFonts w:ascii="宋体" w:hAnsi="宋体" w:eastAsia="宋体" w:cs="宋体"/>
                <w:sz w:val="24"/>
                <w:szCs w:val="24"/>
                <w:lang w:eastAsia="zh-CN"/>
              </w:rPr>
            </w:pPr>
            <w:r>
              <w:rPr>
                <w:rFonts w:ascii="宋体" w:hAnsi="宋体" w:eastAsia="宋体" w:cs="宋体"/>
                <w:sz w:val="24"/>
                <w:szCs w:val="24"/>
                <w:lang w:eastAsia="zh-CN"/>
              </w:rPr>
              <w:t>符合国家标准，要求采用双向离心式限速器。</w:t>
            </w:r>
          </w:p>
        </w:tc>
      </w:tr>
      <w:tr w14:paraId="2ABD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Align w:val="center"/>
          </w:tcPr>
          <w:p w14:paraId="4F40D110">
            <w:pPr>
              <w:jc w:val="center"/>
              <w:rPr>
                <w:rFonts w:ascii="宋体" w:hAnsi="宋体" w:eastAsia="宋体" w:cs="宋体"/>
                <w:sz w:val="24"/>
                <w:szCs w:val="24"/>
              </w:rPr>
            </w:pPr>
            <w:r>
              <w:rPr>
                <w:rFonts w:ascii="宋体" w:hAnsi="宋体" w:eastAsia="宋体" w:cs="宋体"/>
                <w:sz w:val="24"/>
                <w:szCs w:val="24"/>
              </w:rPr>
              <w:t>23</w:t>
            </w:r>
          </w:p>
        </w:tc>
        <w:tc>
          <w:tcPr>
            <w:tcW w:w="1383" w:type="dxa"/>
            <w:vAlign w:val="center"/>
          </w:tcPr>
          <w:p w14:paraId="03D93DFB">
            <w:pPr>
              <w:jc w:val="center"/>
              <w:rPr>
                <w:rFonts w:ascii="宋体" w:hAnsi="宋体" w:eastAsia="宋体" w:cs="宋体"/>
                <w:sz w:val="24"/>
                <w:szCs w:val="24"/>
              </w:rPr>
            </w:pPr>
            <w:r>
              <w:rPr>
                <w:rFonts w:ascii="宋体" w:hAnsi="宋体" w:eastAsia="宋体" w:cs="宋体"/>
                <w:sz w:val="24"/>
                <w:szCs w:val="24"/>
              </w:rPr>
              <w:t>安全钳</w:t>
            </w:r>
          </w:p>
        </w:tc>
        <w:tc>
          <w:tcPr>
            <w:tcW w:w="6986" w:type="dxa"/>
            <w:vAlign w:val="center"/>
          </w:tcPr>
          <w:p w14:paraId="267E2285">
            <w:pPr>
              <w:rPr>
                <w:rFonts w:ascii="宋体" w:hAnsi="宋体" w:eastAsia="宋体" w:cs="宋体"/>
                <w:sz w:val="24"/>
                <w:szCs w:val="24"/>
                <w:lang w:eastAsia="zh-CN"/>
              </w:rPr>
            </w:pPr>
            <w:r>
              <w:rPr>
                <w:rFonts w:ascii="宋体" w:hAnsi="宋体" w:eastAsia="宋体" w:cs="宋体"/>
                <w:sz w:val="24"/>
                <w:szCs w:val="24"/>
                <w:lang w:eastAsia="zh-CN"/>
              </w:rPr>
              <w:t>符合国家标准，要求采用渐进式安全钳。</w:t>
            </w:r>
          </w:p>
        </w:tc>
      </w:tr>
      <w:tr w14:paraId="3ED4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Align w:val="center"/>
          </w:tcPr>
          <w:p w14:paraId="16DE167D">
            <w:pPr>
              <w:jc w:val="center"/>
              <w:rPr>
                <w:rFonts w:ascii="宋体" w:hAnsi="宋体" w:eastAsia="宋体" w:cs="宋体"/>
                <w:sz w:val="24"/>
                <w:szCs w:val="24"/>
              </w:rPr>
            </w:pPr>
            <w:r>
              <w:rPr>
                <w:rFonts w:ascii="宋体" w:hAnsi="宋体" w:eastAsia="宋体" w:cs="宋体"/>
                <w:sz w:val="24"/>
                <w:szCs w:val="24"/>
              </w:rPr>
              <w:t>24</w:t>
            </w:r>
          </w:p>
        </w:tc>
        <w:tc>
          <w:tcPr>
            <w:tcW w:w="1383" w:type="dxa"/>
            <w:vAlign w:val="center"/>
          </w:tcPr>
          <w:p w14:paraId="762B4198">
            <w:pPr>
              <w:jc w:val="center"/>
              <w:rPr>
                <w:rFonts w:ascii="宋体" w:hAnsi="宋体" w:eastAsia="宋体" w:cs="宋体"/>
                <w:sz w:val="24"/>
                <w:szCs w:val="24"/>
              </w:rPr>
            </w:pPr>
            <w:r>
              <w:rPr>
                <w:rFonts w:ascii="宋体" w:hAnsi="宋体" w:eastAsia="宋体" w:cs="宋体"/>
                <w:sz w:val="24"/>
                <w:szCs w:val="24"/>
              </w:rPr>
              <w:t>门锁位置</w:t>
            </w:r>
          </w:p>
        </w:tc>
        <w:tc>
          <w:tcPr>
            <w:tcW w:w="6986" w:type="dxa"/>
            <w:vAlign w:val="center"/>
          </w:tcPr>
          <w:p w14:paraId="54BBBB3B">
            <w:pPr>
              <w:rPr>
                <w:rFonts w:ascii="宋体" w:hAnsi="宋体" w:eastAsia="宋体" w:cs="宋体"/>
                <w:sz w:val="24"/>
                <w:szCs w:val="24"/>
                <w:lang w:eastAsia="zh-CN"/>
              </w:rPr>
            </w:pPr>
            <w:r>
              <w:rPr>
                <w:rFonts w:ascii="宋体" w:hAnsi="宋体" w:eastAsia="宋体" w:cs="宋体"/>
                <w:sz w:val="24"/>
                <w:szCs w:val="24"/>
                <w:lang w:eastAsia="zh-CN"/>
              </w:rPr>
              <w:t>符合国家标准，采用先进客梯专用门锁。</w:t>
            </w:r>
          </w:p>
        </w:tc>
      </w:tr>
      <w:tr w14:paraId="64C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6DB686D6">
            <w:pPr>
              <w:jc w:val="center"/>
              <w:rPr>
                <w:rFonts w:ascii="宋体" w:hAnsi="宋体" w:eastAsia="宋体" w:cs="宋体"/>
                <w:sz w:val="24"/>
                <w:szCs w:val="24"/>
              </w:rPr>
            </w:pPr>
            <w:r>
              <w:rPr>
                <w:rFonts w:ascii="宋体" w:hAnsi="宋体" w:eastAsia="宋体" w:cs="宋体"/>
                <w:sz w:val="24"/>
                <w:szCs w:val="24"/>
              </w:rPr>
              <w:t>25</w:t>
            </w:r>
          </w:p>
        </w:tc>
        <w:tc>
          <w:tcPr>
            <w:tcW w:w="1383" w:type="dxa"/>
            <w:vAlign w:val="center"/>
          </w:tcPr>
          <w:p w14:paraId="29FE2CBE">
            <w:pPr>
              <w:jc w:val="center"/>
              <w:rPr>
                <w:rFonts w:ascii="宋体" w:hAnsi="宋体" w:eastAsia="宋体" w:cs="宋体"/>
                <w:sz w:val="24"/>
                <w:szCs w:val="24"/>
              </w:rPr>
            </w:pPr>
            <w:r>
              <w:rPr>
                <w:rFonts w:ascii="宋体" w:hAnsi="宋体" w:eastAsia="宋体" w:cs="宋体"/>
                <w:sz w:val="24"/>
                <w:szCs w:val="24"/>
              </w:rPr>
              <w:t>上行超速保护装置</w:t>
            </w:r>
          </w:p>
        </w:tc>
        <w:tc>
          <w:tcPr>
            <w:tcW w:w="6986" w:type="dxa"/>
            <w:vAlign w:val="center"/>
          </w:tcPr>
          <w:p w14:paraId="1E248EB7">
            <w:pPr>
              <w:rPr>
                <w:rFonts w:ascii="宋体" w:hAnsi="宋体" w:eastAsia="宋体" w:cs="宋体"/>
                <w:sz w:val="24"/>
                <w:szCs w:val="24"/>
              </w:rPr>
            </w:pPr>
            <w:r>
              <w:rPr>
                <w:rFonts w:ascii="宋体" w:hAnsi="宋体" w:eastAsia="宋体" w:cs="宋体"/>
                <w:sz w:val="24"/>
                <w:szCs w:val="24"/>
              </w:rPr>
              <w:t>符合国家标准。</w:t>
            </w:r>
          </w:p>
        </w:tc>
      </w:tr>
      <w:tr w14:paraId="299A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4F5D28EE">
            <w:pPr>
              <w:jc w:val="center"/>
              <w:rPr>
                <w:rFonts w:ascii="宋体" w:hAnsi="宋体" w:eastAsia="宋体" w:cs="宋体"/>
                <w:sz w:val="24"/>
                <w:szCs w:val="24"/>
              </w:rPr>
            </w:pPr>
            <w:r>
              <w:rPr>
                <w:rFonts w:ascii="宋体" w:hAnsi="宋体" w:eastAsia="宋体" w:cs="宋体"/>
                <w:sz w:val="24"/>
                <w:szCs w:val="24"/>
              </w:rPr>
              <w:t>26</w:t>
            </w:r>
          </w:p>
        </w:tc>
        <w:tc>
          <w:tcPr>
            <w:tcW w:w="1383" w:type="dxa"/>
            <w:vAlign w:val="center"/>
          </w:tcPr>
          <w:p w14:paraId="1AF34C7B">
            <w:pPr>
              <w:jc w:val="center"/>
              <w:rPr>
                <w:rFonts w:ascii="宋体" w:hAnsi="宋体" w:eastAsia="宋体" w:cs="宋体"/>
                <w:sz w:val="24"/>
                <w:szCs w:val="24"/>
              </w:rPr>
            </w:pPr>
            <w:r>
              <w:rPr>
                <w:rFonts w:ascii="宋体" w:hAnsi="宋体" w:eastAsia="宋体" w:cs="宋体"/>
                <w:sz w:val="24"/>
                <w:szCs w:val="24"/>
              </w:rPr>
              <w:t>设故障自平层装置</w:t>
            </w:r>
          </w:p>
        </w:tc>
        <w:tc>
          <w:tcPr>
            <w:tcW w:w="6986" w:type="dxa"/>
            <w:vAlign w:val="center"/>
          </w:tcPr>
          <w:p w14:paraId="5F25E9C6">
            <w:pPr>
              <w:rPr>
                <w:rFonts w:ascii="宋体" w:hAnsi="宋体" w:eastAsia="宋体" w:cs="宋体"/>
                <w:sz w:val="24"/>
                <w:szCs w:val="24"/>
              </w:rPr>
            </w:pPr>
            <w:r>
              <w:rPr>
                <w:rFonts w:ascii="宋体" w:hAnsi="宋体" w:eastAsia="宋体" w:cs="宋体"/>
                <w:sz w:val="24"/>
                <w:szCs w:val="24"/>
              </w:rPr>
              <w:t>按国家规定。</w:t>
            </w:r>
          </w:p>
        </w:tc>
      </w:tr>
      <w:tr w14:paraId="7E2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441FEB86">
            <w:pPr>
              <w:jc w:val="center"/>
              <w:rPr>
                <w:rFonts w:ascii="宋体" w:hAnsi="宋体" w:eastAsia="宋体" w:cs="宋体"/>
                <w:sz w:val="24"/>
                <w:szCs w:val="24"/>
              </w:rPr>
            </w:pPr>
            <w:r>
              <w:rPr>
                <w:rFonts w:ascii="宋体" w:hAnsi="宋体" w:eastAsia="宋体" w:cs="宋体"/>
                <w:sz w:val="24"/>
                <w:szCs w:val="24"/>
              </w:rPr>
              <w:t>27</w:t>
            </w:r>
          </w:p>
        </w:tc>
        <w:tc>
          <w:tcPr>
            <w:tcW w:w="1383" w:type="dxa"/>
            <w:vAlign w:val="center"/>
          </w:tcPr>
          <w:p w14:paraId="1C29BD9B">
            <w:pPr>
              <w:jc w:val="center"/>
              <w:rPr>
                <w:rFonts w:ascii="宋体" w:hAnsi="宋体" w:eastAsia="宋体" w:cs="宋体"/>
                <w:sz w:val="24"/>
                <w:szCs w:val="24"/>
                <w:lang w:eastAsia="zh-CN"/>
              </w:rPr>
            </w:pPr>
            <w:r>
              <w:rPr>
                <w:rFonts w:ascii="宋体" w:hAnsi="宋体" w:eastAsia="宋体" w:cs="宋体"/>
                <w:sz w:val="24"/>
                <w:szCs w:val="24"/>
                <w:lang w:eastAsia="zh-CN"/>
              </w:rPr>
              <w:t>设置与消防信号系统接口</w:t>
            </w:r>
          </w:p>
        </w:tc>
        <w:tc>
          <w:tcPr>
            <w:tcW w:w="6986" w:type="dxa"/>
            <w:vAlign w:val="center"/>
          </w:tcPr>
          <w:p w14:paraId="3430C612">
            <w:pPr>
              <w:rPr>
                <w:rFonts w:ascii="宋体" w:hAnsi="宋体" w:eastAsia="宋体" w:cs="宋体"/>
                <w:sz w:val="24"/>
                <w:szCs w:val="24"/>
              </w:rPr>
            </w:pPr>
            <w:r>
              <w:rPr>
                <w:rFonts w:ascii="宋体" w:hAnsi="宋体" w:eastAsia="宋体" w:cs="宋体"/>
                <w:sz w:val="24"/>
                <w:szCs w:val="24"/>
              </w:rPr>
              <w:t>按国家规定。</w:t>
            </w:r>
          </w:p>
        </w:tc>
      </w:tr>
      <w:tr w14:paraId="6F9A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29" w:type="dxa"/>
            <w:vAlign w:val="center"/>
          </w:tcPr>
          <w:p w14:paraId="663684FA">
            <w:pPr>
              <w:jc w:val="center"/>
              <w:rPr>
                <w:rFonts w:ascii="宋体" w:hAnsi="宋体" w:eastAsia="宋体" w:cs="宋体"/>
                <w:sz w:val="24"/>
                <w:szCs w:val="24"/>
              </w:rPr>
            </w:pPr>
            <w:r>
              <w:rPr>
                <w:rFonts w:ascii="宋体" w:hAnsi="宋体" w:eastAsia="宋体" w:cs="宋体"/>
                <w:sz w:val="24"/>
                <w:szCs w:val="24"/>
              </w:rPr>
              <w:t>28</w:t>
            </w:r>
          </w:p>
        </w:tc>
        <w:tc>
          <w:tcPr>
            <w:tcW w:w="1383" w:type="dxa"/>
            <w:vAlign w:val="center"/>
          </w:tcPr>
          <w:p w14:paraId="51A7196F">
            <w:pPr>
              <w:jc w:val="center"/>
              <w:rPr>
                <w:rFonts w:ascii="宋体" w:hAnsi="宋体" w:eastAsia="宋体" w:cs="宋体"/>
                <w:sz w:val="24"/>
                <w:szCs w:val="24"/>
              </w:rPr>
            </w:pPr>
            <w:r>
              <w:rPr>
                <w:rFonts w:ascii="宋体" w:hAnsi="宋体" w:eastAsia="宋体" w:cs="宋体"/>
                <w:sz w:val="24"/>
                <w:szCs w:val="24"/>
              </w:rPr>
              <w:t>客梯配电箱</w:t>
            </w:r>
          </w:p>
        </w:tc>
        <w:tc>
          <w:tcPr>
            <w:tcW w:w="6986" w:type="dxa"/>
            <w:vAlign w:val="center"/>
          </w:tcPr>
          <w:p w14:paraId="65C84B03">
            <w:pPr>
              <w:rPr>
                <w:rFonts w:ascii="宋体" w:hAnsi="宋体" w:eastAsia="宋体" w:cs="宋体"/>
                <w:sz w:val="24"/>
                <w:szCs w:val="24"/>
              </w:rPr>
            </w:pPr>
            <w:r>
              <w:rPr>
                <w:rFonts w:ascii="宋体" w:hAnsi="宋体" w:eastAsia="宋体" w:cs="宋体"/>
                <w:sz w:val="24"/>
                <w:szCs w:val="24"/>
              </w:rPr>
              <w:t>按国家规定。</w:t>
            </w:r>
          </w:p>
        </w:tc>
      </w:tr>
      <w:tr w14:paraId="1267677D">
        <w:tblPrEx>
          <w:tblCellMar>
            <w:top w:w="0" w:type="dxa"/>
            <w:left w:w="108" w:type="dxa"/>
            <w:bottom w:w="0" w:type="dxa"/>
            <w:right w:w="108" w:type="dxa"/>
          </w:tblCellMar>
        </w:tblPrEx>
        <w:trPr>
          <w:trHeight w:val="529" w:hRule="atLeast"/>
          <w:jc w:val="center"/>
        </w:trPr>
        <w:tc>
          <w:tcPr>
            <w:tcW w:w="829" w:type="dxa"/>
            <w:vAlign w:val="center"/>
          </w:tcPr>
          <w:p w14:paraId="325DB781">
            <w:pPr>
              <w:jc w:val="center"/>
              <w:rPr>
                <w:rFonts w:ascii="宋体" w:hAnsi="宋体" w:eastAsia="宋体" w:cs="宋体"/>
                <w:sz w:val="24"/>
                <w:szCs w:val="24"/>
              </w:rPr>
            </w:pPr>
            <w:r>
              <w:rPr>
                <w:rFonts w:ascii="宋体" w:hAnsi="宋体" w:eastAsia="宋体" w:cs="宋体"/>
                <w:sz w:val="24"/>
                <w:szCs w:val="24"/>
              </w:rPr>
              <w:t>29</w:t>
            </w:r>
          </w:p>
        </w:tc>
        <w:tc>
          <w:tcPr>
            <w:tcW w:w="1383" w:type="dxa"/>
            <w:vAlign w:val="center"/>
          </w:tcPr>
          <w:p w14:paraId="107D2606">
            <w:pPr>
              <w:jc w:val="center"/>
              <w:rPr>
                <w:rFonts w:ascii="宋体" w:hAnsi="宋体" w:eastAsia="宋体" w:cs="宋体"/>
                <w:sz w:val="24"/>
                <w:szCs w:val="24"/>
              </w:rPr>
            </w:pPr>
            <w:r>
              <w:rPr>
                <w:rFonts w:ascii="宋体" w:hAnsi="宋体" w:eastAsia="宋体" w:cs="宋体"/>
                <w:sz w:val="24"/>
                <w:szCs w:val="24"/>
              </w:rPr>
              <w:t>上行超速保护装置</w:t>
            </w:r>
          </w:p>
        </w:tc>
        <w:tc>
          <w:tcPr>
            <w:tcW w:w="6986" w:type="dxa"/>
            <w:vAlign w:val="center"/>
          </w:tcPr>
          <w:p w14:paraId="39916E3F">
            <w:pPr>
              <w:rPr>
                <w:rFonts w:ascii="宋体" w:hAnsi="宋体" w:eastAsia="宋体" w:cs="宋体"/>
                <w:sz w:val="24"/>
                <w:szCs w:val="24"/>
              </w:rPr>
            </w:pPr>
            <w:r>
              <w:rPr>
                <w:rFonts w:ascii="宋体" w:hAnsi="宋体" w:eastAsia="宋体" w:cs="宋体"/>
                <w:sz w:val="24"/>
                <w:szCs w:val="24"/>
              </w:rPr>
              <w:t>符合国家规定。</w:t>
            </w:r>
          </w:p>
        </w:tc>
      </w:tr>
      <w:tr w14:paraId="7C85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29" w:type="dxa"/>
            <w:vAlign w:val="center"/>
          </w:tcPr>
          <w:p w14:paraId="6851179E">
            <w:pPr>
              <w:jc w:val="center"/>
              <w:rPr>
                <w:rFonts w:ascii="宋体" w:hAnsi="宋体" w:eastAsia="宋体" w:cs="宋体"/>
                <w:sz w:val="24"/>
                <w:szCs w:val="24"/>
              </w:rPr>
            </w:pPr>
            <w:r>
              <w:rPr>
                <w:rFonts w:ascii="宋体" w:hAnsi="宋体" w:eastAsia="宋体" w:cs="宋体"/>
                <w:sz w:val="24"/>
                <w:szCs w:val="24"/>
              </w:rPr>
              <w:t>30</w:t>
            </w:r>
          </w:p>
        </w:tc>
        <w:tc>
          <w:tcPr>
            <w:tcW w:w="1383" w:type="dxa"/>
            <w:vAlign w:val="center"/>
          </w:tcPr>
          <w:p w14:paraId="3B1BB4F2">
            <w:pPr>
              <w:jc w:val="center"/>
              <w:rPr>
                <w:rFonts w:ascii="宋体" w:hAnsi="宋体" w:eastAsia="宋体" w:cs="宋体"/>
                <w:sz w:val="24"/>
                <w:szCs w:val="24"/>
              </w:rPr>
            </w:pPr>
            <w:r>
              <w:rPr>
                <w:rFonts w:ascii="宋体" w:hAnsi="宋体" w:eastAsia="宋体" w:cs="宋体"/>
                <w:sz w:val="24"/>
                <w:szCs w:val="24"/>
              </w:rPr>
              <w:t>客梯机房</w:t>
            </w:r>
          </w:p>
        </w:tc>
        <w:tc>
          <w:tcPr>
            <w:tcW w:w="6986" w:type="dxa"/>
            <w:vAlign w:val="center"/>
          </w:tcPr>
          <w:p w14:paraId="0BC222E4">
            <w:pPr>
              <w:rPr>
                <w:rFonts w:ascii="宋体" w:hAnsi="宋体" w:eastAsia="宋体" w:cs="宋体"/>
                <w:sz w:val="24"/>
                <w:szCs w:val="24"/>
                <w:lang w:eastAsia="zh-CN"/>
              </w:rPr>
            </w:pPr>
            <w:r>
              <w:rPr>
                <w:rFonts w:ascii="宋体" w:hAnsi="宋体" w:eastAsia="宋体" w:cs="宋体"/>
                <w:sz w:val="24"/>
                <w:szCs w:val="24"/>
                <w:lang w:eastAsia="zh-CN"/>
              </w:rPr>
              <w:t>按相关规范标准布置。</w:t>
            </w:r>
          </w:p>
        </w:tc>
      </w:tr>
    </w:tbl>
    <w:p w14:paraId="3FC61F99">
      <w:pPr>
        <w:numPr>
          <w:ilvl w:val="0"/>
          <w:numId w:val="8"/>
        </w:numPr>
        <w:spacing w:line="347" w:lineRule="auto"/>
        <w:ind w:left="99" w:right="13" w:firstLine="552" w:firstLineChars="200"/>
        <w:jc w:val="left"/>
        <w:rPr>
          <w:rFonts w:ascii="仿宋" w:hAnsi="仿宋" w:cs="仿宋"/>
          <w:b/>
          <w:bCs/>
          <w:spacing w:val="-2"/>
          <w:sz w:val="28"/>
          <w:szCs w:val="28"/>
          <w:lang w:val="en-US" w:eastAsia="zh-CN"/>
        </w:rPr>
      </w:pPr>
      <w:r>
        <w:rPr>
          <w:rFonts w:ascii="仿宋" w:hAnsi="仿宋" w:cs="仿宋"/>
          <w:b/>
          <w:bCs/>
          <w:spacing w:val="-2"/>
          <w:sz w:val="28"/>
          <w:szCs w:val="28"/>
          <w:lang w:val="en-US" w:eastAsia="zh-CN"/>
        </w:rPr>
        <w:t>装潢要求</w:t>
      </w:r>
    </w:p>
    <w:tbl>
      <w:tblPr>
        <w:tblStyle w:val="52"/>
        <w:tblW w:w="4627" w:type="pct"/>
        <w:jc w:val="center"/>
        <w:tblLayout w:type="autofit"/>
        <w:tblCellMar>
          <w:top w:w="0" w:type="dxa"/>
          <w:left w:w="108" w:type="dxa"/>
          <w:bottom w:w="0" w:type="dxa"/>
          <w:right w:w="108" w:type="dxa"/>
        </w:tblCellMar>
      </w:tblPr>
      <w:tblGrid>
        <w:gridCol w:w="641"/>
        <w:gridCol w:w="1691"/>
        <w:gridCol w:w="5554"/>
      </w:tblGrid>
      <w:tr w14:paraId="2DFA5DE8">
        <w:tblPrEx>
          <w:tblCellMar>
            <w:top w:w="0" w:type="dxa"/>
            <w:left w:w="108" w:type="dxa"/>
            <w:bottom w:w="0" w:type="dxa"/>
            <w:right w:w="108" w:type="dxa"/>
          </w:tblCellMar>
        </w:tblPrEx>
        <w:trPr>
          <w:trHeight w:val="402"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1B964FB">
            <w:pPr>
              <w:jc w:val="center"/>
              <w:rPr>
                <w:rFonts w:ascii="宋体" w:hAnsi="宋体" w:eastAsia="宋体" w:cs="宋体"/>
                <w:kern w:val="0"/>
                <w:sz w:val="24"/>
                <w:szCs w:val="24"/>
              </w:rPr>
            </w:pPr>
            <w:r>
              <w:rPr>
                <w:rFonts w:ascii="宋体" w:hAnsi="宋体" w:eastAsia="宋体" w:cs="宋体"/>
                <w:kern w:val="0"/>
                <w:sz w:val="24"/>
                <w:szCs w:val="24"/>
              </w:rPr>
              <w:t>序号</w:t>
            </w:r>
          </w:p>
        </w:tc>
        <w:tc>
          <w:tcPr>
            <w:tcW w:w="1072" w:type="pct"/>
            <w:tcBorders>
              <w:top w:val="single" w:color="auto" w:sz="4" w:space="0"/>
              <w:left w:val="nil"/>
              <w:bottom w:val="single" w:color="auto" w:sz="4" w:space="0"/>
              <w:right w:val="single" w:color="auto" w:sz="4" w:space="0"/>
            </w:tcBorders>
            <w:vAlign w:val="center"/>
          </w:tcPr>
          <w:p w14:paraId="4709930F">
            <w:pPr>
              <w:jc w:val="center"/>
              <w:rPr>
                <w:rFonts w:ascii="宋体" w:hAnsi="宋体" w:eastAsia="宋体" w:cs="宋体"/>
                <w:kern w:val="0"/>
                <w:sz w:val="24"/>
                <w:szCs w:val="24"/>
              </w:rPr>
            </w:pPr>
            <w:r>
              <w:rPr>
                <w:rFonts w:ascii="宋体" w:hAnsi="宋体" w:eastAsia="宋体" w:cs="宋体"/>
                <w:kern w:val="0"/>
                <w:sz w:val="24"/>
                <w:szCs w:val="24"/>
              </w:rPr>
              <w:t>部位</w:t>
            </w:r>
          </w:p>
        </w:tc>
        <w:tc>
          <w:tcPr>
            <w:tcW w:w="3520" w:type="pct"/>
            <w:tcBorders>
              <w:top w:val="single" w:color="auto" w:sz="4" w:space="0"/>
              <w:left w:val="nil"/>
              <w:bottom w:val="single" w:color="auto" w:sz="4" w:space="0"/>
              <w:right w:val="single" w:color="auto" w:sz="4" w:space="0"/>
            </w:tcBorders>
            <w:vAlign w:val="center"/>
          </w:tcPr>
          <w:p w14:paraId="066B03EB">
            <w:pPr>
              <w:jc w:val="center"/>
              <w:rPr>
                <w:rFonts w:ascii="宋体" w:hAnsi="宋体" w:eastAsia="宋体" w:cs="宋体"/>
                <w:kern w:val="0"/>
                <w:sz w:val="24"/>
                <w:szCs w:val="24"/>
              </w:rPr>
            </w:pPr>
            <w:r>
              <w:rPr>
                <w:rFonts w:ascii="宋体" w:hAnsi="宋体" w:eastAsia="宋体" w:cs="宋体"/>
                <w:kern w:val="0"/>
                <w:sz w:val="24"/>
                <w:szCs w:val="24"/>
              </w:rPr>
              <w:t>装潢要求</w:t>
            </w:r>
          </w:p>
        </w:tc>
      </w:tr>
      <w:tr w14:paraId="3D915F83">
        <w:tblPrEx>
          <w:tblCellMar>
            <w:top w:w="0" w:type="dxa"/>
            <w:left w:w="108" w:type="dxa"/>
            <w:bottom w:w="0" w:type="dxa"/>
            <w:right w:w="108" w:type="dxa"/>
          </w:tblCellMar>
        </w:tblPrEx>
        <w:trPr>
          <w:trHeight w:val="700" w:hRule="atLeast"/>
          <w:jc w:val="center"/>
        </w:trPr>
        <w:tc>
          <w:tcPr>
            <w:tcW w:w="406" w:type="pct"/>
            <w:tcBorders>
              <w:top w:val="nil"/>
              <w:left w:val="single" w:color="auto" w:sz="4" w:space="0"/>
              <w:bottom w:val="single" w:color="auto" w:sz="4" w:space="0"/>
              <w:right w:val="single" w:color="auto" w:sz="4" w:space="0"/>
            </w:tcBorders>
            <w:vAlign w:val="center"/>
          </w:tcPr>
          <w:p w14:paraId="60F4D9C7">
            <w:pPr>
              <w:jc w:val="center"/>
              <w:rPr>
                <w:rFonts w:ascii="宋体" w:hAnsi="宋体" w:eastAsia="宋体" w:cs="宋体"/>
                <w:kern w:val="0"/>
                <w:sz w:val="24"/>
                <w:szCs w:val="24"/>
              </w:rPr>
            </w:pPr>
            <w:r>
              <w:rPr>
                <w:rFonts w:ascii="宋体" w:hAnsi="宋体" w:eastAsia="宋体" w:cs="宋体"/>
                <w:kern w:val="0"/>
                <w:sz w:val="24"/>
                <w:szCs w:val="24"/>
              </w:rPr>
              <w:t>1</w:t>
            </w:r>
          </w:p>
        </w:tc>
        <w:tc>
          <w:tcPr>
            <w:tcW w:w="1072" w:type="pct"/>
            <w:tcBorders>
              <w:top w:val="nil"/>
              <w:left w:val="nil"/>
              <w:bottom w:val="single" w:color="auto" w:sz="4" w:space="0"/>
              <w:right w:val="single" w:color="auto" w:sz="4" w:space="0"/>
            </w:tcBorders>
            <w:vAlign w:val="center"/>
          </w:tcPr>
          <w:p w14:paraId="413898EF">
            <w:pPr>
              <w:jc w:val="center"/>
              <w:rPr>
                <w:rFonts w:ascii="宋体" w:hAnsi="宋体" w:eastAsia="宋体" w:cs="宋体"/>
                <w:kern w:val="0"/>
                <w:sz w:val="24"/>
                <w:szCs w:val="24"/>
              </w:rPr>
            </w:pPr>
            <w:r>
              <w:rPr>
                <w:rFonts w:ascii="宋体" w:hAnsi="宋体" w:eastAsia="宋体" w:cs="宋体"/>
                <w:kern w:val="0"/>
                <w:sz w:val="24"/>
                <w:szCs w:val="24"/>
              </w:rPr>
              <w:t>轿厢壁</w:t>
            </w:r>
          </w:p>
        </w:tc>
        <w:tc>
          <w:tcPr>
            <w:tcW w:w="3520" w:type="pct"/>
            <w:tcBorders>
              <w:top w:val="nil"/>
              <w:left w:val="nil"/>
              <w:bottom w:val="single" w:color="auto" w:sz="4" w:space="0"/>
              <w:right w:val="single" w:color="auto" w:sz="4" w:space="0"/>
            </w:tcBorders>
            <w:vAlign w:val="center"/>
          </w:tcPr>
          <w:p w14:paraId="74B14427">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高雅、明快、简洁，采用发纹不锈钢材质，轿厢壁要求厚度大于等于1.2mm。</w:t>
            </w:r>
          </w:p>
        </w:tc>
      </w:tr>
      <w:tr w14:paraId="7A1CFDCB">
        <w:tblPrEx>
          <w:tblCellMar>
            <w:top w:w="0" w:type="dxa"/>
            <w:left w:w="108" w:type="dxa"/>
            <w:bottom w:w="0" w:type="dxa"/>
            <w:right w:w="108" w:type="dxa"/>
          </w:tblCellMar>
        </w:tblPrEx>
        <w:trPr>
          <w:trHeight w:val="90" w:hRule="atLeast"/>
          <w:jc w:val="center"/>
        </w:trPr>
        <w:tc>
          <w:tcPr>
            <w:tcW w:w="406" w:type="pct"/>
            <w:tcBorders>
              <w:top w:val="nil"/>
              <w:left w:val="single" w:color="auto" w:sz="4" w:space="0"/>
              <w:bottom w:val="single" w:color="auto" w:sz="4" w:space="0"/>
              <w:right w:val="single" w:color="auto" w:sz="4" w:space="0"/>
            </w:tcBorders>
            <w:vAlign w:val="center"/>
          </w:tcPr>
          <w:p w14:paraId="127266F0">
            <w:pPr>
              <w:jc w:val="center"/>
              <w:rPr>
                <w:rFonts w:ascii="宋体" w:hAnsi="宋体" w:eastAsia="宋体" w:cs="宋体"/>
                <w:kern w:val="0"/>
                <w:sz w:val="24"/>
                <w:szCs w:val="24"/>
              </w:rPr>
            </w:pPr>
            <w:r>
              <w:rPr>
                <w:rFonts w:ascii="宋体" w:hAnsi="宋体" w:eastAsia="宋体" w:cs="宋体"/>
                <w:kern w:val="0"/>
                <w:sz w:val="24"/>
                <w:szCs w:val="24"/>
              </w:rPr>
              <w:t>2</w:t>
            </w:r>
          </w:p>
        </w:tc>
        <w:tc>
          <w:tcPr>
            <w:tcW w:w="1072" w:type="pct"/>
            <w:tcBorders>
              <w:top w:val="nil"/>
              <w:left w:val="nil"/>
              <w:bottom w:val="single" w:color="auto" w:sz="4" w:space="0"/>
              <w:right w:val="single" w:color="auto" w:sz="4" w:space="0"/>
            </w:tcBorders>
            <w:vAlign w:val="center"/>
          </w:tcPr>
          <w:p w14:paraId="798E57AE">
            <w:pPr>
              <w:jc w:val="center"/>
              <w:rPr>
                <w:rFonts w:ascii="宋体" w:hAnsi="宋体" w:eastAsia="宋体" w:cs="宋体"/>
                <w:kern w:val="0"/>
                <w:sz w:val="24"/>
                <w:szCs w:val="24"/>
              </w:rPr>
            </w:pPr>
            <w:r>
              <w:rPr>
                <w:rFonts w:ascii="宋体" w:hAnsi="宋体" w:eastAsia="宋体" w:cs="宋体"/>
                <w:kern w:val="0"/>
                <w:sz w:val="24"/>
                <w:szCs w:val="24"/>
              </w:rPr>
              <w:t>轿厢地面</w:t>
            </w:r>
          </w:p>
        </w:tc>
        <w:tc>
          <w:tcPr>
            <w:tcW w:w="3520" w:type="pct"/>
            <w:tcBorders>
              <w:top w:val="nil"/>
              <w:left w:val="nil"/>
              <w:bottom w:val="single" w:color="auto" w:sz="4" w:space="0"/>
              <w:right w:val="single" w:color="auto" w:sz="4" w:space="0"/>
            </w:tcBorders>
            <w:vAlign w:val="center"/>
          </w:tcPr>
          <w:p w14:paraId="460F5489">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美观、耐用，采用耐磨PVC材质或木地板。</w:t>
            </w:r>
          </w:p>
        </w:tc>
      </w:tr>
      <w:tr w14:paraId="255802B5">
        <w:tblPrEx>
          <w:tblCellMar>
            <w:top w:w="0" w:type="dxa"/>
            <w:left w:w="108" w:type="dxa"/>
            <w:bottom w:w="0" w:type="dxa"/>
            <w:right w:w="108" w:type="dxa"/>
          </w:tblCellMar>
        </w:tblPrEx>
        <w:trPr>
          <w:trHeight w:val="566" w:hRule="atLeast"/>
          <w:jc w:val="center"/>
        </w:trPr>
        <w:tc>
          <w:tcPr>
            <w:tcW w:w="406" w:type="pct"/>
            <w:tcBorders>
              <w:top w:val="nil"/>
              <w:left w:val="single" w:color="auto" w:sz="4" w:space="0"/>
              <w:bottom w:val="single" w:color="auto" w:sz="4" w:space="0"/>
              <w:right w:val="single" w:color="auto" w:sz="4" w:space="0"/>
            </w:tcBorders>
            <w:vAlign w:val="center"/>
          </w:tcPr>
          <w:p w14:paraId="0FC3A1AD">
            <w:pPr>
              <w:jc w:val="center"/>
              <w:rPr>
                <w:rFonts w:ascii="宋体" w:hAnsi="宋体" w:eastAsia="宋体" w:cs="宋体"/>
                <w:kern w:val="0"/>
                <w:sz w:val="24"/>
                <w:szCs w:val="24"/>
              </w:rPr>
            </w:pPr>
            <w:r>
              <w:rPr>
                <w:rFonts w:ascii="宋体" w:hAnsi="宋体" w:eastAsia="宋体" w:cs="宋体"/>
                <w:kern w:val="0"/>
                <w:sz w:val="24"/>
                <w:szCs w:val="24"/>
              </w:rPr>
              <w:t>3</w:t>
            </w:r>
          </w:p>
        </w:tc>
        <w:tc>
          <w:tcPr>
            <w:tcW w:w="1072" w:type="pct"/>
            <w:tcBorders>
              <w:top w:val="nil"/>
              <w:left w:val="nil"/>
              <w:bottom w:val="single" w:color="auto" w:sz="4" w:space="0"/>
              <w:right w:val="single" w:color="auto" w:sz="4" w:space="0"/>
            </w:tcBorders>
            <w:vAlign w:val="center"/>
          </w:tcPr>
          <w:p w14:paraId="369B0C44">
            <w:pPr>
              <w:jc w:val="center"/>
              <w:rPr>
                <w:rFonts w:ascii="宋体" w:hAnsi="宋体" w:eastAsia="宋体" w:cs="宋体"/>
                <w:kern w:val="0"/>
                <w:sz w:val="24"/>
                <w:szCs w:val="24"/>
              </w:rPr>
            </w:pPr>
            <w:r>
              <w:rPr>
                <w:rFonts w:ascii="宋体" w:hAnsi="宋体" w:eastAsia="宋体" w:cs="宋体"/>
                <w:kern w:val="0"/>
                <w:sz w:val="24"/>
                <w:szCs w:val="24"/>
              </w:rPr>
              <w:t>轿厢顶</w:t>
            </w:r>
          </w:p>
        </w:tc>
        <w:tc>
          <w:tcPr>
            <w:tcW w:w="3520" w:type="pct"/>
            <w:tcBorders>
              <w:top w:val="nil"/>
              <w:left w:val="nil"/>
              <w:bottom w:val="single" w:color="auto" w:sz="4" w:space="0"/>
              <w:right w:val="single" w:color="auto" w:sz="4" w:space="0"/>
            </w:tcBorders>
            <w:vAlign w:val="center"/>
          </w:tcPr>
          <w:p w14:paraId="34BA3534">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顶部含LED照明，舒适亮丽精致典雅。</w:t>
            </w:r>
          </w:p>
        </w:tc>
      </w:tr>
      <w:tr w14:paraId="63726738">
        <w:tblPrEx>
          <w:tblCellMar>
            <w:top w:w="0" w:type="dxa"/>
            <w:left w:w="108" w:type="dxa"/>
            <w:bottom w:w="0" w:type="dxa"/>
            <w:right w:w="108" w:type="dxa"/>
          </w:tblCellMar>
        </w:tblPrEx>
        <w:trPr>
          <w:trHeight w:val="402" w:hRule="atLeast"/>
          <w:jc w:val="center"/>
        </w:trPr>
        <w:tc>
          <w:tcPr>
            <w:tcW w:w="406" w:type="pct"/>
            <w:tcBorders>
              <w:top w:val="nil"/>
              <w:left w:val="single" w:color="auto" w:sz="4" w:space="0"/>
              <w:bottom w:val="single" w:color="auto" w:sz="4" w:space="0"/>
              <w:right w:val="single" w:color="auto" w:sz="4" w:space="0"/>
            </w:tcBorders>
            <w:vAlign w:val="center"/>
          </w:tcPr>
          <w:p w14:paraId="72173E56">
            <w:pPr>
              <w:jc w:val="center"/>
              <w:rPr>
                <w:rFonts w:ascii="宋体" w:hAnsi="宋体" w:eastAsia="宋体" w:cs="宋体"/>
                <w:kern w:val="0"/>
                <w:sz w:val="24"/>
                <w:szCs w:val="24"/>
              </w:rPr>
            </w:pPr>
            <w:r>
              <w:rPr>
                <w:rFonts w:ascii="宋体" w:hAnsi="宋体" w:eastAsia="宋体" w:cs="宋体"/>
                <w:kern w:val="0"/>
                <w:sz w:val="24"/>
                <w:szCs w:val="24"/>
              </w:rPr>
              <w:t>4</w:t>
            </w:r>
          </w:p>
        </w:tc>
        <w:tc>
          <w:tcPr>
            <w:tcW w:w="1072" w:type="pct"/>
            <w:tcBorders>
              <w:top w:val="nil"/>
              <w:left w:val="nil"/>
              <w:bottom w:val="single" w:color="auto" w:sz="4" w:space="0"/>
              <w:right w:val="single" w:color="auto" w:sz="4" w:space="0"/>
            </w:tcBorders>
            <w:vAlign w:val="center"/>
          </w:tcPr>
          <w:p w14:paraId="709D7BA9">
            <w:pPr>
              <w:jc w:val="center"/>
              <w:rPr>
                <w:rFonts w:ascii="宋体" w:hAnsi="宋体" w:eastAsia="宋体" w:cs="宋体"/>
                <w:kern w:val="0"/>
                <w:sz w:val="24"/>
                <w:szCs w:val="24"/>
              </w:rPr>
            </w:pPr>
            <w:r>
              <w:rPr>
                <w:rFonts w:ascii="宋体" w:hAnsi="宋体" w:eastAsia="宋体" w:cs="宋体"/>
                <w:kern w:val="0"/>
                <w:sz w:val="24"/>
                <w:szCs w:val="24"/>
              </w:rPr>
              <w:t>轿门</w:t>
            </w:r>
          </w:p>
        </w:tc>
        <w:tc>
          <w:tcPr>
            <w:tcW w:w="3520" w:type="pct"/>
            <w:tcBorders>
              <w:top w:val="nil"/>
              <w:left w:val="nil"/>
              <w:bottom w:val="single" w:color="auto" w:sz="4" w:space="0"/>
              <w:right w:val="single" w:color="auto" w:sz="4" w:space="0"/>
            </w:tcBorders>
            <w:vAlign w:val="center"/>
          </w:tcPr>
          <w:p w14:paraId="6C8E8BB8">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中分式开门，灵活自如，安静快捷，采用发纹不锈钢面板。</w:t>
            </w:r>
          </w:p>
        </w:tc>
      </w:tr>
      <w:tr w14:paraId="29AB6577">
        <w:tblPrEx>
          <w:tblCellMar>
            <w:top w:w="0" w:type="dxa"/>
            <w:left w:w="108" w:type="dxa"/>
            <w:bottom w:w="0" w:type="dxa"/>
            <w:right w:w="108" w:type="dxa"/>
          </w:tblCellMar>
        </w:tblPrEx>
        <w:trPr>
          <w:trHeight w:val="1050" w:hRule="atLeast"/>
          <w:jc w:val="center"/>
        </w:trPr>
        <w:tc>
          <w:tcPr>
            <w:tcW w:w="406" w:type="pct"/>
            <w:tcBorders>
              <w:top w:val="nil"/>
              <w:left w:val="single" w:color="auto" w:sz="4" w:space="0"/>
              <w:bottom w:val="single" w:color="auto" w:sz="4" w:space="0"/>
              <w:right w:val="single" w:color="auto" w:sz="4" w:space="0"/>
            </w:tcBorders>
            <w:vAlign w:val="center"/>
          </w:tcPr>
          <w:p w14:paraId="4BDA8785">
            <w:pPr>
              <w:jc w:val="center"/>
              <w:rPr>
                <w:rFonts w:ascii="宋体" w:hAnsi="宋体" w:eastAsia="宋体" w:cs="宋体"/>
                <w:kern w:val="0"/>
                <w:sz w:val="24"/>
                <w:szCs w:val="24"/>
              </w:rPr>
            </w:pPr>
            <w:r>
              <w:rPr>
                <w:rFonts w:ascii="宋体" w:hAnsi="宋体" w:eastAsia="宋体" w:cs="宋体"/>
                <w:kern w:val="0"/>
                <w:sz w:val="24"/>
                <w:szCs w:val="24"/>
              </w:rPr>
              <w:t>5</w:t>
            </w:r>
          </w:p>
        </w:tc>
        <w:tc>
          <w:tcPr>
            <w:tcW w:w="1072" w:type="pct"/>
            <w:tcBorders>
              <w:top w:val="nil"/>
              <w:left w:val="nil"/>
              <w:bottom w:val="single" w:color="auto" w:sz="4" w:space="0"/>
              <w:right w:val="single" w:color="auto" w:sz="4" w:space="0"/>
            </w:tcBorders>
            <w:vAlign w:val="center"/>
          </w:tcPr>
          <w:p w14:paraId="3B524B43">
            <w:pPr>
              <w:jc w:val="center"/>
              <w:rPr>
                <w:rFonts w:ascii="宋体" w:hAnsi="宋体" w:eastAsia="宋体" w:cs="宋体"/>
                <w:kern w:val="0"/>
                <w:sz w:val="24"/>
                <w:szCs w:val="24"/>
              </w:rPr>
            </w:pPr>
            <w:r>
              <w:rPr>
                <w:rFonts w:ascii="宋体" w:hAnsi="宋体" w:eastAsia="宋体" w:cs="宋体"/>
                <w:kern w:val="0"/>
                <w:sz w:val="24"/>
                <w:szCs w:val="24"/>
              </w:rPr>
              <w:t>操纵盘</w:t>
            </w:r>
          </w:p>
        </w:tc>
        <w:tc>
          <w:tcPr>
            <w:tcW w:w="3520" w:type="pct"/>
            <w:tcBorders>
              <w:top w:val="nil"/>
              <w:left w:val="nil"/>
              <w:bottom w:val="single" w:color="auto" w:sz="4" w:space="0"/>
              <w:right w:val="single" w:color="auto" w:sz="4" w:space="0"/>
            </w:tcBorders>
            <w:vAlign w:val="center"/>
          </w:tcPr>
          <w:p w14:paraId="0F89D75B">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造型流畅，反应迅速，面板采用发纹不锈钢装设在轿门一侧，操纵盘上有楼层显示装有微动发光二级管照明的盲文按钮，方向显示。</w:t>
            </w:r>
          </w:p>
        </w:tc>
      </w:tr>
      <w:tr w14:paraId="044CCD65">
        <w:tblPrEx>
          <w:tblCellMar>
            <w:top w:w="0" w:type="dxa"/>
            <w:left w:w="108" w:type="dxa"/>
            <w:bottom w:w="0" w:type="dxa"/>
            <w:right w:w="108" w:type="dxa"/>
          </w:tblCellMar>
        </w:tblPrEx>
        <w:trPr>
          <w:trHeight w:val="838" w:hRule="atLeast"/>
          <w:jc w:val="center"/>
        </w:trPr>
        <w:tc>
          <w:tcPr>
            <w:tcW w:w="406" w:type="pct"/>
            <w:tcBorders>
              <w:top w:val="nil"/>
              <w:left w:val="single" w:color="auto" w:sz="4" w:space="0"/>
              <w:bottom w:val="single" w:color="auto" w:sz="4" w:space="0"/>
              <w:right w:val="single" w:color="auto" w:sz="4" w:space="0"/>
            </w:tcBorders>
            <w:vAlign w:val="center"/>
          </w:tcPr>
          <w:p w14:paraId="7702F396">
            <w:pPr>
              <w:jc w:val="center"/>
              <w:rPr>
                <w:rFonts w:ascii="宋体" w:hAnsi="宋体" w:eastAsia="宋体" w:cs="宋体"/>
                <w:kern w:val="0"/>
                <w:sz w:val="24"/>
                <w:szCs w:val="24"/>
              </w:rPr>
            </w:pPr>
            <w:r>
              <w:rPr>
                <w:rFonts w:ascii="宋体" w:hAnsi="宋体" w:eastAsia="宋体" w:cs="宋体"/>
                <w:kern w:val="0"/>
                <w:sz w:val="24"/>
                <w:szCs w:val="24"/>
              </w:rPr>
              <w:t>6</w:t>
            </w:r>
          </w:p>
        </w:tc>
        <w:tc>
          <w:tcPr>
            <w:tcW w:w="1072" w:type="pct"/>
            <w:tcBorders>
              <w:top w:val="nil"/>
              <w:left w:val="nil"/>
              <w:bottom w:val="single" w:color="auto" w:sz="4" w:space="0"/>
              <w:right w:val="single" w:color="auto" w:sz="4" w:space="0"/>
            </w:tcBorders>
            <w:vAlign w:val="center"/>
          </w:tcPr>
          <w:p w14:paraId="346013B1">
            <w:pPr>
              <w:jc w:val="center"/>
              <w:rPr>
                <w:rFonts w:ascii="宋体" w:hAnsi="宋体" w:eastAsia="宋体" w:cs="宋体"/>
                <w:kern w:val="0"/>
                <w:sz w:val="24"/>
                <w:szCs w:val="24"/>
              </w:rPr>
            </w:pPr>
            <w:r>
              <w:rPr>
                <w:rFonts w:ascii="宋体" w:hAnsi="宋体" w:eastAsia="宋体" w:cs="宋体"/>
                <w:kern w:val="0"/>
                <w:sz w:val="24"/>
                <w:szCs w:val="24"/>
              </w:rPr>
              <w:t>内层站显示器</w:t>
            </w:r>
          </w:p>
        </w:tc>
        <w:tc>
          <w:tcPr>
            <w:tcW w:w="3520" w:type="pct"/>
            <w:tcBorders>
              <w:top w:val="nil"/>
              <w:left w:val="nil"/>
              <w:bottom w:val="single" w:color="auto" w:sz="4" w:space="0"/>
              <w:right w:val="single" w:color="auto" w:sz="4" w:space="0"/>
            </w:tcBorders>
            <w:vAlign w:val="center"/>
          </w:tcPr>
          <w:p w14:paraId="687D2146">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采用</w:t>
            </w:r>
            <w:r>
              <w:rPr>
                <w:rFonts w:ascii="宋体" w:hAnsi="宋体" w:eastAsia="宋体" w:cs="宋体"/>
                <w:kern w:val="0"/>
                <w:sz w:val="24"/>
                <w:szCs w:val="24"/>
                <w:lang w:val="en-US" w:eastAsia="zh-CN"/>
              </w:rPr>
              <w:t>段码</w:t>
            </w:r>
            <w:r>
              <w:rPr>
                <w:rFonts w:ascii="宋体" w:hAnsi="宋体" w:eastAsia="宋体" w:cs="宋体"/>
                <w:kern w:val="0"/>
                <w:sz w:val="24"/>
                <w:szCs w:val="24"/>
                <w:lang w:eastAsia="zh-CN"/>
              </w:rPr>
              <w:t>显示.要求造型流畅，反应迅速，面板采用发纹不锈钢装设在轿门侧面。</w:t>
            </w:r>
          </w:p>
        </w:tc>
      </w:tr>
      <w:tr w14:paraId="757BDBB0">
        <w:tblPrEx>
          <w:tblCellMar>
            <w:top w:w="0" w:type="dxa"/>
            <w:left w:w="108" w:type="dxa"/>
            <w:bottom w:w="0" w:type="dxa"/>
            <w:right w:w="108" w:type="dxa"/>
          </w:tblCellMar>
        </w:tblPrEx>
        <w:trPr>
          <w:trHeight w:val="566" w:hRule="atLeast"/>
          <w:jc w:val="center"/>
        </w:trPr>
        <w:tc>
          <w:tcPr>
            <w:tcW w:w="406" w:type="pct"/>
            <w:tcBorders>
              <w:top w:val="nil"/>
              <w:left w:val="single" w:color="auto" w:sz="4" w:space="0"/>
              <w:bottom w:val="single" w:color="auto" w:sz="4" w:space="0"/>
              <w:right w:val="single" w:color="auto" w:sz="4" w:space="0"/>
            </w:tcBorders>
            <w:vAlign w:val="center"/>
          </w:tcPr>
          <w:p w14:paraId="6D2D0968">
            <w:pPr>
              <w:jc w:val="center"/>
              <w:rPr>
                <w:rFonts w:ascii="宋体" w:hAnsi="宋体" w:eastAsia="宋体" w:cs="宋体"/>
                <w:kern w:val="0"/>
                <w:sz w:val="24"/>
                <w:szCs w:val="24"/>
              </w:rPr>
            </w:pPr>
            <w:r>
              <w:rPr>
                <w:rFonts w:ascii="宋体" w:hAnsi="宋体" w:eastAsia="宋体" w:cs="宋体"/>
                <w:kern w:val="0"/>
                <w:sz w:val="24"/>
                <w:szCs w:val="24"/>
              </w:rPr>
              <w:t>7</w:t>
            </w:r>
          </w:p>
        </w:tc>
        <w:tc>
          <w:tcPr>
            <w:tcW w:w="1072" w:type="pct"/>
            <w:tcBorders>
              <w:top w:val="nil"/>
              <w:left w:val="nil"/>
              <w:bottom w:val="single" w:color="auto" w:sz="4" w:space="0"/>
              <w:right w:val="single" w:color="auto" w:sz="4" w:space="0"/>
            </w:tcBorders>
            <w:vAlign w:val="center"/>
          </w:tcPr>
          <w:p w14:paraId="6D4F2CEC">
            <w:pPr>
              <w:jc w:val="center"/>
              <w:rPr>
                <w:rFonts w:ascii="宋体" w:hAnsi="宋体" w:eastAsia="宋体" w:cs="宋体"/>
                <w:kern w:val="0"/>
                <w:sz w:val="24"/>
                <w:szCs w:val="24"/>
              </w:rPr>
            </w:pPr>
            <w:r>
              <w:rPr>
                <w:rFonts w:ascii="宋体" w:hAnsi="宋体" w:eastAsia="宋体" w:cs="宋体"/>
                <w:kern w:val="0"/>
                <w:sz w:val="24"/>
                <w:szCs w:val="24"/>
              </w:rPr>
              <w:t>轿厢门坎</w:t>
            </w:r>
            <w:r>
              <w:rPr>
                <w:rFonts w:ascii="宋体" w:hAnsi="宋体" w:eastAsia="宋体" w:cs="宋体"/>
                <w:kern w:val="0"/>
                <w:sz w:val="24"/>
                <w:szCs w:val="24"/>
                <w:lang w:eastAsia="zh-CN"/>
              </w:rPr>
              <w:t>、</w:t>
            </w:r>
            <w:r>
              <w:rPr>
                <w:rFonts w:ascii="宋体" w:hAnsi="宋体" w:eastAsia="宋体" w:cs="宋体"/>
                <w:kern w:val="0"/>
                <w:sz w:val="24"/>
                <w:szCs w:val="24"/>
              </w:rPr>
              <w:t>厅门坎</w:t>
            </w:r>
          </w:p>
        </w:tc>
        <w:tc>
          <w:tcPr>
            <w:tcW w:w="3520" w:type="pct"/>
            <w:tcBorders>
              <w:top w:val="nil"/>
              <w:left w:val="nil"/>
              <w:bottom w:val="single" w:color="auto" w:sz="4" w:space="0"/>
              <w:right w:val="single" w:color="auto" w:sz="4" w:space="0"/>
            </w:tcBorders>
            <w:vAlign w:val="center"/>
          </w:tcPr>
          <w:p w14:paraId="4CE12F8A">
            <w:pPr>
              <w:jc w:val="left"/>
              <w:rPr>
                <w:rFonts w:ascii="宋体" w:hAnsi="宋体" w:eastAsia="宋体" w:cs="宋体"/>
                <w:kern w:val="0"/>
                <w:sz w:val="24"/>
                <w:szCs w:val="24"/>
              </w:rPr>
            </w:pPr>
            <w:r>
              <w:rPr>
                <w:rFonts w:ascii="宋体" w:hAnsi="宋体" w:eastAsia="宋体" w:cs="宋体"/>
                <w:kern w:val="0"/>
                <w:sz w:val="24"/>
                <w:szCs w:val="24"/>
              </w:rPr>
              <w:t>铝合金</w:t>
            </w:r>
          </w:p>
        </w:tc>
      </w:tr>
      <w:tr w14:paraId="3E824810">
        <w:tblPrEx>
          <w:tblCellMar>
            <w:top w:w="0" w:type="dxa"/>
            <w:left w:w="108" w:type="dxa"/>
            <w:bottom w:w="0" w:type="dxa"/>
            <w:right w:w="108" w:type="dxa"/>
          </w:tblCellMar>
        </w:tblPrEx>
        <w:trPr>
          <w:trHeight w:val="560" w:hRule="atLeast"/>
          <w:jc w:val="center"/>
        </w:trPr>
        <w:tc>
          <w:tcPr>
            <w:tcW w:w="406" w:type="pct"/>
            <w:tcBorders>
              <w:top w:val="nil"/>
              <w:left w:val="single" w:color="auto" w:sz="4" w:space="0"/>
              <w:bottom w:val="single" w:color="auto" w:sz="4" w:space="0"/>
              <w:right w:val="single" w:color="auto" w:sz="4" w:space="0"/>
            </w:tcBorders>
            <w:vAlign w:val="center"/>
          </w:tcPr>
          <w:p w14:paraId="74A7CE39">
            <w:pPr>
              <w:jc w:val="center"/>
              <w:rPr>
                <w:rFonts w:ascii="宋体" w:hAnsi="宋体" w:eastAsia="宋体" w:cs="宋体"/>
                <w:kern w:val="0"/>
                <w:sz w:val="24"/>
                <w:szCs w:val="24"/>
              </w:rPr>
            </w:pPr>
            <w:r>
              <w:rPr>
                <w:rFonts w:ascii="宋体" w:hAnsi="宋体" w:eastAsia="宋体" w:cs="宋体"/>
                <w:kern w:val="0"/>
                <w:sz w:val="24"/>
                <w:szCs w:val="24"/>
              </w:rPr>
              <w:t>8</w:t>
            </w:r>
          </w:p>
        </w:tc>
        <w:tc>
          <w:tcPr>
            <w:tcW w:w="1072" w:type="pct"/>
            <w:tcBorders>
              <w:top w:val="nil"/>
              <w:left w:val="nil"/>
              <w:bottom w:val="single" w:color="auto" w:sz="4" w:space="0"/>
              <w:right w:val="single" w:color="auto" w:sz="4" w:space="0"/>
            </w:tcBorders>
            <w:vAlign w:val="center"/>
          </w:tcPr>
          <w:p w14:paraId="53C32D5D">
            <w:pPr>
              <w:jc w:val="center"/>
              <w:rPr>
                <w:rFonts w:ascii="宋体" w:hAnsi="宋体" w:eastAsia="宋体" w:cs="宋体"/>
                <w:kern w:val="0"/>
                <w:sz w:val="24"/>
                <w:szCs w:val="24"/>
              </w:rPr>
            </w:pPr>
            <w:r>
              <w:rPr>
                <w:rFonts w:ascii="宋体" w:hAnsi="宋体" w:eastAsia="宋体" w:cs="宋体"/>
                <w:kern w:val="0"/>
                <w:sz w:val="24"/>
                <w:szCs w:val="24"/>
              </w:rPr>
              <w:t>层门（厅门）门套</w:t>
            </w:r>
          </w:p>
        </w:tc>
        <w:tc>
          <w:tcPr>
            <w:tcW w:w="3520" w:type="pct"/>
            <w:tcBorders>
              <w:top w:val="nil"/>
              <w:left w:val="nil"/>
              <w:bottom w:val="single" w:color="auto" w:sz="4" w:space="0"/>
              <w:right w:val="single" w:color="auto" w:sz="4" w:space="0"/>
            </w:tcBorders>
            <w:vAlign w:val="center"/>
          </w:tcPr>
          <w:p w14:paraId="7590DDDE">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中分式开门，灵活自如，安静快捷，所有层为发纹不锈钢板小门套。</w:t>
            </w:r>
          </w:p>
        </w:tc>
      </w:tr>
      <w:tr w14:paraId="67F111F1">
        <w:tblPrEx>
          <w:tblCellMar>
            <w:top w:w="0" w:type="dxa"/>
            <w:left w:w="108" w:type="dxa"/>
            <w:bottom w:w="0" w:type="dxa"/>
            <w:right w:w="108" w:type="dxa"/>
          </w:tblCellMar>
        </w:tblPrEx>
        <w:trPr>
          <w:trHeight w:val="710" w:hRule="atLeast"/>
          <w:jc w:val="center"/>
        </w:trPr>
        <w:tc>
          <w:tcPr>
            <w:tcW w:w="406" w:type="pct"/>
            <w:tcBorders>
              <w:top w:val="nil"/>
              <w:left w:val="single" w:color="auto" w:sz="4" w:space="0"/>
              <w:bottom w:val="single" w:color="auto" w:sz="4" w:space="0"/>
              <w:right w:val="single" w:color="auto" w:sz="4" w:space="0"/>
            </w:tcBorders>
            <w:vAlign w:val="center"/>
          </w:tcPr>
          <w:p w14:paraId="2DA24532">
            <w:pPr>
              <w:jc w:val="center"/>
              <w:rPr>
                <w:rFonts w:ascii="宋体" w:hAnsi="宋体" w:eastAsia="宋体" w:cs="宋体"/>
                <w:kern w:val="0"/>
                <w:sz w:val="24"/>
                <w:szCs w:val="24"/>
              </w:rPr>
            </w:pPr>
            <w:r>
              <w:rPr>
                <w:rFonts w:ascii="宋体" w:hAnsi="宋体" w:eastAsia="宋体" w:cs="宋体"/>
                <w:kern w:val="0"/>
                <w:sz w:val="24"/>
                <w:szCs w:val="24"/>
              </w:rPr>
              <w:t>9</w:t>
            </w:r>
          </w:p>
        </w:tc>
        <w:tc>
          <w:tcPr>
            <w:tcW w:w="1072" w:type="pct"/>
            <w:tcBorders>
              <w:top w:val="nil"/>
              <w:left w:val="nil"/>
              <w:bottom w:val="single" w:color="auto" w:sz="4" w:space="0"/>
              <w:right w:val="single" w:color="auto" w:sz="4" w:space="0"/>
            </w:tcBorders>
            <w:vAlign w:val="center"/>
          </w:tcPr>
          <w:p w14:paraId="237AF1A4">
            <w:pPr>
              <w:jc w:val="center"/>
              <w:rPr>
                <w:rFonts w:ascii="宋体" w:hAnsi="宋体" w:eastAsia="宋体" w:cs="宋体"/>
                <w:kern w:val="0"/>
                <w:sz w:val="24"/>
                <w:szCs w:val="24"/>
                <w:lang w:eastAsia="zh-CN"/>
              </w:rPr>
            </w:pPr>
            <w:r>
              <w:rPr>
                <w:rFonts w:ascii="宋体" w:hAnsi="宋体" w:eastAsia="宋体" w:cs="宋体"/>
                <w:kern w:val="0"/>
                <w:sz w:val="24"/>
                <w:szCs w:val="24"/>
                <w:lang w:eastAsia="zh-CN"/>
              </w:rPr>
              <w:t>厅外呼梯盘及楼层显示</w:t>
            </w:r>
          </w:p>
        </w:tc>
        <w:tc>
          <w:tcPr>
            <w:tcW w:w="3520" w:type="pct"/>
            <w:tcBorders>
              <w:top w:val="nil"/>
              <w:left w:val="nil"/>
              <w:bottom w:val="single" w:color="auto" w:sz="4" w:space="0"/>
              <w:right w:val="single" w:color="auto" w:sz="4" w:space="0"/>
            </w:tcBorders>
            <w:vAlign w:val="center"/>
          </w:tcPr>
          <w:p w14:paraId="75329E75">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厅外楼层呼梯盘与门厅楼层显示器装在同一面板上，装有微动发光二级管照明的盲文按钮，每层楼层显示采用液晶显示器</w:t>
            </w:r>
            <w:r>
              <w:rPr>
                <w:rFonts w:ascii="宋体" w:hAnsi="宋体" w:eastAsia="宋体" w:cs="宋体"/>
                <w:b/>
                <w:kern w:val="0"/>
                <w:sz w:val="24"/>
                <w:szCs w:val="24"/>
                <w:lang w:eastAsia="zh-CN"/>
              </w:rPr>
              <w:t>。</w:t>
            </w:r>
          </w:p>
        </w:tc>
      </w:tr>
      <w:tr w14:paraId="7517CA33">
        <w:tblPrEx>
          <w:tblCellMar>
            <w:top w:w="0" w:type="dxa"/>
            <w:left w:w="108" w:type="dxa"/>
            <w:bottom w:w="0" w:type="dxa"/>
            <w:right w:w="108" w:type="dxa"/>
          </w:tblCellMar>
        </w:tblPrEx>
        <w:trPr>
          <w:trHeight w:val="551" w:hRule="atLeast"/>
          <w:jc w:val="center"/>
        </w:trPr>
        <w:tc>
          <w:tcPr>
            <w:tcW w:w="406" w:type="pct"/>
            <w:tcBorders>
              <w:top w:val="nil"/>
              <w:left w:val="single" w:color="auto" w:sz="4" w:space="0"/>
              <w:bottom w:val="single" w:color="auto" w:sz="4" w:space="0"/>
              <w:right w:val="single" w:color="auto" w:sz="4" w:space="0"/>
            </w:tcBorders>
            <w:vAlign w:val="center"/>
          </w:tcPr>
          <w:p w14:paraId="1A0A9CDE">
            <w:pPr>
              <w:jc w:val="center"/>
              <w:rPr>
                <w:rFonts w:ascii="宋体" w:hAnsi="宋体" w:eastAsia="宋体" w:cs="宋体"/>
                <w:kern w:val="0"/>
                <w:sz w:val="24"/>
                <w:szCs w:val="24"/>
              </w:rPr>
            </w:pPr>
            <w:r>
              <w:rPr>
                <w:rFonts w:ascii="宋体" w:hAnsi="宋体" w:eastAsia="宋体" w:cs="宋体"/>
                <w:kern w:val="0"/>
                <w:sz w:val="24"/>
                <w:szCs w:val="24"/>
              </w:rPr>
              <w:t>10</w:t>
            </w:r>
          </w:p>
        </w:tc>
        <w:tc>
          <w:tcPr>
            <w:tcW w:w="1072" w:type="pct"/>
            <w:tcBorders>
              <w:top w:val="nil"/>
              <w:left w:val="nil"/>
              <w:bottom w:val="single" w:color="auto" w:sz="4" w:space="0"/>
              <w:right w:val="single" w:color="auto" w:sz="4" w:space="0"/>
            </w:tcBorders>
            <w:vAlign w:val="center"/>
          </w:tcPr>
          <w:p w14:paraId="7E075E05">
            <w:pPr>
              <w:jc w:val="center"/>
              <w:rPr>
                <w:rFonts w:ascii="宋体" w:hAnsi="宋体" w:eastAsia="宋体" w:cs="宋体"/>
                <w:kern w:val="0"/>
                <w:sz w:val="24"/>
                <w:szCs w:val="24"/>
              </w:rPr>
            </w:pPr>
            <w:r>
              <w:rPr>
                <w:rFonts w:ascii="宋体" w:hAnsi="宋体" w:eastAsia="宋体" w:cs="宋体"/>
                <w:kern w:val="0"/>
                <w:sz w:val="24"/>
                <w:szCs w:val="24"/>
              </w:rPr>
              <w:t>基站锁</w:t>
            </w:r>
          </w:p>
        </w:tc>
        <w:tc>
          <w:tcPr>
            <w:tcW w:w="3520" w:type="pct"/>
            <w:tcBorders>
              <w:top w:val="nil"/>
              <w:left w:val="nil"/>
              <w:bottom w:val="single" w:color="auto" w:sz="4" w:space="0"/>
              <w:right w:val="single" w:color="auto" w:sz="4" w:space="0"/>
            </w:tcBorders>
            <w:vAlign w:val="center"/>
          </w:tcPr>
          <w:p w14:paraId="679276FB">
            <w:pPr>
              <w:jc w:val="left"/>
              <w:rPr>
                <w:rFonts w:ascii="宋体" w:hAnsi="宋体" w:eastAsia="宋体" w:cs="宋体"/>
                <w:kern w:val="0"/>
                <w:sz w:val="24"/>
                <w:szCs w:val="24"/>
                <w:lang w:eastAsia="zh-CN"/>
              </w:rPr>
            </w:pPr>
            <w:r>
              <w:rPr>
                <w:rFonts w:ascii="宋体" w:hAnsi="宋体" w:eastAsia="宋体" w:cs="宋体"/>
                <w:kern w:val="0"/>
                <w:sz w:val="24"/>
                <w:szCs w:val="24"/>
                <w:lang w:eastAsia="zh-CN"/>
              </w:rPr>
              <w:t>装设在一层，合并在外呼梯按钮盒上。</w:t>
            </w:r>
          </w:p>
        </w:tc>
      </w:tr>
    </w:tbl>
    <w:p w14:paraId="2B26CCC9">
      <w:pPr>
        <w:numPr>
          <w:ilvl w:val="0"/>
          <w:numId w:val="8"/>
        </w:numPr>
        <w:spacing w:line="347" w:lineRule="auto"/>
        <w:ind w:left="99" w:right="13" w:firstLine="552" w:firstLineChars="200"/>
        <w:jc w:val="left"/>
        <w:rPr>
          <w:rFonts w:ascii="仿宋" w:hAnsi="仿宋" w:cs="仿宋"/>
          <w:b/>
          <w:bCs/>
          <w:spacing w:val="-2"/>
          <w:sz w:val="28"/>
          <w:szCs w:val="28"/>
          <w:lang w:val="en-US" w:eastAsia="zh-CN"/>
        </w:rPr>
      </w:pPr>
      <w:r>
        <w:rPr>
          <w:rFonts w:ascii="仿宋" w:hAnsi="仿宋" w:cs="仿宋"/>
          <w:b/>
          <w:bCs/>
          <w:spacing w:val="-2"/>
          <w:sz w:val="28"/>
          <w:szCs w:val="28"/>
          <w:lang w:val="en-US" w:eastAsia="zh-CN"/>
        </w:rPr>
        <w:t>功能设置要求</w:t>
      </w:r>
    </w:p>
    <w:tbl>
      <w:tblPr>
        <w:tblStyle w:val="52"/>
        <w:tblW w:w="4623" w:type="pct"/>
        <w:jc w:val="center"/>
        <w:tblLayout w:type="autofit"/>
        <w:tblCellMar>
          <w:top w:w="0" w:type="dxa"/>
          <w:left w:w="108" w:type="dxa"/>
          <w:bottom w:w="0" w:type="dxa"/>
          <w:right w:w="108" w:type="dxa"/>
        </w:tblCellMar>
      </w:tblPr>
      <w:tblGrid>
        <w:gridCol w:w="696"/>
        <w:gridCol w:w="1749"/>
        <w:gridCol w:w="5434"/>
      </w:tblGrid>
      <w:tr w14:paraId="3C530FE3">
        <w:tblPrEx>
          <w:tblCellMar>
            <w:top w:w="0" w:type="dxa"/>
            <w:left w:w="108" w:type="dxa"/>
            <w:bottom w:w="0" w:type="dxa"/>
            <w:right w:w="108" w:type="dxa"/>
          </w:tblCellMar>
        </w:tblPrEx>
        <w:trPr>
          <w:trHeight w:val="722" w:hRule="atLeast"/>
          <w:jc w:val="center"/>
        </w:trPr>
        <w:tc>
          <w:tcPr>
            <w:tcW w:w="377" w:type="pct"/>
            <w:tcBorders>
              <w:top w:val="single" w:color="auto" w:sz="4" w:space="0"/>
              <w:left w:val="single" w:color="auto" w:sz="4" w:space="0"/>
              <w:bottom w:val="single" w:color="auto" w:sz="4" w:space="0"/>
              <w:right w:val="single" w:color="auto" w:sz="4" w:space="0"/>
            </w:tcBorders>
            <w:noWrap/>
            <w:vAlign w:val="center"/>
          </w:tcPr>
          <w:p w14:paraId="529FFF82">
            <w:pPr>
              <w:jc w:val="center"/>
              <w:rPr>
                <w:rFonts w:ascii="宋体" w:hAnsi="宋体" w:eastAsia="宋体" w:cs="宋体"/>
                <w:kern w:val="0"/>
                <w:sz w:val="24"/>
                <w:szCs w:val="24"/>
              </w:rPr>
            </w:pPr>
            <w:r>
              <w:rPr>
                <w:rFonts w:ascii="宋体" w:hAnsi="宋体" w:eastAsia="宋体" w:cs="宋体"/>
                <w:kern w:val="0"/>
                <w:sz w:val="24"/>
                <w:szCs w:val="24"/>
              </w:rPr>
              <w:t>序号</w:t>
            </w:r>
          </w:p>
        </w:tc>
        <w:tc>
          <w:tcPr>
            <w:tcW w:w="4622" w:type="pct"/>
            <w:gridSpan w:val="2"/>
            <w:tcBorders>
              <w:top w:val="single" w:color="auto" w:sz="4" w:space="0"/>
              <w:left w:val="nil"/>
              <w:bottom w:val="single" w:color="auto" w:sz="4" w:space="0"/>
              <w:right w:val="single" w:color="auto" w:sz="4" w:space="0"/>
            </w:tcBorders>
            <w:vAlign w:val="center"/>
          </w:tcPr>
          <w:p w14:paraId="083B421A">
            <w:pPr>
              <w:jc w:val="center"/>
              <w:rPr>
                <w:rFonts w:ascii="宋体" w:hAnsi="宋体" w:eastAsia="宋体" w:cs="宋体"/>
                <w:kern w:val="0"/>
                <w:sz w:val="24"/>
                <w:szCs w:val="24"/>
              </w:rPr>
            </w:pPr>
            <w:r>
              <w:rPr>
                <w:rFonts w:ascii="宋体" w:hAnsi="宋体" w:eastAsia="宋体" w:cs="宋体"/>
                <w:kern w:val="0"/>
                <w:sz w:val="24"/>
                <w:szCs w:val="24"/>
              </w:rPr>
              <w:t>客梯功能说明</w:t>
            </w:r>
          </w:p>
        </w:tc>
      </w:tr>
      <w:tr w14:paraId="583900AD">
        <w:tblPrEx>
          <w:tblCellMar>
            <w:top w:w="0" w:type="dxa"/>
            <w:left w:w="108" w:type="dxa"/>
            <w:bottom w:w="0" w:type="dxa"/>
            <w:right w:w="108" w:type="dxa"/>
          </w:tblCellMar>
        </w:tblPrEx>
        <w:trPr>
          <w:trHeight w:val="734" w:hRule="atLeast"/>
          <w:jc w:val="center"/>
        </w:trPr>
        <w:tc>
          <w:tcPr>
            <w:tcW w:w="377" w:type="pct"/>
            <w:tcBorders>
              <w:top w:val="nil"/>
              <w:left w:val="single" w:color="auto" w:sz="4" w:space="0"/>
              <w:bottom w:val="single" w:color="auto" w:sz="4" w:space="0"/>
              <w:right w:val="single" w:color="auto" w:sz="4" w:space="0"/>
            </w:tcBorders>
            <w:noWrap/>
            <w:vAlign w:val="center"/>
          </w:tcPr>
          <w:p w14:paraId="04BECA29">
            <w:pPr>
              <w:jc w:val="center"/>
              <w:rPr>
                <w:rFonts w:ascii="宋体" w:hAnsi="宋体" w:eastAsia="宋体" w:cs="宋体"/>
                <w:kern w:val="0"/>
                <w:sz w:val="24"/>
                <w:szCs w:val="24"/>
              </w:rPr>
            </w:pPr>
            <w:r>
              <w:rPr>
                <w:rFonts w:ascii="宋体" w:hAnsi="宋体" w:eastAsia="宋体" w:cs="宋体"/>
                <w:kern w:val="0"/>
                <w:sz w:val="24"/>
                <w:szCs w:val="24"/>
              </w:rPr>
              <w:t>1</w:t>
            </w:r>
          </w:p>
        </w:tc>
        <w:tc>
          <w:tcPr>
            <w:tcW w:w="1142" w:type="pct"/>
            <w:tcBorders>
              <w:top w:val="nil"/>
              <w:left w:val="nil"/>
              <w:bottom w:val="single" w:color="auto" w:sz="4" w:space="0"/>
              <w:right w:val="single" w:color="auto" w:sz="4" w:space="0"/>
            </w:tcBorders>
            <w:vAlign w:val="center"/>
          </w:tcPr>
          <w:p w14:paraId="2F5F4B5B">
            <w:pPr>
              <w:jc w:val="center"/>
              <w:rPr>
                <w:rFonts w:ascii="宋体" w:hAnsi="宋体" w:eastAsia="宋体" w:cs="宋体"/>
                <w:kern w:val="0"/>
                <w:sz w:val="24"/>
                <w:szCs w:val="24"/>
              </w:rPr>
            </w:pPr>
            <w:r>
              <w:rPr>
                <w:rFonts w:ascii="宋体" w:hAnsi="宋体" w:eastAsia="宋体" w:cs="宋体"/>
                <w:kern w:val="0"/>
                <w:sz w:val="24"/>
                <w:szCs w:val="24"/>
              </w:rPr>
              <w:t>全集选控制</w:t>
            </w:r>
          </w:p>
        </w:tc>
        <w:tc>
          <w:tcPr>
            <w:tcW w:w="3479" w:type="pct"/>
            <w:tcBorders>
              <w:top w:val="nil"/>
              <w:left w:val="nil"/>
              <w:bottom w:val="single" w:color="auto" w:sz="4" w:space="0"/>
              <w:right w:val="single" w:color="auto" w:sz="4" w:space="0"/>
            </w:tcBorders>
            <w:vAlign w:val="center"/>
          </w:tcPr>
          <w:p w14:paraId="05FBDB80">
            <w:pPr>
              <w:rPr>
                <w:rFonts w:ascii="宋体" w:hAnsi="宋体" w:eastAsia="宋体" w:cs="宋体"/>
                <w:kern w:val="0"/>
                <w:sz w:val="24"/>
                <w:szCs w:val="24"/>
                <w:lang w:eastAsia="zh-CN"/>
              </w:rPr>
            </w:pPr>
            <w:r>
              <w:rPr>
                <w:rFonts w:ascii="宋体" w:hAnsi="宋体" w:eastAsia="宋体" w:cs="宋体"/>
                <w:kern w:val="0"/>
                <w:sz w:val="24"/>
                <w:szCs w:val="24"/>
                <w:lang w:eastAsia="zh-CN"/>
              </w:rPr>
              <w:t>在信号控制的基础上把呼梯信号集合起来进行有选择的答应。</w:t>
            </w:r>
          </w:p>
        </w:tc>
      </w:tr>
      <w:tr w14:paraId="0BCB2ED9">
        <w:tblPrEx>
          <w:tblCellMar>
            <w:top w:w="0" w:type="dxa"/>
            <w:left w:w="108" w:type="dxa"/>
            <w:bottom w:w="0" w:type="dxa"/>
            <w:right w:w="108" w:type="dxa"/>
          </w:tblCellMar>
        </w:tblPrEx>
        <w:trPr>
          <w:trHeight w:val="844" w:hRule="atLeast"/>
          <w:jc w:val="center"/>
        </w:trPr>
        <w:tc>
          <w:tcPr>
            <w:tcW w:w="377" w:type="pct"/>
            <w:tcBorders>
              <w:top w:val="nil"/>
              <w:left w:val="single" w:color="auto" w:sz="4" w:space="0"/>
              <w:bottom w:val="single" w:color="auto" w:sz="4" w:space="0"/>
              <w:right w:val="single" w:color="auto" w:sz="4" w:space="0"/>
            </w:tcBorders>
            <w:noWrap/>
            <w:vAlign w:val="center"/>
          </w:tcPr>
          <w:p w14:paraId="0B551C7E">
            <w:pPr>
              <w:jc w:val="center"/>
              <w:rPr>
                <w:rFonts w:ascii="宋体" w:hAnsi="宋体" w:eastAsia="宋体" w:cs="宋体"/>
                <w:kern w:val="0"/>
                <w:sz w:val="24"/>
                <w:szCs w:val="24"/>
              </w:rPr>
            </w:pPr>
            <w:r>
              <w:rPr>
                <w:rFonts w:ascii="宋体" w:hAnsi="宋体" w:eastAsia="宋体" w:cs="宋体"/>
                <w:kern w:val="0"/>
                <w:sz w:val="24"/>
                <w:szCs w:val="24"/>
              </w:rPr>
              <w:t>2</w:t>
            </w:r>
          </w:p>
        </w:tc>
        <w:tc>
          <w:tcPr>
            <w:tcW w:w="1142" w:type="pct"/>
            <w:tcBorders>
              <w:top w:val="nil"/>
              <w:left w:val="nil"/>
              <w:bottom w:val="single" w:color="auto" w:sz="4" w:space="0"/>
              <w:right w:val="single" w:color="auto" w:sz="4" w:space="0"/>
            </w:tcBorders>
            <w:vAlign w:val="center"/>
          </w:tcPr>
          <w:p w14:paraId="703632E0">
            <w:pPr>
              <w:jc w:val="center"/>
              <w:rPr>
                <w:rFonts w:ascii="宋体" w:hAnsi="宋体" w:eastAsia="宋体" w:cs="宋体"/>
                <w:kern w:val="0"/>
                <w:sz w:val="24"/>
                <w:szCs w:val="24"/>
              </w:rPr>
            </w:pPr>
            <w:r>
              <w:rPr>
                <w:rFonts w:ascii="宋体" w:hAnsi="宋体" w:eastAsia="宋体" w:cs="宋体"/>
                <w:kern w:val="0"/>
                <w:sz w:val="24"/>
                <w:szCs w:val="24"/>
              </w:rPr>
              <w:t>自动返基站</w:t>
            </w:r>
          </w:p>
        </w:tc>
        <w:tc>
          <w:tcPr>
            <w:tcW w:w="3479" w:type="pct"/>
            <w:tcBorders>
              <w:top w:val="nil"/>
              <w:left w:val="nil"/>
              <w:bottom w:val="single" w:color="auto" w:sz="4" w:space="0"/>
              <w:right w:val="single" w:color="auto" w:sz="4" w:space="0"/>
            </w:tcBorders>
            <w:vAlign w:val="center"/>
          </w:tcPr>
          <w:p w14:paraId="1B024674">
            <w:pPr>
              <w:rPr>
                <w:rFonts w:ascii="宋体" w:hAnsi="宋体" w:eastAsia="宋体" w:cs="宋体"/>
                <w:kern w:val="0"/>
                <w:sz w:val="24"/>
                <w:szCs w:val="24"/>
                <w:lang w:eastAsia="zh-CN"/>
              </w:rPr>
            </w:pPr>
            <w:r>
              <w:rPr>
                <w:rFonts w:ascii="宋体" w:hAnsi="宋体" w:eastAsia="宋体" w:cs="宋体"/>
                <w:kern w:val="0"/>
                <w:sz w:val="24"/>
                <w:szCs w:val="24"/>
                <w:lang w:eastAsia="zh-CN"/>
              </w:rPr>
              <w:t>当轿厢在设定时间内无外呼和内选时，客梯将自动返回设定楼层。基站开门等待时间可调。</w:t>
            </w:r>
          </w:p>
        </w:tc>
      </w:tr>
      <w:tr w14:paraId="04985EE3">
        <w:tblPrEx>
          <w:tblCellMar>
            <w:top w:w="0" w:type="dxa"/>
            <w:left w:w="108" w:type="dxa"/>
            <w:bottom w:w="0" w:type="dxa"/>
            <w:right w:w="108" w:type="dxa"/>
          </w:tblCellMar>
        </w:tblPrEx>
        <w:trPr>
          <w:trHeight w:val="698" w:hRule="atLeast"/>
          <w:jc w:val="center"/>
        </w:trPr>
        <w:tc>
          <w:tcPr>
            <w:tcW w:w="377" w:type="pct"/>
            <w:tcBorders>
              <w:top w:val="nil"/>
              <w:left w:val="single" w:color="auto" w:sz="4" w:space="0"/>
              <w:bottom w:val="single" w:color="auto" w:sz="4" w:space="0"/>
              <w:right w:val="single" w:color="auto" w:sz="4" w:space="0"/>
            </w:tcBorders>
            <w:noWrap/>
            <w:vAlign w:val="center"/>
          </w:tcPr>
          <w:p w14:paraId="2D72DE8B">
            <w:pPr>
              <w:jc w:val="center"/>
              <w:rPr>
                <w:rFonts w:ascii="宋体" w:hAnsi="宋体" w:eastAsia="宋体" w:cs="宋体"/>
                <w:kern w:val="0"/>
                <w:sz w:val="24"/>
                <w:szCs w:val="24"/>
              </w:rPr>
            </w:pPr>
            <w:r>
              <w:rPr>
                <w:rFonts w:ascii="宋体" w:hAnsi="宋体" w:eastAsia="宋体" w:cs="宋体"/>
                <w:kern w:val="0"/>
                <w:sz w:val="24"/>
                <w:szCs w:val="24"/>
              </w:rPr>
              <w:t>3</w:t>
            </w:r>
          </w:p>
        </w:tc>
        <w:tc>
          <w:tcPr>
            <w:tcW w:w="1142" w:type="pct"/>
            <w:tcBorders>
              <w:top w:val="nil"/>
              <w:left w:val="nil"/>
              <w:bottom w:val="single" w:color="auto" w:sz="4" w:space="0"/>
              <w:right w:val="single" w:color="auto" w:sz="4" w:space="0"/>
            </w:tcBorders>
            <w:vAlign w:val="center"/>
          </w:tcPr>
          <w:p w14:paraId="69666CB9">
            <w:pPr>
              <w:jc w:val="center"/>
              <w:rPr>
                <w:rFonts w:ascii="宋体" w:hAnsi="宋体" w:eastAsia="宋体" w:cs="宋体"/>
                <w:kern w:val="0"/>
                <w:sz w:val="24"/>
                <w:szCs w:val="24"/>
              </w:rPr>
            </w:pPr>
            <w:r>
              <w:rPr>
                <w:rFonts w:ascii="宋体" w:hAnsi="宋体" w:eastAsia="宋体" w:cs="宋体"/>
                <w:kern w:val="0"/>
                <w:sz w:val="24"/>
                <w:szCs w:val="24"/>
              </w:rPr>
              <w:t>满载直驶</w:t>
            </w:r>
          </w:p>
        </w:tc>
        <w:tc>
          <w:tcPr>
            <w:tcW w:w="3479" w:type="pct"/>
            <w:tcBorders>
              <w:top w:val="nil"/>
              <w:left w:val="nil"/>
              <w:bottom w:val="single" w:color="auto" w:sz="4" w:space="0"/>
              <w:right w:val="single" w:color="auto" w:sz="4" w:space="0"/>
            </w:tcBorders>
            <w:vAlign w:val="center"/>
          </w:tcPr>
          <w:p w14:paraId="368374DF">
            <w:pPr>
              <w:rPr>
                <w:rFonts w:ascii="宋体" w:hAnsi="宋体" w:eastAsia="宋体" w:cs="宋体"/>
                <w:kern w:val="0"/>
                <w:sz w:val="24"/>
                <w:szCs w:val="24"/>
                <w:lang w:eastAsia="zh-CN"/>
              </w:rPr>
            </w:pPr>
            <w:r>
              <w:rPr>
                <w:rFonts w:ascii="宋体" w:hAnsi="宋体" w:eastAsia="宋体" w:cs="宋体"/>
                <w:kern w:val="0"/>
                <w:sz w:val="24"/>
                <w:szCs w:val="24"/>
                <w:lang w:eastAsia="zh-CN"/>
              </w:rPr>
              <w:t>轿厢满载时，厅外显示提醒满载，此时客梯不响应外呼信号，执行轿厢内部信号指示。</w:t>
            </w:r>
          </w:p>
        </w:tc>
      </w:tr>
      <w:tr w14:paraId="6EFD72A2">
        <w:tblPrEx>
          <w:tblCellMar>
            <w:top w:w="0" w:type="dxa"/>
            <w:left w:w="108" w:type="dxa"/>
            <w:bottom w:w="0" w:type="dxa"/>
            <w:right w:w="108" w:type="dxa"/>
          </w:tblCellMar>
        </w:tblPrEx>
        <w:trPr>
          <w:trHeight w:val="836" w:hRule="atLeast"/>
          <w:jc w:val="center"/>
        </w:trPr>
        <w:tc>
          <w:tcPr>
            <w:tcW w:w="377" w:type="pct"/>
            <w:tcBorders>
              <w:top w:val="nil"/>
              <w:left w:val="single" w:color="auto" w:sz="4" w:space="0"/>
              <w:bottom w:val="single" w:color="auto" w:sz="4" w:space="0"/>
              <w:right w:val="single" w:color="auto" w:sz="4" w:space="0"/>
            </w:tcBorders>
            <w:noWrap/>
            <w:vAlign w:val="center"/>
          </w:tcPr>
          <w:p w14:paraId="14EF66FE">
            <w:pPr>
              <w:jc w:val="center"/>
              <w:rPr>
                <w:rFonts w:ascii="宋体" w:hAnsi="宋体" w:eastAsia="宋体" w:cs="宋体"/>
                <w:kern w:val="0"/>
                <w:sz w:val="24"/>
                <w:szCs w:val="24"/>
              </w:rPr>
            </w:pPr>
            <w:r>
              <w:rPr>
                <w:rFonts w:ascii="宋体" w:hAnsi="宋体" w:eastAsia="宋体" w:cs="宋体"/>
                <w:kern w:val="0"/>
                <w:sz w:val="24"/>
                <w:szCs w:val="24"/>
              </w:rPr>
              <w:t>4</w:t>
            </w:r>
          </w:p>
        </w:tc>
        <w:tc>
          <w:tcPr>
            <w:tcW w:w="1142" w:type="pct"/>
            <w:tcBorders>
              <w:top w:val="nil"/>
              <w:left w:val="nil"/>
              <w:bottom w:val="single" w:color="auto" w:sz="4" w:space="0"/>
              <w:right w:val="single" w:color="auto" w:sz="4" w:space="0"/>
            </w:tcBorders>
            <w:vAlign w:val="center"/>
          </w:tcPr>
          <w:p w14:paraId="513C0498">
            <w:pPr>
              <w:jc w:val="center"/>
              <w:rPr>
                <w:rFonts w:ascii="宋体" w:hAnsi="宋体" w:eastAsia="宋体" w:cs="宋体"/>
                <w:kern w:val="0"/>
                <w:sz w:val="24"/>
                <w:szCs w:val="24"/>
              </w:rPr>
            </w:pPr>
            <w:r>
              <w:rPr>
                <w:rFonts w:ascii="宋体" w:hAnsi="宋体" w:eastAsia="宋体" w:cs="宋体"/>
                <w:kern w:val="0"/>
                <w:sz w:val="24"/>
                <w:szCs w:val="24"/>
              </w:rPr>
              <w:t>错误指令取消</w:t>
            </w:r>
          </w:p>
        </w:tc>
        <w:tc>
          <w:tcPr>
            <w:tcW w:w="3479" w:type="pct"/>
            <w:tcBorders>
              <w:top w:val="nil"/>
              <w:left w:val="nil"/>
              <w:bottom w:val="single" w:color="auto" w:sz="4" w:space="0"/>
              <w:right w:val="single" w:color="auto" w:sz="4" w:space="0"/>
            </w:tcBorders>
            <w:vAlign w:val="center"/>
          </w:tcPr>
          <w:p w14:paraId="12A4017E">
            <w:pPr>
              <w:rPr>
                <w:rFonts w:ascii="宋体" w:hAnsi="宋体" w:eastAsia="宋体" w:cs="宋体"/>
                <w:kern w:val="0"/>
                <w:sz w:val="24"/>
                <w:szCs w:val="24"/>
                <w:lang w:eastAsia="zh-CN"/>
              </w:rPr>
            </w:pPr>
            <w:r>
              <w:rPr>
                <w:rFonts w:ascii="宋体" w:hAnsi="宋体" w:eastAsia="宋体" w:cs="宋体"/>
                <w:kern w:val="0"/>
                <w:sz w:val="24"/>
                <w:szCs w:val="24"/>
                <w:lang w:eastAsia="zh-CN"/>
              </w:rPr>
              <w:t>当客梯未运行时，可以通过操作该楼层的内呼按钮，取消已经登记的信号。</w:t>
            </w:r>
          </w:p>
        </w:tc>
      </w:tr>
      <w:tr w14:paraId="75FDCD91">
        <w:tblPrEx>
          <w:tblCellMar>
            <w:top w:w="0" w:type="dxa"/>
            <w:left w:w="108" w:type="dxa"/>
            <w:bottom w:w="0" w:type="dxa"/>
            <w:right w:w="108" w:type="dxa"/>
          </w:tblCellMar>
        </w:tblPrEx>
        <w:trPr>
          <w:trHeight w:val="841" w:hRule="atLeast"/>
          <w:jc w:val="center"/>
        </w:trPr>
        <w:tc>
          <w:tcPr>
            <w:tcW w:w="377" w:type="pct"/>
            <w:tcBorders>
              <w:top w:val="nil"/>
              <w:left w:val="single" w:color="auto" w:sz="4" w:space="0"/>
              <w:bottom w:val="single" w:color="auto" w:sz="4" w:space="0"/>
              <w:right w:val="single" w:color="auto" w:sz="4" w:space="0"/>
            </w:tcBorders>
            <w:noWrap/>
            <w:vAlign w:val="center"/>
          </w:tcPr>
          <w:p w14:paraId="32EEB2EF">
            <w:pPr>
              <w:jc w:val="center"/>
              <w:rPr>
                <w:rFonts w:ascii="宋体" w:hAnsi="宋体" w:eastAsia="宋体" w:cs="宋体"/>
                <w:kern w:val="0"/>
                <w:sz w:val="24"/>
                <w:szCs w:val="24"/>
              </w:rPr>
            </w:pPr>
            <w:r>
              <w:rPr>
                <w:rFonts w:ascii="宋体" w:hAnsi="宋体" w:eastAsia="宋体" w:cs="宋体"/>
                <w:kern w:val="0"/>
                <w:sz w:val="24"/>
                <w:szCs w:val="24"/>
              </w:rPr>
              <w:t>5</w:t>
            </w:r>
          </w:p>
        </w:tc>
        <w:tc>
          <w:tcPr>
            <w:tcW w:w="1142" w:type="pct"/>
            <w:tcBorders>
              <w:top w:val="nil"/>
              <w:left w:val="nil"/>
              <w:bottom w:val="single" w:color="auto" w:sz="4" w:space="0"/>
              <w:right w:val="single" w:color="auto" w:sz="4" w:space="0"/>
            </w:tcBorders>
            <w:vAlign w:val="center"/>
          </w:tcPr>
          <w:p w14:paraId="7F8529EE">
            <w:pPr>
              <w:jc w:val="center"/>
              <w:rPr>
                <w:rFonts w:ascii="宋体" w:hAnsi="宋体" w:eastAsia="宋体" w:cs="宋体"/>
                <w:kern w:val="0"/>
                <w:sz w:val="24"/>
                <w:szCs w:val="24"/>
              </w:rPr>
            </w:pPr>
            <w:r>
              <w:rPr>
                <w:rFonts w:ascii="宋体" w:hAnsi="宋体" w:eastAsia="宋体" w:cs="宋体"/>
                <w:kern w:val="0"/>
                <w:sz w:val="24"/>
                <w:szCs w:val="24"/>
              </w:rPr>
              <w:t>无称重力矩补偿</w:t>
            </w:r>
          </w:p>
        </w:tc>
        <w:tc>
          <w:tcPr>
            <w:tcW w:w="3479" w:type="pct"/>
            <w:tcBorders>
              <w:top w:val="nil"/>
              <w:left w:val="nil"/>
              <w:bottom w:val="single" w:color="auto" w:sz="4" w:space="0"/>
              <w:right w:val="single" w:color="auto" w:sz="4" w:space="0"/>
            </w:tcBorders>
            <w:vAlign w:val="center"/>
          </w:tcPr>
          <w:p w14:paraId="11BC9308">
            <w:pPr>
              <w:rPr>
                <w:rFonts w:ascii="宋体" w:hAnsi="宋体" w:eastAsia="宋体" w:cs="宋体"/>
                <w:kern w:val="0"/>
                <w:sz w:val="24"/>
                <w:szCs w:val="24"/>
                <w:lang w:eastAsia="zh-CN"/>
              </w:rPr>
            </w:pPr>
            <w:r>
              <w:rPr>
                <w:rFonts w:ascii="宋体" w:hAnsi="宋体" w:eastAsia="宋体" w:cs="宋体"/>
                <w:kern w:val="0"/>
                <w:sz w:val="24"/>
                <w:szCs w:val="24"/>
                <w:lang w:eastAsia="zh-CN"/>
              </w:rPr>
              <w:t>客梯启动时，不需要增加称重开关，系统自动根据轿厢当前的重量，进行力矩补偿，达到良好的启动舒适感。</w:t>
            </w:r>
          </w:p>
        </w:tc>
      </w:tr>
      <w:tr w14:paraId="14081B14">
        <w:tblPrEx>
          <w:tblCellMar>
            <w:top w:w="0" w:type="dxa"/>
            <w:left w:w="108" w:type="dxa"/>
            <w:bottom w:w="0" w:type="dxa"/>
            <w:right w:w="108" w:type="dxa"/>
          </w:tblCellMar>
        </w:tblPrEx>
        <w:trPr>
          <w:trHeight w:val="711" w:hRule="atLeast"/>
          <w:jc w:val="center"/>
        </w:trPr>
        <w:tc>
          <w:tcPr>
            <w:tcW w:w="377" w:type="pct"/>
            <w:tcBorders>
              <w:top w:val="nil"/>
              <w:left w:val="single" w:color="auto" w:sz="4" w:space="0"/>
              <w:bottom w:val="single" w:color="auto" w:sz="4" w:space="0"/>
              <w:right w:val="single" w:color="auto" w:sz="4" w:space="0"/>
            </w:tcBorders>
            <w:noWrap/>
            <w:vAlign w:val="center"/>
          </w:tcPr>
          <w:p w14:paraId="2A18A4F8">
            <w:pPr>
              <w:jc w:val="center"/>
              <w:rPr>
                <w:rFonts w:ascii="宋体" w:hAnsi="宋体" w:eastAsia="宋体" w:cs="宋体"/>
                <w:kern w:val="0"/>
                <w:sz w:val="24"/>
                <w:szCs w:val="24"/>
              </w:rPr>
            </w:pPr>
            <w:r>
              <w:rPr>
                <w:rFonts w:ascii="宋体" w:hAnsi="宋体" w:eastAsia="宋体" w:cs="宋体"/>
                <w:kern w:val="0"/>
                <w:sz w:val="24"/>
                <w:szCs w:val="24"/>
              </w:rPr>
              <w:t>6</w:t>
            </w:r>
          </w:p>
        </w:tc>
        <w:tc>
          <w:tcPr>
            <w:tcW w:w="1142" w:type="pct"/>
            <w:tcBorders>
              <w:top w:val="nil"/>
              <w:left w:val="nil"/>
              <w:bottom w:val="single" w:color="auto" w:sz="4" w:space="0"/>
              <w:right w:val="single" w:color="auto" w:sz="4" w:space="0"/>
            </w:tcBorders>
            <w:vAlign w:val="center"/>
          </w:tcPr>
          <w:p w14:paraId="0EC398FB">
            <w:pPr>
              <w:jc w:val="center"/>
              <w:rPr>
                <w:rFonts w:ascii="宋体" w:hAnsi="宋体" w:eastAsia="宋体" w:cs="宋体"/>
                <w:kern w:val="0"/>
                <w:sz w:val="24"/>
                <w:szCs w:val="24"/>
              </w:rPr>
            </w:pPr>
            <w:r>
              <w:rPr>
                <w:rFonts w:ascii="宋体" w:hAnsi="宋体" w:eastAsia="宋体" w:cs="宋体"/>
                <w:kern w:val="0"/>
                <w:sz w:val="24"/>
                <w:szCs w:val="24"/>
              </w:rPr>
              <w:t>故障自诊断</w:t>
            </w:r>
          </w:p>
        </w:tc>
        <w:tc>
          <w:tcPr>
            <w:tcW w:w="3479" w:type="pct"/>
            <w:tcBorders>
              <w:top w:val="nil"/>
              <w:left w:val="nil"/>
              <w:bottom w:val="single" w:color="auto" w:sz="4" w:space="0"/>
              <w:right w:val="single" w:color="auto" w:sz="4" w:space="0"/>
            </w:tcBorders>
            <w:vAlign w:val="center"/>
          </w:tcPr>
          <w:p w14:paraId="3284000D">
            <w:pPr>
              <w:rPr>
                <w:rFonts w:ascii="宋体" w:hAnsi="宋体" w:eastAsia="宋体" w:cs="宋体"/>
                <w:kern w:val="0"/>
                <w:sz w:val="24"/>
                <w:szCs w:val="24"/>
                <w:lang w:eastAsia="zh-CN"/>
              </w:rPr>
            </w:pPr>
            <w:r>
              <w:rPr>
                <w:rFonts w:ascii="宋体" w:hAnsi="宋体" w:eastAsia="宋体" w:cs="宋体"/>
                <w:kern w:val="0"/>
                <w:sz w:val="24"/>
                <w:szCs w:val="24"/>
                <w:lang w:eastAsia="zh-CN"/>
              </w:rPr>
              <w:t>系统可以自动诊断并记录客梯的故障信号，使用专用工具可以迅速排除故障。</w:t>
            </w:r>
          </w:p>
        </w:tc>
      </w:tr>
      <w:tr w14:paraId="6AF59F30">
        <w:tblPrEx>
          <w:tblCellMar>
            <w:top w:w="0" w:type="dxa"/>
            <w:left w:w="108" w:type="dxa"/>
            <w:bottom w:w="0" w:type="dxa"/>
            <w:right w:w="108" w:type="dxa"/>
          </w:tblCellMar>
        </w:tblPrEx>
        <w:trPr>
          <w:trHeight w:val="692" w:hRule="atLeast"/>
          <w:jc w:val="center"/>
        </w:trPr>
        <w:tc>
          <w:tcPr>
            <w:tcW w:w="377" w:type="pct"/>
            <w:tcBorders>
              <w:top w:val="nil"/>
              <w:left w:val="single" w:color="auto" w:sz="4" w:space="0"/>
              <w:bottom w:val="single" w:color="auto" w:sz="4" w:space="0"/>
              <w:right w:val="single" w:color="auto" w:sz="4" w:space="0"/>
            </w:tcBorders>
            <w:noWrap/>
            <w:vAlign w:val="center"/>
          </w:tcPr>
          <w:p w14:paraId="3FDE8788">
            <w:pPr>
              <w:jc w:val="center"/>
              <w:rPr>
                <w:rFonts w:ascii="宋体" w:hAnsi="宋体" w:eastAsia="宋体" w:cs="宋体"/>
                <w:kern w:val="0"/>
                <w:sz w:val="24"/>
                <w:szCs w:val="24"/>
              </w:rPr>
            </w:pPr>
            <w:r>
              <w:rPr>
                <w:rFonts w:ascii="宋体" w:hAnsi="宋体" w:eastAsia="宋体" w:cs="宋体"/>
                <w:kern w:val="0"/>
                <w:sz w:val="24"/>
                <w:szCs w:val="24"/>
              </w:rPr>
              <w:t>7</w:t>
            </w:r>
          </w:p>
        </w:tc>
        <w:tc>
          <w:tcPr>
            <w:tcW w:w="1142" w:type="pct"/>
            <w:tcBorders>
              <w:top w:val="nil"/>
              <w:left w:val="nil"/>
              <w:bottom w:val="single" w:color="auto" w:sz="4" w:space="0"/>
              <w:right w:val="single" w:color="auto" w:sz="4" w:space="0"/>
            </w:tcBorders>
            <w:vAlign w:val="center"/>
          </w:tcPr>
          <w:p w14:paraId="626F96CF">
            <w:pPr>
              <w:jc w:val="center"/>
              <w:rPr>
                <w:rFonts w:ascii="宋体" w:hAnsi="宋体" w:eastAsia="宋体" w:cs="宋体"/>
                <w:kern w:val="0"/>
                <w:sz w:val="24"/>
                <w:szCs w:val="24"/>
              </w:rPr>
            </w:pPr>
            <w:r>
              <w:rPr>
                <w:rFonts w:ascii="宋体" w:hAnsi="宋体" w:eastAsia="宋体" w:cs="宋体"/>
                <w:kern w:val="0"/>
                <w:sz w:val="24"/>
                <w:szCs w:val="24"/>
              </w:rPr>
              <w:t>楼层间距自学习</w:t>
            </w:r>
          </w:p>
        </w:tc>
        <w:tc>
          <w:tcPr>
            <w:tcW w:w="3479" w:type="pct"/>
            <w:tcBorders>
              <w:top w:val="nil"/>
              <w:left w:val="nil"/>
              <w:bottom w:val="single" w:color="auto" w:sz="4" w:space="0"/>
              <w:right w:val="single" w:color="auto" w:sz="4" w:space="0"/>
            </w:tcBorders>
            <w:vAlign w:val="center"/>
          </w:tcPr>
          <w:p w14:paraId="78C2BC01">
            <w:pPr>
              <w:rPr>
                <w:rFonts w:ascii="宋体" w:hAnsi="宋体" w:eastAsia="宋体" w:cs="宋体"/>
                <w:kern w:val="0"/>
                <w:sz w:val="24"/>
                <w:szCs w:val="24"/>
                <w:lang w:eastAsia="zh-CN"/>
              </w:rPr>
            </w:pPr>
            <w:r>
              <w:rPr>
                <w:rFonts w:ascii="宋体" w:hAnsi="宋体" w:eastAsia="宋体" w:cs="宋体"/>
                <w:kern w:val="0"/>
                <w:sz w:val="24"/>
                <w:szCs w:val="24"/>
                <w:lang w:eastAsia="zh-CN"/>
              </w:rPr>
              <w:t>系统自动记录各楼层高度，在客梯运行时进行精确的距离控制。</w:t>
            </w:r>
          </w:p>
        </w:tc>
      </w:tr>
      <w:tr w14:paraId="061551C2">
        <w:tblPrEx>
          <w:tblCellMar>
            <w:top w:w="0" w:type="dxa"/>
            <w:left w:w="108" w:type="dxa"/>
            <w:bottom w:w="0" w:type="dxa"/>
            <w:right w:w="108" w:type="dxa"/>
          </w:tblCellMar>
        </w:tblPrEx>
        <w:trPr>
          <w:trHeight w:val="764" w:hRule="atLeast"/>
          <w:jc w:val="center"/>
        </w:trPr>
        <w:tc>
          <w:tcPr>
            <w:tcW w:w="377" w:type="pct"/>
            <w:tcBorders>
              <w:top w:val="nil"/>
              <w:left w:val="single" w:color="auto" w:sz="4" w:space="0"/>
              <w:bottom w:val="single" w:color="auto" w:sz="4" w:space="0"/>
              <w:right w:val="single" w:color="auto" w:sz="4" w:space="0"/>
            </w:tcBorders>
            <w:noWrap/>
            <w:vAlign w:val="center"/>
          </w:tcPr>
          <w:p w14:paraId="0731F70B">
            <w:pPr>
              <w:jc w:val="center"/>
              <w:rPr>
                <w:rFonts w:ascii="宋体" w:hAnsi="宋体" w:eastAsia="宋体" w:cs="宋体"/>
                <w:kern w:val="0"/>
                <w:sz w:val="24"/>
                <w:szCs w:val="24"/>
              </w:rPr>
            </w:pPr>
            <w:r>
              <w:rPr>
                <w:rFonts w:ascii="宋体" w:hAnsi="宋体" w:eastAsia="宋体" w:cs="宋体"/>
                <w:kern w:val="0"/>
                <w:sz w:val="24"/>
                <w:szCs w:val="24"/>
              </w:rPr>
              <w:t>8</w:t>
            </w:r>
          </w:p>
        </w:tc>
        <w:tc>
          <w:tcPr>
            <w:tcW w:w="1142" w:type="pct"/>
            <w:tcBorders>
              <w:top w:val="nil"/>
              <w:left w:val="nil"/>
              <w:bottom w:val="single" w:color="auto" w:sz="4" w:space="0"/>
              <w:right w:val="single" w:color="auto" w:sz="4" w:space="0"/>
            </w:tcBorders>
            <w:vAlign w:val="center"/>
          </w:tcPr>
          <w:p w14:paraId="205A6C77">
            <w:pPr>
              <w:jc w:val="center"/>
              <w:rPr>
                <w:rFonts w:ascii="宋体" w:hAnsi="宋体" w:eastAsia="宋体" w:cs="宋体"/>
                <w:kern w:val="0"/>
                <w:sz w:val="24"/>
                <w:szCs w:val="24"/>
              </w:rPr>
            </w:pPr>
            <w:r>
              <w:rPr>
                <w:rFonts w:ascii="宋体" w:hAnsi="宋体" w:eastAsia="宋体" w:cs="宋体"/>
                <w:kern w:val="0"/>
                <w:sz w:val="24"/>
                <w:szCs w:val="24"/>
              </w:rPr>
              <w:t>端站保护</w:t>
            </w:r>
          </w:p>
        </w:tc>
        <w:tc>
          <w:tcPr>
            <w:tcW w:w="3479" w:type="pct"/>
            <w:tcBorders>
              <w:top w:val="nil"/>
              <w:left w:val="nil"/>
              <w:bottom w:val="single" w:color="auto" w:sz="4" w:space="0"/>
              <w:right w:val="single" w:color="auto" w:sz="4" w:space="0"/>
            </w:tcBorders>
            <w:vAlign w:val="center"/>
          </w:tcPr>
          <w:p w14:paraId="4396379F">
            <w:pPr>
              <w:rPr>
                <w:rFonts w:ascii="宋体" w:hAnsi="宋体" w:eastAsia="宋体" w:cs="宋体"/>
                <w:kern w:val="0"/>
                <w:sz w:val="24"/>
                <w:szCs w:val="24"/>
                <w:lang w:eastAsia="zh-CN"/>
              </w:rPr>
            </w:pPr>
            <w:r>
              <w:rPr>
                <w:rFonts w:ascii="宋体" w:hAnsi="宋体" w:eastAsia="宋体" w:cs="宋体"/>
                <w:kern w:val="0"/>
                <w:sz w:val="24"/>
                <w:szCs w:val="24"/>
                <w:lang w:eastAsia="zh-CN"/>
              </w:rPr>
              <w:t>当客梯行驶至终端楼层时，未降至系统设定的速度时，保护装置将强制减速，保证安全。</w:t>
            </w:r>
          </w:p>
        </w:tc>
      </w:tr>
      <w:tr w14:paraId="4FDD91E8">
        <w:tblPrEx>
          <w:tblCellMar>
            <w:top w:w="0" w:type="dxa"/>
            <w:left w:w="108" w:type="dxa"/>
            <w:bottom w:w="0" w:type="dxa"/>
            <w:right w:w="108" w:type="dxa"/>
          </w:tblCellMar>
        </w:tblPrEx>
        <w:trPr>
          <w:trHeight w:val="854" w:hRule="atLeast"/>
          <w:jc w:val="center"/>
        </w:trPr>
        <w:tc>
          <w:tcPr>
            <w:tcW w:w="377" w:type="pct"/>
            <w:tcBorders>
              <w:top w:val="nil"/>
              <w:left w:val="single" w:color="auto" w:sz="4" w:space="0"/>
              <w:bottom w:val="single" w:color="auto" w:sz="4" w:space="0"/>
              <w:right w:val="single" w:color="auto" w:sz="4" w:space="0"/>
            </w:tcBorders>
            <w:noWrap/>
            <w:vAlign w:val="center"/>
          </w:tcPr>
          <w:p w14:paraId="4582D7DB">
            <w:pPr>
              <w:jc w:val="center"/>
              <w:rPr>
                <w:rFonts w:ascii="宋体" w:hAnsi="宋体" w:eastAsia="宋体" w:cs="宋体"/>
                <w:kern w:val="0"/>
                <w:sz w:val="24"/>
                <w:szCs w:val="24"/>
              </w:rPr>
            </w:pPr>
            <w:r>
              <w:rPr>
                <w:rFonts w:ascii="宋体" w:hAnsi="宋体" w:eastAsia="宋体" w:cs="宋体"/>
                <w:kern w:val="0"/>
                <w:sz w:val="24"/>
                <w:szCs w:val="24"/>
              </w:rPr>
              <w:t>9</w:t>
            </w:r>
          </w:p>
        </w:tc>
        <w:tc>
          <w:tcPr>
            <w:tcW w:w="1142" w:type="pct"/>
            <w:tcBorders>
              <w:top w:val="nil"/>
              <w:left w:val="nil"/>
              <w:bottom w:val="single" w:color="auto" w:sz="4" w:space="0"/>
              <w:right w:val="single" w:color="auto" w:sz="4" w:space="0"/>
            </w:tcBorders>
            <w:vAlign w:val="center"/>
          </w:tcPr>
          <w:p w14:paraId="302282F1">
            <w:pPr>
              <w:jc w:val="center"/>
              <w:rPr>
                <w:rFonts w:ascii="宋体" w:hAnsi="宋体" w:eastAsia="宋体" w:cs="宋体"/>
                <w:kern w:val="0"/>
                <w:sz w:val="24"/>
                <w:szCs w:val="24"/>
              </w:rPr>
            </w:pPr>
            <w:r>
              <w:rPr>
                <w:rFonts w:ascii="宋体" w:hAnsi="宋体" w:eastAsia="宋体" w:cs="宋体"/>
                <w:kern w:val="0"/>
                <w:sz w:val="24"/>
                <w:szCs w:val="24"/>
              </w:rPr>
              <w:t>超载报警</w:t>
            </w:r>
          </w:p>
        </w:tc>
        <w:tc>
          <w:tcPr>
            <w:tcW w:w="3479" w:type="pct"/>
            <w:tcBorders>
              <w:top w:val="nil"/>
              <w:left w:val="nil"/>
              <w:bottom w:val="single" w:color="auto" w:sz="4" w:space="0"/>
              <w:right w:val="single" w:color="auto" w:sz="4" w:space="0"/>
            </w:tcBorders>
            <w:vAlign w:val="center"/>
          </w:tcPr>
          <w:p w14:paraId="7A0E5ACB">
            <w:pPr>
              <w:rPr>
                <w:rFonts w:ascii="宋体" w:hAnsi="宋体" w:eastAsia="宋体" w:cs="宋体"/>
                <w:kern w:val="0"/>
                <w:sz w:val="24"/>
                <w:szCs w:val="24"/>
                <w:lang w:eastAsia="zh-CN"/>
              </w:rPr>
            </w:pPr>
            <w:r>
              <w:rPr>
                <w:rFonts w:ascii="宋体" w:hAnsi="宋体" w:eastAsia="宋体" w:cs="宋体"/>
                <w:kern w:val="0"/>
                <w:sz w:val="24"/>
                <w:szCs w:val="24"/>
                <w:lang w:eastAsia="zh-CN"/>
              </w:rPr>
              <w:t>当客梯内的乘客超过客梯额定负载后，蜂鸣器响，发出超载报警信号，提醒乘客离开，取消已登记轿内指令。</w:t>
            </w:r>
          </w:p>
        </w:tc>
      </w:tr>
      <w:tr w14:paraId="0CF297CA">
        <w:tblPrEx>
          <w:tblCellMar>
            <w:top w:w="0" w:type="dxa"/>
            <w:left w:w="108" w:type="dxa"/>
            <w:bottom w:w="0" w:type="dxa"/>
            <w:right w:w="108" w:type="dxa"/>
          </w:tblCellMar>
        </w:tblPrEx>
        <w:trPr>
          <w:trHeight w:val="824" w:hRule="atLeast"/>
          <w:jc w:val="center"/>
        </w:trPr>
        <w:tc>
          <w:tcPr>
            <w:tcW w:w="377" w:type="pct"/>
            <w:tcBorders>
              <w:top w:val="nil"/>
              <w:left w:val="single" w:color="auto" w:sz="4" w:space="0"/>
              <w:bottom w:val="single" w:color="auto" w:sz="4" w:space="0"/>
              <w:right w:val="single" w:color="auto" w:sz="4" w:space="0"/>
            </w:tcBorders>
            <w:noWrap/>
            <w:vAlign w:val="center"/>
          </w:tcPr>
          <w:p w14:paraId="3CC92B7C">
            <w:pPr>
              <w:jc w:val="center"/>
              <w:rPr>
                <w:rFonts w:ascii="宋体" w:hAnsi="宋体" w:eastAsia="宋体" w:cs="宋体"/>
                <w:kern w:val="0"/>
                <w:sz w:val="24"/>
                <w:szCs w:val="24"/>
              </w:rPr>
            </w:pPr>
            <w:r>
              <w:rPr>
                <w:rFonts w:ascii="宋体" w:hAnsi="宋体" w:eastAsia="宋体" w:cs="宋体"/>
                <w:kern w:val="0"/>
                <w:sz w:val="24"/>
                <w:szCs w:val="24"/>
              </w:rPr>
              <w:t>10</w:t>
            </w:r>
          </w:p>
        </w:tc>
        <w:tc>
          <w:tcPr>
            <w:tcW w:w="1142" w:type="pct"/>
            <w:tcBorders>
              <w:top w:val="nil"/>
              <w:left w:val="nil"/>
              <w:bottom w:val="single" w:color="auto" w:sz="4" w:space="0"/>
              <w:right w:val="single" w:color="auto" w:sz="4" w:space="0"/>
            </w:tcBorders>
            <w:vAlign w:val="center"/>
          </w:tcPr>
          <w:p w14:paraId="32AEFB44">
            <w:pPr>
              <w:jc w:val="center"/>
              <w:rPr>
                <w:rFonts w:ascii="宋体" w:hAnsi="宋体" w:eastAsia="宋体" w:cs="宋体"/>
                <w:kern w:val="0"/>
                <w:sz w:val="24"/>
                <w:szCs w:val="24"/>
              </w:rPr>
            </w:pPr>
            <w:r>
              <w:rPr>
                <w:rFonts w:ascii="宋体" w:hAnsi="宋体" w:eastAsia="宋体" w:cs="宋体"/>
                <w:kern w:val="0"/>
                <w:sz w:val="24"/>
                <w:szCs w:val="24"/>
              </w:rPr>
              <w:t>驱动设备过热保护</w:t>
            </w:r>
          </w:p>
        </w:tc>
        <w:tc>
          <w:tcPr>
            <w:tcW w:w="3479" w:type="pct"/>
            <w:tcBorders>
              <w:top w:val="nil"/>
              <w:left w:val="nil"/>
              <w:bottom w:val="single" w:color="auto" w:sz="4" w:space="0"/>
              <w:right w:val="single" w:color="auto" w:sz="4" w:space="0"/>
            </w:tcBorders>
            <w:vAlign w:val="center"/>
          </w:tcPr>
          <w:p w14:paraId="1195416B">
            <w:pPr>
              <w:rPr>
                <w:rFonts w:ascii="宋体" w:hAnsi="宋体" w:eastAsia="宋体" w:cs="宋体"/>
                <w:kern w:val="0"/>
                <w:sz w:val="24"/>
                <w:szCs w:val="24"/>
                <w:lang w:eastAsia="zh-CN"/>
              </w:rPr>
            </w:pPr>
            <w:r>
              <w:rPr>
                <w:rFonts w:ascii="宋体" w:hAnsi="宋体" w:eastAsia="宋体" w:cs="宋体"/>
                <w:kern w:val="0"/>
                <w:sz w:val="24"/>
                <w:szCs w:val="24"/>
                <w:lang w:eastAsia="zh-CN"/>
              </w:rPr>
              <w:t>如电机温度超过限定值，客梯将完成当次运行后，进入待机状态，温度恢复后客梯自动恢复正常工作。</w:t>
            </w:r>
          </w:p>
        </w:tc>
      </w:tr>
      <w:tr w14:paraId="344F0D89">
        <w:tblPrEx>
          <w:tblCellMar>
            <w:top w:w="0" w:type="dxa"/>
            <w:left w:w="108" w:type="dxa"/>
            <w:bottom w:w="0" w:type="dxa"/>
            <w:right w:w="108" w:type="dxa"/>
          </w:tblCellMar>
        </w:tblPrEx>
        <w:trPr>
          <w:trHeight w:val="836" w:hRule="atLeast"/>
          <w:jc w:val="center"/>
        </w:trPr>
        <w:tc>
          <w:tcPr>
            <w:tcW w:w="377" w:type="pct"/>
            <w:tcBorders>
              <w:top w:val="nil"/>
              <w:left w:val="single" w:color="auto" w:sz="4" w:space="0"/>
              <w:bottom w:val="single" w:color="auto" w:sz="4" w:space="0"/>
              <w:right w:val="single" w:color="auto" w:sz="4" w:space="0"/>
            </w:tcBorders>
            <w:noWrap/>
            <w:vAlign w:val="center"/>
          </w:tcPr>
          <w:p w14:paraId="3514C92D">
            <w:pPr>
              <w:jc w:val="center"/>
              <w:rPr>
                <w:rFonts w:ascii="宋体" w:hAnsi="宋体" w:eastAsia="宋体" w:cs="宋体"/>
                <w:kern w:val="0"/>
                <w:sz w:val="24"/>
                <w:szCs w:val="24"/>
              </w:rPr>
            </w:pPr>
            <w:r>
              <w:rPr>
                <w:rFonts w:ascii="宋体" w:hAnsi="宋体" w:eastAsia="宋体" w:cs="宋体"/>
                <w:kern w:val="0"/>
                <w:sz w:val="24"/>
                <w:szCs w:val="24"/>
              </w:rPr>
              <w:t>11</w:t>
            </w:r>
          </w:p>
        </w:tc>
        <w:tc>
          <w:tcPr>
            <w:tcW w:w="1142" w:type="pct"/>
            <w:tcBorders>
              <w:top w:val="nil"/>
              <w:left w:val="nil"/>
              <w:bottom w:val="single" w:color="auto" w:sz="4" w:space="0"/>
              <w:right w:val="single" w:color="auto" w:sz="4" w:space="0"/>
            </w:tcBorders>
            <w:vAlign w:val="center"/>
          </w:tcPr>
          <w:p w14:paraId="15A2DDC8">
            <w:pPr>
              <w:jc w:val="center"/>
              <w:rPr>
                <w:rFonts w:ascii="宋体" w:hAnsi="宋体" w:eastAsia="宋体" w:cs="宋体"/>
                <w:kern w:val="0"/>
                <w:sz w:val="24"/>
                <w:szCs w:val="24"/>
              </w:rPr>
            </w:pPr>
            <w:r>
              <w:rPr>
                <w:rFonts w:ascii="宋体" w:hAnsi="宋体" w:eastAsia="宋体" w:cs="宋体"/>
                <w:kern w:val="0"/>
                <w:sz w:val="24"/>
                <w:szCs w:val="24"/>
              </w:rPr>
              <w:t>电网异常检测功能</w:t>
            </w:r>
          </w:p>
        </w:tc>
        <w:tc>
          <w:tcPr>
            <w:tcW w:w="3479" w:type="pct"/>
            <w:tcBorders>
              <w:top w:val="nil"/>
              <w:left w:val="nil"/>
              <w:bottom w:val="single" w:color="auto" w:sz="4" w:space="0"/>
              <w:right w:val="single" w:color="auto" w:sz="4" w:space="0"/>
            </w:tcBorders>
            <w:vAlign w:val="center"/>
          </w:tcPr>
          <w:p w14:paraId="050AC4EA">
            <w:pPr>
              <w:rPr>
                <w:rFonts w:ascii="宋体" w:hAnsi="宋体" w:eastAsia="宋体" w:cs="宋体"/>
                <w:kern w:val="0"/>
                <w:sz w:val="24"/>
                <w:szCs w:val="24"/>
                <w:lang w:eastAsia="zh-CN"/>
              </w:rPr>
            </w:pPr>
            <w:r>
              <w:rPr>
                <w:rFonts w:ascii="宋体" w:hAnsi="宋体" w:eastAsia="宋体" w:cs="宋体"/>
                <w:kern w:val="0"/>
                <w:sz w:val="24"/>
                <w:szCs w:val="24"/>
                <w:lang w:eastAsia="zh-CN"/>
              </w:rPr>
              <w:t>电网波动幅度超过一定的安全范围，错相、缺相时，系统进入保护状态，客梯停止运行。</w:t>
            </w:r>
          </w:p>
        </w:tc>
      </w:tr>
      <w:tr w14:paraId="53EFCCD0">
        <w:tblPrEx>
          <w:tblCellMar>
            <w:top w:w="0" w:type="dxa"/>
            <w:left w:w="108" w:type="dxa"/>
            <w:bottom w:w="0" w:type="dxa"/>
            <w:right w:w="108" w:type="dxa"/>
          </w:tblCellMar>
        </w:tblPrEx>
        <w:trPr>
          <w:trHeight w:val="1132" w:hRule="atLeast"/>
          <w:jc w:val="center"/>
        </w:trPr>
        <w:tc>
          <w:tcPr>
            <w:tcW w:w="377" w:type="pct"/>
            <w:tcBorders>
              <w:top w:val="nil"/>
              <w:left w:val="single" w:color="auto" w:sz="4" w:space="0"/>
              <w:bottom w:val="single" w:color="auto" w:sz="4" w:space="0"/>
              <w:right w:val="single" w:color="auto" w:sz="4" w:space="0"/>
            </w:tcBorders>
            <w:noWrap/>
            <w:vAlign w:val="center"/>
          </w:tcPr>
          <w:p w14:paraId="3671B349">
            <w:pPr>
              <w:jc w:val="center"/>
              <w:rPr>
                <w:rFonts w:ascii="宋体" w:hAnsi="宋体" w:eastAsia="宋体" w:cs="宋体"/>
                <w:kern w:val="0"/>
                <w:sz w:val="24"/>
                <w:szCs w:val="24"/>
              </w:rPr>
            </w:pPr>
            <w:r>
              <w:rPr>
                <w:rFonts w:ascii="宋体" w:hAnsi="宋体" w:eastAsia="宋体" w:cs="宋体"/>
                <w:kern w:val="0"/>
                <w:sz w:val="24"/>
                <w:szCs w:val="24"/>
              </w:rPr>
              <w:t>12</w:t>
            </w:r>
          </w:p>
        </w:tc>
        <w:tc>
          <w:tcPr>
            <w:tcW w:w="1142" w:type="pct"/>
            <w:tcBorders>
              <w:top w:val="nil"/>
              <w:left w:val="nil"/>
              <w:bottom w:val="single" w:color="auto" w:sz="4" w:space="0"/>
              <w:right w:val="single" w:color="auto" w:sz="4" w:space="0"/>
            </w:tcBorders>
            <w:vAlign w:val="center"/>
          </w:tcPr>
          <w:p w14:paraId="736205C5">
            <w:pPr>
              <w:jc w:val="center"/>
              <w:rPr>
                <w:rFonts w:ascii="宋体" w:hAnsi="宋体" w:eastAsia="宋体" w:cs="宋体"/>
                <w:kern w:val="0"/>
                <w:sz w:val="24"/>
                <w:szCs w:val="24"/>
              </w:rPr>
            </w:pPr>
            <w:r>
              <w:rPr>
                <w:rFonts w:ascii="宋体" w:hAnsi="宋体" w:eastAsia="宋体" w:cs="宋体"/>
                <w:kern w:val="0"/>
                <w:sz w:val="24"/>
                <w:szCs w:val="24"/>
              </w:rPr>
              <w:t>速度异常检测功能</w:t>
            </w:r>
          </w:p>
        </w:tc>
        <w:tc>
          <w:tcPr>
            <w:tcW w:w="3479" w:type="pct"/>
            <w:tcBorders>
              <w:top w:val="nil"/>
              <w:left w:val="nil"/>
              <w:bottom w:val="single" w:color="auto" w:sz="4" w:space="0"/>
              <w:right w:val="single" w:color="auto" w:sz="4" w:space="0"/>
            </w:tcBorders>
            <w:vAlign w:val="center"/>
          </w:tcPr>
          <w:p w14:paraId="6AFA0E78">
            <w:pPr>
              <w:rPr>
                <w:rFonts w:ascii="宋体" w:hAnsi="宋体" w:eastAsia="宋体" w:cs="宋体"/>
                <w:kern w:val="0"/>
                <w:sz w:val="24"/>
                <w:szCs w:val="24"/>
                <w:lang w:eastAsia="zh-CN"/>
              </w:rPr>
            </w:pPr>
            <w:r>
              <w:rPr>
                <w:rFonts w:ascii="宋体" w:hAnsi="宋体" w:eastAsia="宋体" w:cs="宋体"/>
                <w:kern w:val="0"/>
                <w:sz w:val="24"/>
                <w:szCs w:val="24"/>
                <w:lang w:eastAsia="zh-CN"/>
              </w:rPr>
              <w:t>系统通过对编码器反馈信号与系统给定速度进行比较，对客梯运行速度进行控制，一旦两者偏差超出系统允许的范围，系统进入保护，客梯停止运行。</w:t>
            </w:r>
          </w:p>
        </w:tc>
      </w:tr>
      <w:tr w14:paraId="36D19A46">
        <w:tblPrEx>
          <w:tblCellMar>
            <w:top w:w="0" w:type="dxa"/>
            <w:left w:w="108" w:type="dxa"/>
            <w:bottom w:w="0" w:type="dxa"/>
            <w:right w:w="108" w:type="dxa"/>
          </w:tblCellMar>
        </w:tblPrEx>
        <w:trPr>
          <w:trHeight w:val="836" w:hRule="atLeast"/>
          <w:jc w:val="center"/>
        </w:trPr>
        <w:tc>
          <w:tcPr>
            <w:tcW w:w="377" w:type="pct"/>
            <w:tcBorders>
              <w:top w:val="nil"/>
              <w:left w:val="single" w:color="auto" w:sz="4" w:space="0"/>
              <w:bottom w:val="single" w:color="auto" w:sz="4" w:space="0"/>
              <w:right w:val="single" w:color="auto" w:sz="4" w:space="0"/>
            </w:tcBorders>
            <w:noWrap/>
            <w:vAlign w:val="center"/>
          </w:tcPr>
          <w:p w14:paraId="25888FEE">
            <w:pPr>
              <w:jc w:val="center"/>
              <w:rPr>
                <w:rFonts w:ascii="宋体" w:hAnsi="宋体" w:eastAsia="宋体" w:cs="宋体"/>
                <w:kern w:val="0"/>
                <w:sz w:val="24"/>
                <w:szCs w:val="24"/>
              </w:rPr>
            </w:pPr>
            <w:r>
              <w:rPr>
                <w:rFonts w:ascii="宋体" w:hAnsi="宋体" w:eastAsia="宋体" w:cs="宋体"/>
                <w:kern w:val="0"/>
                <w:sz w:val="24"/>
                <w:szCs w:val="24"/>
              </w:rPr>
              <w:t>13</w:t>
            </w:r>
          </w:p>
        </w:tc>
        <w:tc>
          <w:tcPr>
            <w:tcW w:w="1142" w:type="pct"/>
            <w:tcBorders>
              <w:top w:val="nil"/>
              <w:left w:val="nil"/>
              <w:bottom w:val="single" w:color="auto" w:sz="4" w:space="0"/>
              <w:right w:val="single" w:color="auto" w:sz="4" w:space="0"/>
            </w:tcBorders>
            <w:vAlign w:val="center"/>
          </w:tcPr>
          <w:p w14:paraId="1D677390">
            <w:pPr>
              <w:jc w:val="center"/>
              <w:rPr>
                <w:rFonts w:ascii="宋体" w:hAnsi="宋体" w:eastAsia="宋体" w:cs="宋体"/>
                <w:kern w:val="0"/>
                <w:sz w:val="24"/>
                <w:szCs w:val="24"/>
              </w:rPr>
            </w:pPr>
            <w:r>
              <w:rPr>
                <w:rFonts w:ascii="宋体" w:hAnsi="宋体" w:eastAsia="宋体" w:cs="宋体"/>
                <w:kern w:val="0"/>
                <w:sz w:val="24"/>
                <w:szCs w:val="24"/>
              </w:rPr>
              <w:t>接触器异常检测功能</w:t>
            </w:r>
          </w:p>
        </w:tc>
        <w:tc>
          <w:tcPr>
            <w:tcW w:w="3479" w:type="pct"/>
            <w:tcBorders>
              <w:top w:val="nil"/>
              <w:left w:val="nil"/>
              <w:bottom w:val="single" w:color="auto" w:sz="4" w:space="0"/>
              <w:right w:val="single" w:color="auto" w:sz="4" w:space="0"/>
            </w:tcBorders>
            <w:vAlign w:val="center"/>
          </w:tcPr>
          <w:p w14:paraId="2B922A32">
            <w:pPr>
              <w:rPr>
                <w:rFonts w:ascii="宋体" w:hAnsi="宋体" w:eastAsia="宋体" w:cs="宋体"/>
                <w:kern w:val="0"/>
                <w:sz w:val="24"/>
                <w:szCs w:val="24"/>
                <w:lang w:eastAsia="zh-CN"/>
              </w:rPr>
            </w:pPr>
            <w:r>
              <w:rPr>
                <w:rFonts w:ascii="宋体" w:hAnsi="宋体" w:eastAsia="宋体" w:cs="宋体"/>
                <w:kern w:val="0"/>
                <w:sz w:val="24"/>
                <w:szCs w:val="24"/>
                <w:lang w:eastAsia="zh-CN"/>
              </w:rPr>
              <w:t>系统根据接触器控制命令状态检测主接触器、抱闸接触器的反馈，如发现异常，系统进入保护，客梯停止运行。</w:t>
            </w:r>
          </w:p>
        </w:tc>
      </w:tr>
      <w:tr w14:paraId="5EE19E7F">
        <w:tblPrEx>
          <w:tblCellMar>
            <w:top w:w="0" w:type="dxa"/>
            <w:left w:w="108" w:type="dxa"/>
            <w:bottom w:w="0" w:type="dxa"/>
            <w:right w:w="108" w:type="dxa"/>
          </w:tblCellMar>
        </w:tblPrEx>
        <w:trPr>
          <w:trHeight w:val="975" w:hRule="atLeast"/>
          <w:jc w:val="center"/>
        </w:trPr>
        <w:tc>
          <w:tcPr>
            <w:tcW w:w="377" w:type="pct"/>
            <w:tcBorders>
              <w:top w:val="nil"/>
              <w:left w:val="single" w:color="auto" w:sz="4" w:space="0"/>
              <w:bottom w:val="single" w:color="auto" w:sz="4" w:space="0"/>
              <w:right w:val="single" w:color="auto" w:sz="4" w:space="0"/>
            </w:tcBorders>
            <w:noWrap/>
            <w:vAlign w:val="center"/>
          </w:tcPr>
          <w:p w14:paraId="67C6E579">
            <w:pPr>
              <w:jc w:val="center"/>
              <w:rPr>
                <w:rFonts w:ascii="宋体" w:hAnsi="宋体" w:eastAsia="宋体" w:cs="宋体"/>
                <w:kern w:val="0"/>
                <w:sz w:val="24"/>
                <w:szCs w:val="24"/>
              </w:rPr>
            </w:pPr>
            <w:r>
              <w:rPr>
                <w:rFonts w:ascii="宋体" w:hAnsi="宋体" w:eastAsia="宋体" w:cs="宋体"/>
                <w:kern w:val="0"/>
                <w:sz w:val="24"/>
                <w:szCs w:val="24"/>
              </w:rPr>
              <w:t>14</w:t>
            </w:r>
          </w:p>
        </w:tc>
        <w:tc>
          <w:tcPr>
            <w:tcW w:w="1142" w:type="pct"/>
            <w:tcBorders>
              <w:top w:val="nil"/>
              <w:left w:val="nil"/>
              <w:bottom w:val="single" w:color="auto" w:sz="4" w:space="0"/>
              <w:right w:val="single" w:color="auto" w:sz="4" w:space="0"/>
            </w:tcBorders>
            <w:vAlign w:val="center"/>
          </w:tcPr>
          <w:p w14:paraId="3370107B">
            <w:pPr>
              <w:jc w:val="center"/>
              <w:rPr>
                <w:rFonts w:ascii="宋体" w:hAnsi="宋体" w:eastAsia="宋体" w:cs="宋体"/>
                <w:kern w:val="0"/>
                <w:sz w:val="24"/>
                <w:szCs w:val="24"/>
              </w:rPr>
            </w:pPr>
            <w:r>
              <w:rPr>
                <w:rFonts w:ascii="宋体" w:hAnsi="宋体" w:eastAsia="宋体" w:cs="宋体"/>
                <w:kern w:val="0"/>
                <w:sz w:val="24"/>
                <w:szCs w:val="24"/>
              </w:rPr>
              <w:t>抱闸异常检测功能</w:t>
            </w:r>
          </w:p>
        </w:tc>
        <w:tc>
          <w:tcPr>
            <w:tcW w:w="3479" w:type="pct"/>
            <w:tcBorders>
              <w:top w:val="nil"/>
              <w:left w:val="nil"/>
              <w:bottom w:val="single" w:color="auto" w:sz="4" w:space="0"/>
              <w:right w:val="single" w:color="auto" w:sz="4" w:space="0"/>
            </w:tcBorders>
            <w:vAlign w:val="center"/>
          </w:tcPr>
          <w:p w14:paraId="289DD4AE">
            <w:pPr>
              <w:rPr>
                <w:rFonts w:ascii="宋体" w:hAnsi="宋体" w:eastAsia="宋体" w:cs="宋体"/>
                <w:kern w:val="0"/>
                <w:sz w:val="24"/>
                <w:szCs w:val="24"/>
              </w:rPr>
            </w:pPr>
            <w:r>
              <w:rPr>
                <w:rFonts w:ascii="宋体" w:hAnsi="宋体" w:eastAsia="宋体" w:cs="宋体"/>
                <w:kern w:val="0"/>
                <w:sz w:val="24"/>
                <w:szCs w:val="24"/>
                <w:lang w:eastAsia="zh-CN"/>
              </w:rPr>
              <w:t>当系统发出运行命令时，检测到抱闸未打开时；或者系统未发出运行命令，却检测到抱闸打开信号，客梯都将保护，不能运行。</w:t>
            </w:r>
            <w:r>
              <w:rPr>
                <w:rFonts w:ascii="宋体" w:hAnsi="宋体" w:eastAsia="宋体" w:cs="宋体"/>
                <w:kern w:val="0"/>
                <w:sz w:val="24"/>
                <w:szCs w:val="24"/>
              </w:rPr>
              <w:t>制动力矩检测功能。</w:t>
            </w:r>
          </w:p>
        </w:tc>
      </w:tr>
      <w:tr w14:paraId="11D5D9E3">
        <w:tblPrEx>
          <w:tblCellMar>
            <w:top w:w="0" w:type="dxa"/>
            <w:left w:w="108" w:type="dxa"/>
            <w:bottom w:w="0" w:type="dxa"/>
            <w:right w:w="108" w:type="dxa"/>
          </w:tblCellMar>
        </w:tblPrEx>
        <w:trPr>
          <w:trHeight w:val="578" w:hRule="atLeast"/>
          <w:jc w:val="center"/>
        </w:trPr>
        <w:tc>
          <w:tcPr>
            <w:tcW w:w="377" w:type="pct"/>
            <w:tcBorders>
              <w:top w:val="nil"/>
              <w:left w:val="single" w:color="auto" w:sz="4" w:space="0"/>
              <w:bottom w:val="single" w:color="auto" w:sz="4" w:space="0"/>
              <w:right w:val="single" w:color="auto" w:sz="4" w:space="0"/>
            </w:tcBorders>
            <w:noWrap/>
            <w:vAlign w:val="center"/>
          </w:tcPr>
          <w:p w14:paraId="008EE865">
            <w:pPr>
              <w:jc w:val="center"/>
              <w:rPr>
                <w:rFonts w:ascii="宋体" w:hAnsi="宋体" w:eastAsia="宋体" w:cs="宋体"/>
                <w:kern w:val="0"/>
                <w:sz w:val="24"/>
                <w:szCs w:val="24"/>
              </w:rPr>
            </w:pPr>
            <w:r>
              <w:rPr>
                <w:rFonts w:ascii="宋体" w:hAnsi="宋体" w:eastAsia="宋体" w:cs="宋体"/>
                <w:kern w:val="0"/>
                <w:sz w:val="24"/>
                <w:szCs w:val="24"/>
              </w:rPr>
              <w:t>15</w:t>
            </w:r>
          </w:p>
        </w:tc>
        <w:tc>
          <w:tcPr>
            <w:tcW w:w="1142" w:type="pct"/>
            <w:tcBorders>
              <w:top w:val="nil"/>
              <w:left w:val="nil"/>
              <w:bottom w:val="single" w:color="auto" w:sz="4" w:space="0"/>
              <w:right w:val="single" w:color="auto" w:sz="4" w:space="0"/>
            </w:tcBorders>
            <w:vAlign w:val="center"/>
          </w:tcPr>
          <w:p w14:paraId="77805D0E">
            <w:pPr>
              <w:jc w:val="center"/>
              <w:rPr>
                <w:rFonts w:ascii="宋体" w:hAnsi="宋体" w:eastAsia="宋体" w:cs="宋体"/>
                <w:kern w:val="0"/>
                <w:sz w:val="24"/>
                <w:szCs w:val="24"/>
              </w:rPr>
            </w:pPr>
            <w:r>
              <w:rPr>
                <w:rFonts w:ascii="宋体" w:hAnsi="宋体" w:eastAsia="宋体" w:cs="宋体"/>
                <w:kern w:val="0"/>
                <w:sz w:val="24"/>
                <w:szCs w:val="24"/>
              </w:rPr>
              <w:t>轿顶检修</w:t>
            </w:r>
          </w:p>
        </w:tc>
        <w:tc>
          <w:tcPr>
            <w:tcW w:w="3479" w:type="pct"/>
            <w:tcBorders>
              <w:top w:val="nil"/>
              <w:left w:val="nil"/>
              <w:bottom w:val="single" w:color="auto" w:sz="4" w:space="0"/>
              <w:right w:val="single" w:color="auto" w:sz="4" w:space="0"/>
            </w:tcBorders>
            <w:vAlign w:val="center"/>
          </w:tcPr>
          <w:p w14:paraId="3F6B5CE2">
            <w:pPr>
              <w:rPr>
                <w:rFonts w:ascii="宋体" w:hAnsi="宋体" w:eastAsia="宋体" w:cs="宋体"/>
                <w:kern w:val="0"/>
                <w:sz w:val="24"/>
                <w:szCs w:val="24"/>
                <w:lang w:eastAsia="zh-CN"/>
              </w:rPr>
            </w:pPr>
            <w:r>
              <w:rPr>
                <w:rFonts w:ascii="宋体" w:hAnsi="宋体" w:eastAsia="宋体" w:cs="宋体"/>
                <w:kern w:val="0"/>
                <w:sz w:val="24"/>
                <w:szCs w:val="24"/>
                <w:lang w:eastAsia="zh-CN"/>
              </w:rPr>
              <w:t>轿顶设置检修开关，使检修维护更为安全快捷。</w:t>
            </w:r>
          </w:p>
        </w:tc>
      </w:tr>
      <w:tr w14:paraId="00A89A92">
        <w:tblPrEx>
          <w:tblCellMar>
            <w:top w:w="0" w:type="dxa"/>
            <w:left w:w="108" w:type="dxa"/>
            <w:bottom w:w="0" w:type="dxa"/>
            <w:right w:w="108" w:type="dxa"/>
          </w:tblCellMar>
        </w:tblPrEx>
        <w:trPr>
          <w:trHeight w:val="842" w:hRule="atLeast"/>
          <w:jc w:val="center"/>
        </w:trPr>
        <w:tc>
          <w:tcPr>
            <w:tcW w:w="377" w:type="pct"/>
            <w:tcBorders>
              <w:top w:val="nil"/>
              <w:left w:val="single" w:color="auto" w:sz="4" w:space="0"/>
              <w:bottom w:val="single" w:color="auto" w:sz="4" w:space="0"/>
              <w:right w:val="single" w:color="auto" w:sz="4" w:space="0"/>
            </w:tcBorders>
            <w:noWrap/>
            <w:vAlign w:val="center"/>
          </w:tcPr>
          <w:p w14:paraId="41A32DB6">
            <w:pPr>
              <w:jc w:val="center"/>
              <w:rPr>
                <w:rFonts w:ascii="宋体" w:hAnsi="宋体" w:eastAsia="宋体" w:cs="宋体"/>
                <w:kern w:val="0"/>
                <w:sz w:val="24"/>
                <w:szCs w:val="24"/>
              </w:rPr>
            </w:pPr>
            <w:r>
              <w:rPr>
                <w:rFonts w:ascii="宋体" w:hAnsi="宋体" w:eastAsia="宋体" w:cs="宋体"/>
                <w:kern w:val="0"/>
                <w:sz w:val="24"/>
                <w:szCs w:val="24"/>
              </w:rPr>
              <w:t>16</w:t>
            </w:r>
          </w:p>
        </w:tc>
        <w:tc>
          <w:tcPr>
            <w:tcW w:w="1142" w:type="pct"/>
            <w:tcBorders>
              <w:top w:val="nil"/>
              <w:left w:val="nil"/>
              <w:bottom w:val="single" w:color="auto" w:sz="4" w:space="0"/>
              <w:right w:val="single" w:color="auto" w:sz="4" w:space="0"/>
            </w:tcBorders>
            <w:vAlign w:val="center"/>
          </w:tcPr>
          <w:p w14:paraId="7C6F00C1">
            <w:pPr>
              <w:jc w:val="center"/>
              <w:rPr>
                <w:rFonts w:ascii="宋体" w:hAnsi="宋体" w:eastAsia="宋体" w:cs="宋体"/>
                <w:kern w:val="0"/>
                <w:sz w:val="24"/>
                <w:szCs w:val="24"/>
              </w:rPr>
            </w:pPr>
            <w:r>
              <w:rPr>
                <w:rFonts w:ascii="宋体" w:hAnsi="宋体" w:eastAsia="宋体" w:cs="宋体"/>
                <w:kern w:val="0"/>
                <w:sz w:val="24"/>
                <w:szCs w:val="24"/>
              </w:rPr>
              <w:t>机房紧急电动运行</w:t>
            </w:r>
          </w:p>
        </w:tc>
        <w:tc>
          <w:tcPr>
            <w:tcW w:w="3479" w:type="pct"/>
            <w:tcBorders>
              <w:top w:val="nil"/>
              <w:left w:val="nil"/>
              <w:bottom w:val="single" w:color="auto" w:sz="4" w:space="0"/>
              <w:right w:val="single" w:color="auto" w:sz="4" w:space="0"/>
            </w:tcBorders>
            <w:vAlign w:val="center"/>
          </w:tcPr>
          <w:p w14:paraId="17E02CDB">
            <w:pPr>
              <w:rPr>
                <w:rFonts w:ascii="宋体" w:hAnsi="宋体" w:eastAsia="宋体" w:cs="宋体"/>
                <w:kern w:val="0"/>
                <w:sz w:val="24"/>
                <w:szCs w:val="24"/>
                <w:lang w:eastAsia="zh-CN"/>
              </w:rPr>
            </w:pPr>
            <w:r>
              <w:rPr>
                <w:rFonts w:ascii="宋体" w:hAnsi="宋体" w:eastAsia="宋体" w:cs="宋体"/>
                <w:kern w:val="0"/>
                <w:sz w:val="24"/>
                <w:szCs w:val="24"/>
                <w:lang w:eastAsia="zh-CN"/>
              </w:rPr>
              <w:t>控制柜内设有机房紧急电动运行装置，发生紧急情况时，可以由专业人员在机房进行操作。</w:t>
            </w:r>
          </w:p>
        </w:tc>
      </w:tr>
      <w:tr w14:paraId="199A2E08">
        <w:tblPrEx>
          <w:tblCellMar>
            <w:top w:w="0" w:type="dxa"/>
            <w:left w:w="108" w:type="dxa"/>
            <w:bottom w:w="0" w:type="dxa"/>
            <w:right w:w="108" w:type="dxa"/>
          </w:tblCellMar>
        </w:tblPrEx>
        <w:trPr>
          <w:trHeight w:val="698" w:hRule="atLeast"/>
          <w:jc w:val="center"/>
        </w:trPr>
        <w:tc>
          <w:tcPr>
            <w:tcW w:w="377" w:type="pct"/>
            <w:tcBorders>
              <w:top w:val="nil"/>
              <w:left w:val="single" w:color="auto" w:sz="4" w:space="0"/>
              <w:bottom w:val="single" w:color="auto" w:sz="4" w:space="0"/>
              <w:right w:val="single" w:color="auto" w:sz="4" w:space="0"/>
            </w:tcBorders>
            <w:noWrap/>
            <w:vAlign w:val="center"/>
          </w:tcPr>
          <w:p w14:paraId="533BB7D2">
            <w:pPr>
              <w:jc w:val="center"/>
              <w:rPr>
                <w:rFonts w:ascii="宋体" w:hAnsi="宋体" w:eastAsia="宋体" w:cs="宋体"/>
                <w:kern w:val="0"/>
                <w:sz w:val="24"/>
                <w:szCs w:val="24"/>
              </w:rPr>
            </w:pPr>
            <w:r>
              <w:rPr>
                <w:rFonts w:ascii="宋体" w:hAnsi="宋体" w:eastAsia="宋体" w:cs="宋体"/>
                <w:kern w:val="0"/>
                <w:sz w:val="24"/>
                <w:szCs w:val="24"/>
              </w:rPr>
              <w:t>17</w:t>
            </w:r>
          </w:p>
        </w:tc>
        <w:tc>
          <w:tcPr>
            <w:tcW w:w="1142" w:type="pct"/>
            <w:tcBorders>
              <w:top w:val="nil"/>
              <w:left w:val="nil"/>
              <w:bottom w:val="single" w:color="auto" w:sz="4" w:space="0"/>
              <w:right w:val="single" w:color="auto" w:sz="4" w:space="0"/>
            </w:tcBorders>
            <w:vAlign w:val="center"/>
          </w:tcPr>
          <w:p w14:paraId="285DFB7C">
            <w:pPr>
              <w:jc w:val="center"/>
              <w:rPr>
                <w:rFonts w:ascii="宋体" w:hAnsi="宋体" w:eastAsia="宋体" w:cs="宋体"/>
                <w:kern w:val="0"/>
                <w:sz w:val="24"/>
                <w:szCs w:val="24"/>
              </w:rPr>
            </w:pPr>
            <w:r>
              <w:rPr>
                <w:rFonts w:ascii="宋体" w:hAnsi="宋体" w:eastAsia="宋体" w:cs="宋体"/>
                <w:kern w:val="0"/>
                <w:sz w:val="24"/>
                <w:szCs w:val="24"/>
              </w:rPr>
              <w:t>自动泊梯</w:t>
            </w:r>
          </w:p>
        </w:tc>
        <w:tc>
          <w:tcPr>
            <w:tcW w:w="3479" w:type="pct"/>
            <w:tcBorders>
              <w:top w:val="nil"/>
              <w:left w:val="nil"/>
              <w:bottom w:val="single" w:color="auto" w:sz="4" w:space="0"/>
              <w:right w:val="single" w:color="auto" w:sz="4" w:space="0"/>
            </w:tcBorders>
            <w:vAlign w:val="center"/>
          </w:tcPr>
          <w:p w14:paraId="467E1E25">
            <w:pPr>
              <w:rPr>
                <w:rFonts w:ascii="宋体" w:hAnsi="宋体" w:eastAsia="宋体" w:cs="宋体"/>
                <w:kern w:val="0"/>
                <w:sz w:val="24"/>
                <w:szCs w:val="24"/>
                <w:lang w:eastAsia="zh-CN"/>
              </w:rPr>
            </w:pPr>
            <w:r>
              <w:rPr>
                <w:rFonts w:ascii="宋体" w:hAnsi="宋体" w:eastAsia="宋体" w:cs="宋体"/>
                <w:kern w:val="0"/>
                <w:sz w:val="24"/>
                <w:szCs w:val="24"/>
                <w:lang w:eastAsia="zh-CN"/>
              </w:rPr>
              <w:t>客梯将运算不同的楼层信息，并控制各台客梯自动停泊在不同的楼层，提高效率。</w:t>
            </w:r>
          </w:p>
        </w:tc>
      </w:tr>
      <w:tr w14:paraId="3AD984F5">
        <w:tblPrEx>
          <w:tblCellMar>
            <w:top w:w="0" w:type="dxa"/>
            <w:left w:w="108" w:type="dxa"/>
            <w:bottom w:w="0" w:type="dxa"/>
            <w:right w:w="108" w:type="dxa"/>
          </w:tblCellMar>
        </w:tblPrEx>
        <w:trPr>
          <w:trHeight w:val="836" w:hRule="atLeast"/>
          <w:jc w:val="center"/>
        </w:trPr>
        <w:tc>
          <w:tcPr>
            <w:tcW w:w="377" w:type="pct"/>
            <w:tcBorders>
              <w:top w:val="nil"/>
              <w:left w:val="single" w:color="auto" w:sz="4" w:space="0"/>
              <w:bottom w:val="single" w:color="auto" w:sz="4" w:space="0"/>
              <w:right w:val="single" w:color="auto" w:sz="4" w:space="0"/>
            </w:tcBorders>
            <w:noWrap/>
            <w:vAlign w:val="center"/>
          </w:tcPr>
          <w:p w14:paraId="45DB95E0">
            <w:pPr>
              <w:jc w:val="center"/>
              <w:rPr>
                <w:rFonts w:ascii="宋体" w:hAnsi="宋体" w:eastAsia="宋体" w:cs="宋体"/>
                <w:kern w:val="0"/>
                <w:sz w:val="24"/>
                <w:szCs w:val="24"/>
              </w:rPr>
            </w:pPr>
            <w:r>
              <w:rPr>
                <w:rFonts w:ascii="宋体" w:hAnsi="宋体" w:eastAsia="宋体" w:cs="宋体"/>
                <w:kern w:val="0"/>
                <w:sz w:val="24"/>
                <w:szCs w:val="24"/>
              </w:rPr>
              <w:t>18</w:t>
            </w:r>
          </w:p>
        </w:tc>
        <w:tc>
          <w:tcPr>
            <w:tcW w:w="1142" w:type="pct"/>
            <w:tcBorders>
              <w:top w:val="nil"/>
              <w:left w:val="nil"/>
              <w:bottom w:val="single" w:color="auto" w:sz="4" w:space="0"/>
              <w:right w:val="single" w:color="auto" w:sz="4" w:space="0"/>
            </w:tcBorders>
            <w:vAlign w:val="center"/>
          </w:tcPr>
          <w:p w14:paraId="1986EC08">
            <w:pPr>
              <w:jc w:val="center"/>
              <w:rPr>
                <w:rFonts w:ascii="宋体" w:hAnsi="宋体" w:eastAsia="宋体" w:cs="宋体"/>
                <w:kern w:val="0"/>
                <w:sz w:val="24"/>
                <w:szCs w:val="24"/>
              </w:rPr>
            </w:pPr>
            <w:r>
              <w:rPr>
                <w:rFonts w:ascii="宋体" w:hAnsi="宋体" w:eastAsia="宋体" w:cs="宋体"/>
                <w:kern w:val="0"/>
                <w:sz w:val="24"/>
                <w:szCs w:val="24"/>
              </w:rPr>
              <w:t>锁梯开关</w:t>
            </w:r>
          </w:p>
        </w:tc>
        <w:tc>
          <w:tcPr>
            <w:tcW w:w="3479" w:type="pct"/>
            <w:tcBorders>
              <w:top w:val="nil"/>
              <w:left w:val="nil"/>
              <w:bottom w:val="single" w:color="auto" w:sz="4" w:space="0"/>
              <w:right w:val="single" w:color="auto" w:sz="4" w:space="0"/>
            </w:tcBorders>
            <w:vAlign w:val="center"/>
          </w:tcPr>
          <w:p w14:paraId="0138ED50">
            <w:pPr>
              <w:rPr>
                <w:rFonts w:ascii="宋体" w:hAnsi="宋体" w:eastAsia="宋体" w:cs="宋体"/>
                <w:kern w:val="0"/>
                <w:sz w:val="24"/>
                <w:szCs w:val="24"/>
                <w:lang w:eastAsia="zh-CN"/>
              </w:rPr>
            </w:pPr>
            <w:r>
              <w:rPr>
                <w:rFonts w:ascii="宋体" w:hAnsi="宋体" w:eastAsia="宋体" w:cs="宋体"/>
                <w:kern w:val="0"/>
                <w:sz w:val="24"/>
                <w:szCs w:val="24"/>
                <w:lang w:eastAsia="zh-CN"/>
              </w:rPr>
              <w:t>锁梯开关动作后，系统不再响应外召指令，待客梯响应完轿内所有指令后，自动返回基站。</w:t>
            </w:r>
          </w:p>
        </w:tc>
      </w:tr>
      <w:tr w14:paraId="0758B007">
        <w:tblPrEx>
          <w:tblCellMar>
            <w:top w:w="0" w:type="dxa"/>
            <w:left w:w="108" w:type="dxa"/>
            <w:bottom w:w="0" w:type="dxa"/>
            <w:right w:w="108" w:type="dxa"/>
          </w:tblCellMar>
        </w:tblPrEx>
        <w:trPr>
          <w:trHeight w:val="834" w:hRule="atLeast"/>
          <w:jc w:val="center"/>
        </w:trPr>
        <w:tc>
          <w:tcPr>
            <w:tcW w:w="377" w:type="pct"/>
            <w:tcBorders>
              <w:top w:val="nil"/>
              <w:left w:val="single" w:color="auto" w:sz="4" w:space="0"/>
              <w:bottom w:val="single" w:color="auto" w:sz="4" w:space="0"/>
              <w:right w:val="single" w:color="auto" w:sz="4" w:space="0"/>
            </w:tcBorders>
            <w:noWrap/>
            <w:vAlign w:val="center"/>
          </w:tcPr>
          <w:p w14:paraId="7C6006E3">
            <w:pPr>
              <w:jc w:val="center"/>
              <w:rPr>
                <w:rFonts w:ascii="宋体" w:hAnsi="宋体" w:eastAsia="宋体" w:cs="宋体"/>
                <w:kern w:val="0"/>
                <w:sz w:val="24"/>
                <w:szCs w:val="24"/>
              </w:rPr>
            </w:pPr>
            <w:r>
              <w:rPr>
                <w:rFonts w:ascii="宋体" w:hAnsi="宋体" w:eastAsia="宋体" w:cs="宋体"/>
                <w:kern w:val="0"/>
                <w:sz w:val="24"/>
                <w:szCs w:val="24"/>
              </w:rPr>
              <w:t>19</w:t>
            </w:r>
          </w:p>
        </w:tc>
        <w:tc>
          <w:tcPr>
            <w:tcW w:w="1142" w:type="pct"/>
            <w:tcBorders>
              <w:top w:val="nil"/>
              <w:left w:val="nil"/>
              <w:bottom w:val="single" w:color="auto" w:sz="4" w:space="0"/>
              <w:right w:val="single" w:color="auto" w:sz="4" w:space="0"/>
            </w:tcBorders>
            <w:vAlign w:val="center"/>
          </w:tcPr>
          <w:p w14:paraId="3817DD77">
            <w:pPr>
              <w:jc w:val="center"/>
              <w:rPr>
                <w:rFonts w:ascii="宋体" w:hAnsi="宋体" w:eastAsia="宋体" w:cs="宋体"/>
                <w:kern w:val="0"/>
                <w:sz w:val="24"/>
                <w:szCs w:val="24"/>
                <w:lang w:eastAsia="zh-CN"/>
              </w:rPr>
            </w:pPr>
            <w:r>
              <w:rPr>
                <w:rFonts w:ascii="宋体" w:hAnsi="宋体" w:eastAsia="宋体" w:cs="宋体"/>
                <w:kern w:val="0"/>
                <w:sz w:val="24"/>
                <w:szCs w:val="24"/>
                <w:lang w:eastAsia="zh-CN"/>
              </w:rPr>
              <w:t>厅外、轿内开门时间分别控制</w:t>
            </w:r>
          </w:p>
        </w:tc>
        <w:tc>
          <w:tcPr>
            <w:tcW w:w="3479" w:type="pct"/>
            <w:tcBorders>
              <w:top w:val="nil"/>
              <w:left w:val="nil"/>
              <w:bottom w:val="single" w:color="auto" w:sz="4" w:space="0"/>
              <w:right w:val="single" w:color="auto" w:sz="4" w:space="0"/>
            </w:tcBorders>
            <w:vAlign w:val="center"/>
          </w:tcPr>
          <w:p w14:paraId="45B2F348">
            <w:pPr>
              <w:rPr>
                <w:rFonts w:ascii="宋体" w:hAnsi="宋体" w:eastAsia="宋体" w:cs="宋体"/>
                <w:kern w:val="0"/>
                <w:sz w:val="24"/>
                <w:szCs w:val="24"/>
                <w:lang w:eastAsia="zh-CN"/>
              </w:rPr>
            </w:pPr>
            <w:r>
              <w:rPr>
                <w:rFonts w:ascii="宋体" w:hAnsi="宋体" w:eastAsia="宋体" w:cs="宋体"/>
                <w:kern w:val="0"/>
                <w:sz w:val="24"/>
                <w:szCs w:val="24"/>
                <w:lang w:eastAsia="zh-CN"/>
              </w:rPr>
              <w:t>系统可以根据需要，设置厅外、轿内召唤时，不同的开门等待时间。</w:t>
            </w:r>
          </w:p>
        </w:tc>
      </w:tr>
      <w:tr w14:paraId="32161366">
        <w:tblPrEx>
          <w:tblCellMar>
            <w:top w:w="0" w:type="dxa"/>
            <w:left w:w="108" w:type="dxa"/>
            <w:bottom w:w="0" w:type="dxa"/>
            <w:right w:w="108" w:type="dxa"/>
          </w:tblCellMar>
        </w:tblPrEx>
        <w:trPr>
          <w:trHeight w:val="402" w:hRule="atLeast"/>
          <w:jc w:val="center"/>
        </w:trPr>
        <w:tc>
          <w:tcPr>
            <w:tcW w:w="377" w:type="pct"/>
            <w:tcBorders>
              <w:top w:val="nil"/>
              <w:left w:val="single" w:color="auto" w:sz="4" w:space="0"/>
              <w:bottom w:val="single" w:color="auto" w:sz="4" w:space="0"/>
              <w:right w:val="single" w:color="auto" w:sz="4" w:space="0"/>
            </w:tcBorders>
            <w:noWrap/>
            <w:vAlign w:val="center"/>
          </w:tcPr>
          <w:p w14:paraId="4B6D020A">
            <w:pPr>
              <w:jc w:val="center"/>
              <w:rPr>
                <w:rFonts w:ascii="宋体" w:hAnsi="宋体" w:eastAsia="宋体" w:cs="宋体"/>
                <w:kern w:val="0"/>
                <w:sz w:val="24"/>
                <w:szCs w:val="24"/>
              </w:rPr>
            </w:pPr>
            <w:r>
              <w:rPr>
                <w:rFonts w:ascii="宋体" w:hAnsi="宋体" w:eastAsia="宋体" w:cs="宋体"/>
                <w:kern w:val="0"/>
                <w:sz w:val="24"/>
                <w:szCs w:val="24"/>
              </w:rPr>
              <w:t>20</w:t>
            </w:r>
          </w:p>
        </w:tc>
        <w:tc>
          <w:tcPr>
            <w:tcW w:w="1142" w:type="pct"/>
            <w:tcBorders>
              <w:top w:val="nil"/>
              <w:left w:val="nil"/>
              <w:bottom w:val="single" w:color="auto" w:sz="4" w:space="0"/>
              <w:right w:val="single" w:color="auto" w:sz="4" w:space="0"/>
            </w:tcBorders>
            <w:vAlign w:val="center"/>
          </w:tcPr>
          <w:p w14:paraId="0D858A06">
            <w:pPr>
              <w:jc w:val="center"/>
              <w:rPr>
                <w:rFonts w:ascii="宋体" w:hAnsi="宋体" w:eastAsia="宋体" w:cs="宋体"/>
                <w:kern w:val="0"/>
                <w:sz w:val="24"/>
                <w:szCs w:val="24"/>
              </w:rPr>
            </w:pPr>
            <w:r>
              <w:rPr>
                <w:rFonts w:ascii="宋体" w:hAnsi="宋体" w:eastAsia="宋体" w:cs="宋体"/>
                <w:kern w:val="0"/>
                <w:sz w:val="24"/>
                <w:szCs w:val="24"/>
              </w:rPr>
              <w:t>开关门按钮</w:t>
            </w:r>
          </w:p>
        </w:tc>
        <w:tc>
          <w:tcPr>
            <w:tcW w:w="3479" w:type="pct"/>
            <w:tcBorders>
              <w:top w:val="nil"/>
              <w:left w:val="nil"/>
              <w:bottom w:val="single" w:color="auto" w:sz="4" w:space="0"/>
              <w:right w:val="single" w:color="auto" w:sz="4" w:space="0"/>
            </w:tcBorders>
            <w:vAlign w:val="center"/>
          </w:tcPr>
          <w:p w14:paraId="05DA54D2">
            <w:pPr>
              <w:rPr>
                <w:rFonts w:ascii="宋体" w:hAnsi="宋体" w:eastAsia="宋体" w:cs="宋体"/>
                <w:kern w:val="0"/>
                <w:sz w:val="24"/>
                <w:szCs w:val="24"/>
                <w:lang w:eastAsia="zh-CN"/>
              </w:rPr>
            </w:pPr>
            <w:r>
              <w:rPr>
                <w:rFonts w:ascii="宋体" w:hAnsi="宋体" w:eastAsia="宋体" w:cs="宋体"/>
                <w:kern w:val="0"/>
                <w:sz w:val="24"/>
                <w:szCs w:val="24"/>
                <w:lang w:eastAsia="zh-CN"/>
              </w:rPr>
              <w:t>轿内设置开、关按钮，客梯未运行时，可以按开门按钮，使客梯开门；按关门按钮，可以取消开门等待时间，立刻关门，提高运行效率。</w:t>
            </w:r>
          </w:p>
        </w:tc>
      </w:tr>
      <w:tr w14:paraId="400812C8">
        <w:tblPrEx>
          <w:tblCellMar>
            <w:top w:w="0" w:type="dxa"/>
            <w:left w:w="108" w:type="dxa"/>
            <w:bottom w:w="0" w:type="dxa"/>
            <w:right w:w="108" w:type="dxa"/>
          </w:tblCellMar>
        </w:tblPrEx>
        <w:trPr>
          <w:trHeight w:val="402" w:hRule="atLeast"/>
          <w:jc w:val="center"/>
        </w:trPr>
        <w:tc>
          <w:tcPr>
            <w:tcW w:w="377" w:type="pct"/>
            <w:tcBorders>
              <w:top w:val="nil"/>
              <w:left w:val="single" w:color="auto" w:sz="4" w:space="0"/>
              <w:bottom w:val="single" w:color="auto" w:sz="4" w:space="0"/>
              <w:right w:val="single" w:color="auto" w:sz="4" w:space="0"/>
            </w:tcBorders>
            <w:noWrap/>
            <w:vAlign w:val="center"/>
          </w:tcPr>
          <w:p w14:paraId="76530D7C">
            <w:pPr>
              <w:jc w:val="center"/>
              <w:rPr>
                <w:rFonts w:ascii="宋体" w:hAnsi="宋体" w:eastAsia="宋体" w:cs="宋体"/>
                <w:kern w:val="0"/>
                <w:sz w:val="24"/>
                <w:szCs w:val="24"/>
              </w:rPr>
            </w:pPr>
            <w:r>
              <w:rPr>
                <w:rFonts w:ascii="宋体" w:hAnsi="宋体" w:eastAsia="宋体" w:cs="宋体"/>
                <w:kern w:val="0"/>
                <w:sz w:val="24"/>
                <w:szCs w:val="24"/>
              </w:rPr>
              <w:t>21</w:t>
            </w:r>
          </w:p>
        </w:tc>
        <w:tc>
          <w:tcPr>
            <w:tcW w:w="1142" w:type="pct"/>
            <w:tcBorders>
              <w:top w:val="nil"/>
              <w:left w:val="nil"/>
              <w:bottom w:val="single" w:color="auto" w:sz="4" w:space="0"/>
              <w:right w:val="single" w:color="auto" w:sz="4" w:space="0"/>
            </w:tcBorders>
            <w:vAlign w:val="center"/>
          </w:tcPr>
          <w:p w14:paraId="5ED1A9A6">
            <w:pPr>
              <w:jc w:val="center"/>
              <w:rPr>
                <w:rFonts w:ascii="宋体" w:hAnsi="宋体" w:eastAsia="宋体" w:cs="宋体"/>
                <w:kern w:val="0"/>
                <w:sz w:val="24"/>
                <w:szCs w:val="24"/>
              </w:rPr>
            </w:pPr>
            <w:r>
              <w:rPr>
                <w:rFonts w:ascii="宋体" w:hAnsi="宋体" w:eastAsia="宋体" w:cs="宋体"/>
                <w:kern w:val="0"/>
                <w:sz w:val="24"/>
                <w:szCs w:val="24"/>
              </w:rPr>
              <w:t>光幕门保护</w:t>
            </w:r>
          </w:p>
        </w:tc>
        <w:tc>
          <w:tcPr>
            <w:tcW w:w="3479" w:type="pct"/>
            <w:tcBorders>
              <w:top w:val="nil"/>
              <w:left w:val="nil"/>
              <w:bottom w:val="single" w:color="auto" w:sz="4" w:space="0"/>
              <w:right w:val="single" w:color="auto" w:sz="4" w:space="0"/>
            </w:tcBorders>
            <w:vAlign w:val="center"/>
          </w:tcPr>
          <w:p w14:paraId="4CF2B9C7">
            <w:pPr>
              <w:rPr>
                <w:rFonts w:ascii="宋体" w:hAnsi="宋体" w:eastAsia="宋体" w:cs="宋体"/>
                <w:kern w:val="0"/>
                <w:sz w:val="24"/>
                <w:szCs w:val="24"/>
                <w:lang w:eastAsia="zh-CN"/>
              </w:rPr>
            </w:pPr>
            <w:r>
              <w:rPr>
                <w:rFonts w:ascii="宋体" w:hAnsi="宋体" w:eastAsia="宋体" w:cs="宋体"/>
                <w:kern w:val="0"/>
                <w:sz w:val="24"/>
                <w:szCs w:val="24"/>
                <w:lang w:eastAsia="zh-CN"/>
              </w:rPr>
              <w:t>系统可在客梯门口形成密集的红外交叉光幕，对于任何进入探测区域的人或物体都做出敏锐的反应，为进出的乘客提供最大程度的安全保护。</w:t>
            </w:r>
          </w:p>
        </w:tc>
      </w:tr>
      <w:tr w14:paraId="66BECF11">
        <w:tblPrEx>
          <w:tblCellMar>
            <w:top w:w="0" w:type="dxa"/>
            <w:left w:w="108" w:type="dxa"/>
            <w:bottom w:w="0" w:type="dxa"/>
            <w:right w:w="108" w:type="dxa"/>
          </w:tblCellMar>
        </w:tblPrEx>
        <w:trPr>
          <w:trHeight w:val="861" w:hRule="atLeast"/>
          <w:jc w:val="center"/>
        </w:trPr>
        <w:tc>
          <w:tcPr>
            <w:tcW w:w="377" w:type="pct"/>
            <w:tcBorders>
              <w:top w:val="nil"/>
              <w:left w:val="single" w:color="auto" w:sz="4" w:space="0"/>
              <w:bottom w:val="single" w:color="auto" w:sz="4" w:space="0"/>
              <w:right w:val="single" w:color="auto" w:sz="4" w:space="0"/>
            </w:tcBorders>
            <w:noWrap/>
            <w:vAlign w:val="center"/>
          </w:tcPr>
          <w:p w14:paraId="58E0C1F5">
            <w:pPr>
              <w:jc w:val="center"/>
              <w:rPr>
                <w:rFonts w:ascii="宋体" w:hAnsi="宋体" w:eastAsia="宋体" w:cs="宋体"/>
                <w:kern w:val="0"/>
                <w:sz w:val="24"/>
                <w:szCs w:val="24"/>
              </w:rPr>
            </w:pPr>
            <w:r>
              <w:rPr>
                <w:rFonts w:ascii="宋体" w:hAnsi="宋体" w:eastAsia="宋体" w:cs="宋体"/>
                <w:kern w:val="0"/>
                <w:sz w:val="24"/>
                <w:szCs w:val="24"/>
              </w:rPr>
              <w:t>22</w:t>
            </w:r>
          </w:p>
        </w:tc>
        <w:tc>
          <w:tcPr>
            <w:tcW w:w="1142" w:type="pct"/>
            <w:tcBorders>
              <w:top w:val="nil"/>
              <w:left w:val="nil"/>
              <w:bottom w:val="single" w:color="auto" w:sz="4" w:space="0"/>
              <w:right w:val="single" w:color="auto" w:sz="4" w:space="0"/>
            </w:tcBorders>
            <w:vAlign w:val="center"/>
          </w:tcPr>
          <w:p w14:paraId="2AFBD725">
            <w:pPr>
              <w:jc w:val="center"/>
              <w:rPr>
                <w:rFonts w:ascii="宋体" w:hAnsi="宋体" w:eastAsia="宋体" w:cs="宋体"/>
                <w:kern w:val="0"/>
                <w:sz w:val="24"/>
                <w:szCs w:val="24"/>
              </w:rPr>
            </w:pPr>
            <w:r>
              <w:rPr>
                <w:rFonts w:ascii="宋体" w:hAnsi="宋体" w:eastAsia="宋体" w:cs="宋体"/>
                <w:kern w:val="0"/>
                <w:sz w:val="24"/>
                <w:szCs w:val="24"/>
              </w:rPr>
              <w:t>关门力矩保护</w:t>
            </w:r>
          </w:p>
        </w:tc>
        <w:tc>
          <w:tcPr>
            <w:tcW w:w="3479" w:type="pct"/>
            <w:tcBorders>
              <w:top w:val="nil"/>
              <w:left w:val="nil"/>
              <w:bottom w:val="single" w:color="auto" w:sz="4" w:space="0"/>
              <w:right w:val="single" w:color="auto" w:sz="4" w:space="0"/>
            </w:tcBorders>
            <w:vAlign w:val="center"/>
          </w:tcPr>
          <w:p w14:paraId="60311AC8">
            <w:pPr>
              <w:rPr>
                <w:rFonts w:ascii="宋体" w:hAnsi="宋体" w:eastAsia="宋体" w:cs="宋体"/>
                <w:kern w:val="0"/>
                <w:sz w:val="24"/>
                <w:szCs w:val="24"/>
                <w:lang w:eastAsia="zh-CN"/>
              </w:rPr>
            </w:pPr>
            <w:r>
              <w:rPr>
                <w:rFonts w:ascii="宋体" w:hAnsi="宋体" w:eastAsia="宋体" w:cs="宋体"/>
                <w:kern w:val="0"/>
                <w:sz w:val="24"/>
                <w:szCs w:val="24"/>
                <w:lang w:eastAsia="zh-CN"/>
              </w:rPr>
              <w:t>如轿厢门关闭时发生机械卡阻，当力矩超过预定值时，客梯门将重新打开。</w:t>
            </w:r>
          </w:p>
        </w:tc>
      </w:tr>
      <w:tr w14:paraId="3C1290D7">
        <w:tblPrEx>
          <w:tblCellMar>
            <w:top w:w="0" w:type="dxa"/>
            <w:left w:w="108" w:type="dxa"/>
            <w:bottom w:w="0" w:type="dxa"/>
            <w:right w:w="108" w:type="dxa"/>
          </w:tblCellMar>
        </w:tblPrEx>
        <w:trPr>
          <w:trHeight w:val="703" w:hRule="atLeast"/>
          <w:jc w:val="center"/>
        </w:trPr>
        <w:tc>
          <w:tcPr>
            <w:tcW w:w="377" w:type="pct"/>
            <w:tcBorders>
              <w:top w:val="nil"/>
              <w:left w:val="single" w:color="auto" w:sz="4" w:space="0"/>
              <w:bottom w:val="single" w:color="auto" w:sz="4" w:space="0"/>
              <w:right w:val="single" w:color="auto" w:sz="4" w:space="0"/>
            </w:tcBorders>
            <w:noWrap/>
            <w:vAlign w:val="center"/>
          </w:tcPr>
          <w:p w14:paraId="2ACD27A3">
            <w:pPr>
              <w:jc w:val="center"/>
              <w:rPr>
                <w:rFonts w:ascii="宋体" w:hAnsi="宋体" w:eastAsia="宋体" w:cs="宋体"/>
                <w:kern w:val="0"/>
                <w:sz w:val="24"/>
                <w:szCs w:val="24"/>
              </w:rPr>
            </w:pPr>
            <w:r>
              <w:rPr>
                <w:rFonts w:ascii="宋体" w:hAnsi="宋体" w:eastAsia="宋体" w:cs="宋体"/>
                <w:kern w:val="0"/>
                <w:sz w:val="24"/>
                <w:szCs w:val="24"/>
              </w:rPr>
              <w:t>23</w:t>
            </w:r>
          </w:p>
        </w:tc>
        <w:tc>
          <w:tcPr>
            <w:tcW w:w="1142" w:type="pct"/>
            <w:tcBorders>
              <w:top w:val="nil"/>
              <w:left w:val="nil"/>
              <w:bottom w:val="single" w:color="auto" w:sz="4" w:space="0"/>
              <w:right w:val="single" w:color="auto" w:sz="4" w:space="0"/>
            </w:tcBorders>
            <w:vAlign w:val="center"/>
          </w:tcPr>
          <w:p w14:paraId="0040736E">
            <w:pPr>
              <w:jc w:val="center"/>
              <w:rPr>
                <w:rFonts w:ascii="宋体" w:hAnsi="宋体" w:eastAsia="宋体" w:cs="宋体"/>
                <w:kern w:val="0"/>
                <w:sz w:val="24"/>
                <w:szCs w:val="24"/>
              </w:rPr>
            </w:pPr>
            <w:r>
              <w:rPr>
                <w:rFonts w:ascii="宋体" w:hAnsi="宋体" w:eastAsia="宋体" w:cs="宋体"/>
                <w:kern w:val="0"/>
                <w:sz w:val="24"/>
                <w:szCs w:val="24"/>
              </w:rPr>
              <w:t>自动校正运行</w:t>
            </w:r>
          </w:p>
        </w:tc>
        <w:tc>
          <w:tcPr>
            <w:tcW w:w="3479" w:type="pct"/>
            <w:tcBorders>
              <w:top w:val="nil"/>
              <w:left w:val="nil"/>
              <w:bottom w:val="single" w:color="auto" w:sz="4" w:space="0"/>
              <w:right w:val="single" w:color="auto" w:sz="4" w:space="0"/>
            </w:tcBorders>
            <w:vAlign w:val="center"/>
          </w:tcPr>
          <w:p w14:paraId="2C5C9379">
            <w:pPr>
              <w:rPr>
                <w:rFonts w:ascii="宋体" w:hAnsi="宋体" w:eastAsia="宋体" w:cs="宋体"/>
                <w:kern w:val="0"/>
                <w:sz w:val="24"/>
                <w:szCs w:val="24"/>
                <w:lang w:eastAsia="zh-CN"/>
              </w:rPr>
            </w:pPr>
            <w:r>
              <w:rPr>
                <w:rFonts w:ascii="宋体" w:hAnsi="宋体" w:eastAsia="宋体" w:cs="宋体"/>
                <w:kern w:val="0"/>
                <w:sz w:val="24"/>
                <w:szCs w:val="24"/>
                <w:lang w:eastAsia="zh-CN"/>
              </w:rPr>
              <w:t>当客梯失去位置时，客梯自动进行校正运行，找到客梯的正确位置。</w:t>
            </w:r>
          </w:p>
        </w:tc>
      </w:tr>
      <w:tr w14:paraId="226F8223">
        <w:tblPrEx>
          <w:tblCellMar>
            <w:top w:w="0" w:type="dxa"/>
            <w:left w:w="108" w:type="dxa"/>
            <w:bottom w:w="0" w:type="dxa"/>
            <w:right w:w="108" w:type="dxa"/>
          </w:tblCellMar>
        </w:tblPrEx>
        <w:trPr>
          <w:trHeight w:val="556" w:hRule="atLeast"/>
          <w:jc w:val="center"/>
        </w:trPr>
        <w:tc>
          <w:tcPr>
            <w:tcW w:w="377" w:type="pct"/>
            <w:tcBorders>
              <w:top w:val="nil"/>
              <w:left w:val="single" w:color="auto" w:sz="4" w:space="0"/>
              <w:bottom w:val="single" w:color="auto" w:sz="4" w:space="0"/>
              <w:right w:val="single" w:color="auto" w:sz="4" w:space="0"/>
            </w:tcBorders>
            <w:noWrap/>
            <w:vAlign w:val="center"/>
          </w:tcPr>
          <w:p w14:paraId="435473DD">
            <w:pPr>
              <w:jc w:val="center"/>
              <w:rPr>
                <w:rFonts w:ascii="宋体" w:hAnsi="宋体" w:eastAsia="宋体" w:cs="宋体"/>
                <w:kern w:val="0"/>
                <w:sz w:val="24"/>
                <w:szCs w:val="24"/>
              </w:rPr>
            </w:pPr>
            <w:r>
              <w:rPr>
                <w:rFonts w:ascii="宋体" w:hAnsi="宋体" w:eastAsia="宋体" w:cs="宋体"/>
                <w:kern w:val="0"/>
                <w:sz w:val="24"/>
                <w:szCs w:val="24"/>
              </w:rPr>
              <w:t>24</w:t>
            </w:r>
          </w:p>
        </w:tc>
        <w:tc>
          <w:tcPr>
            <w:tcW w:w="1142" w:type="pct"/>
            <w:tcBorders>
              <w:top w:val="nil"/>
              <w:left w:val="nil"/>
              <w:bottom w:val="single" w:color="auto" w:sz="4" w:space="0"/>
              <w:right w:val="single" w:color="auto" w:sz="4" w:space="0"/>
            </w:tcBorders>
            <w:vAlign w:val="center"/>
          </w:tcPr>
          <w:p w14:paraId="3A8DB714">
            <w:pPr>
              <w:jc w:val="center"/>
              <w:rPr>
                <w:rFonts w:ascii="宋体" w:hAnsi="宋体" w:eastAsia="宋体" w:cs="宋体"/>
                <w:kern w:val="0"/>
                <w:sz w:val="24"/>
                <w:szCs w:val="24"/>
              </w:rPr>
            </w:pPr>
            <w:r>
              <w:rPr>
                <w:rFonts w:ascii="宋体" w:hAnsi="宋体" w:eastAsia="宋体" w:cs="宋体"/>
                <w:kern w:val="0"/>
                <w:sz w:val="24"/>
                <w:szCs w:val="24"/>
              </w:rPr>
              <w:t>关门等待取消</w:t>
            </w:r>
          </w:p>
        </w:tc>
        <w:tc>
          <w:tcPr>
            <w:tcW w:w="3479" w:type="pct"/>
            <w:tcBorders>
              <w:top w:val="nil"/>
              <w:left w:val="nil"/>
              <w:bottom w:val="single" w:color="auto" w:sz="4" w:space="0"/>
              <w:right w:val="single" w:color="auto" w:sz="4" w:space="0"/>
            </w:tcBorders>
            <w:vAlign w:val="center"/>
          </w:tcPr>
          <w:p w14:paraId="10096E3D">
            <w:pPr>
              <w:rPr>
                <w:rFonts w:ascii="宋体" w:hAnsi="宋体" w:eastAsia="宋体" w:cs="宋体"/>
                <w:kern w:val="0"/>
                <w:sz w:val="24"/>
                <w:szCs w:val="24"/>
                <w:lang w:eastAsia="zh-CN"/>
              </w:rPr>
            </w:pPr>
            <w:r>
              <w:rPr>
                <w:rFonts w:ascii="宋体" w:hAnsi="宋体" w:eastAsia="宋体" w:cs="宋体"/>
                <w:kern w:val="0"/>
                <w:sz w:val="24"/>
                <w:szCs w:val="24"/>
                <w:lang w:eastAsia="zh-CN"/>
              </w:rPr>
              <w:t>可以通过按下轿内的关门按钮，使客梯立刻关门。</w:t>
            </w:r>
          </w:p>
        </w:tc>
      </w:tr>
      <w:tr w14:paraId="2D690510">
        <w:tblPrEx>
          <w:tblCellMar>
            <w:top w:w="0" w:type="dxa"/>
            <w:left w:w="108" w:type="dxa"/>
            <w:bottom w:w="0" w:type="dxa"/>
            <w:right w:w="108" w:type="dxa"/>
          </w:tblCellMar>
        </w:tblPrEx>
        <w:trPr>
          <w:trHeight w:val="706" w:hRule="atLeast"/>
          <w:jc w:val="center"/>
        </w:trPr>
        <w:tc>
          <w:tcPr>
            <w:tcW w:w="377" w:type="pct"/>
            <w:tcBorders>
              <w:top w:val="nil"/>
              <w:left w:val="single" w:color="auto" w:sz="4" w:space="0"/>
              <w:bottom w:val="single" w:color="auto" w:sz="4" w:space="0"/>
              <w:right w:val="single" w:color="auto" w:sz="4" w:space="0"/>
            </w:tcBorders>
            <w:noWrap/>
            <w:vAlign w:val="center"/>
          </w:tcPr>
          <w:p w14:paraId="33AF7E0F">
            <w:pPr>
              <w:jc w:val="center"/>
              <w:rPr>
                <w:rFonts w:ascii="宋体" w:hAnsi="宋体" w:eastAsia="宋体" w:cs="宋体"/>
                <w:kern w:val="0"/>
                <w:sz w:val="24"/>
                <w:szCs w:val="24"/>
              </w:rPr>
            </w:pPr>
            <w:r>
              <w:rPr>
                <w:rFonts w:ascii="宋体" w:hAnsi="宋体" w:eastAsia="宋体" w:cs="宋体"/>
                <w:kern w:val="0"/>
                <w:sz w:val="24"/>
                <w:szCs w:val="24"/>
              </w:rPr>
              <w:t>25</w:t>
            </w:r>
          </w:p>
        </w:tc>
        <w:tc>
          <w:tcPr>
            <w:tcW w:w="1142" w:type="pct"/>
            <w:tcBorders>
              <w:top w:val="nil"/>
              <w:left w:val="nil"/>
              <w:bottom w:val="single" w:color="auto" w:sz="4" w:space="0"/>
              <w:right w:val="single" w:color="auto" w:sz="4" w:space="0"/>
            </w:tcBorders>
            <w:vAlign w:val="center"/>
          </w:tcPr>
          <w:p w14:paraId="6188A55F">
            <w:pPr>
              <w:jc w:val="center"/>
              <w:rPr>
                <w:rFonts w:ascii="宋体" w:hAnsi="宋体" w:eastAsia="宋体" w:cs="宋体"/>
                <w:kern w:val="0"/>
                <w:sz w:val="24"/>
                <w:szCs w:val="24"/>
              </w:rPr>
            </w:pPr>
            <w:r>
              <w:rPr>
                <w:rFonts w:ascii="宋体" w:hAnsi="宋体" w:eastAsia="宋体" w:cs="宋体"/>
                <w:kern w:val="0"/>
                <w:sz w:val="24"/>
                <w:szCs w:val="24"/>
              </w:rPr>
              <w:t>本层厅外重开门</w:t>
            </w:r>
          </w:p>
        </w:tc>
        <w:tc>
          <w:tcPr>
            <w:tcW w:w="3479" w:type="pct"/>
            <w:tcBorders>
              <w:top w:val="nil"/>
              <w:left w:val="nil"/>
              <w:bottom w:val="single" w:color="auto" w:sz="4" w:space="0"/>
              <w:right w:val="single" w:color="auto" w:sz="4" w:space="0"/>
            </w:tcBorders>
            <w:vAlign w:val="center"/>
          </w:tcPr>
          <w:p w14:paraId="66CB490B">
            <w:pPr>
              <w:rPr>
                <w:rFonts w:ascii="宋体" w:hAnsi="宋体" w:eastAsia="宋体" w:cs="宋体"/>
                <w:kern w:val="0"/>
                <w:sz w:val="24"/>
                <w:szCs w:val="24"/>
                <w:lang w:eastAsia="zh-CN"/>
              </w:rPr>
            </w:pPr>
            <w:r>
              <w:rPr>
                <w:rFonts w:ascii="宋体" w:hAnsi="宋体" w:eastAsia="宋体" w:cs="宋体"/>
                <w:kern w:val="0"/>
                <w:sz w:val="24"/>
                <w:szCs w:val="24"/>
                <w:lang w:eastAsia="zh-CN"/>
              </w:rPr>
              <w:t>当客梯在本层时，可以通过按下客梯运行方向同向的外召按钮，使客梯重新开门。</w:t>
            </w:r>
          </w:p>
        </w:tc>
      </w:tr>
      <w:tr w14:paraId="4AA9F265">
        <w:tblPrEx>
          <w:tblCellMar>
            <w:top w:w="0" w:type="dxa"/>
            <w:left w:w="108" w:type="dxa"/>
            <w:bottom w:w="0" w:type="dxa"/>
            <w:right w:w="108" w:type="dxa"/>
          </w:tblCellMar>
        </w:tblPrEx>
        <w:trPr>
          <w:trHeight w:val="1681" w:hRule="atLeast"/>
          <w:jc w:val="center"/>
        </w:trPr>
        <w:tc>
          <w:tcPr>
            <w:tcW w:w="377" w:type="pct"/>
            <w:tcBorders>
              <w:top w:val="nil"/>
              <w:left w:val="single" w:color="auto" w:sz="4" w:space="0"/>
              <w:bottom w:val="single" w:color="auto" w:sz="4" w:space="0"/>
              <w:right w:val="single" w:color="auto" w:sz="4" w:space="0"/>
            </w:tcBorders>
            <w:noWrap/>
            <w:vAlign w:val="center"/>
          </w:tcPr>
          <w:p w14:paraId="2FBCD045">
            <w:pPr>
              <w:jc w:val="center"/>
              <w:rPr>
                <w:rFonts w:ascii="宋体" w:hAnsi="宋体" w:eastAsia="宋体" w:cs="宋体"/>
                <w:kern w:val="0"/>
                <w:sz w:val="24"/>
                <w:szCs w:val="24"/>
              </w:rPr>
            </w:pPr>
            <w:r>
              <w:rPr>
                <w:rFonts w:ascii="宋体" w:hAnsi="宋体" w:eastAsia="宋体" w:cs="宋体"/>
                <w:kern w:val="0"/>
                <w:sz w:val="24"/>
                <w:szCs w:val="24"/>
              </w:rPr>
              <w:t>26</w:t>
            </w:r>
          </w:p>
        </w:tc>
        <w:tc>
          <w:tcPr>
            <w:tcW w:w="1142" w:type="pct"/>
            <w:tcBorders>
              <w:top w:val="nil"/>
              <w:left w:val="nil"/>
              <w:bottom w:val="single" w:color="auto" w:sz="4" w:space="0"/>
              <w:right w:val="single" w:color="auto" w:sz="4" w:space="0"/>
            </w:tcBorders>
            <w:vAlign w:val="center"/>
          </w:tcPr>
          <w:p w14:paraId="43DD85C4">
            <w:pPr>
              <w:jc w:val="center"/>
              <w:rPr>
                <w:rFonts w:ascii="宋体" w:hAnsi="宋体" w:eastAsia="宋体" w:cs="宋体"/>
                <w:kern w:val="0"/>
                <w:sz w:val="24"/>
                <w:szCs w:val="24"/>
                <w:lang w:eastAsia="zh-CN"/>
              </w:rPr>
            </w:pPr>
            <w:r>
              <w:rPr>
                <w:rFonts w:ascii="宋体" w:hAnsi="宋体" w:eastAsia="宋体" w:cs="宋体"/>
                <w:kern w:val="0"/>
                <w:sz w:val="24"/>
                <w:szCs w:val="24"/>
                <w:lang w:eastAsia="zh-CN"/>
              </w:rPr>
              <w:t>轿厢开、关门延时保护</w:t>
            </w:r>
          </w:p>
        </w:tc>
        <w:tc>
          <w:tcPr>
            <w:tcW w:w="3479" w:type="pct"/>
            <w:tcBorders>
              <w:top w:val="nil"/>
              <w:left w:val="nil"/>
              <w:bottom w:val="single" w:color="auto" w:sz="4" w:space="0"/>
              <w:right w:val="single" w:color="auto" w:sz="4" w:space="0"/>
            </w:tcBorders>
            <w:vAlign w:val="center"/>
          </w:tcPr>
          <w:p w14:paraId="4F5DA227">
            <w:pPr>
              <w:rPr>
                <w:rFonts w:ascii="宋体" w:hAnsi="宋体" w:eastAsia="宋体" w:cs="宋体"/>
                <w:kern w:val="0"/>
                <w:sz w:val="24"/>
                <w:szCs w:val="24"/>
                <w:lang w:eastAsia="zh-CN"/>
              </w:rPr>
            </w:pPr>
            <w:r>
              <w:rPr>
                <w:rFonts w:ascii="宋体" w:hAnsi="宋体" w:eastAsia="宋体" w:cs="宋体"/>
                <w:kern w:val="0"/>
                <w:sz w:val="24"/>
                <w:szCs w:val="24"/>
                <w:lang w:eastAsia="zh-CN"/>
              </w:rPr>
              <w:t>当客梯开门时间由于外呼按钮被按住或其他因素而超过预定时间时，客梯会强迫关门来应答其他信号；当客梯强迫关门重复几次仍未关紧，客梯将停止运转并开门，内外呼信号会自动取消；当客梯检测到门已正常关闭时，客梯恢复正常工作。</w:t>
            </w:r>
          </w:p>
        </w:tc>
      </w:tr>
      <w:tr w14:paraId="25F80EB3">
        <w:tblPrEx>
          <w:tblCellMar>
            <w:top w:w="0" w:type="dxa"/>
            <w:left w:w="108" w:type="dxa"/>
            <w:bottom w:w="0" w:type="dxa"/>
            <w:right w:w="108" w:type="dxa"/>
          </w:tblCellMar>
        </w:tblPrEx>
        <w:trPr>
          <w:trHeight w:val="557" w:hRule="atLeast"/>
          <w:jc w:val="center"/>
        </w:trPr>
        <w:tc>
          <w:tcPr>
            <w:tcW w:w="377" w:type="pct"/>
            <w:tcBorders>
              <w:top w:val="nil"/>
              <w:left w:val="single" w:color="auto" w:sz="4" w:space="0"/>
              <w:bottom w:val="single" w:color="auto" w:sz="4" w:space="0"/>
              <w:right w:val="single" w:color="auto" w:sz="4" w:space="0"/>
            </w:tcBorders>
            <w:noWrap/>
            <w:vAlign w:val="center"/>
          </w:tcPr>
          <w:p w14:paraId="1527012F">
            <w:pPr>
              <w:jc w:val="center"/>
              <w:rPr>
                <w:rFonts w:ascii="宋体" w:hAnsi="宋体" w:eastAsia="宋体" w:cs="宋体"/>
                <w:kern w:val="0"/>
                <w:sz w:val="24"/>
                <w:szCs w:val="24"/>
              </w:rPr>
            </w:pPr>
            <w:r>
              <w:rPr>
                <w:rFonts w:ascii="宋体" w:hAnsi="宋体" w:eastAsia="宋体" w:cs="宋体"/>
                <w:kern w:val="0"/>
                <w:sz w:val="24"/>
                <w:szCs w:val="24"/>
              </w:rPr>
              <w:t>27</w:t>
            </w:r>
          </w:p>
        </w:tc>
        <w:tc>
          <w:tcPr>
            <w:tcW w:w="1142" w:type="pct"/>
            <w:tcBorders>
              <w:top w:val="nil"/>
              <w:left w:val="nil"/>
              <w:bottom w:val="single" w:color="auto" w:sz="4" w:space="0"/>
              <w:right w:val="single" w:color="auto" w:sz="4" w:space="0"/>
            </w:tcBorders>
            <w:vAlign w:val="center"/>
          </w:tcPr>
          <w:p w14:paraId="3F55B0F5">
            <w:pPr>
              <w:jc w:val="center"/>
              <w:rPr>
                <w:rFonts w:ascii="宋体" w:hAnsi="宋体" w:eastAsia="宋体" w:cs="宋体"/>
                <w:kern w:val="0"/>
                <w:sz w:val="24"/>
                <w:szCs w:val="24"/>
              </w:rPr>
            </w:pPr>
            <w:r>
              <w:rPr>
                <w:rFonts w:ascii="宋体" w:hAnsi="宋体" w:eastAsia="宋体" w:cs="宋体"/>
                <w:kern w:val="0"/>
                <w:sz w:val="24"/>
                <w:szCs w:val="24"/>
              </w:rPr>
              <w:t>五方通话装置</w:t>
            </w:r>
          </w:p>
        </w:tc>
        <w:tc>
          <w:tcPr>
            <w:tcW w:w="3479" w:type="pct"/>
            <w:tcBorders>
              <w:top w:val="nil"/>
              <w:left w:val="nil"/>
              <w:bottom w:val="single" w:color="auto" w:sz="4" w:space="0"/>
              <w:right w:val="single" w:color="auto" w:sz="4" w:space="0"/>
            </w:tcBorders>
            <w:vAlign w:val="center"/>
          </w:tcPr>
          <w:p w14:paraId="6D094E7B">
            <w:pPr>
              <w:rPr>
                <w:rFonts w:ascii="宋体" w:hAnsi="宋体" w:eastAsia="宋体" w:cs="宋体"/>
                <w:kern w:val="0"/>
                <w:sz w:val="24"/>
                <w:szCs w:val="24"/>
                <w:lang w:eastAsia="zh-CN"/>
              </w:rPr>
            </w:pPr>
            <w:r>
              <w:rPr>
                <w:rFonts w:ascii="宋体" w:hAnsi="宋体" w:eastAsia="宋体" w:cs="宋体"/>
                <w:kern w:val="0"/>
                <w:sz w:val="24"/>
                <w:szCs w:val="24"/>
                <w:lang w:eastAsia="zh-CN"/>
              </w:rPr>
              <w:t>轿厢、轿顶、轿底、机房和监控室之间的一个对讲系统。</w:t>
            </w:r>
          </w:p>
        </w:tc>
      </w:tr>
      <w:tr w14:paraId="1154A185">
        <w:tblPrEx>
          <w:tblCellMar>
            <w:top w:w="0" w:type="dxa"/>
            <w:left w:w="108" w:type="dxa"/>
            <w:bottom w:w="0" w:type="dxa"/>
            <w:right w:w="108" w:type="dxa"/>
          </w:tblCellMar>
        </w:tblPrEx>
        <w:trPr>
          <w:trHeight w:val="706" w:hRule="atLeast"/>
          <w:jc w:val="center"/>
        </w:trPr>
        <w:tc>
          <w:tcPr>
            <w:tcW w:w="377" w:type="pct"/>
            <w:tcBorders>
              <w:top w:val="nil"/>
              <w:left w:val="single" w:color="auto" w:sz="4" w:space="0"/>
              <w:bottom w:val="single" w:color="auto" w:sz="4" w:space="0"/>
              <w:right w:val="single" w:color="auto" w:sz="4" w:space="0"/>
            </w:tcBorders>
            <w:noWrap/>
            <w:vAlign w:val="center"/>
          </w:tcPr>
          <w:p w14:paraId="2E20B855">
            <w:pPr>
              <w:jc w:val="center"/>
              <w:rPr>
                <w:rFonts w:ascii="宋体" w:hAnsi="宋体" w:eastAsia="宋体" w:cs="宋体"/>
                <w:kern w:val="0"/>
                <w:sz w:val="24"/>
                <w:szCs w:val="24"/>
              </w:rPr>
            </w:pPr>
            <w:r>
              <w:rPr>
                <w:rFonts w:ascii="宋体" w:hAnsi="宋体" w:eastAsia="宋体" w:cs="宋体"/>
                <w:kern w:val="0"/>
                <w:sz w:val="24"/>
                <w:szCs w:val="24"/>
              </w:rPr>
              <w:t>28</w:t>
            </w:r>
          </w:p>
        </w:tc>
        <w:tc>
          <w:tcPr>
            <w:tcW w:w="1142" w:type="pct"/>
            <w:tcBorders>
              <w:top w:val="nil"/>
              <w:left w:val="nil"/>
              <w:bottom w:val="single" w:color="auto" w:sz="4" w:space="0"/>
              <w:right w:val="single" w:color="auto" w:sz="4" w:space="0"/>
            </w:tcBorders>
            <w:vAlign w:val="center"/>
          </w:tcPr>
          <w:p w14:paraId="19C446EF">
            <w:pPr>
              <w:jc w:val="center"/>
              <w:rPr>
                <w:rFonts w:ascii="宋体" w:hAnsi="宋体" w:eastAsia="宋体" w:cs="宋体"/>
                <w:kern w:val="0"/>
                <w:sz w:val="24"/>
                <w:szCs w:val="24"/>
              </w:rPr>
            </w:pPr>
            <w:r>
              <w:rPr>
                <w:rFonts w:ascii="宋体" w:hAnsi="宋体" w:eastAsia="宋体" w:cs="宋体"/>
                <w:kern w:val="0"/>
                <w:sz w:val="24"/>
                <w:szCs w:val="24"/>
              </w:rPr>
              <w:t>轿厢到站钟</w:t>
            </w:r>
          </w:p>
        </w:tc>
        <w:tc>
          <w:tcPr>
            <w:tcW w:w="3479" w:type="pct"/>
            <w:tcBorders>
              <w:top w:val="nil"/>
              <w:left w:val="nil"/>
              <w:bottom w:val="single" w:color="auto" w:sz="4" w:space="0"/>
              <w:right w:val="single" w:color="auto" w:sz="4" w:space="0"/>
            </w:tcBorders>
            <w:vAlign w:val="center"/>
          </w:tcPr>
          <w:p w14:paraId="75DFB35C">
            <w:pPr>
              <w:rPr>
                <w:rFonts w:ascii="宋体" w:hAnsi="宋体" w:eastAsia="宋体" w:cs="宋体"/>
                <w:kern w:val="0"/>
                <w:sz w:val="24"/>
                <w:szCs w:val="24"/>
                <w:lang w:eastAsia="zh-CN"/>
              </w:rPr>
            </w:pPr>
            <w:r>
              <w:rPr>
                <w:rFonts w:ascii="宋体" w:hAnsi="宋体" w:eastAsia="宋体" w:cs="宋体"/>
                <w:kern w:val="0"/>
                <w:sz w:val="24"/>
                <w:szCs w:val="24"/>
                <w:lang w:eastAsia="zh-CN"/>
              </w:rPr>
              <w:t>当客梯运行到站时，轿厢到站钟会发出响亮的钟声提醒乘客。</w:t>
            </w:r>
          </w:p>
        </w:tc>
      </w:tr>
      <w:tr w14:paraId="65187E34">
        <w:tblPrEx>
          <w:tblCellMar>
            <w:top w:w="0" w:type="dxa"/>
            <w:left w:w="108" w:type="dxa"/>
            <w:bottom w:w="0" w:type="dxa"/>
            <w:right w:w="108" w:type="dxa"/>
          </w:tblCellMar>
        </w:tblPrEx>
        <w:trPr>
          <w:trHeight w:val="844" w:hRule="atLeast"/>
          <w:jc w:val="center"/>
        </w:trPr>
        <w:tc>
          <w:tcPr>
            <w:tcW w:w="377" w:type="pct"/>
            <w:tcBorders>
              <w:top w:val="nil"/>
              <w:left w:val="single" w:color="auto" w:sz="4" w:space="0"/>
              <w:bottom w:val="single" w:color="auto" w:sz="4" w:space="0"/>
              <w:right w:val="single" w:color="auto" w:sz="4" w:space="0"/>
            </w:tcBorders>
            <w:noWrap/>
            <w:vAlign w:val="center"/>
          </w:tcPr>
          <w:p w14:paraId="6BC604A2">
            <w:pPr>
              <w:jc w:val="center"/>
              <w:rPr>
                <w:rFonts w:ascii="宋体" w:hAnsi="宋体" w:eastAsia="宋体" w:cs="宋体"/>
                <w:kern w:val="0"/>
                <w:sz w:val="24"/>
                <w:szCs w:val="24"/>
              </w:rPr>
            </w:pPr>
            <w:r>
              <w:rPr>
                <w:rFonts w:ascii="宋体" w:hAnsi="宋体" w:eastAsia="宋体" w:cs="宋体"/>
                <w:kern w:val="0"/>
                <w:sz w:val="24"/>
                <w:szCs w:val="24"/>
              </w:rPr>
              <w:t>29</w:t>
            </w:r>
          </w:p>
        </w:tc>
        <w:tc>
          <w:tcPr>
            <w:tcW w:w="1142" w:type="pct"/>
            <w:tcBorders>
              <w:top w:val="nil"/>
              <w:left w:val="nil"/>
              <w:bottom w:val="single" w:color="auto" w:sz="4" w:space="0"/>
              <w:right w:val="single" w:color="auto" w:sz="4" w:space="0"/>
            </w:tcBorders>
            <w:vAlign w:val="center"/>
          </w:tcPr>
          <w:p w14:paraId="12F04F79">
            <w:pPr>
              <w:jc w:val="center"/>
              <w:rPr>
                <w:rFonts w:ascii="宋体" w:hAnsi="宋体" w:eastAsia="宋体" w:cs="宋体"/>
                <w:kern w:val="0"/>
                <w:sz w:val="24"/>
                <w:szCs w:val="24"/>
              </w:rPr>
            </w:pPr>
            <w:r>
              <w:rPr>
                <w:rFonts w:ascii="宋体" w:hAnsi="宋体" w:eastAsia="宋体" w:cs="宋体"/>
                <w:kern w:val="0"/>
                <w:sz w:val="24"/>
                <w:szCs w:val="24"/>
              </w:rPr>
              <w:t>轿厢警铃</w:t>
            </w:r>
          </w:p>
        </w:tc>
        <w:tc>
          <w:tcPr>
            <w:tcW w:w="3479" w:type="pct"/>
            <w:tcBorders>
              <w:top w:val="nil"/>
              <w:left w:val="nil"/>
              <w:bottom w:val="single" w:color="auto" w:sz="4" w:space="0"/>
              <w:right w:val="single" w:color="auto" w:sz="4" w:space="0"/>
            </w:tcBorders>
            <w:vAlign w:val="center"/>
          </w:tcPr>
          <w:p w14:paraId="2A7EE5FF">
            <w:pPr>
              <w:rPr>
                <w:rFonts w:ascii="宋体" w:hAnsi="宋体" w:eastAsia="宋体" w:cs="宋体"/>
                <w:kern w:val="0"/>
                <w:sz w:val="24"/>
                <w:szCs w:val="24"/>
                <w:lang w:eastAsia="zh-CN"/>
              </w:rPr>
            </w:pPr>
            <w:r>
              <w:rPr>
                <w:rFonts w:ascii="宋体" w:hAnsi="宋体" w:eastAsia="宋体" w:cs="宋体"/>
                <w:kern w:val="0"/>
                <w:sz w:val="24"/>
                <w:szCs w:val="24"/>
                <w:lang w:eastAsia="zh-CN"/>
              </w:rPr>
              <w:t>发生紧急情况，乘客可按动轿内操纵箱上的报警按钮，向外报警。</w:t>
            </w:r>
          </w:p>
        </w:tc>
      </w:tr>
      <w:tr w14:paraId="4BF428F7">
        <w:tblPrEx>
          <w:tblCellMar>
            <w:top w:w="0" w:type="dxa"/>
            <w:left w:w="108" w:type="dxa"/>
            <w:bottom w:w="0" w:type="dxa"/>
            <w:right w:w="108" w:type="dxa"/>
          </w:tblCellMar>
        </w:tblPrEx>
        <w:trPr>
          <w:trHeight w:val="402" w:hRule="atLeast"/>
          <w:jc w:val="center"/>
        </w:trPr>
        <w:tc>
          <w:tcPr>
            <w:tcW w:w="377" w:type="pct"/>
            <w:tcBorders>
              <w:top w:val="nil"/>
              <w:left w:val="single" w:color="auto" w:sz="4" w:space="0"/>
              <w:bottom w:val="single" w:color="auto" w:sz="4" w:space="0"/>
              <w:right w:val="single" w:color="auto" w:sz="4" w:space="0"/>
            </w:tcBorders>
            <w:noWrap/>
            <w:vAlign w:val="center"/>
          </w:tcPr>
          <w:p w14:paraId="3D17B8E6">
            <w:pPr>
              <w:jc w:val="center"/>
              <w:rPr>
                <w:rFonts w:ascii="宋体" w:hAnsi="宋体" w:eastAsia="宋体" w:cs="宋体"/>
                <w:kern w:val="0"/>
                <w:sz w:val="24"/>
                <w:szCs w:val="24"/>
              </w:rPr>
            </w:pPr>
            <w:r>
              <w:rPr>
                <w:rFonts w:ascii="宋体" w:hAnsi="宋体" w:eastAsia="宋体" w:cs="宋体"/>
                <w:kern w:val="0"/>
                <w:sz w:val="24"/>
                <w:szCs w:val="24"/>
              </w:rPr>
              <w:t>30</w:t>
            </w:r>
          </w:p>
        </w:tc>
        <w:tc>
          <w:tcPr>
            <w:tcW w:w="1142" w:type="pct"/>
            <w:tcBorders>
              <w:top w:val="nil"/>
              <w:left w:val="nil"/>
              <w:bottom w:val="single" w:color="auto" w:sz="4" w:space="0"/>
              <w:right w:val="single" w:color="auto" w:sz="4" w:space="0"/>
            </w:tcBorders>
            <w:vAlign w:val="center"/>
          </w:tcPr>
          <w:p w14:paraId="20045F74">
            <w:pPr>
              <w:jc w:val="center"/>
              <w:rPr>
                <w:rFonts w:ascii="宋体" w:hAnsi="宋体" w:eastAsia="宋体" w:cs="宋体"/>
                <w:kern w:val="0"/>
                <w:sz w:val="24"/>
                <w:szCs w:val="24"/>
              </w:rPr>
            </w:pPr>
            <w:r>
              <w:rPr>
                <w:rFonts w:ascii="宋体" w:hAnsi="宋体" w:eastAsia="宋体" w:cs="宋体"/>
                <w:kern w:val="0"/>
                <w:sz w:val="24"/>
                <w:szCs w:val="24"/>
              </w:rPr>
              <w:t>轿厢内应急照明</w:t>
            </w:r>
          </w:p>
        </w:tc>
        <w:tc>
          <w:tcPr>
            <w:tcW w:w="3479" w:type="pct"/>
            <w:tcBorders>
              <w:top w:val="nil"/>
              <w:left w:val="nil"/>
              <w:bottom w:val="single" w:color="auto" w:sz="4" w:space="0"/>
              <w:right w:val="single" w:color="auto" w:sz="4" w:space="0"/>
            </w:tcBorders>
            <w:vAlign w:val="center"/>
          </w:tcPr>
          <w:p w14:paraId="37624A21">
            <w:pPr>
              <w:rPr>
                <w:rFonts w:ascii="宋体" w:hAnsi="宋体" w:eastAsia="宋体" w:cs="宋体"/>
                <w:kern w:val="0"/>
                <w:sz w:val="24"/>
                <w:szCs w:val="24"/>
                <w:lang w:eastAsia="zh-CN"/>
              </w:rPr>
            </w:pPr>
            <w:r>
              <w:rPr>
                <w:rFonts w:ascii="宋体" w:hAnsi="宋体" w:eastAsia="宋体" w:cs="宋体"/>
                <w:kern w:val="0"/>
                <w:sz w:val="24"/>
                <w:szCs w:val="24"/>
                <w:lang w:eastAsia="zh-CN"/>
              </w:rPr>
              <w:t>轿厢内设有应急照明装置。</w:t>
            </w:r>
          </w:p>
        </w:tc>
      </w:tr>
      <w:tr w14:paraId="6B2D3BE8">
        <w:tblPrEx>
          <w:tblCellMar>
            <w:top w:w="0" w:type="dxa"/>
            <w:left w:w="108" w:type="dxa"/>
            <w:bottom w:w="0" w:type="dxa"/>
            <w:right w:w="108" w:type="dxa"/>
          </w:tblCellMar>
        </w:tblPrEx>
        <w:trPr>
          <w:trHeight w:val="767" w:hRule="atLeast"/>
          <w:jc w:val="center"/>
        </w:trPr>
        <w:tc>
          <w:tcPr>
            <w:tcW w:w="377" w:type="pct"/>
            <w:tcBorders>
              <w:top w:val="nil"/>
              <w:left w:val="single" w:color="auto" w:sz="4" w:space="0"/>
              <w:bottom w:val="single" w:color="auto" w:sz="4" w:space="0"/>
              <w:right w:val="single" w:color="auto" w:sz="4" w:space="0"/>
            </w:tcBorders>
            <w:noWrap/>
            <w:vAlign w:val="center"/>
          </w:tcPr>
          <w:p w14:paraId="37C6C97C">
            <w:pPr>
              <w:jc w:val="center"/>
              <w:rPr>
                <w:rFonts w:ascii="宋体" w:hAnsi="宋体" w:eastAsia="宋体" w:cs="宋体"/>
                <w:kern w:val="0"/>
                <w:sz w:val="24"/>
                <w:szCs w:val="24"/>
              </w:rPr>
            </w:pPr>
            <w:r>
              <w:rPr>
                <w:rFonts w:ascii="宋体" w:hAnsi="宋体" w:eastAsia="宋体" w:cs="宋体"/>
                <w:kern w:val="0"/>
                <w:sz w:val="24"/>
                <w:szCs w:val="24"/>
              </w:rPr>
              <w:t>31</w:t>
            </w:r>
          </w:p>
        </w:tc>
        <w:tc>
          <w:tcPr>
            <w:tcW w:w="1142" w:type="pct"/>
            <w:tcBorders>
              <w:top w:val="nil"/>
              <w:left w:val="nil"/>
              <w:bottom w:val="single" w:color="auto" w:sz="4" w:space="0"/>
              <w:right w:val="single" w:color="auto" w:sz="4" w:space="0"/>
            </w:tcBorders>
            <w:vAlign w:val="center"/>
          </w:tcPr>
          <w:p w14:paraId="3B0BBE33">
            <w:pPr>
              <w:jc w:val="center"/>
              <w:rPr>
                <w:rFonts w:ascii="宋体" w:hAnsi="宋体" w:eastAsia="宋体" w:cs="宋体"/>
                <w:kern w:val="0"/>
                <w:sz w:val="24"/>
                <w:szCs w:val="24"/>
                <w:lang w:eastAsia="zh-CN"/>
              </w:rPr>
            </w:pPr>
            <w:r>
              <w:rPr>
                <w:rFonts w:ascii="宋体" w:hAnsi="宋体" w:eastAsia="宋体" w:cs="宋体"/>
                <w:kern w:val="0"/>
                <w:sz w:val="24"/>
                <w:szCs w:val="24"/>
                <w:lang w:eastAsia="zh-CN"/>
              </w:rPr>
              <w:t>轿内照明自动控制</w:t>
            </w:r>
          </w:p>
        </w:tc>
        <w:tc>
          <w:tcPr>
            <w:tcW w:w="3479" w:type="pct"/>
            <w:tcBorders>
              <w:top w:val="nil"/>
              <w:left w:val="nil"/>
              <w:bottom w:val="single" w:color="auto" w:sz="4" w:space="0"/>
              <w:right w:val="single" w:color="auto" w:sz="4" w:space="0"/>
            </w:tcBorders>
            <w:vAlign w:val="center"/>
          </w:tcPr>
          <w:p w14:paraId="24E82102">
            <w:pPr>
              <w:rPr>
                <w:rFonts w:ascii="宋体" w:hAnsi="宋体" w:eastAsia="宋体" w:cs="宋体"/>
                <w:kern w:val="0"/>
                <w:sz w:val="24"/>
                <w:szCs w:val="24"/>
                <w:lang w:eastAsia="zh-CN"/>
              </w:rPr>
            </w:pPr>
            <w:r>
              <w:rPr>
                <w:rFonts w:ascii="宋体" w:hAnsi="宋体" w:eastAsia="宋体" w:cs="宋体"/>
                <w:kern w:val="0"/>
                <w:sz w:val="24"/>
                <w:szCs w:val="24"/>
                <w:lang w:eastAsia="zh-CN"/>
              </w:rPr>
              <w:t>在规定时间内无呼梯信号，轿厢内照明会自动关闭以节约能源。</w:t>
            </w:r>
          </w:p>
        </w:tc>
      </w:tr>
      <w:tr w14:paraId="4F7982E4">
        <w:tblPrEx>
          <w:tblCellMar>
            <w:top w:w="0" w:type="dxa"/>
            <w:left w:w="108" w:type="dxa"/>
            <w:bottom w:w="0" w:type="dxa"/>
            <w:right w:w="108" w:type="dxa"/>
          </w:tblCellMar>
        </w:tblPrEx>
        <w:trPr>
          <w:trHeight w:val="834" w:hRule="atLeast"/>
          <w:jc w:val="center"/>
        </w:trPr>
        <w:tc>
          <w:tcPr>
            <w:tcW w:w="377" w:type="pct"/>
            <w:tcBorders>
              <w:top w:val="nil"/>
              <w:left w:val="single" w:color="auto" w:sz="4" w:space="0"/>
              <w:bottom w:val="nil"/>
              <w:right w:val="single" w:color="auto" w:sz="4" w:space="0"/>
            </w:tcBorders>
            <w:noWrap/>
            <w:vAlign w:val="center"/>
          </w:tcPr>
          <w:p w14:paraId="519A012D">
            <w:pPr>
              <w:jc w:val="center"/>
              <w:rPr>
                <w:rFonts w:ascii="宋体" w:hAnsi="宋体" w:eastAsia="宋体" w:cs="宋体"/>
                <w:kern w:val="0"/>
                <w:sz w:val="24"/>
                <w:szCs w:val="24"/>
              </w:rPr>
            </w:pPr>
            <w:r>
              <w:rPr>
                <w:rFonts w:ascii="宋体" w:hAnsi="宋体" w:eastAsia="宋体" w:cs="宋体"/>
                <w:kern w:val="0"/>
                <w:sz w:val="24"/>
                <w:szCs w:val="24"/>
              </w:rPr>
              <w:t>32</w:t>
            </w:r>
          </w:p>
        </w:tc>
        <w:tc>
          <w:tcPr>
            <w:tcW w:w="1142" w:type="pct"/>
            <w:tcBorders>
              <w:top w:val="nil"/>
              <w:left w:val="nil"/>
              <w:bottom w:val="single" w:color="auto" w:sz="4" w:space="0"/>
              <w:right w:val="single" w:color="auto" w:sz="4" w:space="0"/>
            </w:tcBorders>
            <w:vAlign w:val="center"/>
          </w:tcPr>
          <w:p w14:paraId="0AF39379">
            <w:pPr>
              <w:jc w:val="center"/>
              <w:rPr>
                <w:rFonts w:ascii="宋体" w:hAnsi="宋体" w:eastAsia="宋体" w:cs="宋体"/>
                <w:kern w:val="0"/>
                <w:sz w:val="24"/>
                <w:szCs w:val="24"/>
              </w:rPr>
            </w:pPr>
            <w:r>
              <w:rPr>
                <w:rFonts w:ascii="宋体" w:hAnsi="宋体" w:eastAsia="宋体" w:cs="宋体"/>
                <w:kern w:val="0"/>
                <w:sz w:val="24"/>
                <w:szCs w:val="24"/>
              </w:rPr>
              <w:t>轿内楼层及方向显示</w:t>
            </w:r>
          </w:p>
        </w:tc>
        <w:tc>
          <w:tcPr>
            <w:tcW w:w="3479" w:type="pct"/>
            <w:tcBorders>
              <w:top w:val="nil"/>
              <w:left w:val="nil"/>
              <w:bottom w:val="single" w:color="auto" w:sz="4" w:space="0"/>
              <w:right w:val="single" w:color="auto" w:sz="4" w:space="0"/>
            </w:tcBorders>
            <w:vAlign w:val="center"/>
          </w:tcPr>
          <w:p w14:paraId="4F011735">
            <w:pPr>
              <w:rPr>
                <w:rFonts w:ascii="宋体" w:hAnsi="宋体" w:eastAsia="宋体" w:cs="宋体"/>
                <w:kern w:val="0"/>
                <w:sz w:val="24"/>
                <w:szCs w:val="24"/>
              </w:rPr>
            </w:pPr>
            <w:r>
              <w:rPr>
                <w:rFonts w:ascii="宋体" w:hAnsi="宋体" w:eastAsia="宋体" w:cs="宋体"/>
                <w:kern w:val="0"/>
                <w:sz w:val="24"/>
                <w:szCs w:val="24"/>
                <w:lang w:eastAsia="zh-CN"/>
              </w:rPr>
              <w:t>在客梯运行时，在轿内显示会显示客梯的运行方向楼层等信息。</w:t>
            </w:r>
            <w:r>
              <w:rPr>
                <w:rFonts w:ascii="宋体" w:hAnsi="宋体" w:eastAsia="宋体" w:cs="宋体"/>
                <w:kern w:val="0"/>
                <w:sz w:val="24"/>
                <w:szCs w:val="24"/>
              </w:rPr>
              <w:t>轿内液晶显示。</w:t>
            </w:r>
          </w:p>
        </w:tc>
      </w:tr>
      <w:tr w14:paraId="4AB364CA">
        <w:tblPrEx>
          <w:tblCellMar>
            <w:top w:w="0" w:type="dxa"/>
            <w:left w:w="108" w:type="dxa"/>
            <w:bottom w:w="0" w:type="dxa"/>
            <w:right w:w="108" w:type="dxa"/>
          </w:tblCellMar>
        </w:tblPrEx>
        <w:trPr>
          <w:trHeight w:val="846" w:hRule="atLeast"/>
          <w:jc w:val="center"/>
        </w:trPr>
        <w:tc>
          <w:tcPr>
            <w:tcW w:w="377" w:type="pct"/>
            <w:tcBorders>
              <w:top w:val="nil"/>
              <w:left w:val="single" w:color="auto" w:sz="4" w:space="0"/>
              <w:bottom w:val="single" w:color="auto" w:sz="4" w:space="0"/>
              <w:right w:val="single" w:color="auto" w:sz="4" w:space="0"/>
            </w:tcBorders>
            <w:noWrap/>
            <w:vAlign w:val="center"/>
          </w:tcPr>
          <w:p w14:paraId="6C1B56E0">
            <w:pPr>
              <w:jc w:val="center"/>
              <w:rPr>
                <w:rFonts w:ascii="宋体" w:hAnsi="宋体" w:eastAsia="宋体" w:cs="宋体"/>
                <w:kern w:val="0"/>
                <w:sz w:val="24"/>
                <w:szCs w:val="24"/>
              </w:rPr>
            </w:pPr>
            <w:r>
              <w:rPr>
                <w:rFonts w:ascii="宋体" w:hAnsi="宋体" w:eastAsia="宋体" w:cs="宋体"/>
                <w:kern w:val="0"/>
                <w:sz w:val="24"/>
                <w:szCs w:val="24"/>
              </w:rPr>
              <w:t>33</w:t>
            </w:r>
          </w:p>
        </w:tc>
        <w:tc>
          <w:tcPr>
            <w:tcW w:w="1142" w:type="pct"/>
            <w:tcBorders>
              <w:top w:val="nil"/>
              <w:left w:val="nil"/>
              <w:bottom w:val="single" w:color="auto" w:sz="4" w:space="0"/>
              <w:right w:val="single" w:color="auto" w:sz="4" w:space="0"/>
            </w:tcBorders>
            <w:vAlign w:val="center"/>
          </w:tcPr>
          <w:p w14:paraId="10DD7B33">
            <w:pPr>
              <w:jc w:val="center"/>
              <w:rPr>
                <w:rFonts w:ascii="宋体" w:hAnsi="宋体" w:eastAsia="宋体" w:cs="宋体"/>
                <w:kern w:val="0"/>
                <w:sz w:val="24"/>
                <w:szCs w:val="24"/>
              </w:rPr>
            </w:pPr>
            <w:r>
              <w:rPr>
                <w:rFonts w:ascii="宋体" w:hAnsi="宋体" w:eastAsia="宋体" w:cs="宋体"/>
                <w:kern w:val="0"/>
                <w:sz w:val="24"/>
                <w:szCs w:val="24"/>
              </w:rPr>
              <w:t>厅外楼层及方向显示</w:t>
            </w:r>
          </w:p>
        </w:tc>
        <w:tc>
          <w:tcPr>
            <w:tcW w:w="3479" w:type="pct"/>
            <w:tcBorders>
              <w:top w:val="nil"/>
              <w:left w:val="nil"/>
              <w:bottom w:val="single" w:color="auto" w:sz="4" w:space="0"/>
              <w:right w:val="single" w:color="auto" w:sz="4" w:space="0"/>
            </w:tcBorders>
            <w:vAlign w:val="center"/>
          </w:tcPr>
          <w:p w14:paraId="3E81465F">
            <w:pPr>
              <w:rPr>
                <w:rFonts w:ascii="宋体" w:hAnsi="宋体" w:eastAsia="宋体" w:cs="宋体"/>
                <w:kern w:val="0"/>
                <w:sz w:val="24"/>
                <w:szCs w:val="24"/>
              </w:rPr>
            </w:pPr>
            <w:r>
              <w:rPr>
                <w:rFonts w:ascii="宋体" w:hAnsi="宋体" w:eastAsia="宋体" w:cs="宋体"/>
                <w:kern w:val="0"/>
                <w:sz w:val="24"/>
                <w:szCs w:val="24"/>
                <w:lang w:eastAsia="zh-CN"/>
              </w:rPr>
              <w:t>在客梯运行时，在外招召显示会显示客梯的运行方向楼层等信息。</w:t>
            </w:r>
            <w:r>
              <w:rPr>
                <w:rFonts w:ascii="宋体" w:hAnsi="宋体" w:eastAsia="宋体" w:cs="宋体"/>
                <w:kern w:val="0"/>
                <w:sz w:val="24"/>
                <w:szCs w:val="24"/>
              </w:rPr>
              <w:t>外呼液晶显示。</w:t>
            </w:r>
          </w:p>
        </w:tc>
      </w:tr>
      <w:tr w14:paraId="1CF58896">
        <w:tblPrEx>
          <w:tblCellMar>
            <w:top w:w="0" w:type="dxa"/>
            <w:left w:w="108" w:type="dxa"/>
            <w:bottom w:w="0" w:type="dxa"/>
            <w:right w:w="108" w:type="dxa"/>
          </w:tblCellMar>
        </w:tblPrEx>
        <w:trPr>
          <w:trHeight w:val="702" w:hRule="atLeast"/>
          <w:jc w:val="center"/>
        </w:trPr>
        <w:tc>
          <w:tcPr>
            <w:tcW w:w="377" w:type="pct"/>
            <w:tcBorders>
              <w:top w:val="single" w:color="auto" w:sz="4" w:space="0"/>
              <w:left w:val="single" w:color="auto" w:sz="4" w:space="0"/>
              <w:bottom w:val="single" w:color="auto" w:sz="4" w:space="0"/>
              <w:right w:val="single" w:color="auto" w:sz="4" w:space="0"/>
            </w:tcBorders>
            <w:noWrap/>
            <w:vAlign w:val="center"/>
          </w:tcPr>
          <w:p w14:paraId="1AC0AFA1">
            <w:pPr>
              <w:jc w:val="center"/>
              <w:rPr>
                <w:rFonts w:ascii="宋体" w:hAnsi="宋体" w:eastAsia="宋体" w:cs="宋体"/>
                <w:kern w:val="0"/>
                <w:sz w:val="24"/>
                <w:szCs w:val="24"/>
              </w:rPr>
            </w:pPr>
            <w:r>
              <w:rPr>
                <w:rFonts w:ascii="宋体" w:hAnsi="宋体" w:eastAsia="宋体" w:cs="宋体"/>
                <w:kern w:val="0"/>
                <w:sz w:val="24"/>
                <w:szCs w:val="24"/>
              </w:rPr>
              <w:t>34</w:t>
            </w:r>
          </w:p>
        </w:tc>
        <w:tc>
          <w:tcPr>
            <w:tcW w:w="1142" w:type="pct"/>
            <w:tcBorders>
              <w:top w:val="nil"/>
              <w:left w:val="nil"/>
              <w:bottom w:val="single" w:color="auto" w:sz="4" w:space="0"/>
              <w:right w:val="single" w:color="auto" w:sz="4" w:space="0"/>
            </w:tcBorders>
            <w:vAlign w:val="center"/>
          </w:tcPr>
          <w:p w14:paraId="57F8CC31">
            <w:pPr>
              <w:jc w:val="center"/>
              <w:rPr>
                <w:rFonts w:ascii="宋体" w:hAnsi="宋体" w:eastAsia="宋体" w:cs="宋体"/>
                <w:kern w:val="0"/>
                <w:sz w:val="24"/>
                <w:szCs w:val="24"/>
              </w:rPr>
            </w:pPr>
            <w:r>
              <w:rPr>
                <w:rFonts w:ascii="宋体" w:hAnsi="宋体" w:eastAsia="宋体" w:cs="宋体"/>
                <w:kern w:val="0"/>
                <w:sz w:val="24"/>
                <w:szCs w:val="24"/>
              </w:rPr>
              <w:t>防捣乱保护</w:t>
            </w:r>
          </w:p>
        </w:tc>
        <w:tc>
          <w:tcPr>
            <w:tcW w:w="3479" w:type="pct"/>
            <w:tcBorders>
              <w:top w:val="nil"/>
              <w:left w:val="nil"/>
              <w:bottom w:val="single" w:color="auto" w:sz="4" w:space="0"/>
              <w:right w:val="single" w:color="auto" w:sz="4" w:space="0"/>
            </w:tcBorders>
            <w:vAlign w:val="center"/>
          </w:tcPr>
          <w:p w14:paraId="1F74E1DB">
            <w:pPr>
              <w:rPr>
                <w:rFonts w:ascii="宋体" w:hAnsi="宋体" w:eastAsia="宋体" w:cs="宋体"/>
                <w:kern w:val="0"/>
                <w:sz w:val="24"/>
                <w:szCs w:val="24"/>
                <w:lang w:eastAsia="zh-CN"/>
              </w:rPr>
            </w:pPr>
            <w:r>
              <w:rPr>
                <w:rFonts w:ascii="宋体" w:hAnsi="宋体" w:eastAsia="宋体" w:cs="宋体"/>
                <w:kern w:val="0"/>
                <w:sz w:val="24"/>
                <w:szCs w:val="24"/>
                <w:lang w:eastAsia="zh-CN"/>
              </w:rPr>
              <w:t>轿厢载重与实际信息进行比较，如乘客较少，指令过多，系统会自动取消已登记的轿内信号。</w:t>
            </w:r>
          </w:p>
        </w:tc>
      </w:tr>
      <w:tr w14:paraId="5625B856">
        <w:tblPrEx>
          <w:tblCellMar>
            <w:top w:w="0" w:type="dxa"/>
            <w:left w:w="108" w:type="dxa"/>
            <w:bottom w:w="0" w:type="dxa"/>
            <w:right w:w="108" w:type="dxa"/>
          </w:tblCellMar>
        </w:tblPrEx>
        <w:trPr>
          <w:trHeight w:val="556" w:hRule="atLeast"/>
          <w:jc w:val="center"/>
        </w:trPr>
        <w:tc>
          <w:tcPr>
            <w:tcW w:w="377" w:type="pct"/>
            <w:tcBorders>
              <w:top w:val="single" w:color="auto" w:sz="4" w:space="0"/>
              <w:left w:val="single" w:color="auto" w:sz="4" w:space="0"/>
              <w:bottom w:val="single" w:color="auto" w:sz="4" w:space="0"/>
              <w:right w:val="single" w:color="auto" w:sz="4" w:space="0"/>
            </w:tcBorders>
            <w:noWrap/>
            <w:vAlign w:val="center"/>
          </w:tcPr>
          <w:p w14:paraId="2E25C22C">
            <w:pPr>
              <w:jc w:val="center"/>
              <w:rPr>
                <w:rFonts w:ascii="宋体" w:hAnsi="宋体" w:eastAsia="宋体" w:cs="宋体"/>
                <w:kern w:val="0"/>
                <w:sz w:val="24"/>
                <w:szCs w:val="24"/>
              </w:rPr>
            </w:pPr>
            <w:r>
              <w:rPr>
                <w:rFonts w:ascii="宋体" w:hAnsi="宋体" w:eastAsia="宋体" w:cs="宋体"/>
                <w:kern w:val="0"/>
                <w:sz w:val="24"/>
                <w:szCs w:val="24"/>
              </w:rPr>
              <w:t>35</w:t>
            </w:r>
          </w:p>
        </w:tc>
        <w:tc>
          <w:tcPr>
            <w:tcW w:w="1142" w:type="pct"/>
            <w:tcBorders>
              <w:top w:val="single" w:color="auto" w:sz="4" w:space="0"/>
              <w:left w:val="nil"/>
              <w:bottom w:val="single" w:color="auto" w:sz="4" w:space="0"/>
              <w:right w:val="single" w:color="auto" w:sz="4" w:space="0"/>
            </w:tcBorders>
            <w:vAlign w:val="center"/>
          </w:tcPr>
          <w:p w14:paraId="0185033D">
            <w:pPr>
              <w:jc w:val="center"/>
              <w:rPr>
                <w:rFonts w:ascii="宋体" w:hAnsi="宋体" w:eastAsia="宋体" w:cs="宋体"/>
                <w:kern w:val="0"/>
                <w:sz w:val="24"/>
                <w:szCs w:val="24"/>
              </w:rPr>
            </w:pPr>
            <w:r>
              <w:rPr>
                <w:rFonts w:ascii="宋体" w:hAnsi="宋体" w:eastAsia="宋体" w:cs="宋体"/>
                <w:kern w:val="0"/>
                <w:sz w:val="24"/>
                <w:szCs w:val="24"/>
              </w:rPr>
              <w:t>再平层</w:t>
            </w:r>
          </w:p>
        </w:tc>
        <w:tc>
          <w:tcPr>
            <w:tcW w:w="3479" w:type="pct"/>
            <w:tcBorders>
              <w:top w:val="single" w:color="auto" w:sz="4" w:space="0"/>
              <w:left w:val="nil"/>
              <w:bottom w:val="single" w:color="auto" w:sz="4" w:space="0"/>
              <w:right w:val="single" w:color="auto" w:sz="4" w:space="0"/>
            </w:tcBorders>
            <w:vAlign w:val="center"/>
          </w:tcPr>
          <w:p w14:paraId="314F24C3">
            <w:pPr>
              <w:rPr>
                <w:rFonts w:ascii="宋体" w:hAnsi="宋体" w:eastAsia="宋体" w:cs="宋体"/>
                <w:kern w:val="0"/>
                <w:sz w:val="24"/>
                <w:szCs w:val="24"/>
                <w:lang w:eastAsia="zh-CN"/>
              </w:rPr>
            </w:pPr>
            <w:r>
              <w:rPr>
                <w:rFonts w:ascii="宋体" w:hAnsi="宋体" w:eastAsia="宋体" w:cs="宋体"/>
                <w:kern w:val="0"/>
                <w:sz w:val="24"/>
                <w:szCs w:val="24"/>
                <w:lang w:eastAsia="zh-CN"/>
              </w:rPr>
              <w:t>故障时就近平层（如，马达过温故障、楼层位置错误）。</w:t>
            </w:r>
          </w:p>
        </w:tc>
      </w:tr>
      <w:tr w14:paraId="394293E3">
        <w:tblPrEx>
          <w:tblCellMar>
            <w:top w:w="0" w:type="dxa"/>
            <w:left w:w="108" w:type="dxa"/>
            <w:bottom w:w="0" w:type="dxa"/>
            <w:right w:w="108" w:type="dxa"/>
          </w:tblCellMar>
        </w:tblPrEx>
        <w:trPr>
          <w:trHeight w:val="722" w:hRule="atLeast"/>
          <w:jc w:val="center"/>
        </w:trPr>
        <w:tc>
          <w:tcPr>
            <w:tcW w:w="377" w:type="pct"/>
            <w:tcBorders>
              <w:top w:val="single" w:color="auto" w:sz="4" w:space="0"/>
              <w:left w:val="single" w:color="auto" w:sz="4" w:space="0"/>
              <w:bottom w:val="single" w:color="auto" w:sz="4" w:space="0"/>
              <w:right w:val="single" w:color="auto" w:sz="4" w:space="0"/>
            </w:tcBorders>
            <w:noWrap/>
            <w:vAlign w:val="center"/>
          </w:tcPr>
          <w:p w14:paraId="7752673A">
            <w:pPr>
              <w:jc w:val="center"/>
              <w:rPr>
                <w:rFonts w:ascii="宋体" w:hAnsi="宋体" w:eastAsia="宋体" w:cs="宋体"/>
                <w:kern w:val="0"/>
                <w:sz w:val="24"/>
                <w:szCs w:val="24"/>
              </w:rPr>
            </w:pPr>
            <w:r>
              <w:rPr>
                <w:rFonts w:ascii="宋体" w:hAnsi="宋体" w:eastAsia="宋体" w:cs="宋体"/>
                <w:kern w:val="0"/>
                <w:sz w:val="24"/>
                <w:szCs w:val="24"/>
              </w:rPr>
              <w:t>36</w:t>
            </w:r>
          </w:p>
        </w:tc>
        <w:tc>
          <w:tcPr>
            <w:tcW w:w="1142" w:type="pct"/>
            <w:tcBorders>
              <w:top w:val="single" w:color="auto" w:sz="4" w:space="0"/>
              <w:left w:val="single" w:color="auto" w:sz="4" w:space="0"/>
              <w:bottom w:val="single" w:color="auto" w:sz="4" w:space="0"/>
              <w:right w:val="single" w:color="auto" w:sz="4" w:space="0"/>
            </w:tcBorders>
            <w:vAlign w:val="center"/>
          </w:tcPr>
          <w:p w14:paraId="7B8945D2">
            <w:pPr>
              <w:jc w:val="center"/>
              <w:rPr>
                <w:rFonts w:ascii="宋体" w:hAnsi="宋体" w:eastAsia="宋体" w:cs="宋体"/>
                <w:kern w:val="0"/>
                <w:sz w:val="24"/>
                <w:szCs w:val="24"/>
              </w:rPr>
            </w:pPr>
            <w:r>
              <w:rPr>
                <w:rFonts w:ascii="宋体" w:hAnsi="宋体" w:eastAsia="宋体" w:cs="宋体"/>
                <w:kern w:val="0"/>
                <w:sz w:val="24"/>
                <w:szCs w:val="24"/>
              </w:rPr>
              <w:t>消防员操作</w:t>
            </w:r>
          </w:p>
        </w:tc>
        <w:tc>
          <w:tcPr>
            <w:tcW w:w="3479" w:type="pct"/>
            <w:tcBorders>
              <w:top w:val="single" w:color="auto" w:sz="4" w:space="0"/>
              <w:left w:val="single" w:color="auto" w:sz="4" w:space="0"/>
              <w:bottom w:val="single" w:color="auto" w:sz="4" w:space="0"/>
              <w:right w:val="single" w:color="auto" w:sz="4" w:space="0"/>
            </w:tcBorders>
            <w:vAlign w:val="center"/>
          </w:tcPr>
          <w:p w14:paraId="140B45B5">
            <w:pPr>
              <w:rPr>
                <w:rFonts w:ascii="宋体" w:hAnsi="宋体" w:eastAsia="宋体" w:cs="宋体"/>
                <w:kern w:val="0"/>
                <w:sz w:val="24"/>
                <w:szCs w:val="24"/>
                <w:lang w:eastAsia="zh-CN"/>
              </w:rPr>
            </w:pPr>
            <w:r>
              <w:rPr>
                <w:rFonts w:ascii="宋体" w:hAnsi="宋体" w:eastAsia="宋体" w:cs="宋体"/>
                <w:kern w:val="0"/>
                <w:sz w:val="24"/>
                <w:szCs w:val="24"/>
                <w:lang w:eastAsia="zh-CN"/>
              </w:rPr>
              <w:t>应急电动松闸功能，火灾应急返回信号预留，火灾应急返回，轿厢意外移动保护，限制轿内人员开启轿门装置。</w:t>
            </w:r>
          </w:p>
          <w:p w14:paraId="0AA43604">
            <w:pPr>
              <w:rPr>
                <w:rFonts w:ascii="宋体" w:hAnsi="宋体" w:eastAsia="宋体" w:cs="宋体"/>
                <w:kern w:val="0"/>
                <w:sz w:val="24"/>
                <w:szCs w:val="24"/>
                <w:lang w:eastAsia="zh-CN"/>
              </w:rPr>
            </w:pPr>
            <w:r>
              <w:rPr>
                <w:rFonts w:ascii="宋体" w:hAnsi="宋体" w:eastAsia="宋体" w:cs="宋体"/>
                <w:kern w:val="0"/>
                <w:sz w:val="24"/>
                <w:szCs w:val="24"/>
                <w:lang w:eastAsia="zh-CN"/>
              </w:rPr>
              <w:t>检修操作，控制柜可锁主开关。</w:t>
            </w:r>
          </w:p>
        </w:tc>
      </w:tr>
    </w:tbl>
    <w:p w14:paraId="37F73161">
      <w:pPr>
        <w:spacing w:line="347" w:lineRule="auto"/>
        <w:ind w:right="13"/>
        <w:rPr>
          <w:rFonts w:ascii="仿宋" w:hAnsi="仿宋" w:cs="仿宋"/>
          <w:b/>
          <w:bCs/>
          <w:spacing w:val="-2"/>
          <w:sz w:val="28"/>
          <w:szCs w:val="28"/>
          <w:lang w:val="en-US" w:eastAsia="zh-CN"/>
        </w:rPr>
      </w:pPr>
    </w:p>
    <w:p w14:paraId="578A9A14">
      <w:pPr>
        <w:spacing w:line="560" w:lineRule="exact"/>
        <w:ind w:firstLine="560" w:firstLineChars="200"/>
        <w:outlineLvl w:val="2"/>
        <w:rPr>
          <w:rFonts w:ascii="仿宋" w:hAnsi="仿宋" w:cs="仿宋"/>
          <w:iCs/>
          <w:sz w:val="28"/>
          <w:szCs w:val="28"/>
          <w:lang w:eastAsia="zh-Hans"/>
        </w:rPr>
      </w:pPr>
      <w:r>
        <w:rPr>
          <w:rFonts w:ascii="仿宋" w:hAnsi="仿宋" w:cs="仿宋"/>
          <w:iCs/>
          <w:sz w:val="28"/>
          <w:szCs w:val="28"/>
          <w:lang w:val="en-US" w:eastAsia="zh-Hans"/>
        </w:rPr>
        <w:t>4.2</w:t>
      </w:r>
      <w:r>
        <w:rPr>
          <w:rFonts w:ascii="仿宋" w:hAnsi="仿宋" w:cs="仿宋"/>
          <w:iCs/>
          <w:sz w:val="28"/>
          <w:szCs w:val="28"/>
          <w:lang w:eastAsia="zh-Hans"/>
        </w:rPr>
        <w:t>商务要求</w:t>
      </w:r>
    </w:p>
    <w:p w14:paraId="11FB1B60">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1）</w:t>
      </w:r>
      <w:r>
        <w:rPr>
          <w:rFonts w:ascii="宋体" w:hAnsi="宋体" w:eastAsia="宋体" w:cs="宋体"/>
          <w:sz w:val="28"/>
          <w:szCs w:val="28"/>
          <w:lang w:eastAsia="zh-CN"/>
        </w:rPr>
        <w:t>交货期</w:t>
      </w:r>
    </w:p>
    <w:p w14:paraId="2A1F8786">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合同签订后</w:t>
      </w:r>
      <w:r>
        <w:rPr>
          <w:rFonts w:ascii="仿宋" w:hAnsi="仿宋" w:cs="仿宋"/>
          <w:sz w:val="28"/>
          <w:szCs w:val="28"/>
          <w:lang w:eastAsia="zh-CN"/>
        </w:rPr>
        <w:t>90</w:t>
      </w:r>
      <w:r>
        <w:rPr>
          <w:rFonts w:ascii="宋体" w:hAnsi="宋体" w:eastAsia="宋体" w:cs="宋体"/>
          <w:sz w:val="28"/>
          <w:szCs w:val="28"/>
          <w:lang w:eastAsia="zh-CN"/>
        </w:rPr>
        <w:t>天内完成本项目的供货、安装及调试并取得使用登记证。</w:t>
      </w:r>
    </w:p>
    <w:p w14:paraId="4D9549D4">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2）项目实施要求</w:t>
      </w:r>
    </w:p>
    <w:p w14:paraId="19EC85AB">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 xml:space="preserve">达到国家相关法律、法规规定的设计、生产、制造、验收合格标准。                                                            </w:t>
      </w:r>
    </w:p>
    <w:p w14:paraId="7145922D">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3）项目团队要求</w:t>
      </w:r>
    </w:p>
    <w:p w14:paraId="645643FF">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本项目要求项目负责人、安装调试人员具有特种设备操作人员证。</w:t>
      </w:r>
    </w:p>
    <w:p w14:paraId="150C1B84">
      <w:pPr>
        <w:spacing w:line="560" w:lineRule="exact"/>
        <w:ind w:firstLine="560" w:firstLineChars="200"/>
        <w:rPr>
          <w:rFonts w:ascii="仿宋" w:hAnsi="仿宋" w:cs="仿宋"/>
          <w:b/>
          <w:bCs/>
          <w:sz w:val="28"/>
          <w:szCs w:val="28"/>
          <w:lang w:eastAsia="zh-CN"/>
        </w:rPr>
      </w:pPr>
      <w:r>
        <w:rPr>
          <w:rFonts w:ascii="仿宋" w:hAnsi="仿宋" w:cs="仿宋"/>
          <w:b/>
          <w:bCs/>
          <w:sz w:val="28"/>
          <w:szCs w:val="28"/>
          <w:lang w:eastAsia="zh-CN"/>
        </w:rPr>
        <w:t>4）质</w:t>
      </w:r>
      <w:r>
        <w:rPr>
          <w:rFonts w:ascii="宋体" w:hAnsi="宋体" w:eastAsia="宋体" w:cs="宋体"/>
          <w:b/>
          <w:bCs/>
          <w:sz w:val="28"/>
          <w:szCs w:val="28"/>
          <w:lang w:eastAsia="zh-CN"/>
        </w:rPr>
        <w:t>量</w:t>
      </w:r>
      <w:r>
        <w:rPr>
          <w:rFonts w:ascii="仿宋" w:hAnsi="仿宋" w:cs="仿宋"/>
          <w:b/>
          <w:bCs/>
          <w:sz w:val="28"/>
          <w:szCs w:val="28"/>
          <w:lang w:eastAsia="zh-CN"/>
        </w:rPr>
        <w:t>保</w:t>
      </w:r>
      <w:r>
        <w:rPr>
          <w:rFonts w:ascii="宋体" w:hAnsi="宋体" w:eastAsia="宋体" w:cs="宋体"/>
          <w:b/>
          <w:bCs/>
          <w:sz w:val="28"/>
          <w:szCs w:val="28"/>
          <w:lang w:eastAsia="zh-CN"/>
        </w:rPr>
        <w:t>证期</w:t>
      </w:r>
      <w:r>
        <w:rPr>
          <w:rFonts w:ascii="仿宋" w:hAnsi="仿宋" w:cs="仿宋"/>
          <w:b/>
          <w:bCs/>
          <w:sz w:val="28"/>
          <w:szCs w:val="28"/>
          <w:lang w:eastAsia="zh-CN"/>
        </w:rPr>
        <w:t>/运维周期</w:t>
      </w:r>
    </w:p>
    <w:p w14:paraId="0C884317">
      <w:pPr>
        <w:spacing w:line="560" w:lineRule="exact"/>
        <w:ind w:firstLine="560" w:firstLineChars="200"/>
        <w:rPr>
          <w:rFonts w:ascii="仿宋" w:hAnsi="仿宋" w:cs="仿宋"/>
          <w:sz w:val="28"/>
          <w:szCs w:val="28"/>
        </w:rPr>
      </w:pPr>
      <w:r>
        <w:rPr>
          <w:rFonts w:ascii="宋体" w:hAnsi="宋体" w:eastAsia="宋体" w:cs="宋体"/>
          <w:sz w:val="28"/>
          <w:szCs w:val="28"/>
          <w:lang w:eastAsia="zh-CN"/>
        </w:rPr>
        <w:t>质量保证期</w:t>
      </w:r>
      <w:r>
        <w:rPr>
          <w:rFonts w:ascii="仿宋" w:hAnsi="仿宋" w:cs="仿宋"/>
          <w:sz w:val="28"/>
          <w:szCs w:val="28"/>
          <w:lang w:eastAsia="zh-CN"/>
        </w:rPr>
        <w:t>/</w:t>
      </w:r>
      <w:r>
        <w:rPr>
          <w:rFonts w:ascii="宋体" w:hAnsi="宋体" w:eastAsia="宋体" w:cs="宋体"/>
          <w:sz w:val="28"/>
          <w:szCs w:val="28"/>
          <w:lang w:eastAsia="zh-CN"/>
        </w:rPr>
        <w:t>运维周期：</w:t>
      </w:r>
      <w:r>
        <w:rPr>
          <w:rFonts w:ascii="仿宋" w:hAnsi="仿宋" w:cs="仿宋"/>
          <w:sz w:val="28"/>
          <w:szCs w:val="28"/>
          <w:lang w:eastAsia="zh-CN"/>
        </w:rPr>
        <w:t>1年（时间从设备安装调试完成、验收合格，通过技术监督局及有关部门的验收并取得使用证书、采购人正式接受使用之日算起）。</w:t>
      </w:r>
    </w:p>
    <w:p w14:paraId="5F7A963A">
      <w:pPr>
        <w:spacing w:line="560" w:lineRule="exact"/>
        <w:ind w:firstLine="560" w:firstLineChars="200"/>
        <w:rPr>
          <w:rFonts w:ascii="仿宋" w:hAnsi="仿宋" w:cs="仿宋"/>
          <w:b/>
          <w:bCs/>
          <w:sz w:val="28"/>
          <w:szCs w:val="28"/>
          <w:lang w:eastAsia="zh-CN"/>
        </w:rPr>
      </w:pPr>
      <w:r>
        <w:rPr>
          <w:rFonts w:ascii="仿宋" w:hAnsi="仿宋" w:cs="仿宋"/>
          <w:b/>
          <w:bCs/>
          <w:sz w:val="28"/>
          <w:szCs w:val="28"/>
          <w:lang w:eastAsia="zh-CN"/>
        </w:rPr>
        <w:t>5）售后服务要求</w:t>
      </w:r>
    </w:p>
    <w:p w14:paraId="78C7E60D">
      <w:pPr>
        <w:spacing w:line="560" w:lineRule="exact"/>
        <w:ind w:firstLine="560" w:firstLineChars="200"/>
        <w:rPr>
          <w:rFonts w:ascii="仿宋" w:hAnsi="仿宋" w:cs="仿宋"/>
          <w:sz w:val="28"/>
          <w:szCs w:val="28"/>
        </w:rPr>
      </w:pPr>
      <w:r>
        <w:rPr>
          <w:rFonts w:ascii="仿宋" w:hAnsi="仿宋" w:cs="仿宋"/>
          <w:sz w:val="28"/>
          <w:szCs w:val="28"/>
          <w:lang w:val="en-US" w:eastAsia="zh-CN"/>
        </w:rPr>
        <w:t>1.</w:t>
      </w:r>
      <w:r>
        <w:rPr>
          <w:rFonts w:ascii="仿宋" w:hAnsi="仿宋" w:cs="仿宋"/>
          <w:sz w:val="28"/>
          <w:szCs w:val="28"/>
          <w:lang w:eastAsia="zh-CN"/>
        </w:rPr>
        <w:t>投标人结合采购需求，提供售后服务方案，包括但不限于服务人员的配备、内容</w:t>
      </w:r>
      <w:r>
        <w:rPr>
          <w:rFonts w:ascii="宋体" w:hAnsi="宋体" w:eastAsia="宋体" w:cs="宋体"/>
          <w:sz w:val="28"/>
          <w:szCs w:val="28"/>
          <w:lang w:eastAsia="zh-CN"/>
        </w:rPr>
        <w:t>（</w:t>
      </w:r>
      <w:r>
        <w:rPr>
          <w:rFonts w:ascii="仿宋" w:hAnsi="仿宋" w:cs="仿宋"/>
          <w:sz w:val="28"/>
          <w:szCs w:val="28"/>
          <w:lang w:eastAsia="zh-CN"/>
        </w:rPr>
        <w:t>上门保修服务及设备维护、保养服务的说明</w:t>
      </w:r>
      <w:r>
        <w:rPr>
          <w:rFonts w:ascii="宋体" w:hAnsi="宋体" w:eastAsia="宋体" w:cs="宋体"/>
          <w:sz w:val="28"/>
          <w:szCs w:val="28"/>
          <w:lang w:eastAsia="zh-CN"/>
        </w:rPr>
        <w:t>等）</w:t>
      </w:r>
      <w:r>
        <w:rPr>
          <w:rFonts w:ascii="仿宋" w:hAnsi="仿宋" w:cs="仿宋"/>
          <w:sz w:val="28"/>
          <w:szCs w:val="28"/>
          <w:lang w:eastAsia="zh-CN"/>
        </w:rPr>
        <w:t>、故障响应时间、到达现场响应时间、响应程度、解决问题的能力、紧急维修服务措施及指导咨询等。</w:t>
      </w:r>
    </w:p>
    <w:p w14:paraId="050EF4F0">
      <w:pPr>
        <w:spacing w:line="560" w:lineRule="exact"/>
        <w:ind w:firstLine="560" w:firstLineChars="200"/>
        <w:rPr>
          <w:rFonts w:ascii="仿宋" w:hAnsi="仿宋" w:cs="仿宋"/>
          <w:sz w:val="28"/>
          <w:szCs w:val="28"/>
          <w:lang w:eastAsia="zh-CN"/>
        </w:rPr>
      </w:pPr>
      <w:r>
        <w:rPr>
          <w:rFonts w:ascii="仿宋" w:hAnsi="仿宋" w:cs="仿宋"/>
          <w:sz w:val="28"/>
          <w:szCs w:val="28"/>
          <w:lang w:val="en-US" w:eastAsia="zh-CN"/>
        </w:rPr>
        <w:t>2</w:t>
      </w:r>
      <w:r>
        <w:rPr>
          <w:rFonts w:ascii="仿宋" w:hAnsi="仿宋" w:cs="仿宋"/>
          <w:sz w:val="28"/>
          <w:szCs w:val="28"/>
          <w:lang w:eastAsia="zh-CN"/>
        </w:rPr>
        <w:t>.在</w:t>
      </w:r>
      <w:r>
        <w:rPr>
          <w:rFonts w:ascii="宋体" w:hAnsi="宋体" w:eastAsia="宋体" w:cs="宋体"/>
          <w:sz w:val="28"/>
          <w:szCs w:val="28"/>
          <w:lang w:eastAsia="zh-CN"/>
        </w:rPr>
        <w:t>质量保证期</w:t>
      </w:r>
      <w:r>
        <w:rPr>
          <w:rFonts w:ascii="仿宋" w:hAnsi="仿宋" w:cs="仿宋"/>
          <w:sz w:val="28"/>
          <w:szCs w:val="28"/>
          <w:lang w:eastAsia="zh-CN"/>
        </w:rPr>
        <w:t>内电梯正常运行过程中发生故障，投标人应免费提供咨询、更换损坏的零件和维修服务。投标人须有属本公司的可随时上门作维修及检测的工程师，维修人员接到报修通知后，响应时间应不超过0.5小时，并能在1小时内上门维修，维修人员在12小时内不能排除故障时，应负责联系生产厂家技术人员到现场排除故障，24小时内恢复。维修保养机构须提供足够的备件以适应维修需求，并提供不间断服务直到结束。而且必须具备24小时服务和承担所有维修服务的能力，应能提供7*24小时的实时技术支持和服务。</w:t>
      </w:r>
    </w:p>
    <w:p w14:paraId="7002C418">
      <w:pPr>
        <w:spacing w:line="560" w:lineRule="exact"/>
        <w:ind w:firstLine="560" w:firstLineChars="200"/>
        <w:rPr>
          <w:rFonts w:ascii="仿宋" w:hAnsi="仿宋" w:cs="仿宋"/>
          <w:sz w:val="28"/>
          <w:szCs w:val="28"/>
          <w:lang w:eastAsia="zh-CN"/>
        </w:rPr>
      </w:pPr>
      <w:r>
        <w:rPr>
          <w:rFonts w:ascii="仿宋" w:hAnsi="仿宋" w:cs="仿宋"/>
          <w:sz w:val="28"/>
          <w:szCs w:val="28"/>
          <w:lang w:val="en-US" w:eastAsia="zh-CN"/>
        </w:rPr>
        <w:t>3</w:t>
      </w:r>
      <w:r>
        <w:rPr>
          <w:rFonts w:ascii="仿宋" w:hAnsi="仿宋" w:cs="仿宋"/>
          <w:sz w:val="28"/>
          <w:szCs w:val="28"/>
          <w:lang w:eastAsia="zh-CN"/>
        </w:rPr>
        <w:t>.在</w:t>
      </w:r>
      <w:r>
        <w:rPr>
          <w:rFonts w:ascii="宋体" w:hAnsi="宋体" w:eastAsia="宋体" w:cs="宋体"/>
          <w:sz w:val="28"/>
          <w:szCs w:val="28"/>
          <w:lang w:eastAsia="zh-CN"/>
        </w:rPr>
        <w:t>质量保证期</w:t>
      </w:r>
      <w:r>
        <w:rPr>
          <w:rFonts w:ascii="仿宋" w:hAnsi="仿宋" w:cs="仿宋"/>
          <w:sz w:val="28"/>
          <w:szCs w:val="28"/>
          <w:lang w:eastAsia="zh-CN"/>
        </w:rPr>
        <w:t>内的工作应包括对所有电梯每月至少2次的常规检查、整调和润滑。</w:t>
      </w:r>
    </w:p>
    <w:p w14:paraId="2844165E">
      <w:pPr>
        <w:spacing w:line="560" w:lineRule="exact"/>
        <w:ind w:firstLine="560" w:firstLineChars="200"/>
        <w:rPr>
          <w:rFonts w:ascii="仿宋" w:hAnsi="仿宋" w:cs="仿宋"/>
          <w:sz w:val="28"/>
          <w:szCs w:val="28"/>
          <w:lang w:eastAsia="zh-CN"/>
        </w:rPr>
      </w:pPr>
      <w:r>
        <w:rPr>
          <w:rFonts w:ascii="仿宋" w:hAnsi="仿宋" w:cs="仿宋"/>
          <w:sz w:val="28"/>
          <w:szCs w:val="28"/>
          <w:lang w:val="en-US" w:eastAsia="zh-CN"/>
        </w:rPr>
        <w:t>4</w:t>
      </w:r>
      <w:r>
        <w:rPr>
          <w:rFonts w:ascii="仿宋" w:hAnsi="仿宋" w:cs="仿宋"/>
          <w:sz w:val="28"/>
          <w:szCs w:val="28"/>
          <w:lang w:eastAsia="zh-CN"/>
        </w:rPr>
        <w:t>.</w:t>
      </w:r>
      <w:r>
        <w:rPr>
          <w:rFonts w:ascii="宋体" w:hAnsi="宋体" w:eastAsia="宋体" w:cs="宋体"/>
          <w:sz w:val="28"/>
          <w:szCs w:val="28"/>
          <w:lang w:eastAsia="zh-CN"/>
        </w:rPr>
        <w:t>质量保证期</w:t>
      </w:r>
      <w:r>
        <w:rPr>
          <w:rFonts w:ascii="仿宋" w:hAnsi="仿宋" w:cs="仿宋"/>
          <w:sz w:val="28"/>
          <w:szCs w:val="28"/>
          <w:lang w:eastAsia="zh-CN"/>
        </w:rPr>
        <w:t>内，因设备本身或安装调试质量问题导致的任何损坏及故障，均由中标人免费负责维修或更换。</w:t>
      </w:r>
    </w:p>
    <w:p w14:paraId="6CC4359B">
      <w:pPr>
        <w:spacing w:line="560" w:lineRule="exact"/>
        <w:ind w:firstLine="560" w:firstLineChars="200"/>
        <w:rPr>
          <w:rFonts w:ascii="仿宋" w:hAnsi="仿宋" w:cs="仿宋"/>
          <w:sz w:val="28"/>
          <w:szCs w:val="28"/>
          <w:lang w:eastAsia="zh-CN"/>
        </w:rPr>
      </w:pPr>
      <w:r>
        <w:rPr>
          <w:rFonts w:ascii="仿宋" w:hAnsi="仿宋" w:cs="仿宋"/>
          <w:sz w:val="28"/>
          <w:szCs w:val="28"/>
          <w:lang w:val="en-US" w:eastAsia="zh-CN"/>
        </w:rPr>
        <w:t>5</w:t>
      </w:r>
      <w:r>
        <w:rPr>
          <w:rFonts w:ascii="仿宋" w:hAnsi="仿宋" w:cs="仿宋"/>
          <w:sz w:val="28"/>
          <w:szCs w:val="28"/>
          <w:lang w:eastAsia="zh-CN"/>
        </w:rPr>
        <w:t>.在</w:t>
      </w:r>
      <w:r>
        <w:rPr>
          <w:rFonts w:ascii="宋体" w:hAnsi="宋体" w:eastAsia="宋体" w:cs="宋体"/>
          <w:sz w:val="28"/>
          <w:szCs w:val="28"/>
          <w:lang w:eastAsia="zh-CN"/>
        </w:rPr>
        <w:t>质量保证期</w:t>
      </w:r>
      <w:r>
        <w:rPr>
          <w:rFonts w:ascii="仿宋" w:hAnsi="仿宋" w:cs="仿宋"/>
          <w:sz w:val="28"/>
          <w:szCs w:val="28"/>
          <w:lang w:eastAsia="zh-CN"/>
        </w:rPr>
        <w:t>结束时，须由专业工程师对电梯进行一次测试，</w:t>
      </w:r>
      <w:r>
        <w:rPr>
          <w:rFonts w:ascii="宋体" w:hAnsi="宋体" w:eastAsia="宋体" w:cs="宋体"/>
          <w:sz w:val="28"/>
          <w:szCs w:val="28"/>
          <w:lang w:eastAsia="zh-CN"/>
        </w:rPr>
        <w:t>如有故障需经采购人同意后</w:t>
      </w:r>
      <w:r>
        <w:rPr>
          <w:rFonts w:ascii="仿宋" w:hAnsi="仿宋" w:cs="仿宋"/>
          <w:sz w:val="28"/>
          <w:szCs w:val="28"/>
          <w:lang w:eastAsia="zh-CN"/>
        </w:rPr>
        <w:t>由中标人</w:t>
      </w:r>
      <w:r>
        <w:rPr>
          <w:rFonts w:ascii="宋体" w:hAnsi="宋体" w:eastAsia="宋体" w:cs="宋体"/>
          <w:sz w:val="28"/>
          <w:szCs w:val="28"/>
          <w:lang w:eastAsia="zh-CN"/>
        </w:rPr>
        <w:t>自行解决，采购人不再支付费用</w:t>
      </w:r>
      <w:r>
        <w:rPr>
          <w:rFonts w:ascii="仿宋" w:hAnsi="仿宋" w:cs="仿宋"/>
          <w:sz w:val="28"/>
          <w:szCs w:val="28"/>
          <w:lang w:eastAsia="zh-CN"/>
        </w:rPr>
        <w:t>。修好后，投标人应提供一式两份报告给采购人，包括故障原因，解决措施，完成修理所用时间及恢复正常运行日期。</w:t>
      </w:r>
    </w:p>
    <w:p w14:paraId="01DE3D42">
      <w:pPr>
        <w:spacing w:line="560" w:lineRule="exact"/>
        <w:ind w:firstLine="560" w:firstLineChars="200"/>
        <w:rPr>
          <w:rFonts w:ascii="仿宋" w:hAnsi="仿宋" w:cs="仿宋"/>
          <w:sz w:val="28"/>
          <w:szCs w:val="28"/>
          <w:lang w:eastAsia="zh-CN"/>
        </w:rPr>
      </w:pPr>
      <w:r>
        <w:rPr>
          <w:rFonts w:ascii="仿宋" w:hAnsi="仿宋" w:cs="仿宋"/>
          <w:sz w:val="28"/>
          <w:szCs w:val="28"/>
          <w:lang w:val="en-US" w:eastAsia="zh-CN"/>
        </w:rPr>
        <w:t>6</w:t>
      </w:r>
      <w:r>
        <w:rPr>
          <w:rFonts w:ascii="仿宋" w:hAnsi="仿宋" w:cs="仿宋"/>
          <w:sz w:val="28"/>
          <w:szCs w:val="28"/>
          <w:lang w:eastAsia="zh-CN"/>
        </w:rPr>
        <w:t>）付款方式</w:t>
      </w:r>
    </w:p>
    <w:p w14:paraId="7B39D999">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1.在合同签订之日起30个日内，采购人向成交人支付合同总价的30%</w:t>
      </w:r>
      <w:r>
        <w:rPr>
          <w:rFonts w:ascii="仿宋" w:hAnsi="仿宋" w:cs="仿宋"/>
          <w:sz w:val="28"/>
          <w:szCs w:val="28"/>
          <w:lang w:val="en-US" w:eastAsia="zh-CN"/>
        </w:rPr>
        <w:t>作为预付款</w:t>
      </w:r>
      <w:r>
        <w:rPr>
          <w:rFonts w:ascii="仿宋" w:hAnsi="仿宋" w:cs="仿宋"/>
          <w:sz w:val="28"/>
          <w:szCs w:val="28"/>
          <w:lang w:eastAsia="zh-CN"/>
        </w:rPr>
        <w:t>；</w:t>
      </w:r>
    </w:p>
    <w:p w14:paraId="3EC405BD">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2.电梯安装调试完成，通过特种设备安全监督管理部门验收合格并取得检验报告和使用合格证后30日内，采购人向成交人支付至合同总价的100%。</w:t>
      </w:r>
    </w:p>
    <w:p w14:paraId="451E085C">
      <w:pPr>
        <w:spacing w:line="560" w:lineRule="exact"/>
        <w:ind w:firstLine="560" w:firstLineChars="200"/>
        <w:rPr>
          <w:rFonts w:ascii="仿宋" w:hAnsi="仿宋" w:cs="仿宋"/>
          <w:b/>
          <w:bCs/>
          <w:sz w:val="28"/>
          <w:szCs w:val="28"/>
          <w:lang w:eastAsia="zh-CN"/>
        </w:rPr>
      </w:pPr>
      <w:r>
        <w:rPr>
          <w:rFonts w:ascii="仿宋" w:hAnsi="仿宋" w:cs="仿宋"/>
          <w:b/>
          <w:bCs/>
          <w:sz w:val="28"/>
          <w:szCs w:val="28"/>
          <w:lang w:val="en-US" w:eastAsia="zh-CN"/>
        </w:rPr>
        <w:t>7</w:t>
      </w:r>
      <w:r>
        <w:rPr>
          <w:rFonts w:ascii="仿宋" w:hAnsi="仿宋" w:cs="仿宋"/>
          <w:b/>
          <w:bCs/>
          <w:sz w:val="28"/>
          <w:szCs w:val="28"/>
          <w:lang w:eastAsia="zh-CN"/>
        </w:rPr>
        <w:t>）履约保证金要求</w:t>
      </w:r>
    </w:p>
    <w:p w14:paraId="016F63E1">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本项目收取履约保证金</w:t>
      </w:r>
    </w:p>
    <w:p w14:paraId="7833F970">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履约保证金金额：合同金额的5%；</w:t>
      </w:r>
    </w:p>
    <w:p w14:paraId="6E210BD2">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履约保证金递交时间：</w:t>
      </w:r>
      <w:r>
        <w:rPr>
          <w:rFonts w:ascii="仿宋" w:hAnsi="仿宋" w:cs="仿宋"/>
          <w:sz w:val="28"/>
          <w:szCs w:val="28"/>
          <w:lang w:val="en-US" w:eastAsia="zh-CN"/>
        </w:rPr>
        <w:t>中标人</w:t>
      </w:r>
      <w:r>
        <w:rPr>
          <w:rFonts w:ascii="仿宋" w:hAnsi="仿宋" w:cs="仿宋"/>
          <w:sz w:val="28"/>
          <w:szCs w:val="28"/>
          <w:lang w:eastAsia="zh-CN"/>
        </w:rPr>
        <w:t>需在合同签订后</w:t>
      </w:r>
      <w:r>
        <w:rPr>
          <w:rFonts w:ascii="仿宋" w:hAnsi="仿宋" w:cs="仿宋"/>
          <w:sz w:val="28"/>
          <w:szCs w:val="28"/>
          <w:lang w:val="en-US" w:eastAsia="zh-CN"/>
        </w:rPr>
        <w:t>1</w:t>
      </w:r>
      <w:r>
        <w:rPr>
          <w:rFonts w:ascii="仿宋" w:hAnsi="仿宋" w:cs="仿宋"/>
          <w:sz w:val="28"/>
          <w:szCs w:val="28"/>
          <w:lang w:eastAsia="zh-CN"/>
        </w:rPr>
        <w:t>0日历天内向采购人缴纳。</w:t>
      </w:r>
    </w:p>
    <w:p w14:paraId="048FDE6E">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履约保证金递交方式：</w:t>
      </w:r>
      <w:r>
        <w:rPr>
          <w:rFonts w:ascii="仿宋" w:hAnsi="仿宋" w:cs="仿宋"/>
          <w:sz w:val="28"/>
          <w:szCs w:val="28"/>
          <w:lang w:eastAsia="zh-CN"/>
        </w:rPr>
        <w:sym w:font="Wingdings 2" w:char="0052"/>
      </w:r>
      <w:r>
        <w:rPr>
          <w:rFonts w:ascii="仿宋" w:hAnsi="仿宋" w:cs="仿宋"/>
          <w:sz w:val="28"/>
          <w:szCs w:val="28"/>
          <w:lang w:eastAsia="zh-CN"/>
        </w:rPr>
        <w:t>保函   □支票  □电汇。</w:t>
      </w:r>
    </w:p>
    <w:p w14:paraId="0D71B2AF">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履约保函的有效期：6</w:t>
      </w:r>
      <w:r>
        <w:rPr>
          <w:rFonts w:ascii="宋体" w:hAnsi="宋体" w:eastAsia="宋体" w:cs="宋体"/>
          <w:sz w:val="28"/>
          <w:szCs w:val="28"/>
          <w:lang w:eastAsia="zh-CN"/>
        </w:rPr>
        <w:t>个月</w:t>
      </w:r>
      <w:r>
        <w:rPr>
          <w:rFonts w:ascii="仿宋" w:hAnsi="仿宋" w:cs="仿宋"/>
          <w:sz w:val="28"/>
          <w:szCs w:val="28"/>
          <w:lang w:eastAsia="zh-CN"/>
        </w:rPr>
        <w:t>。</w:t>
      </w:r>
    </w:p>
    <w:p w14:paraId="59EA4692">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履约保证金退还时间及规定：项目验收合格后15日内退还。</w:t>
      </w:r>
    </w:p>
    <w:p w14:paraId="3DC80CD0">
      <w:pPr>
        <w:spacing w:line="560" w:lineRule="exact"/>
        <w:ind w:firstLine="560" w:firstLineChars="200"/>
        <w:rPr>
          <w:rFonts w:ascii="仿宋" w:hAnsi="仿宋" w:cs="仿宋"/>
          <w:b/>
          <w:bCs/>
          <w:sz w:val="28"/>
          <w:szCs w:val="28"/>
          <w:lang w:eastAsia="zh-CN"/>
        </w:rPr>
      </w:pPr>
      <w:r>
        <w:rPr>
          <w:rFonts w:ascii="仿宋" w:hAnsi="仿宋" w:cs="仿宋"/>
          <w:b/>
          <w:bCs/>
          <w:sz w:val="28"/>
          <w:szCs w:val="28"/>
          <w:lang w:val="en-US" w:eastAsia="zh-CN"/>
        </w:rPr>
        <w:t>8</w:t>
      </w:r>
      <w:r>
        <w:rPr>
          <w:rFonts w:ascii="仿宋" w:hAnsi="仿宋" w:cs="仿宋"/>
          <w:b/>
          <w:bCs/>
          <w:sz w:val="28"/>
          <w:szCs w:val="28"/>
          <w:lang w:eastAsia="zh-CN"/>
        </w:rPr>
        <w:t>）安全保密要求</w:t>
      </w:r>
    </w:p>
    <w:p w14:paraId="4EF65FFB">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 xml:space="preserve">没有采购人事先书面同意，投标人不得将由采购人或代表采购人提供的有关合同或任何合同条文、规格、计划、图纸、模型、样品或资料提供给与履行本合同无关的任何其他人。即使向与履行本合同有关的人员提供，也应注意保密并限于履行合同必须的范围。 </w:t>
      </w:r>
    </w:p>
    <w:p w14:paraId="6E5B2BE6">
      <w:pPr>
        <w:spacing w:line="560" w:lineRule="exact"/>
        <w:ind w:firstLine="560" w:firstLineChars="200"/>
        <w:rPr>
          <w:rFonts w:ascii="仿宋" w:hAnsi="仿宋" w:cs="仿宋"/>
          <w:b/>
          <w:bCs/>
          <w:sz w:val="28"/>
          <w:szCs w:val="28"/>
          <w:lang w:eastAsia="zh-CN"/>
        </w:rPr>
      </w:pPr>
      <w:r>
        <w:rPr>
          <w:rFonts w:ascii="仿宋" w:hAnsi="仿宋" w:cs="仿宋"/>
          <w:b/>
          <w:bCs/>
          <w:sz w:val="28"/>
          <w:szCs w:val="28"/>
          <w:lang w:val="en-US" w:eastAsia="zh-CN"/>
        </w:rPr>
        <w:t>9</w:t>
      </w:r>
      <w:r>
        <w:rPr>
          <w:rFonts w:ascii="仿宋" w:hAnsi="仿宋" w:cs="仿宋"/>
          <w:b/>
          <w:bCs/>
          <w:sz w:val="28"/>
          <w:szCs w:val="28"/>
          <w:lang w:eastAsia="zh-CN"/>
        </w:rPr>
        <w:t>）交付成果物要求</w:t>
      </w:r>
    </w:p>
    <w:p w14:paraId="450976BF">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 xml:space="preserve">投标人必须负责系统设备的采购运输、现场调运、安装启动、操作、调试和运转测试，设备到达施工现场经采购人验收后，投标人派技术人员对设备进行安装、调试，经相关部门验收合格后交付使用。    </w:t>
      </w:r>
    </w:p>
    <w:p w14:paraId="64D153F6">
      <w:pPr>
        <w:spacing w:line="560" w:lineRule="exact"/>
        <w:ind w:firstLine="560" w:firstLineChars="200"/>
        <w:rPr>
          <w:rFonts w:ascii="仿宋" w:hAnsi="仿宋" w:cs="仿宋"/>
          <w:b/>
          <w:bCs/>
          <w:sz w:val="28"/>
          <w:szCs w:val="28"/>
          <w:lang w:eastAsia="zh-CN"/>
        </w:rPr>
      </w:pPr>
      <w:r>
        <w:rPr>
          <w:rFonts w:ascii="仿宋" w:hAnsi="仿宋" w:cs="仿宋"/>
          <w:b/>
          <w:bCs/>
          <w:sz w:val="28"/>
          <w:szCs w:val="28"/>
          <w:lang w:val="en-US" w:eastAsia="zh-CN"/>
        </w:rPr>
        <w:t>10</w:t>
      </w:r>
      <w:r>
        <w:rPr>
          <w:rFonts w:ascii="仿宋" w:hAnsi="仿宋" w:cs="仿宋"/>
          <w:b/>
          <w:bCs/>
          <w:sz w:val="28"/>
          <w:szCs w:val="28"/>
          <w:lang w:eastAsia="zh-CN"/>
        </w:rPr>
        <w:t>）验收条件和标准</w:t>
      </w:r>
    </w:p>
    <w:p w14:paraId="3CD22340">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达到国家相关法律、法规规定的设计、生产、安装、调试、制造、验收合格标准。</w:t>
      </w:r>
    </w:p>
    <w:p w14:paraId="6D8F4CDF">
      <w:pPr>
        <w:spacing w:line="560" w:lineRule="exact"/>
        <w:ind w:firstLine="560" w:firstLineChars="200"/>
        <w:rPr>
          <w:rFonts w:ascii="仿宋" w:hAnsi="仿宋" w:cs="仿宋"/>
          <w:b/>
          <w:bCs/>
          <w:sz w:val="28"/>
          <w:szCs w:val="28"/>
          <w:lang w:eastAsia="zh-CN"/>
        </w:rPr>
      </w:pPr>
      <w:r>
        <w:rPr>
          <w:rFonts w:ascii="仿宋" w:hAnsi="仿宋" w:cs="仿宋"/>
          <w:b/>
          <w:bCs/>
          <w:sz w:val="28"/>
          <w:szCs w:val="28"/>
          <w:lang w:eastAsia="zh-CN"/>
        </w:rPr>
        <w:t>1</w:t>
      </w:r>
      <w:r>
        <w:rPr>
          <w:rFonts w:ascii="仿宋" w:hAnsi="仿宋" w:cs="仿宋"/>
          <w:b/>
          <w:bCs/>
          <w:sz w:val="28"/>
          <w:szCs w:val="28"/>
          <w:lang w:val="en-US" w:eastAsia="zh-CN"/>
        </w:rPr>
        <w:t>1</w:t>
      </w:r>
      <w:r>
        <w:rPr>
          <w:rFonts w:ascii="仿宋" w:hAnsi="仿宋" w:cs="仿宋"/>
          <w:b/>
          <w:bCs/>
          <w:sz w:val="28"/>
          <w:szCs w:val="28"/>
          <w:lang w:eastAsia="zh-CN"/>
        </w:rPr>
        <w:t>）知识产权要求</w:t>
      </w:r>
    </w:p>
    <w:p w14:paraId="2BD5FCFA">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投标人应保证，采购人在使用该货物或货物的任何一部分时，免受第三方提出的侵犯其专利权、商标权、著作权或其它知识产权的起诉。</w:t>
      </w:r>
    </w:p>
    <w:p w14:paraId="73A0C273">
      <w:pPr>
        <w:spacing w:line="560" w:lineRule="exact"/>
        <w:ind w:firstLine="560" w:firstLineChars="200"/>
        <w:rPr>
          <w:rFonts w:ascii="仿宋" w:hAnsi="仿宋" w:cs="仿宋"/>
          <w:b/>
          <w:bCs/>
          <w:sz w:val="28"/>
          <w:szCs w:val="28"/>
          <w:lang w:eastAsia="zh-CN"/>
        </w:rPr>
      </w:pPr>
      <w:r>
        <w:rPr>
          <w:rFonts w:ascii="仿宋" w:hAnsi="仿宋" w:cs="仿宋"/>
          <w:b/>
          <w:bCs/>
          <w:sz w:val="28"/>
          <w:szCs w:val="28"/>
          <w:lang w:val="en-US" w:eastAsia="zh-CN"/>
        </w:rPr>
        <w:t>12）</w:t>
      </w:r>
      <w:r>
        <w:rPr>
          <w:rFonts w:ascii="仿宋" w:hAnsi="仿宋" w:cs="仿宋"/>
          <w:b/>
          <w:bCs/>
          <w:sz w:val="28"/>
          <w:szCs w:val="28"/>
          <w:lang w:eastAsia="zh-CN"/>
        </w:rPr>
        <w:t xml:space="preserve">项目相关要求： </w:t>
      </w:r>
    </w:p>
    <w:p w14:paraId="3E7DB423">
      <w:pPr>
        <w:spacing w:line="560" w:lineRule="exact"/>
        <w:ind w:firstLine="560" w:firstLineChars="200"/>
        <w:rPr>
          <w:rFonts w:ascii="仿宋" w:hAnsi="仿宋" w:cs="仿宋"/>
          <w:sz w:val="28"/>
          <w:szCs w:val="28"/>
          <w:lang w:val="en-US" w:eastAsia="zh-CN"/>
        </w:rPr>
      </w:pPr>
      <w:r>
        <w:rPr>
          <w:rFonts w:ascii="仿宋" w:hAnsi="仿宋" w:cs="仿宋"/>
          <w:sz w:val="28"/>
          <w:szCs w:val="28"/>
          <w:lang w:val="en-US" w:eastAsia="zh-CN"/>
        </w:rPr>
        <w:t>1、验收方式及标准</w:t>
      </w:r>
    </w:p>
    <w:p w14:paraId="670E82BF">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（1）验收组织方式：</w:t>
      </w:r>
      <w:r>
        <w:rPr>
          <w:rFonts w:ascii="仿宋" w:hAnsi="仿宋" w:cs="仿宋"/>
          <w:sz w:val="28"/>
          <w:szCs w:val="28"/>
          <w:lang w:eastAsia="zh-CN"/>
        </w:rPr>
        <w:sym w:font="Wingdings" w:char="00A8"/>
      </w:r>
      <w:r>
        <w:rPr>
          <w:rFonts w:ascii="宋体" w:hAnsi="宋体" w:eastAsia="宋体" w:cs="宋体"/>
          <w:sz w:val="28"/>
          <w:szCs w:val="28"/>
          <w:lang w:eastAsia="zh-CN"/>
        </w:rPr>
        <w:t>自行组织</w:t>
      </w:r>
      <w:r>
        <w:rPr>
          <w:rFonts w:ascii="仿宋" w:hAnsi="仿宋" w:cs="仿宋"/>
          <w:sz w:val="28"/>
          <w:szCs w:val="28"/>
          <w:lang w:eastAsia="zh-CN"/>
        </w:rPr>
        <w:t xml:space="preserve"> </w:t>
      </w:r>
      <w:r>
        <w:rPr>
          <w:rFonts w:ascii="仿宋" w:hAnsi="仿宋" w:cs="仿宋"/>
          <w:sz w:val="28"/>
          <w:szCs w:val="28"/>
          <w:lang w:eastAsia="zh-CN"/>
        </w:rPr>
        <w:sym w:font="Wingdings" w:char="00FE"/>
      </w:r>
      <w:r>
        <w:rPr>
          <w:rFonts w:ascii="宋体" w:hAnsi="宋体" w:eastAsia="宋体" w:cs="宋体"/>
          <w:sz w:val="28"/>
          <w:szCs w:val="28"/>
          <w:lang w:eastAsia="zh-CN"/>
        </w:rPr>
        <w:t>委托第三方组织</w:t>
      </w:r>
    </w:p>
    <w:p w14:paraId="475C3A35">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 xml:space="preserve">         </w:t>
      </w:r>
      <w:r>
        <w:rPr>
          <w:rFonts w:ascii="宋体" w:hAnsi="宋体" w:eastAsia="宋体" w:cs="宋体"/>
          <w:sz w:val="28"/>
          <w:szCs w:val="28"/>
          <w:lang w:eastAsia="zh-CN"/>
        </w:rPr>
        <w:t>验收主体：</w:t>
      </w:r>
      <w:r>
        <w:rPr>
          <w:rFonts w:ascii="仿宋" w:hAnsi="仿宋" w:cs="仿宋"/>
          <w:sz w:val="28"/>
          <w:szCs w:val="28"/>
          <w:lang w:eastAsia="zh-CN"/>
        </w:rPr>
        <w:t xml:space="preserve"> </w:t>
      </w:r>
      <w:r>
        <w:rPr>
          <w:rFonts w:ascii="宋体" w:hAnsi="宋体" w:eastAsia="宋体" w:cs="宋体"/>
          <w:sz w:val="28"/>
          <w:szCs w:val="28"/>
          <w:lang w:eastAsia="zh-CN"/>
        </w:rPr>
        <w:t>河南省特种设备安全检测研究院</w:t>
      </w:r>
      <w:r>
        <w:rPr>
          <w:rFonts w:ascii="仿宋" w:hAnsi="仿宋" w:cs="仿宋"/>
          <w:sz w:val="28"/>
          <w:szCs w:val="28"/>
          <w:lang w:eastAsia="zh-CN"/>
        </w:rPr>
        <w:t xml:space="preserve">   </w:t>
      </w:r>
    </w:p>
    <w:p w14:paraId="26B35935">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 xml:space="preserve">        是否邀请本项目的其他供应商（投标人）参加验收：</w:t>
      </w:r>
      <w:r>
        <w:rPr>
          <w:rFonts w:ascii="仿宋" w:hAnsi="仿宋" w:cs="仿宋"/>
          <w:sz w:val="28"/>
          <w:szCs w:val="28"/>
          <w:lang w:eastAsia="zh-CN"/>
        </w:rPr>
        <w:sym w:font="Wingdings" w:char="00A8"/>
      </w:r>
      <w:r>
        <w:rPr>
          <w:rFonts w:ascii="仿宋" w:hAnsi="仿宋" w:cs="仿宋"/>
          <w:sz w:val="28"/>
          <w:szCs w:val="28"/>
          <w:lang w:eastAsia="zh-CN"/>
        </w:rPr>
        <w:t xml:space="preserve">是  </w:t>
      </w:r>
      <w:r>
        <w:rPr>
          <w:rFonts w:ascii="仿宋" w:hAnsi="仿宋" w:cs="仿宋"/>
          <w:sz w:val="28"/>
          <w:szCs w:val="28"/>
          <w:lang w:eastAsia="zh-CN"/>
        </w:rPr>
        <w:sym w:font="Wingdings" w:char="00FE"/>
      </w:r>
      <w:r>
        <w:rPr>
          <w:rFonts w:ascii="仿宋" w:hAnsi="仿宋" w:cs="仿宋"/>
          <w:sz w:val="28"/>
          <w:szCs w:val="28"/>
          <w:lang w:eastAsia="zh-CN"/>
        </w:rPr>
        <w:t>否</w:t>
      </w:r>
    </w:p>
    <w:p w14:paraId="7C47E89E">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是否邀请专家参加验收：</w:t>
      </w:r>
      <w:r>
        <w:rPr>
          <w:rFonts w:ascii="仿宋" w:hAnsi="仿宋" w:cs="仿宋"/>
          <w:sz w:val="28"/>
          <w:szCs w:val="28"/>
          <w:lang w:eastAsia="zh-CN"/>
        </w:rPr>
        <w:sym w:font="Wingdings" w:char="00A8"/>
      </w:r>
      <w:r>
        <w:rPr>
          <w:rFonts w:ascii="仿宋" w:hAnsi="仿宋" w:cs="仿宋"/>
          <w:sz w:val="28"/>
          <w:szCs w:val="28"/>
          <w:lang w:eastAsia="zh-CN"/>
        </w:rPr>
        <w:t xml:space="preserve">是  </w:t>
      </w:r>
      <w:r>
        <w:rPr>
          <w:rFonts w:ascii="仿宋" w:hAnsi="仿宋" w:cs="仿宋"/>
          <w:sz w:val="28"/>
          <w:szCs w:val="28"/>
          <w:lang w:eastAsia="zh-CN"/>
        </w:rPr>
        <w:sym w:font="Wingdings" w:char="00FE"/>
      </w:r>
      <w:r>
        <w:rPr>
          <w:rFonts w:ascii="仿宋" w:hAnsi="仿宋" w:cs="仿宋"/>
          <w:sz w:val="28"/>
          <w:szCs w:val="28"/>
          <w:lang w:eastAsia="zh-CN"/>
        </w:rPr>
        <w:t>否</w:t>
      </w:r>
    </w:p>
    <w:p w14:paraId="4E45FF6C">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是否邀请服务对象参加验收：</w:t>
      </w:r>
      <w:r>
        <w:rPr>
          <w:rFonts w:ascii="仿宋" w:hAnsi="仿宋" w:cs="仿宋"/>
          <w:sz w:val="28"/>
          <w:szCs w:val="28"/>
          <w:lang w:eastAsia="zh-CN"/>
        </w:rPr>
        <w:sym w:font="Wingdings" w:char="00A8"/>
      </w:r>
      <w:r>
        <w:rPr>
          <w:rFonts w:ascii="仿宋" w:hAnsi="仿宋" w:cs="仿宋"/>
          <w:sz w:val="28"/>
          <w:szCs w:val="28"/>
          <w:lang w:eastAsia="zh-CN"/>
        </w:rPr>
        <w:t xml:space="preserve">是  </w:t>
      </w:r>
      <w:r>
        <w:rPr>
          <w:rFonts w:ascii="仿宋" w:hAnsi="仿宋" w:cs="仿宋"/>
          <w:sz w:val="28"/>
          <w:szCs w:val="28"/>
          <w:lang w:eastAsia="zh-CN"/>
        </w:rPr>
        <w:sym w:font="Wingdings" w:char="00FE"/>
      </w:r>
      <w:r>
        <w:rPr>
          <w:rFonts w:ascii="仿宋" w:hAnsi="仿宋" w:cs="仿宋"/>
          <w:sz w:val="28"/>
          <w:szCs w:val="28"/>
          <w:lang w:eastAsia="zh-CN"/>
        </w:rPr>
        <w:t>否</w:t>
      </w:r>
    </w:p>
    <w:p w14:paraId="2948FE8D">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是否邀请第三方检测机构参加验收：</w:t>
      </w:r>
      <w:r>
        <w:rPr>
          <w:rFonts w:ascii="仿宋" w:hAnsi="仿宋" w:cs="仿宋"/>
          <w:sz w:val="28"/>
          <w:szCs w:val="28"/>
          <w:lang w:eastAsia="zh-CN"/>
        </w:rPr>
        <w:sym w:font="Wingdings" w:char="00A8"/>
      </w:r>
      <w:r>
        <w:rPr>
          <w:rFonts w:ascii="仿宋" w:hAnsi="仿宋" w:cs="仿宋"/>
          <w:sz w:val="28"/>
          <w:szCs w:val="28"/>
          <w:lang w:eastAsia="zh-CN"/>
        </w:rPr>
        <w:t xml:space="preserve">是  </w:t>
      </w:r>
      <w:r>
        <w:rPr>
          <w:rFonts w:ascii="仿宋" w:hAnsi="仿宋" w:cs="仿宋"/>
          <w:sz w:val="28"/>
          <w:szCs w:val="28"/>
          <w:lang w:eastAsia="zh-CN"/>
        </w:rPr>
        <w:sym w:font="Wingdings" w:char="00FE"/>
      </w:r>
      <w:r>
        <w:rPr>
          <w:rFonts w:ascii="仿宋" w:hAnsi="仿宋" w:cs="仿宋"/>
          <w:sz w:val="28"/>
          <w:szCs w:val="28"/>
          <w:lang w:eastAsia="zh-CN"/>
        </w:rPr>
        <w:t>否</w:t>
      </w:r>
    </w:p>
    <w:p w14:paraId="019E5717">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是否进行抽查检测：</w:t>
      </w:r>
      <w:r>
        <w:rPr>
          <w:rFonts w:ascii="仿宋" w:hAnsi="仿宋" w:cs="仿宋"/>
          <w:sz w:val="28"/>
          <w:szCs w:val="28"/>
          <w:lang w:eastAsia="zh-CN"/>
        </w:rPr>
        <w:sym w:font="Wingdings" w:char="00A8"/>
      </w:r>
      <w:r>
        <w:rPr>
          <w:rFonts w:ascii="仿宋" w:hAnsi="仿宋" w:cs="仿宋"/>
          <w:sz w:val="28"/>
          <w:szCs w:val="28"/>
          <w:lang w:eastAsia="zh-CN"/>
        </w:rPr>
        <w:t xml:space="preserve">是，抽查比例：   </w:t>
      </w:r>
      <w:r>
        <w:rPr>
          <w:rFonts w:ascii="仿宋" w:hAnsi="仿宋" w:cs="仿宋"/>
          <w:sz w:val="28"/>
          <w:szCs w:val="28"/>
          <w:lang w:val="en-US" w:eastAsia="zh-CN"/>
        </w:rPr>
        <w:t xml:space="preserve">     </w:t>
      </w:r>
      <w:r>
        <w:rPr>
          <w:rFonts w:ascii="仿宋" w:hAnsi="仿宋" w:cs="仿宋"/>
          <w:sz w:val="28"/>
          <w:szCs w:val="28"/>
          <w:lang w:eastAsia="zh-CN"/>
        </w:rPr>
        <w:t xml:space="preserve"> </w:t>
      </w:r>
      <w:r>
        <w:rPr>
          <w:rFonts w:ascii="仿宋" w:hAnsi="仿宋" w:cs="仿宋"/>
          <w:sz w:val="28"/>
          <w:szCs w:val="28"/>
          <w:lang w:eastAsia="zh-CN"/>
        </w:rPr>
        <w:sym w:font="Wingdings" w:char="00FE"/>
      </w:r>
      <w:r>
        <w:rPr>
          <w:rFonts w:ascii="仿宋" w:hAnsi="仿宋" w:cs="仿宋"/>
          <w:sz w:val="28"/>
          <w:szCs w:val="28"/>
          <w:lang w:eastAsia="zh-CN"/>
        </w:rPr>
        <w:t>否</w:t>
      </w:r>
    </w:p>
    <w:p w14:paraId="06303B69">
      <w:pPr>
        <w:spacing w:line="560" w:lineRule="exact"/>
        <w:ind w:firstLine="560" w:firstLineChars="200"/>
        <w:rPr>
          <w:rFonts w:ascii="仿宋" w:hAnsi="仿宋" w:cs="仿宋"/>
          <w:sz w:val="28"/>
          <w:szCs w:val="28"/>
          <w:lang w:eastAsia="zh-CN"/>
        </w:rPr>
      </w:pPr>
      <w:r>
        <w:rPr>
          <w:rFonts w:ascii="仿宋" w:hAnsi="仿宋" w:cs="仿宋"/>
          <w:sz w:val="28"/>
          <w:szCs w:val="28"/>
          <w:lang w:val="en-US" w:eastAsia="zh-CN"/>
        </w:rPr>
        <w:t>是否存在破坏性检测：</w:t>
      </w:r>
      <w:r>
        <w:rPr>
          <w:rFonts w:ascii="仿宋" w:hAnsi="仿宋" w:cs="仿宋"/>
          <w:sz w:val="28"/>
          <w:szCs w:val="28"/>
          <w:lang w:eastAsia="zh-CN"/>
        </w:rPr>
        <w:sym w:font="Wingdings" w:char="00A8"/>
      </w:r>
      <w:r>
        <w:rPr>
          <w:rFonts w:ascii="仿宋" w:hAnsi="仿宋" w:cs="仿宋"/>
          <w:sz w:val="28"/>
          <w:szCs w:val="28"/>
          <w:lang w:eastAsia="zh-CN"/>
        </w:rPr>
        <w:t>是，（应明确对被破坏的检测产品的处理方式）</w:t>
      </w:r>
      <w:r>
        <w:rPr>
          <w:rFonts w:ascii="仿宋" w:hAnsi="仿宋" w:cs="仿宋"/>
          <w:sz w:val="28"/>
          <w:szCs w:val="28"/>
          <w:lang w:val="en-US" w:eastAsia="zh-CN"/>
        </w:rPr>
        <w:t xml:space="preserve">                </w:t>
      </w:r>
      <w:r>
        <w:rPr>
          <w:rFonts w:ascii="仿宋" w:hAnsi="仿宋" w:cs="仿宋"/>
          <w:sz w:val="28"/>
          <w:szCs w:val="28"/>
          <w:lang w:eastAsia="zh-CN"/>
        </w:rPr>
        <w:sym w:font="Wingdings" w:char="00FE"/>
      </w:r>
      <w:r>
        <w:rPr>
          <w:rFonts w:ascii="仿宋" w:hAnsi="仿宋" w:cs="仿宋"/>
          <w:sz w:val="28"/>
          <w:szCs w:val="28"/>
          <w:lang w:eastAsia="zh-CN"/>
        </w:rPr>
        <w:t>否</w:t>
      </w:r>
    </w:p>
    <w:p w14:paraId="08ADCB96">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 xml:space="preserve">验收组织的其他事项：   </w:t>
      </w:r>
      <w:r>
        <w:rPr>
          <w:rFonts w:ascii="仿宋" w:hAnsi="仿宋" w:cs="仿宋"/>
          <w:sz w:val="28"/>
          <w:szCs w:val="28"/>
          <w:lang w:val="en-US" w:eastAsia="zh-CN"/>
        </w:rPr>
        <w:t>无</w:t>
      </w:r>
      <w:r>
        <w:rPr>
          <w:rFonts w:ascii="仿宋" w:hAnsi="仿宋" w:cs="仿宋"/>
          <w:sz w:val="28"/>
          <w:szCs w:val="28"/>
          <w:lang w:eastAsia="zh-CN"/>
        </w:rPr>
        <w:t xml:space="preserve">    </w:t>
      </w:r>
    </w:p>
    <w:p w14:paraId="7A5DAA63">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 xml:space="preserve">（2）履约验收时间：中标人提出验收申请之日起 </w:t>
      </w:r>
      <w:r>
        <w:rPr>
          <w:rFonts w:ascii="仿宋" w:hAnsi="仿宋" w:cs="仿宋"/>
          <w:sz w:val="28"/>
          <w:szCs w:val="28"/>
          <w:lang w:val="en-US" w:eastAsia="zh-CN"/>
        </w:rPr>
        <w:t>10</w:t>
      </w:r>
      <w:r>
        <w:rPr>
          <w:rFonts w:ascii="仿宋" w:hAnsi="仿宋" w:cs="仿宋"/>
          <w:sz w:val="28"/>
          <w:szCs w:val="28"/>
          <w:lang w:eastAsia="zh-CN"/>
        </w:rPr>
        <w:t xml:space="preserve"> 日内组织验收（计划于何时验收/中标人提出验收申请之日起 </w:t>
      </w:r>
      <w:r>
        <w:rPr>
          <w:rFonts w:ascii="仿宋" w:hAnsi="仿宋" w:cs="仿宋"/>
          <w:sz w:val="28"/>
          <w:szCs w:val="28"/>
          <w:lang w:val="en-US" w:eastAsia="zh-CN"/>
        </w:rPr>
        <w:t>10</w:t>
      </w:r>
      <w:r>
        <w:rPr>
          <w:rFonts w:ascii="仿宋" w:hAnsi="仿宋" w:cs="仿宋"/>
          <w:sz w:val="28"/>
          <w:szCs w:val="28"/>
          <w:lang w:eastAsia="zh-CN"/>
        </w:rPr>
        <w:t>日内组织验收）</w:t>
      </w:r>
      <w:r>
        <w:rPr>
          <w:rFonts w:ascii="仿宋" w:hAnsi="仿宋" w:cs="仿宋"/>
          <w:sz w:val="28"/>
          <w:szCs w:val="28"/>
          <w:lang w:val="en-US" w:eastAsia="zh-CN"/>
        </w:rPr>
        <w:t xml:space="preserve"> </w:t>
      </w:r>
    </w:p>
    <w:p w14:paraId="321FD669">
      <w:pPr>
        <w:spacing w:line="560" w:lineRule="exact"/>
        <w:ind w:firstLine="560" w:firstLineChars="200"/>
        <w:rPr>
          <w:rFonts w:ascii="仿宋" w:hAnsi="仿宋" w:cs="仿宋"/>
          <w:sz w:val="28"/>
          <w:szCs w:val="28"/>
          <w:lang w:eastAsia="zh-CN"/>
        </w:rPr>
      </w:pPr>
      <w:r>
        <w:rPr>
          <w:rFonts w:ascii="仿宋" w:hAnsi="仿宋" w:cs="仿宋"/>
          <w:sz w:val="28"/>
          <w:szCs w:val="28"/>
          <w:lang w:eastAsia="zh-CN"/>
        </w:rPr>
        <w:t>（3）履约验收方式：</w:t>
      </w:r>
      <w:r>
        <w:rPr>
          <w:rFonts w:ascii="仿宋" w:hAnsi="仿宋" w:cs="仿宋"/>
          <w:sz w:val="28"/>
          <w:szCs w:val="28"/>
          <w:lang w:eastAsia="zh-CN"/>
        </w:rPr>
        <w:sym w:font="Wingdings" w:char="00FE"/>
      </w:r>
      <w:r>
        <w:rPr>
          <w:rFonts w:ascii="仿宋" w:hAnsi="仿宋" w:cs="仿宋"/>
          <w:sz w:val="28"/>
          <w:szCs w:val="28"/>
          <w:lang w:eastAsia="zh-CN"/>
        </w:rPr>
        <w:t xml:space="preserve">一次性验收         </w:t>
      </w:r>
    </w:p>
    <w:p w14:paraId="2C7A799F">
      <w:pPr>
        <w:spacing w:line="560" w:lineRule="exact"/>
        <w:ind w:firstLine="560" w:firstLineChars="200"/>
        <w:rPr>
          <w:rFonts w:ascii="仿宋" w:hAnsi="仿宋" w:cs="仿宋"/>
          <w:sz w:val="28"/>
          <w:szCs w:val="28"/>
          <w:lang w:val="en-US" w:eastAsia="zh-CN"/>
        </w:rPr>
      </w:pPr>
      <w:r>
        <w:rPr>
          <w:rFonts w:ascii="仿宋" w:hAnsi="仿宋" w:cs="仿宋"/>
          <w:sz w:val="28"/>
          <w:szCs w:val="28"/>
          <w:lang w:val="en-US" w:eastAsia="zh-CN"/>
        </w:rPr>
        <w:t xml:space="preserve">                   </w:t>
      </w:r>
      <w:r>
        <w:rPr>
          <w:rFonts w:ascii="仿宋" w:hAnsi="仿宋" w:cs="仿宋"/>
          <w:sz w:val="28"/>
          <w:szCs w:val="28"/>
          <w:lang w:eastAsia="zh-CN"/>
        </w:rPr>
        <w:sym w:font="Wingdings" w:char="00A8"/>
      </w:r>
      <w:r>
        <w:rPr>
          <w:rFonts w:ascii="仿宋" w:hAnsi="仿宋" w:cs="仿宋"/>
          <w:sz w:val="28"/>
          <w:szCs w:val="28"/>
          <w:lang w:eastAsia="zh-CN"/>
        </w:rPr>
        <w:t>分期/分项验收： （应明确分期</w:t>
      </w:r>
      <w:r>
        <w:rPr>
          <w:rFonts w:ascii="仿宋" w:hAnsi="仿宋" w:cs="仿宋"/>
          <w:sz w:val="28"/>
          <w:szCs w:val="28"/>
          <w:lang w:val="en" w:eastAsia="zh-CN"/>
        </w:rPr>
        <w:t>/分项验收的工作安排</w:t>
      </w:r>
      <w:r>
        <w:rPr>
          <w:rFonts w:ascii="仿宋" w:hAnsi="仿宋" w:cs="仿宋"/>
          <w:sz w:val="28"/>
          <w:szCs w:val="28"/>
          <w:lang w:eastAsia="zh-CN"/>
        </w:rPr>
        <w:t xml:space="preserve">） </w:t>
      </w:r>
      <w:r>
        <w:rPr>
          <w:rFonts w:ascii="仿宋" w:hAnsi="仿宋" w:cs="仿宋"/>
          <w:sz w:val="28"/>
          <w:szCs w:val="28"/>
          <w:lang w:val="en-US" w:eastAsia="zh-CN"/>
        </w:rPr>
        <w:t xml:space="preserve"> </w:t>
      </w:r>
    </w:p>
    <w:p w14:paraId="09B28FD9">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w:t>
      </w:r>
      <w:r>
        <w:rPr>
          <w:rFonts w:ascii="仿宋" w:hAnsi="仿宋" w:cs="仿宋"/>
          <w:sz w:val="28"/>
          <w:szCs w:val="28"/>
          <w:lang w:eastAsia="zh-CN"/>
        </w:rPr>
        <w:t>4</w:t>
      </w:r>
      <w:r>
        <w:rPr>
          <w:rFonts w:ascii="宋体" w:hAnsi="宋体" w:eastAsia="宋体" w:cs="宋体"/>
          <w:sz w:val="28"/>
          <w:szCs w:val="28"/>
          <w:lang w:eastAsia="zh-CN"/>
        </w:rPr>
        <w:t>）履约验收程序：</w:t>
      </w:r>
      <w:r>
        <w:rPr>
          <w:rFonts w:ascii="仿宋" w:hAnsi="仿宋" w:cs="仿宋"/>
          <w:sz w:val="28"/>
          <w:szCs w:val="28"/>
          <w:lang w:eastAsia="zh-CN"/>
        </w:rPr>
        <w:t xml:space="preserve"> </w:t>
      </w:r>
      <w:r>
        <w:rPr>
          <w:rFonts w:ascii="宋体" w:hAnsi="宋体" w:eastAsia="宋体" w:cs="宋体"/>
          <w:sz w:val="28"/>
          <w:szCs w:val="28"/>
          <w:lang w:eastAsia="zh-CN"/>
        </w:rPr>
        <w:t>按照特种设备相关规定，向市场监管部门申请验收</w:t>
      </w:r>
      <w:r>
        <w:rPr>
          <w:rFonts w:ascii="仿宋" w:hAnsi="仿宋" w:cs="仿宋"/>
          <w:sz w:val="28"/>
          <w:szCs w:val="28"/>
          <w:lang w:eastAsia="zh-CN"/>
        </w:rPr>
        <w:t xml:space="preserve">              </w:t>
      </w:r>
    </w:p>
    <w:p w14:paraId="22453CC5">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w:t>
      </w:r>
      <w:r>
        <w:rPr>
          <w:rFonts w:ascii="仿宋" w:hAnsi="仿宋" w:cs="仿宋"/>
          <w:sz w:val="28"/>
          <w:szCs w:val="28"/>
          <w:lang w:eastAsia="zh-CN"/>
        </w:rPr>
        <w:t>5</w:t>
      </w:r>
      <w:r>
        <w:rPr>
          <w:rFonts w:ascii="宋体" w:hAnsi="宋体" w:eastAsia="宋体" w:cs="宋体"/>
          <w:sz w:val="28"/>
          <w:szCs w:val="28"/>
          <w:lang w:eastAsia="zh-CN"/>
        </w:rPr>
        <w:t>）履约验收的内容：</w:t>
      </w:r>
      <w:r>
        <w:rPr>
          <w:rFonts w:ascii="仿宋" w:hAnsi="仿宋" w:cs="仿宋"/>
          <w:sz w:val="28"/>
          <w:szCs w:val="28"/>
          <w:lang w:eastAsia="zh-CN"/>
        </w:rPr>
        <w:t xml:space="preserve"> </w:t>
      </w:r>
      <w:r>
        <w:rPr>
          <w:rFonts w:ascii="宋体" w:hAnsi="宋体" w:eastAsia="宋体" w:cs="宋体"/>
          <w:sz w:val="28"/>
          <w:szCs w:val="28"/>
          <w:lang w:eastAsia="zh-CN"/>
        </w:rPr>
        <w:t>（应当包括每一项技术和商务要求的履约情况，特别是落实政府采购扶持中小企业，支持绿色发展和乡村振兴等政策情况）</w:t>
      </w:r>
      <w:r>
        <w:rPr>
          <w:rFonts w:ascii="仿宋" w:hAnsi="仿宋" w:cs="仿宋"/>
          <w:sz w:val="28"/>
          <w:szCs w:val="28"/>
          <w:lang w:eastAsia="zh-CN"/>
        </w:rPr>
        <w:t xml:space="preserve">                                      </w:t>
      </w:r>
    </w:p>
    <w:p w14:paraId="5539093D">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w:t>
      </w:r>
      <w:r>
        <w:rPr>
          <w:rFonts w:ascii="仿宋" w:hAnsi="仿宋" w:cs="仿宋"/>
          <w:sz w:val="28"/>
          <w:szCs w:val="28"/>
          <w:lang w:eastAsia="zh-CN"/>
        </w:rPr>
        <w:t>6</w:t>
      </w:r>
      <w:r>
        <w:rPr>
          <w:rFonts w:ascii="宋体" w:hAnsi="宋体" w:eastAsia="宋体" w:cs="宋体"/>
          <w:sz w:val="28"/>
          <w:szCs w:val="28"/>
          <w:lang w:eastAsia="zh-CN"/>
        </w:rPr>
        <w:t>）履约验收标准：</w:t>
      </w:r>
      <w:r>
        <w:rPr>
          <w:rFonts w:ascii="仿宋" w:hAnsi="仿宋" w:cs="仿宋"/>
          <w:sz w:val="28"/>
          <w:szCs w:val="28"/>
          <w:lang w:eastAsia="zh-CN"/>
        </w:rPr>
        <w:t xml:space="preserve">  </w:t>
      </w:r>
      <w:r>
        <w:rPr>
          <w:rFonts w:ascii="宋体" w:hAnsi="宋体" w:eastAsia="宋体" w:cs="宋体"/>
          <w:sz w:val="28"/>
          <w:szCs w:val="28"/>
          <w:lang w:eastAsia="zh-CN"/>
        </w:rPr>
        <w:t>符合国家特种设备安全法</w:t>
      </w:r>
      <w:r>
        <w:rPr>
          <w:rFonts w:ascii="仿宋" w:hAnsi="仿宋" w:cs="仿宋"/>
          <w:sz w:val="28"/>
          <w:szCs w:val="28"/>
          <w:lang w:eastAsia="zh-CN"/>
        </w:rPr>
        <w:t xml:space="preserve">        </w:t>
      </w:r>
    </w:p>
    <w:p w14:paraId="0824416E">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w:t>
      </w:r>
      <w:r>
        <w:rPr>
          <w:rFonts w:ascii="仿宋" w:hAnsi="仿宋" w:cs="仿宋"/>
          <w:sz w:val="28"/>
          <w:szCs w:val="28"/>
          <w:lang w:eastAsia="zh-CN"/>
        </w:rPr>
        <w:t>7</w:t>
      </w:r>
      <w:r>
        <w:rPr>
          <w:rFonts w:ascii="宋体" w:hAnsi="宋体" w:eastAsia="宋体" w:cs="宋体"/>
          <w:sz w:val="28"/>
          <w:szCs w:val="28"/>
          <w:lang w:eastAsia="zh-CN"/>
        </w:rPr>
        <w:t>）是否以采购活动中供应商提供的样品作为参考：</w:t>
      </w:r>
      <w:r>
        <w:rPr>
          <w:rFonts w:ascii="仿宋" w:hAnsi="仿宋" w:cs="仿宋"/>
          <w:sz w:val="28"/>
          <w:szCs w:val="28"/>
          <w:lang w:eastAsia="zh-CN"/>
        </w:rPr>
        <w:sym w:font="Wingdings" w:char="00A8"/>
      </w:r>
      <w:r>
        <w:rPr>
          <w:rFonts w:ascii="宋体" w:hAnsi="宋体" w:eastAsia="宋体" w:cs="宋体"/>
          <w:sz w:val="28"/>
          <w:szCs w:val="28"/>
          <w:lang w:eastAsia="zh-CN"/>
        </w:rPr>
        <w:t>是</w:t>
      </w:r>
      <w:r>
        <w:rPr>
          <w:rFonts w:ascii="仿宋" w:hAnsi="仿宋" w:cs="仿宋"/>
          <w:sz w:val="28"/>
          <w:szCs w:val="28"/>
          <w:lang w:eastAsia="zh-CN"/>
        </w:rPr>
        <w:t xml:space="preserve">  </w:t>
      </w:r>
      <w:r>
        <w:rPr>
          <w:rFonts w:ascii="仿宋" w:hAnsi="仿宋" w:cs="仿宋"/>
          <w:sz w:val="28"/>
          <w:szCs w:val="28"/>
          <w:lang w:eastAsia="zh-CN"/>
        </w:rPr>
        <w:sym w:font="Wingdings" w:char="00FE"/>
      </w:r>
      <w:r>
        <w:rPr>
          <w:rFonts w:ascii="宋体" w:hAnsi="宋体" w:eastAsia="宋体" w:cs="宋体"/>
          <w:sz w:val="28"/>
          <w:szCs w:val="28"/>
          <w:lang w:eastAsia="zh-CN"/>
        </w:rPr>
        <w:t>否</w:t>
      </w:r>
    </w:p>
    <w:p w14:paraId="1A79D9A7">
      <w:pPr>
        <w:spacing w:line="560" w:lineRule="exact"/>
        <w:ind w:firstLine="560" w:firstLineChars="200"/>
        <w:rPr>
          <w:rFonts w:ascii="仿宋" w:hAnsi="仿宋" w:cs="仿宋"/>
          <w:sz w:val="28"/>
          <w:szCs w:val="28"/>
          <w:lang w:eastAsia="zh-CN"/>
        </w:rPr>
      </w:pPr>
      <w:r>
        <w:rPr>
          <w:rFonts w:ascii="宋体" w:hAnsi="宋体" w:eastAsia="宋体" w:cs="宋体"/>
          <w:sz w:val="28"/>
          <w:szCs w:val="28"/>
          <w:lang w:eastAsia="zh-CN"/>
        </w:rPr>
        <w:t>（</w:t>
      </w:r>
      <w:r>
        <w:rPr>
          <w:rFonts w:ascii="仿宋" w:hAnsi="仿宋" w:cs="仿宋"/>
          <w:sz w:val="28"/>
          <w:szCs w:val="28"/>
          <w:lang w:eastAsia="zh-CN"/>
        </w:rPr>
        <w:t>8</w:t>
      </w:r>
      <w:r>
        <w:rPr>
          <w:rFonts w:ascii="宋体" w:hAnsi="宋体" w:eastAsia="宋体" w:cs="宋体"/>
          <w:sz w:val="28"/>
          <w:szCs w:val="28"/>
          <w:lang w:eastAsia="zh-CN"/>
        </w:rPr>
        <w:t>）履约验收其他事项：</w:t>
      </w:r>
      <w:r>
        <w:rPr>
          <w:rFonts w:ascii="仿宋" w:hAnsi="仿宋" w:cs="仿宋"/>
          <w:sz w:val="28"/>
          <w:szCs w:val="28"/>
          <w:lang w:eastAsia="zh-CN"/>
        </w:rPr>
        <w:t xml:space="preserve"> </w:t>
      </w:r>
      <w:r>
        <w:rPr>
          <w:rFonts w:ascii="宋体" w:hAnsi="宋体" w:eastAsia="宋体" w:cs="宋体"/>
          <w:sz w:val="28"/>
          <w:szCs w:val="28"/>
          <w:lang w:eastAsia="zh-CN"/>
        </w:rPr>
        <w:t>向甲方移交使用登记证，检验合格报告</w:t>
      </w:r>
      <w:r>
        <w:rPr>
          <w:rFonts w:ascii="仿宋" w:hAnsi="仿宋" w:cs="仿宋"/>
          <w:sz w:val="28"/>
          <w:szCs w:val="28"/>
          <w:lang w:eastAsia="zh-CN"/>
        </w:rPr>
        <w:t xml:space="preserve"> </w:t>
      </w:r>
      <w:r>
        <w:rPr>
          <w:rFonts w:ascii="宋体" w:hAnsi="宋体" w:eastAsia="宋体" w:cs="宋体"/>
          <w:sz w:val="28"/>
          <w:szCs w:val="28"/>
          <w:lang w:eastAsia="zh-CN"/>
        </w:rPr>
        <w:t>（产权过户登记等）</w:t>
      </w:r>
      <w:r>
        <w:rPr>
          <w:rFonts w:ascii="仿宋" w:hAnsi="仿宋" w:cs="仿宋"/>
          <w:sz w:val="28"/>
          <w:szCs w:val="28"/>
          <w:lang w:eastAsia="zh-CN"/>
        </w:rPr>
        <w:t xml:space="preserve">          </w:t>
      </w:r>
    </w:p>
    <w:p w14:paraId="5743F094">
      <w:pPr>
        <w:spacing w:line="560" w:lineRule="exact"/>
        <w:ind w:firstLine="560" w:firstLineChars="200"/>
        <w:rPr>
          <w:rFonts w:ascii="仿宋_GB2312" w:hAnsi="仿宋_GB2312" w:eastAsia="仿宋_GB2312" w:cs="仿宋_GB2312"/>
          <w:caps/>
          <w:color w:val="auto"/>
          <w:kern w:val="0"/>
          <w:sz w:val="28"/>
          <w:szCs w:val="28"/>
          <w:lang w:val="en-US" w:eastAsia="zh-CN"/>
        </w:rPr>
      </w:pPr>
      <w:r>
        <w:rPr>
          <w:rFonts w:ascii="仿宋" w:hAnsi="仿宋" w:cs="仿宋"/>
          <w:b/>
          <w:bCs/>
          <w:sz w:val="28"/>
          <w:szCs w:val="28"/>
          <w:lang w:val="en-US" w:eastAsia="zh-CN"/>
        </w:rPr>
        <w:t>13）</w:t>
      </w:r>
      <w:r>
        <w:rPr>
          <w:rFonts w:ascii="仿宋" w:hAnsi="仿宋" w:cs="仿宋"/>
          <w:b/>
          <w:bCs/>
          <w:sz w:val="28"/>
          <w:szCs w:val="28"/>
          <w:lang w:eastAsia="zh-CN"/>
        </w:rPr>
        <w:t>其他要求</w:t>
      </w:r>
    </w:p>
    <w:p w14:paraId="6399D712">
      <w:pPr>
        <w:spacing w:line="560" w:lineRule="exact"/>
        <w:ind w:firstLine="560" w:firstLineChars="200"/>
        <w:rPr>
          <w:rFonts w:hint="default" w:ascii="仿宋" w:hAnsi="仿宋" w:cs="仿宋"/>
          <w:sz w:val="28"/>
          <w:szCs w:val="28"/>
          <w:lang w:eastAsia="zh-CN"/>
        </w:rPr>
      </w:pPr>
      <w:r>
        <w:rPr>
          <w:rFonts w:ascii="仿宋" w:hAnsi="仿宋" w:cs="仿宋"/>
          <w:sz w:val="28"/>
          <w:szCs w:val="28"/>
          <w:lang w:eastAsia="zh-CN"/>
        </w:rPr>
        <w:t>1</w:t>
      </w:r>
      <w:r>
        <w:rPr>
          <w:rFonts w:ascii="宋体" w:hAnsi="宋体" w:eastAsia="宋体" w:cs="宋体"/>
          <w:sz w:val="28"/>
          <w:szCs w:val="28"/>
          <w:lang w:eastAsia="zh-CN"/>
        </w:rPr>
        <w:t>、本项目为助力打好污染防治攻坚战，推广使用绿色包装，所有商品包装符合《商品包装政府采购需求标准（试行）》、快递包装符合《快递包装政府采购需求标准（试行）》要求的，投标人应提供相关承诺函予以响应。</w:t>
      </w:r>
    </w:p>
    <w:p w14:paraId="0E38DF35">
      <w:pPr>
        <w:spacing w:line="560" w:lineRule="exact"/>
        <w:ind w:firstLine="560" w:firstLineChars="200"/>
        <w:rPr>
          <w:rFonts w:hint="default" w:ascii="仿宋" w:hAnsi="仿宋" w:cs="仿宋"/>
          <w:sz w:val="28"/>
          <w:szCs w:val="28"/>
          <w:lang w:eastAsia="zh-CN"/>
        </w:rPr>
      </w:pPr>
      <w:r>
        <w:rPr>
          <w:rFonts w:ascii="仿宋" w:hAnsi="仿宋" w:cs="仿宋"/>
          <w:sz w:val="28"/>
          <w:szCs w:val="28"/>
          <w:lang w:eastAsia="zh-CN"/>
        </w:rPr>
        <w:t>2</w:t>
      </w:r>
      <w:r>
        <w:rPr>
          <w:rFonts w:ascii="宋体" w:hAnsi="宋体" w:eastAsia="宋体" w:cs="宋体"/>
          <w:sz w:val="28"/>
          <w:szCs w:val="28"/>
          <w:lang w:eastAsia="zh-CN"/>
        </w:rPr>
        <w:t>、投标人应在投标文件中说明：电梯曳引机制动器动作寿命、电梯曳引机额定载荷制动力矩设计的测试时间、曳引机按主轴安全系数设计、电磁兼容性（电梯信号系统、控制柜、变频器、门机）。</w:t>
      </w:r>
    </w:p>
    <w:p w14:paraId="16AD0322">
      <w:pPr>
        <w:spacing w:line="560" w:lineRule="exact"/>
        <w:ind w:firstLine="560" w:firstLineChars="200"/>
        <w:rPr>
          <w:rFonts w:hint="default" w:ascii="宋体" w:hAnsi="宋体" w:eastAsia="宋体" w:cs="宋体"/>
          <w:sz w:val="28"/>
          <w:szCs w:val="28"/>
          <w:lang w:eastAsia="zh-CN"/>
        </w:rPr>
      </w:pPr>
      <w:r>
        <w:rPr>
          <w:rFonts w:ascii="仿宋" w:hAnsi="仿宋" w:cs="仿宋"/>
          <w:sz w:val="28"/>
          <w:szCs w:val="28"/>
          <w:lang w:eastAsia="zh-CN"/>
        </w:rPr>
        <w:t>3</w:t>
      </w:r>
      <w:r>
        <w:rPr>
          <w:rFonts w:ascii="宋体" w:hAnsi="宋体" w:eastAsia="宋体" w:cs="宋体"/>
          <w:sz w:val="28"/>
          <w:szCs w:val="28"/>
          <w:lang w:eastAsia="zh-CN"/>
        </w:rPr>
        <w:t>、投标人应提供详细的供货方案，包括但不限于：电梯的包装与运输方案、随机文件齐全，有明确的进度计划及供货方案，并且质量、完工期保证与控制措施。</w:t>
      </w:r>
    </w:p>
    <w:p w14:paraId="2433A585">
      <w:pPr>
        <w:spacing w:line="560" w:lineRule="exact"/>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4、投标人结合采购需求，针对本项目实际情况，提供详细的施工组织设计方案，包括但不限于施工组织方案和安装、调试及验收方案，确保工期的措施，确保安全、文明施工的措施，安装、调试、检测设备情况等。</w:t>
      </w:r>
    </w:p>
    <w:p w14:paraId="39156DD0">
      <w:pPr>
        <w:spacing w:line="560" w:lineRule="exact"/>
        <w:ind w:firstLine="560" w:firstLineChars="200"/>
        <w:rPr>
          <w:rFonts w:hint="default" w:ascii="仿宋" w:hAnsi="仿宋" w:cs="仿宋"/>
          <w:sz w:val="28"/>
          <w:szCs w:val="28"/>
          <w:lang w:eastAsia="zh-CN"/>
        </w:rPr>
      </w:pPr>
      <w:r>
        <w:rPr>
          <w:rFonts w:ascii="仿宋" w:hAnsi="仿宋" w:cs="仿宋"/>
          <w:sz w:val="28"/>
          <w:szCs w:val="28"/>
          <w:lang w:eastAsia="zh-CN"/>
        </w:rPr>
        <w:t>5</w:t>
      </w:r>
      <w:r>
        <w:rPr>
          <w:rFonts w:ascii="宋体" w:hAnsi="宋体" w:eastAsia="宋体" w:cs="宋体"/>
          <w:sz w:val="28"/>
          <w:szCs w:val="28"/>
          <w:lang w:eastAsia="zh-CN"/>
        </w:rPr>
        <w:t>、提供投标人或制造商自2022年1月1日以来签订且已完成的类似项目业绩。</w:t>
      </w:r>
    </w:p>
    <w:p w14:paraId="0071A44F">
      <w:pPr>
        <w:spacing w:line="560" w:lineRule="exact"/>
        <w:ind w:firstLine="560" w:firstLineChars="200"/>
        <w:rPr>
          <w:rFonts w:hint="default" w:ascii="仿宋" w:hAnsi="仿宋" w:cs="仿宋"/>
          <w:sz w:val="28"/>
          <w:szCs w:val="28"/>
          <w:lang w:eastAsia="zh-CN"/>
        </w:rPr>
      </w:pPr>
      <w:r>
        <w:rPr>
          <w:rFonts w:ascii="仿宋" w:hAnsi="仿宋" w:cs="仿宋"/>
          <w:sz w:val="28"/>
          <w:szCs w:val="28"/>
          <w:lang w:eastAsia="zh-CN"/>
        </w:rPr>
        <w:t>6</w:t>
      </w:r>
      <w:r>
        <w:rPr>
          <w:rFonts w:ascii="宋体" w:hAnsi="宋体" w:eastAsia="宋体" w:cs="宋体"/>
          <w:sz w:val="28"/>
          <w:szCs w:val="28"/>
          <w:lang w:eastAsia="zh-CN"/>
        </w:rPr>
        <w:t>、投标人根据采购需求，提供详细的人员培训方案，包括但不限于进行人员技术培训的内容、培训目标、培训方式、培训团队人员配置、培训次数、时间安排等内容。</w:t>
      </w:r>
    </w:p>
    <w:p w14:paraId="603D39D5">
      <w:pPr>
        <w:spacing w:line="560" w:lineRule="exact"/>
        <w:ind w:firstLine="560" w:firstLineChars="200"/>
        <w:rPr>
          <w:rFonts w:hint="default" w:ascii="仿宋" w:hAnsi="仿宋" w:cs="仿宋"/>
          <w:sz w:val="28"/>
          <w:szCs w:val="28"/>
          <w:lang w:eastAsia="zh-CN"/>
        </w:rPr>
      </w:pPr>
      <w:r>
        <w:rPr>
          <w:rFonts w:ascii="仿宋" w:hAnsi="仿宋" w:cs="仿宋"/>
          <w:sz w:val="28"/>
          <w:szCs w:val="28"/>
          <w:lang w:eastAsia="zh-CN"/>
        </w:rPr>
        <w:t>7</w:t>
      </w:r>
      <w:r>
        <w:rPr>
          <w:rFonts w:ascii="宋体" w:hAnsi="宋体" w:eastAsia="宋体" w:cs="宋体"/>
          <w:sz w:val="28"/>
          <w:szCs w:val="28"/>
          <w:lang w:eastAsia="zh-CN"/>
        </w:rPr>
        <w:t>、投标人结合采购需求，针对本项目的实际情况，提供服务承诺，包括但不限于承诺免费软件升级，提供标准接口协议，方便弱电智能化系统对接，质量保证期内、外服务承诺及其他实质性优惠条件等。</w:t>
      </w:r>
    </w:p>
    <w:p w14:paraId="0D539DA1">
      <w:pPr>
        <w:spacing w:line="560" w:lineRule="exact"/>
        <w:ind w:firstLine="560" w:firstLineChars="200"/>
        <w:rPr>
          <w:rFonts w:hint="default" w:ascii="仿宋" w:hAnsi="仿宋" w:cs="仿宋"/>
          <w:sz w:val="28"/>
          <w:szCs w:val="28"/>
          <w:lang w:eastAsia="zh-CN"/>
        </w:rPr>
      </w:pPr>
      <w:r>
        <w:rPr>
          <w:rFonts w:ascii="仿宋" w:hAnsi="仿宋" w:cs="仿宋"/>
          <w:sz w:val="28"/>
          <w:szCs w:val="28"/>
          <w:lang w:eastAsia="zh-CN"/>
        </w:rPr>
        <w:t>8</w:t>
      </w:r>
      <w:r>
        <w:rPr>
          <w:rFonts w:ascii="宋体" w:hAnsi="宋体" w:eastAsia="宋体" w:cs="宋体"/>
          <w:sz w:val="28"/>
          <w:szCs w:val="28"/>
          <w:lang w:eastAsia="zh-CN"/>
        </w:rPr>
        <w:t>、投标人结合采购需求，针对本项目的实际情况，对突发情况或者不可预见因素的分析，并说明相关的解决或应对方案，包括但不限于：电梯困人应急预案、突发停电应急预案、发生火灾时应急预案、发生浸水事故应急预案、应急服务预案。</w:t>
      </w:r>
    </w:p>
    <w:p w14:paraId="6447E922">
      <w:pPr>
        <w:spacing w:line="560" w:lineRule="exact"/>
        <w:ind w:firstLine="560" w:firstLineChars="200"/>
        <w:rPr>
          <w:rFonts w:hint="default" w:ascii="仿宋" w:hAnsi="仿宋" w:cs="仿宋"/>
          <w:sz w:val="28"/>
          <w:szCs w:val="28"/>
          <w:lang w:eastAsia="zh-CN"/>
        </w:rPr>
      </w:pPr>
      <w:r>
        <w:rPr>
          <w:rFonts w:ascii="仿宋" w:hAnsi="仿宋" w:cs="仿宋"/>
          <w:sz w:val="28"/>
          <w:szCs w:val="28"/>
          <w:lang w:eastAsia="zh-CN"/>
        </w:rPr>
        <w:t>9</w:t>
      </w:r>
      <w:r>
        <w:rPr>
          <w:rFonts w:ascii="宋体" w:hAnsi="宋体" w:eastAsia="宋体" w:cs="宋体"/>
          <w:sz w:val="28"/>
          <w:szCs w:val="28"/>
          <w:lang w:eastAsia="zh-CN"/>
        </w:rPr>
        <w:t>、所投电梯制造商属于工业和信息化部公布的</w:t>
      </w:r>
      <w:r>
        <w:rPr>
          <w:rFonts w:hint="default" w:ascii="Arial" w:hAnsi="Arial" w:cs="Arial"/>
          <w:sz w:val="28"/>
          <w:szCs w:val="28"/>
          <w:lang w:eastAsia="zh-CN"/>
        </w:rPr>
        <w:t>“</w:t>
      </w:r>
      <w:r>
        <w:rPr>
          <w:rFonts w:ascii="宋体" w:hAnsi="宋体" w:eastAsia="宋体" w:cs="宋体"/>
          <w:sz w:val="28"/>
          <w:szCs w:val="28"/>
          <w:lang w:eastAsia="zh-CN"/>
        </w:rPr>
        <w:t>国家绿色工厂</w:t>
      </w:r>
      <w:r>
        <w:rPr>
          <w:rFonts w:hint="default" w:ascii="Arial" w:hAnsi="Arial" w:cs="Arial"/>
          <w:sz w:val="28"/>
          <w:szCs w:val="28"/>
          <w:lang w:eastAsia="zh-CN"/>
        </w:rPr>
        <w:t>”</w:t>
      </w:r>
      <w:r>
        <w:rPr>
          <w:rFonts w:ascii="宋体" w:hAnsi="宋体" w:eastAsia="宋体" w:cs="宋体"/>
          <w:sz w:val="28"/>
          <w:szCs w:val="28"/>
          <w:lang w:eastAsia="zh-CN"/>
        </w:rPr>
        <w:t>名单。</w:t>
      </w:r>
    </w:p>
    <w:p w14:paraId="177A1E7D">
      <w:pPr>
        <w:jc w:val="center"/>
        <w:outlineLvl w:val="0"/>
        <w:rPr>
          <w:rFonts w:hint="default" w:ascii="Times New Roman" w:hAnsi="Times New Roman" w:eastAsia="宋体" w:cs="Times New Roman"/>
          <w:b/>
          <w:bCs/>
          <w:color w:val="auto"/>
          <w:kern w:val="44"/>
          <w:sz w:val="36"/>
          <w:szCs w:val="36"/>
          <w:lang w:val="en-US" w:eastAsia="zh-CN"/>
        </w:rPr>
      </w:pPr>
      <w:bookmarkStart w:id="484" w:name="_Toc2055339244_WPSOffice_Level1"/>
      <w:bookmarkStart w:id="485" w:name="_Toc2103487907_WPSOffice_Level1"/>
      <w:bookmarkStart w:id="486" w:name="_Toc2134447957"/>
      <w:bookmarkStart w:id="487" w:name="_Toc1203796512"/>
      <w:bookmarkStart w:id="488" w:name="_Toc1364277335"/>
      <w:bookmarkStart w:id="489" w:name="_Toc1228469917"/>
      <w:bookmarkStart w:id="490" w:name="_Toc577545602"/>
      <w:bookmarkStart w:id="491" w:name="_Toc1220109555_WPSOffice_Level1"/>
      <w:bookmarkStart w:id="492" w:name="_Toc1658402222_WPSOffice_Level1"/>
      <w:bookmarkStart w:id="493" w:name="_Toc342626813"/>
      <w:bookmarkStart w:id="494" w:name="_Toc1281126177_WPSOffice_Level1"/>
      <w:bookmarkStart w:id="495" w:name="_Toc876002453"/>
      <w:bookmarkStart w:id="496" w:name="_Toc1278987015"/>
      <w:bookmarkStart w:id="497" w:name="_Toc450869757"/>
      <w:r>
        <w:rPr>
          <w:rFonts w:ascii="仿宋_GB2312" w:hAnsi="仿宋_GB2312" w:eastAsia="仿宋_GB2312" w:cs="仿宋_GB2312"/>
          <w:color w:val="auto"/>
          <w:sz w:val="28"/>
          <w:szCs w:val="28"/>
          <w:lang w:eastAsia="zh-CN"/>
        </w:rPr>
        <w:br w:type="page"/>
      </w:r>
      <w:bookmarkStart w:id="498" w:name="_Toc358334306"/>
      <w:r>
        <w:rPr>
          <w:rFonts w:hint="default" w:ascii="Times New Roman" w:hAnsi="Times New Roman" w:eastAsia="宋体" w:cs="Times New Roman"/>
          <w:b/>
          <w:bCs/>
          <w:color w:val="auto"/>
          <w:kern w:val="44"/>
          <w:sz w:val="36"/>
          <w:szCs w:val="36"/>
          <w:lang w:val="en-US" w:eastAsia="zh-CN"/>
        </w:rPr>
        <w:t>第七章 评标方法和标准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FC06B87">
      <w:pPr>
        <w:spacing w:line="360" w:lineRule="auto"/>
        <w:rPr>
          <w:rFonts w:hint="default" w:ascii="Times New Roman" w:hAnsi="Times New Roman" w:eastAsia="仿宋_GB2312" w:cs="Times New Roman"/>
          <w:b/>
          <w:color w:val="auto"/>
          <w:sz w:val="28"/>
          <w:szCs w:val="28"/>
          <w:lang w:eastAsia="zh-CN"/>
        </w:rPr>
      </w:pPr>
      <w:bookmarkStart w:id="499" w:name="_Toc1595179162_WPSOffice_Level2"/>
      <w:bookmarkStart w:id="500" w:name="_Toc421828923_WPSOffice_Level2"/>
      <w:bookmarkStart w:id="501" w:name="_Toc1270934164_WPSOffice_Level2"/>
      <w:bookmarkStart w:id="502" w:name="_Toc682913791_WPSOffice_Level2"/>
    </w:p>
    <w:p w14:paraId="43C1D91F">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499"/>
      <w:bookmarkEnd w:id="500"/>
      <w:bookmarkEnd w:id="501"/>
      <w:bookmarkEnd w:id="502"/>
    </w:p>
    <w:p w14:paraId="19A3941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03"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bookmarkEnd w:id="503"/>
    <w:p w14:paraId="354919B8">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04" w:name="_Toc1410113626_WPSOffice_Level3"/>
      <w:bookmarkStart w:id="505" w:name="_Toc333611415_WPSOffice_Level3"/>
      <w:r>
        <w:rPr>
          <w:rFonts w:hint="default" w:ascii="Times New Roman" w:hAnsi="Times New Roman" w:eastAsia="仿宋_GB2312" w:cs="Times New Roman"/>
          <w:b/>
          <w:color w:val="auto"/>
          <w:sz w:val="28"/>
          <w:szCs w:val="28"/>
          <w:lang w:eastAsia="zh-CN"/>
        </w:rPr>
        <w:t>二、符合性审查</w:t>
      </w:r>
      <w:bookmarkEnd w:id="504"/>
      <w:bookmarkEnd w:id="505"/>
    </w:p>
    <w:p w14:paraId="5185CFE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138CA41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3123AF0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14:paraId="737DDD8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14:paraId="34288AAD">
      <w:pPr>
        <w:spacing w:line="360" w:lineRule="auto"/>
        <w:ind w:firstLine="48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69F739D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14:paraId="4E5F35C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14:paraId="3E7F25CE">
      <w:pPr>
        <w:spacing w:line="360" w:lineRule="auto"/>
        <w:ind w:firstLine="480"/>
        <w:rPr>
          <w:rFonts w:hint="default" w:ascii="Times New Roman" w:hAnsi="Times New Roman" w:eastAsia="仿宋_GB2312" w:cs="Times New Roman"/>
          <w:color w:val="auto"/>
          <w:sz w:val="28"/>
          <w:szCs w:val="28"/>
          <w:lang w:eastAsia="zh-CN"/>
        </w:rPr>
      </w:pPr>
      <w:bookmarkStart w:id="506" w:name="_Hlk142994671"/>
      <w:r>
        <w:rPr>
          <w:rFonts w:hint="default" w:ascii="Times New Roman" w:hAnsi="Times New Roman" w:eastAsia="仿宋_GB2312" w:cs="Times New Roman"/>
          <w:color w:val="auto"/>
          <w:sz w:val="28"/>
          <w:szCs w:val="28"/>
          <w:lang w:val="en-US" w:eastAsia="zh-CN"/>
        </w:rPr>
        <w:t>7.</w:t>
      </w:r>
      <w:bookmarkEnd w:id="506"/>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3EDF5914">
      <w:pPr>
        <w:pStyle w:val="99"/>
        <w:spacing w:line="360" w:lineRule="auto"/>
        <w:ind w:firstLine="562" w:firstLineChars="200"/>
        <w:jc w:val="both"/>
        <w:rPr>
          <w:rFonts w:ascii="Times New Roman" w:hAnsi="Times New Roman" w:eastAsia="仿宋_GB2312" w:cs="Times New Roman"/>
          <w:b/>
          <w:color w:val="auto"/>
          <w:kern w:val="2"/>
          <w:sz w:val="28"/>
          <w:szCs w:val="28"/>
          <w:lang w:val="zh-TW"/>
        </w:rPr>
      </w:pPr>
      <w:bookmarkStart w:id="507" w:name="_Toc1716909242_WPSOffice_Level3"/>
      <w:bookmarkStart w:id="508" w:name="_Toc278923003_WPSOffice_Level3"/>
      <w:r>
        <w:rPr>
          <w:rFonts w:ascii="Times New Roman" w:hAnsi="Times New Roman" w:eastAsia="仿宋_GB2312" w:cs="Times New Roman"/>
          <w:b/>
          <w:color w:val="auto"/>
          <w:kern w:val="2"/>
          <w:sz w:val="28"/>
          <w:szCs w:val="28"/>
          <w:lang w:val="zh-TW"/>
        </w:rPr>
        <w:t>三、详细评审</w:t>
      </w:r>
    </w:p>
    <w:bookmarkEnd w:id="507"/>
    <w:bookmarkEnd w:id="508"/>
    <w:p w14:paraId="1B2A6131">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14:paraId="3BCF676B">
      <w:pPr>
        <w:spacing w:line="360" w:lineRule="auto"/>
        <w:ind w:firstLine="560" w:firstLineChars="200"/>
        <w:rPr>
          <w:rFonts w:hint="default" w:ascii="Times New Roman" w:hAnsi="Times New Roman" w:eastAsia="仿宋_GB2312" w:cs="Times New Roman"/>
          <w:color w:val="auto"/>
          <w:sz w:val="28"/>
          <w:szCs w:val="28"/>
          <w:lang w:eastAsia="zh-CN"/>
        </w:rPr>
      </w:pPr>
      <w:bookmarkStart w:id="509" w:name="_Toc577657209_WPSOffice_Level3"/>
      <w:bookmarkStart w:id="510" w:name="_Toc2074264070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118783E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119B471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05815322">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509"/>
      <w:bookmarkEnd w:id="510"/>
      <w:r>
        <w:rPr>
          <w:rFonts w:hint="default" w:ascii="Times New Roman" w:hAnsi="Times New Roman" w:eastAsia="仿宋_GB2312" w:cs="Times New Roman"/>
          <w:b/>
          <w:color w:val="auto"/>
          <w:sz w:val="28"/>
          <w:szCs w:val="28"/>
          <w:lang w:eastAsia="zh-CN"/>
        </w:rPr>
        <w:t>综合比较与评价</w:t>
      </w:r>
    </w:p>
    <w:p w14:paraId="289BEB7A">
      <w:pPr>
        <w:spacing w:line="360" w:lineRule="auto"/>
        <w:ind w:firstLine="560" w:firstLineChars="200"/>
        <w:rPr>
          <w:rFonts w:hint="default" w:ascii="Times New Roman" w:hAnsi="Times New Roman" w:eastAsia="仿宋_GB2312" w:cs="Times New Roman"/>
          <w:color w:val="auto"/>
          <w:sz w:val="28"/>
          <w:szCs w:val="28"/>
          <w:lang w:eastAsia="zh-CN"/>
        </w:rPr>
      </w:pPr>
      <w:bookmarkStart w:id="511" w:name="_Toc1647555423_WPSOffice_Level3"/>
      <w:bookmarkStart w:id="512" w:name="_Toc75126242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60622B9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01723CB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19C6B36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041DEBE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51088199">
      <w:pPr>
        <w:numPr>
          <w:ilvl w:val="0"/>
          <w:numId w:val="9"/>
        </w:numPr>
        <w:spacing w:line="360" w:lineRule="auto"/>
        <w:ind w:firstLine="562" w:firstLineChars="200"/>
        <w:outlineLvl w:val="1"/>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br w:type="page"/>
      </w:r>
      <w:bookmarkEnd w:id="511"/>
      <w:bookmarkEnd w:id="512"/>
      <w:bookmarkStart w:id="513" w:name="_Toc131500600_WPSOffice_Level3"/>
      <w:bookmarkStart w:id="514" w:name="_Toc648016321_WPSOffice_Level3"/>
      <w:r>
        <w:rPr>
          <w:rFonts w:hint="default" w:ascii="Times New Roman" w:hAnsi="Times New Roman" w:eastAsia="仿宋_GB2312" w:cs="Times New Roman"/>
          <w:b/>
          <w:color w:val="auto"/>
          <w:sz w:val="28"/>
          <w:szCs w:val="28"/>
          <w:lang w:eastAsia="zh-CN"/>
        </w:rPr>
        <w:t>评分标准（满分100分）</w:t>
      </w:r>
      <w:bookmarkEnd w:id="513"/>
      <w:bookmarkEnd w:id="514"/>
    </w:p>
    <w:tbl>
      <w:tblPr>
        <w:tblStyle w:val="52"/>
        <w:tblW w:w="96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1200"/>
        <w:gridCol w:w="6160"/>
        <w:gridCol w:w="1134"/>
      </w:tblGrid>
      <w:tr w14:paraId="3BF7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165" w:type="dxa"/>
            <w:vAlign w:val="center"/>
          </w:tcPr>
          <w:p w14:paraId="28178381">
            <w:pPr>
              <w:spacing w:line="440" w:lineRule="exact"/>
              <w:jc w:val="center"/>
              <w:rPr>
                <w:rFonts w:ascii="宋体" w:hAnsi="宋体" w:eastAsia="宋体" w:cs="宋体"/>
                <w:sz w:val="24"/>
                <w:szCs w:val="24"/>
              </w:rPr>
            </w:pPr>
            <w:r>
              <w:rPr>
                <w:rFonts w:ascii="宋体" w:hAnsi="宋体" w:eastAsia="宋体" w:cs="宋体"/>
                <w:b/>
                <w:bCs/>
                <w:kern w:val="0"/>
                <w:sz w:val="24"/>
                <w:szCs w:val="24"/>
                <w:lang w:val="en-US" w:eastAsia="zh-CN"/>
              </w:rPr>
              <w:t>评分因素</w:t>
            </w:r>
          </w:p>
        </w:tc>
        <w:tc>
          <w:tcPr>
            <w:tcW w:w="1200" w:type="dxa"/>
            <w:vAlign w:val="center"/>
          </w:tcPr>
          <w:p w14:paraId="09F61783">
            <w:pPr>
              <w:spacing w:line="440" w:lineRule="exact"/>
              <w:jc w:val="center"/>
              <w:rPr>
                <w:rFonts w:ascii="宋体" w:hAnsi="宋体" w:eastAsia="宋体" w:cs="宋体"/>
                <w:sz w:val="24"/>
                <w:szCs w:val="24"/>
              </w:rPr>
            </w:pPr>
            <w:r>
              <w:rPr>
                <w:rFonts w:ascii="宋体" w:hAnsi="宋体" w:eastAsia="宋体" w:cs="宋体"/>
                <w:b/>
                <w:bCs/>
                <w:kern w:val="0"/>
                <w:sz w:val="24"/>
                <w:szCs w:val="24"/>
                <w:lang w:val="en-US" w:eastAsia="zh-CN"/>
              </w:rPr>
              <w:t>评分内容</w:t>
            </w:r>
          </w:p>
        </w:tc>
        <w:tc>
          <w:tcPr>
            <w:tcW w:w="6160" w:type="dxa"/>
            <w:vAlign w:val="center"/>
          </w:tcPr>
          <w:p w14:paraId="2AB49485">
            <w:pPr>
              <w:spacing w:line="440" w:lineRule="exact"/>
              <w:jc w:val="center"/>
              <w:rPr>
                <w:rFonts w:ascii="宋体" w:hAnsi="宋体" w:eastAsia="宋体" w:cs="宋体"/>
                <w:sz w:val="24"/>
                <w:szCs w:val="24"/>
              </w:rPr>
            </w:pPr>
            <w:r>
              <w:rPr>
                <w:rFonts w:ascii="宋体" w:hAnsi="宋体" w:eastAsia="宋体" w:cs="宋体"/>
                <w:b/>
                <w:bCs/>
                <w:kern w:val="0"/>
                <w:sz w:val="24"/>
                <w:szCs w:val="24"/>
                <w:lang w:val="en-US" w:eastAsia="zh-CN"/>
              </w:rPr>
              <w:t>评分标准</w:t>
            </w:r>
          </w:p>
        </w:tc>
        <w:tc>
          <w:tcPr>
            <w:tcW w:w="1134" w:type="dxa"/>
            <w:vAlign w:val="center"/>
          </w:tcPr>
          <w:p w14:paraId="3A8B7D58">
            <w:pPr>
              <w:spacing w:line="440" w:lineRule="exact"/>
              <w:jc w:val="center"/>
              <w:rPr>
                <w:rFonts w:ascii="宋体" w:hAnsi="宋体" w:eastAsia="宋体" w:cs="宋体"/>
                <w:b/>
                <w:bCs/>
                <w:kern w:val="0"/>
                <w:sz w:val="24"/>
                <w:szCs w:val="24"/>
                <w:lang w:val="en-US" w:eastAsia="zh-CN"/>
              </w:rPr>
            </w:pPr>
            <w:r>
              <w:rPr>
                <w:rFonts w:ascii="宋体" w:hAnsi="宋体" w:eastAsia="宋体" w:cs="宋体"/>
                <w:b/>
                <w:bCs/>
                <w:kern w:val="0"/>
                <w:sz w:val="24"/>
                <w:szCs w:val="24"/>
                <w:lang w:val="en-US" w:eastAsia="zh-CN"/>
              </w:rPr>
              <w:t>分值</w:t>
            </w:r>
          </w:p>
        </w:tc>
      </w:tr>
      <w:tr w14:paraId="3367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jc w:val="center"/>
        </w:trPr>
        <w:tc>
          <w:tcPr>
            <w:tcW w:w="1165" w:type="dxa"/>
            <w:vAlign w:val="center"/>
          </w:tcPr>
          <w:p w14:paraId="730737FF">
            <w:pPr>
              <w:adjustRightInd w:val="0"/>
              <w:snapToGrid w:val="0"/>
              <w:jc w:val="center"/>
              <w:rPr>
                <w:rFonts w:ascii="宋体" w:hAnsi="宋体" w:eastAsia="宋体" w:cs="宋体"/>
                <w:spacing w:val="-1"/>
                <w:sz w:val="24"/>
                <w:szCs w:val="24"/>
              </w:rPr>
            </w:pPr>
            <w:r>
              <w:rPr>
                <w:rFonts w:ascii="宋体" w:hAnsi="宋体" w:eastAsia="宋体" w:cs="宋体"/>
                <w:kern w:val="0"/>
                <w:sz w:val="24"/>
                <w:szCs w:val="24"/>
                <w:lang w:val="en-US" w:eastAsia="zh-CN" w:bidi="ar"/>
              </w:rPr>
              <w:t>价格部分（30分）</w:t>
            </w:r>
          </w:p>
        </w:tc>
        <w:tc>
          <w:tcPr>
            <w:tcW w:w="1200" w:type="dxa"/>
            <w:vAlign w:val="center"/>
          </w:tcPr>
          <w:p w14:paraId="35C45950">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w:t>
            </w:r>
          </w:p>
          <w:p w14:paraId="5B125EEC">
            <w:pPr>
              <w:adjustRightInd w:val="0"/>
              <w:snapToGrid w:val="0"/>
              <w:jc w:val="center"/>
              <w:rPr>
                <w:rFonts w:ascii="宋体" w:hAnsi="宋体" w:eastAsia="宋体" w:cs="宋体"/>
                <w:spacing w:val="-1"/>
                <w:sz w:val="24"/>
                <w:szCs w:val="24"/>
              </w:rPr>
            </w:pPr>
            <w:r>
              <w:rPr>
                <w:rFonts w:ascii="宋体" w:hAnsi="宋体" w:eastAsia="宋体" w:cs="宋体"/>
                <w:kern w:val="0"/>
                <w:sz w:val="24"/>
                <w:szCs w:val="24"/>
                <w:lang w:val="en-US" w:eastAsia="zh-CN" w:bidi="ar"/>
              </w:rPr>
              <w:t>报价</w:t>
            </w:r>
          </w:p>
        </w:tc>
        <w:tc>
          <w:tcPr>
            <w:tcW w:w="6160" w:type="dxa"/>
            <w:vAlign w:val="center"/>
          </w:tcPr>
          <w:p w14:paraId="51CD65AB">
            <w:pPr>
              <w:adjustRightInd w:val="0"/>
              <w:snapToGrid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实质性满足招标文件要求且投标价格最低的投标报价为评标基准价，其价格分为满分。</w:t>
            </w:r>
          </w:p>
          <w:p w14:paraId="12C55579">
            <w:pPr>
              <w:adjustRightInd w:val="0"/>
              <w:snapToGrid w:val="0"/>
              <w:jc w:val="left"/>
              <w:rPr>
                <w:rFonts w:ascii="宋体" w:hAnsi="宋体" w:eastAsia="宋体" w:cs="宋体"/>
                <w:spacing w:val="-1"/>
                <w:sz w:val="24"/>
                <w:szCs w:val="24"/>
              </w:rPr>
            </w:pPr>
            <w:r>
              <w:rPr>
                <w:rFonts w:ascii="宋体" w:hAnsi="宋体" w:eastAsia="宋体" w:cs="宋体"/>
                <w:kern w:val="0"/>
                <w:sz w:val="24"/>
                <w:szCs w:val="24"/>
                <w:lang w:val="en-US" w:eastAsia="zh-CN" w:bidi="ar"/>
              </w:rPr>
              <w:t>其他投标人的价格分统一按照下列公式计算：投标报价得分=（评标基准价/投标报价）×30，因落实政府采购政策进行价格调整的，以调整后的价格计算评标基准价和投标报价得分。</w:t>
            </w:r>
          </w:p>
        </w:tc>
        <w:tc>
          <w:tcPr>
            <w:tcW w:w="1134" w:type="dxa"/>
            <w:vAlign w:val="center"/>
          </w:tcPr>
          <w:p w14:paraId="47F80FBF">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30</w:t>
            </w:r>
          </w:p>
        </w:tc>
      </w:tr>
      <w:tr w14:paraId="2E69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jc w:val="center"/>
        </w:trPr>
        <w:tc>
          <w:tcPr>
            <w:tcW w:w="1165" w:type="dxa"/>
            <w:vMerge w:val="restart"/>
            <w:tcBorders>
              <w:top w:val="single" w:color="auto" w:sz="4" w:space="0"/>
              <w:left w:val="single" w:color="auto" w:sz="4" w:space="0"/>
              <w:right w:val="single" w:color="auto" w:sz="4" w:space="0"/>
            </w:tcBorders>
            <w:vAlign w:val="center"/>
          </w:tcPr>
          <w:p w14:paraId="5591545F">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技术部分</w:t>
            </w:r>
          </w:p>
          <w:p w14:paraId="1C1CE649">
            <w:pPr>
              <w:adjustRightInd w:val="0"/>
              <w:snapToGrid w:val="0"/>
              <w:jc w:val="center"/>
              <w:rPr>
                <w:rFonts w:ascii="宋体" w:hAnsi="宋体" w:eastAsia="宋体" w:cs="宋体"/>
                <w:spacing w:val="-1"/>
                <w:sz w:val="24"/>
                <w:szCs w:val="24"/>
              </w:rPr>
            </w:pPr>
            <w:r>
              <w:rPr>
                <w:rFonts w:ascii="宋体" w:hAnsi="宋体" w:eastAsia="宋体" w:cs="宋体"/>
                <w:kern w:val="0"/>
                <w:sz w:val="24"/>
                <w:szCs w:val="24"/>
                <w:lang w:val="en-US" w:eastAsia="zh-CN" w:bidi="ar"/>
              </w:rPr>
              <w:t>(23分)</w:t>
            </w:r>
          </w:p>
        </w:tc>
        <w:tc>
          <w:tcPr>
            <w:tcW w:w="1200" w:type="dxa"/>
            <w:tcBorders>
              <w:left w:val="single" w:color="auto" w:sz="4" w:space="0"/>
            </w:tcBorders>
            <w:vAlign w:val="center"/>
          </w:tcPr>
          <w:p w14:paraId="7B503D61">
            <w:pPr>
              <w:adjustRightInd w:val="0"/>
              <w:snapToGrid w:val="0"/>
              <w:jc w:val="center"/>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shd w:val="clear" w:color="auto" w:fill="FFFFFF"/>
                <w:lang w:val="en-US" w:eastAsia="zh-CN" w:bidi="ar"/>
              </w:rPr>
              <w:t>文件技术指标响应程度</w:t>
            </w:r>
          </w:p>
        </w:tc>
        <w:tc>
          <w:tcPr>
            <w:tcW w:w="6160" w:type="dxa"/>
            <w:vAlign w:val="center"/>
          </w:tcPr>
          <w:p w14:paraId="1032FE3B">
            <w:pPr>
              <w:adjustRightInd w:val="0"/>
              <w:snapToGrid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eastAsia="zh-CN"/>
              </w:rPr>
              <w:t>评</w:t>
            </w:r>
            <w:r>
              <w:rPr>
                <w:rFonts w:ascii="宋体" w:hAnsi="宋体" w:eastAsia="宋体" w:cs="宋体"/>
                <w:color w:val="auto"/>
                <w:sz w:val="24"/>
                <w:szCs w:val="24"/>
                <w:lang w:eastAsia="zh-CN"/>
              </w:rPr>
              <w:t>标委员会根据投标文件和相关证明材料对招标文件的响应情况，对照判断所投设备（电梯技术规格要求、装潢要求、功能设置要求）是否满足招标文件的要求，投标人可提供技术参数满足或优于</w:t>
            </w:r>
            <w:r>
              <w:rPr>
                <w:rFonts w:ascii="宋体" w:hAnsi="宋体" w:eastAsia="宋体" w:cs="宋体"/>
                <w:color w:val="auto"/>
                <w:sz w:val="24"/>
                <w:szCs w:val="24"/>
                <w:lang w:val="en-US" w:eastAsia="zh-CN"/>
              </w:rPr>
              <w:t>招标</w:t>
            </w:r>
            <w:r>
              <w:rPr>
                <w:rFonts w:ascii="宋体" w:hAnsi="宋体" w:eastAsia="宋体" w:cs="宋体"/>
                <w:color w:val="auto"/>
                <w:sz w:val="24"/>
                <w:szCs w:val="24"/>
                <w:lang w:eastAsia="zh-CN"/>
              </w:rPr>
              <w:t>文件要求的产品：共</w:t>
            </w:r>
            <w:r>
              <w:rPr>
                <w:rFonts w:ascii="宋体" w:hAnsi="宋体" w:eastAsia="宋体" w:cs="宋体"/>
                <w:color w:val="auto"/>
                <w:sz w:val="24"/>
                <w:szCs w:val="24"/>
                <w:lang w:val="en-US" w:eastAsia="zh-CN"/>
              </w:rPr>
              <w:t>15</w:t>
            </w:r>
            <w:r>
              <w:rPr>
                <w:rFonts w:ascii="宋体" w:hAnsi="宋体" w:eastAsia="宋体" w:cs="宋体"/>
                <w:color w:val="auto"/>
                <w:sz w:val="24"/>
                <w:szCs w:val="24"/>
                <w:lang w:eastAsia="zh-CN"/>
              </w:rPr>
              <w:t>分，每有一项不满足的扣1分，超过</w:t>
            </w:r>
            <w:r>
              <w:rPr>
                <w:rFonts w:ascii="宋体" w:hAnsi="宋体" w:eastAsia="宋体" w:cs="宋体"/>
                <w:color w:val="auto"/>
                <w:sz w:val="24"/>
                <w:szCs w:val="24"/>
                <w:lang w:val="en-US" w:eastAsia="zh-CN"/>
              </w:rPr>
              <w:t>1</w:t>
            </w:r>
            <w:r>
              <w:rPr>
                <w:rFonts w:ascii="宋体" w:hAnsi="宋体" w:eastAsia="宋体" w:cs="宋体"/>
                <w:color w:val="auto"/>
                <w:sz w:val="24"/>
                <w:szCs w:val="24"/>
                <w:lang w:eastAsia="zh-CN"/>
              </w:rPr>
              <w:t>5项不满足视为投标文件有重大或不可接受的偏差，投标文件无效。</w:t>
            </w:r>
          </w:p>
        </w:tc>
        <w:tc>
          <w:tcPr>
            <w:tcW w:w="1134" w:type="dxa"/>
            <w:vAlign w:val="center"/>
          </w:tcPr>
          <w:p w14:paraId="517477BE">
            <w:pPr>
              <w:adjustRightInd w:val="0"/>
              <w:snapToGrid w:val="0"/>
              <w:jc w:val="center"/>
              <w:rPr>
                <w:rFonts w:ascii="宋体" w:hAnsi="宋体" w:eastAsia="宋体" w:cs="宋体"/>
                <w:color w:val="auto"/>
                <w:kern w:val="0"/>
                <w:sz w:val="24"/>
                <w:szCs w:val="24"/>
                <w:lang w:val="en-US" w:eastAsia="zh-CN"/>
              </w:rPr>
            </w:pPr>
            <w:r>
              <w:rPr>
                <w:rFonts w:ascii="宋体" w:hAnsi="宋体" w:eastAsia="宋体" w:cs="宋体"/>
                <w:color w:val="auto"/>
                <w:kern w:val="0"/>
                <w:sz w:val="24"/>
                <w:szCs w:val="24"/>
                <w:lang w:val="en-US" w:eastAsia="zh-CN"/>
              </w:rPr>
              <w:t>15</w:t>
            </w:r>
          </w:p>
        </w:tc>
      </w:tr>
      <w:tr w14:paraId="262C6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jc w:val="center"/>
        </w:trPr>
        <w:tc>
          <w:tcPr>
            <w:tcW w:w="1165" w:type="dxa"/>
            <w:vMerge w:val="continue"/>
            <w:tcBorders>
              <w:left w:val="single" w:color="auto" w:sz="4" w:space="0"/>
              <w:right w:val="single" w:color="auto" w:sz="4" w:space="0"/>
            </w:tcBorders>
            <w:vAlign w:val="center"/>
          </w:tcPr>
          <w:p w14:paraId="62C64FF9">
            <w:pPr>
              <w:adjustRightInd w:val="0"/>
              <w:snapToGrid w:val="0"/>
              <w:jc w:val="center"/>
              <w:rPr>
                <w:rFonts w:ascii="宋体" w:hAnsi="宋体" w:eastAsia="宋体" w:cs="宋体"/>
                <w:spacing w:val="-1"/>
                <w:sz w:val="24"/>
                <w:szCs w:val="24"/>
              </w:rPr>
            </w:pPr>
          </w:p>
        </w:tc>
        <w:tc>
          <w:tcPr>
            <w:tcW w:w="1200" w:type="dxa"/>
            <w:tcBorders>
              <w:left w:val="single" w:color="auto" w:sz="4" w:space="0"/>
            </w:tcBorders>
            <w:vAlign w:val="center"/>
          </w:tcPr>
          <w:p w14:paraId="2C8DDB73">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技术性能指标</w:t>
            </w:r>
          </w:p>
        </w:tc>
        <w:tc>
          <w:tcPr>
            <w:tcW w:w="6160" w:type="dxa"/>
            <w:vAlign w:val="center"/>
          </w:tcPr>
          <w:p w14:paraId="30AD16C7">
            <w:pPr>
              <w:adjustRightInd w:val="0"/>
              <w:snapToGrid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 制造商物联网智能系统安全保护等级达到第二级，得2分。（提供CMA测评报告）</w:t>
            </w:r>
          </w:p>
          <w:p w14:paraId="21B8708B">
            <w:pPr>
              <w:adjustRightInd w:val="0"/>
              <w:snapToGrid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2.电磁兼容性：提供电梯的控制柜、变频器、门机、信号系统的电磁兼容性认证，每有一种得1.5分。本项最高6分。</w:t>
            </w:r>
          </w:p>
        </w:tc>
        <w:tc>
          <w:tcPr>
            <w:tcW w:w="1134" w:type="dxa"/>
            <w:vAlign w:val="center"/>
          </w:tcPr>
          <w:p w14:paraId="06581CF0">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8</w:t>
            </w:r>
          </w:p>
        </w:tc>
      </w:tr>
      <w:tr w14:paraId="5E8CE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jc w:val="center"/>
        </w:trPr>
        <w:tc>
          <w:tcPr>
            <w:tcW w:w="1165" w:type="dxa"/>
            <w:vMerge w:val="restart"/>
            <w:tcBorders>
              <w:top w:val="single" w:color="auto" w:sz="4" w:space="0"/>
              <w:left w:val="single" w:color="auto" w:sz="4" w:space="0"/>
              <w:right w:val="single" w:color="auto" w:sz="4" w:space="0"/>
            </w:tcBorders>
            <w:vAlign w:val="center"/>
          </w:tcPr>
          <w:p w14:paraId="5A6BF30F">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综合部分</w:t>
            </w:r>
          </w:p>
          <w:p w14:paraId="0681A432">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(47分)</w:t>
            </w:r>
          </w:p>
        </w:tc>
        <w:tc>
          <w:tcPr>
            <w:tcW w:w="1200" w:type="dxa"/>
            <w:tcBorders>
              <w:left w:val="single" w:color="auto" w:sz="4" w:space="0"/>
            </w:tcBorders>
            <w:vAlign w:val="center"/>
          </w:tcPr>
          <w:p w14:paraId="5B9D1959">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绿色节能</w:t>
            </w:r>
          </w:p>
        </w:tc>
        <w:tc>
          <w:tcPr>
            <w:tcW w:w="6160" w:type="dxa"/>
            <w:vAlign w:val="center"/>
          </w:tcPr>
          <w:p w14:paraId="67A6604B">
            <w:pPr>
              <w:adjustRightInd w:val="0"/>
              <w:snapToGrid w:val="0"/>
              <w:jc w:val="left"/>
              <w:rPr>
                <w:rFonts w:ascii="宋体" w:hAnsi="宋体" w:eastAsia="宋体" w:cs="宋体"/>
                <w:spacing w:val="-1"/>
                <w:sz w:val="24"/>
                <w:szCs w:val="24"/>
              </w:rPr>
            </w:pPr>
            <w:r>
              <w:rPr>
                <w:rFonts w:ascii="宋体" w:hAnsi="宋体" w:eastAsia="宋体" w:cs="宋体"/>
                <w:kern w:val="0"/>
                <w:sz w:val="24"/>
                <w:szCs w:val="24"/>
                <w:lang w:val="en-US" w:eastAsia="zh-CN" w:bidi="ar"/>
              </w:rPr>
              <w:t>所投电梯</w:t>
            </w:r>
            <w:r>
              <w:rPr>
                <w:rFonts w:ascii="宋体" w:hAnsi="宋体" w:eastAsia="宋体" w:cs="宋体"/>
                <w:color w:val="auto"/>
                <w:spacing w:val="-1"/>
                <w:sz w:val="24"/>
                <w:szCs w:val="24"/>
              </w:rPr>
              <w:t>制造商</w:t>
            </w:r>
            <w:r>
              <w:rPr>
                <w:rFonts w:ascii="宋体" w:hAnsi="宋体" w:eastAsia="宋体" w:cs="宋体"/>
                <w:kern w:val="0"/>
                <w:sz w:val="24"/>
                <w:szCs w:val="24"/>
                <w:lang w:val="en-US" w:eastAsia="zh-CN" w:bidi="ar"/>
              </w:rPr>
              <w:t>属于工业和信息化部公布的“国家绿色工厂”名单的得3分，没有不得分。（需提供名单公示截图或其他有效证明材料）</w:t>
            </w:r>
          </w:p>
        </w:tc>
        <w:tc>
          <w:tcPr>
            <w:tcW w:w="1134" w:type="dxa"/>
            <w:vAlign w:val="center"/>
          </w:tcPr>
          <w:p w14:paraId="711D00C2">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w:t>
            </w:r>
          </w:p>
        </w:tc>
      </w:tr>
      <w:tr w14:paraId="49812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1165" w:type="dxa"/>
            <w:vMerge w:val="continue"/>
            <w:tcBorders>
              <w:left w:val="single" w:color="auto" w:sz="4" w:space="0"/>
              <w:right w:val="single" w:color="auto" w:sz="4" w:space="0"/>
            </w:tcBorders>
            <w:vAlign w:val="center"/>
          </w:tcPr>
          <w:p w14:paraId="50EDDE0E">
            <w:pPr>
              <w:adjustRightInd w:val="0"/>
              <w:snapToGrid w:val="0"/>
              <w:jc w:val="center"/>
              <w:rPr>
                <w:rFonts w:ascii="宋体" w:hAnsi="宋体" w:eastAsia="宋体" w:cs="宋体"/>
                <w:kern w:val="0"/>
                <w:sz w:val="24"/>
                <w:szCs w:val="24"/>
                <w:lang w:val="en-US" w:eastAsia="zh-CN" w:bidi="ar"/>
              </w:rPr>
            </w:pPr>
          </w:p>
        </w:tc>
        <w:tc>
          <w:tcPr>
            <w:tcW w:w="1200" w:type="dxa"/>
            <w:tcBorders>
              <w:left w:val="single" w:color="auto" w:sz="4" w:space="0"/>
            </w:tcBorders>
            <w:vAlign w:val="center"/>
          </w:tcPr>
          <w:p w14:paraId="3E926A57">
            <w:pPr>
              <w:adjustRightInd w:val="0"/>
              <w:snapToGrid w:val="0"/>
              <w:jc w:val="center"/>
              <w:rPr>
                <w:rFonts w:ascii="宋体" w:hAnsi="宋体" w:eastAsia="宋体" w:cs="宋体"/>
                <w:kern w:val="0"/>
                <w:sz w:val="24"/>
                <w:szCs w:val="24"/>
                <w:lang w:val="en-US" w:eastAsia="zh-CN" w:bidi="ar"/>
              </w:rPr>
            </w:pPr>
            <w:r>
              <w:rPr>
                <w:rFonts w:ascii="宋体" w:hAnsi="宋体" w:eastAsia="宋体" w:cs="宋体"/>
                <w:color w:val="auto"/>
                <w:kern w:val="0"/>
                <w:sz w:val="24"/>
                <w:szCs w:val="24"/>
                <w:shd w:val="clear" w:color="auto" w:fill="FFFFFF"/>
                <w:lang w:val="en-US" w:eastAsia="zh-CN" w:bidi="ar"/>
              </w:rPr>
              <w:t>企业业绩</w:t>
            </w:r>
          </w:p>
        </w:tc>
        <w:tc>
          <w:tcPr>
            <w:tcW w:w="6160" w:type="dxa"/>
            <w:vAlign w:val="center"/>
          </w:tcPr>
          <w:p w14:paraId="3766FEF3">
            <w:pPr>
              <w:adjustRightInd w:val="0"/>
              <w:snapToGrid w:val="0"/>
              <w:jc w:val="left"/>
              <w:rPr>
                <w:rFonts w:ascii="宋体" w:hAnsi="宋体" w:eastAsia="宋体" w:cs="宋体"/>
                <w:spacing w:val="-1"/>
                <w:sz w:val="24"/>
                <w:szCs w:val="24"/>
              </w:rPr>
            </w:pPr>
            <w:bookmarkStart w:id="515" w:name="_Hlk211094339"/>
            <w:r>
              <w:rPr>
                <w:rFonts w:ascii="宋体" w:hAnsi="宋体" w:eastAsia="宋体" w:cs="宋体"/>
                <w:color w:val="auto"/>
                <w:spacing w:val="-1"/>
                <w:sz w:val="24"/>
                <w:szCs w:val="24"/>
              </w:rPr>
              <w:t>提供投标人或制造商自2022年1月1日以来签订且已完成的类似项目业绩，</w:t>
            </w:r>
            <w:bookmarkEnd w:id="515"/>
            <w:r>
              <w:rPr>
                <w:rFonts w:ascii="宋体" w:hAnsi="宋体" w:eastAsia="宋体" w:cs="宋体"/>
                <w:color w:val="auto"/>
                <w:spacing w:val="-1"/>
                <w:sz w:val="24"/>
                <w:szCs w:val="24"/>
              </w:rPr>
              <w:t>每提供一项得1分，最多得4分。（提供合同</w:t>
            </w:r>
            <w:r>
              <w:rPr>
                <w:rFonts w:ascii="宋体" w:hAnsi="宋体" w:eastAsia="宋体" w:cs="宋体"/>
                <w:color w:val="auto"/>
                <w:spacing w:val="-1"/>
                <w:sz w:val="24"/>
                <w:szCs w:val="24"/>
                <w:lang w:eastAsia="zh-CN"/>
              </w:rPr>
              <w:t>扫描件</w:t>
            </w:r>
            <w:r>
              <w:rPr>
                <w:rFonts w:ascii="宋体" w:hAnsi="宋体" w:eastAsia="宋体" w:cs="宋体"/>
                <w:color w:val="auto"/>
                <w:spacing w:val="-1"/>
                <w:sz w:val="24"/>
                <w:szCs w:val="24"/>
              </w:rPr>
              <w:t>，业绩扫描不清楚、不完整或无法辨认的不予认可，虚假业绩将自行承担相关责任。）</w:t>
            </w:r>
          </w:p>
        </w:tc>
        <w:tc>
          <w:tcPr>
            <w:tcW w:w="1134" w:type="dxa"/>
            <w:vAlign w:val="center"/>
          </w:tcPr>
          <w:p w14:paraId="4B7244BE">
            <w:pPr>
              <w:adjustRightInd w:val="0"/>
              <w:snapToGrid w:val="0"/>
              <w:jc w:val="center"/>
              <w:rPr>
                <w:rFonts w:ascii="宋体" w:hAnsi="宋体" w:eastAsia="宋体" w:cs="宋体"/>
                <w:color w:val="auto"/>
                <w:spacing w:val="-1"/>
                <w:sz w:val="24"/>
                <w:szCs w:val="24"/>
                <w:lang w:val="en-US" w:eastAsia="zh-CN"/>
              </w:rPr>
            </w:pPr>
            <w:r>
              <w:rPr>
                <w:rFonts w:ascii="宋体" w:hAnsi="宋体" w:eastAsia="宋体" w:cs="宋体"/>
                <w:color w:val="auto"/>
                <w:spacing w:val="-1"/>
                <w:sz w:val="24"/>
                <w:szCs w:val="24"/>
                <w:lang w:val="en-US" w:eastAsia="zh-CN"/>
              </w:rPr>
              <w:t>4</w:t>
            </w:r>
          </w:p>
        </w:tc>
      </w:tr>
      <w:tr w14:paraId="12639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1165" w:type="dxa"/>
            <w:vMerge w:val="continue"/>
            <w:tcBorders>
              <w:left w:val="single" w:color="auto" w:sz="4" w:space="0"/>
              <w:right w:val="single" w:color="auto" w:sz="4" w:space="0"/>
            </w:tcBorders>
            <w:vAlign w:val="center"/>
          </w:tcPr>
          <w:p w14:paraId="625C6E6C">
            <w:pPr>
              <w:adjustRightInd w:val="0"/>
              <w:snapToGrid w:val="0"/>
              <w:jc w:val="center"/>
              <w:rPr>
                <w:rFonts w:ascii="宋体" w:hAnsi="宋体" w:eastAsia="宋体" w:cs="宋体"/>
                <w:kern w:val="0"/>
                <w:sz w:val="24"/>
                <w:szCs w:val="24"/>
                <w:lang w:val="en-US" w:eastAsia="zh-CN" w:bidi="ar"/>
              </w:rPr>
            </w:pPr>
          </w:p>
        </w:tc>
        <w:tc>
          <w:tcPr>
            <w:tcW w:w="1200" w:type="dxa"/>
            <w:tcBorders>
              <w:left w:val="single" w:color="auto" w:sz="4" w:space="0"/>
            </w:tcBorders>
            <w:vAlign w:val="center"/>
          </w:tcPr>
          <w:p w14:paraId="2B8F5F4A">
            <w:pPr>
              <w:adjustRightInd w:val="0"/>
              <w:snapToGrid w:val="0"/>
              <w:jc w:val="center"/>
              <w:rPr>
                <w:rFonts w:ascii="宋体" w:hAnsi="宋体" w:eastAsia="宋体" w:cs="宋体"/>
                <w:color w:val="auto"/>
                <w:spacing w:val="-1"/>
                <w:sz w:val="24"/>
                <w:szCs w:val="24"/>
                <w:lang w:val="en-US" w:eastAsia="zh-CN"/>
              </w:rPr>
            </w:pPr>
            <w:r>
              <w:rPr>
                <w:rFonts w:hint="default" w:ascii="宋体" w:hAnsi="宋体" w:eastAsia="宋体" w:cs="宋体"/>
                <w:color w:val="auto"/>
                <w:spacing w:val="-1"/>
                <w:sz w:val="24"/>
                <w:szCs w:val="24"/>
                <w:lang w:eastAsia="zh-CN"/>
              </w:rPr>
              <w:t>商品包装及快递包装</w:t>
            </w:r>
          </w:p>
        </w:tc>
        <w:tc>
          <w:tcPr>
            <w:tcW w:w="6160" w:type="dxa"/>
            <w:vAlign w:val="center"/>
          </w:tcPr>
          <w:p w14:paraId="263EA193">
            <w:pPr>
              <w:adjustRightInd w:val="0"/>
              <w:snapToGrid w:val="0"/>
              <w:jc w:val="left"/>
              <w:rPr>
                <w:rFonts w:ascii="宋体" w:hAnsi="宋体" w:eastAsia="宋体" w:cs="宋体"/>
                <w:color w:val="auto"/>
                <w:spacing w:val="-1"/>
                <w:sz w:val="24"/>
                <w:szCs w:val="24"/>
              </w:rPr>
            </w:pPr>
            <w:r>
              <w:rPr>
                <w:rFonts w:hint="default" w:ascii="宋体" w:hAnsi="宋体" w:eastAsia="宋体" w:cs="宋体"/>
                <w:color w:val="auto"/>
                <w:spacing w:val="-1"/>
                <w:sz w:val="24"/>
                <w:szCs w:val="24"/>
                <w:lang w:eastAsia="zh-CN"/>
              </w:rPr>
              <w:t>投标人承诺商品包装符合《商品包装政府采购需求标准（试行）》且快递包装符合《快递包装政府采购需求标准（试行）》，得</w:t>
            </w:r>
            <w:r>
              <w:rPr>
                <w:rFonts w:ascii="宋体" w:hAnsi="宋体" w:eastAsia="宋体" w:cs="宋体"/>
                <w:color w:val="auto"/>
                <w:spacing w:val="-1"/>
                <w:sz w:val="24"/>
                <w:szCs w:val="24"/>
                <w:lang w:val="en-US" w:eastAsia="zh-CN"/>
              </w:rPr>
              <w:t>2</w:t>
            </w:r>
            <w:r>
              <w:rPr>
                <w:rFonts w:hint="default" w:ascii="宋体" w:hAnsi="宋体" w:eastAsia="宋体" w:cs="宋体"/>
                <w:color w:val="auto"/>
                <w:spacing w:val="-1"/>
                <w:sz w:val="24"/>
                <w:szCs w:val="24"/>
                <w:lang w:eastAsia="zh-CN"/>
              </w:rPr>
              <w:t>分。</w:t>
            </w:r>
          </w:p>
        </w:tc>
        <w:tc>
          <w:tcPr>
            <w:tcW w:w="1134" w:type="dxa"/>
            <w:vAlign w:val="center"/>
          </w:tcPr>
          <w:p w14:paraId="4C1143B8">
            <w:pPr>
              <w:adjustRightInd w:val="0"/>
              <w:snapToGrid w:val="0"/>
              <w:jc w:val="center"/>
              <w:rPr>
                <w:rFonts w:ascii="宋体" w:hAnsi="宋体" w:eastAsia="宋体" w:cs="宋体"/>
                <w:color w:val="auto"/>
                <w:spacing w:val="-1"/>
                <w:sz w:val="24"/>
                <w:szCs w:val="24"/>
                <w:lang w:val="en-US" w:eastAsia="zh-CN"/>
              </w:rPr>
            </w:pPr>
            <w:r>
              <w:rPr>
                <w:rFonts w:ascii="宋体" w:hAnsi="宋体" w:eastAsia="宋体" w:cs="宋体"/>
                <w:color w:val="auto"/>
                <w:spacing w:val="-1"/>
                <w:sz w:val="24"/>
                <w:szCs w:val="24"/>
                <w:lang w:val="en-US" w:eastAsia="zh-CN"/>
              </w:rPr>
              <w:t>2</w:t>
            </w:r>
          </w:p>
        </w:tc>
      </w:tr>
      <w:tr w14:paraId="0429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165" w:type="dxa"/>
            <w:vMerge w:val="continue"/>
            <w:tcBorders>
              <w:left w:val="single" w:color="auto" w:sz="4" w:space="0"/>
              <w:right w:val="single" w:color="auto" w:sz="4" w:space="0"/>
            </w:tcBorders>
            <w:vAlign w:val="center"/>
          </w:tcPr>
          <w:p w14:paraId="69FC05DE">
            <w:pPr>
              <w:adjustRightInd w:val="0"/>
              <w:snapToGrid w:val="0"/>
              <w:jc w:val="center"/>
              <w:rPr>
                <w:rFonts w:ascii="宋体" w:hAnsi="宋体" w:eastAsia="宋体" w:cs="宋体"/>
                <w:kern w:val="0"/>
                <w:sz w:val="24"/>
                <w:szCs w:val="24"/>
                <w:lang w:val="en-US" w:eastAsia="zh-CN" w:bidi="ar"/>
              </w:rPr>
            </w:pPr>
          </w:p>
        </w:tc>
        <w:tc>
          <w:tcPr>
            <w:tcW w:w="1200" w:type="dxa"/>
            <w:tcBorders>
              <w:left w:val="single" w:color="auto" w:sz="4" w:space="0"/>
            </w:tcBorders>
            <w:vAlign w:val="center"/>
          </w:tcPr>
          <w:p w14:paraId="2A4AEFFE">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供货方案</w:t>
            </w:r>
          </w:p>
        </w:tc>
        <w:tc>
          <w:tcPr>
            <w:tcW w:w="6160" w:type="dxa"/>
            <w:vAlign w:val="center"/>
          </w:tcPr>
          <w:p w14:paraId="1DFBF86D">
            <w:pPr>
              <w:adjustRightInd w:val="0"/>
              <w:snapToGrid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投标人应提供详细的供货方案，包括但不限于：电梯的包装与运输方案、随机文件齐全，有明确的进度计划及供货方案，并且质量、完工期保证与控制措施。</w:t>
            </w:r>
          </w:p>
          <w:p w14:paraId="58C57F9B">
            <w:pPr>
              <w:adjustRightInd w:val="0"/>
              <w:snapToGrid w:val="0"/>
              <w:jc w:val="left"/>
              <w:rPr>
                <w:rFonts w:hint="default" w:ascii="宋体" w:hAnsi="宋体" w:eastAsia="宋体" w:cs="宋体"/>
                <w:spacing w:val="-1"/>
                <w:sz w:val="24"/>
                <w:szCs w:val="24"/>
                <w:lang w:val="en-US" w:eastAsia="zh-CN"/>
              </w:rPr>
            </w:pPr>
            <w:r>
              <w:rPr>
                <w:rFonts w:ascii="宋体" w:hAnsi="宋体" w:eastAsia="宋体" w:cs="宋体"/>
                <w:color w:val="auto"/>
                <w:sz w:val="24"/>
                <w:szCs w:val="24"/>
                <w:lang w:val="en-US" w:eastAsia="zh-CN"/>
              </w:rPr>
              <w:t>投标人对每项内容论述详细,完全贴合项目采购需求的得8分;投标人对每项内容虽阐述但未贴合采购需求进行论述,或内容未包括具体细节的得5分;投标人提供的内容不完整</w:t>
            </w:r>
            <w:r>
              <w:rPr>
                <w:rFonts w:ascii="宋体" w:hAnsi="宋体" w:eastAsia="宋体" w:cs="宋体"/>
                <w:color w:val="auto"/>
                <w:sz w:val="24"/>
                <w:szCs w:val="24"/>
                <w:lang w:eastAsia="zh-CN"/>
              </w:rPr>
              <w:t>或</w:t>
            </w:r>
            <w:r>
              <w:rPr>
                <w:rFonts w:ascii="宋体" w:hAnsi="宋体" w:eastAsia="宋体" w:cs="宋体"/>
                <w:color w:val="auto"/>
                <w:sz w:val="24"/>
                <w:szCs w:val="24"/>
                <w:lang w:val="en-US" w:eastAsia="zh-CN"/>
              </w:rPr>
              <w:t>存在影响本项目目标实现的</w:t>
            </w:r>
            <w:r>
              <w:rPr>
                <w:rFonts w:ascii="宋体" w:hAnsi="宋体" w:eastAsia="宋体" w:cs="宋体"/>
                <w:color w:val="auto"/>
                <w:sz w:val="24"/>
                <w:szCs w:val="24"/>
                <w:lang w:eastAsia="zh-CN"/>
              </w:rPr>
              <w:t>明显错误</w:t>
            </w:r>
            <w:r>
              <w:rPr>
                <w:rFonts w:ascii="宋体" w:hAnsi="宋体" w:eastAsia="宋体" w:cs="宋体"/>
                <w:color w:val="auto"/>
                <w:sz w:val="24"/>
                <w:szCs w:val="24"/>
                <w:lang w:val="en-US" w:eastAsia="zh-CN"/>
              </w:rPr>
              <w:t>得2分;缺项得0分</w:t>
            </w:r>
            <w:r>
              <w:rPr>
                <w:rFonts w:hint="eastAsia" w:ascii="宋体" w:hAnsi="宋体" w:eastAsia="宋体" w:cs="宋体"/>
                <w:color w:val="auto"/>
                <w:sz w:val="24"/>
                <w:szCs w:val="24"/>
                <w:lang w:val="en-US" w:eastAsia="zh-CN"/>
              </w:rPr>
              <w:t>。</w:t>
            </w:r>
          </w:p>
        </w:tc>
        <w:tc>
          <w:tcPr>
            <w:tcW w:w="1134" w:type="dxa"/>
            <w:vAlign w:val="center"/>
          </w:tcPr>
          <w:p w14:paraId="45ADDDE6">
            <w:pPr>
              <w:adjustRightInd w:val="0"/>
              <w:snapToGrid w:val="0"/>
              <w:jc w:val="center"/>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8</w:t>
            </w:r>
          </w:p>
        </w:tc>
      </w:tr>
      <w:tr w14:paraId="00DF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jc w:val="center"/>
        </w:trPr>
        <w:tc>
          <w:tcPr>
            <w:tcW w:w="1165" w:type="dxa"/>
            <w:vMerge w:val="continue"/>
            <w:tcBorders>
              <w:left w:val="single" w:color="auto" w:sz="4" w:space="0"/>
              <w:right w:val="single" w:color="auto" w:sz="4" w:space="0"/>
            </w:tcBorders>
            <w:vAlign w:val="center"/>
          </w:tcPr>
          <w:p w14:paraId="385FD9F1">
            <w:pPr>
              <w:adjustRightInd w:val="0"/>
              <w:snapToGrid w:val="0"/>
              <w:jc w:val="center"/>
              <w:rPr>
                <w:rFonts w:ascii="宋体" w:hAnsi="宋体" w:eastAsia="宋体" w:cs="宋体"/>
                <w:kern w:val="0"/>
                <w:sz w:val="24"/>
                <w:szCs w:val="24"/>
                <w:lang w:val="en-US" w:eastAsia="zh-CN" w:bidi="ar"/>
              </w:rPr>
            </w:pPr>
          </w:p>
        </w:tc>
        <w:tc>
          <w:tcPr>
            <w:tcW w:w="1200" w:type="dxa"/>
            <w:tcBorders>
              <w:left w:val="single" w:color="auto" w:sz="4" w:space="0"/>
            </w:tcBorders>
            <w:vAlign w:val="center"/>
          </w:tcPr>
          <w:p w14:paraId="77338F73">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施工组织设计方案</w:t>
            </w:r>
          </w:p>
        </w:tc>
        <w:tc>
          <w:tcPr>
            <w:tcW w:w="6160" w:type="dxa"/>
            <w:vAlign w:val="center"/>
          </w:tcPr>
          <w:p w14:paraId="781D21EB">
            <w:pPr>
              <w:adjustRightInd w:val="0"/>
              <w:snapToGrid w:val="0"/>
              <w:jc w:val="left"/>
              <w:rPr>
                <w:rFonts w:ascii="宋体" w:hAnsi="宋体" w:eastAsia="宋体" w:cs="宋体"/>
                <w:color w:val="auto"/>
                <w:sz w:val="24"/>
                <w:szCs w:val="24"/>
                <w:lang w:val="en-US" w:eastAsia="zh-CN"/>
              </w:rPr>
            </w:pPr>
            <w:r>
              <w:rPr>
                <w:rFonts w:ascii="宋体" w:hAnsi="宋体" w:eastAsia="宋体" w:cs="宋体"/>
                <w:kern w:val="0"/>
                <w:sz w:val="24"/>
                <w:szCs w:val="24"/>
                <w:lang w:val="en-US" w:eastAsia="zh-CN" w:bidi="ar"/>
              </w:rPr>
              <w:t>投标人结合采购需求，针对本项目实际情况，提供详细的施工组织设计方案，包括但不限于施工组织方案和安装、调试及验收方案，确保工期的措施，确保安全、文明施工的措施，安装、调试、检测设备情况等。</w:t>
            </w:r>
            <w:r>
              <w:rPr>
                <w:rFonts w:ascii="宋体" w:hAnsi="宋体" w:eastAsia="宋体" w:cs="宋体"/>
                <w:color w:val="auto"/>
                <w:sz w:val="24"/>
                <w:szCs w:val="24"/>
                <w:lang w:val="en-US" w:eastAsia="zh-CN"/>
              </w:rPr>
              <w:t>投标人对每项内容论述详细,完全贴合项目采购需求的得7分;投标人对每项内容虽阐述但未贴合采购需求进行论述,或内容未包括具体细节的得4分;投标人提供的内容不完整</w:t>
            </w:r>
            <w:r>
              <w:rPr>
                <w:rFonts w:ascii="宋体" w:hAnsi="宋体" w:eastAsia="宋体" w:cs="宋体"/>
                <w:color w:val="auto"/>
                <w:sz w:val="24"/>
                <w:szCs w:val="24"/>
                <w:lang w:eastAsia="zh-CN"/>
              </w:rPr>
              <w:t>或</w:t>
            </w:r>
            <w:r>
              <w:rPr>
                <w:rFonts w:ascii="宋体" w:hAnsi="宋体" w:eastAsia="宋体" w:cs="宋体"/>
                <w:color w:val="auto"/>
                <w:sz w:val="24"/>
                <w:szCs w:val="24"/>
                <w:lang w:val="en-US" w:eastAsia="zh-CN"/>
              </w:rPr>
              <w:t>存在影响本项目目标实现的</w:t>
            </w:r>
            <w:r>
              <w:rPr>
                <w:rFonts w:ascii="宋体" w:hAnsi="宋体" w:eastAsia="宋体" w:cs="宋体"/>
                <w:color w:val="auto"/>
                <w:sz w:val="24"/>
                <w:szCs w:val="24"/>
                <w:lang w:eastAsia="zh-CN"/>
              </w:rPr>
              <w:t>明显错误</w:t>
            </w:r>
            <w:r>
              <w:rPr>
                <w:rFonts w:ascii="宋体" w:hAnsi="宋体" w:eastAsia="宋体" w:cs="宋体"/>
                <w:color w:val="auto"/>
                <w:sz w:val="24"/>
                <w:szCs w:val="24"/>
                <w:lang w:val="en-US" w:eastAsia="zh-CN"/>
              </w:rPr>
              <w:t>得1分;缺项得0分。</w:t>
            </w:r>
          </w:p>
        </w:tc>
        <w:tc>
          <w:tcPr>
            <w:tcW w:w="1134" w:type="dxa"/>
            <w:vAlign w:val="center"/>
          </w:tcPr>
          <w:p w14:paraId="26BB63D6">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7</w:t>
            </w:r>
          </w:p>
        </w:tc>
      </w:tr>
      <w:tr w14:paraId="6292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1165" w:type="dxa"/>
            <w:vMerge w:val="continue"/>
            <w:tcBorders>
              <w:left w:val="single" w:color="auto" w:sz="4" w:space="0"/>
              <w:right w:val="single" w:color="auto" w:sz="4" w:space="0"/>
            </w:tcBorders>
            <w:vAlign w:val="center"/>
          </w:tcPr>
          <w:p w14:paraId="698399E2">
            <w:pPr>
              <w:adjustRightInd w:val="0"/>
              <w:snapToGrid w:val="0"/>
              <w:jc w:val="center"/>
              <w:rPr>
                <w:rFonts w:ascii="宋体" w:hAnsi="宋体" w:eastAsia="宋体" w:cs="宋体"/>
                <w:kern w:val="0"/>
                <w:sz w:val="24"/>
                <w:szCs w:val="24"/>
                <w:lang w:val="en-US" w:eastAsia="zh-CN" w:bidi="ar"/>
              </w:rPr>
            </w:pPr>
          </w:p>
        </w:tc>
        <w:tc>
          <w:tcPr>
            <w:tcW w:w="1200" w:type="dxa"/>
            <w:tcBorders>
              <w:left w:val="single" w:color="auto" w:sz="4" w:space="0"/>
            </w:tcBorders>
            <w:vAlign w:val="center"/>
          </w:tcPr>
          <w:p w14:paraId="1AD69392">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售后服务方案</w:t>
            </w:r>
          </w:p>
        </w:tc>
        <w:tc>
          <w:tcPr>
            <w:tcW w:w="6160" w:type="dxa"/>
            <w:vAlign w:val="center"/>
          </w:tcPr>
          <w:p w14:paraId="0C1F8431">
            <w:pPr>
              <w:adjustRightInd w:val="0"/>
              <w:snapToGrid w:val="0"/>
              <w:jc w:val="left"/>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结合采购需求，提供售后服务方案，包括但不限于服务人员的配备、内容（上门保修服务及设备维护、保养服务的说明等）、故障响应时间、到达现场响应时间、响应程度、解决问题的能力、紧急维修服务措施及指导咨询等。</w:t>
            </w:r>
          </w:p>
          <w:p w14:paraId="71159B4D">
            <w:pPr>
              <w:adjustRightInd w:val="0"/>
              <w:snapToGrid w:val="0"/>
              <w:jc w:val="left"/>
              <w:rPr>
                <w:rFonts w:ascii="宋体" w:hAnsi="宋体" w:eastAsia="宋体" w:cs="宋体"/>
                <w:spacing w:val="-1"/>
                <w:sz w:val="24"/>
                <w:szCs w:val="24"/>
              </w:rPr>
            </w:pPr>
            <w:r>
              <w:rPr>
                <w:rFonts w:ascii="宋体" w:hAnsi="宋体" w:eastAsia="宋体" w:cs="宋体"/>
                <w:color w:val="auto"/>
                <w:sz w:val="24"/>
                <w:szCs w:val="24"/>
                <w:lang w:val="en-US" w:eastAsia="zh-CN"/>
              </w:rPr>
              <w:t>投标人对每项内容论述详细,完全贴合项目采购需求的得7分;投标人对每项内容虽阐述但未贴合采购需求进行论述,或内容未包括具体细节的得4分;投标人提供的内容不完整</w:t>
            </w:r>
            <w:r>
              <w:rPr>
                <w:rFonts w:ascii="宋体" w:hAnsi="宋体" w:eastAsia="宋体" w:cs="宋体"/>
                <w:color w:val="auto"/>
                <w:sz w:val="24"/>
                <w:szCs w:val="24"/>
                <w:lang w:eastAsia="zh-CN"/>
              </w:rPr>
              <w:t>或</w:t>
            </w:r>
            <w:r>
              <w:rPr>
                <w:rFonts w:ascii="宋体" w:hAnsi="宋体" w:eastAsia="宋体" w:cs="宋体"/>
                <w:color w:val="auto"/>
                <w:sz w:val="24"/>
                <w:szCs w:val="24"/>
                <w:lang w:val="en-US" w:eastAsia="zh-CN"/>
              </w:rPr>
              <w:t>存在影响本项目目标实现的</w:t>
            </w:r>
            <w:r>
              <w:rPr>
                <w:rFonts w:ascii="宋体" w:hAnsi="宋体" w:eastAsia="宋体" w:cs="宋体"/>
                <w:color w:val="auto"/>
                <w:sz w:val="24"/>
                <w:szCs w:val="24"/>
                <w:lang w:eastAsia="zh-CN"/>
              </w:rPr>
              <w:t>明显错误</w:t>
            </w:r>
            <w:r>
              <w:rPr>
                <w:rFonts w:ascii="宋体" w:hAnsi="宋体" w:eastAsia="宋体" w:cs="宋体"/>
                <w:color w:val="auto"/>
                <w:sz w:val="24"/>
                <w:szCs w:val="24"/>
                <w:lang w:val="en-US" w:eastAsia="zh-CN"/>
              </w:rPr>
              <w:t>得1分;缺项得0分。</w:t>
            </w:r>
          </w:p>
        </w:tc>
        <w:tc>
          <w:tcPr>
            <w:tcW w:w="1134" w:type="dxa"/>
            <w:vAlign w:val="center"/>
          </w:tcPr>
          <w:p w14:paraId="1D5F21EA">
            <w:pPr>
              <w:adjustRightInd w:val="0"/>
              <w:snapToGrid w:val="0"/>
              <w:jc w:val="center"/>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7</w:t>
            </w:r>
          </w:p>
        </w:tc>
      </w:tr>
      <w:tr w14:paraId="7C9EB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165" w:type="dxa"/>
            <w:vMerge w:val="continue"/>
            <w:tcBorders>
              <w:left w:val="single" w:color="auto" w:sz="4" w:space="0"/>
              <w:right w:val="single" w:color="auto" w:sz="4" w:space="0"/>
            </w:tcBorders>
            <w:vAlign w:val="center"/>
          </w:tcPr>
          <w:p w14:paraId="7C9A5D74">
            <w:pPr>
              <w:spacing w:before="30" w:line="360" w:lineRule="auto"/>
              <w:ind w:left="70" w:right="187" w:firstLine="13"/>
              <w:jc w:val="center"/>
              <w:rPr>
                <w:rFonts w:ascii="宋体" w:hAnsi="宋体" w:eastAsia="宋体" w:cs="宋体"/>
                <w:spacing w:val="-1"/>
                <w:sz w:val="24"/>
                <w:szCs w:val="24"/>
              </w:rPr>
            </w:pPr>
          </w:p>
        </w:tc>
        <w:tc>
          <w:tcPr>
            <w:tcW w:w="1200" w:type="dxa"/>
            <w:tcBorders>
              <w:left w:val="single" w:color="auto" w:sz="4" w:space="0"/>
            </w:tcBorders>
            <w:vAlign w:val="center"/>
          </w:tcPr>
          <w:p w14:paraId="427CEA2A">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培训方案</w:t>
            </w:r>
          </w:p>
        </w:tc>
        <w:tc>
          <w:tcPr>
            <w:tcW w:w="6160" w:type="dxa"/>
            <w:vAlign w:val="center"/>
          </w:tcPr>
          <w:p w14:paraId="31E05F42">
            <w:pPr>
              <w:adjustRightInd w:val="0"/>
              <w:snapToGrid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投标人根据采购需求，提供详细的人员培训方案，包括但不限于进行人员技术培训的内容、培训目标、培训方式、培训团队人员配置、培训次数、时间安排等内容。</w:t>
            </w:r>
          </w:p>
          <w:p w14:paraId="516AD1E9">
            <w:pPr>
              <w:adjustRightInd w:val="0"/>
              <w:snapToGrid w:val="0"/>
              <w:jc w:val="left"/>
              <w:rPr>
                <w:rFonts w:ascii="宋体" w:hAnsi="宋体" w:eastAsia="宋体" w:cs="宋体"/>
                <w:spacing w:val="-1"/>
                <w:sz w:val="24"/>
                <w:szCs w:val="24"/>
              </w:rPr>
            </w:pPr>
            <w:r>
              <w:rPr>
                <w:rFonts w:ascii="宋体" w:hAnsi="宋体" w:eastAsia="宋体" w:cs="宋体"/>
                <w:color w:val="auto"/>
                <w:sz w:val="24"/>
                <w:szCs w:val="24"/>
                <w:lang w:val="en-US" w:eastAsia="zh-CN"/>
              </w:rPr>
              <w:t>投标人对每项内容论述详细,完全贴合项目采购需求的得6分;投标人对每项内容虽阐述但未贴合采购需求进行论述,或内容未包括具体细节的得4分;投标人提供的内容不完整</w:t>
            </w:r>
            <w:r>
              <w:rPr>
                <w:rFonts w:ascii="宋体" w:hAnsi="宋体" w:eastAsia="宋体" w:cs="宋体"/>
                <w:color w:val="auto"/>
                <w:sz w:val="24"/>
                <w:szCs w:val="24"/>
                <w:lang w:eastAsia="zh-CN"/>
              </w:rPr>
              <w:t>或</w:t>
            </w:r>
            <w:r>
              <w:rPr>
                <w:rFonts w:ascii="宋体" w:hAnsi="宋体" w:eastAsia="宋体" w:cs="宋体"/>
                <w:color w:val="auto"/>
                <w:sz w:val="24"/>
                <w:szCs w:val="24"/>
                <w:lang w:val="en-US" w:eastAsia="zh-CN"/>
              </w:rPr>
              <w:t>存在影响本项目目标实现的</w:t>
            </w:r>
            <w:r>
              <w:rPr>
                <w:rFonts w:ascii="宋体" w:hAnsi="宋体" w:eastAsia="宋体" w:cs="宋体"/>
                <w:color w:val="auto"/>
                <w:sz w:val="24"/>
                <w:szCs w:val="24"/>
                <w:lang w:eastAsia="zh-CN"/>
              </w:rPr>
              <w:t>明显错误</w:t>
            </w:r>
            <w:r>
              <w:rPr>
                <w:rFonts w:ascii="宋体" w:hAnsi="宋体" w:eastAsia="宋体" w:cs="宋体"/>
                <w:color w:val="auto"/>
                <w:sz w:val="24"/>
                <w:szCs w:val="24"/>
                <w:lang w:val="en-US" w:eastAsia="zh-CN"/>
              </w:rPr>
              <w:t>得2分;缺项得0分。</w:t>
            </w:r>
          </w:p>
        </w:tc>
        <w:tc>
          <w:tcPr>
            <w:tcW w:w="1134" w:type="dxa"/>
            <w:vAlign w:val="center"/>
          </w:tcPr>
          <w:p w14:paraId="1A0B5A70">
            <w:pPr>
              <w:adjustRightInd w:val="0"/>
              <w:snapToGrid w:val="0"/>
              <w:jc w:val="center"/>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6</w:t>
            </w:r>
          </w:p>
        </w:tc>
      </w:tr>
      <w:tr w14:paraId="3517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1165" w:type="dxa"/>
            <w:vMerge w:val="continue"/>
            <w:tcBorders>
              <w:left w:val="single" w:color="auto" w:sz="4" w:space="0"/>
              <w:right w:val="single" w:color="auto" w:sz="4" w:space="0"/>
            </w:tcBorders>
            <w:vAlign w:val="center"/>
          </w:tcPr>
          <w:p w14:paraId="2E2A2433">
            <w:pPr>
              <w:spacing w:before="30" w:line="360" w:lineRule="auto"/>
              <w:ind w:left="70" w:right="187" w:firstLine="13"/>
              <w:jc w:val="center"/>
              <w:rPr>
                <w:rFonts w:ascii="宋体" w:hAnsi="宋体" w:eastAsia="宋体" w:cs="宋体"/>
                <w:spacing w:val="-1"/>
                <w:sz w:val="24"/>
                <w:szCs w:val="24"/>
              </w:rPr>
            </w:pPr>
          </w:p>
        </w:tc>
        <w:tc>
          <w:tcPr>
            <w:tcW w:w="1200" w:type="dxa"/>
            <w:tcBorders>
              <w:left w:val="single" w:color="auto" w:sz="4" w:space="0"/>
            </w:tcBorders>
            <w:vAlign w:val="center"/>
          </w:tcPr>
          <w:p w14:paraId="732BB887">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服务承诺</w:t>
            </w:r>
          </w:p>
        </w:tc>
        <w:tc>
          <w:tcPr>
            <w:tcW w:w="6160" w:type="dxa"/>
            <w:vAlign w:val="center"/>
          </w:tcPr>
          <w:p w14:paraId="2061C416">
            <w:pPr>
              <w:adjustRightInd w:val="0"/>
              <w:snapToGrid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投标人结合采购需求，针对本项目的实际情况，提供服务承诺，包括但不限于承诺免费软件升级，提供标准接口协议，方便弱电智能化系统对接，质量保证期内、外服务承诺及其他实质性优惠条件等。</w:t>
            </w:r>
          </w:p>
          <w:p w14:paraId="5B6B311F">
            <w:pPr>
              <w:adjustRightInd w:val="0"/>
              <w:snapToGrid w:val="0"/>
              <w:jc w:val="left"/>
              <w:rPr>
                <w:rFonts w:ascii="宋体" w:hAnsi="宋体" w:eastAsia="宋体" w:cs="宋体"/>
                <w:kern w:val="1"/>
                <w:sz w:val="24"/>
                <w:szCs w:val="24"/>
              </w:rPr>
            </w:pPr>
            <w:r>
              <w:rPr>
                <w:rFonts w:ascii="宋体" w:hAnsi="宋体" w:eastAsia="宋体" w:cs="宋体"/>
                <w:color w:val="auto"/>
                <w:sz w:val="24"/>
                <w:szCs w:val="24"/>
                <w:lang w:val="en-US" w:eastAsia="zh-CN"/>
              </w:rPr>
              <w:t>投标人对每项内容论述详细,完全贴合项目采购需求的得5分;投标人对每项内容虽阐述但未贴合采购需求进行论述,或内容未包括具体细节的得3分;投标人提供的内容不完整</w:t>
            </w:r>
            <w:r>
              <w:rPr>
                <w:rFonts w:ascii="宋体" w:hAnsi="宋体" w:eastAsia="宋体" w:cs="宋体"/>
                <w:color w:val="auto"/>
                <w:sz w:val="24"/>
                <w:szCs w:val="24"/>
                <w:lang w:eastAsia="zh-CN"/>
              </w:rPr>
              <w:t>或</w:t>
            </w:r>
            <w:r>
              <w:rPr>
                <w:rFonts w:ascii="宋体" w:hAnsi="宋体" w:eastAsia="宋体" w:cs="宋体"/>
                <w:color w:val="auto"/>
                <w:sz w:val="24"/>
                <w:szCs w:val="24"/>
                <w:lang w:val="en-US" w:eastAsia="zh-CN"/>
              </w:rPr>
              <w:t>存在影响本项目目标实现的</w:t>
            </w:r>
            <w:r>
              <w:rPr>
                <w:rFonts w:ascii="宋体" w:hAnsi="宋体" w:eastAsia="宋体" w:cs="宋体"/>
                <w:color w:val="auto"/>
                <w:sz w:val="24"/>
                <w:szCs w:val="24"/>
                <w:lang w:eastAsia="zh-CN"/>
              </w:rPr>
              <w:t>明显错误</w:t>
            </w:r>
            <w:r>
              <w:rPr>
                <w:rFonts w:ascii="宋体" w:hAnsi="宋体" w:eastAsia="宋体" w:cs="宋体"/>
                <w:color w:val="auto"/>
                <w:sz w:val="24"/>
                <w:szCs w:val="24"/>
                <w:lang w:val="en-US" w:eastAsia="zh-CN"/>
              </w:rPr>
              <w:t>得1分;缺项得0分。</w:t>
            </w:r>
          </w:p>
        </w:tc>
        <w:tc>
          <w:tcPr>
            <w:tcW w:w="1134" w:type="dxa"/>
            <w:vAlign w:val="center"/>
          </w:tcPr>
          <w:p w14:paraId="03565E69">
            <w:pPr>
              <w:adjustRightInd w:val="0"/>
              <w:snapToGrid w:val="0"/>
              <w:jc w:val="center"/>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5</w:t>
            </w:r>
          </w:p>
        </w:tc>
      </w:tr>
      <w:tr w14:paraId="19BD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165" w:type="dxa"/>
            <w:vMerge w:val="continue"/>
            <w:tcBorders>
              <w:left w:val="single" w:color="auto" w:sz="4" w:space="0"/>
              <w:bottom w:val="single" w:color="auto" w:sz="4" w:space="0"/>
              <w:right w:val="single" w:color="auto" w:sz="4" w:space="0"/>
            </w:tcBorders>
            <w:vAlign w:val="center"/>
          </w:tcPr>
          <w:p w14:paraId="5340BB2C">
            <w:pPr>
              <w:spacing w:before="30" w:line="360" w:lineRule="auto"/>
              <w:ind w:left="70" w:right="187" w:firstLine="13"/>
              <w:jc w:val="center"/>
              <w:rPr>
                <w:rFonts w:ascii="宋体" w:hAnsi="宋体" w:eastAsia="宋体" w:cs="宋体"/>
                <w:spacing w:val="-1"/>
                <w:sz w:val="24"/>
                <w:szCs w:val="24"/>
              </w:rPr>
            </w:pPr>
          </w:p>
        </w:tc>
        <w:tc>
          <w:tcPr>
            <w:tcW w:w="1200" w:type="dxa"/>
            <w:tcBorders>
              <w:left w:val="single" w:color="auto" w:sz="4" w:space="0"/>
            </w:tcBorders>
            <w:vAlign w:val="center"/>
          </w:tcPr>
          <w:p w14:paraId="1CE75AC2">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应急方案</w:t>
            </w:r>
          </w:p>
        </w:tc>
        <w:tc>
          <w:tcPr>
            <w:tcW w:w="6160" w:type="dxa"/>
            <w:vAlign w:val="center"/>
          </w:tcPr>
          <w:p w14:paraId="51A76EC4">
            <w:pPr>
              <w:adjustRightInd w:val="0"/>
              <w:snapToGrid w:val="0"/>
              <w:jc w:val="left"/>
              <w:rPr>
                <w:rFonts w:hint="default" w:ascii="宋体" w:hAnsi="宋体" w:eastAsia="宋体" w:cs="宋体"/>
                <w:spacing w:val="-1"/>
                <w:sz w:val="24"/>
                <w:szCs w:val="24"/>
                <w:lang w:val="en-US"/>
              </w:rPr>
            </w:pPr>
            <w:r>
              <w:rPr>
                <w:rFonts w:ascii="宋体" w:hAnsi="宋体" w:eastAsia="宋体" w:cs="宋体"/>
                <w:kern w:val="0"/>
                <w:sz w:val="24"/>
                <w:szCs w:val="24"/>
                <w:lang w:val="en-US" w:eastAsia="zh-CN" w:bidi="ar"/>
              </w:rPr>
              <w:t>投标人结合采购需求，针对本项目的实际情况，对突发情况或者不可预见因素的分析，并说明相关的解决或应对方案，包括但不限于：电梯困人应急预案、突发停电应急预案、发生火灾时应急预案、发生浸水事故应急预案，</w:t>
            </w:r>
            <w:r>
              <w:rPr>
                <w:rFonts w:ascii="宋体" w:hAnsi="宋体" w:eastAsia="宋体" w:cs="宋体"/>
                <w:color w:val="auto"/>
                <w:sz w:val="24"/>
                <w:szCs w:val="24"/>
                <w:lang w:val="en-US" w:eastAsia="zh-CN"/>
              </w:rPr>
              <w:t>投标人对每项内容论述详细,完全贴合项目采购需求的得5分;投标人对每项内容虽阐述但未贴合采购需求进行论述,或内容未包括具体细节的得3分;投标人提供的内容不完整</w:t>
            </w:r>
            <w:r>
              <w:rPr>
                <w:rFonts w:ascii="宋体" w:hAnsi="宋体" w:eastAsia="宋体" w:cs="宋体"/>
                <w:color w:val="auto"/>
                <w:sz w:val="24"/>
                <w:szCs w:val="24"/>
                <w:lang w:eastAsia="zh-CN"/>
              </w:rPr>
              <w:t>或</w:t>
            </w:r>
            <w:r>
              <w:rPr>
                <w:rFonts w:ascii="宋体" w:hAnsi="宋体" w:eastAsia="宋体" w:cs="宋体"/>
                <w:color w:val="auto"/>
                <w:sz w:val="24"/>
                <w:szCs w:val="24"/>
                <w:lang w:val="en-US" w:eastAsia="zh-CN"/>
              </w:rPr>
              <w:t>存在影响本项目目标实现的</w:t>
            </w:r>
            <w:r>
              <w:rPr>
                <w:rFonts w:ascii="宋体" w:hAnsi="宋体" w:eastAsia="宋体" w:cs="宋体"/>
                <w:color w:val="auto"/>
                <w:sz w:val="24"/>
                <w:szCs w:val="24"/>
                <w:lang w:eastAsia="zh-CN"/>
              </w:rPr>
              <w:t>明显错误</w:t>
            </w:r>
            <w:r>
              <w:rPr>
                <w:rFonts w:ascii="宋体" w:hAnsi="宋体" w:eastAsia="宋体" w:cs="宋体"/>
                <w:color w:val="auto"/>
                <w:sz w:val="24"/>
                <w:szCs w:val="24"/>
                <w:lang w:val="en-US" w:eastAsia="zh-CN"/>
              </w:rPr>
              <w:t>得1分;缺项得0分</w:t>
            </w:r>
            <w:r>
              <w:rPr>
                <w:rFonts w:hint="eastAsia" w:ascii="宋体" w:hAnsi="宋体" w:eastAsia="宋体" w:cs="宋体"/>
                <w:color w:val="auto"/>
                <w:sz w:val="24"/>
                <w:szCs w:val="24"/>
                <w:lang w:val="en-US" w:eastAsia="zh-CN"/>
              </w:rPr>
              <w:t>。</w:t>
            </w:r>
          </w:p>
        </w:tc>
        <w:tc>
          <w:tcPr>
            <w:tcW w:w="1134" w:type="dxa"/>
            <w:vAlign w:val="center"/>
          </w:tcPr>
          <w:p w14:paraId="400E8BF3">
            <w:pPr>
              <w:adjustRightInd w:val="0"/>
              <w:snapToGrid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5</w:t>
            </w:r>
          </w:p>
        </w:tc>
      </w:tr>
    </w:tbl>
    <w:p w14:paraId="64040EAA">
      <w:pPr>
        <w:pStyle w:val="43"/>
        <w:rPr>
          <w:lang w:val="en-US" w:eastAsia="zh-CN"/>
        </w:rPr>
      </w:pPr>
    </w:p>
    <w:p w14:paraId="2784C5B5">
      <w:pPr>
        <w:jc w:val="center"/>
        <w:outlineLvl w:val="0"/>
        <w:rPr>
          <w:rFonts w:hint="default" w:ascii="Times New Roman" w:hAnsi="Times New Roman" w:eastAsia="宋体" w:cs="Times New Roman"/>
          <w:b/>
          <w:bCs/>
          <w:color w:val="auto"/>
          <w:kern w:val="44"/>
          <w:sz w:val="36"/>
          <w:szCs w:val="36"/>
        </w:rPr>
      </w:pPr>
      <w:r>
        <w:rPr>
          <w:rFonts w:ascii="Times New Roman" w:hAnsi="Times New Roman" w:eastAsia="仿宋_GB2312" w:cs="Times New Roman"/>
          <w:b/>
          <w:color w:val="auto"/>
          <w:sz w:val="28"/>
          <w:szCs w:val="28"/>
          <w:lang w:val="en-US" w:eastAsia="zh-CN"/>
        </w:rPr>
        <w:br w:type="page"/>
      </w:r>
      <w:bookmarkStart w:id="516" w:name="_Toc120110768"/>
      <w:bookmarkStart w:id="517" w:name="_Toc368094096_WPSOffice_Level1"/>
      <w:bookmarkStart w:id="518" w:name="_Toc1027165614"/>
      <w:bookmarkStart w:id="519" w:name="_Toc170276657"/>
      <w:bookmarkStart w:id="520" w:name="_Toc816670296"/>
      <w:bookmarkStart w:id="521" w:name="_Toc555660728_WPSOffice_Level1"/>
      <w:bookmarkStart w:id="522" w:name="_Toc1252040209_WPSOffice_Level1"/>
      <w:bookmarkStart w:id="523" w:name="_Toc1871798156"/>
      <w:bookmarkStart w:id="524" w:name="_Toc1357609763"/>
      <w:bookmarkStart w:id="525" w:name="_Toc937079805"/>
      <w:bookmarkStart w:id="526" w:name="_Toc1424279934_WPSOffice_Level1"/>
      <w:bookmarkStart w:id="527" w:name="_Toc2046937450_WPSOffice_Level1"/>
      <w:bookmarkStart w:id="528" w:name="_Toc1076969064"/>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rPr>
        <w:t>政府采购合同</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423F08D0">
      <w:pPr>
        <w:pStyle w:val="16"/>
        <w:jc w:val="center"/>
        <w:rPr>
          <w:rFonts w:ascii="Times New Roman" w:hAnsi="Times New Roman"/>
          <w:b/>
          <w:bCs/>
          <w:spacing w:val="-20"/>
          <w:kern w:val="44"/>
          <w:sz w:val="48"/>
          <w:szCs w:val="48"/>
        </w:rPr>
      </w:pPr>
    </w:p>
    <w:p w14:paraId="1283F903">
      <w:pPr>
        <w:pStyle w:val="16"/>
        <w:jc w:val="center"/>
        <w:rPr>
          <w:rFonts w:ascii="Times New Roman" w:hAnsi="Times New Roman"/>
          <w:b/>
          <w:bCs/>
          <w:spacing w:val="-20"/>
          <w:kern w:val="44"/>
          <w:sz w:val="48"/>
          <w:szCs w:val="48"/>
        </w:rPr>
      </w:pPr>
      <w:r>
        <w:rPr>
          <w:rFonts w:ascii="Times New Roman" w:hAnsi="Times New Roman"/>
          <w:b/>
          <w:bCs/>
          <w:spacing w:val="-20"/>
          <w:kern w:val="44"/>
          <w:sz w:val="48"/>
          <w:szCs w:val="48"/>
        </w:rPr>
        <w:t>政府采购</w:t>
      </w:r>
      <w:r>
        <w:rPr>
          <w:rFonts w:ascii="Times New Roman" w:hAnsi="Times New Roman"/>
          <w:b/>
          <w:bCs/>
          <w:spacing w:val="-20"/>
          <w:kern w:val="44"/>
          <w:sz w:val="48"/>
          <w:szCs w:val="48"/>
          <w:lang w:eastAsia="zh-CN"/>
        </w:rPr>
        <w:t>货物买卖</w:t>
      </w:r>
      <w:r>
        <w:rPr>
          <w:rFonts w:ascii="Times New Roman" w:hAnsi="Times New Roman"/>
          <w:b/>
          <w:bCs/>
          <w:spacing w:val="-20"/>
          <w:kern w:val="44"/>
          <w:sz w:val="48"/>
          <w:szCs w:val="48"/>
        </w:rPr>
        <w:t>合同</w:t>
      </w:r>
    </w:p>
    <w:p w14:paraId="621E6E3D">
      <w:pPr>
        <w:rPr>
          <w:rFonts w:hint="default" w:ascii="Times New Roman" w:hAnsi="Times New Roman" w:cs="Times New Roman"/>
          <w:b/>
          <w:bCs/>
          <w:spacing w:val="-20"/>
          <w:kern w:val="44"/>
          <w:sz w:val="40"/>
          <w:szCs w:val="40"/>
        </w:rPr>
      </w:pPr>
    </w:p>
    <w:p w14:paraId="52D9010A">
      <w:pPr>
        <w:rPr>
          <w:rFonts w:hint="default" w:ascii="Times New Roman" w:hAnsi="Times New Roman" w:cs="Times New Roman"/>
          <w:b/>
          <w:bCs/>
          <w:spacing w:val="-20"/>
          <w:kern w:val="44"/>
          <w:sz w:val="40"/>
          <w:szCs w:val="40"/>
        </w:rPr>
      </w:pPr>
    </w:p>
    <w:p w14:paraId="7C67DBCD">
      <w:pPr>
        <w:rPr>
          <w:rFonts w:hint="default" w:ascii="Times New Roman" w:hAnsi="Times New Roman" w:cs="Times New Roman"/>
          <w:b/>
          <w:bCs/>
          <w:spacing w:val="-20"/>
          <w:kern w:val="44"/>
          <w:sz w:val="40"/>
          <w:szCs w:val="40"/>
        </w:rPr>
      </w:pPr>
    </w:p>
    <w:p w14:paraId="45AC5146">
      <w:pPr>
        <w:spacing w:line="360" w:lineRule="auto"/>
        <w:ind w:left="2020" w:leftChars="200" w:hanging="1600" w:hangingChars="500"/>
        <w:rPr>
          <w:rFonts w:hint="default" w:ascii="Times New Roman" w:hAnsi="Times New Roman" w:eastAsia="宋体" w:cs="Times New Roman"/>
          <w:sz w:val="32"/>
          <w:szCs w:val="32"/>
          <w:lang w:eastAsia="zh-CN"/>
        </w:rPr>
      </w:pPr>
      <w:r>
        <w:rPr>
          <w:rFonts w:hint="default" w:ascii="Times New Roman" w:hAnsi="Times New Roman" w:cs="Times New Roman"/>
          <w:kern w:val="0"/>
          <w:sz w:val="32"/>
          <w:szCs w:val="32"/>
        </w:rPr>
        <w:t>项目名称：</w:t>
      </w:r>
      <w:r>
        <w:rPr>
          <w:rFonts w:ascii="Times New Roman" w:hAnsi="Times New Roman" w:eastAsia="宋体" w:cs="Times New Roman"/>
          <w:sz w:val="32"/>
          <w:szCs w:val="32"/>
          <w:u w:val="single"/>
          <w:lang w:eastAsia="zh-CN"/>
        </w:rPr>
        <w:t>郑州信息科技职业学院东校区加装电梯-电梯采购及安装项目</w:t>
      </w:r>
      <w:r>
        <w:rPr>
          <w:rFonts w:ascii="Times New Roman" w:hAnsi="Times New Roman" w:eastAsia="宋体" w:cs="Times New Roman"/>
          <w:sz w:val="32"/>
          <w:szCs w:val="32"/>
          <w:u w:val="single"/>
          <w:lang w:eastAsia="zh-CN"/>
        </w:rPr>
        <w:tab/>
      </w:r>
    </w:p>
    <w:p w14:paraId="3EB2D3E7">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14:paraId="5D29CD1C">
      <w:pPr>
        <w:spacing w:line="360" w:lineRule="auto"/>
        <w:ind w:left="420" w:leftChars="200"/>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w:t>
      </w:r>
      <w:r>
        <w:rPr>
          <w:rFonts w:ascii="Times New Roman" w:hAnsi="Times New Roman" w:eastAsia="宋体" w:cs="Times New Roman"/>
          <w:sz w:val="32"/>
          <w:szCs w:val="32"/>
          <w:u w:val="single"/>
          <w:lang w:val="en-US" w:eastAsia="zh-CN"/>
        </w:rPr>
        <w:t xml:space="preserve">                      </w:t>
      </w:r>
    </w:p>
    <w:p w14:paraId="25DFC31C">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14:paraId="23A2F8AD">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14:paraId="737FF572">
      <w:pPr>
        <w:rPr>
          <w:rFonts w:hint="default" w:ascii="Times New Roman" w:hAnsi="Times New Roman" w:cs="Times New Roman"/>
        </w:rPr>
      </w:pPr>
    </w:p>
    <w:p w14:paraId="25F88AB3">
      <w:pPr>
        <w:adjustRightInd w:val="0"/>
        <w:snapToGrid w:val="0"/>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44"/>
          <w:szCs w:val="44"/>
        </w:rPr>
        <w:br w:type="page"/>
      </w:r>
      <w:bookmarkStart w:id="529" w:name="_Toc22209"/>
    </w:p>
    <w:bookmarkEnd w:id="529"/>
    <w:p w14:paraId="3569C8C8">
      <w:pPr>
        <w:pStyle w:val="3"/>
        <w:adjustRightInd w:val="0"/>
        <w:snapToGrid w:val="0"/>
        <w:spacing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36487C85">
      <w:pPr>
        <w:pStyle w:val="124"/>
        <w:ind w:firstLine="440"/>
        <w:rPr>
          <w:rFonts w:hint="eastAsia"/>
        </w:rPr>
      </w:pPr>
    </w:p>
    <w:p w14:paraId="15DDC852">
      <w:pPr>
        <w:adjustRightInd w:val="0"/>
        <w:snapToGrid w:val="0"/>
        <w:spacing w:line="400" w:lineRule="exact"/>
        <w:rPr>
          <w:rFonts w:ascii="宋体" w:hAnsi="宋体"/>
        </w:rPr>
      </w:pPr>
      <w:r>
        <w:rPr>
          <w:rFonts w:ascii="宋体" w:hAnsi="宋体"/>
        </w:rPr>
        <w:t>甲方（全称）：</w:t>
      </w:r>
      <w:r>
        <w:rPr>
          <w:rFonts w:ascii="宋体" w:hAnsi="宋体"/>
          <w:u w:val="single"/>
        </w:rPr>
        <w:t xml:space="preserve">   郑州信息科技职业学院  </w:t>
      </w:r>
      <w:r>
        <w:rPr>
          <w:rFonts w:ascii="宋体" w:hAnsi="宋体"/>
        </w:rPr>
        <w:t>（采购人、受采购人委托签订合同的单位或采购</w:t>
      </w:r>
      <w:r>
        <w:rPr>
          <w:rFonts w:ascii="宋体" w:hAnsi="宋体"/>
        </w:rPr>
        <w:tab/>
      </w:r>
      <w:r>
        <w:rPr>
          <w:rFonts w:ascii="宋体" w:hAnsi="宋体"/>
        </w:rPr>
        <w:t xml:space="preserve">                                   文件约定的合同甲方）</w:t>
      </w:r>
    </w:p>
    <w:p w14:paraId="785AA8A2">
      <w:pPr>
        <w:adjustRightInd w:val="0"/>
        <w:snapToGrid w:val="0"/>
        <w:spacing w:line="400" w:lineRule="exact"/>
      </w:pPr>
      <w:r>
        <w:rPr>
          <w:rFonts w:ascii="宋体" w:hAnsi="宋体"/>
        </w:rPr>
        <w:t>乙方（全称）：</w:t>
      </w:r>
      <w:r>
        <w:rPr>
          <w:rFonts w:ascii="宋体" w:hAnsi="宋体"/>
          <w:u w:val="single"/>
        </w:rPr>
        <w:t xml:space="preserve">                       </w:t>
      </w:r>
      <w:r>
        <w:rPr>
          <w:rFonts w:ascii="宋体" w:hAnsi="宋体"/>
        </w:rPr>
        <w:t>（供应商）</w:t>
      </w:r>
    </w:p>
    <w:p w14:paraId="49044D8E">
      <w:pPr>
        <w:pStyle w:val="17"/>
        <w:adjustRightInd w:val="0"/>
        <w:snapToGrid w:val="0"/>
        <w:spacing w:line="400" w:lineRule="exact"/>
        <w:ind w:firstLine="480"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520206B">
      <w:pPr>
        <w:widowControl w:val="0"/>
        <w:numPr>
          <w:ilvl w:val="0"/>
          <w:numId w:val="10"/>
        </w:numPr>
        <w:adjustRightInd w:val="0"/>
        <w:snapToGrid w:val="0"/>
        <w:spacing w:line="400" w:lineRule="exact"/>
        <w:ind w:firstLine="420" w:firstLineChars="200"/>
        <w:rPr>
          <w:rFonts w:ascii="宋体" w:hAnsi="宋体"/>
          <w:b/>
        </w:rPr>
      </w:pPr>
      <w:r>
        <w:rPr>
          <w:rFonts w:ascii="宋体" w:hAnsi="宋体"/>
          <w:b/>
        </w:rPr>
        <w:t>项目信息</w:t>
      </w:r>
    </w:p>
    <w:p w14:paraId="7C888EEC">
      <w:pPr>
        <w:pStyle w:val="17"/>
        <w:numPr>
          <w:ilvl w:val="255"/>
          <w:numId w:val="0"/>
        </w:numPr>
        <w:tabs>
          <w:tab w:val="left" w:pos="999"/>
        </w:tabs>
        <w:adjustRightInd w:val="0"/>
        <w:snapToGrid w:val="0"/>
        <w:spacing w:line="400" w:lineRule="exact"/>
        <w:ind w:firstLine="480" w:firstLineChars="200"/>
        <w:rPr>
          <w:rFonts w:hint="eastAsia" w:ascii="宋体" w:hAnsi="宋体"/>
          <w:szCs w:val="21"/>
        </w:rPr>
      </w:pPr>
      <w:r>
        <w:rPr>
          <w:rFonts w:hint="eastAsia" w:ascii="宋体" w:hAnsi="宋体"/>
          <w:szCs w:val="21"/>
          <w:lang w:eastAsia="zh-CN"/>
        </w:rPr>
        <w:t>（1）</w:t>
      </w:r>
      <w:r>
        <w:rPr>
          <w:rFonts w:hint="eastAsia" w:ascii="宋体" w:hAnsi="宋体"/>
          <w:szCs w:val="21"/>
        </w:rPr>
        <w:t>采购项目名称：</w:t>
      </w:r>
      <w:r>
        <w:rPr>
          <w:rFonts w:ascii="宋体" w:hAnsi="宋体"/>
          <w:szCs w:val="21"/>
        </w:rPr>
        <w:t xml:space="preserve"> </w:t>
      </w:r>
      <w:r>
        <w:rPr>
          <w:rFonts w:hint="eastAsia" w:ascii="宋体" w:hAnsi="宋体"/>
          <w:szCs w:val="21"/>
        </w:rPr>
        <w:t>郑州信息科技职业学院东校区加装电梯</w:t>
      </w:r>
      <w:r>
        <w:rPr>
          <w:rFonts w:ascii="宋体" w:hAnsi="宋体"/>
          <w:szCs w:val="21"/>
        </w:rPr>
        <w:t>-</w:t>
      </w:r>
      <w:r>
        <w:rPr>
          <w:rFonts w:hint="eastAsia" w:ascii="宋体" w:hAnsi="宋体"/>
          <w:szCs w:val="21"/>
        </w:rPr>
        <w:t>电梯采购及安装项目</w:t>
      </w:r>
    </w:p>
    <w:p w14:paraId="1DDFDCB6">
      <w:pPr>
        <w:pStyle w:val="17"/>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lang w:eastAsia="zh-CN"/>
        </w:rPr>
        <w:t>2</w:t>
      </w:r>
      <w:r>
        <w:rPr>
          <w:rFonts w:hint="eastAsia" w:ascii="宋体" w:hAnsi="宋体"/>
          <w:szCs w:val="21"/>
        </w:rPr>
        <w:t>） 采购项目编号：</w:t>
      </w:r>
      <w:r>
        <w:rPr>
          <w:rFonts w:ascii="宋体" w:hAnsi="宋体"/>
          <w:szCs w:val="21"/>
          <w:u w:val="single"/>
        </w:rPr>
        <w:t xml:space="preserve">                                          </w:t>
      </w:r>
    </w:p>
    <w:p w14:paraId="3022F807">
      <w:pPr>
        <w:pStyle w:val="17"/>
        <w:numPr>
          <w:ilvl w:val="255"/>
          <w:numId w:val="0"/>
        </w:numPr>
        <w:tabs>
          <w:tab w:val="left" w:pos="999"/>
        </w:tabs>
        <w:adjustRightInd w:val="0"/>
        <w:snapToGrid w:val="0"/>
        <w:spacing w:line="400" w:lineRule="exact"/>
        <w:ind w:firstLine="480" w:firstLineChars="200"/>
        <w:rPr>
          <w:rFonts w:hint="eastAsia" w:ascii="宋体" w:hAnsi="宋体"/>
          <w:szCs w:val="21"/>
        </w:rPr>
      </w:pPr>
      <w:r>
        <w:rPr>
          <w:rFonts w:hint="eastAsia" w:ascii="宋体" w:hAnsi="宋体"/>
          <w:szCs w:val="21"/>
        </w:rPr>
        <w:t>（</w:t>
      </w:r>
      <w:r>
        <w:rPr>
          <w:rFonts w:hint="eastAsia" w:ascii="宋体" w:hAnsi="宋体"/>
          <w:szCs w:val="21"/>
          <w:lang w:eastAsia="zh-CN"/>
        </w:rPr>
        <w:t>3</w:t>
      </w:r>
      <w:r>
        <w:rPr>
          <w:rFonts w:hint="eastAsia" w:ascii="宋体" w:hAnsi="宋体"/>
          <w:szCs w:val="21"/>
        </w:rPr>
        <w:t>）采购计划编号：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4891EA14">
      <w:pPr>
        <w:pStyle w:val="17"/>
        <w:numPr>
          <w:ilvl w:val="255"/>
          <w:numId w:val="0"/>
        </w:numPr>
        <w:tabs>
          <w:tab w:val="left" w:pos="999"/>
        </w:tabs>
        <w:adjustRightInd w:val="0"/>
        <w:snapToGrid w:val="0"/>
        <w:spacing w:line="400" w:lineRule="exact"/>
        <w:ind w:firstLine="480" w:firstLineChars="200"/>
        <w:rPr>
          <w:rFonts w:hint="eastAsia" w:ascii="宋体" w:hAnsi="宋体"/>
          <w:szCs w:val="21"/>
        </w:rPr>
      </w:pPr>
      <w:r>
        <w:rPr>
          <w:rFonts w:hint="eastAsia" w:ascii="宋体" w:hAnsi="宋体"/>
          <w:szCs w:val="21"/>
        </w:rPr>
        <w:t>（</w:t>
      </w:r>
      <w:r>
        <w:rPr>
          <w:rFonts w:hint="eastAsia" w:ascii="宋体" w:hAnsi="宋体"/>
          <w:szCs w:val="21"/>
          <w:lang w:eastAsia="zh-CN"/>
        </w:rPr>
        <w:t>4</w:t>
      </w:r>
      <w:r>
        <w:rPr>
          <w:rFonts w:hint="eastAsia" w:ascii="宋体" w:hAnsi="宋体"/>
          <w:szCs w:val="21"/>
        </w:rPr>
        <w:t>）项目内容：</w:t>
      </w:r>
    </w:p>
    <w:p w14:paraId="20CDCA53">
      <w:pPr>
        <w:adjustRightInd w:val="0"/>
        <w:snapToGrid w:val="0"/>
        <w:spacing w:line="400" w:lineRule="exact"/>
        <w:ind w:firstLine="420" w:firstLineChars="200"/>
        <w:rPr>
          <w:rFonts w:ascii="宋体" w:hAnsi="宋体"/>
        </w:rPr>
      </w:pPr>
      <w:r>
        <w:rPr>
          <w:rFonts w:ascii="宋体" w:hAnsi="宋体"/>
        </w:rPr>
        <w:t xml:space="preserve">     采购标的及数量（台/套</w:t>
      </w:r>
      <w:r>
        <w:rPr>
          <w:rFonts w:ascii="宋体" w:hAnsi="宋体"/>
          <w:lang w:val="en"/>
        </w:rPr>
        <w:t>/个/架/组等</w:t>
      </w:r>
      <w:r>
        <w:rPr>
          <w:rFonts w:ascii="宋体" w:hAnsi="宋体"/>
        </w:rPr>
        <w:t>）：</w:t>
      </w:r>
      <w:r>
        <w:rPr>
          <w:rFonts w:ascii="宋体" w:hAnsi="宋体"/>
          <w:u w:val="single"/>
        </w:rPr>
        <w:t xml:space="preserve">东校区9台电梯及安装 </w:t>
      </w:r>
      <w:r>
        <w:rPr>
          <w:rFonts w:ascii="宋体" w:hAnsi="宋体"/>
        </w:rPr>
        <w:t xml:space="preserve">         </w:t>
      </w:r>
    </w:p>
    <w:p w14:paraId="11D78974">
      <w:pPr>
        <w:numPr>
          <w:ilvl w:val="255"/>
          <w:numId w:val="0"/>
        </w:numPr>
        <w:adjustRightInd w:val="0"/>
        <w:snapToGrid w:val="0"/>
        <w:spacing w:line="400" w:lineRule="exact"/>
        <w:ind w:firstLine="420" w:firstLineChars="200"/>
        <w:rPr>
          <w:rFonts w:ascii="宋体" w:hAnsi="宋体" w:cs="宋体"/>
          <w:lang w:val="en"/>
        </w:rPr>
      </w:pPr>
      <w:r>
        <w:rPr>
          <w:rFonts w:ascii="宋体" w:hAnsi="宋体"/>
        </w:rPr>
        <w:t xml:space="preserve">     </w:t>
      </w:r>
      <w:r>
        <w:rPr>
          <w:rFonts w:ascii="宋体" w:hAnsi="宋体" w:cs="宋体"/>
        </w:rPr>
        <w:t>品牌：</w:t>
      </w:r>
      <w:r>
        <w:rPr>
          <w:rFonts w:ascii="宋体" w:hAnsi="宋体" w:cs="宋体"/>
          <w:u w:val="single"/>
        </w:rPr>
        <w:t xml:space="preserve">      </w:t>
      </w:r>
      <w:r>
        <w:rPr>
          <w:rFonts w:ascii="宋体" w:hAnsi="宋体" w:cs="宋体"/>
          <w:u w:val="single"/>
          <w:lang w:val="en"/>
        </w:rPr>
        <w:t xml:space="preserve">   </w:t>
      </w:r>
      <w:r>
        <w:rPr>
          <w:rFonts w:ascii="宋体" w:hAnsi="宋体" w:cs="宋体"/>
          <w:u w:val="single"/>
        </w:rPr>
        <w:t xml:space="preserve">    </w:t>
      </w:r>
      <w:r>
        <w:rPr>
          <w:rFonts w:ascii="宋体" w:hAnsi="宋体" w:cs="宋体"/>
          <w:u w:val="single"/>
          <w:lang w:val="en"/>
        </w:rPr>
        <w:t xml:space="preserve"> </w:t>
      </w:r>
      <w:r>
        <w:rPr>
          <w:rFonts w:ascii="宋体" w:hAnsi="宋体" w:cs="宋体"/>
          <w:u w:val="single"/>
        </w:rPr>
        <w:t xml:space="preserve"> </w:t>
      </w:r>
      <w:r>
        <w:rPr>
          <w:rFonts w:ascii="宋体" w:hAnsi="宋体" w:cs="宋体"/>
          <w:lang w:val="en"/>
        </w:rPr>
        <w:t xml:space="preserve">     </w:t>
      </w:r>
      <w:r>
        <w:rPr>
          <w:rFonts w:ascii="宋体" w:hAnsi="宋体" w:cs="宋体"/>
        </w:rPr>
        <w:t>规格型号：</w:t>
      </w:r>
      <w:r>
        <w:rPr>
          <w:rFonts w:ascii="宋体" w:hAnsi="宋体" w:cs="宋体"/>
          <w:u w:val="single"/>
        </w:rPr>
        <w:t xml:space="preserve">   </w:t>
      </w:r>
      <w:r>
        <w:rPr>
          <w:rFonts w:ascii="宋体" w:hAnsi="宋体" w:cs="宋体"/>
          <w:u w:val="single"/>
          <w:lang w:val="en"/>
        </w:rPr>
        <w:t xml:space="preserve">  </w:t>
      </w:r>
      <w:r>
        <w:rPr>
          <w:rFonts w:ascii="宋体" w:hAnsi="宋体" w:cs="宋体"/>
          <w:u w:val="single"/>
        </w:rPr>
        <w:t xml:space="preserve">       </w:t>
      </w:r>
      <w:r>
        <w:rPr>
          <w:rFonts w:ascii="宋体" w:hAnsi="宋体" w:cs="宋体"/>
          <w:u w:val="single"/>
          <w:lang w:val="en"/>
        </w:rPr>
        <w:t xml:space="preserve">   </w:t>
      </w:r>
    </w:p>
    <w:p w14:paraId="14C0DC91">
      <w:pPr>
        <w:adjustRightInd w:val="0"/>
        <w:snapToGrid w:val="0"/>
        <w:spacing w:line="400" w:lineRule="exact"/>
        <w:ind w:firstLine="945" w:firstLineChars="4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东校区加装电梯-电梯采购及安装项目的电梯设备采购、安装、调试以及其他配套建设等电梯正式交付运行前的一切费用；直梯产品及其所有零部件、相关配件、专用工具、随机备品备件等的价款；技术服务费、技术资料和软件（含知识产权费）、包装费、运输费、装卸费、检测检验费、保管费、保险费、关税、税费等费用；与本合同产品相连接的其它设施、设备、装置的加建、安装、连接所需的全部费用；维保维修费用；办理法律、规章及有关部门规定的安装、使用直梯的所有许可、批准、验收手续的费用等。</w:t>
      </w:r>
    </w:p>
    <w:p w14:paraId="45DA6DB5">
      <w:pPr>
        <w:adjustRightInd w:val="0"/>
        <w:snapToGrid w:val="0"/>
        <w:spacing w:line="400" w:lineRule="exact"/>
        <w:ind w:firstLine="945" w:firstLineChars="450"/>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采购标的的技术要求、商务要求具体见附件。</w:t>
      </w:r>
    </w:p>
    <w:p w14:paraId="67AF9A15">
      <w:pPr>
        <w:adjustRightInd w:val="0"/>
        <w:snapToGrid w:val="0"/>
        <w:spacing w:line="400" w:lineRule="exact"/>
        <w:ind w:firstLine="945" w:firstLineChars="450"/>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涉及信息类产品，请填写该产品关键部件的品牌、型号：</w:t>
      </w:r>
    </w:p>
    <w:p w14:paraId="56B715F5">
      <w:pPr>
        <w:numPr>
          <w:ilvl w:val="255"/>
          <w:numId w:val="0"/>
        </w:numPr>
        <w:adjustRightInd w:val="0"/>
        <w:snapToGrid w:val="0"/>
        <w:spacing w:line="400" w:lineRule="exact"/>
        <w:ind w:firstLine="420" w:firstLineChars="200"/>
        <w:rPr>
          <w:rFonts w:ascii="宋体" w:hAnsi="宋体" w:cs="宋体"/>
          <w:kern w:val="0"/>
          <w:u w:val="single"/>
        </w:rPr>
      </w:pPr>
      <w:r>
        <w:rPr>
          <w:rFonts w:ascii="宋体" w:hAnsi="宋体" w:cs="宋体"/>
        </w:rPr>
        <w:t xml:space="preserve">     标的名称：</w:t>
      </w:r>
      <w:r>
        <w:rPr>
          <w:rFonts w:ascii="宋体" w:hAnsi="宋体" w:cs="宋体"/>
          <w:u w:val="single"/>
        </w:rPr>
        <w:t xml:space="preserve"> 郑州信息科技职业学院东校区加装电梯-电梯采购及安装项目 </w:t>
      </w:r>
    </w:p>
    <w:p w14:paraId="48D23B49">
      <w:pPr>
        <w:numPr>
          <w:ilvl w:val="255"/>
          <w:numId w:val="0"/>
        </w:numPr>
        <w:adjustRightInd w:val="0"/>
        <w:snapToGrid w:val="0"/>
        <w:spacing w:line="400" w:lineRule="exact"/>
        <w:ind w:firstLine="420" w:firstLineChars="200"/>
        <w:rPr>
          <w:rFonts w:ascii="宋体" w:hAnsi="宋体" w:cs="宋体"/>
        </w:rPr>
      </w:pPr>
      <w:r>
        <w:rPr>
          <w:rFonts w:ascii="宋体" w:hAnsi="宋体" w:cs="宋体"/>
        </w:rPr>
        <w:t xml:space="preserve">     关键部件：</w:t>
      </w:r>
      <w:r>
        <w:rPr>
          <w:rFonts w:ascii="宋体" w:hAnsi="宋体" w:cs="宋体"/>
          <w:kern w:val="0"/>
          <w:u w:val="single"/>
        </w:rPr>
        <w:t xml:space="preserve">          </w:t>
      </w:r>
      <w:r>
        <w:rPr>
          <w:rFonts w:ascii="宋体" w:hAnsi="宋体" w:cs="宋体"/>
          <w:kern w:val="0"/>
        </w:rPr>
        <w:t xml:space="preserve"> </w:t>
      </w:r>
      <w:r>
        <w:rPr>
          <w:rFonts w:ascii="宋体" w:hAnsi="宋体" w:cs="宋体"/>
        </w:rPr>
        <w:t>品牌：</w:t>
      </w:r>
      <w:r>
        <w:rPr>
          <w:rFonts w:ascii="宋体" w:hAnsi="宋体" w:cs="宋体"/>
          <w:u w:val="single"/>
        </w:rPr>
        <w:t xml:space="preserve">        </w:t>
      </w:r>
      <w:r>
        <w:rPr>
          <w:rFonts w:ascii="宋体" w:hAnsi="宋体" w:cs="宋体"/>
        </w:rPr>
        <w:t xml:space="preserve"> 型号：</w:t>
      </w:r>
      <w:r>
        <w:rPr>
          <w:rFonts w:ascii="宋体" w:hAnsi="宋体" w:cs="宋体"/>
          <w:u w:val="single"/>
        </w:rPr>
        <w:t xml:space="preserve">       </w:t>
      </w:r>
      <w:r>
        <w:rPr>
          <w:rFonts w:ascii="宋体" w:hAnsi="宋体" w:cs="宋体"/>
        </w:rPr>
        <w:t xml:space="preserve"> </w:t>
      </w:r>
    </w:p>
    <w:p w14:paraId="44392CD8">
      <w:pPr>
        <w:pStyle w:val="100"/>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07A45B1">
      <w:pPr>
        <w:pStyle w:val="100"/>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4DD06E5E">
      <w:pPr>
        <w:pStyle w:val="100"/>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026E889">
      <w:pPr>
        <w:pStyle w:val="100"/>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7FB3A82E">
      <w:pPr>
        <w:pStyle w:val="100"/>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2A47F9CD">
      <w:pPr>
        <w:pStyle w:val="100"/>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26470883">
      <w:pPr>
        <w:pStyle w:val="100"/>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0E1E57AB">
      <w:pPr>
        <w:pStyle w:val="100"/>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3D15F8F0">
      <w:pPr>
        <w:pStyle w:val="100"/>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0EFBE369">
      <w:pPr>
        <w:pStyle w:val="100"/>
        <w:numPr>
          <w:ilvl w:val="255"/>
          <w:numId w:val="0"/>
        </w:numPr>
        <w:snapToGrid w:val="0"/>
        <w:ind w:firstLine="42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704FECE9">
      <w:pPr>
        <w:pStyle w:val="100"/>
        <w:numPr>
          <w:ilvl w:val="255"/>
          <w:numId w:val="0"/>
        </w:numPr>
        <w:snapToGrid w:val="0"/>
        <w:ind w:firstLine="220"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540A892">
      <w:pPr>
        <w:numPr>
          <w:ilvl w:val="255"/>
          <w:numId w:val="0"/>
        </w:numPr>
        <w:adjustRightInd w:val="0"/>
        <w:snapToGrid w:val="0"/>
        <w:spacing w:line="400" w:lineRule="exact"/>
        <w:rPr>
          <w:rFonts w:ascii="宋体" w:hAnsi="宋体"/>
          <w:iCs/>
        </w:rPr>
      </w:pPr>
      <w:r>
        <w:rPr>
          <w:rFonts w:ascii="宋体" w:hAnsi="宋体"/>
        </w:rPr>
        <w:t xml:space="preserve">         本合同是否为专门面向中小企业的采购合同（中小企业预留合同）：</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14:paraId="5C8FC1AE">
      <w:pPr>
        <w:numPr>
          <w:ilvl w:val="255"/>
          <w:numId w:val="0"/>
        </w:numPr>
        <w:adjustRightInd w:val="0"/>
        <w:snapToGrid w:val="0"/>
        <w:spacing w:line="400" w:lineRule="exact"/>
        <w:rPr>
          <w:rFonts w:ascii="宋体" w:hAnsi="宋体"/>
          <w:iCs/>
        </w:rPr>
      </w:pPr>
      <w:r>
        <w:t xml:space="preserve">         若本项目不专门面向中小企业采购，是否给予小微企业评审优惠：</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14:paraId="1206057C">
      <w:pPr>
        <w:numPr>
          <w:ilvl w:val="255"/>
          <w:numId w:val="0"/>
        </w:numPr>
        <w:adjustRightInd w:val="0"/>
        <w:snapToGrid w:val="0"/>
        <w:spacing w:line="400" w:lineRule="exact"/>
        <w:rPr>
          <w:rFonts w:ascii="宋体" w:hAnsi="宋体"/>
          <w:iCs/>
        </w:rPr>
      </w:pPr>
      <w:r>
        <w:t xml:space="preserve">         中标（成交）采购标的制造商是否为残疾人福利性单位：</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14:paraId="0C0D0E49">
      <w:pPr>
        <w:snapToGrid w:val="0"/>
        <w:spacing w:line="400" w:lineRule="exact"/>
      </w:pPr>
      <w:r>
        <w:t xml:space="preserve">         中标（成交）采购标的制造商是否为监狱企业：</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14:paraId="6BE9CEC0">
      <w:pPr>
        <w:adjustRightInd w:val="0"/>
        <w:snapToGrid w:val="0"/>
        <w:spacing w:line="400" w:lineRule="exact"/>
        <w:ind w:firstLine="420" w:firstLineChars="200"/>
        <w:rPr>
          <w:rFonts w:ascii="宋体" w:hAnsi="宋体"/>
        </w:rPr>
      </w:pPr>
      <w:r>
        <w:rPr>
          <w:rFonts w:ascii="宋体" w:hAnsi="宋体"/>
        </w:rPr>
        <w:t>（</w:t>
      </w:r>
      <w:r>
        <w:rPr>
          <w:rFonts w:ascii="宋体" w:hAnsi="宋体"/>
          <w:lang w:val="en"/>
        </w:rPr>
        <w:t>7</w:t>
      </w:r>
      <w:r>
        <w:rPr>
          <w:rFonts w:ascii="宋体" w:hAnsi="宋体"/>
        </w:rPr>
        <w:t>）合同是否分包：</w:t>
      </w:r>
      <w:r>
        <w:rPr>
          <w:rFonts w:ascii="宋体" w:hAnsi="宋体"/>
          <w:iCs/>
        </w:rPr>
        <w:sym w:font="Wingdings" w:char="00A8"/>
      </w:r>
      <w:r>
        <w:rPr>
          <w:rFonts w:ascii="宋体" w:hAnsi="宋体"/>
          <w:iCs/>
        </w:rPr>
        <w:t xml:space="preserve">是       </w:t>
      </w:r>
      <w:r>
        <w:rPr>
          <w:rFonts w:ascii="宋体" w:hAnsi="宋体"/>
          <w:iCs/>
        </w:rPr>
        <w:sym w:font="Wingdings" w:char="00FE"/>
      </w:r>
      <w:r>
        <w:rPr>
          <w:rFonts w:ascii="宋体" w:hAnsi="宋体"/>
          <w:iCs/>
        </w:rPr>
        <w:t>否</w:t>
      </w:r>
    </w:p>
    <w:p w14:paraId="03AD797D">
      <w:pPr>
        <w:adjustRightInd w:val="0"/>
        <w:snapToGrid w:val="0"/>
        <w:spacing w:line="400" w:lineRule="exact"/>
        <w:ind w:firstLine="840" w:firstLineChars="400"/>
        <w:rPr>
          <w:rFonts w:ascii="宋体" w:hAnsi="宋体"/>
          <w:u w:val="single"/>
        </w:rPr>
      </w:pPr>
      <w:r>
        <w:rPr>
          <w:rFonts w:ascii="宋体" w:hAnsi="宋体"/>
        </w:rPr>
        <w:t xml:space="preserve"> 分包主要内容：</w:t>
      </w:r>
      <w:r>
        <w:rPr>
          <w:rFonts w:ascii="宋体" w:hAnsi="宋体"/>
          <w:u w:val="single"/>
        </w:rPr>
        <w:t xml:space="preserve">                                            </w:t>
      </w:r>
    </w:p>
    <w:p w14:paraId="311A6CE1">
      <w:pPr>
        <w:adjustRightInd w:val="0"/>
        <w:snapToGrid w:val="0"/>
        <w:spacing w:line="400" w:lineRule="exact"/>
        <w:ind w:firstLine="840" w:firstLineChars="400"/>
        <w:rPr>
          <w:rFonts w:ascii="宋体" w:hAnsi="宋体"/>
        </w:rPr>
      </w:pPr>
      <w:r>
        <w:rPr>
          <w:rFonts w:ascii="宋体" w:hAnsi="宋体"/>
        </w:rPr>
        <w:t xml:space="preserve"> 分包供应商/制造商名称（如供应商和制造商不同，请分别填写）：</w:t>
      </w:r>
    </w:p>
    <w:p w14:paraId="5DCFBD9E">
      <w:pPr>
        <w:adjustRightInd w:val="0"/>
        <w:snapToGrid w:val="0"/>
        <w:spacing w:line="400" w:lineRule="exact"/>
        <w:ind w:firstLine="840" w:firstLineChars="400"/>
        <w:rPr>
          <w:rFonts w:ascii="宋体" w:hAnsi="宋体"/>
          <w:u w:val="single"/>
        </w:rPr>
      </w:pPr>
      <w:r>
        <w:rPr>
          <w:rFonts w:ascii="宋体" w:hAnsi="宋体"/>
        </w:rPr>
        <w:t xml:space="preserve"> </w:t>
      </w:r>
      <w:r>
        <w:rPr>
          <w:rFonts w:ascii="宋体" w:hAnsi="宋体"/>
          <w:u w:val="single"/>
        </w:rPr>
        <w:t xml:space="preserve">                                                          </w:t>
      </w:r>
    </w:p>
    <w:p w14:paraId="05AA33FD">
      <w:pPr>
        <w:adjustRightInd w:val="0"/>
        <w:snapToGrid w:val="0"/>
        <w:spacing w:line="400" w:lineRule="exact"/>
        <w:ind w:firstLine="840" w:firstLineChars="400"/>
        <w:rPr>
          <w:rFonts w:ascii="宋体" w:hAnsi="宋体"/>
        </w:rPr>
      </w:pPr>
      <w:r>
        <w:rPr>
          <w:rFonts w:ascii="宋体" w:hAnsi="宋体"/>
        </w:rPr>
        <w:t xml:space="preserve"> 分包供应商/制造商类型（如果供应商和制造商不同，只填写制造商类型）：</w:t>
      </w:r>
    </w:p>
    <w:p w14:paraId="6D991F5D">
      <w:pPr>
        <w:adjustRightInd w:val="0"/>
        <w:snapToGrid w:val="0"/>
        <w:spacing w:line="400" w:lineRule="exact"/>
        <w:ind w:firstLine="840" w:firstLineChars="400"/>
        <w:rPr>
          <w:rFonts w:ascii="宋体" w:hAnsi="宋体"/>
          <w:iCs/>
        </w:rPr>
      </w:pPr>
      <w:r>
        <w:rPr>
          <w:rFonts w:ascii="宋体" w:hAnsi="宋体"/>
          <w:iCs/>
        </w:rPr>
        <w:t xml:space="preserve"> </w:t>
      </w:r>
      <w:r>
        <w:rPr>
          <w:rFonts w:ascii="宋体" w:hAnsi="宋体"/>
          <w:iCs/>
        </w:rPr>
        <w:sym w:font="Wingdings" w:char="00A8"/>
      </w:r>
      <w:r>
        <w:rPr>
          <w:rFonts w:ascii="宋体" w:hAnsi="宋体"/>
          <w:iCs/>
        </w:rPr>
        <w:t xml:space="preserve">大型企业  </w:t>
      </w:r>
      <w:r>
        <w:rPr>
          <w:rFonts w:ascii="宋体" w:hAnsi="宋体"/>
          <w:iCs/>
        </w:rPr>
        <w:sym w:font="Wingdings" w:char="00A8"/>
      </w:r>
      <w:r>
        <w:rPr>
          <w:rFonts w:ascii="宋体" w:hAnsi="宋体"/>
          <w:iCs/>
        </w:rPr>
        <w:t xml:space="preserve">中型企业  </w:t>
      </w:r>
      <w:r>
        <w:rPr>
          <w:rFonts w:ascii="宋体" w:hAnsi="宋体"/>
          <w:iCs/>
        </w:rPr>
        <w:sym w:font="Wingdings" w:char="00A8"/>
      </w:r>
      <w:r>
        <w:rPr>
          <w:rFonts w:ascii="宋体" w:hAnsi="宋体"/>
          <w:iCs/>
        </w:rPr>
        <w:t xml:space="preserve">小微型企业  </w:t>
      </w:r>
    </w:p>
    <w:p w14:paraId="2655244E">
      <w:pPr>
        <w:adjustRightInd w:val="0"/>
        <w:snapToGrid w:val="0"/>
        <w:spacing w:line="400" w:lineRule="exact"/>
        <w:ind w:firstLine="840" w:firstLineChars="400"/>
        <w:rPr>
          <w:rFonts w:eastAsia="华文楷体"/>
        </w:rPr>
      </w:pPr>
      <w:r>
        <w:rPr>
          <w:rFonts w:ascii="宋体" w:hAnsi="宋体"/>
          <w:iCs/>
        </w:rPr>
        <w:t xml:space="preserve"> </w:t>
      </w:r>
      <w:r>
        <w:rPr>
          <w:rFonts w:ascii="宋体" w:hAnsi="宋体"/>
          <w:iCs/>
        </w:rPr>
        <w:sym w:font="Wingdings" w:char="00A8"/>
      </w:r>
      <w:r>
        <w:rPr>
          <w:rFonts w:ascii="宋体" w:hAnsi="宋体"/>
          <w:iCs/>
        </w:rPr>
        <w:t xml:space="preserve">残疾人福利性单位 </w:t>
      </w:r>
      <w:r>
        <w:rPr>
          <w:rFonts w:ascii="宋体" w:hAnsi="宋体"/>
          <w:iCs/>
        </w:rPr>
        <w:sym w:font="Wingdings" w:char="00A8"/>
      </w:r>
      <w:r>
        <w:rPr>
          <w:rFonts w:ascii="宋体" w:hAnsi="宋体"/>
          <w:iCs/>
        </w:rPr>
        <w:t xml:space="preserve">监狱企业 </w:t>
      </w:r>
      <w:r>
        <w:rPr>
          <w:rFonts w:ascii="宋体" w:hAnsi="宋体"/>
          <w:iCs/>
        </w:rPr>
        <w:sym w:font="Wingdings" w:char="00A8"/>
      </w:r>
      <w:r>
        <w:rPr>
          <w:rFonts w:ascii="宋体" w:hAnsi="宋体"/>
          <w:iCs/>
        </w:rPr>
        <w:t>其他</w:t>
      </w:r>
    </w:p>
    <w:p w14:paraId="2B5E7F02">
      <w:pPr>
        <w:numPr>
          <w:ilvl w:val="255"/>
          <w:numId w:val="0"/>
        </w:numPr>
        <w:adjustRightInd w:val="0"/>
        <w:snapToGrid w:val="0"/>
        <w:spacing w:line="400" w:lineRule="exact"/>
        <w:rPr>
          <w:rFonts w:ascii="宋体" w:hAnsi="宋体" w:cs="宋体"/>
          <w:iCs/>
        </w:rPr>
      </w:pPr>
      <w:r>
        <w:rPr>
          <w:rFonts w:ascii="宋体" w:hAnsi="宋体"/>
        </w:rPr>
        <w:t xml:space="preserve">    </w:t>
      </w:r>
      <w:r>
        <w:rPr>
          <w:rFonts w:ascii="宋体" w:hAnsi="宋体" w:cs="宋体"/>
        </w:rPr>
        <w:t>（</w:t>
      </w:r>
      <w:r>
        <w:rPr>
          <w:rFonts w:ascii="宋体" w:hAnsi="宋体" w:cs="宋体"/>
          <w:lang w:val="en"/>
        </w:rPr>
        <w:t>8</w:t>
      </w:r>
      <w:r>
        <w:rPr>
          <w:rFonts w:ascii="宋体" w:hAnsi="宋体" w:cs="宋体"/>
        </w:rPr>
        <w:t>）中标（成交）供应商是否为外商投资企业：</w:t>
      </w:r>
      <w:r>
        <w:rPr>
          <w:rFonts w:ascii="宋体" w:hAnsi="宋体" w:cs="宋体"/>
          <w:iCs/>
        </w:rPr>
        <w:sym w:font="Wingdings" w:char="00A8"/>
      </w:r>
      <w:r>
        <w:rPr>
          <w:rFonts w:ascii="宋体" w:hAnsi="宋体" w:cs="宋体"/>
          <w:iCs/>
        </w:rPr>
        <w:t xml:space="preserve">是       </w:t>
      </w:r>
      <w:r>
        <w:rPr>
          <w:rFonts w:ascii="宋体" w:hAnsi="宋体" w:cs="宋体"/>
          <w:iCs/>
        </w:rPr>
        <w:sym w:font="Wingdings" w:char="00A8"/>
      </w:r>
      <w:r>
        <w:rPr>
          <w:rFonts w:ascii="宋体" w:hAnsi="宋体" w:cs="宋体"/>
          <w:iCs/>
        </w:rPr>
        <w:t>否</w:t>
      </w:r>
    </w:p>
    <w:p w14:paraId="633B2BD1">
      <w:pPr>
        <w:pStyle w:val="100"/>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00CE4B0">
      <w:pPr>
        <w:numPr>
          <w:ilvl w:val="255"/>
          <w:numId w:val="0"/>
        </w:numPr>
        <w:adjustRightInd w:val="0"/>
        <w:snapToGrid w:val="0"/>
        <w:spacing w:line="400" w:lineRule="exact"/>
        <w:ind w:firstLine="420" w:firstLineChars="200"/>
        <w:rPr>
          <w:rFonts w:ascii="宋体" w:hAnsi="宋体" w:cs="宋体"/>
        </w:rPr>
      </w:pPr>
      <w:r>
        <w:rPr>
          <w:rFonts w:ascii="宋体" w:hAnsi="宋体" w:cs="宋体"/>
        </w:rPr>
        <w:t>（</w:t>
      </w:r>
      <w:r>
        <w:rPr>
          <w:rFonts w:ascii="宋体" w:hAnsi="宋体" w:cs="宋体"/>
          <w:lang w:val="en"/>
        </w:rPr>
        <w:t>9</w:t>
      </w:r>
      <w:r>
        <w:rPr>
          <w:rFonts w:ascii="宋体" w:hAnsi="宋体" w:cs="宋体"/>
        </w:rPr>
        <w:t>）是否涉及进口产品：</w:t>
      </w:r>
    </w:p>
    <w:p w14:paraId="39AE2621">
      <w:pPr>
        <w:numPr>
          <w:ilvl w:val="255"/>
          <w:numId w:val="0"/>
        </w:numPr>
        <w:adjustRightInd w:val="0"/>
        <w:snapToGrid w:val="0"/>
        <w:spacing w:line="400" w:lineRule="exact"/>
        <w:ind w:firstLine="840" w:firstLineChars="400"/>
        <w:rPr>
          <w:rFonts w:ascii="宋体" w:hAnsi="宋体" w:cs="宋体"/>
          <w:u w:val="single"/>
        </w:rPr>
      </w:pPr>
      <w:r>
        <w:rPr>
          <w:rFonts w:ascii="宋体" w:hAnsi="宋体" w:cs="宋体"/>
        </w:rPr>
        <w:t xml:space="preserve"> </w:t>
      </w:r>
      <w:r>
        <w:rPr>
          <w:rFonts w:ascii="宋体" w:hAnsi="宋体" w:cs="宋体"/>
        </w:rPr>
        <w:sym w:font="Wingdings" w:char="00A8"/>
      </w:r>
      <w:r>
        <w:rPr>
          <w:rFonts w:ascii="宋体" w:hAnsi="宋体" w:cs="宋体"/>
        </w:rPr>
        <w:t>是，《政府采购品目分类目录》底级品目名称：</w:t>
      </w:r>
      <w:r>
        <w:rPr>
          <w:rFonts w:ascii="宋体" w:hAnsi="宋体" w:cs="宋体"/>
          <w:u w:val="single"/>
        </w:rPr>
        <w:t xml:space="preserve">         </w:t>
      </w:r>
      <w:r>
        <w:rPr>
          <w:rFonts w:ascii="宋体" w:hAnsi="宋体" w:cs="宋体"/>
        </w:rPr>
        <w:t xml:space="preserve"> 金额：</w:t>
      </w:r>
      <w:r>
        <w:rPr>
          <w:rFonts w:ascii="宋体" w:hAnsi="宋体" w:cs="宋体"/>
          <w:u w:val="single"/>
        </w:rPr>
        <w:t xml:space="preserve">        </w:t>
      </w:r>
    </w:p>
    <w:p w14:paraId="68F992EF">
      <w:pPr>
        <w:numPr>
          <w:ilvl w:val="255"/>
          <w:numId w:val="0"/>
        </w:numPr>
        <w:adjustRightInd w:val="0"/>
        <w:snapToGrid w:val="0"/>
        <w:spacing w:line="400" w:lineRule="exact"/>
        <w:ind w:firstLine="840" w:firstLineChars="400"/>
        <w:rPr>
          <w:rFonts w:ascii="宋体" w:hAnsi="宋体"/>
        </w:rPr>
      </w:pPr>
      <w:r>
        <w:rPr>
          <w:rFonts w:ascii="宋体" w:hAnsi="宋体" w:cs="宋体"/>
        </w:rPr>
        <w:t xml:space="preserve">        国别：</w:t>
      </w:r>
      <w:r>
        <w:rPr>
          <w:rFonts w:ascii="宋体" w:hAnsi="宋体" w:cs="宋体"/>
          <w:u w:val="single"/>
        </w:rPr>
        <w:t xml:space="preserve">        </w:t>
      </w:r>
      <w:r>
        <w:rPr>
          <w:rFonts w:ascii="宋体" w:hAnsi="宋体" w:cs="宋体"/>
        </w:rPr>
        <w:t xml:space="preserve"> 品牌：</w:t>
      </w:r>
      <w:r>
        <w:rPr>
          <w:rFonts w:ascii="宋体" w:hAnsi="宋体" w:cs="宋体"/>
          <w:u w:val="single"/>
        </w:rPr>
        <w:t xml:space="preserve">        </w:t>
      </w:r>
      <w:r>
        <w:rPr>
          <w:rFonts w:ascii="宋体" w:hAnsi="宋体" w:cs="宋体"/>
        </w:rPr>
        <w:t xml:space="preserve"> 规格型号：</w:t>
      </w:r>
      <w:r>
        <w:rPr>
          <w:rFonts w:ascii="宋体" w:hAnsi="宋体" w:cs="宋体"/>
          <w:u w:val="single"/>
        </w:rPr>
        <w:t xml:space="preserve">        </w:t>
      </w:r>
      <w:r>
        <w:rPr>
          <w:rFonts w:ascii="宋体" w:hAnsi="宋体"/>
        </w:rPr>
        <w:t xml:space="preserve">      </w:t>
      </w:r>
    </w:p>
    <w:p w14:paraId="4986B796">
      <w:pPr>
        <w:adjustRightInd w:val="0"/>
        <w:snapToGrid w:val="0"/>
        <w:spacing w:line="400" w:lineRule="exact"/>
        <w:ind w:firstLine="840" w:firstLineChars="400"/>
        <w:rPr>
          <w:rFonts w:ascii="宋体" w:hAnsi="宋体"/>
        </w:rPr>
      </w:pPr>
      <w:r>
        <w:rPr>
          <w:rFonts w:ascii="宋体" w:hAnsi="宋体"/>
        </w:rPr>
        <w:t xml:space="preserve"> </w:t>
      </w:r>
      <w:r>
        <w:rPr>
          <w:rFonts w:ascii="宋体" w:hAnsi="宋体"/>
        </w:rPr>
        <w:sym w:font="Wingdings" w:char="00A8"/>
      </w:r>
      <w:r>
        <w:rPr>
          <w:rFonts w:ascii="宋体" w:hAnsi="宋体"/>
        </w:rPr>
        <w:t>否</w:t>
      </w:r>
    </w:p>
    <w:p w14:paraId="503DCA63">
      <w:pPr>
        <w:numPr>
          <w:ilvl w:val="255"/>
          <w:numId w:val="0"/>
        </w:numPr>
        <w:tabs>
          <w:tab w:val="left" w:pos="740"/>
        </w:tabs>
        <w:adjustRightInd w:val="0"/>
        <w:snapToGrid w:val="0"/>
        <w:spacing w:line="400" w:lineRule="exact"/>
        <w:rPr>
          <w:rFonts w:ascii="宋体" w:hAnsi="宋体"/>
        </w:rPr>
      </w:pPr>
      <w:r>
        <w:rPr>
          <w:rFonts w:ascii="宋体" w:hAnsi="宋体"/>
        </w:rPr>
        <w:t xml:space="preserve">    （1</w:t>
      </w:r>
      <w:r>
        <w:rPr>
          <w:rFonts w:ascii="宋体" w:hAnsi="宋体"/>
          <w:lang w:val="en"/>
        </w:rPr>
        <w:t>0</w:t>
      </w:r>
      <w:r>
        <w:rPr>
          <w:rFonts w:ascii="宋体" w:hAnsi="宋体"/>
        </w:rPr>
        <w:t>）是否涉及节能产品：</w:t>
      </w:r>
    </w:p>
    <w:p w14:paraId="6D8A0A15">
      <w:pPr>
        <w:numPr>
          <w:ilvl w:val="255"/>
          <w:numId w:val="0"/>
        </w:numPr>
        <w:tabs>
          <w:tab w:val="left" w:pos="740"/>
        </w:tabs>
        <w:adjustRightInd w:val="0"/>
        <w:snapToGrid w:val="0"/>
        <w:spacing w:line="400" w:lineRule="exact"/>
        <w:rPr>
          <w:rFonts w:ascii="宋体" w:hAnsi="宋体"/>
          <w:iCs/>
        </w:rPr>
      </w:pPr>
      <w:r>
        <w:rPr>
          <w:rFonts w:ascii="宋体" w:hAnsi="宋体"/>
        </w:rPr>
        <w:t xml:space="preserve">         </w:t>
      </w:r>
      <w:r>
        <w:rPr>
          <w:rFonts w:ascii="宋体" w:hAnsi="宋体"/>
        </w:rPr>
        <w:sym w:font="Wingdings" w:char="00A8"/>
      </w:r>
      <w:r>
        <w:rPr>
          <w:rFonts w:ascii="宋体" w:hAnsi="宋体"/>
        </w:rPr>
        <w:t>是，《节能产品政府采购品目清单》的底级品目名称：</w:t>
      </w:r>
      <w:r>
        <w:rPr>
          <w:rFonts w:ascii="宋体" w:hAnsi="宋体"/>
          <w:u w:val="single"/>
        </w:rPr>
        <w:t xml:space="preserve">         </w:t>
      </w:r>
      <w:r>
        <w:rPr>
          <w:rFonts w:ascii="宋体" w:hAnsi="宋体"/>
          <w:iCs/>
        </w:rPr>
        <w:t xml:space="preserve">     </w:t>
      </w:r>
    </w:p>
    <w:p w14:paraId="63B1CAD4">
      <w:pPr>
        <w:numPr>
          <w:ilvl w:val="255"/>
          <w:numId w:val="0"/>
        </w:numPr>
        <w:tabs>
          <w:tab w:val="left" w:pos="740"/>
        </w:tabs>
        <w:adjustRightInd w:val="0"/>
        <w:snapToGrid w:val="0"/>
        <w:spacing w:line="400" w:lineRule="exact"/>
        <w:rPr>
          <w:rFonts w:ascii="宋体" w:hAnsi="宋体"/>
          <w:iCs/>
        </w:rPr>
      </w:pPr>
      <w:r>
        <w:rPr>
          <w:rFonts w:ascii="宋体" w:hAnsi="宋体"/>
          <w:iCs/>
        </w:rPr>
        <w:t xml:space="preserve">                </w:t>
      </w:r>
      <w:r>
        <w:rPr>
          <w:rFonts w:ascii="宋体" w:hAnsi="宋体"/>
          <w:iCs/>
        </w:rPr>
        <w:sym w:font="Wingdings" w:char="00A8"/>
      </w:r>
      <w:r>
        <w:rPr>
          <w:rFonts w:ascii="宋体" w:hAnsi="宋体"/>
          <w:iCs/>
        </w:rPr>
        <w:t xml:space="preserve">强制采购       </w:t>
      </w:r>
      <w:r>
        <w:rPr>
          <w:rFonts w:ascii="宋体" w:hAnsi="宋体"/>
          <w:iCs/>
        </w:rPr>
        <w:sym w:font="Wingdings" w:char="00A8"/>
      </w:r>
      <w:r>
        <w:rPr>
          <w:rFonts w:ascii="宋体" w:hAnsi="宋体"/>
          <w:iCs/>
        </w:rPr>
        <w:t xml:space="preserve">优先采购    </w:t>
      </w:r>
    </w:p>
    <w:p w14:paraId="36BF02F4">
      <w:pPr>
        <w:numPr>
          <w:ilvl w:val="255"/>
          <w:numId w:val="0"/>
        </w:numPr>
        <w:tabs>
          <w:tab w:val="left" w:pos="740"/>
        </w:tabs>
        <w:adjustRightInd w:val="0"/>
        <w:snapToGrid w:val="0"/>
        <w:spacing w:line="400" w:lineRule="exact"/>
        <w:rPr>
          <w:rFonts w:ascii="宋体" w:hAnsi="宋体"/>
        </w:rPr>
      </w:pPr>
      <w:r>
        <w:rPr>
          <w:rFonts w:ascii="宋体" w:hAnsi="宋体"/>
          <w:iCs/>
        </w:rPr>
        <w:t xml:space="preserve">         </w:t>
      </w:r>
      <w:r>
        <w:rPr>
          <w:rFonts w:ascii="宋体" w:hAnsi="宋体"/>
        </w:rPr>
        <w:sym w:font="Wingdings" w:char="00A8"/>
      </w:r>
      <w:r>
        <w:rPr>
          <w:rFonts w:ascii="宋体" w:hAnsi="宋体"/>
        </w:rPr>
        <w:t>否</w:t>
      </w:r>
    </w:p>
    <w:p w14:paraId="58E11F9C">
      <w:pPr>
        <w:numPr>
          <w:ilvl w:val="255"/>
          <w:numId w:val="0"/>
        </w:numPr>
        <w:tabs>
          <w:tab w:val="left" w:pos="740"/>
        </w:tabs>
        <w:adjustRightInd w:val="0"/>
        <w:snapToGrid w:val="0"/>
        <w:spacing w:line="400" w:lineRule="exact"/>
        <w:rPr>
          <w:rFonts w:ascii="宋体" w:hAnsi="宋体"/>
        </w:rPr>
      </w:pPr>
      <w:r>
        <w:rPr>
          <w:rFonts w:ascii="宋体" w:hAnsi="宋体"/>
        </w:rPr>
        <w:t xml:space="preserve">          是否涉及环境标志产品：</w:t>
      </w:r>
    </w:p>
    <w:p w14:paraId="4F867CC3">
      <w:pPr>
        <w:numPr>
          <w:ilvl w:val="255"/>
          <w:numId w:val="0"/>
        </w:numPr>
        <w:tabs>
          <w:tab w:val="left" w:pos="740"/>
        </w:tabs>
        <w:adjustRightInd w:val="0"/>
        <w:snapToGrid w:val="0"/>
        <w:spacing w:line="400" w:lineRule="exact"/>
        <w:rPr>
          <w:rFonts w:ascii="宋体" w:hAnsi="宋体"/>
        </w:rPr>
      </w:pPr>
      <w:r>
        <w:rPr>
          <w:rFonts w:ascii="宋体" w:hAnsi="宋体"/>
        </w:rPr>
        <w:t xml:space="preserve">         </w:t>
      </w:r>
      <w:r>
        <w:rPr>
          <w:rFonts w:ascii="宋体" w:hAnsi="宋体"/>
        </w:rPr>
        <w:sym w:font="Wingdings" w:char="00A8"/>
      </w:r>
      <w:r>
        <w:rPr>
          <w:rFonts w:ascii="宋体" w:hAnsi="宋体"/>
        </w:rPr>
        <w:t>是，《环境标志产品政府采购品目清单》的底级品目名称：</w:t>
      </w:r>
      <w:r>
        <w:rPr>
          <w:rFonts w:ascii="宋体" w:hAnsi="宋体"/>
          <w:u w:val="single"/>
        </w:rPr>
        <w:t xml:space="preserve">         </w:t>
      </w:r>
      <w:r>
        <w:rPr>
          <w:rFonts w:ascii="宋体" w:hAnsi="宋体"/>
          <w:iCs/>
        </w:rPr>
        <w:t xml:space="preserve"> </w:t>
      </w:r>
    </w:p>
    <w:p w14:paraId="756D1D8D">
      <w:pPr>
        <w:numPr>
          <w:ilvl w:val="255"/>
          <w:numId w:val="0"/>
        </w:numPr>
        <w:tabs>
          <w:tab w:val="left" w:pos="740"/>
        </w:tabs>
        <w:adjustRightInd w:val="0"/>
        <w:snapToGrid w:val="0"/>
        <w:spacing w:line="400" w:lineRule="exact"/>
        <w:rPr>
          <w:rFonts w:ascii="宋体" w:hAnsi="宋体"/>
          <w:iCs/>
        </w:rPr>
      </w:pPr>
      <w:r>
        <w:rPr>
          <w:rFonts w:ascii="宋体" w:hAnsi="宋体"/>
          <w:iCs/>
        </w:rPr>
        <w:t xml:space="preserve">                </w:t>
      </w:r>
      <w:r>
        <w:rPr>
          <w:rFonts w:ascii="宋体" w:hAnsi="宋体"/>
          <w:iCs/>
        </w:rPr>
        <w:sym w:font="Wingdings" w:char="00A8"/>
      </w:r>
      <w:r>
        <w:rPr>
          <w:rFonts w:ascii="宋体" w:hAnsi="宋体"/>
          <w:iCs/>
        </w:rPr>
        <w:t xml:space="preserve">强制采购       </w:t>
      </w:r>
      <w:r>
        <w:rPr>
          <w:rFonts w:ascii="宋体" w:hAnsi="宋体"/>
          <w:iCs/>
        </w:rPr>
        <w:sym w:font="Wingdings" w:char="00A8"/>
      </w:r>
      <w:r>
        <w:rPr>
          <w:rFonts w:ascii="宋体" w:hAnsi="宋体"/>
          <w:iCs/>
        </w:rPr>
        <w:t xml:space="preserve">优先采购    </w:t>
      </w:r>
    </w:p>
    <w:p w14:paraId="7613ACD2">
      <w:pPr>
        <w:numPr>
          <w:ilvl w:val="255"/>
          <w:numId w:val="0"/>
        </w:numPr>
        <w:tabs>
          <w:tab w:val="left" w:pos="740"/>
        </w:tabs>
        <w:adjustRightInd w:val="0"/>
        <w:snapToGrid w:val="0"/>
        <w:spacing w:line="400" w:lineRule="exact"/>
        <w:rPr>
          <w:rFonts w:ascii="宋体" w:hAnsi="宋体"/>
        </w:rPr>
      </w:pPr>
      <w:r>
        <w:rPr>
          <w:rFonts w:ascii="宋体" w:hAnsi="宋体"/>
          <w:iCs/>
        </w:rPr>
        <w:t xml:space="preserve">         </w:t>
      </w:r>
      <w:r>
        <w:rPr>
          <w:rFonts w:ascii="宋体" w:hAnsi="宋体"/>
        </w:rPr>
        <w:sym w:font="Wingdings" w:char="00A8"/>
      </w:r>
      <w:r>
        <w:rPr>
          <w:rFonts w:ascii="宋体" w:hAnsi="宋体"/>
        </w:rPr>
        <w:t>否</w:t>
      </w:r>
    </w:p>
    <w:p w14:paraId="6BD9E534">
      <w:pPr>
        <w:pStyle w:val="100"/>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213AF1E8">
      <w:pPr>
        <w:pStyle w:val="100"/>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6D5F080D">
      <w:pPr>
        <w:numPr>
          <w:ilvl w:val="255"/>
          <w:numId w:val="0"/>
        </w:numPr>
        <w:tabs>
          <w:tab w:val="left" w:pos="740"/>
        </w:tabs>
        <w:adjustRightInd w:val="0"/>
        <w:snapToGrid w:val="0"/>
        <w:spacing w:line="400" w:lineRule="exact"/>
        <w:rPr>
          <w:rFonts w:ascii="宋体" w:hAnsi="宋体"/>
          <w:iCs/>
        </w:rPr>
      </w:pPr>
      <w:r>
        <w:rPr>
          <w:rFonts w:ascii="宋体" w:hAnsi="宋体"/>
          <w:iCs/>
        </w:rPr>
        <w:t xml:space="preserve">                </w:t>
      </w:r>
      <w:r>
        <w:rPr>
          <w:rFonts w:ascii="宋体" w:hAnsi="宋体"/>
          <w:iCs/>
        </w:rPr>
        <w:sym w:font="Wingdings" w:char="00A8"/>
      </w:r>
      <w:r>
        <w:rPr>
          <w:rFonts w:ascii="宋体" w:hAnsi="宋体"/>
          <w:iCs/>
        </w:rPr>
        <w:t xml:space="preserve">强制采购       </w:t>
      </w:r>
      <w:r>
        <w:rPr>
          <w:rFonts w:ascii="宋体" w:hAnsi="宋体"/>
          <w:iCs/>
        </w:rPr>
        <w:sym w:font="Wingdings" w:char="00A8"/>
      </w:r>
      <w:r>
        <w:rPr>
          <w:rFonts w:ascii="宋体" w:hAnsi="宋体"/>
          <w:iCs/>
        </w:rPr>
        <w:t xml:space="preserve">优先采购    </w:t>
      </w:r>
    </w:p>
    <w:p w14:paraId="71C4D275">
      <w:pPr>
        <w:pStyle w:val="100"/>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26CAB689">
      <w:pPr>
        <w:numPr>
          <w:ilvl w:val="255"/>
          <w:numId w:val="0"/>
        </w:numPr>
        <w:adjustRightInd w:val="0"/>
        <w:snapToGrid w:val="0"/>
        <w:spacing w:line="400" w:lineRule="exact"/>
        <w:rPr>
          <w:rFonts w:ascii="宋体" w:hAnsi="宋体"/>
        </w:rPr>
      </w:pPr>
      <w:r>
        <w:rPr>
          <w:rFonts w:ascii="宋体" w:hAnsi="宋体"/>
        </w:rPr>
        <w:t xml:space="preserve">    （1</w:t>
      </w:r>
      <w:r>
        <w:rPr>
          <w:rFonts w:ascii="宋体" w:hAnsi="宋体"/>
          <w:lang w:val="en"/>
        </w:rPr>
        <w:t>1</w:t>
      </w:r>
      <w:r>
        <w:rPr>
          <w:rFonts w:ascii="宋体" w:hAnsi="宋体"/>
        </w:rPr>
        <w:t>）涉及商品包装和快递包装的，是否参考《商品包装政府采购需求标准（试行）》、《快递包装政府采购需求标准（试行）》明确产品及相关快递服务的具体包装要求：</w:t>
      </w:r>
    </w:p>
    <w:p w14:paraId="49C96C20">
      <w:pPr>
        <w:numPr>
          <w:ilvl w:val="255"/>
          <w:numId w:val="0"/>
        </w:numPr>
        <w:adjustRightInd w:val="0"/>
        <w:snapToGrid w:val="0"/>
        <w:spacing w:line="400" w:lineRule="exact"/>
        <w:ind w:firstLine="840" w:firstLineChars="400"/>
        <w:rPr>
          <w:rFonts w:ascii="宋体" w:hAnsi="宋体"/>
        </w:rPr>
      </w:pPr>
      <w:r>
        <w:rPr>
          <w:rFonts w:ascii="宋体" w:hAnsi="宋体"/>
        </w:rPr>
        <w:sym w:font="Wingdings" w:char="00A8"/>
      </w:r>
      <w:r>
        <w:rPr>
          <w:rFonts w:ascii="宋体" w:hAnsi="宋体"/>
        </w:rPr>
        <w:t xml:space="preserve">是       </w:t>
      </w:r>
      <w:r>
        <w:rPr>
          <w:rFonts w:ascii="宋体" w:hAnsi="宋体"/>
        </w:rPr>
        <w:sym w:font="Wingdings" w:char="00A8"/>
      </w:r>
      <w:r>
        <w:rPr>
          <w:rFonts w:ascii="宋体" w:hAnsi="宋体"/>
        </w:rPr>
        <w:t xml:space="preserve">否      </w:t>
      </w:r>
      <w:r>
        <w:rPr>
          <w:rFonts w:ascii="宋体" w:hAnsi="宋体"/>
        </w:rPr>
        <w:sym w:font="Wingdings" w:char="00A8"/>
      </w:r>
      <w:r>
        <w:rPr>
          <w:rFonts w:ascii="宋体" w:hAnsi="宋体"/>
        </w:rPr>
        <w:t>不涉及</w:t>
      </w:r>
    </w:p>
    <w:p w14:paraId="4F45F6F8">
      <w:pPr>
        <w:widowControl w:val="0"/>
        <w:numPr>
          <w:ilvl w:val="0"/>
          <w:numId w:val="10"/>
        </w:numPr>
        <w:adjustRightInd w:val="0"/>
        <w:snapToGrid w:val="0"/>
        <w:spacing w:line="400" w:lineRule="exact"/>
        <w:ind w:firstLine="420" w:firstLineChars="200"/>
        <w:rPr>
          <w:rFonts w:ascii="宋体" w:hAnsi="宋体"/>
          <w:b/>
        </w:rPr>
      </w:pPr>
      <w:r>
        <w:rPr>
          <w:rFonts w:ascii="宋体" w:hAnsi="宋体"/>
          <w:b/>
        </w:rPr>
        <w:t>合同金额</w:t>
      </w:r>
    </w:p>
    <w:p w14:paraId="4A205EC9">
      <w:pPr>
        <w:adjustRightInd w:val="0"/>
        <w:snapToGrid w:val="0"/>
        <w:spacing w:line="400" w:lineRule="exact"/>
        <w:ind w:firstLine="420" w:firstLineChars="200"/>
        <w:rPr>
          <w:rFonts w:ascii="宋体" w:hAnsi="宋体"/>
        </w:rPr>
      </w:pPr>
      <w:r>
        <w:rPr>
          <w:rFonts w:ascii="宋体" w:hAnsi="宋体"/>
        </w:rPr>
        <w:t>（1）合同金额小写：</w:t>
      </w:r>
      <w:r>
        <w:rPr>
          <w:rFonts w:ascii="宋体" w:hAnsi="宋体"/>
          <w:u w:val="single"/>
        </w:rPr>
        <w:t xml:space="preserve">                           </w:t>
      </w:r>
    </w:p>
    <w:p w14:paraId="56E124ED">
      <w:pPr>
        <w:adjustRightInd w:val="0"/>
        <w:snapToGrid w:val="0"/>
        <w:spacing w:line="400" w:lineRule="exact"/>
        <w:rPr>
          <w:rFonts w:ascii="宋体" w:hAnsi="宋体"/>
          <w:u w:val="single"/>
        </w:rPr>
      </w:pPr>
      <w:r>
        <w:rPr>
          <w:rFonts w:ascii="宋体" w:hAnsi="宋体"/>
        </w:rPr>
        <w:t xml:space="preserve">                 大写：</w:t>
      </w:r>
      <w:r>
        <w:rPr>
          <w:rFonts w:ascii="宋体" w:hAnsi="宋体"/>
          <w:u w:val="single"/>
        </w:rPr>
        <w:t xml:space="preserve">                           </w:t>
      </w:r>
    </w:p>
    <w:p w14:paraId="1652851F">
      <w:pPr>
        <w:adjustRightInd w:val="0"/>
        <w:snapToGrid w:val="0"/>
        <w:spacing w:line="400" w:lineRule="exact"/>
        <w:rPr>
          <w:rFonts w:ascii="宋体" w:hAnsi="宋体"/>
        </w:rPr>
      </w:pPr>
      <w:r>
        <w:rPr>
          <w:rFonts w:ascii="宋体" w:hAnsi="宋体"/>
        </w:rPr>
        <w:t xml:space="preserve">         分包金额（如有）小写：</w:t>
      </w:r>
      <w:r>
        <w:rPr>
          <w:rFonts w:ascii="宋体" w:hAnsi="宋体"/>
          <w:u w:val="single"/>
        </w:rPr>
        <w:t xml:space="preserve">                   </w:t>
      </w:r>
    </w:p>
    <w:p w14:paraId="76C9B4C0">
      <w:pPr>
        <w:adjustRightInd w:val="0"/>
        <w:snapToGrid w:val="0"/>
        <w:spacing w:line="400" w:lineRule="exact"/>
        <w:rPr>
          <w:rFonts w:ascii="宋体" w:hAnsi="宋体"/>
          <w:u w:val="single"/>
        </w:rPr>
      </w:pPr>
      <w:r>
        <w:rPr>
          <w:rFonts w:ascii="宋体" w:hAnsi="宋体"/>
        </w:rPr>
        <w:t xml:space="preserve">                     大写：</w:t>
      </w:r>
      <w:r>
        <w:rPr>
          <w:rFonts w:ascii="宋体" w:hAnsi="宋体"/>
          <w:u w:val="single"/>
        </w:rPr>
        <w:t xml:space="preserve">                       </w:t>
      </w:r>
    </w:p>
    <w:p w14:paraId="33281652">
      <w:pPr>
        <w:adjustRightInd w:val="0"/>
        <w:snapToGrid w:val="0"/>
        <w:spacing w:line="400" w:lineRule="exact"/>
        <w:rPr>
          <w:rFonts w:ascii="宋体" w:hAnsi="宋体"/>
        </w:rPr>
      </w:pPr>
      <w:r>
        <w:rPr>
          <w:rFonts w:ascii="宋体" w:hAnsi="宋体"/>
        </w:rPr>
        <w:t xml:space="preserve">    （注：固定单价合同应填写单价和最高限价）</w:t>
      </w:r>
    </w:p>
    <w:p w14:paraId="23ED2946">
      <w:pPr>
        <w:numPr>
          <w:ilvl w:val="255"/>
          <w:numId w:val="0"/>
        </w:numPr>
        <w:adjustRightInd w:val="0"/>
        <w:snapToGrid w:val="0"/>
        <w:spacing w:line="400" w:lineRule="exact"/>
        <w:rPr>
          <w:rFonts w:ascii="宋体" w:hAnsi="宋体"/>
        </w:rPr>
      </w:pPr>
      <w:r>
        <w:rPr>
          <w:rFonts w:ascii="宋体" w:hAnsi="宋体"/>
        </w:rPr>
        <w:t xml:space="preserve">    （2）合同定价方式（采用组合定价方式的，可以勾选多项）：</w:t>
      </w:r>
    </w:p>
    <w:p w14:paraId="5C5521F8">
      <w:pPr>
        <w:adjustRightInd w:val="0"/>
        <w:snapToGrid w:val="0"/>
        <w:spacing w:line="400" w:lineRule="exact"/>
        <w:ind w:firstLine="420" w:firstLineChars="200"/>
        <w:rPr>
          <w:rFonts w:ascii="宋体" w:hAnsi="宋体"/>
        </w:rPr>
      </w:pPr>
      <w:r>
        <w:rPr>
          <w:rFonts w:ascii="宋体" w:hAnsi="宋体"/>
          <w:iCs/>
        </w:rPr>
        <w:t xml:space="preserve">  </w:t>
      </w:r>
      <w:r>
        <w:rPr>
          <w:rFonts w:ascii="宋体" w:hAnsi="宋体"/>
          <w:iCs/>
        </w:rPr>
        <w:sym w:font="Wingdings" w:char="00FE"/>
      </w:r>
      <w:r>
        <w:rPr>
          <w:rFonts w:ascii="宋体" w:hAnsi="宋体"/>
          <w:iCs/>
        </w:rPr>
        <w:t xml:space="preserve">固定总价 </w:t>
      </w:r>
      <w:r>
        <w:rPr>
          <w:rFonts w:ascii="宋体" w:hAnsi="宋体"/>
          <w:iCs/>
        </w:rPr>
        <w:sym w:font="Wingdings" w:char="00A8"/>
      </w:r>
      <w:r>
        <w:rPr>
          <w:rFonts w:ascii="宋体" w:hAnsi="宋体"/>
          <w:iCs/>
        </w:rPr>
        <w:t xml:space="preserve">固定单价 </w:t>
      </w:r>
      <w:r>
        <w:rPr>
          <w:rFonts w:ascii="宋体" w:hAnsi="宋体"/>
          <w:iCs/>
        </w:rPr>
        <w:sym w:font="Wingdings" w:char="00A8"/>
      </w:r>
      <w:r>
        <w:rPr>
          <w:rFonts w:ascii="宋体" w:hAnsi="宋体"/>
          <w:iCs/>
        </w:rPr>
        <w:t xml:space="preserve">固定费率 </w:t>
      </w:r>
      <w:r>
        <w:rPr>
          <w:rFonts w:ascii="宋体" w:hAnsi="宋体"/>
          <w:iCs/>
        </w:rPr>
        <w:sym w:font="Wingdings" w:char="00A8"/>
      </w:r>
      <w:r>
        <w:rPr>
          <w:rFonts w:ascii="宋体" w:hAnsi="宋体"/>
          <w:iCs/>
        </w:rPr>
        <w:t xml:space="preserve">成本补偿 </w:t>
      </w:r>
      <w:r>
        <w:rPr>
          <w:rFonts w:ascii="宋体" w:hAnsi="宋体"/>
          <w:iCs/>
        </w:rPr>
        <w:sym w:font="Wingdings" w:char="00A8"/>
      </w:r>
      <w:r>
        <w:rPr>
          <w:rFonts w:ascii="宋体" w:hAnsi="宋体"/>
          <w:iCs/>
        </w:rPr>
        <w:t xml:space="preserve">绩效激励 </w:t>
      </w:r>
      <w:r>
        <w:rPr>
          <w:rFonts w:ascii="宋体" w:hAnsi="宋体"/>
          <w:iCs/>
        </w:rPr>
        <w:sym w:font="Wingdings" w:char="00A8"/>
      </w:r>
      <w:r>
        <w:rPr>
          <w:rFonts w:ascii="宋体" w:hAnsi="宋体"/>
          <w:iCs/>
        </w:rPr>
        <w:t>其他</w:t>
      </w:r>
      <w:r>
        <w:rPr>
          <w:rFonts w:ascii="宋体" w:hAnsi="宋体"/>
          <w:u w:val="single"/>
        </w:rPr>
        <w:t xml:space="preserve">       </w:t>
      </w:r>
    </w:p>
    <w:p w14:paraId="49050222">
      <w:pPr>
        <w:pStyle w:val="197"/>
        <w:spacing w:line="400" w:lineRule="exact"/>
      </w:pPr>
      <w:r>
        <w:rPr>
          <w:rFonts w:hint="eastAsia" w:ascii="宋体" w:hAnsi="宋体"/>
        </w:rPr>
        <w:t>（3）付款方式（按项目实际勾选填写）：</w:t>
      </w:r>
    </w:p>
    <w:p w14:paraId="602FA06D">
      <w:pPr>
        <w:adjustRightInd w:val="0"/>
        <w:snapToGrid w:val="0"/>
        <w:spacing w:line="400" w:lineRule="exact"/>
        <w:ind w:firstLine="630" w:firstLineChars="300"/>
        <w:rPr>
          <w:rFonts w:ascii="宋体" w:hAnsi="宋体"/>
          <w:u w:val="single"/>
        </w:rPr>
      </w:pPr>
      <w:r>
        <w:rPr>
          <w:rFonts w:ascii="宋体" w:hAnsi="宋体"/>
        </w:rPr>
        <w:sym w:font="Wingdings" w:char="00A8"/>
      </w:r>
      <w:r>
        <w:rPr>
          <w:rFonts w:ascii="宋体" w:hAnsi="宋体"/>
        </w:rPr>
        <w:t>全额付款：</w:t>
      </w:r>
      <w:r>
        <w:rPr>
          <w:rFonts w:ascii="宋体" w:hAnsi="宋体"/>
          <w:u w:val="single"/>
        </w:rPr>
        <w:t xml:space="preserve">     （应明确一次性支付合同款项的条件）                    </w:t>
      </w:r>
    </w:p>
    <w:p w14:paraId="4602C04C">
      <w:pPr>
        <w:snapToGrid w:val="0"/>
        <w:spacing w:line="400" w:lineRule="exact"/>
        <w:ind w:firstLine="630" w:firstLineChars="300"/>
        <w:rPr>
          <w:rFonts w:ascii="宋体" w:hAnsi="宋体"/>
          <w:u w:val="single"/>
        </w:rPr>
      </w:pPr>
      <w:r>
        <w:rPr>
          <w:rFonts w:ascii="宋体" w:hAnsi="宋体"/>
        </w:rPr>
        <w:sym w:font="Wingdings" w:char="00FE"/>
      </w:r>
      <w:r>
        <w:rPr>
          <w:rFonts w:ascii="宋体" w:hAnsi="宋体"/>
        </w:rPr>
        <w:t>分期付款：</w:t>
      </w:r>
      <w:r>
        <w:rPr>
          <w:rFonts w:ascii="宋体" w:hAnsi="宋体"/>
          <w:u w:val="single"/>
        </w:rPr>
        <w:t xml:space="preserve">  1.</w:t>
      </w:r>
      <w:r>
        <w:rPr>
          <w:rFonts w:ascii="宋体" w:hAnsi="宋体" w:eastAsia="宋体" w:cs="宋体"/>
          <w:u w:val="single"/>
        </w:rPr>
        <w:t>在合同签订之日起</w:t>
      </w:r>
      <w:r>
        <w:rPr>
          <w:rFonts w:ascii="宋体" w:hAnsi="宋体"/>
          <w:u w:val="single"/>
        </w:rPr>
        <w:t>30</w:t>
      </w:r>
      <w:r>
        <w:rPr>
          <w:rFonts w:ascii="宋体" w:hAnsi="宋体" w:eastAsia="宋体" w:cs="宋体"/>
          <w:u w:val="single"/>
        </w:rPr>
        <w:t>个日内，采购人向成交人支付合同总价的</w:t>
      </w:r>
      <w:r>
        <w:rPr>
          <w:rFonts w:ascii="宋体" w:hAnsi="宋体"/>
          <w:u w:val="single"/>
        </w:rPr>
        <w:t>30%</w:t>
      </w:r>
      <w:r>
        <w:rPr>
          <w:rFonts w:ascii="宋体" w:hAnsi="宋体" w:eastAsia="宋体" w:cs="宋体"/>
          <w:u w:val="single"/>
        </w:rPr>
        <w:t>作为预付款；</w:t>
      </w:r>
    </w:p>
    <w:p w14:paraId="1E2A59C7">
      <w:pPr>
        <w:snapToGrid w:val="0"/>
        <w:spacing w:line="400" w:lineRule="exact"/>
        <w:ind w:firstLine="630" w:firstLineChars="300"/>
      </w:pPr>
      <w:r>
        <w:rPr>
          <w:rFonts w:ascii="宋体" w:hAnsi="宋体"/>
          <w:u w:val="single"/>
        </w:rPr>
        <w:t>2.</w:t>
      </w:r>
      <w:r>
        <w:rPr>
          <w:rFonts w:ascii="宋体" w:hAnsi="宋体" w:eastAsia="宋体" w:cs="宋体"/>
          <w:u w:val="single"/>
        </w:rPr>
        <w:t>电梯安装调试完成，通过特种设备安全监督管理部门验收合格并取得检验报告和使用合格证后</w:t>
      </w:r>
      <w:r>
        <w:rPr>
          <w:rFonts w:ascii="宋体" w:hAnsi="宋体"/>
          <w:u w:val="single"/>
        </w:rPr>
        <w:t>30</w:t>
      </w:r>
      <w:r>
        <w:rPr>
          <w:rFonts w:ascii="宋体" w:hAnsi="宋体" w:eastAsia="宋体" w:cs="宋体"/>
          <w:u w:val="single"/>
        </w:rPr>
        <w:t>日内，采购人向成交人支付至合同总价的</w:t>
      </w:r>
      <w:r>
        <w:rPr>
          <w:rFonts w:ascii="宋体" w:hAnsi="宋体"/>
          <w:u w:val="single"/>
        </w:rPr>
        <w:t>100%</w:t>
      </w:r>
      <w:r>
        <w:rPr>
          <w:rFonts w:ascii="宋体" w:hAnsi="宋体" w:eastAsia="宋体" w:cs="宋体"/>
          <w:u w:val="single"/>
        </w:rPr>
        <w:t>。</w:t>
      </w:r>
      <w:r>
        <w:rPr>
          <w:rFonts w:ascii="宋体" w:hAnsi="宋体"/>
          <w:u w:val="single"/>
        </w:rPr>
        <w:t xml:space="preserve">（应明确分期支付合同款项的各期比例和支付条件，各期支付条件应与分期履约验收情况挂钩） </w:t>
      </w:r>
      <w:r>
        <w:rPr>
          <w:rFonts w:ascii="宋体" w:hAnsi="宋体"/>
        </w:rPr>
        <w:t>，其中涉及预付款的：</w:t>
      </w:r>
      <w:r>
        <w:rPr>
          <w:rFonts w:ascii="宋体" w:hAnsi="宋体"/>
          <w:u w:val="single"/>
        </w:rPr>
        <w:t xml:space="preserve"> （应明确预付款的支付比例和支付条件） </w:t>
      </w:r>
    </w:p>
    <w:p w14:paraId="59C2FB83">
      <w:pPr>
        <w:adjustRightInd w:val="0"/>
        <w:snapToGrid w:val="0"/>
        <w:spacing w:line="400" w:lineRule="exact"/>
        <w:ind w:firstLine="630" w:firstLineChars="300"/>
        <w:rPr>
          <w:rFonts w:ascii="宋体" w:hAnsi="宋体"/>
          <w:u w:val="single"/>
        </w:rPr>
      </w:pPr>
      <w:r>
        <w:rPr>
          <w:rFonts w:ascii="宋体" w:hAnsi="宋体"/>
        </w:rPr>
        <w:sym w:font="Wingdings" w:char="00A8"/>
      </w:r>
      <w:r>
        <w:rPr>
          <w:rFonts w:ascii="宋体" w:hAnsi="宋体"/>
        </w:rPr>
        <w:t>成本补偿：</w:t>
      </w:r>
      <w:r>
        <w:rPr>
          <w:rFonts w:ascii="宋体" w:hAnsi="宋体"/>
          <w:u w:val="single"/>
        </w:rPr>
        <w:t xml:space="preserve">      （应明确按照成本补偿方式的支付方式和支付条件）   </w:t>
      </w:r>
    </w:p>
    <w:p w14:paraId="2837B0BA">
      <w:pPr>
        <w:adjustRightInd w:val="0"/>
        <w:snapToGrid w:val="0"/>
        <w:spacing w:line="400" w:lineRule="exact"/>
        <w:ind w:firstLine="630" w:firstLineChars="300"/>
        <w:rPr>
          <w:rFonts w:ascii="宋体" w:hAnsi="宋体"/>
        </w:rPr>
      </w:pPr>
      <w:r>
        <w:rPr>
          <w:rFonts w:ascii="宋体" w:hAnsi="宋体"/>
        </w:rPr>
        <w:sym w:font="Wingdings" w:char="00A8"/>
      </w:r>
      <w:r>
        <w:rPr>
          <w:rFonts w:ascii="宋体" w:hAnsi="宋体"/>
        </w:rPr>
        <w:t>绩效激励：</w:t>
      </w:r>
      <w:r>
        <w:rPr>
          <w:rFonts w:ascii="宋体" w:hAnsi="宋体"/>
          <w:u w:val="single"/>
        </w:rPr>
        <w:t xml:space="preserve">      （应明确按照绩效激励方式的支付方式和支付条件）   </w:t>
      </w:r>
    </w:p>
    <w:p w14:paraId="7B8384C4">
      <w:pPr>
        <w:widowControl w:val="0"/>
        <w:numPr>
          <w:ilvl w:val="0"/>
          <w:numId w:val="10"/>
        </w:numPr>
        <w:adjustRightInd w:val="0"/>
        <w:snapToGrid w:val="0"/>
        <w:spacing w:line="400" w:lineRule="exact"/>
        <w:ind w:firstLine="420" w:firstLineChars="200"/>
        <w:rPr>
          <w:rFonts w:ascii="宋体" w:hAnsi="宋体"/>
          <w:b/>
          <w:u w:val="single"/>
        </w:rPr>
      </w:pPr>
      <w:r>
        <w:rPr>
          <w:rFonts w:ascii="宋体" w:hAnsi="宋体"/>
          <w:b/>
        </w:rPr>
        <w:t>合同履行</w:t>
      </w:r>
    </w:p>
    <w:p w14:paraId="7F89520E">
      <w:pPr>
        <w:adjustRightInd w:val="0"/>
        <w:snapToGrid w:val="0"/>
        <w:spacing w:line="400" w:lineRule="exact"/>
        <w:ind w:firstLine="420" w:firstLineChars="200"/>
        <w:rPr>
          <w:rFonts w:ascii="宋体" w:hAnsi="宋体" w:cs="宋体"/>
        </w:rPr>
      </w:pPr>
      <w:r>
        <w:rPr>
          <w:rFonts w:ascii="宋体" w:hAnsi="宋体" w:cs="宋体"/>
        </w:rPr>
        <w:t>（1）起始日期：</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日，完成日期：</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p>
    <w:p w14:paraId="521DD0DB">
      <w:pPr>
        <w:adjustRightInd w:val="0"/>
        <w:snapToGrid w:val="0"/>
        <w:spacing w:line="400" w:lineRule="exact"/>
        <w:ind w:firstLine="420" w:firstLineChars="200"/>
        <w:rPr>
          <w:rFonts w:ascii="宋体" w:hAnsi="宋体" w:cs="宋体"/>
          <w:u w:val="single"/>
        </w:rPr>
      </w:pPr>
      <w:r>
        <w:rPr>
          <w:rFonts w:ascii="宋体" w:hAnsi="宋体" w:cs="宋体"/>
        </w:rPr>
        <w:t>（2）履约地点</w:t>
      </w:r>
      <w:r>
        <w:rPr>
          <w:rFonts w:ascii="宋体" w:hAnsi="宋体" w:cs="宋体"/>
          <w:bCs/>
        </w:rPr>
        <w:t>：</w:t>
      </w:r>
      <w:r>
        <w:rPr>
          <w:rFonts w:ascii="宋体" w:hAnsi="宋体" w:cs="宋体"/>
          <w:u w:val="single"/>
        </w:rPr>
        <w:t xml:space="preserve">  </w:t>
      </w:r>
      <w:r>
        <w:rPr>
          <w:rFonts w:ascii="宋体" w:hAnsi="宋体" w:eastAsia="宋体" w:cs="宋体"/>
          <w:u w:val="single"/>
          <w:lang w:val="en-US" w:eastAsia="zh-CN"/>
        </w:rPr>
        <w:t>郑州信息科技职业学院（河南省郑州市金水区龙子湖北路</w:t>
      </w:r>
      <w:r>
        <w:rPr>
          <w:rFonts w:ascii="宋体" w:hAnsi="宋体" w:cs="宋体"/>
          <w:u w:val="single"/>
          <w:lang w:val="en-US" w:eastAsia="zh-CN"/>
        </w:rPr>
        <w:t>36</w:t>
      </w:r>
      <w:r>
        <w:rPr>
          <w:rFonts w:ascii="宋体" w:hAnsi="宋体" w:eastAsia="宋体" w:cs="宋体"/>
          <w:u w:val="single"/>
          <w:lang w:val="en-US" w:eastAsia="zh-CN"/>
        </w:rPr>
        <w:t>号）</w:t>
      </w:r>
      <w:r>
        <w:rPr>
          <w:rFonts w:ascii="宋体" w:hAnsi="宋体" w:cs="宋体"/>
          <w:u w:val="single"/>
        </w:rPr>
        <w:t xml:space="preserve">       </w:t>
      </w:r>
    </w:p>
    <w:p w14:paraId="5CE23F71">
      <w:pPr>
        <w:adjustRightInd w:val="0"/>
        <w:snapToGrid w:val="0"/>
        <w:spacing w:line="400" w:lineRule="exact"/>
        <w:ind w:firstLine="420" w:firstLineChars="200"/>
        <w:rPr>
          <w:rFonts w:ascii="宋体" w:hAnsi="宋体" w:cs="宋体"/>
        </w:rPr>
      </w:pPr>
      <w:r>
        <w:rPr>
          <w:rFonts w:ascii="宋体" w:hAnsi="宋体" w:cs="宋体"/>
          <w:bCs/>
        </w:rPr>
        <w:t>（3）履约担保：</w:t>
      </w:r>
      <w:r>
        <w:rPr>
          <w:rFonts w:ascii="宋体" w:hAnsi="宋体" w:cs="宋体"/>
        </w:rPr>
        <w:t>是否收取履约保证金：</w:t>
      </w:r>
      <w:r>
        <w:rPr>
          <w:rFonts w:ascii="宋体" w:hAnsi="宋体" w:cs="宋体"/>
        </w:rPr>
        <w:sym w:font="Wingdings" w:char="00FE"/>
      </w:r>
      <w:r>
        <w:rPr>
          <w:rFonts w:ascii="宋体" w:hAnsi="宋体" w:cs="宋体"/>
        </w:rPr>
        <w:t xml:space="preserve">是    </w:t>
      </w:r>
      <w:r>
        <w:rPr>
          <w:rFonts w:ascii="宋体" w:hAnsi="宋体" w:cs="宋体"/>
        </w:rPr>
        <w:sym w:font="Wingdings" w:char="00A8"/>
      </w:r>
      <w:r>
        <w:rPr>
          <w:rFonts w:ascii="宋体" w:hAnsi="宋体" w:cs="宋体"/>
        </w:rPr>
        <w:t>否</w:t>
      </w:r>
    </w:p>
    <w:p w14:paraId="6EA8C2BE">
      <w:pPr>
        <w:pStyle w:val="100"/>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5B43D40E">
      <w:pPr>
        <w:pStyle w:val="100"/>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r>
        <w:rPr>
          <w:rFonts w:ascii="宋体" w:hAnsi="宋体" w:eastAsia="宋体" w:cs="宋体"/>
          <w:bCs/>
          <w:sz w:val="21"/>
          <w:u w:val="single"/>
        </w:rPr>
        <w:t>合同金额的5%</w:t>
      </w:r>
      <w:r>
        <w:rPr>
          <w:rFonts w:hint="eastAsia" w:ascii="宋体" w:hAnsi="宋体" w:eastAsia="宋体" w:cs="宋体"/>
          <w:bCs/>
          <w:sz w:val="21"/>
          <w:u w:val="single"/>
        </w:rPr>
        <w:t xml:space="preserve">                     </w:t>
      </w:r>
    </w:p>
    <w:p w14:paraId="542AFF9E">
      <w:pPr>
        <w:snapToGrid w:val="0"/>
        <w:spacing w:line="400" w:lineRule="exact"/>
        <w:ind w:firstLine="420" w:firstLineChars="200"/>
        <w:rPr>
          <w:rFonts w:ascii="宋体" w:hAnsi="宋体" w:cs="宋体"/>
        </w:rPr>
      </w:pPr>
      <w:r>
        <w:rPr>
          <w:rFonts w:ascii="宋体" w:hAnsi="宋体" w:cs="宋体"/>
          <w:bCs/>
        </w:rPr>
        <w:t xml:space="preserve">    履约担保期限：</w:t>
      </w:r>
      <w:r>
        <w:rPr>
          <w:rFonts w:ascii="宋体" w:hAnsi="宋体" w:cs="宋体"/>
          <w:bCs/>
          <w:u w:val="single"/>
        </w:rPr>
        <w:t xml:space="preserve">  </w:t>
      </w:r>
      <w:r>
        <w:rPr>
          <w:rFonts w:ascii="宋体" w:hAnsi="宋体" w:cs="宋体"/>
          <w:bCs/>
          <w:u w:val="single"/>
          <w:lang w:val="en-US" w:eastAsia="zh-CN"/>
        </w:rPr>
        <w:t>6个月</w:t>
      </w:r>
      <w:r>
        <w:rPr>
          <w:rFonts w:ascii="宋体" w:hAnsi="宋体" w:cs="宋体"/>
          <w:bCs/>
          <w:u w:val="single"/>
        </w:rPr>
        <w:t xml:space="preserve">           </w:t>
      </w:r>
    </w:p>
    <w:p w14:paraId="109D24C5">
      <w:pPr>
        <w:adjustRightInd w:val="0"/>
        <w:snapToGrid w:val="0"/>
        <w:spacing w:line="400" w:lineRule="exact"/>
        <w:ind w:firstLine="420" w:firstLineChars="200"/>
        <w:rPr>
          <w:rFonts w:ascii="宋体" w:hAnsi="宋体" w:cs="宋体"/>
          <w:bCs/>
        </w:rPr>
      </w:pPr>
      <w:r>
        <w:rPr>
          <w:rFonts w:ascii="宋体" w:hAnsi="宋体" w:cs="宋体"/>
          <w:bCs/>
        </w:rPr>
        <w:t>（4）分期履行要求：</w:t>
      </w:r>
      <w:r>
        <w:rPr>
          <w:rFonts w:ascii="宋体" w:hAnsi="宋体" w:cs="宋体"/>
          <w:bCs/>
          <w:u w:val="single"/>
        </w:rPr>
        <w:t xml:space="preserve">                                                        </w:t>
      </w:r>
    </w:p>
    <w:p w14:paraId="77986145">
      <w:pPr>
        <w:adjustRightInd w:val="0"/>
        <w:snapToGrid w:val="0"/>
        <w:spacing w:line="400" w:lineRule="exact"/>
        <w:ind w:firstLine="420" w:firstLineChars="200"/>
        <w:rPr>
          <w:rFonts w:ascii="宋体" w:hAnsi="宋体" w:cs="宋体"/>
          <w:u w:val="single"/>
        </w:rPr>
      </w:pPr>
      <w:r>
        <w:rPr>
          <w:rFonts w:ascii="宋体" w:hAnsi="宋体" w:cs="宋体"/>
          <w:bCs/>
        </w:rPr>
        <w:t>（5）风险处置措施和替代方案：</w:t>
      </w:r>
      <w:r>
        <w:rPr>
          <w:rFonts w:ascii="宋体" w:hAnsi="宋体" w:cs="宋体"/>
          <w:color w:val="0000FF"/>
          <w:u w:val="single"/>
        </w:rPr>
        <w:t xml:space="preserve"> </w:t>
      </w:r>
      <w:r>
        <w:rPr>
          <w:rFonts w:ascii="宋体" w:hAnsi="宋体" w:cs="宋体"/>
          <w:color w:val="000000" w:themeColor="text1"/>
          <w:u w:val="single"/>
          <w14:textFill>
            <w14:solidFill>
              <w14:schemeClr w14:val="tx1"/>
            </w14:solidFill>
          </w14:textFill>
        </w:rPr>
        <w:t xml:space="preserve">              </w:t>
      </w:r>
      <w:r>
        <w:rPr>
          <w:rFonts w:ascii="宋体" w:hAnsi="宋体" w:cs="宋体"/>
          <w:u w:val="single"/>
        </w:rPr>
        <w:t xml:space="preserve">                                                </w:t>
      </w:r>
    </w:p>
    <w:p w14:paraId="2BD88DC0">
      <w:pPr>
        <w:widowControl w:val="0"/>
        <w:numPr>
          <w:ilvl w:val="0"/>
          <w:numId w:val="10"/>
        </w:numPr>
        <w:adjustRightInd w:val="0"/>
        <w:snapToGrid w:val="0"/>
        <w:spacing w:line="400" w:lineRule="exact"/>
        <w:ind w:firstLine="420" w:firstLineChars="200"/>
        <w:rPr>
          <w:rFonts w:ascii="宋体" w:hAnsi="宋体"/>
          <w:b/>
        </w:rPr>
      </w:pPr>
      <w:r>
        <w:rPr>
          <w:rFonts w:ascii="宋体" w:hAnsi="宋体"/>
          <w:b/>
        </w:rPr>
        <w:t>合同验收</w:t>
      </w:r>
    </w:p>
    <w:p w14:paraId="2DC2D7FE">
      <w:pPr>
        <w:widowControl w:val="0"/>
        <w:numPr>
          <w:ilvl w:val="0"/>
          <w:numId w:val="11"/>
        </w:numPr>
        <w:adjustRightInd w:val="0"/>
        <w:snapToGrid w:val="0"/>
        <w:spacing w:line="400" w:lineRule="exact"/>
        <w:ind w:firstLine="420" w:firstLineChars="200"/>
        <w:rPr>
          <w:rFonts w:ascii="宋体" w:hAnsi="宋体"/>
          <w:bCs/>
        </w:rPr>
      </w:pPr>
      <w:r>
        <w:rPr>
          <w:rFonts w:ascii="宋体" w:hAnsi="宋体"/>
          <w:bCs/>
        </w:rPr>
        <w:t>验收组织方式：</w:t>
      </w:r>
      <w:r>
        <w:rPr>
          <w:rFonts w:ascii="宋体" w:hAnsi="宋体" w:cs="宋体"/>
        </w:rPr>
        <w:sym w:font="Wingdings" w:char="00A8"/>
      </w:r>
      <w:r>
        <w:rPr>
          <w:rFonts w:ascii="宋体" w:hAnsi="宋体"/>
          <w:bCs/>
        </w:rPr>
        <w:t xml:space="preserve">自行组织 </w:t>
      </w:r>
      <w:r>
        <w:rPr>
          <w:rFonts w:ascii="宋体" w:hAnsi="宋体" w:cs="宋体"/>
        </w:rPr>
        <w:sym w:font="Wingdings" w:char="00FE"/>
      </w:r>
      <w:r>
        <w:rPr>
          <w:rFonts w:ascii="宋体" w:hAnsi="宋体"/>
          <w:bCs/>
        </w:rPr>
        <w:t>委托第三方组织</w:t>
      </w:r>
    </w:p>
    <w:p w14:paraId="26E4EB90">
      <w:pPr>
        <w:adjustRightInd w:val="0"/>
        <w:snapToGrid w:val="0"/>
        <w:spacing w:line="400" w:lineRule="exact"/>
        <w:rPr>
          <w:rFonts w:ascii="宋体" w:hAnsi="宋体"/>
          <w:bCs/>
        </w:rPr>
      </w:pPr>
      <w:r>
        <w:rPr>
          <w:rFonts w:ascii="宋体" w:hAnsi="宋体"/>
          <w:bCs/>
        </w:rPr>
        <w:t xml:space="preserve">         验收主体：</w:t>
      </w:r>
      <w:r>
        <w:rPr>
          <w:rFonts w:ascii="宋体" w:hAnsi="宋体"/>
          <w:bCs/>
          <w:u w:val="single"/>
        </w:rPr>
        <w:t xml:space="preserve"> 河南省特种设备安全检测研究院    </w:t>
      </w:r>
    </w:p>
    <w:p w14:paraId="372DC74F">
      <w:pPr>
        <w:adjustRightInd w:val="0"/>
        <w:snapToGrid w:val="0"/>
        <w:spacing w:line="400" w:lineRule="exact"/>
        <w:rPr>
          <w:rFonts w:ascii="宋体" w:hAnsi="宋体"/>
          <w:bCs/>
        </w:rPr>
      </w:pPr>
      <w:r>
        <w:rPr>
          <w:rFonts w:ascii="宋体" w:hAnsi="宋体"/>
          <w:bCs/>
        </w:rPr>
        <w:t xml:space="preserve">        是否邀请本项目的其他供应商参加验收：</w:t>
      </w:r>
      <w:r>
        <w:rPr>
          <w:rFonts w:ascii="宋体" w:hAnsi="宋体" w:cs="宋体"/>
        </w:rPr>
        <w:sym w:font="Wingdings" w:char="00A8"/>
      </w:r>
      <w:r>
        <w:rPr>
          <w:rFonts w:ascii="宋体" w:hAnsi="宋体"/>
          <w:bCs/>
        </w:rPr>
        <w:t xml:space="preserve">是  </w:t>
      </w:r>
      <w:r>
        <w:rPr>
          <w:rFonts w:ascii="宋体" w:hAnsi="宋体" w:cs="宋体"/>
        </w:rPr>
        <w:sym w:font="Wingdings" w:char="00FE"/>
      </w:r>
      <w:r>
        <w:rPr>
          <w:rFonts w:ascii="宋体" w:hAnsi="宋体"/>
          <w:bCs/>
        </w:rPr>
        <w:t>否</w:t>
      </w:r>
    </w:p>
    <w:p w14:paraId="7243ECED">
      <w:pPr>
        <w:adjustRightInd w:val="0"/>
        <w:snapToGrid w:val="0"/>
        <w:spacing w:line="400" w:lineRule="exact"/>
        <w:ind w:firstLine="840" w:firstLineChars="400"/>
        <w:rPr>
          <w:rFonts w:ascii="宋体" w:hAnsi="宋体"/>
          <w:bCs/>
        </w:rPr>
      </w:pPr>
      <w:r>
        <w:rPr>
          <w:rFonts w:ascii="宋体" w:hAnsi="宋体"/>
          <w:bCs/>
        </w:rPr>
        <w:t>是否邀请专家参加验收：</w:t>
      </w:r>
      <w:r>
        <w:rPr>
          <w:rFonts w:ascii="宋体" w:hAnsi="宋体" w:cs="宋体"/>
        </w:rPr>
        <w:sym w:font="Wingdings" w:char="00A8"/>
      </w:r>
      <w:r>
        <w:rPr>
          <w:rFonts w:ascii="宋体" w:hAnsi="宋体"/>
          <w:bCs/>
        </w:rPr>
        <w:t xml:space="preserve">是  </w:t>
      </w:r>
      <w:r>
        <w:rPr>
          <w:rFonts w:ascii="宋体" w:hAnsi="宋体" w:cs="宋体"/>
        </w:rPr>
        <w:sym w:font="Wingdings" w:char="00FE"/>
      </w:r>
      <w:r>
        <w:rPr>
          <w:rFonts w:ascii="宋体" w:hAnsi="宋体"/>
          <w:bCs/>
        </w:rPr>
        <w:t>否</w:t>
      </w:r>
    </w:p>
    <w:p w14:paraId="32E52806">
      <w:pPr>
        <w:adjustRightInd w:val="0"/>
        <w:snapToGrid w:val="0"/>
        <w:spacing w:line="400" w:lineRule="exact"/>
        <w:ind w:firstLine="840" w:firstLineChars="400"/>
        <w:rPr>
          <w:rFonts w:ascii="宋体" w:hAnsi="宋体"/>
          <w:bCs/>
        </w:rPr>
      </w:pPr>
      <w:r>
        <w:rPr>
          <w:rFonts w:ascii="宋体" w:hAnsi="宋体"/>
          <w:bCs/>
        </w:rPr>
        <w:t>是否邀请服务对象参加验收：</w:t>
      </w:r>
      <w:r>
        <w:rPr>
          <w:rFonts w:ascii="宋体" w:hAnsi="宋体" w:cs="宋体"/>
        </w:rPr>
        <w:sym w:font="Wingdings" w:char="00A8"/>
      </w:r>
      <w:r>
        <w:rPr>
          <w:rFonts w:ascii="宋体" w:hAnsi="宋体"/>
          <w:bCs/>
        </w:rPr>
        <w:t xml:space="preserve">是  </w:t>
      </w:r>
      <w:r>
        <w:rPr>
          <w:rFonts w:ascii="宋体" w:hAnsi="宋体" w:cs="宋体"/>
        </w:rPr>
        <w:sym w:font="Wingdings" w:char="00FE"/>
      </w:r>
      <w:r>
        <w:rPr>
          <w:rFonts w:ascii="宋体" w:hAnsi="宋体"/>
          <w:bCs/>
        </w:rPr>
        <w:t>否</w:t>
      </w:r>
    </w:p>
    <w:p w14:paraId="1C3D45A0">
      <w:pPr>
        <w:adjustRightInd w:val="0"/>
        <w:snapToGrid w:val="0"/>
        <w:spacing w:line="400" w:lineRule="exact"/>
        <w:ind w:firstLine="840" w:firstLineChars="400"/>
        <w:rPr>
          <w:rFonts w:ascii="宋体" w:hAnsi="宋体"/>
          <w:bCs/>
        </w:rPr>
      </w:pPr>
      <w:r>
        <w:rPr>
          <w:rFonts w:ascii="宋体" w:hAnsi="宋体"/>
          <w:bCs/>
        </w:rPr>
        <w:t>是否邀请第三方检测机构参加验收：</w:t>
      </w:r>
      <w:r>
        <w:rPr>
          <w:rFonts w:ascii="宋体" w:hAnsi="宋体" w:cs="宋体"/>
        </w:rPr>
        <w:sym w:font="Wingdings" w:char="00A8"/>
      </w:r>
      <w:r>
        <w:rPr>
          <w:rFonts w:ascii="宋体" w:hAnsi="宋体"/>
          <w:bCs/>
        </w:rPr>
        <w:t xml:space="preserve">是  </w:t>
      </w:r>
      <w:r>
        <w:rPr>
          <w:rFonts w:ascii="宋体" w:hAnsi="宋体" w:cs="宋体"/>
        </w:rPr>
        <w:sym w:font="Wingdings" w:char="00FE"/>
      </w:r>
      <w:r>
        <w:rPr>
          <w:rFonts w:ascii="宋体" w:hAnsi="宋体"/>
          <w:bCs/>
        </w:rPr>
        <w:t>否</w:t>
      </w:r>
    </w:p>
    <w:p w14:paraId="75A4BDA0">
      <w:pPr>
        <w:adjustRightInd w:val="0"/>
        <w:snapToGrid w:val="0"/>
        <w:spacing w:line="400" w:lineRule="exact"/>
        <w:ind w:firstLine="840" w:firstLineChars="400"/>
        <w:rPr>
          <w:rFonts w:ascii="宋体" w:hAnsi="宋体"/>
          <w:bCs/>
        </w:rPr>
      </w:pPr>
      <w:r>
        <w:rPr>
          <w:rFonts w:ascii="宋体" w:hAnsi="宋体"/>
          <w:bCs/>
        </w:rPr>
        <w:t>是否进行抽查检测：</w:t>
      </w:r>
      <w:r>
        <w:rPr>
          <w:rFonts w:ascii="宋体" w:hAnsi="宋体" w:cs="宋体"/>
        </w:rPr>
        <w:sym w:font="Wingdings" w:char="00A8"/>
      </w:r>
      <w:r>
        <w:rPr>
          <w:rFonts w:ascii="宋体" w:hAnsi="宋体"/>
          <w:bCs/>
        </w:rPr>
        <w:t>是，抽查比例：</w:t>
      </w:r>
      <w:r>
        <w:rPr>
          <w:rFonts w:ascii="宋体" w:hAnsi="宋体"/>
          <w:bCs/>
          <w:u w:val="single"/>
        </w:rPr>
        <w:t xml:space="preserve">        </w:t>
      </w:r>
      <w:r>
        <w:rPr>
          <w:rFonts w:ascii="宋体" w:hAnsi="宋体"/>
          <w:bCs/>
        </w:rPr>
        <w:t xml:space="preserve"> </w:t>
      </w:r>
      <w:r>
        <w:rPr>
          <w:rFonts w:ascii="宋体" w:hAnsi="宋体" w:cs="宋体"/>
        </w:rPr>
        <w:sym w:font="Wingdings" w:char="00FE"/>
      </w:r>
      <w:r>
        <w:rPr>
          <w:rFonts w:ascii="宋体" w:hAnsi="宋体"/>
          <w:bCs/>
        </w:rPr>
        <w:t>否</w:t>
      </w:r>
    </w:p>
    <w:p w14:paraId="4C0B8D4C">
      <w:pPr>
        <w:adjustRightInd w:val="0"/>
        <w:snapToGrid w:val="0"/>
        <w:spacing w:line="400" w:lineRule="exact"/>
        <w:ind w:firstLine="840" w:firstLineChars="400"/>
        <w:rPr>
          <w:rFonts w:ascii="宋体" w:hAnsi="宋体"/>
          <w:bCs/>
          <w:u w:val="single"/>
        </w:rPr>
      </w:pPr>
      <w:r>
        <w:rPr>
          <w:rFonts w:ascii="宋体" w:hAnsi="宋体"/>
          <w:bCs/>
        </w:rPr>
        <w:t>是否存在破坏性检测：</w:t>
      </w:r>
      <w:r>
        <w:rPr>
          <w:rFonts w:ascii="宋体" w:hAnsi="宋体" w:cs="宋体"/>
        </w:rPr>
        <w:sym w:font="Wingdings" w:char="00A8"/>
      </w:r>
      <w:r>
        <w:rPr>
          <w:rFonts w:ascii="宋体" w:hAnsi="宋体"/>
          <w:bCs/>
        </w:rPr>
        <w:t>是，</w:t>
      </w:r>
      <w:r>
        <w:rPr>
          <w:rFonts w:ascii="宋体" w:hAnsi="宋体"/>
          <w:bCs/>
          <w:u w:val="single"/>
        </w:rPr>
        <w:t>（应明确对被破坏的检测产品的处理方式）</w:t>
      </w:r>
    </w:p>
    <w:p w14:paraId="72388548">
      <w:pPr>
        <w:adjustRightInd w:val="0"/>
        <w:snapToGrid w:val="0"/>
        <w:spacing w:line="400" w:lineRule="exact"/>
        <w:ind w:firstLine="840" w:firstLineChars="400"/>
        <w:rPr>
          <w:rFonts w:ascii="宋体" w:hAnsi="宋体"/>
          <w:bCs/>
        </w:rPr>
      </w:pPr>
      <w:r>
        <w:rPr>
          <w:rFonts w:ascii="宋体" w:hAnsi="宋体"/>
          <w:bCs/>
        </w:rPr>
        <w:t xml:space="preserve">                    </w:t>
      </w:r>
      <w:r>
        <w:rPr>
          <w:rFonts w:ascii="宋体" w:hAnsi="宋体" w:cs="宋体"/>
        </w:rPr>
        <w:sym w:font="Wingdings" w:char="00FE"/>
      </w:r>
      <w:r>
        <w:rPr>
          <w:rFonts w:ascii="宋体" w:hAnsi="宋体"/>
          <w:bCs/>
        </w:rPr>
        <w:t>否</w:t>
      </w:r>
    </w:p>
    <w:p w14:paraId="7D5E11D7">
      <w:pPr>
        <w:adjustRightInd w:val="0"/>
        <w:snapToGrid w:val="0"/>
        <w:spacing w:line="400" w:lineRule="exact"/>
        <w:ind w:firstLine="840" w:firstLineChars="400"/>
        <w:rPr>
          <w:rFonts w:ascii="宋体" w:hAnsi="宋体"/>
          <w:bCs/>
          <w:u w:val="single"/>
        </w:rPr>
      </w:pPr>
      <w:r>
        <w:rPr>
          <w:rFonts w:ascii="宋体" w:hAnsi="宋体"/>
          <w:bCs/>
        </w:rPr>
        <w:t>验收组织的其他事项：</w:t>
      </w:r>
      <w:r>
        <w:rPr>
          <w:rFonts w:ascii="宋体" w:hAnsi="宋体"/>
          <w:bCs/>
          <w:u w:val="single"/>
        </w:rPr>
        <w:t xml:space="preserve">                </w:t>
      </w:r>
    </w:p>
    <w:p w14:paraId="1CDF5A85">
      <w:pPr>
        <w:adjustRightInd w:val="0"/>
        <w:snapToGrid w:val="0"/>
        <w:spacing w:line="400" w:lineRule="exact"/>
        <w:ind w:firstLine="420" w:firstLineChars="200"/>
        <w:rPr>
          <w:rFonts w:ascii="宋体" w:hAnsi="宋体"/>
          <w:bCs/>
          <w:u w:val="single"/>
        </w:rPr>
      </w:pPr>
      <w:r>
        <w:rPr>
          <w:rFonts w:ascii="宋体" w:hAnsi="宋体"/>
          <w:bCs/>
        </w:rPr>
        <w:t>（2）履约验收时间：</w:t>
      </w:r>
      <w:r>
        <w:rPr>
          <w:rFonts w:ascii="宋体" w:hAnsi="宋体"/>
          <w:bCs/>
          <w:u w:val="single"/>
        </w:rPr>
        <w:t xml:space="preserve">（计划于何时验收/供应商提出验收申请之日起 10日内组织验收） </w:t>
      </w:r>
    </w:p>
    <w:p w14:paraId="3FA06C12">
      <w:pPr>
        <w:adjustRightInd w:val="0"/>
        <w:snapToGrid w:val="0"/>
        <w:spacing w:line="400" w:lineRule="exact"/>
        <w:ind w:firstLine="420" w:firstLineChars="200"/>
        <w:rPr>
          <w:rFonts w:ascii="宋体" w:hAnsi="宋体"/>
          <w:bCs/>
        </w:rPr>
      </w:pPr>
      <w:r>
        <w:rPr>
          <w:rFonts w:ascii="宋体" w:hAnsi="宋体"/>
          <w:bCs/>
        </w:rPr>
        <w:t>（3）履约验收方式：</w:t>
      </w:r>
      <w:r>
        <w:rPr>
          <w:rFonts w:ascii="宋体" w:hAnsi="宋体" w:cs="宋体"/>
        </w:rPr>
        <w:sym w:font="Wingdings" w:char="00FE"/>
      </w:r>
      <w:r>
        <w:rPr>
          <w:rFonts w:ascii="宋体" w:hAnsi="宋体"/>
          <w:bCs/>
        </w:rPr>
        <w:t xml:space="preserve">一次性验收         </w:t>
      </w:r>
    </w:p>
    <w:p w14:paraId="085EBA85">
      <w:pPr>
        <w:adjustRightInd w:val="0"/>
        <w:snapToGrid w:val="0"/>
        <w:spacing w:line="400" w:lineRule="exact"/>
        <w:rPr>
          <w:rFonts w:ascii="宋体" w:hAnsi="宋体"/>
          <w:bCs/>
        </w:rPr>
      </w:pPr>
      <w:r>
        <w:rPr>
          <w:rFonts w:ascii="宋体" w:hAnsi="宋体"/>
          <w:bCs/>
        </w:rPr>
        <w:t xml:space="preserve">                       </w:t>
      </w:r>
      <w:r>
        <w:rPr>
          <w:rFonts w:ascii="宋体" w:hAnsi="宋体" w:cs="宋体"/>
        </w:rPr>
        <w:sym w:font="Wingdings" w:char="00A8"/>
      </w:r>
      <w:r>
        <w:rPr>
          <w:rFonts w:ascii="宋体" w:hAnsi="宋体"/>
          <w:bCs/>
        </w:rPr>
        <w:t>分期/分项验收：</w:t>
      </w:r>
      <w:r>
        <w:rPr>
          <w:rFonts w:ascii="宋体" w:hAnsi="宋体"/>
          <w:bCs/>
          <w:u w:val="single"/>
        </w:rPr>
        <w:t xml:space="preserve"> （应明确分期</w:t>
      </w:r>
      <w:r>
        <w:rPr>
          <w:rFonts w:ascii="宋体" w:hAnsi="宋体"/>
          <w:bCs/>
          <w:u w:val="single"/>
          <w:lang w:val="en"/>
        </w:rPr>
        <w:t>/分项验收的工作安排</w:t>
      </w:r>
      <w:r>
        <w:rPr>
          <w:rFonts w:ascii="宋体" w:hAnsi="宋体"/>
          <w:bCs/>
          <w:u w:val="single"/>
        </w:rPr>
        <w:t xml:space="preserve">）  </w:t>
      </w:r>
    </w:p>
    <w:p w14:paraId="35263AD6">
      <w:pPr>
        <w:adjustRightInd w:val="0"/>
        <w:snapToGrid w:val="0"/>
        <w:spacing w:line="400" w:lineRule="exact"/>
        <w:ind w:firstLine="420" w:firstLineChars="200"/>
        <w:rPr>
          <w:rFonts w:ascii="宋体" w:hAnsi="宋体"/>
          <w:bCs/>
        </w:rPr>
      </w:pPr>
      <w:r>
        <w:rPr>
          <w:rFonts w:ascii="宋体" w:hAnsi="宋体"/>
          <w:bCs/>
        </w:rPr>
        <w:t>（4）履约验收程序：</w:t>
      </w:r>
      <w:r>
        <w:rPr>
          <w:rFonts w:ascii="宋体" w:hAnsi="宋体"/>
          <w:bCs/>
          <w:u w:val="single"/>
        </w:rPr>
        <w:t xml:space="preserve"> 按照特种设备相关规定，向市场监管部门申请验收              </w:t>
      </w:r>
    </w:p>
    <w:p w14:paraId="16ABF844">
      <w:pPr>
        <w:adjustRightInd w:val="0"/>
        <w:snapToGrid w:val="0"/>
        <w:spacing w:line="400" w:lineRule="exact"/>
        <w:ind w:firstLine="420" w:firstLineChars="200"/>
        <w:rPr>
          <w:rFonts w:ascii="宋体" w:hAnsi="宋体"/>
          <w:bCs/>
          <w:u w:val="single"/>
        </w:rPr>
      </w:pPr>
      <w:r>
        <w:rPr>
          <w:rFonts w:ascii="宋体" w:hAnsi="宋体"/>
          <w:bCs/>
        </w:rPr>
        <w:t>（5）履约验收的内容：</w:t>
      </w:r>
      <w:r>
        <w:rPr>
          <w:rFonts w:ascii="宋体" w:hAnsi="宋体"/>
          <w:bCs/>
          <w:u w:val="single"/>
        </w:rPr>
        <w:t xml:space="preserve"> （应当包括每一项技术和商务要求的履约情况，特别是落实政府采购扶持中小企业，支持绿色发展和乡村振兴等政策情况）                                      </w:t>
      </w:r>
    </w:p>
    <w:p w14:paraId="5E5FF7FB">
      <w:pPr>
        <w:adjustRightInd w:val="0"/>
        <w:snapToGrid w:val="0"/>
        <w:spacing w:line="400" w:lineRule="exact"/>
        <w:ind w:firstLine="420" w:firstLineChars="200"/>
        <w:rPr>
          <w:rFonts w:ascii="宋体" w:hAnsi="宋体"/>
          <w:bCs/>
          <w:u w:val="single"/>
        </w:rPr>
      </w:pPr>
      <w:r>
        <w:rPr>
          <w:rFonts w:ascii="宋体" w:hAnsi="宋体"/>
          <w:bCs/>
        </w:rPr>
        <w:t>（6）履约验收标准：</w:t>
      </w:r>
      <w:r>
        <w:rPr>
          <w:rFonts w:ascii="宋体" w:hAnsi="宋体"/>
          <w:bCs/>
          <w:u w:val="single"/>
        </w:rPr>
        <w:t xml:space="preserve">  </w:t>
      </w:r>
      <w:r>
        <w:rPr>
          <w:rFonts w:ascii="宋体" w:hAnsi="宋体"/>
          <w:bCs/>
          <w:u w:val="single"/>
          <w:lang w:val="en-US" w:eastAsia="zh-CN"/>
        </w:rPr>
        <w:t>符合国家特种设备安全法</w:t>
      </w:r>
      <w:r>
        <w:rPr>
          <w:rFonts w:ascii="宋体" w:hAnsi="宋体"/>
          <w:bCs/>
          <w:u w:val="single"/>
        </w:rPr>
        <w:t xml:space="preserve">        </w:t>
      </w:r>
    </w:p>
    <w:p w14:paraId="22B949A1">
      <w:pPr>
        <w:pStyle w:val="100"/>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394A591D">
      <w:pPr>
        <w:adjustRightInd w:val="0"/>
        <w:snapToGrid w:val="0"/>
        <w:spacing w:line="400" w:lineRule="exact"/>
        <w:ind w:firstLine="420" w:firstLineChars="200"/>
        <w:rPr>
          <w:rFonts w:ascii="宋体" w:hAnsi="宋体" w:cs="宋体"/>
          <w:bCs/>
          <w:u w:val="single"/>
        </w:rPr>
      </w:pPr>
      <w:r>
        <w:rPr>
          <w:rFonts w:ascii="宋体" w:hAnsi="宋体" w:cs="宋体"/>
          <w:bCs/>
        </w:rPr>
        <w:t>（8）履约验收其他事项：</w:t>
      </w:r>
      <w:r>
        <w:rPr>
          <w:rFonts w:ascii="宋体" w:hAnsi="宋体" w:cs="宋体"/>
          <w:bCs/>
          <w:u w:val="single"/>
        </w:rPr>
        <w:t xml:space="preserve"> 向甲方移交使用登记证，检验合格报告 （产权过户登记等）          </w:t>
      </w:r>
    </w:p>
    <w:p w14:paraId="74498D24">
      <w:pPr>
        <w:widowControl w:val="0"/>
        <w:numPr>
          <w:ilvl w:val="0"/>
          <w:numId w:val="10"/>
        </w:numPr>
        <w:adjustRightInd w:val="0"/>
        <w:snapToGrid w:val="0"/>
        <w:spacing w:line="400" w:lineRule="exact"/>
        <w:ind w:firstLine="420" w:firstLineChars="200"/>
        <w:rPr>
          <w:rFonts w:ascii="宋体" w:hAnsi="宋体"/>
          <w:b/>
        </w:rPr>
      </w:pPr>
      <w:r>
        <w:rPr>
          <w:rFonts w:ascii="宋体" w:hAnsi="宋体"/>
          <w:b/>
        </w:rPr>
        <w:t>组成合同的文件</w:t>
      </w:r>
    </w:p>
    <w:p w14:paraId="44B89597">
      <w:pPr>
        <w:adjustRightInd w:val="0"/>
        <w:snapToGrid w:val="0"/>
        <w:spacing w:line="400" w:lineRule="exact"/>
        <w:ind w:firstLine="420" w:firstLineChars="200"/>
        <w:rPr>
          <w:rFonts w:ascii="宋体" w:hAnsi="宋体"/>
        </w:rPr>
      </w:pPr>
      <w:r>
        <w:rPr>
          <w:rFonts w:ascii="宋体" w:hAnsi="宋体"/>
        </w:rPr>
        <w:t>本协议书与下列文件一起构成合同文件，如下述文件之间有任何抵触、矛盾或歧义，应按以下顺序解释：</w:t>
      </w:r>
    </w:p>
    <w:p w14:paraId="784F90E7">
      <w:pPr>
        <w:adjustRightInd w:val="0"/>
        <w:snapToGrid w:val="0"/>
        <w:spacing w:line="400" w:lineRule="exact"/>
        <w:ind w:firstLine="420" w:firstLineChars="200"/>
        <w:rPr>
          <w:rFonts w:ascii="宋体" w:hAnsi="宋体"/>
        </w:rPr>
      </w:pPr>
      <w:r>
        <w:rPr>
          <w:rFonts w:ascii="宋体" w:hAnsi="宋体"/>
        </w:rPr>
        <w:t>（1）政府采购合同协议书及其变更、补充协议</w:t>
      </w:r>
    </w:p>
    <w:p w14:paraId="1F76DFF6">
      <w:pPr>
        <w:adjustRightInd w:val="0"/>
        <w:snapToGrid w:val="0"/>
        <w:spacing w:line="400" w:lineRule="exact"/>
        <w:ind w:firstLine="420" w:firstLineChars="200"/>
        <w:rPr>
          <w:rFonts w:ascii="宋体" w:hAnsi="宋体"/>
        </w:rPr>
      </w:pPr>
      <w:r>
        <w:rPr>
          <w:rFonts w:ascii="宋体" w:hAnsi="宋体"/>
        </w:rPr>
        <w:t>（2）政府采购合同专用条款</w:t>
      </w:r>
    </w:p>
    <w:p w14:paraId="2E7AA587">
      <w:pPr>
        <w:adjustRightInd w:val="0"/>
        <w:snapToGrid w:val="0"/>
        <w:spacing w:line="400" w:lineRule="exact"/>
        <w:ind w:firstLine="420" w:firstLineChars="200"/>
        <w:rPr>
          <w:rFonts w:ascii="宋体" w:hAnsi="宋体"/>
        </w:rPr>
      </w:pPr>
      <w:r>
        <w:rPr>
          <w:rFonts w:ascii="宋体" w:hAnsi="宋体"/>
        </w:rPr>
        <w:t>（3）政府采购合同通用条款</w:t>
      </w:r>
    </w:p>
    <w:p w14:paraId="322CF89F">
      <w:pPr>
        <w:adjustRightInd w:val="0"/>
        <w:snapToGrid w:val="0"/>
        <w:spacing w:line="400" w:lineRule="exact"/>
        <w:ind w:firstLine="420" w:firstLineChars="200"/>
        <w:rPr>
          <w:rFonts w:ascii="宋体" w:hAnsi="宋体"/>
        </w:rPr>
      </w:pPr>
      <w:r>
        <w:rPr>
          <w:rFonts w:ascii="宋体" w:hAnsi="宋体"/>
        </w:rPr>
        <w:t>（4）中标（成交）通知书</w:t>
      </w:r>
    </w:p>
    <w:p w14:paraId="024AB7AB">
      <w:pPr>
        <w:adjustRightInd w:val="0"/>
        <w:snapToGrid w:val="0"/>
        <w:spacing w:line="400" w:lineRule="exact"/>
        <w:ind w:firstLine="420" w:firstLineChars="200"/>
        <w:rPr>
          <w:rFonts w:ascii="宋体" w:hAnsi="宋体"/>
        </w:rPr>
      </w:pPr>
      <w:r>
        <w:rPr>
          <w:rFonts w:ascii="宋体" w:hAnsi="宋体"/>
        </w:rPr>
        <w:t>（5）投标（响应）文件</w:t>
      </w:r>
    </w:p>
    <w:p w14:paraId="0774CEAD">
      <w:pPr>
        <w:adjustRightInd w:val="0"/>
        <w:snapToGrid w:val="0"/>
        <w:spacing w:line="400" w:lineRule="exact"/>
        <w:ind w:firstLine="420" w:firstLineChars="200"/>
        <w:rPr>
          <w:rFonts w:ascii="宋体" w:hAnsi="宋体"/>
        </w:rPr>
      </w:pPr>
      <w:r>
        <w:rPr>
          <w:rFonts w:ascii="宋体" w:hAnsi="宋体"/>
        </w:rPr>
        <w:t>（6）采购文件</w:t>
      </w:r>
    </w:p>
    <w:p w14:paraId="27297521">
      <w:pPr>
        <w:adjustRightInd w:val="0"/>
        <w:snapToGrid w:val="0"/>
        <w:spacing w:line="400" w:lineRule="exact"/>
        <w:ind w:firstLine="420" w:firstLineChars="200"/>
        <w:rPr>
          <w:rFonts w:ascii="宋体" w:hAnsi="宋体"/>
        </w:rPr>
      </w:pPr>
      <w:r>
        <w:rPr>
          <w:rFonts w:ascii="宋体" w:hAnsi="宋体"/>
        </w:rPr>
        <w:t>（7）有关技术文件，图纸</w:t>
      </w:r>
    </w:p>
    <w:p w14:paraId="7C7F38E2">
      <w:pPr>
        <w:pStyle w:val="100"/>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37B6391D">
      <w:pPr>
        <w:widowControl w:val="0"/>
        <w:numPr>
          <w:ilvl w:val="0"/>
          <w:numId w:val="10"/>
        </w:numPr>
        <w:adjustRightInd w:val="0"/>
        <w:snapToGrid w:val="0"/>
        <w:spacing w:line="400" w:lineRule="exact"/>
        <w:ind w:firstLine="420" w:firstLineChars="200"/>
        <w:rPr>
          <w:rFonts w:ascii="宋体" w:hAnsi="宋体"/>
          <w:b/>
        </w:rPr>
      </w:pPr>
      <w:r>
        <w:rPr>
          <w:rFonts w:ascii="宋体" w:hAnsi="宋体"/>
          <w:b/>
        </w:rPr>
        <w:t>合同生效</w:t>
      </w:r>
    </w:p>
    <w:p w14:paraId="64B9EB45">
      <w:pPr>
        <w:adjustRightInd w:val="0"/>
        <w:snapToGrid w:val="0"/>
        <w:spacing w:line="400" w:lineRule="exact"/>
        <w:ind w:firstLine="420" w:firstLineChars="200"/>
        <w:rPr>
          <w:rFonts w:ascii="宋体" w:hAnsi="宋体"/>
        </w:rPr>
      </w:pPr>
      <w:r>
        <w:rPr>
          <w:rFonts w:ascii="宋体" w:hAnsi="宋体"/>
        </w:rPr>
        <w:t>本合同自</w:t>
      </w:r>
      <w:r>
        <w:rPr>
          <w:rFonts w:ascii="宋体" w:hAnsi="宋体"/>
          <w:u w:val="single"/>
        </w:rPr>
        <w:t xml:space="preserve">                             </w:t>
      </w:r>
      <w:r>
        <w:rPr>
          <w:rFonts w:ascii="宋体" w:hAnsi="宋体"/>
        </w:rPr>
        <w:t>生效。</w:t>
      </w:r>
    </w:p>
    <w:p w14:paraId="4B8398D2">
      <w:pPr>
        <w:widowControl w:val="0"/>
        <w:numPr>
          <w:ilvl w:val="0"/>
          <w:numId w:val="10"/>
        </w:numPr>
        <w:adjustRightInd w:val="0"/>
        <w:snapToGrid w:val="0"/>
        <w:spacing w:line="400" w:lineRule="exact"/>
        <w:ind w:firstLine="420" w:firstLineChars="200"/>
        <w:rPr>
          <w:rFonts w:ascii="宋体" w:hAnsi="宋体"/>
          <w:b/>
        </w:rPr>
      </w:pPr>
      <w:r>
        <w:rPr>
          <w:rFonts w:ascii="宋体" w:hAnsi="宋体"/>
          <w:b/>
        </w:rPr>
        <w:t>合同份数</w:t>
      </w:r>
    </w:p>
    <w:p w14:paraId="128A9991">
      <w:pPr>
        <w:adjustRightInd w:val="0"/>
        <w:snapToGrid w:val="0"/>
        <w:spacing w:line="400" w:lineRule="exact"/>
        <w:ind w:firstLine="420" w:firstLineChars="200"/>
        <w:rPr>
          <w:rFonts w:ascii="宋体" w:hAnsi="宋体"/>
        </w:rPr>
      </w:pPr>
      <w:r>
        <w:rPr>
          <w:rFonts w:ascii="宋体" w:hAnsi="宋体"/>
        </w:rPr>
        <w:t>本合同一式</w:t>
      </w:r>
      <w:r>
        <w:rPr>
          <w:rFonts w:ascii="宋体" w:hAnsi="宋体"/>
          <w:u w:val="single"/>
        </w:rPr>
        <w:t xml:space="preserve">    </w:t>
      </w:r>
      <w:r>
        <w:rPr>
          <w:rFonts w:ascii="宋体" w:hAnsi="宋体"/>
        </w:rPr>
        <w:t>份，甲方执</w:t>
      </w:r>
      <w:r>
        <w:rPr>
          <w:rFonts w:ascii="宋体" w:hAnsi="宋体"/>
          <w:u w:val="single"/>
        </w:rPr>
        <w:t xml:space="preserve">    </w:t>
      </w:r>
      <w:r>
        <w:rPr>
          <w:rFonts w:ascii="宋体" w:hAnsi="宋体"/>
        </w:rPr>
        <w:t>份，乙方执</w:t>
      </w:r>
      <w:r>
        <w:rPr>
          <w:rFonts w:ascii="宋体" w:hAnsi="宋体"/>
          <w:u w:val="single"/>
        </w:rPr>
        <w:t xml:space="preserve">    </w:t>
      </w:r>
      <w:r>
        <w:rPr>
          <w:rFonts w:ascii="宋体" w:hAnsi="宋体"/>
        </w:rPr>
        <w:t>份，均具有同等法律效力。</w:t>
      </w:r>
    </w:p>
    <w:p w14:paraId="6A320B04">
      <w:pPr>
        <w:adjustRightInd w:val="0"/>
        <w:snapToGrid w:val="0"/>
        <w:spacing w:line="400" w:lineRule="exact"/>
        <w:ind w:firstLine="420" w:firstLineChars="200"/>
        <w:rPr>
          <w:rFonts w:ascii="宋体" w:hAnsi="宋体"/>
        </w:rPr>
      </w:pPr>
      <w:r>
        <w:rPr>
          <w:rFonts w:ascii="宋体" w:hAnsi="宋体"/>
        </w:rPr>
        <w:t>合同订立时间：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1CDD9343">
      <w:pPr>
        <w:adjustRightInd w:val="0"/>
        <w:snapToGrid w:val="0"/>
        <w:spacing w:line="400" w:lineRule="exact"/>
        <w:ind w:firstLine="420" w:firstLineChars="200"/>
        <w:rPr>
          <w:rFonts w:ascii="宋体" w:hAnsi="宋体"/>
        </w:rPr>
      </w:pPr>
      <w:r>
        <w:rPr>
          <w:rFonts w:ascii="宋体" w:hAnsi="宋体"/>
        </w:rPr>
        <w:t>合同订立地点：</w:t>
      </w:r>
      <w:r>
        <w:rPr>
          <w:rFonts w:ascii="宋体" w:hAnsi="宋体"/>
          <w:u w:val="single"/>
        </w:rPr>
        <w:t xml:space="preserve">                           </w:t>
      </w:r>
    </w:p>
    <w:p w14:paraId="430FA8A7">
      <w:pPr>
        <w:adjustRightInd w:val="0"/>
        <w:snapToGrid w:val="0"/>
        <w:spacing w:line="400" w:lineRule="exact"/>
        <w:ind w:firstLine="420" w:firstLineChars="200"/>
      </w:pPr>
      <w:r>
        <w:rPr>
          <w:rFonts w:ascii="宋体" w:hAnsi="宋体" w:eastAsia="宋体" w:cs="宋体"/>
        </w:rPr>
        <w:t>附件：具体标的及其技术要求和商务要求、联合协议、分包意向协议等。</w:t>
      </w:r>
    </w:p>
    <w:p w14:paraId="256FD529">
      <w:pPr>
        <w:pStyle w:val="124"/>
        <w:ind w:firstLine="440"/>
      </w:pPr>
      <w:r>
        <w:rPr>
          <w:lang w:val="en"/>
        </w:rPr>
        <w:t xml:space="preserve">   </w:t>
      </w:r>
    </w:p>
    <w:p w14:paraId="4E51412A">
      <w:pPr>
        <w:pStyle w:val="197"/>
      </w:pPr>
    </w:p>
    <w:tbl>
      <w:tblPr>
        <w:tblStyle w:val="5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66E327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E3DB5BC">
            <w:pPr>
              <w:adjustRightInd w:val="0"/>
              <w:snapToGrid w:val="0"/>
              <w:spacing w:line="300" w:lineRule="exact"/>
              <w:jc w:val="center"/>
            </w:pPr>
            <w:r>
              <w:t>甲方（采购人</w:t>
            </w:r>
            <w:r>
              <w:rPr>
                <w:rFonts w:ascii="宋体" w:hAnsi="宋体"/>
              </w:rPr>
              <w:t>、受采购人委托签订合同的单位或</w:t>
            </w:r>
            <w:r>
              <w:t>采购文件约定的合同甲方）</w:t>
            </w:r>
          </w:p>
        </w:tc>
        <w:tc>
          <w:tcPr>
            <w:tcW w:w="2437" w:type="pct"/>
            <w:gridSpan w:val="2"/>
            <w:tcBorders>
              <w:left w:val="single" w:color="auto" w:sz="2" w:space="0"/>
              <w:bottom w:val="single" w:color="auto" w:sz="2" w:space="0"/>
            </w:tcBorders>
            <w:vAlign w:val="center"/>
          </w:tcPr>
          <w:p w14:paraId="4071C018">
            <w:pPr>
              <w:adjustRightInd w:val="0"/>
              <w:snapToGrid w:val="0"/>
              <w:spacing w:line="300" w:lineRule="exact"/>
              <w:jc w:val="center"/>
            </w:pPr>
            <w:r>
              <w:t>乙方（供应商）</w:t>
            </w:r>
          </w:p>
        </w:tc>
      </w:tr>
      <w:tr w14:paraId="104C5C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370DCA2">
            <w:pPr>
              <w:adjustRightInd w:val="0"/>
              <w:snapToGrid w:val="0"/>
              <w:spacing w:line="300" w:lineRule="exact"/>
              <w:jc w:val="center"/>
            </w:pPr>
            <w: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BCD043A">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327E296">
            <w:pPr>
              <w:adjustRightInd w:val="0"/>
              <w:snapToGrid w:val="0"/>
              <w:spacing w:line="300" w:lineRule="exact"/>
              <w:jc w:val="center"/>
            </w:pPr>
            <w:r>
              <w:t>单位名称（公章或合同章）</w:t>
            </w:r>
          </w:p>
        </w:tc>
        <w:tc>
          <w:tcPr>
            <w:tcW w:w="1259" w:type="pct"/>
            <w:tcBorders>
              <w:top w:val="single" w:color="auto" w:sz="2" w:space="0"/>
              <w:left w:val="single" w:color="auto" w:sz="2" w:space="0"/>
              <w:bottom w:val="single" w:color="auto" w:sz="2" w:space="0"/>
            </w:tcBorders>
            <w:vAlign w:val="center"/>
          </w:tcPr>
          <w:p w14:paraId="3C2C7334">
            <w:pPr>
              <w:adjustRightInd w:val="0"/>
              <w:snapToGrid w:val="0"/>
              <w:spacing w:line="300" w:lineRule="exact"/>
              <w:jc w:val="center"/>
              <w:rPr>
                <w:spacing w:val="20"/>
              </w:rPr>
            </w:pPr>
          </w:p>
        </w:tc>
      </w:tr>
      <w:tr w14:paraId="193738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C77D181">
            <w:pPr>
              <w:adjustRightInd w:val="0"/>
              <w:snapToGrid w:val="0"/>
              <w:spacing w:line="300" w:lineRule="exact"/>
              <w:jc w:val="center"/>
            </w:pPr>
            <w:r>
              <w:t>法定代表人</w:t>
            </w:r>
          </w:p>
          <w:p w14:paraId="7BAD2870">
            <w:pPr>
              <w:adjustRightInd w:val="0"/>
              <w:snapToGrid w:val="0"/>
              <w:spacing w:line="300" w:lineRule="exact"/>
              <w:ind w:firstLine="100" w:firstLineChars="48"/>
              <w:jc w:val="center"/>
            </w:pPr>
            <w:r>
              <w:t>或其委托代理人（签章）</w:t>
            </w:r>
          </w:p>
        </w:tc>
        <w:tc>
          <w:tcPr>
            <w:tcW w:w="1436" w:type="pct"/>
            <w:vMerge w:val="restart"/>
            <w:tcBorders>
              <w:top w:val="single" w:color="auto" w:sz="2" w:space="0"/>
              <w:left w:val="single" w:color="auto" w:sz="2" w:space="0"/>
              <w:right w:val="single" w:color="auto" w:sz="2" w:space="0"/>
            </w:tcBorders>
            <w:vAlign w:val="center"/>
          </w:tcPr>
          <w:p w14:paraId="3CF54414">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vAlign w:val="center"/>
          </w:tcPr>
          <w:p w14:paraId="2841829E">
            <w:pPr>
              <w:adjustRightInd w:val="0"/>
              <w:snapToGrid w:val="0"/>
              <w:spacing w:line="300" w:lineRule="exact"/>
              <w:jc w:val="center"/>
            </w:pPr>
            <w:r>
              <w:t>法定代表人</w:t>
            </w:r>
          </w:p>
          <w:p w14:paraId="743CA895">
            <w:pPr>
              <w:adjustRightInd w:val="0"/>
              <w:snapToGrid w:val="0"/>
              <w:spacing w:line="300" w:lineRule="exact"/>
              <w:jc w:val="center"/>
            </w:pPr>
            <w:r>
              <w:t>或其委托代理人（签章）</w:t>
            </w:r>
          </w:p>
        </w:tc>
        <w:tc>
          <w:tcPr>
            <w:tcW w:w="1259" w:type="pct"/>
            <w:tcBorders>
              <w:top w:val="single" w:color="auto" w:sz="2" w:space="0"/>
              <w:left w:val="single" w:color="auto" w:sz="2" w:space="0"/>
              <w:bottom w:val="single" w:color="auto" w:sz="2" w:space="0"/>
            </w:tcBorders>
            <w:vAlign w:val="center"/>
          </w:tcPr>
          <w:p w14:paraId="561C5D61">
            <w:pPr>
              <w:adjustRightInd w:val="0"/>
              <w:snapToGrid w:val="0"/>
              <w:spacing w:line="300" w:lineRule="exact"/>
              <w:jc w:val="center"/>
            </w:pPr>
          </w:p>
        </w:tc>
      </w:tr>
      <w:tr w14:paraId="45954B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68B76F3">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vAlign w:val="center"/>
          </w:tcPr>
          <w:p w14:paraId="5F5F3DFD">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3D9FA89">
            <w:pPr>
              <w:adjustRightInd w:val="0"/>
              <w:snapToGrid w:val="0"/>
              <w:spacing w:line="300" w:lineRule="exact"/>
              <w:jc w:val="center"/>
            </w:pPr>
            <w:r>
              <w:t>拥有者性别</w:t>
            </w:r>
          </w:p>
        </w:tc>
        <w:tc>
          <w:tcPr>
            <w:tcW w:w="1259" w:type="pct"/>
            <w:tcBorders>
              <w:top w:val="single" w:color="auto" w:sz="2" w:space="0"/>
              <w:left w:val="single" w:color="auto" w:sz="2" w:space="0"/>
              <w:bottom w:val="single" w:color="auto" w:sz="2" w:space="0"/>
            </w:tcBorders>
            <w:vAlign w:val="center"/>
          </w:tcPr>
          <w:p w14:paraId="3C6D3BA0">
            <w:pPr>
              <w:adjustRightInd w:val="0"/>
              <w:snapToGrid w:val="0"/>
              <w:spacing w:line="300" w:lineRule="exact"/>
              <w:jc w:val="center"/>
              <w:rPr>
                <w:spacing w:val="20"/>
              </w:rPr>
            </w:pPr>
          </w:p>
        </w:tc>
      </w:tr>
      <w:tr w14:paraId="5E2423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7E80AA">
            <w:pPr>
              <w:adjustRightInd w:val="0"/>
              <w:snapToGrid w:val="0"/>
              <w:spacing w:line="300" w:lineRule="exact"/>
              <w:jc w:val="center"/>
            </w:pPr>
            <w: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F1AA359">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BF9398B">
            <w:pPr>
              <w:adjustRightInd w:val="0"/>
              <w:snapToGrid w:val="0"/>
              <w:spacing w:line="300" w:lineRule="exact"/>
              <w:jc w:val="center"/>
            </w:pPr>
            <w:r>
              <w:t>住  所</w:t>
            </w:r>
          </w:p>
        </w:tc>
        <w:tc>
          <w:tcPr>
            <w:tcW w:w="1259" w:type="pct"/>
            <w:tcBorders>
              <w:top w:val="single" w:color="auto" w:sz="2" w:space="0"/>
              <w:left w:val="single" w:color="auto" w:sz="2" w:space="0"/>
              <w:bottom w:val="single" w:color="auto" w:sz="2" w:space="0"/>
            </w:tcBorders>
            <w:vAlign w:val="center"/>
          </w:tcPr>
          <w:p w14:paraId="7321436A">
            <w:pPr>
              <w:adjustRightInd w:val="0"/>
              <w:snapToGrid w:val="0"/>
              <w:spacing w:line="300" w:lineRule="exact"/>
              <w:jc w:val="center"/>
              <w:rPr>
                <w:spacing w:val="20"/>
              </w:rPr>
            </w:pPr>
          </w:p>
        </w:tc>
      </w:tr>
      <w:tr w14:paraId="5DF1D9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5FD3FA">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653E5E7">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BA79EB8">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vAlign w:val="center"/>
          </w:tcPr>
          <w:p w14:paraId="5880BD7A">
            <w:pPr>
              <w:adjustRightInd w:val="0"/>
              <w:snapToGrid w:val="0"/>
              <w:spacing w:line="300" w:lineRule="exact"/>
              <w:jc w:val="center"/>
              <w:rPr>
                <w:spacing w:val="20"/>
              </w:rPr>
            </w:pPr>
          </w:p>
        </w:tc>
      </w:tr>
      <w:tr w14:paraId="54905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3F1C38">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A2A67A2">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7D6A324">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vAlign w:val="center"/>
          </w:tcPr>
          <w:p w14:paraId="003D8E7F">
            <w:pPr>
              <w:adjustRightInd w:val="0"/>
              <w:snapToGrid w:val="0"/>
              <w:spacing w:line="300" w:lineRule="exact"/>
              <w:jc w:val="center"/>
              <w:rPr>
                <w:spacing w:val="20"/>
              </w:rPr>
            </w:pPr>
          </w:p>
        </w:tc>
      </w:tr>
      <w:tr w14:paraId="1CF218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B42D65">
            <w:pPr>
              <w:adjustRightInd w:val="0"/>
              <w:snapToGrid w:val="0"/>
              <w:spacing w:line="300" w:lineRule="exact"/>
              <w:jc w:val="center"/>
            </w:pPr>
            <w: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83E5BFA">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4B5B48F5">
            <w:pPr>
              <w:adjustRightInd w:val="0"/>
              <w:snapToGrid w:val="0"/>
              <w:spacing w:line="300" w:lineRule="exact"/>
              <w:jc w:val="center"/>
            </w:pPr>
            <w:r>
              <w:t>通信地址</w:t>
            </w:r>
          </w:p>
        </w:tc>
        <w:tc>
          <w:tcPr>
            <w:tcW w:w="1259" w:type="pct"/>
            <w:tcBorders>
              <w:top w:val="single" w:color="auto" w:sz="2" w:space="0"/>
              <w:left w:val="single" w:color="auto" w:sz="2" w:space="0"/>
              <w:bottom w:val="single" w:color="auto" w:sz="2" w:space="0"/>
            </w:tcBorders>
            <w:vAlign w:val="center"/>
          </w:tcPr>
          <w:p w14:paraId="080AAF41">
            <w:pPr>
              <w:adjustRightInd w:val="0"/>
              <w:snapToGrid w:val="0"/>
              <w:spacing w:line="300" w:lineRule="exact"/>
              <w:jc w:val="center"/>
              <w:rPr>
                <w:spacing w:val="20"/>
              </w:rPr>
            </w:pPr>
          </w:p>
        </w:tc>
      </w:tr>
      <w:tr w14:paraId="48E681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AA3477">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2AB7DD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8086FCF">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vAlign w:val="center"/>
          </w:tcPr>
          <w:p w14:paraId="76B640F2">
            <w:pPr>
              <w:adjustRightInd w:val="0"/>
              <w:snapToGrid w:val="0"/>
              <w:spacing w:line="300" w:lineRule="exact"/>
              <w:jc w:val="center"/>
              <w:rPr>
                <w:spacing w:val="20"/>
              </w:rPr>
            </w:pPr>
          </w:p>
        </w:tc>
      </w:tr>
      <w:tr w14:paraId="0806C7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0B48C8">
            <w:pPr>
              <w:adjustRightInd w:val="0"/>
              <w:snapToGrid w:val="0"/>
              <w:spacing w:line="300" w:lineRule="exact"/>
              <w:jc w:val="center"/>
            </w:pPr>
            <w: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1F411CD">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B5BA397">
            <w:pPr>
              <w:adjustRightInd w:val="0"/>
              <w:snapToGrid w:val="0"/>
              <w:spacing w:line="300" w:lineRule="exact"/>
              <w:jc w:val="center"/>
            </w:pPr>
            <w:r>
              <w:t>电子邮箱</w:t>
            </w:r>
          </w:p>
        </w:tc>
        <w:tc>
          <w:tcPr>
            <w:tcW w:w="1259" w:type="pct"/>
            <w:tcBorders>
              <w:top w:val="single" w:color="auto" w:sz="2" w:space="0"/>
              <w:left w:val="single" w:color="auto" w:sz="2" w:space="0"/>
              <w:bottom w:val="single" w:color="auto" w:sz="2" w:space="0"/>
            </w:tcBorders>
            <w:vAlign w:val="center"/>
          </w:tcPr>
          <w:p w14:paraId="759FA195">
            <w:pPr>
              <w:adjustRightInd w:val="0"/>
              <w:snapToGrid w:val="0"/>
              <w:spacing w:line="300" w:lineRule="exact"/>
              <w:jc w:val="center"/>
              <w:rPr>
                <w:spacing w:val="20"/>
              </w:rPr>
            </w:pPr>
          </w:p>
        </w:tc>
      </w:tr>
      <w:tr w14:paraId="3A7C58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128D38">
            <w:pPr>
              <w:adjustRightInd w:val="0"/>
              <w:snapToGrid w:val="0"/>
              <w:spacing w:line="300" w:lineRule="exact"/>
              <w:jc w:val="center"/>
            </w:pPr>
            <w: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DC0485A">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4A48894">
            <w:pPr>
              <w:adjustRightInd w:val="0"/>
              <w:snapToGrid w:val="0"/>
              <w:spacing w:line="300" w:lineRule="exact"/>
              <w:jc w:val="center"/>
            </w:pPr>
            <w:r>
              <w:t>统一社会信用代码</w:t>
            </w:r>
          </w:p>
        </w:tc>
        <w:tc>
          <w:tcPr>
            <w:tcW w:w="1259" w:type="pct"/>
            <w:tcBorders>
              <w:top w:val="single" w:color="auto" w:sz="2" w:space="0"/>
              <w:left w:val="single" w:color="auto" w:sz="2" w:space="0"/>
              <w:bottom w:val="single" w:color="auto" w:sz="2" w:space="0"/>
            </w:tcBorders>
            <w:vAlign w:val="center"/>
          </w:tcPr>
          <w:p w14:paraId="37184E30">
            <w:pPr>
              <w:adjustRightInd w:val="0"/>
              <w:snapToGrid w:val="0"/>
              <w:spacing w:line="300" w:lineRule="exact"/>
              <w:jc w:val="center"/>
              <w:rPr>
                <w:spacing w:val="20"/>
              </w:rPr>
            </w:pPr>
          </w:p>
        </w:tc>
      </w:tr>
      <w:tr w14:paraId="794430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622156">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02A5C733">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CD792AC">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vAlign w:val="center"/>
          </w:tcPr>
          <w:p w14:paraId="65228B3B">
            <w:pPr>
              <w:adjustRightInd w:val="0"/>
              <w:snapToGrid w:val="0"/>
              <w:spacing w:line="300" w:lineRule="exact"/>
              <w:jc w:val="center"/>
              <w:rPr>
                <w:spacing w:val="20"/>
              </w:rPr>
            </w:pPr>
          </w:p>
        </w:tc>
      </w:tr>
      <w:tr w14:paraId="270326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055EB7">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110F5F96">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15D2AD73">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vAlign w:val="center"/>
          </w:tcPr>
          <w:p w14:paraId="4E54D1D8">
            <w:pPr>
              <w:adjustRightInd w:val="0"/>
              <w:snapToGrid w:val="0"/>
              <w:spacing w:line="300" w:lineRule="exact"/>
              <w:jc w:val="center"/>
              <w:rPr>
                <w:spacing w:val="20"/>
              </w:rPr>
            </w:pPr>
          </w:p>
        </w:tc>
      </w:tr>
      <w:tr w14:paraId="14F47A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F1B6EA">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5A0306D3">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4129A1FF">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vAlign w:val="center"/>
          </w:tcPr>
          <w:p w14:paraId="75388934">
            <w:pPr>
              <w:adjustRightInd w:val="0"/>
              <w:snapToGrid w:val="0"/>
              <w:spacing w:line="300" w:lineRule="exact"/>
              <w:jc w:val="center"/>
              <w:rPr>
                <w:spacing w:val="20"/>
              </w:rPr>
            </w:pPr>
          </w:p>
        </w:tc>
      </w:tr>
      <w:tr w14:paraId="666253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2071FF9">
            <w:pPr>
              <w:pStyle w:val="17"/>
              <w:adjustRightInd w:val="0"/>
              <w:snapToGrid w:val="0"/>
              <w:spacing w:before="120" w:beforeLines="50"/>
              <w:jc w:val="left"/>
              <w:rPr>
                <w:spacing w:val="20"/>
                <w:szCs w:val="21"/>
              </w:rPr>
            </w:pPr>
            <w:r>
              <w:rPr>
                <w:rFonts w:hint="eastAsia" w:ascii="宋体" w:hAnsi="宋体"/>
                <w:szCs w:val="21"/>
              </w:rPr>
              <w:t>注：涉及联合体或其他合同主体的信息应按上表格式加列。</w:t>
            </w:r>
          </w:p>
        </w:tc>
      </w:tr>
    </w:tbl>
    <w:p w14:paraId="65225B28">
      <w:pPr>
        <w:pStyle w:val="3"/>
        <w:adjustRightInd w:val="0"/>
        <w:snapToGrid w:val="0"/>
        <w:spacing w:before="120" w:beforeLines="50"/>
        <w:jc w:val="center"/>
        <w:rPr>
          <w:rFonts w:hint="eastAsia" w:ascii="黑体" w:hAnsi="黑体" w:eastAsia="黑体"/>
          <w:sz w:val="28"/>
          <w:szCs w:val="28"/>
        </w:rPr>
      </w:pPr>
      <w:r>
        <w:rPr>
          <w:rFonts w:ascii="宋体" w:hAnsi="宋体"/>
          <w:sz w:val="21"/>
          <w:szCs w:val="21"/>
          <w:u w:val="single"/>
        </w:rPr>
        <w:br w:type="page"/>
      </w:r>
      <w:bookmarkStart w:id="530" w:name="_Toc27624"/>
      <w:r>
        <w:rPr>
          <w:rFonts w:hint="eastAsia" w:ascii="黑体" w:hAnsi="黑体" w:eastAsia="黑体"/>
          <w:b w:val="0"/>
          <w:bCs w:val="0"/>
          <w:sz w:val="28"/>
          <w:szCs w:val="28"/>
        </w:rPr>
        <w:t>第二节 政府采购合同通用条款</w:t>
      </w:r>
      <w:bookmarkEnd w:id="530"/>
    </w:p>
    <w:p w14:paraId="7210087C">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b/>
          <w:sz w:val="24"/>
        </w:rPr>
        <w:t xml:space="preserve">1. </w:t>
      </w:r>
      <w:r>
        <w:rPr>
          <w:rFonts w:ascii="宋体" w:hAnsi="宋体"/>
          <w:b/>
          <w:bCs/>
          <w:sz w:val="24"/>
        </w:rPr>
        <w:t>定义</w:t>
      </w:r>
    </w:p>
    <w:p w14:paraId="6C228005">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1.1合同当事人</w:t>
      </w:r>
    </w:p>
    <w:p w14:paraId="02962D24">
      <w:pPr>
        <w:autoSpaceDE w:val="0"/>
        <w:autoSpaceDN w:val="0"/>
        <w:adjustRightInd w:val="0"/>
        <w:snapToGrid w:val="0"/>
        <w:spacing w:line="400" w:lineRule="exact"/>
        <w:ind w:firstLine="420" w:firstLineChars="200"/>
        <w:jc w:val="left"/>
        <w:rPr>
          <w:rFonts w:ascii="宋体" w:hAnsi="宋体"/>
        </w:rPr>
      </w:pPr>
      <w:r>
        <w:rPr>
          <w:rFonts w:ascii="宋体" w:hAnsi="宋体"/>
        </w:rPr>
        <w:t>（1）采购人（以下称甲方）是指使用财政性资金，通过政府采购方式向供应商购买货物及其相关服务的国家机关、事业单位、团体组织。</w:t>
      </w:r>
    </w:p>
    <w:p w14:paraId="564E7227">
      <w:pPr>
        <w:autoSpaceDE w:val="0"/>
        <w:autoSpaceDN w:val="0"/>
        <w:adjustRightInd w:val="0"/>
        <w:snapToGrid w:val="0"/>
        <w:spacing w:line="400" w:lineRule="exact"/>
        <w:ind w:firstLine="420" w:firstLineChars="200"/>
        <w:jc w:val="left"/>
        <w:rPr>
          <w:rFonts w:ascii="宋体" w:hAnsi="宋体"/>
        </w:rPr>
      </w:pPr>
      <w:r>
        <w:rPr>
          <w:rFonts w:ascii="宋体" w:hAnsi="宋体"/>
        </w:rPr>
        <w:t>（2）供应商（以下称乙方）是指参加政府采购活动并且中标（成交），向采购人提供合同约定的货物及其相关服务的法人、非法人组织或者自然人。</w:t>
      </w:r>
    </w:p>
    <w:p w14:paraId="1A7E253A">
      <w:pPr>
        <w:autoSpaceDE w:val="0"/>
        <w:autoSpaceDN w:val="0"/>
        <w:adjustRightInd w:val="0"/>
        <w:snapToGrid w:val="0"/>
        <w:spacing w:line="400" w:lineRule="exact"/>
        <w:ind w:firstLine="420" w:firstLineChars="200"/>
        <w:jc w:val="left"/>
        <w:rPr>
          <w:rFonts w:ascii="宋体" w:hAnsi="宋体"/>
        </w:rPr>
      </w:pPr>
      <w:r>
        <w:rPr>
          <w:rFonts w:ascii="宋体" w:hAnsi="宋体"/>
        </w:rPr>
        <w:t>（3）其他合同主体是指除采购人和供应商以外，</w:t>
      </w:r>
      <w:r>
        <w:rPr>
          <w:rFonts w:ascii="宋体" w:hAnsi="宋体" w:cs="宋体"/>
          <w:bCs/>
          <w:color w:val="000000" w:themeColor="text1"/>
          <w14:textFill>
            <w14:solidFill>
              <w14:schemeClr w14:val="tx1"/>
            </w14:solidFill>
          </w14:textFill>
        </w:rPr>
        <w:t>依法参与合同缔结或履行，享有权利、承担义务的合同当事人</w:t>
      </w:r>
      <w:r>
        <w:rPr>
          <w:rFonts w:ascii="宋体" w:hAnsi="宋体"/>
        </w:rPr>
        <w:t>。</w:t>
      </w:r>
    </w:p>
    <w:p w14:paraId="7466F17E">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1.2本合同下列术语应解释为：</w:t>
      </w:r>
    </w:p>
    <w:p w14:paraId="2C4B5D4B">
      <w:pPr>
        <w:adjustRightInd w:val="0"/>
        <w:snapToGrid w:val="0"/>
        <w:spacing w:line="400" w:lineRule="exact"/>
        <w:ind w:firstLine="420" w:firstLineChars="200"/>
        <w:jc w:val="left"/>
        <w:rPr>
          <w:rFonts w:ascii="宋体" w:hAnsi="宋体"/>
        </w:rPr>
      </w:pPr>
      <w:r>
        <w:rPr>
          <w:rFonts w:ascii="宋体" w:hAnsi="宋体"/>
        </w:rPr>
        <w:t>（1）“合同”系指</w:t>
      </w:r>
      <w:r>
        <w:rPr>
          <w:rFonts w:ascii="宋体" w:hAnsi="宋体" w:cs="宋体"/>
          <w:bCs/>
          <w:color w:val="000000" w:themeColor="text1"/>
          <w14:textFill>
            <w14:solidFill>
              <w14:schemeClr w14:val="tx1"/>
            </w14:solidFill>
          </w14:textFill>
        </w:rPr>
        <w:t>合同当事人意思表示达成一致的任何协议，包括签署的</w:t>
      </w:r>
      <w:r>
        <w:rPr>
          <w:rFonts w:ascii="宋体" w:hAnsi="宋体"/>
        </w:rPr>
        <w:t>政府采购合同协议书及其变更、补充协议，政府采购合同专用条款，政府采购合同通用条款，中标（成交）通知书，投标（响应）文件，采购文件，有关技术文件和图纸，以及</w:t>
      </w:r>
      <w:r>
        <w:rPr>
          <w:rFonts w:ascii="宋体" w:hAnsi="宋体" w:cs="宋体"/>
          <w:color w:val="000000" w:themeColor="text1"/>
          <w14:textFill>
            <w14:solidFill>
              <w14:schemeClr w14:val="tx1"/>
            </w14:solidFill>
          </w14:textFill>
        </w:rPr>
        <w:t>国家法律、行政法规和规章制度规定或合同约定的作为合同组成部分的其他文件</w:t>
      </w:r>
      <w:r>
        <w:rPr>
          <w:rFonts w:ascii="宋体" w:hAnsi="宋体"/>
        </w:rPr>
        <w:t>。</w:t>
      </w:r>
    </w:p>
    <w:p w14:paraId="6246DD16">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（2）“合同价款”系指根据本合同规定乙方在全面履行合同义务后甲方应支付给乙方的价款。</w:t>
      </w:r>
    </w:p>
    <w:p w14:paraId="539C82D6">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rPr>
        <w:t>（3）“货物”系指乙方根据本合同规定须向甲方提供的各种形态和种类的物品，包括原材料、设备、产品（</w:t>
      </w:r>
      <w:r>
        <w:rPr>
          <w:rFonts w:ascii="宋体" w:hAnsi="宋体"/>
          <w:color w:val="000000" w:themeColor="text1"/>
          <w14:textFill>
            <w14:solidFill>
              <w14:schemeClr w14:val="tx1"/>
            </w14:solidFill>
          </w14:textFill>
        </w:rPr>
        <w:t>包括软件）及相关的其备品备件、工具、手册及</w:t>
      </w:r>
      <w:r>
        <w:rPr>
          <w:rFonts w:ascii="宋体" w:hAnsi="宋体"/>
          <w:color w:val="000000" w:themeColor="text1"/>
          <w:lang w:val="en"/>
          <w14:textFill>
            <w14:solidFill>
              <w14:schemeClr w14:val="tx1"/>
            </w14:solidFill>
          </w14:textFill>
        </w:rPr>
        <w:t>其他</w:t>
      </w:r>
      <w:r>
        <w:rPr>
          <w:rFonts w:ascii="宋体" w:hAnsi="宋体"/>
          <w:color w:val="000000" w:themeColor="text1"/>
          <w14:textFill>
            <w14:solidFill>
              <w14:schemeClr w14:val="tx1"/>
            </w14:solidFill>
          </w14:textFill>
        </w:rPr>
        <w:t>技术资料和材料等。</w:t>
      </w:r>
    </w:p>
    <w:p w14:paraId="36543086">
      <w:pPr>
        <w:adjustRightInd w:val="0"/>
        <w:snapToGrid w:val="0"/>
        <w:spacing w:line="400" w:lineRule="exact"/>
        <w:ind w:firstLine="420" w:firstLineChars="200"/>
        <w:jc w:val="left"/>
        <w:rPr>
          <w:rFonts w:ascii="宋体" w:hAnsi="宋体"/>
          <w:color w:val="000000" w:themeColor="text1"/>
          <w:highlight w:val="yellow"/>
          <w14:textFill>
            <w14:solidFill>
              <w14:schemeClr w14:val="tx1"/>
            </w14:solidFill>
          </w14:textFill>
        </w:rPr>
      </w:pPr>
      <w:r>
        <w:rPr>
          <w:rFonts w:ascii="宋体" w:hAnsi="宋体"/>
          <w:color w:val="000000" w:themeColor="text1"/>
          <w14:textFill>
            <w14:solidFill>
              <w14:schemeClr w14:val="tx1"/>
            </w14:solidFill>
          </w14:textFill>
        </w:rPr>
        <w:t>（4）“</w:t>
      </w:r>
      <w:r>
        <w:rPr>
          <w:rFonts w:ascii="宋体" w:hAnsi="宋体"/>
        </w:rPr>
        <w:t>相关</w:t>
      </w:r>
      <w:r>
        <w:rPr>
          <w:rFonts w:ascii="宋体" w:hAnsi="宋体"/>
          <w:color w:val="000000" w:themeColor="text1"/>
          <w14:textFill>
            <w14:solidFill>
              <w14:schemeClr w14:val="tx1"/>
            </w14:solidFill>
          </w14:textFill>
        </w:rPr>
        <w:t>服务”系指根据合同规定，乙方应提供的与货物有关的技术、管理和</w:t>
      </w:r>
      <w:r>
        <w:rPr>
          <w:rFonts w:ascii="宋体" w:hAnsi="宋体"/>
          <w:color w:val="000000" w:themeColor="text1"/>
          <w:lang w:val="en"/>
          <w14:textFill>
            <w14:solidFill>
              <w14:schemeClr w14:val="tx1"/>
            </w14:solidFill>
          </w14:textFill>
        </w:rPr>
        <w:t>其他</w:t>
      </w:r>
      <w:r>
        <w:rPr>
          <w:rFonts w:ascii="宋体" w:hAnsi="宋体"/>
          <w:color w:val="000000" w:themeColor="text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lang w:val="en"/>
          <w14:textFill>
            <w14:solidFill>
              <w14:schemeClr w14:val="tx1"/>
            </w14:solidFill>
          </w14:textFill>
        </w:rPr>
        <w:t>其他</w:t>
      </w:r>
      <w:r>
        <w:rPr>
          <w:rFonts w:ascii="宋体" w:hAnsi="宋体"/>
          <w:color w:val="000000" w:themeColor="text1"/>
          <w14:textFill>
            <w14:solidFill>
              <w14:schemeClr w14:val="tx1"/>
            </w14:solidFill>
          </w14:textFill>
        </w:rPr>
        <w:t>义务。</w:t>
      </w:r>
    </w:p>
    <w:p w14:paraId="56D643EB">
      <w:pPr>
        <w:adjustRightInd w:val="0"/>
        <w:snapToGrid w:val="0"/>
        <w:spacing w:line="400" w:lineRule="exact"/>
        <w:ind w:firstLine="420" w:firstLineChars="200"/>
        <w:jc w:val="left"/>
        <w:rPr>
          <w:rFonts w:ascii="宋体" w:hAnsi="宋体"/>
          <w:color w:val="000000" w:themeColor="text1"/>
          <w:highlight w:val="yellow"/>
          <w14:textFill>
            <w14:solidFill>
              <w14:schemeClr w14:val="tx1"/>
            </w14:solidFill>
          </w14:textFill>
        </w:rPr>
      </w:pPr>
      <w:r>
        <w:rPr>
          <w:rFonts w:ascii="宋体" w:hAnsi="宋体"/>
          <w:color w:val="000000" w:themeColor="text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74F873E5">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ascii="宋体" w:hAnsi="宋体"/>
        </w:rPr>
        <w:t>“联合体”系指由两个以上的自然人、法人或者非法人组织组成，以一个供应商的身份共同参加政府采购的主体</w:t>
      </w:r>
      <w:r>
        <w:rPr>
          <w:rFonts w:ascii="宋体" w:hAnsi="宋体"/>
          <w:color w:val="000000" w:themeColor="text1"/>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b/>
          <w:bCs/>
          <w:color w:val="000000" w:themeColor="text1"/>
          <w14:textFill>
            <w14:solidFill>
              <w14:schemeClr w14:val="tx1"/>
            </w14:solidFill>
          </w14:textFill>
        </w:rPr>
        <w:t>政府采购合同专用条款</w:t>
      </w:r>
      <w:r>
        <w:rPr>
          <w:rFonts w:ascii="宋体" w:hAnsi="宋体"/>
          <w:color w:val="000000" w:themeColor="text1"/>
          <w14:textFill>
            <w14:solidFill>
              <w14:schemeClr w14:val="tx1"/>
            </w14:solidFill>
          </w14:textFill>
        </w:rPr>
        <w:t>】。</w:t>
      </w:r>
    </w:p>
    <w:p w14:paraId="7A831D1C">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（7）其他术语解释，见【</w:t>
      </w:r>
      <w:r>
        <w:rPr>
          <w:rFonts w:ascii="宋体" w:hAnsi="宋体"/>
          <w:b/>
          <w:bCs/>
          <w:color w:val="000000" w:themeColor="text1"/>
          <w14:textFill>
            <w14:solidFill>
              <w14:schemeClr w14:val="tx1"/>
            </w14:solidFill>
          </w14:textFill>
        </w:rPr>
        <w:t>政府采购合同专用条款</w:t>
      </w:r>
      <w:r>
        <w:rPr>
          <w:rFonts w:ascii="宋体" w:hAnsi="宋体"/>
          <w:color w:val="000000" w:themeColor="text1"/>
          <w14:textFill>
            <w14:solidFill>
              <w14:schemeClr w14:val="tx1"/>
            </w14:solidFill>
          </w14:textFill>
        </w:rPr>
        <w:t>】。</w:t>
      </w:r>
    </w:p>
    <w:p w14:paraId="1300C45E">
      <w:pPr>
        <w:widowControl w:val="0"/>
        <w:numPr>
          <w:ilvl w:val="0"/>
          <w:numId w:val="12"/>
        </w:num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合同标的及金额</w:t>
      </w:r>
    </w:p>
    <w:p w14:paraId="1F7A141B">
      <w:pPr>
        <w:autoSpaceDE w:val="0"/>
        <w:autoSpaceDN w:val="0"/>
        <w:adjustRightInd w:val="0"/>
        <w:snapToGrid w:val="0"/>
        <w:spacing w:line="400" w:lineRule="exact"/>
        <w:ind w:firstLine="420" w:firstLineChars="200"/>
        <w:jc w:val="left"/>
        <w:rPr>
          <w:rFonts w:ascii="宋体" w:hAnsi="宋体"/>
          <w:b/>
          <w:bCs/>
          <w:i/>
          <w:iCs/>
          <w:color w:val="000000" w:themeColor="text1"/>
          <w14:textFill>
            <w14:solidFill>
              <w14:schemeClr w14:val="tx1"/>
            </w14:solidFill>
          </w14:textFill>
        </w:rPr>
      </w:pPr>
      <w:r>
        <w:rPr>
          <w:rFonts w:ascii="宋体" w:hAnsi="宋体"/>
          <w:color w:val="000000" w:themeColor="text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lang w:val="en"/>
          <w14:textFill>
            <w14:solidFill>
              <w14:schemeClr w14:val="tx1"/>
            </w14:solidFill>
          </w14:textFill>
        </w:rPr>
        <w:t>其他</w:t>
      </w:r>
      <w:r>
        <w:rPr>
          <w:rFonts w:ascii="宋体" w:hAnsi="宋体"/>
          <w:color w:val="000000" w:themeColor="text1"/>
          <w14:textFill>
            <w14:solidFill>
              <w14:schemeClr w14:val="tx1"/>
            </w14:solidFill>
          </w14:textFill>
        </w:rPr>
        <w:t>任何费用。</w:t>
      </w:r>
    </w:p>
    <w:p w14:paraId="29620E00">
      <w:pPr>
        <w:adjustRightInd w:val="0"/>
        <w:snapToGrid w:val="0"/>
        <w:spacing w:line="400" w:lineRule="exact"/>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 履行合同的时间、地点和方式</w:t>
      </w:r>
    </w:p>
    <w:p w14:paraId="31BFE6B3">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3.1 </w:t>
      </w:r>
      <w:r>
        <w:rPr>
          <w:rFonts w:ascii="宋体" w:hAnsi="宋体" w:cs="宋体"/>
        </w:rPr>
        <w:t>乙方应当在约定的时间、地点，按照约定方式履行合同。</w:t>
      </w:r>
    </w:p>
    <w:p w14:paraId="2A022C8F">
      <w:p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4. 甲方的权利和义务</w:t>
      </w:r>
    </w:p>
    <w:p w14:paraId="30742106">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223AA0F">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5D3FFB35">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4.3 甲方有权要求乙方对缺陷部分予以修复，并按合同约定享有货物保修及其他合同约定的权利。</w:t>
      </w:r>
    </w:p>
    <w:p w14:paraId="7A950089">
      <w:pPr>
        <w:snapToGrid w:val="0"/>
        <w:spacing w:line="400" w:lineRule="exact"/>
        <w:ind w:firstLine="420" w:firstLineChars="200"/>
        <w:rPr>
          <w:rFonts w:eastAsia="华文楷体"/>
        </w:rPr>
      </w:pPr>
      <w:r>
        <w:rPr>
          <w:rFonts w:ascii="宋体" w:hAnsi="宋体"/>
          <w:color w:val="000000" w:themeColor="text1"/>
          <w14:textFill>
            <w14:solidFill>
              <w14:schemeClr w14:val="tx1"/>
            </w14:solidFill>
          </w14:textFill>
        </w:rPr>
        <w:t>4.4 甲方应当按照合同约定及时对交付的货物进行验收，</w:t>
      </w:r>
      <w:r>
        <w:rPr>
          <w:rFonts w:ascii="宋体" w:hAnsi="宋体" w:cs="宋体"/>
        </w:rPr>
        <w:t>未</w:t>
      </w:r>
      <w:r>
        <w:rPr>
          <w:rFonts w:ascii="宋体" w:hAnsi="宋体"/>
          <w:color w:val="000000" w:themeColor="text1"/>
          <w14:textFill>
            <w14:solidFill>
              <w14:schemeClr w14:val="tx1"/>
            </w14:solidFill>
          </w14:textFill>
        </w:rPr>
        <w:t>在</w:t>
      </w:r>
      <w:r>
        <w:rPr>
          <w:rFonts w:ascii="宋体" w:hAnsi="宋体" w:cs="宋体"/>
          <w:b/>
          <w:bCs/>
        </w:rPr>
        <w:t>【政府采购合同专用条款】</w:t>
      </w:r>
      <w:r>
        <w:rPr>
          <w:rFonts w:ascii="宋体" w:hAnsi="宋体" w:cs="宋体"/>
        </w:rPr>
        <w:t>约定的期限内对乙方履约提出任何异议或者向乙方作出任何说明的，</w:t>
      </w:r>
      <w:r>
        <w:rPr>
          <w:rFonts w:ascii="宋体" w:hAnsi="宋体"/>
          <w:color w:val="000000" w:themeColor="text1"/>
          <w14:textFill>
            <w14:solidFill>
              <w14:schemeClr w14:val="tx1"/>
            </w14:solidFill>
          </w14:textFill>
        </w:rPr>
        <w:t>视为验收通过。</w:t>
      </w:r>
    </w:p>
    <w:p w14:paraId="41427145">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4.5 甲方应当根据合同约定及时向乙方支付合同价款，不得以内部人员变更、履行内部付款流程等为由，拒绝或迟延支付。</w:t>
      </w:r>
    </w:p>
    <w:p w14:paraId="2D003451">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4.6 国家法律法规规定及</w:t>
      </w:r>
      <w:r>
        <w:rPr>
          <w:rFonts w:ascii="宋体" w:hAnsi="宋体" w:cs="宋体"/>
          <w:b/>
          <w:bCs/>
        </w:rPr>
        <w:t>【政府采购合同专用条款】</w:t>
      </w:r>
      <w:r>
        <w:rPr>
          <w:rFonts w:ascii="宋体" w:hAnsi="宋体"/>
          <w:color w:val="000000" w:themeColor="text1"/>
          <w14:textFill>
            <w14:solidFill>
              <w14:schemeClr w14:val="tx1"/>
            </w14:solidFill>
          </w14:textFill>
        </w:rPr>
        <w:t>约定应由甲方承担的其他义务和责任。</w:t>
      </w:r>
    </w:p>
    <w:p w14:paraId="7BE3CF81">
      <w:p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5. 乙方的权利和义务</w:t>
      </w:r>
    </w:p>
    <w:p w14:paraId="6D9C7E06">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5.1 签署合同后，乙方应确定项目负责人（或项目联系人），负责与本合同有关的事务。</w:t>
      </w:r>
    </w:p>
    <w:p w14:paraId="279B9741">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70661D2">
      <w:pPr>
        <w:pStyle w:val="16"/>
        <w:spacing w:line="400" w:lineRule="exact"/>
        <w:ind w:firstLine="422" w:firstLineChars="176"/>
        <w:rPr>
          <w:rFonts w:hint="eastAsia"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乙方有权</w:t>
      </w:r>
      <w:r>
        <w:rPr>
          <w:rFonts w:hint="eastAsia" w:cs="宋体"/>
          <w:color w:val="000000" w:themeColor="text1"/>
          <w:szCs w:val="21"/>
          <w14:textFill>
            <w14:solidFill>
              <w14:schemeClr w14:val="tx1"/>
            </w14:solidFill>
          </w14:textFill>
        </w:rPr>
        <w:t>根据合同约定向甲方收取合同价款。</w:t>
      </w:r>
    </w:p>
    <w:p w14:paraId="6AE37A85">
      <w:pPr>
        <w:pStyle w:val="16"/>
        <w:spacing w:line="400" w:lineRule="exact"/>
        <w:ind w:firstLine="422" w:firstLineChars="176"/>
        <w:rPr>
          <w:rFonts w:hint="eastAsia"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4</w:t>
      </w:r>
      <w:r>
        <w:rPr>
          <w:rFonts w:hint="eastAsia" w:cs="宋体"/>
          <w:color w:val="000000" w:themeColor="text1"/>
          <w:szCs w:val="21"/>
          <w14:textFill>
            <w14:solidFill>
              <w14:schemeClr w14:val="tx1"/>
            </w14:solidFill>
          </w14:textFill>
        </w:rPr>
        <w:t>国家法律法规规定</w:t>
      </w:r>
      <w:r>
        <w:rPr>
          <w:rFonts w:hint="eastAsia"/>
          <w:color w:val="000000" w:themeColor="text1"/>
          <w:szCs w:val="21"/>
          <w14:textFill>
            <w14:solidFill>
              <w14:schemeClr w14:val="tx1"/>
            </w14:solidFill>
          </w14:textFill>
        </w:rPr>
        <w:t>及</w:t>
      </w:r>
      <w:r>
        <w:rPr>
          <w:rFonts w:hint="eastAsia" w:cs="宋体"/>
          <w:b/>
          <w:bCs/>
          <w:szCs w:val="21"/>
        </w:rPr>
        <w:t>【政府采购合同专用条款】</w:t>
      </w:r>
      <w:r>
        <w:rPr>
          <w:rFonts w:hint="eastAsia" w:cs="宋体"/>
          <w:szCs w:val="21"/>
        </w:rPr>
        <w:t>约定应</w:t>
      </w:r>
      <w:r>
        <w:rPr>
          <w:rFonts w:hint="eastAsia" w:cs="宋体"/>
          <w:color w:val="000000" w:themeColor="text1"/>
          <w:szCs w:val="21"/>
          <w14:textFill>
            <w14:solidFill>
              <w14:schemeClr w14:val="tx1"/>
            </w14:solidFill>
          </w14:textFill>
        </w:rPr>
        <w:t>由乙方承担的其他义务和责任。</w:t>
      </w:r>
    </w:p>
    <w:p w14:paraId="33E03A3A">
      <w:pPr>
        <w:widowControl w:val="0"/>
        <w:numPr>
          <w:ilvl w:val="0"/>
          <w:numId w:val="13"/>
        </w:num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合同履行</w:t>
      </w:r>
    </w:p>
    <w:p w14:paraId="3C268AED">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6.1 甲乙双方应当按照</w:t>
      </w:r>
      <w:r>
        <w:rPr>
          <w:rFonts w:ascii="宋体" w:hAnsi="宋体" w:cs="宋体"/>
          <w:b/>
          <w:bCs/>
        </w:rPr>
        <w:t>【政府采购合同专用条款】</w:t>
      </w:r>
      <w:r>
        <w:rPr>
          <w:rFonts w:ascii="宋体" w:hAnsi="宋体"/>
          <w:color w:val="000000" w:themeColor="text1"/>
          <w14:textFill>
            <w14:solidFill>
              <w14:schemeClr w14:val="tx1"/>
            </w14:solidFill>
          </w14:textFill>
        </w:rPr>
        <w:t>约定顺序履行合同义务；如果没有先后顺序的，应当同时履行。</w:t>
      </w:r>
    </w:p>
    <w:p w14:paraId="2DAC875B">
      <w:pPr>
        <w:autoSpaceDE w:val="0"/>
        <w:autoSpaceDN w:val="0"/>
        <w:adjustRightInd w:val="0"/>
        <w:snapToGrid w:val="0"/>
        <w:spacing w:line="400" w:lineRule="exact"/>
        <w:ind w:firstLine="420" w:firstLineChars="200"/>
        <w:jc w:val="left"/>
      </w:pPr>
      <w:r>
        <w:rPr>
          <w:rFonts w:ascii="宋体" w:hAnsi="宋体"/>
          <w:color w:val="000000" w:themeColor="text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4ED17F0E">
      <w:pPr>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7. 货物包装、运输、保险和交付要求</w:t>
      </w:r>
    </w:p>
    <w:p w14:paraId="5604237C">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7.1 本合同</w:t>
      </w:r>
      <w:r>
        <w:rPr>
          <w:rFonts w:ascii="宋体" w:hAnsi="宋体"/>
          <w:bCs/>
          <w:color w:val="000000" w:themeColor="text1"/>
          <w14:textFill>
            <w14:solidFill>
              <w14:schemeClr w14:val="tx1"/>
            </w14:solidFill>
          </w14:textFill>
        </w:rPr>
        <w:t>涉及商品包装、快递包装的，</w:t>
      </w:r>
      <w:r>
        <w:rPr>
          <w:rFonts w:ascii="宋体" w:hAnsi="宋体"/>
          <w:color w:val="000000" w:themeColor="text1"/>
          <w14:textFill>
            <w14:solidFill>
              <w14:schemeClr w14:val="tx1"/>
            </w14:solidFill>
          </w14:textFill>
        </w:rPr>
        <w:t>除</w:t>
      </w:r>
      <w:r>
        <w:rPr>
          <w:rFonts w:ascii="宋体" w:hAnsi="宋体"/>
          <w:b/>
          <w:color w:val="000000" w:themeColor="text1"/>
          <w14:textFill>
            <w14:solidFill>
              <w14:schemeClr w14:val="tx1"/>
            </w14:solidFill>
          </w14:textFill>
        </w:rPr>
        <w:t>【政府采购合同专用条款】</w:t>
      </w:r>
      <w:r>
        <w:rPr>
          <w:rFonts w:ascii="宋体" w:hAnsi="宋体"/>
          <w:bCs/>
          <w:color w:val="000000" w:themeColor="text1"/>
          <w14:textFill>
            <w14:solidFill>
              <w14:schemeClr w14:val="tx1"/>
            </w14:solidFill>
          </w14:textFill>
        </w:rPr>
        <w:t>另有约定外，</w:t>
      </w:r>
      <w:r>
        <w:rPr>
          <w:rFonts w:ascii="宋体" w:hAnsi="宋体"/>
          <w:color w:val="000000" w:themeColor="text1"/>
          <w14:textFill>
            <w14:solidFill>
              <w14:schemeClr w14:val="tx1"/>
            </w14:solidFill>
          </w14:textFill>
        </w:rPr>
        <w:t>包装应适应远距离运输、防潮、防震、防锈和防野蛮装卸等要求，确保货物安全无损地运抵</w:t>
      </w:r>
      <w:r>
        <w:rPr>
          <w:rFonts w:ascii="宋体" w:hAnsi="宋体"/>
          <w:b/>
          <w:color w:val="000000" w:themeColor="text1"/>
          <w14:textFill>
            <w14:solidFill>
              <w14:schemeClr w14:val="tx1"/>
            </w14:solidFill>
          </w14:textFill>
        </w:rPr>
        <w:t>【政府采购合同专用条款】</w:t>
      </w:r>
      <w:r>
        <w:rPr>
          <w:rFonts w:ascii="宋体" w:hAnsi="宋体"/>
          <w:bCs/>
          <w:color w:val="000000" w:themeColor="text1"/>
          <w14:textFill>
            <w14:solidFill>
              <w14:schemeClr w14:val="tx1"/>
            </w14:solidFill>
          </w14:textFill>
        </w:rPr>
        <w:t>约定的</w:t>
      </w:r>
      <w:r>
        <w:rPr>
          <w:rFonts w:ascii="宋体" w:hAnsi="宋体"/>
          <w:color w:val="000000" w:themeColor="text1"/>
          <w14:textFill>
            <w14:solidFill>
              <w14:schemeClr w14:val="tx1"/>
            </w14:solidFill>
          </w14:textFill>
        </w:rPr>
        <w:t>指定现场。</w:t>
      </w:r>
    </w:p>
    <w:p w14:paraId="77D23F5C">
      <w:pPr>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7.2 除</w:t>
      </w:r>
      <w:r>
        <w:rPr>
          <w:rFonts w:ascii="宋体" w:hAnsi="宋体"/>
          <w:b/>
          <w:color w:val="000000" w:themeColor="text1"/>
          <w14:textFill>
            <w14:solidFill>
              <w14:schemeClr w14:val="tx1"/>
            </w14:solidFill>
          </w14:textFill>
        </w:rPr>
        <w:t>【政府采购合同专用条款】</w:t>
      </w:r>
      <w:r>
        <w:rPr>
          <w:rFonts w:ascii="宋体" w:hAnsi="宋体"/>
          <w:bCs/>
          <w:color w:val="000000" w:themeColor="text1"/>
          <w14:textFill>
            <w14:solidFill>
              <w14:schemeClr w14:val="tx1"/>
            </w14:solidFill>
          </w14:textFill>
        </w:rPr>
        <w:t>另有约定外，</w:t>
      </w:r>
      <w:r>
        <w:rPr>
          <w:rFonts w:ascii="宋体" w:hAnsi="宋体"/>
          <w:color w:val="000000" w:themeColor="text1"/>
          <w14:textFill>
            <w14:solidFill>
              <w14:schemeClr w14:val="tx1"/>
            </w14:solidFill>
          </w14:textFill>
        </w:rPr>
        <w:t>乙方负责办理将货物运抵本合同规定的交货地点，并装卸、交付至甲方的一切运输事项，相关费用应包含在合同价款中。</w:t>
      </w:r>
    </w:p>
    <w:p w14:paraId="57D59B2A">
      <w:pPr>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7.3 货物保险要求按</w:t>
      </w:r>
      <w:r>
        <w:rPr>
          <w:rFonts w:ascii="宋体" w:hAnsi="宋体"/>
          <w:b/>
          <w:color w:val="000000" w:themeColor="text1"/>
          <w14:textFill>
            <w14:solidFill>
              <w14:schemeClr w14:val="tx1"/>
            </w14:solidFill>
          </w14:textFill>
        </w:rPr>
        <w:t>【政府采购合同专用条款】</w:t>
      </w:r>
      <w:r>
        <w:rPr>
          <w:rFonts w:ascii="宋体" w:hAnsi="宋体"/>
          <w:bCs/>
          <w:color w:val="000000" w:themeColor="text1"/>
          <w14:textFill>
            <w14:solidFill>
              <w14:schemeClr w14:val="tx1"/>
            </w14:solidFill>
          </w14:textFill>
        </w:rPr>
        <w:t>规定执行</w:t>
      </w:r>
      <w:r>
        <w:rPr>
          <w:rFonts w:ascii="宋体" w:hAnsi="宋体"/>
          <w:color w:val="000000" w:themeColor="text1"/>
          <w14:textFill>
            <w14:solidFill>
              <w14:schemeClr w14:val="tx1"/>
            </w14:solidFill>
          </w14:textFill>
        </w:rPr>
        <w:t>。</w:t>
      </w:r>
    </w:p>
    <w:p w14:paraId="38AE8615">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5A95B8">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7.5 </w:t>
      </w:r>
      <w:r>
        <w:rPr>
          <w:rFonts w:ascii="宋体" w:hAnsi="宋体" w:cs="宋体"/>
        </w:rPr>
        <w:t>乙方在运输到达之前应提前通知甲方，并提示货物运输装卸的注意事项，甲方配合乙方做好货物的接收工作。</w:t>
      </w:r>
    </w:p>
    <w:p w14:paraId="202E6F44">
      <w:pPr>
        <w:pStyle w:val="100"/>
        <w:ind w:firstLine="420"/>
        <w:rPr>
          <w:rFonts w:hint="eastAsia"/>
          <w:sz w:val="21"/>
        </w:rPr>
      </w:pPr>
      <w:r>
        <w:rPr>
          <w:rFonts w:hint="eastAsia" w:ascii="宋体" w:hAnsi="宋体" w:eastAsia="宋体" w:cs="Times New Roman"/>
          <w:color w:val="000000" w:themeColor="text1"/>
          <w:kern w:val="2"/>
          <w:sz w:val="21"/>
          <w14:textFill>
            <w14:solidFill>
              <w14:schemeClr w14:val="tx1"/>
            </w14:solidFill>
          </w14:textFill>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14:textFill>
            <w14:solidFill>
              <w14:schemeClr w14:val="tx1"/>
            </w14:solidFill>
          </w14:textFill>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306F38C1">
      <w:pPr>
        <w:adjustRightInd w:val="0"/>
        <w:snapToGrid w:val="0"/>
        <w:spacing w:line="400" w:lineRule="exact"/>
        <w:jc w:val="left"/>
        <w:rPr>
          <w:rFonts w:ascii="宋体" w:hAnsi="宋体"/>
          <w:b/>
          <w:sz w:val="24"/>
        </w:rPr>
      </w:pPr>
      <w:r>
        <w:rPr>
          <w:rFonts w:ascii="宋体" w:hAnsi="宋体"/>
          <w:b/>
          <w:color w:val="000000" w:themeColor="text1"/>
          <w:sz w:val="24"/>
          <w14:textFill>
            <w14:solidFill>
              <w14:schemeClr w14:val="tx1"/>
            </w14:solidFill>
          </w14:textFill>
        </w:rPr>
        <w:t xml:space="preserve">8. </w:t>
      </w:r>
      <w:r>
        <w:rPr>
          <w:rFonts w:ascii="宋体" w:hAnsi="宋体"/>
          <w:b/>
          <w:sz w:val="24"/>
        </w:rPr>
        <w:t>质量标准和保证</w:t>
      </w:r>
    </w:p>
    <w:p w14:paraId="35E10EAB">
      <w:pPr>
        <w:pStyle w:val="24"/>
        <w:adjustRightInd w:val="0"/>
        <w:snapToGrid w:val="0"/>
        <w:spacing w:line="400" w:lineRule="exact"/>
        <w:ind w:left="420" w:firstLine="400" w:firstLineChars="200"/>
        <w:jc w:val="left"/>
        <w:rPr>
          <w:rFonts w:hint="eastAsia" w:hAnsi="宋体"/>
          <w:b/>
        </w:rPr>
      </w:pPr>
      <w:r>
        <w:rPr>
          <w:rFonts w:hint="eastAsia" w:hAnsi="宋体"/>
        </w:rPr>
        <w:t>8.1 质量标准</w:t>
      </w:r>
    </w:p>
    <w:p w14:paraId="15FC85B3">
      <w:pPr>
        <w:autoSpaceDE w:val="0"/>
        <w:autoSpaceDN w:val="0"/>
        <w:adjustRightInd w:val="0"/>
        <w:snapToGrid w:val="0"/>
        <w:spacing w:line="400" w:lineRule="exact"/>
        <w:ind w:firstLine="420" w:firstLineChars="200"/>
        <w:jc w:val="left"/>
        <w:rPr>
          <w:rFonts w:ascii="宋体" w:hAnsi="宋体"/>
        </w:rPr>
      </w:pPr>
      <w:r>
        <w:rPr>
          <w:rFonts w:ascii="宋体" w:hAnsi="宋体"/>
        </w:rPr>
        <w:t>（1）本合同下提供的货物应符合合同</w:t>
      </w:r>
      <w:r>
        <w:rPr>
          <w:rFonts w:ascii="宋体" w:hAnsi="宋体" w:cs="宋体"/>
        </w:rPr>
        <w:t>约定的品牌、规格型号、技术性能、配置、质量、数量等要求。</w:t>
      </w:r>
      <w:r>
        <w:rPr>
          <w:rFonts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3A1D3C2">
      <w:pPr>
        <w:pStyle w:val="24"/>
        <w:adjustRightInd w:val="0"/>
        <w:snapToGrid w:val="0"/>
        <w:spacing w:line="400" w:lineRule="exact"/>
        <w:ind w:left="420" w:firstLine="400" w:firstLineChars="200"/>
        <w:jc w:val="left"/>
        <w:rPr>
          <w:rFonts w:hint="eastAsia" w:hAnsi="宋体"/>
        </w:rPr>
      </w:pPr>
      <w:r>
        <w:rPr>
          <w:rFonts w:hint="eastAsia" w:hAnsi="宋体"/>
        </w:rPr>
        <w:t>（2）采用中华人民共和国法定计量单位。</w:t>
      </w:r>
    </w:p>
    <w:p w14:paraId="42458800">
      <w:pPr>
        <w:autoSpaceDE w:val="0"/>
        <w:autoSpaceDN w:val="0"/>
        <w:adjustRightInd w:val="0"/>
        <w:snapToGrid w:val="0"/>
        <w:spacing w:line="400" w:lineRule="exact"/>
        <w:ind w:firstLine="420" w:firstLineChars="200"/>
        <w:jc w:val="left"/>
        <w:rPr>
          <w:rFonts w:ascii="宋体" w:hAnsi="宋体"/>
        </w:rPr>
      </w:pPr>
      <w:r>
        <w:rPr>
          <w:rFonts w:ascii="宋体" w:hAnsi="宋体"/>
        </w:rPr>
        <w:t>（3）乙方所提供的货物应符合国家有关安全、环保、卫生的规定。</w:t>
      </w:r>
    </w:p>
    <w:p w14:paraId="007F4FA1">
      <w:pPr>
        <w:autoSpaceDE w:val="0"/>
        <w:autoSpaceDN w:val="0"/>
        <w:adjustRightInd w:val="0"/>
        <w:snapToGrid w:val="0"/>
        <w:spacing w:line="400" w:lineRule="exact"/>
        <w:ind w:firstLine="420" w:firstLineChars="200"/>
        <w:jc w:val="left"/>
        <w:rPr>
          <w:rFonts w:ascii="宋体" w:hAnsi="宋体"/>
        </w:rPr>
      </w:pPr>
      <w:r>
        <w:rPr>
          <w:rFonts w:ascii="宋体" w:hAnsi="宋体"/>
        </w:rPr>
        <w:t>（4）乙方应向甲方提交所提供货物的技术文件，包括相应的中文技术文件，如：产品目录、图纸、操作手册、使用说明、维护手册或服务指南等。上述文件应包装好随货物一同发运。</w:t>
      </w:r>
    </w:p>
    <w:p w14:paraId="2F1E8EFC">
      <w:pPr>
        <w:autoSpaceDE w:val="0"/>
        <w:autoSpaceDN w:val="0"/>
        <w:adjustRightInd w:val="0"/>
        <w:snapToGrid w:val="0"/>
        <w:spacing w:line="400" w:lineRule="exact"/>
        <w:ind w:firstLine="420" w:firstLineChars="200"/>
        <w:jc w:val="left"/>
        <w:rPr>
          <w:rFonts w:ascii="宋体" w:hAnsi="宋体"/>
        </w:rPr>
      </w:pPr>
      <w:r>
        <w:rPr>
          <w:rFonts w:ascii="宋体" w:hAnsi="宋体"/>
        </w:rPr>
        <w:t>8.2 保证</w:t>
      </w:r>
    </w:p>
    <w:p w14:paraId="42601591">
      <w:pPr>
        <w:autoSpaceDE w:val="0"/>
        <w:autoSpaceDN w:val="0"/>
        <w:adjustRightInd w:val="0"/>
        <w:snapToGrid w:val="0"/>
        <w:spacing w:line="400" w:lineRule="exact"/>
        <w:ind w:firstLine="420" w:firstLineChars="200"/>
        <w:jc w:val="left"/>
        <w:rPr>
          <w:rFonts w:ascii="宋体" w:hAnsi="宋体"/>
        </w:rPr>
      </w:pPr>
      <w:r>
        <w:rPr>
          <w:rFonts w:ascii="宋体" w:hAnsi="宋体"/>
        </w:rPr>
        <w:t>（1）乙方应保证提供的货物完全符合合同规定的质量、规格和性能要求。乙方应保证货物在正确安装、正常使用和保养条件下，</w:t>
      </w:r>
      <w:r>
        <w:rPr>
          <w:rFonts w:ascii="宋体" w:hAnsi="宋体" w:cs="宋体"/>
        </w:rPr>
        <w:t>在其使用寿命期内具备合同约定的性能</w:t>
      </w:r>
      <w:r>
        <w:rPr>
          <w:rFonts w:ascii="宋体" w:hAnsi="宋体"/>
        </w:rPr>
        <w:t>。存在质量保证期的，货物最终交付验收合格后在</w:t>
      </w:r>
      <w:r>
        <w:rPr>
          <w:rFonts w:ascii="宋体" w:hAnsi="宋体"/>
          <w:b/>
        </w:rPr>
        <w:t>【政府采购合同专用条款】</w:t>
      </w:r>
      <w:r>
        <w:rPr>
          <w:rFonts w:ascii="宋体" w:hAnsi="宋体"/>
        </w:rPr>
        <w:t>规定或乙方书面承诺（两者以较长的为准）的质量保证期内，本保证保持有效。</w:t>
      </w:r>
    </w:p>
    <w:p w14:paraId="7B282D9B">
      <w:pPr>
        <w:autoSpaceDE w:val="0"/>
        <w:autoSpaceDN w:val="0"/>
        <w:adjustRightInd w:val="0"/>
        <w:snapToGrid w:val="0"/>
        <w:spacing w:line="400" w:lineRule="exact"/>
        <w:ind w:firstLine="420" w:firstLineChars="200"/>
        <w:jc w:val="left"/>
        <w:rPr>
          <w:rFonts w:ascii="宋体" w:hAnsi="宋体"/>
        </w:rPr>
      </w:pPr>
      <w:r>
        <w:rPr>
          <w:rFonts w:ascii="宋体" w:hAnsi="宋体"/>
        </w:rPr>
        <w:t>（2）在质量保证期内所发现的缺陷，甲方应尽快以书面形式通知乙方。</w:t>
      </w:r>
    </w:p>
    <w:p w14:paraId="4F6A983B">
      <w:pPr>
        <w:autoSpaceDE w:val="0"/>
        <w:autoSpaceDN w:val="0"/>
        <w:adjustRightInd w:val="0"/>
        <w:snapToGrid w:val="0"/>
        <w:spacing w:line="400" w:lineRule="exact"/>
        <w:ind w:firstLine="420" w:firstLineChars="200"/>
        <w:jc w:val="left"/>
        <w:rPr>
          <w:rFonts w:ascii="宋体" w:hAnsi="宋体"/>
        </w:rPr>
      </w:pPr>
      <w:r>
        <w:rPr>
          <w:rFonts w:ascii="宋体" w:hAnsi="宋体"/>
        </w:rPr>
        <w:t>（3）乙方收到通知后，应在</w:t>
      </w:r>
      <w:r>
        <w:rPr>
          <w:rFonts w:ascii="宋体" w:hAnsi="宋体"/>
          <w:b/>
        </w:rPr>
        <w:t>【政府采购合同专用条款】</w:t>
      </w:r>
      <w:r>
        <w:rPr>
          <w:rFonts w:ascii="宋体" w:hAnsi="宋体"/>
        </w:rPr>
        <w:t>规定的响应时间内以合理的速度免费维修或更换有缺陷的货物或部件。</w:t>
      </w:r>
    </w:p>
    <w:p w14:paraId="475EF244">
      <w:pPr>
        <w:autoSpaceDE w:val="0"/>
        <w:autoSpaceDN w:val="0"/>
        <w:adjustRightInd w:val="0"/>
        <w:snapToGrid w:val="0"/>
        <w:spacing w:line="400" w:lineRule="exact"/>
        <w:ind w:firstLine="420" w:firstLineChars="200"/>
        <w:jc w:val="left"/>
        <w:rPr>
          <w:rFonts w:ascii="宋体" w:hAnsi="宋体"/>
        </w:rPr>
      </w:pPr>
      <w:r>
        <w:rPr>
          <w:rFonts w:ascii="宋体" w:hAnsi="宋体"/>
        </w:rPr>
        <w:t>（4）在质量保证期内，如果货物的质量或规格与合同不符，或证实货物是有缺陷的，包括潜在的缺陷或使用不符合要求的材料等，甲方可以根据本合同第1</w:t>
      </w:r>
      <w:r>
        <w:rPr>
          <w:rFonts w:ascii="宋体" w:hAnsi="宋体"/>
          <w:color w:val="000000" w:themeColor="text1"/>
          <w14:textFill>
            <w14:solidFill>
              <w14:schemeClr w14:val="tx1"/>
            </w14:solidFill>
          </w14:textFill>
        </w:rPr>
        <w:t>5</w:t>
      </w:r>
      <w:r>
        <w:rPr>
          <w:rFonts w:ascii="宋体" w:hAnsi="宋体"/>
        </w:rPr>
        <w:t>.1条规定以书面形式</w:t>
      </w:r>
      <w:r>
        <w:rPr>
          <w:rFonts w:ascii="宋体" w:hAnsi="宋体"/>
          <w:color w:val="000000" w:themeColor="text1"/>
          <w14:textFill>
            <w14:solidFill>
              <w14:schemeClr w14:val="tx1"/>
            </w14:solidFill>
          </w14:textFill>
        </w:rPr>
        <w:t>追究</w:t>
      </w:r>
      <w:r>
        <w:rPr>
          <w:rFonts w:ascii="宋体" w:hAnsi="宋体"/>
        </w:rPr>
        <w:t>乙方</w:t>
      </w:r>
      <w:r>
        <w:rPr>
          <w:rFonts w:ascii="宋体" w:hAnsi="宋体"/>
          <w:color w:val="000000" w:themeColor="text1"/>
          <w14:textFill>
            <w14:solidFill>
              <w14:schemeClr w14:val="tx1"/>
            </w14:solidFill>
          </w14:textFill>
        </w:rPr>
        <w:t>的违约责任</w:t>
      </w:r>
      <w:r>
        <w:rPr>
          <w:rFonts w:ascii="宋体" w:hAnsi="宋体"/>
        </w:rPr>
        <w:t>。</w:t>
      </w:r>
    </w:p>
    <w:p w14:paraId="2080E496">
      <w:pPr>
        <w:adjustRightInd w:val="0"/>
        <w:snapToGrid w:val="0"/>
        <w:spacing w:line="400" w:lineRule="exact"/>
        <w:ind w:firstLine="420" w:firstLineChars="200"/>
        <w:jc w:val="left"/>
      </w:pPr>
      <w:r>
        <w:rPr>
          <w:rFonts w:ascii="宋体" w:hAnsi="宋体"/>
        </w:rPr>
        <w:t>（5）乙方在约定的时间内未能弥补缺陷，甲方可采取必要的补救措施，但其风险和费用将由乙方承担，甲方根据合同约定对乙方行使的其他权利不受影响。</w:t>
      </w:r>
    </w:p>
    <w:p w14:paraId="0BCE05B8">
      <w:pPr>
        <w:adjustRightInd w:val="0"/>
        <w:snapToGrid w:val="0"/>
        <w:spacing w:line="400" w:lineRule="exact"/>
        <w:jc w:val="left"/>
        <w:rPr>
          <w:rFonts w:ascii="宋体" w:hAnsi="宋体"/>
          <w:b/>
          <w:bCs/>
          <w:sz w:val="24"/>
        </w:rPr>
      </w:pPr>
      <w:r>
        <w:rPr>
          <w:rFonts w:ascii="宋体" w:hAnsi="宋体"/>
          <w:b/>
          <w:bCs/>
          <w:color w:val="000000" w:themeColor="text1"/>
          <w:sz w:val="24"/>
          <w14:textFill>
            <w14:solidFill>
              <w14:schemeClr w14:val="tx1"/>
            </w14:solidFill>
          </w14:textFill>
        </w:rPr>
        <w:t>9</w:t>
      </w:r>
      <w:r>
        <w:rPr>
          <w:rFonts w:ascii="宋体" w:hAnsi="宋体"/>
          <w:b/>
          <w:bCs/>
          <w:sz w:val="24"/>
        </w:rPr>
        <w:t>.</w:t>
      </w:r>
      <w:r>
        <w:rPr>
          <w:rFonts w:ascii="宋体" w:hAnsi="宋体"/>
          <w:b/>
          <w:bCs/>
          <w:color w:val="000000" w:themeColor="text1"/>
          <w:sz w:val="24"/>
          <w14:textFill>
            <w14:solidFill>
              <w14:schemeClr w14:val="tx1"/>
            </w14:solidFill>
          </w14:textFill>
        </w:rPr>
        <w:t xml:space="preserve"> </w:t>
      </w:r>
      <w:r>
        <w:rPr>
          <w:rFonts w:ascii="宋体" w:hAnsi="宋体"/>
          <w:b/>
          <w:bCs/>
          <w:sz w:val="24"/>
        </w:rPr>
        <w:t>权利瑕疵担保</w:t>
      </w:r>
    </w:p>
    <w:p w14:paraId="79BE124C">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9.1 乙方保证对其出售的货物享有合法的权利。</w:t>
      </w:r>
    </w:p>
    <w:p w14:paraId="0BD0DF21">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9.2 </w:t>
      </w:r>
      <w:r>
        <w:rPr>
          <w:rFonts w:ascii="宋体" w:hAnsi="宋体" w:cs="宋体"/>
          <w:szCs w:val="15"/>
        </w:rPr>
        <w:t>乙方保证在交付的货物上不存在抵押权等担保物权。</w:t>
      </w:r>
    </w:p>
    <w:p w14:paraId="670CAFA8">
      <w:pPr>
        <w:autoSpaceDE w:val="0"/>
        <w:autoSpaceDN w:val="0"/>
        <w:adjustRightInd w:val="0"/>
        <w:snapToGrid w:val="0"/>
        <w:spacing w:line="40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9.3 如甲方使用上述货物构成对第三人侵权的，则由乙方承担全部责任。</w:t>
      </w:r>
    </w:p>
    <w:p w14:paraId="6CBBA27C">
      <w:p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 知识产权保护</w:t>
      </w:r>
    </w:p>
    <w:p w14:paraId="755562CF">
      <w:pPr>
        <w:autoSpaceDE w:val="0"/>
        <w:autoSpaceDN w:val="0"/>
        <w:adjustRightInd w:val="0"/>
        <w:snapToGrid w:val="0"/>
        <w:spacing w:line="400" w:lineRule="exact"/>
        <w:ind w:firstLine="420" w:firstLineChars="200"/>
        <w:jc w:val="left"/>
        <w:rPr>
          <w:rFonts w:ascii="宋体" w:hAnsi="宋体"/>
        </w:rPr>
      </w:pPr>
      <w:r>
        <w:rPr>
          <w:rFonts w:ascii="宋体" w:hAnsi="宋体"/>
          <w:color w:val="000000" w:themeColor="text1"/>
          <w14:textFill>
            <w14:solidFill>
              <w14:schemeClr w14:val="tx1"/>
            </w14:solidFill>
          </w14:textFill>
        </w:rPr>
        <w:t>10.1 乙方对其所销售的货物应当享有知识产权或经权利人合法授权，保证没有侵犯任</w:t>
      </w:r>
      <w:r>
        <w:rPr>
          <w:rFonts w:ascii="宋体" w:hAnsi="宋体"/>
        </w:rPr>
        <w:t>何第三人的知识产权等权利。</w:t>
      </w:r>
      <w:bookmarkStart w:id="531" w:name="_Hlk163047038"/>
      <w:r>
        <w:rPr>
          <w:rFonts w:ascii="宋体" w:hAnsi="宋体" w:cs="宋体"/>
          <w:szCs w:val="15"/>
        </w:rPr>
        <w:t>因违反前述约定对第三人构成侵权的，应当由乙方向第三人承担法律责任；甲方依法向第三人赔偿后，有权向乙方追偿。甲方有其他损失的，乙方应当赔偿</w:t>
      </w:r>
      <w:bookmarkEnd w:id="531"/>
      <w:r>
        <w:rPr>
          <w:rFonts w:ascii="宋体" w:hAnsi="宋体"/>
        </w:rPr>
        <w:t>。</w:t>
      </w:r>
    </w:p>
    <w:p w14:paraId="67BC9176">
      <w:pPr>
        <w:autoSpaceDE w:val="0"/>
        <w:autoSpaceDN w:val="0"/>
        <w:adjustRightInd w:val="0"/>
        <w:snapToGrid w:val="0"/>
        <w:spacing w:line="400" w:lineRule="exact"/>
        <w:jc w:val="left"/>
        <w:rPr>
          <w:rFonts w:ascii="宋体" w:hAnsi="宋体"/>
          <w:b/>
          <w:bCs/>
          <w:sz w:val="24"/>
        </w:rPr>
      </w:pPr>
      <w:r>
        <w:rPr>
          <w:rFonts w:ascii="宋体" w:hAnsi="宋体"/>
          <w:b/>
          <w:bCs/>
          <w:sz w:val="24"/>
        </w:rPr>
        <w:t>11. 保密义务</w:t>
      </w:r>
    </w:p>
    <w:p w14:paraId="48255C38">
      <w:pPr>
        <w:autoSpaceDE w:val="0"/>
        <w:autoSpaceDN w:val="0"/>
        <w:adjustRightInd w:val="0"/>
        <w:snapToGrid w:val="0"/>
        <w:spacing w:line="400" w:lineRule="exact"/>
        <w:ind w:firstLine="420" w:firstLineChars="200"/>
        <w:jc w:val="left"/>
        <w:rPr>
          <w:rFonts w:ascii="宋体" w:hAnsi="宋体" w:cs="宋体"/>
          <w:szCs w:val="15"/>
        </w:rPr>
      </w:pPr>
      <w:r>
        <w:rPr>
          <w:rFonts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b/>
          <w:bCs/>
          <w:szCs w:val="15"/>
        </w:rPr>
        <w:t>【政府采购合同专用条款】</w:t>
      </w:r>
      <w:r>
        <w:rPr>
          <w:rFonts w:ascii="宋体" w:hAnsi="宋体" w:cs="宋体"/>
          <w:szCs w:val="15"/>
        </w:rPr>
        <w:t>中约定。</w:t>
      </w:r>
    </w:p>
    <w:p w14:paraId="5C4FAFF3">
      <w:pPr>
        <w:autoSpaceDE w:val="0"/>
        <w:autoSpaceDN w:val="0"/>
        <w:adjustRightInd w:val="0"/>
        <w:snapToGrid w:val="0"/>
        <w:spacing w:line="400" w:lineRule="exact"/>
        <w:jc w:val="left"/>
        <w:rPr>
          <w:rFonts w:ascii="宋体" w:hAnsi="宋体"/>
          <w:b/>
          <w:bCs/>
          <w:sz w:val="24"/>
        </w:rPr>
      </w:pPr>
      <w:r>
        <w:rPr>
          <w:rFonts w:ascii="宋体" w:hAnsi="宋体"/>
          <w:b/>
          <w:bCs/>
          <w:sz w:val="24"/>
        </w:rPr>
        <w:t>12. 合同价款支付</w:t>
      </w:r>
    </w:p>
    <w:p w14:paraId="781DF4C9">
      <w:pPr>
        <w:adjustRightInd w:val="0"/>
        <w:snapToGrid w:val="0"/>
        <w:spacing w:line="400" w:lineRule="exact"/>
        <w:ind w:firstLine="420" w:firstLineChars="200"/>
        <w:jc w:val="left"/>
        <w:rPr>
          <w:rFonts w:ascii="宋体" w:hAnsi="宋体"/>
        </w:rPr>
      </w:pPr>
      <w:r>
        <w:rPr>
          <w:rFonts w:ascii="宋体" w:hAnsi="宋体"/>
        </w:rPr>
        <w:t>12.1 合同价款支付按照国库集中支付制度及财政管理相关规定执行。</w:t>
      </w:r>
    </w:p>
    <w:p w14:paraId="3044B85C">
      <w:pPr>
        <w:adjustRightInd w:val="0"/>
        <w:snapToGrid w:val="0"/>
        <w:spacing w:line="400" w:lineRule="exact"/>
        <w:ind w:firstLine="420" w:firstLineChars="200"/>
        <w:jc w:val="left"/>
        <w:rPr>
          <w:rFonts w:ascii="宋体" w:hAnsi="宋体"/>
        </w:rPr>
      </w:pPr>
      <w:r>
        <w:rPr>
          <w:rFonts w:ascii="宋体" w:hAnsi="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b/>
          <w:bCs/>
        </w:rPr>
        <w:t>【政府采购合同专用条款】</w:t>
      </w:r>
      <w:r>
        <w:rPr>
          <w:rFonts w:ascii="宋体" w:hAnsi="宋体"/>
        </w:rPr>
        <w:t>中约定。</w:t>
      </w:r>
    </w:p>
    <w:p w14:paraId="57616648">
      <w:pPr>
        <w:pStyle w:val="16"/>
        <w:spacing w:line="400" w:lineRule="exact"/>
        <w:rPr>
          <w:rFonts w:hint="eastAsia"/>
          <w:b/>
          <w:bCs/>
        </w:rPr>
      </w:pPr>
      <w:r>
        <w:rPr>
          <w:rFonts w:hint="eastAsia"/>
          <w:b/>
          <w:bCs/>
        </w:rPr>
        <w:t>13. 履约保证金</w:t>
      </w:r>
    </w:p>
    <w:p w14:paraId="4E9DAF39">
      <w:pPr>
        <w:adjustRightInd w:val="0"/>
        <w:snapToGrid w:val="0"/>
        <w:spacing w:line="400" w:lineRule="exact"/>
        <w:ind w:firstLine="420" w:firstLineChars="200"/>
        <w:jc w:val="left"/>
        <w:rPr>
          <w:rFonts w:ascii="宋体" w:hAnsi="宋体"/>
        </w:rPr>
      </w:pPr>
      <w:r>
        <w:rPr>
          <w:rFonts w:ascii="宋体" w:hAnsi="宋体"/>
        </w:rPr>
        <w:t xml:space="preserve">13.1 </w:t>
      </w:r>
      <w:r>
        <w:rPr>
          <w:rFonts w:ascii="宋体" w:hAnsi="宋体" w:cs="宋体"/>
          <w:szCs w:val="15"/>
        </w:rPr>
        <w:t>乙方应当以支票、汇票、本票或者金融机构、担保机构出具的保函等非现金形式提交。</w:t>
      </w:r>
    </w:p>
    <w:p w14:paraId="1257FA19">
      <w:pPr>
        <w:adjustRightInd w:val="0"/>
        <w:snapToGrid w:val="0"/>
        <w:spacing w:line="400" w:lineRule="exact"/>
        <w:ind w:firstLine="420" w:firstLineChars="200"/>
        <w:jc w:val="left"/>
        <w:rPr>
          <w:rFonts w:ascii="宋体" w:hAnsi="宋体"/>
        </w:rPr>
      </w:pPr>
      <w:r>
        <w:rPr>
          <w:rFonts w:ascii="宋体" w:hAnsi="宋体"/>
        </w:rPr>
        <w:t>13.2 如果乙方出现</w:t>
      </w:r>
      <w:r>
        <w:rPr>
          <w:rFonts w:ascii="宋体" w:hAnsi="宋体" w:cs="宋体"/>
          <w:b/>
          <w:bCs/>
          <w:szCs w:val="15"/>
        </w:rPr>
        <w:t>【政府采购合同专用条款】</w:t>
      </w:r>
      <w:r>
        <w:rPr>
          <w:rFonts w:ascii="宋体" w:hAnsi="宋体" w:cs="宋体"/>
          <w:szCs w:val="15"/>
        </w:rPr>
        <w:t>约定情形的</w:t>
      </w:r>
      <w:r>
        <w:rPr>
          <w:rFonts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54224322">
      <w:pPr>
        <w:spacing w:line="400" w:lineRule="exact"/>
        <w:ind w:firstLine="420"/>
      </w:pPr>
      <w:r>
        <w:rPr>
          <w:rFonts w:ascii="宋体" w:hAnsi="宋体"/>
        </w:rPr>
        <w:t>13.3 甲方在项目通过验收后按照</w:t>
      </w:r>
      <w:r>
        <w:rPr>
          <w:rFonts w:ascii="宋体" w:hAnsi="宋体"/>
          <w:b/>
        </w:rPr>
        <w:t>【政府采购合同专用条款】</w:t>
      </w:r>
      <w:r>
        <w:rPr>
          <w:rFonts w:ascii="宋体" w:hAnsi="宋体"/>
        </w:rPr>
        <w:t>规定的时间内将履约保证金退还乙方；逾期退还的，乙方可要求甲方支付违约金，违约金按照</w:t>
      </w:r>
      <w:r>
        <w:rPr>
          <w:rFonts w:ascii="宋体" w:hAnsi="宋体"/>
          <w:b/>
        </w:rPr>
        <w:t>【政府采购合同专用条款】</w:t>
      </w:r>
      <w:r>
        <w:rPr>
          <w:rFonts w:ascii="宋体" w:hAnsi="宋体"/>
        </w:rPr>
        <w:t>规定支付。</w:t>
      </w:r>
    </w:p>
    <w:p w14:paraId="41765614">
      <w:pPr>
        <w:autoSpaceDE w:val="0"/>
        <w:autoSpaceDN w:val="0"/>
        <w:adjustRightInd w:val="0"/>
        <w:snapToGrid w:val="0"/>
        <w:spacing w:line="400" w:lineRule="exact"/>
        <w:jc w:val="left"/>
        <w:rPr>
          <w:rFonts w:ascii="宋体" w:hAnsi="宋体"/>
          <w:b/>
          <w:sz w:val="24"/>
        </w:rPr>
      </w:pPr>
      <w:r>
        <w:rPr>
          <w:rFonts w:ascii="宋体" w:hAnsi="宋体"/>
          <w:b/>
          <w:bCs/>
          <w:sz w:val="24"/>
        </w:rPr>
        <w:t xml:space="preserve">14. </w:t>
      </w:r>
      <w:r>
        <w:rPr>
          <w:b/>
          <w:sz w:val="24"/>
        </w:rPr>
        <w:t>售后</w:t>
      </w:r>
      <w:r>
        <w:rPr>
          <w:rFonts w:ascii="宋体" w:hAnsi="宋体"/>
          <w:b/>
          <w:sz w:val="24"/>
        </w:rPr>
        <w:t>服务</w:t>
      </w:r>
    </w:p>
    <w:p w14:paraId="73D1183A">
      <w:pPr>
        <w:autoSpaceDE w:val="0"/>
        <w:autoSpaceDN w:val="0"/>
        <w:adjustRightInd w:val="0"/>
        <w:snapToGrid w:val="0"/>
        <w:spacing w:line="400" w:lineRule="exact"/>
        <w:ind w:firstLine="420" w:firstLineChars="200"/>
        <w:jc w:val="left"/>
        <w:rPr>
          <w:rFonts w:ascii="宋体" w:hAnsi="宋体"/>
        </w:rPr>
      </w:pPr>
      <w:r>
        <w:rPr>
          <w:rFonts w:ascii="宋体" w:hAnsi="宋体"/>
        </w:rPr>
        <w:t>14.1 除项目不涉及或采购活动中明确约定无须承担外，乙方还应提供下列服务：</w:t>
      </w:r>
    </w:p>
    <w:p w14:paraId="379B568B">
      <w:pPr>
        <w:autoSpaceDE w:val="0"/>
        <w:autoSpaceDN w:val="0"/>
        <w:adjustRightInd w:val="0"/>
        <w:snapToGrid w:val="0"/>
        <w:spacing w:line="400" w:lineRule="exact"/>
        <w:ind w:firstLine="420" w:firstLineChars="200"/>
        <w:jc w:val="left"/>
        <w:rPr>
          <w:rFonts w:ascii="宋体" w:hAnsi="宋体"/>
        </w:rPr>
      </w:pPr>
      <w:r>
        <w:rPr>
          <w:rFonts w:ascii="宋体" w:hAnsi="宋体"/>
        </w:rPr>
        <w:t>（1）货物的现场移动、安装、调试、启动监督及技术支持；</w:t>
      </w:r>
    </w:p>
    <w:p w14:paraId="5D53D482">
      <w:pPr>
        <w:autoSpaceDE w:val="0"/>
        <w:autoSpaceDN w:val="0"/>
        <w:adjustRightInd w:val="0"/>
        <w:snapToGrid w:val="0"/>
        <w:spacing w:line="400" w:lineRule="exact"/>
        <w:ind w:firstLine="420" w:firstLineChars="200"/>
        <w:jc w:val="left"/>
        <w:rPr>
          <w:rFonts w:ascii="宋体" w:hAnsi="宋体"/>
        </w:rPr>
      </w:pPr>
      <w:r>
        <w:rPr>
          <w:rFonts w:ascii="宋体" w:hAnsi="宋体"/>
        </w:rPr>
        <w:t>（2）提供货物组装和维修所需的专用工具和辅助材料；</w:t>
      </w:r>
    </w:p>
    <w:p w14:paraId="740C5A09">
      <w:pPr>
        <w:autoSpaceDE w:val="0"/>
        <w:autoSpaceDN w:val="0"/>
        <w:adjustRightInd w:val="0"/>
        <w:snapToGrid w:val="0"/>
        <w:spacing w:line="400" w:lineRule="exact"/>
        <w:ind w:firstLine="420" w:firstLineChars="200"/>
        <w:jc w:val="left"/>
        <w:rPr>
          <w:rFonts w:ascii="宋体" w:hAnsi="宋体"/>
        </w:rPr>
      </w:pPr>
      <w:r>
        <w:rPr>
          <w:rFonts w:ascii="宋体" w:hAnsi="宋体"/>
        </w:rPr>
        <w:t>（3）在</w:t>
      </w:r>
      <w:r>
        <w:rPr>
          <w:rFonts w:ascii="宋体" w:hAnsi="宋体" w:cs="宋体"/>
          <w:b/>
          <w:bCs/>
          <w:szCs w:val="15"/>
        </w:rPr>
        <w:t>【政府采购合同专用条款】</w:t>
      </w:r>
      <w:r>
        <w:rPr>
          <w:rFonts w:ascii="宋体" w:hAnsi="宋体"/>
        </w:rPr>
        <w:t>约定的期限内对所有的货物实施运行监督、维修，但前提条件是该服务并不能免除乙方在质量保证期内所承担的义务；</w:t>
      </w:r>
    </w:p>
    <w:p w14:paraId="18E7112B">
      <w:pPr>
        <w:autoSpaceDE w:val="0"/>
        <w:autoSpaceDN w:val="0"/>
        <w:adjustRightInd w:val="0"/>
        <w:snapToGrid w:val="0"/>
        <w:spacing w:line="400" w:lineRule="exact"/>
        <w:ind w:firstLine="420" w:firstLineChars="200"/>
        <w:jc w:val="left"/>
        <w:rPr>
          <w:rFonts w:ascii="宋体" w:hAnsi="宋体"/>
        </w:rPr>
      </w:pPr>
      <w:r>
        <w:rPr>
          <w:rFonts w:ascii="宋体" w:hAnsi="宋体"/>
        </w:rPr>
        <w:t>（4）在制造商所在地或指定现场就货物的安装、启动、运营、维护、废弃处置等对甲方操作人员进行培训</w:t>
      </w:r>
      <w:r>
        <w:rPr>
          <w:rFonts w:ascii="宋体" w:hAnsi="宋体" w:cs="宋体"/>
          <w:szCs w:val="15"/>
        </w:rPr>
        <w:t>；</w:t>
      </w:r>
    </w:p>
    <w:p w14:paraId="738A68DF">
      <w:pPr>
        <w:pStyle w:val="100"/>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1FE63371">
      <w:pPr>
        <w:autoSpaceDE w:val="0"/>
        <w:autoSpaceDN w:val="0"/>
        <w:adjustRightInd w:val="0"/>
        <w:snapToGrid w:val="0"/>
        <w:spacing w:line="400" w:lineRule="exact"/>
        <w:ind w:firstLine="420" w:firstLineChars="200"/>
        <w:jc w:val="left"/>
        <w:rPr>
          <w:rFonts w:ascii="宋体" w:hAnsi="宋体"/>
        </w:rPr>
      </w:pPr>
      <w:r>
        <w:rPr>
          <w:rFonts w:ascii="宋体" w:hAnsi="宋体"/>
        </w:rPr>
        <w:t>（6）</w:t>
      </w:r>
      <w:r>
        <w:rPr>
          <w:rFonts w:ascii="宋体" w:hAnsi="宋体"/>
          <w:b/>
        </w:rPr>
        <w:t>【政府采购合同专用条款】</w:t>
      </w:r>
      <w:r>
        <w:rPr>
          <w:rFonts w:ascii="宋体" w:hAnsi="宋体"/>
        </w:rPr>
        <w:t>规定由乙方提供的其他服务。</w:t>
      </w:r>
    </w:p>
    <w:p w14:paraId="5D50366A">
      <w:pPr>
        <w:autoSpaceDE w:val="0"/>
        <w:autoSpaceDN w:val="0"/>
        <w:adjustRightInd w:val="0"/>
        <w:snapToGrid w:val="0"/>
        <w:spacing w:line="400" w:lineRule="exact"/>
        <w:ind w:firstLine="420" w:firstLineChars="200"/>
        <w:jc w:val="left"/>
        <w:rPr>
          <w:rFonts w:ascii="宋体" w:hAnsi="宋体"/>
        </w:rPr>
      </w:pPr>
      <w:r>
        <w:rPr>
          <w:rFonts w:ascii="宋体" w:hAnsi="宋体"/>
        </w:rPr>
        <w:t>14.2 乙方提供的售后服务的费用已包含在合同价款中，甲方不再另行支付。</w:t>
      </w:r>
    </w:p>
    <w:p w14:paraId="69445B78">
      <w:pPr>
        <w:adjustRightInd w:val="0"/>
        <w:snapToGrid w:val="0"/>
        <w:spacing w:line="400" w:lineRule="exact"/>
        <w:jc w:val="left"/>
        <w:rPr>
          <w:rFonts w:ascii="宋体" w:hAnsi="宋体"/>
          <w:b/>
          <w:bCs/>
          <w:sz w:val="24"/>
        </w:rPr>
      </w:pPr>
      <w:r>
        <w:rPr>
          <w:rFonts w:ascii="宋体" w:hAnsi="宋体"/>
          <w:b/>
          <w:bCs/>
          <w:sz w:val="24"/>
        </w:rPr>
        <w:t>15. 违约责任</w:t>
      </w:r>
    </w:p>
    <w:p w14:paraId="7E75F80F">
      <w:pPr>
        <w:adjustRightInd w:val="0"/>
        <w:snapToGrid w:val="0"/>
        <w:spacing w:line="400" w:lineRule="exact"/>
        <w:ind w:firstLine="420" w:firstLineChars="200"/>
        <w:jc w:val="left"/>
        <w:rPr>
          <w:rFonts w:ascii="宋体" w:hAnsi="宋体"/>
          <w:bCs/>
        </w:rPr>
      </w:pPr>
      <w:r>
        <w:rPr>
          <w:rFonts w:ascii="宋体" w:hAnsi="宋体"/>
          <w:bCs/>
        </w:rPr>
        <w:t>15.1质量瑕疵的违约责任</w:t>
      </w:r>
    </w:p>
    <w:p w14:paraId="0EBA661E">
      <w:pPr>
        <w:autoSpaceDE w:val="0"/>
        <w:autoSpaceDN w:val="0"/>
        <w:adjustRightInd w:val="0"/>
        <w:snapToGrid w:val="0"/>
        <w:spacing w:line="400" w:lineRule="exact"/>
        <w:ind w:firstLine="420" w:firstLineChars="200"/>
        <w:jc w:val="left"/>
        <w:rPr>
          <w:rFonts w:ascii="宋体" w:hAnsi="宋体"/>
        </w:rPr>
      </w:pPr>
      <w:r>
        <w:rPr>
          <w:rFonts w:ascii="宋体" w:hAnsi="宋体"/>
        </w:rPr>
        <w:t>乙方提供的产品不符合合同约定的质量标准或存在产品质量缺陷，甲方有权要求乙方根据</w:t>
      </w:r>
      <w:r>
        <w:rPr>
          <w:rFonts w:ascii="宋体" w:hAnsi="宋体"/>
          <w:b/>
        </w:rPr>
        <w:t>【政府采购合同专用条款】</w:t>
      </w:r>
      <w:r>
        <w:rPr>
          <w:rFonts w:ascii="宋体" w:hAnsi="宋体"/>
          <w:bCs/>
        </w:rPr>
        <w:t>要求</w:t>
      </w:r>
      <w:r>
        <w:rPr>
          <w:rFonts w:ascii="宋体" w:hAnsi="宋体"/>
        </w:rPr>
        <w:t>及时修理、重作、更换，并承担由此给甲方造成的损失。</w:t>
      </w:r>
    </w:p>
    <w:p w14:paraId="1FEC3A62">
      <w:pPr>
        <w:autoSpaceDE w:val="0"/>
        <w:autoSpaceDN w:val="0"/>
        <w:adjustRightInd w:val="0"/>
        <w:snapToGrid w:val="0"/>
        <w:spacing w:line="400" w:lineRule="exact"/>
        <w:ind w:firstLine="420" w:firstLineChars="200"/>
        <w:jc w:val="left"/>
        <w:rPr>
          <w:rFonts w:ascii="宋体" w:hAnsi="宋体"/>
          <w:bCs/>
        </w:rPr>
      </w:pPr>
      <w:r>
        <w:rPr>
          <w:rFonts w:ascii="宋体" w:hAnsi="宋体"/>
          <w:bCs/>
        </w:rPr>
        <w:t>15.2 迟延交货的违约责任</w:t>
      </w:r>
    </w:p>
    <w:p w14:paraId="44887EE5">
      <w:pPr>
        <w:autoSpaceDE w:val="0"/>
        <w:autoSpaceDN w:val="0"/>
        <w:adjustRightInd w:val="0"/>
        <w:snapToGrid w:val="0"/>
        <w:spacing w:line="400" w:lineRule="exact"/>
        <w:ind w:firstLine="420" w:firstLineChars="200"/>
        <w:jc w:val="left"/>
        <w:rPr>
          <w:rFonts w:ascii="宋体" w:hAnsi="宋体"/>
        </w:rPr>
      </w:pPr>
      <w:r>
        <w:rPr>
          <w:rFonts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378E0FF">
      <w:pPr>
        <w:autoSpaceDE w:val="0"/>
        <w:autoSpaceDN w:val="0"/>
        <w:adjustRightInd w:val="0"/>
        <w:snapToGrid w:val="0"/>
        <w:spacing w:line="400" w:lineRule="exact"/>
        <w:ind w:firstLine="420" w:firstLineChars="200"/>
        <w:jc w:val="left"/>
        <w:rPr>
          <w:rFonts w:ascii="宋体" w:hAnsi="宋体"/>
        </w:rPr>
      </w:pPr>
      <w:r>
        <w:rPr>
          <w:rFonts w:ascii="宋体" w:hAnsi="宋体"/>
        </w:rPr>
        <w:t>（2）如果乙方没有按照合同规定的时间交货和提供相关服务，甲方有权从货款中扣除误期赔偿费而不影响合同项下的其他补救方法，赔偿费按</w:t>
      </w:r>
      <w:r>
        <w:rPr>
          <w:rFonts w:ascii="宋体" w:hAnsi="宋体"/>
          <w:b/>
        </w:rPr>
        <w:t>【政府采购合同专用条款】</w:t>
      </w:r>
      <w:r>
        <w:rPr>
          <w:rFonts w:ascii="宋体" w:hAnsi="宋体"/>
        </w:rPr>
        <w:t>规定执行。如果涉及公共利益，且赔偿金额无法弥补公共利益损失，甲方可要求继续履行或者采取其他补救措施。</w:t>
      </w:r>
    </w:p>
    <w:p w14:paraId="0F5C6D42">
      <w:pPr>
        <w:autoSpaceDE w:val="0"/>
        <w:autoSpaceDN w:val="0"/>
        <w:adjustRightInd w:val="0"/>
        <w:snapToGrid w:val="0"/>
        <w:spacing w:line="400" w:lineRule="exact"/>
        <w:ind w:firstLine="420" w:firstLineChars="200"/>
        <w:jc w:val="left"/>
        <w:rPr>
          <w:rFonts w:ascii="宋体" w:hAnsi="宋体"/>
        </w:rPr>
      </w:pPr>
      <w:r>
        <w:rPr>
          <w:rFonts w:ascii="宋体" w:hAnsi="宋体"/>
        </w:rPr>
        <w:t>15.3 迟延支付的违约责任</w:t>
      </w:r>
    </w:p>
    <w:p w14:paraId="67D82F8D">
      <w:pPr>
        <w:autoSpaceDE w:val="0"/>
        <w:autoSpaceDN w:val="0"/>
        <w:adjustRightInd w:val="0"/>
        <w:snapToGrid w:val="0"/>
        <w:spacing w:line="400" w:lineRule="exact"/>
        <w:ind w:firstLine="420" w:firstLineChars="200"/>
        <w:jc w:val="left"/>
        <w:rPr>
          <w:rFonts w:ascii="宋体" w:hAnsi="宋体"/>
        </w:rPr>
      </w:pPr>
      <w:r>
        <w:rPr>
          <w:rFonts w:ascii="宋体" w:hAnsi="宋体"/>
        </w:rPr>
        <w:t>甲方存在迟延支付乙方合同款项的，应当承担</w:t>
      </w:r>
      <w:r>
        <w:rPr>
          <w:rFonts w:ascii="宋体" w:hAnsi="宋体"/>
          <w:b/>
          <w:bCs/>
        </w:rPr>
        <w:t>【政府采购合同专用条款】</w:t>
      </w:r>
      <w:r>
        <w:rPr>
          <w:rFonts w:ascii="宋体" w:hAnsi="宋体"/>
        </w:rPr>
        <w:t>规定的逾期付款利息。</w:t>
      </w:r>
    </w:p>
    <w:p w14:paraId="6BA5255D">
      <w:pPr>
        <w:adjustRightInd w:val="0"/>
        <w:snapToGrid w:val="0"/>
        <w:spacing w:line="400" w:lineRule="exact"/>
        <w:ind w:firstLine="420" w:firstLineChars="200"/>
        <w:jc w:val="left"/>
        <w:rPr>
          <w:rFonts w:ascii="宋体" w:hAnsi="宋体"/>
        </w:rPr>
      </w:pPr>
      <w:r>
        <w:rPr>
          <w:rFonts w:ascii="宋体" w:hAnsi="宋体"/>
          <w:bCs/>
        </w:rPr>
        <w:t>15.4其他违约责任根据项目实际需要按</w:t>
      </w:r>
      <w:r>
        <w:rPr>
          <w:rFonts w:ascii="宋体" w:hAnsi="宋体"/>
          <w:b/>
          <w:bCs/>
        </w:rPr>
        <w:t>【政府采购合同专用条款】</w:t>
      </w:r>
      <w:r>
        <w:rPr>
          <w:rFonts w:ascii="宋体" w:hAnsi="宋体"/>
        </w:rPr>
        <w:t>规定执行。</w:t>
      </w:r>
    </w:p>
    <w:p w14:paraId="39974544">
      <w:pPr>
        <w:widowControl w:val="0"/>
        <w:numPr>
          <w:ilvl w:val="0"/>
          <w:numId w:val="14"/>
        </w:numPr>
        <w:autoSpaceDE w:val="0"/>
        <w:autoSpaceDN w:val="0"/>
        <w:adjustRightInd w:val="0"/>
        <w:snapToGrid w:val="0"/>
        <w:spacing w:line="400" w:lineRule="exact"/>
        <w:jc w:val="left"/>
        <w:rPr>
          <w:rFonts w:ascii="宋体" w:hAnsi="宋体"/>
          <w:b/>
          <w:sz w:val="24"/>
        </w:rPr>
      </w:pPr>
      <w:r>
        <w:rPr>
          <w:rFonts w:ascii="宋体" w:hAnsi="宋体"/>
          <w:b/>
          <w:sz w:val="24"/>
        </w:rPr>
        <w:t>合同变更、中止与终止</w:t>
      </w:r>
    </w:p>
    <w:p w14:paraId="7B490B81">
      <w:pPr>
        <w:adjustRightInd w:val="0"/>
        <w:snapToGrid w:val="0"/>
        <w:spacing w:line="400" w:lineRule="exact"/>
        <w:jc w:val="left"/>
        <w:rPr>
          <w:rFonts w:ascii="宋体" w:hAnsi="宋体"/>
        </w:rPr>
      </w:pPr>
      <w:r>
        <w:rPr>
          <w:rFonts w:ascii="宋体" w:hAnsi="宋体"/>
        </w:rPr>
        <w:t xml:space="preserve">    16.1合同的变更</w:t>
      </w:r>
    </w:p>
    <w:p w14:paraId="3C4B50D8">
      <w:pPr>
        <w:autoSpaceDE w:val="0"/>
        <w:autoSpaceDN w:val="0"/>
        <w:adjustRightInd w:val="0"/>
        <w:snapToGrid w:val="0"/>
        <w:spacing w:line="400" w:lineRule="exact"/>
        <w:ind w:firstLine="420" w:firstLineChars="200"/>
        <w:jc w:val="left"/>
        <w:rPr>
          <w:rFonts w:ascii="宋体" w:hAnsi="宋体"/>
        </w:rPr>
      </w:pPr>
      <w:r>
        <w:rPr>
          <w:rFonts w:ascii="宋体" w:hAnsi="宋体"/>
        </w:rPr>
        <w:t>政府采购合同履行中，在不改变合同其他条款的前提下，甲方可以在合同价款10%的范围内追加与合同标的相同的货物，并就此与乙方协商一致后签订补充协议。</w:t>
      </w:r>
    </w:p>
    <w:p w14:paraId="30694769">
      <w:pPr>
        <w:adjustRightInd w:val="0"/>
        <w:snapToGrid w:val="0"/>
        <w:spacing w:line="400" w:lineRule="exact"/>
        <w:ind w:firstLine="420" w:firstLineChars="200"/>
        <w:jc w:val="left"/>
        <w:rPr>
          <w:rFonts w:ascii="宋体" w:hAnsi="宋体"/>
        </w:rPr>
      </w:pPr>
      <w:r>
        <w:rPr>
          <w:rFonts w:ascii="宋体" w:hAnsi="宋体"/>
        </w:rPr>
        <w:t>16.2合同的中止</w:t>
      </w:r>
    </w:p>
    <w:p w14:paraId="51E551EC">
      <w:pPr>
        <w:autoSpaceDE w:val="0"/>
        <w:autoSpaceDN w:val="0"/>
        <w:adjustRightInd w:val="0"/>
        <w:snapToGrid w:val="0"/>
        <w:spacing w:line="400" w:lineRule="exact"/>
        <w:ind w:firstLine="420" w:firstLineChars="200"/>
        <w:jc w:val="left"/>
        <w:rPr>
          <w:rFonts w:ascii="宋体" w:hAnsi="宋体"/>
        </w:rPr>
      </w:pPr>
      <w:r>
        <w:rPr>
          <w:rFonts w:ascii="宋体" w:hAnsi="宋体"/>
        </w:rPr>
        <w:t>（1）合同履行过程中因供应商就采购文件、采购过程或结果提起投诉的，甲方认为有必要的，可以中止合同的履行。</w:t>
      </w:r>
    </w:p>
    <w:p w14:paraId="6584AF36">
      <w:pPr>
        <w:autoSpaceDE w:val="0"/>
        <w:autoSpaceDN w:val="0"/>
        <w:adjustRightInd w:val="0"/>
        <w:snapToGrid w:val="0"/>
        <w:spacing w:line="400" w:lineRule="exact"/>
        <w:ind w:firstLine="420" w:firstLineChars="200"/>
        <w:jc w:val="left"/>
        <w:rPr>
          <w:rFonts w:ascii="宋体" w:hAnsi="宋体"/>
        </w:rPr>
      </w:pPr>
      <w:r>
        <w:rPr>
          <w:rFonts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E429AB6">
      <w:pPr>
        <w:pStyle w:val="100"/>
        <w:ind w:firstLine="420"/>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4C3607C4">
      <w:pPr>
        <w:snapToGrid w:val="0"/>
        <w:spacing w:line="400" w:lineRule="exact"/>
        <w:ind w:firstLine="420" w:firstLineChars="200"/>
        <w:jc w:val="left"/>
      </w:pPr>
      <w:r>
        <w:rPr>
          <w:rFonts w:ascii="宋体" w:hAnsi="宋体"/>
        </w:rPr>
        <w:t>（4）甲方不得以行政区划调整、政府换届、机构或者职能调整以及相关责任人更替为由中止合同。</w:t>
      </w:r>
    </w:p>
    <w:p w14:paraId="4FD4C743">
      <w:pPr>
        <w:adjustRightInd w:val="0"/>
        <w:snapToGrid w:val="0"/>
        <w:spacing w:line="400" w:lineRule="exact"/>
        <w:ind w:firstLine="420" w:firstLineChars="200"/>
        <w:jc w:val="left"/>
        <w:rPr>
          <w:rFonts w:ascii="宋体" w:hAnsi="宋体"/>
        </w:rPr>
      </w:pPr>
      <w:r>
        <w:rPr>
          <w:rFonts w:ascii="宋体" w:hAnsi="宋体"/>
        </w:rPr>
        <w:t>16.3合同的终止</w:t>
      </w:r>
    </w:p>
    <w:p w14:paraId="30ED461C">
      <w:pPr>
        <w:autoSpaceDE w:val="0"/>
        <w:autoSpaceDN w:val="0"/>
        <w:adjustRightInd w:val="0"/>
        <w:snapToGrid w:val="0"/>
        <w:spacing w:line="400" w:lineRule="exact"/>
        <w:ind w:firstLine="420" w:firstLineChars="200"/>
        <w:jc w:val="left"/>
        <w:rPr>
          <w:rFonts w:ascii="宋体" w:hAnsi="宋体"/>
        </w:rPr>
      </w:pPr>
      <w:r>
        <w:rPr>
          <w:rFonts w:ascii="宋体" w:hAnsi="宋体"/>
        </w:rPr>
        <w:t>（1）合同因有效期限届满而终止；</w:t>
      </w:r>
    </w:p>
    <w:p w14:paraId="19A761D0">
      <w:pPr>
        <w:snapToGrid w:val="0"/>
        <w:spacing w:line="400" w:lineRule="exact"/>
        <w:ind w:firstLine="420" w:firstLineChars="200"/>
        <w:rPr>
          <w:rFonts w:ascii="宋体" w:hAnsi="宋体" w:cs="宋体"/>
        </w:rPr>
      </w:pPr>
      <w:r>
        <w:rPr>
          <w:rFonts w:ascii="宋体" w:hAnsi="宋体"/>
        </w:rPr>
        <w:t>（2）乙方未按合同约定履行，构成根本性违约的，甲方有权终止合同，</w:t>
      </w:r>
      <w:r>
        <w:rPr>
          <w:rFonts w:ascii="宋体" w:hAnsi="宋体" w:cs="宋体"/>
        </w:rPr>
        <w:t>并追究乙方的违约责任</w:t>
      </w:r>
      <w:r>
        <w:rPr>
          <w:rFonts w:ascii="宋体" w:hAnsi="宋体"/>
        </w:rPr>
        <w:t>。</w:t>
      </w:r>
    </w:p>
    <w:p w14:paraId="45602089">
      <w:pPr>
        <w:pStyle w:val="100"/>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13CCF58C">
      <w:pPr>
        <w:pStyle w:val="100"/>
        <w:ind w:firstLine="420"/>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8F4C42A">
      <w:pPr>
        <w:autoSpaceDE w:val="0"/>
        <w:autoSpaceDN w:val="0"/>
        <w:adjustRightInd w:val="0"/>
        <w:snapToGrid w:val="0"/>
        <w:spacing w:line="400" w:lineRule="exact"/>
        <w:jc w:val="left"/>
        <w:rPr>
          <w:rFonts w:ascii="宋体" w:hAnsi="宋体"/>
          <w:b/>
          <w:bCs/>
          <w:sz w:val="24"/>
        </w:rPr>
      </w:pPr>
      <w:r>
        <w:rPr>
          <w:rFonts w:ascii="宋体" w:hAnsi="宋体"/>
          <w:b/>
          <w:bCs/>
          <w:sz w:val="24"/>
        </w:rPr>
        <w:t>17. 合同分包</w:t>
      </w:r>
    </w:p>
    <w:p w14:paraId="211663F7">
      <w:pPr>
        <w:autoSpaceDE w:val="0"/>
        <w:autoSpaceDN w:val="0"/>
        <w:adjustRightInd w:val="0"/>
        <w:snapToGrid w:val="0"/>
        <w:spacing w:line="400" w:lineRule="exact"/>
        <w:ind w:firstLine="420" w:firstLineChars="200"/>
        <w:jc w:val="left"/>
        <w:rPr>
          <w:rFonts w:ascii="宋体" w:hAnsi="宋体"/>
        </w:rPr>
      </w:pPr>
      <w:r>
        <w:rPr>
          <w:rFonts w:ascii="宋体" w:hAnsi="宋体"/>
        </w:rPr>
        <w:t>17.1 乙方不得将合同转包给其他供应商。涉及合同分包的，乙方应根据采购文件和投标（响应）文件规定进行合同分包。</w:t>
      </w:r>
    </w:p>
    <w:p w14:paraId="7305B300">
      <w:pPr>
        <w:autoSpaceDE w:val="0"/>
        <w:autoSpaceDN w:val="0"/>
        <w:adjustRightInd w:val="0"/>
        <w:snapToGrid w:val="0"/>
        <w:spacing w:line="400" w:lineRule="exact"/>
        <w:ind w:firstLine="420" w:firstLineChars="200"/>
        <w:jc w:val="left"/>
        <w:rPr>
          <w:rFonts w:ascii="宋体" w:hAnsi="宋体"/>
        </w:rPr>
      </w:pPr>
      <w:r>
        <w:rPr>
          <w:rFonts w:ascii="宋体" w:hAnsi="宋体"/>
        </w:rPr>
        <w:t>17.2 乙方执行政府采购政策向中小企业依法分包的，乙方应当按采购文件和投标（响应）文件签订分包意向协议，分包意向协议属于本合同组成部分。</w:t>
      </w:r>
    </w:p>
    <w:p w14:paraId="3CB0F0A6">
      <w:pPr>
        <w:autoSpaceDE w:val="0"/>
        <w:autoSpaceDN w:val="0"/>
        <w:adjustRightInd w:val="0"/>
        <w:snapToGrid w:val="0"/>
        <w:spacing w:line="400" w:lineRule="exact"/>
        <w:jc w:val="left"/>
        <w:rPr>
          <w:rFonts w:ascii="宋体" w:hAnsi="宋体"/>
          <w:b/>
          <w:bCs/>
          <w:sz w:val="24"/>
        </w:rPr>
      </w:pPr>
      <w:r>
        <w:rPr>
          <w:rFonts w:ascii="宋体" w:hAnsi="宋体"/>
          <w:b/>
          <w:bCs/>
          <w:sz w:val="24"/>
        </w:rPr>
        <w:t>18. 不可抗力</w:t>
      </w:r>
    </w:p>
    <w:p w14:paraId="6B0CEEA3">
      <w:pPr>
        <w:autoSpaceDE w:val="0"/>
        <w:autoSpaceDN w:val="0"/>
        <w:adjustRightInd w:val="0"/>
        <w:snapToGrid w:val="0"/>
        <w:spacing w:line="400" w:lineRule="exact"/>
        <w:ind w:firstLine="420" w:firstLineChars="200"/>
        <w:jc w:val="left"/>
        <w:rPr>
          <w:rFonts w:ascii="宋体" w:hAnsi="宋体"/>
        </w:rPr>
      </w:pPr>
      <w:r>
        <w:rPr>
          <w:rFonts w:ascii="宋体" w:hAnsi="宋体"/>
        </w:rPr>
        <w:t>18.1 不可抗力是指合同双方不能预见、不能避免且不能克服的客观情况。</w:t>
      </w:r>
    </w:p>
    <w:p w14:paraId="6A2BD75A">
      <w:pPr>
        <w:autoSpaceDE w:val="0"/>
        <w:autoSpaceDN w:val="0"/>
        <w:adjustRightInd w:val="0"/>
        <w:snapToGrid w:val="0"/>
        <w:spacing w:line="400" w:lineRule="exact"/>
        <w:ind w:firstLine="420" w:firstLineChars="200"/>
        <w:jc w:val="left"/>
        <w:rPr>
          <w:rFonts w:ascii="宋体" w:hAnsi="宋体"/>
        </w:rPr>
      </w:pPr>
      <w:r>
        <w:rPr>
          <w:rFonts w:ascii="宋体" w:hAnsi="宋体"/>
        </w:rPr>
        <w:t>18.2 任何一方对由于不可抗力造成的部分或全部不能履行合同不承担违约责任。但迟延履行后发生不可抗力的，不能免除责任。</w:t>
      </w:r>
    </w:p>
    <w:p w14:paraId="2EF18684">
      <w:pPr>
        <w:autoSpaceDE w:val="0"/>
        <w:autoSpaceDN w:val="0"/>
        <w:adjustRightInd w:val="0"/>
        <w:snapToGrid w:val="0"/>
        <w:spacing w:line="400" w:lineRule="exact"/>
        <w:ind w:firstLine="420" w:firstLineChars="200"/>
        <w:jc w:val="left"/>
        <w:rPr>
          <w:rFonts w:ascii="宋体" w:hAnsi="宋体"/>
        </w:rPr>
      </w:pPr>
      <w:r>
        <w:rPr>
          <w:rFonts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2C2423C">
      <w:pPr>
        <w:autoSpaceDE w:val="0"/>
        <w:autoSpaceDN w:val="0"/>
        <w:adjustRightInd w:val="0"/>
        <w:snapToGrid w:val="0"/>
        <w:spacing w:line="400" w:lineRule="exact"/>
        <w:jc w:val="left"/>
        <w:rPr>
          <w:rFonts w:ascii="宋体" w:hAnsi="宋体"/>
          <w:b/>
          <w:bCs/>
          <w:sz w:val="24"/>
        </w:rPr>
      </w:pPr>
      <w:r>
        <w:rPr>
          <w:rFonts w:ascii="宋体" w:hAnsi="宋体"/>
          <w:b/>
          <w:bCs/>
          <w:sz w:val="24"/>
        </w:rPr>
        <w:t>19. 解决争议的方法</w:t>
      </w:r>
    </w:p>
    <w:p w14:paraId="7173A7D3">
      <w:pPr>
        <w:pStyle w:val="100"/>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7CFA340D">
      <w:pPr>
        <w:pStyle w:val="100"/>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5ABC4F2">
      <w:pPr>
        <w:pStyle w:val="100"/>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49AF32E2">
      <w:pPr>
        <w:autoSpaceDE w:val="0"/>
        <w:autoSpaceDN w:val="0"/>
        <w:adjustRightInd w:val="0"/>
        <w:snapToGrid w:val="0"/>
        <w:spacing w:line="400" w:lineRule="exact"/>
        <w:jc w:val="left"/>
        <w:rPr>
          <w:rFonts w:ascii="宋体" w:hAnsi="宋体"/>
          <w:sz w:val="24"/>
        </w:rPr>
      </w:pPr>
      <w:r>
        <w:rPr>
          <w:rFonts w:ascii="宋体" w:hAnsi="宋体"/>
          <w:b/>
          <w:sz w:val="24"/>
        </w:rPr>
        <w:t>20. 政府采购政策</w:t>
      </w:r>
    </w:p>
    <w:p w14:paraId="613FE011">
      <w:pPr>
        <w:autoSpaceDE w:val="0"/>
        <w:autoSpaceDN w:val="0"/>
        <w:adjustRightInd w:val="0"/>
        <w:snapToGrid w:val="0"/>
        <w:spacing w:line="400" w:lineRule="exact"/>
        <w:ind w:firstLine="420" w:firstLineChars="200"/>
        <w:jc w:val="left"/>
        <w:rPr>
          <w:rFonts w:ascii="宋体" w:hAnsi="宋体"/>
        </w:rPr>
      </w:pPr>
      <w:r>
        <w:rPr>
          <w:rFonts w:ascii="宋体" w:hAnsi="宋体"/>
        </w:rPr>
        <w:t xml:space="preserve">20.1 </w:t>
      </w:r>
      <w:r>
        <w:rPr>
          <w:rFonts w:ascii="宋体" w:hAnsi="宋体" w:cs="宋体"/>
          <w:lang w:val="en-GB"/>
        </w:rPr>
        <w:t>本合同应当按照规定执行政府采购政策。</w:t>
      </w:r>
    </w:p>
    <w:p w14:paraId="6A83CF74">
      <w:pPr>
        <w:autoSpaceDE w:val="0"/>
        <w:autoSpaceDN w:val="0"/>
        <w:adjustRightInd w:val="0"/>
        <w:snapToGrid w:val="0"/>
        <w:spacing w:line="400" w:lineRule="exact"/>
        <w:ind w:firstLine="420" w:firstLineChars="200"/>
        <w:jc w:val="left"/>
        <w:rPr>
          <w:rFonts w:ascii="宋体" w:hAnsi="宋体"/>
        </w:rPr>
      </w:pPr>
      <w:r>
        <w:rPr>
          <w:rFonts w:ascii="宋体" w:hAnsi="宋体"/>
        </w:rPr>
        <w:t>20.2 本合同依法执行政府采购政策的方式和内容，属于合同履约验收的范围。</w:t>
      </w:r>
      <w:r>
        <w:rPr>
          <w:rFonts w:ascii="宋体" w:hAnsi="宋体" w:cs="宋体"/>
        </w:rPr>
        <w:t>甲乙双方</w:t>
      </w:r>
      <w:r>
        <w:rPr>
          <w:rFonts w:ascii="宋体" w:hAnsi="宋体" w:cs="宋体"/>
          <w:lang w:val="en-GB"/>
        </w:rPr>
        <w:t>未按规定要求执行政府采购政策造成损失的</w:t>
      </w:r>
      <w:r>
        <w:rPr>
          <w:rFonts w:ascii="宋体" w:hAnsi="宋体"/>
        </w:rPr>
        <w:t>，有过错的一方应当承担赔偿责任，双方都有过错的，各自承担相应的责任。</w:t>
      </w:r>
    </w:p>
    <w:p w14:paraId="5DBA88D4">
      <w:pPr>
        <w:pStyle w:val="16"/>
        <w:spacing w:line="400" w:lineRule="exact"/>
        <w:ind w:firstLine="480" w:firstLineChars="200"/>
      </w:pPr>
      <w:r>
        <w:rPr>
          <w:szCs w:val="21"/>
        </w:rPr>
        <w:t>2</w:t>
      </w:r>
      <w:r>
        <w:rPr>
          <w:rFonts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20183D">
      <w:pPr>
        <w:autoSpaceDE w:val="0"/>
        <w:autoSpaceDN w:val="0"/>
        <w:adjustRightInd w:val="0"/>
        <w:snapToGrid w:val="0"/>
        <w:spacing w:line="400" w:lineRule="exact"/>
        <w:jc w:val="left"/>
        <w:rPr>
          <w:rFonts w:ascii="宋体" w:hAnsi="宋体"/>
          <w:b/>
          <w:sz w:val="24"/>
        </w:rPr>
      </w:pPr>
      <w:r>
        <w:rPr>
          <w:rFonts w:ascii="宋体" w:hAnsi="宋体"/>
          <w:b/>
          <w:sz w:val="24"/>
        </w:rPr>
        <w:t>21. 法律适用</w:t>
      </w:r>
    </w:p>
    <w:p w14:paraId="624EB33A">
      <w:pPr>
        <w:pStyle w:val="100"/>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003E9476">
      <w:pPr>
        <w:pStyle w:val="100"/>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7BD224EA">
      <w:pPr>
        <w:numPr>
          <w:ilvl w:val="255"/>
          <w:numId w:val="0"/>
        </w:numPr>
        <w:autoSpaceDE w:val="0"/>
        <w:autoSpaceDN w:val="0"/>
        <w:adjustRightInd w:val="0"/>
        <w:snapToGrid w:val="0"/>
        <w:spacing w:line="400" w:lineRule="exact"/>
        <w:jc w:val="left"/>
        <w:rPr>
          <w:rFonts w:ascii="宋体" w:hAnsi="宋体"/>
          <w:b/>
          <w:sz w:val="24"/>
        </w:rPr>
      </w:pPr>
      <w:r>
        <w:rPr>
          <w:rFonts w:ascii="宋体" w:hAnsi="宋体"/>
          <w:b/>
          <w:sz w:val="24"/>
        </w:rPr>
        <w:t>22. 通知</w:t>
      </w:r>
    </w:p>
    <w:p w14:paraId="47DF3219">
      <w:pPr>
        <w:pStyle w:val="100"/>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5891D281">
      <w:pPr>
        <w:pStyle w:val="100"/>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6D458E81">
      <w:pPr>
        <w:adjustRightInd w:val="0"/>
        <w:snapToGrid w:val="0"/>
        <w:spacing w:line="400" w:lineRule="exact"/>
        <w:ind w:firstLine="420" w:firstLineChars="200"/>
        <w:jc w:val="left"/>
        <w:rPr>
          <w:rFonts w:ascii="宋体" w:hAnsi="宋体"/>
        </w:rPr>
      </w:pPr>
      <w:r>
        <w:rPr>
          <w:rFonts w:ascii="宋体" w:hAnsi="宋体"/>
        </w:rPr>
        <w:t>22.3本合同一方给另一方的通知均应采用书面形式，传真或快递送到本合同中规定的对方的地址和办理签收手续。</w:t>
      </w:r>
    </w:p>
    <w:p w14:paraId="2078DD6E">
      <w:pPr>
        <w:adjustRightInd w:val="0"/>
        <w:snapToGrid w:val="0"/>
        <w:spacing w:line="400" w:lineRule="exact"/>
        <w:ind w:firstLine="420" w:firstLineChars="200"/>
        <w:jc w:val="left"/>
        <w:rPr>
          <w:rFonts w:ascii="宋体" w:hAnsi="宋体"/>
        </w:rPr>
      </w:pPr>
      <w:r>
        <w:rPr>
          <w:rFonts w:ascii="宋体" w:hAnsi="宋体"/>
        </w:rPr>
        <w:t>22.4通知以送达之日或通知书中规定的生效之日起生效，两者中以较迟之日为准。</w:t>
      </w:r>
    </w:p>
    <w:p w14:paraId="57D39475">
      <w:pPr>
        <w:widowControl w:val="0"/>
        <w:numPr>
          <w:ilvl w:val="0"/>
          <w:numId w:val="15"/>
        </w:numPr>
        <w:adjustRightInd w:val="0"/>
        <w:snapToGrid w:val="0"/>
        <w:spacing w:line="400" w:lineRule="exact"/>
        <w:jc w:val="left"/>
        <w:rPr>
          <w:rFonts w:ascii="宋体" w:hAnsi="宋体"/>
          <w:b/>
          <w:bCs/>
          <w:sz w:val="24"/>
        </w:rPr>
      </w:pPr>
      <w:r>
        <w:rPr>
          <w:rFonts w:ascii="宋体" w:hAnsi="宋体"/>
          <w:b/>
          <w:bCs/>
          <w:sz w:val="24"/>
        </w:rPr>
        <w:t>合同未尽事项</w:t>
      </w:r>
    </w:p>
    <w:p w14:paraId="6AF341FD">
      <w:pPr>
        <w:adjustRightInd w:val="0"/>
        <w:snapToGrid w:val="0"/>
        <w:spacing w:line="400" w:lineRule="exact"/>
        <w:ind w:firstLine="420" w:firstLineChars="200"/>
        <w:jc w:val="left"/>
        <w:rPr>
          <w:rFonts w:ascii="宋体" w:hAnsi="宋体"/>
          <w:bCs/>
        </w:rPr>
      </w:pPr>
      <w:r>
        <w:rPr>
          <w:rFonts w:ascii="宋体" w:hAnsi="宋体"/>
          <w:bCs/>
        </w:rPr>
        <w:t>23.1合同未尽事项见</w:t>
      </w:r>
      <w:r>
        <w:rPr>
          <w:rFonts w:ascii="宋体" w:hAnsi="宋体"/>
          <w:b/>
        </w:rPr>
        <w:t>【政府采购合同专用条款】</w:t>
      </w:r>
      <w:r>
        <w:rPr>
          <w:rFonts w:ascii="宋体" w:hAnsi="宋体"/>
          <w:bCs/>
        </w:rPr>
        <w:t>。</w:t>
      </w:r>
    </w:p>
    <w:p w14:paraId="11377FEC">
      <w:pPr>
        <w:adjustRightInd w:val="0"/>
        <w:snapToGrid w:val="0"/>
        <w:spacing w:line="400" w:lineRule="exact"/>
        <w:jc w:val="left"/>
        <w:rPr>
          <w:rFonts w:ascii="黑体" w:hAnsi="华文中宋" w:eastAsia="黑体"/>
          <w:sz w:val="28"/>
          <w:szCs w:val="28"/>
        </w:rPr>
      </w:pPr>
      <w:r>
        <w:rPr>
          <w:rFonts w:ascii="宋体" w:hAnsi="宋体"/>
          <w:bCs/>
        </w:rPr>
        <w:t xml:space="preserve">    23.2 合同附件与合同正文具有同等的法律效力。</w:t>
      </w:r>
      <w:bookmarkStart w:id="532" w:name="_Toc20313"/>
    </w:p>
    <w:p w14:paraId="193341B3">
      <w:pPr>
        <w:adjustRightInd w:val="0"/>
        <w:snapToGrid w:val="0"/>
        <w:jc w:val="center"/>
        <w:rPr>
          <w:rFonts w:ascii="黑体" w:hAnsi="华文中宋" w:eastAsia="黑体"/>
          <w:sz w:val="28"/>
          <w:szCs w:val="28"/>
        </w:rPr>
      </w:pPr>
      <w:r>
        <w:rPr>
          <w:rFonts w:ascii="黑体" w:hAnsi="华文中宋" w:eastAsia="黑体"/>
          <w:sz w:val="28"/>
          <w:szCs w:val="28"/>
        </w:rPr>
        <w:br w:type="page"/>
      </w:r>
    </w:p>
    <w:p w14:paraId="5E6C3602">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532"/>
    </w:p>
    <w:tbl>
      <w:tblPr>
        <w:tblStyle w:val="5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EE41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60DD97">
            <w:pPr>
              <w:adjustRightInd w:val="0"/>
              <w:snapToGrid w:val="0"/>
              <w:jc w:val="center"/>
              <w:rPr>
                <w:rFonts w:ascii="宋体" w:hAnsi="宋体"/>
              </w:rPr>
            </w:pPr>
            <w:r>
              <w:rPr>
                <w:rFonts w:ascii="宋体" w:hAnsi="宋体"/>
              </w:rPr>
              <w:t>第二节</w:t>
            </w:r>
          </w:p>
          <w:p w14:paraId="3721D527">
            <w:pPr>
              <w:adjustRightInd w:val="0"/>
              <w:snapToGrid w:val="0"/>
              <w:jc w:val="center"/>
              <w:rPr>
                <w:rFonts w:ascii="宋体" w:hAnsi="宋体"/>
              </w:rPr>
            </w:pPr>
            <w:r>
              <w:rPr>
                <w:rFonts w:ascii="宋体" w:hAnsi="宋体"/>
              </w:rPr>
              <w:t>第1.2（6）项</w:t>
            </w:r>
          </w:p>
        </w:tc>
        <w:tc>
          <w:tcPr>
            <w:tcW w:w="1742" w:type="dxa"/>
            <w:vAlign w:val="center"/>
          </w:tcPr>
          <w:p w14:paraId="27FB1734">
            <w:pPr>
              <w:adjustRightInd w:val="0"/>
              <w:snapToGrid w:val="0"/>
              <w:jc w:val="left"/>
              <w:rPr>
                <w:rFonts w:ascii="宋体" w:hAnsi="宋体"/>
              </w:rPr>
            </w:pPr>
            <w:r>
              <w:rPr>
                <w:rFonts w:ascii="宋体" w:hAnsi="宋体"/>
              </w:rPr>
              <w:t>联合体具体要求</w:t>
            </w:r>
          </w:p>
        </w:tc>
        <w:tc>
          <w:tcPr>
            <w:tcW w:w="5170" w:type="dxa"/>
            <w:vAlign w:val="center"/>
          </w:tcPr>
          <w:p w14:paraId="66B5FE27">
            <w:pPr>
              <w:adjustRightInd w:val="0"/>
              <w:snapToGrid w:val="0"/>
              <w:jc w:val="left"/>
              <w:rPr>
                <w:rFonts w:ascii="宋体" w:hAnsi="宋体"/>
              </w:rPr>
            </w:pPr>
            <w:r>
              <w:rPr>
                <w:rFonts w:ascii="宋体" w:hAnsi="宋体"/>
                <w:lang w:val="en-US" w:eastAsia="zh-CN"/>
              </w:rPr>
              <w:t>非</w:t>
            </w:r>
            <w:r>
              <w:rPr>
                <w:rFonts w:ascii="宋体" w:hAnsi="宋体"/>
              </w:rPr>
              <w:t>联合体</w:t>
            </w:r>
          </w:p>
        </w:tc>
      </w:tr>
      <w:tr w14:paraId="5AD42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045B5FF">
            <w:pPr>
              <w:adjustRightInd w:val="0"/>
              <w:snapToGrid w:val="0"/>
              <w:jc w:val="center"/>
              <w:rPr>
                <w:rFonts w:ascii="宋体" w:hAnsi="宋体"/>
              </w:rPr>
            </w:pPr>
            <w:r>
              <w:rPr>
                <w:rFonts w:ascii="宋体" w:hAnsi="宋体"/>
              </w:rPr>
              <w:t>第二节</w:t>
            </w:r>
          </w:p>
          <w:p w14:paraId="4D63BDFE">
            <w:pPr>
              <w:adjustRightInd w:val="0"/>
              <w:snapToGrid w:val="0"/>
              <w:jc w:val="center"/>
              <w:rPr>
                <w:rFonts w:ascii="宋体" w:hAnsi="宋体"/>
              </w:rPr>
            </w:pPr>
            <w:r>
              <w:rPr>
                <w:rFonts w:ascii="宋体" w:hAnsi="宋体"/>
              </w:rPr>
              <w:t>第1.2（7）项</w:t>
            </w:r>
          </w:p>
        </w:tc>
        <w:tc>
          <w:tcPr>
            <w:tcW w:w="1742" w:type="dxa"/>
            <w:vAlign w:val="center"/>
          </w:tcPr>
          <w:p w14:paraId="067CA89F">
            <w:pPr>
              <w:adjustRightInd w:val="0"/>
              <w:snapToGrid w:val="0"/>
              <w:jc w:val="left"/>
              <w:rPr>
                <w:rFonts w:ascii="宋体" w:hAnsi="宋体"/>
              </w:rPr>
            </w:pPr>
            <w:r>
              <w:rPr>
                <w:rFonts w:ascii="宋体" w:hAnsi="宋体"/>
              </w:rPr>
              <w:t>其他术语解释</w:t>
            </w:r>
          </w:p>
        </w:tc>
        <w:tc>
          <w:tcPr>
            <w:tcW w:w="5170" w:type="dxa"/>
            <w:vAlign w:val="center"/>
          </w:tcPr>
          <w:p w14:paraId="775D8C16">
            <w:pPr>
              <w:adjustRightInd w:val="0"/>
              <w:snapToGrid w:val="0"/>
              <w:jc w:val="left"/>
              <w:rPr>
                <w:rFonts w:ascii="宋体" w:hAnsi="宋体"/>
              </w:rPr>
            </w:pPr>
            <w:r>
              <w:rPr>
                <w:rFonts w:ascii="宋体" w:hAnsi="宋体"/>
              </w:rPr>
              <w:t>无</w:t>
            </w:r>
          </w:p>
        </w:tc>
      </w:tr>
      <w:tr w14:paraId="2DA10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FFAD5D">
            <w:pPr>
              <w:adjustRightInd w:val="0"/>
              <w:snapToGrid w:val="0"/>
              <w:jc w:val="center"/>
              <w:rPr>
                <w:rFonts w:ascii="宋体" w:hAnsi="宋体"/>
              </w:rPr>
            </w:pPr>
            <w:r>
              <w:rPr>
                <w:rFonts w:ascii="宋体" w:hAnsi="宋体"/>
              </w:rPr>
              <w:t>第二节</w:t>
            </w:r>
          </w:p>
          <w:p w14:paraId="23AA8747">
            <w:pPr>
              <w:adjustRightInd w:val="0"/>
              <w:snapToGrid w:val="0"/>
              <w:jc w:val="center"/>
              <w:rPr>
                <w:rFonts w:ascii="宋体" w:hAnsi="宋体"/>
              </w:rPr>
            </w:pPr>
            <w:r>
              <w:rPr>
                <w:rFonts w:ascii="宋体" w:hAnsi="宋体"/>
              </w:rPr>
              <w:t>第4.4款</w:t>
            </w:r>
          </w:p>
        </w:tc>
        <w:tc>
          <w:tcPr>
            <w:tcW w:w="1742" w:type="dxa"/>
            <w:vAlign w:val="center"/>
          </w:tcPr>
          <w:p w14:paraId="60147500">
            <w:pPr>
              <w:adjustRightInd w:val="0"/>
              <w:snapToGrid w:val="0"/>
              <w:jc w:val="left"/>
              <w:rPr>
                <w:rFonts w:ascii="宋体" w:hAnsi="宋体"/>
              </w:rPr>
            </w:pPr>
            <w:r>
              <w:rPr>
                <w:rFonts w:ascii="宋体" w:hAnsi="宋体"/>
              </w:rPr>
              <w:t>履约验收中甲方提出异议或作出说明的期限</w:t>
            </w:r>
          </w:p>
        </w:tc>
        <w:tc>
          <w:tcPr>
            <w:tcW w:w="5170" w:type="dxa"/>
            <w:vAlign w:val="center"/>
          </w:tcPr>
          <w:p w14:paraId="0BD96269">
            <w:pPr>
              <w:adjustRightInd w:val="0"/>
              <w:snapToGrid w:val="0"/>
              <w:jc w:val="left"/>
              <w:rPr>
                <w:rFonts w:ascii="宋体" w:hAnsi="宋体"/>
              </w:rPr>
            </w:pPr>
            <w:r>
              <w:rPr>
                <w:rFonts w:ascii="宋体" w:hAnsi="宋体"/>
                <w:lang w:val="en-US" w:eastAsia="zh-CN"/>
              </w:rPr>
              <w:t>收到乙方书面验收申请</w:t>
            </w:r>
            <w:r>
              <w:rPr>
                <w:rFonts w:ascii="宋体" w:hAnsi="宋体"/>
              </w:rPr>
              <w:t>10个工作日</w:t>
            </w:r>
          </w:p>
        </w:tc>
      </w:tr>
      <w:tr w14:paraId="12641A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BE61A4">
            <w:pPr>
              <w:adjustRightInd w:val="0"/>
              <w:snapToGrid w:val="0"/>
              <w:jc w:val="center"/>
              <w:rPr>
                <w:rFonts w:ascii="宋体" w:hAnsi="宋体"/>
              </w:rPr>
            </w:pPr>
            <w:r>
              <w:rPr>
                <w:rFonts w:ascii="宋体" w:hAnsi="宋体"/>
              </w:rPr>
              <w:t>第二节</w:t>
            </w:r>
          </w:p>
          <w:p w14:paraId="20B49E48">
            <w:pPr>
              <w:adjustRightInd w:val="0"/>
              <w:snapToGrid w:val="0"/>
              <w:jc w:val="center"/>
              <w:rPr>
                <w:rFonts w:ascii="宋体" w:hAnsi="宋体"/>
              </w:rPr>
            </w:pPr>
            <w:r>
              <w:rPr>
                <w:rFonts w:ascii="宋体" w:hAnsi="宋体"/>
              </w:rPr>
              <w:t>第4.6款</w:t>
            </w:r>
          </w:p>
        </w:tc>
        <w:tc>
          <w:tcPr>
            <w:tcW w:w="1742" w:type="dxa"/>
            <w:vAlign w:val="center"/>
          </w:tcPr>
          <w:p w14:paraId="4C28F17E">
            <w:pPr>
              <w:adjustRightInd w:val="0"/>
              <w:snapToGrid w:val="0"/>
              <w:jc w:val="left"/>
              <w:rPr>
                <w:rFonts w:ascii="宋体" w:hAnsi="宋体"/>
              </w:rPr>
            </w:pPr>
            <w:r>
              <w:rPr>
                <w:rFonts w:ascii="宋体" w:hAnsi="宋体"/>
              </w:rPr>
              <w:t>约定甲方承担的其他义务和责任</w:t>
            </w:r>
          </w:p>
        </w:tc>
        <w:tc>
          <w:tcPr>
            <w:tcW w:w="5170" w:type="dxa"/>
            <w:vAlign w:val="center"/>
          </w:tcPr>
          <w:p w14:paraId="59C55799">
            <w:pPr>
              <w:adjustRightInd w:val="0"/>
              <w:snapToGrid w:val="0"/>
              <w:jc w:val="left"/>
              <w:rPr>
                <w:rFonts w:ascii="宋体" w:hAnsi="宋体"/>
              </w:rPr>
            </w:pPr>
            <w:r>
              <w:rPr>
                <w:rFonts w:ascii="宋体" w:hAnsi="宋体"/>
              </w:rPr>
              <w:t>1.协助提供乙方设计直梯安装布置图及加固进行图纸深化设计及加装电梯所需的必要资料。</w:t>
            </w:r>
          </w:p>
          <w:p w14:paraId="02BE66D9">
            <w:pPr>
              <w:adjustRightInd w:val="0"/>
              <w:snapToGrid w:val="0"/>
              <w:jc w:val="left"/>
              <w:rPr>
                <w:rFonts w:ascii="宋体" w:hAnsi="宋体"/>
              </w:rPr>
            </w:pPr>
            <w:r>
              <w:rPr>
                <w:rFonts w:ascii="宋体" w:hAnsi="宋体"/>
              </w:rPr>
              <w:t>2.安装电梯时，协助提供用水、用电</w:t>
            </w:r>
            <w:r>
              <w:rPr>
                <w:rFonts w:ascii="宋体" w:hAnsi="宋体"/>
                <w:lang w:eastAsia="zh-CN"/>
              </w:rPr>
              <w:t>（</w:t>
            </w:r>
            <w:r>
              <w:rPr>
                <w:rFonts w:ascii="宋体" w:hAnsi="宋体"/>
                <w:lang w:val="en-US" w:eastAsia="zh-CN"/>
              </w:rPr>
              <w:t>水电费用由乙方负责</w:t>
            </w:r>
            <w:r>
              <w:rPr>
                <w:rFonts w:ascii="宋体" w:hAnsi="宋体"/>
                <w:lang w:eastAsia="zh-CN"/>
              </w:rPr>
              <w:t>）</w:t>
            </w:r>
            <w:r>
              <w:rPr>
                <w:rFonts w:ascii="宋体" w:hAnsi="宋体"/>
              </w:rPr>
              <w:t>，协助障碍物的排除及外部安装条件的协调。</w:t>
            </w:r>
          </w:p>
          <w:p w14:paraId="5D7C3346">
            <w:pPr>
              <w:adjustRightInd w:val="0"/>
              <w:snapToGrid w:val="0"/>
              <w:jc w:val="left"/>
              <w:rPr>
                <w:rFonts w:ascii="宋体" w:hAnsi="宋体"/>
              </w:rPr>
            </w:pPr>
            <w:r>
              <w:rPr>
                <w:rFonts w:ascii="宋体" w:hAnsi="宋体"/>
              </w:rPr>
              <w:t>3.在安装作业附近协助提供足够面积存放直梯材料、零件、工具的空间。</w:t>
            </w:r>
          </w:p>
          <w:p w14:paraId="00C7F73A">
            <w:pPr>
              <w:adjustRightInd w:val="0"/>
              <w:snapToGrid w:val="0"/>
              <w:jc w:val="left"/>
              <w:rPr>
                <w:rFonts w:ascii="宋体" w:hAnsi="宋体"/>
              </w:rPr>
            </w:pPr>
            <w:r>
              <w:rPr>
                <w:rFonts w:ascii="宋体" w:hAnsi="宋体"/>
              </w:rPr>
              <w:t>4.配合乙方向当地负责特种设备安全监督管理的部门提出开工及验收申请。</w:t>
            </w:r>
          </w:p>
        </w:tc>
      </w:tr>
      <w:tr w14:paraId="763D4F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6037F1">
            <w:pPr>
              <w:adjustRightInd w:val="0"/>
              <w:snapToGrid w:val="0"/>
              <w:jc w:val="center"/>
              <w:rPr>
                <w:rFonts w:ascii="宋体" w:hAnsi="宋体"/>
              </w:rPr>
            </w:pPr>
            <w:r>
              <w:rPr>
                <w:rFonts w:ascii="宋体" w:hAnsi="宋体"/>
              </w:rPr>
              <w:t>第二节</w:t>
            </w:r>
          </w:p>
          <w:p w14:paraId="774ED667">
            <w:pPr>
              <w:snapToGrid w:val="0"/>
              <w:jc w:val="center"/>
            </w:pPr>
            <w:r>
              <w:rPr>
                <w:rFonts w:ascii="宋体" w:hAnsi="宋体"/>
              </w:rPr>
              <w:t>第5.4款</w:t>
            </w:r>
          </w:p>
        </w:tc>
        <w:tc>
          <w:tcPr>
            <w:tcW w:w="1742" w:type="dxa"/>
            <w:vAlign w:val="center"/>
          </w:tcPr>
          <w:p w14:paraId="2684184E">
            <w:pPr>
              <w:adjustRightInd w:val="0"/>
              <w:snapToGrid w:val="0"/>
              <w:jc w:val="left"/>
              <w:rPr>
                <w:rFonts w:ascii="宋体" w:hAnsi="宋体"/>
              </w:rPr>
            </w:pPr>
            <w:r>
              <w:rPr>
                <w:rFonts w:ascii="宋体" w:hAnsi="宋体"/>
              </w:rPr>
              <w:t>约定乙方承担的其他义务和责任</w:t>
            </w:r>
          </w:p>
        </w:tc>
        <w:tc>
          <w:tcPr>
            <w:tcW w:w="5170" w:type="dxa"/>
            <w:vAlign w:val="center"/>
          </w:tcPr>
          <w:p w14:paraId="34A53357">
            <w:pPr>
              <w:adjustRightInd w:val="0"/>
              <w:snapToGrid w:val="0"/>
              <w:jc w:val="left"/>
              <w:rPr>
                <w:rFonts w:ascii="宋体" w:hAnsi="宋体"/>
              </w:rPr>
            </w:pPr>
            <w:r>
              <w:rPr>
                <w:rFonts w:ascii="宋体" w:hAnsi="宋体"/>
              </w:rPr>
              <w:t>（一）到货</w:t>
            </w:r>
          </w:p>
          <w:p w14:paraId="40AF63A0">
            <w:pPr>
              <w:adjustRightInd w:val="0"/>
              <w:snapToGrid w:val="0"/>
              <w:jc w:val="left"/>
              <w:rPr>
                <w:rFonts w:ascii="宋体" w:hAnsi="宋体"/>
              </w:rPr>
            </w:pPr>
            <w:r>
              <w:rPr>
                <w:rFonts w:ascii="宋体" w:hAnsi="宋体"/>
              </w:rPr>
              <w:t>货物送达工地后，乙方应当配合甲方进行开箱检查，但甲方的检查仅是对货物外观或数量的初步查验，不减轻乙方按期交货责任及产品质量责任。如发现货物本身或其部件缺漏、损坏等，乙方应及时补齐或更换，造成工期延误或其他损失的，由乙方自行承担全部责任。</w:t>
            </w:r>
          </w:p>
          <w:p w14:paraId="238DD4DB">
            <w:pPr>
              <w:adjustRightInd w:val="0"/>
              <w:snapToGrid w:val="0"/>
              <w:jc w:val="left"/>
              <w:rPr>
                <w:rFonts w:ascii="宋体" w:hAnsi="宋体"/>
              </w:rPr>
            </w:pPr>
            <w:r>
              <w:rPr>
                <w:rFonts w:ascii="宋体" w:hAnsi="宋体"/>
              </w:rPr>
              <w:t>（二）安装</w:t>
            </w:r>
          </w:p>
          <w:p w14:paraId="132BA656">
            <w:pPr>
              <w:adjustRightInd w:val="0"/>
              <w:snapToGrid w:val="0"/>
              <w:jc w:val="left"/>
              <w:rPr>
                <w:rFonts w:ascii="宋体" w:hAnsi="宋体"/>
              </w:rPr>
            </w:pPr>
            <w:r>
              <w:rPr>
                <w:rFonts w:ascii="宋体" w:hAnsi="宋体"/>
              </w:rPr>
              <w:t>1.乙方应当在安装开始前完成准备工作，包括但不限于乙方应承担的安装布置设计、井道土建拆改及加固深化设计等全部准备工作。</w:t>
            </w:r>
          </w:p>
          <w:p w14:paraId="0C98DD61">
            <w:pPr>
              <w:adjustRightInd w:val="0"/>
              <w:snapToGrid w:val="0"/>
              <w:jc w:val="left"/>
              <w:rPr>
                <w:rFonts w:ascii="宋体" w:hAnsi="宋体"/>
              </w:rPr>
            </w:pPr>
            <w:r>
              <w:rPr>
                <w:rFonts w:ascii="宋体" w:hAnsi="宋体"/>
              </w:rPr>
              <w:t>2.乙方负责设备的起重、分层、搬运、就位等工作，按照国家电梯安装规范质量标准完成设备的安装和调试工作，直至符合相关的设计要求和质量验收标准。</w:t>
            </w:r>
          </w:p>
          <w:p w14:paraId="5F718530">
            <w:pPr>
              <w:adjustRightInd w:val="0"/>
              <w:snapToGrid w:val="0"/>
              <w:jc w:val="left"/>
              <w:rPr>
                <w:rFonts w:ascii="宋体" w:hAnsi="宋体"/>
              </w:rPr>
            </w:pPr>
            <w:r>
              <w:rPr>
                <w:rFonts w:ascii="宋体" w:hAnsi="宋体"/>
              </w:rPr>
              <w:t>3.乙方负责向当地质量监督部门进行开工和验收申报，并配合当地质量监督部门进行现场验收工作，同时承担报装、报验等费用。</w:t>
            </w:r>
          </w:p>
          <w:p w14:paraId="210F700F">
            <w:pPr>
              <w:adjustRightInd w:val="0"/>
              <w:snapToGrid w:val="0"/>
              <w:jc w:val="left"/>
              <w:rPr>
                <w:rFonts w:ascii="宋体" w:hAnsi="宋体"/>
              </w:rPr>
            </w:pPr>
            <w:r>
              <w:rPr>
                <w:rFonts w:ascii="宋体" w:hAnsi="宋体"/>
              </w:rPr>
              <w:t>4.如因乙方产品自身质量问题不能一次通过验收的，由乙方负责整改或重做，费用乙方负责，工期不予顺延。</w:t>
            </w:r>
          </w:p>
          <w:p w14:paraId="684ABF52">
            <w:pPr>
              <w:adjustRightInd w:val="0"/>
              <w:snapToGrid w:val="0"/>
              <w:jc w:val="left"/>
              <w:rPr>
                <w:rFonts w:ascii="宋体" w:hAnsi="宋体"/>
              </w:rPr>
            </w:pPr>
            <w:r>
              <w:rPr>
                <w:rFonts w:ascii="宋体" w:hAnsi="宋体"/>
              </w:rPr>
              <w:t>5.乙方负责直梯设备、工具的保管及现场安全。项目建设过程中，乙方应避免损害甲方建筑主体、管线等其他设施设备，乙方在安装过程中出现的任何人身伤亡、财产损失等均由乙方负责，一切法律责任及费用由乙方承担。</w:t>
            </w:r>
          </w:p>
          <w:p w14:paraId="169A9EC2">
            <w:pPr>
              <w:adjustRightInd w:val="0"/>
              <w:snapToGrid w:val="0"/>
              <w:jc w:val="left"/>
              <w:rPr>
                <w:rFonts w:ascii="宋体" w:hAnsi="宋体"/>
              </w:rPr>
            </w:pPr>
            <w:r>
              <w:rPr>
                <w:rFonts w:ascii="宋体" w:hAnsi="宋体"/>
              </w:rPr>
              <w:t>6.项目建设中产生的各种废弃物，由乙方按照项目所在地环境管理法律法规及有关规定予以处理，所需费用由乙方承担。</w:t>
            </w:r>
          </w:p>
          <w:p w14:paraId="44C93684">
            <w:pPr>
              <w:adjustRightInd w:val="0"/>
              <w:snapToGrid w:val="0"/>
              <w:jc w:val="left"/>
              <w:rPr>
                <w:rFonts w:ascii="宋体" w:hAnsi="宋体"/>
              </w:rPr>
            </w:pPr>
            <w:r>
              <w:rPr>
                <w:rFonts w:ascii="宋体" w:hAnsi="宋体"/>
              </w:rPr>
              <w:t>7.直梯通过质量监督部门验收并取得验收报告、准运证及相关验收合格的资料后，将直梯设备及相关资料移交甲方。</w:t>
            </w:r>
          </w:p>
        </w:tc>
      </w:tr>
      <w:tr w14:paraId="7ED65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0F860A">
            <w:pPr>
              <w:adjustRightInd w:val="0"/>
              <w:snapToGrid w:val="0"/>
              <w:jc w:val="center"/>
              <w:rPr>
                <w:rFonts w:ascii="宋体" w:hAnsi="宋体"/>
              </w:rPr>
            </w:pPr>
            <w:r>
              <w:rPr>
                <w:rFonts w:ascii="宋体" w:hAnsi="宋体"/>
              </w:rPr>
              <w:t>第二节</w:t>
            </w:r>
          </w:p>
          <w:p w14:paraId="5395E41B">
            <w:pPr>
              <w:snapToGrid w:val="0"/>
              <w:jc w:val="center"/>
              <w:rPr>
                <w:rFonts w:ascii="宋体" w:hAnsi="宋体"/>
              </w:rPr>
            </w:pPr>
            <w:r>
              <w:rPr>
                <w:rFonts w:ascii="宋体" w:hAnsi="宋体"/>
              </w:rPr>
              <w:t>第6.1款</w:t>
            </w:r>
          </w:p>
        </w:tc>
        <w:tc>
          <w:tcPr>
            <w:tcW w:w="1742" w:type="dxa"/>
            <w:vAlign w:val="center"/>
          </w:tcPr>
          <w:p w14:paraId="385CBBAC">
            <w:pPr>
              <w:adjustRightInd w:val="0"/>
              <w:snapToGrid w:val="0"/>
              <w:jc w:val="left"/>
              <w:rPr>
                <w:rFonts w:ascii="宋体" w:hAnsi="宋体"/>
              </w:rPr>
            </w:pPr>
            <w:r>
              <w:rPr>
                <w:rFonts w:ascii="宋体" w:hAnsi="宋体"/>
              </w:rPr>
              <w:t>履行合同义务的顺序</w:t>
            </w:r>
          </w:p>
        </w:tc>
        <w:tc>
          <w:tcPr>
            <w:tcW w:w="5170" w:type="dxa"/>
            <w:vAlign w:val="center"/>
          </w:tcPr>
          <w:p w14:paraId="0D33B984">
            <w:pPr>
              <w:adjustRightInd w:val="0"/>
              <w:snapToGrid w:val="0"/>
              <w:rPr>
                <w:rFonts w:ascii="宋体" w:hAnsi="宋体"/>
              </w:rPr>
            </w:pPr>
            <w:r>
              <w:rPr>
                <w:rFonts w:ascii="宋体" w:hAnsi="宋体"/>
                <w:lang w:val="en-US" w:eastAsia="zh-CN"/>
              </w:rPr>
              <w:t>1、</w:t>
            </w:r>
            <w:r>
              <w:rPr>
                <w:rFonts w:ascii="宋体" w:hAnsi="宋体"/>
              </w:rPr>
              <w:t>甲方支付预付款</w:t>
            </w:r>
          </w:p>
          <w:p w14:paraId="1460C304">
            <w:pPr>
              <w:adjustRightInd w:val="0"/>
              <w:snapToGrid w:val="0"/>
              <w:rPr>
                <w:rFonts w:ascii="宋体" w:hAnsi="宋体"/>
              </w:rPr>
            </w:pPr>
            <w:r>
              <w:rPr>
                <w:rFonts w:ascii="宋体" w:hAnsi="宋体"/>
              </w:rPr>
              <w:t>2、乙方进行设计与确认</w:t>
            </w:r>
          </w:p>
          <w:p w14:paraId="5F261D8F">
            <w:pPr>
              <w:adjustRightInd w:val="0"/>
              <w:snapToGrid w:val="0"/>
              <w:rPr>
                <w:rFonts w:ascii="宋体" w:hAnsi="宋体"/>
              </w:rPr>
            </w:pPr>
            <w:r>
              <w:rPr>
                <w:rFonts w:ascii="宋体" w:hAnsi="宋体"/>
                <w:lang w:val="en-US" w:eastAsia="zh-CN"/>
              </w:rPr>
              <w:t>3</w:t>
            </w:r>
            <w:r>
              <w:rPr>
                <w:rFonts w:ascii="宋体" w:hAnsi="宋体"/>
              </w:rPr>
              <w:t>、乙方发货及甲方验收货物</w:t>
            </w:r>
          </w:p>
          <w:p w14:paraId="5448DE20">
            <w:pPr>
              <w:adjustRightInd w:val="0"/>
              <w:snapToGrid w:val="0"/>
              <w:rPr>
                <w:rFonts w:ascii="宋体" w:hAnsi="宋体"/>
              </w:rPr>
            </w:pPr>
            <w:r>
              <w:rPr>
                <w:rFonts w:ascii="宋体" w:hAnsi="宋体"/>
                <w:lang w:val="en-US" w:eastAsia="zh-CN"/>
              </w:rPr>
              <w:t>4</w:t>
            </w:r>
            <w:r>
              <w:rPr>
                <w:rFonts w:ascii="宋体" w:hAnsi="宋体"/>
              </w:rPr>
              <w:t>、乙方安装</w:t>
            </w:r>
            <w:r>
              <w:rPr>
                <w:rFonts w:ascii="宋体" w:hAnsi="宋体"/>
                <w:lang w:eastAsia="zh-CN"/>
              </w:rPr>
              <w:t>、</w:t>
            </w:r>
            <w:r>
              <w:rPr>
                <w:rFonts w:ascii="宋体" w:hAnsi="宋体"/>
                <w:lang w:val="en-US" w:eastAsia="zh-CN"/>
              </w:rPr>
              <w:t>调试</w:t>
            </w:r>
            <w:r>
              <w:rPr>
                <w:rFonts w:ascii="宋体" w:hAnsi="宋体"/>
              </w:rPr>
              <w:t>电梯</w:t>
            </w:r>
          </w:p>
          <w:p w14:paraId="0A7E500A">
            <w:pPr>
              <w:adjustRightInd w:val="0"/>
              <w:snapToGrid w:val="0"/>
              <w:rPr>
                <w:rFonts w:ascii="宋体" w:hAnsi="宋体"/>
              </w:rPr>
            </w:pPr>
            <w:r>
              <w:rPr>
                <w:rFonts w:ascii="宋体" w:hAnsi="宋体"/>
                <w:lang w:val="en-US" w:eastAsia="zh-CN"/>
              </w:rPr>
              <w:t>5</w:t>
            </w:r>
            <w:r>
              <w:rPr>
                <w:rFonts w:ascii="宋体" w:hAnsi="宋体"/>
              </w:rPr>
              <w:t>、乙方申请验收</w:t>
            </w:r>
            <w:r>
              <w:rPr>
                <w:rFonts w:ascii="宋体" w:hAnsi="宋体"/>
                <w:lang w:val="en-US" w:eastAsia="zh-CN"/>
              </w:rPr>
              <w:t>并通过甲方最终验收</w:t>
            </w:r>
          </w:p>
          <w:p w14:paraId="2AD13E04">
            <w:pPr>
              <w:adjustRightInd w:val="0"/>
              <w:snapToGrid w:val="0"/>
              <w:rPr>
                <w:rFonts w:ascii="宋体" w:hAnsi="宋体"/>
              </w:rPr>
            </w:pPr>
            <w:r>
              <w:rPr>
                <w:rFonts w:ascii="宋体" w:hAnsi="宋体"/>
                <w:lang w:val="en-US" w:eastAsia="zh-CN"/>
              </w:rPr>
              <w:t>6</w:t>
            </w:r>
            <w:r>
              <w:rPr>
                <w:rFonts w:ascii="宋体" w:hAnsi="宋体"/>
              </w:rPr>
              <w:t>、甲方支付剩余款项</w:t>
            </w:r>
          </w:p>
          <w:p w14:paraId="5A22A9BB">
            <w:pPr>
              <w:adjustRightInd w:val="0"/>
              <w:snapToGrid w:val="0"/>
              <w:jc w:val="left"/>
              <w:rPr>
                <w:rFonts w:ascii="宋体" w:hAnsi="宋体"/>
              </w:rPr>
            </w:pPr>
            <w:r>
              <w:rPr>
                <w:rFonts w:ascii="宋体" w:hAnsi="宋体"/>
                <w:lang w:val="en-US" w:eastAsia="zh-CN"/>
              </w:rPr>
              <w:t>7</w:t>
            </w:r>
            <w:r>
              <w:rPr>
                <w:rFonts w:ascii="宋体" w:hAnsi="宋体"/>
              </w:rPr>
              <w:t>、乙方提供</w:t>
            </w:r>
            <w:r>
              <w:rPr>
                <w:rFonts w:ascii="宋体" w:hAnsi="宋体"/>
                <w:lang w:val="en-US" w:eastAsia="zh-CN"/>
              </w:rPr>
              <w:t>质量保证期内的维护和保养</w:t>
            </w:r>
            <w:r>
              <w:rPr>
                <w:rFonts w:ascii="宋体" w:hAnsi="宋体"/>
              </w:rPr>
              <w:t>服务</w:t>
            </w:r>
          </w:p>
        </w:tc>
      </w:tr>
      <w:tr w14:paraId="63820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0F6051E">
            <w:pPr>
              <w:adjustRightInd w:val="0"/>
              <w:snapToGrid w:val="0"/>
              <w:jc w:val="center"/>
              <w:rPr>
                <w:rFonts w:ascii="宋体" w:hAnsi="宋体"/>
              </w:rPr>
            </w:pPr>
            <w:r>
              <w:rPr>
                <w:rFonts w:ascii="宋体" w:hAnsi="宋体"/>
              </w:rPr>
              <w:t>第二节</w:t>
            </w:r>
          </w:p>
          <w:p w14:paraId="792F04DF">
            <w:pPr>
              <w:adjustRightInd w:val="0"/>
              <w:snapToGrid w:val="0"/>
              <w:jc w:val="center"/>
              <w:rPr>
                <w:rFonts w:ascii="宋体" w:hAnsi="宋体"/>
              </w:rPr>
            </w:pPr>
            <w:r>
              <w:rPr>
                <w:rFonts w:ascii="宋体" w:hAnsi="宋体"/>
              </w:rPr>
              <w:t>第7.1款</w:t>
            </w:r>
          </w:p>
        </w:tc>
        <w:tc>
          <w:tcPr>
            <w:tcW w:w="1742" w:type="dxa"/>
            <w:vAlign w:val="center"/>
          </w:tcPr>
          <w:p w14:paraId="1BDAC8F7">
            <w:pPr>
              <w:adjustRightInd w:val="0"/>
              <w:snapToGrid w:val="0"/>
              <w:jc w:val="left"/>
              <w:rPr>
                <w:rFonts w:ascii="宋体" w:hAnsi="宋体"/>
                <w:lang w:val="en-US" w:eastAsia="zh-CN"/>
              </w:rPr>
            </w:pPr>
            <w:r>
              <w:rPr>
                <w:rFonts w:ascii="宋体" w:hAnsi="宋体" w:eastAsia="宋体" w:cs="宋体"/>
                <w:lang w:val="en-US" w:eastAsia="zh-CN"/>
              </w:rPr>
              <w:t>包装特殊要求</w:t>
            </w:r>
          </w:p>
        </w:tc>
        <w:tc>
          <w:tcPr>
            <w:tcW w:w="5170" w:type="dxa"/>
            <w:vAlign w:val="center"/>
          </w:tcPr>
          <w:p w14:paraId="335C649A">
            <w:pPr>
              <w:adjustRightInd w:val="0"/>
              <w:snapToGrid w:val="0"/>
              <w:rPr>
                <w:rFonts w:ascii="宋体" w:hAnsi="宋体"/>
                <w:lang w:val="en-US" w:eastAsia="zh-CN"/>
              </w:rPr>
            </w:pPr>
            <w:r>
              <w:rPr>
                <w:rFonts w:ascii="宋体" w:hAnsi="宋体"/>
                <w:lang w:val="en-US" w:eastAsia="zh-CN"/>
              </w:rPr>
              <w:t>1</w:t>
            </w:r>
            <w:r>
              <w:rPr>
                <w:rFonts w:ascii="宋体" w:hAnsi="宋体" w:eastAsia="宋体" w:cs="宋体"/>
                <w:lang w:val="en-US" w:eastAsia="zh-CN"/>
              </w:rPr>
              <w:t>、满足合规性与标识要求</w:t>
            </w:r>
          </w:p>
          <w:p w14:paraId="7A8C3C9C">
            <w:pPr>
              <w:pStyle w:val="16"/>
              <w:adjustRightInd w:val="0"/>
              <w:snapToGrid w:val="0"/>
              <w:rPr>
                <w:rFonts w:hint="eastAsia" w:eastAsia="Arial Unicode MS" w:cs="Arial Unicode MS"/>
                <w:color w:val="000000"/>
                <w:sz w:val="21"/>
                <w:szCs w:val="21"/>
                <w:lang w:val="en-US" w:eastAsia="zh-CN"/>
              </w:rPr>
            </w:pPr>
            <w:r>
              <w:rPr>
                <w:rFonts w:hint="eastAsia" w:eastAsia="Arial Unicode MS" w:cs="Arial Unicode MS"/>
                <w:color w:val="000000"/>
                <w:sz w:val="21"/>
                <w:szCs w:val="21"/>
                <w:lang w:val="en-US" w:eastAsia="zh-CN"/>
              </w:rPr>
              <w:t>2</w:t>
            </w:r>
            <w:r>
              <w:rPr>
                <w:rFonts w:hint="eastAsia" w:cs="宋体"/>
                <w:color w:val="000000"/>
                <w:sz w:val="21"/>
                <w:szCs w:val="21"/>
                <w:lang w:val="en-US" w:eastAsia="zh-CN"/>
              </w:rPr>
              <w:t>、包装材料强度要适配性</w:t>
            </w:r>
          </w:p>
          <w:p w14:paraId="70FE369D">
            <w:pPr>
              <w:pStyle w:val="16"/>
              <w:adjustRightInd w:val="0"/>
              <w:snapToGrid w:val="0"/>
              <w:rPr>
                <w:rFonts w:hint="eastAsia" w:eastAsia="Arial Unicode MS" w:cs="Arial Unicode MS"/>
                <w:color w:val="000000"/>
                <w:sz w:val="21"/>
                <w:szCs w:val="21"/>
                <w:lang w:val="en-US" w:eastAsia="zh-CN"/>
              </w:rPr>
            </w:pPr>
            <w:r>
              <w:rPr>
                <w:rFonts w:hint="eastAsia" w:eastAsia="Arial Unicode MS" w:cs="Arial Unicode MS"/>
                <w:color w:val="000000"/>
                <w:sz w:val="21"/>
                <w:szCs w:val="21"/>
                <w:lang w:val="en-US" w:eastAsia="zh-CN"/>
              </w:rPr>
              <w:t>3</w:t>
            </w:r>
            <w:r>
              <w:rPr>
                <w:rFonts w:hint="eastAsia" w:cs="宋体"/>
                <w:color w:val="000000"/>
                <w:sz w:val="21"/>
                <w:szCs w:val="21"/>
                <w:lang w:val="en-US" w:eastAsia="zh-CN"/>
              </w:rPr>
              <w:t>、做好防潮与防锈要求</w:t>
            </w:r>
          </w:p>
        </w:tc>
      </w:tr>
      <w:tr w14:paraId="4FBB21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F6BCE7C">
            <w:pPr>
              <w:adjustRightInd w:val="0"/>
              <w:snapToGrid w:val="0"/>
              <w:jc w:val="center"/>
              <w:rPr>
                <w:rFonts w:ascii="宋体" w:hAnsi="宋体"/>
              </w:rPr>
            </w:pPr>
          </w:p>
        </w:tc>
        <w:tc>
          <w:tcPr>
            <w:tcW w:w="1742" w:type="dxa"/>
            <w:vAlign w:val="center"/>
          </w:tcPr>
          <w:p w14:paraId="35DD2019">
            <w:pPr>
              <w:adjustRightInd w:val="0"/>
              <w:snapToGrid w:val="0"/>
              <w:jc w:val="left"/>
              <w:rPr>
                <w:rFonts w:ascii="宋体" w:hAnsi="宋体"/>
              </w:rPr>
            </w:pPr>
            <w:r>
              <w:rPr>
                <w:rFonts w:ascii="宋体" w:hAnsi="宋体"/>
              </w:rPr>
              <w:t>指定现场</w:t>
            </w:r>
          </w:p>
        </w:tc>
        <w:tc>
          <w:tcPr>
            <w:tcW w:w="5170" w:type="dxa"/>
            <w:vAlign w:val="center"/>
          </w:tcPr>
          <w:p w14:paraId="7F2529A2">
            <w:r>
              <w:rPr>
                <w:rFonts w:ascii="宋体" w:hAnsi="宋体" w:eastAsia="宋体" w:cs="宋体"/>
                <w:lang w:val="en-US" w:eastAsia="zh-CN"/>
              </w:rPr>
              <w:t>郑州信息科技职业学院（河南省郑州市金水区龙子湖北路</w:t>
            </w:r>
            <w:r>
              <w:rPr>
                <w:lang w:val="en-US" w:eastAsia="zh-CN"/>
              </w:rPr>
              <w:t>36</w:t>
            </w:r>
            <w:r>
              <w:rPr>
                <w:rFonts w:ascii="宋体" w:hAnsi="宋体" w:eastAsia="宋体" w:cs="宋体"/>
                <w:lang w:val="en-US" w:eastAsia="zh-CN"/>
              </w:rPr>
              <w:t>号）</w:t>
            </w:r>
          </w:p>
        </w:tc>
      </w:tr>
      <w:tr w14:paraId="7009E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0C18A0">
            <w:pPr>
              <w:adjustRightInd w:val="0"/>
              <w:snapToGrid w:val="0"/>
              <w:jc w:val="center"/>
              <w:rPr>
                <w:rFonts w:ascii="宋体" w:hAnsi="宋体"/>
              </w:rPr>
            </w:pPr>
            <w:r>
              <w:rPr>
                <w:rFonts w:ascii="宋体" w:hAnsi="宋体"/>
              </w:rPr>
              <w:t>第二节</w:t>
            </w:r>
          </w:p>
          <w:p w14:paraId="40198E96">
            <w:pPr>
              <w:adjustRightInd w:val="0"/>
              <w:snapToGrid w:val="0"/>
              <w:jc w:val="center"/>
              <w:rPr>
                <w:rFonts w:ascii="宋体" w:hAnsi="宋体"/>
              </w:rPr>
            </w:pPr>
            <w:r>
              <w:rPr>
                <w:rFonts w:ascii="宋体" w:hAnsi="宋体"/>
              </w:rPr>
              <w:t>第7.2款</w:t>
            </w:r>
          </w:p>
        </w:tc>
        <w:tc>
          <w:tcPr>
            <w:tcW w:w="1742" w:type="dxa"/>
            <w:vAlign w:val="center"/>
          </w:tcPr>
          <w:p w14:paraId="2F7FEFE1">
            <w:pPr>
              <w:adjustRightInd w:val="0"/>
              <w:snapToGrid w:val="0"/>
              <w:jc w:val="left"/>
              <w:rPr>
                <w:rFonts w:ascii="宋体" w:hAnsi="宋体"/>
              </w:rPr>
            </w:pPr>
            <w:r>
              <w:rPr>
                <w:rFonts w:ascii="宋体" w:hAnsi="宋体"/>
              </w:rPr>
              <w:t>运输特殊要求</w:t>
            </w:r>
          </w:p>
        </w:tc>
        <w:tc>
          <w:tcPr>
            <w:tcW w:w="5170" w:type="dxa"/>
            <w:vAlign w:val="center"/>
          </w:tcPr>
          <w:p w14:paraId="5A2246FB">
            <w:r>
              <w:t>专车运输</w:t>
            </w:r>
          </w:p>
        </w:tc>
      </w:tr>
      <w:tr w14:paraId="395F3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6DD6644">
            <w:pPr>
              <w:adjustRightInd w:val="0"/>
              <w:snapToGrid w:val="0"/>
              <w:jc w:val="center"/>
              <w:rPr>
                <w:rFonts w:ascii="宋体" w:hAnsi="宋体"/>
              </w:rPr>
            </w:pPr>
            <w:r>
              <w:rPr>
                <w:rFonts w:ascii="宋体" w:hAnsi="宋体"/>
              </w:rPr>
              <w:t>第二节</w:t>
            </w:r>
          </w:p>
          <w:p w14:paraId="36A9128C">
            <w:pPr>
              <w:adjustRightInd w:val="0"/>
              <w:snapToGrid w:val="0"/>
              <w:jc w:val="center"/>
              <w:rPr>
                <w:rFonts w:ascii="宋体" w:hAnsi="宋体"/>
              </w:rPr>
            </w:pPr>
            <w:r>
              <w:rPr>
                <w:rFonts w:ascii="宋体" w:hAnsi="宋体"/>
              </w:rPr>
              <w:t>第7.3款</w:t>
            </w:r>
          </w:p>
        </w:tc>
        <w:tc>
          <w:tcPr>
            <w:tcW w:w="1742" w:type="dxa"/>
            <w:vAlign w:val="center"/>
          </w:tcPr>
          <w:p w14:paraId="0F396884">
            <w:pPr>
              <w:adjustRightInd w:val="0"/>
              <w:snapToGrid w:val="0"/>
              <w:jc w:val="left"/>
              <w:rPr>
                <w:rFonts w:ascii="宋体" w:hAnsi="宋体"/>
              </w:rPr>
            </w:pPr>
            <w:r>
              <w:rPr>
                <w:rFonts w:ascii="宋体" w:hAnsi="宋体"/>
              </w:rPr>
              <w:t>保险要求</w:t>
            </w:r>
          </w:p>
        </w:tc>
        <w:tc>
          <w:tcPr>
            <w:tcW w:w="5170" w:type="dxa"/>
            <w:vAlign w:val="center"/>
          </w:tcPr>
          <w:p w14:paraId="286B59C2">
            <w:r>
              <w:t>货物运输险、公众及责任险</w:t>
            </w:r>
          </w:p>
        </w:tc>
      </w:tr>
      <w:tr w14:paraId="3B668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DDF7A9">
            <w:pPr>
              <w:adjustRightInd w:val="0"/>
              <w:snapToGrid w:val="0"/>
              <w:jc w:val="center"/>
              <w:rPr>
                <w:rFonts w:ascii="宋体" w:hAnsi="宋体"/>
              </w:rPr>
            </w:pPr>
            <w:r>
              <w:rPr>
                <w:rFonts w:ascii="宋体" w:hAnsi="宋体"/>
              </w:rPr>
              <w:t>第二节</w:t>
            </w:r>
          </w:p>
          <w:p w14:paraId="7F72D92B">
            <w:pPr>
              <w:adjustRightInd w:val="0"/>
              <w:snapToGrid w:val="0"/>
              <w:jc w:val="center"/>
              <w:rPr>
                <w:rFonts w:ascii="宋体" w:hAnsi="宋体"/>
              </w:rPr>
            </w:pPr>
            <w:r>
              <w:rPr>
                <w:rFonts w:ascii="宋体" w:hAnsi="宋体"/>
              </w:rPr>
              <w:t>第8.2（1）项</w:t>
            </w:r>
          </w:p>
        </w:tc>
        <w:tc>
          <w:tcPr>
            <w:tcW w:w="1742" w:type="dxa"/>
            <w:vAlign w:val="center"/>
          </w:tcPr>
          <w:p w14:paraId="74025176">
            <w:pPr>
              <w:adjustRightInd w:val="0"/>
              <w:snapToGrid w:val="0"/>
              <w:jc w:val="left"/>
              <w:rPr>
                <w:rFonts w:ascii="宋体" w:hAnsi="宋体"/>
              </w:rPr>
            </w:pPr>
            <w:r>
              <w:rPr>
                <w:rFonts w:ascii="宋体" w:hAnsi="宋体"/>
              </w:rPr>
              <w:t>质量保证期</w:t>
            </w:r>
          </w:p>
        </w:tc>
        <w:tc>
          <w:tcPr>
            <w:tcW w:w="5170" w:type="dxa"/>
            <w:vAlign w:val="center"/>
          </w:tcPr>
          <w:p w14:paraId="17FC0C0A">
            <w:pPr>
              <w:autoSpaceDE w:val="0"/>
              <w:autoSpaceDN w:val="0"/>
              <w:adjustRightInd w:val="0"/>
              <w:snapToGrid w:val="0"/>
              <w:jc w:val="left"/>
              <w:rPr>
                <w:rFonts w:ascii="宋体" w:hAnsi="宋体"/>
              </w:rPr>
            </w:pPr>
            <w:r>
              <w:rPr>
                <w:rFonts w:hint="default" w:ascii="Times New Roman" w:hAnsi="Times New Roman" w:eastAsia="仿宋_GB2312" w:cs="Times New Roman"/>
                <w:color w:val="auto"/>
                <w:sz w:val="28"/>
                <w:szCs w:val="28"/>
                <w:u w:val="single"/>
                <w:lang w:val="en" w:eastAsia="zh-CN"/>
              </w:rPr>
              <w:t xml:space="preserve">   </w:t>
            </w:r>
            <w:r>
              <w:rPr>
                <w:rFonts w:ascii="宋体" w:hAnsi="宋体" w:eastAsia="宋体" w:cs="宋体"/>
                <w:lang w:val="en-US" w:eastAsia="zh-CN"/>
              </w:rPr>
              <w:t>年，从取得登记证之日起开始计算</w:t>
            </w:r>
          </w:p>
        </w:tc>
      </w:tr>
      <w:tr w14:paraId="21CF0F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143C46">
            <w:pPr>
              <w:adjustRightInd w:val="0"/>
              <w:snapToGrid w:val="0"/>
              <w:jc w:val="center"/>
              <w:rPr>
                <w:rFonts w:ascii="宋体" w:hAnsi="宋体"/>
              </w:rPr>
            </w:pPr>
            <w:r>
              <w:rPr>
                <w:rFonts w:ascii="宋体" w:hAnsi="宋体"/>
              </w:rPr>
              <w:t>第二节</w:t>
            </w:r>
          </w:p>
          <w:p w14:paraId="6B593673">
            <w:pPr>
              <w:adjustRightInd w:val="0"/>
              <w:snapToGrid w:val="0"/>
              <w:jc w:val="center"/>
              <w:rPr>
                <w:rFonts w:ascii="宋体" w:hAnsi="宋体"/>
              </w:rPr>
            </w:pPr>
            <w:r>
              <w:rPr>
                <w:rFonts w:ascii="宋体" w:hAnsi="宋体"/>
              </w:rPr>
              <w:t>第8.2（3）项</w:t>
            </w:r>
          </w:p>
        </w:tc>
        <w:tc>
          <w:tcPr>
            <w:tcW w:w="1742" w:type="dxa"/>
            <w:vAlign w:val="center"/>
          </w:tcPr>
          <w:p w14:paraId="588ABEA1">
            <w:pPr>
              <w:adjustRightInd w:val="0"/>
              <w:snapToGrid w:val="0"/>
              <w:jc w:val="left"/>
              <w:rPr>
                <w:rFonts w:ascii="宋体" w:hAnsi="宋体"/>
              </w:rPr>
            </w:pPr>
            <w:bookmarkStart w:id="533" w:name="_Hlk208917135"/>
            <w:r>
              <w:rPr>
                <w:rFonts w:ascii="宋体" w:hAnsi="宋体"/>
              </w:rPr>
              <w:t>货物质量缺陷</w:t>
            </w:r>
          </w:p>
          <w:p w14:paraId="5DC01335">
            <w:pPr>
              <w:adjustRightInd w:val="0"/>
              <w:snapToGrid w:val="0"/>
              <w:jc w:val="left"/>
              <w:rPr>
                <w:rFonts w:ascii="宋体" w:hAnsi="宋体"/>
              </w:rPr>
            </w:pPr>
            <w:r>
              <w:rPr>
                <w:rFonts w:ascii="宋体" w:hAnsi="宋体"/>
              </w:rPr>
              <w:t>响应时间</w:t>
            </w:r>
            <w:bookmarkEnd w:id="533"/>
          </w:p>
        </w:tc>
        <w:tc>
          <w:tcPr>
            <w:tcW w:w="5170" w:type="dxa"/>
            <w:vAlign w:val="center"/>
          </w:tcPr>
          <w:p w14:paraId="2CADC799">
            <w:pPr>
              <w:adjustRightInd w:val="0"/>
              <w:snapToGrid w:val="0"/>
              <w:jc w:val="left"/>
              <w:rPr>
                <w:rFonts w:ascii="宋体" w:hAnsi="宋体"/>
              </w:rPr>
            </w:pPr>
            <w:r>
              <w:rPr>
                <w:rFonts w:ascii="宋体" w:hAnsi="宋体"/>
              </w:rPr>
              <w:t>电梯正常运行过程中发生故障，</w:t>
            </w:r>
            <w:r>
              <w:rPr>
                <w:rFonts w:ascii="宋体" w:hAnsi="宋体"/>
                <w:lang w:val="en-US" w:eastAsia="zh-CN"/>
              </w:rPr>
              <w:t>乙方</w:t>
            </w:r>
            <w:r>
              <w:rPr>
                <w:rFonts w:ascii="宋体" w:hAnsi="宋体"/>
              </w:rPr>
              <w:t>应免费提供咨询、更换损坏的零件和维修服务。</w:t>
            </w:r>
            <w:r>
              <w:rPr>
                <w:rFonts w:ascii="宋体" w:hAnsi="宋体"/>
                <w:lang w:val="en-US" w:eastAsia="zh-CN"/>
              </w:rPr>
              <w:t>乙方</w:t>
            </w:r>
            <w:r>
              <w:rPr>
                <w:rFonts w:ascii="宋体" w:hAnsi="宋体"/>
              </w:rPr>
              <w:t>须有属本公司的可随时上门作维修及检测的工程师，维修人员接到报修通知后，响应时间应不超过0.5小时，并能在1小时内上门维修，维修人员在12小时内不能排除故障时，应负责联系生产厂家技术人员到现场排除故障，24小时内恢复。维修保养机构须提供足够的备件以适应维修需求，并提供不间断服务直到结束。而且必须具备24小时服务和承担所有维修服务的能力，应能提供7*24小时的实时技术支持和服务。</w:t>
            </w:r>
          </w:p>
        </w:tc>
      </w:tr>
      <w:tr w14:paraId="4C385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89D057">
            <w:pPr>
              <w:snapToGrid w:val="0"/>
              <w:jc w:val="center"/>
              <w:rPr>
                <w:rFonts w:ascii="宋体" w:hAnsi="宋体" w:cs="宋体"/>
              </w:rPr>
            </w:pPr>
            <w:r>
              <w:rPr>
                <w:rFonts w:ascii="宋体" w:hAnsi="宋体" w:cs="宋体"/>
              </w:rPr>
              <w:t>第二节</w:t>
            </w:r>
          </w:p>
          <w:p w14:paraId="050A6044">
            <w:pPr>
              <w:pStyle w:val="100"/>
              <w:ind w:firstLine="0" w:firstLineChars="0"/>
              <w:jc w:val="center"/>
              <w:rPr>
                <w:rFonts w:hint="eastAsia"/>
              </w:rPr>
            </w:pPr>
            <w:r>
              <w:rPr>
                <w:rFonts w:hint="eastAsia" w:ascii="宋体" w:hAnsi="宋体" w:eastAsia="宋体" w:cs="宋体"/>
              </w:rPr>
              <w:t>第11.1款</w:t>
            </w:r>
          </w:p>
        </w:tc>
        <w:tc>
          <w:tcPr>
            <w:tcW w:w="1742" w:type="dxa"/>
            <w:vAlign w:val="center"/>
          </w:tcPr>
          <w:p w14:paraId="7A1BCF31">
            <w:pPr>
              <w:adjustRightInd w:val="0"/>
              <w:snapToGrid w:val="0"/>
              <w:rPr>
                <w:rFonts w:ascii="宋体" w:hAnsi="宋体"/>
              </w:rPr>
            </w:pPr>
            <w:r>
              <w:rPr>
                <w:rFonts w:ascii="宋体" w:hAnsi="宋体"/>
              </w:rPr>
              <w:t>其他应当保密的信息</w:t>
            </w:r>
          </w:p>
        </w:tc>
        <w:tc>
          <w:tcPr>
            <w:tcW w:w="5170" w:type="dxa"/>
            <w:vAlign w:val="center"/>
          </w:tcPr>
          <w:p w14:paraId="17E87760">
            <w:pPr>
              <w:adjustRightInd w:val="0"/>
              <w:snapToGrid w:val="0"/>
              <w:jc w:val="left"/>
              <w:rPr>
                <w:rFonts w:ascii="宋体" w:hAnsi="宋体"/>
              </w:rPr>
            </w:pPr>
            <w:r>
              <w:rPr>
                <w:rFonts w:ascii="宋体" w:hAnsi="宋体"/>
                <w:lang w:val="en-US" w:eastAsia="zh-CN"/>
              </w:rPr>
              <w:t>乙方</w:t>
            </w:r>
            <w:r>
              <w:rPr>
                <w:rFonts w:ascii="宋体" w:hAnsi="宋体"/>
              </w:rPr>
              <w:t>不得将由</w:t>
            </w:r>
            <w:r>
              <w:rPr>
                <w:rFonts w:ascii="宋体" w:hAnsi="宋体"/>
                <w:lang w:val="en-US" w:eastAsia="zh-CN"/>
              </w:rPr>
              <w:t>甲方</w:t>
            </w:r>
            <w:r>
              <w:rPr>
                <w:rFonts w:ascii="宋体" w:hAnsi="宋体"/>
              </w:rPr>
              <w:t>或代表</w:t>
            </w:r>
            <w:r>
              <w:rPr>
                <w:rFonts w:ascii="宋体" w:hAnsi="宋体"/>
                <w:lang w:val="en-US" w:eastAsia="zh-CN"/>
              </w:rPr>
              <w:t>甲方</w:t>
            </w:r>
            <w:r>
              <w:rPr>
                <w:rFonts w:ascii="宋体" w:hAnsi="宋体"/>
              </w:rPr>
              <w:t>提供的有关合同或任何合同条文、规格、计划、图纸、模型、样品或资料提供给与履行本合同无关的任何其他人。即使向与履行本合同有关的人员提供，也应注意保密并限于履行合同必须的范围。</w:t>
            </w:r>
          </w:p>
        </w:tc>
      </w:tr>
      <w:tr w14:paraId="6572A9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BAEE2D">
            <w:pPr>
              <w:adjustRightInd w:val="0"/>
              <w:snapToGrid w:val="0"/>
              <w:jc w:val="center"/>
              <w:rPr>
                <w:rFonts w:ascii="宋体" w:hAnsi="宋体"/>
              </w:rPr>
            </w:pPr>
            <w:r>
              <w:rPr>
                <w:rFonts w:ascii="宋体" w:hAnsi="宋体"/>
              </w:rPr>
              <w:t>第二节</w:t>
            </w:r>
          </w:p>
          <w:p w14:paraId="26500F63">
            <w:pPr>
              <w:adjustRightInd w:val="0"/>
              <w:snapToGrid w:val="0"/>
              <w:jc w:val="center"/>
              <w:rPr>
                <w:rFonts w:ascii="宋体" w:hAnsi="宋体"/>
              </w:rPr>
            </w:pPr>
            <w:r>
              <w:rPr>
                <w:rFonts w:ascii="宋体" w:hAnsi="宋体"/>
              </w:rPr>
              <w:t>第12.2款</w:t>
            </w:r>
          </w:p>
        </w:tc>
        <w:tc>
          <w:tcPr>
            <w:tcW w:w="1742" w:type="dxa"/>
            <w:vAlign w:val="center"/>
          </w:tcPr>
          <w:p w14:paraId="686B170A">
            <w:pPr>
              <w:adjustRightInd w:val="0"/>
              <w:snapToGrid w:val="0"/>
              <w:jc w:val="left"/>
              <w:rPr>
                <w:rFonts w:ascii="宋体" w:hAnsi="宋体"/>
              </w:rPr>
            </w:pPr>
            <w:r>
              <w:rPr>
                <w:rFonts w:ascii="宋体" w:hAnsi="宋体"/>
              </w:rPr>
              <w:t>合同价款支付时间</w:t>
            </w:r>
          </w:p>
        </w:tc>
        <w:tc>
          <w:tcPr>
            <w:tcW w:w="5170" w:type="dxa"/>
            <w:vAlign w:val="center"/>
          </w:tcPr>
          <w:p w14:paraId="6F5FBECF">
            <w:pPr>
              <w:adjustRightInd w:val="0"/>
              <w:snapToGrid w:val="0"/>
              <w:jc w:val="left"/>
              <w:rPr>
                <w:rFonts w:ascii="宋体" w:hAnsi="宋体"/>
              </w:rPr>
            </w:pPr>
            <w:r>
              <w:rPr>
                <w:rFonts w:ascii="宋体" w:hAnsi="宋体"/>
              </w:rPr>
              <w:t>1.在合同签订之日起30日内，</w:t>
            </w:r>
            <w:r>
              <w:rPr>
                <w:rFonts w:ascii="宋体" w:hAnsi="宋体"/>
                <w:lang w:val="en-US" w:eastAsia="zh-CN"/>
              </w:rPr>
              <w:t>甲方</w:t>
            </w:r>
            <w:r>
              <w:rPr>
                <w:rFonts w:ascii="宋体" w:hAnsi="宋体"/>
              </w:rPr>
              <w:t>向</w:t>
            </w:r>
            <w:r>
              <w:rPr>
                <w:rFonts w:ascii="宋体" w:hAnsi="宋体"/>
                <w:lang w:val="en-US" w:eastAsia="zh-CN"/>
              </w:rPr>
              <w:t>乙方</w:t>
            </w:r>
            <w:r>
              <w:rPr>
                <w:rFonts w:ascii="宋体" w:hAnsi="宋体"/>
              </w:rPr>
              <w:t>支付合同总价的30%；</w:t>
            </w:r>
          </w:p>
          <w:p w14:paraId="472805C8">
            <w:pPr>
              <w:adjustRightInd w:val="0"/>
              <w:snapToGrid w:val="0"/>
              <w:jc w:val="left"/>
              <w:rPr>
                <w:rFonts w:ascii="宋体" w:hAnsi="宋体"/>
              </w:rPr>
            </w:pPr>
            <w:r>
              <w:rPr>
                <w:rFonts w:ascii="宋体" w:hAnsi="宋体"/>
              </w:rPr>
              <w:t>2.电梯安装调试完成，通过特种设备安全监督管理部门验收合格并取得检验报告和使用合格证</w:t>
            </w:r>
            <w:r>
              <w:rPr>
                <w:rFonts w:ascii="宋体" w:hAnsi="宋体"/>
                <w:lang w:val="en-US" w:eastAsia="zh-CN"/>
              </w:rPr>
              <w:t>并交付甲方使用</w:t>
            </w:r>
            <w:r>
              <w:rPr>
                <w:rFonts w:ascii="宋体" w:hAnsi="宋体"/>
              </w:rPr>
              <w:t>后30个工作日内，</w:t>
            </w:r>
            <w:r>
              <w:rPr>
                <w:rFonts w:ascii="宋体" w:hAnsi="宋体"/>
                <w:lang w:val="en-US" w:eastAsia="zh-CN"/>
              </w:rPr>
              <w:t>甲方</w:t>
            </w:r>
            <w:r>
              <w:rPr>
                <w:rFonts w:ascii="宋体" w:hAnsi="宋体"/>
              </w:rPr>
              <w:t>向</w:t>
            </w:r>
            <w:r>
              <w:rPr>
                <w:rFonts w:ascii="宋体" w:hAnsi="宋体"/>
                <w:lang w:val="en-US" w:eastAsia="zh-CN"/>
              </w:rPr>
              <w:t>乙方</w:t>
            </w:r>
            <w:r>
              <w:rPr>
                <w:rFonts w:ascii="宋体" w:hAnsi="宋体"/>
              </w:rPr>
              <w:t>支付至合同总价的100%。</w:t>
            </w:r>
          </w:p>
        </w:tc>
      </w:tr>
      <w:tr w14:paraId="07B4F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E885F1">
            <w:pPr>
              <w:adjustRightInd w:val="0"/>
              <w:snapToGrid w:val="0"/>
              <w:jc w:val="center"/>
              <w:rPr>
                <w:rFonts w:ascii="宋体" w:hAnsi="宋体"/>
              </w:rPr>
            </w:pPr>
            <w:r>
              <w:rPr>
                <w:rFonts w:ascii="宋体" w:hAnsi="宋体"/>
              </w:rPr>
              <w:t>第二节</w:t>
            </w:r>
          </w:p>
          <w:p w14:paraId="45676D68">
            <w:pPr>
              <w:adjustRightInd w:val="0"/>
              <w:snapToGrid w:val="0"/>
              <w:jc w:val="center"/>
              <w:rPr>
                <w:rFonts w:ascii="宋体" w:hAnsi="宋体"/>
              </w:rPr>
            </w:pPr>
            <w:r>
              <w:rPr>
                <w:rFonts w:ascii="宋体" w:hAnsi="宋体"/>
              </w:rPr>
              <w:t>第13.2款</w:t>
            </w:r>
          </w:p>
        </w:tc>
        <w:tc>
          <w:tcPr>
            <w:tcW w:w="1742" w:type="dxa"/>
            <w:vAlign w:val="center"/>
          </w:tcPr>
          <w:p w14:paraId="2BDCF631">
            <w:pPr>
              <w:adjustRightInd w:val="0"/>
              <w:snapToGrid w:val="0"/>
              <w:jc w:val="left"/>
              <w:rPr>
                <w:rFonts w:ascii="宋体" w:hAnsi="宋体"/>
              </w:rPr>
            </w:pPr>
            <w:r>
              <w:rPr>
                <w:rFonts w:ascii="宋体" w:hAnsi="宋体"/>
              </w:rPr>
              <w:t>履约保证金不予退还的情形</w:t>
            </w:r>
          </w:p>
        </w:tc>
        <w:tc>
          <w:tcPr>
            <w:tcW w:w="5170" w:type="dxa"/>
            <w:vAlign w:val="center"/>
          </w:tcPr>
          <w:p w14:paraId="56DD6D3F">
            <w:pPr>
              <w:adjustRightInd w:val="0"/>
              <w:snapToGrid w:val="0"/>
              <w:jc w:val="left"/>
              <w:rPr>
                <w:rFonts w:ascii="宋体" w:hAnsi="宋体"/>
              </w:rPr>
            </w:pPr>
            <w:r>
              <w:rPr>
                <w:rFonts w:ascii="宋体" w:hAnsi="宋体"/>
              </w:rPr>
              <w:t>未按要求履行合同</w:t>
            </w:r>
          </w:p>
        </w:tc>
      </w:tr>
      <w:tr w14:paraId="5A586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F28CD3">
            <w:pPr>
              <w:adjustRightInd w:val="0"/>
              <w:snapToGrid w:val="0"/>
              <w:jc w:val="center"/>
              <w:rPr>
                <w:rFonts w:ascii="宋体" w:hAnsi="宋体"/>
              </w:rPr>
            </w:pPr>
            <w:r>
              <w:rPr>
                <w:rFonts w:ascii="宋体" w:hAnsi="宋体"/>
              </w:rPr>
              <w:t>第二节</w:t>
            </w:r>
          </w:p>
          <w:p w14:paraId="4B115CBC">
            <w:pPr>
              <w:adjustRightInd w:val="0"/>
              <w:snapToGrid w:val="0"/>
              <w:jc w:val="center"/>
              <w:rPr>
                <w:rFonts w:ascii="宋体" w:hAnsi="宋体"/>
              </w:rPr>
            </w:pPr>
            <w:r>
              <w:rPr>
                <w:rFonts w:ascii="宋体" w:hAnsi="宋体"/>
              </w:rPr>
              <w:t>第13.3款</w:t>
            </w:r>
          </w:p>
        </w:tc>
        <w:tc>
          <w:tcPr>
            <w:tcW w:w="1742" w:type="dxa"/>
            <w:vAlign w:val="center"/>
          </w:tcPr>
          <w:p w14:paraId="741F6937">
            <w:pPr>
              <w:adjustRightInd w:val="0"/>
              <w:snapToGrid w:val="0"/>
              <w:jc w:val="left"/>
              <w:rPr>
                <w:rFonts w:ascii="宋体" w:hAnsi="宋体"/>
              </w:rPr>
            </w:pPr>
            <w:r>
              <w:rPr>
                <w:rFonts w:ascii="宋体" w:hAnsi="宋体"/>
              </w:rPr>
              <w:t>履约保证金退还时间及逾期退还的违约金</w:t>
            </w:r>
          </w:p>
        </w:tc>
        <w:tc>
          <w:tcPr>
            <w:tcW w:w="5170" w:type="dxa"/>
            <w:vAlign w:val="center"/>
          </w:tcPr>
          <w:p w14:paraId="4E2AC871">
            <w:pPr>
              <w:adjustRightInd w:val="0"/>
              <w:snapToGrid w:val="0"/>
              <w:jc w:val="left"/>
            </w:pPr>
            <w:r>
              <w:rPr>
                <w:rFonts w:ascii="宋体" w:hAnsi="宋体" w:eastAsia="宋体" w:cs="宋体"/>
              </w:rPr>
              <w:t>项目验收合格后</w:t>
            </w:r>
            <w:r>
              <w:rPr>
                <w:rFonts w:ascii="宋体" w:hAnsi="宋体"/>
              </w:rPr>
              <w:t>15</w:t>
            </w:r>
            <w:r>
              <w:rPr>
                <w:rFonts w:ascii="宋体" w:hAnsi="宋体" w:eastAsia="宋体" w:cs="宋体"/>
              </w:rPr>
              <w:t>日内退还</w:t>
            </w:r>
          </w:p>
        </w:tc>
      </w:tr>
      <w:tr w14:paraId="599645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51BF20">
            <w:pPr>
              <w:adjustRightInd w:val="0"/>
              <w:snapToGrid w:val="0"/>
              <w:jc w:val="center"/>
              <w:rPr>
                <w:rFonts w:ascii="宋体" w:hAnsi="宋体"/>
              </w:rPr>
            </w:pPr>
            <w:r>
              <w:rPr>
                <w:rFonts w:ascii="宋体" w:hAnsi="宋体"/>
              </w:rPr>
              <w:t>第二节</w:t>
            </w:r>
          </w:p>
          <w:p w14:paraId="371DF3A3">
            <w:pPr>
              <w:adjustRightInd w:val="0"/>
              <w:snapToGrid w:val="0"/>
              <w:jc w:val="center"/>
              <w:rPr>
                <w:rFonts w:ascii="宋体" w:hAnsi="宋体"/>
              </w:rPr>
            </w:pPr>
            <w:r>
              <w:rPr>
                <w:rFonts w:ascii="宋体" w:hAnsi="宋体"/>
              </w:rPr>
              <w:t>第14.1（3）项</w:t>
            </w:r>
          </w:p>
        </w:tc>
        <w:tc>
          <w:tcPr>
            <w:tcW w:w="1742" w:type="dxa"/>
            <w:vAlign w:val="center"/>
          </w:tcPr>
          <w:p w14:paraId="131872DC">
            <w:pPr>
              <w:adjustRightInd w:val="0"/>
              <w:snapToGrid w:val="0"/>
              <w:jc w:val="left"/>
              <w:rPr>
                <w:rFonts w:ascii="宋体" w:hAnsi="宋体"/>
              </w:rPr>
            </w:pPr>
            <w:r>
              <w:rPr>
                <w:rFonts w:ascii="宋体" w:hAnsi="宋体"/>
              </w:rPr>
              <w:t>运行监督、维修期限</w:t>
            </w:r>
          </w:p>
        </w:tc>
        <w:tc>
          <w:tcPr>
            <w:tcW w:w="5170" w:type="dxa"/>
            <w:vAlign w:val="center"/>
          </w:tcPr>
          <w:p w14:paraId="2BFB0FB4">
            <w:pPr>
              <w:adjustRightInd w:val="0"/>
              <w:snapToGrid w:val="0"/>
              <w:jc w:val="left"/>
              <w:rPr>
                <w:rFonts w:ascii="宋体" w:hAnsi="宋体"/>
              </w:rPr>
            </w:pPr>
            <w:r>
              <w:rPr>
                <w:rFonts w:ascii="宋体" w:hAnsi="宋体"/>
                <w:lang w:val="en-US" w:eastAsia="zh-CN"/>
              </w:rPr>
              <w:t>接受甲方监督</w:t>
            </w:r>
          </w:p>
        </w:tc>
      </w:tr>
      <w:tr w14:paraId="548FF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F73844">
            <w:pPr>
              <w:adjustRightInd w:val="0"/>
              <w:snapToGrid w:val="0"/>
              <w:jc w:val="center"/>
              <w:rPr>
                <w:rFonts w:ascii="宋体" w:hAnsi="宋体"/>
              </w:rPr>
            </w:pPr>
            <w:r>
              <w:rPr>
                <w:rFonts w:ascii="宋体" w:hAnsi="宋体"/>
              </w:rPr>
              <w:t>第二节</w:t>
            </w:r>
          </w:p>
          <w:p w14:paraId="4B36872F">
            <w:pPr>
              <w:adjustRightInd w:val="0"/>
              <w:snapToGrid w:val="0"/>
              <w:jc w:val="center"/>
              <w:rPr>
                <w:rFonts w:ascii="宋体" w:hAnsi="宋体"/>
              </w:rPr>
            </w:pPr>
            <w:r>
              <w:rPr>
                <w:rFonts w:ascii="宋体" w:hAnsi="宋体"/>
              </w:rPr>
              <w:t>第14.1（5）项</w:t>
            </w:r>
          </w:p>
        </w:tc>
        <w:tc>
          <w:tcPr>
            <w:tcW w:w="1742" w:type="dxa"/>
            <w:vAlign w:val="center"/>
          </w:tcPr>
          <w:p w14:paraId="05ECE0EE">
            <w:pPr>
              <w:adjustRightInd w:val="0"/>
              <w:snapToGrid w:val="0"/>
              <w:jc w:val="left"/>
              <w:rPr>
                <w:rFonts w:ascii="宋体" w:hAnsi="宋体"/>
              </w:rPr>
            </w:pPr>
            <w:r>
              <w:rPr>
                <w:rFonts w:ascii="宋体" w:hAnsi="宋体"/>
              </w:rPr>
              <w:t>货物回收的约定</w:t>
            </w:r>
          </w:p>
        </w:tc>
        <w:tc>
          <w:tcPr>
            <w:tcW w:w="5170" w:type="dxa"/>
            <w:vAlign w:val="center"/>
          </w:tcPr>
          <w:p w14:paraId="6B7DCF8B">
            <w:pPr>
              <w:adjustRightInd w:val="0"/>
              <w:snapToGrid w:val="0"/>
              <w:jc w:val="left"/>
              <w:rPr>
                <w:rFonts w:ascii="宋体" w:hAnsi="宋体"/>
              </w:rPr>
            </w:pPr>
            <w:r>
              <w:rPr>
                <w:rFonts w:ascii="宋体" w:hAnsi="宋体"/>
                <w:lang w:val="en-US" w:eastAsia="zh-CN"/>
              </w:rPr>
              <w:t>无</w:t>
            </w:r>
          </w:p>
        </w:tc>
      </w:tr>
      <w:tr w14:paraId="01E6DF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7C12B1">
            <w:pPr>
              <w:adjustRightInd w:val="0"/>
              <w:snapToGrid w:val="0"/>
              <w:jc w:val="center"/>
              <w:rPr>
                <w:rFonts w:ascii="宋体" w:hAnsi="宋体"/>
              </w:rPr>
            </w:pPr>
            <w:r>
              <w:rPr>
                <w:rFonts w:ascii="宋体" w:hAnsi="宋体"/>
              </w:rPr>
              <w:t>第二节</w:t>
            </w:r>
          </w:p>
          <w:p w14:paraId="7FE5F0CE">
            <w:pPr>
              <w:adjustRightInd w:val="0"/>
              <w:snapToGrid w:val="0"/>
              <w:jc w:val="center"/>
              <w:rPr>
                <w:rFonts w:ascii="宋体" w:hAnsi="宋体"/>
              </w:rPr>
            </w:pPr>
            <w:r>
              <w:rPr>
                <w:rFonts w:ascii="宋体" w:hAnsi="宋体"/>
              </w:rPr>
              <w:t>第14.1（6）项</w:t>
            </w:r>
          </w:p>
        </w:tc>
        <w:tc>
          <w:tcPr>
            <w:tcW w:w="1742" w:type="dxa"/>
            <w:vAlign w:val="center"/>
          </w:tcPr>
          <w:p w14:paraId="33540D3E">
            <w:pPr>
              <w:adjustRightInd w:val="0"/>
              <w:snapToGrid w:val="0"/>
              <w:jc w:val="left"/>
              <w:rPr>
                <w:rFonts w:ascii="宋体" w:hAnsi="宋体"/>
              </w:rPr>
            </w:pPr>
            <w:r>
              <w:rPr>
                <w:rFonts w:ascii="宋体" w:hAnsi="宋体"/>
              </w:rPr>
              <w:t>乙方提供的其他服务</w:t>
            </w:r>
          </w:p>
        </w:tc>
        <w:tc>
          <w:tcPr>
            <w:tcW w:w="5170" w:type="dxa"/>
            <w:vAlign w:val="center"/>
          </w:tcPr>
          <w:p w14:paraId="3A8CC77C">
            <w:pPr>
              <w:adjustRightInd w:val="0"/>
              <w:snapToGrid w:val="0"/>
              <w:jc w:val="left"/>
              <w:rPr>
                <w:rFonts w:ascii="宋体" w:hAnsi="宋体"/>
              </w:rPr>
            </w:pPr>
            <w:r>
              <w:rPr>
                <w:rFonts w:ascii="宋体" w:hAnsi="宋体"/>
              </w:rPr>
              <w:t>1.乙方提供的所有设备，其制造商应有完善的质量检测手段和质量保证体系，产品符合国家标准和行业标准。</w:t>
            </w:r>
          </w:p>
          <w:p w14:paraId="45CDB038">
            <w:pPr>
              <w:adjustRightInd w:val="0"/>
              <w:snapToGrid w:val="0"/>
              <w:jc w:val="left"/>
              <w:rPr>
                <w:rFonts w:ascii="宋体" w:hAnsi="宋体"/>
              </w:rPr>
            </w:pPr>
            <w:r>
              <w:rPr>
                <w:rFonts w:ascii="宋体" w:hAnsi="宋体"/>
              </w:rPr>
              <w:t>2.乙方提供的所有技术文件中的技术指标均应使用相应的国家先进标准、中国国家标准、各行业的相应标准、国际标准化组织标准。</w:t>
            </w:r>
          </w:p>
          <w:p w14:paraId="7EEE3BD1">
            <w:pPr>
              <w:adjustRightInd w:val="0"/>
              <w:snapToGrid w:val="0"/>
              <w:jc w:val="left"/>
              <w:rPr>
                <w:rFonts w:ascii="宋体" w:hAnsi="宋体"/>
              </w:rPr>
            </w:pPr>
            <w:r>
              <w:rPr>
                <w:rFonts w:ascii="宋体" w:hAnsi="宋体"/>
              </w:rPr>
              <w:t>3.乙方所提供设备的设计、制造、产品性能、材料的选择和材料的检验及产品的测试等，都应按国内外通行的现行标准和相应的技术规范执行。而这些标准和技术规范应为合同签字日为止最新发布发行的标准和技术规范。</w:t>
            </w:r>
          </w:p>
          <w:p w14:paraId="1479BB36">
            <w:pPr>
              <w:adjustRightInd w:val="0"/>
              <w:snapToGrid w:val="0"/>
              <w:jc w:val="left"/>
              <w:rPr>
                <w:rFonts w:ascii="宋体" w:hAnsi="宋体"/>
              </w:rPr>
            </w:pPr>
            <w:r>
              <w:rPr>
                <w:rFonts w:ascii="宋体" w:hAnsi="宋体"/>
              </w:rPr>
              <w:t>4.乙方提供设备所使用的度量衡单位除技术规格中另有规定外，应统一使用公制单位。</w:t>
            </w:r>
          </w:p>
          <w:p w14:paraId="1D0FCAE1">
            <w:pPr>
              <w:adjustRightInd w:val="0"/>
              <w:snapToGrid w:val="0"/>
              <w:jc w:val="left"/>
              <w:rPr>
                <w:rFonts w:ascii="宋体" w:hAnsi="宋体"/>
              </w:rPr>
            </w:pPr>
            <w:r>
              <w:rPr>
                <w:rFonts w:ascii="宋体" w:hAnsi="宋体"/>
              </w:rPr>
              <w:t>5.乙方所提供的设备须符合设计院提供的施工图</w:t>
            </w:r>
            <w:r>
              <w:rPr>
                <w:rFonts w:ascii="宋体" w:hAnsi="宋体"/>
                <w:lang w:val="en-US" w:eastAsia="zh-CN"/>
              </w:rPr>
              <w:t>和本合同</w:t>
            </w:r>
            <w:r>
              <w:rPr>
                <w:rFonts w:ascii="宋体" w:hAnsi="宋体"/>
              </w:rPr>
              <w:t>的有关要求。</w:t>
            </w:r>
          </w:p>
        </w:tc>
      </w:tr>
      <w:tr w14:paraId="08A0D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16093B">
            <w:pPr>
              <w:adjustRightInd w:val="0"/>
              <w:snapToGrid w:val="0"/>
              <w:jc w:val="center"/>
              <w:rPr>
                <w:rFonts w:ascii="宋体" w:hAnsi="宋体"/>
              </w:rPr>
            </w:pPr>
            <w:r>
              <w:rPr>
                <w:rFonts w:ascii="宋体" w:hAnsi="宋体"/>
              </w:rPr>
              <w:t>第二节</w:t>
            </w:r>
          </w:p>
          <w:p w14:paraId="156CCB7E">
            <w:pPr>
              <w:adjustRightInd w:val="0"/>
              <w:snapToGrid w:val="0"/>
              <w:jc w:val="center"/>
              <w:rPr>
                <w:rFonts w:ascii="宋体" w:hAnsi="宋体"/>
              </w:rPr>
            </w:pPr>
            <w:r>
              <w:rPr>
                <w:rFonts w:ascii="宋体" w:hAnsi="宋体"/>
              </w:rPr>
              <w:t>第15.1款</w:t>
            </w:r>
          </w:p>
        </w:tc>
        <w:tc>
          <w:tcPr>
            <w:tcW w:w="1742" w:type="dxa"/>
            <w:vAlign w:val="center"/>
          </w:tcPr>
          <w:p w14:paraId="09C76DF4">
            <w:pPr>
              <w:adjustRightInd w:val="0"/>
              <w:snapToGrid w:val="0"/>
              <w:jc w:val="left"/>
              <w:rPr>
                <w:rFonts w:ascii="宋体" w:hAnsi="宋体"/>
              </w:rPr>
            </w:pPr>
            <w:r>
              <w:rPr>
                <w:rFonts w:ascii="宋体" w:hAnsi="宋体"/>
              </w:rPr>
              <w:t>修理、重作、更换相关具体规定</w:t>
            </w:r>
          </w:p>
        </w:tc>
        <w:tc>
          <w:tcPr>
            <w:tcW w:w="5170" w:type="dxa"/>
            <w:vAlign w:val="center"/>
          </w:tcPr>
          <w:p w14:paraId="42D1E090">
            <w:pPr>
              <w:adjustRightInd w:val="0"/>
              <w:snapToGrid w:val="0"/>
              <w:jc w:val="left"/>
              <w:rPr>
                <w:rFonts w:ascii="宋体" w:hAnsi="宋体"/>
              </w:rPr>
            </w:pPr>
            <w:r>
              <w:rPr>
                <w:rFonts w:ascii="宋体" w:hAnsi="宋体" w:eastAsia="宋体" w:cs="宋体"/>
              </w:rPr>
              <w:t>质量保证期内，因设备本身或安装调试质量问题导致的任何损坏及故障，均由中标人免费负责维修或更换。</w:t>
            </w:r>
          </w:p>
        </w:tc>
      </w:tr>
      <w:tr w14:paraId="1C4A8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35667">
            <w:pPr>
              <w:adjustRightInd w:val="0"/>
              <w:snapToGrid w:val="0"/>
              <w:jc w:val="center"/>
              <w:rPr>
                <w:rFonts w:ascii="宋体" w:hAnsi="宋体"/>
              </w:rPr>
            </w:pPr>
            <w:r>
              <w:rPr>
                <w:rFonts w:ascii="宋体" w:hAnsi="宋体"/>
              </w:rPr>
              <w:t>第二节</w:t>
            </w:r>
          </w:p>
          <w:p w14:paraId="58766683">
            <w:pPr>
              <w:adjustRightInd w:val="0"/>
              <w:snapToGrid w:val="0"/>
              <w:jc w:val="center"/>
              <w:rPr>
                <w:rFonts w:ascii="宋体" w:hAnsi="宋体"/>
              </w:rPr>
            </w:pPr>
            <w:r>
              <w:rPr>
                <w:rFonts w:ascii="宋体" w:hAnsi="宋体"/>
              </w:rPr>
              <w:t>第15.2（2）项</w:t>
            </w:r>
          </w:p>
        </w:tc>
        <w:tc>
          <w:tcPr>
            <w:tcW w:w="1742" w:type="dxa"/>
            <w:vAlign w:val="center"/>
          </w:tcPr>
          <w:p w14:paraId="5147992A">
            <w:pPr>
              <w:adjustRightInd w:val="0"/>
              <w:snapToGrid w:val="0"/>
              <w:jc w:val="left"/>
              <w:rPr>
                <w:rFonts w:ascii="宋体" w:hAnsi="宋体"/>
              </w:rPr>
            </w:pPr>
            <w:r>
              <w:rPr>
                <w:rFonts w:ascii="宋体" w:hAnsi="宋体"/>
              </w:rPr>
              <w:t>迟延交货赔偿费</w:t>
            </w:r>
          </w:p>
        </w:tc>
        <w:tc>
          <w:tcPr>
            <w:tcW w:w="5170" w:type="dxa"/>
            <w:vAlign w:val="center"/>
          </w:tcPr>
          <w:p w14:paraId="42CBB779">
            <w:pPr>
              <w:adjustRightInd w:val="0"/>
              <w:snapToGrid w:val="0"/>
              <w:jc w:val="left"/>
              <w:rPr>
                <w:rFonts w:ascii="宋体" w:hAnsi="宋体"/>
                <w:u w:val="single"/>
              </w:rPr>
            </w:pPr>
            <w:r>
              <w:rPr>
                <w:rFonts w:ascii="宋体" w:hAnsi="宋体"/>
                <w:u w:val="single"/>
                <w:lang w:val="en-US" w:eastAsia="zh-CN"/>
              </w:rPr>
              <w:t>每逾期一日，合同总额的万分之五</w:t>
            </w:r>
          </w:p>
        </w:tc>
      </w:tr>
      <w:tr w14:paraId="6E59A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34A554">
            <w:pPr>
              <w:adjustRightInd w:val="0"/>
              <w:snapToGrid w:val="0"/>
              <w:jc w:val="center"/>
              <w:rPr>
                <w:rFonts w:ascii="宋体" w:hAnsi="宋体"/>
              </w:rPr>
            </w:pPr>
            <w:r>
              <w:rPr>
                <w:rFonts w:ascii="宋体" w:hAnsi="宋体"/>
              </w:rPr>
              <w:t>第二节</w:t>
            </w:r>
          </w:p>
          <w:p w14:paraId="68B76EFD">
            <w:pPr>
              <w:adjustRightInd w:val="0"/>
              <w:snapToGrid w:val="0"/>
              <w:jc w:val="center"/>
              <w:rPr>
                <w:rFonts w:ascii="宋体" w:hAnsi="宋体"/>
              </w:rPr>
            </w:pPr>
            <w:r>
              <w:rPr>
                <w:rFonts w:ascii="宋体" w:hAnsi="宋体"/>
              </w:rPr>
              <w:t>第15.3款</w:t>
            </w:r>
          </w:p>
        </w:tc>
        <w:tc>
          <w:tcPr>
            <w:tcW w:w="1742" w:type="dxa"/>
            <w:vAlign w:val="center"/>
          </w:tcPr>
          <w:p w14:paraId="6029DA44">
            <w:pPr>
              <w:adjustRightInd w:val="0"/>
              <w:snapToGrid w:val="0"/>
              <w:jc w:val="left"/>
              <w:rPr>
                <w:rFonts w:ascii="宋体" w:hAnsi="宋体"/>
              </w:rPr>
            </w:pPr>
            <w:r>
              <w:rPr>
                <w:rFonts w:ascii="宋体" w:hAnsi="宋体"/>
              </w:rPr>
              <w:t>逾期付款利息</w:t>
            </w:r>
          </w:p>
        </w:tc>
        <w:tc>
          <w:tcPr>
            <w:tcW w:w="5170" w:type="dxa"/>
            <w:vAlign w:val="center"/>
          </w:tcPr>
          <w:p w14:paraId="40A7544B">
            <w:pPr>
              <w:adjustRightInd w:val="0"/>
              <w:snapToGrid w:val="0"/>
              <w:jc w:val="left"/>
              <w:rPr>
                <w:rFonts w:ascii="宋体" w:hAnsi="宋体"/>
                <w:u w:val="single"/>
              </w:rPr>
            </w:pPr>
            <w:r>
              <w:rPr>
                <w:rFonts w:ascii="宋体" w:hAnsi="宋体"/>
                <w:u w:val="single"/>
              </w:rPr>
              <w:t>按</w:t>
            </w:r>
            <w:r>
              <w:rPr>
                <w:rFonts w:ascii="宋体" w:hAnsi="宋体"/>
                <w:u w:val="single"/>
                <w:lang w:val="en-US" w:eastAsia="zh-CN"/>
              </w:rPr>
              <w:t>全国银行间同业拆借中心发布的贷款市场报价</w:t>
            </w:r>
            <w:r>
              <w:rPr>
                <w:rFonts w:ascii="宋体" w:hAnsi="宋体"/>
                <w:u w:val="single"/>
              </w:rPr>
              <w:t>利率</w:t>
            </w:r>
            <w:r>
              <w:rPr>
                <w:rFonts w:ascii="宋体" w:hAnsi="宋体"/>
                <w:u w:val="single"/>
                <w:lang w:eastAsia="zh-CN"/>
              </w:rPr>
              <w:t>（</w:t>
            </w:r>
            <w:r>
              <w:rPr>
                <w:rFonts w:ascii="宋体" w:hAnsi="宋体"/>
                <w:u w:val="single"/>
                <w:lang w:val="en-US" w:eastAsia="zh-CN"/>
              </w:rPr>
              <w:t>1倍的LPR</w:t>
            </w:r>
            <w:r>
              <w:rPr>
                <w:rFonts w:ascii="宋体" w:hAnsi="宋体"/>
                <w:u w:val="single"/>
                <w:lang w:eastAsia="zh-CN"/>
              </w:rPr>
              <w:t>）</w:t>
            </w:r>
          </w:p>
        </w:tc>
      </w:tr>
      <w:tr w14:paraId="06923F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0BBD45B">
            <w:pPr>
              <w:adjustRightInd w:val="0"/>
              <w:snapToGrid w:val="0"/>
              <w:jc w:val="center"/>
              <w:rPr>
                <w:rFonts w:ascii="宋体" w:hAnsi="宋体"/>
              </w:rPr>
            </w:pPr>
            <w:r>
              <w:rPr>
                <w:rFonts w:ascii="宋体" w:hAnsi="宋体"/>
              </w:rPr>
              <w:t>第二节</w:t>
            </w:r>
          </w:p>
          <w:p w14:paraId="40CE52BE">
            <w:pPr>
              <w:adjustRightInd w:val="0"/>
              <w:snapToGrid w:val="0"/>
              <w:jc w:val="center"/>
              <w:rPr>
                <w:rFonts w:ascii="宋体" w:hAnsi="宋体"/>
              </w:rPr>
            </w:pPr>
            <w:r>
              <w:rPr>
                <w:rFonts w:ascii="宋体" w:hAnsi="宋体"/>
              </w:rPr>
              <w:t>第15.4款</w:t>
            </w:r>
          </w:p>
        </w:tc>
        <w:tc>
          <w:tcPr>
            <w:tcW w:w="1742" w:type="dxa"/>
            <w:tcBorders>
              <w:left w:val="single" w:color="auto" w:sz="2" w:space="0"/>
              <w:bottom w:val="single" w:color="auto" w:sz="2" w:space="0"/>
              <w:right w:val="single" w:color="auto" w:sz="2" w:space="0"/>
            </w:tcBorders>
            <w:vAlign w:val="center"/>
          </w:tcPr>
          <w:p w14:paraId="464918E4">
            <w:pPr>
              <w:adjustRightInd w:val="0"/>
              <w:snapToGrid w:val="0"/>
              <w:jc w:val="left"/>
              <w:rPr>
                <w:rFonts w:ascii="宋体" w:hAnsi="宋体"/>
              </w:rPr>
            </w:pPr>
            <w:r>
              <w:rPr>
                <w:rFonts w:ascii="宋体" w:hAnsi="宋体"/>
              </w:rPr>
              <w:t>其他违约责任</w:t>
            </w:r>
          </w:p>
        </w:tc>
        <w:tc>
          <w:tcPr>
            <w:tcW w:w="5170" w:type="dxa"/>
            <w:tcBorders>
              <w:left w:val="single" w:color="auto" w:sz="2" w:space="0"/>
              <w:bottom w:val="single" w:color="auto" w:sz="2" w:space="0"/>
            </w:tcBorders>
            <w:vAlign w:val="center"/>
          </w:tcPr>
          <w:p w14:paraId="7D4CCE46">
            <w:pPr>
              <w:adjustRightInd w:val="0"/>
              <w:snapToGrid w:val="0"/>
              <w:jc w:val="left"/>
              <w:rPr>
                <w:rFonts w:ascii="宋体" w:hAnsi="宋体"/>
                <w:u w:val="single"/>
              </w:rPr>
            </w:pPr>
            <w:r>
              <w:rPr>
                <w:rFonts w:ascii="宋体" w:hAnsi="宋体"/>
                <w:u w:val="single"/>
                <w:lang w:val="en-US" w:eastAsia="zh-CN"/>
              </w:rPr>
              <w:t>如因乙方原因造成甲方损失，甲方有权要求乙方赔偿损失，并追究乙方相应的违约责任。</w:t>
            </w:r>
          </w:p>
        </w:tc>
      </w:tr>
      <w:tr w14:paraId="1F4C66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3972284">
            <w:pPr>
              <w:adjustRightInd w:val="0"/>
              <w:snapToGrid w:val="0"/>
              <w:jc w:val="center"/>
              <w:rPr>
                <w:rFonts w:ascii="宋体" w:hAnsi="宋体"/>
              </w:rPr>
            </w:pPr>
            <w:r>
              <w:rPr>
                <w:rFonts w:ascii="宋体" w:hAnsi="宋体"/>
              </w:rPr>
              <w:t>第二节</w:t>
            </w:r>
          </w:p>
          <w:p w14:paraId="48140276">
            <w:pPr>
              <w:adjustRightInd w:val="0"/>
              <w:snapToGrid w:val="0"/>
              <w:jc w:val="center"/>
              <w:rPr>
                <w:rFonts w:ascii="宋体" w:hAnsi="宋体"/>
              </w:rPr>
            </w:pPr>
            <w:r>
              <w:rPr>
                <w:rFonts w:ascii="宋体" w:hAnsi="宋体"/>
              </w:rPr>
              <w:t>第19.2款</w:t>
            </w:r>
          </w:p>
        </w:tc>
        <w:tc>
          <w:tcPr>
            <w:tcW w:w="1742" w:type="dxa"/>
            <w:tcBorders>
              <w:top w:val="single" w:color="auto" w:sz="2" w:space="0"/>
              <w:left w:val="single" w:color="auto" w:sz="2" w:space="0"/>
              <w:right w:val="single" w:color="auto" w:sz="2" w:space="0"/>
            </w:tcBorders>
            <w:vAlign w:val="center"/>
          </w:tcPr>
          <w:p w14:paraId="42AF40E8">
            <w:pPr>
              <w:adjustRightInd w:val="0"/>
              <w:snapToGrid w:val="0"/>
              <w:jc w:val="left"/>
              <w:rPr>
                <w:rFonts w:ascii="宋体" w:hAnsi="宋体"/>
              </w:rPr>
            </w:pPr>
            <w:r>
              <w:rPr>
                <w:rFonts w:ascii="宋体" w:hAnsi="宋体"/>
              </w:rPr>
              <w:t>解决争议的方法</w:t>
            </w:r>
          </w:p>
        </w:tc>
        <w:tc>
          <w:tcPr>
            <w:tcW w:w="5170" w:type="dxa"/>
            <w:tcBorders>
              <w:top w:val="single" w:color="auto" w:sz="2" w:space="0"/>
              <w:left w:val="single" w:color="auto" w:sz="2" w:space="0"/>
            </w:tcBorders>
            <w:vAlign w:val="center"/>
          </w:tcPr>
          <w:p w14:paraId="5859EE87">
            <w:pPr>
              <w:autoSpaceDE w:val="0"/>
              <w:autoSpaceDN w:val="0"/>
              <w:adjustRightInd w:val="0"/>
              <w:snapToGrid w:val="0"/>
              <w:spacing w:line="400" w:lineRule="exact"/>
              <w:jc w:val="left"/>
              <w:rPr>
                <w:rFonts w:ascii="宋体" w:hAnsi="宋体" w:cs="宋体"/>
                <w:iCs/>
              </w:rPr>
            </w:pPr>
            <w:r>
              <w:rPr>
                <w:rFonts w:ascii="宋体" w:hAnsi="宋体" w:eastAsia="宋体" w:cs="宋体"/>
                <w:iCs/>
              </w:rPr>
              <w:t>本合同履行过程中</w:t>
            </w:r>
            <w:r>
              <w:rPr>
                <w:rFonts w:ascii="宋体" w:hAnsi="宋体" w:cs="宋体"/>
                <w:iCs/>
                <w:lang w:eastAsia="zh-CN"/>
              </w:rPr>
              <w:t>，</w:t>
            </w:r>
            <w:r>
              <w:rPr>
                <w:rFonts w:ascii="宋体" w:hAnsi="宋体" w:eastAsia="宋体" w:cs="宋体"/>
                <w:iCs/>
              </w:rPr>
              <w:t>因本合同</w:t>
            </w:r>
            <w:r>
              <w:rPr>
                <w:rFonts w:ascii="宋体" w:hAnsi="宋体" w:cs="宋体"/>
                <w:iCs/>
                <w:lang w:eastAsia="zh-CN"/>
              </w:rPr>
              <w:t>、</w:t>
            </w:r>
            <w:r>
              <w:rPr>
                <w:rFonts w:ascii="宋体" w:hAnsi="宋体" w:cs="宋体"/>
                <w:iCs/>
                <w:lang w:val="en-US" w:eastAsia="zh-CN"/>
              </w:rPr>
              <w:t>附件</w:t>
            </w:r>
            <w:r>
              <w:rPr>
                <w:rFonts w:ascii="宋体" w:hAnsi="宋体" w:eastAsia="宋体" w:cs="宋体"/>
                <w:iCs/>
              </w:rPr>
              <w:t>及合同</w:t>
            </w:r>
            <w:r>
              <w:rPr>
                <w:rFonts w:ascii="宋体" w:hAnsi="宋体" w:cs="宋体"/>
                <w:iCs/>
                <w:lang w:val="en-US" w:eastAsia="zh-CN"/>
              </w:rPr>
              <w:t>相关</w:t>
            </w:r>
            <w:r>
              <w:rPr>
                <w:rFonts w:ascii="宋体" w:hAnsi="宋体" w:eastAsia="宋体" w:cs="宋体"/>
                <w:iCs/>
              </w:rPr>
              <w:t>事项发生的争议</w:t>
            </w:r>
            <w:r>
              <w:rPr>
                <w:rFonts w:ascii="宋体" w:hAnsi="宋体" w:cs="宋体"/>
                <w:iCs/>
              </w:rPr>
              <w:t>，按下列第</w:t>
            </w:r>
            <w:r>
              <w:rPr>
                <w:rFonts w:ascii="宋体" w:hAnsi="宋体" w:cs="宋体"/>
                <w:iCs/>
                <w:u w:val="single"/>
              </w:rPr>
              <w:t xml:space="preserve"> 2 </w:t>
            </w:r>
            <w:r>
              <w:rPr>
                <w:rFonts w:ascii="宋体" w:hAnsi="宋体" w:cs="宋体"/>
                <w:iCs/>
              </w:rPr>
              <w:t>种方式解决：</w:t>
            </w:r>
          </w:p>
          <w:p w14:paraId="0D20A09D">
            <w:pPr>
              <w:autoSpaceDE w:val="0"/>
              <w:autoSpaceDN w:val="0"/>
              <w:adjustRightInd w:val="0"/>
              <w:snapToGrid w:val="0"/>
              <w:spacing w:line="400" w:lineRule="exact"/>
              <w:jc w:val="left"/>
              <w:rPr>
                <w:rFonts w:ascii="宋体" w:hAnsi="宋体" w:cs="宋体"/>
                <w:iCs/>
              </w:rPr>
            </w:pPr>
            <w:r>
              <w:rPr>
                <w:rFonts w:ascii="宋体" w:hAnsi="宋体" w:cs="宋体"/>
                <w:iCs/>
              </w:rPr>
              <w:t>（1）向</w:t>
            </w:r>
            <w:r>
              <w:rPr>
                <w:rFonts w:ascii="宋体" w:hAnsi="宋体" w:cs="宋体"/>
                <w:iCs/>
                <w:u w:val="single"/>
              </w:rPr>
              <w:t xml:space="preserve">   </w:t>
            </w:r>
            <w:r>
              <w:rPr>
                <w:rFonts w:ascii="宋体" w:hAnsi="宋体" w:cs="宋体"/>
                <w:iCs/>
                <w:u w:val="single"/>
                <w:lang w:val="en-US" w:eastAsia="zh-CN"/>
              </w:rPr>
              <w:t xml:space="preserve">/ </w:t>
            </w:r>
            <w:r>
              <w:rPr>
                <w:rFonts w:ascii="宋体" w:hAnsi="宋体" w:cs="宋体"/>
                <w:iCs/>
                <w:u w:val="single"/>
              </w:rPr>
              <w:t xml:space="preserve"> </w:t>
            </w:r>
            <w:r>
              <w:rPr>
                <w:rFonts w:ascii="宋体" w:hAnsi="宋体" w:cs="宋体"/>
                <w:iCs/>
              </w:rPr>
              <w:t>仲裁委员会申请仲裁，仲裁地点为</w:t>
            </w:r>
            <w:r>
              <w:rPr>
                <w:rFonts w:ascii="宋体" w:hAnsi="宋体" w:cs="宋体"/>
                <w:iCs/>
                <w:u w:val="single"/>
              </w:rPr>
              <w:t xml:space="preserve">  </w:t>
            </w:r>
            <w:r>
              <w:rPr>
                <w:rFonts w:ascii="宋体" w:hAnsi="宋体" w:cs="宋体"/>
                <w:iCs/>
                <w:u w:val="single"/>
                <w:lang w:val="en-US" w:eastAsia="zh-CN"/>
              </w:rPr>
              <w:t>/</w:t>
            </w:r>
            <w:r>
              <w:rPr>
                <w:rFonts w:ascii="宋体" w:hAnsi="宋体" w:cs="宋体"/>
                <w:iCs/>
                <w:u w:val="single"/>
              </w:rPr>
              <w:t xml:space="preserve"> </w:t>
            </w:r>
            <w:r>
              <w:rPr>
                <w:rFonts w:ascii="宋体" w:hAnsi="宋体" w:cs="宋体"/>
                <w:iCs/>
              </w:rPr>
              <w:t>；</w:t>
            </w:r>
          </w:p>
          <w:p w14:paraId="37BE6C45">
            <w:pPr>
              <w:adjustRightInd w:val="0"/>
              <w:snapToGrid w:val="0"/>
              <w:jc w:val="left"/>
              <w:rPr>
                <w:rFonts w:ascii="宋体" w:hAnsi="宋体"/>
                <w:u w:val="single"/>
              </w:rPr>
            </w:pPr>
            <w:r>
              <w:rPr>
                <w:rFonts w:ascii="宋体" w:hAnsi="宋体" w:cs="宋体"/>
                <w:iCs/>
              </w:rPr>
              <w:t>（2）向</w:t>
            </w:r>
            <w:r>
              <w:rPr>
                <w:rFonts w:ascii="宋体" w:hAnsi="宋体" w:cs="宋体"/>
                <w:iCs/>
                <w:u w:val="single"/>
              </w:rPr>
              <w:t xml:space="preserve"> </w:t>
            </w:r>
            <w:r>
              <w:rPr>
                <w:rFonts w:ascii="宋体" w:hAnsi="宋体" w:cs="宋体"/>
                <w:iCs/>
                <w:u w:val="single"/>
                <w:lang w:val="en-US" w:eastAsia="zh-CN"/>
              </w:rPr>
              <w:t>甲方所在地</w:t>
            </w:r>
            <w:r>
              <w:rPr>
                <w:rFonts w:ascii="宋体" w:hAnsi="宋体" w:cs="宋体"/>
                <w:iCs/>
                <w:u w:val="single"/>
              </w:rPr>
              <w:t xml:space="preserve">  </w:t>
            </w:r>
            <w:r>
              <w:rPr>
                <w:rFonts w:ascii="宋体" w:hAnsi="宋体" w:cs="宋体"/>
                <w:iCs/>
              </w:rPr>
              <w:t>人民法院起诉。</w:t>
            </w:r>
          </w:p>
        </w:tc>
      </w:tr>
      <w:tr w14:paraId="233933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1095CD1">
            <w:pPr>
              <w:adjustRightInd w:val="0"/>
              <w:snapToGrid w:val="0"/>
              <w:jc w:val="center"/>
              <w:rPr>
                <w:rFonts w:ascii="宋体" w:hAnsi="宋体"/>
              </w:rPr>
            </w:pPr>
            <w:r>
              <w:rPr>
                <w:rFonts w:ascii="宋体" w:hAnsi="宋体"/>
              </w:rPr>
              <w:t>第二节</w:t>
            </w:r>
          </w:p>
          <w:p w14:paraId="6F3A9836">
            <w:pPr>
              <w:adjustRightInd w:val="0"/>
              <w:snapToGrid w:val="0"/>
              <w:jc w:val="center"/>
              <w:rPr>
                <w:rFonts w:ascii="宋体" w:hAnsi="宋体"/>
              </w:rPr>
            </w:pPr>
            <w:r>
              <w:rPr>
                <w:rFonts w:ascii="宋体" w:hAnsi="宋体"/>
              </w:rPr>
              <w:t>第23.1款</w:t>
            </w:r>
          </w:p>
        </w:tc>
        <w:tc>
          <w:tcPr>
            <w:tcW w:w="1742" w:type="dxa"/>
            <w:vAlign w:val="center"/>
          </w:tcPr>
          <w:p w14:paraId="35EE4B1A">
            <w:pPr>
              <w:adjustRightInd w:val="0"/>
              <w:snapToGrid w:val="0"/>
              <w:jc w:val="left"/>
              <w:rPr>
                <w:rFonts w:ascii="宋体" w:hAnsi="宋体"/>
              </w:rPr>
            </w:pPr>
            <w:r>
              <w:rPr>
                <w:rFonts w:ascii="宋体" w:hAnsi="宋体"/>
                <w:bCs/>
              </w:rPr>
              <w:t>其他专用条款</w:t>
            </w:r>
          </w:p>
        </w:tc>
        <w:tc>
          <w:tcPr>
            <w:tcW w:w="5170" w:type="dxa"/>
            <w:vAlign w:val="center"/>
          </w:tcPr>
          <w:p w14:paraId="11C3E51D">
            <w:pPr>
              <w:adjustRightInd w:val="0"/>
              <w:snapToGrid w:val="0"/>
              <w:jc w:val="left"/>
              <w:rPr>
                <w:rFonts w:ascii="宋体" w:hAnsi="宋体"/>
              </w:rPr>
            </w:pPr>
          </w:p>
        </w:tc>
      </w:tr>
    </w:tbl>
    <w:p w14:paraId="647F1DED"/>
    <w:p w14:paraId="7BABF6E5"/>
    <w:p w14:paraId="49FD43E8">
      <w:pPr>
        <w:snapToGrid w:val="0"/>
        <w:spacing w:after="120" w:afterLines="50" w:line="500" w:lineRule="exact"/>
        <w:ind w:firstLine="4080" w:firstLineChars="1700"/>
        <w:rPr>
          <w:rFonts w:hint="default" w:ascii="Times New Roman" w:hAnsi="Times New Roman" w:cs="Times New Roman"/>
          <w:color w:val="auto"/>
          <w:sz w:val="24"/>
        </w:rPr>
      </w:pPr>
    </w:p>
    <w:p w14:paraId="15EE6821">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eastAsia="宋体" w:cs="Times New Roman"/>
          <w:b/>
          <w:bCs/>
          <w:color w:val="auto"/>
          <w:sz w:val="36"/>
          <w:szCs w:val="36"/>
        </w:rPr>
        <w:br w:type="page"/>
      </w:r>
      <w:bookmarkStart w:id="534" w:name="_Toc1535080439"/>
      <w:bookmarkStart w:id="535" w:name="_Toc1770719510_WPSOffice_Level1"/>
      <w:bookmarkStart w:id="536" w:name="_Toc2128211085"/>
      <w:bookmarkStart w:id="537" w:name="_Toc1640416698"/>
      <w:bookmarkStart w:id="538" w:name="_Toc339295120"/>
      <w:bookmarkStart w:id="539" w:name="_Toc667407289"/>
      <w:bookmarkStart w:id="540" w:name="_Toc1351594660_WPSOffice_Level2"/>
      <w:bookmarkStart w:id="541" w:name="_Toc1331652897_WPSOffice_Level2"/>
      <w:bookmarkStart w:id="542" w:name="_Toc1216028725_WPSOffice_Level2"/>
      <w:bookmarkStart w:id="543" w:name="_Toc694927784"/>
      <w:bookmarkStart w:id="544" w:name="_Toc2146371347"/>
      <w:bookmarkStart w:id="545" w:name="_Toc1554580408"/>
      <w:bookmarkStart w:id="546" w:name="_Toc505697850"/>
      <w:bookmarkStart w:id="547" w:name="_Toc2046461259_WPSOffice_Level1"/>
      <w:bookmarkStart w:id="548" w:name="_Toc1887969822_WPSOffice_Level2"/>
      <w:bookmarkStart w:id="549" w:name="_Toc2021117886"/>
      <w:bookmarkStart w:id="550" w:name="_Toc1047604175"/>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34"/>
      <w:bookmarkEnd w:id="535"/>
      <w:bookmarkEnd w:id="536"/>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653CB3FD">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51" w:name="_Toc1527207384_WPSOffice_Level1"/>
      <w:bookmarkStart w:id="552" w:name="_Toc1681897155"/>
      <w:bookmarkStart w:id="553" w:name="_Toc722680689_WPSOffice_Level1"/>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51"/>
      <w:bookmarkEnd w:id="552"/>
      <w:bookmarkEnd w:id="553"/>
    </w:p>
    <w:p w14:paraId="515D7AC3">
      <w:pPr>
        <w:widowControl w:val="0"/>
        <w:spacing w:before="240" w:after="60"/>
        <w:jc w:val="left"/>
        <w:rPr>
          <w:rFonts w:hint="default" w:ascii="Times New Roman" w:hAnsi="Times New Roman" w:eastAsia="宋体" w:cs="Times New Roman"/>
          <w:b/>
          <w:bCs/>
          <w:color w:val="auto"/>
          <w:sz w:val="28"/>
          <w:szCs w:val="24"/>
          <w:lang w:val="en-US" w:eastAsia="zh-CN"/>
        </w:rPr>
      </w:pPr>
    </w:p>
    <w:p w14:paraId="456870B8">
      <w:pPr>
        <w:jc w:val="center"/>
        <w:rPr>
          <w:rFonts w:hint="default" w:ascii="Times New Roman" w:hAnsi="Times New Roman" w:eastAsia="仿宋_GB2312" w:cs="Times New Roman"/>
          <w:b/>
          <w:bCs/>
          <w:color w:val="auto"/>
          <w:sz w:val="28"/>
          <w:szCs w:val="28"/>
          <w:lang w:val="en-US" w:eastAsia="zh-CN"/>
        </w:rPr>
      </w:pPr>
      <w:bookmarkStart w:id="554" w:name="_Toc495162933_WPSOffice_Level2"/>
      <w:bookmarkStart w:id="555" w:name="_Toc587059936_WPSOffice_Level2"/>
      <w:bookmarkStart w:id="556" w:name="_Toc1740618990_WPSOffice_Level1"/>
      <w:bookmarkStart w:id="557" w:name="_Toc285380293_WPSOffice_Level1"/>
      <w:bookmarkStart w:id="558" w:name="_Toc1775221587_WPSOffice_Level1"/>
      <w:r>
        <w:rPr>
          <w:rFonts w:hint="default" w:ascii="Times New Roman" w:hAnsi="Times New Roman" w:eastAsia="仿宋_GB2312" w:cs="Times New Roman"/>
          <w:b/>
          <w:bCs/>
          <w:color w:val="auto"/>
          <w:sz w:val="28"/>
          <w:szCs w:val="28"/>
          <w:lang w:val="en-US" w:eastAsia="zh-CN"/>
        </w:rPr>
        <w:t>河南省政府采购合同融资政策告知函</w:t>
      </w:r>
      <w:bookmarkEnd w:id="554"/>
      <w:bookmarkEnd w:id="555"/>
      <w:bookmarkEnd w:id="556"/>
      <w:bookmarkEnd w:id="557"/>
      <w:bookmarkEnd w:id="558"/>
    </w:p>
    <w:p w14:paraId="4A749EF3">
      <w:pPr>
        <w:widowControl w:val="0"/>
        <w:rPr>
          <w:rFonts w:hint="default" w:ascii="Times New Roman" w:hAnsi="Times New Roman" w:eastAsia="仿宋_GB2312" w:cs="Times New Roman"/>
          <w:color w:val="auto"/>
          <w:sz w:val="28"/>
          <w:szCs w:val="28"/>
          <w:lang w:val="en-US" w:eastAsia="zh-CN"/>
        </w:rPr>
      </w:pPr>
    </w:p>
    <w:p w14:paraId="1EFB39EA">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0BF3963E">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0C73CBC1">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2DCA5C4">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贷款渠道和提供贷款的金融机构，可在河南省政府采购网“河南省政府采购合同融资平台”查询联系。</w:t>
      </w:r>
    </w:p>
    <w:p w14:paraId="4DBBD504">
      <w:pPr>
        <w:spacing w:line="616" w:lineRule="exact"/>
        <w:ind w:right="86"/>
        <w:jc w:val="center"/>
        <w:rPr>
          <w:rFonts w:hint="default" w:ascii="Times New Roman" w:hAnsi="Times New Roman" w:cs="Times New Roman"/>
          <w:b/>
          <w:color w:val="auto"/>
          <w:sz w:val="52"/>
          <w:szCs w:val="52"/>
          <w:lang w:eastAsia="zh-CN"/>
        </w:rPr>
      </w:pPr>
    </w:p>
    <w:p w14:paraId="53DA1ADB">
      <w:pPr>
        <w:spacing w:line="360" w:lineRule="auto"/>
        <w:jc w:val="left"/>
        <w:rPr>
          <w:rFonts w:hint="default" w:ascii="Times New Roman" w:hAnsi="Times New Roman" w:cs="Times New Roman"/>
          <w:b/>
          <w:bCs/>
          <w:color w:val="auto"/>
          <w:sz w:val="28"/>
          <w:szCs w:val="28"/>
          <w:lang w:eastAsia="zh-CN"/>
        </w:rPr>
        <w:sectPr>
          <w:headerReference r:id="rId8" w:type="default"/>
          <w:footerReference r:id="rId9" w:type="default"/>
          <w:pgSz w:w="11900" w:h="16840"/>
          <w:pgMar w:top="1440" w:right="1797" w:bottom="1440" w:left="1797" w:header="851" w:footer="992" w:gutter="0"/>
          <w:cols w:space="720" w:num="1"/>
          <w:docGrid w:linePitch="286" w:charSpace="0"/>
        </w:sectPr>
      </w:pPr>
    </w:p>
    <w:p w14:paraId="2A788C9B">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59" w:name="_Toc898079186_WPSOffice_Level3"/>
      <w:bookmarkStart w:id="560" w:name="_Toc1599394415_WPSOffice_Level1"/>
      <w:bookmarkStart w:id="561" w:name="_Toc1604095411"/>
      <w:bookmarkStart w:id="562" w:name="_Toc922531278_WPSOffice_Level1"/>
      <w:r>
        <w:rPr>
          <w:rFonts w:hint="default" w:ascii="Times New Roman" w:hAnsi="Times New Roman" w:eastAsia="方正小标宋_GBK" w:cs="Times New Roman"/>
          <w:bCs/>
          <w:color w:val="auto"/>
          <w:kern w:val="0"/>
          <w:sz w:val="30"/>
          <w:szCs w:val="30"/>
          <w:lang w:val="en-US" w:eastAsia="zh-CN"/>
        </w:rPr>
        <w:t>附件2：</w:t>
      </w:r>
      <w:bookmarkEnd w:id="559"/>
      <w:r>
        <w:rPr>
          <w:rFonts w:hint="default" w:ascii="Times New Roman" w:hAnsi="Times New Roman" w:eastAsia="方正小标宋_GBK" w:cs="Times New Roman"/>
          <w:bCs/>
          <w:color w:val="auto"/>
          <w:kern w:val="0"/>
          <w:sz w:val="30"/>
          <w:szCs w:val="30"/>
          <w:lang w:val="en-US" w:eastAsia="zh-CN"/>
        </w:rPr>
        <w:t>中小企业划型标准规定</w:t>
      </w:r>
      <w:bookmarkEnd w:id="560"/>
      <w:bookmarkEnd w:id="561"/>
      <w:bookmarkEnd w:id="562"/>
    </w:p>
    <w:p w14:paraId="3F877D81">
      <w:pPr>
        <w:jc w:val="center"/>
        <w:rPr>
          <w:rFonts w:hint="default" w:ascii="Times New Roman" w:hAnsi="Times New Roman" w:cs="Times New Roman"/>
          <w:b/>
          <w:bCs/>
          <w:color w:val="auto"/>
          <w:sz w:val="32"/>
          <w:szCs w:val="32"/>
          <w:lang w:eastAsia="zh-CN"/>
        </w:rPr>
      </w:pPr>
      <w:bookmarkStart w:id="563" w:name="_Toc853194655"/>
      <w:bookmarkStart w:id="564" w:name="_Toc1587242122"/>
      <w:bookmarkStart w:id="565" w:name="_Toc347624563"/>
      <w:bookmarkStart w:id="566" w:name="_Toc658018444_WPSOffice_Level2"/>
    </w:p>
    <w:p w14:paraId="0D7D9344">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63"/>
      <w:bookmarkEnd w:id="564"/>
      <w:bookmarkEnd w:id="565"/>
      <w:bookmarkEnd w:id="566"/>
    </w:p>
    <w:p w14:paraId="137626AD">
      <w:pPr>
        <w:pStyle w:val="46"/>
        <w:spacing w:line="480" w:lineRule="exact"/>
        <w:jc w:val="center"/>
        <w:rPr>
          <w:rFonts w:ascii="Times New Roman" w:hAnsi="Times New Roman" w:eastAsia="仿宋_GB2312" w:cs="Times New Roman"/>
          <w:sz w:val="28"/>
          <w:szCs w:val="28"/>
        </w:rPr>
      </w:pPr>
      <w:bookmarkStart w:id="567" w:name="_Toc1413325678_WPSOffice_Level3"/>
      <w:r>
        <w:rPr>
          <w:rFonts w:ascii="Times New Roman" w:hAnsi="Times New Roman" w:eastAsia="仿宋_GB2312" w:cs="Times New Roman"/>
          <w:sz w:val="28"/>
          <w:szCs w:val="28"/>
        </w:rPr>
        <w:t>工信部联企业[2011]300号</w:t>
      </w:r>
      <w:bookmarkEnd w:id="567"/>
    </w:p>
    <w:p w14:paraId="53E7C3D8">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各省、自治区、直辖市人民政府，国务院各部委、各直属机构及有关单位：</w:t>
      </w:r>
    </w:p>
    <w:p w14:paraId="3EEC0D25">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9613966">
      <w:pPr>
        <w:pStyle w:val="46"/>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工业和信息化部　国家统计局</w:t>
      </w:r>
    </w:p>
    <w:p w14:paraId="61CB549A">
      <w:pPr>
        <w:pStyle w:val="46"/>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国家发展和改革委员会　财政部</w:t>
      </w:r>
    </w:p>
    <w:p w14:paraId="22D79D43">
      <w:pPr>
        <w:pStyle w:val="46"/>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二〇一一年六月十八日</w:t>
      </w:r>
    </w:p>
    <w:p w14:paraId="3D3AF8D1">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 </w:t>
      </w:r>
    </w:p>
    <w:p w14:paraId="713D9A60">
      <w:pPr>
        <w:pStyle w:val="46"/>
        <w:spacing w:line="480" w:lineRule="exact"/>
        <w:jc w:val="center"/>
        <w:rPr>
          <w:rFonts w:ascii="Times New Roman" w:hAnsi="Times New Roman" w:eastAsia="仿宋_GB2312" w:cs="Times New Roman"/>
          <w:sz w:val="28"/>
          <w:szCs w:val="28"/>
        </w:rPr>
      </w:pPr>
      <w:bookmarkStart w:id="568" w:name="_Toc1817875417_WPSOffice_Level2"/>
      <w:r>
        <w:rPr>
          <w:rStyle w:val="55"/>
          <w:rFonts w:ascii="Times New Roman" w:hAnsi="Times New Roman" w:eastAsia="仿宋_GB2312" w:cs="Times New Roman"/>
          <w:sz w:val="28"/>
          <w:szCs w:val="28"/>
        </w:rPr>
        <w:t>中小企业划型标准规定</w:t>
      </w:r>
      <w:bookmarkEnd w:id="568"/>
    </w:p>
    <w:p w14:paraId="237C81E4">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14:paraId="201B30E1">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0AE0704C">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8B21406">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四、各行业划型标准为：</w:t>
      </w:r>
    </w:p>
    <w:p w14:paraId="080009C9">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69EDA075">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0014B9">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B615A63">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E3E795D">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BAC482F">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9E606A">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9645D40">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F36BD4D">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FA4F29">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697019">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9D97FAA">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D60847">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CF811D4">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460F64">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E01F86">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3D3963D4">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五、企业类型的划分以统计部门的统计数据为依据。</w:t>
      </w:r>
    </w:p>
    <w:p w14:paraId="6CB960B3">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40E35930">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22AA766C">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3F1D01D4">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九、本规定由工业和信息化部、国家统计局会同有关部门负责解释。</w:t>
      </w:r>
    </w:p>
    <w:p w14:paraId="5983BD93">
      <w:pPr>
        <w:pStyle w:val="46"/>
        <w:spacing w:line="480" w:lineRule="exact"/>
        <w:rPr>
          <w:rFonts w:ascii="Times New Roman" w:hAnsi="Times New Roman" w:eastAsia="方正小标宋简体" w:cs="Times New Roman"/>
          <w:sz w:val="32"/>
          <w:szCs w:val="32"/>
          <w:lang w:val="zh-TW"/>
        </w:rPr>
      </w:pP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0" w:type="default"/>
      <w:footerReference r:id="rId11"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ctionIcon ! importan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onospace">
    <w:altName w:val="华文仿宋"/>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 Neue">
    <w:altName w:val="DejaVu Math TeX Gyre"/>
    <w:panose1 w:val="00000000000000000000"/>
    <w:charset w:val="00"/>
    <w:family w:val="roman"/>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ESI楷体-GB2312">
    <w:altName w:val="微软雅黑"/>
    <w:panose1 w:val="000000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方正仿宋_GB2312">
    <w:altName w:val="微软雅黑"/>
    <w:panose1 w:val="00000000000000000000"/>
    <w:charset w:val="00"/>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D992">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34531">
    <w:pPr>
      <w:pStyle w:val="2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040BE7FE">
                          <w:pPr>
                            <w:pStyle w:val="29"/>
                            <w:rPr>
                              <w:rFonts w:hint="eastAsia"/>
                            </w:rPr>
                          </w:pPr>
                          <w:r>
                            <w:fldChar w:fldCharType="begin"/>
                          </w:r>
                          <w:r>
                            <w:instrText xml:space="preserve"> PAGE  \* MERGEFORMAT </w:instrText>
                          </w:r>
                          <w:r>
                            <w:fldChar w:fldCharType="separate"/>
                          </w:r>
                          <w:r>
                            <w:rPr>
                              <w:lang w:val="en-US" w:eastAsia="zh-CN"/>
                            </w:rPr>
                            <w:t>44</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NblW5wEAAMkDAAAOAAAAZHJzL2Uyb0RvYy54bWytU82O0zAQviPx&#10;DpbvNG1F6RI1XQHVIiQESAsP4DpOY8l/Gk+blAeAN+DEhfs+V5+DsZN2YbnsgUsynhl/M98349V1&#10;bw07KIjau4rPJlPOlJO+1m5X8S+fb55dcRZRuFoY71TFjyry6/XTJ6sulGruW29qBYxAXCy7UPEW&#10;MZRFEWWrrIgTH5SjYOPBCqQj7IoaREfo1hTz6fRF0XmoA3ipYiTvZgjyEREeA+ibRku18XJvlcMB&#10;FZQRSJRiq0Pk69xt0yiJH5smKmSm4sQU85eKkL1N32K9EuUORGi1HFsQj2nhAScrtKOiF6iNQMH2&#10;oP+BslqCj77BifS2GIhkRYjFbPpAm9tWBJW5kNQxXESP/w9Wfjh8AqbritPYnbA08NOP76efd6df&#10;39g8ydOFWFLWbaA87F/7npbm7I/kTKz7Bmz6Ex9GcRL3eBFX9cgkORfL5dWCM0mR2fPly8UigRT3&#10;dwNEfKu8ZcmoONDosqLi8D7ikHpOSaWcv9HG5PEZ95eDMAePyvMfbycaQ7vJwn7bj9y2vj4SNXoR&#10;VLX18JWzjvah4o7WnzPzzpHcaXXOBpyN7dkQTtLFiiNng/kGhxXbB9C7lnBnmUoMr/ZIfWc6qY2h&#10;NsmQDjThLMi4jWmF/jznrPsXuP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8scAtEAAAACAQAA&#10;DwAAAAAAAAABACAAAAAiAAAAZHJzL2Rvd25yZXYueG1sUEsBAhQAFAAAAAgAh07iQD81uVbnAQAA&#10;yQMAAA4AAAAAAAAAAQAgAAAAIAEAAGRycy9lMm9Eb2MueG1sUEsFBgAAAAAGAAYAWQEAAHkFAAAA&#10;AA==&#10;">
              <v:fill on="f" focussize="0,0"/>
              <v:stroke on="f"/>
              <v:imagedata o:title=""/>
              <o:lock v:ext="edit" aspectratio="f"/>
              <v:textbox inset="0mm,0mm,0mm,0mm" style="mso-fit-shape-to-text:t;">
                <w:txbxContent>
                  <w:p w14:paraId="040BE7FE">
                    <w:pPr>
                      <w:pStyle w:val="29"/>
                      <w:rPr>
                        <w:rFonts w:hint="eastAsia"/>
                      </w:rPr>
                    </w:pPr>
                    <w:r>
                      <w:fldChar w:fldCharType="begin"/>
                    </w:r>
                    <w:r>
                      <w:instrText xml:space="preserve"> PAGE  \* MERGEFORMAT </w:instrText>
                    </w:r>
                    <w:r>
                      <w:fldChar w:fldCharType="separate"/>
                    </w:r>
                    <w:r>
                      <w:rPr>
                        <w:lang w:val="en-US" w:eastAsia="zh-CN"/>
                      </w:rP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D5121">
    <w:pPr>
      <w:pStyle w:val="29"/>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0437FD52">
                          <w:pPr>
                            <w:pStyle w:val="29"/>
                            <w:rPr>
                              <w:rFonts w:hint="eastAsia"/>
                            </w:rPr>
                          </w:pPr>
                          <w:r>
                            <w:fldChar w:fldCharType="begin"/>
                          </w:r>
                          <w:r>
                            <w:instrText xml:space="preserve"> PAGE  \* MERGEFORMAT </w:instrText>
                          </w:r>
                          <w:r>
                            <w:fldChar w:fldCharType="separate"/>
                          </w:r>
                          <w:r>
                            <w:rPr>
                              <w:lang w:val="en-US" w:eastAsia="zh-CN"/>
                            </w:rPr>
                            <w:t>55</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nO3cH5wEAAMoDAAAOAAAAZHJzL2Uyb0RvYy54bWytU82O0zAQviPx&#10;DpbvNE3ZAo2aroBqERICpIUHcB2nseQ/edwm5QHgDThx4c5z9TkY20kXlsseuCTj+flmvs/j9fWg&#10;FTkKD9KampazOSXCcNtIs6/p5083T15QAoGZhilrRE1PAuj15vGjde8qsbCdVY3wBEEMVL2raReC&#10;q4oCeCc0g5l1wmCwtV6zgEe/LxrPekTXqljM58+K3vrGecsFAHq3OUhHRP8QQNu2kout5QctTMio&#10;XigWkBJ00gHdpGnbVvDwoW1BBKJqikxD+mITtHfxW2zWrNp75jrJxxHYQ0a4x0kzabDpBWrLAiMH&#10;L/+B0pJ7C7YNM251kYkkRZBFOb+nzW3HnEhcUGpwF9Hh/8Hy98ePnsimpitKDNN44efv384/fp1/&#10;fiWLKE/voMKsW4d5YXhlB1yayQ/ojKyH1uv4Rz4E4yju6SKuGALhsai8Wj1dUsIxVF49Xy2XEaW4&#10;K3YewhthNYlGTT3eXZKUHd9ByKlTSuxl7I1UKt2fMn85EDN7RFqAsTryyPNGKwy7YSS3s80JueGT&#10;wK6d9V8o6XEhampw/ylRbw3qHXdnMvxk7CaDGY6FNQ2UZPN1yDt2cF7uO8QtExVwLw8B50504hi5&#10;N8oQD3jFSZBxHeMO/XlOWXdPc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6W/D9EAAAADAQAA&#10;DwAAAAAAAAABACAAAAAiAAAAZHJzL2Rvd25yZXYueG1sUEsBAhQAFAAAAAgAh07iQKc7dwfnAQAA&#10;ygMAAA4AAAAAAAAAAQAgAAAAIAEAAGRycy9lMm9Eb2MueG1sUEsFBgAAAAAGAAYAWQEAAHkFAAAA&#10;AA==&#10;">
              <v:fill on="f" focussize="0,0"/>
              <v:stroke on="f"/>
              <v:imagedata o:title=""/>
              <o:lock v:ext="edit" aspectratio="f"/>
              <v:textbox inset="0mm,0mm,0mm,0mm" style="mso-fit-shape-to-text:t;">
                <w:txbxContent>
                  <w:p w14:paraId="0437FD52">
                    <w:pPr>
                      <w:pStyle w:val="29"/>
                      <w:rPr>
                        <w:rFonts w:hint="eastAsia"/>
                      </w:rPr>
                    </w:pPr>
                    <w:r>
                      <w:fldChar w:fldCharType="begin"/>
                    </w:r>
                    <w:r>
                      <w:instrText xml:space="preserve"> PAGE  \* MERGEFORMAT </w:instrText>
                    </w:r>
                    <w:r>
                      <w:fldChar w:fldCharType="separate"/>
                    </w:r>
                    <w:r>
                      <w:rPr>
                        <w:lang w:val="en-US" w:eastAsia="zh-CN"/>
                      </w:rP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C5D7">
    <w:pPr>
      <w:pStyle w:val="29"/>
      <w:ind w:right="36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5288FDAF">
                          <w:pPr>
                            <w:pStyle w:val="29"/>
                            <w:rPr>
                              <w:rFonts w:hint="eastAsia"/>
                            </w:rPr>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PBm+l6QEAAMsDAAAOAAAAZHJzL2Uyb0RvYy54bWytU82O0zAQviPx&#10;DpbvNM2yZXejpiugWoSEAGmXB3Adu7FkeyzbbVIeAN6AE5e981x9DsZO0oXlsgcuyXh+vpnv83h5&#10;3RtN9sIHBbam5WxOibAcGmW3Nf1yd/PikpIQmW2YBitqehCBXq+eP1t2rhJn0IJuhCcIYkPVuZq2&#10;MbqqKAJvhWFhBk5YDErwhkU8+m3ReNYhutHF2Xz+qujAN84DFyGgdz0E6YjonwIIUiou1sB3Rtg4&#10;oHqhWURKoVUu0FWeVkrB4ycpg4hE1xSZxvzFJmhv0rdYLVm19cy1io8jsKeM8IiTYcpi0xPUmkVG&#10;dl79A2UU9xBAxhkHUwxEsiLIopw/0ua2ZU5kLih1cCfRw/+D5R/3nz1RDW5CSYllBm/8+OP78eev&#10;4/03cpH06VyoMO3WYWLs30CPuZM/oDPR7qU36Y+ECMZR3cNJXdFHwlNReX71ckEJx1B5fnG1WCSU&#10;4qHY+RDfCTAkGTX1eHlZU7b/EOKQOqWkXhZulNb5ArX9y4GYg0fkDRirE49h3mTFftOP5DbQHJAb&#10;vgns2oL/SkmHG1FTiw+AEv3eouBpeSbDT8ZmMpjlWFjTSMlgvo3Dku2cV9sWcctMJbjXu4hzZzpp&#10;jKE3ypAOeMdZkHEf0xL9ec5ZD29w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pb8P0QAAAAMB&#10;AAAPAAAAAAAAAAEAIAAAACIAAABkcnMvZG93bnJldi54bWxQSwECFAAUAAAACACHTuJATwZvpekB&#10;AADLAwAADgAAAAAAAAABACAAAAAgAQAAZHJzL2Uyb0RvYy54bWxQSwUGAAAAAAYABgBZAQAAewUA&#10;AAAA&#10;">
              <v:fill on="f" focussize="0,0"/>
              <v:stroke on="f"/>
              <v:imagedata o:title=""/>
              <o:lock v:ext="edit" aspectratio="f"/>
              <v:textbox inset="0mm,0mm,0mm,0mm" style="mso-fit-shape-to-text:t;">
                <w:txbxContent>
                  <w:p w14:paraId="5288FDAF">
                    <w:pPr>
                      <w:pStyle w:val="29"/>
                      <w:rPr>
                        <w:rFonts w:hint="eastAsia"/>
                      </w:rPr>
                    </w:pPr>
                    <w:r>
                      <w:fldChar w:fldCharType="begin"/>
                    </w:r>
                    <w:r>
                      <w:instrText xml:space="preserve"> PAGE  \* MERGEFORMAT </w:instrText>
                    </w:r>
                    <w:r>
                      <w:fldChar w:fldCharType="separate"/>
                    </w:r>
                    <w:r>
                      <w:t>124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42243249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129F162E"/>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spX+4VAgAAGQQAAA4AAABkcnMvZTJvRG9jLnhtbK1TS27bMBDdF+gd&#10;CO5rWbZTxILlII3hokD6AdIegKYoi6jEIYa0JfcA7Q26yqb7nsvn6JCynDTdZNENMRxy3sx7fFxc&#10;dU3N9gqdBpPzdDTmTBkJhTbbnH/5vH51yZnzwhSiBqNyflCOXy1fvli0NlMTqKAuFDICMS5rbc4r&#10;722WJE5WqhFuBFYZOiwBG+Fpi9ukQNESelMnk/H4ddICFhZBKucou+oP+QkRnwMIZamlWoHcNcr4&#10;HhVVLTxRcpW2ji/jtGWppP9Ylk55VuecmPq4UhOKN2FNlguRbVHYSsvTCOI5Izzh1AhtqOkZaiW8&#10;YDvU/0A1WiI4KP1IQpP0RKIixCIdP9HmrhJWRS4ktbNn0d3/g5Uf9p+Q6YKcMJtMZtPJbD7nzIiG&#10;Xv7488fx/vfx13d2GXRqrcvo+p2lAt+9gY5qImdnb0F+dczATSXMVl0jQlspUdCcaahMHpX2OC6A&#10;bNr3UFAfsfMQgboSmyAiycIInd7ocH4j1XkmQ8t0Np9ecCbpKL2YjikOHUQ2FFt0/q2ChoUg50gW&#10;iOBif+t8f3W4EnoZWOu6przIavNXgjD7jIo+OlUHKmH6nofvNh3VhuQGigORQug9Rj+MggrwG2ct&#10;+Svnhr4TZ/U7Q7IEKw4BDsFmCISRVJhzz1kf3vjesjuLelsR7iD8N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CspX+4VAgAAGQQAAA4AAAAAAAAA&#10;AQAgAAAAHwEAAGRycy9lMm9Eb2MueG1sUEsFBgAAAAAGAAYAWQEAAKYFAAAAAA==&#10;">
              <v:fill on="f" focussize="0,0"/>
              <v:stroke on="f"/>
              <v:imagedata o:title=""/>
              <o:lock v:ext="edit" aspectratio="f"/>
              <v:textbox inset="0mm,0mm,0mm,0mm" style="mso-fit-shape-to-text:t;">
                <w:txbxContent>
                  <w:p w14:paraId="129F162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43">
    <w:pPr>
      <w:pStyle w:val="29"/>
      <w:ind w:right="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245" cy="13144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245" cy="131445"/>
                      </a:xfrm>
                      <a:prstGeom prst="rect">
                        <a:avLst/>
                      </a:prstGeom>
                      <a:noFill/>
                      <a:ln>
                        <a:noFill/>
                      </a:ln>
                      <a:effectLst/>
                    </wps:spPr>
                    <wps:txbx>
                      <w:txbxContent>
                        <w:p w14:paraId="61824E40">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161</w:t>
                          </w:r>
                          <w:r>
                            <w:rPr>
                              <w:sz w:val="18"/>
                              <w:lang w:eastAsia="zh-CN"/>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14.35pt;mso-position-horizontal:center;mso-position-horizontal-relative:margin;mso-wrap-style:none;z-index:251663360;mso-width-relative:page;mso-height-relative:page;" filled="f" stroked="f" coordsize="21600,21600" o:gfxdata="UEsDBAoAAAAAAIdO4kAAAAAAAAAAAAAAAAAEAAAAZHJzL1BLAwQUAAAACACHTuJA6NMvUM8AAAAD&#10;AQAADwAAAGRycy9kb3ducmV2LnhtbE2PMU/DMBCFdyT+g3VIbNRuBxKFOB0qsbBREBKbG1/jCPsc&#10;2W6a/HsOFlju6fRO733X7pfgxYwpj5E0bDcKBFIf7UiDhve354caRC6GrPGRUMOKGfbd7U1rGhuv&#10;9IrzsQyCQyg3RoMrZWqkzL3DYPImTkjsnWMKpvCaBmmTuXJ48HKn1KMMZiRucGbCg8P+63gJGqrl&#10;I+KU8YCf57lPblxr/7JqfX+3VU8gCi7l7xh+8BkdOmY6xQvZLLwGfqT8TvZ2dQXixKoqkF0r/7N3&#10;31BLAwQUAAAACACHTuJAovCyfOcBAADLAwAADgAAAGRycy9lMm9Eb2MueG1srVPNjtMwEL4j8Q6W&#10;7zRtWVarqOkKqBYhIUBaeADXcRpLtscau03KA8AbcOLCnefqczB2ki67e9kDl2Q8P9/M93m8uu6t&#10;YQeFQYOr+GI250w5CbV2u4p//XLz4oqzEIWrhQGnKn5UgV+vnz9bdb5US2jB1AoZgbhQdr7ibYy+&#10;LIogW2VFmIFXjoINoBWRjrgrahQdoVtTLOfzy6IDrD2CVCGQdzME+YiITwGEptFSbUDurXJxQEVl&#10;RCRKodU+8HWetmmUjJ+aJqjITMWJacxfakL2Nn2L9UqUOxS+1XIcQTxlhAecrNCOmp6hNiIKtkf9&#10;CMpqiRCgiTMJthiIZEWIxWL+QJvbVniVuZDUwZ9FD/8PVn48fEama9oEksQJSzd++vnj9OvP6fd3&#10;dpn06XwoKe3WU2Ls30BPuZM/kDPR7hu06U+EGMUJ6nhWV/WRyVR0tVxevOJMUmjxcnFBNqEXd8Ue&#10;Q3ynwLJkVBzp8rKm4vAhxCF1Skm9HNxoY/IFGnfPQZiDR+UNGKsTj2HeZMV+24/ktlAfiRu9Cera&#10;An7jrKONqLijB8CZee9I8LQ8k4GTsZ0M4SQVVjxyNphv47Bke4961xLuIlMJ/vU+0tyZThpj6E0y&#10;pAPdcRZk3Me0RP+ec9bdG1z/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jTL1DPAAAAAwEAAA8A&#10;AAAAAAAAAQAgAAAAIgAAAGRycy9kb3ducmV2LnhtbFBLAQIUABQAAAAIAIdO4kCi8LJ85wEAAMsD&#10;AAAOAAAAAAAAAAEAIAAAAB4BAABkcnMvZTJvRG9jLnhtbFBLBQYAAAAABgAGAFkBAAB3BQAAAAA=&#10;">
              <v:fill on="f" focussize="0,0"/>
              <v:stroke on="f"/>
              <v:imagedata o:title=""/>
              <o:lock v:ext="edit" aspectratio="f"/>
              <v:textbox inset="0mm,0mm,0mm,0mm" style="mso-fit-shape-to-text:t;">
                <w:txbxContent>
                  <w:p w14:paraId="61824E40">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161</w:t>
                    </w:r>
                    <w:r>
                      <w:rPr>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15896618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80E0AD4"/>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iNkgVAgAAGQQAAA4AAABkcnMvZTJvRG9jLnhtbK1TS27bMBDdF+gd&#10;CO5rWUls2ILlII3hokD6AdIegKYoi6jEIYa0JfcA7Q266qb7nsvn6JCynDTdZNENMRxy3sx7fFxc&#10;d03N9gqdBpPzdDTmTBkJhTbbnH/+tH4148x5YQpRg1E5PyjHr5cvXyxam6kLqKAuFDICMS5rbc4r&#10;722WJE5WqhFuBFYZOiwBG+Fpi9ukQNESelMnF+PxNGkBC4sglXOUXfWH/ISIzwGEstRSrUDuGmV8&#10;j4qqFp4ouUpbx5dx2rJU0n8oS6c8q3NOTH1cqQnFm7Amy4XItihspeVpBPGcEZ5waoQ21PQMtRJe&#10;sB3qf6AaLREclH4koUl6IlERYpGOn2hzXwmrIheS2tmz6O7/wcr3+4/IdEFOmMzm02k6m19xZkRD&#10;L3/88f348/fx1zc2CTq11mV0/d5Sge9eQ0c1kbOzdyC/OGbgthJmq24Qoa2UKGjONFQmj0p7HBdA&#10;Nu07KKiP2HmIQF2JTRCRZGGETm90OL+R6jyToWV6Nb+ccCbpKJ1cjikOHUQ2FFt0/o2ChoUg50gW&#10;iOBif+d8f3W4EnoZWOu6przIavNXgjD7jIo+OlUHKmH6nofvNh3VhuQGigORQug9Rj+MggrwK2ct&#10;+Svnhr4TZ/VbQ7IEKw4BDsFmCISRVJhzz1kf3vresjuLelsR7iD8D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ORiNkgVAgAAGQQAAA4AAAAAAAAA&#10;AQAgAAAAHwEAAGRycy9lMm9Eb2MueG1sUEsFBgAAAAAGAAYAWQEAAKYFAAAAAA==&#10;">
              <v:fill on="f" focussize="0,0"/>
              <v:stroke on="f"/>
              <v:imagedata o:title=""/>
              <o:lock v:ext="edit" aspectratio="f"/>
              <v:textbox inset="0mm,0mm,0mm,0mm" style="mso-fit-shape-to-text:t;">
                <w:txbxContent>
                  <w:p w14:paraId="580E0AD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2102">
    <w:pPr>
      <w:pStyle w:val="31"/>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BBC1">
    <w:pPr>
      <w:pStyle w:val="16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3C57">
    <w:pPr>
      <w:pStyle w:val="31"/>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D3C3">
    <w:pPr>
      <w:pStyle w:val="3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E3806"/>
    <w:multiLevelType w:val="singleLevel"/>
    <w:tmpl w:val="857E3806"/>
    <w:lvl w:ilvl="0" w:tentative="0">
      <w:start w:val="6"/>
      <w:numFmt w:val="chineseCounting"/>
      <w:suff w:val="space"/>
      <w:lvlText w:val="第%1章"/>
      <w:lvlJc w:val="left"/>
      <w:rPr>
        <w:rFonts w:hint="eastAsia"/>
      </w:rPr>
    </w:lvl>
  </w:abstractNum>
  <w:abstractNum w:abstractNumId="1">
    <w:nsid w:val="9EDEBD61"/>
    <w:multiLevelType w:val="singleLevel"/>
    <w:tmpl w:val="9EDEBD61"/>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BA9B9B9"/>
    <w:multiLevelType w:val="singleLevel"/>
    <w:tmpl w:val="EBA9B9B9"/>
    <w:lvl w:ilvl="0" w:tentative="0">
      <w:start w:val="3"/>
      <w:numFmt w:val="chineseCounting"/>
      <w:suff w:val="nothing"/>
      <w:lvlText w:val="%1、"/>
      <w:lvlJc w:val="left"/>
      <w:rPr>
        <w:rFonts w:hint="eastAsia"/>
      </w:rPr>
    </w:lvl>
  </w:abstractNum>
  <w:abstractNum w:abstractNumId="7">
    <w:nsid w:val="EFC741CB"/>
    <w:multiLevelType w:val="singleLevel"/>
    <w:tmpl w:val="EFC741CB"/>
    <w:lvl w:ilvl="0" w:tentative="0">
      <w:start w:val="2"/>
      <w:numFmt w:val="decimal"/>
      <w:suff w:val="nothing"/>
      <w:lvlText w:val="（%1）"/>
      <w:lvlJc w:val="left"/>
      <w:pPr>
        <w:ind w:left="560" w:firstLine="0"/>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276B7EA7"/>
    <w:multiLevelType w:val="singleLevel"/>
    <w:tmpl w:val="276B7EA7"/>
    <w:lvl w:ilvl="0" w:tentative="0">
      <w:start w:val="1"/>
      <w:numFmt w:val="decimal"/>
      <w:suff w:val="nothing"/>
      <w:lvlText w:val="%1、"/>
      <w:lvlJc w:val="left"/>
    </w:lvl>
  </w:abstractNum>
  <w:abstractNum w:abstractNumId="10">
    <w:nsid w:val="457A1F52"/>
    <w:multiLevelType w:val="multilevel"/>
    <w:tmpl w:val="457A1F52"/>
    <w:lvl w:ilvl="0" w:tentative="0">
      <w:start w:val="1"/>
      <w:numFmt w:val="japaneseCounting"/>
      <w:lvlText w:val="（%1）"/>
      <w:lvlJc w:val="left"/>
      <w:pPr>
        <w:ind w:left="-3" w:hanging="1080"/>
      </w:pPr>
      <w:rPr>
        <w:rFonts w:hint="default"/>
      </w:rPr>
    </w:lvl>
    <w:lvl w:ilvl="1" w:tentative="0">
      <w:start w:val="1"/>
      <w:numFmt w:val="lowerLetter"/>
      <w:lvlText w:val="%2)"/>
      <w:lvlJc w:val="left"/>
      <w:pPr>
        <w:ind w:left="-243" w:hanging="420"/>
      </w:pPr>
    </w:lvl>
    <w:lvl w:ilvl="2" w:tentative="0">
      <w:start w:val="1"/>
      <w:numFmt w:val="lowerRoman"/>
      <w:lvlText w:val="%3."/>
      <w:lvlJc w:val="right"/>
      <w:pPr>
        <w:ind w:left="177" w:hanging="420"/>
      </w:pPr>
    </w:lvl>
    <w:lvl w:ilvl="3" w:tentative="0">
      <w:start w:val="1"/>
      <w:numFmt w:val="decimal"/>
      <w:lvlText w:val="%4."/>
      <w:lvlJc w:val="left"/>
      <w:pPr>
        <w:ind w:left="597" w:hanging="420"/>
      </w:pPr>
    </w:lvl>
    <w:lvl w:ilvl="4" w:tentative="0">
      <w:start w:val="1"/>
      <w:numFmt w:val="lowerLetter"/>
      <w:lvlText w:val="%5)"/>
      <w:lvlJc w:val="left"/>
      <w:pPr>
        <w:ind w:left="1017" w:hanging="420"/>
      </w:pPr>
    </w:lvl>
    <w:lvl w:ilvl="5" w:tentative="0">
      <w:start w:val="1"/>
      <w:numFmt w:val="lowerRoman"/>
      <w:lvlText w:val="%6."/>
      <w:lvlJc w:val="right"/>
      <w:pPr>
        <w:ind w:left="1437" w:hanging="420"/>
      </w:pPr>
    </w:lvl>
    <w:lvl w:ilvl="6" w:tentative="0">
      <w:start w:val="1"/>
      <w:numFmt w:val="decimal"/>
      <w:lvlText w:val="%7."/>
      <w:lvlJc w:val="left"/>
      <w:pPr>
        <w:ind w:left="1857" w:hanging="420"/>
      </w:pPr>
    </w:lvl>
    <w:lvl w:ilvl="7" w:tentative="0">
      <w:start w:val="1"/>
      <w:numFmt w:val="lowerLetter"/>
      <w:lvlText w:val="%8)"/>
      <w:lvlJc w:val="left"/>
      <w:pPr>
        <w:ind w:left="2277" w:hanging="420"/>
      </w:pPr>
    </w:lvl>
    <w:lvl w:ilvl="8" w:tentative="0">
      <w:start w:val="1"/>
      <w:numFmt w:val="lowerRoman"/>
      <w:lvlText w:val="%9."/>
      <w:lvlJc w:val="right"/>
      <w:pPr>
        <w:ind w:left="2697" w:hanging="420"/>
      </w:pPr>
    </w:lvl>
  </w:abstractNum>
  <w:abstractNum w:abstractNumId="11">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67A8BCEF"/>
    <w:multiLevelType w:val="singleLevel"/>
    <w:tmpl w:val="67A8BCEF"/>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F7BE2C3"/>
    <w:multiLevelType w:val="singleLevel"/>
    <w:tmpl w:val="7F7BE2C3"/>
    <w:lvl w:ilvl="0" w:tentative="0">
      <w:start w:val="1"/>
      <w:numFmt w:val="chineseCounting"/>
      <w:suff w:val="space"/>
      <w:lvlText w:val="第%1章"/>
      <w:lvlJc w:val="left"/>
      <w:rPr>
        <w:rFonts w:hint="eastAsia"/>
      </w:rPr>
    </w:lvl>
  </w:abstractNum>
  <w:num w:numId="1">
    <w:abstractNumId w:val="9"/>
  </w:num>
  <w:num w:numId="2">
    <w:abstractNumId w:val="14"/>
  </w:num>
  <w:num w:numId="3">
    <w:abstractNumId w:val="11"/>
  </w:num>
  <w:num w:numId="4">
    <w:abstractNumId w:val="7"/>
  </w:num>
  <w:num w:numId="5">
    <w:abstractNumId w:val="0"/>
  </w:num>
  <w:num w:numId="6">
    <w:abstractNumId w:val="10"/>
  </w:num>
  <w:num w:numId="7">
    <w:abstractNumId w:val="1"/>
  </w:num>
  <w:num w:numId="8">
    <w:abstractNumId w:val="12"/>
  </w:num>
  <w:num w:numId="9">
    <w:abstractNumId w:val="6"/>
  </w:num>
  <w:num w:numId="10">
    <w:abstractNumId w:val="13"/>
  </w:num>
  <w:num w:numId="11">
    <w:abstractNumId w:val="8"/>
  </w:num>
  <w:num w:numId="12">
    <w:abstractNumId w:val="4"/>
  </w:num>
  <w:num w:numId="13">
    <w:abstractNumId w:val="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FhYzhmZjhiNDYxODI2ODA4MjU5OTdjNTI2NGIifQ=="/>
  </w:docVars>
  <w:rsids>
    <w:rsidRoot w:val="00216A94"/>
    <w:rsid w:val="00004CCA"/>
    <w:rsid w:val="00004D44"/>
    <w:rsid w:val="00005D94"/>
    <w:rsid w:val="00007F74"/>
    <w:rsid w:val="0002033A"/>
    <w:rsid w:val="00023995"/>
    <w:rsid w:val="0002752B"/>
    <w:rsid w:val="000278F5"/>
    <w:rsid w:val="00033BB5"/>
    <w:rsid w:val="000340B2"/>
    <w:rsid w:val="00052996"/>
    <w:rsid w:val="00054E21"/>
    <w:rsid w:val="00056878"/>
    <w:rsid w:val="00060BC3"/>
    <w:rsid w:val="000702AC"/>
    <w:rsid w:val="000705B0"/>
    <w:rsid w:val="000708D6"/>
    <w:rsid w:val="00073941"/>
    <w:rsid w:val="000768FB"/>
    <w:rsid w:val="000805F7"/>
    <w:rsid w:val="000821E0"/>
    <w:rsid w:val="00086D49"/>
    <w:rsid w:val="000914CC"/>
    <w:rsid w:val="000A0377"/>
    <w:rsid w:val="000A0F32"/>
    <w:rsid w:val="000A25C2"/>
    <w:rsid w:val="000A3106"/>
    <w:rsid w:val="000A4491"/>
    <w:rsid w:val="000B23B8"/>
    <w:rsid w:val="000B340A"/>
    <w:rsid w:val="000B69C5"/>
    <w:rsid w:val="000B7ED5"/>
    <w:rsid w:val="000C05CA"/>
    <w:rsid w:val="000C0D50"/>
    <w:rsid w:val="000C46FC"/>
    <w:rsid w:val="000C6AD5"/>
    <w:rsid w:val="000D5739"/>
    <w:rsid w:val="000E1629"/>
    <w:rsid w:val="000E3CD1"/>
    <w:rsid w:val="000F48D2"/>
    <w:rsid w:val="000F51E5"/>
    <w:rsid w:val="00100DCE"/>
    <w:rsid w:val="00103728"/>
    <w:rsid w:val="0011431B"/>
    <w:rsid w:val="0011787C"/>
    <w:rsid w:val="00120FB3"/>
    <w:rsid w:val="001241CD"/>
    <w:rsid w:val="001250D0"/>
    <w:rsid w:val="001257AA"/>
    <w:rsid w:val="0012714C"/>
    <w:rsid w:val="00132CA3"/>
    <w:rsid w:val="00133AC5"/>
    <w:rsid w:val="00135AE0"/>
    <w:rsid w:val="001371D6"/>
    <w:rsid w:val="001435EA"/>
    <w:rsid w:val="0014651B"/>
    <w:rsid w:val="00146A9F"/>
    <w:rsid w:val="001548D9"/>
    <w:rsid w:val="00154F64"/>
    <w:rsid w:val="00160B27"/>
    <w:rsid w:val="00165A43"/>
    <w:rsid w:val="00167E96"/>
    <w:rsid w:val="00175178"/>
    <w:rsid w:val="00175B3D"/>
    <w:rsid w:val="001811B2"/>
    <w:rsid w:val="001825BA"/>
    <w:rsid w:val="001828B5"/>
    <w:rsid w:val="00184067"/>
    <w:rsid w:val="001909BD"/>
    <w:rsid w:val="00196B51"/>
    <w:rsid w:val="001A1A52"/>
    <w:rsid w:val="001A1CEE"/>
    <w:rsid w:val="001A5C29"/>
    <w:rsid w:val="001A7B66"/>
    <w:rsid w:val="001B411A"/>
    <w:rsid w:val="001B4C75"/>
    <w:rsid w:val="001B4C8A"/>
    <w:rsid w:val="001B6887"/>
    <w:rsid w:val="001C5E4E"/>
    <w:rsid w:val="001C64E8"/>
    <w:rsid w:val="001C7180"/>
    <w:rsid w:val="001D1622"/>
    <w:rsid w:val="001D16CC"/>
    <w:rsid w:val="001D1848"/>
    <w:rsid w:val="001D1AEA"/>
    <w:rsid w:val="001D3EBB"/>
    <w:rsid w:val="001D52CA"/>
    <w:rsid w:val="001D73F6"/>
    <w:rsid w:val="001E0808"/>
    <w:rsid w:val="001E1EBB"/>
    <w:rsid w:val="001E2BFA"/>
    <w:rsid w:val="001E6365"/>
    <w:rsid w:val="001F0719"/>
    <w:rsid w:val="001F0F24"/>
    <w:rsid w:val="001F1D9E"/>
    <w:rsid w:val="001F68EC"/>
    <w:rsid w:val="00202E75"/>
    <w:rsid w:val="00204439"/>
    <w:rsid w:val="00206733"/>
    <w:rsid w:val="002144C1"/>
    <w:rsid w:val="00216A94"/>
    <w:rsid w:val="00217F9F"/>
    <w:rsid w:val="00234100"/>
    <w:rsid w:val="00235683"/>
    <w:rsid w:val="002458D7"/>
    <w:rsid w:val="00247694"/>
    <w:rsid w:val="00270F4D"/>
    <w:rsid w:val="0027127B"/>
    <w:rsid w:val="00273B04"/>
    <w:rsid w:val="002740BF"/>
    <w:rsid w:val="00274DA4"/>
    <w:rsid w:val="00274F0F"/>
    <w:rsid w:val="00277878"/>
    <w:rsid w:val="00280746"/>
    <w:rsid w:val="0028471F"/>
    <w:rsid w:val="0028720E"/>
    <w:rsid w:val="00291368"/>
    <w:rsid w:val="00291F60"/>
    <w:rsid w:val="002A05BB"/>
    <w:rsid w:val="002A5A62"/>
    <w:rsid w:val="002A7803"/>
    <w:rsid w:val="002B216E"/>
    <w:rsid w:val="002B4493"/>
    <w:rsid w:val="002C639F"/>
    <w:rsid w:val="002D1B9B"/>
    <w:rsid w:val="002D2C9A"/>
    <w:rsid w:val="002D4555"/>
    <w:rsid w:val="002D6075"/>
    <w:rsid w:val="002D64A0"/>
    <w:rsid w:val="00303F78"/>
    <w:rsid w:val="00304480"/>
    <w:rsid w:val="00306509"/>
    <w:rsid w:val="00312F8B"/>
    <w:rsid w:val="003146DD"/>
    <w:rsid w:val="00317EE6"/>
    <w:rsid w:val="00317F86"/>
    <w:rsid w:val="0032097B"/>
    <w:rsid w:val="00320F89"/>
    <w:rsid w:val="0032125F"/>
    <w:rsid w:val="00325E9B"/>
    <w:rsid w:val="0033142C"/>
    <w:rsid w:val="003409C7"/>
    <w:rsid w:val="0034457A"/>
    <w:rsid w:val="003472F2"/>
    <w:rsid w:val="00352430"/>
    <w:rsid w:val="00352EAD"/>
    <w:rsid w:val="00354EBD"/>
    <w:rsid w:val="00361C04"/>
    <w:rsid w:val="00365D57"/>
    <w:rsid w:val="003706C3"/>
    <w:rsid w:val="00371493"/>
    <w:rsid w:val="00371E42"/>
    <w:rsid w:val="003754D5"/>
    <w:rsid w:val="00380482"/>
    <w:rsid w:val="0038205E"/>
    <w:rsid w:val="003857D6"/>
    <w:rsid w:val="00390856"/>
    <w:rsid w:val="003920CD"/>
    <w:rsid w:val="0039526F"/>
    <w:rsid w:val="003A1A57"/>
    <w:rsid w:val="003A49E4"/>
    <w:rsid w:val="003B0C1A"/>
    <w:rsid w:val="003B14ED"/>
    <w:rsid w:val="003C257B"/>
    <w:rsid w:val="003C7E3F"/>
    <w:rsid w:val="003D2EF2"/>
    <w:rsid w:val="003D3C49"/>
    <w:rsid w:val="003D7515"/>
    <w:rsid w:val="003D7B28"/>
    <w:rsid w:val="003E26F2"/>
    <w:rsid w:val="003E5A26"/>
    <w:rsid w:val="003E754E"/>
    <w:rsid w:val="003F53B5"/>
    <w:rsid w:val="003F70B8"/>
    <w:rsid w:val="00404BF9"/>
    <w:rsid w:val="00407683"/>
    <w:rsid w:val="004118F5"/>
    <w:rsid w:val="00413EAF"/>
    <w:rsid w:val="00420220"/>
    <w:rsid w:val="004215D5"/>
    <w:rsid w:val="00425F03"/>
    <w:rsid w:val="00426FA9"/>
    <w:rsid w:val="0042798D"/>
    <w:rsid w:val="00434E39"/>
    <w:rsid w:val="00435C05"/>
    <w:rsid w:val="00436C19"/>
    <w:rsid w:val="0044163A"/>
    <w:rsid w:val="0044202F"/>
    <w:rsid w:val="00443344"/>
    <w:rsid w:val="00452AC8"/>
    <w:rsid w:val="004565D9"/>
    <w:rsid w:val="00462505"/>
    <w:rsid w:val="00463F76"/>
    <w:rsid w:val="004653F9"/>
    <w:rsid w:val="004667CC"/>
    <w:rsid w:val="004670FA"/>
    <w:rsid w:val="004679A0"/>
    <w:rsid w:val="0047028D"/>
    <w:rsid w:val="0047526C"/>
    <w:rsid w:val="00476566"/>
    <w:rsid w:val="00477942"/>
    <w:rsid w:val="00481C06"/>
    <w:rsid w:val="004824A5"/>
    <w:rsid w:val="004837B6"/>
    <w:rsid w:val="00487181"/>
    <w:rsid w:val="00491ACF"/>
    <w:rsid w:val="00494202"/>
    <w:rsid w:val="004A00C6"/>
    <w:rsid w:val="004A3D8C"/>
    <w:rsid w:val="004A6EE8"/>
    <w:rsid w:val="004A700E"/>
    <w:rsid w:val="004A7F58"/>
    <w:rsid w:val="004B2611"/>
    <w:rsid w:val="004B50F7"/>
    <w:rsid w:val="004C1A1D"/>
    <w:rsid w:val="004C47F1"/>
    <w:rsid w:val="004C58BA"/>
    <w:rsid w:val="004D1C39"/>
    <w:rsid w:val="004D27C7"/>
    <w:rsid w:val="004E132F"/>
    <w:rsid w:val="004E5E72"/>
    <w:rsid w:val="004F1B33"/>
    <w:rsid w:val="004F291E"/>
    <w:rsid w:val="004F480E"/>
    <w:rsid w:val="004F64EF"/>
    <w:rsid w:val="0050673E"/>
    <w:rsid w:val="00506DA2"/>
    <w:rsid w:val="005074FE"/>
    <w:rsid w:val="0051207F"/>
    <w:rsid w:val="00512A5A"/>
    <w:rsid w:val="0051402C"/>
    <w:rsid w:val="00516494"/>
    <w:rsid w:val="00523695"/>
    <w:rsid w:val="00523E68"/>
    <w:rsid w:val="005242C3"/>
    <w:rsid w:val="00525434"/>
    <w:rsid w:val="00526B78"/>
    <w:rsid w:val="00531490"/>
    <w:rsid w:val="005319D6"/>
    <w:rsid w:val="00534EDA"/>
    <w:rsid w:val="0053625D"/>
    <w:rsid w:val="00537627"/>
    <w:rsid w:val="00537F82"/>
    <w:rsid w:val="005435DE"/>
    <w:rsid w:val="00544688"/>
    <w:rsid w:val="00546A56"/>
    <w:rsid w:val="00550488"/>
    <w:rsid w:val="00553820"/>
    <w:rsid w:val="005616CA"/>
    <w:rsid w:val="005624B8"/>
    <w:rsid w:val="00563DE8"/>
    <w:rsid w:val="00566754"/>
    <w:rsid w:val="00570C2D"/>
    <w:rsid w:val="00572B0E"/>
    <w:rsid w:val="00575E02"/>
    <w:rsid w:val="00584E75"/>
    <w:rsid w:val="00585AD6"/>
    <w:rsid w:val="00586E72"/>
    <w:rsid w:val="00591976"/>
    <w:rsid w:val="00592788"/>
    <w:rsid w:val="00593D29"/>
    <w:rsid w:val="0059783A"/>
    <w:rsid w:val="005A0FB6"/>
    <w:rsid w:val="005A52D3"/>
    <w:rsid w:val="005A55CD"/>
    <w:rsid w:val="005A5982"/>
    <w:rsid w:val="005A69B1"/>
    <w:rsid w:val="005B0A9E"/>
    <w:rsid w:val="005C3934"/>
    <w:rsid w:val="005C5E25"/>
    <w:rsid w:val="005D152F"/>
    <w:rsid w:val="005D21C7"/>
    <w:rsid w:val="005D2854"/>
    <w:rsid w:val="005D326E"/>
    <w:rsid w:val="005D4D36"/>
    <w:rsid w:val="005D6CC6"/>
    <w:rsid w:val="005E36FC"/>
    <w:rsid w:val="005E46E0"/>
    <w:rsid w:val="005E7C1C"/>
    <w:rsid w:val="005F7E31"/>
    <w:rsid w:val="006001CB"/>
    <w:rsid w:val="006057F7"/>
    <w:rsid w:val="0061500B"/>
    <w:rsid w:val="00617818"/>
    <w:rsid w:val="00622A81"/>
    <w:rsid w:val="00627EA6"/>
    <w:rsid w:val="00632324"/>
    <w:rsid w:val="0063335D"/>
    <w:rsid w:val="006339A3"/>
    <w:rsid w:val="006344AB"/>
    <w:rsid w:val="00640D49"/>
    <w:rsid w:val="006444B6"/>
    <w:rsid w:val="00645B60"/>
    <w:rsid w:val="00650443"/>
    <w:rsid w:val="00652890"/>
    <w:rsid w:val="00661E3A"/>
    <w:rsid w:val="00662B38"/>
    <w:rsid w:val="00667FF2"/>
    <w:rsid w:val="00671246"/>
    <w:rsid w:val="00682FCF"/>
    <w:rsid w:val="00683499"/>
    <w:rsid w:val="00694D2A"/>
    <w:rsid w:val="006A66CE"/>
    <w:rsid w:val="006C12BA"/>
    <w:rsid w:val="006C2008"/>
    <w:rsid w:val="006C5343"/>
    <w:rsid w:val="006C755C"/>
    <w:rsid w:val="006D5DC0"/>
    <w:rsid w:val="006D6B0B"/>
    <w:rsid w:val="006D7F4F"/>
    <w:rsid w:val="006E0845"/>
    <w:rsid w:val="006E4044"/>
    <w:rsid w:val="006E5DA7"/>
    <w:rsid w:val="006F19B5"/>
    <w:rsid w:val="006F563B"/>
    <w:rsid w:val="00700F40"/>
    <w:rsid w:val="00702BF6"/>
    <w:rsid w:val="00703BF0"/>
    <w:rsid w:val="00704218"/>
    <w:rsid w:val="007077FF"/>
    <w:rsid w:val="007078C3"/>
    <w:rsid w:val="00711E84"/>
    <w:rsid w:val="007123C6"/>
    <w:rsid w:val="00717C57"/>
    <w:rsid w:val="0072397F"/>
    <w:rsid w:val="00726C37"/>
    <w:rsid w:val="007371EE"/>
    <w:rsid w:val="00740C85"/>
    <w:rsid w:val="00742424"/>
    <w:rsid w:val="007424CD"/>
    <w:rsid w:val="007433C6"/>
    <w:rsid w:val="0074460C"/>
    <w:rsid w:val="007453CA"/>
    <w:rsid w:val="007467AE"/>
    <w:rsid w:val="007500E5"/>
    <w:rsid w:val="00752590"/>
    <w:rsid w:val="007578B3"/>
    <w:rsid w:val="00757D0C"/>
    <w:rsid w:val="00762A9D"/>
    <w:rsid w:val="00763B17"/>
    <w:rsid w:val="00774EF7"/>
    <w:rsid w:val="00776F8E"/>
    <w:rsid w:val="0078132B"/>
    <w:rsid w:val="00781BAA"/>
    <w:rsid w:val="0078264D"/>
    <w:rsid w:val="007863FD"/>
    <w:rsid w:val="0079219E"/>
    <w:rsid w:val="007942C6"/>
    <w:rsid w:val="0079506F"/>
    <w:rsid w:val="007A4200"/>
    <w:rsid w:val="007A6EFF"/>
    <w:rsid w:val="007B29B9"/>
    <w:rsid w:val="007C2E20"/>
    <w:rsid w:val="007C5D46"/>
    <w:rsid w:val="007D53AF"/>
    <w:rsid w:val="007D6E4C"/>
    <w:rsid w:val="007D705A"/>
    <w:rsid w:val="007D7952"/>
    <w:rsid w:val="007E2A8B"/>
    <w:rsid w:val="007E2E71"/>
    <w:rsid w:val="007F5B05"/>
    <w:rsid w:val="007F7667"/>
    <w:rsid w:val="008066C6"/>
    <w:rsid w:val="00806DF9"/>
    <w:rsid w:val="00806FF1"/>
    <w:rsid w:val="00815408"/>
    <w:rsid w:val="008160BF"/>
    <w:rsid w:val="008216F0"/>
    <w:rsid w:val="008255D7"/>
    <w:rsid w:val="00833869"/>
    <w:rsid w:val="008428D3"/>
    <w:rsid w:val="0084575A"/>
    <w:rsid w:val="00854338"/>
    <w:rsid w:val="00857317"/>
    <w:rsid w:val="00862CC4"/>
    <w:rsid w:val="00871A0D"/>
    <w:rsid w:val="00881B7F"/>
    <w:rsid w:val="00881D50"/>
    <w:rsid w:val="0088572D"/>
    <w:rsid w:val="008864B2"/>
    <w:rsid w:val="00886D73"/>
    <w:rsid w:val="00895441"/>
    <w:rsid w:val="0089557C"/>
    <w:rsid w:val="00896C1C"/>
    <w:rsid w:val="00897FDC"/>
    <w:rsid w:val="008A1C98"/>
    <w:rsid w:val="008A41FF"/>
    <w:rsid w:val="008B5A35"/>
    <w:rsid w:val="008B7803"/>
    <w:rsid w:val="008C55A8"/>
    <w:rsid w:val="008D3F3D"/>
    <w:rsid w:val="008D79F9"/>
    <w:rsid w:val="008E0CFC"/>
    <w:rsid w:val="008E6003"/>
    <w:rsid w:val="008E68B7"/>
    <w:rsid w:val="008F3014"/>
    <w:rsid w:val="008F78B8"/>
    <w:rsid w:val="00903C82"/>
    <w:rsid w:val="00904098"/>
    <w:rsid w:val="00910E0E"/>
    <w:rsid w:val="00912744"/>
    <w:rsid w:val="00916B67"/>
    <w:rsid w:val="00921183"/>
    <w:rsid w:val="009229E8"/>
    <w:rsid w:val="0092328D"/>
    <w:rsid w:val="00923D5B"/>
    <w:rsid w:val="0092413D"/>
    <w:rsid w:val="009350E8"/>
    <w:rsid w:val="00936138"/>
    <w:rsid w:val="00937F9C"/>
    <w:rsid w:val="00950BBC"/>
    <w:rsid w:val="00954E5B"/>
    <w:rsid w:val="0096314C"/>
    <w:rsid w:val="009708D0"/>
    <w:rsid w:val="00970DD9"/>
    <w:rsid w:val="00971821"/>
    <w:rsid w:val="00973331"/>
    <w:rsid w:val="00974C71"/>
    <w:rsid w:val="009766CB"/>
    <w:rsid w:val="009776C8"/>
    <w:rsid w:val="00980901"/>
    <w:rsid w:val="00981DD4"/>
    <w:rsid w:val="009839BF"/>
    <w:rsid w:val="0098591D"/>
    <w:rsid w:val="00991236"/>
    <w:rsid w:val="00993064"/>
    <w:rsid w:val="00997536"/>
    <w:rsid w:val="00997B5E"/>
    <w:rsid w:val="00997D30"/>
    <w:rsid w:val="009A11AC"/>
    <w:rsid w:val="009B0452"/>
    <w:rsid w:val="009B2582"/>
    <w:rsid w:val="009B677A"/>
    <w:rsid w:val="009B7929"/>
    <w:rsid w:val="009C0491"/>
    <w:rsid w:val="009C2D98"/>
    <w:rsid w:val="009C314D"/>
    <w:rsid w:val="009C6106"/>
    <w:rsid w:val="009C670D"/>
    <w:rsid w:val="009D1759"/>
    <w:rsid w:val="009D27D9"/>
    <w:rsid w:val="009D5820"/>
    <w:rsid w:val="009E0464"/>
    <w:rsid w:val="009E1419"/>
    <w:rsid w:val="009E25E9"/>
    <w:rsid w:val="009F11B5"/>
    <w:rsid w:val="009F5748"/>
    <w:rsid w:val="00A066A7"/>
    <w:rsid w:val="00A10755"/>
    <w:rsid w:val="00A11238"/>
    <w:rsid w:val="00A1567B"/>
    <w:rsid w:val="00A21DA8"/>
    <w:rsid w:val="00A235B8"/>
    <w:rsid w:val="00A32EFA"/>
    <w:rsid w:val="00A336E6"/>
    <w:rsid w:val="00A404D9"/>
    <w:rsid w:val="00A44DA0"/>
    <w:rsid w:val="00A45467"/>
    <w:rsid w:val="00A51697"/>
    <w:rsid w:val="00A538A7"/>
    <w:rsid w:val="00A53B70"/>
    <w:rsid w:val="00A5793C"/>
    <w:rsid w:val="00A57E90"/>
    <w:rsid w:val="00A6042C"/>
    <w:rsid w:val="00A607BA"/>
    <w:rsid w:val="00A607EF"/>
    <w:rsid w:val="00A700B5"/>
    <w:rsid w:val="00A712F1"/>
    <w:rsid w:val="00A72455"/>
    <w:rsid w:val="00A72D2A"/>
    <w:rsid w:val="00A74A76"/>
    <w:rsid w:val="00A804DF"/>
    <w:rsid w:val="00A818FB"/>
    <w:rsid w:val="00A9249A"/>
    <w:rsid w:val="00A934A3"/>
    <w:rsid w:val="00A95871"/>
    <w:rsid w:val="00AA3BFC"/>
    <w:rsid w:val="00AB5398"/>
    <w:rsid w:val="00AB553E"/>
    <w:rsid w:val="00AB7DF2"/>
    <w:rsid w:val="00AC03E3"/>
    <w:rsid w:val="00AC2715"/>
    <w:rsid w:val="00AC2742"/>
    <w:rsid w:val="00AD39EC"/>
    <w:rsid w:val="00AE24E1"/>
    <w:rsid w:val="00AE2D12"/>
    <w:rsid w:val="00AE386D"/>
    <w:rsid w:val="00AE4366"/>
    <w:rsid w:val="00AE54B3"/>
    <w:rsid w:val="00B0755B"/>
    <w:rsid w:val="00B1459D"/>
    <w:rsid w:val="00B23D8E"/>
    <w:rsid w:val="00B240BB"/>
    <w:rsid w:val="00B25F10"/>
    <w:rsid w:val="00B36974"/>
    <w:rsid w:val="00B373FF"/>
    <w:rsid w:val="00B41DEB"/>
    <w:rsid w:val="00B57782"/>
    <w:rsid w:val="00B60505"/>
    <w:rsid w:val="00B829B1"/>
    <w:rsid w:val="00B85220"/>
    <w:rsid w:val="00B92450"/>
    <w:rsid w:val="00B92462"/>
    <w:rsid w:val="00B93059"/>
    <w:rsid w:val="00B97004"/>
    <w:rsid w:val="00BA3F9C"/>
    <w:rsid w:val="00BB0B0C"/>
    <w:rsid w:val="00BB204B"/>
    <w:rsid w:val="00BB3F57"/>
    <w:rsid w:val="00BB4038"/>
    <w:rsid w:val="00BB537D"/>
    <w:rsid w:val="00BC1581"/>
    <w:rsid w:val="00BC198F"/>
    <w:rsid w:val="00BC4ACC"/>
    <w:rsid w:val="00BC579D"/>
    <w:rsid w:val="00BC7E7A"/>
    <w:rsid w:val="00BD00D4"/>
    <w:rsid w:val="00BD2C13"/>
    <w:rsid w:val="00BE2211"/>
    <w:rsid w:val="00BE3D96"/>
    <w:rsid w:val="00BE41CA"/>
    <w:rsid w:val="00BE578A"/>
    <w:rsid w:val="00BF6EE9"/>
    <w:rsid w:val="00BF70BB"/>
    <w:rsid w:val="00C03EA8"/>
    <w:rsid w:val="00C044E9"/>
    <w:rsid w:val="00C05F82"/>
    <w:rsid w:val="00C12660"/>
    <w:rsid w:val="00C2296A"/>
    <w:rsid w:val="00C23EA9"/>
    <w:rsid w:val="00C2687E"/>
    <w:rsid w:val="00C30611"/>
    <w:rsid w:val="00C41980"/>
    <w:rsid w:val="00C448AA"/>
    <w:rsid w:val="00C50AAE"/>
    <w:rsid w:val="00C518CE"/>
    <w:rsid w:val="00C5672D"/>
    <w:rsid w:val="00C62A91"/>
    <w:rsid w:val="00C675BA"/>
    <w:rsid w:val="00C70849"/>
    <w:rsid w:val="00C72E01"/>
    <w:rsid w:val="00C7544F"/>
    <w:rsid w:val="00C83E23"/>
    <w:rsid w:val="00C86B65"/>
    <w:rsid w:val="00C92B0C"/>
    <w:rsid w:val="00C9428A"/>
    <w:rsid w:val="00C94F70"/>
    <w:rsid w:val="00CA3356"/>
    <w:rsid w:val="00CA48B6"/>
    <w:rsid w:val="00CC281B"/>
    <w:rsid w:val="00CC6FC2"/>
    <w:rsid w:val="00CD22F9"/>
    <w:rsid w:val="00CE0A7B"/>
    <w:rsid w:val="00CF0FDC"/>
    <w:rsid w:val="00CF16E4"/>
    <w:rsid w:val="00CF1F99"/>
    <w:rsid w:val="00CF2378"/>
    <w:rsid w:val="00D007C0"/>
    <w:rsid w:val="00D03770"/>
    <w:rsid w:val="00D0713D"/>
    <w:rsid w:val="00D1405F"/>
    <w:rsid w:val="00D16F2D"/>
    <w:rsid w:val="00D205D3"/>
    <w:rsid w:val="00D206A7"/>
    <w:rsid w:val="00D2686A"/>
    <w:rsid w:val="00D26BCB"/>
    <w:rsid w:val="00D26D02"/>
    <w:rsid w:val="00D3023B"/>
    <w:rsid w:val="00D46F1C"/>
    <w:rsid w:val="00D506CA"/>
    <w:rsid w:val="00D52243"/>
    <w:rsid w:val="00D5380E"/>
    <w:rsid w:val="00D57ACE"/>
    <w:rsid w:val="00D627A0"/>
    <w:rsid w:val="00D6331C"/>
    <w:rsid w:val="00D64BEB"/>
    <w:rsid w:val="00D65064"/>
    <w:rsid w:val="00D73282"/>
    <w:rsid w:val="00D76927"/>
    <w:rsid w:val="00D7737C"/>
    <w:rsid w:val="00D80BC9"/>
    <w:rsid w:val="00D81BBB"/>
    <w:rsid w:val="00D868C0"/>
    <w:rsid w:val="00D871CF"/>
    <w:rsid w:val="00D87ACF"/>
    <w:rsid w:val="00D87EAF"/>
    <w:rsid w:val="00D91684"/>
    <w:rsid w:val="00D9271A"/>
    <w:rsid w:val="00D97E09"/>
    <w:rsid w:val="00DA1491"/>
    <w:rsid w:val="00DB0AE3"/>
    <w:rsid w:val="00DB0C31"/>
    <w:rsid w:val="00DB1D4F"/>
    <w:rsid w:val="00DB1EA6"/>
    <w:rsid w:val="00DB59EB"/>
    <w:rsid w:val="00DB63FB"/>
    <w:rsid w:val="00DC3330"/>
    <w:rsid w:val="00DC58DA"/>
    <w:rsid w:val="00DC66AD"/>
    <w:rsid w:val="00DD398A"/>
    <w:rsid w:val="00DE3F83"/>
    <w:rsid w:val="00DE4B25"/>
    <w:rsid w:val="00DE71AC"/>
    <w:rsid w:val="00DF002E"/>
    <w:rsid w:val="00DF029D"/>
    <w:rsid w:val="00DF08A9"/>
    <w:rsid w:val="00DF1720"/>
    <w:rsid w:val="00DF3554"/>
    <w:rsid w:val="00DF548F"/>
    <w:rsid w:val="00DF5DA6"/>
    <w:rsid w:val="00DF5EE4"/>
    <w:rsid w:val="00DF72A5"/>
    <w:rsid w:val="00E0413F"/>
    <w:rsid w:val="00E06A1B"/>
    <w:rsid w:val="00E06D34"/>
    <w:rsid w:val="00E11993"/>
    <w:rsid w:val="00E15E3E"/>
    <w:rsid w:val="00E17DD9"/>
    <w:rsid w:val="00E27BB5"/>
    <w:rsid w:val="00E4408D"/>
    <w:rsid w:val="00E61395"/>
    <w:rsid w:val="00E67CC6"/>
    <w:rsid w:val="00E73125"/>
    <w:rsid w:val="00E77E2A"/>
    <w:rsid w:val="00E84A02"/>
    <w:rsid w:val="00E87C0A"/>
    <w:rsid w:val="00E9125B"/>
    <w:rsid w:val="00E9169D"/>
    <w:rsid w:val="00E91DC0"/>
    <w:rsid w:val="00EA0365"/>
    <w:rsid w:val="00EA3E73"/>
    <w:rsid w:val="00EA4DF7"/>
    <w:rsid w:val="00EA62AE"/>
    <w:rsid w:val="00EB5F95"/>
    <w:rsid w:val="00EB7982"/>
    <w:rsid w:val="00EC274C"/>
    <w:rsid w:val="00ED0869"/>
    <w:rsid w:val="00ED268C"/>
    <w:rsid w:val="00ED3C0D"/>
    <w:rsid w:val="00ED7F43"/>
    <w:rsid w:val="00EE03E4"/>
    <w:rsid w:val="00EE0B2D"/>
    <w:rsid w:val="00EE27AD"/>
    <w:rsid w:val="00EE34D0"/>
    <w:rsid w:val="00EE575A"/>
    <w:rsid w:val="00EF152A"/>
    <w:rsid w:val="00EF6C0A"/>
    <w:rsid w:val="00EF76A2"/>
    <w:rsid w:val="00EF7ADA"/>
    <w:rsid w:val="00F02E4F"/>
    <w:rsid w:val="00F075B5"/>
    <w:rsid w:val="00F12E9E"/>
    <w:rsid w:val="00F16263"/>
    <w:rsid w:val="00F169AF"/>
    <w:rsid w:val="00F22907"/>
    <w:rsid w:val="00F26DF0"/>
    <w:rsid w:val="00F321BF"/>
    <w:rsid w:val="00F3532F"/>
    <w:rsid w:val="00F4789D"/>
    <w:rsid w:val="00F5036E"/>
    <w:rsid w:val="00F50505"/>
    <w:rsid w:val="00F5199D"/>
    <w:rsid w:val="00F529C6"/>
    <w:rsid w:val="00F57977"/>
    <w:rsid w:val="00F57AAB"/>
    <w:rsid w:val="00F60BF6"/>
    <w:rsid w:val="00F60C68"/>
    <w:rsid w:val="00F64AC7"/>
    <w:rsid w:val="00F64C20"/>
    <w:rsid w:val="00F65E21"/>
    <w:rsid w:val="00F71C45"/>
    <w:rsid w:val="00F7224A"/>
    <w:rsid w:val="00F748B5"/>
    <w:rsid w:val="00F749BE"/>
    <w:rsid w:val="00F84827"/>
    <w:rsid w:val="00F91117"/>
    <w:rsid w:val="00F97163"/>
    <w:rsid w:val="00FA308C"/>
    <w:rsid w:val="00FA3169"/>
    <w:rsid w:val="00FA60BD"/>
    <w:rsid w:val="00FA6D8A"/>
    <w:rsid w:val="00FB10C3"/>
    <w:rsid w:val="00FB119A"/>
    <w:rsid w:val="00FB43E6"/>
    <w:rsid w:val="00FC0CA8"/>
    <w:rsid w:val="00FC4DBD"/>
    <w:rsid w:val="00FC7236"/>
    <w:rsid w:val="00FD0750"/>
    <w:rsid w:val="00FD1CF9"/>
    <w:rsid w:val="00FD3AC3"/>
    <w:rsid w:val="00FE77FD"/>
    <w:rsid w:val="00FE7F01"/>
    <w:rsid w:val="00FF075F"/>
    <w:rsid w:val="00FF0932"/>
    <w:rsid w:val="00FF376C"/>
    <w:rsid w:val="00FF4E5C"/>
    <w:rsid w:val="00FF568F"/>
    <w:rsid w:val="0158673B"/>
    <w:rsid w:val="01752D4F"/>
    <w:rsid w:val="01A855A3"/>
    <w:rsid w:val="01A87C2A"/>
    <w:rsid w:val="01AC6828"/>
    <w:rsid w:val="01BF2561"/>
    <w:rsid w:val="02106709"/>
    <w:rsid w:val="02176416"/>
    <w:rsid w:val="02242CC3"/>
    <w:rsid w:val="024C2B81"/>
    <w:rsid w:val="02941414"/>
    <w:rsid w:val="02D2561C"/>
    <w:rsid w:val="02D908B8"/>
    <w:rsid w:val="02F76749"/>
    <w:rsid w:val="03062D2F"/>
    <w:rsid w:val="03600692"/>
    <w:rsid w:val="03AF0080"/>
    <w:rsid w:val="03EF7C67"/>
    <w:rsid w:val="03F31CB7"/>
    <w:rsid w:val="0428457E"/>
    <w:rsid w:val="044709C9"/>
    <w:rsid w:val="04540F86"/>
    <w:rsid w:val="04554655"/>
    <w:rsid w:val="045C2016"/>
    <w:rsid w:val="047B0D01"/>
    <w:rsid w:val="04951B45"/>
    <w:rsid w:val="04A17026"/>
    <w:rsid w:val="04A62A1C"/>
    <w:rsid w:val="04A951DB"/>
    <w:rsid w:val="050447EE"/>
    <w:rsid w:val="0517381B"/>
    <w:rsid w:val="054412C6"/>
    <w:rsid w:val="05493DEB"/>
    <w:rsid w:val="05791EDF"/>
    <w:rsid w:val="05962D81"/>
    <w:rsid w:val="05EF3192"/>
    <w:rsid w:val="05FB3F65"/>
    <w:rsid w:val="060A6FDB"/>
    <w:rsid w:val="060C4DD3"/>
    <w:rsid w:val="06316315"/>
    <w:rsid w:val="068040F4"/>
    <w:rsid w:val="06E7C2D2"/>
    <w:rsid w:val="071F68B2"/>
    <w:rsid w:val="07287718"/>
    <w:rsid w:val="073267E9"/>
    <w:rsid w:val="075971C8"/>
    <w:rsid w:val="076FAA59"/>
    <w:rsid w:val="07830DF3"/>
    <w:rsid w:val="07D653C6"/>
    <w:rsid w:val="08002FFD"/>
    <w:rsid w:val="08071A24"/>
    <w:rsid w:val="08275DCF"/>
    <w:rsid w:val="085F761F"/>
    <w:rsid w:val="087859BE"/>
    <w:rsid w:val="088210AA"/>
    <w:rsid w:val="08CB226F"/>
    <w:rsid w:val="09020BF6"/>
    <w:rsid w:val="09054263"/>
    <w:rsid w:val="093D44F9"/>
    <w:rsid w:val="093E2CBE"/>
    <w:rsid w:val="09702B78"/>
    <w:rsid w:val="097536D0"/>
    <w:rsid w:val="09811362"/>
    <w:rsid w:val="09AA7B54"/>
    <w:rsid w:val="0A4B6643"/>
    <w:rsid w:val="0A8C7FBE"/>
    <w:rsid w:val="0A9B6453"/>
    <w:rsid w:val="0A9D7BDE"/>
    <w:rsid w:val="0AA52717"/>
    <w:rsid w:val="0AD00EBD"/>
    <w:rsid w:val="0AD11B2D"/>
    <w:rsid w:val="0AEA2771"/>
    <w:rsid w:val="0B05139F"/>
    <w:rsid w:val="0B1665B7"/>
    <w:rsid w:val="0B297F03"/>
    <w:rsid w:val="0B330637"/>
    <w:rsid w:val="0B572105"/>
    <w:rsid w:val="0B5F761B"/>
    <w:rsid w:val="0B6B480B"/>
    <w:rsid w:val="0B733D28"/>
    <w:rsid w:val="0B9B542F"/>
    <w:rsid w:val="0BA27BE5"/>
    <w:rsid w:val="0BBFB1C5"/>
    <w:rsid w:val="0BE46EF4"/>
    <w:rsid w:val="0C0A20EC"/>
    <w:rsid w:val="0C450D6C"/>
    <w:rsid w:val="0C452F2C"/>
    <w:rsid w:val="0C48541E"/>
    <w:rsid w:val="0C6271A8"/>
    <w:rsid w:val="0C656D19"/>
    <w:rsid w:val="0C9D4705"/>
    <w:rsid w:val="0CC07B24"/>
    <w:rsid w:val="0CF85DDF"/>
    <w:rsid w:val="0D0504FC"/>
    <w:rsid w:val="0D152A80"/>
    <w:rsid w:val="0D2D48F5"/>
    <w:rsid w:val="0D413684"/>
    <w:rsid w:val="0DAF04E0"/>
    <w:rsid w:val="0DB12B4A"/>
    <w:rsid w:val="0DED10EA"/>
    <w:rsid w:val="0E011AF0"/>
    <w:rsid w:val="0E56316D"/>
    <w:rsid w:val="0EB91EDF"/>
    <w:rsid w:val="0EC94C24"/>
    <w:rsid w:val="0EDC7FE2"/>
    <w:rsid w:val="0EEFAE84"/>
    <w:rsid w:val="0EF7607E"/>
    <w:rsid w:val="0F022F45"/>
    <w:rsid w:val="0F0813F7"/>
    <w:rsid w:val="0F3E341A"/>
    <w:rsid w:val="0F6F1AC9"/>
    <w:rsid w:val="0F9C00D2"/>
    <w:rsid w:val="0FC404B7"/>
    <w:rsid w:val="0FE86B63"/>
    <w:rsid w:val="0FEB031F"/>
    <w:rsid w:val="0FFD240A"/>
    <w:rsid w:val="1033383A"/>
    <w:rsid w:val="106F460A"/>
    <w:rsid w:val="10A60810"/>
    <w:rsid w:val="10BA1686"/>
    <w:rsid w:val="10F1501F"/>
    <w:rsid w:val="11333B51"/>
    <w:rsid w:val="11752D4A"/>
    <w:rsid w:val="11B45ED9"/>
    <w:rsid w:val="11C56E95"/>
    <w:rsid w:val="11DF36A1"/>
    <w:rsid w:val="11E35AA0"/>
    <w:rsid w:val="122554C6"/>
    <w:rsid w:val="12414BFA"/>
    <w:rsid w:val="12495EF7"/>
    <w:rsid w:val="124E1458"/>
    <w:rsid w:val="12754F46"/>
    <w:rsid w:val="12891287"/>
    <w:rsid w:val="12AA1929"/>
    <w:rsid w:val="12AF1FE4"/>
    <w:rsid w:val="12B570A3"/>
    <w:rsid w:val="12E449A9"/>
    <w:rsid w:val="12E55FEE"/>
    <w:rsid w:val="131674A1"/>
    <w:rsid w:val="13392358"/>
    <w:rsid w:val="134358DA"/>
    <w:rsid w:val="139236BB"/>
    <w:rsid w:val="13963C5C"/>
    <w:rsid w:val="13D950E1"/>
    <w:rsid w:val="13E15699"/>
    <w:rsid w:val="13FDE4E9"/>
    <w:rsid w:val="141F00F5"/>
    <w:rsid w:val="14771CDF"/>
    <w:rsid w:val="14785E3A"/>
    <w:rsid w:val="14B940A6"/>
    <w:rsid w:val="14F52BC9"/>
    <w:rsid w:val="152C3F68"/>
    <w:rsid w:val="153F6304"/>
    <w:rsid w:val="156054A9"/>
    <w:rsid w:val="15843123"/>
    <w:rsid w:val="1585684F"/>
    <w:rsid w:val="159B6280"/>
    <w:rsid w:val="15CE200E"/>
    <w:rsid w:val="15EF6FA9"/>
    <w:rsid w:val="15FFD219"/>
    <w:rsid w:val="162B7E6A"/>
    <w:rsid w:val="168238E2"/>
    <w:rsid w:val="16C810CC"/>
    <w:rsid w:val="16DE0AD2"/>
    <w:rsid w:val="16ED0036"/>
    <w:rsid w:val="174560AE"/>
    <w:rsid w:val="1748080B"/>
    <w:rsid w:val="1794305D"/>
    <w:rsid w:val="17AA1223"/>
    <w:rsid w:val="17B44371"/>
    <w:rsid w:val="17D912A0"/>
    <w:rsid w:val="17DB4333"/>
    <w:rsid w:val="17FFF359"/>
    <w:rsid w:val="181D7567"/>
    <w:rsid w:val="181F2849"/>
    <w:rsid w:val="18692356"/>
    <w:rsid w:val="18925339"/>
    <w:rsid w:val="18A81F5D"/>
    <w:rsid w:val="18B352B0"/>
    <w:rsid w:val="18C94AD3"/>
    <w:rsid w:val="190A00AB"/>
    <w:rsid w:val="190F698A"/>
    <w:rsid w:val="193B4FD0"/>
    <w:rsid w:val="196675A6"/>
    <w:rsid w:val="1990530E"/>
    <w:rsid w:val="1997072D"/>
    <w:rsid w:val="19A96FF9"/>
    <w:rsid w:val="19B4188F"/>
    <w:rsid w:val="19F413DD"/>
    <w:rsid w:val="1A7758A1"/>
    <w:rsid w:val="1A930D59"/>
    <w:rsid w:val="1AFB6815"/>
    <w:rsid w:val="1B247C49"/>
    <w:rsid w:val="1B3F0D70"/>
    <w:rsid w:val="1B4B5C73"/>
    <w:rsid w:val="1B772E08"/>
    <w:rsid w:val="1BA552E3"/>
    <w:rsid w:val="1BAB2470"/>
    <w:rsid w:val="1BE4113E"/>
    <w:rsid w:val="1BE839E6"/>
    <w:rsid w:val="1BED3041"/>
    <w:rsid w:val="1BF9B495"/>
    <w:rsid w:val="1BFCA88A"/>
    <w:rsid w:val="1C085913"/>
    <w:rsid w:val="1C614B7E"/>
    <w:rsid w:val="1C7B60E4"/>
    <w:rsid w:val="1C8B5289"/>
    <w:rsid w:val="1C8E65A8"/>
    <w:rsid w:val="1C940F54"/>
    <w:rsid w:val="1CD162D3"/>
    <w:rsid w:val="1CE75528"/>
    <w:rsid w:val="1CF365C3"/>
    <w:rsid w:val="1CFF7FAA"/>
    <w:rsid w:val="1D1022C1"/>
    <w:rsid w:val="1D1E3640"/>
    <w:rsid w:val="1D5A30A9"/>
    <w:rsid w:val="1D770853"/>
    <w:rsid w:val="1D7E7A66"/>
    <w:rsid w:val="1DBFC4B2"/>
    <w:rsid w:val="1DDFF5FF"/>
    <w:rsid w:val="1E42335E"/>
    <w:rsid w:val="1E643D47"/>
    <w:rsid w:val="1E7F289E"/>
    <w:rsid w:val="1E876FC3"/>
    <w:rsid w:val="1E9F18F2"/>
    <w:rsid w:val="1EB03D5D"/>
    <w:rsid w:val="1EB276F0"/>
    <w:rsid w:val="1ED709CD"/>
    <w:rsid w:val="1EEF7EB7"/>
    <w:rsid w:val="1EEF9422"/>
    <w:rsid w:val="1F1C75A7"/>
    <w:rsid w:val="1F443106"/>
    <w:rsid w:val="1F460C2C"/>
    <w:rsid w:val="1F772D7F"/>
    <w:rsid w:val="1F7871DE"/>
    <w:rsid w:val="1F9F20EA"/>
    <w:rsid w:val="1FBB9104"/>
    <w:rsid w:val="1FC94D17"/>
    <w:rsid w:val="1FD30694"/>
    <w:rsid w:val="20000DDB"/>
    <w:rsid w:val="20162EA9"/>
    <w:rsid w:val="20183742"/>
    <w:rsid w:val="204A64FA"/>
    <w:rsid w:val="20C53DD2"/>
    <w:rsid w:val="20DB74A7"/>
    <w:rsid w:val="20E017E3"/>
    <w:rsid w:val="20E83E89"/>
    <w:rsid w:val="20EF23DB"/>
    <w:rsid w:val="21016E14"/>
    <w:rsid w:val="211B44D2"/>
    <w:rsid w:val="211E20A8"/>
    <w:rsid w:val="21432930"/>
    <w:rsid w:val="21563120"/>
    <w:rsid w:val="21925861"/>
    <w:rsid w:val="21BD3593"/>
    <w:rsid w:val="21C9556D"/>
    <w:rsid w:val="21CE4ABE"/>
    <w:rsid w:val="21F726B1"/>
    <w:rsid w:val="21F737A6"/>
    <w:rsid w:val="21FBEBEB"/>
    <w:rsid w:val="22006FF8"/>
    <w:rsid w:val="22242C4B"/>
    <w:rsid w:val="222E0711"/>
    <w:rsid w:val="224C2DA8"/>
    <w:rsid w:val="227E4D8F"/>
    <w:rsid w:val="22DD5403"/>
    <w:rsid w:val="22EA0839"/>
    <w:rsid w:val="22F42E53"/>
    <w:rsid w:val="22F86E90"/>
    <w:rsid w:val="232B1F13"/>
    <w:rsid w:val="232F7A8C"/>
    <w:rsid w:val="233B65CE"/>
    <w:rsid w:val="233F1C1A"/>
    <w:rsid w:val="235466D8"/>
    <w:rsid w:val="23563E5F"/>
    <w:rsid w:val="2388552B"/>
    <w:rsid w:val="23B14ACF"/>
    <w:rsid w:val="23CE488D"/>
    <w:rsid w:val="2409047A"/>
    <w:rsid w:val="24E76A0D"/>
    <w:rsid w:val="250273A3"/>
    <w:rsid w:val="250B4B52"/>
    <w:rsid w:val="251E1D0B"/>
    <w:rsid w:val="252142EA"/>
    <w:rsid w:val="2523733D"/>
    <w:rsid w:val="257B7155"/>
    <w:rsid w:val="25AFFA62"/>
    <w:rsid w:val="25EE1C89"/>
    <w:rsid w:val="26171E73"/>
    <w:rsid w:val="26514CAA"/>
    <w:rsid w:val="26932C8A"/>
    <w:rsid w:val="26DE2008"/>
    <w:rsid w:val="27167A8B"/>
    <w:rsid w:val="271E8A61"/>
    <w:rsid w:val="2732271F"/>
    <w:rsid w:val="27405227"/>
    <w:rsid w:val="27457128"/>
    <w:rsid w:val="275B1765"/>
    <w:rsid w:val="27721E72"/>
    <w:rsid w:val="277ACBDA"/>
    <w:rsid w:val="277F2F2D"/>
    <w:rsid w:val="27C365C4"/>
    <w:rsid w:val="27DE7FB7"/>
    <w:rsid w:val="27E7ABA1"/>
    <w:rsid w:val="27EF7B1C"/>
    <w:rsid w:val="27F5CDC8"/>
    <w:rsid w:val="27F65B6B"/>
    <w:rsid w:val="281E1197"/>
    <w:rsid w:val="284E72DC"/>
    <w:rsid w:val="286200BF"/>
    <w:rsid w:val="286F5124"/>
    <w:rsid w:val="28AA169F"/>
    <w:rsid w:val="28D75265"/>
    <w:rsid w:val="29273704"/>
    <w:rsid w:val="296B671C"/>
    <w:rsid w:val="296B9323"/>
    <w:rsid w:val="29A70519"/>
    <w:rsid w:val="29BB5F06"/>
    <w:rsid w:val="29ED173B"/>
    <w:rsid w:val="29FF8AEC"/>
    <w:rsid w:val="29FFC787"/>
    <w:rsid w:val="2A267326"/>
    <w:rsid w:val="2A357ED8"/>
    <w:rsid w:val="2ABE1FBE"/>
    <w:rsid w:val="2AE836EF"/>
    <w:rsid w:val="2B22345B"/>
    <w:rsid w:val="2B257975"/>
    <w:rsid w:val="2B5054D5"/>
    <w:rsid w:val="2BC00E57"/>
    <w:rsid w:val="2BCF10FA"/>
    <w:rsid w:val="2BE710A1"/>
    <w:rsid w:val="2BEE68D3"/>
    <w:rsid w:val="2BEFB4B2"/>
    <w:rsid w:val="2BFB307B"/>
    <w:rsid w:val="2C100EEC"/>
    <w:rsid w:val="2C1520B2"/>
    <w:rsid w:val="2C206143"/>
    <w:rsid w:val="2C625DDA"/>
    <w:rsid w:val="2C734E31"/>
    <w:rsid w:val="2C931228"/>
    <w:rsid w:val="2CA62D0A"/>
    <w:rsid w:val="2CAB6572"/>
    <w:rsid w:val="2CBA9371"/>
    <w:rsid w:val="2CBB1DEC"/>
    <w:rsid w:val="2CE3118E"/>
    <w:rsid w:val="2CFF066C"/>
    <w:rsid w:val="2D103148"/>
    <w:rsid w:val="2D2F0F51"/>
    <w:rsid w:val="2D470359"/>
    <w:rsid w:val="2D727090"/>
    <w:rsid w:val="2D75DF64"/>
    <w:rsid w:val="2D99286E"/>
    <w:rsid w:val="2DA03AA4"/>
    <w:rsid w:val="2DCA53AC"/>
    <w:rsid w:val="2DDF1017"/>
    <w:rsid w:val="2DDF5AD5"/>
    <w:rsid w:val="2DF52218"/>
    <w:rsid w:val="2E1746BA"/>
    <w:rsid w:val="2E4D76FE"/>
    <w:rsid w:val="2E5067EC"/>
    <w:rsid w:val="2E5E6A04"/>
    <w:rsid w:val="2E795024"/>
    <w:rsid w:val="2EB55684"/>
    <w:rsid w:val="2ED973C6"/>
    <w:rsid w:val="2EE330A1"/>
    <w:rsid w:val="2EE6563F"/>
    <w:rsid w:val="2F16134B"/>
    <w:rsid w:val="2F2571B4"/>
    <w:rsid w:val="2F28553F"/>
    <w:rsid w:val="2F71F765"/>
    <w:rsid w:val="2F907296"/>
    <w:rsid w:val="2FA9127F"/>
    <w:rsid w:val="2FD99BD1"/>
    <w:rsid w:val="301405BF"/>
    <w:rsid w:val="302C6C4F"/>
    <w:rsid w:val="30405223"/>
    <w:rsid w:val="304940D8"/>
    <w:rsid w:val="307931FA"/>
    <w:rsid w:val="30D37306"/>
    <w:rsid w:val="3103468C"/>
    <w:rsid w:val="31215667"/>
    <w:rsid w:val="31382DE1"/>
    <w:rsid w:val="31B01FC3"/>
    <w:rsid w:val="31BC4D7D"/>
    <w:rsid w:val="31C0329F"/>
    <w:rsid w:val="31E26DD0"/>
    <w:rsid w:val="31EF15C5"/>
    <w:rsid w:val="31F12080"/>
    <w:rsid w:val="31F34EE6"/>
    <w:rsid w:val="320C5601"/>
    <w:rsid w:val="320D6D63"/>
    <w:rsid w:val="323F60E0"/>
    <w:rsid w:val="32570855"/>
    <w:rsid w:val="32585395"/>
    <w:rsid w:val="32A76766"/>
    <w:rsid w:val="33222173"/>
    <w:rsid w:val="33415945"/>
    <w:rsid w:val="33474D1F"/>
    <w:rsid w:val="334F5387"/>
    <w:rsid w:val="33707EAA"/>
    <w:rsid w:val="33734415"/>
    <w:rsid w:val="3374658C"/>
    <w:rsid w:val="338D3F51"/>
    <w:rsid w:val="33AF6C2B"/>
    <w:rsid w:val="33D94FDC"/>
    <w:rsid w:val="33EC2509"/>
    <w:rsid w:val="34264730"/>
    <w:rsid w:val="3448551B"/>
    <w:rsid w:val="344A32B2"/>
    <w:rsid w:val="34770CA3"/>
    <w:rsid w:val="348965EE"/>
    <w:rsid w:val="34A43EB9"/>
    <w:rsid w:val="34A715A5"/>
    <w:rsid w:val="34A72487"/>
    <w:rsid w:val="34AE5ED7"/>
    <w:rsid w:val="34E04F7E"/>
    <w:rsid w:val="34FD254A"/>
    <w:rsid w:val="351153E0"/>
    <w:rsid w:val="3518688A"/>
    <w:rsid w:val="35480EE1"/>
    <w:rsid w:val="357E31D7"/>
    <w:rsid w:val="358160C2"/>
    <w:rsid w:val="35832375"/>
    <w:rsid w:val="358A316B"/>
    <w:rsid w:val="3590495C"/>
    <w:rsid w:val="35C475A7"/>
    <w:rsid w:val="35DE31B8"/>
    <w:rsid w:val="35E80F7F"/>
    <w:rsid w:val="35F75CF0"/>
    <w:rsid w:val="35F920FC"/>
    <w:rsid w:val="35FE30EC"/>
    <w:rsid w:val="3609071C"/>
    <w:rsid w:val="362979CB"/>
    <w:rsid w:val="363F7B19"/>
    <w:rsid w:val="36847069"/>
    <w:rsid w:val="369E5592"/>
    <w:rsid w:val="36BF44BC"/>
    <w:rsid w:val="36DF8D7D"/>
    <w:rsid w:val="36E1693A"/>
    <w:rsid w:val="36EE7787"/>
    <w:rsid w:val="36F16AE9"/>
    <w:rsid w:val="374B0F8F"/>
    <w:rsid w:val="379E5D0E"/>
    <w:rsid w:val="37A458F7"/>
    <w:rsid w:val="37CD3AE7"/>
    <w:rsid w:val="37D456E4"/>
    <w:rsid w:val="37E727ED"/>
    <w:rsid w:val="383D10D3"/>
    <w:rsid w:val="38901B35"/>
    <w:rsid w:val="3897749E"/>
    <w:rsid w:val="38FE77AF"/>
    <w:rsid w:val="39052611"/>
    <w:rsid w:val="39292CF8"/>
    <w:rsid w:val="39443BCE"/>
    <w:rsid w:val="394C0219"/>
    <w:rsid w:val="395A4E2F"/>
    <w:rsid w:val="39AE76A2"/>
    <w:rsid w:val="39FA6443"/>
    <w:rsid w:val="3A104AA6"/>
    <w:rsid w:val="3A3BFAC0"/>
    <w:rsid w:val="3A4D694C"/>
    <w:rsid w:val="3A5169AB"/>
    <w:rsid w:val="3A543444"/>
    <w:rsid w:val="3A5468F0"/>
    <w:rsid w:val="3A563FC1"/>
    <w:rsid w:val="3A6526CE"/>
    <w:rsid w:val="3A6F93E2"/>
    <w:rsid w:val="3AB605BC"/>
    <w:rsid w:val="3ABC4700"/>
    <w:rsid w:val="3ABDBD39"/>
    <w:rsid w:val="3ADF02DC"/>
    <w:rsid w:val="3AE61666"/>
    <w:rsid w:val="3AE670D0"/>
    <w:rsid w:val="3AF31330"/>
    <w:rsid w:val="3B0E6D2D"/>
    <w:rsid w:val="3B1759B2"/>
    <w:rsid w:val="3B3854BA"/>
    <w:rsid w:val="3B3F0DA2"/>
    <w:rsid w:val="3B404329"/>
    <w:rsid w:val="3B620744"/>
    <w:rsid w:val="3B6E05E6"/>
    <w:rsid w:val="3B854432"/>
    <w:rsid w:val="3B8B5730"/>
    <w:rsid w:val="3B9EB162"/>
    <w:rsid w:val="3BB03EA1"/>
    <w:rsid w:val="3BBC42F8"/>
    <w:rsid w:val="3BC751DB"/>
    <w:rsid w:val="3BD52EB9"/>
    <w:rsid w:val="3BED042C"/>
    <w:rsid w:val="3BF32D1F"/>
    <w:rsid w:val="3BF4434D"/>
    <w:rsid w:val="3BF9FF42"/>
    <w:rsid w:val="3BFF9F95"/>
    <w:rsid w:val="3C2F4ACA"/>
    <w:rsid w:val="3C406CD7"/>
    <w:rsid w:val="3C53062C"/>
    <w:rsid w:val="3C533473"/>
    <w:rsid w:val="3C597D99"/>
    <w:rsid w:val="3C7F7112"/>
    <w:rsid w:val="3C8360C6"/>
    <w:rsid w:val="3CD31F26"/>
    <w:rsid w:val="3CF36340"/>
    <w:rsid w:val="3CF7E3B0"/>
    <w:rsid w:val="3CFEEF0F"/>
    <w:rsid w:val="3D294FCA"/>
    <w:rsid w:val="3D5A150F"/>
    <w:rsid w:val="3DBE0B4C"/>
    <w:rsid w:val="3DCE0312"/>
    <w:rsid w:val="3DCE7D24"/>
    <w:rsid w:val="3DD83190"/>
    <w:rsid w:val="3DDF4EEE"/>
    <w:rsid w:val="3DE84774"/>
    <w:rsid w:val="3DF1C583"/>
    <w:rsid w:val="3DFB3E59"/>
    <w:rsid w:val="3E161F67"/>
    <w:rsid w:val="3E541B20"/>
    <w:rsid w:val="3E5C2E71"/>
    <w:rsid w:val="3E617D59"/>
    <w:rsid w:val="3E834880"/>
    <w:rsid w:val="3EBBE5D2"/>
    <w:rsid w:val="3EFCCBA9"/>
    <w:rsid w:val="3EFE614D"/>
    <w:rsid w:val="3EFEF4BD"/>
    <w:rsid w:val="3F4E607F"/>
    <w:rsid w:val="3F4F42A7"/>
    <w:rsid w:val="3F4F7231"/>
    <w:rsid w:val="3F5A4F0B"/>
    <w:rsid w:val="3F62B0A3"/>
    <w:rsid w:val="3F6397C0"/>
    <w:rsid w:val="3F779E02"/>
    <w:rsid w:val="3F7F9605"/>
    <w:rsid w:val="3FB35A36"/>
    <w:rsid w:val="3FB76A2C"/>
    <w:rsid w:val="3FBF1A81"/>
    <w:rsid w:val="3FCB2073"/>
    <w:rsid w:val="3FCDC299"/>
    <w:rsid w:val="3FCEED26"/>
    <w:rsid w:val="3FDE717E"/>
    <w:rsid w:val="3FDF239A"/>
    <w:rsid w:val="3FDFFAB3"/>
    <w:rsid w:val="3FE78F4C"/>
    <w:rsid w:val="3FECD332"/>
    <w:rsid w:val="3FEEE840"/>
    <w:rsid w:val="3FFDCF2F"/>
    <w:rsid w:val="3FFE71BE"/>
    <w:rsid w:val="3FFF61E2"/>
    <w:rsid w:val="40381A73"/>
    <w:rsid w:val="405368AD"/>
    <w:rsid w:val="406010FB"/>
    <w:rsid w:val="40E00745"/>
    <w:rsid w:val="413F3586"/>
    <w:rsid w:val="4194717D"/>
    <w:rsid w:val="41C01FF7"/>
    <w:rsid w:val="41DC1A63"/>
    <w:rsid w:val="41E80D5B"/>
    <w:rsid w:val="425A0F71"/>
    <w:rsid w:val="426C6A51"/>
    <w:rsid w:val="42864D18"/>
    <w:rsid w:val="42B1052C"/>
    <w:rsid w:val="42F563BE"/>
    <w:rsid w:val="42FF4ACA"/>
    <w:rsid w:val="432D197A"/>
    <w:rsid w:val="4376F5CB"/>
    <w:rsid w:val="43A708F0"/>
    <w:rsid w:val="43BE25BE"/>
    <w:rsid w:val="43CE4CBB"/>
    <w:rsid w:val="43D83C99"/>
    <w:rsid w:val="44217FF5"/>
    <w:rsid w:val="44352E99"/>
    <w:rsid w:val="44D1795F"/>
    <w:rsid w:val="44EC7D78"/>
    <w:rsid w:val="45285204"/>
    <w:rsid w:val="452D3B70"/>
    <w:rsid w:val="452D591E"/>
    <w:rsid w:val="459C013A"/>
    <w:rsid w:val="45A17CC5"/>
    <w:rsid w:val="45B1505C"/>
    <w:rsid w:val="45BC6CA2"/>
    <w:rsid w:val="462F148B"/>
    <w:rsid w:val="46321496"/>
    <w:rsid w:val="464C6278"/>
    <w:rsid w:val="464C7847"/>
    <w:rsid w:val="466070C6"/>
    <w:rsid w:val="469F1EF1"/>
    <w:rsid w:val="46B7782A"/>
    <w:rsid w:val="46FB037F"/>
    <w:rsid w:val="470F0CB7"/>
    <w:rsid w:val="473867FC"/>
    <w:rsid w:val="473F7B8B"/>
    <w:rsid w:val="478033DF"/>
    <w:rsid w:val="478E5712"/>
    <w:rsid w:val="47961EA1"/>
    <w:rsid w:val="47CA2731"/>
    <w:rsid w:val="47DE7EE8"/>
    <w:rsid w:val="47ED2D5B"/>
    <w:rsid w:val="481A184C"/>
    <w:rsid w:val="48205C0E"/>
    <w:rsid w:val="482E3254"/>
    <w:rsid w:val="48335942"/>
    <w:rsid w:val="48480CC1"/>
    <w:rsid w:val="485B0096"/>
    <w:rsid w:val="486FB1D0"/>
    <w:rsid w:val="487F78EF"/>
    <w:rsid w:val="48853CC3"/>
    <w:rsid w:val="48F07831"/>
    <w:rsid w:val="48FF54C6"/>
    <w:rsid w:val="49077584"/>
    <w:rsid w:val="491C71E5"/>
    <w:rsid w:val="491C794F"/>
    <w:rsid w:val="493D634C"/>
    <w:rsid w:val="499A16F3"/>
    <w:rsid w:val="49C34925"/>
    <w:rsid w:val="49F71731"/>
    <w:rsid w:val="4A082D0D"/>
    <w:rsid w:val="4A98521F"/>
    <w:rsid w:val="4AB5384C"/>
    <w:rsid w:val="4AB70571"/>
    <w:rsid w:val="4AC477B3"/>
    <w:rsid w:val="4ADF3CAD"/>
    <w:rsid w:val="4B2077D6"/>
    <w:rsid w:val="4B8D612B"/>
    <w:rsid w:val="4BB0375D"/>
    <w:rsid w:val="4BB85BF2"/>
    <w:rsid w:val="4BC40AC3"/>
    <w:rsid w:val="4BFECABF"/>
    <w:rsid w:val="4C37699C"/>
    <w:rsid w:val="4C465518"/>
    <w:rsid w:val="4C5A3F2F"/>
    <w:rsid w:val="4C724422"/>
    <w:rsid w:val="4C8A5D4C"/>
    <w:rsid w:val="4CA94424"/>
    <w:rsid w:val="4CE20FB3"/>
    <w:rsid w:val="4D054A99"/>
    <w:rsid w:val="4D0E1E95"/>
    <w:rsid w:val="4D6804C6"/>
    <w:rsid w:val="4D8B3B2A"/>
    <w:rsid w:val="4DAE26E6"/>
    <w:rsid w:val="4DBF0FF1"/>
    <w:rsid w:val="4DE76116"/>
    <w:rsid w:val="4DF327A1"/>
    <w:rsid w:val="4E031912"/>
    <w:rsid w:val="4E1B4AE0"/>
    <w:rsid w:val="4E5151A3"/>
    <w:rsid w:val="4E791BD4"/>
    <w:rsid w:val="4EC15329"/>
    <w:rsid w:val="4EC46BBF"/>
    <w:rsid w:val="4EE45941"/>
    <w:rsid w:val="4EEF78F4"/>
    <w:rsid w:val="4EF43590"/>
    <w:rsid w:val="4EFEE965"/>
    <w:rsid w:val="4F5B273D"/>
    <w:rsid w:val="4F760C0C"/>
    <w:rsid w:val="4F994BD7"/>
    <w:rsid w:val="4F9A46E8"/>
    <w:rsid w:val="4F9D31CA"/>
    <w:rsid w:val="4F9FC119"/>
    <w:rsid w:val="4FB5D325"/>
    <w:rsid w:val="4FB867EC"/>
    <w:rsid w:val="4FDBE75C"/>
    <w:rsid w:val="4FDF0659"/>
    <w:rsid w:val="4FFBB516"/>
    <w:rsid w:val="502C78BD"/>
    <w:rsid w:val="50403624"/>
    <w:rsid w:val="50447FC0"/>
    <w:rsid w:val="50B13A11"/>
    <w:rsid w:val="50EE4E08"/>
    <w:rsid w:val="51452242"/>
    <w:rsid w:val="51777B40"/>
    <w:rsid w:val="51914954"/>
    <w:rsid w:val="51982514"/>
    <w:rsid w:val="51C413B8"/>
    <w:rsid w:val="51F021AD"/>
    <w:rsid w:val="51F928E3"/>
    <w:rsid w:val="52154D37"/>
    <w:rsid w:val="52397095"/>
    <w:rsid w:val="52403C29"/>
    <w:rsid w:val="52481E95"/>
    <w:rsid w:val="52492E45"/>
    <w:rsid w:val="525E1600"/>
    <w:rsid w:val="52707792"/>
    <w:rsid w:val="527D3B4E"/>
    <w:rsid w:val="52846D9A"/>
    <w:rsid w:val="52865D3B"/>
    <w:rsid w:val="52AE0FF4"/>
    <w:rsid w:val="52B50B69"/>
    <w:rsid w:val="52E962D5"/>
    <w:rsid w:val="52F82D3C"/>
    <w:rsid w:val="533F1412"/>
    <w:rsid w:val="53A05E55"/>
    <w:rsid w:val="53A741DD"/>
    <w:rsid w:val="53C75B65"/>
    <w:rsid w:val="541F6D7A"/>
    <w:rsid w:val="548A1708"/>
    <w:rsid w:val="54BB5844"/>
    <w:rsid w:val="54BD123E"/>
    <w:rsid w:val="54BE1A66"/>
    <w:rsid w:val="54CD3152"/>
    <w:rsid w:val="55083CB2"/>
    <w:rsid w:val="553E73B3"/>
    <w:rsid w:val="55510A45"/>
    <w:rsid w:val="559E0B25"/>
    <w:rsid w:val="55A14DB3"/>
    <w:rsid w:val="55AF7BDE"/>
    <w:rsid w:val="55B044A8"/>
    <w:rsid w:val="55BE58D0"/>
    <w:rsid w:val="55F05BDE"/>
    <w:rsid w:val="55FEA40E"/>
    <w:rsid w:val="56384C51"/>
    <w:rsid w:val="563C024F"/>
    <w:rsid w:val="568B2843"/>
    <w:rsid w:val="568E3EB0"/>
    <w:rsid w:val="56EB3536"/>
    <w:rsid w:val="56F11D71"/>
    <w:rsid w:val="570FE456"/>
    <w:rsid w:val="57195870"/>
    <w:rsid w:val="57250B4B"/>
    <w:rsid w:val="572C7C98"/>
    <w:rsid w:val="5753950A"/>
    <w:rsid w:val="57664DCE"/>
    <w:rsid w:val="577949F3"/>
    <w:rsid w:val="578FF71E"/>
    <w:rsid w:val="57A33EBB"/>
    <w:rsid w:val="57CB28F5"/>
    <w:rsid w:val="57CF603D"/>
    <w:rsid w:val="57D65757"/>
    <w:rsid w:val="57F74BE3"/>
    <w:rsid w:val="57FFF7A0"/>
    <w:rsid w:val="582238BC"/>
    <w:rsid w:val="586B53D8"/>
    <w:rsid w:val="58734F65"/>
    <w:rsid w:val="58970C8E"/>
    <w:rsid w:val="58BE4895"/>
    <w:rsid w:val="59062983"/>
    <w:rsid w:val="593030BB"/>
    <w:rsid w:val="59727932"/>
    <w:rsid w:val="597EB301"/>
    <w:rsid w:val="597F2EEC"/>
    <w:rsid w:val="59B56DA9"/>
    <w:rsid w:val="59C04B5B"/>
    <w:rsid w:val="59F62FD6"/>
    <w:rsid w:val="5A1570B6"/>
    <w:rsid w:val="5A2613A8"/>
    <w:rsid w:val="5A484AC1"/>
    <w:rsid w:val="5A5D3AF6"/>
    <w:rsid w:val="5A63462A"/>
    <w:rsid w:val="5A6E2809"/>
    <w:rsid w:val="5AA71877"/>
    <w:rsid w:val="5AA94C5A"/>
    <w:rsid w:val="5AC642F3"/>
    <w:rsid w:val="5AE623A0"/>
    <w:rsid w:val="5AED71E7"/>
    <w:rsid w:val="5AF31B4D"/>
    <w:rsid w:val="5AF7DC83"/>
    <w:rsid w:val="5AFD676A"/>
    <w:rsid w:val="5B0B35C6"/>
    <w:rsid w:val="5B679753"/>
    <w:rsid w:val="5B7F01A8"/>
    <w:rsid w:val="5B8F9460"/>
    <w:rsid w:val="5B913D4A"/>
    <w:rsid w:val="5B9C6ECB"/>
    <w:rsid w:val="5BE79CB2"/>
    <w:rsid w:val="5BE7F760"/>
    <w:rsid w:val="5BF93666"/>
    <w:rsid w:val="5C277114"/>
    <w:rsid w:val="5C297177"/>
    <w:rsid w:val="5C567725"/>
    <w:rsid w:val="5C724DE8"/>
    <w:rsid w:val="5C725B62"/>
    <w:rsid w:val="5C734107"/>
    <w:rsid w:val="5C753309"/>
    <w:rsid w:val="5C944051"/>
    <w:rsid w:val="5CA54F04"/>
    <w:rsid w:val="5CBB2FE4"/>
    <w:rsid w:val="5CC315AF"/>
    <w:rsid w:val="5CE40E00"/>
    <w:rsid w:val="5D192F00"/>
    <w:rsid w:val="5D203D43"/>
    <w:rsid w:val="5D2732DD"/>
    <w:rsid w:val="5D304E08"/>
    <w:rsid w:val="5D4E33E6"/>
    <w:rsid w:val="5D5123A5"/>
    <w:rsid w:val="5D8E17DA"/>
    <w:rsid w:val="5DAE40EE"/>
    <w:rsid w:val="5DB287E7"/>
    <w:rsid w:val="5DBB178B"/>
    <w:rsid w:val="5DBB5A18"/>
    <w:rsid w:val="5DCF5080"/>
    <w:rsid w:val="5DDB2191"/>
    <w:rsid w:val="5DE63AAD"/>
    <w:rsid w:val="5DED09C6"/>
    <w:rsid w:val="5DEF9A2A"/>
    <w:rsid w:val="5DF22D33"/>
    <w:rsid w:val="5E0B2C9C"/>
    <w:rsid w:val="5E1358D5"/>
    <w:rsid w:val="5E3311D0"/>
    <w:rsid w:val="5E3FEC27"/>
    <w:rsid w:val="5E5CE77E"/>
    <w:rsid w:val="5E734F09"/>
    <w:rsid w:val="5E7AE749"/>
    <w:rsid w:val="5E87CAFE"/>
    <w:rsid w:val="5E8C6B2F"/>
    <w:rsid w:val="5E945777"/>
    <w:rsid w:val="5EAF683A"/>
    <w:rsid w:val="5ECC5D50"/>
    <w:rsid w:val="5ED167B4"/>
    <w:rsid w:val="5EDD9B78"/>
    <w:rsid w:val="5EE25574"/>
    <w:rsid w:val="5EFE551B"/>
    <w:rsid w:val="5EFF2422"/>
    <w:rsid w:val="5F1F018B"/>
    <w:rsid w:val="5F44389D"/>
    <w:rsid w:val="5F4B3479"/>
    <w:rsid w:val="5F4C6A45"/>
    <w:rsid w:val="5F671FB6"/>
    <w:rsid w:val="5F7F8424"/>
    <w:rsid w:val="5F857B8E"/>
    <w:rsid w:val="5F9A9842"/>
    <w:rsid w:val="5F9D6D44"/>
    <w:rsid w:val="5FBE5F8C"/>
    <w:rsid w:val="5FC3E0C2"/>
    <w:rsid w:val="5FD39F6E"/>
    <w:rsid w:val="5FE54A4A"/>
    <w:rsid w:val="5FE70EFC"/>
    <w:rsid w:val="5FEF5AE3"/>
    <w:rsid w:val="5FEF9CDF"/>
    <w:rsid w:val="5FF4AC98"/>
    <w:rsid w:val="5FF76721"/>
    <w:rsid w:val="5FF98158"/>
    <w:rsid w:val="5FFE5E75"/>
    <w:rsid w:val="5FFF095F"/>
    <w:rsid w:val="5FFF9503"/>
    <w:rsid w:val="5FFFB3F9"/>
    <w:rsid w:val="60010C0C"/>
    <w:rsid w:val="600449FA"/>
    <w:rsid w:val="60321E53"/>
    <w:rsid w:val="60641CD3"/>
    <w:rsid w:val="609D5BF6"/>
    <w:rsid w:val="60F656FF"/>
    <w:rsid w:val="60FF240D"/>
    <w:rsid w:val="610606BB"/>
    <w:rsid w:val="61175E6E"/>
    <w:rsid w:val="611A7247"/>
    <w:rsid w:val="613100ED"/>
    <w:rsid w:val="61850089"/>
    <w:rsid w:val="61C74D39"/>
    <w:rsid w:val="61DC301F"/>
    <w:rsid w:val="61F44573"/>
    <w:rsid w:val="621A6DD3"/>
    <w:rsid w:val="62311B55"/>
    <w:rsid w:val="62466788"/>
    <w:rsid w:val="62471074"/>
    <w:rsid w:val="627273E6"/>
    <w:rsid w:val="629833BF"/>
    <w:rsid w:val="62E505AE"/>
    <w:rsid w:val="62FD472A"/>
    <w:rsid w:val="6315609B"/>
    <w:rsid w:val="63343CD5"/>
    <w:rsid w:val="63525F52"/>
    <w:rsid w:val="63616D8E"/>
    <w:rsid w:val="637075F2"/>
    <w:rsid w:val="63971320"/>
    <w:rsid w:val="63B7BAFE"/>
    <w:rsid w:val="63D93361"/>
    <w:rsid w:val="63E87188"/>
    <w:rsid w:val="63F7ED2C"/>
    <w:rsid w:val="63FAD0E4"/>
    <w:rsid w:val="64385045"/>
    <w:rsid w:val="64475C36"/>
    <w:rsid w:val="64567BEE"/>
    <w:rsid w:val="64607054"/>
    <w:rsid w:val="646D2B18"/>
    <w:rsid w:val="647D1F7E"/>
    <w:rsid w:val="64BC5151"/>
    <w:rsid w:val="64CF65A3"/>
    <w:rsid w:val="64F25DE5"/>
    <w:rsid w:val="64FB738F"/>
    <w:rsid w:val="650049A6"/>
    <w:rsid w:val="6507787D"/>
    <w:rsid w:val="650E0E71"/>
    <w:rsid w:val="651F4D8E"/>
    <w:rsid w:val="65295CAB"/>
    <w:rsid w:val="654E5711"/>
    <w:rsid w:val="65567E1B"/>
    <w:rsid w:val="656B612C"/>
    <w:rsid w:val="657B7B7F"/>
    <w:rsid w:val="657F6A92"/>
    <w:rsid w:val="657FA36C"/>
    <w:rsid w:val="65A01E7E"/>
    <w:rsid w:val="65AA12F0"/>
    <w:rsid w:val="65DDFDD6"/>
    <w:rsid w:val="65ED47D1"/>
    <w:rsid w:val="65F12C91"/>
    <w:rsid w:val="65FF9DC4"/>
    <w:rsid w:val="66407393"/>
    <w:rsid w:val="66617B03"/>
    <w:rsid w:val="66655079"/>
    <w:rsid w:val="668D2028"/>
    <w:rsid w:val="668E41E0"/>
    <w:rsid w:val="668F3A2D"/>
    <w:rsid w:val="66A63D1B"/>
    <w:rsid w:val="66C051B1"/>
    <w:rsid w:val="66DBCBCD"/>
    <w:rsid w:val="66E557FD"/>
    <w:rsid w:val="66EA092B"/>
    <w:rsid w:val="66F62AFD"/>
    <w:rsid w:val="670422A5"/>
    <w:rsid w:val="673B17A3"/>
    <w:rsid w:val="673E62FC"/>
    <w:rsid w:val="676FCD6E"/>
    <w:rsid w:val="6773E8F3"/>
    <w:rsid w:val="67E33A56"/>
    <w:rsid w:val="67E61C31"/>
    <w:rsid w:val="67FF98FD"/>
    <w:rsid w:val="6805233D"/>
    <w:rsid w:val="6855610D"/>
    <w:rsid w:val="68977FFF"/>
    <w:rsid w:val="68A061E3"/>
    <w:rsid w:val="68CD0CA0"/>
    <w:rsid w:val="68FD817F"/>
    <w:rsid w:val="69004F52"/>
    <w:rsid w:val="6917406C"/>
    <w:rsid w:val="691A3CCE"/>
    <w:rsid w:val="69667EC4"/>
    <w:rsid w:val="69713C44"/>
    <w:rsid w:val="698C2294"/>
    <w:rsid w:val="699D0A15"/>
    <w:rsid w:val="69CC30A8"/>
    <w:rsid w:val="69ED6D3E"/>
    <w:rsid w:val="69FC6AC2"/>
    <w:rsid w:val="6A301889"/>
    <w:rsid w:val="6A9736B6"/>
    <w:rsid w:val="6AC0173A"/>
    <w:rsid w:val="6ACB609A"/>
    <w:rsid w:val="6AFB1985"/>
    <w:rsid w:val="6AFF2AB6"/>
    <w:rsid w:val="6B171DE0"/>
    <w:rsid w:val="6B292E9C"/>
    <w:rsid w:val="6B5307C5"/>
    <w:rsid w:val="6B6F1F3D"/>
    <w:rsid w:val="6B7E88ED"/>
    <w:rsid w:val="6B8C2AEF"/>
    <w:rsid w:val="6B923E7E"/>
    <w:rsid w:val="6BCD4B2B"/>
    <w:rsid w:val="6BD1678D"/>
    <w:rsid w:val="6BE04BE9"/>
    <w:rsid w:val="6BFFAB65"/>
    <w:rsid w:val="6BFFD927"/>
    <w:rsid w:val="6C330CB8"/>
    <w:rsid w:val="6C3FAB14"/>
    <w:rsid w:val="6C456FF1"/>
    <w:rsid w:val="6C8B724B"/>
    <w:rsid w:val="6CE614D6"/>
    <w:rsid w:val="6D324FE8"/>
    <w:rsid w:val="6D535C01"/>
    <w:rsid w:val="6D5D0BE7"/>
    <w:rsid w:val="6D946D06"/>
    <w:rsid w:val="6D985DE1"/>
    <w:rsid w:val="6D9D07BB"/>
    <w:rsid w:val="6DED2A65"/>
    <w:rsid w:val="6DF1621C"/>
    <w:rsid w:val="6DF66475"/>
    <w:rsid w:val="6DF7A619"/>
    <w:rsid w:val="6DFA6436"/>
    <w:rsid w:val="6DFBB71B"/>
    <w:rsid w:val="6E5A68B7"/>
    <w:rsid w:val="6EBA6F64"/>
    <w:rsid w:val="6ECD4683"/>
    <w:rsid w:val="6EE9778A"/>
    <w:rsid w:val="6EE9D17F"/>
    <w:rsid w:val="6F070DFD"/>
    <w:rsid w:val="6F2D0972"/>
    <w:rsid w:val="6F392F8E"/>
    <w:rsid w:val="6F3E2CFE"/>
    <w:rsid w:val="6F451933"/>
    <w:rsid w:val="6F597AA1"/>
    <w:rsid w:val="6F885CC3"/>
    <w:rsid w:val="6F8B3406"/>
    <w:rsid w:val="6F8B96A6"/>
    <w:rsid w:val="6F8D71F0"/>
    <w:rsid w:val="6F9DE25C"/>
    <w:rsid w:val="6FBB4203"/>
    <w:rsid w:val="6FBBE756"/>
    <w:rsid w:val="6FBE7937"/>
    <w:rsid w:val="6FBF37F7"/>
    <w:rsid w:val="6FBF4864"/>
    <w:rsid w:val="6FCE61BD"/>
    <w:rsid w:val="6FD76303"/>
    <w:rsid w:val="6FD79E4B"/>
    <w:rsid w:val="6FDE6714"/>
    <w:rsid w:val="6FDE8880"/>
    <w:rsid w:val="6FDFA1C0"/>
    <w:rsid w:val="6FDFCCB1"/>
    <w:rsid w:val="6FE54EC4"/>
    <w:rsid w:val="6FE63B07"/>
    <w:rsid w:val="6FEE4ACD"/>
    <w:rsid w:val="6FEFC91D"/>
    <w:rsid w:val="6FFE06DC"/>
    <w:rsid w:val="6FFE510F"/>
    <w:rsid w:val="6FFF03F3"/>
    <w:rsid w:val="6FFF2E5A"/>
    <w:rsid w:val="6FFF61EB"/>
    <w:rsid w:val="6FFF93D2"/>
    <w:rsid w:val="701E26CF"/>
    <w:rsid w:val="704835FC"/>
    <w:rsid w:val="70AC0EF8"/>
    <w:rsid w:val="70CB3586"/>
    <w:rsid w:val="70E02DBE"/>
    <w:rsid w:val="70E4517B"/>
    <w:rsid w:val="70F353BF"/>
    <w:rsid w:val="71495B9C"/>
    <w:rsid w:val="717B6A90"/>
    <w:rsid w:val="718E152E"/>
    <w:rsid w:val="71BDE798"/>
    <w:rsid w:val="71C52A01"/>
    <w:rsid w:val="71D27ECE"/>
    <w:rsid w:val="71D40D4C"/>
    <w:rsid w:val="72117BE8"/>
    <w:rsid w:val="72440ACF"/>
    <w:rsid w:val="724800A1"/>
    <w:rsid w:val="72803F7F"/>
    <w:rsid w:val="72A13D86"/>
    <w:rsid w:val="72A9536C"/>
    <w:rsid w:val="72BD7A32"/>
    <w:rsid w:val="72E9ACF4"/>
    <w:rsid w:val="72F75611"/>
    <w:rsid w:val="731E1C41"/>
    <w:rsid w:val="732E6B82"/>
    <w:rsid w:val="7344320D"/>
    <w:rsid w:val="73577500"/>
    <w:rsid w:val="735F1F95"/>
    <w:rsid w:val="738D38A8"/>
    <w:rsid w:val="73B928EF"/>
    <w:rsid w:val="73C47F1D"/>
    <w:rsid w:val="73CC612C"/>
    <w:rsid w:val="73DC038C"/>
    <w:rsid w:val="73F561A0"/>
    <w:rsid w:val="743F5758"/>
    <w:rsid w:val="74744A68"/>
    <w:rsid w:val="747E61FB"/>
    <w:rsid w:val="748410E5"/>
    <w:rsid w:val="749A6A33"/>
    <w:rsid w:val="74BB0398"/>
    <w:rsid w:val="74D75ED8"/>
    <w:rsid w:val="74FE759E"/>
    <w:rsid w:val="74FF4332"/>
    <w:rsid w:val="75061904"/>
    <w:rsid w:val="752263F0"/>
    <w:rsid w:val="75260595"/>
    <w:rsid w:val="753530F5"/>
    <w:rsid w:val="753C5F35"/>
    <w:rsid w:val="75607568"/>
    <w:rsid w:val="75907680"/>
    <w:rsid w:val="75C31803"/>
    <w:rsid w:val="75D7705D"/>
    <w:rsid w:val="75DE5250"/>
    <w:rsid w:val="75FF7CB1"/>
    <w:rsid w:val="7605012D"/>
    <w:rsid w:val="76160674"/>
    <w:rsid w:val="761C12FD"/>
    <w:rsid w:val="764B35A7"/>
    <w:rsid w:val="769E221E"/>
    <w:rsid w:val="769F4550"/>
    <w:rsid w:val="76A038F3"/>
    <w:rsid w:val="76BEDC27"/>
    <w:rsid w:val="76DB5A4E"/>
    <w:rsid w:val="76E82FD5"/>
    <w:rsid w:val="76ECDCB8"/>
    <w:rsid w:val="76FF7C98"/>
    <w:rsid w:val="771FC46D"/>
    <w:rsid w:val="772ECBE3"/>
    <w:rsid w:val="77336515"/>
    <w:rsid w:val="773B8689"/>
    <w:rsid w:val="775BC2E3"/>
    <w:rsid w:val="775D138B"/>
    <w:rsid w:val="77632FEC"/>
    <w:rsid w:val="77674B55"/>
    <w:rsid w:val="776C1679"/>
    <w:rsid w:val="776E5142"/>
    <w:rsid w:val="776F86A9"/>
    <w:rsid w:val="777C4360"/>
    <w:rsid w:val="77905715"/>
    <w:rsid w:val="779A2714"/>
    <w:rsid w:val="77A6B0EC"/>
    <w:rsid w:val="77AB38A0"/>
    <w:rsid w:val="77B0C910"/>
    <w:rsid w:val="77B9B0C1"/>
    <w:rsid w:val="77D56EFF"/>
    <w:rsid w:val="77D5F5D1"/>
    <w:rsid w:val="77EFB7DB"/>
    <w:rsid w:val="77F71ABD"/>
    <w:rsid w:val="77FD261C"/>
    <w:rsid w:val="77FF2132"/>
    <w:rsid w:val="77FFA601"/>
    <w:rsid w:val="78186E47"/>
    <w:rsid w:val="78252301"/>
    <w:rsid w:val="78253E41"/>
    <w:rsid w:val="7855070D"/>
    <w:rsid w:val="78916E6C"/>
    <w:rsid w:val="78B856A0"/>
    <w:rsid w:val="78D01A6F"/>
    <w:rsid w:val="78F2388C"/>
    <w:rsid w:val="78F46178"/>
    <w:rsid w:val="78F581DA"/>
    <w:rsid w:val="78FE7584"/>
    <w:rsid w:val="78FFD7C2"/>
    <w:rsid w:val="79084F07"/>
    <w:rsid w:val="79147AE0"/>
    <w:rsid w:val="79294ED6"/>
    <w:rsid w:val="793FE45D"/>
    <w:rsid w:val="798F1AF1"/>
    <w:rsid w:val="79910FC0"/>
    <w:rsid w:val="79927A12"/>
    <w:rsid w:val="79A17CF4"/>
    <w:rsid w:val="79ACD51A"/>
    <w:rsid w:val="79BF71B9"/>
    <w:rsid w:val="79C01DAA"/>
    <w:rsid w:val="79D64DB0"/>
    <w:rsid w:val="79D96C01"/>
    <w:rsid w:val="79E415BB"/>
    <w:rsid w:val="79ED5230"/>
    <w:rsid w:val="79F6EACB"/>
    <w:rsid w:val="79FD51F1"/>
    <w:rsid w:val="7A1669D2"/>
    <w:rsid w:val="7A32426B"/>
    <w:rsid w:val="7A806AF9"/>
    <w:rsid w:val="7A9E5FB6"/>
    <w:rsid w:val="7AA86C83"/>
    <w:rsid w:val="7AB9B43B"/>
    <w:rsid w:val="7ABC5759"/>
    <w:rsid w:val="7AD39BC2"/>
    <w:rsid w:val="7AD81BC9"/>
    <w:rsid w:val="7ADF999D"/>
    <w:rsid w:val="7AE069B4"/>
    <w:rsid w:val="7AEB31F6"/>
    <w:rsid w:val="7AEE2BF2"/>
    <w:rsid w:val="7AFB7C1C"/>
    <w:rsid w:val="7B052E72"/>
    <w:rsid w:val="7B1B34C7"/>
    <w:rsid w:val="7B77EA63"/>
    <w:rsid w:val="7B7A2B95"/>
    <w:rsid w:val="7BBA6A31"/>
    <w:rsid w:val="7BBFA3D3"/>
    <w:rsid w:val="7BDF0A19"/>
    <w:rsid w:val="7BF070CA"/>
    <w:rsid w:val="7BF4E965"/>
    <w:rsid w:val="7BF521E9"/>
    <w:rsid w:val="7BF5AC8F"/>
    <w:rsid w:val="7BF62FAC"/>
    <w:rsid w:val="7BFEE41C"/>
    <w:rsid w:val="7C12710A"/>
    <w:rsid w:val="7C251548"/>
    <w:rsid w:val="7C2FBC68"/>
    <w:rsid w:val="7C7FDA07"/>
    <w:rsid w:val="7CED9261"/>
    <w:rsid w:val="7CFF3847"/>
    <w:rsid w:val="7CFF6500"/>
    <w:rsid w:val="7D1A1F06"/>
    <w:rsid w:val="7D6FCE77"/>
    <w:rsid w:val="7D7AC6F4"/>
    <w:rsid w:val="7D7F7B67"/>
    <w:rsid w:val="7D893462"/>
    <w:rsid w:val="7D9C4987"/>
    <w:rsid w:val="7DAA3FF0"/>
    <w:rsid w:val="7DC205F3"/>
    <w:rsid w:val="7DD12FF3"/>
    <w:rsid w:val="7DE7680A"/>
    <w:rsid w:val="7DEF3E29"/>
    <w:rsid w:val="7DF57B66"/>
    <w:rsid w:val="7DFAE672"/>
    <w:rsid w:val="7DFD5AF9"/>
    <w:rsid w:val="7DFF1F99"/>
    <w:rsid w:val="7E01111B"/>
    <w:rsid w:val="7E03365D"/>
    <w:rsid w:val="7E14799E"/>
    <w:rsid w:val="7E3E2F52"/>
    <w:rsid w:val="7E3E5306"/>
    <w:rsid w:val="7E6817D6"/>
    <w:rsid w:val="7EA72A07"/>
    <w:rsid w:val="7EAD0735"/>
    <w:rsid w:val="7EBC6EE8"/>
    <w:rsid w:val="7EBD0ECD"/>
    <w:rsid w:val="7EBF0C47"/>
    <w:rsid w:val="7EBF3D01"/>
    <w:rsid w:val="7ED097AB"/>
    <w:rsid w:val="7ED237A2"/>
    <w:rsid w:val="7EE6DD14"/>
    <w:rsid w:val="7EE87B37"/>
    <w:rsid w:val="7EEA4CC4"/>
    <w:rsid w:val="7EEB9FC8"/>
    <w:rsid w:val="7EFDC041"/>
    <w:rsid w:val="7EFF872B"/>
    <w:rsid w:val="7EFFA73A"/>
    <w:rsid w:val="7F032C71"/>
    <w:rsid w:val="7F2B01C4"/>
    <w:rsid w:val="7F2BEF08"/>
    <w:rsid w:val="7F2F2562"/>
    <w:rsid w:val="7F5E3367"/>
    <w:rsid w:val="7F5F3D40"/>
    <w:rsid w:val="7F60371C"/>
    <w:rsid w:val="7F752B5D"/>
    <w:rsid w:val="7F75710D"/>
    <w:rsid w:val="7F7818B1"/>
    <w:rsid w:val="7F7F85A2"/>
    <w:rsid w:val="7F93112B"/>
    <w:rsid w:val="7F936070"/>
    <w:rsid w:val="7F9B651A"/>
    <w:rsid w:val="7F9FC179"/>
    <w:rsid w:val="7FA5CF7E"/>
    <w:rsid w:val="7FAF3472"/>
    <w:rsid w:val="7FB359B9"/>
    <w:rsid w:val="7FB473C1"/>
    <w:rsid w:val="7FB68DF0"/>
    <w:rsid w:val="7FB72E75"/>
    <w:rsid w:val="7FBBE0B5"/>
    <w:rsid w:val="7FBBF7C9"/>
    <w:rsid w:val="7FBED686"/>
    <w:rsid w:val="7FBF7622"/>
    <w:rsid w:val="7FC27694"/>
    <w:rsid w:val="7FCD90FC"/>
    <w:rsid w:val="7FCDECF9"/>
    <w:rsid w:val="7FD60385"/>
    <w:rsid w:val="7FD61763"/>
    <w:rsid w:val="7FD750AF"/>
    <w:rsid w:val="7FDB19D4"/>
    <w:rsid w:val="7FDF2614"/>
    <w:rsid w:val="7FDF5086"/>
    <w:rsid w:val="7FDF58A4"/>
    <w:rsid w:val="7FDFAC55"/>
    <w:rsid w:val="7FDFC8D1"/>
    <w:rsid w:val="7FE5FBF6"/>
    <w:rsid w:val="7FE721C8"/>
    <w:rsid w:val="7FE9455C"/>
    <w:rsid w:val="7FE96A4C"/>
    <w:rsid w:val="7FF4AA78"/>
    <w:rsid w:val="7FF7D7FE"/>
    <w:rsid w:val="7FF7F0EA"/>
    <w:rsid w:val="7FFA82DD"/>
    <w:rsid w:val="7FFCB26E"/>
    <w:rsid w:val="7FFD9FAE"/>
    <w:rsid w:val="7FFDCAA0"/>
    <w:rsid w:val="7FFE17F4"/>
    <w:rsid w:val="7FFE6FAB"/>
    <w:rsid w:val="7FFEC91C"/>
    <w:rsid w:val="7FFF3358"/>
    <w:rsid w:val="7FFF3D63"/>
    <w:rsid w:val="7FFF9DCE"/>
    <w:rsid w:val="7FFFB6B3"/>
    <w:rsid w:val="7FFFEFAD"/>
    <w:rsid w:val="816EBC1C"/>
    <w:rsid w:val="83F5447D"/>
    <w:rsid w:val="86CD2215"/>
    <w:rsid w:val="87FB9589"/>
    <w:rsid w:val="8B6EF2C9"/>
    <w:rsid w:val="8FFD836B"/>
    <w:rsid w:val="93DF620B"/>
    <w:rsid w:val="977B5D60"/>
    <w:rsid w:val="9AFFE6CA"/>
    <w:rsid w:val="9DBAE05B"/>
    <w:rsid w:val="9F9E1ADD"/>
    <w:rsid w:val="9FBF6A38"/>
    <w:rsid w:val="9FE70ACE"/>
    <w:rsid w:val="9FFFA905"/>
    <w:rsid w:val="A53C30EB"/>
    <w:rsid w:val="A73F20FC"/>
    <w:rsid w:val="A7799AEC"/>
    <w:rsid w:val="A8BB7E51"/>
    <w:rsid w:val="ABE7C24A"/>
    <w:rsid w:val="ACB5D895"/>
    <w:rsid w:val="ACF9F370"/>
    <w:rsid w:val="ACFF783F"/>
    <w:rsid w:val="AD9BF6B7"/>
    <w:rsid w:val="ADBC833D"/>
    <w:rsid w:val="ADDEBFB5"/>
    <w:rsid w:val="ADED50AF"/>
    <w:rsid w:val="AEBBA222"/>
    <w:rsid w:val="AF1BD836"/>
    <w:rsid w:val="AF4F9167"/>
    <w:rsid w:val="AF8A1FC8"/>
    <w:rsid w:val="AFD74478"/>
    <w:rsid w:val="AFF541E1"/>
    <w:rsid w:val="AFFB492E"/>
    <w:rsid w:val="B3E7BB23"/>
    <w:rsid w:val="B3FE8A31"/>
    <w:rsid w:val="B57DA2F2"/>
    <w:rsid w:val="B5CF5AEA"/>
    <w:rsid w:val="B5E5B3AE"/>
    <w:rsid w:val="B6CBE650"/>
    <w:rsid w:val="B73EDACE"/>
    <w:rsid w:val="B741577F"/>
    <w:rsid w:val="B75BD154"/>
    <w:rsid w:val="B795DFF4"/>
    <w:rsid w:val="B7AF81C4"/>
    <w:rsid w:val="B7BB3BD0"/>
    <w:rsid w:val="B7EBD113"/>
    <w:rsid w:val="B7F702D0"/>
    <w:rsid w:val="B7FD2566"/>
    <w:rsid w:val="B8BFDFE0"/>
    <w:rsid w:val="BB73FC1C"/>
    <w:rsid w:val="BB853C36"/>
    <w:rsid w:val="BB9FABF3"/>
    <w:rsid w:val="BBB6559D"/>
    <w:rsid w:val="BBDDDE6D"/>
    <w:rsid w:val="BBDE1958"/>
    <w:rsid w:val="BBDFB0CF"/>
    <w:rsid w:val="BBE7CCDD"/>
    <w:rsid w:val="BBEF43C5"/>
    <w:rsid w:val="BBFF9DD6"/>
    <w:rsid w:val="BCF75D7A"/>
    <w:rsid w:val="BCF94F3D"/>
    <w:rsid w:val="BD4F4BC1"/>
    <w:rsid w:val="BD63426D"/>
    <w:rsid w:val="BD9FE1EC"/>
    <w:rsid w:val="BDB72374"/>
    <w:rsid w:val="BDD8EF78"/>
    <w:rsid w:val="BDDE61E0"/>
    <w:rsid w:val="BDE7FABC"/>
    <w:rsid w:val="BDFB769D"/>
    <w:rsid w:val="BDFE8884"/>
    <w:rsid w:val="BE0CF771"/>
    <w:rsid w:val="BE1D1AFA"/>
    <w:rsid w:val="BE57F877"/>
    <w:rsid w:val="BE725299"/>
    <w:rsid w:val="BE7FCA83"/>
    <w:rsid w:val="BEA76596"/>
    <w:rsid w:val="BEBAE066"/>
    <w:rsid w:val="BEF555C8"/>
    <w:rsid w:val="BEF5AB2A"/>
    <w:rsid w:val="BEFD1E7C"/>
    <w:rsid w:val="BEFF2A67"/>
    <w:rsid w:val="BEFFCC8B"/>
    <w:rsid w:val="BF1E064A"/>
    <w:rsid w:val="BF3FFF29"/>
    <w:rsid w:val="BF7F5FDD"/>
    <w:rsid w:val="BFE32BE4"/>
    <w:rsid w:val="BFEFC667"/>
    <w:rsid w:val="BFF20B29"/>
    <w:rsid w:val="BFF75D72"/>
    <w:rsid w:val="C3F70DC4"/>
    <w:rsid w:val="C3FF5894"/>
    <w:rsid w:val="C7EF4A44"/>
    <w:rsid w:val="C7F3FFBD"/>
    <w:rsid w:val="C9FEA068"/>
    <w:rsid w:val="CA9B6EC0"/>
    <w:rsid w:val="CDAE4EDC"/>
    <w:rsid w:val="CDFA6FEE"/>
    <w:rsid w:val="CE9D661C"/>
    <w:rsid w:val="CF5FA584"/>
    <w:rsid w:val="CFD8F0A8"/>
    <w:rsid w:val="CFEB32C9"/>
    <w:rsid w:val="CFEF5CA0"/>
    <w:rsid w:val="CFF77463"/>
    <w:rsid w:val="D1FB24DB"/>
    <w:rsid w:val="D3DFF23D"/>
    <w:rsid w:val="D3E74C57"/>
    <w:rsid w:val="D5FDA11C"/>
    <w:rsid w:val="D6BC272F"/>
    <w:rsid w:val="D7B36D24"/>
    <w:rsid w:val="D7DE25B1"/>
    <w:rsid w:val="D7DEC7EE"/>
    <w:rsid w:val="D7ED0036"/>
    <w:rsid w:val="D867D162"/>
    <w:rsid w:val="D8DFC712"/>
    <w:rsid w:val="DB57BBF7"/>
    <w:rsid w:val="DBDB58AA"/>
    <w:rsid w:val="DBDF717D"/>
    <w:rsid w:val="DBEFE8A6"/>
    <w:rsid w:val="DBF796C1"/>
    <w:rsid w:val="DBFB4022"/>
    <w:rsid w:val="DBFF55DA"/>
    <w:rsid w:val="DBFF7C59"/>
    <w:rsid w:val="DC6ACC76"/>
    <w:rsid w:val="DD77DBFC"/>
    <w:rsid w:val="DDDD3AAA"/>
    <w:rsid w:val="DDE7EBA8"/>
    <w:rsid w:val="DDFF9BBD"/>
    <w:rsid w:val="DE5B1729"/>
    <w:rsid w:val="DEBDE491"/>
    <w:rsid w:val="DECFE504"/>
    <w:rsid w:val="DEFFF88B"/>
    <w:rsid w:val="DF6EEF67"/>
    <w:rsid w:val="DF6F673E"/>
    <w:rsid w:val="DF7644E7"/>
    <w:rsid w:val="DF7F6559"/>
    <w:rsid w:val="DFBB277E"/>
    <w:rsid w:val="DFBCD0BC"/>
    <w:rsid w:val="DFBD1572"/>
    <w:rsid w:val="DFC99911"/>
    <w:rsid w:val="DFCB6B9B"/>
    <w:rsid w:val="DFCFE673"/>
    <w:rsid w:val="DFEFFB4A"/>
    <w:rsid w:val="DFF3DFE6"/>
    <w:rsid w:val="DFF72C0C"/>
    <w:rsid w:val="DFF762AC"/>
    <w:rsid w:val="DFFD56EB"/>
    <w:rsid w:val="DFFDC1EC"/>
    <w:rsid w:val="DFFE4E81"/>
    <w:rsid w:val="DFFE94C0"/>
    <w:rsid w:val="E07E62FD"/>
    <w:rsid w:val="E374C507"/>
    <w:rsid w:val="E3D35396"/>
    <w:rsid w:val="E3DD181D"/>
    <w:rsid w:val="E3FB990F"/>
    <w:rsid w:val="E47F08F1"/>
    <w:rsid w:val="E55F3C44"/>
    <w:rsid w:val="E676C28A"/>
    <w:rsid w:val="E6D76A9D"/>
    <w:rsid w:val="E7172CE5"/>
    <w:rsid w:val="E79D488D"/>
    <w:rsid w:val="E7E74F06"/>
    <w:rsid w:val="E7F73512"/>
    <w:rsid w:val="E7F76B7D"/>
    <w:rsid w:val="E7FD669B"/>
    <w:rsid w:val="EB5EC710"/>
    <w:rsid w:val="EB776932"/>
    <w:rsid w:val="EB7E363E"/>
    <w:rsid w:val="EB8FCC53"/>
    <w:rsid w:val="EB9D279D"/>
    <w:rsid w:val="EBF6F7EC"/>
    <w:rsid w:val="EBFEF502"/>
    <w:rsid w:val="EC4E8B30"/>
    <w:rsid w:val="EC7FEDDE"/>
    <w:rsid w:val="ECF7A08F"/>
    <w:rsid w:val="EDDD4315"/>
    <w:rsid w:val="EDEBB741"/>
    <w:rsid w:val="EDF3AE4B"/>
    <w:rsid w:val="EE6F7CE4"/>
    <w:rsid w:val="EEBFAC09"/>
    <w:rsid w:val="EEFF3481"/>
    <w:rsid w:val="EF5F849E"/>
    <w:rsid w:val="EF7722C6"/>
    <w:rsid w:val="EFAEB203"/>
    <w:rsid w:val="EFB760A1"/>
    <w:rsid w:val="EFDB1127"/>
    <w:rsid w:val="EFEEA8B7"/>
    <w:rsid w:val="EFEF4318"/>
    <w:rsid w:val="EFF3E420"/>
    <w:rsid w:val="EFFF5CA2"/>
    <w:rsid w:val="EFFFFF24"/>
    <w:rsid w:val="F050DC21"/>
    <w:rsid w:val="F1BFC573"/>
    <w:rsid w:val="F1DF48E0"/>
    <w:rsid w:val="F2F5F649"/>
    <w:rsid w:val="F3570537"/>
    <w:rsid w:val="F37F139F"/>
    <w:rsid w:val="F3BFAEF6"/>
    <w:rsid w:val="F3ED6A9D"/>
    <w:rsid w:val="F5D2239A"/>
    <w:rsid w:val="F5EF1F14"/>
    <w:rsid w:val="F5F7E76E"/>
    <w:rsid w:val="F66B4D4B"/>
    <w:rsid w:val="F67F17BD"/>
    <w:rsid w:val="F6FBAB41"/>
    <w:rsid w:val="F6FD3E54"/>
    <w:rsid w:val="F6FE5E72"/>
    <w:rsid w:val="F72BCE6F"/>
    <w:rsid w:val="F73DCAC5"/>
    <w:rsid w:val="F7975AF9"/>
    <w:rsid w:val="F7B43459"/>
    <w:rsid w:val="F7C9181A"/>
    <w:rsid w:val="F7CF5C85"/>
    <w:rsid w:val="F7D1D8AE"/>
    <w:rsid w:val="F7D72DFF"/>
    <w:rsid w:val="F7E79063"/>
    <w:rsid w:val="F7EE2517"/>
    <w:rsid w:val="F7F80EB2"/>
    <w:rsid w:val="F7FFF4A2"/>
    <w:rsid w:val="F8F3220E"/>
    <w:rsid w:val="F8FFF9CE"/>
    <w:rsid w:val="F97D2818"/>
    <w:rsid w:val="F9EF8D71"/>
    <w:rsid w:val="F9EFF2E2"/>
    <w:rsid w:val="F9F58104"/>
    <w:rsid w:val="F9FE0830"/>
    <w:rsid w:val="FA8BB60B"/>
    <w:rsid w:val="FADF3728"/>
    <w:rsid w:val="FAE931A2"/>
    <w:rsid w:val="FB2B8857"/>
    <w:rsid w:val="FB4F3BE6"/>
    <w:rsid w:val="FB50D532"/>
    <w:rsid w:val="FB5FD576"/>
    <w:rsid w:val="FB7B0F75"/>
    <w:rsid w:val="FB7F1D6E"/>
    <w:rsid w:val="FB7F3DD8"/>
    <w:rsid w:val="FB7F5F49"/>
    <w:rsid w:val="FB8567F8"/>
    <w:rsid w:val="FBBB0F51"/>
    <w:rsid w:val="FBE3DD29"/>
    <w:rsid w:val="FBEE6A4C"/>
    <w:rsid w:val="FBEFF7F2"/>
    <w:rsid w:val="FBF0F819"/>
    <w:rsid w:val="FBFA7BE4"/>
    <w:rsid w:val="FBFCCF44"/>
    <w:rsid w:val="FBFF3149"/>
    <w:rsid w:val="FBFF3C27"/>
    <w:rsid w:val="FC4D3909"/>
    <w:rsid w:val="FC6D63FB"/>
    <w:rsid w:val="FC6ECDC2"/>
    <w:rsid w:val="FC7AFEB6"/>
    <w:rsid w:val="FC7FB450"/>
    <w:rsid w:val="FCF5A05D"/>
    <w:rsid w:val="FCF77C00"/>
    <w:rsid w:val="FCFDCD70"/>
    <w:rsid w:val="FCFF1BAB"/>
    <w:rsid w:val="FCFFD552"/>
    <w:rsid w:val="FD5DFAC8"/>
    <w:rsid w:val="FD634801"/>
    <w:rsid w:val="FD6C295E"/>
    <w:rsid w:val="FDBA724F"/>
    <w:rsid w:val="FDBD1DCD"/>
    <w:rsid w:val="FDBD3B6A"/>
    <w:rsid w:val="FDCB99B1"/>
    <w:rsid w:val="FDCD5D28"/>
    <w:rsid w:val="FDD3043D"/>
    <w:rsid w:val="FDDF0627"/>
    <w:rsid w:val="FDDFE1C4"/>
    <w:rsid w:val="FDF7163C"/>
    <w:rsid w:val="FDF74B6C"/>
    <w:rsid w:val="FE5F9864"/>
    <w:rsid w:val="FE7B064A"/>
    <w:rsid w:val="FE7DB371"/>
    <w:rsid w:val="FE9F6C5C"/>
    <w:rsid w:val="FEC3A0A4"/>
    <w:rsid w:val="FED74242"/>
    <w:rsid w:val="FEDA5853"/>
    <w:rsid w:val="FEDD66A5"/>
    <w:rsid w:val="FEED5B06"/>
    <w:rsid w:val="FEFC5FA5"/>
    <w:rsid w:val="FF1E567A"/>
    <w:rsid w:val="FF332E34"/>
    <w:rsid w:val="FF33360F"/>
    <w:rsid w:val="FF3B9D7C"/>
    <w:rsid w:val="FF5B8C35"/>
    <w:rsid w:val="FF6F113B"/>
    <w:rsid w:val="FF6F39E4"/>
    <w:rsid w:val="FF6FDD80"/>
    <w:rsid w:val="FF773AD7"/>
    <w:rsid w:val="FF7C6EF1"/>
    <w:rsid w:val="FF7EF9FD"/>
    <w:rsid w:val="FF7F4235"/>
    <w:rsid w:val="FF7FF368"/>
    <w:rsid w:val="FF9D6D8A"/>
    <w:rsid w:val="FF9DD64C"/>
    <w:rsid w:val="FF9F8BBA"/>
    <w:rsid w:val="FFAF68BC"/>
    <w:rsid w:val="FFAFC8C1"/>
    <w:rsid w:val="FFB705E0"/>
    <w:rsid w:val="FFB7E3A6"/>
    <w:rsid w:val="FFB9F062"/>
    <w:rsid w:val="FFBB6E63"/>
    <w:rsid w:val="FFBB6F5E"/>
    <w:rsid w:val="FFBD8CC1"/>
    <w:rsid w:val="FFBE4660"/>
    <w:rsid w:val="FFBF1CC6"/>
    <w:rsid w:val="FFD73CBE"/>
    <w:rsid w:val="FFDB1C60"/>
    <w:rsid w:val="FFDF2FA9"/>
    <w:rsid w:val="FFDF5D51"/>
    <w:rsid w:val="FFDFB0DB"/>
    <w:rsid w:val="FFE53FE5"/>
    <w:rsid w:val="FFECE2EB"/>
    <w:rsid w:val="FFEF5E72"/>
    <w:rsid w:val="FFF21735"/>
    <w:rsid w:val="FFF3E6C2"/>
    <w:rsid w:val="FFF59DDE"/>
    <w:rsid w:val="FFF949AB"/>
    <w:rsid w:val="FFF9CBFE"/>
    <w:rsid w:val="FFFA1C26"/>
    <w:rsid w:val="FFFB883C"/>
    <w:rsid w:val="FFFBB334"/>
    <w:rsid w:val="FFFBCA5A"/>
    <w:rsid w:val="FFFD2E77"/>
    <w:rsid w:val="FFFD667C"/>
    <w:rsid w:val="FFFD8E87"/>
    <w:rsid w:val="FFFE9BD5"/>
    <w:rsid w:val="FFFF37E6"/>
    <w:rsid w:val="FFFF7A67"/>
    <w:rsid w:val="FFFF8101"/>
    <w:rsid w:val="FFFF9587"/>
    <w:rsid w:val="FFFFA09B"/>
    <w:rsid w:val="FFFFA402"/>
    <w:rsid w:val="FFFFE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0"/>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2"/>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4">
    <w:name w:val="Default Paragraph Font"/>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99"/>
    <w:pPr>
      <w:ind w:left="420" w:leftChars="200"/>
    </w:pPr>
  </w:style>
  <w:style w:type="paragraph" w:styleId="13">
    <w:name w:val="Normal Indent"/>
    <w:basedOn w:val="1"/>
    <w:link w:val="79"/>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annotation text"/>
    <w:basedOn w:val="1"/>
    <w:link w:val="80"/>
    <w:unhideWhenUsed/>
    <w:qFormat/>
    <w:uiPriority w:val="0"/>
    <w:pPr>
      <w:jc w:val="left"/>
    </w:pPr>
    <w:rPr>
      <w:rFonts w:hint="default" w:cs="Times New Roman"/>
      <w:kern w:val="0"/>
      <w:sz w:val="20"/>
    </w:rPr>
  </w:style>
  <w:style w:type="paragraph" w:styleId="15">
    <w:name w:val="Body Text 3"/>
    <w:basedOn w:val="1"/>
    <w:link w:val="81"/>
    <w:qFormat/>
    <w:uiPriority w:val="0"/>
    <w:pPr>
      <w:widowControl w:val="0"/>
      <w:spacing w:after="120"/>
    </w:pPr>
    <w:rPr>
      <w:rFonts w:hint="default" w:ascii="Times New Roman" w:hAnsi="Times New Roman" w:eastAsia="宋体" w:cs="Times New Roman"/>
      <w:color w:val="auto"/>
      <w:sz w:val="16"/>
      <w:szCs w:val="16"/>
    </w:rPr>
  </w:style>
  <w:style w:type="paragraph" w:styleId="16">
    <w:name w:val="Body Text"/>
    <w:basedOn w:val="1"/>
    <w:link w:val="82"/>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7">
    <w:name w:val="Body Text Indent"/>
    <w:basedOn w:val="1"/>
    <w:link w:val="83"/>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8">
    <w:name w:val="List 2"/>
    <w:basedOn w:val="1"/>
    <w:qFormat/>
    <w:uiPriority w:val="0"/>
    <w:pPr>
      <w:ind w:left="100" w:leftChars="200" w:hanging="200" w:hangingChars="200"/>
    </w:pPr>
    <w:rPr>
      <w:rFonts w:ascii="Calibri" w:hAnsi="Calibri" w:eastAsia="宋体" w:cs="Times New Roman"/>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index 4"/>
    <w:basedOn w:val="1"/>
    <w:next w:val="1"/>
    <w:unhideWhenUsed/>
    <w:qFormat/>
    <w:uiPriority w:val="99"/>
    <w:pPr>
      <w:ind w:left="600" w:leftChars="600"/>
    </w:p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84"/>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5"/>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86"/>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87"/>
    <w:unhideWhenUsed/>
    <w:qFormat/>
    <w:uiPriority w:val="0"/>
    <w:rPr>
      <w:rFonts w:hint="default" w:cs="Times New Roman"/>
      <w:kern w:val="0"/>
      <w:sz w:val="18"/>
      <w:szCs w:val="18"/>
    </w:rPr>
  </w:style>
  <w:style w:type="paragraph" w:styleId="29">
    <w:name w:val="footer"/>
    <w:basedOn w:val="1"/>
    <w:link w:val="88"/>
    <w:qFormat/>
    <w:uiPriority w:val="99"/>
    <w:pPr>
      <w:tabs>
        <w:tab w:val="center" w:pos="4153"/>
        <w:tab w:val="right" w:pos="8306"/>
      </w:tabs>
    </w:pPr>
    <w:rPr>
      <w:rFonts w:hint="default" w:ascii="宋体" w:hAnsi="宋体" w:eastAsia="宋体" w:cs="Times New Roman"/>
      <w:kern w:val="0"/>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89"/>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0"/>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1"/>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Body Text 2"/>
    <w:basedOn w:val="1"/>
    <w:link w:val="92"/>
    <w:qFormat/>
    <w:uiPriority w:val="0"/>
    <w:pPr>
      <w:widowControl w:val="0"/>
      <w:spacing w:after="120" w:line="480" w:lineRule="auto"/>
    </w:pPr>
    <w:rPr>
      <w:rFonts w:hint="default" w:ascii="Times New Roman" w:hAnsi="Times New Roman" w:eastAsia="宋体" w:cs="Times New Roman"/>
      <w:color w:val="auto"/>
      <w:szCs w:val="24"/>
    </w:rPr>
  </w:style>
  <w:style w:type="paragraph" w:styleId="44">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5">
    <w:name w:val="Message Header"/>
    <w:basedOn w:val="1"/>
    <w:link w:val="9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link w:val="94"/>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9">
    <w:name w:val="annotation subject"/>
    <w:basedOn w:val="14"/>
    <w:next w:val="14"/>
    <w:link w:val="95"/>
    <w:qFormat/>
    <w:uiPriority w:val="0"/>
    <w:pPr>
      <w:widowControl w:val="0"/>
    </w:pPr>
    <w:rPr>
      <w:rFonts w:ascii="Times New Roman" w:hAnsi="Times New Roman" w:eastAsia="宋体"/>
      <w:b/>
      <w:bCs/>
      <w:color w:val="auto"/>
      <w:kern w:val="2"/>
      <w:sz w:val="21"/>
      <w:szCs w:val="24"/>
    </w:rPr>
  </w:style>
  <w:style w:type="paragraph" w:styleId="50">
    <w:name w:val="Body Text First Indent"/>
    <w:basedOn w:val="16"/>
    <w:next w:val="51"/>
    <w:link w:val="96"/>
    <w:qFormat/>
    <w:uiPriority w:val="0"/>
    <w:pPr>
      <w:spacing w:before="0" w:after="120" w:line="240" w:lineRule="auto"/>
      <w:ind w:firstLine="420"/>
    </w:pPr>
    <w:rPr>
      <w:rFonts w:ascii="Times New Roman" w:hAnsi="Times New Roman" w:eastAsia="楷体_GB2312"/>
      <w:sz w:val="32"/>
    </w:rPr>
  </w:style>
  <w:style w:type="paragraph" w:styleId="51">
    <w:name w:val="Body Text First Indent 2"/>
    <w:basedOn w:val="17"/>
    <w:link w:val="97"/>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color w:val="333333"/>
      <w:sz w:val="18"/>
      <w:szCs w:val="18"/>
      <w:u w:val="none"/>
    </w:rPr>
  </w:style>
  <w:style w:type="character" w:styleId="58">
    <w:name w:val="Emphasis"/>
    <w:qFormat/>
    <w:uiPriority w:val="20"/>
    <w:rPr>
      <w:rFonts w:ascii="ActionIcon ! important" w:hAnsi="ActionIcon ! important" w:eastAsia="ActionIcon ! important" w:cs="ActionIcon ! important"/>
      <w:b/>
      <w:bCs/>
      <w:color w:val="5C5C5C"/>
      <w:sz w:val="21"/>
      <w:szCs w:val="21"/>
      <w:u w:val="none"/>
    </w:rPr>
  </w:style>
  <w:style w:type="character" w:styleId="59">
    <w:name w:val="HTML Definition"/>
    <w:unhideWhenUsed/>
    <w:qFormat/>
    <w:uiPriority w:val="99"/>
  </w:style>
  <w:style w:type="character" w:styleId="60">
    <w:name w:val="HTML Typewriter"/>
    <w:unhideWhenUsed/>
    <w:qFormat/>
    <w:uiPriority w:val="99"/>
    <w:rPr>
      <w:rFonts w:hint="default" w:ascii="monospace" w:hAnsi="monospace" w:eastAsia="monospace" w:cs="monospace"/>
      <w:vanish/>
      <w:sz w:val="20"/>
    </w:rPr>
  </w:style>
  <w:style w:type="character" w:styleId="61">
    <w:name w:val="HTML Acronym"/>
    <w:basedOn w:val="54"/>
    <w:unhideWhenUsed/>
    <w:qFormat/>
    <w:uiPriority w:val="99"/>
  </w:style>
  <w:style w:type="character" w:styleId="62">
    <w:name w:val="HTML Variable"/>
    <w:unhideWhenUsed/>
    <w:qFormat/>
    <w:uiPriority w:val="99"/>
  </w:style>
  <w:style w:type="character" w:styleId="63">
    <w:name w:val="Hyperlink"/>
    <w:qFormat/>
    <w:uiPriority w:val="99"/>
    <w:rPr>
      <w:u w:val="single"/>
    </w:rPr>
  </w:style>
  <w:style w:type="character" w:styleId="64">
    <w:name w:val="HTML Code"/>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unhideWhenUsed/>
    <w:qFormat/>
    <w:uiPriority w:val="99"/>
  </w:style>
  <w:style w:type="character" w:styleId="67">
    <w:name w:val="footnote reference"/>
    <w:qFormat/>
    <w:uiPriority w:val="0"/>
    <w:rPr>
      <w:vertAlign w:val="superscript"/>
    </w:rPr>
  </w:style>
  <w:style w:type="character" w:styleId="68">
    <w:name w:val="HTML Keyboard"/>
    <w:unhideWhenUsed/>
    <w:qFormat/>
    <w:uiPriority w:val="99"/>
    <w:rPr>
      <w:rFonts w:ascii="monospace" w:hAnsi="monospace" w:eastAsia="monospace" w:cs="monospace"/>
      <w:sz w:val="20"/>
    </w:rPr>
  </w:style>
  <w:style w:type="character" w:styleId="69">
    <w:name w:val="HTML Sample"/>
    <w:unhideWhenUsed/>
    <w:qFormat/>
    <w:uiPriority w:val="99"/>
    <w:rPr>
      <w:rFonts w:hint="default" w:ascii="monospace" w:hAnsi="monospace" w:eastAsia="monospace" w:cs="monospace"/>
    </w:rPr>
  </w:style>
  <w:style w:type="character" w:customStyle="1" w:styleId="70">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1">
    <w:name w:val="标题 2 字符"/>
    <w:link w:val="3"/>
    <w:qFormat/>
    <w:uiPriority w:val="0"/>
    <w:rPr>
      <w:rFonts w:ascii="Cambria" w:hAnsi="Cambria" w:eastAsia="宋体" w:cs="Times New Roman"/>
      <w:b/>
      <w:bCs/>
      <w:color w:val="000000"/>
      <w:sz w:val="32"/>
      <w:szCs w:val="32"/>
      <w:lang w:val="zh-TW" w:eastAsia="zh-TW"/>
    </w:rPr>
  </w:style>
  <w:style w:type="character" w:customStyle="1" w:styleId="72">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字符"/>
    <w:link w:val="5"/>
    <w:qFormat/>
    <w:uiPriority w:val="0"/>
    <w:rPr>
      <w:rFonts w:ascii="Arial" w:hAnsi="Arial" w:eastAsia="黑体"/>
      <w:b/>
      <w:kern w:val="2"/>
      <w:sz w:val="28"/>
      <w:szCs w:val="24"/>
    </w:rPr>
  </w:style>
  <w:style w:type="character" w:customStyle="1" w:styleId="74">
    <w:name w:val="标题 5 字符"/>
    <w:link w:val="6"/>
    <w:qFormat/>
    <w:uiPriority w:val="0"/>
    <w:rPr>
      <w:rFonts w:ascii="仿宋_GB2312" w:hAnsi="Times New Roman" w:eastAsia="仿宋_GB2312"/>
      <w:b/>
      <w:kern w:val="2"/>
      <w:sz w:val="28"/>
      <w:szCs w:val="32"/>
    </w:rPr>
  </w:style>
  <w:style w:type="character" w:customStyle="1" w:styleId="75">
    <w:name w:val="标题 6 字符"/>
    <w:link w:val="7"/>
    <w:qFormat/>
    <w:uiPriority w:val="0"/>
    <w:rPr>
      <w:rFonts w:ascii="Arial" w:hAnsi="Arial" w:eastAsia="黑体"/>
      <w:b/>
      <w:kern w:val="2"/>
      <w:sz w:val="24"/>
      <w:szCs w:val="32"/>
    </w:rPr>
  </w:style>
  <w:style w:type="character" w:customStyle="1" w:styleId="76">
    <w:name w:val="标题 7 字符"/>
    <w:link w:val="8"/>
    <w:qFormat/>
    <w:uiPriority w:val="0"/>
    <w:rPr>
      <w:rFonts w:ascii="仿宋_GB2312" w:hAnsi="Times New Roman" w:eastAsia="仿宋_GB2312"/>
      <w:b/>
      <w:kern w:val="2"/>
      <w:sz w:val="24"/>
      <w:szCs w:val="32"/>
    </w:rPr>
  </w:style>
  <w:style w:type="character" w:customStyle="1" w:styleId="77">
    <w:name w:val="标题 8 字符"/>
    <w:link w:val="9"/>
    <w:qFormat/>
    <w:uiPriority w:val="0"/>
    <w:rPr>
      <w:rFonts w:ascii="Arial" w:hAnsi="Arial" w:eastAsia="黑体"/>
      <w:kern w:val="2"/>
      <w:sz w:val="24"/>
      <w:szCs w:val="32"/>
    </w:rPr>
  </w:style>
  <w:style w:type="character" w:customStyle="1" w:styleId="78">
    <w:name w:val="标题 9 字符"/>
    <w:link w:val="10"/>
    <w:qFormat/>
    <w:uiPriority w:val="0"/>
    <w:rPr>
      <w:rFonts w:ascii="Arial" w:hAnsi="Arial" w:eastAsia="黑体"/>
      <w:kern w:val="2"/>
      <w:sz w:val="21"/>
      <w:szCs w:val="32"/>
    </w:rPr>
  </w:style>
  <w:style w:type="character" w:customStyle="1" w:styleId="79">
    <w:name w:val="正文缩进 字符"/>
    <w:link w:val="13"/>
    <w:qFormat/>
    <w:uiPriority w:val="0"/>
    <w:rPr>
      <w:rFonts w:ascii="宋体"/>
      <w:sz w:val="24"/>
    </w:rPr>
  </w:style>
  <w:style w:type="character" w:customStyle="1" w:styleId="80">
    <w:name w:val="批注文字 字符"/>
    <w:link w:val="14"/>
    <w:qFormat/>
    <w:uiPriority w:val="0"/>
    <w:rPr>
      <w:rFonts w:ascii="Arial Unicode MS" w:hAnsi="Arial Unicode MS" w:eastAsia="Arial Unicode MS" w:cs="Arial Unicode MS"/>
      <w:color w:val="000000"/>
      <w:szCs w:val="21"/>
      <w:lang w:val="zh-TW" w:eastAsia="zh-TW"/>
    </w:rPr>
  </w:style>
  <w:style w:type="character" w:customStyle="1" w:styleId="81">
    <w:name w:val="正文文本 3 字符"/>
    <w:link w:val="15"/>
    <w:qFormat/>
    <w:uiPriority w:val="0"/>
    <w:rPr>
      <w:kern w:val="2"/>
      <w:sz w:val="16"/>
      <w:szCs w:val="16"/>
    </w:rPr>
  </w:style>
  <w:style w:type="character" w:customStyle="1" w:styleId="82">
    <w:name w:val="正文文本 字符1"/>
    <w:link w:val="16"/>
    <w:qFormat/>
    <w:uiPriority w:val="0"/>
    <w:rPr>
      <w:rFonts w:ascii="宋体" w:hAnsi="宋体"/>
      <w:kern w:val="2"/>
      <w:sz w:val="24"/>
      <w:szCs w:val="24"/>
    </w:rPr>
  </w:style>
  <w:style w:type="character" w:customStyle="1" w:styleId="83">
    <w:name w:val="正文文本缩进 字符"/>
    <w:link w:val="17"/>
    <w:qFormat/>
    <w:uiPriority w:val="0"/>
    <w:rPr>
      <w:kern w:val="2"/>
      <w:sz w:val="24"/>
      <w:szCs w:val="24"/>
    </w:rPr>
  </w:style>
  <w:style w:type="character" w:customStyle="1" w:styleId="84">
    <w:name w:val="纯文本 字符"/>
    <w:link w:val="24"/>
    <w:qFormat/>
    <w:uiPriority w:val="0"/>
    <w:rPr>
      <w:rFonts w:ascii="宋体" w:hAnsi="Courier New"/>
    </w:rPr>
  </w:style>
  <w:style w:type="character" w:customStyle="1" w:styleId="85">
    <w:name w:val="日期 字符"/>
    <w:link w:val="26"/>
    <w:qFormat/>
    <w:uiPriority w:val="99"/>
    <w:rPr>
      <w:rFonts w:ascii="仿宋_GB2312" w:hAnsi="宋体" w:eastAsia="仿宋_GB2312"/>
      <w:color w:val="000000"/>
      <w:kern w:val="2"/>
      <w:sz w:val="24"/>
      <w:szCs w:val="24"/>
    </w:rPr>
  </w:style>
  <w:style w:type="character" w:customStyle="1" w:styleId="86">
    <w:name w:val="正文文本缩进 2 字符"/>
    <w:link w:val="27"/>
    <w:qFormat/>
    <w:uiPriority w:val="0"/>
    <w:rPr>
      <w:rFonts w:ascii="仿宋_GB2312" w:eastAsia="仿宋_GB2312"/>
      <w:kern w:val="2"/>
      <w:sz w:val="24"/>
      <w:szCs w:val="24"/>
    </w:rPr>
  </w:style>
  <w:style w:type="character" w:customStyle="1" w:styleId="87">
    <w:name w:val="批注框文本 字符"/>
    <w:link w:val="28"/>
    <w:qFormat/>
    <w:uiPriority w:val="0"/>
    <w:rPr>
      <w:rFonts w:ascii="Arial Unicode MS" w:hAnsi="Arial Unicode MS" w:eastAsia="Arial Unicode MS" w:cs="Arial Unicode MS"/>
      <w:color w:val="000000"/>
      <w:sz w:val="18"/>
      <w:szCs w:val="18"/>
      <w:lang w:val="zh-TW" w:eastAsia="zh-TW"/>
    </w:rPr>
  </w:style>
  <w:style w:type="character" w:customStyle="1" w:styleId="88">
    <w:name w:val="页脚 字符"/>
    <w:link w:val="29"/>
    <w:qFormat/>
    <w:uiPriority w:val="99"/>
    <w:rPr>
      <w:rFonts w:ascii="宋体" w:hAnsi="宋体" w:eastAsia="宋体" w:cs="宋体"/>
      <w:color w:val="000000"/>
      <w:kern w:val="0"/>
      <w:sz w:val="18"/>
      <w:szCs w:val="18"/>
    </w:rPr>
  </w:style>
  <w:style w:type="character" w:customStyle="1" w:styleId="89">
    <w:name w:val="页眉 字符"/>
    <w:link w:val="31"/>
    <w:qFormat/>
    <w:uiPriority w:val="99"/>
    <w:rPr>
      <w:rFonts w:ascii="Arial Unicode MS" w:hAnsi="Arial Unicode MS" w:eastAsia="Arial Unicode MS" w:cs="Arial Unicode MS"/>
      <w:color w:val="000000"/>
      <w:sz w:val="18"/>
      <w:szCs w:val="18"/>
      <w:lang w:val="zh-TW" w:eastAsia="zh-TW"/>
    </w:rPr>
  </w:style>
  <w:style w:type="character" w:customStyle="1" w:styleId="90">
    <w:name w:val="脚注文本 字符"/>
    <w:link w:val="36"/>
    <w:qFormat/>
    <w:uiPriority w:val="0"/>
    <w:rPr>
      <w:kern w:val="2"/>
      <w:sz w:val="18"/>
      <w:szCs w:val="22"/>
    </w:rPr>
  </w:style>
  <w:style w:type="character" w:customStyle="1" w:styleId="91">
    <w:name w:val="正文文本缩进 3 字符"/>
    <w:link w:val="39"/>
    <w:qFormat/>
    <w:uiPriority w:val="0"/>
    <w:rPr>
      <w:rFonts w:ascii="宋体"/>
      <w:sz w:val="24"/>
    </w:rPr>
  </w:style>
  <w:style w:type="character" w:customStyle="1" w:styleId="92">
    <w:name w:val="正文文本 2 字符"/>
    <w:link w:val="43"/>
    <w:qFormat/>
    <w:uiPriority w:val="0"/>
    <w:rPr>
      <w:kern w:val="2"/>
      <w:sz w:val="21"/>
      <w:szCs w:val="24"/>
    </w:rPr>
  </w:style>
  <w:style w:type="character" w:customStyle="1" w:styleId="93">
    <w:name w:val="信息标题 字符"/>
    <w:link w:val="45"/>
    <w:qFormat/>
    <w:uiPriority w:val="99"/>
    <w:rPr>
      <w:rFonts w:ascii="Cambria" w:hAnsi="Cambria" w:eastAsia="Arial Unicode MS" w:cs="Arial Unicode MS"/>
      <w:color w:val="000000"/>
      <w:kern w:val="2"/>
      <w:sz w:val="24"/>
      <w:szCs w:val="21"/>
      <w:shd w:val="pct20" w:color="auto" w:fill="auto"/>
      <w:lang w:val="zh-TW" w:eastAsia="zh-TW"/>
    </w:rPr>
  </w:style>
  <w:style w:type="character" w:customStyle="1" w:styleId="94">
    <w:name w:val="标题 字符"/>
    <w:link w:val="48"/>
    <w:qFormat/>
    <w:uiPriority w:val="0"/>
    <w:rPr>
      <w:rFonts w:ascii="Arial" w:hAnsi="Arial" w:eastAsia="Arial"/>
      <w:b/>
      <w:bCs/>
      <w:color w:val="000000"/>
      <w:sz w:val="32"/>
      <w:szCs w:val="32"/>
      <w:lang w:bidi="ar-SA"/>
    </w:rPr>
  </w:style>
  <w:style w:type="character" w:customStyle="1" w:styleId="95">
    <w:name w:val="批注主题 字符"/>
    <w:link w:val="49"/>
    <w:qFormat/>
    <w:uiPriority w:val="0"/>
    <w:rPr>
      <w:b/>
      <w:bCs/>
      <w:kern w:val="2"/>
      <w:sz w:val="21"/>
      <w:szCs w:val="24"/>
    </w:rPr>
  </w:style>
  <w:style w:type="character" w:customStyle="1" w:styleId="96">
    <w:name w:val="正文文本首行缩进 字符"/>
    <w:link w:val="50"/>
    <w:qFormat/>
    <w:uiPriority w:val="0"/>
    <w:rPr>
      <w:rFonts w:eastAsia="楷体_GB2312"/>
      <w:kern w:val="2"/>
      <w:sz w:val="32"/>
      <w:szCs w:val="24"/>
    </w:rPr>
  </w:style>
  <w:style w:type="character" w:customStyle="1" w:styleId="97">
    <w:name w:val="正文文本首行缩进 2 字符"/>
    <w:link w:val="51"/>
    <w:qFormat/>
    <w:uiPriority w:val="99"/>
    <w:rPr>
      <w:rFonts w:ascii="Cambria" w:hAnsi="Cambria"/>
      <w:kern w:val="2"/>
      <w:sz w:val="21"/>
      <w:szCs w:val="24"/>
    </w:rPr>
  </w:style>
  <w:style w:type="paragraph" w:customStyle="1" w:styleId="98">
    <w:name w:val="首行缩进"/>
    <w:basedOn w:val="1"/>
    <w:qFormat/>
    <w:uiPriority w:val="0"/>
    <w:pPr>
      <w:spacing w:line="360" w:lineRule="auto"/>
      <w:ind w:firstLine="480" w:firstLineChars="200"/>
    </w:pPr>
    <w:rPr>
      <w:rFonts w:ascii="宋体" w:hAnsi="宋体" w:cs="宋体"/>
      <w:kern w:val="0"/>
      <w:sz w:val="24"/>
    </w:rPr>
  </w:style>
  <w:style w:type="paragraph" w:customStyle="1" w:styleId="99">
    <w:name w:val="Default"/>
    <w:next w:val="4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1">
    <w:name w:val="style4"/>
    <w:basedOn w:val="1"/>
    <w:next w:val="102"/>
    <w:qFormat/>
    <w:uiPriority w:val="0"/>
    <w:pPr>
      <w:spacing w:before="280" w:after="280"/>
    </w:pPr>
    <w:rPr>
      <w:rFonts w:ascii="宋体"/>
      <w:sz w:val="18"/>
    </w:rPr>
  </w:style>
  <w:style w:type="paragraph" w:customStyle="1" w:styleId="10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03">
    <w:name w:val="BodyText1I"/>
    <w:basedOn w:val="104"/>
    <w:qFormat/>
    <w:uiPriority w:val="99"/>
    <w:pPr>
      <w:tabs>
        <w:tab w:val="left" w:pos="567"/>
      </w:tabs>
      <w:spacing w:after="120"/>
      <w:ind w:firstLine="420" w:firstLineChars="100"/>
    </w:pPr>
  </w:style>
  <w:style w:type="paragraph" w:customStyle="1" w:styleId="104">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05">
    <w:name w:val="大标题"/>
    <w:basedOn w:val="1"/>
    <w:next w:val="51"/>
    <w:qFormat/>
    <w:uiPriority w:val="0"/>
    <w:pPr>
      <w:jc w:val="center"/>
    </w:pPr>
    <w:rPr>
      <w:rFonts w:ascii="Arial" w:hAnsi="Arial" w:eastAsia="宋体"/>
      <w:b/>
      <w:sz w:val="28"/>
      <w:szCs w:val="24"/>
    </w:rPr>
  </w:style>
  <w:style w:type="character" w:customStyle="1" w:styleId="106">
    <w:name w:val="apple-converted-space"/>
    <w:qFormat/>
    <w:uiPriority w:val="0"/>
  </w:style>
  <w:style w:type="character" w:customStyle="1" w:styleId="107">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8">
    <w:name w:val="标题 Char2"/>
    <w:qFormat/>
    <w:uiPriority w:val="10"/>
    <w:rPr>
      <w:rFonts w:ascii="Cambria" w:hAnsi="Cambria" w:cs="Times New Roman"/>
      <w:b/>
      <w:bCs/>
      <w:kern w:val="2"/>
      <w:sz w:val="32"/>
      <w:szCs w:val="32"/>
    </w:rPr>
  </w:style>
  <w:style w:type="character" w:customStyle="1" w:styleId="109">
    <w:name w:val="NormalCharacter"/>
    <w:qFormat/>
    <w:uiPriority w:val="0"/>
    <w:rPr>
      <w:kern w:val="2"/>
      <w:sz w:val="21"/>
      <w:szCs w:val="24"/>
      <w:lang w:val="en-US" w:eastAsia="zh-CN" w:bidi="ar-SA"/>
    </w:rPr>
  </w:style>
  <w:style w:type="character" w:customStyle="1" w:styleId="110">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1">
    <w:name w:val="正文缩进 Char1"/>
    <w:link w:val="112"/>
    <w:qFormat/>
    <w:uiPriority w:val="0"/>
    <w:rPr>
      <w:rFonts w:ascii="宋体"/>
      <w:sz w:val="24"/>
    </w:rPr>
  </w:style>
  <w:style w:type="paragraph" w:customStyle="1" w:styleId="112">
    <w:name w:val="正文缩进1"/>
    <w:basedOn w:val="1"/>
    <w:link w:val="11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13">
    <w:name w:val="wen11"/>
    <w:qFormat/>
    <w:uiPriority w:val="0"/>
    <w:rPr>
      <w:color w:val="000000"/>
      <w:sz w:val="21"/>
      <w:szCs w:val="21"/>
    </w:rPr>
  </w:style>
  <w:style w:type="character" w:customStyle="1" w:styleId="11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5">
    <w:name w:val="页脚 Char1"/>
    <w:semiHidden/>
    <w:qFormat/>
    <w:uiPriority w:val="99"/>
    <w:rPr>
      <w:kern w:val="2"/>
      <w:sz w:val="18"/>
      <w:szCs w:val="18"/>
    </w:rPr>
  </w:style>
  <w:style w:type="character" w:customStyle="1" w:styleId="116">
    <w:name w:val="纯文本 Char2"/>
    <w:semiHidden/>
    <w:qFormat/>
    <w:uiPriority w:val="99"/>
    <w:rPr>
      <w:rFonts w:ascii="宋体" w:hAnsi="Courier New" w:eastAsia="宋体" w:cs="Courier New"/>
      <w:szCs w:val="21"/>
    </w:rPr>
  </w:style>
  <w:style w:type="character" w:customStyle="1" w:styleId="117">
    <w:name w:val="日期 Char1"/>
    <w:semiHidden/>
    <w:qFormat/>
    <w:uiPriority w:val="99"/>
    <w:rPr>
      <w:rFonts w:ascii="Times New Roman" w:hAnsi="Times New Roman" w:eastAsia="宋体" w:cs="Times New Roman"/>
      <w:szCs w:val="24"/>
    </w:rPr>
  </w:style>
  <w:style w:type="character" w:customStyle="1" w:styleId="118">
    <w:name w:val="正文文本缩进 3 Char1"/>
    <w:semiHidden/>
    <w:qFormat/>
    <w:uiPriority w:val="99"/>
    <w:rPr>
      <w:rFonts w:ascii="Times New Roman" w:hAnsi="Times New Roman" w:eastAsia="宋体" w:cs="Times New Roman"/>
      <w:sz w:val="16"/>
      <w:szCs w:val="16"/>
    </w:rPr>
  </w:style>
  <w:style w:type="character" w:customStyle="1" w:styleId="119">
    <w:name w:val="p141"/>
    <w:qFormat/>
    <w:uiPriority w:val="99"/>
    <w:rPr>
      <w:sz w:val="21"/>
      <w:szCs w:val="21"/>
    </w:rPr>
  </w:style>
  <w:style w:type="character" w:customStyle="1" w:styleId="120">
    <w:name w:val="正文文本 Char1"/>
    <w:semiHidden/>
    <w:qFormat/>
    <w:uiPriority w:val="99"/>
    <w:rPr>
      <w:rFonts w:ascii="Times New Roman" w:hAnsi="Times New Roman" w:eastAsia="宋体" w:cs="Times New Roman"/>
      <w:szCs w:val="24"/>
    </w:rPr>
  </w:style>
  <w:style w:type="character" w:customStyle="1" w:styleId="121">
    <w:name w:val="正文首行缩进 2 Char1"/>
    <w:semiHidden/>
    <w:qFormat/>
    <w:uiPriority w:val="99"/>
    <w:rPr>
      <w:lang w:val="zh-TW" w:eastAsia="zh-TW"/>
    </w:rPr>
  </w:style>
  <w:style w:type="character" w:customStyle="1" w:styleId="122">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3">
    <w:name w:val="*正文 Char"/>
    <w:link w:val="124"/>
    <w:qFormat/>
    <w:uiPriority w:val="0"/>
    <w:rPr>
      <w:rFonts w:ascii="宋体" w:hAnsi="宋体"/>
      <w:sz w:val="22"/>
      <w:szCs w:val="24"/>
    </w:rPr>
  </w:style>
  <w:style w:type="paragraph" w:customStyle="1" w:styleId="124">
    <w:name w:val="*正文"/>
    <w:basedOn w:val="1"/>
    <w:link w:val="123"/>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25">
    <w:name w:val="纯文本 Char"/>
    <w:qFormat/>
    <w:uiPriority w:val="0"/>
    <w:rPr>
      <w:rFonts w:ascii="宋体" w:hAnsi="Courier New" w:cs="Courier New"/>
      <w:color w:val="000000"/>
      <w:kern w:val="2"/>
      <w:sz w:val="21"/>
      <w:szCs w:val="21"/>
      <w:lang w:val="zh-TW" w:eastAsia="zh-TW"/>
    </w:rPr>
  </w:style>
  <w:style w:type="character" w:customStyle="1" w:styleId="12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7">
    <w:name w:val="页眉 Char1"/>
    <w:semiHidden/>
    <w:qFormat/>
    <w:uiPriority w:val="99"/>
    <w:rPr>
      <w:kern w:val="2"/>
      <w:sz w:val="18"/>
      <w:szCs w:val="18"/>
    </w:rPr>
  </w:style>
  <w:style w:type="character" w:customStyle="1" w:styleId="128">
    <w:name w:val="正文首行缩进 Char1"/>
    <w:semiHidden/>
    <w:qFormat/>
    <w:uiPriority w:val="99"/>
    <w:rPr>
      <w:lang w:val="zh-TW" w:eastAsia="zh-TW"/>
    </w:rPr>
  </w:style>
  <w:style w:type="character" w:customStyle="1" w:styleId="129">
    <w:name w:val="批注主题 Char1"/>
    <w:semiHidden/>
    <w:qFormat/>
    <w:uiPriority w:val="99"/>
    <w:rPr>
      <w:b/>
      <w:bCs/>
      <w:kern w:val="2"/>
      <w:sz w:val="21"/>
      <w:szCs w:val="24"/>
    </w:rPr>
  </w:style>
  <w:style w:type="character" w:customStyle="1" w:styleId="130">
    <w:name w:val="fontstyle01"/>
    <w:qFormat/>
    <w:uiPriority w:val="0"/>
    <w:rPr>
      <w:rFonts w:hint="default" w:ascii="Times New Roman" w:hAnsi="Times New Roman" w:cs="Times New Roman"/>
      <w:color w:val="000000"/>
      <w:sz w:val="24"/>
      <w:szCs w:val="24"/>
    </w:rPr>
  </w:style>
  <w:style w:type="character" w:customStyle="1" w:styleId="131">
    <w:name w:val="fontstyle21"/>
    <w:qFormat/>
    <w:uiPriority w:val="0"/>
    <w:rPr>
      <w:rFonts w:hint="eastAsia" w:ascii="宋体" w:hAnsi="宋体" w:eastAsia="宋体"/>
      <w:color w:val="000000"/>
      <w:sz w:val="24"/>
      <w:szCs w:val="24"/>
    </w:rPr>
  </w:style>
  <w:style w:type="character" w:customStyle="1" w:styleId="132">
    <w:name w:val="批注框文本 Char1"/>
    <w:semiHidden/>
    <w:qFormat/>
    <w:uiPriority w:val="99"/>
    <w:rPr>
      <w:kern w:val="2"/>
      <w:sz w:val="18"/>
      <w:szCs w:val="18"/>
    </w:rPr>
  </w:style>
  <w:style w:type="character" w:customStyle="1" w:styleId="133">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4">
    <w:name w:val="批注文字 Char2"/>
    <w:semiHidden/>
    <w:qFormat/>
    <w:uiPriority w:val="99"/>
    <w:rPr>
      <w:kern w:val="2"/>
      <w:sz w:val="21"/>
      <w:szCs w:val="24"/>
    </w:rPr>
  </w:style>
  <w:style w:type="character" w:customStyle="1" w:styleId="135">
    <w:name w:val="批注框文本 Char2"/>
    <w:semiHidden/>
    <w:qFormat/>
    <w:uiPriority w:val="99"/>
    <w:rPr>
      <w:kern w:val="2"/>
      <w:sz w:val="18"/>
      <w:szCs w:val="18"/>
    </w:rPr>
  </w:style>
  <w:style w:type="character" w:customStyle="1" w:styleId="136">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7">
    <w:name w:val="正文文本 字符"/>
    <w:qFormat/>
    <w:uiPriority w:val="0"/>
    <w:rPr>
      <w:rFonts w:ascii="宋体" w:hAnsi="宋体"/>
      <w:kern w:val="2"/>
      <w:sz w:val="24"/>
      <w:szCs w:val="24"/>
    </w:rPr>
  </w:style>
  <w:style w:type="character" w:customStyle="1" w:styleId="138">
    <w:name w:val="Char Char2"/>
    <w:qFormat/>
    <w:uiPriority w:val="0"/>
    <w:rPr>
      <w:rFonts w:ascii="宋体" w:hAnsi="Courier New" w:eastAsia="宋体" w:cs="Courier New"/>
      <w:kern w:val="2"/>
      <w:sz w:val="21"/>
      <w:szCs w:val="21"/>
      <w:lang w:val="en-US" w:eastAsia="zh-CN" w:bidi="ar-SA"/>
    </w:rPr>
  </w:style>
  <w:style w:type="character" w:customStyle="1" w:styleId="139">
    <w:name w:val="fontstyle11"/>
    <w:qFormat/>
    <w:uiPriority w:val="0"/>
    <w:rPr>
      <w:rFonts w:hint="default" w:ascii="Times New Roman" w:hAnsi="Times New Roman" w:cs="Times New Roman"/>
      <w:color w:val="000000"/>
      <w:sz w:val="18"/>
      <w:szCs w:val="18"/>
    </w:rPr>
  </w:style>
  <w:style w:type="character" w:customStyle="1" w:styleId="140">
    <w:name w:val="dash6b63_6587__char1"/>
    <w:qFormat/>
    <w:uiPriority w:val="0"/>
    <w:rPr>
      <w:rFonts w:hint="default" w:ascii="Calibri" w:hAnsi="Calibri" w:cs="Calibri"/>
      <w:sz w:val="20"/>
      <w:szCs w:val="20"/>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font61"/>
    <w:qFormat/>
    <w:uiPriority w:val="0"/>
    <w:rPr>
      <w:rFonts w:hint="eastAsia" w:ascii="宋体" w:hAnsi="宋体" w:eastAsia="宋体" w:cs="宋体"/>
      <w:color w:val="auto"/>
      <w:sz w:val="20"/>
      <w:szCs w:val="20"/>
      <w:u w:val="none"/>
    </w:rPr>
  </w:style>
  <w:style w:type="character" w:customStyle="1" w:styleId="143">
    <w:name w:val="脚注文本 Char1"/>
    <w:semiHidden/>
    <w:qFormat/>
    <w:uiPriority w:val="99"/>
    <w:rPr>
      <w:rFonts w:ascii="Times New Roman" w:hAnsi="Times New Roman" w:eastAsia="宋体" w:cs="Times New Roman"/>
      <w:sz w:val="18"/>
      <w:szCs w:val="18"/>
    </w:rPr>
  </w:style>
  <w:style w:type="character" w:customStyle="1" w:styleId="144">
    <w:name w:val="标题 Char1"/>
    <w:qFormat/>
    <w:uiPriority w:val="10"/>
    <w:rPr>
      <w:rFonts w:ascii="Cambria" w:hAnsi="Cambria" w:eastAsia="宋体" w:cs="Times New Roman"/>
      <w:b/>
      <w:bCs/>
      <w:sz w:val="32"/>
      <w:szCs w:val="32"/>
    </w:rPr>
  </w:style>
  <w:style w:type="character" w:customStyle="1" w:styleId="145">
    <w:name w:val="纯文本 Char3"/>
    <w:semiHidden/>
    <w:qFormat/>
    <w:uiPriority w:val="99"/>
    <w:rPr>
      <w:rFonts w:ascii="宋体" w:hAnsi="Courier New" w:cs="Courier New"/>
      <w:kern w:val="2"/>
      <w:sz w:val="21"/>
      <w:szCs w:val="21"/>
    </w:rPr>
  </w:style>
  <w:style w:type="character" w:customStyle="1" w:styleId="146">
    <w:name w:val="批注文字 Char1"/>
    <w:semiHidden/>
    <w:qFormat/>
    <w:uiPriority w:val="99"/>
    <w:rPr>
      <w:kern w:val="2"/>
      <w:sz w:val="21"/>
      <w:szCs w:val="24"/>
    </w:rPr>
  </w:style>
  <w:style w:type="character" w:customStyle="1" w:styleId="147">
    <w:name w:val="正文文本缩进 2 Char1"/>
    <w:semiHidden/>
    <w:qFormat/>
    <w:uiPriority w:val="99"/>
    <w:rPr>
      <w:rFonts w:ascii="Times New Roman" w:hAnsi="Times New Roman" w:eastAsia="宋体" w:cs="Times New Roman"/>
      <w:szCs w:val="24"/>
    </w:rPr>
  </w:style>
  <w:style w:type="character" w:customStyle="1" w:styleId="148">
    <w:name w:val="pt91"/>
    <w:qFormat/>
    <w:uiPriority w:val="0"/>
    <w:rPr>
      <w:rFonts w:hint="default"/>
      <w:color w:val="333333"/>
      <w:sz w:val="18"/>
      <w:szCs w:val="18"/>
    </w:rPr>
  </w:style>
  <w:style w:type="character" w:customStyle="1" w:styleId="149">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50">
    <w:name w:val="页眉 Char2"/>
    <w:semiHidden/>
    <w:qFormat/>
    <w:uiPriority w:val="99"/>
    <w:rPr>
      <w:kern w:val="2"/>
      <w:sz w:val="18"/>
      <w:szCs w:val="18"/>
    </w:rPr>
  </w:style>
  <w:style w:type="character" w:customStyle="1" w:styleId="151">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52">
    <w:name w:val="_Style 129"/>
    <w:unhideWhenUsed/>
    <w:qFormat/>
    <w:uiPriority w:val="99"/>
    <w:rPr>
      <w:color w:val="605E5C"/>
      <w:shd w:val="clear" w:color="auto" w:fill="E1DFDD"/>
    </w:rPr>
  </w:style>
  <w:style w:type="character" w:customStyle="1" w:styleId="153">
    <w:name w:val="p12h15"/>
    <w:qFormat/>
    <w:uiPriority w:val="0"/>
  </w:style>
  <w:style w:type="character" w:customStyle="1" w:styleId="154">
    <w:name w:val="正文文本缩进 Char1"/>
    <w:semiHidden/>
    <w:qFormat/>
    <w:uiPriority w:val="99"/>
    <w:rPr>
      <w:rFonts w:ascii="Times New Roman" w:hAnsi="Times New Roman" w:eastAsia="宋体" w:cs="Times New Roman"/>
      <w:szCs w:val="24"/>
    </w:rPr>
  </w:style>
  <w:style w:type="paragraph" w:customStyle="1" w:styleId="155">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6">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5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8">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9">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0">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2">
    <w:name w:val="Char Char10 Char Char Char Char"/>
    <w:basedOn w:val="1"/>
    <w:next w:val="163"/>
    <w:qFormat/>
    <w:uiPriority w:val="0"/>
    <w:rPr>
      <w:rFonts w:ascii="Calibri" w:hAnsi="Calibri"/>
      <w:kern w:val="0"/>
    </w:rPr>
  </w:style>
  <w:style w:type="paragraph" w:customStyle="1" w:styleId="163">
    <w:name w:val="xl87"/>
    <w:basedOn w:val="1"/>
    <w:next w:val="164"/>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4">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5">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6">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7">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68">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1">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2">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3">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4">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6">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7">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79">
    <w:name w:val="WPSOffice手动目录 1"/>
    <w:qFormat/>
    <w:uiPriority w:val="0"/>
    <w:rPr>
      <w:rFonts w:ascii="Times New Roman" w:hAnsi="Times New Roman" w:eastAsia="宋体" w:cs="Times New Roman"/>
      <w:lang w:val="en-US" w:eastAsia="zh-CN" w:bidi="ar-SA"/>
    </w:rPr>
  </w:style>
  <w:style w:type="paragraph" w:customStyle="1" w:styleId="180">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8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83">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4">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5">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6">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87">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小标题 3"/>
    <w:next w:val="189"/>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89">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0">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91">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92">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styleId="193">
    <w:name w:val="List Paragraph"/>
    <w:basedOn w:val="1"/>
    <w:qFormat/>
    <w:uiPriority w:val="99"/>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4">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5">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7">
    <w:name w:val="列出段落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8">
    <w:name w:val="小标题 2"/>
    <w:next w:val="189"/>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9">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00">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02">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203">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04">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05">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6">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20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0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0">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1">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2">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8">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9">
    <w:name w:val="_Style 197"/>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220">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221">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22">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3">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2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5">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7">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8">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9">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0">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1">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2">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4">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5">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6">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37">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38">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40">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styleId="2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242">
    <w:name w:val="Table Normal"/>
    <w:qFormat/>
    <w:uiPriority w:val="0"/>
    <w:rPr>
      <w:rFonts w:eastAsia="Arial Unicode MS"/>
    </w:rPr>
    <w:tblPr>
      <w:tblCellMar>
        <w:top w:w="0" w:type="dxa"/>
        <w:left w:w="0" w:type="dxa"/>
        <w:bottom w:w="0" w:type="dxa"/>
        <w:right w:w="0" w:type="dxa"/>
      </w:tblCellMar>
    </w:tblPr>
  </w:style>
  <w:style w:type="table" w:customStyle="1" w:styleId="243">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e Normal1"/>
    <w:unhideWhenUsed/>
    <w:qFormat/>
    <w:uiPriority w:val="2"/>
    <w:tblPr>
      <w:tblCellMar>
        <w:top w:w="0" w:type="dxa"/>
        <w:left w:w="0" w:type="dxa"/>
        <w:bottom w:w="0" w:type="dxa"/>
        <w:right w:w="0" w:type="dxa"/>
      </w:tblCellMar>
    </w:tblPr>
  </w:style>
  <w:style w:type="paragraph" w:customStyle="1" w:styleId="24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47">
    <w:name w:val="_Style 8"/>
    <w:basedOn w:val="1"/>
    <w:qFormat/>
    <w:uiPriority w:val="0"/>
    <w:pPr>
      <w:ind w:firstLine="420" w:firstLineChars="200"/>
      <w:jc w:val="left"/>
    </w:pPr>
    <w:rPr>
      <w:kern w:val="0"/>
    </w:rPr>
  </w:style>
  <w:style w:type="paragraph" w:customStyle="1" w:styleId="248">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_Style 23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0">
    <w:name w:val="_Style 233"/>
    <w:unhideWhenUsed/>
    <w:qFormat/>
    <w:uiPriority w:val="99"/>
    <w:rPr>
      <w:color w:val="605E5C"/>
      <w:shd w:val="clear" w:color="auto" w:fill="E1DFDD"/>
    </w:rPr>
  </w:style>
  <w:style w:type="paragraph" w:customStyle="1" w:styleId="251">
    <w:name w:val="_Style 23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2">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3">
    <w:name w:val="hover1"/>
    <w:qFormat/>
    <w:uiPriority w:val="0"/>
  </w:style>
  <w:style w:type="character" w:customStyle="1" w:styleId="254">
    <w:name w:val="hover2"/>
    <w:qFormat/>
    <w:uiPriority w:val="0"/>
    <w:rPr>
      <w:color w:val="2590EB"/>
    </w:rPr>
  </w:style>
  <w:style w:type="character" w:customStyle="1" w:styleId="255">
    <w:name w:val="hover3"/>
    <w:qFormat/>
    <w:uiPriority w:val="0"/>
    <w:rPr>
      <w:color w:val="2590EB"/>
    </w:rPr>
  </w:style>
  <w:style w:type="character" w:customStyle="1" w:styleId="256">
    <w:name w:val="hover4"/>
    <w:qFormat/>
    <w:uiPriority w:val="0"/>
    <w:rPr>
      <w:color w:val="2590EB"/>
      <w:shd w:val="clear" w:color="auto" w:fill="E9F4FD"/>
    </w:rPr>
  </w:style>
  <w:style w:type="character" w:customStyle="1" w:styleId="257">
    <w:name w:val="mini-outputtext1"/>
    <w:qFormat/>
    <w:uiPriority w:val="0"/>
  </w:style>
  <w:style w:type="character" w:customStyle="1" w:styleId="258">
    <w:name w:val="hover"/>
    <w:qFormat/>
    <w:uiPriority w:val="0"/>
  </w:style>
  <w:style w:type="paragraph" w:customStyle="1" w:styleId="259">
    <w:name w:val="_Style 25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60">
    <w:name w:val="font11"/>
    <w:qFormat/>
    <w:uiPriority w:val="0"/>
    <w:rPr>
      <w:rFonts w:hint="eastAsia" w:ascii="宋体" w:hAnsi="宋体" w:eastAsia="宋体" w:cs="宋体"/>
      <w:color w:val="000000"/>
      <w:sz w:val="22"/>
      <w:szCs w:val="22"/>
      <w:u w:val="none"/>
    </w:rPr>
  </w:style>
  <w:style w:type="character" w:customStyle="1" w:styleId="261">
    <w:name w:val="font31"/>
    <w:qFormat/>
    <w:uiPriority w:val="0"/>
    <w:rPr>
      <w:rFonts w:ascii="宋体-简" w:hAnsi="宋体-简" w:eastAsia="宋体-简" w:cs="宋体-简"/>
      <w:color w:val="000000"/>
      <w:sz w:val="24"/>
      <w:szCs w:val="24"/>
      <w:u w:val="none"/>
    </w:rPr>
  </w:style>
  <w:style w:type="character" w:customStyle="1" w:styleId="262">
    <w:name w:val="font21"/>
    <w:qFormat/>
    <w:uiPriority w:val="0"/>
    <w:rPr>
      <w:rFonts w:hint="default" w:ascii="仿宋_GB2312" w:eastAsia="仿宋_GB2312" w:cs="仿宋_GB2312"/>
      <w:color w:val="000000"/>
      <w:sz w:val="24"/>
      <w:szCs w:val="24"/>
      <w:u w:val="none"/>
    </w:rPr>
  </w:style>
  <w:style w:type="paragraph" w:customStyle="1" w:styleId="263">
    <w:name w:val="正文段"/>
    <w:basedOn w:val="1"/>
    <w:qFormat/>
    <w:uiPriority w:val="0"/>
    <w:pPr>
      <w:adjustRightInd w:val="0"/>
      <w:spacing w:after="240" w:line="360" w:lineRule="atLeast"/>
      <w:ind w:firstLine="454"/>
      <w:textAlignment w:val="bottom"/>
    </w:pPr>
    <w:rPr>
      <w:rFonts w:hint="default" w:ascii="宋体" w:hAnsi="Times New Roman" w:eastAsia="宋体" w:cs="Times New Roman"/>
      <w:color w:val="auto"/>
      <w:kern w:val="0"/>
      <w:sz w:val="24"/>
      <w:szCs w:val="20"/>
      <w:lang w:val="en-US" w:eastAsia="zh-CN"/>
    </w:rPr>
  </w:style>
  <w:style w:type="character" w:customStyle="1" w:styleId="264">
    <w:name w:val="font41"/>
    <w:qFormat/>
    <w:uiPriority w:val="0"/>
    <w:rPr>
      <w:rFonts w:ascii="宋体-简" w:hAnsi="宋体-简" w:eastAsia="宋体-简" w:cs="宋体-简"/>
      <w:color w:val="000000"/>
      <w:sz w:val="24"/>
      <w:szCs w:val="24"/>
      <w:u w:val="none"/>
    </w:rPr>
  </w:style>
  <w:style w:type="character" w:customStyle="1" w:styleId="265">
    <w:name w:val="font51"/>
    <w:qFormat/>
    <w:uiPriority w:val="0"/>
    <w:rPr>
      <w:rFonts w:ascii="Arial Unicode MS" w:hAnsi="Arial Unicode MS" w:eastAsia="Arial Unicode MS" w:cs="Arial Unicode MS"/>
      <w:color w:val="000000"/>
      <w:sz w:val="22"/>
      <w:szCs w:val="22"/>
      <w:u w:val="none"/>
    </w:rPr>
  </w:style>
  <w:style w:type="character" w:customStyle="1" w:styleId="266">
    <w:name w:val="Unresolved Mention"/>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97</Pages>
  <Words>19987</Words>
  <Characters>21254</Characters>
  <Lines>1536</Lines>
  <Paragraphs>1724</Paragraphs>
  <TotalTime>90</TotalTime>
  <ScaleCrop>false</ScaleCrop>
  <LinksUpToDate>false</LinksUpToDate>
  <CharactersWithSpaces>22174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2025-10-11T08:55:00Z</dcterms:created>
  <dc:creator>NTKO</dc:creator>
  <cp:lastModifiedBy>采桑</cp:lastModifiedBy>
  <cp:lastPrinted>2021-08-05T02:46:00Z</cp:lastPrinted>
  <dcterms:modified xsi:type="dcterms:W3CDTF">2025-10-17T03:51:10Z</dcterms:modified>
  <dc:title>郑州铁路职业技术学院新建学生宿舍组团三北楼内部基础设备采购项目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081EC1998D6A4DCF81E55D199FE24B40_13</vt:lpwstr>
  </property>
  <property fmtid="{D5CDD505-2E9C-101B-9397-08002B2CF9AE}" pid="4" name="KSOTemplateDocerSaveRecord">
    <vt:lpwstr>eyJoZGlkIjoiODU1MzFhYzhmZjhiNDYxODI2ODA4MjU5OTdjNTI2NGIiLCJ1c2VySWQiOiIzNDk0NzYxNTcifQ==</vt:lpwstr>
  </property>
</Properties>
</file>