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88B70">
      <w:pPr>
        <w:bidi w:val="0"/>
        <w:spacing w:line="240" w:lineRule="auto"/>
        <w:ind w:left="0" w:leftChars="0" w:firstLine="0" w:firstLineChars="0"/>
        <w:jc w:val="both"/>
        <w:rPr>
          <w:rFonts w:hint="eastAsia" w:asciiTheme="minorEastAsia" w:hAnsiTheme="minorEastAsia" w:eastAsiaTheme="minorEastAsia" w:cstheme="minorEastAsia"/>
          <w:b/>
          <w:bCs/>
          <w:sz w:val="44"/>
          <w:szCs w:val="44"/>
        </w:rPr>
      </w:pPr>
      <w:bookmarkStart w:id="0" w:name="_Toc152042286"/>
      <w:bookmarkStart w:id="1" w:name="_Toc144974478"/>
      <w:r>
        <w:rPr>
          <w:rFonts w:hint="eastAsia" w:asciiTheme="minorEastAsia" w:hAnsiTheme="minorEastAsia" w:eastAsiaTheme="minorEastAsia" w:cstheme="minorEastAsia"/>
          <w:b/>
          <w:bCs/>
          <w:sz w:val="44"/>
          <w:szCs w:val="44"/>
        </w:rPr>
        <w:t>潢川县城区学校AI人像车辆监控设施设备</w:t>
      </w:r>
    </w:p>
    <w:p w14:paraId="7359399B">
      <w:pPr>
        <w:bidi w:val="0"/>
        <w:ind w:left="0" w:leftChars="0" w:firstLine="0" w:firstLineChars="0"/>
        <w:jc w:val="center"/>
        <w:rPr>
          <w:rFonts w:hint="eastAsia" w:ascii="宋体" w:hAnsi="宋体"/>
          <w:b/>
          <w:bCs w:val="0"/>
          <w:color w:val="auto"/>
          <w:sz w:val="72"/>
          <w:szCs w:val="72"/>
          <w:highlight w:val="none"/>
          <w:lang w:val="en-US" w:eastAsia="zh-CN"/>
        </w:rPr>
      </w:pPr>
      <w:r>
        <w:rPr>
          <w:rFonts w:hint="eastAsia" w:asciiTheme="minorEastAsia" w:hAnsiTheme="minorEastAsia" w:eastAsiaTheme="minorEastAsia" w:cstheme="minorEastAsia"/>
          <w:b/>
          <w:bCs/>
          <w:sz w:val="44"/>
          <w:szCs w:val="44"/>
        </w:rPr>
        <w:t>系统项目</w:t>
      </w:r>
    </w:p>
    <w:p w14:paraId="148C4D21">
      <w:pPr>
        <w:bidi w:val="0"/>
        <w:spacing w:line="480" w:lineRule="auto"/>
        <w:ind w:left="0" w:leftChars="0" w:firstLine="0" w:firstLineChars="0"/>
        <w:jc w:val="center"/>
        <w:rPr>
          <w:rFonts w:hint="eastAsia" w:ascii="宋体" w:hAnsi="宋体"/>
          <w:b/>
          <w:bCs w:val="0"/>
          <w:color w:val="auto"/>
          <w:sz w:val="72"/>
          <w:szCs w:val="72"/>
          <w:highlight w:val="none"/>
          <w:lang w:val="en-US" w:eastAsia="zh-CN"/>
        </w:rPr>
      </w:pPr>
    </w:p>
    <w:p w14:paraId="4768EC1C">
      <w:pPr>
        <w:bidi w:val="0"/>
        <w:spacing w:line="480" w:lineRule="auto"/>
        <w:ind w:left="0" w:leftChars="0" w:firstLine="0" w:firstLineChars="0"/>
        <w:jc w:val="center"/>
        <w:rPr>
          <w:rFonts w:hint="eastAsia"/>
          <w:color w:val="auto"/>
          <w:highlight w:val="none"/>
        </w:rPr>
      </w:pPr>
      <w:r>
        <w:rPr>
          <w:rFonts w:hint="eastAsia" w:ascii="宋体" w:hAnsi="宋体"/>
          <w:b/>
          <w:bCs w:val="0"/>
          <w:color w:val="auto"/>
          <w:sz w:val="72"/>
          <w:szCs w:val="72"/>
          <w:highlight w:val="none"/>
          <w:lang w:val="en-US" w:eastAsia="zh-CN"/>
        </w:rPr>
        <w:t>竞争性</w:t>
      </w:r>
      <w:r>
        <w:rPr>
          <w:rFonts w:hint="eastAsia" w:ascii="宋体" w:hAnsi="宋体"/>
          <w:b/>
          <w:bCs w:val="0"/>
          <w:color w:val="auto"/>
          <w:sz w:val="72"/>
          <w:szCs w:val="72"/>
          <w:highlight w:val="none"/>
          <w:lang w:eastAsia="zh-CN"/>
        </w:rPr>
        <w:t>磋商文件</w:t>
      </w:r>
    </w:p>
    <w:bookmarkEnd w:id="0"/>
    <w:bookmarkEnd w:id="1"/>
    <w:p w14:paraId="3A85377B">
      <w:pPr>
        <w:spacing w:line="360" w:lineRule="auto"/>
        <w:ind w:left="0" w:leftChars="0" w:firstLine="0" w:firstLineChars="0"/>
        <w:jc w:val="both"/>
        <w:rPr>
          <w:rFonts w:hint="eastAsia" w:ascii="宋体" w:hAnsi="宋体" w:cs="宋体"/>
          <w:b/>
          <w:color w:val="auto"/>
          <w:sz w:val="32"/>
          <w:szCs w:val="32"/>
          <w:highlight w:val="none"/>
        </w:rPr>
      </w:pPr>
      <w:bookmarkStart w:id="2" w:name="_Toc144974479"/>
      <w:bookmarkStart w:id="3" w:name="_Toc490667779"/>
      <w:bookmarkStart w:id="4" w:name="_Toc152045511"/>
      <w:bookmarkStart w:id="5" w:name="_Toc152042287"/>
    </w:p>
    <w:p w14:paraId="5BEE914F">
      <w:pPr>
        <w:spacing w:line="360" w:lineRule="auto"/>
        <w:jc w:val="center"/>
        <w:rPr>
          <w:rFonts w:hint="eastAsia" w:ascii="宋体" w:hAnsi="宋体" w:cs="宋体"/>
          <w:b/>
          <w:color w:val="auto"/>
          <w:sz w:val="32"/>
          <w:szCs w:val="32"/>
          <w:highlight w:val="none"/>
        </w:rPr>
      </w:pPr>
      <w:r>
        <w:rPr>
          <w:rFonts w:hint="eastAsia" w:eastAsia="宋体"/>
          <w:lang w:eastAsia="zh-CN"/>
        </w:rPr>
        <w:drawing>
          <wp:inline distT="0" distB="0" distL="114300" distR="114300">
            <wp:extent cx="2708275" cy="2561590"/>
            <wp:effectExtent l="0" t="0" r="15875" b="10160"/>
            <wp:docPr id="3" name="图片 2" descr="鑫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鑫诺logo"/>
                    <pic:cNvPicPr>
                      <a:picLocks noChangeAspect="1"/>
                    </pic:cNvPicPr>
                  </pic:nvPicPr>
                  <pic:blipFill>
                    <a:blip r:embed="rId12"/>
                    <a:stretch>
                      <a:fillRect/>
                    </a:stretch>
                  </pic:blipFill>
                  <pic:spPr>
                    <a:xfrm>
                      <a:off x="0" y="0"/>
                      <a:ext cx="2708275" cy="2561590"/>
                    </a:xfrm>
                    <a:prstGeom prst="rect">
                      <a:avLst/>
                    </a:prstGeom>
                    <a:noFill/>
                    <a:ln>
                      <a:noFill/>
                    </a:ln>
                  </pic:spPr>
                </pic:pic>
              </a:graphicData>
            </a:graphic>
          </wp:inline>
        </w:drawing>
      </w:r>
    </w:p>
    <w:p w14:paraId="22A790DB">
      <w:pPr>
        <w:spacing w:line="360" w:lineRule="auto"/>
        <w:jc w:val="center"/>
        <w:rPr>
          <w:rFonts w:hint="eastAsia" w:ascii="宋体" w:hAnsi="宋体" w:cs="宋体"/>
          <w:b/>
          <w:color w:val="auto"/>
          <w:sz w:val="32"/>
          <w:szCs w:val="32"/>
          <w:highlight w:val="none"/>
        </w:rPr>
      </w:pPr>
    </w:p>
    <w:p w14:paraId="39D8BD40">
      <w:pPr>
        <w:spacing w:line="360" w:lineRule="auto"/>
        <w:jc w:val="center"/>
        <w:rPr>
          <w:rFonts w:hint="eastAsia" w:ascii="宋体" w:hAnsi="宋体" w:cs="宋体"/>
          <w:b/>
          <w:color w:val="auto"/>
          <w:sz w:val="32"/>
          <w:szCs w:val="32"/>
          <w:highlight w:val="none"/>
        </w:rPr>
      </w:pPr>
    </w:p>
    <w:p w14:paraId="4EC5E98B">
      <w:pPr>
        <w:spacing w:line="360" w:lineRule="auto"/>
        <w:jc w:val="center"/>
        <w:rPr>
          <w:rFonts w:hint="eastAsia" w:ascii="宋体" w:hAnsi="宋体" w:cs="宋体"/>
          <w:b/>
          <w:color w:val="auto"/>
          <w:sz w:val="32"/>
          <w:szCs w:val="32"/>
          <w:highlight w:val="none"/>
        </w:rPr>
      </w:pPr>
    </w:p>
    <w:p w14:paraId="4B970186">
      <w:pPr>
        <w:spacing w:line="360" w:lineRule="auto"/>
        <w:ind w:firstLine="1285" w:firstLineChars="400"/>
        <w:jc w:val="both"/>
        <w:rPr>
          <w:rFonts w:hint="eastAsia" w:ascii="宋体" w:hAnsi="宋体" w:cs="宋体"/>
          <w:b/>
          <w:color w:val="auto"/>
          <w:sz w:val="32"/>
          <w:szCs w:val="32"/>
          <w:highlight w:val="none"/>
        </w:rPr>
      </w:pPr>
      <w:r>
        <w:rPr>
          <w:rFonts w:hint="eastAsia" w:ascii="宋体" w:hAnsi="宋体" w:cs="宋体"/>
          <w:b/>
          <w:color w:val="auto"/>
          <w:sz w:val="32"/>
          <w:szCs w:val="32"/>
          <w:highlight w:val="none"/>
        </w:rPr>
        <w:t>采 购</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人：</w:t>
      </w:r>
      <w:r>
        <w:rPr>
          <w:rFonts w:hint="eastAsia" w:ascii="宋体" w:hAnsi="宋体" w:cs="宋体"/>
          <w:b/>
          <w:color w:val="auto"/>
          <w:sz w:val="32"/>
          <w:szCs w:val="32"/>
          <w:highlight w:val="none"/>
          <w:lang w:val="en-US" w:eastAsia="zh-CN"/>
        </w:rPr>
        <w:t>潢川县教育体育局</w:t>
      </w:r>
    </w:p>
    <w:p w14:paraId="605D30CD">
      <w:pPr>
        <w:spacing w:line="360" w:lineRule="auto"/>
        <w:ind w:left="0" w:leftChars="0" w:firstLine="0" w:firstLineChars="0"/>
        <w:jc w:val="center"/>
        <w:rPr>
          <w:rFonts w:hint="eastAsia"/>
          <w:color w:val="auto"/>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代理机构：潢川县</w:t>
      </w:r>
      <w:r>
        <w:rPr>
          <w:rFonts w:hint="eastAsia" w:ascii="宋体" w:hAnsi="宋体" w:cs="宋体"/>
          <w:b/>
          <w:color w:val="auto"/>
          <w:sz w:val="32"/>
          <w:szCs w:val="32"/>
          <w:highlight w:val="none"/>
          <w:lang w:val="en-US" w:eastAsia="zh-CN"/>
        </w:rPr>
        <w:t>产投鑫诺项目管理</w:t>
      </w:r>
      <w:r>
        <w:rPr>
          <w:rFonts w:hint="eastAsia" w:ascii="宋体" w:hAnsi="宋体" w:cs="宋体"/>
          <w:b/>
          <w:color w:val="auto"/>
          <w:sz w:val="32"/>
          <w:szCs w:val="32"/>
          <w:highlight w:val="none"/>
        </w:rPr>
        <w:t>有限公司</w:t>
      </w:r>
    </w:p>
    <w:p w14:paraId="13FF45AF">
      <w:pPr>
        <w:pStyle w:val="40"/>
        <w:ind w:firstLine="1285" w:firstLineChars="400"/>
        <w:jc w:val="both"/>
        <w:rPr>
          <w:rFonts w:hint="eastAsia" w:hAnsi="宋体"/>
          <w:b/>
          <w:color w:val="auto"/>
          <w:kern w:val="2"/>
          <w:sz w:val="32"/>
          <w:szCs w:val="32"/>
          <w:highlight w:val="none"/>
        </w:rPr>
      </w:pPr>
      <w:r>
        <w:rPr>
          <w:rFonts w:hint="eastAsia" w:hAnsi="宋体"/>
          <w:b/>
          <w:color w:val="auto"/>
          <w:sz w:val="32"/>
          <w:szCs w:val="32"/>
          <w:highlight w:val="none"/>
        </w:rPr>
        <w:t>日    期：</w:t>
      </w:r>
      <w:r>
        <w:rPr>
          <w:rFonts w:hint="eastAsia" w:hAnsi="宋体"/>
          <w:b/>
          <w:color w:val="auto"/>
          <w:kern w:val="2"/>
          <w:sz w:val="32"/>
          <w:szCs w:val="32"/>
          <w:highlight w:val="none"/>
        </w:rPr>
        <w:t>二</w:t>
      </w:r>
      <w:r>
        <w:rPr>
          <w:rFonts w:hint="eastAsia" w:hAnsi="宋体"/>
          <w:b/>
          <w:color w:val="auto"/>
          <w:kern w:val="2"/>
          <w:sz w:val="32"/>
          <w:szCs w:val="32"/>
          <w:highlight w:val="none"/>
          <w:lang w:eastAsia="zh-CN"/>
        </w:rPr>
        <w:t xml:space="preserve"> </w:t>
      </w:r>
      <w:r>
        <w:rPr>
          <w:rFonts w:hint="eastAsia" w:hAnsi="宋体"/>
          <w:b/>
          <w:color w:val="auto"/>
          <w:kern w:val="2"/>
          <w:sz w:val="32"/>
          <w:szCs w:val="32"/>
          <w:highlight w:val="none"/>
        </w:rPr>
        <w:t>○</w:t>
      </w:r>
      <w:r>
        <w:rPr>
          <w:rFonts w:hint="eastAsia" w:hAnsi="宋体"/>
          <w:b/>
          <w:color w:val="auto"/>
          <w:kern w:val="2"/>
          <w:sz w:val="32"/>
          <w:szCs w:val="32"/>
          <w:highlight w:val="none"/>
          <w:lang w:eastAsia="zh-CN"/>
        </w:rPr>
        <w:t xml:space="preserve"> </w:t>
      </w:r>
      <w:r>
        <w:rPr>
          <w:rFonts w:hint="eastAsia" w:hAnsi="宋体"/>
          <w:b/>
          <w:color w:val="auto"/>
          <w:kern w:val="2"/>
          <w:sz w:val="32"/>
          <w:szCs w:val="32"/>
          <w:highlight w:val="none"/>
          <w:lang w:val="en-US" w:eastAsia="zh-CN"/>
        </w:rPr>
        <w:t xml:space="preserve">二 五 </w:t>
      </w:r>
      <w:r>
        <w:rPr>
          <w:rFonts w:hint="eastAsia" w:hAnsi="宋体"/>
          <w:b/>
          <w:color w:val="auto"/>
          <w:kern w:val="2"/>
          <w:sz w:val="32"/>
          <w:szCs w:val="32"/>
          <w:highlight w:val="none"/>
        </w:rPr>
        <w:t>年</w:t>
      </w:r>
      <w:r>
        <w:rPr>
          <w:rFonts w:hint="eastAsia" w:hAnsi="宋体"/>
          <w:b/>
          <w:color w:val="auto"/>
          <w:kern w:val="2"/>
          <w:sz w:val="32"/>
          <w:szCs w:val="32"/>
          <w:highlight w:val="none"/>
          <w:lang w:eastAsia="zh-CN"/>
        </w:rPr>
        <w:t xml:space="preserve"> </w:t>
      </w:r>
      <w:r>
        <w:rPr>
          <w:rFonts w:hint="eastAsia" w:hAnsi="宋体"/>
          <w:b/>
          <w:color w:val="auto"/>
          <w:kern w:val="2"/>
          <w:sz w:val="32"/>
          <w:szCs w:val="32"/>
          <w:highlight w:val="none"/>
          <w:lang w:val="en-US" w:eastAsia="zh-CN"/>
        </w:rPr>
        <w:t>六</w:t>
      </w:r>
      <w:r>
        <w:rPr>
          <w:rFonts w:hint="eastAsia" w:hAnsi="宋体"/>
          <w:b/>
          <w:color w:val="auto"/>
          <w:kern w:val="2"/>
          <w:sz w:val="32"/>
          <w:szCs w:val="32"/>
          <w:highlight w:val="none"/>
          <w:lang w:eastAsia="zh-CN"/>
        </w:rPr>
        <w:t xml:space="preserve"> </w:t>
      </w:r>
      <w:r>
        <w:rPr>
          <w:rFonts w:hint="eastAsia" w:hAnsi="宋体"/>
          <w:b/>
          <w:color w:val="auto"/>
          <w:kern w:val="2"/>
          <w:sz w:val="32"/>
          <w:szCs w:val="32"/>
          <w:highlight w:val="none"/>
        </w:rPr>
        <w:t>月</w:t>
      </w:r>
    </w:p>
    <w:p w14:paraId="3FB69F4A">
      <w:pPr>
        <w:spacing w:line="360" w:lineRule="auto"/>
        <w:rPr>
          <w:rFonts w:hint="eastAsia" w:ascii="宋体" w:hAnsi="宋体" w:cs="宋体"/>
          <w:b/>
          <w:color w:val="auto"/>
          <w:sz w:val="36"/>
          <w:szCs w:val="36"/>
          <w:highlight w:val="none"/>
        </w:rPr>
        <w:sectPr>
          <w:headerReference r:id="rId5" w:type="default"/>
          <w:footerReference r:id="rId6" w:type="default"/>
          <w:pgSz w:w="11900" w:h="16838"/>
          <w:pgMar w:top="1440" w:right="1800" w:bottom="1440" w:left="1800" w:header="907" w:footer="850" w:gutter="0"/>
          <w:pgNumType w:fmt="decimal" w:start="1"/>
          <w:cols w:space="720" w:num="1"/>
          <w:docGrid w:linePitch="360" w:charSpace="0"/>
        </w:sectPr>
      </w:pPr>
    </w:p>
    <w:sdt>
      <w:sdtPr>
        <w:rPr>
          <w:rFonts w:hint="eastAsia" w:asciiTheme="minorEastAsia" w:hAnsiTheme="minorEastAsia" w:eastAsiaTheme="minorEastAsia" w:cstheme="minorEastAsia"/>
          <w:b/>
          <w:bCs/>
          <w:color w:val="auto"/>
          <w:kern w:val="2"/>
          <w:sz w:val="30"/>
          <w:szCs w:val="30"/>
          <w:highlight w:val="none"/>
          <w:lang w:val="en-US" w:eastAsia="zh-CN" w:bidi="ar-SA"/>
        </w:rPr>
        <w:id w:val="147465954"/>
        <w15:color w:val="DBDBDB"/>
        <w:docPartObj>
          <w:docPartGallery w:val="Table of Contents"/>
          <w:docPartUnique/>
        </w:docPartObj>
      </w:sdtPr>
      <w:sdtEndPr>
        <w:rPr>
          <w:rFonts w:hint="eastAsia" w:ascii="宋体" w:hAnsi="宋体" w:cs="宋体" w:eastAsiaTheme="minorEastAsia"/>
          <w:b/>
          <w:bCs/>
          <w:color w:val="auto"/>
          <w:kern w:val="2"/>
          <w:sz w:val="21"/>
          <w:szCs w:val="30"/>
          <w:highlight w:val="none"/>
          <w:lang w:val="en-US" w:eastAsia="zh-CN" w:bidi="ar-SA"/>
        </w:rPr>
      </w:sdtEndPr>
      <w:sdtContent>
        <w:p w14:paraId="5B0D0396">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30"/>
              <w:szCs w:val="30"/>
              <w:highlight w:val="none"/>
            </w:rPr>
            <w:t>目</w:t>
          </w:r>
          <w:r>
            <w:rPr>
              <w:rFonts w:hint="eastAsia" w:asciiTheme="minorEastAsia" w:hAnsiTheme="minorEastAsia" w:cstheme="minorEastAsia"/>
              <w:b/>
              <w:bCs/>
              <w:color w:val="auto"/>
              <w:sz w:val="30"/>
              <w:szCs w:val="30"/>
              <w:highlight w:val="none"/>
              <w:lang w:val="en-US" w:eastAsia="zh-CN"/>
            </w:rPr>
            <w:t xml:space="preserve">    </w:t>
          </w:r>
          <w:r>
            <w:rPr>
              <w:rFonts w:hint="eastAsia" w:asciiTheme="minorEastAsia" w:hAnsiTheme="minorEastAsia" w:eastAsiaTheme="minorEastAsia" w:cstheme="minorEastAsia"/>
              <w:b/>
              <w:bCs/>
              <w:color w:val="auto"/>
              <w:sz w:val="30"/>
              <w:szCs w:val="30"/>
              <w:highlight w:val="none"/>
            </w:rPr>
            <w:t>录</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TOC \o "1-1" \h \u </w:instrText>
          </w:r>
          <w:r>
            <w:rPr>
              <w:rFonts w:hint="eastAsia" w:asciiTheme="minorEastAsia" w:hAnsiTheme="minorEastAsia" w:eastAsiaTheme="minorEastAsia" w:cstheme="minorEastAsia"/>
              <w:color w:val="auto"/>
              <w:sz w:val="24"/>
              <w:szCs w:val="24"/>
              <w:highlight w:val="none"/>
            </w:rPr>
            <w:fldChar w:fldCharType="separate"/>
          </w:r>
        </w:p>
        <w:p w14:paraId="1EEB257F">
          <w:pPr>
            <w:pStyle w:val="44"/>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_Toc31411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 xml:space="preserve">第一章 </w:t>
          </w:r>
          <w:r>
            <w:rPr>
              <w:rFonts w:hint="eastAsia" w:asciiTheme="minorEastAsia" w:hAnsiTheme="minorEastAsia" w:eastAsiaTheme="minorEastAsia" w:cstheme="minorEastAsia"/>
              <w:bCs/>
              <w:color w:val="auto"/>
              <w:sz w:val="24"/>
              <w:szCs w:val="24"/>
              <w:highlight w:val="none"/>
              <w:lang w:eastAsia="zh-CN"/>
            </w:rPr>
            <w:t>竞争性磋商公告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_Toc31411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880328E">
          <w:pPr>
            <w:pStyle w:val="44"/>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_Toc9581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val="0"/>
              <w:color w:val="auto"/>
              <w:sz w:val="24"/>
              <w:szCs w:val="24"/>
              <w:highlight w:val="none"/>
            </w:rPr>
            <w:t>第二章 供应商须知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fldChar w:fldCharType="end"/>
          </w:r>
        </w:p>
        <w:p w14:paraId="4F79E28E">
          <w:pPr>
            <w:pStyle w:val="44"/>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_Toc28924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kern w:val="44"/>
              <w:sz w:val="24"/>
              <w:szCs w:val="24"/>
              <w:highlight w:val="none"/>
            </w:rPr>
            <w:t>第三章  评审办法（综合评分法）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_Toc28924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25</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ABF0370">
          <w:pPr>
            <w:pStyle w:val="44"/>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_Toc18958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rPr>
            <w:t>河南省政府采购合同（</w:t>
          </w:r>
          <w:r>
            <w:rPr>
              <w:rFonts w:hint="eastAsia" w:asciiTheme="minorEastAsia" w:hAnsiTheme="minorEastAsia" w:eastAsiaTheme="minorEastAsia" w:cstheme="minorEastAsia"/>
              <w:color w:val="auto"/>
              <w:sz w:val="24"/>
              <w:szCs w:val="24"/>
              <w:highlight w:val="none"/>
              <w:lang w:eastAsia="zh-CN"/>
            </w:rPr>
            <w:t>参考文本</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_Toc18958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F9BC06A">
          <w:pPr>
            <w:pStyle w:val="44"/>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_Toc28362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第五章 采购需求及技术</w:t>
          </w:r>
          <w:r>
            <w:rPr>
              <w:rFonts w:hint="eastAsia" w:asciiTheme="minorEastAsia" w:hAnsiTheme="minorEastAsia" w:eastAsiaTheme="minorEastAsia" w:cstheme="minorEastAsia"/>
              <w:color w:val="auto"/>
              <w:sz w:val="24"/>
              <w:szCs w:val="24"/>
              <w:highlight w:val="none"/>
              <w:lang w:val="en-US" w:eastAsia="zh-CN"/>
            </w:rPr>
            <w:t>参数</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_Toc28362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2D4462B">
          <w:pPr>
            <w:pStyle w:val="44"/>
            <w:tabs>
              <w:tab w:val="right" w:leader="dot" w:pos="8299"/>
            </w:tabs>
            <w:spacing w:line="48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_Toc1837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第六章 竞争性磋商响应文件格式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_Toc1837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6576C99E">
          <w:pPr>
            <w:spacing w:line="480" w:lineRule="auto"/>
            <w:ind w:left="0" w:leftChars="0" w:firstLine="0" w:firstLineChars="0"/>
            <w:rPr>
              <w:rFonts w:hint="eastAsia" w:ascii="宋体" w:hAnsi="宋体" w:cs="宋体"/>
              <w:color w:val="auto"/>
              <w:sz w:val="30"/>
              <w:szCs w:val="30"/>
              <w:highlight w:val="none"/>
            </w:rPr>
          </w:pPr>
          <w:r>
            <w:rPr>
              <w:rFonts w:hint="eastAsia" w:asciiTheme="minorEastAsia" w:hAnsiTheme="minorEastAsia" w:eastAsiaTheme="minorEastAsia" w:cstheme="minorEastAsia"/>
              <w:color w:val="auto"/>
              <w:sz w:val="24"/>
              <w:szCs w:val="24"/>
              <w:highlight w:val="none"/>
            </w:rPr>
            <w:fldChar w:fldCharType="end"/>
          </w:r>
        </w:p>
      </w:sdtContent>
    </w:sdt>
    <w:p w14:paraId="32D954BF">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3F38D647">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5FFFEBCF">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6979D416">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07139632">
      <w:pPr>
        <w:pStyle w:val="7"/>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cs="宋体"/>
          <w:color w:val="auto"/>
          <w:sz w:val="30"/>
          <w:szCs w:val="30"/>
          <w:highlight w:val="none"/>
        </w:rPr>
      </w:pPr>
    </w:p>
    <w:p w14:paraId="11F5190B">
      <w:pPr>
        <w:ind w:left="0" w:leftChars="0" w:firstLine="0" w:firstLineChars="0"/>
        <w:rPr>
          <w:rFonts w:hint="eastAsia" w:ascii="宋体" w:hAnsi="宋体" w:eastAsia="宋体" w:cs="宋体"/>
          <w:b/>
          <w:color w:val="auto"/>
          <w:spacing w:val="14"/>
          <w:sz w:val="44"/>
          <w:szCs w:val="44"/>
          <w:highlight w:val="none"/>
        </w:rPr>
      </w:pPr>
    </w:p>
    <w:p w14:paraId="7C21D722">
      <w:pPr>
        <w:pStyle w:val="43"/>
        <w:bidi w:val="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14:paraId="4B641F92">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一、投标人（供应商）注册</w:t>
      </w:r>
    </w:p>
    <w:p w14:paraId="54627DFF">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凡有意参加本项目的投标人（供应商），请</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“全国公共资源交易平台（河南省·信阳市）（</w:t>
      </w:r>
      <w:r>
        <w:rPr>
          <w:rFonts w:hint="eastAsia" w:ascii="宋体" w:hAnsi="宋体" w:eastAsia="宋体" w:cs="宋体"/>
          <w:b w:val="0"/>
          <w:bCs w:val="0"/>
          <w:color w:val="auto"/>
          <w:sz w:val="21"/>
          <w:szCs w:val="21"/>
          <w:lang w:eastAsia="zh-CN"/>
        </w:rPr>
        <w:t>https://ggzyjy.xinyang.gov.cn/</w:t>
      </w:r>
      <w:r>
        <w:rPr>
          <w:rFonts w:hint="eastAsia" w:ascii="宋体" w:hAnsi="宋体" w:eastAsia="宋体" w:cs="宋体"/>
          <w:b w:val="0"/>
          <w:bCs w:val="0"/>
          <w:color w:val="auto"/>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0BE1C0D7">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二、办理CA数字证书</w:t>
      </w:r>
    </w:p>
    <w:p w14:paraId="60754F16">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b w:val="0"/>
          <w:bCs w:val="0"/>
          <w:color w:val="auto"/>
          <w:sz w:val="21"/>
          <w:szCs w:val="21"/>
          <w:lang w:eastAsia="zh-CN"/>
        </w:rPr>
        <w:t>一</w:t>
      </w:r>
      <w:r>
        <w:rPr>
          <w:rFonts w:hint="eastAsia" w:ascii="宋体" w:hAnsi="宋体" w:eastAsia="宋体" w:cs="宋体"/>
          <w:b w:val="0"/>
          <w:bCs w:val="0"/>
          <w:color w:val="auto"/>
          <w:sz w:val="21"/>
          <w:szCs w:val="21"/>
        </w:rPr>
        <w:t>楼CA窗口现场办理CA数字证书。</w:t>
      </w:r>
    </w:p>
    <w:p w14:paraId="0F8E4B5C">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三、招标（采购）文件获取方式</w:t>
      </w:r>
    </w:p>
    <w:p w14:paraId="4FB19084">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投标人（供应商）凭CA数字证书</w:t>
      </w:r>
      <w:r>
        <w:rPr>
          <w:rFonts w:hint="eastAsia" w:ascii="宋体" w:hAnsi="宋体" w:eastAsia="宋体" w:cs="宋体"/>
          <w:b w:val="0"/>
          <w:bCs w:val="0"/>
          <w:color w:val="auto"/>
          <w:sz w:val="21"/>
          <w:szCs w:val="21"/>
          <w:lang w:eastAsia="zh-CN"/>
        </w:rPr>
        <w:t>登录</w:t>
      </w:r>
      <w:r>
        <w:rPr>
          <w:rFonts w:hint="eastAsia" w:ascii="宋体" w:hAnsi="宋体" w:eastAsia="宋体" w:cs="宋体"/>
          <w:b w:val="0"/>
          <w:bCs w:val="0"/>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*.XYZF格式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下载后需使用“信阳市投标文件制作工具软件”打开（该工具软件可在“全国公共资源交易平台（河南省·信阳市）（</w:t>
      </w:r>
      <w:r>
        <w:rPr>
          <w:rFonts w:hint="eastAsia" w:ascii="宋体" w:hAnsi="宋体" w:eastAsia="宋体" w:cs="宋体"/>
          <w:b w:val="0"/>
          <w:bCs w:val="0"/>
          <w:color w:val="auto"/>
          <w:sz w:val="21"/>
          <w:szCs w:val="21"/>
          <w:lang w:eastAsia="zh-CN"/>
        </w:rPr>
        <w:t>https://ggzyjy.xinyang.gov.cn/</w:t>
      </w:r>
      <w:r>
        <w:rPr>
          <w:rFonts w:hint="eastAsia" w:ascii="宋体" w:hAnsi="宋体" w:eastAsia="宋体" w:cs="宋体"/>
          <w:b w:val="0"/>
          <w:bCs w:val="0"/>
          <w:color w:val="auto"/>
          <w:sz w:val="21"/>
          <w:szCs w:val="21"/>
        </w:rPr>
        <w:t>）”网站下载中心栏目内下载或在招标文件领取页面下载）。</w:t>
      </w:r>
    </w:p>
    <w:p w14:paraId="0B6DBF56">
      <w:pPr>
        <w:tabs>
          <w:tab w:val="left" w:pos="0"/>
        </w:tabs>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四、投标（响应）文件制作</w:t>
      </w:r>
    </w:p>
    <w:p w14:paraId="1A18AD63">
      <w:pPr>
        <w:tabs>
          <w:tab w:val="left" w:pos="0"/>
        </w:tabs>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投标（响应）文件应使用信阳市公共资源交易系统投标文件制作专用工具软件编制，投标（响应）文件格式为“*.XYTF”。</w:t>
      </w:r>
    </w:p>
    <w:p w14:paraId="3AE5C24E">
      <w:pPr>
        <w:tabs>
          <w:tab w:val="left" w:pos="0"/>
        </w:tabs>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投标人（供应商）须在投标（响应）文件递交截止时间前制作并提交。</w:t>
      </w:r>
    </w:p>
    <w:p w14:paraId="0D6A1CCD">
      <w:pPr>
        <w:pStyle w:val="9"/>
        <w:bidi w:val="0"/>
        <w:spacing w:line="24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u w:val="double"/>
        </w:rPr>
        <w:t>五、投标（响应）文件的签字和盖章要求</w:t>
      </w:r>
    </w:p>
    <w:p w14:paraId="3ECA8B01">
      <w:pPr>
        <w:bidi w:val="0"/>
        <w:adjustRightInd w:val="0"/>
        <w:snapToGrid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1、投标文件（响应）格式中所有要求投标人（供应商）加盖公章的地方都须加盖投标人（供应商）的 CA 印章。</w:t>
      </w:r>
    </w:p>
    <w:p w14:paraId="14C1F9B1">
      <w:pPr>
        <w:bidi w:val="0"/>
        <w:adjustRightInd w:val="0"/>
        <w:snapToGrid w:val="0"/>
        <w:spacing w:line="240" w:lineRule="auto"/>
        <w:ind w:left="-126" w:leftChars="-60" w:firstLine="525" w:firstLineChars="25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2、投标文件（响应）格式中所有要求法定代表人或其委托代理人签字或盖章的地方（不含授权委托书委托人签字）都须加盖法定代表人CA 印章。</w:t>
      </w:r>
    </w:p>
    <w:p w14:paraId="1D59EC84">
      <w:pPr>
        <w:pStyle w:val="9"/>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六、投标文件份数</w:t>
      </w:r>
    </w:p>
    <w:p w14:paraId="2BAD336B">
      <w:pPr>
        <w:bidi w:val="0"/>
        <w:adjustRightInd w:val="0"/>
        <w:snapToGrid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加密的电子投标（响应）文件壹份（*.XYTF 格式，在会员系统指定位置上传</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w:t>
      </w:r>
    </w:p>
    <w:p w14:paraId="157A8E48">
      <w:pPr>
        <w:pStyle w:val="9"/>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七、投标（响应）文件的递交</w:t>
      </w:r>
    </w:p>
    <w:p w14:paraId="4F10C0EA">
      <w:pPr>
        <w:bidi w:val="0"/>
        <w:adjustRightInd w:val="0"/>
        <w:snapToGrid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1、电子投标（响应）文件的递交</w:t>
      </w:r>
    </w:p>
    <w:p w14:paraId="15058631">
      <w:pPr>
        <w:bidi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4095FCFF">
      <w:pPr>
        <w:bidi w:val="0"/>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、除电子投标（响应）文件外，不再接受任何纸质文件、资料原件等。</w:t>
      </w:r>
    </w:p>
    <w:p w14:paraId="2A615448">
      <w:pPr>
        <w:bidi w:val="0"/>
        <w:spacing w:line="240" w:lineRule="auto"/>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八、澄清与变更</w:t>
      </w:r>
    </w:p>
    <w:p w14:paraId="47AB1F34">
      <w:pPr>
        <w:bidi w:val="0"/>
        <w:spacing w:line="24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57F96607">
      <w:pPr>
        <w:widowControl/>
        <w:numPr>
          <w:ilvl w:val="0"/>
          <w:numId w:val="1"/>
        </w:numPr>
        <w:bidi w:val="0"/>
        <w:spacing w:line="240" w:lineRule="auto"/>
        <w:jc w:val="left"/>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u w:val="double"/>
        </w:rPr>
        <w:t xml:space="preserve">其他注意事项 </w:t>
      </w:r>
    </w:p>
    <w:p w14:paraId="597CC4E0">
      <w:pPr>
        <w:widowControl/>
        <w:spacing w:line="240" w:lineRule="auto"/>
        <w:jc w:val="left"/>
        <w:rPr>
          <w:rFonts w:hint="eastAsia"/>
          <w:b w:val="0"/>
          <w:bCs w:val="0"/>
          <w:color w:val="auto"/>
          <w:lang w:val="en-US" w:eastAsia="zh-CN"/>
        </w:rPr>
      </w:pPr>
      <w:r>
        <w:rPr>
          <w:rFonts w:hint="eastAsia" w:ascii="宋体" w:hAnsi="宋体" w:eastAsia="宋体" w:cs="宋体"/>
          <w:b w:val="0"/>
          <w:bCs w:val="0"/>
          <w:color w:val="auto"/>
          <w:sz w:val="21"/>
          <w:szCs w:val="21"/>
          <w:highlight w:val="none"/>
          <w:u w:val="double"/>
          <w:lang w:val="en-US" w:eastAsia="zh-CN"/>
        </w:rPr>
        <w:t xml:space="preserve">1、供应商编制投标文件时，涉及的营业执照、资质、获奖、社保、纳税等固定内容可在交易中心主体信用信息中录入。 </w:t>
      </w:r>
    </w:p>
    <w:p w14:paraId="5965240C">
      <w:pPr>
        <w:widowControl/>
        <w:bidi w:val="0"/>
        <w:spacing w:line="240" w:lineRule="auto"/>
        <w:jc w:val="left"/>
        <w:rPr>
          <w:rFonts w:hint="eastAsia" w:ascii="宋体" w:hAnsi="宋体" w:eastAsia="宋体" w:cs="宋体"/>
          <w:b w:val="0"/>
          <w:bCs w:val="0"/>
          <w:color w:val="auto"/>
          <w:sz w:val="21"/>
          <w:szCs w:val="21"/>
          <w:highlight w:val="none"/>
          <w:u w:val="double"/>
          <w:lang w:val="en-US" w:eastAsia="zh-CN"/>
        </w:rPr>
      </w:pPr>
      <w:r>
        <w:rPr>
          <w:rFonts w:hint="eastAsia" w:ascii="宋体" w:hAnsi="宋体" w:eastAsia="宋体" w:cs="宋体"/>
          <w:b w:val="0"/>
          <w:bCs w:val="0"/>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6FD41D51">
      <w:pPr>
        <w:pStyle w:val="23"/>
        <w:spacing w:line="240" w:lineRule="auto"/>
        <w:ind w:left="0" w:leftChars="0" w:firstLine="420" w:firstLineChars="200"/>
        <w:rPr>
          <w:rFonts w:hint="default"/>
          <w:b w:val="0"/>
          <w:bCs w:val="0"/>
          <w:color w:val="auto"/>
          <w:lang w:val="en-US" w:eastAsia="zh-CN"/>
        </w:rPr>
      </w:pPr>
      <w:r>
        <w:rPr>
          <w:rFonts w:hint="eastAsia" w:ascii="宋体" w:hAnsi="宋体" w:eastAsia="宋体" w:cs="宋体"/>
          <w:b w:val="0"/>
          <w:bCs w:val="0"/>
          <w:color w:val="auto"/>
          <w:sz w:val="21"/>
          <w:szCs w:val="21"/>
          <w:highlight w:val="none"/>
          <w:u w:val="double"/>
          <w:lang w:val="en-US" w:eastAsia="zh-CN"/>
        </w:rPr>
        <w:t>3、中标企业认为投标文件中资料涉及商业秘密的，可以要求代理机构对相关信息模糊处理后公示。</w:t>
      </w:r>
    </w:p>
    <w:p w14:paraId="55107785">
      <w:pPr>
        <w:widowControl/>
        <w:bidi w:val="0"/>
        <w:spacing w:line="240" w:lineRule="auto"/>
        <w:jc w:val="left"/>
        <w:rPr>
          <w:rFonts w:hint="default" w:ascii="宋体" w:hAnsi="宋体" w:eastAsia="宋体" w:cs="宋体"/>
          <w:b w:val="0"/>
          <w:bCs w:val="0"/>
          <w:color w:val="auto"/>
          <w:sz w:val="21"/>
          <w:szCs w:val="21"/>
          <w:highlight w:val="none"/>
          <w:u w:val="double"/>
          <w:lang w:val="en-US" w:eastAsia="zh-CN"/>
        </w:rPr>
      </w:pPr>
      <w:r>
        <w:rPr>
          <w:rFonts w:hint="eastAsia" w:ascii="宋体" w:hAnsi="宋体" w:eastAsia="宋体" w:cs="宋体"/>
          <w:b w:val="0"/>
          <w:bCs w:val="0"/>
          <w:color w:val="auto"/>
          <w:sz w:val="21"/>
          <w:szCs w:val="21"/>
          <w:highlight w:val="none"/>
          <w:u w:val="doubl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077708B">
      <w:pPr>
        <w:widowControl/>
        <w:bidi w:val="0"/>
        <w:spacing w:line="240" w:lineRule="auto"/>
        <w:jc w:val="left"/>
        <w:rPr>
          <w:rFonts w:hint="eastAsia" w:ascii="宋体" w:hAnsi="宋体" w:eastAsia="宋体" w:cs="宋体"/>
          <w:b w:val="0"/>
          <w:bCs w:val="0"/>
          <w:color w:val="auto"/>
          <w:sz w:val="21"/>
          <w:szCs w:val="21"/>
          <w:u w:val="double"/>
        </w:rPr>
      </w:pPr>
      <w:r>
        <w:rPr>
          <w:rFonts w:hint="eastAsia" w:ascii="宋体" w:hAnsi="宋体" w:eastAsia="宋体" w:cs="宋体"/>
          <w:b w:val="0"/>
          <w:bCs w:val="0"/>
          <w:color w:val="auto"/>
          <w:sz w:val="21"/>
          <w:szCs w:val="21"/>
          <w:highlight w:val="none"/>
          <w:u w:val="double"/>
          <w:lang w:val="en-US" w:eastAsia="zh-CN"/>
        </w:rPr>
        <w:t>5、投标文件中的扫描件，在确保清晰的前提下，每张最好控制在 500kb 内，生成的加密电子投标文件最好不要超过50MB。</w:t>
      </w:r>
    </w:p>
    <w:p w14:paraId="40812700">
      <w:pPr>
        <w:bidi w:val="0"/>
        <w:adjustRightInd w:val="0"/>
        <w:snapToGrid w:val="0"/>
        <w:spacing w:line="36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u w:val="double"/>
        </w:rPr>
        <w:t>十、特别提醒</w:t>
      </w:r>
    </w:p>
    <w:p w14:paraId="37DAA977">
      <w:pPr>
        <w:bidi w:val="0"/>
        <w:adjustRightInd w:val="0"/>
        <w:snapToGrid w:val="0"/>
        <w:spacing w:line="360" w:lineRule="auto"/>
        <w:ind w:firstLine="420" w:firstLineChars="200"/>
        <w:jc w:val="left"/>
        <w:rPr>
          <w:rFonts w:hint="eastAsia" w:ascii="宋体" w:hAnsi="宋体" w:eastAsia="宋体" w:cs="宋体"/>
          <w:b w:val="0"/>
          <w:bCs w:val="0"/>
          <w:color w:val="auto"/>
          <w:sz w:val="21"/>
          <w:szCs w:val="21"/>
        </w:rPr>
        <w:sectPr>
          <w:pgSz w:w="11905" w:h="16838"/>
          <w:pgMar w:top="1440" w:right="1282" w:bottom="1440" w:left="1383" w:header="850" w:footer="850" w:gutter="0"/>
          <w:pgNumType w:fmt="decimal"/>
          <w:cols w:space="720" w:num="1"/>
          <w:docGrid w:type="lines" w:linePitch="411" w:charSpace="0"/>
        </w:sectPr>
      </w:pPr>
      <w:r>
        <w:rPr>
          <w:rFonts w:hint="eastAsia" w:ascii="宋体" w:hAnsi="宋体" w:eastAsia="宋体" w:cs="宋体"/>
          <w:b w:val="0"/>
          <w:bCs w:val="0"/>
          <w:color w:val="auto"/>
          <w:sz w:val="21"/>
          <w:szCs w:val="21"/>
        </w:rPr>
        <w:t>招标（响应）文件与此内容不符的，以此内容为准。</w:t>
      </w:r>
    </w:p>
    <w:p w14:paraId="005970EE">
      <w:pPr>
        <w:pStyle w:val="20"/>
        <w:keepNext w:val="0"/>
        <w:keepLines w:val="0"/>
        <w:pageBreakBefore w:val="0"/>
        <w:widowControl/>
        <w:tabs>
          <w:tab w:val="right" w:leader="underscore" w:pos="8296"/>
        </w:tabs>
        <w:kinsoku/>
        <w:wordWrap/>
        <w:overflowPunct/>
        <w:topLinePunct w:val="0"/>
        <w:autoSpaceDE/>
        <w:autoSpaceDN/>
        <w:bidi w:val="0"/>
        <w:adjustRightInd/>
        <w:snapToGrid/>
        <w:spacing w:after="0" w:afterLines="0" w:line="360" w:lineRule="auto"/>
        <w:ind w:left="0" w:leftChars="0" w:firstLine="0" w:firstLineChars="0"/>
        <w:jc w:val="center"/>
        <w:textAlignment w:val="auto"/>
        <w:outlineLvl w:val="0"/>
        <w:rPr>
          <w:rFonts w:hint="eastAsia" w:ascii="宋体" w:hAnsi="宋体" w:cs="宋体" w:eastAsiaTheme="minorEastAsia"/>
          <w:b/>
          <w:bCs/>
          <w:color w:val="auto"/>
          <w:sz w:val="32"/>
          <w:szCs w:val="32"/>
          <w:highlight w:val="none"/>
          <w:lang w:eastAsia="zh-CN"/>
        </w:rPr>
      </w:pPr>
      <w:bookmarkStart w:id="6" w:name="_Toc30363"/>
      <w:bookmarkStart w:id="7" w:name="_Toc31411"/>
      <w:bookmarkStart w:id="8" w:name="_Toc10356"/>
      <w:bookmarkStart w:id="9" w:name="_Toc9876"/>
      <w:bookmarkStart w:id="10" w:name="_Toc14361"/>
      <w:bookmarkStart w:id="11" w:name="_Toc23059"/>
      <w:bookmarkStart w:id="12" w:name="_Toc11788"/>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第一章 </w:t>
      </w:r>
      <w:bookmarkEnd w:id="2"/>
      <w:bookmarkEnd w:id="3"/>
      <w:bookmarkEnd w:id="4"/>
      <w:bookmarkEnd w:id="5"/>
      <w:bookmarkEnd w:id="6"/>
      <w:r>
        <w:rPr>
          <w:rFonts w:hint="eastAsia" w:ascii="宋体" w:hAnsi="宋体" w:cs="宋体"/>
          <w:b/>
          <w:bCs/>
          <w:color w:val="auto"/>
          <w:sz w:val="32"/>
          <w:szCs w:val="32"/>
          <w:highlight w:val="none"/>
          <w:lang w:eastAsia="zh-CN"/>
        </w:rPr>
        <w:t>竞争性磋商公告</w:t>
      </w:r>
      <w:bookmarkEnd w:id="7"/>
      <w:bookmarkEnd w:id="8"/>
      <w:bookmarkEnd w:id="9"/>
      <w:bookmarkEnd w:id="10"/>
      <w:bookmarkEnd w:id="11"/>
      <w:bookmarkEnd w:id="12"/>
      <w:bookmarkStart w:id="13" w:name="_Toc6735"/>
      <w:bookmarkStart w:id="14" w:name="_Toc9581"/>
      <w:bookmarkStart w:id="15" w:name="_Toc152045527"/>
      <w:bookmarkStart w:id="16" w:name="_Toc22351"/>
      <w:bookmarkStart w:id="17" w:name="_Toc8890"/>
      <w:bookmarkStart w:id="18" w:name="_Toc144974495"/>
      <w:bookmarkStart w:id="19" w:name="_Toc152042303"/>
      <w:r>
        <w:rPr>
          <w:rFonts w:hint="eastAsia" w:ascii="宋体" w:hAnsi="宋体" w:cs="宋体"/>
          <w:b/>
          <w:bCs/>
          <w:color w:val="auto"/>
          <w:sz w:val="32"/>
          <w:szCs w:val="32"/>
          <w:highlight w:val="none"/>
          <w:lang w:val="en-US" w:eastAsia="zh-CN"/>
        </w:rPr>
        <w:t xml:space="preserve"> </w:t>
      </w:r>
    </w:p>
    <w:p w14:paraId="042914B7">
      <w:pPr>
        <w:pStyle w:val="22"/>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bookmarkStart w:id="20" w:name="OLE_LINK1"/>
      <w:r>
        <w:rPr>
          <w:rFonts w:hint="eastAsia" w:ascii="宋体" w:hAnsi="宋体" w:eastAsia="宋体" w:cs="宋体"/>
          <w:b/>
          <w:color w:val="auto"/>
          <w:sz w:val="21"/>
          <w:szCs w:val="21"/>
          <w:highlight w:val="none"/>
        </w:rPr>
        <w:t>项目概况</w:t>
      </w:r>
    </w:p>
    <w:p w14:paraId="2F77BBC5">
      <w:pPr>
        <w:pStyle w:val="22"/>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潢川县城区学校AI人像车辆监控设施设备系统项目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在</w:t>
      </w:r>
      <w:r>
        <w:rPr>
          <w:rFonts w:hint="eastAsia" w:ascii="宋体" w:hAnsi="宋体" w:eastAsia="宋体" w:cs="宋体"/>
          <w:color w:val="auto"/>
          <w:kern w:val="0"/>
          <w:sz w:val="21"/>
          <w:szCs w:val="21"/>
          <w:highlight w:val="none"/>
        </w:rPr>
        <w:t>“全国公共资源交易平台（河南省·信阳市）（https://ggzyjy.xinyang.gov.cn）</w:t>
      </w:r>
      <w:r>
        <w:rPr>
          <w:rFonts w:hint="eastAsia"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凭办理的企业身份</w:t>
      </w:r>
      <w:r>
        <w:rPr>
          <w:rFonts w:hint="eastAsia" w:ascii="宋体" w:hAnsi="宋体" w:eastAsia="宋体" w:cs="宋体"/>
          <w:bCs/>
          <w:color w:val="auto"/>
          <w:sz w:val="21"/>
          <w:szCs w:val="21"/>
          <w:highlight w:val="none"/>
        </w:rPr>
        <w:t>认证锁（CA数字证书）</w:t>
      </w:r>
      <w:r>
        <w:rPr>
          <w:rFonts w:hint="eastAsia" w:ascii="宋体" w:hAnsi="宋体" w:eastAsia="宋体" w:cs="宋体"/>
          <w:bCs/>
          <w:color w:val="auto"/>
          <w:sz w:val="21"/>
          <w:szCs w:val="21"/>
          <w:highlight w:val="none"/>
          <w:lang w:eastAsia="zh-CN"/>
        </w:rPr>
        <w:t>登录</w:t>
      </w:r>
      <w:r>
        <w:rPr>
          <w:rFonts w:hint="eastAsia" w:ascii="宋体" w:hAnsi="宋体" w:eastAsia="宋体" w:cs="宋体"/>
          <w:bCs/>
          <w:color w:val="auto"/>
          <w:sz w:val="21"/>
          <w:szCs w:val="21"/>
          <w:highlight w:val="none"/>
        </w:rPr>
        <w:t>会员系统获取</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，并于</w:t>
      </w:r>
      <w:r>
        <w:rPr>
          <w:rFonts w:hint="eastAsia" w:ascii="宋体" w:hAnsi="宋体" w:eastAsia="宋体" w:cs="宋体"/>
          <w:bCs/>
          <w:color w:val="auto"/>
          <w:sz w:val="21"/>
          <w:szCs w:val="21"/>
          <w:highlight w:val="none"/>
          <w:u w:val="single"/>
          <w:lang w:val="en-US" w:eastAsia="zh-CN"/>
        </w:rPr>
        <w:t>20</w:t>
      </w:r>
      <w:r>
        <w:rPr>
          <w:rFonts w:hint="eastAsia" w:ascii="宋体" w:hAnsi="宋体" w:eastAsia="宋体" w:cs="宋体"/>
          <w:bCs/>
          <w:color w:val="auto"/>
          <w:sz w:val="21"/>
          <w:szCs w:val="21"/>
          <w:highlight w:val="yellow"/>
          <w:u w:val="single"/>
          <w:lang w:val="en-US" w:eastAsia="zh-CN"/>
        </w:rPr>
        <w:t>25年0</w:t>
      </w:r>
      <w:r>
        <w:rPr>
          <w:rFonts w:hint="eastAsia" w:eastAsia="宋体" w:cs="宋体"/>
          <w:bCs/>
          <w:color w:val="auto"/>
          <w:sz w:val="21"/>
          <w:szCs w:val="21"/>
          <w:highlight w:val="yellow"/>
          <w:u w:val="single"/>
          <w:lang w:val="en-US" w:eastAsia="zh-CN"/>
        </w:rPr>
        <w:t>7</w:t>
      </w:r>
      <w:r>
        <w:rPr>
          <w:rFonts w:hint="eastAsia" w:ascii="宋体" w:hAnsi="宋体" w:eastAsia="宋体" w:cs="宋体"/>
          <w:bCs/>
          <w:color w:val="auto"/>
          <w:sz w:val="21"/>
          <w:szCs w:val="21"/>
          <w:highlight w:val="yellow"/>
          <w:u w:val="single"/>
          <w:lang w:val="en-US" w:eastAsia="zh-CN"/>
        </w:rPr>
        <w:t>月</w:t>
      </w:r>
      <w:r>
        <w:rPr>
          <w:rFonts w:hint="eastAsia" w:cs="宋体"/>
          <w:color w:val="auto"/>
          <w:kern w:val="0"/>
          <w:sz w:val="21"/>
          <w:szCs w:val="21"/>
          <w:highlight w:val="yellow"/>
          <w:u w:val="single"/>
          <w:lang w:val="en-US" w:eastAsia="zh-CN" w:bidi="ar-SA"/>
        </w:rPr>
        <w:t>7</w:t>
      </w:r>
      <w:r>
        <w:rPr>
          <w:rFonts w:hint="eastAsia" w:ascii="宋体" w:hAnsi="宋体" w:cs="宋体" w:eastAsiaTheme="minorEastAsia"/>
          <w:color w:val="auto"/>
          <w:kern w:val="0"/>
          <w:sz w:val="21"/>
          <w:szCs w:val="21"/>
          <w:highlight w:val="yellow"/>
          <w:u w:val="single"/>
          <w:lang w:val="en-US" w:eastAsia="zh-CN" w:bidi="ar-SA"/>
        </w:rPr>
        <w:t>日09时30分</w:t>
      </w:r>
      <w:r>
        <w:rPr>
          <w:rFonts w:hint="eastAsia" w:ascii="宋体" w:hAnsi="宋体" w:eastAsia="宋体" w:cs="宋体"/>
          <w:bCs/>
          <w:color w:val="auto"/>
          <w:sz w:val="21"/>
          <w:szCs w:val="21"/>
          <w:highlight w:val="yellow"/>
          <w:shd w:val="clear"/>
        </w:rPr>
        <w:t>（</w:t>
      </w:r>
      <w:r>
        <w:rPr>
          <w:rFonts w:hint="eastAsia" w:ascii="宋体" w:hAnsi="宋体" w:eastAsia="宋体" w:cs="宋体"/>
          <w:bCs/>
          <w:color w:val="auto"/>
          <w:sz w:val="21"/>
          <w:szCs w:val="21"/>
          <w:highlight w:val="none"/>
          <w:shd w:val="clear"/>
        </w:rPr>
        <w:t>北京时间</w:t>
      </w:r>
      <w:r>
        <w:rPr>
          <w:rFonts w:hint="eastAsia" w:ascii="宋体" w:hAnsi="宋体" w:eastAsia="宋体" w:cs="宋体"/>
          <w:bCs/>
          <w:color w:val="auto"/>
          <w:sz w:val="21"/>
          <w:szCs w:val="21"/>
          <w:highlight w:val="none"/>
        </w:rPr>
        <w:t>）前递交响应文件。</w:t>
      </w:r>
    </w:p>
    <w:p w14:paraId="08E7160F">
      <w:pPr>
        <w:pStyle w:val="22"/>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3FBCE34A">
      <w:pPr>
        <w:pStyle w:val="22"/>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auto"/>
          <w:sz w:val="21"/>
          <w:szCs w:val="21"/>
          <w:highlight w:val="none"/>
          <w:lang w:val="en-US" w:eastAsia="zh-CN"/>
        </w:rPr>
        <w:t xml:space="preserve">潢财竞磋采购-2025-23 </w:t>
      </w:r>
    </w:p>
    <w:p w14:paraId="545E7BEC">
      <w:pPr>
        <w:pStyle w:val="22"/>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2、项目名称：潢川县城区学校AI人像车辆监控设施设备系统项目</w:t>
      </w:r>
    </w:p>
    <w:p w14:paraId="46A8FFA6">
      <w:pPr>
        <w:pStyle w:val="22"/>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14:paraId="6BA64257">
      <w:pPr>
        <w:pStyle w:val="22"/>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79.28万元</w:t>
      </w:r>
    </w:p>
    <w:p w14:paraId="51003F9B">
      <w:pPr>
        <w:pStyle w:val="22"/>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firstLine="840" w:firstLineChars="400"/>
        <w:textAlignment w:val="auto"/>
        <w:rPr>
          <w:rFonts w:hint="eastAsia"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w:t>
      </w:r>
      <w:r>
        <w:rPr>
          <w:rFonts w:hint="eastAsia" w:eastAsia="宋体" w:cs="宋体"/>
          <w:bCs/>
          <w:color w:val="auto"/>
          <w:sz w:val="21"/>
          <w:szCs w:val="21"/>
          <w:highlight w:val="none"/>
          <w:lang w:val="en-US" w:eastAsia="zh-CN"/>
        </w:rPr>
        <w:t>79.28万元</w:t>
      </w:r>
    </w:p>
    <w:tbl>
      <w:tblPr>
        <w:tblStyle w:val="26"/>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4"/>
        <w:gridCol w:w="3011"/>
        <w:gridCol w:w="1455"/>
        <w:gridCol w:w="1710"/>
      </w:tblGrid>
      <w:tr w14:paraId="5BF5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noWrap w:val="0"/>
            <w:vAlign w:val="center"/>
          </w:tcPr>
          <w:p w14:paraId="1F74B7C6">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序号</w:t>
            </w:r>
          </w:p>
        </w:tc>
        <w:tc>
          <w:tcPr>
            <w:tcW w:w="1564" w:type="dxa"/>
            <w:noWrap w:val="0"/>
            <w:vAlign w:val="center"/>
          </w:tcPr>
          <w:p w14:paraId="6250C86B">
            <w:pPr>
              <w:keepNext w:val="0"/>
              <w:keepLines w:val="0"/>
              <w:widowControl/>
              <w:suppressLineNumbers w:val="0"/>
              <w:shd w:val="clear"/>
              <w:spacing w:before="0" w:beforeAutospacing="0" w:after="0" w:afterAutospacing="0" w:line="18" w:lineRule="atLeast"/>
              <w:ind w:left="0" w:leftChars="0" w:right="0" w:righ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包号</w:t>
            </w:r>
          </w:p>
        </w:tc>
        <w:tc>
          <w:tcPr>
            <w:tcW w:w="3011" w:type="dxa"/>
            <w:noWrap w:val="0"/>
            <w:vAlign w:val="center"/>
          </w:tcPr>
          <w:p w14:paraId="3A282268">
            <w:pPr>
              <w:keepNext w:val="0"/>
              <w:keepLines w:val="0"/>
              <w:widowControl/>
              <w:suppressLineNumbers w:val="0"/>
              <w:shd w:val="clear"/>
              <w:spacing w:before="0" w:beforeAutospacing="0" w:after="0" w:afterAutospacing="0" w:line="18" w:lineRule="atLeast"/>
              <w:ind w:left="0" w:leftChars="0" w:right="0" w:rightChars="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包名称</w:t>
            </w:r>
          </w:p>
        </w:tc>
        <w:tc>
          <w:tcPr>
            <w:tcW w:w="1455" w:type="dxa"/>
            <w:noWrap w:val="0"/>
            <w:vAlign w:val="center"/>
          </w:tcPr>
          <w:p w14:paraId="3A827901">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包预算（元）</w:t>
            </w:r>
          </w:p>
        </w:tc>
        <w:tc>
          <w:tcPr>
            <w:tcW w:w="1710" w:type="dxa"/>
            <w:noWrap w:val="0"/>
            <w:vAlign w:val="center"/>
          </w:tcPr>
          <w:p w14:paraId="69159FC9">
            <w:pPr>
              <w:keepNext w:val="0"/>
              <w:keepLines w:val="0"/>
              <w:widowControl/>
              <w:suppressLineNumbers w:val="0"/>
              <w:shd w:val="clear"/>
              <w:spacing w:before="0" w:beforeAutospacing="0" w:after="0" w:afterAutospacing="0" w:line="18" w:lineRule="atLeast"/>
              <w:ind w:left="0" w:leftChars="0" w:right="0" w:rightChars="0" w:firstLine="0" w:firstLineChars="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kern w:val="0"/>
                <w:sz w:val="21"/>
                <w:szCs w:val="21"/>
                <w:highlight w:val="none"/>
                <w:lang w:val="en-US" w:eastAsia="zh-CN" w:bidi="ar"/>
              </w:rPr>
              <w:t>包最高限价（元）</w:t>
            </w:r>
          </w:p>
        </w:tc>
      </w:tr>
      <w:tr w14:paraId="26F9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9520B6F">
            <w:pPr>
              <w:pStyle w:val="22"/>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eastAsia="宋体" w:cs="宋体"/>
                <w:b w:val="0"/>
                <w:bCs/>
                <w:color w:val="auto"/>
                <w:sz w:val="21"/>
                <w:szCs w:val="21"/>
                <w:highlight w:val="none"/>
                <w:vertAlign w:val="baseline"/>
                <w:lang w:val="en-US" w:eastAsia="zh-CN"/>
              </w:rPr>
              <w:t>1</w:t>
            </w:r>
          </w:p>
        </w:tc>
        <w:tc>
          <w:tcPr>
            <w:tcW w:w="1564" w:type="dxa"/>
            <w:noWrap w:val="0"/>
            <w:vAlign w:val="center"/>
          </w:tcPr>
          <w:p w14:paraId="7016670D">
            <w:pPr>
              <w:pStyle w:val="22"/>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left"/>
              <w:textAlignment w:val="auto"/>
              <w:rPr>
                <w:rFonts w:hint="default" w:ascii="宋体" w:hAnsi="宋体" w:eastAsia="宋体" w:cs="宋体"/>
                <w:b w:val="0"/>
                <w:bCs/>
                <w:color w:val="auto"/>
                <w:sz w:val="21"/>
                <w:szCs w:val="21"/>
                <w:highlight w:val="none"/>
                <w:vertAlign w:val="baseline"/>
                <w:lang w:val="en-US" w:eastAsia="zh-CN"/>
              </w:rPr>
            </w:pPr>
            <w:r>
              <w:rPr>
                <w:rFonts w:hint="eastAsia" w:eastAsia="宋体" w:cs="宋体"/>
                <w:bCs/>
                <w:color w:val="auto"/>
                <w:sz w:val="21"/>
                <w:szCs w:val="21"/>
                <w:highlight w:val="none"/>
                <w:lang w:val="en-US" w:eastAsia="zh-CN"/>
              </w:rPr>
              <w:t>潢财竞磋采购-2025-23</w:t>
            </w:r>
          </w:p>
        </w:tc>
        <w:tc>
          <w:tcPr>
            <w:tcW w:w="3011" w:type="dxa"/>
            <w:noWrap w:val="0"/>
            <w:vAlign w:val="center"/>
          </w:tcPr>
          <w:p w14:paraId="559B9C65">
            <w:pPr>
              <w:pStyle w:val="22"/>
              <w:keepNext w:val="0"/>
              <w:keepLines w:val="0"/>
              <w:pageBreakBefore w:val="0"/>
              <w:widowControl w:val="0"/>
              <w:shd w:val="clear"/>
              <w:kinsoku/>
              <w:overflowPunct/>
              <w:topLinePunct w:val="0"/>
              <w:autoSpaceDE/>
              <w:autoSpaceDN/>
              <w:bidi w:val="0"/>
              <w:adjustRightInd/>
              <w:snapToGrid w:val="0"/>
              <w:spacing w:before="0" w:beforeLines="0" w:beforeAutospacing="0" w:after="0" w:afterLines="0" w:afterAutospacing="0" w:line="336" w:lineRule="auto"/>
              <w:ind w:left="0" w:leftChars="0" w:firstLine="0" w:firstLineChars="0"/>
              <w:jc w:val="left"/>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潢川县城区学校AI人像车辆监控设施设备系统项目</w:t>
            </w:r>
          </w:p>
        </w:tc>
        <w:tc>
          <w:tcPr>
            <w:tcW w:w="1455" w:type="dxa"/>
            <w:noWrap w:val="0"/>
            <w:vAlign w:val="center"/>
          </w:tcPr>
          <w:p w14:paraId="71CE1AB9">
            <w:pPr>
              <w:shd w:val="clear"/>
              <w:ind w:left="0" w:leftChars="0" w:firstLine="0" w:firstLineChars="0"/>
              <w:jc w:val="center"/>
              <w:rPr>
                <w:rFonts w:hint="default" w:ascii="宋体" w:hAnsi="宋体" w:eastAsia="宋体" w:cs="宋体"/>
                <w:b w:val="0"/>
                <w:bCs/>
                <w:color w:val="auto"/>
                <w:sz w:val="21"/>
                <w:szCs w:val="21"/>
                <w:highlight w:val="none"/>
                <w:vertAlign w:val="baseline"/>
                <w:lang w:val="en-US" w:eastAsia="zh-CN"/>
              </w:rPr>
            </w:pPr>
            <w:r>
              <w:rPr>
                <w:rFonts w:hint="default" w:ascii="宋体" w:hAnsi="宋体" w:eastAsia="宋体" w:cs="宋体"/>
                <w:b w:val="0"/>
                <w:bCs/>
                <w:color w:val="auto"/>
                <w:sz w:val="21"/>
                <w:szCs w:val="21"/>
                <w:highlight w:val="none"/>
                <w:vertAlign w:val="baseline"/>
                <w:lang w:val="en-US" w:eastAsia="zh-CN"/>
              </w:rPr>
              <w:t>792810</w:t>
            </w:r>
          </w:p>
        </w:tc>
        <w:tc>
          <w:tcPr>
            <w:tcW w:w="1710" w:type="dxa"/>
            <w:noWrap w:val="0"/>
            <w:vAlign w:val="center"/>
          </w:tcPr>
          <w:p w14:paraId="4160DD64">
            <w:pPr>
              <w:shd w:val="clear"/>
              <w:ind w:left="0" w:leftChars="0" w:firstLine="0" w:firstLineChars="0"/>
              <w:jc w:val="center"/>
              <w:rPr>
                <w:rFonts w:hint="default" w:ascii="宋体" w:hAnsi="宋体" w:eastAsia="宋体" w:cs="宋体"/>
                <w:b w:val="0"/>
                <w:bCs/>
                <w:color w:val="auto"/>
                <w:sz w:val="21"/>
                <w:szCs w:val="21"/>
                <w:highlight w:val="none"/>
                <w:vertAlign w:val="baseline"/>
                <w:lang w:val="en-US" w:eastAsia="zh-CN"/>
              </w:rPr>
            </w:pPr>
            <w:r>
              <w:rPr>
                <w:rFonts w:hint="default" w:ascii="宋体" w:hAnsi="宋体" w:eastAsia="宋体" w:cs="宋体"/>
                <w:b w:val="0"/>
                <w:bCs/>
                <w:color w:val="auto"/>
                <w:sz w:val="21"/>
                <w:szCs w:val="21"/>
                <w:highlight w:val="none"/>
                <w:vertAlign w:val="baseline"/>
                <w:lang w:val="en-US" w:eastAsia="zh-CN"/>
              </w:rPr>
              <w:t>792810</w:t>
            </w:r>
          </w:p>
        </w:tc>
      </w:tr>
    </w:tbl>
    <w:p w14:paraId="6C5F0CE3">
      <w:pPr>
        <w:pStyle w:val="22"/>
        <w:keepNext w:val="0"/>
        <w:keepLines w:val="0"/>
        <w:pageBreakBefore w:val="0"/>
        <w:widowControl w:val="0"/>
        <w:shd w:val="clear"/>
        <w:kinsoku/>
        <w:overflowPunct/>
        <w:topLinePunct w:val="0"/>
        <w:autoSpaceDE/>
        <w:autoSpaceDN/>
        <w:bidi w:val="0"/>
        <w:snapToGrid w:val="0"/>
        <w:spacing w:before="0" w:beforeLines="0" w:beforeAutospacing="0" w:after="0" w:afterLines="0" w:afterAutospacing="0" w:line="360" w:lineRule="auto"/>
        <w:ind w:left="0" w:leftChars="0" w:firstLine="0" w:firstLineChars="0"/>
        <w:textAlignment w:val="auto"/>
        <w:rPr>
          <w:rFonts w:hint="eastAsia" w:eastAsia="宋体" w:cs="宋体"/>
          <w:bCs/>
          <w:color w:val="auto"/>
          <w:sz w:val="21"/>
          <w:szCs w:val="21"/>
          <w:highlight w:val="none"/>
          <w:lang w:val="en-US" w:eastAsia="zh-CN"/>
        </w:rPr>
      </w:pPr>
    </w:p>
    <w:p w14:paraId="176CF955">
      <w:pPr>
        <w:pStyle w:val="22"/>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5、采购需求：城区37所学校大门卡口AI人像车辆监控系统设备（人脸识别系统），五年服务</w:t>
      </w:r>
      <w:r>
        <w:rPr>
          <w:rFonts w:hint="eastAsia" w:ascii="宋体" w:hAnsi="宋体" w:eastAsia="宋体" w:cs="宋体"/>
          <w:bCs/>
          <w:color w:val="auto"/>
          <w:sz w:val="21"/>
          <w:szCs w:val="21"/>
          <w:highlight w:val="none"/>
          <w:lang w:eastAsia="zh-CN"/>
        </w:rPr>
        <w:t>。</w:t>
      </w:r>
      <w:r>
        <w:rPr>
          <w:rFonts w:hint="eastAsia" w:eastAsia="宋体" w:cs="宋体"/>
          <w:bCs/>
          <w:color w:val="auto"/>
          <w:sz w:val="21"/>
          <w:szCs w:val="21"/>
          <w:highlight w:val="none"/>
          <w:lang w:eastAsia="zh-CN"/>
        </w:rPr>
        <w:t>（</w:t>
      </w:r>
      <w:r>
        <w:rPr>
          <w:rFonts w:hint="eastAsia" w:eastAsia="宋体" w:cs="宋体"/>
          <w:bCs/>
          <w:color w:val="auto"/>
          <w:sz w:val="21"/>
          <w:szCs w:val="21"/>
          <w:highlight w:val="none"/>
          <w:lang w:val="en-US" w:eastAsia="zh-CN"/>
        </w:rPr>
        <w:t>详见采购清单）</w:t>
      </w:r>
    </w:p>
    <w:p w14:paraId="527C4A3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5.1服务要求：合格，并通过验收。</w:t>
      </w:r>
    </w:p>
    <w:p w14:paraId="0D0CC57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kern w:val="0"/>
          <w:szCs w:val="21"/>
          <w:lang w:val="en-US"/>
        </w:rPr>
      </w:pPr>
      <w:r>
        <w:rPr>
          <w:rFonts w:hint="eastAsia" w:ascii="宋体" w:hAnsi="宋体" w:eastAsia="宋体" w:cs="宋体"/>
          <w:color w:val="auto"/>
          <w:sz w:val="21"/>
          <w:szCs w:val="21"/>
          <w:highlight w:val="none"/>
          <w:lang w:val="en-US" w:eastAsia="zh-CN"/>
        </w:rPr>
        <w:t>5.2服务期：合同签订</w:t>
      </w:r>
      <w:r>
        <w:rPr>
          <w:rFonts w:hint="eastAsia" w:ascii="宋体" w:hAnsi="宋体" w:cs="宋体"/>
          <w:color w:val="auto"/>
          <w:sz w:val="21"/>
          <w:szCs w:val="21"/>
          <w:highlight w:val="none"/>
          <w:lang w:val="en-US" w:eastAsia="zh-CN"/>
        </w:rPr>
        <w:t>之日起</w:t>
      </w:r>
      <w:r>
        <w:rPr>
          <w:rFonts w:hint="eastAsia" w:ascii="宋体" w:hAnsi="宋体" w:cs="宋体"/>
          <w:color w:val="auto"/>
          <w:kern w:val="0"/>
          <w:szCs w:val="21"/>
          <w:lang w:val="en-US" w:eastAsia="zh-CN"/>
        </w:rPr>
        <w:t>5年</w:t>
      </w:r>
      <w:r>
        <w:rPr>
          <w:rFonts w:hint="eastAsia" w:ascii="宋体" w:hAnsi="宋体" w:cs="宋体"/>
          <w:color w:val="auto"/>
          <w:sz w:val="21"/>
          <w:szCs w:val="21"/>
          <w:highlight w:val="none"/>
          <w:lang w:val="en-US" w:eastAsia="zh-CN"/>
        </w:rPr>
        <w:t>；</w:t>
      </w:r>
    </w:p>
    <w:p w14:paraId="15613F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w:t>
      </w:r>
      <w:r>
        <w:rPr>
          <w:rFonts w:hint="eastAsia" w:ascii="宋体" w:hAnsi="宋体" w:cs="宋体"/>
          <w:color w:val="auto"/>
          <w:sz w:val="21"/>
          <w:szCs w:val="21"/>
          <w:highlight w:val="none"/>
          <w:lang w:val="en-US" w:eastAsia="zh-CN"/>
        </w:rPr>
        <w:t>质量要求</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合格，并通过验收。</w:t>
      </w:r>
    </w:p>
    <w:p w14:paraId="3A81FDB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5.4交货期：合同签订之日起90日历天内；</w:t>
      </w:r>
    </w:p>
    <w:p w14:paraId="5A56752C">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合同履行期限：同服务期限</w:t>
      </w:r>
    </w:p>
    <w:p w14:paraId="385A847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7、本项目是否接受联合体投标：不接受</w:t>
      </w:r>
    </w:p>
    <w:p w14:paraId="13AC002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8、是否接受进口产品：否</w:t>
      </w:r>
    </w:p>
    <w:p w14:paraId="08918D9C">
      <w:pPr>
        <w:adjustRightInd w:val="0"/>
        <w:snapToGrid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lang w:val="en-US" w:eastAsia="zh-CN"/>
        </w:rPr>
        <w:t>9、是否专门面向中小企业：否</w:t>
      </w:r>
    </w:p>
    <w:p w14:paraId="7B0CB301">
      <w:pPr>
        <w:pStyle w:val="22"/>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7CACBE10">
      <w:pPr>
        <w:pStyle w:val="22"/>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06216B32">
      <w:pPr>
        <w:pStyle w:val="22"/>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2、落实政府采购政策满足的资格要求</w:t>
      </w:r>
      <w:r>
        <w:rPr>
          <w:rFonts w:hint="eastAsia" w:ascii="宋体" w:hAnsi="宋体" w:eastAsia="宋体" w:cs="宋体"/>
          <w:color w:val="auto"/>
          <w:sz w:val="21"/>
          <w:szCs w:val="21"/>
          <w:highlight w:val="none"/>
          <w:lang w:eastAsia="zh-CN"/>
        </w:rPr>
        <w:t>：</w:t>
      </w:r>
    </w:p>
    <w:p w14:paraId="39FDF682">
      <w:pPr>
        <w:adjustRightInd w:val="0"/>
        <w:snapToGrid w:val="0"/>
        <w:spacing w:line="360" w:lineRule="auto"/>
        <w:ind w:firstLine="420"/>
        <w:rPr>
          <w:rFonts w:hint="eastAsia" w:ascii="宋体" w:hAnsi="宋体" w:eastAsia="宋体" w:cs="宋体"/>
          <w:b w:val="0"/>
          <w:bCs w:val="0"/>
          <w:color w:val="auto"/>
          <w:spacing w:val="8"/>
          <w:sz w:val="21"/>
          <w:szCs w:val="21"/>
          <w:highlight w:val="none"/>
          <w:lang w:eastAsia="zh-CN"/>
        </w:rPr>
      </w:pPr>
      <w:r>
        <w:rPr>
          <w:rFonts w:hint="eastAsia" w:ascii="宋体" w:hAnsi="宋体" w:cs="宋体"/>
          <w:b w:val="0"/>
          <w:bCs w:val="0"/>
          <w:color w:val="auto"/>
          <w:sz w:val="21"/>
          <w:szCs w:val="21"/>
          <w:highlight w:val="none"/>
          <w:lang w:val="en-US" w:eastAsia="zh-CN"/>
        </w:rPr>
        <w:t>2.1</w:t>
      </w:r>
      <w:r>
        <w:rPr>
          <w:rFonts w:hint="eastAsia" w:ascii="宋体" w:hAnsi="宋体" w:cs="宋体" w:eastAsiaTheme="minorEastAsia"/>
          <w:color w:val="auto"/>
          <w:kern w:val="2"/>
          <w:sz w:val="21"/>
          <w:szCs w:val="21"/>
          <w:highlight w:val="none"/>
          <w:lang w:val="en-US" w:eastAsia="zh-CN" w:bidi="ar-SA"/>
        </w:rPr>
        <w:t>落实政府采购政策满足的资格要求：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4011FBA4">
      <w:pPr>
        <w:pStyle w:val="23"/>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spacing w:val="8"/>
          <w:sz w:val="21"/>
          <w:szCs w:val="21"/>
          <w:highlight w:val="none"/>
          <w:lang w:val="en-US" w:eastAsia="zh-CN"/>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www.creditchina.gov.cn）、中国政府采购网（www.ccgp.gov.cn），查询截止时点为：从公告发布之日起至投标截止之日止。提供“信用中国”网站的列入失信被执行人、重大税收违法失信主体网站截图和“中国政府采购网”网站的政府采购严重违法失信行为记录名单网站截图。</w:t>
      </w:r>
    </w:p>
    <w:p w14:paraId="35F6CBBC">
      <w:pPr>
        <w:keepNext w:val="0"/>
        <w:keepLines w:val="0"/>
        <w:pageBreakBefore w:val="0"/>
        <w:numPr>
          <w:ilvl w:val="0"/>
          <w:numId w:val="3"/>
        </w:numPr>
        <w:kinsoku/>
        <w:overflowPunct/>
        <w:topLinePunct w:val="0"/>
        <w:autoSpaceDE/>
        <w:autoSpaceDN/>
        <w:bidi w:val="0"/>
        <w:snapToGrid w:val="0"/>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本项目的特定资格要求：</w:t>
      </w:r>
    </w:p>
    <w:p w14:paraId="1BB71D3A">
      <w:pPr>
        <w:keepNext w:val="0"/>
        <w:keepLines w:val="0"/>
        <w:pageBreakBefore w:val="0"/>
        <w:numPr>
          <w:ilvl w:val="0"/>
          <w:numId w:val="0"/>
        </w:numPr>
        <w:kinsoku/>
        <w:overflowPunct/>
        <w:topLinePunct w:val="0"/>
        <w:autoSpaceDE/>
        <w:autoSpaceDN/>
        <w:bidi w:val="0"/>
        <w:snapToGrid w:val="0"/>
        <w:spacing w:line="360" w:lineRule="auto"/>
        <w:ind w:firstLine="630" w:firstLineChars="3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lang w:val="en-US" w:eastAsia="zh-CN"/>
        </w:rPr>
        <w:t>项目不接受联合体投标。</w:t>
      </w:r>
    </w:p>
    <w:p w14:paraId="5D827C40">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4、其他说明</w:t>
      </w:r>
    </w:p>
    <w:p w14:paraId="3B2D397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4.1单位负责人为同一人或者存在直接控股、管理关系的不同单位，不得同时参加同一合同项下的政府采购活动。</w:t>
      </w:r>
    </w:p>
    <w:p w14:paraId="107E3052">
      <w:pPr>
        <w:keepNext w:val="0"/>
        <w:keepLines w:val="0"/>
        <w:pageBreakBefore w:val="0"/>
        <w:widowControl/>
        <w:suppressLineNumbers w:val="0"/>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4.2本项目信用承诺（详见下述要求）。</w:t>
      </w:r>
    </w:p>
    <w:p w14:paraId="06A52CA8">
      <w:pPr>
        <w:keepNext w:val="0"/>
        <w:keepLines w:val="0"/>
        <w:pageBreakBefore w:val="0"/>
        <w:widowControl/>
        <w:suppressLineNumbers w:val="0"/>
        <w:kinsoku/>
        <w:overflowPunct/>
        <w:topLinePunct w:val="0"/>
        <w:autoSpaceDE/>
        <w:autoSpaceDN/>
        <w:bidi w:val="0"/>
        <w:snapToGrid w:val="0"/>
        <w:spacing w:line="360" w:lineRule="auto"/>
        <w:ind w:firstLine="210" w:firstLineChars="1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（一）在本项目政府采购活动中，</w:t>
      </w:r>
      <w:r>
        <w:rPr>
          <w:rFonts w:hint="eastAsia" w:ascii="宋体" w:hAnsi="宋体" w:cs="宋体"/>
          <w:b w:val="0"/>
          <w:bCs w:val="0"/>
          <w:color w:val="auto"/>
          <w:sz w:val="21"/>
          <w:szCs w:val="21"/>
          <w:highlight w:val="none"/>
          <w:lang w:val="en-US" w:eastAsia="zh-CN"/>
        </w:rPr>
        <w:t>供应商在投标（响应）时，可对照资格要求进行自主核对，确定符合资格要求的，可按照规定提供相关承诺函（详见响应文件“七、资格证明材料”附件），</w:t>
      </w:r>
      <w:r>
        <w:rPr>
          <w:rFonts w:hint="eastAsia" w:ascii="宋体" w:hAnsi="宋体" w:eastAsia="宋体" w:cs="宋体"/>
          <w:b w:val="0"/>
          <w:bCs w:val="0"/>
          <w:color w:val="auto"/>
          <w:kern w:val="0"/>
          <w:sz w:val="21"/>
          <w:szCs w:val="21"/>
          <w:highlight w:val="none"/>
          <w:lang w:val="en-US" w:eastAsia="zh-CN" w:bidi="ar"/>
        </w:rPr>
        <w:t>供应商应在资格审查环节提供满足相应条件的书面承诺书。</w:t>
      </w:r>
    </w:p>
    <w:p w14:paraId="19B14177">
      <w:pPr>
        <w:pStyle w:val="22"/>
        <w:widowControl w:val="0"/>
        <w:numPr>
          <w:ilvl w:val="0"/>
          <w:numId w:val="0"/>
        </w:numPr>
        <w:snapToGrid w:val="0"/>
        <w:spacing w:before="0" w:beforeAutospacing="0" w:after="0" w:afterAutospacing="0"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①具有独立承担民事责任的能力，具有有效的营业执照；</w:t>
      </w:r>
    </w:p>
    <w:p w14:paraId="45A74D57">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②符合国家相关规定的财务状况报告（默认</w:t>
      </w:r>
      <w:r>
        <w:rPr>
          <w:rFonts w:hint="eastAsia" w:eastAsia="宋体"/>
          <w:color w:val="auto"/>
          <w:sz w:val="21"/>
          <w:szCs w:val="21"/>
          <w:highlight w:val="none"/>
          <w:lang w:eastAsia="zh-CN"/>
        </w:rPr>
        <w:t>2023年度或2024年度财务审计报告</w:t>
      </w:r>
      <w:r>
        <w:rPr>
          <w:rFonts w:hint="eastAsia" w:eastAsia="宋体"/>
          <w:color w:val="auto"/>
          <w:sz w:val="21"/>
          <w:szCs w:val="21"/>
          <w:highlight w:val="none"/>
        </w:rPr>
        <w:t>，若企业成立年份不足年份的，则以企业成立年份向后推算，提供相应年度的财务审计报告或其基本开户银行出具的资信证明）；</w:t>
      </w:r>
    </w:p>
    <w:p w14:paraId="0361B3BA">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③依法缴纳税收的证明材料（</w:t>
      </w:r>
      <w:r>
        <w:rPr>
          <w:rFonts w:hint="eastAsia" w:eastAsia="宋体"/>
          <w:color w:val="auto"/>
          <w:sz w:val="21"/>
          <w:szCs w:val="21"/>
          <w:highlight w:val="none"/>
          <w:lang w:eastAsia="zh-CN"/>
        </w:rPr>
        <w:t>提供2024年以来任意3个月纳税证明，新成立公司不足3个月的</w:t>
      </w:r>
      <w:r>
        <w:rPr>
          <w:rFonts w:hint="eastAsia" w:eastAsia="宋体"/>
          <w:color w:val="auto"/>
          <w:sz w:val="21"/>
          <w:szCs w:val="21"/>
          <w:highlight w:val="none"/>
        </w:rPr>
        <w:t>，按已缴纳月份提供）；</w:t>
      </w:r>
    </w:p>
    <w:p w14:paraId="23CC0FE0">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④依法缴纳社会保障资金的证明材料（</w:t>
      </w:r>
      <w:r>
        <w:rPr>
          <w:rFonts w:hint="eastAsia" w:eastAsia="宋体"/>
          <w:color w:val="auto"/>
          <w:sz w:val="21"/>
          <w:szCs w:val="21"/>
          <w:highlight w:val="none"/>
          <w:lang w:eastAsia="zh-CN"/>
        </w:rPr>
        <w:t>提供</w:t>
      </w:r>
      <w:r>
        <w:rPr>
          <w:rFonts w:hint="eastAsia" w:eastAsia="宋体"/>
          <w:color w:val="auto"/>
          <w:sz w:val="21"/>
          <w:szCs w:val="21"/>
          <w:highlight w:val="none"/>
          <w:lang w:val="en-US" w:eastAsia="zh-CN"/>
        </w:rPr>
        <w:t>2024年以来任意3个月缴纳社会保障证明</w:t>
      </w:r>
      <w:r>
        <w:rPr>
          <w:rFonts w:hint="eastAsia" w:eastAsia="宋体"/>
          <w:color w:val="auto"/>
          <w:sz w:val="21"/>
          <w:szCs w:val="21"/>
          <w:highlight w:val="none"/>
        </w:rPr>
        <w:t>，新成立公司不足3个月的，按已缴纳月份提供）；</w:t>
      </w:r>
    </w:p>
    <w:p w14:paraId="2EAADD8C">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ascii="宋体" w:hAnsi="宋体" w:eastAsia="宋体" w:cs="宋体"/>
          <w:color w:val="auto"/>
          <w:sz w:val="21"/>
          <w:szCs w:val="21"/>
          <w:highlight w:val="none"/>
        </w:rPr>
        <w:t>⑤</w:t>
      </w:r>
      <w:r>
        <w:rPr>
          <w:rFonts w:hint="eastAsia" w:eastAsia="宋体"/>
          <w:color w:val="auto"/>
          <w:sz w:val="21"/>
          <w:szCs w:val="21"/>
          <w:highlight w:val="none"/>
        </w:rPr>
        <w:t>具有履行合同所必需的设备和专业技术能力（格式自拟，并加盖本单位公章）；</w:t>
      </w:r>
    </w:p>
    <w:p w14:paraId="74C947BC">
      <w:pPr>
        <w:pStyle w:val="24"/>
        <w:ind w:left="0" w:leftChars="0" w:firstLine="420" w:firstLineChars="200"/>
        <w:rPr>
          <w:rFonts w:hint="eastAsia" w:ascii="宋体" w:hAnsi="宋体" w:eastAsia="宋体" w:cs="宋体"/>
          <w:color w:val="auto"/>
          <w:spacing w:val="8"/>
          <w:szCs w:val="21"/>
          <w:highlight w:val="none"/>
        </w:rPr>
      </w:pPr>
      <w:r>
        <w:rPr>
          <w:rFonts w:hint="eastAsia" w:ascii="宋体" w:hAnsi="宋体" w:eastAsia="宋体" w:cs="宋体"/>
          <w:color w:val="auto"/>
          <w:highlight w:val="none"/>
        </w:rPr>
        <w:t>⑥</w:t>
      </w:r>
      <w:r>
        <w:rPr>
          <w:rFonts w:hint="eastAsia" w:ascii="宋体" w:hAnsi="宋体" w:eastAsia="宋体" w:cs="宋体"/>
          <w:color w:val="auto"/>
          <w:spacing w:val="8"/>
          <w:szCs w:val="21"/>
          <w:highlight w:val="none"/>
        </w:rPr>
        <w:t>参加政府采购活动前三年内，在经营活动中没有重大违法记录（格式自拟，并加盖本单位公章）；</w:t>
      </w:r>
    </w:p>
    <w:p w14:paraId="2516B637">
      <w:pPr>
        <w:pStyle w:val="24"/>
        <w:ind w:left="0" w:leftChars="0" w:firstLine="452" w:firstLineChars="200"/>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⑦法律、行政法规规定的其他条件；</w:t>
      </w:r>
    </w:p>
    <w:p w14:paraId="0E5C3084">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供应商在中标（成交）后，采购人（采购代理机构）对证明材料核验，经核验无误后，由采购人发出中标（成交）通知书。采购人、采购代理机构在发布中标结果公告时，资格证明材料需同其他要求发布的文件一起发布。</w:t>
      </w:r>
    </w:p>
    <w:p w14:paraId="77DDF6CE">
      <w:pPr>
        <w:pStyle w:val="45"/>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14:paraId="598099EA">
      <w:pPr>
        <w:snapToGrid w:val="0"/>
        <w:spacing w:line="360" w:lineRule="auto"/>
        <w:ind w:firstLine="420"/>
        <w:jc w:val="left"/>
        <w:rPr>
          <w:rFonts w:hint="eastAsia" w:ascii="宋体" w:hAnsi="宋体" w:cs="宋体" w:eastAsiaTheme="minorEastAsia"/>
          <w:color w:val="auto"/>
          <w:kern w:val="0"/>
          <w:szCs w:val="21"/>
          <w:highlight w:val="none"/>
          <w:lang w:eastAsia="zh-CN"/>
        </w:rPr>
      </w:pPr>
      <w:r>
        <w:rPr>
          <w:rFonts w:hint="eastAsia" w:ascii="宋体" w:hAnsi="宋体" w:cs="宋体"/>
          <w:color w:val="auto"/>
          <w:kern w:val="0"/>
          <w:szCs w:val="21"/>
          <w:highlight w:val="none"/>
          <w:shd w:val="clear"/>
        </w:rPr>
        <w:t>1、时间：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06</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25</w:t>
      </w:r>
      <w:r>
        <w:rPr>
          <w:rFonts w:hint="eastAsia" w:ascii="宋体" w:hAnsi="宋体" w:cs="宋体"/>
          <w:color w:val="auto"/>
          <w:kern w:val="0"/>
          <w:szCs w:val="21"/>
          <w:highlight w:val="none"/>
          <w:u w:val="single"/>
        </w:rPr>
        <w:t>日至202</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07</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rPr>
        <w:t>，</w:t>
      </w:r>
      <w:r>
        <w:rPr>
          <w:rFonts w:hint="eastAsia" w:ascii="宋体" w:hAnsi="宋体" w:cs="宋体"/>
          <w:color w:val="auto"/>
          <w:kern w:val="0"/>
          <w:szCs w:val="21"/>
          <w:highlight w:val="none"/>
          <w:shd w:val="clear"/>
        </w:rPr>
        <w:t>每天上午00</w:t>
      </w:r>
      <w:r>
        <w:rPr>
          <w:rFonts w:hint="eastAsia" w:ascii="宋体" w:hAnsi="宋体" w:cs="宋体"/>
          <w:color w:val="auto"/>
          <w:kern w:val="0"/>
          <w:szCs w:val="21"/>
          <w:highlight w:val="none"/>
        </w:rPr>
        <w:t>:00至12:00，下午12:01至23:59（北京时间，法定节假日除外）</w:t>
      </w:r>
      <w:r>
        <w:rPr>
          <w:rFonts w:hint="eastAsia" w:ascii="宋体" w:hAnsi="宋体" w:cs="宋体"/>
          <w:color w:val="auto"/>
          <w:kern w:val="0"/>
          <w:szCs w:val="21"/>
          <w:highlight w:val="none"/>
          <w:lang w:eastAsia="zh-CN"/>
        </w:rPr>
        <w:t>。</w:t>
      </w:r>
    </w:p>
    <w:p w14:paraId="218EBF02">
      <w:pPr>
        <w:keepNext w:val="0"/>
        <w:keepLines w:val="0"/>
        <w:pageBreakBefore w:val="0"/>
        <w:widowControl w:val="0"/>
        <w:kinsoku/>
        <w:wordWrap w:val="0"/>
        <w:overflowPunct/>
        <w:topLinePunct w:val="0"/>
        <w:autoSpaceDE/>
        <w:autoSpaceDN/>
        <w:bidi w:val="0"/>
        <w:adjustRightInd/>
        <w:snapToGrid w:val="0"/>
        <w:spacing w:line="360" w:lineRule="auto"/>
        <w:ind w:firstLine="420"/>
        <w:jc w:val="left"/>
        <w:textAlignment w:val="auto"/>
        <w:rPr>
          <w:rFonts w:hint="eastAsia" w:ascii="宋体" w:hAnsi="宋体" w:cs="宋体" w:eastAsiaTheme="minorEastAsia"/>
          <w:color w:val="auto"/>
          <w:kern w:val="0"/>
          <w:szCs w:val="21"/>
          <w:highlight w:val="none"/>
          <w:u w:val="single"/>
          <w:lang w:eastAsia="zh-CN"/>
        </w:rPr>
      </w:pPr>
      <w:r>
        <w:rPr>
          <w:rFonts w:hint="eastAsia" w:ascii="宋体" w:hAnsi="宋体" w:cs="宋体"/>
          <w:color w:val="auto"/>
          <w:kern w:val="0"/>
          <w:szCs w:val="21"/>
          <w:highlight w:val="none"/>
        </w:rPr>
        <w:t>2、地点：</w:t>
      </w:r>
      <w:r>
        <w:rPr>
          <w:rFonts w:hint="eastAsia" w:ascii="宋体" w:hAnsi="宋体" w:cs="宋体"/>
          <w:color w:val="auto"/>
          <w:kern w:val="0"/>
          <w:szCs w:val="21"/>
          <w:highlight w:val="none"/>
          <w:u w:val="single"/>
        </w:rPr>
        <w:t>登录“全国公共资源交易平台（河南省·信阳市）（https://ggzyjy.xinyang.gov.cn/）”网站，凭办理的企业身份认证锁（CA数字证书）登录会员系统进行网上投标</w:t>
      </w:r>
      <w:r>
        <w:rPr>
          <w:rFonts w:hint="eastAsia" w:ascii="宋体" w:hAnsi="宋体" w:cs="宋体"/>
          <w:color w:val="auto"/>
          <w:kern w:val="0"/>
          <w:szCs w:val="21"/>
          <w:highlight w:val="none"/>
          <w:u w:val="single"/>
          <w:lang w:eastAsia="zh-CN"/>
        </w:rPr>
        <w:t>。</w:t>
      </w:r>
    </w:p>
    <w:p w14:paraId="0CFD87BC">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3、方式：</w:t>
      </w:r>
      <w:r>
        <w:rPr>
          <w:rFonts w:hint="eastAsia" w:ascii="宋体" w:hAnsi="宋体" w:cs="宋体"/>
          <w:color w:val="auto"/>
          <w:szCs w:val="21"/>
          <w:lang w:val="en-US" w:eastAsia="zh-CN"/>
        </w:rPr>
        <w:t>详见“七、其他补充事宜”；</w:t>
      </w:r>
    </w:p>
    <w:p w14:paraId="655F1BCE">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4、售价：招标文件售价0元。</w:t>
      </w:r>
    </w:p>
    <w:p w14:paraId="38D64C92">
      <w:pPr>
        <w:widowControl/>
        <w:snapToGrid w:val="0"/>
        <w:spacing w:line="360" w:lineRule="auto"/>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四、投标文件提交</w:t>
      </w:r>
    </w:p>
    <w:p w14:paraId="1A3EA143">
      <w:pPr>
        <w:pStyle w:val="22"/>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1、时间：</w:t>
      </w:r>
      <w:r>
        <w:rPr>
          <w:rFonts w:hint="eastAsia" w:ascii="宋体" w:hAnsi="宋体" w:cs="宋体" w:eastAsiaTheme="minorEastAsia"/>
          <w:color w:val="auto"/>
          <w:kern w:val="0"/>
          <w:sz w:val="21"/>
          <w:szCs w:val="21"/>
          <w:highlight w:val="none"/>
          <w:u w:val="single"/>
          <w:lang w:val="en-US" w:eastAsia="zh-CN" w:bidi="ar-SA"/>
        </w:rPr>
        <w:t>2025年0</w:t>
      </w:r>
      <w:r>
        <w:rPr>
          <w:rFonts w:hint="eastAsia" w:cs="宋体"/>
          <w:color w:val="auto"/>
          <w:kern w:val="0"/>
          <w:sz w:val="21"/>
          <w:szCs w:val="21"/>
          <w:highlight w:val="none"/>
          <w:u w:val="single"/>
          <w:lang w:val="en-US" w:eastAsia="zh-CN" w:bidi="ar-SA"/>
        </w:rPr>
        <w:t>7</w:t>
      </w:r>
      <w:r>
        <w:rPr>
          <w:rFonts w:hint="eastAsia" w:ascii="宋体" w:hAnsi="宋体" w:cs="宋体" w:eastAsiaTheme="minorEastAsia"/>
          <w:color w:val="auto"/>
          <w:kern w:val="0"/>
          <w:sz w:val="21"/>
          <w:szCs w:val="21"/>
          <w:highlight w:val="none"/>
          <w:u w:val="single"/>
          <w:lang w:val="en-US" w:eastAsia="zh-CN" w:bidi="ar-SA"/>
        </w:rPr>
        <w:t>月</w:t>
      </w:r>
      <w:r>
        <w:rPr>
          <w:rFonts w:hint="eastAsia" w:cs="宋体"/>
          <w:color w:val="auto"/>
          <w:kern w:val="0"/>
          <w:sz w:val="21"/>
          <w:szCs w:val="21"/>
          <w:highlight w:val="none"/>
          <w:u w:val="single"/>
          <w:lang w:val="en-US" w:eastAsia="zh-CN" w:bidi="ar-SA"/>
        </w:rPr>
        <w:t>7</w:t>
      </w:r>
      <w:r>
        <w:rPr>
          <w:rFonts w:hint="eastAsia" w:ascii="宋体" w:hAnsi="宋体" w:cs="宋体" w:eastAsiaTheme="minorEastAsia"/>
          <w:color w:val="auto"/>
          <w:kern w:val="0"/>
          <w:sz w:val="21"/>
          <w:szCs w:val="21"/>
          <w:highlight w:val="none"/>
          <w:u w:val="single"/>
          <w:lang w:val="en-US" w:eastAsia="zh-CN" w:bidi="ar-SA"/>
        </w:rPr>
        <w:t>日09时30分</w:t>
      </w:r>
      <w:r>
        <w:rPr>
          <w:rFonts w:hint="eastAsia" w:eastAsia="宋体"/>
          <w:color w:val="auto"/>
          <w:sz w:val="21"/>
          <w:szCs w:val="21"/>
          <w:highlight w:val="none"/>
        </w:rPr>
        <w:t>（北京时间）。</w:t>
      </w:r>
    </w:p>
    <w:p w14:paraId="54880224">
      <w:pPr>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2、地点：供应商必须在投标文件提交截止时间前通过信阳市公共资源交易中心电子招投标系统上传加密的电子投标文件(*.XYTF格式)。注：加密电子投标文件逾期上传采购人不予受理。</w:t>
      </w:r>
    </w:p>
    <w:p w14:paraId="3226D2B0">
      <w:pPr>
        <w:widowControl/>
        <w:snapToGrid w:val="0"/>
        <w:spacing w:line="360" w:lineRule="auto"/>
        <w:ind w:firstLine="422"/>
        <w:rPr>
          <w:rFonts w:hint="default" w:ascii="宋体" w:hAnsi="宋体" w:cs="宋体" w:eastAsiaTheme="minorEastAsia"/>
          <w:b/>
          <w:bCs/>
          <w:color w:val="auto"/>
          <w:kern w:val="0"/>
          <w:szCs w:val="21"/>
          <w:highlight w:val="none"/>
          <w:lang w:val="en-US" w:eastAsia="zh-CN"/>
        </w:rPr>
      </w:pPr>
      <w:r>
        <w:rPr>
          <w:rFonts w:hint="eastAsia" w:ascii="宋体" w:hAnsi="宋体" w:cs="宋体"/>
          <w:b/>
          <w:bCs/>
          <w:color w:val="auto"/>
          <w:kern w:val="0"/>
          <w:szCs w:val="21"/>
          <w:highlight w:val="none"/>
        </w:rPr>
        <w:t>五、投标文件</w:t>
      </w:r>
      <w:r>
        <w:rPr>
          <w:rFonts w:hint="eastAsia" w:ascii="宋体" w:hAnsi="宋体" w:cs="宋体"/>
          <w:b/>
          <w:bCs/>
          <w:color w:val="auto"/>
          <w:kern w:val="0"/>
          <w:szCs w:val="21"/>
          <w:highlight w:val="none"/>
          <w:lang w:val="en-US" w:eastAsia="zh-CN"/>
        </w:rPr>
        <w:t>的</w:t>
      </w:r>
      <w:r>
        <w:rPr>
          <w:rFonts w:hint="eastAsia" w:ascii="宋体" w:hAnsi="宋体" w:cs="宋体"/>
          <w:b/>
          <w:bCs/>
          <w:color w:val="auto"/>
          <w:kern w:val="0"/>
          <w:szCs w:val="21"/>
          <w:highlight w:val="none"/>
        </w:rPr>
        <w:t>开启</w:t>
      </w:r>
      <w:r>
        <w:rPr>
          <w:rFonts w:hint="eastAsia" w:ascii="宋体" w:hAnsi="宋体" w:cs="宋体"/>
          <w:b/>
          <w:bCs/>
          <w:color w:val="auto"/>
          <w:kern w:val="0"/>
          <w:szCs w:val="21"/>
          <w:highlight w:val="none"/>
          <w:lang w:val="en-US" w:eastAsia="zh-CN"/>
        </w:rPr>
        <w:t>时间及地点</w:t>
      </w:r>
    </w:p>
    <w:p w14:paraId="403121A3">
      <w:pPr>
        <w:pStyle w:val="22"/>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1、时间：</w:t>
      </w:r>
      <w:r>
        <w:rPr>
          <w:rFonts w:hint="eastAsia" w:ascii="宋体" w:hAnsi="宋体" w:cs="宋体" w:eastAsiaTheme="minorEastAsia"/>
          <w:color w:val="auto"/>
          <w:kern w:val="0"/>
          <w:sz w:val="21"/>
          <w:szCs w:val="21"/>
          <w:highlight w:val="none"/>
          <w:u w:val="single"/>
          <w:lang w:val="en-US" w:eastAsia="zh-CN" w:bidi="ar-SA"/>
        </w:rPr>
        <w:t>2025年0</w:t>
      </w:r>
      <w:r>
        <w:rPr>
          <w:rFonts w:hint="eastAsia" w:cs="宋体"/>
          <w:color w:val="auto"/>
          <w:kern w:val="0"/>
          <w:sz w:val="21"/>
          <w:szCs w:val="21"/>
          <w:highlight w:val="none"/>
          <w:u w:val="single"/>
          <w:lang w:val="en-US" w:eastAsia="zh-CN" w:bidi="ar-SA"/>
        </w:rPr>
        <w:t>7</w:t>
      </w:r>
      <w:r>
        <w:rPr>
          <w:rFonts w:hint="eastAsia" w:ascii="宋体" w:hAnsi="宋体" w:cs="宋体" w:eastAsiaTheme="minorEastAsia"/>
          <w:color w:val="auto"/>
          <w:kern w:val="0"/>
          <w:sz w:val="21"/>
          <w:szCs w:val="21"/>
          <w:highlight w:val="none"/>
          <w:u w:val="single"/>
          <w:lang w:val="en-US" w:eastAsia="zh-CN" w:bidi="ar-SA"/>
        </w:rPr>
        <w:t>月</w:t>
      </w:r>
      <w:r>
        <w:rPr>
          <w:rFonts w:hint="eastAsia" w:cs="宋体"/>
          <w:color w:val="auto"/>
          <w:kern w:val="0"/>
          <w:sz w:val="21"/>
          <w:szCs w:val="21"/>
          <w:highlight w:val="none"/>
          <w:u w:val="single"/>
          <w:lang w:val="en-US" w:eastAsia="zh-CN" w:bidi="ar-SA"/>
        </w:rPr>
        <w:t>7</w:t>
      </w:r>
      <w:r>
        <w:rPr>
          <w:rFonts w:hint="eastAsia" w:ascii="宋体" w:hAnsi="宋体" w:cs="宋体" w:eastAsiaTheme="minorEastAsia"/>
          <w:color w:val="auto"/>
          <w:kern w:val="0"/>
          <w:sz w:val="21"/>
          <w:szCs w:val="21"/>
          <w:highlight w:val="none"/>
          <w:u w:val="single"/>
          <w:lang w:val="en-US" w:eastAsia="zh-CN" w:bidi="ar-SA"/>
        </w:rPr>
        <w:t xml:space="preserve">日09时30分 </w:t>
      </w:r>
      <w:r>
        <w:rPr>
          <w:rFonts w:hint="eastAsia" w:eastAsia="宋体"/>
          <w:color w:val="auto"/>
          <w:sz w:val="21"/>
          <w:szCs w:val="21"/>
          <w:highlight w:val="none"/>
        </w:rPr>
        <w:t>（北京时间）。</w:t>
      </w:r>
    </w:p>
    <w:p w14:paraId="2D51CE23">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2、地点：</w:t>
      </w:r>
      <w:r>
        <w:rPr>
          <w:rFonts w:hint="eastAsia" w:ascii="宋体" w:hAnsi="宋体" w:cs="宋体"/>
          <w:color w:val="auto"/>
          <w:kern w:val="0"/>
          <w:szCs w:val="21"/>
          <w:highlight w:val="none"/>
          <w:lang w:val="en-US" w:eastAsia="zh-CN"/>
        </w:rPr>
        <w:t>潢川县</w:t>
      </w:r>
      <w:r>
        <w:rPr>
          <w:rFonts w:hint="eastAsia" w:ascii="宋体" w:hAnsi="宋体" w:cs="宋体"/>
          <w:color w:val="auto"/>
          <w:kern w:val="0"/>
          <w:szCs w:val="21"/>
          <w:highlight w:val="none"/>
        </w:rPr>
        <w:t>公共资源交易中心第</w:t>
      </w:r>
      <w:r>
        <w:rPr>
          <w:rFonts w:hint="eastAsia" w:ascii="宋体" w:hAnsi="宋体" w:cs="宋体"/>
          <w:color w:val="auto"/>
          <w:kern w:val="0"/>
          <w:szCs w:val="21"/>
          <w:highlight w:val="none"/>
          <w:u w:val="single"/>
          <w:lang w:val="en-US" w:eastAsia="zh-CN"/>
        </w:rPr>
        <w:t xml:space="preserve"> 一 </w:t>
      </w:r>
      <w:r>
        <w:rPr>
          <w:rFonts w:hint="eastAsia" w:ascii="宋体" w:hAnsi="宋体" w:cs="宋体"/>
          <w:color w:val="auto"/>
          <w:kern w:val="0"/>
          <w:szCs w:val="21"/>
          <w:highlight w:val="none"/>
        </w:rPr>
        <w:t xml:space="preserve">开标室。  </w:t>
      </w:r>
    </w:p>
    <w:p w14:paraId="7A576D0B">
      <w:pPr>
        <w:widowControl/>
        <w:snapToGrid w:val="0"/>
        <w:spacing w:line="360" w:lineRule="auto"/>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六、发布公告的媒介及招标公告期限</w:t>
      </w:r>
    </w:p>
    <w:p w14:paraId="0FFCE09A">
      <w:pPr>
        <w:widowControl/>
        <w:snapToGrid w:val="0"/>
        <w:spacing w:line="360" w:lineRule="auto"/>
        <w:ind w:firstLine="630" w:firstLineChars="300"/>
        <w:jc w:val="left"/>
        <w:rPr>
          <w:rFonts w:ascii="宋体" w:hAnsi="宋体" w:cs="宋体"/>
          <w:color w:val="auto"/>
          <w:kern w:val="0"/>
          <w:szCs w:val="21"/>
          <w:highlight w:val="none"/>
        </w:rPr>
      </w:pPr>
      <w:r>
        <w:rPr>
          <w:rFonts w:hint="eastAsia" w:ascii="宋体" w:hAnsi="宋体" w:cs="宋体"/>
          <w:color w:val="auto"/>
          <w:kern w:val="0"/>
          <w:szCs w:val="21"/>
          <w:highlight w:val="none"/>
        </w:rPr>
        <w:t>本次招标公告在《河南省政府采购网》《全国公共资源交易平台（河南省·信阳市）》网上发布，招标公告期限为五个工作日。</w:t>
      </w:r>
    </w:p>
    <w:p w14:paraId="12A52F8F">
      <w:pPr>
        <w:pStyle w:val="9"/>
        <w:snapToGrid w:val="0"/>
        <w:spacing w:after="0"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31A2BC3A">
      <w:pPr>
        <w:keepNext w:val="0"/>
        <w:keepLines w:val="0"/>
        <w:pageBreakBefore w:val="0"/>
        <w:widowControl/>
        <w:kinsoku/>
        <w:wordWrap w:val="0"/>
        <w:overflowPunct/>
        <w:topLinePunct w:val="0"/>
        <w:autoSpaceDE/>
        <w:autoSpaceDN/>
        <w:bidi w:val="0"/>
        <w:adjustRightInd/>
        <w:snapToGrid w:val="0"/>
        <w:spacing w:line="360" w:lineRule="auto"/>
        <w:ind w:firstLine="42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本项目采用“不见面开标”交易方式，不见面开标大厅网址为https://ggzyjy.xinyang.gov.cn/BidOpening/bidhall/xinyang/login.html，供应商无需寄送和递交非加密的电子投标文件，无需到现场参加开标会议，无需到达现场提交原件资料。</w:t>
      </w:r>
    </w:p>
    <w:p w14:paraId="26A7CC62">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2、供应商应当在投标文件提交截止时间前，使用供应商CA数字证书登录不见面开标大厅，在线签到并准时参加开标活动，并在规定时间内完成投标文件解密、答疑澄清等。</w:t>
      </w:r>
    </w:p>
    <w:p w14:paraId="300C90F3">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3、逾期解密或者没有准时在线参加开标活动导致的一切后果供应商自行承担。</w:t>
      </w:r>
    </w:p>
    <w:p w14:paraId="053B4B0A">
      <w:pPr>
        <w:widowControl/>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4、不见面开标服务的具体事宜，请查阅信阳市公共资源交易中心网站首页—下载中心—信阳市不见面开标大厅系统操作手册。</w:t>
      </w:r>
    </w:p>
    <w:p w14:paraId="4A606B9C">
      <w:pPr>
        <w:widowControl/>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特别提示：供应商在线签到时，应如实准确的填写授权委托人的联系电话，开标当天请务必保证电话保持畅通。</w:t>
      </w:r>
    </w:p>
    <w:p w14:paraId="07E165BA">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7A6282B8">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C7B695C">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招标文件获取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74F11DA1">
      <w:pPr>
        <w:adjustRightInd w:val="0"/>
        <w:snapToGrid w:val="0"/>
        <w:spacing w:line="360" w:lineRule="auto"/>
        <w:ind w:firstLine="420"/>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请投标人下载招标文件后及时关注系统业务菜单（“答疑澄清文件领取”，“控制价文件领取”）内该项目是否有新的答疑澄清文件或控制价文件。如有请直接下载，不再另行通知。</w:t>
      </w:r>
    </w:p>
    <w:p w14:paraId="7F542685">
      <w:pPr>
        <w:widowControl/>
        <w:snapToGrid w:val="0"/>
        <w:spacing w:line="360" w:lineRule="auto"/>
        <w:ind w:firstLine="420"/>
        <w:jc w:val="left"/>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9、代理服务费的收取参照河南省招标代理服务收费指导意见《豫招协（2023）002号》文件的规定收取，收费金额为：13477元。</w:t>
      </w:r>
    </w:p>
    <w:p w14:paraId="3CCEBFF0">
      <w:pPr>
        <w:pStyle w:val="24"/>
        <w:ind w:left="0" w:leftChars="0" w:firstLine="420" w:firstLineChars="200"/>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lang w:val="en-US" w:eastAsia="zh-CN"/>
        </w:rPr>
        <w:t>10</w:t>
      </w:r>
      <w:r>
        <w:rPr>
          <w:rFonts w:hint="eastAsia" w:ascii="宋体" w:hAnsi="宋体" w:eastAsia="宋体" w:cs="宋体"/>
          <w:bCs/>
          <w:color w:val="auto"/>
          <w:kern w:val="0"/>
          <w:szCs w:val="24"/>
          <w:highlight w:val="none"/>
          <w:lang w:eastAsia="zh-CN"/>
        </w:rPr>
        <w:t>、</w:t>
      </w:r>
      <w:r>
        <w:rPr>
          <w:rFonts w:hint="eastAsia" w:ascii="宋体" w:hAnsi="宋体" w:eastAsia="宋体" w:cs="宋体"/>
          <w:bCs/>
          <w:color w:val="auto"/>
          <w:kern w:val="0"/>
          <w:szCs w:val="24"/>
          <w:highlight w:val="none"/>
        </w:rPr>
        <w:t>监督部门信息</w:t>
      </w:r>
    </w:p>
    <w:p w14:paraId="250A4C00">
      <w:pPr>
        <w:pStyle w:val="24"/>
        <w:ind w:left="0" w:leftChars="0" w:firstLine="630" w:firstLineChars="300"/>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监督单位：</w:t>
      </w:r>
      <w:r>
        <w:rPr>
          <w:rFonts w:hint="eastAsia" w:ascii="宋体" w:hAnsi="宋体" w:eastAsia="宋体" w:cs="宋体"/>
          <w:bCs/>
          <w:color w:val="auto"/>
          <w:kern w:val="0"/>
          <w:szCs w:val="24"/>
          <w:highlight w:val="none"/>
          <w:lang w:eastAsia="zh-CN"/>
        </w:rPr>
        <w:t>潢川县政府采购管理办公室</w:t>
      </w:r>
      <w:r>
        <w:rPr>
          <w:rFonts w:hint="eastAsia" w:ascii="宋体" w:hAnsi="宋体" w:eastAsia="宋体" w:cs="宋体"/>
          <w:bCs/>
          <w:color w:val="auto"/>
          <w:kern w:val="0"/>
          <w:szCs w:val="24"/>
          <w:highlight w:val="none"/>
        </w:rPr>
        <w:t xml:space="preserve"> </w:t>
      </w:r>
    </w:p>
    <w:p w14:paraId="34958259">
      <w:pPr>
        <w:pStyle w:val="24"/>
        <w:spacing w:line="240" w:lineRule="auto"/>
        <w:ind w:left="0" w:leftChars="0" w:firstLine="630" w:firstLineChars="300"/>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联系电话：</w:t>
      </w:r>
      <w:r>
        <w:rPr>
          <w:rFonts w:hint="eastAsia" w:ascii="宋体" w:hAnsi="宋体" w:eastAsia="宋体" w:cs="宋体"/>
          <w:bCs/>
          <w:color w:val="auto"/>
          <w:kern w:val="0"/>
          <w:szCs w:val="24"/>
          <w:highlight w:val="none"/>
          <w:lang w:val="en-US" w:eastAsia="zh-CN"/>
        </w:rPr>
        <w:t>0376-5528602</w:t>
      </w:r>
    </w:p>
    <w:p w14:paraId="3204E65F">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八、凡对本次招标提出询问，请按照以下方式联系</w:t>
      </w:r>
    </w:p>
    <w:p w14:paraId="3E2E7ADA">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1、采购人信息</w:t>
      </w:r>
      <w:r>
        <w:rPr>
          <w:rFonts w:hint="eastAsia" w:ascii="宋体" w:hAnsi="宋体" w:cs="宋体"/>
          <w:color w:val="auto"/>
          <w:sz w:val="21"/>
          <w:szCs w:val="21"/>
          <w:highlight w:val="none"/>
          <w:lang w:val="en-US" w:eastAsia="zh-CN"/>
        </w:rPr>
        <w:t xml:space="preserve"> </w:t>
      </w:r>
    </w:p>
    <w:p w14:paraId="7740E4D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采 购 人：潢川县教育体育局 </w:t>
      </w:r>
    </w:p>
    <w:p w14:paraId="7068D82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地    址：潢川县跃进路 </w:t>
      </w:r>
    </w:p>
    <w:p w14:paraId="05B8DFB9">
      <w:pPr>
        <w:pStyle w:val="40"/>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人：陶千</w:t>
      </w:r>
    </w:p>
    <w:p w14:paraId="4E55EE6C">
      <w:pPr>
        <w:pStyle w:val="40"/>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电    话：13937629001</w:t>
      </w:r>
    </w:p>
    <w:p w14:paraId="412B2AC5">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2、采购代理机构信息 </w:t>
      </w:r>
    </w:p>
    <w:p w14:paraId="7740530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 潢川县产投鑫诺项目管理有限公司</w:t>
      </w:r>
    </w:p>
    <w:p w14:paraId="26EEAE1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Style w:val="58"/>
          <w:rFonts w:hint="default" w:ascii="Times New Roman" w:hAnsi="Times New Roman"/>
          <w:b w:val="0"/>
          <w:i w:val="0"/>
          <w:caps w:val="0"/>
          <w:color w:val="auto"/>
          <w:spacing w:val="0"/>
          <w:w w:val="100"/>
          <w:kern w:val="2"/>
          <w:sz w:val="21"/>
          <w:szCs w:val="21"/>
          <w:highlight w:val="none"/>
          <w:lang w:val="en-US" w:eastAsia="zh-CN" w:bidi="ar-SA"/>
        </w:rPr>
      </w:pPr>
      <w:r>
        <w:rPr>
          <w:rFonts w:hint="eastAsia" w:ascii="宋体" w:hAnsi="宋体" w:cs="宋体"/>
          <w:color w:val="auto"/>
          <w:sz w:val="21"/>
          <w:szCs w:val="21"/>
          <w:highlight w:val="none"/>
          <w:lang w:val="en-US" w:eastAsia="zh-CN"/>
        </w:rPr>
        <w:t>地    址： 河南省信阳市潢川县产业集聚区工业大道智慧大厦8楼</w:t>
      </w:r>
    </w:p>
    <w:p w14:paraId="2BCA413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 陈先生</w:t>
      </w:r>
    </w:p>
    <w:p w14:paraId="7A994F7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电    话： 13033736671 </w:t>
      </w:r>
    </w:p>
    <w:p w14:paraId="751CC932">
      <w:pPr>
        <w:pStyle w:val="24"/>
        <w:numPr>
          <w:ilvl w:val="0"/>
          <w:numId w:val="0"/>
        </w:numPr>
        <w:ind w:leftChars="20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3、项目联系方式</w:t>
      </w:r>
    </w:p>
    <w:p w14:paraId="74D674E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联系人：陈先生</w:t>
      </w:r>
    </w:p>
    <w:p w14:paraId="058AF730">
      <w:pPr>
        <w:pStyle w:val="24"/>
        <w:ind w:left="0" w:leftChars="0" w:firstLine="420" w:firstLineChars="200"/>
        <w:rPr>
          <w:rFonts w:hint="default" w:ascii="宋体" w:hAnsi="宋体" w:eastAsia="宋体" w:cs="宋体"/>
          <w:bCs/>
          <w:color w:val="auto"/>
          <w:kern w:val="0"/>
          <w:szCs w:val="24"/>
          <w:highlight w:val="none"/>
          <w:lang w:val="en-US"/>
        </w:rPr>
      </w:pPr>
      <w:r>
        <w:rPr>
          <w:rFonts w:hint="eastAsia" w:ascii="宋体" w:hAnsi="宋体" w:cs="宋体"/>
          <w:color w:val="auto"/>
          <w:sz w:val="21"/>
          <w:szCs w:val="21"/>
          <w:highlight w:val="none"/>
          <w:lang w:val="en-US" w:eastAsia="zh-CN"/>
        </w:rPr>
        <w:t>联系电话：</w:t>
      </w:r>
      <w:bookmarkEnd w:id="20"/>
      <w:r>
        <w:rPr>
          <w:rFonts w:hint="eastAsia" w:ascii="宋体" w:hAnsi="宋体" w:cs="宋体"/>
          <w:color w:val="auto"/>
          <w:sz w:val="21"/>
          <w:szCs w:val="21"/>
          <w:highlight w:val="none"/>
          <w:lang w:val="en-US" w:eastAsia="zh-CN"/>
        </w:rPr>
        <w:t>13033736671</w:t>
      </w:r>
    </w:p>
    <w:p w14:paraId="67712A8D">
      <w:pPr>
        <w:rPr>
          <w:rFonts w:hint="eastAsia" w:ascii="宋体" w:hAnsi="宋体" w:cs="宋体"/>
          <w:b/>
          <w:bCs w:val="0"/>
          <w:color w:val="auto"/>
          <w:sz w:val="32"/>
          <w:highlight w:val="none"/>
        </w:rPr>
      </w:pPr>
      <w:r>
        <w:rPr>
          <w:rFonts w:hint="eastAsia" w:ascii="宋体" w:hAnsi="宋体" w:cs="宋体"/>
          <w:b/>
          <w:bCs w:val="0"/>
          <w:color w:val="auto"/>
          <w:sz w:val="32"/>
          <w:highlight w:val="none"/>
        </w:rPr>
        <w:br w:type="page"/>
      </w:r>
    </w:p>
    <w:p w14:paraId="5BDB629B">
      <w:pPr>
        <w:keepNext w:val="0"/>
        <w:keepLines w:val="0"/>
        <w:pageBreakBefore w:val="0"/>
        <w:widowControl/>
        <w:numPr>
          <w:ilvl w:val="0"/>
          <w:numId w:val="4"/>
        </w:numPr>
        <w:kinsoku/>
        <w:overflowPunct/>
        <w:topLinePunct w:val="0"/>
        <w:autoSpaceDE/>
        <w:autoSpaceDN/>
        <w:bidi w:val="0"/>
        <w:spacing w:line="360" w:lineRule="auto"/>
        <w:ind w:left="0" w:leftChars="0" w:firstLine="0" w:firstLineChars="0"/>
        <w:jc w:val="center"/>
        <w:textAlignment w:val="auto"/>
        <w:outlineLvl w:val="0"/>
        <w:rPr>
          <w:rFonts w:hint="eastAsia" w:ascii="宋体" w:hAnsi="宋体" w:cs="宋体"/>
          <w:b/>
          <w:bCs w:val="0"/>
          <w:color w:val="auto"/>
          <w:sz w:val="32"/>
          <w:highlight w:val="none"/>
        </w:rPr>
      </w:pPr>
      <w:r>
        <w:rPr>
          <w:rFonts w:hint="eastAsia" w:ascii="宋体" w:hAnsi="宋体" w:cs="宋体"/>
          <w:b/>
          <w:bCs w:val="0"/>
          <w:color w:val="auto"/>
          <w:sz w:val="32"/>
          <w:highlight w:val="none"/>
        </w:rPr>
        <w:t>供应商须知</w:t>
      </w:r>
      <w:bookmarkEnd w:id="13"/>
      <w:bookmarkEnd w:id="14"/>
      <w:bookmarkEnd w:id="15"/>
      <w:bookmarkEnd w:id="16"/>
      <w:bookmarkEnd w:id="17"/>
      <w:bookmarkEnd w:id="18"/>
      <w:bookmarkEnd w:id="19"/>
    </w:p>
    <w:p w14:paraId="2CA5D8F9">
      <w:pPr>
        <w:keepNext w:val="0"/>
        <w:keepLines w:val="0"/>
        <w:pageBreakBefore w:val="0"/>
        <w:widowControl/>
        <w:numPr>
          <w:ilvl w:val="0"/>
          <w:numId w:val="0"/>
        </w:numPr>
        <w:kinsoku/>
        <w:overflowPunct/>
        <w:topLinePunct w:val="0"/>
        <w:autoSpaceDE/>
        <w:autoSpaceDN/>
        <w:bidi w:val="0"/>
        <w:spacing w:line="360" w:lineRule="auto"/>
        <w:ind w:leftChars="0"/>
        <w:jc w:val="center"/>
        <w:textAlignment w:val="auto"/>
        <w:outlineLvl w:val="0"/>
        <w:rPr>
          <w:rFonts w:hint="eastAsia" w:ascii="宋体" w:hAnsi="宋体" w:cs="宋体"/>
          <w:b/>
          <w:bCs w:val="0"/>
          <w:color w:val="auto"/>
          <w:sz w:val="32"/>
          <w:highlight w:val="none"/>
          <w:lang w:eastAsia="zh-CN"/>
        </w:rPr>
      </w:pPr>
      <w:r>
        <w:rPr>
          <w:rFonts w:hint="eastAsia" w:ascii="宋体" w:hAnsi="宋体" w:cs="宋体"/>
          <w:b/>
          <w:bCs w:val="0"/>
          <w:color w:val="auto"/>
          <w:sz w:val="24"/>
          <w:szCs w:val="24"/>
          <w:lang w:val="en-US" w:eastAsia="zh-CN"/>
        </w:rPr>
        <w:t>供应商</w:t>
      </w:r>
      <w:r>
        <w:rPr>
          <w:rFonts w:hint="eastAsia" w:ascii="宋体" w:hAnsi="宋体" w:cs="宋体"/>
          <w:b/>
          <w:bCs w:val="0"/>
          <w:color w:val="auto"/>
          <w:sz w:val="24"/>
          <w:szCs w:val="24"/>
        </w:rPr>
        <w:t>须知前附表</w:t>
      </w:r>
    </w:p>
    <w:tbl>
      <w:tblPr>
        <w:tblStyle w:val="25"/>
        <w:tblW w:w="0" w:type="auto"/>
        <w:jc w:val="center"/>
        <w:tblLayout w:type="autofit"/>
        <w:tblCellMar>
          <w:top w:w="0" w:type="dxa"/>
          <w:left w:w="108" w:type="dxa"/>
          <w:bottom w:w="0" w:type="dxa"/>
          <w:right w:w="108" w:type="dxa"/>
        </w:tblCellMar>
      </w:tblPr>
      <w:tblGrid>
        <w:gridCol w:w="741"/>
        <w:gridCol w:w="1253"/>
        <w:gridCol w:w="7462"/>
      </w:tblGrid>
      <w:tr w14:paraId="075AB8AA">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A9B1668">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C27B110">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条款名称</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278FF108">
            <w:pPr>
              <w:keepNext w:val="0"/>
              <w:keepLines w:val="0"/>
              <w:pageBreakBefore w:val="0"/>
              <w:kinsoku/>
              <w:wordWrap/>
              <w:overflowPunct/>
              <w:bidi w:val="0"/>
              <w:adjustRightInd w:val="0"/>
              <w:snapToGrid w:val="0"/>
              <w:spacing w:line="360" w:lineRule="auto"/>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编  列  内  容</w:t>
            </w:r>
          </w:p>
        </w:tc>
      </w:tr>
      <w:tr w14:paraId="21C45458">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C80AC0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7D614E6">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5F9907F9">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采 购 人：潢川县教育体育局 </w:t>
            </w:r>
          </w:p>
          <w:p w14:paraId="2CB476F6">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    址：潢川县跃进路</w:t>
            </w:r>
          </w:p>
          <w:p w14:paraId="0D69FF3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人：陶千</w:t>
            </w:r>
          </w:p>
          <w:p w14:paraId="641C5C6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val="en-US" w:eastAsia="zh-CN"/>
              </w:rPr>
              <w:t xml:space="preserve">电    话：13937629001 </w:t>
            </w:r>
          </w:p>
        </w:tc>
      </w:tr>
      <w:tr w14:paraId="2DB5EBAE">
        <w:tblPrEx>
          <w:tblCellMar>
            <w:top w:w="0" w:type="dxa"/>
            <w:left w:w="108" w:type="dxa"/>
            <w:bottom w:w="0" w:type="dxa"/>
            <w:right w:w="108" w:type="dxa"/>
          </w:tblCellMar>
        </w:tblPrEx>
        <w:trPr>
          <w:trHeight w:val="159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4F846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36930AF">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6C823AAC">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代理机构：潢川县产投鑫诺项目管理有限公司</w:t>
            </w:r>
          </w:p>
          <w:p w14:paraId="722F0FE9">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Style w:val="58"/>
                <w:rFonts w:hint="eastAsia" w:ascii="Times New Roman" w:hAnsi="Times New Roman"/>
                <w:b w:val="0"/>
                <w:i w:val="0"/>
                <w:caps w:val="0"/>
                <w:color w:val="auto"/>
                <w:spacing w:val="0"/>
                <w:w w:val="100"/>
                <w:kern w:val="2"/>
                <w:sz w:val="21"/>
                <w:szCs w:val="21"/>
                <w:highlight w:val="none"/>
                <w:lang w:val="en-US" w:eastAsia="zh-CN" w:bidi="ar-SA"/>
              </w:rPr>
            </w:pPr>
            <w:r>
              <w:rPr>
                <w:rFonts w:hint="eastAsia" w:ascii="宋体" w:hAnsi="宋体" w:cs="宋体"/>
                <w:color w:val="auto"/>
                <w:sz w:val="21"/>
                <w:szCs w:val="21"/>
                <w:highlight w:val="none"/>
                <w:lang w:val="en-US" w:eastAsia="zh-CN"/>
              </w:rPr>
              <w:t>地    址：河南省信阳市潢川县产业集聚区工业大道智慧大厦8楼</w:t>
            </w:r>
          </w:p>
          <w:p w14:paraId="553B4940">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人：陈先生</w:t>
            </w:r>
          </w:p>
          <w:p w14:paraId="3E7FDC7D">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电    话：13033736671</w:t>
            </w:r>
          </w:p>
        </w:tc>
      </w:tr>
      <w:tr w14:paraId="77ABA661">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C7B22D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1.2.3</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1A67014">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6AEFAFD9">
            <w:pPr>
              <w:keepNext w:val="0"/>
              <w:keepLines w:val="0"/>
              <w:pageBreakBefore w:val="0"/>
              <w:kinsoku/>
              <w:wordWrap/>
              <w:overflowPunct/>
              <w:bidi w:val="0"/>
              <w:snapToGrid w:val="0"/>
              <w:spacing w:line="360" w:lineRule="auto"/>
              <w:ind w:left="0" w:leftChars="0"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潢川县城区学校AI人像车辆监控设施设备系统项目</w:t>
            </w:r>
          </w:p>
        </w:tc>
      </w:tr>
      <w:tr w14:paraId="65C127F1">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15838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1.2.4</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E8D13F8">
            <w:pPr>
              <w:keepNext w:val="0"/>
              <w:keepLines w:val="0"/>
              <w:pageBreakBefore w:val="0"/>
              <w:kinsoku/>
              <w:wordWrap/>
              <w:overflowPunct/>
              <w:topLinePunct w:val="0"/>
              <w:autoSpaceDE w:val="0"/>
              <w:autoSpaceDN w:val="0"/>
              <w:bidi w:val="0"/>
              <w:adjustRightInd w:val="0"/>
              <w:snapToGrid w:val="0"/>
              <w:spacing w:line="360" w:lineRule="auto"/>
              <w:ind w:left="0" w:leftChars="0" w:right="35" w:rightChars="0" w:firstLine="0" w:firstLineChars="0"/>
              <w:jc w:val="both"/>
              <w:rPr>
                <w:rFonts w:hint="eastAsia"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eastAsia="zh-CN"/>
              </w:rPr>
              <w:t>采购</w:t>
            </w:r>
            <w:r>
              <w:rPr>
                <w:rFonts w:hint="eastAsia" w:ascii="宋体" w:hAnsi="宋体" w:eastAsia="宋体" w:cs="宋体"/>
                <w:color w:val="auto"/>
                <w:spacing w:val="1"/>
                <w:kern w:val="0"/>
                <w:sz w:val="21"/>
                <w:szCs w:val="21"/>
                <w:highlight w:val="none"/>
              </w:rPr>
              <w:t>方式</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642FD7BF">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default" w:ascii="宋体" w:hAnsi="宋体" w:eastAsia="宋体" w:cs="宋体"/>
                <w:color w:val="auto"/>
                <w:spacing w:val="1"/>
                <w:kern w:val="0"/>
                <w:sz w:val="21"/>
                <w:szCs w:val="21"/>
                <w:highlight w:val="none"/>
                <w:lang w:val="en-US" w:eastAsia="zh-CN" w:bidi="ar-SA"/>
              </w:rPr>
            </w:pPr>
            <w:r>
              <w:rPr>
                <w:rFonts w:hint="eastAsia" w:ascii="宋体" w:hAnsi="宋体" w:eastAsia="宋体" w:cs="宋体"/>
                <w:color w:val="auto"/>
                <w:spacing w:val="1"/>
                <w:kern w:val="0"/>
                <w:sz w:val="21"/>
                <w:szCs w:val="21"/>
                <w:highlight w:val="none"/>
                <w:lang w:val="en-US" w:eastAsia="zh-CN" w:bidi="ar-SA"/>
              </w:rPr>
              <w:t>竞争性磋商</w:t>
            </w:r>
          </w:p>
        </w:tc>
      </w:tr>
      <w:tr w14:paraId="0F3E65DE">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9E3713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1.2.5</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1751D48">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预算价</w:t>
            </w:r>
          </w:p>
          <w:p w14:paraId="22898056">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sz w:val="21"/>
                <w:szCs w:val="21"/>
                <w:highlight w:val="none"/>
                <w:lang w:val="en-US" w:eastAsia="zh-CN"/>
              </w:rPr>
              <w:t>最高限价</w:t>
            </w:r>
            <w:r>
              <w:rPr>
                <w:rFonts w:hint="eastAsia" w:ascii="宋体" w:hAnsi="宋体" w:eastAsia="宋体" w:cs="宋体"/>
                <w:b w:val="0"/>
                <w:bCs w:val="0"/>
                <w:color w:val="auto"/>
                <w:kern w:val="0"/>
                <w:sz w:val="21"/>
                <w:szCs w:val="21"/>
                <w:highlight w:val="none"/>
                <w:lang w:eastAsia="zh-CN"/>
              </w:rPr>
              <w:t>）</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4713221E">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预算价（最高限价）</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79.28万元</w:t>
            </w:r>
          </w:p>
          <w:p w14:paraId="67BF4704">
            <w:pPr>
              <w:pStyle w:val="49"/>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Cs w:val="21"/>
                <w:highlight w:val="none"/>
                <w:lang w:eastAsia="zh-CN"/>
              </w:rPr>
              <w:t>第一次</w:t>
            </w:r>
            <w:r>
              <w:rPr>
                <w:rFonts w:hint="eastAsia" w:ascii="宋体" w:hAnsi="宋体" w:eastAsia="宋体" w:cs="宋体"/>
                <w:b w:val="0"/>
                <w:bCs w:val="0"/>
                <w:color w:val="auto"/>
                <w:kern w:val="0"/>
                <w:szCs w:val="21"/>
                <w:highlight w:val="none"/>
              </w:rPr>
              <w:t>报价超过</w:t>
            </w:r>
            <w:r>
              <w:rPr>
                <w:rFonts w:hint="eastAsia" w:ascii="宋体" w:hAnsi="宋体" w:eastAsia="宋体" w:cs="宋体"/>
                <w:b w:val="0"/>
                <w:bCs w:val="0"/>
                <w:color w:val="auto"/>
                <w:kern w:val="0"/>
                <w:szCs w:val="21"/>
                <w:highlight w:val="none"/>
                <w:lang w:eastAsia="zh-CN"/>
              </w:rPr>
              <w:t>预算价</w:t>
            </w:r>
            <w:r>
              <w:rPr>
                <w:rFonts w:hint="eastAsia" w:ascii="宋体" w:hAnsi="宋体" w:eastAsia="宋体" w:cs="宋体"/>
                <w:b w:val="0"/>
                <w:bCs w:val="0"/>
                <w:color w:val="auto"/>
                <w:kern w:val="0"/>
                <w:sz w:val="21"/>
                <w:szCs w:val="21"/>
                <w:highlight w:val="none"/>
                <w:lang w:eastAsia="zh-CN"/>
              </w:rPr>
              <w:t>（最高限价）</w:t>
            </w:r>
            <w:r>
              <w:rPr>
                <w:rFonts w:hint="eastAsia" w:ascii="宋体" w:hAnsi="宋体" w:eastAsia="宋体" w:cs="宋体"/>
                <w:b w:val="0"/>
                <w:bCs w:val="0"/>
                <w:color w:val="auto"/>
                <w:kern w:val="0"/>
                <w:szCs w:val="21"/>
                <w:highlight w:val="none"/>
              </w:rPr>
              <w:t>按无效</w:t>
            </w:r>
            <w:r>
              <w:rPr>
                <w:rFonts w:hint="eastAsia" w:ascii="宋体" w:hAnsi="宋体" w:eastAsia="宋体" w:cs="宋体"/>
                <w:b w:val="0"/>
                <w:bCs w:val="0"/>
                <w:color w:val="auto"/>
                <w:kern w:val="0"/>
                <w:szCs w:val="21"/>
                <w:highlight w:val="none"/>
                <w:lang w:eastAsia="zh-CN"/>
              </w:rPr>
              <w:t>投标</w:t>
            </w:r>
            <w:r>
              <w:rPr>
                <w:rFonts w:hint="eastAsia" w:ascii="宋体" w:hAnsi="宋体" w:eastAsia="宋体" w:cs="宋体"/>
                <w:b w:val="0"/>
                <w:bCs w:val="0"/>
                <w:color w:val="auto"/>
                <w:kern w:val="0"/>
                <w:szCs w:val="21"/>
                <w:highlight w:val="none"/>
              </w:rPr>
              <w:t>处理</w:t>
            </w:r>
          </w:p>
        </w:tc>
      </w:tr>
      <w:tr w14:paraId="2425A24E">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727D63E">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4573587">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磋商内容</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5B611783">
            <w:pPr>
              <w:keepNext w:val="0"/>
              <w:keepLines w:val="0"/>
              <w:pageBreakBefore w:val="0"/>
              <w:kinsoku/>
              <w:wordWrap/>
              <w:overflowPunct/>
              <w:topLinePunct w:val="0"/>
              <w:bidi w:val="0"/>
              <w:snapToGrid w:val="0"/>
              <w:spacing w:line="360" w:lineRule="auto"/>
              <w:ind w:left="0" w:leftChars="0" w:firstLine="0" w:firstLineChars="0"/>
              <w:rPr>
                <w:rFonts w:hint="default" w:ascii="宋体" w:hAnsi="宋体" w:cs="宋体" w:eastAsiaTheme="minorEastAsia"/>
                <w:color w:val="auto"/>
                <w:szCs w:val="21"/>
                <w:highlight w:val="none"/>
                <w:lang w:val="en-US" w:eastAsia="zh-CN"/>
              </w:rPr>
            </w:pPr>
            <w:r>
              <w:rPr>
                <w:rFonts w:hint="default" w:ascii="宋体" w:hAnsi="宋体" w:eastAsia="宋体" w:cs="宋体"/>
                <w:color w:val="auto"/>
                <w:kern w:val="2"/>
                <w:sz w:val="21"/>
                <w:szCs w:val="21"/>
                <w:highlight w:val="none"/>
                <w:lang w:val="en-US" w:eastAsia="zh-CN" w:bidi="ar-SA"/>
              </w:rPr>
              <w:t>城区37所学校大门卡口AI人像车辆监控系统设备（人脸识别系统），五年服务。</w:t>
            </w:r>
            <w:r>
              <w:rPr>
                <w:rFonts w:hint="eastAsia" w:eastAsia="宋体" w:cs="宋体"/>
                <w:bCs/>
                <w:color w:val="auto"/>
                <w:sz w:val="21"/>
                <w:szCs w:val="21"/>
                <w:highlight w:val="none"/>
                <w:lang w:eastAsia="zh-CN"/>
              </w:rPr>
              <w:t>（</w:t>
            </w:r>
            <w:r>
              <w:rPr>
                <w:rFonts w:hint="eastAsia" w:eastAsia="宋体" w:cs="宋体"/>
                <w:bCs/>
                <w:color w:val="auto"/>
                <w:sz w:val="21"/>
                <w:szCs w:val="21"/>
                <w:highlight w:val="none"/>
                <w:lang w:val="en-US" w:eastAsia="zh-CN"/>
              </w:rPr>
              <w:t>详见采购清单）</w:t>
            </w:r>
          </w:p>
        </w:tc>
      </w:tr>
      <w:tr w14:paraId="6047C9E0">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C1DA2E7">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2009635">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交货期</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28E02689">
            <w:pPr>
              <w:keepNext w:val="0"/>
              <w:keepLines w:val="0"/>
              <w:pageBreakBefore w:val="0"/>
              <w:kinsoku/>
              <w:wordWrap/>
              <w:overflowPunct/>
              <w:bidi w:val="0"/>
              <w:snapToGrid w:val="0"/>
              <w:spacing w:line="360" w:lineRule="auto"/>
              <w:ind w:left="0" w:leftChars="0" w:firstLine="0" w:firstLineChars="0"/>
              <w:jc w:val="left"/>
              <w:rPr>
                <w:rFonts w:hint="default" w:ascii="宋体" w:hAnsi="宋体" w:eastAsiaTheme="minorEastAsia"/>
                <w:color w:val="auto"/>
                <w:szCs w:val="21"/>
                <w:highlight w:val="none"/>
                <w:lang w:val="en-US" w:eastAsia="zh-CN"/>
              </w:rPr>
            </w:pPr>
            <w:r>
              <w:rPr>
                <w:rFonts w:hint="eastAsia" w:ascii="宋体" w:hAnsi="宋体" w:cs="宋体"/>
                <w:color w:val="auto"/>
                <w:sz w:val="21"/>
                <w:szCs w:val="21"/>
                <w:highlight w:val="none"/>
                <w:lang w:val="en-US" w:eastAsia="zh-CN"/>
              </w:rPr>
              <w:t>合同签订之日起90日历天内；</w:t>
            </w:r>
          </w:p>
        </w:tc>
      </w:tr>
      <w:tr w14:paraId="269288D5">
        <w:tblPrEx>
          <w:tblCellMar>
            <w:top w:w="0" w:type="dxa"/>
            <w:left w:w="108" w:type="dxa"/>
            <w:bottom w:w="0" w:type="dxa"/>
            <w:right w:w="108" w:type="dxa"/>
          </w:tblCellMar>
        </w:tblPrEx>
        <w:trPr>
          <w:trHeight w:val="52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BFE4D2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1.4.3</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6A80417">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服务</w:t>
            </w:r>
            <w:r>
              <w:rPr>
                <w:rFonts w:hint="eastAsia" w:ascii="宋体" w:hAnsi="宋体"/>
                <w:color w:val="auto"/>
                <w:szCs w:val="21"/>
                <w:highlight w:val="none"/>
                <w:lang w:eastAsia="zh-CN"/>
              </w:rPr>
              <w:t>期</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1EF593A7">
            <w:pPr>
              <w:keepNext w:val="0"/>
              <w:keepLines w:val="0"/>
              <w:pageBreakBefore w:val="0"/>
              <w:kinsoku/>
              <w:wordWrap/>
              <w:overflowPunct/>
              <w:bidi w:val="0"/>
              <w:snapToGrid w:val="0"/>
              <w:spacing w:line="360" w:lineRule="auto"/>
              <w:ind w:left="0" w:leftChars="0" w:firstLine="0" w:firstLineChars="0"/>
              <w:jc w:val="left"/>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lang w:val="en-US" w:eastAsia="zh-CN"/>
              </w:rPr>
              <w:t>合同签订</w:t>
            </w:r>
            <w:r>
              <w:rPr>
                <w:rFonts w:hint="eastAsia" w:ascii="宋体" w:hAnsi="宋体" w:cs="宋体"/>
                <w:color w:val="auto"/>
                <w:sz w:val="21"/>
                <w:szCs w:val="21"/>
                <w:highlight w:val="none"/>
                <w:lang w:val="en-US" w:eastAsia="zh-CN"/>
              </w:rPr>
              <w:t>之日起</w:t>
            </w:r>
            <w:r>
              <w:rPr>
                <w:rFonts w:hint="eastAsia" w:ascii="宋体" w:hAnsi="宋体" w:cs="宋体"/>
                <w:color w:val="auto"/>
                <w:kern w:val="0"/>
                <w:szCs w:val="21"/>
                <w:lang w:val="en-US" w:eastAsia="zh-CN"/>
              </w:rPr>
              <w:t>5年</w:t>
            </w:r>
            <w:r>
              <w:rPr>
                <w:rFonts w:hint="eastAsia" w:ascii="宋体" w:hAnsi="宋体" w:cs="宋体"/>
                <w:color w:val="auto"/>
                <w:sz w:val="21"/>
                <w:szCs w:val="21"/>
                <w:highlight w:val="none"/>
                <w:lang w:val="en-US" w:eastAsia="zh-CN"/>
              </w:rPr>
              <w:t>；</w:t>
            </w:r>
          </w:p>
        </w:tc>
      </w:tr>
      <w:tr w14:paraId="6DCF893F">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56C7898">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4</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5B8A4E5">
            <w:pPr>
              <w:keepNext w:val="0"/>
              <w:keepLines w:val="0"/>
              <w:pageBreakBefore w:val="0"/>
              <w:kinsoku/>
              <w:wordWrap/>
              <w:overflowPunct/>
              <w:bidi w:val="0"/>
              <w:snapToGrid w:val="0"/>
              <w:spacing w:line="360" w:lineRule="auto"/>
              <w:ind w:left="0" w:leftChars="0" w:firstLine="0" w:firstLineChars="0"/>
              <w:jc w:val="both"/>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服务要求</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026D4A0C">
            <w:pPr>
              <w:keepNext w:val="0"/>
              <w:keepLines w:val="0"/>
              <w:pageBreakBefore w:val="0"/>
              <w:kinsoku/>
              <w:wordWrap/>
              <w:overflowPunct/>
              <w:bidi w:val="0"/>
              <w:snapToGrid w:val="0"/>
              <w:spacing w:line="360" w:lineRule="auto"/>
              <w:ind w:left="0" w:leftChars="0" w:firstLine="0" w:firstLineChars="0"/>
              <w:jc w:val="left"/>
              <w:rPr>
                <w:rFonts w:hint="eastAsia" w:ascii="宋体" w:hAnsi="宋体" w:eastAsiaTheme="minorEastAsia"/>
                <w:color w:val="auto"/>
                <w:szCs w:val="21"/>
                <w:highlight w:val="none"/>
                <w:lang w:val="en-US" w:eastAsia="zh-CN"/>
              </w:rPr>
            </w:pPr>
            <w:r>
              <w:rPr>
                <w:rFonts w:hint="eastAsia" w:ascii="宋体" w:hAnsi="宋体" w:cs="宋体"/>
                <w:color w:val="auto"/>
                <w:sz w:val="21"/>
                <w:szCs w:val="21"/>
                <w:highlight w:val="none"/>
                <w:lang w:val="en-US" w:eastAsia="zh-CN"/>
              </w:rPr>
              <w:t>合格，并通过验收。</w:t>
            </w:r>
          </w:p>
        </w:tc>
      </w:tr>
      <w:tr w14:paraId="3A42ECC5">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B6D1146">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eastAsiaTheme="minorEastAsia"/>
                <w:color w:val="auto"/>
                <w:szCs w:val="21"/>
                <w:highlight w:val="none"/>
                <w:lang w:val="en-US" w:eastAsia="zh-CN"/>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5</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C95EDD5">
            <w:pPr>
              <w:keepNext w:val="0"/>
              <w:keepLines w:val="0"/>
              <w:pageBreakBefore w:val="0"/>
              <w:kinsoku/>
              <w:wordWrap/>
              <w:overflowPunct/>
              <w:bidi w:val="0"/>
              <w:snapToGrid w:val="0"/>
              <w:spacing w:line="360" w:lineRule="auto"/>
              <w:ind w:left="0" w:leftChars="0" w:firstLine="0" w:firstLineChars="0"/>
              <w:jc w:val="both"/>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质量要求</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308A5730">
            <w:pPr>
              <w:keepNext w:val="0"/>
              <w:keepLines w:val="0"/>
              <w:pageBreakBefore w:val="0"/>
              <w:kinsoku/>
              <w:wordWrap/>
              <w:overflowPunct/>
              <w:bidi w:val="0"/>
              <w:snapToGrid w:val="0"/>
              <w:spacing w:line="360" w:lineRule="auto"/>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合格，并通过验收。</w:t>
            </w:r>
          </w:p>
        </w:tc>
      </w:tr>
      <w:tr w14:paraId="38C08722">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35BE0D3">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1.4.6</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5E64BBE">
            <w:pPr>
              <w:keepNext w:val="0"/>
              <w:keepLines w:val="0"/>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07E92BBF">
            <w:pPr>
              <w:keepNext w:val="0"/>
              <w:keepLines w:val="0"/>
              <w:pageBreakBefore w:val="0"/>
              <w:kinsoku/>
              <w:wordWrap/>
              <w:overflowPunct/>
              <w:topLinePunct w:val="0"/>
              <w:bidi w:val="0"/>
              <w:snapToGrid w:val="0"/>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合同签订后付款30%，验收完成后付款70%</w:t>
            </w:r>
          </w:p>
        </w:tc>
      </w:tr>
      <w:tr w14:paraId="3DACF092">
        <w:tblPrEx>
          <w:tblCellMar>
            <w:top w:w="0" w:type="dxa"/>
            <w:left w:w="108" w:type="dxa"/>
            <w:bottom w:w="0" w:type="dxa"/>
            <w:right w:w="108" w:type="dxa"/>
          </w:tblCellMar>
        </w:tblPrEx>
        <w:trPr>
          <w:trHeight w:val="5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7394C43">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1.4.7</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EBD7E7B">
            <w:pPr>
              <w:keepNext w:val="0"/>
              <w:keepLines w:val="0"/>
              <w:pageBreakBefore w:val="0"/>
              <w:kinsoku/>
              <w:wordWrap/>
              <w:overflowPunct/>
              <w:topLinePunct w:val="0"/>
              <w:bidi w:val="0"/>
              <w:snapToGrid w:val="0"/>
              <w:spacing w:line="360" w:lineRule="auto"/>
              <w:ind w:left="0" w:lef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违约责任</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48C61090">
            <w:pPr>
              <w:keepNext w:val="0"/>
              <w:keepLines w:val="0"/>
              <w:pageBreakBefore w:val="0"/>
              <w:kinsoku/>
              <w:wordWrap/>
              <w:overflowPunct/>
              <w:topLinePunct w:val="0"/>
              <w:bidi w:val="0"/>
              <w:snapToGrid w:val="0"/>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1、对涉及虚假应标、低价中标，低质履约或不能如期履行采购合同的供应商，采购人、采购代理机构将报告同级财政部门处理，并追究其违约责任。</w:t>
            </w:r>
          </w:p>
          <w:p w14:paraId="64EDCE83">
            <w:pPr>
              <w:keepNext w:val="0"/>
              <w:keepLines w:val="0"/>
              <w:pageBreakBefore w:val="0"/>
              <w:kinsoku/>
              <w:wordWrap/>
              <w:overflowPunct/>
              <w:topLinePunct w:val="0"/>
              <w:bidi w:val="0"/>
              <w:snapToGrid w:val="0"/>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应按照招标文件要求如期完成采购人委托的相关事宜，不能如期履约，或履约不符合要求，应承担违约责任。如发现存在违约事件，经向县政府采购主管部门报告后，做出口头警告、书面警告、赔付违约金、直至解除合同等处理。因违约造成经济损失的，供应商在赔偿违约损失的同时，并支付违约金（合同金额的10%）。</w:t>
            </w:r>
          </w:p>
          <w:p w14:paraId="6FE935F3">
            <w:pPr>
              <w:keepNext w:val="0"/>
              <w:keepLines w:val="0"/>
              <w:pageBreakBefore w:val="0"/>
              <w:kinsoku/>
              <w:wordWrap/>
              <w:overflowPunct/>
              <w:topLinePunct w:val="0"/>
              <w:bidi w:val="0"/>
              <w:snapToGrid w:val="0"/>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具体以合同签订为准。</w:t>
            </w:r>
          </w:p>
        </w:tc>
      </w:tr>
      <w:tr w14:paraId="27DBC05B">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B674CF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3AAA6D8">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供应商资质条件及能力要求</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60680429">
            <w:pPr>
              <w:pStyle w:val="22"/>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37E1065A">
            <w:pPr>
              <w:pStyle w:val="22"/>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2、落实政府采购政策满足的资格要求</w:t>
            </w:r>
            <w:r>
              <w:rPr>
                <w:rFonts w:hint="eastAsia" w:ascii="宋体" w:hAnsi="宋体" w:eastAsia="宋体" w:cs="宋体"/>
                <w:color w:val="auto"/>
                <w:sz w:val="21"/>
                <w:szCs w:val="21"/>
                <w:highlight w:val="none"/>
                <w:lang w:eastAsia="zh-CN"/>
              </w:rPr>
              <w:t>：</w:t>
            </w:r>
          </w:p>
          <w:p w14:paraId="55F0DA9D">
            <w:pPr>
              <w:adjustRightInd w:val="0"/>
              <w:snapToGrid w:val="0"/>
              <w:spacing w:line="360" w:lineRule="auto"/>
              <w:ind w:firstLine="420"/>
              <w:rPr>
                <w:rFonts w:hint="eastAsia" w:ascii="宋体" w:hAnsi="宋体" w:eastAsia="宋体" w:cs="宋体"/>
                <w:b w:val="0"/>
                <w:bCs w:val="0"/>
                <w:color w:val="auto"/>
                <w:spacing w:val="8"/>
                <w:sz w:val="21"/>
                <w:szCs w:val="21"/>
                <w:highlight w:val="none"/>
                <w:lang w:eastAsia="zh-CN"/>
              </w:rPr>
            </w:pPr>
            <w:r>
              <w:rPr>
                <w:rFonts w:hint="eastAsia" w:ascii="宋体" w:hAnsi="宋体" w:cs="宋体"/>
                <w:b w:val="0"/>
                <w:bCs w:val="0"/>
                <w:color w:val="auto"/>
                <w:sz w:val="21"/>
                <w:szCs w:val="21"/>
                <w:highlight w:val="none"/>
                <w:lang w:val="en-US" w:eastAsia="zh-CN"/>
              </w:rPr>
              <w:t>2.1</w:t>
            </w:r>
            <w:r>
              <w:rPr>
                <w:rFonts w:hint="eastAsia" w:ascii="宋体" w:hAnsi="宋体" w:cs="宋体" w:eastAsiaTheme="minorEastAsia"/>
                <w:color w:val="auto"/>
                <w:kern w:val="2"/>
                <w:sz w:val="21"/>
                <w:szCs w:val="21"/>
                <w:highlight w:val="none"/>
                <w:lang w:val="en-US" w:eastAsia="zh-CN" w:bidi="ar-SA"/>
              </w:rPr>
              <w:t>落实政府采购政策满足的资格要求：本项目非专门面向中小企业采购【该项目符合《政府采购促进中小企业发展管理办法》（财库【2020】46号）第六条第三款之规定：按照本办法规定预留采购份额无法确保充分供应、充分竞争，或者存在可能影响政府采购项目实现的情形。本项目落实节约能源、保护环境、扶持不发达地区和少数民族地区、促进中小微企业、监狱企业及残疾人福利性单位发展等政府采购政策。</w:t>
            </w:r>
          </w:p>
          <w:p w14:paraId="3B45CE4F">
            <w:pPr>
              <w:pStyle w:val="23"/>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spacing w:val="8"/>
                <w:sz w:val="21"/>
                <w:szCs w:val="21"/>
                <w:highlight w:val="none"/>
                <w:lang w:val="en-US" w:eastAsia="zh-CN"/>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www.creditchina.gov.cn）、中国政府采购网（www.ccgp.gov.cn），查询截止时点为：从公告发布之日起至投标截止之日止。提供“信用中国”网站的列入失信被执行人、重大税收违法失信主体网站截图和“中国政府采购网”网站的政府采购严重违法失信行为记录名单网站截图。</w:t>
            </w:r>
          </w:p>
          <w:p w14:paraId="1C51BF9B">
            <w:pPr>
              <w:keepNext w:val="0"/>
              <w:keepLines w:val="0"/>
              <w:pageBreakBefore w:val="0"/>
              <w:numPr>
                <w:ilvl w:val="0"/>
                <w:numId w:val="3"/>
              </w:numPr>
              <w:kinsoku/>
              <w:overflowPunct/>
              <w:topLinePunct w:val="0"/>
              <w:autoSpaceDE/>
              <w:autoSpaceDN/>
              <w:bidi w:val="0"/>
              <w:snapToGrid w:val="0"/>
              <w:spacing w:line="360" w:lineRule="auto"/>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本项目的特定资格要求：</w:t>
            </w:r>
          </w:p>
          <w:p w14:paraId="698100B0">
            <w:pPr>
              <w:keepNext w:val="0"/>
              <w:keepLines w:val="0"/>
              <w:pageBreakBefore w:val="0"/>
              <w:numPr>
                <w:ilvl w:val="0"/>
                <w:numId w:val="0"/>
              </w:numPr>
              <w:kinsoku/>
              <w:overflowPunct/>
              <w:topLinePunct w:val="0"/>
              <w:autoSpaceDE/>
              <w:autoSpaceDN/>
              <w:bidi w:val="0"/>
              <w:snapToGrid w:val="0"/>
              <w:spacing w:line="360" w:lineRule="auto"/>
              <w:ind w:firstLine="840" w:firstLineChars="4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lang w:val="en-US" w:eastAsia="zh-CN"/>
              </w:rPr>
              <w:t>项目不接受联合体投标。</w:t>
            </w:r>
          </w:p>
          <w:p w14:paraId="40A5FBF8">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4、其他说明</w:t>
            </w:r>
          </w:p>
          <w:p w14:paraId="2A9A286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单位负责人为同一人或者存在直接控股、管理关系的不同单位，不得同时参加同一合同项下的政府采购活动（提供加盖供应商公章的“国家企业信用信息公示系统”中公示的公司基础信息包含股东及出资信息）。</w:t>
            </w:r>
          </w:p>
          <w:p w14:paraId="6D56A27A">
            <w:pPr>
              <w:keepNext w:val="0"/>
              <w:keepLines w:val="0"/>
              <w:pageBreakBefore w:val="0"/>
              <w:widowControl/>
              <w:suppressLineNumbers w:val="0"/>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4.2本项目信用承诺（详见下述要求）。</w:t>
            </w:r>
          </w:p>
          <w:p w14:paraId="0BC5D99D">
            <w:pPr>
              <w:keepNext w:val="0"/>
              <w:keepLines w:val="0"/>
              <w:pageBreakBefore w:val="0"/>
              <w:widowControl/>
              <w:suppressLineNumbers w:val="0"/>
              <w:kinsoku/>
              <w:overflowPunct/>
              <w:topLinePunct w:val="0"/>
              <w:autoSpaceDE/>
              <w:autoSpaceDN/>
              <w:bidi w:val="0"/>
              <w:snapToGrid w:val="0"/>
              <w:spacing w:line="360" w:lineRule="auto"/>
              <w:ind w:firstLine="210" w:firstLineChars="1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（一）在本项目政府采购活动中，</w:t>
            </w:r>
            <w:r>
              <w:rPr>
                <w:rFonts w:hint="eastAsia" w:ascii="宋体" w:hAnsi="宋体" w:cs="宋体"/>
                <w:b w:val="0"/>
                <w:bCs w:val="0"/>
                <w:color w:val="auto"/>
                <w:sz w:val="21"/>
                <w:szCs w:val="21"/>
                <w:highlight w:val="none"/>
                <w:lang w:val="en-US" w:eastAsia="zh-CN"/>
              </w:rPr>
              <w:t>供应商在投标（响应）时，可对照资格要求进行自主核对，确定符合资格要求的，可按照规定提供相关承诺函（详见响应文件“七、资格证明材料”附件），</w:t>
            </w:r>
            <w:r>
              <w:rPr>
                <w:rFonts w:hint="eastAsia" w:ascii="宋体" w:hAnsi="宋体" w:eastAsia="宋体" w:cs="宋体"/>
                <w:b w:val="0"/>
                <w:bCs w:val="0"/>
                <w:color w:val="auto"/>
                <w:kern w:val="0"/>
                <w:sz w:val="21"/>
                <w:szCs w:val="21"/>
                <w:highlight w:val="none"/>
                <w:lang w:val="en-US" w:eastAsia="zh-CN" w:bidi="ar"/>
              </w:rPr>
              <w:t>供应商应在资格审查环节提供满足相应条件的书面承诺书。</w:t>
            </w:r>
          </w:p>
          <w:p w14:paraId="7D366228">
            <w:pPr>
              <w:pStyle w:val="22"/>
              <w:widowControl w:val="0"/>
              <w:numPr>
                <w:ilvl w:val="0"/>
                <w:numId w:val="0"/>
              </w:numPr>
              <w:snapToGrid w:val="0"/>
              <w:spacing w:before="0" w:beforeAutospacing="0" w:after="0" w:afterAutospacing="0" w:line="360" w:lineRule="auto"/>
              <w:ind w:firstLine="420" w:firstLineChars="200"/>
              <w:rPr>
                <w:rFonts w:hint="eastAsia" w:eastAsia="宋体"/>
                <w:color w:val="auto"/>
                <w:sz w:val="21"/>
                <w:szCs w:val="21"/>
                <w:highlight w:val="none"/>
              </w:rPr>
            </w:pPr>
            <w:r>
              <w:rPr>
                <w:rFonts w:hint="eastAsia" w:eastAsia="宋体"/>
                <w:color w:val="auto"/>
                <w:sz w:val="21"/>
                <w:szCs w:val="21"/>
                <w:highlight w:val="none"/>
              </w:rPr>
              <w:t>①具有独立承担民事责任的能力，具有有效的营业执照；</w:t>
            </w:r>
          </w:p>
          <w:p w14:paraId="35E0B2ED">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②符合国家相关规定的财务状况报告（默认</w:t>
            </w:r>
            <w:r>
              <w:rPr>
                <w:rFonts w:hint="eastAsia" w:eastAsia="宋体"/>
                <w:color w:val="auto"/>
                <w:sz w:val="21"/>
                <w:szCs w:val="21"/>
                <w:highlight w:val="none"/>
                <w:lang w:eastAsia="zh-CN"/>
              </w:rPr>
              <w:t>2023年度或2024年度财务审计报告</w:t>
            </w:r>
            <w:r>
              <w:rPr>
                <w:rFonts w:hint="eastAsia" w:eastAsia="宋体"/>
                <w:color w:val="auto"/>
                <w:sz w:val="21"/>
                <w:szCs w:val="21"/>
                <w:highlight w:val="none"/>
              </w:rPr>
              <w:t>，若企业成立年份不足年份的，则以企业成立年份向后推算，提供相应年度的财务审计报告或其基本开户银行出具的资信证明）；</w:t>
            </w:r>
          </w:p>
          <w:p w14:paraId="669078E2">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③依法缴纳税收的证明材料（</w:t>
            </w:r>
            <w:r>
              <w:rPr>
                <w:rFonts w:hint="eastAsia" w:eastAsia="宋体"/>
                <w:color w:val="auto"/>
                <w:sz w:val="21"/>
                <w:szCs w:val="21"/>
                <w:highlight w:val="none"/>
                <w:lang w:eastAsia="zh-CN"/>
              </w:rPr>
              <w:t>提供2024年以来任意3个月纳税证明，新成立公司不足3个月的</w:t>
            </w:r>
            <w:r>
              <w:rPr>
                <w:rFonts w:hint="eastAsia" w:eastAsia="宋体"/>
                <w:color w:val="auto"/>
                <w:sz w:val="21"/>
                <w:szCs w:val="21"/>
                <w:highlight w:val="none"/>
              </w:rPr>
              <w:t>，按已缴纳月份提供）；</w:t>
            </w:r>
          </w:p>
          <w:p w14:paraId="5FFA8925">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eastAsia="宋体"/>
                <w:color w:val="auto"/>
                <w:sz w:val="21"/>
                <w:szCs w:val="21"/>
                <w:highlight w:val="none"/>
              </w:rPr>
              <w:t>④依法缴纳社会保障资金的证明材料（</w:t>
            </w:r>
            <w:r>
              <w:rPr>
                <w:rFonts w:hint="eastAsia" w:eastAsia="宋体"/>
                <w:color w:val="auto"/>
                <w:sz w:val="21"/>
                <w:szCs w:val="21"/>
                <w:highlight w:val="none"/>
                <w:lang w:eastAsia="zh-CN"/>
              </w:rPr>
              <w:t>提供</w:t>
            </w:r>
            <w:r>
              <w:rPr>
                <w:rFonts w:hint="eastAsia" w:eastAsia="宋体"/>
                <w:color w:val="auto"/>
                <w:sz w:val="21"/>
                <w:szCs w:val="21"/>
                <w:highlight w:val="none"/>
                <w:lang w:val="en-US" w:eastAsia="zh-CN"/>
              </w:rPr>
              <w:t>2024年以来任意3个月缴纳社会保障证明</w:t>
            </w:r>
            <w:r>
              <w:rPr>
                <w:rFonts w:hint="eastAsia" w:eastAsia="宋体"/>
                <w:color w:val="auto"/>
                <w:sz w:val="21"/>
                <w:szCs w:val="21"/>
                <w:highlight w:val="none"/>
              </w:rPr>
              <w:t>，新成立公司不足3个月的，按已缴纳月份提供）；</w:t>
            </w:r>
          </w:p>
          <w:p w14:paraId="35496A98">
            <w:pPr>
              <w:pStyle w:val="22"/>
              <w:widowControl w:val="0"/>
              <w:snapToGrid w:val="0"/>
              <w:spacing w:before="0" w:beforeAutospacing="0" w:after="0" w:afterAutospacing="0" w:line="360" w:lineRule="auto"/>
              <w:ind w:firstLine="420"/>
              <w:rPr>
                <w:rFonts w:eastAsia="宋体"/>
                <w:color w:val="auto"/>
                <w:sz w:val="21"/>
                <w:szCs w:val="21"/>
                <w:highlight w:val="none"/>
              </w:rPr>
            </w:pPr>
            <w:r>
              <w:rPr>
                <w:rFonts w:hint="eastAsia" w:ascii="宋体" w:hAnsi="宋体" w:eastAsia="宋体" w:cs="宋体"/>
                <w:color w:val="auto"/>
                <w:szCs w:val="21"/>
                <w:highlight w:val="none"/>
              </w:rPr>
              <w:t>⑤</w:t>
            </w:r>
            <w:r>
              <w:rPr>
                <w:rFonts w:hint="eastAsia" w:eastAsia="宋体"/>
                <w:color w:val="auto"/>
                <w:sz w:val="21"/>
                <w:szCs w:val="21"/>
                <w:highlight w:val="none"/>
              </w:rPr>
              <w:t>具有履行合同所必需的设备和专业技术能力（格式自拟，并加盖本单位公章）；</w:t>
            </w:r>
          </w:p>
          <w:p w14:paraId="54236FAF">
            <w:pPr>
              <w:pStyle w:val="24"/>
              <w:ind w:left="0" w:leftChars="0" w:firstLine="420" w:firstLineChars="200"/>
              <w:rPr>
                <w:rFonts w:hint="eastAsia" w:ascii="宋体" w:hAnsi="宋体" w:eastAsia="宋体" w:cs="宋体"/>
                <w:color w:val="auto"/>
                <w:spacing w:val="8"/>
                <w:szCs w:val="21"/>
                <w:highlight w:val="none"/>
              </w:rPr>
            </w:pPr>
            <w:r>
              <w:rPr>
                <w:rFonts w:hint="eastAsia" w:ascii="宋体" w:hAnsi="宋体" w:eastAsia="宋体" w:cs="宋体"/>
                <w:color w:val="auto"/>
                <w:highlight w:val="none"/>
              </w:rPr>
              <w:t>⑥</w:t>
            </w:r>
            <w:r>
              <w:rPr>
                <w:rFonts w:hint="eastAsia" w:ascii="宋体" w:hAnsi="宋体" w:eastAsia="宋体" w:cs="宋体"/>
                <w:color w:val="auto"/>
                <w:spacing w:val="8"/>
                <w:szCs w:val="21"/>
                <w:highlight w:val="none"/>
              </w:rPr>
              <w:t>参加政府采购活动前三年内，在经营活动中没有重大违法记录（格式自拟，并加盖本单位公章）；</w:t>
            </w:r>
          </w:p>
          <w:p w14:paraId="4AD011FA">
            <w:pPr>
              <w:pStyle w:val="24"/>
              <w:ind w:left="0" w:leftChars="0" w:firstLine="452" w:firstLineChars="200"/>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⑦法律、行政法规规定的其他条件；</w:t>
            </w:r>
          </w:p>
          <w:p w14:paraId="2E2202F5">
            <w:pPr>
              <w:keepNext w:val="0"/>
              <w:keepLines w:val="0"/>
              <w:pageBreakBefore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二）供应商在中标（成交）后，采购人（采购代理机构）对证明材料核验，经核验无误后，由采购人发出中标（成交）通知书。采购人、采购代理机构在发布中标结果公告时，资格证明材料需同其他要求发布的文件一起发布。</w:t>
            </w:r>
          </w:p>
        </w:tc>
      </w:tr>
      <w:tr w14:paraId="1DDBD6C0">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DC738C">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1.5.2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5ED510DD">
            <w:pPr>
              <w:keepNext w:val="0"/>
              <w:keepLines w:val="0"/>
              <w:pageBreakBefore w:val="0"/>
              <w:kinsoku/>
              <w:wordWrap/>
              <w:overflowPunct/>
              <w:bidi w:val="0"/>
              <w:snapToGrid w:val="0"/>
              <w:spacing w:line="360" w:lineRule="auto"/>
              <w:ind w:left="0" w:leftChars="0" w:firstLine="0" w:firstLineChars="0"/>
              <w:jc w:val="both"/>
              <w:rPr>
                <w:rFonts w:hint="eastAsia" w:ascii="宋体" w:hAnsi="宋体" w:cs="宋体"/>
                <w:color w:val="auto"/>
                <w:szCs w:val="21"/>
                <w:highlight w:val="none"/>
              </w:rPr>
            </w:pPr>
            <w:r>
              <w:rPr>
                <w:rFonts w:hint="eastAsia" w:ascii="宋体" w:hAnsi="宋体" w:cs="宋体"/>
                <w:color w:val="auto"/>
                <w:szCs w:val="21"/>
                <w:highlight w:val="none"/>
              </w:rPr>
              <w:t>是否接受联合体</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675C6355">
            <w:pPr>
              <w:pStyle w:val="8"/>
              <w:keepNext w:val="0"/>
              <w:keepLines w:val="0"/>
              <w:pageBreakBefore w:val="0"/>
              <w:kinsoku/>
              <w:wordWrap/>
              <w:overflowPunct/>
              <w:topLinePunct/>
              <w:bidi w:val="0"/>
              <w:adjustRightInd w:val="0"/>
              <w:snapToGrid w:val="0"/>
              <w:spacing w:line="360" w:lineRule="auto"/>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不接受</w:t>
            </w:r>
          </w:p>
        </w:tc>
      </w:tr>
      <w:tr w14:paraId="7C14FD34">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C0178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1.10</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4AAA8E5">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现场踏勘</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2629F353">
            <w:pPr>
              <w:pStyle w:val="8"/>
              <w:keepNext w:val="0"/>
              <w:keepLines w:val="0"/>
              <w:pageBreakBefore w:val="0"/>
              <w:kinsoku/>
              <w:wordWrap/>
              <w:overflowPunct/>
              <w:topLinePunct/>
              <w:bidi w:val="0"/>
              <w:adjustRightInd w:val="0"/>
              <w:snapToGrid w:val="0"/>
              <w:spacing w:line="360" w:lineRule="auto"/>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自行踏勘</w:t>
            </w:r>
          </w:p>
        </w:tc>
      </w:tr>
      <w:tr w14:paraId="69F5C032">
        <w:tblPrEx>
          <w:tblCellMar>
            <w:top w:w="0" w:type="dxa"/>
            <w:left w:w="108" w:type="dxa"/>
            <w:bottom w:w="0" w:type="dxa"/>
            <w:right w:w="108" w:type="dxa"/>
          </w:tblCellMar>
        </w:tblPrEx>
        <w:trPr>
          <w:trHeight w:val="56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ED2E2B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1.11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F6DC41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5950749A">
            <w:pPr>
              <w:pStyle w:val="8"/>
              <w:keepNext w:val="0"/>
              <w:keepLines w:val="0"/>
              <w:pageBreakBefore w:val="0"/>
              <w:kinsoku/>
              <w:wordWrap/>
              <w:overflowPunct/>
              <w:topLinePunct/>
              <w:bidi w:val="0"/>
              <w:adjustRightInd w:val="0"/>
              <w:snapToGrid w:val="0"/>
              <w:spacing w:line="360" w:lineRule="auto"/>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不允许</w:t>
            </w:r>
          </w:p>
        </w:tc>
      </w:tr>
      <w:tr w14:paraId="084AD6B2">
        <w:tblPrEx>
          <w:tblCellMar>
            <w:top w:w="0" w:type="dxa"/>
            <w:left w:w="108" w:type="dxa"/>
            <w:bottom w:w="0" w:type="dxa"/>
            <w:right w:w="108" w:type="dxa"/>
          </w:tblCellMar>
        </w:tblPrEx>
        <w:trPr>
          <w:trHeight w:val="46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DE1E907">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6D0AD55">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构成磋商文件的其他材料</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0119513A">
            <w:pPr>
              <w:keepNext w:val="0"/>
              <w:keepLines w:val="0"/>
              <w:pageBreakBefore w:val="0"/>
              <w:kinsoku/>
              <w:wordWrap/>
              <w:overflowPunct/>
              <w:bidi w:val="0"/>
              <w:adjustRightInd w:val="0"/>
              <w:snapToGri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除磋商文件外，采购人在磋商期间发出的澄清、修改、补充、补遗和</w:t>
            </w:r>
            <w:r>
              <w:rPr>
                <w:rFonts w:hint="eastAsia" w:ascii="宋体" w:hAnsi="宋体" w:cs="宋体"/>
                <w:color w:val="auto"/>
                <w:szCs w:val="21"/>
                <w:highlight w:val="none"/>
                <w:lang w:eastAsia="zh-CN"/>
              </w:rPr>
              <w:t>其他有效</w:t>
            </w:r>
            <w:r>
              <w:rPr>
                <w:rFonts w:hint="eastAsia" w:ascii="宋体" w:hAnsi="宋体" w:cs="宋体"/>
                <w:color w:val="auto"/>
                <w:szCs w:val="21"/>
                <w:highlight w:val="none"/>
              </w:rPr>
              <w:t>正式函件等内容均是磋商文件的组成部分</w:t>
            </w:r>
          </w:p>
        </w:tc>
      </w:tr>
      <w:tr w14:paraId="550EDD4F">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C0797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622AFA4">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提出问题的</w:t>
            </w:r>
            <w:r>
              <w:rPr>
                <w:rFonts w:hint="eastAsia" w:ascii="宋体" w:hAnsi="宋体" w:cs="宋体"/>
                <w:color w:val="auto"/>
                <w:szCs w:val="21"/>
                <w:highlight w:val="none"/>
              </w:rPr>
              <w:t>截止时间</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3302D892">
            <w:pPr>
              <w:keepNext w:val="0"/>
              <w:keepLines w:val="0"/>
              <w:pageBreakBefore w:val="0"/>
              <w:kinsoku/>
              <w:wordWrap/>
              <w:overflowPunct/>
              <w:bidi w:val="0"/>
              <w:adjustRightInd w:val="0"/>
              <w:snapToGrid w:val="0"/>
              <w:spacing w:line="360" w:lineRule="auto"/>
              <w:jc w:val="left"/>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公告发布之日起</w:t>
            </w:r>
            <w:r>
              <w:rPr>
                <w:rFonts w:hint="eastAsia" w:ascii="宋体" w:hAnsi="宋体" w:cs="宋体"/>
                <w:color w:val="auto"/>
                <w:szCs w:val="21"/>
                <w:highlight w:val="none"/>
                <w:lang w:val="en-US" w:eastAsia="zh-CN"/>
              </w:rPr>
              <w:t>5个工作日内</w:t>
            </w:r>
          </w:p>
        </w:tc>
      </w:tr>
      <w:tr w14:paraId="5079C5D9">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F659C71">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9320C71">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采购人澄清磋商文件的截止时间</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6D34EBC6">
            <w:pPr>
              <w:keepNext w:val="0"/>
              <w:keepLines w:val="0"/>
              <w:pageBreakBefore w:val="0"/>
              <w:kinsoku/>
              <w:wordWrap/>
              <w:overflowPunct/>
              <w:bidi w:val="0"/>
              <w:adjustRightInd w:val="0"/>
              <w:snapToGri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递交响应文件截止之日</w:t>
            </w:r>
            <w:r>
              <w:rPr>
                <w:rFonts w:hint="eastAsia" w:ascii="宋体" w:hAnsi="宋体" w:cs="宋体"/>
                <w:color w:val="auto"/>
                <w:szCs w:val="21"/>
                <w:highlight w:val="none"/>
                <w:u w:val="single"/>
              </w:rPr>
              <w:t>5</w:t>
            </w:r>
            <w:r>
              <w:rPr>
                <w:rFonts w:hint="eastAsia" w:ascii="宋体" w:hAnsi="宋体" w:cs="宋体"/>
                <w:color w:val="auto"/>
                <w:szCs w:val="21"/>
                <w:highlight w:val="none"/>
              </w:rPr>
              <w:t>天前</w:t>
            </w:r>
          </w:p>
        </w:tc>
      </w:tr>
      <w:tr w14:paraId="7564573E">
        <w:tblPrEx>
          <w:tblCellMar>
            <w:top w:w="0" w:type="dxa"/>
            <w:left w:w="108" w:type="dxa"/>
            <w:bottom w:w="0" w:type="dxa"/>
            <w:right w:w="108" w:type="dxa"/>
          </w:tblCellMar>
        </w:tblPrEx>
        <w:trPr>
          <w:trHeight w:val="114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0D5F60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2.2.3</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7F87FD0">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供应商确认收到磋商文件澄清的时间</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15F44050">
            <w:pPr>
              <w:keepNext w:val="0"/>
              <w:keepLines w:val="0"/>
              <w:pageBreakBefore w:val="0"/>
              <w:kinsoku/>
              <w:wordWrap/>
              <w:overflowPunct/>
              <w:bidi w:val="0"/>
              <w:adjustRightInd w:val="0"/>
              <w:snapToGri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在收到相应澄清文件后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3DC5A3F0">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438919E">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2.3.2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FDDA97A">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供应商确认收到磋商文件修改的时间</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7CBEC1A4">
            <w:pPr>
              <w:keepNext w:val="0"/>
              <w:keepLines w:val="0"/>
              <w:pageBreakBefore w:val="0"/>
              <w:kinsoku/>
              <w:wordWrap/>
              <w:overflowPunct/>
              <w:bidi w:val="0"/>
              <w:adjustRightInd w:val="0"/>
              <w:snapToGri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在收到相应修改文件后</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小时内</w:t>
            </w:r>
          </w:p>
        </w:tc>
      </w:tr>
      <w:tr w14:paraId="019FAD0F">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0ECF496">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5DD6765">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构成响应文件的其他材料</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16E1BFFB">
            <w:pPr>
              <w:keepNext w:val="0"/>
              <w:keepLines w:val="0"/>
              <w:pageBreakBefore w:val="0"/>
              <w:kinsoku/>
              <w:wordWrap/>
              <w:overflowPunct/>
              <w:bidi w:val="0"/>
              <w:adjustRightInd w:val="0"/>
              <w:snapToGri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供应商认为需要提交的其他证明材料</w:t>
            </w:r>
          </w:p>
        </w:tc>
      </w:tr>
      <w:tr w14:paraId="5EA8E332">
        <w:tblPrEx>
          <w:tblCellMar>
            <w:top w:w="0" w:type="dxa"/>
            <w:left w:w="108" w:type="dxa"/>
            <w:bottom w:w="0" w:type="dxa"/>
            <w:right w:w="108" w:type="dxa"/>
          </w:tblCellMar>
        </w:tblPrEx>
        <w:trPr>
          <w:trHeight w:val="70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06DB56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3.3.1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EA89464">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磋商有效期</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3F648CB3">
            <w:pPr>
              <w:keepNext w:val="0"/>
              <w:keepLines w:val="0"/>
              <w:pageBreakBefore w:val="0"/>
              <w:kinsoku/>
              <w:wordWrap/>
              <w:overflowPunct/>
              <w:bidi w:val="0"/>
              <w:adjustRightInd w:val="0"/>
              <w:snapToGri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60日历天（响应文件</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截止之日起）</w:t>
            </w:r>
          </w:p>
        </w:tc>
      </w:tr>
      <w:tr w14:paraId="22278360">
        <w:tblPrEx>
          <w:tblCellMar>
            <w:top w:w="0" w:type="dxa"/>
            <w:left w:w="108" w:type="dxa"/>
            <w:bottom w:w="0" w:type="dxa"/>
            <w:right w:w="108" w:type="dxa"/>
          </w:tblCellMar>
        </w:tblPrEx>
        <w:trPr>
          <w:trHeight w:val="5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157940">
            <w:pPr>
              <w:keepNext w:val="0"/>
              <w:keepLines w:val="0"/>
              <w:pageBreakBefore w:val="0"/>
              <w:kinsoku/>
              <w:wordWrap/>
              <w:overflowPunct/>
              <w:bidi w:val="0"/>
              <w:snapToGrid w:val="0"/>
              <w:spacing w:line="360" w:lineRule="auto"/>
              <w:ind w:left="0" w:leftChars="0" w:firstLine="0" w:firstLineChars="0"/>
              <w:jc w:val="center"/>
              <w:textAlignment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3.2.3</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3BB9951">
            <w:pPr>
              <w:keepNext w:val="0"/>
              <w:keepLines w:val="0"/>
              <w:pageBreakBefore w:val="0"/>
              <w:kinsoku/>
              <w:wordWrap/>
              <w:overflowPunct/>
              <w:bidi w:val="0"/>
              <w:snapToGrid w:val="0"/>
              <w:spacing w:line="360" w:lineRule="auto"/>
              <w:ind w:left="0" w:leftChars="0" w:firstLine="0" w:firstLineChars="0"/>
              <w:jc w:val="both"/>
              <w:textAlignment w:val="center"/>
              <w:rPr>
                <w:rFonts w:hint="eastAsia"/>
                <w:color w:val="auto"/>
                <w:kern w:val="2"/>
                <w:sz w:val="21"/>
                <w:szCs w:val="24"/>
                <w:highlight w:val="none"/>
                <w:lang w:val="en-US" w:eastAsia="zh-CN" w:bidi="ar-SA"/>
              </w:rPr>
            </w:pPr>
            <w:r>
              <w:rPr>
                <w:color w:val="auto"/>
                <w:highlight w:val="none"/>
              </w:rPr>
              <w:t>报价方式</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490915D9">
            <w:pPr>
              <w:keepNext w:val="0"/>
              <w:keepLines w:val="0"/>
              <w:pageBreakBefore w:val="0"/>
              <w:kinsoku/>
              <w:wordWrap/>
              <w:overflowPunct/>
              <w:bidi w:val="0"/>
              <w:snapToGrid w:val="0"/>
              <w:spacing w:line="360" w:lineRule="auto"/>
              <w:jc w:val="left"/>
              <w:textAlignment w:val="center"/>
              <w:rPr>
                <w:rFonts w:hint="eastAsia" w:ascii="宋体" w:hAnsi="宋体"/>
                <w:color w:val="auto"/>
                <w:kern w:val="2"/>
                <w:sz w:val="21"/>
                <w:szCs w:val="24"/>
                <w:highlight w:val="none"/>
                <w:lang w:val="en-US" w:eastAsia="zh-CN" w:bidi="ar-SA"/>
              </w:rPr>
            </w:pPr>
            <w:r>
              <w:rPr>
                <w:rFonts w:hint="eastAsia" w:ascii="宋体" w:hAnsi="宋体"/>
                <w:color w:val="auto"/>
                <w:highlight w:val="none"/>
              </w:rPr>
              <w:t>自主报价</w:t>
            </w:r>
          </w:p>
        </w:tc>
      </w:tr>
      <w:tr w14:paraId="28F03A50">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884D5D2">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3.6</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141347C">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是否允许递交备选磋商方案</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123CFA59">
            <w:pPr>
              <w:pStyle w:val="8"/>
              <w:keepNext w:val="0"/>
              <w:keepLines w:val="0"/>
              <w:pageBreakBefore w:val="0"/>
              <w:kinsoku/>
              <w:wordWrap/>
              <w:overflowPunct/>
              <w:topLinePunct/>
              <w:bidi w:val="0"/>
              <w:adjustRightInd w:val="0"/>
              <w:snapToGrid w:val="0"/>
              <w:spacing w:line="360" w:lineRule="auto"/>
              <w:jc w:val="left"/>
              <w:textAlignment w:val="baseline"/>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不允许</w:t>
            </w:r>
          </w:p>
        </w:tc>
      </w:tr>
      <w:tr w14:paraId="417CFB3A">
        <w:tblPrEx>
          <w:tblCellMar>
            <w:top w:w="0" w:type="dxa"/>
            <w:left w:w="108" w:type="dxa"/>
            <w:bottom w:w="0" w:type="dxa"/>
            <w:right w:w="108" w:type="dxa"/>
          </w:tblCellMar>
        </w:tblPrEx>
        <w:trPr>
          <w:trHeight w:val="16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7CA7DC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3.7.3</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7BEB4C26">
            <w:pPr>
              <w:keepNext w:val="0"/>
              <w:keepLines w:val="0"/>
              <w:pageBreakBefore w:val="0"/>
              <w:kinsoku/>
              <w:wordWrap/>
              <w:overflowPunct/>
              <w:bidi w:val="0"/>
              <w:adjustRightInd w:val="0"/>
              <w:snapToGrid w:val="0"/>
              <w:spacing w:line="360" w:lineRule="auto"/>
              <w:ind w:left="0" w:leftChars="0" w:firstLine="0" w:firstLineChars="0"/>
              <w:jc w:val="both"/>
              <w:textAlignment w:val="baseline"/>
              <w:rPr>
                <w:rFonts w:hint="eastAsia" w:ascii="宋体" w:hAnsi="宋体" w:cs="宋体"/>
                <w:color w:val="auto"/>
                <w:szCs w:val="21"/>
                <w:highlight w:val="none"/>
              </w:rPr>
            </w:pPr>
            <w:r>
              <w:rPr>
                <w:rFonts w:hint="eastAsia" w:ascii="宋体" w:hAnsi="宋体" w:cs="宋体"/>
                <w:color w:val="auto"/>
                <w:szCs w:val="21"/>
                <w:highlight w:val="none"/>
              </w:rPr>
              <w:t>电子响应文件签字盖章要求</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783178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（1）所有要求供应商加盖公章的地方都须加盖供应商的 CA 印章。</w:t>
            </w:r>
          </w:p>
          <w:p w14:paraId="3FF37C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（2）所有要求法定代表人或其委托代理人签字的地方都须法定代表人或其委托代理人加盖CA印章或签字。</w:t>
            </w:r>
          </w:p>
        </w:tc>
      </w:tr>
      <w:tr w14:paraId="503A1FD9">
        <w:tblPrEx>
          <w:tblCellMar>
            <w:top w:w="0" w:type="dxa"/>
            <w:left w:w="108" w:type="dxa"/>
            <w:bottom w:w="0" w:type="dxa"/>
            <w:right w:w="108" w:type="dxa"/>
          </w:tblCellMar>
        </w:tblPrEx>
        <w:trPr>
          <w:trHeight w:val="78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5B7783">
            <w:pPr>
              <w:keepNext w:val="0"/>
              <w:keepLines w:val="0"/>
              <w:pageBreakBefore w:val="0"/>
              <w:kinsoku/>
              <w:wordWrap/>
              <w:overflowPunct/>
              <w:bidi w:val="0"/>
              <w:snapToGrid w:val="0"/>
              <w:spacing w:line="360" w:lineRule="auto"/>
              <w:ind w:left="0" w:leftChars="0" w:firstLine="0" w:firstLineChars="0"/>
              <w:jc w:val="center"/>
              <w:rPr>
                <w:rFonts w:hint="eastAsia" w:ascii="宋体" w:hAnsi="宋体" w:cs="宋体"/>
                <w:bCs/>
                <w:color w:val="auto"/>
                <w:szCs w:val="21"/>
                <w:highlight w:val="none"/>
              </w:rPr>
            </w:pPr>
            <w:r>
              <w:rPr>
                <w:rFonts w:hint="eastAsia" w:ascii="宋体" w:hAnsi="宋体" w:cs="宋体"/>
                <w:bCs/>
                <w:color w:val="auto"/>
                <w:szCs w:val="21"/>
                <w:highlight w:val="none"/>
              </w:rPr>
              <w:t>3.7.4</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6DFE974">
            <w:pPr>
              <w:keepNext w:val="0"/>
              <w:keepLines w:val="0"/>
              <w:pageBreakBefore w:val="0"/>
              <w:kinsoku/>
              <w:wordWrap/>
              <w:overflowPunct/>
              <w:bidi w:val="0"/>
              <w:adjustRightInd w:val="0"/>
              <w:snapToGrid w:val="0"/>
              <w:spacing w:line="360" w:lineRule="auto"/>
              <w:ind w:left="0" w:leftChars="0" w:firstLine="0" w:firstLineChars="0"/>
              <w:jc w:val="both"/>
              <w:rPr>
                <w:rFonts w:hint="eastAsia" w:ascii="宋体" w:hAnsi="宋体" w:cs="宋体"/>
                <w:bCs/>
                <w:color w:val="auto"/>
                <w:szCs w:val="21"/>
                <w:highlight w:val="none"/>
              </w:rPr>
            </w:pPr>
            <w:r>
              <w:rPr>
                <w:rFonts w:hint="eastAsia" w:ascii="宋体" w:hAnsi="宋体" w:cs="宋体"/>
                <w:bCs/>
                <w:color w:val="auto"/>
                <w:szCs w:val="21"/>
                <w:highlight w:val="none"/>
              </w:rPr>
              <w:t>响应文件份数</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00C17B78">
            <w:pPr>
              <w:keepNext w:val="0"/>
              <w:keepLines w:val="0"/>
              <w:pageBreakBefore w:val="0"/>
              <w:kinsoku/>
              <w:wordWrap/>
              <w:overflowPunct/>
              <w:bidi w:val="0"/>
              <w:adjustRightInd w:val="0"/>
              <w:snapToGrid w:val="0"/>
              <w:spacing w:line="360" w:lineRule="auto"/>
              <w:ind w:left="0" w:leftChars="0" w:firstLine="0" w:firstLineChars="0"/>
              <w:jc w:val="left"/>
              <w:rPr>
                <w:rFonts w:hint="eastAsia" w:ascii="宋体" w:hAnsi="宋体" w:cs="宋体"/>
                <w:bCs/>
                <w:color w:val="auto"/>
                <w:szCs w:val="21"/>
                <w:highlight w:val="none"/>
              </w:rPr>
            </w:pPr>
            <w:r>
              <w:rPr>
                <w:rFonts w:hint="eastAsia" w:ascii="宋体" w:hAnsi="宋体" w:cs="宋体"/>
                <w:bCs/>
                <w:color w:val="auto"/>
                <w:szCs w:val="21"/>
                <w:highlight w:val="none"/>
              </w:rPr>
              <w:t>加密的电子响应文件壹份（*.XYTF 格式，在会员系统指定位置上传）</w:t>
            </w:r>
          </w:p>
        </w:tc>
      </w:tr>
      <w:tr w14:paraId="7C515970">
        <w:tblPrEx>
          <w:tblCellMar>
            <w:top w:w="0" w:type="dxa"/>
            <w:left w:w="108" w:type="dxa"/>
            <w:bottom w:w="0" w:type="dxa"/>
            <w:right w:w="108" w:type="dxa"/>
          </w:tblCellMar>
        </w:tblPrEx>
        <w:trPr>
          <w:trHeight w:val="61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B3D03B6">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4.2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36009DC4">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响应文件的递交</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5DC9AADE">
            <w:pPr>
              <w:keepNext w:val="0"/>
              <w:keepLines w:val="0"/>
              <w:pageBreakBefore w:val="0"/>
              <w:kinsoku/>
              <w:wordWrap/>
              <w:overflowPunct/>
              <w:bidi w:val="0"/>
              <w:adjustRightInd w:val="0"/>
              <w:snapToGrid w:val="0"/>
              <w:spacing w:line="360" w:lineRule="auto"/>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1、电子响应文件的递交</w:t>
            </w:r>
          </w:p>
          <w:p w14:paraId="7D547C10">
            <w:pPr>
              <w:keepNext w:val="0"/>
              <w:keepLines w:val="0"/>
              <w:pageBreakBefore w:val="0"/>
              <w:kinsoku/>
              <w:wordWrap/>
              <w:overflowPunct/>
              <w:bidi w:val="0"/>
              <w:adjustRightInd w:val="0"/>
              <w:snapToGrid w:val="0"/>
              <w:spacing w:line="360" w:lineRule="auto"/>
              <w:ind w:left="0" w:leftChars="0" w:firstLine="210" w:firstLineChars="1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65456A8F">
            <w:pPr>
              <w:keepNext w:val="0"/>
              <w:keepLines w:val="0"/>
              <w:pageBreakBefore w:val="0"/>
              <w:kinsoku/>
              <w:wordWrap/>
              <w:overflowPunct/>
              <w:bidi w:val="0"/>
              <w:adjustRightInd w:val="0"/>
              <w:snapToGrid w:val="0"/>
              <w:spacing w:line="360" w:lineRule="auto"/>
              <w:ind w:left="0" w:leftChars="0" w:firstLine="210" w:firstLineChars="100"/>
              <w:jc w:val="left"/>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 xml:space="preserve">2、本项目采用“不见面开标”交易方式，不见面开标大厅网址为 </w:t>
            </w:r>
            <w:r>
              <w:rPr>
                <w:rFonts w:hint="eastAsia" w:ascii="宋体" w:hAnsi="宋体" w:cs="宋体"/>
                <w:color w:val="auto"/>
                <w:sz w:val="21"/>
                <w:szCs w:val="21"/>
                <w:highlight w:val="none"/>
                <w:lang w:val="en-US" w:eastAsia="zh-CN"/>
              </w:rPr>
              <w:fldChar w:fldCharType="begin"/>
            </w:r>
            <w:r>
              <w:rPr>
                <w:rFonts w:hint="eastAsia" w:ascii="宋体" w:hAnsi="宋体" w:cs="宋体"/>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cs="宋体"/>
                <w:color w:val="auto"/>
                <w:sz w:val="21"/>
                <w:szCs w:val="21"/>
                <w:highlight w:val="none"/>
                <w:lang w:val="en-US" w:eastAsia="zh-CN"/>
              </w:rPr>
              <w:fldChar w:fldCharType="separate"/>
            </w:r>
            <w:r>
              <w:rPr>
                <w:rFonts w:hint="eastAsia" w:ascii="宋体" w:hAnsi="宋体" w:cs="宋体"/>
                <w:color w:val="auto"/>
                <w:sz w:val="21"/>
                <w:szCs w:val="21"/>
                <w:highlight w:val="none"/>
                <w:lang w:val="en-US" w:eastAsia="zh-CN"/>
              </w:rPr>
              <w:t>http://www.xyggzyjy.cn:8088/BidOpening，供应商无需寄送和递交非加密的电子响应文件，无需到现场参加开标会议，无需到达现场提交原件资料。</w:t>
            </w:r>
            <w:r>
              <w:rPr>
                <w:rFonts w:hint="eastAsia" w:ascii="宋体" w:hAnsi="宋体" w:cs="宋体"/>
                <w:color w:val="auto"/>
                <w:sz w:val="21"/>
                <w:szCs w:val="21"/>
                <w:highlight w:val="none"/>
                <w:lang w:val="en-US" w:eastAsia="zh-CN"/>
              </w:rPr>
              <w:fldChar w:fldCharType="end"/>
            </w:r>
          </w:p>
        </w:tc>
      </w:tr>
      <w:tr w14:paraId="70DCBD2E">
        <w:tblPrEx>
          <w:tblCellMar>
            <w:top w:w="0" w:type="dxa"/>
            <w:left w:w="108" w:type="dxa"/>
            <w:bottom w:w="0" w:type="dxa"/>
            <w:right w:w="108" w:type="dxa"/>
          </w:tblCellMar>
        </w:tblPrEx>
        <w:trPr>
          <w:trHeight w:val="91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E3DDE0D">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5.1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643AE95B">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提交响应文件截止时间</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0CD01C67">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eastAsia="宋体" w:cs="宋体"/>
                <w:color w:val="auto"/>
                <w:szCs w:val="21"/>
                <w:highlight w:val="none"/>
                <w:lang w:eastAsia="zh-CN"/>
              </w:rPr>
            </w:pPr>
            <w:r>
              <w:rPr>
                <w:rFonts w:hint="eastAsia" w:eastAsia="宋体" w:cs="宋体"/>
                <w:bCs/>
                <w:color w:val="auto"/>
                <w:sz w:val="21"/>
                <w:szCs w:val="21"/>
                <w:highlight w:val="none"/>
                <w:lang w:val="en-US" w:eastAsia="zh-CN"/>
              </w:rPr>
              <w:t>2025年07月7</w:t>
            </w:r>
            <w:bookmarkStart w:id="957" w:name="_GoBack"/>
            <w:bookmarkEnd w:id="957"/>
            <w:r>
              <w:rPr>
                <w:rFonts w:hint="eastAsia" w:eastAsia="宋体" w:cs="宋体"/>
                <w:bCs/>
                <w:color w:val="auto"/>
                <w:sz w:val="21"/>
                <w:szCs w:val="21"/>
                <w:highlight w:val="none"/>
                <w:lang w:val="en-US" w:eastAsia="zh-CN"/>
              </w:rPr>
              <w:t>日09时30分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北京时间</w:t>
            </w:r>
            <w:r>
              <w:rPr>
                <w:rFonts w:hint="eastAsia" w:ascii="宋体" w:hAnsi="宋体" w:eastAsia="宋体" w:cs="宋体"/>
                <w:b w:val="0"/>
                <w:bCs/>
                <w:color w:val="auto"/>
                <w:sz w:val="21"/>
                <w:szCs w:val="21"/>
                <w:highlight w:val="none"/>
                <w:lang w:eastAsia="zh-CN"/>
              </w:rPr>
              <w:t>）</w:t>
            </w:r>
          </w:p>
        </w:tc>
      </w:tr>
      <w:tr w14:paraId="70774A82">
        <w:tblPrEx>
          <w:tblCellMar>
            <w:top w:w="0" w:type="dxa"/>
            <w:left w:w="108" w:type="dxa"/>
            <w:bottom w:w="0" w:type="dxa"/>
            <w:right w:w="108" w:type="dxa"/>
          </w:tblCellMar>
        </w:tblPrEx>
        <w:trPr>
          <w:trHeight w:val="68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9F4AF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ascii="宋体" w:hAnsi="宋体" w:cs="宋体"/>
                <w:color w:val="auto"/>
                <w:szCs w:val="21"/>
                <w:highlight w:val="none"/>
              </w:rPr>
            </w:pPr>
            <w:r>
              <w:rPr>
                <w:rFonts w:hint="eastAsia" w:ascii="宋体" w:hAnsi="宋体" w:cs="宋体"/>
                <w:color w:val="auto"/>
                <w:szCs w:val="21"/>
                <w:highlight w:val="none"/>
              </w:rPr>
              <w:t>5.1.1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25015759">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2C695925">
            <w:pPr>
              <w:keepNext w:val="0"/>
              <w:keepLines w:val="0"/>
              <w:pageBreakBefore w:val="0"/>
              <w:kinsoku/>
              <w:wordWrap/>
              <w:overflowPunct/>
              <w:autoSpaceDE w:val="0"/>
              <w:autoSpaceDN w:val="0"/>
              <w:bidi w:val="0"/>
              <w:adjustRightInd w:val="0"/>
              <w:snapToGrid w:val="0"/>
              <w:spacing w:line="36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szCs w:val="21"/>
                <w:highlight w:val="none"/>
              </w:rPr>
              <w:t>磋商</w:t>
            </w:r>
            <w:r>
              <w:rPr>
                <w:rFonts w:hint="eastAsia" w:ascii="宋体" w:hAnsi="宋体" w:cs="宋体"/>
                <w:color w:val="auto"/>
                <w:kern w:val="0"/>
                <w:szCs w:val="21"/>
                <w:highlight w:val="none"/>
              </w:rPr>
              <w:t>时间：同</w:t>
            </w:r>
            <w:r>
              <w:rPr>
                <w:rFonts w:hint="eastAsia" w:ascii="宋体" w:hAnsi="宋体" w:cs="宋体"/>
                <w:color w:val="auto"/>
                <w:szCs w:val="21"/>
                <w:highlight w:val="none"/>
              </w:rPr>
              <w:t>响应文件提交</w:t>
            </w:r>
            <w:r>
              <w:rPr>
                <w:rFonts w:hint="eastAsia" w:ascii="宋体" w:hAnsi="宋体" w:cs="宋体"/>
                <w:color w:val="auto"/>
                <w:kern w:val="0"/>
                <w:szCs w:val="21"/>
                <w:highlight w:val="none"/>
              </w:rPr>
              <w:t>截止时间</w:t>
            </w:r>
          </w:p>
          <w:p w14:paraId="0D9ECA58">
            <w:pPr>
              <w:keepNext w:val="0"/>
              <w:keepLines w:val="0"/>
              <w:pageBreakBefore w:val="0"/>
              <w:kinsoku/>
              <w:wordWrap/>
              <w:overflowPunct/>
              <w:bidi w:val="0"/>
              <w:snapToGrid w:val="0"/>
              <w:spacing w:line="360" w:lineRule="auto"/>
              <w:ind w:left="0" w:leftChars="0" w:firstLine="0" w:firstLineChars="0"/>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磋商</w:t>
            </w:r>
            <w:r>
              <w:rPr>
                <w:rFonts w:hint="eastAsia" w:ascii="宋体" w:hAnsi="宋体" w:cs="宋体"/>
                <w:color w:val="auto"/>
                <w:kern w:val="0"/>
                <w:szCs w:val="21"/>
                <w:highlight w:val="none"/>
              </w:rPr>
              <w:t>地点：</w:t>
            </w:r>
            <w:r>
              <w:rPr>
                <w:rFonts w:hint="eastAsia" w:ascii="宋体" w:hAnsi="宋体" w:cs="宋体"/>
                <w:color w:val="auto"/>
                <w:kern w:val="0"/>
                <w:szCs w:val="21"/>
                <w:highlight w:val="none"/>
                <w:lang w:val="en-US" w:eastAsia="zh-CN"/>
              </w:rPr>
              <w:t>潢川县</w:t>
            </w:r>
            <w:r>
              <w:rPr>
                <w:rFonts w:hint="eastAsia" w:ascii="宋体" w:hAnsi="宋体" w:cs="宋体"/>
                <w:color w:val="auto"/>
                <w:kern w:val="0"/>
                <w:szCs w:val="21"/>
                <w:highlight w:val="none"/>
                <w:lang w:eastAsia="zh-CN"/>
              </w:rPr>
              <w:t>公共资源交易中心</w:t>
            </w:r>
            <w:r>
              <w:rPr>
                <w:rFonts w:hint="eastAsia" w:ascii="宋体" w:hAnsi="宋体" w:cs="宋体"/>
                <w:color w:val="auto"/>
                <w:kern w:val="0"/>
                <w:szCs w:val="21"/>
                <w:highlight w:val="none"/>
              </w:rPr>
              <w:t>第</w:t>
            </w:r>
            <w:r>
              <w:rPr>
                <w:rFonts w:hint="eastAsia" w:ascii="宋体" w:hAnsi="宋体" w:eastAsia="宋体" w:cs="宋体"/>
                <w:b w:val="0"/>
                <w:bCs/>
                <w:color w:val="auto"/>
                <w:sz w:val="21"/>
                <w:szCs w:val="21"/>
                <w:highlight w:val="none"/>
                <w:u w:val="single"/>
                <w:lang w:val="en-US" w:eastAsia="zh-CN"/>
              </w:rPr>
              <w:t xml:space="preserve">  一  </w:t>
            </w:r>
            <w:r>
              <w:rPr>
                <w:rFonts w:hint="eastAsia" w:ascii="宋体" w:hAnsi="宋体" w:cs="宋体"/>
                <w:color w:val="auto"/>
                <w:kern w:val="0"/>
                <w:szCs w:val="21"/>
                <w:highlight w:val="none"/>
              </w:rPr>
              <w:t>开标</w:t>
            </w:r>
            <w:r>
              <w:rPr>
                <w:rFonts w:hint="eastAsia" w:ascii="宋体" w:hAnsi="宋体" w:cs="宋体"/>
                <w:color w:val="auto"/>
                <w:kern w:val="0"/>
                <w:szCs w:val="21"/>
                <w:highlight w:val="none"/>
                <w:lang w:eastAsia="zh-CN"/>
              </w:rPr>
              <w:t>厅</w:t>
            </w:r>
          </w:p>
        </w:tc>
      </w:tr>
      <w:tr w14:paraId="07E2BD94">
        <w:tblPrEx>
          <w:tblCellMar>
            <w:top w:w="0" w:type="dxa"/>
            <w:left w:w="108" w:type="dxa"/>
            <w:bottom w:w="0" w:type="dxa"/>
            <w:right w:w="108" w:type="dxa"/>
          </w:tblCellMar>
        </w:tblPrEx>
        <w:trPr>
          <w:trHeight w:val="54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56D8513">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6.1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08ABA9BA">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磋商小组的组建</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33E7883B">
            <w:pPr>
              <w:keepNext w:val="0"/>
              <w:keepLines w:val="0"/>
              <w:pageBreakBefore w:val="0"/>
              <w:kinsoku/>
              <w:wordWrap/>
              <w:overflowPunct/>
              <w:autoSpaceDE w:val="0"/>
              <w:autoSpaceDN w:val="0"/>
              <w:bidi w:val="0"/>
              <w:adjustRightInd w:val="0"/>
              <w:snapToGrid w:val="0"/>
              <w:spacing w:line="360" w:lineRule="auto"/>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磋商小组构成：</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人，其中业主评委</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人，技术、经济类专家</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人；</w:t>
            </w:r>
          </w:p>
          <w:p w14:paraId="10F525A0">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kern w:val="0"/>
                <w:szCs w:val="21"/>
                <w:highlight w:val="none"/>
              </w:rPr>
              <w:t>专家确定方式：磋商前从政府采购专家库中随机抽取。</w:t>
            </w:r>
          </w:p>
        </w:tc>
      </w:tr>
      <w:tr w14:paraId="6D582B7B">
        <w:tblPrEx>
          <w:tblCellMar>
            <w:top w:w="0" w:type="dxa"/>
            <w:left w:w="108" w:type="dxa"/>
            <w:bottom w:w="0" w:type="dxa"/>
            <w:right w:w="108" w:type="dxa"/>
          </w:tblCellMar>
        </w:tblPrEx>
        <w:trPr>
          <w:trHeight w:val="7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88DF5C">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7.1</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13DA4CD2">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是否授权磋商小组确定成交人</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747D2105">
            <w:pPr>
              <w:keepNext w:val="0"/>
              <w:keepLines w:val="0"/>
              <w:pageBreakBefore w:val="0"/>
              <w:kinsoku/>
              <w:wordWrap/>
              <w:overflowPunct/>
              <w:bidi w:val="0"/>
              <w:adjustRightInd w:val="0"/>
              <w:snapToGrid w:val="0"/>
              <w:spacing w:line="360" w:lineRule="auto"/>
              <w:ind w:left="0" w:leftChars="0" w:firstLine="0" w:firstLineChars="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否；推荐的成交候选人数：3名</w:t>
            </w:r>
          </w:p>
        </w:tc>
      </w:tr>
      <w:tr w14:paraId="4400EB9F">
        <w:tblPrEx>
          <w:tblCellMar>
            <w:top w:w="0" w:type="dxa"/>
            <w:left w:w="108" w:type="dxa"/>
            <w:bottom w:w="0" w:type="dxa"/>
            <w:right w:w="108" w:type="dxa"/>
          </w:tblCellMar>
        </w:tblPrEx>
        <w:trPr>
          <w:trHeight w:val="73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51E51A4">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7.2</w:t>
            </w:r>
          </w:p>
        </w:tc>
        <w:tc>
          <w:tcPr>
            <w:tcW w:w="1257" w:type="dxa"/>
            <w:tcBorders>
              <w:top w:val="single" w:color="auto" w:sz="4" w:space="0"/>
              <w:left w:val="single" w:color="auto" w:sz="4" w:space="0"/>
              <w:bottom w:val="single" w:color="auto" w:sz="4" w:space="0"/>
              <w:right w:val="single" w:color="auto" w:sz="4" w:space="0"/>
            </w:tcBorders>
            <w:noWrap w:val="0"/>
            <w:vAlign w:val="center"/>
          </w:tcPr>
          <w:p w14:paraId="485341EE">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履约</w:t>
            </w:r>
            <w:r>
              <w:rPr>
                <w:rFonts w:hint="eastAsia" w:ascii="宋体" w:hAnsi="宋体" w:eastAsia="宋体" w:cs="宋体"/>
                <w:color w:val="auto"/>
                <w:kern w:val="0"/>
                <w:sz w:val="21"/>
                <w:szCs w:val="21"/>
                <w:highlight w:val="none"/>
                <w:lang w:eastAsia="zh-CN"/>
              </w:rPr>
              <w:t>保证金</w:t>
            </w:r>
          </w:p>
        </w:tc>
        <w:tc>
          <w:tcPr>
            <w:tcW w:w="6517" w:type="dxa"/>
            <w:tcBorders>
              <w:top w:val="single" w:color="auto" w:sz="4" w:space="0"/>
              <w:left w:val="single" w:color="auto" w:sz="4" w:space="0"/>
              <w:bottom w:val="single" w:color="auto" w:sz="4" w:space="0"/>
              <w:right w:val="single" w:color="auto" w:sz="4" w:space="0"/>
            </w:tcBorders>
            <w:noWrap w:val="0"/>
            <w:vAlign w:val="center"/>
          </w:tcPr>
          <w:p w14:paraId="02ACB8A6">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无</w:t>
            </w:r>
          </w:p>
        </w:tc>
      </w:tr>
      <w:tr w14:paraId="4CB2EDD0">
        <w:tblPrEx>
          <w:tblCellMar>
            <w:top w:w="0" w:type="dxa"/>
            <w:left w:w="108" w:type="dxa"/>
            <w:bottom w:w="0" w:type="dxa"/>
            <w:right w:w="108" w:type="dxa"/>
          </w:tblCellMar>
        </w:tblPrEx>
        <w:trPr>
          <w:trHeight w:val="538"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6FE1E279">
            <w:pPr>
              <w:keepNext w:val="0"/>
              <w:keepLines w:val="0"/>
              <w:pageBreakBefore w:val="0"/>
              <w:kinsoku/>
              <w:wordWrap/>
              <w:overflowPunct/>
              <w:bidi w:val="0"/>
              <w:adjustRightInd w:val="0"/>
              <w:snapToGri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14:paraId="54E7A421">
        <w:tblPrEx>
          <w:tblCellMar>
            <w:top w:w="0" w:type="dxa"/>
            <w:left w:w="108" w:type="dxa"/>
            <w:bottom w:w="0" w:type="dxa"/>
            <w:right w:w="108" w:type="dxa"/>
          </w:tblCellMar>
        </w:tblPrEx>
        <w:trPr>
          <w:trHeight w:val="5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A5F6D20">
            <w:pPr>
              <w:keepNext w:val="0"/>
              <w:keepLines w:val="0"/>
              <w:pageBreakBefore w:val="0"/>
              <w:kinsoku/>
              <w:wordWrap/>
              <w:overflowPunct/>
              <w:bidi w:val="0"/>
              <w:adjustRightInd w:val="0"/>
              <w:snapToGrid w:val="0"/>
              <w:spacing w:line="360" w:lineRule="auto"/>
              <w:ind w:left="0" w:leftChars="0" w:firstLine="0" w:firstLineChars="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解释权</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B43A8D8">
            <w:pPr>
              <w:keepNext w:val="0"/>
              <w:keepLines w:val="0"/>
              <w:pageBreakBefore w:val="0"/>
              <w:kinsoku/>
              <w:wordWrap/>
              <w:overflowPunct/>
              <w:bidi w:val="0"/>
              <w:adjustRightInd w:val="0"/>
              <w:snapToGri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构成本磋商文件的各个组成文件应互为解释，互为说明；如有不明确或不一致，按</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、供应商须知、评审办法、</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83B9A9E">
        <w:tblPrEx>
          <w:tblCellMar>
            <w:top w:w="0" w:type="dxa"/>
            <w:left w:w="108" w:type="dxa"/>
            <w:bottom w:w="0" w:type="dxa"/>
            <w:right w:w="108" w:type="dxa"/>
          </w:tblCellMar>
        </w:tblPrEx>
        <w:trPr>
          <w:trHeight w:val="8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C1E97C2">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rPr>
              <w:t>其他补充内容</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4BB8160">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color w:val="auto"/>
                <w:szCs w:val="21"/>
                <w:highlight w:val="none"/>
              </w:rPr>
            </w:pPr>
            <w:r>
              <w:rPr>
                <w:rFonts w:hint="eastAsia" w:ascii="宋体" w:hAnsi="宋体" w:eastAsia="宋体" w:cs="宋体"/>
                <w:color w:val="auto"/>
                <w:kern w:val="0"/>
                <w:sz w:val="21"/>
                <w:szCs w:val="21"/>
                <w:highlight w:val="none"/>
                <w:lang w:val="en-US" w:eastAsia="zh-CN"/>
              </w:rPr>
              <w:t>标书雷同性分析</w:t>
            </w:r>
          </w:p>
        </w:tc>
      </w:tr>
      <w:tr w14:paraId="242C8A31">
        <w:tblPrEx>
          <w:tblCellMar>
            <w:top w:w="0" w:type="dxa"/>
            <w:left w:w="108" w:type="dxa"/>
            <w:bottom w:w="0" w:type="dxa"/>
            <w:right w:w="108" w:type="dxa"/>
          </w:tblCellMar>
        </w:tblPrEx>
        <w:trPr>
          <w:trHeight w:val="8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57C44BF">
            <w:pPr>
              <w:keepNext w:val="0"/>
              <w:keepLines w:val="0"/>
              <w:pageBreakBefore w:val="0"/>
              <w:kinsoku/>
              <w:wordWrap/>
              <w:overflowPunct/>
              <w:bidi w:val="0"/>
              <w:snapToGrid w:val="0"/>
              <w:spacing w:line="360" w:lineRule="auto"/>
              <w:ind w:left="0" w:leftChars="0" w:firstLine="0" w:firstLineChars="0"/>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采购代理服务费</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4E75555">
            <w:pPr>
              <w:keepNext w:val="0"/>
              <w:keepLines w:val="0"/>
              <w:pageBreakBefore w:val="0"/>
              <w:kinsoku/>
              <w:wordWrap/>
              <w:overflowPunct/>
              <w:bidi w:val="0"/>
              <w:snapToGrid w:val="0"/>
              <w:spacing w:line="360" w:lineRule="auto"/>
              <w:ind w:left="0" w:leftChars="0" w:firstLine="0" w:firstLineChars="0"/>
              <w:jc w:val="left"/>
              <w:rPr>
                <w:rFonts w:hint="default"/>
                <w:lang w:val="en-US" w:eastAsia="zh-CN"/>
              </w:rPr>
            </w:pPr>
            <w:r>
              <w:rPr>
                <w:rFonts w:hint="eastAsia" w:ascii="宋体" w:hAnsi="宋体"/>
                <w:color w:val="auto"/>
                <w:szCs w:val="21"/>
                <w:highlight w:val="none"/>
                <w:lang w:val="en-US" w:eastAsia="zh-CN"/>
              </w:rPr>
              <w:t>代理服务费的收取：参照河南省招标代理服务收费指导意见《豫招办（2023）002号》文件的规定向中标人收取中标服务费13477</w:t>
            </w:r>
            <w:r>
              <w:rPr>
                <w:rFonts w:hint="eastAsia" w:ascii="宋体" w:hAnsi="宋体" w:cs="宋体"/>
                <w:color w:val="auto"/>
                <w:kern w:val="0"/>
                <w:szCs w:val="21"/>
                <w:highlight w:val="none"/>
                <w:lang w:val="en-US" w:eastAsia="zh-CN"/>
              </w:rPr>
              <w:t>元</w:t>
            </w:r>
            <w:r>
              <w:rPr>
                <w:rFonts w:hint="eastAsia" w:ascii="宋体" w:hAnsi="宋体"/>
                <w:color w:val="auto"/>
                <w:szCs w:val="21"/>
                <w:highlight w:val="none"/>
                <w:lang w:val="en-US" w:eastAsia="zh-CN"/>
              </w:rPr>
              <w:t>。</w:t>
            </w:r>
          </w:p>
        </w:tc>
      </w:tr>
      <w:tr w14:paraId="2595AA9A">
        <w:tblPrEx>
          <w:tblCellMar>
            <w:top w:w="0" w:type="dxa"/>
            <w:left w:w="108" w:type="dxa"/>
            <w:bottom w:w="0" w:type="dxa"/>
            <w:right w:w="108" w:type="dxa"/>
          </w:tblCellMar>
        </w:tblPrEx>
        <w:trPr>
          <w:trHeight w:val="80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38E919E">
            <w:pPr>
              <w:keepNext w:val="0"/>
              <w:keepLines w:val="0"/>
              <w:pageBreakBefore w:val="0"/>
              <w:kinsoku/>
              <w:wordWrap/>
              <w:overflowPunct/>
              <w:bidi w:val="0"/>
              <w:snapToGrid w:val="0"/>
              <w:spacing w:line="360" w:lineRule="auto"/>
              <w:ind w:left="0" w:leftChars="0" w:firstLine="0" w:firstLineChars="0"/>
              <w:jc w:val="both"/>
              <w:rPr>
                <w:rFonts w:hint="default" w:ascii="宋体" w:hAnsi="宋体"/>
                <w:color w:val="auto"/>
                <w:sz w:val="21"/>
                <w:szCs w:val="21"/>
                <w:highlight w:val="none"/>
                <w:lang w:val="en-US" w:eastAsia="zh-CN"/>
              </w:rPr>
            </w:pPr>
            <w:bookmarkStart w:id="21" w:name="_Toc144974497"/>
            <w:bookmarkStart w:id="22" w:name="_Toc466298091"/>
            <w:bookmarkStart w:id="23" w:name="_Toc152045529"/>
            <w:bookmarkStart w:id="24" w:name="_Toc152042305"/>
            <w:bookmarkStart w:id="25" w:name="_Toc10694"/>
            <w:bookmarkStart w:id="26" w:name="_Toc455080108"/>
            <w:r>
              <w:rPr>
                <w:rFonts w:hint="eastAsia" w:ascii="宋体" w:hAnsi="宋体"/>
                <w:color w:val="auto"/>
                <w:sz w:val="21"/>
                <w:szCs w:val="21"/>
                <w:highlight w:val="none"/>
                <w:lang w:val="en-US" w:eastAsia="zh-CN"/>
              </w:rPr>
              <w:t>落实政府采购相关政策</w:t>
            </w:r>
          </w:p>
        </w:tc>
        <w:tc>
          <w:tcPr>
            <w:tcW w:w="7774" w:type="dxa"/>
            <w:gridSpan w:val="2"/>
            <w:tcBorders>
              <w:top w:val="single" w:color="auto" w:sz="4" w:space="0"/>
              <w:left w:val="single" w:color="auto" w:sz="4" w:space="0"/>
              <w:bottom w:val="single" w:color="auto" w:sz="4" w:space="0"/>
              <w:right w:val="single" w:color="auto" w:sz="4" w:space="0"/>
            </w:tcBorders>
            <w:noWrap w:val="0"/>
            <w:vAlign w:val="center"/>
          </w:tcPr>
          <w:p w14:paraId="2E3F106F">
            <w:pPr>
              <w:pStyle w:val="59"/>
              <w:adjustRightInd w:val="0"/>
              <w:snapToGrid w:val="0"/>
              <w:spacing w:line="360" w:lineRule="auto"/>
              <w:ind w:firstLine="420"/>
              <w:rPr>
                <w:color w:val="auto"/>
                <w:highlight w:val="none"/>
              </w:rPr>
            </w:pPr>
            <w:r>
              <w:rPr>
                <w:rFonts w:hint="eastAsia"/>
                <w:color w:val="auto"/>
                <w:highlight w:val="none"/>
              </w:rPr>
              <w:t xml:space="preserve">1.依据《财政部 </w:t>
            </w:r>
            <w:r>
              <w:rPr>
                <w:rFonts w:hint="eastAsia"/>
                <w:color w:val="auto"/>
                <w:highlight w:val="none"/>
                <w:lang w:eastAsia="zh-CN"/>
              </w:rPr>
              <w:t>国家发展和改革委员会</w:t>
            </w:r>
            <w:r>
              <w:rPr>
                <w:rFonts w:hint="eastAsia"/>
                <w:color w:val="auto"/>
                <w:highlight w:val="none"/>
              </w:rPr>
              <w:t>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14:paraId="7BF9AB8E">
            <w:pPr>
              <w:pStyle w:val="59"/>
              <w:adjustRightInd w:val="0"/>
              <w:snapToGrid w:val="0"/>
              <w:spacing w:line="360" w:lineRule="auto"/>
              <w:ind w:firstLine="420"/>
              <w:rPr>
                <w:color w:val="auto"/>
                <w:highlight w:val="none"/>
              </w:rPr>
            </w:pPr>
            <w:r>
              <w:rPr>
                <w:rFonts w:hint="eastAsia"/>
                <w:color w:val="auto"/>
                <w:highlight w:val="none"/>
              </w:rPr>
              <w:t>2.依据《财政部 工业和信息化部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14:paraId="16457407">
            <w:pPr>
              <w:pStyle w:val="59"/>
              <w:adjustRightInd w:val="0"/>
              <w:snapToGrid w:val="0"/>
              <w:spacing w:line="360" w:lineRule="auto"/>
              <w:ind w:firstLine="420"/>
              <w:rPr>
                <w:color w:val="auto"/>
                <w:highlight w:val="none"/>
              </w:rPr>
            </w:pPr>
            <w:r>
              <w:rPr>
                <w:rFonts w:hint="eastAsia"/>
                <w:color w:val="auto"/>
                <w:highlight w:val="none"/>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14:paraId="69DAE4B4">
            <w:pPr>
              <w:pStyle w:val="59"/>
              <w:adjustRightInd w:val="0"/>
              <w:snapToGrid w:val="0"/>
              <w:spacing w:line="360" w:lineRule="auto"/>
              <w:ind w:firstLine="420"/>
              <w:rPr>
                <w:color w:val="auto"/>
                <w:highlight w:val="none"/>
              </w:rPr>
            </w:pPr>
            <w:r>
              <w:rPr>
                <w:rFonts w:hint="eastAsia"/>
                <w:color w:val="auto"/>
                <w:highlight w:val="none"/>
              </w:rPr>
              <w:t>4.如若所投产品已列入国家强制性产品认证的产品，必须提供通过国家 3C 认证的有关证明材料（可提供合法查询网址）。</w:t>
            </w:r>
          </w:p>
          <w:p w14:paraId="15357A10">
            <w:pPr>
              <w:pStyle w:val="59"/>
              <w:adjustRightInd w:val="0"/>
              <w:snapToGrid w:val="0"/>
              <w:spacing w:line="360" w:lineRule="auto"/>
              <w:ind w:firstLine="420"/>
              <w:rPr>
                <w:color w:val="auto"/>
                <w:highlight w:val="none"/>
              </w:rPr>
            </w:pPr>
            <w:r>
              <w:rPr>
                <w:rFonts w:hint="eastAsia"/>
                <w:color w:val="auto"/>
                <w:highlight w:val="none"/>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号，政府采购应当优先采购本国产品，确需采购进口产品的，实行审核管理。本次采购产品均为本国产品，若投标人提供的单个产品整体为进口产品，将视为非实质性响应谈判文件要求而予以拒绝。</w:t>
            </w:r>
          </w:p>
          <w:p w14:paraId="15CBAABE">
            <w:pPr>
              <w:pStyle w:val="59"/>
              <w:adjustRightInd w:val="0"/>
              <w:snapToGrid w:val="0"/>
              <w:spacing w:line="360" w:lineRule="auto"/>
              <w:ind w:firstLine="420"/>
              <w:rPr>
                <w:color w:val="auto"/>
                <w:highlight w:val="none"/>
              </w:rPr>
            </w:pPr>
            <w:r>
              <w:rPr>
                <w:rFonts w:hint="eastAsia"/>
                <w:color w:val="auto"/>
                <w:highlight w:val="none"/>
              </w:rPr>
              <w:t>6.采购信息安全产品的，应当采购经国家认证的信息安全产品，供应商应提供由中国信息安全认证中心按国家标准颁发的有效认证证书。</w:t>
            </w:r>
          </w:p>
          <w:p w14:paraId="5D1E3CB7">
            <w:pPr>
              <w:pStyle w:val="59"/>
              <w:adjustRightInd w:val="0"/>
              <w:snapToGrid w:val="0"/>
              <w:spacing w:line="360" w:lineRule="auto"/>
              <w:ind w:firstLine="420"/>
              <w:rPr>
                <w:color w:val="auto"/>
                <w:highlight w:val="none"/>
              </w:rPr>
            </w:pPr>
            <w:r>
              <w:rPr>
                <w:rFonts w:hint="eastAsia"/>
                <w:color w:val="auto"/>
                <w:highlight w:val="none"/>
              </w:rPr>
              <w:t>7.鼓励创新，首购和订购的产品具有首创和自主研发性质，属于自主创新产品的，必须执行《自主创新产品政府收购和订购管理办法》。</w:t>
            </w:r>
          </w:p>
          <w:p w14:paraId="32E780FA">
            <w:pPr>
              <w:pStyle w:val="59"/>
              <w:adjustRightInd w:val="0"/>
              <w:snapToGrid w:val="0"/>
              <w:spacing w:line="360" w:lineRule="auto"/>
              <w:ind w:firstLine="420"/>
              <w:rPr>
                <w:color w:val="auto"/>
                <w:highlight w:val="none"/>
              </w:rPr>
            </w:pPr>
            <w:r>
              <w:rPr>
                <w:rFonts w:hint="eastAsia"/>
                <w:color w:val="auto"/>
                <w:highlight w:val="none"/>
              </w:rPr>
              <w:t>8.</w:t>
            </w:r>
            <w:r>
              <w:rPr>
                <w:rFonts w:hint="eastAsia"/>
                <w:color w:val="auto"/>
                <w:highlight w:val="none"/>
                <w:lang w:eastAsia="zh-CN"/>
              </w:rPr>
              <w:t>（非专门面向中小微企业适用）</w:t>
            </w:r>
            <w:r>
              <w:rPr>
                <w:rFonts w:hint="eastAsia"/>
                <w:color w:val="auto"/>
                <w:highlight w:val="none"/>
              </w:rPr>
              <w:t>本次招标涉及中小型企业的，按照“财库[2020]46 号”和“工信部联企业〔2011〕300 号“有关政策执行，对小型和微型企业产品的价格给予20%的扣除，用扣除后的价格参与评审。联合体投标（若接受）的，联合协议中须约定，小型、微型企业的协议合同金额占到联合体协议合同总金额 30%以上的，或联合体各方均为小型、微型企业的，给予联合体5%的价格扣除。</w:t>
            </w:r>
          </w:p>
          <w:p w14:paraId="7AD982DA">
            <w:pPr>
              <w:snapToGrid w:val="0"/>
              <w:spacing w:line="360" w:lineRule="auto"/>
              <w:ind w:firstLine="420"/>
              <w:jc w:val="left"/>
              <w:rPr>
                <w:color w:val="auto"/>
                <w:highlight w:val="none"/>
              </w:rPr>
            </w:pPr>
            <w:r>
              <w:rPr>
                <w:rFonts w:hint="eastAsia"/>
                <w:color w:val="auto"/>
                <w:highlight w:val="none"/>
              </w:rPr>
              <w:t>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 6%，用扣除后的价格参与评审。符合条件的残疾人福利性单位应当提供本通知规定的《残疾人福利性单位声明函》，并对声明的真实性负责。</w:t>
            </w:r>
          </w:p>
          <w:p w14:paraId="47FF2097">
            <w:pPr>
              <w:spacing w:line="240" w:lineRule="auto"/>
              <w:ind w:firstLine="420" w:firstLineChars="200"/>
              <w:jc w:val="left"/>
              <w:rPr>
                <w:rFonts w:hint="default" w:ascii="宋体" w:hAnsi="宋体"/>
                <w:color w:val="auto"/>
                <w:sz w:val="21"/>
                <w:szCs w:val="21"/>
                <w:highlight w:val="none"/>
                <w:lang w:val="en-US" w:eastAsia="zh-CN"/>
              </w:rPr>
            </w:pPr>
            <w:r>
              <w:rPr>
                <w:rFonts w:hint="eastAsia"/>
                <w:color w:val="auto"/>
                <w:highlight w:val="none"/>
              </w:rPr>
              <w:t>10、根据“信财购[2020]5 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bookmarkEnd w:id="21"/>
      <w:bookmarkEnd w:id="22"/>
      <w:bookmarkEnd w:id="23"/>
      <w:bookmarkEnd w:id="24"/>
      <w:bookmarkEnd w:id="25"/>
      <w:bookmarkEnd w:id="26"/>
    </w:tbl>
    <w:p w14:paraId="65B332F8">
      <w:pPr>
        <w:pStyle w:val="48"/>
        <w:spacing w:before="0" w:beforeLines="0" w:line="360" w:lineRule="auto"/>
        <w:rPr>
          <w:rFonts w:hint="eastAsia" w:ascii="宋体" w:hAnsi="宋体" w:eastAsia="宋体"/>
          <w:color w:val="auto"/>
          <w:sz w:val="21"/>
          <w:szCs w:val="21"/>
          <w:highlight w:val="none"/>
        </w:rPr>
      </w:pPr>
      <w:bookmarkStart w:id="27" w:name="_Toc466298137"/>
      <w:bookmarkStart w:id="28" w:name="_Toc455080154"/>
      <w:bookmarkStart w:id="29" w:name="_Toc144974565"/>
      <w:bookmarkStart w:id="30" w:name="_Toc152042375"/>
      <w:bookmarkStart w:id="31" w:name="_Toc152045598"/>
      <w:bookmarkStart w:id="32" w:name="_Toc455867814"/>
      <w:r>
        <w:rPr>
          <w:rFonts w:hint="eastAsia" w:ascii="宋体" w:hAnsi="宋体" w:eastAsia="宋体"/>
          <w:b/>
          <w:bCs/>
          <w:color w:val="auto"/>
          <w:sz w:val="24"/>
          <w:szCs w:val="24"/>
          <w:highlight w:val="none"/>
        </w:rPr>
        <w:t>1</w:t>
      </w:r>
      <w:r>
        <w:rPr>
          <w:rFonts w:hint="eastAsia" w:ascii="宋体" w:hAnsi="宋体" w:eastAsia="宋体"/>
          <w:b/>
          <w:bCs/>
          <w:color w:val="auto"/>
          <w:sz w:val="21"/>
          <w:szCs w:val="21"/>
          <w:highlight w:val="none"/>
        </w:rPr>
        <w:t>. 总则</w:t>
      </w:r>
    </w:p>
    <w:p w14:paraId="158E7A52">
      <w:pPr>
        <w:pStyle w:val="50"/>
        <w:spacing w:line="360" w:lineRule="auto"/>
        <w:outlineLvl w:val="0"/>
        <w:rPr>
          <w:rFonts w:hint="eastAsia" w:ascii="宋体" w:hAnsi="宋体" w:eastAsia="宋体"/>
          <w:b/>
          <w:bCs/>
          <w:color w:val="auto"/>
          <w:sz w:val="21"/>
          <w:szCs w:val="21"/>
          <w:highlight w:val="none"/>
        </w:rPr>
      </w:pPr>
      <w:bookmarkStart w:id="33" w:name="_Toc31404"/>
      <w:bookmarkStart w:id="34" w:name="_Toc455867769"/>
      <w:bookmarkStart w:id="35" w:name="_Toc466298092"/>
      <w:bookmarkStart w:id="36" w:name="_Toc318450675"/>
      <w:bookmarkStart w:id="37" w:name="_Toc20827"/>
      <w:bookmarkStart w:id="38" w:name="_Toc455080109"/>
      <w:bookmarkStart w:id="39" w:name="_Toc29023"/>
      <w:bookmarkStart w:id="40" w:name="_Toc658"/>
      <w:bookmarkStart w:id="41" w:name="_Toc281380952"/>
      <w:bookmarkStart w:id="42" w:name="_Toc6747"/>
      <w:bookmarkStart w:id="43" w:name="_Toc490667828"/>
      <w:bookmarkStart w:id="44" w:name="_Toc21266"/>
      <w:bookmarkStart w:id="45" w:name="_Toc30015"/>
      <w:bookmarkStart w:id="46" w:name="_Toc21458"/>
      <w:bookmarkStart w:id="47" w:name="_Toc1172"/>
      <w:bookmarkStart w:id="48" w:name="_Toc10273"/>
      <w:bookmarkStart w:id="49" w:name="_Toc15709"/>
      <w:bookmarkStart w:id="50" w:name="_Toc274409866"/>
      <w:bookmarkStart w:id="51" w:name="_Toc152045531"/>
      <w:bookmarkStart w:id="52" w:name="_Toc144974499"/>
      <w:bookmarkStart w:id="53" w:name="_Toc152042307"/>
      <w:r>
        <w:rPr>
          <w:rFonts w:hint="eastAsia" w:ascii="宋体" w:hAnsi="宋体" w:eastAsia="宋体"/>
          <w:b/>
          <w:bCs/>
          <w:color w:val="auto"/>
          <w:sz w:val="21"/>
          <w:szCs w:val="21"/>
          <w:highlight w:val="none"/>
        </w:rPr>
        <w:t>1.1 适用范围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A9DB0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1.1.1根据《中华人民共和国政府采购法》等有关法律、法规和规章的规定，编制本项目磋商文件。</w:t>
      </w:r>
    </w:p>
    <w:p w14:paraId="5D58D3F7">
      <w:pPr>
        <w:pStyle w:val="50"/>
        <w:tabs>
          <w:tab w:val="left" w:pos="7410"/>
        </w:tabs>
        <w:spacing w:line="360" w:lineRule="auto"/>
        <w:outlineLvl w:val="0"/>
        <w:rPr>
          <w:rFonts w:hint="eastAsia" w:ascii="宋体" w:hAnsi="宋体" w:eastAsia="宋体"/>
          <w:b/>
          <w:bCs/>
          <w:color w:val="auto"/>
          <w:sz w:val="21"/>
          <w:szCs w:val="21"/>
          <w:highlight w:val="none"/>
        </w:rPr>
      </w:pPr>
      <w:bookmarkStart w:id="54" w:name="_Toc281405468"/>
      <w:bookmarkStart w:id="55" w:name="_Toc710"/>
      <w:bookmarkStart w:id="56" w:name="_Toc466298093"/>
      <w:bookmarkStart w:id="57" w:name="_Toc25773"/>
      <w:bookmarkStart w:id="58" w:name="_Toc7237"/>
      <w:bookmarkStart w:id="59" w:name="_Toc32619"/>
      <w:bookmarkStart w:id="60" w:name="_Toc274409867"/>
      <w:bookmarkStart w:id="61" w:name="_Toc24852"/>
      <w:bookmarkStart w:id="62" w:name="_Toc490667829"/>
      <w:bookmarkStart w:id="63" w:name="_Toc455867770"/>
      <w:bookmarkStart w:id="64" w:name="_Toc3336"/>
      <w:bookmarkStart w:id="65" w:name="_Toc10269"/>
      <w:bookmarkStart w:id="66" w:name="_Toc455080110"/>
      <w:bookmarkStart w:id="67" w:name="_Toc318450676"/>
      <w:bookmarkStart w:id="68" w:name="_Toc13858"/>
      <w:bookmarkStart w:id="69" w:name="_Toc30891"/>
      <w:bookmarkStart w:id="70" w:name="_Toc10556"/>
      <w:bookmarkStart w:id="71" w:name="_Toc2929"/>
      <w:r>
        <w:rPr>
          <w:rFonts w:hint="eastAsia" w:ascii="宋体" w:hAnsi="宋体" w:eastAsia="宋体"/>
          <w:b/>
          <w:bCs/>
          <w:color w:val="auto"/>
          <w:sz w:val="21"/>
          <w:szCs w:val="21"/>
          <w:highlight w:val="none"/>
        </w:rPr>
        <w:t>1.2 招标项目说明</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76BF0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本项目</w:t>
      </w:r>
      <w:r>
        <w:rPr>
          <w:rFonts w:hint="eastAsia" w:ascii="宋体" w:hAnsi="宋体"/>
          <w:color w:val="auto"/>
          <w:szCs w:val="21"/>
          <w:highlight w:val="none"/>
        </w:rPr>
        <w:t>采购人</w:t>
      </w:r>
      <w:r>
        <w:rPr>
          <w:rFonts w:hint="eastAsia" w:ascii="宋体" w:hAnsi="宋体" w:cs="宋体"/>
          <w:color w:val="auto"/>
          <w:szCs w:val="21"/>
          <w:highlight w:val="none"/>
        </w:rPr>
        <w:t>：见供应商须知前附表。</w:t>
      </w:r>
    </w:p>
    <w:p w14:paraId="42EABA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本项目采购代理机构：见供应商须知前附表。</w:t>
      </w:r>
    </w:p>
    <w:p w14:paraId="19B2FD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本项目名称：见供应商须知前附表。</w:t>
      </w:r>
    </w:p>
    <w:p w14:paraId="5234D6F0">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1.2.4本项目采购方式</w:t>
      </w:r>
      <w:r>
        <w:rPr>
          <w:rFonts w:hint="eastAsia" w:ascii="宋体" w:hAnsi="宋体" w:eastAsia="宋体" w:cs="宋体"/>
          <w:color w:val="auto"/>
          <w:szCs w:val="21"/>
          <w:highlight w:val="none"/>
        </w:rPr>
        <w:t>：见供应商须知前附表。</w:t>
      </w:r>
    </w:p>
    <w:p w14:paraId="7676BF86">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1.2.5本项目预算价（最高限价）</w:t>
      </w:r>
      <w:r>
        <w:rPr>
          <w:rFonts w:hint="eastAsia" w:ascii="宋体" w:hAnsi="宋体" w:eastAsia="宋体" w:cs="宋体"/>
          <w:color w:val="auto"/>
          <w:szCs w:val="21"/>
          <w:highlight w:val="none"/>
        </w:rPr>
        <w:t>：见供应商须知前附表。</w:t>
      </w:r>
    </w:p>
    <w:p w14:paraId="45C41BE1">
      <w:pPr>
        <w:pStyle w:val="50"/>
        <w:spacing w:line="360" w:lineRule="auto"/>
        <w:outlineLvl w:val="0"/>
        <w:rPr>
          <w:rFonts w:hint="eastAsia" w:ascii="宋体" w:hAnsi="宋体" w:eastAsia="宋体"/>
          <w:b/>
          <w:bCs/>
          <w:color w:val="auto"/>
          <w:sz w:val="21"/>
          <w:szCs w:val="21"/>
          <w:highlight w:val="none"/>
        </w:rPr>
      </w:pPr>
      <w:bookmarkStart w:id="72" w:name="_Toc17146"/>
      <w:bookmarkStart w:id="73" w:name="_Toc490667830"/>
      <w:bookmarkStart w:id="74" w:name="_Toc4563"/>
      <w:bookmarkStart w:id="75" w:name="_Toc318450677"/>
      <w:bookmarkStart w:id="76" w:name="_Toc281405469"/>
      <w:bookmarkStart w:id="77" w:name="_Toc17016"/>
      <w:bookmarkStart w:id="78" w:name="_Toc274409868"/>
      <w:bookmarkStart w:id="79" w:name="_Toc4952"/>
      <w:bookmarkStart w:id="80" w:name="_Toc4122"/>
      <w:bookmarkStart w:id="81" w:name="_Toc466298094"/>
      <w:bookmarkStart w:id="82" w:name="_Toc455867771"/>
      <w:bookmarkStart w:id="83" w:name="_Toc18960"/>
      <w:bookmarkStart w:id="84" w:name="_Toc16931"/>
      <w:bookmarkStart w:id="85" w:name="_Toc22979"/>
      <w:bookmarkStart w:id="86" w:name="_Toc7622"/>
      <w:bookmarkStart w:id="87" w:name="_Toc1373"/>
      <w:bookmarkStart w:id="88" w:name="_Toc455080111"/>
      <w:bookmarkStart w:id="89" w:name="_Toc3477"/>
      <w:r>
        <w:rPr>
          <w:rFonts w:hint="eastAsia" w:ascii="宋体" w:hAnsi="宋体" w:eastAsia="宋体"/>
          <w:b/>
          <w:bCs/>
          <w:color w:val="auto"/>
          <w:sz w:val="21"/>
          <w:szCs w:val="21"/>
          <w:highlight w:val="none"/>
        </w:rPr>
        <w:t>1.3 定义及解释</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D05BA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olor w:val="auto"/>
          <w:szCs w:val="21"/>
          <w:highlight w:val="none"/>
        </w:rPr>
        <w:t>采购人</w:t>
      </w:r>
      <w:r>
        <w:rPr>
          <w:rFonts w:hint="eastAsia" w:ascii="宋体" w:hAnsi="宋体" w:cs="宋体"/>
          <w:color w:val="auto"/>
          <w:szCs w:val="21"/>
          <w:highlight w:val="none"/>
        </w:rPr>
        <w:t>：依法进行政府采购的国家机关、事业单位、团体组织。</w:t>
      </w:r>
    </w:p>
    <w:p w14:paraId="0D4744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olor w:val="auto"/>
          <w:szCs w:val="21"/>
          <w:highlight w:val="none"/>
        </w:rPr>
        <w:t>采购代理机构</w:t>
      </w:r>
      <w:r>
        <w:rPr>
          <w:rFonts w:hint="eastAsia" w:ascii="宋体" w:hAnsi="宋体" w:cs="宋体"/>
          <w:color w:val="auto"/>
          <w:szCs w:val="21"/>
          <w:highlight w:val="none"/>
        </w:rPr>
        <w:t>：取得政府采购招标代理资质，受采购人委托组织招标活动的社会中介组织。</w:t>
      </w:r>
    </w:p>
    <w:p w14:paraId="77A29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1.3.3服务：系指根据本磋商文件规定供应商须承担的服务以及其他类似的义务等。</w:t>
      </w:r>
    </w:p>
    <w:p w14:paraId="4460E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1.3.4供应商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：供应商是响应磋商文件、参加磋商竞争的中华人民共和国境内的法人、其它组织。</w:t>
      </w:r>
    </w:p>
    <w:p w14:paraId="5D4BB0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1.3.5响应文件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：指供应商根据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提交的所有文件。</w:t>
      </w:r>
    </w:p>
    <w:p w14:paraId="78F551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1.3.6磋商小组：依据</w:t>
      </w:r>
      <w:r>
        <w:rPr>
          <w:rFonts w:hint="eastAsia" w:ascii="宋体" w:hAnsi="宋体" w:cs="宋体"/>
          <w:color w:val="auto"/>
          <w:szCs w:val="21"/>
          <w:highlight w:val="none"/>
          <w:lang w:bidi="en-US"/>
        </w:rPr>
        <w:t>《中华人民共和国政府采购法》及有关法律、法规的规定依法组建的专门负责本次评标工作的临时机构</w:t>
      </w:r>
      <w:r>
        <w:rPr>
          <w:rFonts w:hint="eastAsia" w:ascii="宋体" w:hAnsi="宋体" w:cs="宋体"/>
          <w:color w:val="auto"/>
          <w:szCs w:val="21"/>
          <w:highlight w:val="none"/>
        </w:rPr>
        <w:t>。</w:t>
      </w:r>
    </w:p>
    <w:p w14:paraId="4F3C82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1.3.7偏离：响应文件的响应相对于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要求的偏差，该偏差优于</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要求的为正偏离；劣于的，为负偏离。</w:t>
      </w:r>
    </w:p>
    <w:p w14:paraId="2D0254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1.3.8“日期”或“天”：指日历天。</w:t>
      </w:r>
    </w:p>
    <w:p w14:paraId="624A52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1.3.9合同：指依据本次服务采购招标结果签订的协议或合约文件。</w:t>
      </w:r>
    </w:p>
    <w:p w14:paraId="1BE0DD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1.3.10</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中的标题或题名仅起引导作用，而不应视为对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内容的理解和解释。</w:t>
      </w:r>
    </w:p>
    <w:bookmarkEnd w:id="51"/>
    <w:bookmarkEnd w:id="52"/>
    <w:bookmarkEnd w:id="53"/>
    <w:p w14:paraId="0221DEB5">
      <w:pPr>
        <w:pStyle w:val="50"/>
        <w:spacing w:line="360" w:lineRule="auto"/>
        <w:outlineLvl w:val="0"/>
        <w:rPr>
          <w:rFonts w:hint="eastAsia" w:ascii="宋体" w:hAnsi="宋体" w:eastAsia="宋体"/>
          <w:b/>
          <w:bCs/>
          <w:color w:val="auto"/>
          <w:sz w:val="21"/>
          <w:szCs w:val="21"/>
          <w:highlight w:val="none"/>
          <w:lang w:eastAsia="zh-CN"/>
        </w:rPr>
      </w:pPr>
      <w:bookmarkStart w:id="90" w:name="_Toc144974500"/>
      <w:bookmarkStart w:id="91" w:name="_Toc27407"/>
      <w:bookmarkStart w:id="92" w:name="_Toc455867772"/>
      <w:bookmarkStart w:id="93" w:name="_Toc17808"/>
      <w:bookmarkStart w:id="94" w:name="_Toc16470"/>
      <w:bookmarkStart w:id="95" w:name="_Toc21766"/>
      <w:bookmarkStart w:id="96" w:name="_Toc152042308"/>
      <w:bookmarkStart w:id="97" w:name="_Toc18207"/>
      <w:bookmarkStart w:id="98" w:name="_Toc490667831"/>
      <w:bookmarkStart w:id="99" w:name="_Toc318450678"/>
      <w:bookmarkStart w:id="100" w:name="_Toc32236"/>
      <w:bookmarkStart w:id="101" w:name="_Toc14043"/>
      <w:bookmarkStart w:id="102" w:name="_Toc19363"/>
      <w:bookmarkStart w:id="103" w:name="_Toc466298095"/>
      <w:bookmarkStart w:id="104" w:name="_Toc152045532"/>
      <w:bookmarkStart w:id="105" w:name="_Toc17908"/>
      <w:bookmarkStart w:id="106" w:name="_Toc10894"/>
      <w:bookmarkStart w:id="107" w:name="_Toc12752"/>
      <w:bookmarkStart w:id="108" w:name="_Toc455080112"/>
      <w:r>
        <w:rPr>
          <w:rFonts w:hint="eastAsia" w:ascii="宋体" w:hAnsi="宋体" w:eastAsia="宋体"/>
          <w:b/>
          <w:bCs/>
          <w:color w:val="auto"/>
          <w:sz w:val="21"/>
          <w:szCs w:val="21"/>
          <w:highlight w:val="none"/>
        </w:rPr>
        <w:t xml:space="preserve">1.4 </w:t>
      </w:r>
      <w:r>
        <w:rPr>
          <w:rFonts w:hint="eastAsia" w:ascii="宋体" w:hAnsi="宋体" w:eastAsia="宋体"/>
          <w:b/>
          <w:bCs/>
          <w:color w:val="auto"/>
          <w:sz w:val="21"/>
          <w:szCs w:val="21"/>
          <w:highlight w:val="none"/>
          <w:lang w:eastAsia="zh-CN"/>
        </w:rPr>
        <w:t>磋商内容、工期、质保期</w:t>
      </w:r>
      <w:r>
        <w:rPr>
          <w:rFonts w:hint="eastAsia" w:ascii="宋体" w:hAnsi="宋体" w:eastAsia="宋体"/>
          <w:b/>
          <w:bCs/>
          <w:color w:val="auto"/>
          <w:sz w:val="21"/>
          <w:szCs w:val="21"/>
          <w:highlight w:val="none"/>
        </w:rPr>
        <w:t>和</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b/>
          <w:bCs/>
          <w:color w:val="auto"/>
          <w:sz w:val="21"/>
          <w:szCs w:val="21"/>
          <w:highlight w:val="none"/>
          <w:lang w:eastAsia="zh-CN"/>
        </w:rPr>
        <w:t>服务要求</w:t>
      </w:r>
    </w:p>
    <w:p w14:paraId="06B568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本次</w:t>
      </w:r>
      <w:r>
        <w:rPr>
          <w:rFonts w:hint="eastAsia" w:ascii="宋体" w:hAnsi="宋体" w:cs="宋体"/>
          <w:color w:val="auto"/>
          <w:szCs w:val="21"/>
          <w:highlight w:val="none"/>
          <w:lang w:eastAsia="zh-CN"/>
        </w:rPr>
        <w:t>磋商内容</w:t>
      </w:r>
      <w:r>
        <w:rPr>
          <w:rFonts w:hint="eastAsia" w:ascii="宋体" w:hAnsi="宋体" w:cs="宋体"/>
          <w:color w:val="auto"/>
          <w:szCs w:val="21"/>
          <w:highlight w:val="none"/>
        </w:rPr>
        <w:t>：见供应商须知前附表。</w:t>
      </w:r>
    </w:p>
    <w:p w14:paraId="744060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本项目的</w:t>
      </w:r>
      <w:r>
        <w:rPr>
          <w:rFonts w:hint="eastAsia" w:ascii="宋体" w:hAnsi="宋体" w:cs="宋体"/>
          <w:color w:val="auto"/>
          <w:szCs w:val="21"/>
          <w:highlight w:val="none"/>
          <w:lang w:val="en-US" w:eastAsia="zh-CN"/>
        </w:rPr>
        <w:t>交货</w:t>
      </w:r>
      <w:r>
        <w:rPr>
          <w:rFonts w:hint="eastAsia" w:ascii="宋体" w:hAnsi="宋体" w:cs="宋体"/>
          <w:color w:val="auto"/>
          <w:szCs w:val="21"/>
          <w:highlight w:val="none"/>
          <w:lang w:eastAsia="zh-CN"/>
        </w:rPr>
        <w:t>期</w:t>
      </w:r>
      <w:r>
        <w:rPr>
          <w:rFonts w:hint="eastAsia" w:ascii="宋体" w:hAnsi="宋体" w:cs="宋体"/>
          <w:color w:val="auto"/>
          <w:szCs w:val="21"/>
          <w:highlight w:val="none"/>
        </w:rPr>
        <w:t>：见供应商须知前附表。</w:t>
      </w:r>
    </w:p>
    <w:p w14:paraId="2F5AC2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1.4.3本项目的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eastAsia="zh-CN"/>
        </w:rPr>
        <w:t>期</w:t>
      </w:r>
      <w:r>
        <w:rPr>
          <w:rFonts w:hint="eastAsia" w:ascii="宋体" w:hAnsi="宋体" w:cs="宋体"/>
          <w:color w:val="auto"/>
          <w:szCs w:val="21"/>
          <w:highlight w:val="none"/>
        </w:rPr>
        <w:t>：见供应商须知前附表。</w:t>
      </w:r>
    </w:p>
    <w:p w14:paraId="2283B4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本项目的</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：见供应商须知前附表。</w:t>
      </w:r>
    </w:p>
    <w:p w14:paraId="5E46DF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本项目的</w:t>
      </w:r>
      <w:r>
        <w:rPr>
          <w:rFonts w:hint="eastAsia" w:ascii="宋体" w:hAnsi="宋体" w:cs="宋体"/>
          <w:color w:val="auto"/>
          <w:szCs w:val="21"/>
          <w:highlight w:val="none"/>
          <w:lang w:val="en-US" w:eastAsia="zh-CN"/>
        </w:rPr>
        <w:t>质量</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：见供应商须知前附表。</w:t>
      </w:r>
    </w:p>
    <w:p w14:paraId="5D1EFD4C">
      <w:pPr>
        <w:pStyle w:val="50"/>
        <w:spacing w:line="360" w:lineRule="auto"/>
        <w:outlineLvl w:val="0"/>
        <w:rPr>
          <w:rFonts w:hint="eastAsia" w:ascii="宋体" w:hAnsi="宋体" w:eastAsia="宋体"/>
          <w:b/>
          <w:bCs/>
          <w:color w:val="auto"/>
          <w:sz w:val="21"/>
          <w:szCs w:val="21"/>
          <w:highlight w:val="none"/>
        </w:rPr>
      </w:pPr>
      <w:bookmarkStart w:id="109" w:name="_Toc318450679"/>
      <w:bookmarkStart w:id="110" w:name="_Toc152045534"/>
      <w:bookmarkStart w:id="111" w:name="_Toc152042310"/>
      <w:bookmarkStart w:id="112" w:name="_Toc144974502"/>
      <w:bookmarkStart w:id="113" w:name="_Toc11063"/>
      <w:bookmarkStart w:id="114" w:name="_Toc22643"/>
      <w:bookmarkStart w:id="115" w:name="_Toc455867773"/>
      <w:bookmarkStart w:id="116" w:name="_Toc4301"/>
      <w:bookmarkStart w:id="117" w:name="_Toc1602"/>
      <w:bookmarkStart w:id="118" w:name="_Toc18004"/>
      <w:bookmarkStart w:id="119" w:name="_Toc5019"/>
      <w:bookmarkStart w:id="120" w:name="_Toc4711"/>
      <w:bookmarkStart w:id="121" w:name="_Toc18689"/>
      <w:bookmarkStart w:id="122" w:name="_Toc32156"/>
      <w:bookmarkStart w:id="123" w:name="_Toc490667832"/>
      <w:bookmarkStart w:id="124" w:name="_Toc455080113"/>
      <w:bookmarkStart w:id="125" w:name="_Toc19634"/>
      <w:bookmarkStart w:id="126" w:name="_Toc7209"/>
      <w:bookmarkStart w:id="127" w:name="_Toc466298096"/>
      <w:r>
        <w:rPr>
          <w:rFonts w:hint="eastAsia" w:ascii="宋体" w:hAnsi="宋体" w:eastAsia="宋体"/>
          <w:b/>
          <w:bCs/>
          <w:color w:val="auto"/>
          <w:sz w:val="21"/>
          <w:szCs w:val="21"/>
          <w:highlight w:val="none"/>
        </w:rPr>
        <w:t xml:space="preserve">1.5 </w:t>
      </w:r>
      <w:bookmarkEnd w:id="109"/>
      <w:bookmarkEnd w:id="110"/>
      <w:bookmarkEnd w:id="111"/>
      <w:bookmarkEnd w:id="112"/>
      <w:r>
        <w:rPr>
          <w:rFonts w:hint="eastAsia" w:ascii="宋体" w:hAnsi="宋体" w:eastAsia="宋体"/>
          <w:b/>
          <w:bCs/>
          <w:color w:val="auto"/>
          <w:sz w:val="21"/>
          <w:szCs w:val="21"/>
          <w:highlight w:val="none"/>
        </w:rPr>
        <w:t>供应商资质条件和能力</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5854E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1.5.1供应商资质及能力要求：见供应商须知前附表。</w:t>
      </w:r>
    </w:p>
    <w:p w14:paraId="15196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1.5.2是否接受联合体：见供应商须知前附表。</w:t>
      </w:r>
    </w:p>
    <w:p w14:paraId="3B1FC1E3">
      <w:pPr>
        <w:pStyle w:val="50"/>
        <w:spacing w:line="360" w:lineRule="auto"/>
        <w:outlineLvl w:val="0"/>
        <w:rPr>
          <w:rFonts w:hint="eastAsia" w:ascii="宋体" w:hAnsi="宋体" w:eastAsia="宋体"/>
          <w:b/>
          <w:bCs/>
          <w:color w:val="auto"/>
          <w:sz w:val="21"/>
          <w:szCs w:val="21"/>
          <w:highlight w:val="none"/>
        </w:rPr>
      </w:pPr>
      <w:bookmarkStart w:id="128" w:name="_Toc144974503"/>
      <w:bookmarkStart w:id="129" w:name="_Toc11905"/>
      <w:bookmarkStart w:id="130" w:name="_Toc490667833"/>
      <w:bookmarkStart w:id="131" w:name="_Toc455080114"/>
      <w:bookmarkStart w:id="132" w:name="_Toc12403"/>
      <w:bookmarkStart w:id="133" w:name="_Toc651"/>
      <w:bookmarkStart w:id="134" w:name="_Toc16889"/>
      <w:bookmarkStart w:id="135" w:name="_Toc318450680"/>
      <w:bookmarkStart w:id="136" w:name="_Toc5162"/>
      <w:bookmarkStart w:id="137" w:name="_Toc455867774"/>
      <w:bookmarkStart w:id="138" w:name="_Toc31854"/>
      <w:bookmarkStart w:id="139" w:name="_Toc152042311"/>
      <w:bookmarkStart w:id="140" w:name="_Toc981"/>
      <w:bookmarkStart w:id="141" w:name="_Toc32446"/>
      <w:bookmarkStart w:id="142" w:name="_Toc4046"/>
      <w:bookmarkStart w:id="143" w:name="_Toc9505"/>
      <w:bookmarkStart w:id="144" w:name="_Toc152045535"/>
      <w:bookmarkStart w:id="145" w:name="_Toc28135"/>
      <w:bookmarkStart w:id="146" w:name="_Toc466298097"/>
      <w:r>
        <w:rPr>
          <w:rFonts w:hint="eastAsia" w:ascii="宋体" w:hAnsi="宋体" w:eastAsia="宋体"/>
          <w:b/>
          <w:bCs/>
          <w:color w:val="auto"/>
          <w:sz w:val="21"/>
          <w:szCs w:val="21"/>
          <w:highlight w:val="none"/>
        </w:rPr>
        <w:t>1.6 费用承担</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51870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供应商准备和参加磋商活动发生的费用自理，不论磋商的结果如何，采购人和采购代理机构在任何情况下均无义务和责任承担这些费用。</w:t>
      </w:r>
    </w:p>
    <w:p w14:paraId="3B305A83">
      <w:pPr>
        <w:pStyle w:val="50"/>
        <w:spacing w:line="360" w:lineRule="auto"/>
        <w:outlineLvl w:val="0"/>
        <w:rPr>
          <w:rFonts w:hint="eastAsia" w:ascii="宋体" w:hAnsi="宋体" w:eastAsia="宋体"/>
          <w:b/>
          <w:bCs/>
          <w:color w:val="auto"/>
          <w:sz w:val="21"/>
          <w:szCs w:val="21"/>
          <w:highlight w:val="none"/>
        </w:rPr>
      </w:pPr>
      <w:bookmarkStart w:id="147" w:name="_Toc318450681"/>
      <w:bookmarkStart w:id="148" w:name="_Toc22800"/>
      <w:bookmarkStart w:id="149" w:name="_Toc22136"/>
      <w:bookmarkStart w:id="150" w:name="_Toc237"/>
      <w:bookmarkStart w:id="151" w:name="_Toc24601"/>
      <w:bookmarkStart w:id="152" w:name="_Toc144974504"/>
      <w:bookmarkStart w:id="153" w:name="_Toc152045536"/>
      <w:bookmarkStart w:id="154" w:name="_Toc8055"/>
      <w:bookmarkStart w:id="155" w:name="_Toc152042312"/>
      <w:bookmarkStart w:id="156" w:name="_Toc455080115"/>
      <w:bookmarkStart w:id="157" w:name="_Toc466298098"/>
      <w:bookmarkStart w:id="158" w:name="_Toc490667834"/>
      <w:bookmarkStart w:id="159" w:name="_Toc5402"/>
      <w:bookmarkStart w:id="160" w:name="_Toc20145"/>
      <w:bookmarkStart w:id="161" w:name="_Toc2622"/>
      <w:bookmarkStart w:id="162" w:name="_Toc6014"/>
      <w:bookmarkStart w:id="163" w:name="_Toc1879"/>
      <w:bookmarkStart w:id="164" w:name="_Toc455867775"/>
      <w:bookmarkStart w:id="165" w:name="_Toc32053"/>
      <w:r>
        <w:rPr>
          <w:rFonts w:hint="eastAsia" w:ascii="宋体" w:hAnsi="宋体" w:eastAsia="宋体"/>
          <w:b/>
          <w:bCs/>
          <w:color w:val="auto"/>
          <w:sz w:val="21"/>
          <w:szCs w:val="21"/>
          <w:highlight w:val="none"/>
        </w:rPr>
        <w:t>1.7 保密</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5C7F2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参与磋商活动的各方应对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 xml:space="preserve">和响应文件中的商业和技术等秘密保密，违者应对由此造成的后果承担法律责任。 </w:t>
      </w:r>
    </w:p>
    <w:p w14:paraId="41C0522F">
      <w:pPr>
        <w:pStyle w:val="50"/>
        <w:spacing w:line="360" w:lineRule="auto"/>
        <w:outlineLvl w:val="0"/>
        <w:rPr>
          <w:rFonts w:hint="eastAsia" w:ascii="宋体" w:hAnsi="宋体" w:eastAsia="宋体"/>
          <w:b/>
          <w:bCs/>
          <w:color w:val="auto"/>
          <w:sz w:val="21"/>
          <w:szCs w:val="21"/>
          <w:highlight w:val="none"/>
        </w:rPr>
      </w:pPr>
      <w:bookmarkStart w:id="166" w:name="_Toc144974505"/>
      <w:bookmarkStart w:id="167" w:name="_Toc25517"/>
      <w:bookmarkStart w:id="168" w:name="_Toc13976"/>
      <w:bookmarkStart w:id="169" w:name="_Toc490667835"/>
      <w:bookmarkStart w:id="170" w:name="_Toc455867776"/>
      <w:bookmarkStart w:id="171" w:name="_Toc14775"/>
      <w:bookmarkStart w:id="172" w:name="_Toc152045537"/>
      <w:bookmarkStart w:id="173" w:name="_Toc6615"/>
      <w:bookmarkStart w:id="174" w:name="_Toc30583"/>
      <w:bookmarkStart w:id="175" w:name="_Toc318450682"/>
      <w:bookmarkStart w:id="176" w:name="_Toc152042313"/>
      <w:bookmarkStart w:id="177" w:name="_Toc455080116"/>
      <w:bookmarkStart w:id="178" w:name="_Toc21089"/>
      <w:bookmarkStart w:id="179" w:name="_Toc466298099"/>
      <w:bookmarkStart w:id="180" w:name="_Toc15673"/>
      <w:bookmarkStart w:id="181" w:name="_Toc7274"/>
      <w:bookmarkStart w:id="182" w:name="_Toc3628"/>
      <w:bookmarkStart w:id="183" w:name="_Toc30747"/>
      <w:bookmarkStart w:id="184" w:name="_Toc7031"/>
      <w:r>
        <w:rPr>
          <w:rFonts w:hint="eastAsia" w:ascii="宋体" w:hAnsi="宋体" w:eastAsia="宋体"/>
          <w:b/>
          <w:bCs/>
          <w:color w:val="auto"/>
          <w:sz w:val="21"/>
          <w:szCs w:val="21"/>
          <w:highlight w:val="none"/>
        </w:rPr>
        <w:t>1.8 语言</w:t>
      </w:r>
      <w:bookmarkEnd w:id="166"/>
      <w:r>
        <w:rPr>
          <w:rFonts w:hint="eastAsia" w:ascii="宋体" w:hAnsi="宋体" w:eastAsia="宋体"/>
          <w:b/>
          <w:bCs/>
          <w:color w:val="auto"/>
          <w:sz w:val="21"/>
          <w:szCs w:val="21"/>
          <w:highlight w:val="none"/>
        </w:rPr>
        <w:t>文字</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65A6EB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r>
        <w:rPr>
          <w:rFonts w:hint="eastAsia" w:ascii="宋体" w:hAnsi="宋体" w:cs="宋体"/>
          <w:color w:val="auto"/>
          <w:szCs w:val="21"/>
          <w:highlight w:val="none"/>
          <w:lang w:bidi="en-US"/>
        </w:rPr>
        <w:t>对不同文字文本响应文件的解释发生异议的，以中文文本为准。</w:t>
      </w:r>
    </w:p>
    <w:p w14:paraId="1928F8CC">
      <w:pPr>
        <w:pStyle w:val="50"/>
        <w:spacing w:line="360" w:lineRule="auto"/>
        <w:outlineLvl w:val="0"/>
        <w:rPr>
          <w:rFonts w:hint="eastAsia" w:ascii="宋体" w:hAnsi="宋体" w:eastAsia="宋体"/>
          <w:b/>
          <w:bCs/>
          <w:color w:val="auto"/>
          <w:sz w:val="21"/>
          <w:szCs w:val="21"/>
          <w:highlight w:val="none"/>
        </w:rPr>
      </w:pPr>
      <w:bookmarkStart w:id="185" w:name="_Toc25300"/>
      <w:bookmarkStart w:id="186" w:name="_Toc18357"/>
      <w:bookmarkStart w:id="187" w:name="_Toc144974506"/>
      <w:bookmarkStart w:id="188" w:name="_Toc32507"/>
      <w:bookmarkStart w:id="189" w:name="_Toc455080117"/>
      <w:bookmarkStart w:id="190" w:name="_Toc318450683"/>
      <w:bookmarkStart w:id="191" w:name="_Toc22415"/>
      <w:bookmarkStart w:id="192" w:name="_Toc24337"/>
      <w:bookmarkStart w:id="193" w:name="_Toc4501"/>
      <w:bookmarkStart w:id="194" w:name="_Toc152042314"/>
      <w:bookmarkStart w:id="195" w:name="_Toc14934"/>
      <w:bookmarkStart w:id="196" w:name="_Toc455867777"/>
      <w:bookmarkStart w:id="197" w:name="_Toc22378"/>
      <w:bookmarkStart w:id="198" w:name="_Toc4237"/>
      <w:bookmarkStart w:id="199" w:name="_Toc466298100"/>
      <w:bookmarkStart w:id="200" w:name="_Toc490667836"/>
      <w:bookmarkStart w:id="201" w:name="_Toc9446"/>
      <w:bookmarkStart w:id="202" w:name="_Toc152045538"/>
      <w:bookmarkStart w:id="203" w:name="_Toc2702"/>
      <w:r>
        <w:rPr>
          <w:rFonts w:hint="eastAsia" w:ascii="宋体" w:hAnsi="宋体" w:eastAsia="宋体"/>
          <w:b/>
          <w:bCs/>
          <w:color w:val="auto"/>
          <w:sz w:val="21"/>
          <w:szCs w:val="21"/>
          <w:highlight w:val="none"/>
        </w:rPr>
        <w:t>1.9 计量单位</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7B826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93F8F9C">
      <w:pPr>
        <w:pStyle w:val="50"/>
        <w:spacing w:line="360" w:lineRule="auto"/>
        <w:outlineLvl w:val="0"/>
        <w:rPr>
          <w:rFonts w:hint="eastAsia" w:ascii="宋体" w:hAnsi="宋体" w:eastAsia="宋体"/>
          <w:b w:val="0"/>
          <w:bCs w:val="0"/>
          <w:color w:val="auto"/>
          <w:sz w:val="21"/>
          <w:szCs w:val="21"/>
          <w:highlight w:val="none"/>
          <w:lang w:eastAsia="zh-CN"/>
        </w:rPr>
      </w:pPr>
      <w:bookmarkStart w:id="204" w:name="_Toc490667837"/>
      <w:bookmarkStart w:id="205" w:name="_Toc2508"/>
      <w:bookmarkStart w:id="206" w:name="_Toc284"/>
      <w:bookmarkStart w:id="207" w:name="_Toc466298101"/>
      <w:bookmarkStart w:id="208" w:name="_Toc18589"/>
      <w:bookmarkStart w:id="209" w:name="_Toc338"/>
      <w:bookmarkStart w:id="210" w:name="_Toc455867778"/>
      <w:bookmarkStart w:id="211" w:name="_Toc29845"/>
      <w:bookmarkStart w:id="212" w:name="_Toc152042316"/>
      <w:bookmarkStart w:id="213" w:name="_Toc318450684"/>
      <w:bookmarkStart w:id="214" w:name="_Toc19685"/>
      <w:bookmarkStart w:id="215" w:name="_Toc31195"/>
      <w:bookmarkStart w:id="216" w:name="_Toc12027"/>
      <w:bookmarkStart w:id="217" w:name="_Toc13675"/>
      <w:bookmarkStart w:id="218" w:name="_Toc152045540"/>
      <w:bookmarkStart w:id="219" w:name="_Toc27570"/>
      <w:bookmarkStart w:id="220" w:name="_Toc144974508"/>
      <w:bookmarkStart w:id="221" w:name="_Toc455080118"/>
      <w:bookmarkStart w:id="222" w:name="_Toc21668"/>
      <w:r>
        <w:rPr>
          <w:rFonts w:hint="eastAsia" w:ascii="宋体" w:hAnsi="宋体" w:eastAsia="宋体"/>
          <w:b/>
          <w:bCs/>
          <w:color w:val="auto"/>
          <w:sz w:val="21"/>
          <w:szCs w:val="21"/>
          <w:highlight w:val="none"/>
        </w:rPr>
        <w:t xml:space="preserve">1.10 </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ascii="宋体" w:hAnsi="宋体" w:eastAsia="宋体"/>
          <w:b/>
          <w:bCs/>
          <w:color w:val="auto"/>
          <w:sz w:val="21"/>
          <w:szCs w:val="21"/>
          <w:highlight w:val="none"/>
          <w:lang w:eastAsia="zh-CN"/>
        </w:rPr>
        <w:t>现场踏勘：</w:t>
      </w:r>
      <w:r>
        <w:rPr>
          <w:rFonts w:hint="eastAsia" w:ascii="宋体" w:hAnsi="宋体" w:eastAsia="宋体"/>
          <w:b w:val="0"/>
          <w:bCs w:val="0"/>
          <w:color w:val="auto"/>
          <w:sz w:val="21"/>
          <w:szCs w:val="21"/>
          <w:highlight w:val="none"/>
          <w:lang w:eastAsia="zh-CN"/>
        </w:rPr>
        <w:t>自行踏勘，与之相关的费用，供应商自行承担。</w:t>
      </w:r>
      <w:bookmarkEnd w:id="222"/>
    </w:p>
    <w:p w14:paraId="6005D6FC">
      <w:pPr>
        <w:pStyle w:val="50"/>
        <w:spacing w:line="360" w:lineRule="auto"/>
        <w:outlineLvl w:val="0"/>
        <w:rPr>
          <w:rFonts w:hint="eastAsia" w:ascii="宋体" w:hAnsi="宋体" w:eastAsia="宋体"/>
          <w:b/>
          <w:bCs/>
          <w:color w:val="auto"/>
          <w:sz w:val="21"/>
          <w:szCs w:val="21"/>
          <w:highlight w:val="none"/>
        </w:rPr>
      </w:pPr>
      <w:bookmarkStart w:id="223" w:name="_Toc31725"/>
      <w:bookmarkStart w:id="224" w:name="_Toc25208"/>
      <w:bookmarkStart w:id="225" w:name="_Toc32757"/>
      <w:bookmarkStart w:id="226" w:name="_Toc16631"/>
      <w:bookmarkStart w:id="227" w:name="_Toc9182"/>
      <w:bookmarkStart w:id="228" w:name="_Toc11744"/>
      <w:bookmarkStart w:id="229" w:name="_Toc3853"/>
      <w:bookmarkStart w:id="230" w:name="_Toc466298102"/>
      <w:bookmarkStart w:id="231" w:name="_Toc490667838"/>
      <w:bookmarkStart w:id="232" w:name="_Toc23635"/>
      <w:bookmarkStart w:id="233" w:name="_Toc455867779"/>
      <w:bookmarkStart w:id="234" w:name="_Toc144974509"/>
      <w:bookmarkStart w:id="235" w:name="_Toc318450685"/>
      <w:bookmarkStart w:id="236" w:name="_Toc12562"/>
      <w:bookmarkStart w:id="237" w:name="_Toc152042317"/>
      <w:bookmarkStart w:id="238" w:name="_Toc23678"/>
      <w:bookmarkStart w:id="239" w:name="_Toc455080119"/>
      <w:bookmarkStart w:id="240" w:name="_Toc24262"/>
      <w:bookmarkStart w:id="241" w:name="_Toc152045541"/>
      <w:r>
        <w:rPr>
          <w:rFonts w:hint="eastAsia" w:ascii="宋体" w:hAnsi="宋体" w:eastAsia="宋体"/>
          <w:b/>
          <w:bCs/>
          <w:color w:val="auto"/>
          <w:sz w:val="21"/>
          <w:szCs w:val="21"/>
          <w:highlight w:val="none"/>
        </w:rPr>
        <w:t>1.11分包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5B1A652F">
      <w:pPr>
        <w:spacing w:line="360" w:lineRule="auto"/>
        <w:ind w:firstLine="567" w:firstLineChars="270"/>
        <w:rPr>
          <w:rFonts w:hint="eastAsia" w:ascii="宋体" w:hAnsi="宋体" w:cs="宋体"/>
          <w:color w:val="auto"/>
          <w:szCs w:val="21"/>
          <w:highlight w:val="none"/>
        </w:rPr>
      </w:pPr>
      <w:r>
        <w:rPr>
          <w:rFonts w:hint="eastAsia" w:ascii="宋体" w:hAnsi="宋体" w:cs="宋体"/>
          <w:color w:val="auto"/>
          <w:szCs w:val="21"/>
          <w:highlight w:val="none"/>
        </w:rPr>
        <w:t>是否允许分包：见供应商须知前附表。</w:t>
      </w:r>
      <w:bookmarkStart w:id="242" w:name="_Toc144974510"/>
      <w:bookmarkStart w:id="243" w:name="_Toc152045542"/>
      <w:bookmarkStart w:id="244" w:name="_Toc152042318"/>
      <w:bookmarkStart w:id="245" w:name="_Toc455080120"/>
    </w:p>
    <w:bookmarkEnd w:id="242"/>
    <w:bookmarkEnd w:id="243"/>
    <w:bookmarkEnd w:id="244"/>
    <w:p w14:paraId="581168EF">
      <w:pPr>
        <w:spacing w:line="360" w:lineRule="auto"/>
        <w:outlineLvl w:val="1"/>
        <w:rPr>
          <w:rFonts w:hint="eastAsia" w:ascii="宋体" w:hAnsi="宋体" w:eastAsia="宋体"/>
          <w:b/>
          <w:bCs/>
          <w:color w:val="auto"/>
          <w:szCs w:val="21"/>
          <w:highlight w:val="none"/>
          <w:lang w:eastAsia="zh-CN"/>
        </w:rPr>
      </w:pPr>
      <w:bookmarkStart w:id="246" w:name="_Toc12453"/>
      <w:r>
        <w:rPr>
          <w:rFonts w:hint="eastAsia" w:ascii="宋体" w:hAnsi="宋体"/>
          <w:b/>
          <w:bCs/>
          <w:color w:val="auto"/>
          <w:szCs w:val="21"/>
          <w:highlight w:val="none"/>
        </w:rPr>
        <w:t>2.</w:t>
      </w:r>
      <w:bookmarkEnd w:id="245"/>
      <w:bookmarkEnd w:id="246"/>
      <w:r>
        <w:rPr>
          <w:rFonts w:hint="eastAsia" w:ascii="宋体" w:hAnsi="宋体"/>
          <w:b/>
          <w:bCs/>
          <w:color w:val="auto"/>
          <w:szCs w:val="21"/>
          <w:highlight w:val="none"/>
          <w:lang w:eastAsia="zh-CN"/>
        </w:rPr>
        <w:t>竞争性磋商文件</w:t>
      </w:r>
    </w:p>
    <w:p w14:paraId="09201A52">
      <w:pPr>
        <w:pStyle w:val="50"/>
        <w:spacing w:line="360" w:lineRule="auto"/>
        <w:outlineLvl w:val="0"/>
        <w:rPr>
          <w:rFonts w:hint="eastAsia" w:ascii="宋体" w:hAnsi="宋体" w:eastAsia="宋体"/>
          <w:b/>
          <w:bCs/>
          <w:color w:val="auto"/>
          <w:sz w:val="21"/>
          <w:szCs w:val="21"/>
          <w:highlight w:val="none"/>
        </w:rPr>
      </w:pPr>
      <w:bookmarkStart w:id="247" w:name="_Toc12004"/>
      <w:bookmarkStart w:id="248" w:name="_Toc7999"/>
      <w:bookmarkStart w:id="249" w:name="_Toc318450687"/>
      <w:bookmarkStart w:id="250" w:name="_Toc144974511"/>
      <w:bookmarkStart w:id="251" w:name="_Toc455080121"/>
      <w:bookmarkStart w:id="252" w:name="_Toc466298104"/>
      <w:bookmarkStart w:id="253" w:name="_Toc11599"/>
      <w:bookmarkStart w:id="254" w:name="_Toc455867781"/>
      <w:bookmarkStart w:id="255" w:name="_Toc1008"/>
      <w:bookmarkStart w:id="256" w:name="_Toc490667840"/>
      <w:bookmarkStart w:id="257" w:name="_Toc152045543"/>
      <w:bookmarkStart w:id="258" w:name="_Toc32711"/>
      <w:bookmarkStart w:id="259" w:name="_Toc9780"/>
      <w:bookmarkStart w:id="260" w:name="_Toc11567"/>
      <w:bookmarkStart w:id="261" w:name="_Toc23649"/>
      <w:bookmarkStart w:id="262" w:name="_Toc152042319"/>
      <w:bookmarkStart w:id="263" w:name="_Toc3982"/>
      <w:bookmarkStart w:id="264" w:name="_Toc17386"/>
      <w:bookmarkStart w:id="265" w:name="_Toc12640"/>
      <w:r>
        <w:rPr>
          <w:rFonts w:hint="eastAsia" w:ascii="宋体" w:hAnsi="宋体" w:eastAsia="宋体"/>
          <w:b/>
          <w:bCs/>
          <w:color w:val="auto"/>
          <w:sz w:val="21"/>
          <w:szCs w:val="21"/>
          <w:highlight w:val="none"/>
        </w:rPr>
        <w:t>2.</w:t>
      </w:r>
      <w:r>
        <w:rPr>
          <w:rFonts w:hint="eastAsia" w:ascii="宋体" w:hAnsi="宋体" w:eastAsia="宋体"/>
          <w:b/>
          <w:bCs/>
          <w:color w:val="auto"/>
          <w:sz w:val="21"/>
          <w:szCs w:val="21"/>
          <w:highlight w:val="none"/>
          <w:lang w:val="en-US" w:eastAsia="zh-CN"/>
        </w:rPr>
        <w:t>1</w:t>
      </w:r>
      <w:r>
        <w:rPr>
          <w:rFonts w:hint="eastAsia" w:ascii="宋体" w:hAnsi="宋体" w:eastAsia="宋体"/>
          <w:b/>
          <w:bCs/>
          <w:color w:val="auto"/>
          <w:sz w:val="21"/>
          <w:szCs w:val="21"/>
          <w:highlight w:val="none"/>
        </w:rPr>
        <w:t xml:space="preserve">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3A9D0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本</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包括：</w:t>
      </w:r>
    </w:p>
    <w:p w14:paraId="25D6BAC5">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w:t>
      </w:r>
    </w:p>
    <w:p w14:paraId="4537DAEB">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（2）供应商须知；</w:t>
      </w:r>
    </w:p>
    <w:p w14:paraId="674A0096">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（3）评审办法；</w:t>
      </w:r>
    </w:p>
    <w:p w14:paraId="244411EA">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河南省政府采购合同（参考文本）</w:t>
      </w:r>
      <w:r>
        <w:rPr>
          <w:rFonts w:hint="eastAsia" w:ascii="宋体" w:hAnsi="宋体" w:cs="宋体"/>
          <w:color w:val="auto"/>
          <w:szCs w:val="21"/>
          <w:highlight w:val="none"/>
        </w:rPr>
        <w:t>；</w:t>
      </w:r>
    </w:p>
    <w:p w14:paraId="6CDC1ED1">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采购项目技术参数、规格与要求</w:t>
      </w:r>
      <w:r>
        <w:rPr>
          <w:rFonts w:hint="eastAsia" w:ascii="宋体" w:hAnsi="宋体" w:cs="宋体"/>
          <w:color w:val="auto"/>
          <w:szCs w:val="21"/>
          <w:highlight w:val="none"/>
        </w:rPr>
        <w:t>；</w:t>
      </w:r>
    </w:p>
    <w:p w14:paraId="6074996C">
      <w:pPr>
        <w:spacing w:line="360" w:lineRule="auto"/>
        <w:ind w:firstLine="359" w:firstLineChars="17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w:t>
      </w:r>
    </w:p>
    <w:p w14:paraId="2BF57AF5">
      <w:pPr>
        <w:spacing w:line="360" w:lineRule="auto"/>
        <w:ind w:firstLine="359" w:firstLineChars="171"/>
        <w:rPr>
          <w:rFonts w:hint="eastAsia" w:ascii="宋体" w:hAnsi="宋体" w:cs="宋体"/>
          <w:color w:val="auto"/>
          <w:szCs w:val="21"/>
          <w:highlight w:val="none"/>
        </w:rPr>
      </w:pPr>
      <w:r>
        <w:rPr>
          <w:rFonts w:hint="eastAsia" w:ascii="宋体" w:hAnsi="宋体" w:cs="宋体"/>
          <w:color w:val="auto"/>
          <w:szCs w:val="21"/>
          <w:highlight w:val="none"/>
        </w:rPr>
        <w:t>（7）供应商须知前附表规定的其他材料。</w:t>
      </w:r>
    </w:p>
    <w:p w14:paraId="2D3063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根据本章第2.2款和第2.3款对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所作的澄清、修改，构成</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的组成部分。</w:t>
      </w:r>
    </w:p>
    <w:p w14:paraId="6708E0A3">
      <w:pPr>
        <w:pStyle w:val="50"/>
        <w:spacing w:line="360" w:lineRule="auto"/>
        <w:outlineLvl w:val="0"/>
        <w:rPr>
          <w:rFonts w:hint="eastAsia" w:ascii="宋体" w:hAnsi="宋体" w:eastAsia="宋体"/>
          <w:b/>
          <w:bCs/>
          <w:color w:val="auto"/>
          <w:sz w:val="21"/>
          <w:szCs w:val="21"/>
          <w:highlight w:val="none"/>
        </w:rPr>
      </w:pPr>
      <w:bookmarkStart w:id="266" w:name="_Toc15658"/>
      <w:bookmarkStart w:id="267" w:name="_Toc31680"/>
      <w:bookmarkStart w:id="268" w:name="_Toc152042322"/>
      <w:bookmarkStart w:id="269" w:name="_Toc152045546"/>
      <w:bookmarkStart w:id="270" w:name="_Toc144974514"/>
      <w:bookmarkStart w:id="271" w:name="_Toc455080124"/>
      <w:r>
        <w:rPr>
          <w:rFonts w:hint="eastAsia" w:ascii="宋体" w:hAnsi="宋体" w:eastAsia="宋体"/>
          <w:b/>
          <w:bCs/>
          <w:color w:val="auto"/>
          <w:sz w:val="21"/>
          <w:szCs w:val="21"/>
          <w:highlight w:val="none"/>
        </w:rPr>
        <w:t xml:space="preserve">2.2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的澄清</w:t>
      </w:r>
      <w:bookmarkEnd w:id="266"/>
      <w:bookmarkEnd w:id="267"/>
    </w:p>
    <w:p w14:paraId="642E253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2.2.1供应商应仔细阅读和检查</w:t>
      </w:r>
      <w:r>
        <w:rPr>
          <w:rFonts w:hint="eastAsia" w:ascii="宋体" w:hAnsi="宋体" w:cs="宋体"/>
          <w:color w:val="auto"/>
          <w:highlight w:val="none"/>
          <w:lang w:eastAsia="zh-CN"/>
        </w:rPr>
        <w:t>竞争性磋商文件</w:t>
      </w:r>
      <w:r>
        <w:rPr>
          <w:rFonts w:hint="eastAsia" w:ascii="宋体" w:hAnsi="宋体" w:cs="宋体"/>
          <w:color w:val="auto"/>
          <w:highlight w:val="none"/>
        </w:rPr>
        <w:t>的全部内容。</w:t>
      </w:r>
      <w:r>
        <w:rPr>
          <w:rFonts w:hint="eastAsia" w:ascii="宋体" w:hAnsi="宋体" w:cs="宋体"/>
          <w:color w:val="auto"/>
          <w:szCs w:val="21"/>
          <w:highlight w:val="none"/>
        </w:rPr>
        <w:t>如发现缺页或附件不全，应及时向采购人提出，以便补齐。</w:t>
      </w:r>
      <w:r>
        <w:rPr>
          <w:rFonts w:hint="eastAsia" w:ascii="宋体" w:hAnsi="宋体" w:cs="宋体"/>
          <w:color w:val="auto"/>
          <w:highlight w:val="none"/>
        </w:rPr>
        <w:t>如有疑问，应在供应商须知前附表规定的时间前</w:t>
      </w:r>
      <w:r>
        <w:rPr>
          <w:rFonts w:hint="eastAsia" w:ascii="宋体" w:hAnsi="宋体"/>
          <w:color w:val="auto"/>
          <w:szCs w:val="21"/>
          <w:highlight w:val="none"/>
        </w:rPr>
        <w:t>以书面形式（包括信函、电报、传真等可以有形表现所载内容的形式，下同），</w:t>
      </w:r>
      <w:r>
        <w:rPr>
          <w:rFonts w:hint="eastAsia" w:ascii="宋体" w:hAnsi="宋体" w:cs="宋体"/>
          <w:color w:val="auto"/>
          <w:highlight w:val="none"/>
        </w:rPr>
        <w:t>要求采购人对</w:t>
      </w:r>
      <w:r>
        <w:rPr>
          <w:rFonts w:hint="eastAsia" w:ascii="宋体" w:hAnsi="宋体" w:cs="宋体"/>
          <w:color w:val="auto"/>
          <w:highlight w:val="none"/>
          <w:lang w:eastAsia="zh-CN"/>
        </w:rPr>
        <w:t>竞争性磋商文件</w:t>
      </w:r>
      <w:r>
        <w:rPr>
          <w:rFonts w:hint="eastAsia" w:ascii="宋体" w:hAnsi="宋体" w:cs="宋体"/>
          <w:color w:val="auto"/>
          <w:highlight w:val="none"/>
        </w:rPr>
        <w:t>予以澄清。</w:t>
      </w:r>
    </w:p>
    <w:p w14:paraId="0801FE6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2.2.2 </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的澄清将在供应商须知前附表规定的响应文件递交截止时间5天前在信阳市公共资源交易系统“变更公告”或“答疑文件”</w:t>
      </w:r>
      <w:r>
        <w:rPr>
          <w:rFonts w:hint="eastAsia" w:ascii="宋体" w:hAnsi="宋体"/>
          <w:color w:val="auto"/>
          <w:szCs w:val="21"/>
          <w:highlight w:val="none"/>
        </w:rPr>
        <w:t>将澄清内容予以发布，</w:t>
      </w:r>
      <w:r>
        <w:rPr>
          <w:rFonts w:hint="eastAsia" w:ascii="宋体" w:hAnsi="宋体" w:cs="宋体"/>
          <w:color w:val="auto"/>
          <w:highlight w:val="none"/>
        </w:rPr>
        <w:t>但不指明澄清问题的来源。如果澄清的内容可能影响响应文件编制且发出的时间距响应文件递交截止时间不足5天，相应延长投标截止时间。</w:t>
      </w:r>
    </w:p>
    <w:p w14:paraId="4CEBCF7B">
      <w:pPr>
        <w:spacing w:line="360" w:lineRule="auto"/>
        <w:ind w:firstLine="420" w:firstLineChars="200"/>
        <w:rPr>
          <w:rFonts w:hint="eastAsia"/>
          <w:color w:val="auto"/>
          <w:highlight w:val="none"/>
        </w:rPr>
      </w:pPr>
      <w:r>
        <w:rPr>
          <w:rFonts w:hint="eastAsia" w:ascii="宋体" w:hAnsi="宋体"/>
          <w:color w:val="auto"/>
          <w:szCs w:val="21"/>
          <w:highlight w:val="none"/>
        </w:rPr>
        <w:t>2.2.3供应商应在响应文件递交截止时间前及时查看澄清内容，因供应商未及时查看而造成的后果自负。</w:t>
      </w:r>
    </w:p>
    <w:p w14:paraId="552941FB">
      <w:pPr>
        <w:pStyle w:val="50"/>
        <w:spacing w:line="360" w:lineRule="auto"/>
        <w:outlineLvl w:val="0"/>
        <w:rPr>
          <w:rFonts w:hint="eastAsia" w:ascii="宋体" w:hAnsi="宋体" w:eastAsia="宋体"/>
          <w:b/>
          <w:bCs/>
          <w:color w:val="auto"/>
          <w:sz w:val="21"/>
          <w:szCs w:val="21"/>
          <w:highlight w:val="none"/>
        </w:rPr>
      </w:pPr>
      <w:bookmarkStart w:id="272" w:name="_Toc2276"/>
      <w:bookmarkStart w:id="273" w:name="_Toc8263"/>
      <w:r>
        <w:rPr>
          <w:rFonts w:hint="eastAsia" w:ascii="宋体" w:hAnsi="宋体" w:eastAsia="宋体"/>
          <w:b/>
          <w:bCs/>
          <w:color w:val="auto"/>
          <w:sz w:val="21"/>
          <w:szCs w:val="21"/>
          <w:highlight w:val="none"/>
        </w:rPr>
        <w:t xml:space="preserve">2.3 </w:t>
      </w:r>
      <w:r>
        <w:rPr>
          <w:rFonts w:hint="eastAsia" w:ascii="宋体" w:hAnsi="宋体" w:eastAsia="宋体"/>
          <w:b/>
          <w:bCs/>
          <w:color w:val="auto"/>
          <w:sz w:val="21"/>
          <w:szCs w:val="21"/>
          <w:highlight w:val="none"/>
          <w:lang w:eastAsia="zh-CN"/>
        </w:rPr>
        <w:t>竞争性磋商文件</w:t>
      </w:r>
      <w:r>
        <w:rPr>
          <w:rFonts w:hint="eastAsia" w:ascii="宋体" w:hAnsi="宋体" w:eastAsia="宋体"/>
          <w:b/>
          <w:bCs/>
          <w:color w:val="auto"/>
          <w:sz w:val="21"/>
          <w:szCs w:val="21"/>
          <w:highlight w:val="none"/>
        </w:rPr>
        <w:t>的修改</w:t>
      </w:r>
      <w:bookmarkEnd w:id="272"/>
      <w:bookmarkEnd w:id="273"/>
    </w:p>
    <w:p w14:paraId="4923679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在响应文件递交截止时间5天前，采购人可以修改</w:t>
      </w:r>
      <w:r>
        <w:rPr>
          <w:rFonts w:hint="eastAsia" w:ascii="宋体" w:hAnsi="宋体" w:cs="宋体"/>
          <w:color w:val="auto"/>
          <w:highlight w:val="none"/>
          <w:lang w:eastAsia="zh-CN"/>
        </w:rPr>
        <w:t>竞争性磋商文件</w:t>
      </w:r>
      <w:r>
        <w:rPr>
          <w:rFonts w:hint="eastAsia" w:ascii="宋体" w:hAnsi="宋体" w:cs="宋体"/>
          <w:color w:val="auto"/>
          <w:highlight w:val="none"/>
        </w:rPr>
        <w:t>。如有修改，应在信阳市公共资源交易系统“变更公告”或“答疑文件”</w:t>
      </w:r>
      <w:r>
        <w:rPr>
          <w:rFonts w:hint="eastAsia" w:ascii="宋体" w:hAnsi="宋体"/>
          <w:color w:val="auto"/>
          <w:szCs w:val="21"/>
          <w:highlight w:val="none"/>
        </w:rPr>
        <w:t>将修改内容予以发布</w:t>
      </w:r>
      <w:r>
        <w:rPr>
          <w:rFonts w:hint="eastAsia" w:ascii="宋体" w:hAnsi="宋体" w:cs="宋体"/>
          <w:color w:val="auto"/>
          <w:highlight w:val="none"/>
        </w:rPr>
        <w:t>。如果修改的内容可能影响响应文件编制且发出的时间距响应文件递交截止时间不足5天，相应延长响应文件递交截止时间。</w:t>
      </w:r>
    </w:p>
    <w:p w14:paraId="49E40C6D">
      <w:pPr>
        <w:spacing w:line="360" w:lineRule="auto"/>
        <w:ind w:firstLine="420"/>
        <w:rPr>
          <w:rFonts w:hint="eastAsia" w:ascii="宋体" w:hAnsi="宋体"/>
          <w:color w:val="auto"/>
          <w:szCs w:val="21"/>
          <w:highlight w:val="none"/>
        </w:rPr>
      </w:pPr>
      <w:r>
        <w:rPr>
          <w:rFonts w:hint="eastAsia" w:ascii="宋体" w:hAnsi="宋体" w:cs="宋体"/>
          <w:color w:val="auto"/>
          <w:highlight w:val="none"/>
        </w:rPr>
        <w:t>2.3.2当</w:t>
      </w:r>
      <w:r>
        <w:rPr>
          <w:rFonts w:hint="eastAsia" w:ascii="宋体" w:hAnsi="宋体" w:cs="宋体"/>
          <w:color w:val="auto"/>
          <w:highlight w:val="none"/>
          <w:lang w:eastAsia="zh-CN"/>
        </w:rPr>
        <w:t>竞争性磋商文件</w:t>
      </w:r>
      <w:r>
        <w:rPr>
          <w:rFonts w:hint="eastAsia" w:ascii="宋体" w:hAnsi="宋体" w:cs="宋体"/>
          <w:color w:val="auto"/>
          <w:highlight w:val="none"/>
        </w:rPr>
        <w:t>的澄清、修改、补充等在同一内容的表述上不一致时，</w:t>
      </w:r>
      <w:r>
        <w:rPr>
          <w:rFonts w:hint="eastAsia" w:ascii="宋体" w:hAnsi="宋体"/>
          <w:color w:val="auto"/>
          <w:szCs w:val="21"/>
          <w:highlight w:val="none"/>
        </w:rPr>
        <w:t>以最后在信阳市公共资源交易系统发出的文件为准。</w:t>
      </w:r>
    </w:p>
    <w:p w14:paraId="6A5B08AC">
      <w:pPr>
        <w:spacing w:line="360" w:lineRule="auto"/>
        <w:ind w:firstLine="420" w:firstLineChars="200"/>
        <w:rPr>
          <w:color w:val="auto"/>
          <w:highlight w:val="none"/>
        </w:rPr>
      </w:pPr>
      <w:r>
        <w:rPr>
          <w:rFonts w:hint="eastAsia" w:ascii="宋体" w:hAnsi="宋体" w:cs="宋体"/>
          <w:color w:val="auto"/>
          <w:highlight w:val="none"/>
        </w:rPr>
        <w:t>2.3.3</w:t>
      </w:r>
      <w:r>
        <w:rPr>
          <w:rFonts w:hint="eastAsia" w:ascii="宋体" w:hAnsi="宋体"/>
          <w:color w:val="auto"/>
          <w:szCs w:val="21"/>
          <w:highlight w:val="none"/>
        </w:rPr>
        <w:t>供应商应在响应文件递交截止时间前及时查看修改内容，因供应商未及时查看而造成的后果自负。</w:t>
      </w:r>
    </w:p>
    <w:p w14:paraId="5EF55D7F">
      <w:pPr>
        <w:pStyle w:val="48"/>
        <w:spacing w:before="0" w:beforeLines="0" w:line="360" w:lineRule="auto"/>
        <w:rPr>
          <w:rFonts w:hint="eastAsia" w:ascii="宋体" w:hAnsi="宋体" w:eastAsia="宋体"/>
          <w:b/>
          <w:bCs/>
          <w:color w:val="auto"/>
          <w:sz w:val="21"/>
          <w:szCs w:val="21"/>
          <w:highlight w:val="none"/>
        </w:rPr>
      </w:pPr>
      <w:bookmarkStart w:id="274" w:name="_Toc4666"/>
      <w:r>
        <w:rPr>
          <w:rFonts w:hint="eastAsia" w:ascii="宋体" w:hAnsi="宋体" w:eastAsia="宋体"/>
          <w:b/>
          <w:bCs/>
          <w:color w:val="auto"/>
          <w:sz w:val="21"/>
          <w:szCs w:val="21"/>
          <w:highlight w:val="none"/>
        </w:rPr>
        <w:t xml:space="preserve">3. </w:t>
      </w:r>
      <w:bookmarkEnd w:id="268"/>
      <w:bookmarkEnd w:id="269"/>
      <w:bookmarkEnd w:id="270"/>
      <w:r>
        <w:rPr>
          <w:rFonts w:hint="eastAsia" w:ascii="宋体" w:hAnsi="宋体" w:eastAsia="宋体"/>
          <w:b/>
          <w:bCs/>
          <w:color w:val="auto"/>
          <w:sz w:val="21"/>
          <w:szCs w:val="21"/>
          <w:highlight w:val="none"/>
        </w:rPr>
        <w:t>响应文件</w:t>
      </w:r>
      <w:bookmarkEnd w:id="271"/>
      <w:bookmarkEnd w:id="274"/>
    </w:p>
    <w:p w14:paraId="5320E3B5">
      <w:pPr>
        <w:pStyle w:val="50"/>
        <w:spacing w:line="360" w:lineRule="auto"/>
        <w:outlineLvl w:val="9"/>
        <w:rPr>
          <w:rFonts w:hint="eastAsia" w:ascii="宋体" w:hAnsi="宋体" w:eastAsia="宋体"/>
          <w:b/>
          <w:bCs/>
          <w:color w:val="auto"/>
          <w:sz w:val="21"/>
          <w:szCs w:val="21"/>
          <w:highlight w:val="none"/>
        </w:rPr>
      </w:pPr>
      <w:bookmarkStart w:id="275" w:name="_Toc152042323"/>
      <w:bookmarkStart w:id="276" w:name="_Toc490667844"/>
      <w:bookmarkStart w:id="277" w:name="_Toc144974515"/>
      <w:bookmarkStart w:id="278" w:name="_Toc16198"/>
      <w:bookmarkStart w:id="279" w:name="_Toc318450691"/>
      <w:bookmarkStart w:id="280" w:name="_Toc24440"/>
      <w:bookmarkStart w:id="281" w:name="_Toc9273"/>
      <w:bookmarkStart w:id="282" w:name="_Toc27373"/>
      <w:bookmarkStart w:id="283" w:name="_Toc152045547"/>
      <w:bookmarkStart w:id="284" w:name="_Toc15810"/>
      <w:bookmarkStart w:id="285" w:name="_Toc10096"/>
      <w:r>
        <w:rPr>
          <w:rFonts w:hint="eastAsia" w:ascii="宋体" w:hAnsi="宋体" w:eastAsia="宋体"/>
          <w:b/>
          <w:bCs/>
          <w:color w:val="auto"/>
          <w:sz w:val="21"/>
          <w:szCs w:val="21"/>
          <w:highlight w:val="none"/>
        </w:rPr>
        <w:t>3.1 响应文件的组成</w:t>
      </w:r>
      <w:bookmarkEnd w:id="275"/>
      <w:bookmarkEnd w:id="276"/>
      <w:bookmarkEnd w:id="277"/>
      <w:bookmarkEnd w:id="278"/>
      <w:bookmarkEnd w:id="279"/>
      <w:bookmarkEnd w:id="280"/>
      <w:bookmarkEnd w:id="281"/>
      <w:bookmarkEnd w:id="282"/>
      <w:bookmarkEnd w:id="283"/>
      <w:bookmarkEnd w:id="284"/>
      <w:bookmarkEnd w:id="285"/>
    </w:p>
    <w:p w14:paraId="67903D59">
      <w:pPr>
        <w:spacing w:line="360" w:lineRule="auto"/>
        <w:rPr>
          <w:rFonts w:hint="eastAsia" w:ascii="宋体" w:hAnsi="宋体" w:cs="宋体"/>
          <w:b w:val="0"/>
          <w:bCs w:val="0"/>
          <w:color w:val="auto"/>
          <w:szCs w:val="21"/>
          <w:highlight w:val="none"/>
          <w:lang w:val="en-US" w:eastAsia="zh-CN"/>
        </w:rPr>
      </w:pPr>
      <w:bookmarkStart w:id="286" w:name="_Toc152045548"/>
      <w:bookmarkStart w:id="287" w:name="_Toc318450692"/>
      <w:bookmarkStart w:id="288" w:name="_Toc152042324"/>
      <w:bookmarkStart w:id="289" w:name="_Toc26291"/>
      <w:bookmarkStart w:id="290" w:name="_Toc279156232"/>
      <w:bookmarkStart w:id="291" w:name="_Toc899"/>
      <w:bookmarkStart w:id="292" w:name="_Toc144974516"/>
      <w:r>
        <w:rPr>
          <w:rFonts w:hint="eastAsia" w:ascii="宋体" w:hAnsi="宋体" w:cs="宋体"/>
          <w:b w:val="0"/>
          <w:bCs w:val="0"/>
          <w:color w:val="auto"/>
          <w:szCs w:val="21"/>
          <w:highlight w:val="none"/>
          <w:lang w:val="en-US" w:eastAsia="zh-CN"/>
        </w:rPr>
        <w:t>详见响应文件格式要求</w:t>
      </w:r>
    </w:p>
    <w:p w14:paraId="32FA1BF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3.2 磋商报价</w:t>
      </w:r>
      <w:bookmarkEnd w:id="286"/>
      <w:bookmarkEnd w:id="287"/>
      <w:bookmarkEnd w:id="288"/>
      <w:bookmarkEnd w:id="289"/>
      <w:bookmarkEnd w:id="290"/>
      <w:bookmarkEnd w:id="291"/>
      <w:bookmarkEnd w:id="292"/>
    </w:p>
    <w:p w14:paraId="123A5EAE">
      <w:pPr>
        <w:tabs>
          <w:tab w:val="left" w:pos="0"/>
          <w:tab w:val="left" w:pos="1050"/>
        </w:tabs>
        <w:spacing w:line="440" w:lineRule="exact"/>
        <w:ind w:firstLine="365" w:firstLineChars="174"/>
        <w:rPr>
          <w:rFonts w:hint="eastAsia" w:ascii="宋体" w:hAnsi="宋体" w:cs="宋体"/>
          <w:color w:val="auto"/>
          <w:szCs w:val="21"/>
          <w:highlight w:val="none"/>
        </w:rPr>
      </w:pPr>
      <w:bookmarkStart w:id="293" w:name="_Toc12402"/>
      <w:bookmarkStart w:id="294" w:name="_Toc2425"/>
      <w:bookmarkStart w:id="295" w:name="_Toc455080126"/>
      <w:bookmarkStart w:id="296" w:name="_Toc21680"/>
      <w:bookmarkStart w:id="297" w:name="_Toc11968"/>
      <w:bookmarkStart w:id="298" w:name="_Toc490667846"/>
      <w:bookmarkStart w:id="299" w:name="_Toc7910"/>
      <w:bookmarkStart w:id="300" w:name="_Toc25387"/>
      <w:bookmarkStart w:id="301" w:name="_Toc152042325"/>
      <w:bookmarkStart w:id="302" w:name="_Toc144974517"/>
      <w:bookmarkStart w:id="303" w:name="_Toc455867786"/>
      <w:bookmarkStart w:id="304" w:name="_Toc318450693"/>
      <w:bookmarkStart w:id="305" w:name="_Toc3624"/>
      <w:bookmarkStart w:id="306" w:name="_Toc152045549"/>
      <w:bookmarkStart w:id="307" w:name="_Toc29133"/>
      <w:bookmarkStart w:id="308" w:name="_Toc7105"/>
      <w:bookmarkStart w:id="309" w:name="_Toc466298109"/>
      <w:bookmarkStart w:id="310" w:name="_Toc6105"/>
      <w:bookmarkStart w:id="311" w:name="_Toc21600"/>
      <w:r>
        <w:rPr>
          <w:rFonts w:hint="eastAsia" w:ascii="宋体" w:hAnsi="宋体" w:cs="宋体"/>
          <w:color w:val="auto"/>
          <w:szCs w:val="21"/>
          <w:highlight w:val="none"/>
        </w:rPr>
        <w:t>3.2.1本项目的磋商报价应按照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、补充通知、答疑纪要、现场情况、承包范围，并充分考虑</w:t>
      </w:r>
      <w:r>
        <w:rPr>
          <w:rFonts w:hint="eastAsia" w:ascii="宋体" w:hAnsi="宋体" w:cs="宋体"/>
          <w:color w:val="auto"/>
          <w:szCs w:val="21"/>
          <w:highlight w:val="none"/>
          <w:lang w:eastAsia="zh-CN"/>
        </w:rPr>
        <w:t>供货</w:t>
      </w:r>
      <w:r>
        <w:rPr>
          <w:rFonts w:hint="eastAsia" w:ascii="宋体" w:hAnsi="宋体" w:cs="宋体"/>
          <w:color w:val="auto"/>
          <w:szCs w:val="21"/>
          <w:highlight w:val="none"/>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的报价格式填报，第二次报价在磋商中填报，第二次报价（不得高于</w:t>
      </w:r>
      <w:r>
        <w:rPr>
          <w:rFonts w:hint="eastAsia" w:ascii="宋体" w:hAnsi="宋体" w:cs="宋体"/>
          <w:color w:val="auto"/>
          <w:szCs w:val="21"/>
          <w:highlight w:val="none"/>
          <w:lang w:eastAsia="zh-CN"/>
        </w:rPr>
        <w:t>第</w:t>
      </w:r>
      <w:r>
        <w:rPr>
          <w:rFonts w:hint="eastAsia" w:ascii="宋体" w:hAnsi="宋体" w:cs="宋体"/>
          <w:color w:val="auto"/>
          <w:szCs w:val="21"/>
          <w:highlight w:val="none"/>
        </w:rPr>
        <w:t>一次报价）即为最终报价</w:t>
      </w:r>
      <w:bookmarkEnd w:id="293"/>
      <w:r>
        <w:rPr>
          <w:rFonts w:hint="eastAsia" w:ascii="宋体" w:hAnsi="宋体" w:cs="宋体"/>
          <w:color w:val="auto"/>
          <w:szCs w:val="21"/>
          <w:highlight w:val="none"/>
        </w:rPr>
        <w:t>。</w:t>
      </w:r>
    </w:p>
    <w:p w14:paraId="6DC6B80F">
      <w:pPr>
        <w:tabs>
          <w:tab w:val="left" w:pos="0"/>
          <w:tab w:val="left" w:pos="1050"/>
        </w:tabs>
        <w:spacing w:line="440" w:lineRule="exact"/>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3.2.2供应商应充分了解该项目的总体情况以及影响磋商报价的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要素，考虑</w:t>
      </w:r>
      <w:r>
        <w:rPr>
          <w:rFonts w:hint="eastAsia" w:ascii="宋体" w:hAnsi="宋体" w:cs="宋体"/>
          <w:color w:val="auto"/>
          <w:szCs w:val="21"/>
          <w:highlight w:val="none"/>
          <w:lang w:eastAsia="zh-CN"/>
        </w:rPr>
        <w:t>供货期间</w:t>
      </w:r>
      <w:r>
        <w:rPr>
          <w:rFonts w:hint="eastAsia" w:ascii="宋体" w:hAnsi="宋体" w:cs="宋体"/>
          <w:color w:val="auto"/>
          <w:szCs w:val="21"/>
          <w:highlight w:val="none"/>
        </w:rPr>
        <w:t>的价格风险因素，成交价在合同实施期内不得调整，同时也不因市场价格变动而调整。</w:t>
      </w:r>
    </w:p>
    <w:p w14:paraId="7FF943D0">
      <w:pPr>
        <w:tabs>
          <w:tab w:val="left" w:pos="0"/>
          <w:tab w:val="left" w:pos="1050"/>
        </w:tabs>
        <w:spacing w:line="440" w:lineRule="exact"/>
        <w:ind w:firstLine="365" w:firstLineChars="174"/>
        <w:rPr>
          <w:rFonts w:hint="eastAsia" w:ascii="宋体" w:hAnsi="宋体" w:cs="宋体"/>
          <w:color w:val="auto"/>
          <w:szCs w:val="21"/>
          <w:highlight w:val="none"/>
        </w:rPr>
      </w:pPr>
      <w:r>
        <w:rPr>
          <w:rFonts w:hint="eastAsia" w:ascii="宋体" w:hAnsi="宋体" w:cs="宋体"/>
          <w:color w:val="auto"/>
          <w:szCs w:val="21"/>
          <w:highlight w:val="none"/>
        </w:rPr>
        <w:t>3.2.3 响应报价表中的大写金额和小写金额不一致的，以大写金额为准。</w:t>
      </w:r>
    </w:p>
    <w:p w14:paraId="044ABFBE">
      <w:pPr>
        <w:tabs>
          <w:tab w:val="left" w:pos="0"/>
          <w:tab w:val="left" w:pos="1050"/>
        </w:tabs>
        <w:spacing w:line="440" w:lineRule="exact"/>
        <w:ind w:firstLine="365" w:firstLineChars="174"/>
        <w:rPr>
          <w:rFonts w:hint="eastAsia" w:ascii="宋体" w:hAnsi="宋体" w:cs="宋体"/>
          <w:b/>
          <w:bCs/>
          <w:color w:val="auto"/>
          <w:szCs w:val="21"/>
          <w:highlight w:val="none"/>
        </w:rPr>
      </w:pPr>
      <w:r>
        <w:rPr>
          <w:rFonts w:hint="eastAsia" w:ascii="宋体" w:hAnsi="宋体" w:cs="宋体"/>
          <w:b w:val="0"/>
          <w:bCs w:val="0"/>
          <w:color w:val="auto"/>
          <w:szCs w:val="21"/>
          <w:highlight w:val="none"/>
        </w:rPr>
        <w:t>3.2.4供应商的报价明显低于其他通过符合性审查供应商的报价，有可能影响</w:t>
      </w:r>
      <w:r>
        <w:rPr>
          <w:rFonts w:hint="eastAsia" w:ascii="宋体" w:hAnsi="宋体" w:cs="宋体"/>
          <w:b w:val="0"/>
          <w:bCs w:val="0"/>
          <w:color w:val="auto"/>
          <w:szCs w:val="21"/>
          <w:highlight w:val="none"/>
          <w:lang w:eastAsia="zh-CN"/>
        </w:rPr>
        <w:t>产品</w:t>
      </w:r>
      <w:r>
        <w:rPr>
          <w:rFonts w:hint="eastAsia" w:ascii="宋体" w:hAnsi="宋体" w:cs="宋体"/>
          <w:b w:val="0"/>
          <w:bCs w:val="0"/>
          <w:color w:val="auto"/>
          <w:szCs w:val="21"/>
          <w:highlight w:val="none"/>
        </w:rPr>
        <w:t>质量或者不能诚信履约的，磋商委员会应当要求其在磋商现场</w:t>
      </w:r>
      <w:r>
        <w:rPr>
          <w:rFonts w:hint="eastAsia" w:ascii="宋体" w:hAnsi="宋体" w:cs="宋体"/>
          <w:b w:val="0"/>
          <w:bCs w:val="0"/>
          <w:color w:val="auto"/>
          <w:kern w:val="0"/>
          <w:szCs w:val="21"/>
          <w:highlight w:val="none"/>
          <w:lang w:eastAsia="zh-CN"/>
        </w:rPr>
        <w:t>（或电子交易系统）</w:t>
      </w:r>
      <w:r>
        <w:rPr>
          <w:rFonts w:hint="eastAsia" w:ascii="宋体" w:hAnsi="宋体" w:cs="宋体"/>
          <w:b w:val="0"/>
          <w:bCs w:val="0"/>
          <w:color w:val="auto"/>
          <w:szCs w:val="21"/>
          <w:highlight w:val="none"/>
        </w:rPr>
        <w:t>合理的时间内提供书面说明</w:t>
      </w:r>
      <w:r>
        <w:rPr>
          <w:rFonts w:hint="eastAsia" w:ascii="宋体" w:hAnsi="宋体" w:cs="宋体"/>
          <w:b w:val="0"/>
          <w:bCs w:val="0"/>
          <w:color w:val="auto"/>
          <w:kern w:val="0"/>
          <w:szCs w:val="21"/>
          <w:highlight w:val="none"/>
          <w:lang w:eastAsia="zh-CN"/>
        </w:rPr>
        <w:t>（或电子澄清说明文件）</w:t>
      </w:r>
      <w:r>
        <w:rPr>
          <w:rFonts w:hint="eastAsia" w:ascii="宋体" w:hAnsi="宋体" w:cs="宋体"/>
          <w:b w:val="0"/>
          <w:bCs w:val="0"/>
          <w:color w:val="auto"/>
          <w:szCs w:val="21"/>
          <w:highlight w:val="none"/>
        </w:rPr>
        <w:t xml:space="preserve">，必要时提交相关证明材料；供应商不能证明其报价合理性的，磋商委员会应当将其作为无效投标处理。 </w:t>
      </w:r>
      <w:r>
        <w:rPr>
          <w:rFonts w:hint="eastAsia" w:ascii="宋体" w:hAnsi="宋体" w:cs="宋体"/>
          <w:b/>
          <w:bCs/>
          <w:color w:val="auto"/>
          <w:szCs w:val="21"/>
          <w:highlight w:val="none"/>
        </w:rPr>
        <w:t xml:space="preserve"> </w:t>
      </w:r>
    </w:p>
    <w:p w14:paraId="7F3A4CA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p>
    <w:p w14:paraId="3FA14438">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auto"/>
          <w:highlight w:val="none"/>
          <w:lang w:val="zh-CN"/>
        </w:rPr>
      </w:pPr>
      <w:r>
        <w:rPr>
          <w:rFonts w:hint="eastAsia" w:ascii="宋体" w:hAnsi="宋体" w:eastAsia="宋体" w:cs="宋体"/>
          <w:b/>
          <w:bCs/>
          <w:color w:val="auto"/>
          <w:sz w:val="21"/>
          <w:szCs w:val="21"/>
          <w:highlight w:val="none"/>
          <w:lang w:val="en-US" w:eastAsia="zh-CN"/>
        </w:rPr>
        <w:t>3.3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zh-CN"/>
        </w:rPr>
        <w:t>小型微型企业认定及评标价格评审（非专门面向中小企业适用）</w:t>
      </w:r>
    </w:p>
    <w:tbl>
      <w:tblPr>
        <w:tblStyle w:val="2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5BB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22B4431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内容</w:t>
            </w:r>
          </w:p>
        </w:tc>
        <w:tc>
          <w:tcPr>
            <w:tcW w:w="1561" w:type="dxa"/>
            <w:noWrap w:val="0"/>
            <w:vAlign w:val="center"/>
          </w:tcPr>
          <w:p w14:paraId="220AC823">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大型企业</w:t>
            </w:r>
          </w:p>
        </w:tc>
        <w:tc>
          <w:tcPr>
            <w:tcW w:w="1492" w:type="dxa"/>
            <w:noWrap w:val="0"/>
            <w:vAlign w:val="center"/>
          </w:tcPr>
          <w:p w14:paraId="4AEE023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中型企业</w:t>
            </w:r>
          </w:p>
        </w:tc>
        <w:tc>
          <w:tcPr>
            <w:tcW w:w="2273" w:type="dxa"/>
            <w:noWrap w:val="0"/>
            <w:vAlign w:val="center"/>
          </w:tcPr>
          <w:p w14:paraId="307E0DC5">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小型企业</w:t>
            </w:r>
          </w:p>
        </w:tc>
        <w:tc>
          <w:tcPr>
            <w:tcW w:w="2094" w:type="dxa"/>
            <w:noWrap w:val="0"/>
            <w:vAlign w:val="center"/>
          </w:tcPr>
          <w:p w14:paraId="2DC490D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微型企业</w:t>
            </w:r>
          </w:p>
        </w:tc>
      </w:tr>
      <w:tr w14:paraId="1BBE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75CD8A0D">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w:t>
            </w:r>
          </w:p>
        </w:tc>
        <w:tc>
          <w:tcPr>
            <w:tcW w:w="1561" w:type="dxa"/>
            <w:noWrap w:val="0"/>
            <w:vAlign w:val="center"/>
          </w:tcPr>
          <w:p w14:paraId="790AC25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1492" w:type="dxa"/>
            <w:noWrap w:val="0"/>
            <w:vAlign w:val="center"/>
          </w:tcPr>
          <w:p w14:paraId="1229AAB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p>
        </w:tc>
        <w:tc>
          <w:tcPr>
            <w:tcW w:w="2273" w:type="dxa"/>
            <w:noWrap w:val="0"/>
            <w:vAlign w:val="center"/>
          </w:tcPr>
          <w:p w14:paraId="10D8713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lang w:val="zh-CN"/>
              </w:rPr>
              <w:t>%）</w:t>
            </w:r>
          </w:p>
        </w:tc>
        <w:tc>
          <w:tcPr>
            <w:tcW w:w="2094" w:type="dxa"/>
            <w:noWrap w:val="0"/>
            <w:vAlign w:val="center"/>
          </w:tcPr>
          <w:p w14:paraId="6BE937BD">
            <w:pPr>
              <w:pageBreakBefore w:val="0"/>
              <w:kinsoku/>
              <w:wordWrap/>
              <w:overflowPunct/>
              <w:topLinePunct w:val="0"/>
              <w:bidi w:val="0"/>
              <w:snapToGrid/>
              <w:spacing w:line="400" w:lineRule="exact"/>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lang w:val="zh-CN"/>
              </w:rPr>
              <w:t>%）</w:t>
            </w:r>
          </w:p>
        </w:tc>
      </w:tr>
    </w:tbl>
    <w:p w14:paraId="0E9F331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根据《政府采购促进中小企业发展管理办法》（财库[20</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11]300号）、河南省财政厅 河南省工业和信息化厅《关于政府采购促进小型微型企业发展的实施意见》（豫财购[</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13]14号）文件规定，对小型和微型企业产品的价格给予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%的扣除，用扣除后的价格参与评审。</w:t>
      </w:r>
    </w:p>
    <w:p w14:paraId="0552DEB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7E82DB7B">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3根据财库(2017)141号文件规定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在政府</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活动中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残疾人福利性单位视同小型、微型企业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享受预留份额、评审中价格扣除等促进中小企业发展的政府采购政策。残疾人福利性单位属于小型、微型企业的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不重复享受政策。符合条件的残疾人福利性单位在参加政府采购活动时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应当提供《残疾人福利性单位声明函》(见</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并对声明的真实性负责。</w:t>
      </w:r>
    </w:p>
    <w:p w14:paraId="665450E1">
      <w:pPr>
        <w:pageBreakBefore w:val="0"/>
        <w:kinsoku/>
        <w:wordWrap/>
        <w:overflowPunct/>
        <w:topLinePunct w:val="0"/>
        <w:bidi w:val="0"/>
        <w:snapToGrid/>
        <w:spacing w:line="400" w:lineRule="exact"/>
        <w:ind w:left="0" w:leftChars="0" w:firstLine="422" w:firstLineChars="200"/>
        <w:textAlignment w:val="auto"/>
        <w:rPr>
          <w:rFonts w:hint="eastAsia"/>
          <w:color w:val="auto"/>
          <w:highlight w:val="none"/>
        </w:rPr>
      </w:pPr>
      <w:r>
        <w:rPr>
          <w:rFonts w:hint="eastAsia" w:ascii="宋体" w:hAnsi="宋体" w:eastAsia="宋体" w:cs="宋体"/>
          <w:b/>
          <w:bCs/>
          <w:color w:val="auto"/>
          <w:sz w:val="21"/>
          <w:szCs w:val="21"/>
          <w:highlight w:val="none"/>
        </w:rPr>
        <w:t>注：投标价格为含税价，应包含</w:t>
      </w:r>
      <w:r>
        <w:rPr>
          <w:rFonts w:hint="eastAsia" w:ascii="宋体" w:hAnsi="宋体" w:eastAsia="宋体" w:cs="宋体"/>
          <w:b/>
          <w:bCs/>
          <w:color w:val="auto"/>
          <w:sz w:val="21"/>
          <w:szCs w:val="21"/>
          <w:highlight w:val="none"/>
          <w:lang w:eastAsia="zh-CN"/>
        </w:rPr>
        <w:t>货物</w:t>
      </w:r>
      <w:r>
        <w:rPr>
          <w:rFonts w:hint="eastAsia" w:ascii="宋体" w:hAnsi="宋体" w:eastAsia="宋体" w:cs="宋体"/>
          <w:b/>
          <w:bCs/>
          <w:color w:val="auto"/>
          <w:sz w:val="21"/>
          <w:szCs w:val="21"/>
          <w:highlight w:val="none"/>
        </w:rPr>
        <w:t>配送到</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指定地点落地交货前的一切费用及后期培训费用等。</w:t>
      </w:r>
    </w:p>
    <w:p w14:paraId="37F96A38">
      <w:pPr>
        <w:pStyle w:val="50"/>
        <w:spacing w:line="360" w:lineRule="auto"/>
        <w:outlineLvl w:val="0"/>
        <w:rPr>
          <w:rFonts w:hint="eastAsia" w:ascii="宋体" w:hAnsi="宋体" w:eastAsia="宋体"/>
          <w:b/>
          <w:bCs/>
          <w:color w:val="auto"/>
          <w:sz w:val="21"/>
          <w:szCs w:val="21"/>
          <w:highlight w:val="none"/>
        </w:rPr>
      </w:pPr>
      <w:bookmarkStart w:id="312" w:name="_Toc8053"/>
      <w:r>
        <w:rPr>
          <w:rFonts w:hint="eastAsia" w:ascii="宋体" w:hAnsi="宋体" w:eastAsia="宋体"/>
          <w:b/>
          <w:bCs/>
          <w:color w:val="auto"/>
          <w:sz w:val="21"/>
          <w:szCs w:val="21"/>
          <w:highlight w:val="none"/>
        </w:rPr>
        <w:t>3.3 磋商有效期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1B57B7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在供应商须知前附表规定的磋商有效期内，供应商不得要求撤销或修改其响应文件。</w:t>
      </w:r>
    </w:p>
    <w:p w14:paraId="38167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5BEA3C2C">
      <w:pPr>
        <w:pStyle w:val="50"/>
        <w:spacing w:line="360" w:lineRule="auto"/>
        <w:outlineLvl w:val="0"/>
        <w:rPr>
          <w:rFonts w:hint="eastAsia" w:ascii="宋体" w:hAnsi="宋体" w:eastAsia="宋体"/>
          <w:b/>
          <w:bCs/>
          <w:color w:val="auto"/>
          <w:sz w:val="21"/>
          <w:szCs w:val="21"/>
          <w:highlight w:val="none"/>
          <w:lang w:eastAsia="zh-CN"/>
        </w:rPr>
      </w:pPr>
      <w:bookmarkStart w:id="313" w:name="_Toc7973"/>
      <w:bookmarkStart w:id="314" w:name="_Toc22634"/>
      <w:bookmarkStart w:id="315" w:name="_Toc144974518"/>
      <w:bookmarkStart w:id="316" w:name="_Toc30697"/>
      <w:bookmarkStart w:id="317" w:name="_Toc455080127"/>
      <w:bookmarkStart w:id="318" w:name="_Toc152042326"/>
      <w:bookmarkStart w:id="319" w:name="_Toc4165"/>
      <w:bookmarkStart w:id="320" w:name="_Toc318450694"/>
      <w:bookmarkStart w:id="321" w:name="_Toc7618"/>
      <w:bookmarkStart w:id="322" w:name="_Toc8406"/>
      <w:bookmarkStart w:id="323" w:name="_Toc2505"/>
      <w:bookmarkStart w:id="324" w:name="_Toc7057"/>
      <w:bookmarkStart w:id="325" w:name="_Toc466298110"/>
      <w:bookmarkStart w:id="326" w:name="_Toc490667847"/>
      <w:bookmarkStart w:id="327" w:name="_Toc10370"/>
      <w:bookmarkStart w:id="328" w:name="_Toc152045550"/>
      <w:bookmarkStart w:id="329" w:name="_Toc455867787"/>
      <w:bookmarkStart w:id="330" w:name="_Toc19960"/>
      <w:bookmarkStart w:id="331" w:name="_Toc13921"/>
      <w:r>
        <w:rPr>
          <w:rFonts w:hint="eastAsia" w:ascii="宋体" w:hAnsi="宋体" w:eastAsia="宋体"/>
          <w:b/>
          <w:bCs/>
          <w:color w:val="auto"/>
          <w:sz w:val="21"/>
          <w:szCs w:val="21"/>
          <w:highlight w:val="none"/>
        </w:rPr>
        <w:t>3.4 磋商保证金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Start w:id="332" w:name="_Toc152042328"/>
      <w:bookmarkStart w:id="333" w:name="_Toc152045552"/>
      <w:bookmarkStart w:id="334" w:name="_Toc144974520"/>
      <w:bookmarkStart w:id="335" w:name="_Toc318450695"/>
      <w:r>
        <w:rPr>
          <w:rFonts w:hint="eastAsia" w:ascii="宋体" w:hAnsi="宋体" w:eastAsia="宋体"/>
          <w:b/>
          <w:bCs/>
          <w:color w:val="auto"/>
          <w:sz w:val="21"/>
          <w:szCs w:val="21"/>
          <w:highlight w:val="none"/>
          <w:lang w:eastAsia="zh-CN"/>
        </w:rPr>
        <w:t>：无。</w:t>
      </w:r>
      <w:bookmarkEnd w:id="330"/>
      <w:bookmarkEnd w:id="331"/>
    </w:p>
    <w:p w14:paraId="659B3635">
      <w:pPr>
        <w:pStyle w:val="50"/>
        <w:spacing w:line="360" w:lineRule="auto"/>
        <w:outlineLvl w:val="0"/>
        <w:rPr>
          <w:rFonts w:hint="eastAsia" w:ascii="宋体" w:hAnsi="宋体" w:eastAsia="宋体"/>
          <w:b/>
          <w:bCs/>
          <w:color w:val="auto"/>
          <w:sz w:val="21"/>
          <w:szCs w:val="21"/>
          <w:highlight w:val="none"/>
        </w:rPr>
      </w:pPr>
      <w:bookmarkStart w:id="336" w:name="_Toc466298111"/>
      <w:bookmarkStart w:id="337" w:name="_Toc490667848"/>
      <w:bookmarkStart w:id="338" w:name="_Toc455867788"/>
      <w:bookmarkStart w:id="339" w:name="_Toc15547"/>
      <w:bookmarkStart w:id="340" w:name="_Toc13680"/>
      <w:bookmarkStart w:id="341" w:name="_Toc27579"/>
      <w:bookmarkStart w:id="342" w:name="_Toc22527"/>
      <w:bookmarkStart w:id="343" w:name="_Toc22384"/>
      <w:bookmarkStart w:id="344" w:name="_Toc2794"/>
      <w:bookmarkStart w:id="345" w:name="_Toc11077"/>
      <w:bookmarkStart w:id="346" w:name="_Toc455080128"/>
      <w:bookmarkStart w:id="347" w:name="_Toc10038"/>
      <w:bookmarkStart w:id="348" w:name="_Toc17153"/>
      <w:bookmarkStart w:id="349" w:name="_Toc20328"/>
      <w:bookmarkStart w:id="350" w:name="_Toc16747"/>
      <w:r>
        <w:rPr>
          <w:rFonts w:hint="eastAsia" w:ascii="宋体" w:hAnsi="宋体" w:eastAsia="宋体"/>
          <w:b/>
          <w:bCs/>
          <w:color w:val="auto"/>
          <w:sz w:val="21"/>
          <w:szCs w:val="21"/>
          <w:highlight w:val="none"/>
        </w:rPr>
        <w:t>3.5资格审查资料</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A5272A8">
      <w:pPr>
        <w:pStyle w:val="50"/>
        <w:spacing w:line="360" w:lineRule="auto"/>
        <w:ind w:firstLine="315" w:firstLineChars="150"/>
        <w:outlineLvl w:val="0"/>
        <w:rPr>
          <w:rFonts w:hint="eastAsia" w:ascii="宋体" w:hAnsi="宋体" w:eastAsia="宋体"/>
          <w:color w:val="auto"/>
          <w:kern w:val="2"/>
          <w:sz w:val="21"/>
          <w:szCs w:val="21"/>
          <w:highlight w:val="none"/>
          <w:lang w:val="en-US" w:eastAsia="zh-CN"/>
        </w:rPr>
      </w:pPr>
      <w:bookmarkStart w:id="351" w:name="_Toc31446"/>
      <w:bookmarkStart w:id="352" w:name="_Toc4586"/>
      <w:bookmarkStart w:id="353" w:name="_Toc152042329"/>
      <w:bookmarkStart w:id="354" w:name="_Toc19724"/>
      <w:bookmarkStart w:id="355" w:name="_Toc18915"/>
      <w:bookmarkStart w:id="356" w:name="_Toc26258"/>
      <w:bookmarkStart w:id="357" w:name="_Toc9015"/>
      <w:bookmarkStart w:id="358" w:name="_Toc152045553"/>
      <w:bookmarkStart w:id="359" w:name="_Toc30442"/>
      <w:bookmarkStart w:id="360" w:name="_Toc144974521"/>
      <w:bookmarkStart w:id="361" w:name="_Toc11694"/>
      <w:bookmarkStart w:id="362" w:name="_Toc3286"/>
      <w:bookmarkStart w:id="363" w:name="_Toc455080129"/>
      <w:bookmarkStart w:id="364" w:name="_Toc455867789"/>
      <w:bookmarkStart w:id="365" w:name="_Toc318450696"/>
      <w:bookmarkStart w:id="366" w:name="_Toc1228"/>
      <w:bookmarkStart w:id="367" w:name="_Toc490667849"/>
      <w:bookmarkStart w:id="368" w:name="_Toc466298112"/>
      <w:bookmarkStart w:id="369" w:name="_Toc5132"/>
      <w:r>
        <w:rPr>
          <w:rFonts w:hint="eastAsia" w:ascii="宋体" w:hAnsi="宋体" w:eastAsia="宋体"/>
          <w:color w:val="auto"/>
          <w:kern w:val="2"/>
          <w:sz w:val="21"/>
          <w:szCs w:val="21"/>
          <w:highlight w:val="none"/>
          <w:lang w:val="en-US" w:eastAsia="zh-CN"/>
        </w:rPr>
        <w:t>按照第二章供应商须知表“供应商须知前附表”1.5.1要求，提供其他相关材料。</w:t>
      </w:r>
      <w:bookmarkEnd w:id="351"/>
      <w:bookmarkEnd w:id="352"/>
    </w:p>
    <w:p w14:paraId="7B04CAC7">
      <w:pPr>
        <w:pStyle w:val="50"/>
        <w:spacing w:line="360" w:lineRule="auto"/>
        <w:outlineLvl w:val="0"/>
        <w:rPr>
          <w:rFonts w:hint="eastAsia" w:ascii="宋体" w:hAnsi="宋体" w:eastAsia="宋体"/>
          <w:b/>
          <w:bCs/>
          <w:color w:val="auto"/>
          <w:sz w:val="21"/>
          <w:szCs w:val="21"/>
          <w:highlight w:val="none"/>
        </w:rPr>
      </w:pPr>
      <w:bookmarkStart w:id="370" w:name="_Toc24859"/>
      <w:bookmarkStart w:id="371" w:name="_Toc30939"/>
      <w:r>
        <w:rPr>
          <w:rFonts w:hint="eastAsia" w:ascii="宋体" w:hAnsi="宋体" w:eastAsia="宋体"/>
          <w:b/>
          <w:bCs/>
          <w:color w:val="auto"/>
          <w:sz w:val="21"/>
          <w:szCs w:val="21"/>
          <w:highlight w:val="none"/>
        </w:rPr>
        <w:t>3.6 备选方案</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EEABB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除供应商须知前附表另有规定外，供应商不得递交备选磋商方案。</w:t>
      </w:r>
    </w:p>
    <w:p w14:paraId="690A77DE">
      <w:pPr>
        <w:pStyle w:val="50"/>
        <w:spacing w:line="360" w:lineRule="auto"/>
        <w:outlineLvl w:val="0"/>
        <w:rPr>
          <w:rFonts w:hint="eastAsia" w:ascii="宋体" w:hAnsi="宋体" w:eastAsia="宋体"/>
          <w:b/>
          <w:bCs/>
          <w:color w:val="auto"/>
          <w:sz w:val="21"/>
          <w:szCs w:val="21"/>
          <w:highlight w:val="none"/>
        </w:rPr>
      </w:pPr>
      <w:bookmarkStart w:id="372" w:name="_Toc28656"/>
      <w:bookmarkStart w:id="373" w:name="_Toc466298113"/>
      <w:bookmarkStart w:id="374" w:name="_Toc3917"/>
      <w:bookmarkStart w:id="375" w:name="_Toc6323"/>
      <w:bookmarkStart w:id="376" w:name="_Toc144974522"/>
      <w:bookmarkStart w:id="377" w:name="_Toc7626"/>
      <w:bookmarkStart w:id="378" w:name="_Toc17697"/>
      <w:bookmarkStart w:id="379" w:name="_Toc5516"/>
      <w:bookmarkStart w:id="380" w:name="_Toc455867790"/>
      <w:bookmarkStart w:id="381" w:name="_Toc152042330"/>
      <w:bookmarkStart w:id="382" w:name="_Toc455080130"/>
      <w:bookmarkStart w:id="383" w:name="_Toc7966"/>
      <w:bookmarkStart w:id="384" w:name="_Toc25620"/>
      <w:bookmarkStart w:id="385" w:name="_Toc12275"/>
      <w:bookmarkStart w:id="386" w:name="_Toc318450697"/>
      <w:bookmarkStart w:id="387" w:name="_Toc18912"/>
      <w:bookmarkStart w:id="388" w:name="_Toc152045554"/>
      <w:bookmarkStart w:id="389" w:name="_Toc490667850"/>
      <w:bookmarkStart w:id="390" w:name="_Toc12541"/>
      <w:r>
        <w:rPr>
          <w:rFonts w:hint="eastAsia" w:ascii="宋体" w:hAnsi="宋体" w:eastAsia="宋体"/>
          <w:b/>
          <w:bCs/>
          <w:color w:val="auto"/>
          <w:sz w:val="21"/>
          <w:szCs w:val="21"/>
          <w:highlight w:val="none"/>
        </w:rPr>
        <w:t>3.7 响应文件的编制</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506B0E7">
      <w:pPr>
        <w:spacing w:line="360" w:lineRule="auto"/>
        <w:ind w:firstLine="420" w:firstLineChars="200"/>
        <w:rPr>
          <w:rFonts w:hint="eastAsia" w:ascii="宋体" w:hAnsi="宋体" w:cs="宋体"/>
          <w:color w:val="auto"/>
          <w:szCs w:val="21"/>
          <w:highlight w:val="none"/>
        </w:rPr>
      </w:pPr>
      <w:bookmarkStart w:id="391" w:name="_Toc455080131"/>
      <w:bookmarkStart w:id="392" w:name="_Toc152042331"/>
      <w:bookmarkStart w:id="393" w:name="_Toc152045555"/>
      <w:bookmarkStart w:id="394" w:name="_Toc144974523"/>
      <w:r>
        <w:rPr>
          <w:rFonts w:hint="eastAsia" w:ascii="宋体" w:hAnsi="宋体" w:cs="宋体"/>
          <w:color w:val="auto"/>
          <w:szCs w:val="21"/>
          <w:highlight w:val="none"/>
        </w:rPr>
        <w:t>3.7.1响应文件应按</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”进行编写，如有必要，可以增加附页，作为响应文件的组成部分。其中，</w:t>
      </w:r>
      <w:r>
        <w:rPr>
          <w:rFonts w:hint="eastAsia" w:ascii="宋体" w:hAnsi="宋体" w:cs="宋体"/>
          <w:color w:val="auto"/>
          <w:szCs w:val="21"/>
          <w:highlight w:val="none"/>
          <w:lang w:eastAsia="zh-CN"/>
        </w:rPr>
        <w:t>响应函</w:t>
      </w:r>
      <w:r>
        <w:rPr>
          <w:rFonts w:hint="eastAsia" w:ascii="宋体" w:hAnsi="宋体" w:cs="宋体"/>
          <w:color w:val="auto"/>
          <w:szCs w:val="21"/>
          <w:highlight w:val="none"/>
        </w:rPr>
        <w:t>附录在满足</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实质性要求的基础上，可以提出比</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要求更有利于采购人的承诺。</w:t>
      </w:r>
    </w:p>
    <w:p w14:paraId="4E77B2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 响应文件应当对</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有关</w:t>
      </w:r>
      <w:r>
        <w:rPr>
          <w:rFonts w:hint="eastAsia" w:ascii="宋体" w:hAnsi="宋体" w:cs="宋体"/>
          <w:color w:val="auto"/>
          <w:szCs w:val="21"/>
          <w:highlight w:val="none"/>
          <w:lang w:eastAsia="zh-CN"/>
        </w:rPr>
        <w:t>工期</w:t>
      </w:r>
      <w:r>
        <w:rPr>
          <w:rFonts w:hint="eastAsia" w:ascii="宋体" w:hAnsi="宋体" w:cs="宋体"/>
          <w:color w:val="auto"/>
          <w:szCs w:val="21"/>
          <w:highlight w:val="none"/>
        </w:rPr>
        <w:t>、磋商有效期、</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磋商内容</w:t>
      </w:r>
      <w:r>
        <w:rPr>
          <w:rFonts w:hint="eastAsia" w:ascii="宋体" w:hAnsi="宋体" w:cs="宋体"/>
          <w:color w:val="auto"/>
          <w:szCs w:val="21"/>
          <w:highlight w:val="none"/>
        </w:rPr>
        <w:t>作出响应。</w:t>
      </w:r>
    </w:p>
    <w:p w14:paraId="4EB7C5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3.7.3响应文件应使用信阳市公共资源交易系统投标文件制作专用工具软件编制，</w:t>
      </w:r>
      <w:r>
        <w:rPr>
          <w:rFonts w:hint="eastAsia" w:ascii="宋体" w:hAnsi="宋体" w:cs="宋体"/>
          <w:color w:val="auto"/>
          <w:szCs w:val="21"/>
          <w:highlight w:val="none"/>
          <w:lang w:eastAsia="zh-CN"/>
        </w:rPr>
        <w:t>竞争性磋商响应文件格式</w:t>
      </w:r>
      <w:r>
        <w:rPr>
          <w:rFonts w:hint="eastAsia" w:ascii="宋体" w:hAnsi="宋体" w:cs="宋体"/>
          <w:color w:val="auto"/>
          <w:szCs w:val="21"/>
          <w:highlight w:val="none"/>
        </w:rPr>
        <w:t>为“*.XYTF”。电子响应文件签字或盖章的具体要求见供应商须知前附表。）供应商须在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递交截止时间前制作并提交。</w:t>
      </w:r>
    </w:p>
    <w:p w14:paraId="0F701E62">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 3.7.4 响应文件份数见供应商须知前附表。</w:t>
      </w:r>
    </w:p>
    <w:p w14:paraId="778AFDF5">
      <w:pPr>
        <w:pStyle w:val="48"/>
        <w:spacing w:before="0" w:beforeLines="0" w:line="360" w:lineRule="auto"/>
        <w:rPr>
          <w:rFonts w:hint="eastAsia" w:ascii="宋体" w:hAnsi="宋体" w:eastAsia="宋体"/>
          <w:b/>
          <w:bCs/>
          <w:color w:val="auto"/>
          <w:sz w:val="21"/>
          <w:szCs w:val="21"/>
          <w:highlight w:val="none"/>
        </w:rPr>
      </w:pPr>
      <w:bookmarkStart w:id="395" w:name="_Toc19433"/>
      <w:r>
        <w:rPr>
          <w:rFonts w:hint="eastAsia" w:ascii="宋体" w:hAnsi="宋体" w:eastAsia="宋体"/>
          <w:b/>
          <w:bCs/>
          <w:color w:val="auto"/>
          <w:sz w:val="21"/>
          <w:szCs w:val="21"/>
          <w:highlight w:val="none"/>
        </w:rPr>
        <w:t xml:space="preserve">4. </w:t>
      </w:r>
      <w:bookmarkEnd w:id="391"/>
      <w:bookmarkEnd w:id="392"/>
      <w:bookmarkEnd w:id="393"/>
      <w:bookmarkEnd w:id="394"/>
      <w:r>
        <w:rPr>
          <w:rFonts w:hint="eastAsia" w:ascii="宋体" w:hAnsi="宋体" w:eastAsia="宋体"/>
          <w:b/>
          <w:bCs/>
          <w:color w:val="auto"/>
          <w:sz w:val="21"/>
          <w:szCs w:val="21"/>
          <w:highlight w:val="none"/>
        </w:rPr>
        <w:t>磋商</w:t>
      </w:r>
      <w:bookmarkEnd w:id="395"/>
    </w:p>
    <w:p w14:paraId="08CAC660">
      <w:pPr>
        <w:pStyle w:val="50"/>
        <w:spacing w:line="360" w:lineRule="auto"/>
        <w:outlineLvl w:val="0"/>
        <w:rPr>
          <w:rFonts w:hint="eastAsia" w:ascii="宋体" w:hAnsi="宋体" w:eastAsia="宋体"/>
          <w:b/>
          <w:bCs/>
          <w:color w:val="auto"/>
          <w:sz w:val="21"/>
          <w:szCs w:val="21"/>
          <w:highlight w:val="none"/>
          <w:lang w:eastAsia="zh-CN"/>
        </w:rPr>
      </w:pPr>
      <w:bookmarkStart w:id="396" w:name="_Toc490667852"/>
      <w:bookmarkStart w:id="397" w:name="_Toc144974524"/>
      <w:bookmarkStart w:id="398" w:name="_Toc11243"/>
      <w:bookmarkStart w:id="399" w:name="_Toc455867792"/>
      <w:bookmarkStart w:id="400" w:name="_Toc26583"/>
      <w:bookmarkStart w:id="401" w:name="_Toc466298115"/>
      <w:bookmarkStart w:id="402" w:name="_Toc318450699"/>
      <w:bookmarkStart w:id="403" w:name="_Toc31492"/>
      <w:bookmarkStart w:id="404" w:name="_Toc152042332"/>
      <w:bookmarkStart w:id="405" w:name="_Toc152045556"/>
      <w:bookmarkStart w:id="406" w:name="_Toc16962"/>
      <w:bookmarkStart w:id="407" w:name="_Toc455080132"/>
      <w:bookmarkStart w:id="408" w:name="_Toc18820"/>
      <w:bookmarkStart w:id="409" w:name="_Toc22961"/>
      <w:bookmarkStart w:id="410" w:name="_Toc16783"/>
      <w:bookmarkStart w:id="411" w:name="_Toc26550"/>
      <w:bookmarkStart w:id="412" w:name="_Toc16344"/>
      <w:bookmarkStart w:id="413" w:name="_Toc26853"/>
      <w:bookmarkStart w:id="414" w:name="_Toc21145"/>
      <w:r>
        <w:rPr>
          <w:rFonts w:hint="eastAsia" w:ascii="宋体" w:hAnsi="宋体" w:eastAsia="宋体"/>
          <w:b/>
          <w:bCs/>
          <w:color w:val="auto"/>
          <w:sz w:val="21"/>
          <w:szCs w:val="21"/>
          <w:highlight w:val="none"/>
        </w:rPr>
        <w:t>4.1 响应文件的</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eastAsia="宋体"/>
          <w:b/>
          <w:bCs/>
          <w:color w:val="auto"/>
          <w:sz w:val="21"/>
          <w:szCs w:val="21"/>
          <w:highlight w:val="none"/>
          <w:lang w:eastAsia="zh-CN"/>
        </w:rPr>
        <w:t>上传</w:t>
      </w:r>
      <w:bookmarkEnd w:id="413"/>
      <w:bookmarkEnd w:id="414"/>
    </w:p>
    <w:p w14:paraId="414AB0ED">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4.1.1网上上传的电子响应文件应使用供应商数字证书认证并加密</w:t>
      </w:r>
      <w:r>
        <w:rPr>
          <w:rFonts w:hint="eastAsia" w:ascii="宋体" w:hAnsi="宋体"/>
          <w:color w:val="auto"/>
          <w:szCs w:val="21"/>
          <w:highlight w:val="none"/>
        </w:rPr>
        <w:t>。</w:t>
      </w:r>
    </w:p>
    <w:p w14:paraId="7D14C70D">
      <w:pPr>
        <w:pStyle w:val="50"/>
        <w:spacing w:line="360" w:lineRule="auto"/>
        <w:outlineLvl w:val="0"/>
        <w:rPr>
          <w:rFonts w:hint="eastAsia" w:ascii="宋体" w:hAnsi="宋体" w:eastAsia="宋体"/>
          <w:b/>
          <w:bCs/>
          <w:color w:val="auto"/>
          <w:sz w:val="21"/>
          <w:szCs w:val="21"/>
          <w:highlight w:val="none"/>
        </w:rPr>
      </w:pPr>
      <w:bookmarkStart w:id="415" w:name="_Toc490667853"/>
      <w:bookmarkStart w:id="416" w:name="_Toc7663"/>
      <w:bookmarkStart w:id="417" w:name="_Toc27132"/>
      <w:bookmarkStart w:id="418" w:name="_Toc16832"/>
      <w:bookmarkStart w:id="419" w:name="_Toc318450700"/>
      <w:bookmarkStart w:id="420" w:name="_Toc21072"/>
      <w:bookmarkStart w:id="421" w:name="_Toc23044"/>
      <w:bookmarkStart w:id="422" w:name="_Toc152045557"/>
      <w:bookmarkStart w:id="423" w:name="_Toc4767"/>
      <w:bookmarkStart w:id="424" w:name="_Toc466298116"/>
      <w:bookmarkStart w:id="425" w:name="_Toc28272"/>
      <w:bookmarkStart w:id="426" w:name="_Toc462"/>
      <w:bookmarkStart w:id="427" w:name="_Toc8754"/>
      <w:bookmarkStart w:id="428" w:name="_Toc144974525"/>
      <w:bookmarkStart w:id="429" w:name="_Toc21897"/>
      <w:bookmarkStart w:id="430" w:name="_Toc20259"/>
      <w:bookmarkStart w:id="431" w:name="_Toc152042333"/>
      <w:bookmarkStart w:id="432" w:name="_Toc455867793"/>
      <w:bookmarkStart w:id="433" w:name="_Toc455080133"/>
      <w:r>
        <w:rPr>
          <w:rFonts w:hint="eastAsia" w:ascii="宋体" w:hAnsi="宋体" w:eastAsia="宋体"/>
          <w:b/>
          <w:bCs/>
          <w:color w:val="auto"/>
          <w:sz w:val="21"/>
          <w:szCs w:val="21"/>
          <w:highlight w:val="none"/>
        </w:rPr>
        <w:t>4.2 响应文件的递交</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AB4683D">
      <w:pPr>
        <w:spacing w:line="400" w:lineRule="exact"/>
        <w:ind w:firstLine="420" w:firstLineChars="200"/>
        <w:rPr>
          <w:rFonts w:hint="eastAsia" w:ascii="宋体" w:hAnsi="宋体" w:cs="宋体"/>
          <w:color w:val="auto"/>
          <w:highlight w:val="none"/>
        </w:rPr>
      </w:pPr>
      <w:bookmarkStart w:id="434" w:name="_Toc20281"/>
      <w:bookmarkStart w:id="435" w:name="_Toc466298117"/>
      <w:bookmarkStart w:id="436" w:name="_Toc318450701"/>
      <w:bookmarkStart w:id="437" w:name="_Toc144974526"/>
      <w:bookmarkStart w:id="438" w:name="_Toc152045558"/>
      <w:bookmarkStart w:id="439" w:name="_Toc2952"/>
      <w:bookmarkStart w:id="440" w:name="_Toc19951"/>
      <w:bookmarkStart w:id="441" w:name="_Toc5102"/>
      <w:bookmarkStart w:id="442" w:name="_Toc21890"/>
      <w:bookmarkStart w:id="443" w:name="_Toc26684"/>
      <w:bookmarkStart w:id="444" w:name="_Toc455867794"/>
      <w:bookmarkStart w:id="445" w:name="_Toc152042334"/>
      <w:bookmarkStart w:id="446" w:name="_Toc17161"/>
      <w:bookmarkStart w:id="447" w:name="_Toc490667854"/>
      <w:bookmarkStart w:id="448" w:name="_Toc455080134"/>
      <w:bookmarkStart w:id="449" w:name="_Toc11817"/>
      <w:bookmarkStart w:id="450" w:name="_Toc30860"/>
      <w:r>
        <w:rPr>
          <w:rFonts w:hint="eastAsia" w:ascii="宋体" w:hAnsi="宋体" w:cs="宋体"/>
          <w:color w:val="auto"/>
          <w:highlight w:val="none"/>
        </w:rPr>
        <w:t>4.2.1电子响应文件的递交</w:t>
      </w:r>
    </w:p>
    <w:p w14:paraId="56DD9DC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响应文件提交截止时间前</w:t>
      </w:r>
      <w:r>
        <w:rPr>
          <w:rFonts w:hint="eastAsia" w:ascii="宋体" w:hAnsi="宋体" w:cs="宋体"/>
          <w:color w:val="auto"/>
          <w:highlight w:val="none"/>
        </w:rPr>
        <w:t>上传加密的电子响应文件（*.XYTF）到会员系统的指定位置。上传的电子响应文件应使用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CA数字证书认证并加密。上传时必须得到交易系统“上传成功”的确认回复后方为上传成功。请供应商在上传前务必认真检查上传响应文件是否完整、正确。</w:t>
      </w:r>
    </w:p>
    <w:p w14:paraId="456B4CCD">
      <w:pPr>
        <w:pStyle w:val="50"/>
        <w:spacing w:line="360" w:lineRule="auto"/>
        <w:outlineLvl w:val="0"/>
        <w:rPr>
          <w:rFonts w:hint="eastAsia" w:ascii="宋体" w:hAnsi="宋体" w:eastAsia="宋体"/>
          <w:b/>
          <w:bCs/>
          <w:color w:val="auto"/>
          <w:sz w:val="21"/>
          <w:szCs w:val="21"/>
          <w:highlight w:val="none"/>
        </w:rPr>
      </w:pPr>
      <w:bookmarkStart w:id="451" w:name="_Toc1790"/>
      <w:bookmarkStart w:id="452" w:name="_Toc20194"/>
      <w:r>
        <w:rPr>
          <w:rFonts w:hint="eastAsia" w:ascii="宋体" w:hAnsi="宋体" w:eastAsia="宋体"/>
          <w:b/>
          <w:bCs/>
          <w:color w:val="auto"/>
          <w:sz w:val="21"/>
          <w:szCs w:val="21"/>
          <w:highlight w:val="none"/>
        </w:rPr>
        <w:t>4.3 响应文件的修改与撤回</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874351F">
      <w:pPr>
        <w:spacing w:line="400" w:lineRule="exact"/>
        <w:ind w:firstLine="420" w:firstLineChars="200"/>
        <w:rPr>
          <w:rFonts w:hint="eastAsia" w:ascii="宋体" w:hAnsi="宋体" w:cs="宋体"/>
          <w:color w:val="auto"/>
          <w:szCs w:val="21"/>
          <w:highlight w:val="none"/>
        </w:rPr>
      </w:pPr>
      <w:bookmarkStart w:id="453" w:name="_Toc152042335"/>
      <w:bookmarkStart w:id="454" w:name="_Toc152045559"/>
      <w:bookmarkStart w:id="455" w:name="_Toc144974527"/>
      <w:bookmarkStart w:id="456" w:name="_Toc455080135"/>
      <w:r>
        <w:rPr>
          <w:rFonts w:hint="eastAsia" w:ascii="宋体" w:hAnsi="宋体" w:cs="宋体"/>
          <w:color w:val="auto"/>
          <w:szCs w:val="21"/>
          <w:highlight w:val="none"/>
        </w:rPr>
        <w:t>4.3.1 在第一章“</w:t>
      </w:r>
      <w:r>
        <w:rPr>
          <w:rFonts w:hint="eastAsia" w:ascii="宋体" w:hAnsi="宋体" w:cs="宋体"/>
          <w:color w:val="auto"/>
          <w:szCs w:val="21"/>
          <w:highlight w:val="none"/>
          <w:lang w:eastAsia="zh-CN"/>
        </w:rPr>
        <w:t>竞争性磋商公告</w:t>
      </w:r>
      <w:r>
        <w:rPr>
          <w:rFonts w:hint="eastAsia" w:ascii="宋体" w:hAnsi="宋体" w:cs="宋体"/>
          <w:color w:val="auto"/>
          <w:szCs w:val="21"/>
          <w:highlight w:val="none"/>
        </w:rPr>
        <w:t>”规定的</w:t>
      </w:r>
      <w:r>
        <w:rPr>
          <w:rFonts w:hint="eastAsia" w:ascii="宋体" w:hAnsi="宋体" w:cs="宋体"/>
          <w:color w:val="auto"/>
          <w:szCs w:val="21"/>
          <w:highlight w:val="none"/>
          <w:lang w:eastAsia="zh-CN"/>
        </w:rPr>
        <w:t>响应文件提交</w:t>
      </w:r>
      <w:r>
        <w:rPr>
          <w:rFonts w:hint="eastAsia" w:ascii="宋体" w:hAnsi="宋体" w:cs="宋体"/>
          <w:color w:val="auto"/>
          <w:szCs w:val="21"/>
          <w:highlight w:val="none"/>
        </w:rPr>
        <w:t>截止时间前，供应商可以多次修改或撤回已递交的响应文件，最终响应文件以</w:t>
      </w:r>
      <w:r>
        <w:rPr>
          <w:rFonts w:hint="eastAsia" w:ascii="宋体" w:hAnsi="宋体" w:cs="宋体"/>
          <w:color w:val="auto"/>
          <w:szCs w:val="21"/>
          <w:highlight w:val="none"/>
          <w:lang w:eastAsia="zh-CN"/>
        </w:rPr>
        <w:t>响应文件提交截止时间前</w:t>
      </w:r>
      <w:r>
        <w:rPr>
          <w:rFonts w:hint="eastAsia" w:ascii="宋体" w:hAnsi="宋体" w:cs="宋体"/>
          <w:color w:val="auto"/>
          <w:szCs w:val="21"/>
          <w:highlight w:val="none"/>
        </w:rPr>
        <w:t>完成上传至信阳市公共资源交易中心交易系统最后一份响应文件为准。</w:t>
      </w:r>
    </w:p>
    <w:p w14:paraId="3D8887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4.3.2修改的响应文件应按照本章第3.7条、第4.2条规定进行编制和递交。</w:t>
      </w:r>
    </w:p>
    <w:bookmarkEnd w:id="453"/>
    <w:bookmarkEnd w:id="454"/>
    <w:bookmarkEnd w:id="455"/>
    <w:p w14:paraId="7C061120">
      <w:pPr>
        <w:spacing w:line="400" w:lineRule="exact"/>
        <w:outlineLvl w:val="1"/>
        <w:rPr>
          <w:rFonts w:hint="eastAsia" w:ascii="宋体" w:hAnsi="宋体"/>
          <w:b/>
          <w:bCs/>
          <w:color w:val="auto"/>
          <w:szCs w:val="21"/>
          <w:highlight w:val="none"/>
        </w:rPr>
      </w:pPr>
      <w:bookmarkStart w:id="457" w:name="_Toc14969"/>
      <w:r>
        <w:rPr>
          <w:rFonts w:hint="eastAsia" w:ascii="宋体" w:hAnsi="宋体"/>
          <w:b/>
          <w:bCs/>
          <w:color w:val="auto"/>
          <w:szCs w:val="21"/>
          <w:highlight w:val="none"/>
        </w:rPr>
        <w:t>5.磋商开始</w:t>
      </w:r>
      <w:bookmarkEnd w:id="456"/>
      <w:bookmarkEnd w:id="457"/>
      <w:bookmarkStart w:id="458" w:name="_Toc20660"/>
      <w:bookmarkStart w:id="459" w:name="_Toc26426"/>
      <w:bookmarkStart w:id="460" w:name="_Toc14"/>
      <w:bookmarkStart w:id="461" w:name="_Toc455867796"/>
      <w:bookmarkStart w:id="462" w:name="_Toc9969"/>
      <w:bookmarkStart w:id="463" w:name="_Toc455080136"/>
      <w:bookmarkStart w:id="464" w:name="_Toc20333"/>
      <w:bookmarkStart w:id="465" w:name="_Toc152042336"/>
      <w:bookmarkStart w:id="466" w:name="_Toc144974528"/>
      <w:bookmarkStart w:id="467" w:name="_Toc16040"/>
      <w:bookmarkStart w:id="468" w:name="_Toc490667856"/>
      <w:bookmarkStart w:id="469" w:name="_Toc152045560"/>
      <w:bookmarkStart w:id="470" w:name="_Toc25809"/>
      <w:bookmarkStart w:id="471" w:name="_Toc6763"/>
      <w:bookmarkStart w:id="472" w:name="_Toc25533"/>
      <w:bookmarkStart w:id="473" w:name="_Toc466298119"/>
      <w:bookmarkStart w:id="474" w:name="_Toc318450703"/>
    </w:p>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14:paraId="2EB8404B">
      <w:pPr>
        <w:spacing w:line="440" w:lineRule="exact"/>
        <w:rPr>
          <w:rFonts w:hint="eastAsia" w:ascii="宋体" w:hAnsi="宋体"/>
          <w:b/>
          <w:bCs/>
          <w:color w:val="auto"/>
          <w:sz w:val="21"/>
          <w:szCs w:val="21"/>
          <w:highlight w:val="none"/>
        </w:rPr>
      </w:pPr>
      <w:bookmarkStart w:id="475" w:name="_Toc318450704"/>
      <w:bookmarkStart w:id="476" w:name="_Toc466298120"/>
      <w:bookmarkStart w:id="477" w:name="_Toc152045561"/>
      <w:bookmarkStart w:id="478" w:name="_Toc747"/>
      <w:bookmarkStart w:id="479" w:name="_Toc455080137"/>
      <w:bookmarkStart w:id="480" w:name="_Toc9328"/>
      <w:bookmarkStart w:id="481" w:name="_Toc18582"/>
      <w:bookmarkStart w:id="482" w:name="_Toc152042337"/>
      <w:bookmarkStart w:id="483" w:name="_Toc11148"/>
      <w:bookmarkStart w:id="484" w:name="_Toc30792"/>
      <w:bookmarkStart w:id="485" w:name="_Toc17491"/>
      <w:bookmarkStart w:id="486" w:name="_Toc25911"/>
      <w:bookmarkStart w:id="487" w:name="_Toc144974529"/>
      <w:bookmarkStart w:id="488" w:name="_Toc30965"/>
      <w:bookmarkStart w:id="489" w:name="_Toc3865"/>
      <w:bookmarkStart w:id="490" w:name="_Toc455867797"/>
      <w:bookmarkStart w:id="491" w:name="_Toc30074"/>
      <w:bookmarkStart w:id="492" w:name="_Toc490667857"/>
      <w:r>
        <w:rPr>
          <w:rFonts w:hint="eastAsia" w:ascii="宋体" w:hAnsi="宋体"/>
          <w:b/>
          <w:bCs/>
          <w:color w:val="auto"/>
          <w:sz w:val="21"/>
          <w:szCs w:val="21"/>
          <w:highlight w:val="none"/>
        </w:rPr>
        <w:t>5.1 磋商时间和地点</w:t>
      </w:r>
    </w:p>
    <w:p w14:paraId="190B50DE">
      <w:pPr>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5.1.1 采购人在本章规定的投标截止时间（</w:t>
      </w:r>
      <w:r>
        <w:rPr>
          <w:rFonts w:hint="eastAsia" w:ascii="宋体" w:hAnsi="宋体"/>
          <w:color w:val="auto"/>
          <w:sz w:val="21"/>
          <w:szCs w:val="21"/>
          <w:highlight w:val="none"/>
          <w:lang w:eastAsia="zh-CN"/>
        </w:rPr>
        <w:t>开标</w:t>
      </w:r>
      <w:r>
        <w:rPr>
          <w:rFonts w:hint="eastAsia" w:ascii="宋体" w:hAnsi="宋体"/>
          <w:color w:val="auto"/>
          <w:sz w:val="21"/>
          <w:szCs w:val="21"/>
          <w:highlight w:val="none"/>
        </w:rPr>
        <w:t>时间）和</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须知前附表规定的地点开标。</w:t>
      </w:r>
    </w:p>
    <w:p w14:paraId="6601EECB">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rPr>
        <w:t xml:space="preserve">5.1.2 </w:t>
      </w:r>
      <w:r>
        <w:rPr>
          <w:rFonts w:hint="eastAsia" w:ascii="宋体" w:hAnsi="宋体"/>
          <w:b/>
          <w:bCs/>
          <w:color w:val="auto"/>
          <w:sz w:val="21"/>
          <w:szCs w:val="21"/>
          <w:highlight w:val="none"/>
          <w:lang w:val="en-US" w:eastAsia="zh-CN"/>
        </w:rPr>
        <w:t xml:space="preserve">本项目采用“不见面开标”交易方式，不见面开标大厅网址为 </w:t>
      </w:r>
      <w:r>
        <w:rPr>
          <w:rFonts w:hint="eastAsia" w:ascii="宋体" w:hAnsi="宋体"/>
          <w:b/>
          <w:bCs/>
          <w:color w:val="auto"/>
          <w:sz w:val="21"/>
          <w:szCs w:val="21"/>
          <w:highlight w:val="none"/>
          <w:lang w:val="en-US" w:eastAsia="zh-CN"/>
        </w:rPr>
        <w:fldChar w:fldCharType="begin"/>
      </w:r>
      <w:r>
        <w:rPr>
          <w:rFonts w:hint="eastAsia" w:ascii="宋体" w:hAnsi="宋体"/>
          <w:b/>
          <w:bCs/>
          <w:color w:val="auto"/>
          <w:sz w:val="21"/>
          <w:szCs w:val="21"/>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highlight w:val="none"/>
          <w:lang w:val="en-US" w:eastAsia="zh-CN"/>
        </w:rPr>
        <w:fldChar w:fldCharType="separate"/>
      </w:r>
      <w:r>
        <w:rPr>
          <w:rFonts w:hint="eastAsia" w:ascii="宋体" w:hAnsi="宋体"/>
          <w:b/>
          <w:bCs/>
          <w:color w:val="auto"/>
          <w:sz w:val="21"/>
          <w:szCs w:val="21"/>
          <w:highlight w:val="none"/>
          <w:lang w:val="en-US" w:eastAsia="zh-CN"/>
        </w:rPr>
        <w:t>https://ggzyjy.xinyang.gov.cn/BidOpening/bidhall/xinyang/login.html，供应商无需寄送和递交</w:t>
      </w:r>
      <w:r>
        <w:rPr>
          <w:rFonts w:hint="eastAsia" w:ascii="宋体" w:hAnsi="宋体"/>
          <w:b/>
          <w:bCs/>
          <w:color w:val="auto"/>
          <w:sz w:val="21"/>
          <w:szCs w:val="21"/>
          <w:highlight w:val="none"/>
        </w:rPr>
        <w:t>非加密的电子</w:t>
      </w:r>
      <w:r>
        <w:rPr>
          <w:rFonts w:hint="eastAsia" w:ascii="宋体" w:hAnsi="宋体"/>
          <w:b/>
          <w:bCs/>
          <w:color w:val="auto"/>
          <w:sz w:val="21"/>
          <w:szCs w:val="21"/>
          <w:highlight w:val="none"/>
          <w:lang w:eastAsia="zh-CN"/>
        </w:rPr>
        <w:t>响应文件，</w:t>
      </w:r>
      <w:r>
        <w:rPr>
          <w:rFonts w:hint="eastAsia" w:ascii="宋体" w:hAnsi="宋体"/>
          <w:b/>
          <w:bCs/>
          <w:color w:val="auto"/>
          <w:sz w:val="21"/>
          <w:szCs w:val="21"/>
          <w:highlight w:val="none"/>
          <w:lang w:val="en-US" w:eastAsia="zh-CN"/>
        </w:rPr>
        <w:t>无需到现场参加开标会议，无需到达现场提交原件资料。</w:t>
      </w:r>
      <w:r>
        <w:rPr>
          <w:rFonts w:hint="eastAsia" w:ascii="宋体" w:hAnsi="宋体"/>
          <w:b/>
          <w:bCs/>
          <w:color w:val="auto"/>
          <w:sz w:val="21"/>
          <w:szCs w:val="21"/>
          <w:highlight w:val="none"/>
          <w:lang w:val="en-US" w:eastAsia="zh-CN"/>
        </w:rPr>
        <w:fldChar w:fldCharType="end"/>
      </w:r>
    </w:p>
    <w:p w14:paraId="5EDA030E">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供应商应当在响应文件提交截止时间前，使用供应商CA数字证书登录不见面开标大厅，在线签到并准时参加开标活动，并在规定时间内完成响应文件解密、答疑澄清等。</w:t>
      </w:r>
    </w:p>
    <w:p w14:paraId="522BB91F">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44CB561">
      <w:pPr>
        <w:spacing w:line="440" w:lineRule="exact"/>
        <w:ind w:firstLine="422" w:firstLineChars="20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不见面开标服务的具体事宜，请查阅信阳市公共资源交易中心网站首页—下载中心—信阳市不见面开标大厅系统操作手册。</w:t>
      </w:r>
    </w:p>
    <w:p w14:paraId="1FBCE775">
      <w:pPr>
        <w:spacing w:line="440" w:lineRule="exact"/>
        <w:ind w:firstLine="422" w:firstLineChars="200"/>
        <w:rPr>
          <w:rFonts w:hint="eastAsia" w:ascii="宋体" w:hAnsi="宋体"/>
          <w:b/>
          <w:bCs/>
          <w:color w:val="auto"/>
          <w:sz w:val="21"/>
          <w:szCs w:val="21"/>
          <w:highlight w:val="none"/>
        </w:rPr>
      </w:pPr>
      <w:r>
        <w:rPr>
          <w:rFonts w:hint="eastAsia" w:ascii="宋体" w:hAnsi="宋体"/>
          <w:b/>
          <w:bCs/>
          <w:color w:val="auto"/>
          <w:sz w:val="21"/>
          <w:szCs w:val="21"/>
          <w:highlight w:val="none"/>
        </w:rPr>
        <w:t>开标</w:t>
      </w:r>
      <w:r>
        <w:rPr>
          <w:rFonts w:hint="eastAsia" w:ascii="宋体" w:hAnsi="宋体"/>
          <w:b/>
          <w:bCs/>
          <w:color w:val="auto"/>
          <w:sz w:val="21"/>
          <w:szCs w:val="21"/>
          <w:highlight w:val="none"/>
          <w:lang w:eastAsia="zh-CN"/>
        </w:rPr>
        <w:t>过程中</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rPr>
        <w:t>如有异议，须</w:t>
      </w:r>
      <w:r>
        <w:rPr>
          <w:rFonts w:hint="eastAsia" w:ascii="宋体" w:hAnsi="宋体"/>
          <w:b/>
          <w:bCs/>
          <w:color w:val="auto"/>
          <w:sz w:val="21"/>
          <w:szCs w:val="21"/>
          <w:highlight w:val="none"/>
          <w:lang w:eastAsia="zh-CN"/>
        </w:rPr>
        <w:t>在开标结束前</w:t>
      </w:r>
      <w:r>
        <w:rPr>
          <w:rFonts w:hint="eastAsia" w:ascii="宋体" w:hAnsi="宋体"/>
          <w:b/>
          <w:bCs/>
          <w:color w:val="auto"/>
          <w:sz w:val="21"/>
          <w:szCs w:val="21"/>
          <w:highlight w:val="none"/>
        </w:rPr>
        <w:t>通过系统提出，否则视同</w:t>
      </w:r>
      <w:r>
        <w:rPr>
          <w:rFonts w:hint="eastAsia" w:ascii="宋体" w:hAnsi="宋体"/>
          <w:b/>
          <w:bCs/>
          <w:color w:val="auto"/>
          <w:sz w:val="21"/>
          <w:szCs w:val="21"/>
          <w:highlight w:val="none"/>
          <w:lang w:eastAsia="zh-CN"/>
        </w:rPr>
        <w:t>认可</w:t>
      </w:r>
      <w:r>
        <w:rPr>
          <w:rFonts w:hint="eastAsia" w:ascii="宋体" w:hAnsi="宋体"/>
          <w:b/>
          <w:bCs/>
          <w:color w:val="auto"/>
          <w:sz w:val="21"/>
          <w:szCs w:val="21"/>
          <w:highlight w:val="none"/>
        </w:rPr>
        <w:t>开标记录</w:t>
      </w:r>
      <w:r>
        <w:rPr>
          <w:rFonts w:hint="eastAsia" w:ascii="宋体" w:hAnsi="宋体"/>
          <w:b/>
          <w:bCs/>
          <w:color w:val="auto"/>
          <w:sz w:val="21"/>
          <w:szCs w:val="21"/>
          <w:highlight w:val="none"/>
          <w:lang w:eastAsia="zh-CN"/>
        </w:rPr>
        <w:t>。开标结束后，</w:t>
      </w:r>
      <w:r>
        <w:rPr>
          <w:rFonts w:hint="eastAsia" w:ascii="宋体" w:hAnsi="宋体"/>
          <w:b/>
          <w:bCs/>
          <w:color w:val="auto"/>
          <w:sz w:val="21"/>
          <w:szCs w:val="21"/>
          <w:highlight w:val="none"/>
        </w:rPr>
        <w:t>对开标记录</w:t>
      </w:r>
      <w:r>
        <w:rPr>
          <w:rFonts w:hint="eastAsia" w:ascii="宋体" w:hAnsi="宋体"/>
          <w:b/>
          <w:bCs/>
          <w:color w:val="auto"/>
          <w:sz w:val="21"/>
          <w:szCs w:val="21"/>
          <w:highlight w:val="none"/>
          <w:lang w:eastAsia="zh-CN"/>
        </w:rPr>
        <w:t>的</w:t>
      </w:r>
      <w:r>
        <w:rPr>
          <w:rFonts w:hint="eastAsia" w:ascii="宋体" w:hAnsi="宋体"/>
          <w:b/>
          <w:bCs/>
          <w:color w:val="auto"/>
          <w:sz w:val="21"/>
          <w:szCs w:val="21"/>
          <w:highlight w:val="none"/>
        </w:rPr>
        <w:t>任何异议</w:t>
      </w:r>
      <w:r>
        <w:rPr>
          <w:rFonts w:hint="eastAsia" w:ascii="宋体" w:hAnsi="宋体"/>
          <w:b/>
          <w:bCs/>
          <w:color w:val="auto"/>
          <w:sz w:val="21"/>
          <w:szCs w:val="21"/>
          <w:highlight w:val="none"/>
          <w:lang w:eastAsia="zh-CN"/>
        </w:rPr>
        <w:t>不再接受</w:t>
      </w:r>
      <w:r>
        <w:rPr>
          <w:rFonts w:hint="eastAsia" w:ascii="宋体" w:hAnsi="宋体"/>
          <w:b/>
          <w:bCs/>
          <w:color w:val="auto"/>
          <w:sz w:val="21"/>
          <w:szCs w:val="21"/>
          <w:highlight w:val="none"/>
        </w:rPr>
        <w:t xml:space="preserve">。 </w:t>
      </w:r>
    </w:p>
    <w:p w14:paraId="19FC38A8">
      <w:pPr>
        <w:pStyle w:val="50"/>
        <w:spacing w:line="360" w:lineRule="auto"/>
        <w:outlineLvl w:val="0"/>
        <w:rPr>
          <w:rFonts w:hint="eastAsia" w:ascii="宋体" w:hAnsi="宋体" w:eastAsia="宋体"/>
          <w:b/>
          <w:bCs/>
          <w:color w:val="auto"/>
          <w:sz w:val="21"/>
          <w:szCs w:val="21"/>
          <w:highlight w:val="none"/>
        </w:rPr>
      </w:pPr>
      <w:bookmarkStart w:id="493" w:name="_Toc4557"/>
      <w:r>
        <w:rPr>
          <w:rFonts w:hint="eastAsia" w:ascii="宋体" w:hAnsi="宋体" w:eastAsia="宋体"/>
          <w:b/>
          <w:bCs/>
          <w:color w:val="auto"/>
          <w:sz w:val="21"/>
          <w:szCs w:val="21"/>
          <w:highlight w:val="none"/>
        </w:rPr>
        <w:t>5.2 磋商程序</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FB842B5">
      <w:pPr>
        <w:pStyle w:val="50"/>
        <w:spacing w:line="360" w:lineRule="auto"/>
        <w:outlineLvl w:val="0"/>
        <w:rPr>
          <w:rFonts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 xml:space="preserve">  </w:t>
      </w:r>
      <w:r>
        <w:rPr>
          <w:rFonts w:hint="eastAsia" w:ascii="宋体" w:hAnsi="宋体" w:eastAsia="宋体"/>
          <w:color w:val="auto"/>
          <w:sz w:val="21"/>
          <w:szCs w:val="21"/>
          <w:highlight w:val="none"/>
          <w:lang w:val="en-US" w:eastAsia="zh-CN"/>
        </w:rPr>
        <w:t xml:space="preserve">  </w:t>
      </w:r>
      <w:bookmarkStart w:id="494" w:name="_Toc13802"/>
      <w:bookmarkStart w:id="495" w:name="_Toc30403"/>
      <w:r>
        <w:rPr>
          <w:rFonts w:hint="eastAsia" w:ascii="宋体" w:hAnsi="宋体" w:eastAsia="宋体"/>
          <w:color w:val="auto"/>
          <w:sz w:val="21"/>
          <w:szCs w:val="21"/>
          <w:highlight w:val="none"/>
          <w:lang w:val="en-US" w:eastAsia="zh-CN"/>
        </w:rPr>
        <w:t>5.2.1磋商小组对竞争性磋商文件进行熟悉确认。</w:t>
      </w:r>
      <w:bookmarkEnd w:id="494"/>
      <w:bookmarkEnd w:id="495"/>
    </w:p>
    <w:p w14:paraId="4F6F39AB">
      <w:pPr>
        <w:spacing w:line="360" w:lineRule="auto"/>
        <w:ind w:firstLine="472" w:firstLineChars="225"/>
        <w:rPr>
          <w:rFonts w:hint="eastAsia" w:ascii="宋体" w:hAnsi="宋体" w:cs="宋体"/>
          <w:color w:val="auto"/>
          <w:szCs w:val="21"/>
          <w:highlight w:val="none"/>
        </w:rPr>
      </w:pPr>
      <w:bookmarkStart w:id="496" w:name="_Toc144974530"/>
      <w:bookmarkStart w:id="497" w:name="_Toc152045562"/>
      <w:bookmarkStart w:id="498" w:name="_Toc152042338"/>
      <w:r>
        <w:rPr>
          <w:rFonts w:hint="eastAsia" w:ascii="宋体" w:hAnsi="宋体" w:cs="宋体"/>
          <w:color w:val="auto"/>
          <w:szCs w:val="21"/>
          <w:highlight w:val="none"/>
        </w:rPr>
        <w:t>5.2.2磋商小组推选组长，讨论、通过磋商工作流程和磋商要点。</w:t>
      </w:r>
    </w:p>
    <w:p w14:paraId="26E90B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资格评审审查：采购人依据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w:t>
      </w:r>
      <w:r>
        <w:rPr>
          <w:rFonts w:hint="eastAsia" w:ascii="宋体" w:hAnsi="宋体" w:cs="宋体"/>
          <w:color w:val="auto"/>
          <w:szCs w:val="21"/>
          <w:highlight w:val="none"/>
          <w:lang w:eastAsia="zh-CN"/>
        </w:rPr>
        <w:t>对</w:t>
      </w:r>
      <w:r>
        <w:rPr>
          <w:rFonts w:hint="eastAsia" w:ascii="宋体" w:hAnsi="宋体" w:cs="宋体"/>
          <w:color w:val="auto"/>
          <w:szCs w:val="21"/>
          <w:highlight w:val="none"/>
        </w:rPr>
        <w:t>供应商进行审查，以确定磋商供应商是否具备参与磋商的资格。</w:t>
      </w:r>
    </w:p>
    <w:p w14:paraId="1AF8FA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符合性</w:t>
      </w:r>
      <w:r>
        <w:rPr>
          <w:rFonts w:hint="eastAsia" w:ascii="宋体" w:hAnsi="宋体" w:cs="宋体"/>
          <w:color w:val="auto"/>
          <w:szCs w:val="21"/>
          <w:highlight w:val="none"/>
        </w:rPr>
        <w:t>评审审查：磋商开始后，磋商小组依据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规定，对通过资格评审的供应商进行审查，以确定磋商供应商是否具备参与磋商的资格。</w:t>
      </w:r>
    </w:p>
    <w:p w14:paraId="1A2E0F70">
      <w:pPr>
        <w:spacing w:line="360" w:lineRule="auto"/>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磋商小组对通过资格性和符合性审查的响应文件进行评估，确定与各竞标人磋商的具体内容。</w:t>
      </w:r>
    </w:p>
    <w:p w14:paraId="28954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5.2.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磋商过程中，磋商小组可以根据磋商情况实质性变动招标需求中的技术、服务要求以及合同草案条款，但不得变动</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中的其他内容。实质性变动的内容需经采购人(业主)代表确认。并以书面形式通知所有参加磋商的供应商，该变动是</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的有效组成部分。供应商应当按照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5D8864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磋商小组对符合招标需求的供应商进行两轮报价；供应商只有通过资格评审</w:t>
      </w:r>
      <w:r>
        <w:rPr>
          <w:rFonts w:hint="eastAsia" w:ascii="宋体" w:hAnsi="宋体" w:cs="宋体"/>
          <w:color w:val="auto"/>
          <w:szCs w:val="21"/>
          <w:highlight w:val="none"/>
          <w:lang w:eastAsia="zh-CN"/>
        </w:rPr>
        <w:t>及符合性</w:t>
      </w:r>
      <w:r>
        <w:rPr>
          <w:rFonts w:hint="eastAsia" w:ascii="宋体" w:hAnsi="宋体" w:cs="宋体"/>
          <w:color w:val="auto"/>
          <w:szCs w:val="21"/>
          <w:highlight w:val="none"/>
        </w:rPr>
        <w:t>评审后方可进入下一轮报价，在规定的时间内同时提交报价，最终报价不得超过响应文件中报价。</w:t>
      </w:r>
    </w:p>
    <w:p w14:paraId="6F5F3B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经磋商确定最终招标需求，由磋商小组采用综合评分法对通过初步评审的供应商的响应文件进行综合评分。</w:t>
      </w:r>
    </w:p>
    <w:p w14:paraId="3DFF4678">
      <w:pPr>
        <w:pStyle w:val="48"/>
        <w:spacing w:before="0" w:beforeLines="0" w:line="360" w:lineRule="auto"/>
        <w:rPr>
          <w:rFonts w:hint="eastAsia" w:ascii="宋体" w:hAnsi="宋体" w:eastAsia="宋体"/>
          <w:b/>
          <w:bCs/>
          <w:color w:val="auto"/>
          <w:sz w:val="21"/>
          <w:szCs w:val="21"/>
          <w:highlight w:val="none"/>
        </w:rPr>
      </w:pPr>
      <w:bookmarkStart w:id="499" w:name="_Toc455080138"/>
      <w:bookmarkStart w:id="500" w:name="_Toc14039"/>
      <w:r>
        <w:rPr>
          <w:rFonts w:hint="eastAsia" w:ascii="宋体" w:hAnsi="宋体" w:eastAsia="宋体"/>
          <w:b/>
          <w:bCs/>
          <w:color w:val="auto"/>
          <w:sz w:val="21"/>
          <w:szCs w:val="21"/>
          <w:highlight w:val="none"/>
        </w:rPr>
        <w:t xml:space="preserve">6. </w:t>
      </w:r>
      <w:bookmarkEnd w:id="496"/>
      <w:bookmarkEnd w:id="497"/>
      <w:bookmarkEnd w:id="498"/>
      <w:r>
        <w:rPr>
          <w:rFonts w:hint="eastAsia" w:ascii="宋体" w:hAnsi="宋体" w:eastAsia="宋体"/>
          <w:b/>
          <w:bCs/>
          <w:color w:val="auto"/>
          <w:sz w:val="21"/>
          <w:szCs w:val="21"/>
          <w:highlight w:val="none"/>
        </w:rPr>
        <w:t>磋商</w:t>
      </w:r>
      <w:bookmarkEnd w:id="499"/>
      <w:r>
        <w:rPr>
          <w:rFonts w:hint="eastAsia" w:ascii="宋体" w:hAnsi="宋体" w:eastAsia="宋体"/>
          <w:b/>
          <w:bCs/>
          <w:color w:val="auto"/>
          <w:sz w:val="21"/>
          <w:szCs w:val="21"/>
          <w:highlight w:val="none"/>
        </w:rPr>
        <w:t>小组</w:t>
      </w:r>
      <w:bookmarkEnd w:id="500"/>
    </w:p>
    <w:p w14:paraId="2CC9F7A0">
      <w:pPr>
        <w:pStyle w:val="50"/>
        <w:spacing w:line="360" w:lineRule="auto"/>
        <w:outlineLvl w:val="0"/>
        <w:rPr>
          <w:rFonts w:hint="eastAsia" w:ascii="宋体" w:hAnsi="宋体" w:eastAsia="宋体"/>
          <w:b/>
          <w:bCs/>
          <w:color w:val="auto"/>
          <w:sz w:val="21"/>
          <w:szCs w:val="21"/>
          <w:highlight w:val="none"/>
        </w:rPr>
      </w:pPr>
      <w:bookmarkStart w:id="501" w:name="_Toc26098"/>
      <w:bookmarkStart w:id="502" w:name="_Toc152045563"/>
      <w:bookmarkStart w:id="503" w:name="_Toc318450706"/>
      <w:bookmarkStart w:id="504" w:name="_Toc152042339"/>
      <w:bookmarkStart w:id="505" w:name="_Toc22250"/>
      <w:bookmarkStart w:id="506" w:name="_Toc144974531"/>
      <w:bookmarkStart w:id="507" w:name="_Toc9808"/>
      <w:bookmarkStart w:id="508" w:name="_Toc8725"/>
      <w:bookmarkStart w:id="509" w:name="_Toc455867799"/>
      <w:bookmarkStart w:id="510" w:name="_Toc13978"/>
      <w:bookmarkStart w:id="511" w:name="_Toc490667859"/>
      <w:bookmarkStart w:id="512" w:name="_Toc455080139"/>
      <w:bookmarkStart w:id="513" w:name="_Toc8157"/>
      <w:bookmarkStart w:id="514" w:name="_Toc23138"/>
      <w:bookmarkStart w:id="515" w:name="_Toc466298122"/>
      <w:bookmarkStart w:id="516" w:name="_Toc18985"/>
      <w:bookmarkStart w:id="517" w:name="_Toc20134"/>
      <w:bookmarkStart w:id="518" w:name="_Toc1574"/>
      <w:bookmarkStart w:id="519" w:name="_Toc1546"/>
      <w:r>
        <w:rPr>
          <w:rFonts w:hint="eastAsia" w:ascii="宋体" w:hAnsi="宋体" w:eastAsia="宋体"/>
          <w:b/>
          <w:bCs/>
          <w:color w:val="auto"/>
          <w:sz w:val="21"/>
          <w:szCs w:val="21"/>
          <w:highlight w:val="none"/>
        </w:rPr>
        <w:t>6.1</w:t>
      </w:r>
      <w:bookmarkEnd w:id="501"/>
      <w:bookmarkEnd w:id="502"/>
      <w:bookmarkEnd w:id="503"/>
      <w:bookmarkEnd w:id="504"/>
      <w:bookmarkEnd w:id="505"/>
      <w:bookmarkEnd w:id="506"/>
      <w:bookmarkEnd w:id="507"/>
      <w:r>
        <w:rPr>
          <w:rFonts w:hint="eastAsia" w:ascii="宋体" w:hAnsi="宋体" w:eastAsia="宋体"/>
          <w:b/>
          <w:bCs/>
          <w:color w:val="auto"/>
          <w:sz w:val="21"/>
          <w:szCs w:val="21"/>
          <w:highlight w:val="none"/>
        </w:rPr>
        <w:t>磋商小组</w:t>
      </w:r>
      <w:bookmarkEnd w:id="508"/>
      <w:bookmarkEnd w:id="509"/>
      <w:bookmarkEnd w:id="510"/>
      <w:bookmarkEnd w:id="511"/>
      <w:bookmarkEnd w:id="512"/>
      <w:bookmarkEnd w:id="513"/>
      <w:bookmarkEnd w:id="514"/>
      <w:bookmarkEnd w:id="515"/>
      <w:bookmarkEnd w:id="516"/>
      <w:bookmarkEnd w:id="517"/>
      <w:bookmarkEnd w:id="518"/>
      <w:bookmarkEnd w:id="519"/>
    </w:p>
    <w:p w14:paraId="592B7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磋商由采购人依法组建的磋商小组负责。磋商小组由采购人代表以及有关技术、经济等方面的专家组成。磋商小组成员人数以及技术、经济等方面专家的确定方式见供应商须知前附表。</w:t>
      </w:r>
    </w:p>
    <w:p w14:paraId="5B8A3CBF">
      <w:pPr>
        <w:pStyle w:val="50"/>
        <w:tabs>
          <w:tab w:val="left" w:pos="2620"/>
        </w:tabs>
        <w:spacing w:line="360" w:lineRule="auto"/>
        <w:outlineLvl w:val="0"/>
        <w:rPr>
          <w:rFonts w:hint="eastAsia" w:ascii="宋体" w:hAnsi="宋体" w:eastAsia="宋体"/>
          <w:b/>
          <w:bCs/>
          <w:color w:val="auto"/>
          <w:sz w:val="21"/>
          <w:szCs w:val="21"/>
          <w:highlight w:val="none"/>
        </w:rPr>
      </w:pPr>
      <w:bookmarkStart w:id="520" w:name="_Toc318450707"/>
      <w:bookmarkStart w:id="521" w:name="_Toc27035"/>
      <w:bookmarkStart w:id="522" w:name="_Toc152042340"/>
      <w:bookmarkStart w:id="523" w:name="_Toc25721"/>
      <w:bookmarkStart w:id="524" w:name="_Toc21102"/>
      <w:bookmarkStart w:id="525" w:name="_Toc455867800"/>
      <w:bookmarkStart w:id="526" w:name="_Toc13368"/>
      <w:bookmarkStart w:id="527" w:name="_Toc7286"/>
      <w:bookmarkStart w:id="528" w:name="_Toc490667860"/>
      <w:bookmarkStart w:id="529" w:name="_Toc466298123"/>
      <w:bookmarkStart w:id="530" w:name="_Toc8240"/>
      <w:bookmarkStart w:id="531" w:name="_Toc21034"/>
      <w:bookmarkStart w:id="532" w:name="_Toc4435"/>
      <w:bookmarkStart w:id="533" w:name="_Toc22143"/>
      <w:bookmarkStart w:id="534" w:name="_Toc152045564"/>
      <w:bookmarkStart w:id="535" w:name="_Toc8248"/>
      <w:bookmarkStart w:id="536" w:name="_Toc144974532"/>
      <w:bookmarkStart w:id="537" w:name="_Toc9532"/>
      <w:bookmarkStart w:id="538" w:name="_Toc455080140"/>
      <w:r>
        <w:rPr>
          <w:rFonts w:hint="eastAsia" w:ascii="宋体" w:hAnsi="宋体" w:eastAsia="宋体"/>
          <w:b/>
          <w:bCs/>
          <w:color w:val="auto"/>
          <w:sz w:val="21"/>
          <w:szCs w:val="21"/>
          <w:highlight w:val="none"/>
        </w:rPr>
        <w:t>6.2 磋商原则</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4C73C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磋商活动遵循公平、公正、科学和择优的原则。</w:t>
      </w:r>
    </w:p>
    <w:p w14:paraId="6151C712">
      <w:pPr>
        <w:pStyle w:val="50"/>
        <w:spacing w:line="360" w:lineRule="auto"/>
        <w:outlineLvl w:val="0"/>
        <w:rPr>
          <w:rFonts w:hint="eastAsia" w:ascii="宋体" w:hAnsi="宋体" w:eastAsia="宋体"/>
          <w:color w:val="auto"/>
          <w:sz w:val="21"/>
          <w:szCs w:val="21"/>
          <w:highlight w:val="none"/>
        </w:rPr>
      </w:pPr>
      <w:bookmarkStart w:id="539" w:name="_Toc15595"/>
      <w:bookmarkStart w:id="540" w:name="_Toc144974533"/>
      <w:bookmarkStart w:id="541" w:name="_Toc318450708"/>
      <w:bookmarkStart w:id="542" w:name="_Toc152042341"/>
      <w:bookmarkStart w:id="543" w:name="_Toc152045565"/>
      <w:bookmarkStart w:id="544" w:name="_Toc8705"/>
      <w:bookmarkStart w:id="545" w:name="_Toc16725"/>
      <w:bookmarkStart w:id="546" w:name="_Toc24358"/>
      <w:bookmarkStart w:id="547" w:name="_Toc466298124"/>
      <w:bookmarkStart w:id="548" w:name="_Toc18756"/>
      <w:bookmarkStart w:id="549" w:name="_Toc7890"/>
      <w:bookmarkStart w:id="550" w:name="_Toc20062"/>
      <w:bookmarkStart w:id="551" w:name="_Toc490667861"/>
      <w:bookmarkStart w:id="552" w:name="_Toc3606"/>
      <w:bookmarkStart w:id="553" w:name="_Toc28734"/>
      <w:bookmarkStart w:id="554" w:name="_Toc455080141"/>
      <w:bookmarkStart w:id="555" w:name="_Toc455867801"/>
      <w:bookmarkStart w:id="556" w:name="_Toc1956"/>
      <w:bookmarkStart w:id="557" w:name="_Toc27036"/>
      <w:r>
        <w:rPr>
          <w:rFonts w:hint="eastAsia" w:ascii="宋体" w:hAnsi="宋体" w:eastAsia="宋体"/>
          <w:b/>
          <w:bCs/>
          <w:color w:val="auto"/>
          <w:sz w:val="21"/>
          <w:szCs w:val="21"/>
          <w:highlight w:val="none"/>
        </w:rPr>
        <w:t xml:space="preserve">6.3 </w:t>
      </w:r>
      <w:bookmarkEnd w:id="539"/>
      <w:bookmarkEnd w:id="540"/>
      <w:bookmarkEnd w:id="541"/>
      <w:bookmarkEnd w:id="542"/>
      <w:bookmarkEnd w:id="543"/>
      <w:bookmarkEnd w:id="544"/>
      <w:bookmarkEnd w:id="545"/>
      <w:r>
        <w:rPr>
          <w:rFonts w:hint="eastAsia" w:ascii="宋体" w:hAnsi="宋体" w:eastAsia="宋体"/>
          <w:b/>
          <w:bCs/>
          <w:color w:val="auto"/>
          <w:sz w:val="21"/>
          <w:szCs w:val="21"/>
          <w:highlight w:val="none"/>
        </w:rPr>
        <w:t>磋商</w:t>
      </w:r>
      <w:bookmarkEnd w:id="546"/>
      <w:bookmarkEnd w:id="547"/>
      <w:bookmarkEnd w:id="548"/>
      <w:bookmarkEnd w:id="549"/>
      <w:bookmarkEnd w:id="550"/>
      <w:bookmarkEnd w:id="551"/>
      <w:bookmarkEnd w:id="552"/>
      <w:bookmarkEnd w:id="553"/>
      <w:bookmarkEnd w:id="554"/>
      <w:bookmarkEnd w:id="555"/>
      <w:bookmarkEnd w:id="556"/>
      <w:bookmarkEnd w:id="557"/>
    </w:p>
    <w:p w14:paraId="68E024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磋商小组按照第三章“评审办法”规定的方法、评审因素、标准和程序对响应文件进行评审。第三章“评审办法”没有规定的方法、评审因素和标准，不作为评标依据。</w:t>
      </w:r>
    </w:p>
    <w:p w14:paraId="5ACB34DF">
      <w:pPr>
        <w:pStyle w:val="48"/>
        <w:spacing w:before="0" w:beforeLines="0" w:line="360" w:lineRule="auto"/>
        <w:rPr>
          <w:rFonts w:hint="eastAsia" w:ascii="宋体" w:hAnsi="宋体" w:eastAsia="宋体"/>
          <w:b/>
          <w:bCs/>
          <w:color w:val="auto"/>
          <w:sz w:val="21"/>
          <w:szCs w:val="21"/>
          <w:highlight w:val="none"/>
        </w:rPr>
      </w:pPr>
      <w:bookmarkStart w:id="558" w:name="_Toc9522"/>
      <w:bookmarkStart w:id="559" w:name="_Toc455080142"/>
      <w:bookmarkStart w:id="560" w:name="_Toc144974534"/>
      <w:bookmarkStart w:id="561" w:name="_Toc152042342"/>
      <w:bookmarkStart w:id="562" w:name="_Toc152045566"/>
      <w:r>
        <w:rPr>
          <w:rFonts w:hint="eastAsia" w:ascii="宋体" w:hAnsi="宋体" w:eastAsia="宋体"/>
          <w:b/>
          <w:bCs/>
          <w:color w:val="auto"/>
          <w:sz w:val="21"/>
          <w:szCs w:val="21"/>
          <w:highlight w:val="none"/>
        </w:rPr>
        <w:t>7. 合同授予</w:t>
      </w:r>
      <w:bookmarkEnd w:id="558"/>
      <w:bookmarkEnd w:id="559"/>
      <w:bookmarkEnd w:id="560"/>
      <w:bookmarkEnd w:id="561"/>
      <w:bookmarkEnd w:id="562"/>
    </w:p>
    <w:p w14:paraId="1EEF3667">
      <w:pPr>
        <w:pStyle w:val="50"/>
        <w:spacing w:line="360" w:lineRule="auto"/>
        <w:outlineLvl w:val="0"/>
        <w:rPr>
          <w:rFonts w:hint="eastAsia" w:ascii="宋体" w:hAnsi="宋体" w:eastAsia="宋体"/>
          <w:b/>
          <w:bCs/>
          <w:color w:val="auto"/>
          <w:sz w:val="21"/>
          <w:szCs w:val="21"/>
          <w:highlight w:val="none"/>
        </w:rPr>
      </w:pPr>
      <w:bookmarkStart w:id="563" w:name="_Toc20777"/>
      <w:bookmarkStart w:id="564" w:name="_Toc28919"/>
      <w:bookmarkStart w:id="565" w:name="_Toc455867803"/>
      <w:bookmarkStart w:id="566" w:name="_Toc7358"/>
      <w:bookmarkStart w:id="567" w:name="_Toc455080143"/>
      <w:bookmarkStart w:id="568" w:name="_Toc466298126"/>
      <w:bookmarkStart w:id="569" w:name="_Toc29686"/>
      <w:bookmarkStart w:id="570" w:name="_Toc22461"/>
      <w:bookmarkStart w:id="571" w:name="_Toc144974535"/>
      <w:bookmarkStart w:id="572" w:name="_Toc14528"/>
      <w:bookmarkStart w:id="573" w:name="_Toc152042343"/>
      <w:bookmarkStart w:id="574" w:name="_Toc29664"/>
      <w:bookmarkStart w:id="575" w:name="_Toc318450710"/>
      <w:bookmarkStart w:id="576" w:name="_Toc490667863"/>
      <w:bookmarkStart w:id="577" w:name="_Toc11409"/>
      <w:bookmarkStart w:id="578" w:name="_Toc25316"/>
      <w:bookmarkStart w:id="579" w:name="_Toc152045567"/>
      <w:bookmarkStart w:id="580" w:name="_Toc27540"/>
      <w:bookmarkStart w:id="581" w:name="_Toc17660"/>
      <w:r>
        <w:rPr>
          <w:rFonts w:hint="eastAsia" w:ascii="宋体" w:hAnsi="宋体" w:eastAsia="宋体"/>
          <w:b/>
          <w:bCs/>
          <w:color w:val="auto"/>
          <w:sz w:val="21"/>
          <w:szCs w:val="21"/>
          <w:highlight w:val="none"/>
        </w:rPr>
        <w:t>7.1 定标方式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514786E">
      <w:pPr>
        <w:spacing w:line="360" w:lineRule="auto"/>
        <w:ind w:firstLine="420" w:firstLineChars="200"/>
        <w:rPr>
          <w:rFonts w:hint="eastAsia" w:ascii="宋体" w:hAnsi="宋体" w:cs="宋体"/>
          <w:color w:val="auto"/>
          <w:szCs w:val="21"/>
          <w:highlight w:val="none"/>
        </w:rPr>
      </w:pPr>
      <w:bookmarkStart w:id="582" w:name="_Toc7066"/>
      <w:bookmarkStart w:id="583" w:name="_Toc318450711"/>
      <w:bookmarkStart w:id="584" w:name="_Toc10868"/>
      <w:bookmarkStart w:id="585" w:name="_Toc152045568"/>
      <w:bookmarkStart w:id="586" w:name="_Toc144974536"/>
      <w:bookmarkStart w:id="587" w:name="_Toc152042344"/>
      <w:bookmarkStart w:id="588" w:name="_Toc28254"/>
      <w:r>
        <w:rPr>
          <w:rFonts w:hint="eastAsia" w:ascii="宋体" w:hAnsi="宋体" w:cs="宋体"/>
          <w:color w:val="auto"/>
          <w:szCs w:val="21"/>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要求提交履约保证金，或者被查实存在影响成交结果的违法行为等情形，不符合成交条件的，采购人可以按照磋商小组提出的成交候选人名单排序依次确定其他成交候选人为成交人，也可以重新磋商。</w:t>
      </w:r>
    </w:p>
    <w:bookmarkEnd w:id="582"/>
    <w:bookmarkEnd w:id="583"/>
    <w:bookmarkEnd w:id="584"/>
    <w:bookmarkEnd w:id="585"/>
    <w:bookmarkEnd w:id="586"/>
    <w:bookmarkEnd w:id="587"/>
    <w:bookmarkEnd w:id="588"/>
    <w:p w14:paraId="1CA898AC">
      <w:pPr>
        <w:pageBreakBefore w:val="0"/>
        <w:kinsoku/>
        <w:wordWrap/>
        <w:overflowPunct/>
        <w:topLinePunct w:val="0"/>
        <w:bidi w:val="0"/>
        <w:snapToGri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7.2 履约保证金</w:t>
      </w:r>
    </w:p>
    <w:p w14:paraId="6451E10E">
      <w:pPr>
        <w:pStyle w:val="50"/>
        <w:spacing w:line="360" w:lineRule="auto"/>
        <w:outlineLvl w:val="0"/>
        <w:rPr>
          <w:rFonts w:hint="eastAsia" w:ascii="宋体" w:hAnsi="宋体" w:eastAsia="宋体" w:cs="宋体"/>
          <w:b/>
          <w:bCs/>
          <w:color w:val="auto"/>
          <w:sz w:val="21"/>
          <w:szCs w:val="21"/>
          <w:highlight w:val="none"/>
          <w:lang w:val="en-US" w:eastAsia="zh-CN"/>
        </w:rPr>
      </w:pPr>
      <w:bookmarkStart w:id="589" w:name="_Toc12068"/>
      <w:bookmarkStart w:id="590" w:name="_Toc24026"/>
      <w:bookmarkStart w:id="591" w:name="_Toc490667865"/>
      <w:bookmarkStart w:id="592" w:name="_Toc13147"/>
      <w:bookmarkStart w:id="593" w:name="_Toc152045570"/>
      <w:bookmarkStart w:id="594" w:name="_Toc26655"/>
      <w:bookmarkStart w:id="595" w:name="_Toc26915"/>
      <w:bookmarkStart w:id="596" w:name="_Toc455867805"/>
      <w:bookmarkStart w:id="597" w:name="_Toc15458"/>
      <w:bookmarkStart w:id="598" w:name="_Toc8886"/>
      <w:bookmarkStart w:id="599" w:name="_Toc26760"/>
      <w:bookmarkStart w:id="600" w:name="_Toc12663"/>
      <w:bookmarkStart w:id="601" w:name="_Toc144974538"/>
      <w:bookmarkStart w:id="602" w:name="_Toc21271"/>
      <w:bookmarkStart w:id="603" w:name="_Toc318450712"/>
      <w:bookmarkStart w:id="604" w:name="_Toc10082"/>
      <w:bookmarkStart w:id="605" w:name="_Toc466298128"/>
      <w:bookmarkStart w:id="606" w:name="_Toc152042346"/>
      <w:bookmarkStart w:id="607" w:name="_Toc455080145"/>
      <w:r>
        <w:rPr>
          <w:rFonts w:hint="eastAsia" w:ascii="宋体" w:hAnsi="宋体" w:eastAsia="宋体" w:cs="宋体"/>
          <w:b/>
          <w:bCs/>
          <w:color w:val="auto"/>
          <w:sz w:val="21"/>
          <w:szCs w:val="21"/>
          <w:highlight w:val="none"/>
          <w:lang w:val="en-US" w:eastAsia="zh-CN"/>
        </w:rPr>
        <w:t>免收履约保证金</w:t>
      </w:r>
      <w:bookmarkEnd w:id="589"/>
    </w:p>
    <w:p w14:paraId="75E264A0">
      <w:pPr>
        <w:pStyle w:val="50"/>
        <w:spacing w:line="360" w:lineRule="auto"/>
        <w:outlineLvl w:val="0"/>
        <w:rPr>
          <w:rFonts w:hint="eastAsia" w:ascii="宋体" w:hAnsi="宋体" w:eastAsia="宋体"/>
          <w:b/>
          <w:bCs/>
          <w:color w:val="auto"/>
          <w:sz w:val="21"/>
          <w:szCs w:val="21"/>
          <w:highlight w:val="none"/>
        </w:rPr>
      </w:pPr>
      <w:bookmarkStart w:id="608" w:name="_Toc29844"/>
      <w:r>
        <w:rPr>
          <w:rFonts w:hint="eastAsia" w:ascii="宋体" w:hAnsi="宋体" w:eastAsia="宋体"/>
          <w:b/>
          <w:bCs/>
          <w:color w:val="auto"/>
          <w:sz w:val="21"/>
          <w:szCs w:val="21"/>
          <w:highlight w:val="none"/>
        </w:rPr>
        <w:t>7.</w:t>
      </w:r>
      <w:r>
        <w:rPr>
          <w:rFonts w:hint="eastAsia" w:ascii="宋体" w:hAnsi="宋体" w:eastAsia="宋体"/>
          <w:b/>
          <w:bCs/>
          <w:color w:val="auto"/>
          <w:sz w:val="21"/>
          <w:szCs w:val="21"/>
          <w:highlight w:val="none"/>
          <w:lang w:val="en-US" w:eastAsia="zh-CN"/>
        </w:rPr>
        <w:t>3</w:t>
      </w:r>
      <w:r>
        <w:rPr>
          <w:rFonts w:hint="eastAsia" w:ascii="宋体" w:hAnsi="宋体" w:eastAsia="宋体"/>
          <w:b/>
          <w:bCs/>
          <w:color w:val="auto"/>
          <w:sz w:val="21"/>
          <w:szCs w:val="21"/>
          <w:highlight w:val="none"/>
        </w:rPr>
        <w:t xml:space="preserve"> 签订合同</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42E75E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.1采购人和成交人应当自成交通知书发出之日起</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天内，根据</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 xml:space="preserve">和成交人的响应文件订立书面合同。成交人无正当理由拒签合同的，采购人取消其成交资格，其磋商保证金不予退还；给采购人造成的损失超过磋商保证金数额的，成交人还应当对超过部分予以赔偿。 </w:t>
      </w:r>
    </w:p>
    <w:p w14:paraId="7FA775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.2 发出成交通知书后，采购人无正当理由拒签合同的，采购人向成交人退还磋商保证金；给成交人造成损失的，还应当赔偿损失。 </w:t>
      </w:r>
      <w:bookmarkStart w:id="609" w:name="_Toc144974542"/>
      <w:bookmarkStart w:id="610" w:name="_Toc152045574"/>
      <w:bookmarkStart w:id="611" w:name="_Toc152042350"/>
    </w:p>
    <w:p w14:paraId="794EDB2E">
      <w:pPr>
        <w:pStyle w:val="48"/>
        <w:spacing w:before="0" w:beforeLines="0" w:line="360" w:lineRule="auto"/>
        <w:rPr>
          <w:rFonts w:hint="eastAsia" w:ascii="宋体" w:hAnsi="宋体" w:eastAsia="宋体"/>
          <w:b/>
          <w:bCs/>
          <w:color w:val="auto"/>
          <w:sz w:val="21"/>
          <w:szCs w:val="21"/>
          <w:highlight w:val="none"/>
        </w:rPr>
      </w:pPr>
      <w:bookmarkStart w:id="612" w:name="_Toc455080146"/>
      <w:bookmarkStart w:id="613" w:name="_Toc16866"/>
      <w:r>
        <w:rPr>
          <w:rFonts w:hint="eastAsia" w:ascii="宋体" w:hAnsi="宋体" w:eastAsia="宋体"/>
          <w:b/>
          <w:bCs/>
          <w:color w:val="auto"/>
          <w:sz w:val="21"/>
          <w:szCs w:val="21"/>
          <w:highlight w:val="none"/>
        </w:rPr>
        <w:t>8.重新招标</w:t>
      </w:r>
      <w:bookmarkEnd w:id="612"/>
      <w:bookmarkEnd w:id="613"/>
    </w:p>
    <w:p w14:paraId="792FA375">
      <w:pPr>
        <w:spacing w:line="360" w:lineRule="auto"/>
        <w:rPr>
          <w:rFonts w:hint="eastAsia" w:ascii="宋体" w:hAnsi="宋体"/>
          <w:color w:val="auto"/>
          <w:szCs w:val="21"/>
          <w:highlight w:val="none"/>
        </w:rPr>
      </w:pPr>
      <w:bookmarkStart w:id="614" w:name="_Toc16556"/>
      <w:r>
        <w:rPr>
          <w:rFonts w:hint="eastAsia" w:ascii="宋体" w:hAnsi="宋体"/>
          <w:b/>
          <w:bCs/>
          <w:color w:val="auto"/>
          <w:szCs w:val="21"/>
          <w:highlight w:val="none"/>
        </w:rPr>
        <w:t>8.1 重新招标</w:t>
      </w:r>
      <w:bookmarkEnd w:id="614"/>
    </w:p>
    <w:p w14:paraId="540A8B5B">
      <w:pPr>
        <w:spacing w:line="360" w:lineRule="auto"/>
        <w:rPr>
          <w:rFonts w:hint="eastAsia" w:ascii="宋体" w:hAnsi="宋体"/>
          <w:color w:val="auto"/>
          <w:szCs w:val="21"/>
          <w:highlight w:val="none"/>
        </w:rPr>
      </w:pPr>
      <w:bookmarkStart w:id="615" w:name="_Toc25063"/>
      <w:r>
        <w:rPr>
          <w:rFonts w:hint="eastAsia" w:ascii="宋体" w:hAnsi="宋体"/>
          <w:color w:val="auto"/>
          <w:szCs w:val="21"/>
          <w:highlight w:val="none"/>
        </w:rPr>
        <w:t xml:space="preserve">   （1）提交响应文件截止时间止，供应商少于</w:t>
      </w:r>
      <w:r>
        <w:rPr>
          <w:rFonts w:hint="eastAsia" w:ascii="宋体" w:hAnsi="宋体"/>
          <w:color w:val="auto"/>
          <w:szCs w:val="21"/>
          <w:highlight w:val="none"/>
          <w:lang w:val="en-US" w:eastAsia="zh-CN"/>
        </w:rPr>
        <w:t>3</w:t>
      </w:r>
      <w:r>
        <w:rPr>
          <w:rFonts w:hint="eastAsia" w:ascii="宋体" w:hAnsi="宋体"/>
          <w:color w:val="auto"/>
          <w:szCs w:val="21"/>
          <w:highlight w:val="none"/>
        </w:rPr>
        <w:t>个的；</w:t>
      </w:r>
      <w:bookmarkEnd w:id="615"/>
      <w:r>
        <w:rPr>
          <w:rFonts w:hint="eastAsia" w:ascii="宋体" w:hAnsi="宋体"/>
          <w:color w:val="auto"/>
          <w:szCs w:val="21"/>
          <w:highlight w:val="none"/>
        </w:rPr>
        <w:t xml:space="preserve"> </w:t>
      </w:r>
    </w:p>
    <w:p w14:paraId="4B1E6FCA">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bookmarkStart w:id="616" w:name="_Toc17911"/>
      <w:r>
        <w:rPr>
          <w:rFonts w:hint="eastAsia" w:ascii="宋体" w:hAnsi="宋体"/>
          <w:color w:val="auto"/>
          <w:szCs w:val="21"/>
          <w:highlight w:val="none"/>
        </w:rPr>
        <w:t>（2）经磋商小组评审后否决所有响应文件的。</w:t>
      </w:r>
      <w:bookmarkEnd w:id="616"/>
    </w:p>
    <w:p w14:paraId="4C6826AA">
      <w:pPr>
        <w:pStyle w:val="48"/>
        <w:spacing w:before="0" w:beforeLines="0" w:line="360" w:lineRule="auto"/>
        <w:rPr>
          <w:rFonts w:hint="eastAsia" w:ascii="宋体" w:hAnsi="宋体" w:eastAsia="宋体"/>
          <w:b/>
          <w:bCs/>
          <w:color w:val="auto"/>
          <w:sz w:val="21"/>
          <w:szCs w:val="21"/>
          <w:highlight w:val="none"/>
        </w:rPr>
      </w:pPr>
      <w:bookmarkStart w:id="617" w:name="_Toc455080147"/>
      <w:bookmarkStart w:id="618" w:name="_Toc9996"/>
      <w:r>
        <w:rPr>
          <w:rFonts w:hint="eastAsia" w:ascii="宋体" w:hAnsi="宋体" w:eastAsia="宋体"/>
          <w:b/>
          <w:bCs/>
          <w:color w:val="auto"/>
          <w:sz w:val="21"/>
          <w:szCs w:val="21"/>
          <w:highlight w:val="none"/>
        </w:rPr>
        <w:t>9.纪律和监督</w:t>
      </w:r>
      <w:bookmarkEnd w:id="609"/>
      <w:bookmarkEnd w:id="610"/>
      <w:bookmarkEnd w:id="611"/>
      <w:bookmarkEnd w:id="617"/>
      <w:bookmarkEnd w:id="618"/>
    </w:p>
    <w:p w14:paraId="20D363E2">
      <w:pPr>
        <w:pStyle w:val="50"/>
        <w:spacing w:line="360" w:lineRule="auto"/>
        <w:outlineLvl w:val="0"/>
        <w:rPr>
          <w:rFonts w:hint="eastAsia" w:ascii="宋体" w:hAnsi="宋体" w:eastAsia="宋体"/>
          <w:b/>
          <w:bCs/>
          <w:color w:val="auto"/>
          <w:sz w:val="21"/>
          <w:szCs w:val="21"/>
          <w:highlight w:val="none"/>
        </w:rPr>
      </w:pPr>
      <w:bookmarkStart w:id="619" w:name="_Toc697"/>
      <w:bookmarkStart w:id="620" w:name="_Toc144974543"/>
      <w:bookmarkStart w:id="621" w:name="_Toc9066"/>
      <w:bookmarkStart w:id="622" w:name="_Toc13970"/>
      <w:bookmarkStart w:id="623" w:name="_Toc455867808"/>
      <w:bookmarkStart w:id="624" w:name="_Toc20009"/>
      <w:bookmarkStart w:id="625" w:name="_Toc490667868"/>
      <w:bookmarkStart w:id="626" w:name="_Toc1282"/>
      <w:bookmarkStart w:id="627" w:name="_Toc12992"/>
      <w:bookmarkStart w:id="628" w:name="_Toc455080148"/>
      <w:bookmarkStart w:id="629" w:name="_Toc152045575"/>
      <w:bookmarkStart w:id="630" w:name="_Toc466298131"/>
      <w:bookmarkStart w:id="631" w:name="_Toc318450714"/>
      <w:bookmarkStart w:id="632" w:name="_Toc15769"/>
      <w:bookmarkStart w:id="633" w:name="_Toc15592"/>
      <w:bookmarkStart w:id="634" w:name="_Toc27836"/>
      <w:bookmarkStart w:id="635" w:name="_Toc152042351"/>
      <w:bookmarkStart w:id="636" w:name="_Toc19159"/>
      <w:bookmarkStart w:id="637" w:name="_Toc269"/>
      <w:r>
        <w:rPr>
          <w:rFonts w:hint="eastAsia" w:ascii="宋体" w:hAnsi="宋体" w:eastAsia="宋体"/>
          <w:b/>
          <w:bCs/>
          <w:color w:val="auto"/>
          <w:sz w:val="21"/>
          <w:szCs w:val="21"/>
          <w:highlight w:val="none"/>
        </w:rPr>
        <w:t>9.1 对</w:t>
      </w:r>
      <w:r>
        <w:rPr>
          <w:rFonts w:hint="eastAsia" w:ascii="宋体" w:hAnsi="宋体" w:eastAsia="宋体"/>
          <w:b/>
          <w:bCs/>
          <w:color w:val="auto"/>
          <w:sz w:val="21"/>
          <w:szCs w:val="21"/>
          <w:highlight w:val="none"/>
          <w:lang w:eastAsia="zh-CN"/>
        </w:rPr>
        <w:t>采购人</w:t>
      </w:r>
      <w:r>
        <w:rPr>
          <w:rFonts w:hint="eastAsia" w:ascii="宋体" w:hAnsi="宋体" w:eastAsia="宋体"/>
          <w:b/>
          <w:bCs/>
          <w:color w:val="auto"/>
          <w:sz w:val="21"/>
          <w:szCs w:val="21"/>
          <w:highlight w:val="none"/>
        </w:rPr>
        <w:t>的纪律要求</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8F059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不得泄露</w:t>
      </w:r>
      <w:r>
        <w:rPr>
          <w:rFonts w:hint="eastAsia" w:ascii="宋体" w:hAnsi="宋体" w:cs="宋体"/>
          <w:color w:val="auto"/>
          <w:szCs w:val="21"/>
          <w:highlight w:val="none"/>
        </w:rPr>
        <w:t>磋商活动中应当保密的情况和资料，不得与供应商串通损害国家利益、社会公共利益或者他人合法权益。</w:t>
      </w:r>
    </w:p>
    <w:p w14:paraId="2FAE43F6">
      <w:pPr>
        <w:pStyle w:val="50"/>
        <w:spacing w:line="360" w:lineRule="auto"/>
        <w:outlineLvl w:val="0"/>
        <w:rPr>
          <w:rFonts w:hint="eastAsia" w:ascii="宋体" w:hAnsi="宋体" w:eastAsia="宋体"/>
          <w:color w:val="auto"/>
          <w:sz w:val="21"/>
          <w:szCs w:val="21"/>
          <w:highlight w:val="none"/>
        </w:rPr>
      </w:pPr>
      <w:bookmarkStart w:id="638" w:name="_Toc21646"/>
      <w:bookmarkStart w:id="639" w:name="_Toc7572"/>
      <w:bookmarkStart w:id="640" w:name="_Toc152042352"/>
      <w:bookmarkStart w:id="641" w:name="_Toc144974544"/>
      <w:bookmarkStart w:id="642" w:name="_Toc152045576"/>
      <w:bookmarkStart w:id="643" w:name="_Toc1743"/>
      <w:bookmarkStart w:id="644" w:name="_Toc27698"/>
      <w:bookmarkStart w:id="645" w:name="_Toc455867809"/>
      <w:bookmarkStart w:id="646" w:name="_Toc318450715"/>
      <w:bookmarkStart w:id="647" w:name="_Toc18204"/>
      <w:bookmarkStart w:id="648" w:name="_Toc466298132"/>
      <w:bookmarkStart w:id="649" w:name="_Toc490667869"/>
      <w:bookmarkStart w:id="650" w:name="_Toc25381"/>
      <w:bookmarkStart w:id="651" w:name="_Toc19167"/>
      <w:bookmarkStart w:id="652" w:name="_Toc455080149"/>
      <w:bookmarkStart w:id="653" w:name="_Toc3089"/>
      <w:bookmarkStart w:id="654" w:name="_Toc18604"/>
      <w:bookmarkStart w:id="655" w:name="_Toc20261"/>
      <w:bookmarkStart w:id="656" w:name="_Toc17040"/>
      <w:r>
        <w:rPr>
          <w:rFonts w:hint="eastAsia" w:ascii="宋体" w:hAnsi="宋体" w:eastAsia="宋体"/>
          <w:b/>
          <w:bCs/>
          <w:color w:val="auto"/>
          <w:sz w:val="21"/>
          <w:szCs w:val="21"/>
          <w:highlight w:val="none"/>
        </w:rPr>
        <w:t>9.2 对供应商的纪律要求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1F0371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供应商不得相互串通或者与采购人串通，不得向采购人或者谈判小组行贿谋取成交，不得以他人名义或者以其他方式弄虚作假骗取成交；供应商不得以任何方式干扰、影响评审工作。</w:t>
      </w:r>
    </w:p>
    <w:p w14:paraId="476E911F">
      <w:pPr>
        <w:pStyle w:val="50"/>
        <w:spacing w:line="360" w:lineRule="auto"/>
        <w:outlineLvl w:val="0"/>
        <w:rPr>
          <w:rFonts w:hint="eastAsia" w:ascii="宋体" w:hAnsi="宋体" w:eastAsia="宋体"/>
          <w:b/>
          <w:bCs/>
          <w:color w:val="auto"/>
          <w:sz w:val="21"/>
          <w:szCs w:val="21"/>
          <w:highlight w:val="none"/>
        </w:rPr>
      </w:pPr>
      <w:bookmarkStart w:id="657" w:name="_Toc455080150"/>
      <w:bookmarkStart w:id="658" w:name="_Toc32320"/>
      <w:bookmarkStart w:id="659" w:name="_Toc31001"/>
      <w:bookmarkStart w:id="660" w:name="_Toc28813"/>
      <w:bookmarkStart w:id="661" w:name="_Toc152042353"/>
      <w:bookmarkStart w:id="662" w:name="_Toc25211"/>
      <w:bookmarkStart w:id="663" w:name="_Toc318450716"/>
      <w:bookmarkStart w:id="664" w:name="_Toc466298133"/>
      <w:bookmarkStart w:id="665" w:name="_Toc455867810"/>
      <w:bookmarkStart w:id="666" w:name="_Toc8751"/>
      <w:bookmarkStart w:id="667" w:name="_Toc25241"/>
      <w:bookmarkStart w:id="668" w:name="_Toc490667870"/>
      <w:bookmarkStart w:id="669" w:name="_Toc12177"/>
      <w:bookmarkStart w:id="670" w:name="_Toc152045577"/>
      <w:bookmarkStart w:id="671" w:name="_Toc19965"/>
      <w:bookmarkStart w:id="672" w:name="_Toc7439"/>
      <w:bookmarkStart w:id="673" w:name="_Toc7107"/>
      <w:bookmarkStart w:id="674" w:name="_Toc144974545"/>
      <w:bookmarkStart w:id="675" w:name="_Toc30153"/>
      <w:r>
        <w:rPr>
          <w:rFonts w:hint="eastAsia" w:ascii="宋体" w:hAnsi="宋体" w:eastAsia="宋体"/>
          <w:b/>
          <w:bCs/>
          <w:color w:val="auto"/>
          <w:sz w:val="21"/>
          <w:szCs w:val="21"/>
          <w:highlight w:val="none"/>
        </w:rPr>
        <w:t>9.3 对磋商小组成员的纪律要求</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237345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297A7764">
      <w:pPr>
        <w:pStyle w:val="50"/>
        <w:spacing w:line="360" w:lineRule="auto"/>
        <w:outlineLvl w:val="0"/>
        <w:rPr>
          <w:rFonts w:hint="eastAsia" w:ascii="宋体" w:hAnsi="宋体" w:eastAsia="宋体"/>
          <w:color w:val="auto"/>
          <w:sz w:val="21"/>
          <w:szCs w:val="21"/>
          <w:highlight w:val="none"/>
        </w:rPr>
      </w:pPr>
      <w:bookmarkStart w:id="676" w:name="_Toc20546"/>
      <w:bookmarkStart w:id="677" w:name="_Toc26462"/>
      <w:bookmarkStart w:id="678" w:name="_Toc397"/>
      <w:bookmarkStart w:id="679" w:name="_Toc466298134"/>
      <w:bookmarkStart w:id="680" w:name="_Toc152042354"/>
      <w:bookmarkStart w:id="681" w:name="_Toc455080151"/>
      <w:bookmarkStart w:id="682" w:name="_Toc1295"/>
      <w:bookmarkStart w:id="683" w:name="_Toc23717"/>
      <w:bookmarkStart w:id="684" w:name="_Toc152045578"/>
      <w:bookmarkStart w:id="685" w:name="_Toc235"/>
      <w:bookmarkStart w:id="686" w:name="_Toc455867811"/>
      <w:bookmarkStart w:id="687" w:name="_Toc27559"/>
      <w:bookmarkStart w:id="688" w:name="_Toc9063"/>
      <w:bookmarkStart w:id="689" w:name="_Toc24"/>
      <w:bookmarkStart w:id="690" w:name="_Toc19485"/>
      <w:bookmarkStart w:id="691" w:name="_Toc490667871"/>
      <w:bookmarkStart w:id="692" w:name="_Toc318450717"/>
      <w:bookmarkStart w:id="693" w:name="_Toc7368"/>
      <w:bookmarkStart w:id="694" w:name="_Toc144974546"/>
      <w:r>
        <w:rPr>
          <w:rFonts w:hint="eastAsia" w:ascii="宋体" w:hAnsi="宋体" w:eastAsia="宋体"/>
          <w:b/>
          <w:bCs/>
          <w:color w:val="auto"/>
          <w:sz w:val="21"/>
          <w:szCs w:val="21"/>
          <w:highlight w:val="none"/>
        </w:rPr>
        <w:t>9.4 对与评标活动有关的工作人员的纪律要求</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34A780B1">
      <w:pPr>
        <w:spacing w:line="360" w:lineRule="auto"/>
        <w:ind w:firstLine="420" w:firstLineChars="200"/>
        <w:rPr>
          <w:rFonts w:hint="eastAsia" w:ascii="宋体" w:hAnsi="宋体" w:cs="宋体"/>
          <w:color w:val="auto"/>
          <w:szCs w:val="21"/>
          <w:highlight w:val="none"/>
        </w:rPr>
      </w:pPr>
      <w:bookmarkStart w:id="695" w:name="_Toc152042355"/>
      <w:r>
        <w:rPr>
          <w:rFonts w:hint="eastAsia" w:ascii="宋体" w:hAnsi="宋体" w:cs="宋体"/>
          <w:color w:val="auto"/>
          <w:szCs w:val="21"/>
          <w:highlight w:val="none"/>
        </w:rPr>
        <w:t>与评标活动有关的工作人员不得收受他人的财物或者其他好处，不得向他人</w:t>
      </w:r>
      <w:r>
        <w:rPr>
          <w:rFonts w:hint="eastAsia" w:ascii="宋体" w:hAnsi="宋体" w:cs="宋体"/>
          <w:color w:val="auto"/>
          <w:szCs w:val="21"/>
          <w:highlight w:val="none"/>
          <w:lang w:eastAsia="zh-CN"/>
        </w:rPr>
        <w:t>透露</w:t>
      </w:r>
      <w:r>
        <w:rPr>
          <w:rFonts w:hint="eastAsia" w:ascii="宋体" w:hAnsi="宋体" w:cs="宋体"/>
          <w:color w:val="auto"/>
          <w:szCs w:val="21"/>
          <w:highlight w:val="none"/>
        </w:rPr>
        <w:t>对响应文件的评审和比较、成交候选人的推荐情况以及评标有关的其他情况。在评标活动中，与评标活动有关的工作人员不得擅离职守，影响评标程序正常进行。</w:t>
      </w:r>
      <w:bookmarkEnd w:id="695"/>
    </w:p>
    <w:p w14:paraId="2477A20E">
      <w:pPr>
        <w:pStyle w:val="50"/>
        <w:spacing w:line="360" w:lineRule="auto"/>
        <w:outlineLvl w:val="0"/>
        <w:rPr>
          <w:rFonts w:hint="eastAsia" w:ascii="宋体" w:hAnsi="宋体" w:eastAsia="宋体"/>
          <w:b/>
          <w:bCs/>
          <w:color w:val="auto"/>
          <w:sz w:val="21"/>
          <w:szCs w:val="21"/>
          <w:highlight w:val="none"/>
        </w:rPr>
      </w:pPr>
      <w:bookmarkStart w:id="696" w:name="_Toc2159"/>
      <w:bookmarkStart w:id="697" w:name="_Toc25751"/>
      <w:bookmarkStart w:id="698" w:name="_Toc5504"/>
      <w:bookmarkStart w:id="699" w:name="_Toc17735"/>
      <w:bookmarkStart w:id="700" w:name="_Toc31010"/>
      <w:bookmarkStart w:id="701" w:name="_Toc466298135"/>
      <w:bookmarkStart w:id="702" w:name="_Toc1820"/>
      <w:bookmarkStart w:id="703" w:name="_Toc490667872"/>
      <w:bookmarkStart w:id="704" w:name="_Toc6199"/>
      <w:bookmarkStart w:id="705" w:name="_Toc152045579"/>
      <w:bookmarkStart w:id="706" w:name="_Toc455080152"/>
      <w:bookmarkStart w:id="707" w:name="_Toc152042356"/>
      <w:bookmarkStart w:id="708" w:name="_Toc318450718"/>
      <w:bookmarkStart w:id="709" w:name="_Toc3303"/>
      <w:bookmarkStart w:id="710" w:name="_Toc3617"/>
      <w:bookmarkStart w:id="711" w:name="_Toc8074"/>
      <w:bookmarkStart w:id="712" w:name="_Toc455867812"/>
      <w:bookmarkStart w:id="713" w:name="_Toc32675"/>
      <w:r>
        <w:rPr>
          <w:rFonts w:hint="eastAsia" w:ascii="宋体" w:hAnsi="宋体" w:eastAsia="宋体"/>
          <w:b/>
          <w:bCs/>
          <w:color w:val="auto"/>
          <w:sz w:val="21"/>
          <w:szCs w:val="21"/>
          <w:highlight w:val="none"/>
        </w:rPr>
        <w:t>9.5 投诉</w:t>
      </w:r>
      <w:bookmarkEnd w:id="694"/>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C5B0C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供应商和其他利害关系人认为本次磋商活动违反法律、法规和规章规定的，有权向有关行政监督部门投诉。</w:t>
      </w:r>
    </w:p>
    <w:p w14:paraId="06A56B45">
      <w:pPr>
        <w:pStyle w:val="48"/>
        <w:spacing w:before="0" w:beforeLines="0" w:line="360" w:lineRule="auto"/>
        <w:rPr>
          <w:rFonts w:hint="eastAsia" w:ascii="宋体" w:hAnsi="宋体" w:eastAsia="宋体"/>
          <w:b/>
          <w:bCs/>
          <w:color w:val="auto"/>
          <w:sz w:val="21"/>
          <w:szCs w:val="21"/>
          <w:highlight w:val="none"/>
        </w:rPr>
      </w:pPr>
      <w:bookmarkStart w:id="714" w:name="_Toc152042357"/>
      <w:bookmarkStart w:id="715" w:name="_Toc152045580"/>
      <w:bookmarkStart w:id="716" w:name="_Toc455080153"/>
      <w:bookmarkStart w:id="717" w:name="_Toc14221"/>
      <w:bookmarkStart w:id="718" w:name="_Toc144974547"/>
      <w:r>
        <w:rPr>
          <w:rFonts w:hint="eastAsia" w:ascii="宋体" w:hAnsi="宋体" w:eastAsia="宋体"/>
          <w:b/>
          <w:bCs/>
          <w:color w:val="auto"/>
          <w:sz w:val="21"/>
          <w:szCs w:val="21"/>
          <w:highlight w:val="none"/>
        </w:rPr>
        <w:t>10. 需要补充的其他内容</w:t>
      </w:r>
      <w:bookmarkEnd w:id="714"/>
      <w:bookmarkEnd w:id="715"/>
      <w:bookmarkEnd w:id="716"/>
      <w:bookmarkEnd w:id="717"/>
      <w:bookmarkEnd w:id="718"/>
    </w:p>
    <w:p w14:paraId="1DDA8911">
      <w:pPr>
        <w:outlineLvl w:val="9"/>
        <w:rPr>
          <w:rFonts w:hint="eastAsia" w:ascii="宋体" w:hAnsi="宋体" w:cs="宋体" w:eastAsiaTheme="minorEastAsia"/>
          <w:b/>
          <w:color w:val="auto"/>
          <w:kern w:val="44"/>
          <w:sz w:val="28"/>
          <w:szCs w:val="28"/>
          <w:highlight w:val="none"/>
          <w:lang w:val="en-US" w:eastAsia="zh-CN" w:bidi="ar-SA"/>
        </w:rPr>
      </w:pPr>
    </w:p>
    <w:p w14:paraId="739E23C1">
      <w:pPr>
        <w:outlineLvl w:val="9"/>
        <w:rPr>
          <w:rFonts w:hint="eastAsia" w:ascii="宋体" w:hAnsi="宋体" w:cs="宋体"/>
          <w:b/>
          <w:color w:val="auto"/>
          <w:kern w:val="44"/>
          <w:sz w:val="28"/>
          <w:szCs w:val="28"/>
          <w:highlight w:val="none"/>
        </w:rPr>
      </w:pPr>
    </w:p>
    <w:p w14:paraId="5DED4F6B">
      <w:pPr>
        <w:jc w:val="both"/>
        <w:outlineLvl w:val="9"/>
        <w:rPr>
          <w:rFonts w:hint="eastAsia" w:ascii="宋体" w:hAnsi="宋体" w:cs="宋体"/>
          <w:b/>
          <w:color w:val="auto"/>
          <w:kern w:val="44"/>
          <w:sz w:val="32"/>
          <w:szCs w:val="32"/>
          <w:highlight w:val="none"/>
        </w:rPr>
      </w:pPr>
      <w:bookmarkStart w:id="719" w:name="_Toc6192"/>
    </w:p>
    <w:p w14:paraId="36014295">
      <w:pPr>
        <w:pStyle w:val="24"/>
        <w:rPr>
          <w:rFonts w:hint="eastAsia" w:ascii="宋体" w:hAnsi="宋体" w:cs="宋体"/>
          <w:b/>
          <w:color w:val="auto"/>
          <w:kern w:val="44"/>
          <w:sz w:val="32"/>
          <w:szCs w:val="32"/>
          <w:highlight w:val="none"/>
        </w:rPr>
      </w:pPr>
    </w:p>
    <w:bookmarkEnd w:id="27"/>
    <w:bookmarkEnd w:id="28"/>
    <w:bookmarkEnd w:id="29"/>
    <w:bookmarkEnd w:id="30"/>
    <w:bookmarkEnd w:id="31"/>
    <w:bookmarkEnd w:id="32"/>
    <w:bookmarkEnd w:id="719"/>
    <w:p w14:paraId="53FDD2F1">
      <w:pPr>
        <w:rPr>
          <w:rFonts w:hint="eastAsia" w:ascii="宋体" w:hAnsi="宋体" w:cs="宋体"/>
          <w:b/>
          <w:color w:val="auto"/>
          <w:kern w:val="44"/>
          <w:sz w:val="32"/>
          <w:szCs w:val="32"/>
          <w:highlight w:val="none"/>
        </w:rPr>
      </w:pPr>
      <w:bookmarkStart w:id="720" w:name="_Toc28924"/>
      <w:bookmarkStart w:id="721" w:name="_Toc9758"/>
      <w:bookmarkStart w:id="722" w:name="_Toc455080156"/>
      <w:bookmarkStart w:id="723" w:name="_Toc144974566"/>
      <w:bookmarkStart w:id="724" w:name="_Toc12092"/>
      <w:bookmarkStart w:id="725" w:name="_Toc152042376"/>
      <w:bookmarkStart w:id="726" w:name="_Toc455867816"/>
      <w:bookmarkStart w:id="727" w:name="_Toc27806"/>
      <w:bookmarkStart w:id="728" w:name="_Toc28069"/>
      <w:bookmarkStart w:id="729" w:name="_Toc12296"/>
      <w:bookmarkStart w:id="730" w:name="_Toc466298139"/>
      <w:bookmarkStart w:id="731" w:name="_Toc281405527"/>
      <w:bookmarkStart w:id="732" w:name="_Toc152045599"/>
      <w:bookmarkStart w:id="733" w:name="_Toc21310"/>
      <w:bookmarkStart w:id="734" w:name="_Toc318450721"/>
      <w:r>
        <w:rPr>
          <w:rFonts w:hint="eastAsia" w:ascii="宋体" w:hAnsi="宋体" w:cs="宋体"/>
          <w:b/>
          <w:color w:val="auto"/>
          <w:kern w:val="44"/>
          <w:sz w:val="32"/>
          <w:szCs w:val="32"/>
          <w:highlight w:val="none"/>
        </w:rPr>
        <w:br w:type="page"/>
      </w:r>
    </w:p>
    <w:p w14:paraId="2F551842">
      <w:pPr>
        <w:ind w:left="0" w:leftChars="0" w:firstLine="0" w:firstLineChars="0"/>
        <w:jc w:val="center"/>
        <w:outlineLvl w:val="0"/>
        <w:rPr>
          <w:rFonts w:hint="eastAsia" w:ascii="宋体" w:hAnsi="宋体" w:cs="宋体"/>
          <w:bCs/>
          <w:color w:val="auto"/>
          <w:sz w:val="32"/>
          <w:szCs w:val="32"/>
          <w:highlight w:val="none"/>
        </w:rPr>
      </w:pPr>
      <w:r>
        <w:rPr>
          <w:rFonts w:hint="eastAsia" w:ascii="宋体" w:hAnsi="宋体" w:cs="宋体"/>
          <w:b/>
          <w:color w:val="auto"/>
          <w:kern w:val="44"/>
          <w:sz w:val="32"/>
          <w:szCs w:val="32"/>
          <w:highlight w:val="none"/>
        </w:rPr>
        <w:t>第三章  评审办法（综合评分法）</w:t>
      </w:r>
      <w:bookmarkEnd w:id="720"/>
      <w:bookmarkEnd w:id="721"/>
    </w:p>
    <w:p w14:paraId="157695BD">
      <w:pPr>
        <w:ind w:left="0" w:leftChars="0" w:firstLine="0" w:firstLineChars="0"/>
        <w:jc w:val="center"/>
        <w:outlineLvl w:val="9"/>
        <w:rPr>
          <w:rFonts w:hint="eastAsia" w:ascii="宋体" w:hAnsi="宋体"/>
          <w:b/>
          <w:bCs/>
          <w:color w:val="auto"/>
          <w:sz w:val="24"/>
          <w:highlight w:val="none"/>
        </w:rPr>
      </w:pPr>
      <w:r>
        <w:rPr>
          <w:rFonts w:hint="eastAsia" w:ascii="宋体" w:hAnsi="宋体"/>
          <w:b/>
          <w:bCs/>
          <w:color w:val="auto"/>
          <w:sz w:val="24"/>
          <w:highlight w:val="none"/>
        </w:rPr>
        <w:t>评审办法前附表</w:t>
      </w:r>
      <w:bookmarkEnd w:id="722"/>
      <w:bookmarkEnd w:id="723"/>
      <w:bookmarkEnd w:id="724"/>
      <w:bookmarkEnd w:id="725"/>
      <w:bookmarkEnd w:id="726"/>
      <w:bookmarkEnd w:id="727"/>
      <w:bookmarkEnd w:id="728"/>
      <w:bookmarkEnd w:id="729"/>
      <w:bookmarkEnd w:id="730"/>
      <w:bookmarkEnd w:id="731"/>
      <w:bookmarkEnd w:id="732"/>
      <w:bookmarkEnd w:id="733"/>
      <w:bookmarkEnd w:id="73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83"/>
        <w:gridCol w:w="2460"/>
        <w:gridCol w:w="4231"/>
      </w:tblGrid>
      <w:tr w14:paraId="1683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24" w:type="dxa"/>
            <w:gridSpan w:val="2"/>
            <w:noWrap w:val="0"/>
            <w:vAlign w:val="center"/>
          </w:tcPr>
          <w:p w14:paraId="4C1322C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460" w:type="dxa"/>
            <w:noWrap w:val="0"/>
            <w:vAlign w:val="center"/>
          </w:tcPr>
          <w:p w14:paraId="5075032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231" w:type="dxa"/>
            <w:noWrap w:val="0"/>
            <w:vAlign w:val="center"/>
          </w:tcPr>
          <w:p w14:paraId="70C8CFB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1EB9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741" w:type="dxa"/>
            <w:vMerge w:val="restart"/>
            <w:noWrap w:val="0"/>
            <w:vAlign w:val="center"/>
          </w:tcPr>
          <w:p w14:paraId="07B2B2F7">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83" w:type="dxa"/>
            <w:vMerge w:val="restart"/>
            <w:noWrap w:val="0"/>
            <w:vAlign w:val="center"/>
          </w:tcPr>
          <w:p w14:paraId="6C1A563C">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w:t>
            </w:r>
          </w:p>
          <w:p w14:paraId="470F7388">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c>
          <w:tcPr>
            <w:tcW w:w="2460" w:type="dxa"/>
            <w:noWrap w:val="0"/>
            <w:vAlign w:val="center"/>
          </w:tcPr>
          <w:p w14:paraId="6AB840E2">
            <w:p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符合《中华人民共和国政府采购法》</w:t>
            </w:r>
            <w:r>
              <w:rPr>
                <w:rFonts w:hint="eastAsia" w:ascii="宋体" w:hAnsi="宋体" w:eastAsia="宋体" w:cs="宋体"/>
                <w:color w:val="auto"/>
                <w:sz w:val="21"/>
                <w:szCs w:val="21"/>
                <w:highlight w:val="none"/>
                <w:lang w:eastAsia="zh-CN"/>
              </w:rPr>
              <w:t>第二十二条</w:t>
            </w:r>
            <w:r>
              <w:rPr>
                <w:rFonts w:hint="eastAsia" w:ascii="宋体" w:hAnsi="宋体" w:eastAsia="宋体" w:cs="宋体"/>
                <w:color w:val="auto"/>
                <w:sz w:val="21"/>
                <w:szCs w:val="21"/>
                <w:highlight w:val="none"/>
              </w:rPr>
              <w:t>规定</w:t>
            </w:r>
          </w:p>
        </w:tc>
        <w:tc>
          <w:tcPr>
            <w:tcW w:w="4231" w:type="dxa"/>
            <w:noWrap w:val="0"/>
            <w:vAlign w:val="center"/>
          </w:tcPr>
          <w:p w14:paraId="4F8A08F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符合第二章“供应商须知”第1.5.1项规定</w:t>
            </w:r>
          </w:p>
        </w:tc>
      </w:tr>
      <w:tr w14:paraId="260E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1" w:type="dxa"/>
            <w:vMerge w:val="continue"/>
            <w:noWrap w:val="0"/>
            <w:vAlign w:val="center"/>
          </w:tcPr>
          <w:p w14:paraId="3B7F1DA1">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7A5FDCB7">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120D1585">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落实政府采购政策</w:t>
            </w:r>
          </w:p>
        </w:tc>
        <w:tc>
          <w:tcPr>
            <w:tcW w:w="4231" w:type="dxa"/>
            <w:noWrap w:val="0"/>
            <w:vAlign w:val="center"/>
          </w:tcPr>
          <w:p w14:paraId="7974D5A7">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rPr>
              <w:t>项规定</w:t>
            </w:r>
          </w:p>
        </w:tc>
      </w:tr>
      <w:tr w14:paraId="6F1B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1" w:type="dxa"/>
            <w:vMerge w:val="continue"/>
            <w:noWrap w:val="0"/>
            <w:vAlign w:val="center"/>
          </w:tcPr>
          <w:p w14:paraId="3E35A178">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5417DD3F">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7251F913">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财务和纳税要求</w:t>
            </w:r>
          </w:p>
        </w:tc>
        <w:tc>
          <w:tcPr>
            <w:tcW w:w="4231" w:type="dxa"/>
            <w:noWrap w:val="0"/>
            <w:vAlign w:val="center"/>
          </w:tcPr>
          <w:p w14:paraId="1CEB89BA">
            <w:pPr>
              <w:pageBreakBefore w:val="0"/>
              <w:tabs>
                <w:tab w:val="left" w:pos="513"/>
              </w:tabs>
              <w:kinsoku/>
              <w:wordWrap/>
              <w:overflowPunct/>
              <w:topLinePunct w:val="0"/>
              <w:bidi w:val="0"/>
              <w:spacing w:line="400" w:lineRule="exact"/>
              <w:ind w:left="0" w:leftChars="0" w:right="105" w:rightChars="5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供应商须知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rPr>
              <w:t>项规定</w:t>
            </w:r>
          </w:p>
        </w:tc>
      </w:tr>
      <w:tr w14:paraId="794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1" w:type="dxa"/>
            <w:vMerge w:val="continue"/>
            <w:noWrap w:val="0"/>
            <w:vAlign w:val="center"/>
          </w:tcPr>
          <w:p w14:paraId="649550E9">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5B407374">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3B6CC981">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信用要求</w:t>
            </w:r>
          </w:p>
        </w:tc>
        <w:tc>
          <w:tcPr>
            <w:tcW w:w="4231" w:type="dxa"/>
            <w:noWrap w:val="0"/>
            <w:vAlign w:val="center"/>
          </w:tcPr>
          <w:p w14:paraId="74BFEE5C">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符合第二章“供应商须知”第1.5.1项规定</w:t>
            </w:r>
          </w:p>
        </w:tc>
      </w:tr>
      <w:tr w14:paraId="288D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1" w:type="dxa"/>
            <w:vMerge w:val="continue"/>
            <w:noWrap w:val="0"/>
            <w:vAlign w:val="center"/>
          </w:tcPr>
          <w:p w14:paraId="58CDAA00">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375CB669">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5E78D727">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4231" w:type="dxa"/>
            <w:noWrap w:val="0"/>
            <w:vAlign w:val="center"/>
          </w:tcPr>
          <w:p w14:paraId="178F2957">
            <w:pPr>
              <w:widowControl/>
              <w:spacing w:line="400" w:lineRule="exact"/>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须知”第1.5.1项规定</w:t>
            </w:r>
          </w:p>
        </w:tc>
      </w:tr>
      <w:tr w14:paraId="3FF9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41" w:type="dxa"/>
            <w:vMerge w:val="restart"/>
            <w:noWrap w:val="0"/>
            <w:vAlign w:val="center"/>
          </w:tcPr>
          <w:p w14:paraId="25E0A3D1">
            <w:pPr>
              <w:spacing w:line="36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83" w:type="dxa"/>
            <w:vMerge w:val="restart"/>
            <w:noWrap w:val="0"/>
            <w:vAlign w:val="center"/>
          </w:tcPr>
          <w:p w14:paraId="2A8F4B62">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符合性</w:t>
            </w:r>
            <w:r>
              <w:rPr>
                <w:rFonts w:hint="eastAsia" w:ascii="宋体" w:hAnsi="宋体" w:eastAsia="宋体" w:cs="宋体"/>
                <w:color w:val="auto"/>
                <w:sz w:val="21"/>
                <w:szCs w:val="21"/>
                <w:highlight w:val="none"/>
              </w:rPr>
              <w:t>评审标准</w:t>
            </w:r>
          </w:p>
        </w:tc>
        <w:tc>
          <w:tcPr>
            <w:tcW w:w="2460" w:type="dxa"/>
            <w:noWrap w:val="0"/>
            <w:vAlign w:val="center"/>
          </w:tcPr>
          <w:p w14:paraId="53E317E3">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供应商名称</w:t>
            </w:r>
          </w:p>
        </w:tc>
        <w:tc>
          <w:tcPr>
            <w:tcW w:w="4231" w:type="dxa"/>
            <w:noWrap w:val="0"/>
            <w:vAlign w:val="center"/>
          </w:tcPr>
          <w:p w14:paraId="7A3C589E">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与营业执照一致</w:t>
            </w:r>
          </w:p>
        </w:tc>
      </w:tr>
      <w:tr w14:paraId="4944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41" w:type="dxa"/>
            <w:vMerge w:val="continue"/>
            <w:noWrap w:val="0"/>
            <w:vAlign w:val="center"/>
          </w:tcPr>
          <w:p w14:paraId="56FCFC88">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10CFEB12">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5B4C981F">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响应函</w:t>
            </w:r>
            <w:r>
              <w:rPr>
                <w:rFonts w:hint="eastAsia" w:ascii="宋体" w:hAnsi="宋体" w:eastAsia="宋体" w:cs="宋体"/>
                <w:color w:val="auto"/>
                <w:sz w:val="21"/>
                <w:szCs w:val="21"/>
                <w:highlight w:val="none"/>
              </w:rPr>
              <w:t>签字盖章</w:t>
            </w:r>
          </w:p>
        </w:tc>
        <w:tc>
          <w:tcPr>
            <w:tcW w:w="4231" w:type="dxa"/>
            <w:noWrap w:val="0"/>
            <w:vAlign w:val="center"/>
          </w:tcPr>
          <w:p w14:paraId="7AF5EF60">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sz w:val="21"/>
                <w:szCs w:val="21"/>
                <w:highlight w:val="none"/>
              </w:rPr>
              <w:t>符合</w:t>
            </w:r>
            <w:r>
              <w:rPr>
                <w:rFonts w:hint="eastAsia" w:ascii="宋体" w:hAnsi="宋体" w:eastAsia="宋体" w:cs="宋体"/>
                <w:color w:val="auto"/>
                <w:spacing w:val="-6"/>
                <w:sz w:val="21"/>
                <w:szCs w:val="21"/>
                <w:highlight w:val="none"/>
                <w:lang w:eastAsia="zh-CN"/>
              </w:rPr>
              <w:t>第六章</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竞争性磋商响应文件格式</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响应函签字盖章</w:t>
            </w:r>
            <w:r>
              <w:rPr>
                <w:rFonts w:hint="eastAsia" w:ascii="宋体" w:hAnsi="宋体" w:eastAsia="宋体" w:cs="宋体"/>
                <w:color w:val="auto"/>
                <w:spacing w:val="-6"/>
                <w:sz w:val="21"/>
                <w:szCs w:val="21"/>
                <w:highlight w:val="none"/>
              </w:rPr>
              <w:t>的要求</w:t>
            </w:r>
          </w:p>
        </w:tc>
      </w:tr>
      <w:tr w14:paraId="2DE4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741" w:type="dxa"/>
            <w:vMerge w:val="continue"/>
            <w:noWrap w:val="0"/>
            <w:vAlign w:val="center"/>
          </w:tcPr>
          <w:p w14:paraId="7E048793">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252F85AC">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0ABFF2E9">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响应文件格式</w:t>
            </w:r>
          </w:p>
        </w:tc>
        <w:tc>
          <w:tcPr>
            <w:tcW w:w="4231" w:type="dxa"/>
            <w:noWrap w:val="0"/>
            <w:vAlign w:val="center"/>
          </w:tcPr>
          <w:p w14:paraId="3342B096">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第六章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竞争性磋商响应文件格式</w:t>
            </w:r>
            <w:r>
              <w:rPr>
                <w:rFonts w:hint="eastAsia" w:ascii="宋体" w:hAnsi="宋体" w:eastAsia="宋体" w:cs="宋体"/>
                <w:color w:val="auto"/>
                <w:sz w:val="21"/>
                <w:szCs w:val="21"/>
                <w:highlight w:val="none"/>
              </w:rPr>
              <w:t>”的要求</w:t>
            </w:r>
          </w:p>
        </w:tc>
      </w:tr>
      <w:tr w14:paraId="4C78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41" w:type="dxa"/>
            <w:vMerge w:val="continue"/>
            <w:noWrap w:val="0"/>
            <w:vAlign w:val="center"/>
          </w:tcPr>
          <w:p w14:paraId="54D4F814">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0AF905CD">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135B2FCD">
            <w:pPr>
              <w:tabs>
                <w:tab w:val="left" w:pos="477"/>
                <w:tab w:val="center" w:pos="1083"/>
              </w:tabs>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响应内容</w:t>
            </w:r>
          </w:p>
        </w:tc>
        <w:tc>
          <w:tcPr>
            <w:tcW w:w="4231" w:type="dxa"/>
            <w:noWrap w:val="0"/>
            <w:vAlign w:val="center"/>
          </w:tcPr>
          <w:p w14:paraId="04DAD6EB">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符合第二章“供应商须知”第1.4.1项规定</w:t>
            </w:r>
          </w:p>
        </w:tc>
      </w:tr>
      <w:tr w14:paraId="72B1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41" w:type="dxa"/>
            <w:vMerge w:val="continue"/>
            <w:noWrap w:val="0"/>
            <w:vAlign w:val="center"/>
          </w:tcPr>
          <w:p w14:paraId="4C160D38">
            <w:pPr>
              <w:spacing w:line="360" w:lineRule="auto"/>
              <w:rPr>
                <w:rFonts w:hint="eastAsia" w:ascii="宋体" w:hAnsi="宋体" w:eastAsia="宋体" w:cs="宋体"/>
                <w:color w:val="auto"/>
                <w:sz w:val="21"/>
                <w:szCs w:val="21"/>
                <w:highlight w:val="none"/>
              </w:rPr>
            </w:pPr>
          </w:p>
        </w:tc>
        <w:tc>
          <w:tcPr>
            <w:tcW w:w="1083" w:type="dxa"/>
            <w:vMerge w:val="continue"/>
            <w:noWrap w:val="0"/>
            <w:vAlign w:val="center"/>
          </w:tcPr>
          <w:p w14:paraId="1B862E78">
            <w:pPr>
              <w:spacing w:line="360" w:lineRule="auto"/>
              <w:jc w:val="center"/>
              <w:rPr>
                <w:rFonts w:hint="eastAsia" w:ascii="宋体" w:hAnsi="宋体" w:eastAsia="宋体" w:cs="宋体"/>
                <w:color w:val="auto"/>
                <w:sz w:val="21"/>
                <w:szCs w:val="21"/>
                <w:highlight w:val="none"/>
              </w:rPr>
            </w:pPr>
          </w:p>
        </w:tc>
        <w:tc>
          <w:tcPr>
            <w:tcW w:w="2460" w:type="dxa"/>
            <w:noWrap w:val="0"/>
            <w:vAlign w:val="center"/>
          </w:tcPr>
          <w:p w14:paraId="29A31D8C">
            <w:pPr>
              <w:tabs>
                <w:tab w:val="left" w:pos="477"/>
                <w:tab w:val="center" w:pos="1083"/>
              </w:tabs>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4231" w:type="dxa"/>
            <w:noWrap w:val="0"/>
            <w:vAlign w:val="center"/>
          </w:tcPr>
          <w:p w14:paraId="51B7FDFE">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w:t>
            </w:r>
          </w:p>
        </w:tc>
      </w:tr>
      <w:tr w14:paraId="379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41" w:type="dxa"/>
            <w:vMerge w:val="continue"/>
            <w:noWrap w:val="0"/>
            <w:vAlign w:val="center"/>
          </w:tcPr>
          <w:p w14:paraId="5EC6F084">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71D3094E">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3D59F8A7">
            <w:pPr>
              <w:tabs>
                <w:tab w:val="left" w:pos="693"/>
                <w:tab w:val="center" w:pos="1083"/>
              </w:tabs>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服务期</w:t>
            </w:r>
          </w:p>
        </w:tc>
        <w:tc>
          <w:tcPr>
            <w:tcW w:w="4231" w:type="dxa"/>
            <w:noWrap w:val="0"/>
            <w:vAlign w:val="center"/>
          </w:tcPr>
          <w:p w14:paraId="7E08927E">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w:t>
            </w:r>
          </w:p>
        </w:tc>
      </w:tr>
      <w:tr w14:paraId="3062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1" w:type="dxa"/>
            <w:vMerge w:val="continue"/>
            <w:noWrap w:val="0"/>
            <w:vAlign w:val="center"/>
          </w:tcPr>
          <w:p w14:paraId="59B3BB7E">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6A6C7553">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67B8278D">
            <w:pPr>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服务要求</w:t>
            </w:r>
          </w:p>
        </w:tc>
        <w:tc>
          <w:tcPr>
            <w:tcW w:w="4231" w:type="dxa"/>
            <w:noWrap w:val="0"/>
            <w:vAlign w:val="center"/>
          </w:tcPr>
          <w:p w14:paraId="51412675">
            <w:pPr>
              <w:spacing w:line="360" w:lineRule="auto"/>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项规定</w:t>
            </w:r>
          </w:p>
        </w:tc>
      </w:tr>
      <w:tr w14:paraId="2EFB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41" w:type="dxa"/>
            <w:vMerge w:val="continue"/>
            <w:noWrap w:val="0"/>
            <w:vAlign w:val="center"/>
          </w:tcPr>
          <w:p w14:paraId="6D6FA10E">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6439D10C">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230C3112">
            <w:pPr>
              <w:spacing w:line="360" w:lineRule="auto"/>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4231" w:type="dxa"/>
            <w:noWrap w:val="0"/>
            <w:vAlign w:val="center"/>
          </w:tcPr>
          <w:p w14:paraId="2F18569A">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项规定</w:t>
            </w:r>
          </w:p>
        </w:tc>
      </w:tr>
      <w:tr w14:paraId="70A7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1" w:type="dxa"/>
            <w:vMerge w:val="continue"/>
            <w:noWrap w:val="0"/>
            <w:vAlign w:val="center"/>
          </w:tcPr>
          <w:p w14:paraId="1647511C">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2B9BB8F6">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0837D653">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4231" w:type="dxa"/>
            <w:noWrap w:val="0"/>
            <w:vAlign w:val="center"/>
          </w:tcPr>
          <w:p w14:paraId="66538158">
            <w:p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符合第二章“供应商须知”第3.3.1项规定</w:t>
            </w:r>
          </w:p>
        </w:tc>
      </w:tr>
      <w:tr w14:paraId="0BF4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1" w:type="dxa"/>
            <w:vMerge w:val="continue"/>
            <w:noWrap w:val="0"/>
            <w:vAlign w:val="center"/>
          </w:tcPr>
          <w:p w14:paraId="1FB4B60E">
            <w:pPr>
              <w:widowControl/>
              <w:spacing w:line="360" w:lineRule="auto"/>
              <w:jc w:val="left"/>
              <w:rPr>
                <w:rFonts w:hint="eastAsia" w:ascii="宋体" w:hAnsi="宋体" w:eastAsia="宋体" w:cs="宋体"/>
                <w:color w:val="auto"/>
                <w:sz w:val="21"/>
                <w:szCs w:val="21"/>
                <w:highlight w:val="none"/>
              </w:rPr>
            </w:pPr>
          </w:p>
        </w:tc>
        <w:tc>
          <w:tcPr>
            <w:tcW w:w="1083" w:type="dxa"/>
            <w:vMerge w:val="continue"/>
            <w:noWrap w:val="0"/>
            <w:vAlign w:val="center"/>
          </w:tcPr>
          <w:p w14:paraId="19A8F513">
            <w:pPr>
              <w:widowControl/>
              <w:spacing w:line="360" w:lineRule="auto"/>
              <w:jc w:val="left"/>
              <w:rPr>
                <w:rFonts w:hint="eastAsia" w:ascii="宋体" w:hAnsi="宋体" w:eastAsia="宋体" w:cs="宋体"/>
                <w:color w:val="auto"/>
                <w:sz w:val="21"/>
                <w:szCs w:val="21"/>
                <w:highlight w:val="none"/>
              </w:rPr>
            </w:pPr>
          </w:p>
        </w:tc>
        <w:tc>
          <w:tcPr>
            <w:tcW w:w="2460" w:type="dxa"/>
            <w:noWrap w:val="0"/>
            <w:vAlign w:val="center"/>
          </w:tcPr>
          <w:p w14:paraId="27FFE4FD">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4231" w:type="dxa"/>
            <w:noWrap w:val="0"/>
            <w:vAlign w:val="center"/>
          </w:tcPr>
          <w:p w14:paraId="27CA6B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报价不超过</w:t>
            </w:r>
            <w:r>
              <w:rPr>
                <w:rFonts w:hint="eastAsia" w:ascii="宋体" w:hAnsi="宋体" w:eastAsia="宋体" w:cs="宋体"/>
                <w:color w:val="auto"/>
                <w:sz w:val="21"/>
                <w:szCs w:val="21"/>
                <w:highlight w:val="none"/>
                <w:lang w:eastAsia="zh-CN"/>
              </w:rPr>
              <w:t>预算价（最高限价）</w:t>
            </w:r>
          </w:p>
        </w:tc>
      </w:tr>
    </w:tbl>
    <w:p w14:paraId="0AA333CC">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Cs w:val="21"/>
          <w:highlight w:val="none"/>
        </w:rPr>
      </w:pPr>
      <w:bookmarkStart w:id="735" w:name="_Toc15036"/>
      <w:bookmarkStart w:id="736" w:name="_Toc281405528"/>
      <w:bookmarkStart w:id="737" w:name="_Toc29897"/>
      <w:bookmarkStart w:id="738" w:name="_Toc318450722"/>
      <w:bookmarkStart w:id="739" w:name="_Toc31578"/>
      <w:bookmarkStart w:id="740" w:name="_Toc144974567"/>
      <w:bookmarkStart w:id="741" w:name="_Toc152042377"/>
      <w:bookmarkStart w:id="742" w:name="_Toc29279"/>
      <w:bookmarkStart w:id="743" w:name="_Toc152045600"/>
    </w:p>
    <w:p w14:paraId="1FA22D10">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444D9C30">
      <w:pPr>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color w:val="auto"/>
          <w:sz w:val="24"/>
          <w:szCs w:val="24"/>
          <w:highlight w:val="none"/>
          <w:lang w:val="en-US" w:eastAsia="zh-CN"/>
        </w:rPr>
      </w:pPr>
      <w:r>
        <w:rPr>
          <w:rFonts w:hint="eastAsia" w:ascii="宋体" w:hAnsi="宋体" w:eastAsia="宋体" w:cs="宋体"/>
          <w:b/>
          <w:bCs/>
          <w:color w:val="auto"/>
          <w:sz w:val="24"/>
          <w:szCs w:val="24"/>
          <w:highlight w:val="none"/>
        </w:rPr>
        <w:t>评分标准</w:t>
      </w:r>
    </w:p>
    <w:tbl>
      <w:tblPr>
        <w:tblStyle w:val="2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3"/>
        <w:gridCol w:w="852"/>
        <w:gridCol w:w="7604"/>
      </w:tblGrid>
      <w:tr w14:paraId="0A89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jc w:val="center"/>
        </w:trPr>
        <w:tc>
          <w:tcPr>
            <w:tcW w:w="603" w:type="dxa"/>
            <w:noWrap w:val="0"/>
            <w:vAlign w:val="center"/>
          </w:tcPr>
          <w:p w14:paraId="2C4EBFE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评审项目</w:t>
            </w:r>
          </w:p>
        </w:tc>
        <w:tc>
          <w:tcPr>
            <w:tcW w:w="852" w:type="dxa"/>
            <w:noWrap w:val="0"/>
            <w:vAlign w:val="center"/>
          </w:tcPr>
          <w:p w14:paraId="2C455358">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分值</w:t>
            </w:r>
          </w:p>
        </w:tc>
        <w:tc>
          <w:tcPr>
            <w:tcW w:w="7604" w:type="dxa"/>
            <w:noWrap w:val="0"/>
            <w:vAlign w:val="center"/>
          </w:tcPr>
          <w:p w14:paraId="19B33BC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评审细则</w:t>
            </w:r>
          </w:p>
        </w:tc>
      </w:tr>
      <w:tr w14:paraId="0405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2" w:hRule="atLeast"/>
          <w:jc w:val="center"/>
        </w:trPr>
        <w:tc>
          <w:tcPr>
            <w:tcW w:w="603" w:type="dxa"/>
            <w:noWrap w:val="0"/>
            <w:vAlign w:val="center"/>
          </w:tcPr>
          <w:p w14:paraId="271A8894">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商务部分</w:t>
            </w:r>
          </w:p>
          <w:p w14:paraId="4328823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val="en-US" w:eastAsia="zh-CN" w:bidi="ar"/>
              </w:rPr>
              <w:t>3</w:t>
            </w:r>
            <w:r>
              <w:rPr>
                <w:rFonts w:hint="eastAsia" w:ascii="宋体" w:hAnsi="宋体" w:cs="宋体"/>
                <w:b/>
                <w:bCs/>
                <w:color w:val="auto"/>
                <w:kern w:val="0"/>
                <w:sz w:val="21"/>
                <w:szCs w:val="21"/>
                <w:highlight w:val="none"/>
                <w:lang w:bidi="ar"/>
              </w:rPr>
              <w:t>0分</w:t>
            </w:r>
          </w:p>
          <w:p w14:paraId="7F3FA8E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 xml:space="preserve">  </w:t>
            </w:r>
          </w:p>
        </w:tc>
        <w:tc>
          <w:tcPr>
            <w:tcW w:w="852" w:type="dxa"/>
            <w:noWrap w:val="0"/>
            <w:vAlign w:val="center"/>
          </w:tcPr>
          <w:p w14:paraId="79CB3A6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报价得分</w:t>
            </w:r>
            <w:r>
              <w:rPr>
                <w:rFonts w:hint="eastAsia" w:ascii="宋体" w:hAnsi="宋体" w:cs="宋体"/>
                <w:b/>
                <w:bCs/>
                <w:color w:val="auto"/>
                <w:kern w:val="0"/>
                <w:sz w:val="21"/>
                <w:szCs w:val="21"/>
                <w:highlight w:val="none"/>
                <w:lang w:val="en-US" w:eastAsia="zh-CN" w:bidi="ar"/>
              </w:rPr>
              <w:t>3</w:t>
            </w:r>
            <w:r>
              <w:rPr>
                <w:rFonts w:hint="eastAsia" w:ascii="宋体" w:hAnsi="宋体" w:cs="宋体"/>
                <w:b/>
                <w:bCs/>
                <w:color w:val="auto"/>
                <w:kern w:val="0"/>
                <w:sz w:val="21"/>
                <w:szCs w:val="21"/>
                <w:highlight w:val="none"/>
                <w:lang w:bidi="ar"/>
              </w:rPr>
              <w:t>0分</w:t>
            </w:r>
          </w:p>
        </w:tc>
        <w:tc>
          <w:tcPr>
            <w:tcW w:w="7604" w:type="dxa"/>
            <w:noWrap w:val="0"/>
            <w:vAlign w:val="center"/>
          </w:tcPr>
          <w:p w14:paraId="035823F8">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报价分采用低价优先法计算，即满足</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要求且最终报价最低的有效</w:t>
            </w:r>
            <w:r>
              <w:rPr>
                <w:rFonts w:hint="eastAsia" w:ascii="宋体" w:hAnsi="宋体" w:cs="宋体"/>
                <w:color w:val="auto"/>
                <w:sz w:val="21"/>
                <w:szCs w:val="21"/>
                <w:highlight w:val="none"/>
                <w:lang w:eastAsia="zh-CN"/>
              </w:rPr>
              <w:t>投标报价</w:t>
            </w:r>
            <w:r>
              <w:rPr>
                <w:rFonts w:hint="eastAsia" w:ascii="宋体" w:hAnsi="宋体" w:eastAsia="宋体" w:cs="宋体"/>
                <w:color w:val="auto"/>
                <w:sz w:val="21"/>
                <w:szCs w:val="21"/>
                <w:highlight w:val="none"/>
              </w:rPr>
              <w:t>为评标基准价，其价格分为满分。其他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的价格分统一按照下列公式计算：</w:t>
            </w:r>
            <w:r>
              <w:rPr>
                <w:rFonts w:hint="eastAsia" w:ascii="宋体" w:hAnsi="宋体" w:cs="宋体"/>
                <w:color w:val="auto"/>
                <w:sz w:val="21"/>
                <w:szCs w:val="21"/>
                <w:highlight w:val="none"/>
                <w:lang w:eastAsia="zh-CN"/>
              </w:rPr>
              <w:t>投标报价</w:t>
            </w:r>
            <w:r>
              <w:rPr>
                <w:rFonts w:hint="eastAsia" w:ascii="宋体" w:hAnsi="宋体" w:eastAsia="宋体" w:cs="宋体"/>
                <w:color w:val="auto"/>
                <w:sz w:val="21"/>
                <w:szCs w:val="21"/>
                <w:highlight w:val="none"/>
              </w:rPr>
              <w:t>得分=（评标基准价/</w:t>
            </w:r>
            <w:r>
              <w:rPr>
                <w:rFonts w:hint="eastAsia" w:ascii="宋体" w:hAnsi="宋体" w:cs="宋体"/>
                <w:color w:val="auto"/>
                <w:sz w:val="21"/>
                <w:szCs w:val="21"/>
                <w:highlight w:val="none"/>
                <w:lang w:eastAsia="zh-CN"/>
              </w:rPr>
              <w:t>投标报价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3183BB6B">
            <w:pPr>
              <w:spacing w:line="24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注：1.价格分计算保留小数点后二位</w:t>
            </w:r>
            <w:r>
              <w:rPr>
                <w:rFonts w:hint="eastAsia" w:ascii="宋体" w:hAnsi="宋体" w:eastAsia="宋体" w:cs="宋体"/>
                <w:color w:val="auto"/>
                <w:sz w:val="21"/>
                <w:szCs w:val="21"/>
                <w:highlight w:val="none"/>
                <w:lang w:val="en-US" w:eastAsia="zh-CN"/>
              </w:rPr>
              <w:t xml:space="preserve"> </w:t>
            </w:r>
          </w:p>
          <w:p w14:paraId="188AFCF6">
            <w:pPr>
              <w:keepNext w:val="0"/>
              <w:keepLines w:val="0"/>
              <w:pageBreakBefore w:val="0"/>
              <w:widowControl/>
              <w:numPr>
                <w:ilvl w:val="0"/>
                <w:numId w:val="5"/>
              </w:numPr>
              <w:kinsoku/>
              <w:wordWrap/>
              <w:overflowPunct/>
              <w:topLinePunct w:val="0"/>
              <w:autoSpaceDE/>
              <w:autoSpaceDN/>
              <w:bidi w:val="0"/>
              <w:adjustRightInd/>
              <w:snapToGrid w:val="0"/>
              <w:spacing w:line="240" w:lineRule="auto"/>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投标报价中的投标报价明显低于其他通过符合性审查投标人的投标报价（比控制价低30%的）且该投标人技术等主要指标有大量或明显故意不符，可能影响采购质量或者项目履约的，应当要求在投标系统合理的时间内上传书面说明，投标人不能证明其报价合理性的，评标委员会应当将其做为无效投标处理。</w:t>
            </w:r>
          </w:p>
          <w:p w14:paraId="733D029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firstLine="420" w:firstLineChars="200"/>
              <w:textAlignment w:val="center"/>
              <w:rPr>
                <w:rFonts w:hint="eastAsia" w:ascii="宋体" w:hAnsi="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3.对小型企业、微型企业产品的价格扣除20%，用扣除后的价格参与评审。参加本项目的中小企业应当提供《中小企业声明函》（格式详见招标文件内《中小企业声明函》样本）。</w:t>
            </w:r>
          </w:p>
        </w:tc>
      </w:tr>
      <w:tr w14:paraId="753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1" w:hRule="atLeast"/>
          <w:jc w:val="center"/>
        </w:trPr>
        <w:tc>
          <w:tcPr>
            <w:tcW w:w="603" w:type="dxa"/>
            <w:vMerge w:val="restart"/>
            <w:noWrap w:val="0"/>
            <w:vAlign w:val="center"/>
          </w:tcPr>
          <w:p w14:paraId="767D998B">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技术部分</w:t>
            </w:r>
          </w:p>
          <w:p w14:paraId="4A8CF3E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val="en-US" w:eastAsia="zh-CN" w:bidi="ar"/>
              </w:rPr>
              <w:t>35</w:t>
            </w:r>
            <w:r>
              <w:rPr>
                <w:rFonts w:hint="eastAsia" w:ascii="宋体" w:hAnsi="宋体" w:cs="宋体"/>
                <w:b/>
                <w:bCs/>
                <w:color w:val="auto"/>
                <w:kern w:val="0"/>
                <w:sz w:val="21"/>
                <w:szCs w:val="21"/>
                <w:highlight w:val="none"/>
                <w:lang w:bidi="ar"/>
              </w:rPr>
              <w:t>分</w:t>
            </w:r>
          </w:p>
        </w:tc>
        <w:tc>
          <w:tcPr>
            <w:tcW w:w="852" w:type="dxa"/>
            <w:noWrap w:val="0"/>
            <w:vAlign w:val="center"/>
          </w:tcPr>
          <w:p w14:paraId="00E8399A">
            <w:pPr>
              <w:keepNext w:val="0"/>
              <w:keepLines w:val="0"/>
              <w:pageBreakBefore w:val="0"/>
              <w:widowControl w:val="0"/>
              <w:kinsoku/>
              <w:wordWrap/>
              <w:overflowPunct/>
              <w:topLinePunct w:val="0"/>
              <w:bidi w:val="0"/>
              <w:adjustRightInd/>
              <w:snapToGrid/>
              <w:spacing w:line="400" w:lineRule="exact"/>
              <w:ind w:left="0" w:leftChars="0" w:firstLine="0" w:firstLineChars="0"/>
              <w:jc w:val="both"/>
              <w:textAlignment w:val="auto"/>
              <w:rPr>
                <w:rFonts w:hint="default" w:ascii="宋体" w:hAnsi="宋体" w:cs="宋体" w:eastAsiaTheme="minorEastAsia"/>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技术指标（20分）</w:t>
            </w:r>
          </w:p>
        </w:tc>
        <w:tc>
          <w:tcPr>
            <w:tcW w:w="7604" w:type="dxa"/>
            <w:noWrap w:val="0"/>
            <w:vAlign w:val="center"/>
          </w:tcPr>
          <w:p w14:paraId="67C5388F">
            <w:pPr>
              <w:keepNext w:val="0"/>
              <w:keepLines w:val="0"/>
              <w:pageBreakBefore w:val="0"/>
              <w:widowControl/>
              <w:kinsoku/>
              <w:wordWrap/>
              <w:overflowPunct/>
              <w:topLinePunct w:val="0"/>
              <w:autoSpaceDE/>
              <w:autoSpaceDN/>
              <w:bidi w:val="0"/>
              <w:adjustRightInd/>
              <w:snapToGrid w:val="0"/>
              <w:spacing w:line="240" w:lineRule="auto"/>
              <w:ind w:left="0" w:leftChars="0" w:firstLine="420" w:firstLineChars="200"/>
              <w:jc w:val="left"/>
              <w:textAlignment w:val="center"/>
              <w:rPr>
                <w:rFonts w:hint="eastAsia" w:ascii="宋体" w:hAnsi="宋体" w:eastAsia="宋体" w:cs="宋体"/>
                <w:i w:val="0"/>
                <w:iCs w:val="0"/>
                <w:color w:val="auto"/>
                <w:kern w:val="0"/>
                <w:sz w:val="21"/>
                <w:szCs w:val="21"/>
                <w:highlight w:val="none"/>
                <w:u w:val="none"/>
                <w:shd w:val="clear"/>
                <w:lang w:val="en-US" w:eastAsia="zh-CN" w:bidi="ar"/>
              </w:rPr>
            </w:pPr>
            <w:r>
              <w:rPr>
                <w:rFonts w:hint="eastAsia" w:ascii="宋体" w:hAnsi="宋体" w:eastAsia="宋体" w:cs="宋体"/>
                <w:i w:val="0"/>
                <w:iCs w:val="0"/>
                <w:color w:val="auto"/>
                <w:kern w:val="0"/>
                <w:sz w:val="21"/>
                <w:szCs w:val="21"/>
                <w:highlight w:val="none"/>
                <w:u w:val="none"/>
                <w:shd w:val="clear"/>
                <w:lang w:val="en-US" w:eastAsia="zh-CN" w:bidi="ar"/>
              </w:rPr>
              <w:t>所投产品和服务技术参数完全符合招标文件要求的，得基础分20分；</w:t>
            </w:r>
          </w:p>
          <w:p w14:paraId="2ACAF5C7">
            <w:pPr>
              <w:keepNext w:val="0"/>
              <w:keepLines w:val="0"/>
              <w:pageBreakBefore w:val="0"/>
              <w:widowControl/>
              <w:kinsoku/>
              <w:wordWrap/>
              <w:overflowPunct/>
              <w:topLinePunct w:val="0"/>
              <w:autoSpaceDE/>
              <w:autoSpaceDN/>
              <w:bidi w:val="0"/>
              <w:adjustRightInd/>
              <w:snapToGrid w:val="0"/>
              <w:spacing w:line="240" w:lineRule="auto"/>
              <w:ind w:left="0" w:leftChars="0" w:firstLine="420" w:firstLineChars="20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shd w:val="clear"/>
                <w:lang w:val="en-US" w:eastAsia="zh-CN" w:bidi="ar"/>
              </w:rPr>
              <w:t>标★项参数有一项不满足的扣2分，未标★号的一项不满足扣1分。扣完为止。</w:t>
            </w:r>
          </w:p>
        </w:tc>
      </w:tr>
      <w:tr w14:paraId="58A5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1" w:hRule="atLeast"/>
          <w:jc w:val="center"/>
        </w:trPr>
        <w:tc>
          <w:tcPr>
            <w:tcW w:w="603" w:type="dxa"/>
            <w:vMerge w:val="continue"/>
            <w:noWrap w:val="0"/>
            <w:vAlign w:val="center"/>
          </w:tcPr>
          <w:p w14:paraId="0D501CC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宋体" w:hAnsi="宋体" w:cs="宋体"/>
                <w:b/>
                <w:bCs/>
                <w:color w:val="auto"/>
                <w:sz w:val="21"/>
                <w:szCs w:val="21"/>
                <w:highlight w:val="none"/>
              </w:rPr>
            </w:pPr>
          </w:p>
        </w:tc>
        <w:tc>
          <w:tcPr>
            <w:tcW w:w="852" w:type="dxa"/>
            <w:noWrap w:val="0"/>
            <w:vAlign w:val="center"/>
          </w:tcPr>
          <w:p w14:paraId="061A3E78">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视联平台</w:t>
            </w:r>
            <w:r>
              <w:rPr>
                <w:rFonts w:hint="default" w:ascii="宋体" w:hAnsi="宋体" w:cs="宋体" w:eastAsiaTheme="minorEastAsia"/>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10</w:t>
            </w:r>
            <w:r>
              <w:rPr>
                <w:rFonts w:hint="default" w:ascii="宋体" w:hAnsi="宋体" w:cs="宋体" w:eastAsiaTheme="minorEastAsia"/>
                <w:b/>
                <w:bCs/>
                <w:color w:val="auto"/>
                <w:sz w:val="21"/>
                <w:szCs w:val="21"/>
                <w:highlight w:val="none"/>
                <w:lang w:val="en-US" w:eastAsia="zh-CN"/>
              </w:rPr>
              <w:t>分）</w:t>
            </w:r>
          </w:p>
        </w:tc>
        <w:tc>
          <w:tcPr>
            <w:tcW w:w="7604" w:type="dxa"/>
            <w:noWrap w:val="0"/>
            <w:vAlign w:val="center"/>
          </w:tcPr>
          <w:p w14:paraId="6BD65EDF">
            <w:pPr>
              <w:keepNext w:val="0"/>
              <w:keepLines w:val="0"/>
              <w:pageBreakBefore w:val="0"/>
              <w:widowControl/>
              <w:kinsoku/>
              <w:wordWrap/>
              <w:overflowPunct/>
              <w:topLinePunct w:val="0"/>
              <w:autoSpaceDE/>
              <w:autoSpaceDN/>
              <w:bidi w:val="0"/>
              <w:adjustRightInd/>
              <w:snapToGrid w:val="0"/>
              <w:spacing w:line="240" w:lineRule="auto"/>
              <w:ind w:left="0" w:leftChars="0" w:firstLine="420" w:firstLineChars="200"/>
              <w:jc w:val="left"/>
              <w:textAlignment w:val="center"/>
              <w:rPr>
                <w:rFonts w:hint="eastAsia" w:ascii="宋体" w:hAnsi="宋体" w:eastAsia="宋体" w:cs="宋体"/>
                <w:i w:val="0"/>
                <w:iCs w:val="0"/>
                <w:color w:val="auto"/>
                <w:kern w:val="0"/>
                <w:sz w:val="21"/>
                <w:szCs w:val="21"/>
                <w:highlight w:val="none"/>
                <w:u w:val="none"/>
                <w:shd w:val="clear"/>
                <w:lang w:val="en-US" w:eastAsia="zh-CN" w:bidi="ar"/>
              </w:rPr>
            </w:pPr>
            <w:r>
              <w:rPr>
                <w:rFonts w:hint="eastAsia" w:ascii="宋体" w:hAnsi="宋体" w:eastAsia="宋体" w:cs="宋体"/>
                <w:i w:val="0"/>
                <w:iCs w:val="0"/>
                <w:color w:val="auto"/>
                <w:kern w:val="0"/>
                <w:sz w:val="21"/>
                <w:szCs w:val="21"/>
                <w:highlight w:val="none"/>
                <w:u w:val="none"/>
                <w:shd w:val="clear"/>
                <w:lang w:val="en-US" w:eastAsia="zh-CN" w:bidi="ar"/>
              </w:rPr>
              <w:t>1、所投视联平台通过《网络安全等级保护》（第三级及以上）测评的，有得5分，没有不得分。</w:t>
            </w:r>
            <w:r>
              <w:rPr>
                <w:rFonts w:hint="eastAsia" w:ascii="宋体" w:hAnsi="宋体" w:eastAsia="宋体" w:cs="宋体"/>
                <w:i w:val="0"/>
                <w:iCs w:val="0"/>
                <w:color w:val="000000"/>
                <w:kern w:val="0"/>
                <w:sz w:val="21"/>
                <w:szCs w:val="21"/>
                <w:u w:val="none"/>
                <w:lang w:val="en-US" w:eastAsia="zh-CN" w:bidi="ar"/>
              </w:rPr>
              <w:t>注：</w:t>
            </w:r>
            <w:r>
              <w:rPr>
                <w:rFonts w:hint="eastAsia" w:ascii="宋体" w:hAnsi="宋体" w:eastAsia="宋体" w:cs="宋体"/>
                <w:i w:val="0"/>
                <w:iCs w:val="0"/>
                <w:color w:val="auto"/>
                <w:kern w:val="0"/>
                <w:sz w:val="21"/>
                <w:szCs w:val="21"/>
                <w:highlight w:val="none"/>
                <w:u w:val="none"/>
                <w:shd w:val="clear"/>
                <w:lang w:val="en-US" w:eastAsia="zh-CN" w:bidi="ar"/>
              </w:rPr>
              <w:t>提供信息系统安全等级保护备案证明</w:t>
            </w:r>
          </w:p>
          <w:p w14:paraId="17B82E7D">
            <w:pPr>
              <w:keepNext w:val="0"/>
              <w:keepLines w:val="0"/>
              <w:pageBreakBefore w:val="0"/>
              <w:widowControl/>
              <w:kinsoku/>
              <w:wordWrap/>
              <w:overflowPunct/>
              <w:topLinePunct w:val="0"/>
              <w:autoSpaceDE/>
              <w:autoSpaceDN/>
              <w:bidi w:val="0"/>
              <w:adjustRightInd/>
              <w:snapToGrid w:val="0"/>
              <w:spacing w:line="240" w:lineRule="auto"/>
              <w:ind w:left="0" w:leftChars="0" w:firstLine="420" w:firstLineChars="200"/>
              <w:jc w:val="left"/>
              <w:textAlignment w:val="center"/>
              <w:rPr>
                <w:rFonts w:hint="eastAsia"/>
              </w:rPr>
            </w:pPr>
            <w:r>
              <w:rPr>
                <w:rFonts w:hint="eastAsia" w:ascii="宋体" w:hAnsi="宋体" w:eastAsia="宋体" w:cs="宋体"/>
                <w:i w:val="0"/>
                <w:iCs w:val="0"/>
                <w:color w:val="auto"/>
                <w:kern w:val="0"/>
                <w:sz w:val="21"/>
                <w:szCs w:val="21"/>
                <w:highlight w:val="none"/>
                <w:u w:val="none"/>
                <w:shd w:val="clear"/>
                <w:lang w:val="en-US" w:eastAsia="zh-CN" w:bidi="ar"/>
              </w:rPr>
              <w:t>2、视联平台需具备弹性扩容能力、AI视频分析能力、</w:t>
            </w:r>
            <w:r>
              <w:rPr>
                <w:rFonts w:hint="default" w:ascii="宋体" w:hAnsi="宋体" w:eastAsia="宋体" w:cs="宋体"/>
                <w:i w:val="0"/>
                <w:iCs w:val="0"/>
                <w:color w:val="auto"/>
                <w:kern w:val="0"/>
                <w:sz w:val="21"/>
                <w:szCs w:val="21"/>
                <w:highlight w:val="none"/>
                <w:u w:val="none"/>
                <w:shd w:val="clear"/>
                <w:lang w:val="en-US" w:eastAsia="zh-CN" w:bidi="ar"/>
              </w:rPr>
              <w:t>具备灾备能力</w:t>
            </w:r>
            <w:r>
              <w:rPr>
                <w:rFonts w:hint="eastAsia" w:ascii="宋体" w:hAnsi="宋体" w:eastAsia="宋体" w:cs="宋体"/>
                <w:i w:val="0"/>
                <w:iCs w:val="0"/>
                <w:color w:val="auto"/>
                <w:kern w:val="0"/>
                <w:sz w:val="21"/>
                <w:szCs w:val="21"/>
                <w:highlight w:val="none"/>
                <w:u w:val="none"/>
                <w:shd w:val="clear"/>
                <w:lang w:val="en-US" w:eastAsia="zh-CN" w:bidi="ar"/>
              </w:rPr>
              <w:t>，</w:t>
            </w:r>
            <w:r>
              <w:rPr>
                <w:color w:val="000000"/>
                <w:sz w:val="21"/>
              </w:rPr>
              <w:t>后续根据业务需求可以实现快速扩容</w:t>
            </w:r>
            <w:r>
              <w:rPr>
                <w:rFonts w:hint="eastAsia" w:ascii="宋体" w:hAnsi="宋体" w:eastAsia="宋体" w:cs="宋体"/>
                <w:i w:val="0"/>
                <w:iCs w:val="0"/>
                <w:color w:val="auto"/>
                <w:kern w:val="0"/>
                <w:sz w:val="21"/>
                <w:szCs w:val="21"/>
                <w:highlight w:val="none"/>
                <w:u w:val="none"/>
                <w:shd w:val="clear"/>
                <w:lang w:val="en-US" w:eastAsia="zh-CN" w:bidi="ar"/>
              </w:rPr>
              <w:t>。</w:t>
            </w:r>
            <w:r>
              <w:rPr>
                <w:rFonts w:hint="eastAsia" w:ascii="宋体" w:hAnsi="宋体" w:eastAsia="宋体" w:cs="宋体"/>
                <w:i w:val="0"/>
                <w:iCs w:val="0"/>
                <w:color w:val="000000"/>
                <w:kern w:val="0"/>
                <w:sz w:val="21"/>
                <w:szCs w:val="21"/>
                <w:u w:val="none"/>
                <w:lang w:val="en-US" w:eastAsia="zh-CN" w:bidi="ar"/>
              </w:rPr>
              <w:t>提供详细方案得5分，不提供不得分。</w:t>
            </w:r>
          </w:p>
        </w:tc>
      </w:tr>
      <w:tr w14:paraId="13D1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1" w:hRule="atLeast"/>
          <w:jc w:val="center"/>
        </w:trPr>
        <w:tc>
          <w:tcPr>
            <w:tcW w:w="603" w:type="dxa"/>
            <w:vMerge w:val="continue"/>
            <w:noWrap w:val="0"/>
            <w:vAlign w:val="center"/>
          </w:tcPr>
          <w:p w14:paraId="1068CF4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宋体" w:hAnsi="宋体" w:cs="宋体"/>
                <w:b/>
                <w:bCs/>
                <w:color w:val="auto"/>
                <w:sz w:val="21"/>
                <w:szCs w:val="21"/>
                <w:highlight w:val="none"/>
              </w:rPr>
            </w:pPr>
          </w:p>
        </w:tc>
        <w:tc>
          <w:tcPr>
            <w:tcW w:w="852" w:type="dxa"/>
            <w:noWrap w:val="0"/>
            <w:vAlign w:val="center"/>
          </w:tcPr>
          <w:p w14:paraId="712FFC78">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宋体" w:hAnsi="宋体" w:cs="宋体" w:eastAsiaTheme="minorEastAsia"/>
                <w:b/>
                <w:bCs/>
                <w:color w:val="auto"/>
                <w:sz w:val="21"/>
                <w:szCs w:val="21"/>
                <w:highlight w:val="none"/>
                <w:lang w:val="en-US" w:eastAsia="zh-CN"/>
              </w:rPr>
            </w:pPr>
            <w:r>
              <w:rPr>
                <w:rFonts w:hint="eastAsia" w:ascii="宋体" w:hAnsi="宋体" w:cs="宋体"/>
                <w:b/>
                <w:bCs/>
                <w:color w:val="auto"/>
                <w:sz w:val="21"/>
                <w:szCs w:val="21"/>
                <w:highlight w:val="none"/>
                <w:lang w:val="en-US" w:eastAsia="zh-CN"/>
              </w:rPr>
              <w:t>安全边界部分（5分）</w:t>
            </w:r>
          </w:p>
        </w:tc>
        <w:tc>
          <w:tcPr>
            <w:tcW w:w="7604" w:type="dxa"/>
            <w:noWrap w:val="0"/>
            <w:vAlign w:val="center"/>
          </w:tcPr>
          <w:p w14:paraId="179128AB">
            <w:pPr>
              <w:keepNext w:val="0"/>
              <w:keepLines w:val="0"/>
              <w:pageBreakBefore w:val="0"/>
              <w:widowControl/>
              <w:kinsoku/>
              <w:wordWrap/>
              <w:overflowPunct/>
              <w:topLinePunct w:val="0"/>
              <w:autoSpaceDE/>
              <w:autoSpaceDN/>
              <w:bidi w:val="0"/>
              <w:adjustRightInd/>
              <w:snapToGrid w:val="0"/>
              <w:spacing w:line="240" w:lineRule="auto"/>
              <w:ind w:left="0" w:leftChars="0" w:firstLine="420" w:firstLineChars="200"/>
              <w:jc w:val="left"/>
              <w:textAlignment w:val="center"/>
              <w:rPr>
                <w:rFonts w:hint="default" w:ascii="宋体" w:hAnsi="宋体" w:cs="宋体" w:eastAsiaTheme="minorEastAsia"/>
                <w:color w:val="auto"/>
                <w:kern w:val="0"/>
                <w:sz w:val="21"/>
                <w:szCs w:val="21"/>
                <w:highlight w:val="none"/>
                <w:lang w:val="en-US" w:eastAsia="zh-CN" w:bidi="ar"/>
              </w:rPr>
            </w:pPr>
            <w:bookmarkStart w:id="744" w:name="_Toc140589369"/>
            <w:r>
              <w:rPr>
                <w:rFonts w:hint="eastAsia" w:ascii="宋体" w:hAnsi="宋体" w:eastAsia="宋体" w:cs="宋体"/>
                <w:i w:val="0"/>
                <w:iCs w:val="0"/>
                <w:color w:val="auto"/>
                <w:kern w:val="0"/>
                <w:sz w:val="21"/>
                <w:szCs w:val="21"/>
                <w:highlight w:val="none"/>
                <w:u w:val="none"/>
                <w:shd w:val="clear"/>
                <w:lang w:val="en-US" w:eastAsia="zh-CN" w:bidi="ar"/>
              </w:rPr>
              <w:t>边界交互系统</w:t>
            </w:r>
            <w:bookmarkEnd w:id="744"/>
            <w:r>
              <w:rPr>
                <w:rFonts w:hint="eastAsia" w:ascii="宋体" w:hAnsi="宋体" w:eastAsia="宋体" w:cs="宋体"/>
                <w:i w:val="0"/>
                <w:iCs w:val="0"/>
                <w:color w:val="auto"/>
                <w:kern w:val="0"/>
                <w:sz w:val="21"/>
                <w:szCs w:val="21"/>
                <w:highlight w:val="none"/>
                <w:u w:val="none"/>
                <w:shd w:val="clear"/>
                <w:lang w:val="en-US" w:eastAsia="zh-CN" w:bidi="ar"/>
              </w:rPr>
              <w:t>需要包含</w:t>
            </w:r>
            <w:bookmarkStart w:id="745" w:name="_Toc29216"/>
            <w:r>
              <w:rPr>
                <w:rFonts w:hint="eastAsia" w:ascii="宋体" w:hAnsi="宋体" w:eastAsia="宋体" w:cs="宋体"/>
                <w:i w:val="0"/>
                <w:iCs w:val="0"/>
                <w:color w:val="auto"/>
                <w:kern w:val="0"/>
                <w:sz w:val="21"/>
                <w:szCs w:val="21"/>
                <w:highlight w:val="none"/>
                <w:u w:val="none"/>
                <w:shd w:val="clear"/>
                <w:lang w:val="en-US" w:eastAsia="zh-CN" w:bidi="ar"/>
              </w:rPr>
              <w:t>数据资源链路安全策略设计</w:t>
            </w:r>
            <w:bookmarkEnd w:id="745"/>
            <w:r>
              <w:rPr>
                <w:rFonts w:hint="eastAsia" w:ascii="宋体" w:hAnsi="宋体" w:eastAsia="宋体" w:cs="宋体"/>
                <w:i w:val="0"/>
                <w:iCs w:val="0"/>
                <w:color w:val="auto"/>
                <w:kern w:val="0"/>
                <w:sz w:val="21"/>
                <w:szCs w:val="21"/>
                <w:highlight w:val="none"/>
                <w:u w:val="none"/>
                <w:shd w:val="clear"/>
                <w:lang w:val="en-US" w:eastAsia="zh-CN" w:bidi="ar"/>
              </w:rPr>
              <w:t>、视频资源链路安全策略设计、</w:t>
            </w:r>
            <w:bookmarkStart w:id="746" w:name="_Toc9403"/>
            <w:r>
              <w:rPr>
                <w:rFonts w:hint="eastAsia" w:ascii="宋体" w:hAnsi="宋体" w:eastAsia="宋体" w:cs="宋体"/>
                <w:i w:val="0"/>
                <w:iCs w:val="0"/>
                <w:color w:val="auto"/>
                <w:kern w:val="0"/>
                <w:sz w:val="21"/>
                <w:szCs w:val="21"/>
                <w:highlight w:val="none"/>
                <w:u w:val="none"/>
                <w:shd w:val="clear"/>
                <w:lang w:val="en-US" w:eastAsia="zh-CN" w:bidi="ar"/>
              </w:rPr>
              <w:t>数据安全交换系统</w:t>
            </w:r>
            <w:bookmarkEnd w:id="746"/>
            <w:bookmarkStart w:id="747" w:name="_Toc714"/>
            <w:r>
              <w:rPr>
                <w:rFonts w:hint="eastAsia" w:ascii="宋体" w:hAnsi="宋体" w:eastAsia="宋体" w:cs="宋体"/>
                <w:i w:val="0"/>
                <w:iCs w:val="0"/>
                <w:color w:val="auto"/>
                <w:kern w:val="0"/>
                <w:sz w:val="21"/>
                <w:szCs w:val="21"/>
                <w:highlight w:val="none"/>
                <w:u w:val="none"/>
                <w:shd w:val="clear"/>
                <w:lang w:val="en-US" w:eastAsia="zh-CN" w:bidi="ar"/>
              </w:rPr>
              <w:t>、安全隔离与信息交换系统</w:t>
            </w:r>
            <w:bookmarkEnd w:id="747"/>
            <w:r>
              <w:rPr>
                <w:rFonts w:hint="eastAsia" w:ascii="宋体" w:hAnsi="宋体" w:eastAsia="宋体" w:cs="宋体"/>
                <w:i w:val="0"/>
                <w:iCs w:val="0"/>
                <w:color w:val="auto"/>
                <w:kern w:val="0"/>
                <w:sz w:val="21"/>
                <w:szCs w:val="21"/>
                <w:highlight w:val="none"/>
                <w:u w:val="none"/>
                <w:shd w:val="clear"/>
                <w:lang w:val="en-US" w:eastAsia="zh-CN" w:bidi="ar"/>
              </w:rPr>
              <w:t>。时配置入侵防御、病毒过滤功能模块并启用相应防护策略，对所有流经防火墙的数据包按照严格的安全规则进行过滤，防止越权访问，过滤攻击威胁，实现边界保护区内的统一威胁防护。提供详细方案得5分，不提供不得分。</w:t>
            </w:r>
          </w:p>
        </w:tc>
      </w:tr>
      <w:tr w14:paraId="1B8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6" w:hRule="atLeast"/>
          <w:jc w:val="center"/>
        </w:trPr>
        <w:tc>
          <w:tcPr>
            <w:tcW w:w="603" w:type="dxa"/>
            <w:vMerge w:val="continue"/>
            <w:noWrap w:val="0"/>
            <w:vAlign w:val="center"/>
          </w:tcPr>
          <w:p w14:paraId="3A84D25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宋体" w:hAnsi="宋体" w:cs="宋体"/>
                <w:b/>
                <w:bCs/>
                <w:color w:val="auto"/>
                <w:sz w:val="21"/>
                <w:szCs w:val="21"/>
                <w:highlight w:val="none"/>
              </w:rPr>
            </w:pPr>
          </w:p>
        </w:tc>
        <w:tc>
          <w:tcPr>
            <w:tcW w:w="852" w:type="dxa"/>
            <w:vMerge w:val="restart"/>
            <w:noWrap w:val="0"/>
            <w:vAlign w:val="center"/>
          </w:tcPr>
          <w:p w14:paraId="66870F6D">
            <w:pPr>
              <w:keepNext w:val="0"/>
              <w:keepLines w:val="0"/>
              <w:pageBreakBefore w:val="0"/>
              <w:widowControl w:val="0"/>
              <w:kinsoku/>
              <w:wordWrap/>
              <w:overflowPunct/>
              <w:topLinePunct w:val="0"/>
              <w:bidi w:val="0"/>
              <w:adjustRightInd/>
              <w:snapToGrid/>
              <w:spacing w:line="400" w:lineRule="exact"/>
              <w:ind w:left="0" w:leftChars="0" w:firstLine="0" w:firstLineChars="0"/>
              <w:jc w:val="both"/>
              <w:textAlignment w:val="auto"/>
              <w:rPr>
                <w:rFonts w:hint="default" w:ascii="宋体" w:hAnsi="宋体" w:cs="宋体" w:eastAsiaTheme="minorEastAsia"/>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产品的先进性（5）</w:t>
            </w:r>
          </w:p>
        </w:tc>
        <w:tc>
          <w:tcPr>
            <w:tcW w:w="7604" w:type="dxa"/>
            <w:noWrap w:val="0"/>
            <w:vAlign w:val="center"/>
          </w:tcPr>
          <w:p w14:paraId="158FA409">
            <w:pPr>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firstLine="420" w:firstLineChars="200"/>
              <w:jc w:val="left"/>
              <w:textAlignment w:val="center"/>
              <w:rPr>
                <w:rFonts w:hint="default"/>
                <w:highlight w:val="none"/>
                <w:lang w:val="en-US" w:eastAsia="zh-CN"/>
              </w:rPr>
            </w:pPr>
            <w:r>
              <w:rPr>
                <w:rFonts w:hint="default"/>
                <w:highlight w:val="none"/>
                <w:lang w:val="en-US" w:eastAsia="zh-CN"/>
              </w:rPr>
              <w:t>投标人所投AI摄像机制造商应具有雄厚的技术实力，所投产品的制造商获得国家级科学技术进步奖的得3分，获得省级科技进步奖项的得1分，没有的不得分。(投标时提供有效证明材料复印件并加盖原厂商公章);</w:t>
            </w:r>
          </w:p>
          <w:p w14:paraId="79570EA4">
            <w:pPr>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firstLine="420" w:firstLineChars="200"/>
              <w:jc w:val="left"/>
              <w:textAlignment w:val="center"/>
              <w:rPr>
                <w:rFonts w:hint="default"/>
                <w:highlight w:val="none"/>
                <w:lang w:val="en-US" w:eastAsia="zh-CN"/>
              </w:rPr>
            </w:pPr>
            <w:r>
              <w:rPr>
                <w:rFonts w:hint="default"/>
                <w:highlight w:val="none"/>
                <w:lang w:val="en-US" w:eastAsia="zh-CN"/>
              </w:rPr>
              <w:t>投标人或所投 AI摄像机制造商应能保障产品的技术、质量指标和提升服务水平，能提供省级及以上职能部门颁发的管理创新示范企业证书，得2分，获得市级职能部门颁发的管理创新示范企业证书，得1分，没有的不得分;(投标时提供有效证明材料复印件并加盖制造商公章作为佐证材料);</w:t>
            </w:r>
          </w:p>
        </w:tc>
      </w:tr>
      <w:tr w14:paraId="04A4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1" w:hRule="atLeast"/>
          <w:jc w:val="center"/>
        </w:trPr>
        <w:tc>
          <w:tcPr>
            <w:tcW w:w="603" w:type="dxa"/>
            <w:vMerge w:val="restart"/>
            <w:noWrap w:val="0"/>
            <w:vAlign w:val="center"/>
          </w:tcPr>
          <w:p w14:paraId="04F67DD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综合部分</w:t>
            </w:r>
          </w:p>
          <w:p w14:paraId="3DFFEED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35</w:t>
            </w:r>
            <w:r>
              <w:rPr>
                <w:rFonts w:hint="eastAsia" w:ascii="宋体" w:hAnsi="宋体" w:cs="宋体"/>
                <w:b/>
                <w:bCs/>
                <w:color w:val="auto"/>
                <w:sz w:val="21"/>
                <w:szCs w:val="21"/>
                <w:highlight w:val="none"/>
              </w:rPr>
              <w:t>分</w:t>
            </w:r>
          </w:p>
        </w:tc>
        <w:tc>
          <w:tcPr>
            <w:tcW w:w="852" w:type="dxa"/>
            <w:vMerge w:val="restart"/>
            <w:noWrap w:val="0"/>
            <w:vAlign w:val="center"/>
          </w:tcPr>
          <w:p w14:paraId="319B4354">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综合</w:t>
            </w:r>
          </w:p>
          <w:p w14:paraId="2BEB91F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实力</w:t>
            </w:r>
          </w:p>
          <w:p w14:paraId="72114C10">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12分</w:t>
            </w:r>
            <w:r>
              <w:rPr>
                <w:rFonts w:hint="eastAsia" w:ascii="宋体" w:hAnsi="宋体" w:cs="宋体"/>
                <w:b/>
                <w:bCs/>
                <w:color w:val="auto"/>
                <w:sz w:val="21"/>
                <w:szCs w:val="21"/>
                <w:highlight w:val="none"/>
                <w:lang w:eastAsia="zh-CN"/>
              </w:rPr>
              <w:t>）</w:t>
            </w:r>
          </w:p>
        </w:tc>
        <w:tc>
          <w:tcPr>
            <w:tcW w:w="7604" w:type="dxa"/>
            <w:shd w:val="clear" w:color="auto" w:fill="auto"/>
            <w:noWrap w:val="0"/>
            <w:vAlign w:val="center"/>
          </w:tcPr>
          <w:p w14:paraId="320705B7">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cs="宋体"/>
                <w:b/>
                <w:bCs/>
                <w:color w:val="auto"/>
                <w:sz w:val="21"/>
                <w:szCs w:val="21"/>
                <w:highlight w:val="none"/>
                <w:lang w:eastAsia="zh-CN"/>
              </w:rPr>
            </w:pPr>
            <w:r>
              <w:rPr>
                <w:rFonts w:hint="eastAsia" w:ascii="宋体" w:hAnsi="宋体" w:eastAsia="宋体" w:cs="宋体"/>
                <w:i w:val="0"/>
                <w:iCs w:val="0"/>
                <w:color w:val="auto"/>
                <w:kern w:val="0"/>
                <w:sz w:val="21"/>
                <w:szCs w:val="21"/>
                <w:u w:val="none"/>
                <w:shd w:val="clear"/>
                <w:lang w:val="en-US" w:eastAsia="zh-CN" w:bidi="ar"/>
              </w:rPr>
              <w:t>投标人或所投视联平台产品厂商具有公安部安全与警用电子产品质量检测中心出具的软件测试报告，提供得3分，不提供得0分。注：提供检测报告及证书复印</w:t>
            </w:r>
            <w:r>
              <w:rPr>
                <w:rFonts w:hint="eastAsia" w:ascii="宋体" w:hAnsi="宋体" w:eastAsia="宋体" w:cs="宋体"/>
                <w:i w:val="0"/>
                <w:iCs w:val="0"/>
                <w:color w:val="auto"/>
                <w:kern w:val="0"/>
                <w:sz w:val="21"/>
                <w:szCs w:val="21"/>
                <w:u w:val="none"/>
                <w:lang w:val="en-US" w:eastAsia="zh-CN" w:bidi="ar"/>
              </w:rPr>
              <w:t>件。</w:t>
            </w:r>
          </w:p>
        </w:tc>
      </w:tr>
      <w:tr w14:paraId="318A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8" w:hRule="atLeast"/>
          <w:jc w:val="center"/>
        </w:trPr>
        <w:tc>
          <w:tcPr>
            <w:tcW w:w="603" w:type="dxa"/>
            <w:vMerge w:val="continue"/>
            <w:noWrap w:val="0"/>
            <w:vAlign w:val="center"/>
          </w:tcPr>
          <w:p w14:paraId="46833B18">
            <w:pPr>
              <w:adjustRightInd w:val="0"/>
              <w:snapToGrid w:val="0"/>
              <w:spacing w:line="400" w:lineRule="exact"/>
              <w:rPr>
                <w:rFonts w:hint="eastAsia" w:ascii="宋体" w:hAnsi="宋体" w:cs="宋体"/>
                <w:b/>
                <w:bCs/>
                <w:color w:val="auto"/>
                <w:sz w:val="21"/>
                <w:szCs w:val="21"/>
                <w:highlight w:val="none"/>
                <w:lang w:eastAsia="zh-CN"/>
              </w:rPr>
            </w:pPr>
          </w:p>
        </w:tc>
        <w:tc>
          <w:tcPr>
            <w:tcW w:w="852" w:type="dxa"/>
            <w:vMerge w:val="continue"/>
            <w:noWrap w:val="0"/>
            <w:vAlign w:val="center"/>
          </w:tcPr>
          <w:p w14:paraId="1F359DBD">
            <w:pPr>
              <w:adjustRightInd w:val="0"/>
              <w:snapToGrid w:val="0"/>
              <w:spacing w:line="400" w:lineRule="exact"/>
              <w:rPr>
                <w:rFonts w:hint="eastAsia" w:ascii="宋体" w:hAnsi="宋体" w:cs="宋体"/>
                <w:b/>
                <w:bCs/>
                <w:color w:val="auto"/>
                <w:sz w:val="21"/>
                <w:szCs w:val="21"/>
                <w:highlight w:val="none"/>
                <w:lang w:eastAsia="zh-CN"/>
              </w:rPr>
            </w:pPr>
          </w:p>
        </w:tc>
        <w:tc>
          <w:tcPr>
            <w:tcW w:w="7604" w:type="dxa"/>
            <w:shd w:val="clear" w:color="auto" w:fill="auto"/>
            <w:noWrap w:val="0"/>
            <w:vAlign w:val="center"/>
          </w:tcPr>
          <w:p w14:paraId="1066B05A">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center"/>
              <w:rPr>
                <w:rFonts w:hint="eastAsia" w:ascii="宋体" w:hAnsi="宋体" w:cs="宋体"/>
                <w:b/>
                <w:bCs/>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投标人或所投产品厂商具有“AI智能分析平台”、“</w:t>
            </w:r>
            <w:r>
              <w:rPr>
                <w:rFonts w:hint="eastAsia" w:ascii="宋体" w:hAnsi="宋体" w:eastAsia="宋体" w:cs="宋体"/>
                <w:i w:val="0"/>
                <w:iCs w:val="0"/>
                <w:color w:val="auto"/>
                <w:kern w:val="0"/>
                <w:sz w:val="21"/>
                <w:szCs w:val="21"/>
                <w:u w:val="none"/>
                <w:shd w:val="clear"/>
                <w:lang w:val="en-US" w:eastAsia="zh-CN" w:bidi="ar"/>
              </w:rPr>
              <w:t>视联能力开放平台</w:t>
            </w:r>
            <w:r>
              <w:rPr>
                <w:rFonts w:hint="eastAsia" w:ascii="宋体" w:hAnsi="宋体" w:eastAsia="宋体" w:cs="宋体"/>
                <w:i w:val="0"/>
                <w:iCs w:val="0"/>
                <w:color w:val="000000"/>
                <w:kern w:val="0"/>
                <w:sz w:val="21"/>
                <w:szCs w:val="21"/>
                <w:u w:val="none"/>
                <w:lang w:val="en-US" w:eastAsia="zh-CN" w:bidi="ar"/>
              </w:rPr>
              <w:t>”、“视联装维”方面软件著作权登记证书的，每提供1项得3分，最高得9分，不提供得0分。注：提供证书复印件。</w:t>
            </w:r>
          </w:p>
        </w:tc>
      </w:tr>
      <w:tr w14:paraId="3E19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6" w:hRule="atLeast"/>
          <w:jc w:val="center"/>
        </w:trPr>
        <w:tc>
          <w:tcPr>
            <w:tcW w:w="603" w:type="dxa"/>
            <w:vMerge w:val="continue"/>
            <w:noWrap w:val="0"/>
            <w:vAlign w:val="center"/>
          </w:tcPr>
          <w:p w14:paraId="257766F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rPr>
            </w:pPr>
          </w:p>
        </w:tc>
        <w:tc>
          <w:tcPr>
            <w:tcW w:w="852" w:type="dxa"/>
            <w:noWrap w:val="0"/>
            <w:vAlign w:val="center"/>
          </w:tcPr>
          <w:p w14:paraId="6FF6282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eastAsiaTheme="minorEastAsia"/>
                <w:b/>
                <w:bCs/>
                <w:color w:val="auto"/>
                <w:sz w:val="21"/>
                <w:szCs w:val="21"/>
                <w:highlight w:val="none"/>
                <w:lang w:eastAsia="zh-CN"/>
              </w:rPr>
            </w:pPr>
            <w:r>
              <w:rPr>
                <w:rFonts w:hint="eastAsia" w:ascii="宋体" w:hAnsi="宋体" w:cs="宋体"/>
                <w:b/>
                <w:bCs/>
                <w:color w:val="auto"/>
                <w:sz w:val="21"/>
                <w:szCs w:val="21"/>
                <w:highlight w:val="none"/>
                <w:lang w:val="en-US" w:eastAsia="zh-CN"/>
              </w:rPr>
              <w:t>项目管理机构</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2分</w:t>
            </w:r>
            <w:r>
              <w:rPr>
                <w:rFonts w:hint="eastAsia" w:ascii="宋体" w:hAnsi="宋体" w:cs="宋体"/>
                <w:b/>
                <w:bCs/>
                <w:color w:val="auto"/>
                <w:sz w:val="21"/>
                <w:szCs w:val="21"/>
                <w:highlight w:val="none"/>
                <w:lang w:eastAsia="zh-CN"/>
              </w:rPr>
              <w:t>）</w:t>
            </w:r>
          </w:p>
        </w:tc>
        <w:tc>
          <w:tcPr>
            <w:tcW w:w="7604" w:type="dxa"/>
            <w:noWrap w:val="0"/>
            <w:vAlign w:val="center"/>
          </w:tcPr>
          <w:p w14:paraId="5F47F152">
            <w:pPr>
              <w:adjustRightInd w:val="0"/>
              <w:snapToGrid w:val="0"/>
              <w:spacing w:line="400" w:lineRule="exact"/>
              <w:rPr>
                <w:rFonts w:hint="eastAsia" w:ascii="宋体" w:hAnsi="宋体" w:cs="宋体"/>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投标人拟参与项目负责人及相关项目组成员资质能力水平情况：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1、项目负责人：具有项目管理(PMP)或计算机相关专业高级及以上证书的，提供证书扫描件得1分，不提供不得分。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2、项目团队人员：除项目负责人外，其他团队人员具有项目管理(PMP)或计算机专业高级及以上证书的，得1分，不提供不得分。</w:t>
            </w:r>
          </w:p>
        </w:tc>
      </w:tr>
      <w:tr w14:paraId="04BD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03" w:type="dxa"/>
            <w:vMerge w:val="continue"/>
            <w:noWrap w:val="0"/>
            <w:vAlign w:val="center"/>
          </w:tcPr>
          <w:p w14:paraId="6910492A">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lang w:val="en-US" w:eastAsia="zh-CN"/>
              </w:rPr>
            </w:pPr>
          </w:p>
        </w:tc>
        <w:tc>
          <w:tcPr>
            <w:tcW w:w="852" w:type="dxa"/>
            <w:shd w:val="clear" w:color="auto" w:fill="auto"/>
            <w:noWrap w:val="0"/>
            <w:vAlign w:val="center"/>
          </w:tcPr>
          <w:p w14:paraId="66D2BD75">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业绩案例</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6分</w:t>
            </w:r>
            <w:r>
              <w:rPr>
                <w:rFonts w:hint="eastAsia" w:ascii="宋体" w:hAnsi="宋体" w:cs="宋体"/>
                <w:b/>
                <w:bCs/>
                <w:color w:val="auto"/>
                <w:sz w:val="21"/>
                <w:szCs w:val="21"/>
                <w:highlight w:val="none"/>
                <w:lang w:eastAsia="zh-CN"/>
              </w:rPr>
              <w:t>）</w:t>
            </w:r>
          </w:p>
        </w:tc>
        <w:tc>
          <w:tcPr>
            <w:tcW w:w="7604" w:type="dxa"/>
            <w:shd w:val="clear" w:color="auto" w:fill="auto"/>
            <w:noWrap w:val="0"/>
            <w:vAlign w:val="center"/>
          </w:tcPr>
          <w:p w14:paraId="7EB03645">
            <w:pPr>
              <w:shd w:val="clear"/>
              <w:adjustRightInd w:val="0"/>
              <w:snapToGrid w:val="0"/>
              <w:spacing w:line="400" w:lineRule="exact"/>
              <w:rPr>
                <w:rFonts w:hint="eastAsia" w:ascii="宋体" w:hAnsi="宋体" w:cs="宋体"/>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投标人或所投产品厂商自2023</w:t>
            </w:r>
            <w:r>
              <w:rPr>
                <w:rFonts w:hint="eastAsia" w:ascii="宋体" w:hAnsi="宋体" w:eastAsia="宋体" w:cs="宋体"/>
                <w:i w:val="0"/>
                <w:iCs w:val="0"/>
                <w:color w:val="000000"/>
                <w:kern w:val="0"/>
                <w:sz w:val="21"/>
                <w:szCs w:val="21"/>
                <w:u w:val="none"/>
                <w:shd w:val="clear"/>
                <w:lang w:val="en-US" w:eastAsia="zh-CN" w:bidi="ar"/>
              </w:rPr>
              <w:t>年1月1日以来，提供本项目类似业绩或软件开发部署行业相关的业绩，每个项目计2分，最多计6分。注：提供合同或中标通知书复印</w:t>
            </w:r>
            <w:r>
              <w:rPr>
                <w:rFonts w:hint="eastAsia" w:ascii="宋体" w:hAnsi="宋体" w:eastAsia="宋体" w:cs="宋体"/>
                <w:i w:val="0"/>
                <w:iCs w:val="0"/>
                <w:color w:val="000000"/>
                <w:kern w:val="0"/>
                <w:sz w:val="21"/>
                <w:szCs w:val="21"/>
                <w:u w:val="none"/>
                <w:lang w:val="en-US" w:eastAsia="zh-CN" w:bidi="ar"/>
              </w:rPr>
              <w:t>件</w:t>
            </w:r>
          </w:p>
        </w:tc>
      </w:tr>
      <w:tr w14:paraId="3ED8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03" w:type="dxa"/>
            <w:vMerge w:val="continue"/>
            <w:noWrap w:val="0"/>
            <w:vAlign w:val="center"/>
          </w:tcPr>
          <w:p w14:paraId="2797E4F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lang w:val="en-US" w:eastAsia="zh-CN"/>
              </w:rPr>
            </w:pPr>
          </w:p>
        </w:tc>
        <w:tc>
          <w:tcPr>
            <w:tcW w:w="852" w:type="dxa"/>
            <w:shd w:val="clear" w:color="auto" w:fill="auto"/>
            <w:noWrap w:val="0"/>
            <w:vAlign w:val="center"/>
          </w:tcPr>
          <w:p w14:paraId="28B017A1">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质保及售后服务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4分</w:t>
            </w:r>
            <w:r>
              <w:rPr>
                <w:rFonts w:hint="eastAsia" w:ascii="宋体" w:hAnsi="宋体" w:cs="宋体"/>
                <w:b/>
                <w:bCs/>
                <w:color w:val="auto"/>
                <w:sz w:val="21"/>
                <w:szCs w:val="21"/>
                <w:highlight w:val="none"/>
                <w:lang w:eastAsia="zh-CN"/>
              </w:rPr>
              <w:t>）</w:t>
            </w:r>
          </w:p>
        </w:tc>
        <w:tc>
          <w:tcPr>
            <w:tcW w:w="7604" w:type="dxa"/>
            <w:shd w:val="clear" w:color="auto" w:fill="auto"/>
            <w:noWrap w:val="0"/>
            <w:vAlign w:val="center"/>
          </w:tcPr>
          <w:p w14:paraId="71580C8D">
            <w:pPr>
              <w:adjustRightInd w:val="0"/>
              <w:snapToGrid w:val="0"/>
              <w:spacing w:line="400" w:lineRule="exac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售后服务内容、方式详尽程度，流程清晰程度及售后服务响应时间、应急处理能力综合评定：合理，可行性高，得4分；合理，可行性比较高，得2分；可行性一般，得1分。无此项内容不得分。</w:t>
            </w:r>
          </w:p>
        </w:tc>
      </w:tr>
      <w:tr w14:paraId="4306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jc w:val="center"/>
        </w:trPr>
        <w:tc>
          <w:tcPr>
            <w:tcW w:w="603" w:type="dxa"/>
            <w:vMerge w:val="continue"/>
            <w:noWrap w:val="0"/>
            <w:vAlign w:val="center"/>
          </w:tcPr>
          <w:p w14:paraId="16AB21C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color w:val="auto"/>
                <w:sz w:val="21"/>
                <w:szCs w:val="21"/>
                <w:highlight w:val="none"/>
              </w:rPr>
            </w:pPr>
          </w:p>
        </w:tc>
        <w:tc>
          <w:tcPr>
            <w:tcW w:w="852" w:type="dxa"/>
            <w:noWrap w:val="0"/>
            <w:vAlign w:val="center"/>
          </w:tcPr>
          <w:p w14:paraId="6181BBC5">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default"/>
                <w:color w:val="auto"/>
                <w:sz w:val="21"/>
                <w:szCs w:val="21"/>
                <w:highlight w:val="none"/>
                <w:lang w:val="en-US" w:eastAsia="zh-CN"/>
              </w:rPr>
            </w:pPr>
            <w:r>
              <w:rPr>
                <w:rFonts w:hint="eastAsia"/>
                <w:b/>
                <w:bCs/>
                <w:color w:val="auto"/>
                <w:sz w:val="21"/>
                <w:szCs w:val="21"/>
                <w:highlight w:val="none"/>
                <w:lang w:val="en-US" w:eastAsia="zh-CN"/>
              </w:rPr>
              <w:t>实施服务保障（4分）</w:t>
            </w:r>
          </w:p>
        </w:tc>
        <w:tc>
          <w:tcPr>
            <w:tcW w:w="7604" w:type="dxa"/>
            <w:noWrap w:val="0"/>
            <w:vAlign w:val="center"/>
          </w:tcPr>
          <w:p w14:paraId="11315186">
            <w:pPr>
              <w:keepNext w:val="0"/>
              <w:keepLines w:val="0"/>
              <w:widowControl/>
              <w:suppressLineNumbers w:val="0"/>
              <w:spacing w:line="240" w:lineRule="auto"/>
              <w:ind w:left="0" w:leftChars="0" w:firstLine="420" w:firstLineChars="200"/>
              <w:jc w:val="left"/>
              <w:rPr>
                <w:rFonts w:hint="eastAsia" w:ascii="宋体" w:hAnsi="宋体" w:cs="宋体"/>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针对本项目提供含进度安排、人员安排、风险控制、质量管理等完整实施方案。（4分）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（1）实施服务保障方案能够切合本次采购要求，论述详尽，清晰全面、科学合理、细致具体、可操作性强的得4分；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（2）实施服务保障方案说明较清晰全面、较科学合理、可操作性较强的得2分；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（3）实施服务保障方案基本科学合理、可操作性一般的得1分；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（4）未提供相关方案或提供差的不得分。</w:t>
            </w:r>
          </w:p>
        </w:tc>
      </w:tr>
      <w:tr w14:paraId="455F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4" w:hRule="atLeast"/>
          <w:jc w:val="center"/>
        </w:trPr>
        <w:tc>
          <w:tcPr>
            <w:tcW w:w="603" w:type="dxa"/>
            <w:vMerge w:val="continue"/>
            <w:noWrap w:val="0"/>
            <w:vAlign w:val="center"/>
          </w:tcPr>
          <w:p w14:paraId="029F6DA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color w:val="auto"/>
                <w:sz w:val="21"/>
                <w:szCs w:val="21"/>
                <w:highlight w:val="none"/>
              </w:rPr>
            </w:pPr>
          </w:p>
        </w:tc>
        <w:tc>
          <w:tcPr>
            <w:tcW w:w="852" w:type="dxa"/>
            <w:noWrap w:val="0"/>
            <w:vAlign w:val="center"/>
          </w:tcPr>
          <w:p w14:paraId="3078A755">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供货</w:t>
            </w:r>
          </w:p>
          <w:p w14:paraId="24C1E4BE">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保障</w:t>
            </w:r>
          </w:p>
          <w:p w14:paraId="2B1AE6E0">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（3分）</w:t>
            </w:r>
          </w:p>
        </w:tc>
        <w:tc>
          <w:tcPr>
            <w:tcW w:w="7604" w:type="dxa"/>
            <w:noWrap w:val="0"/>
            <w:vAlign w:val="center"/>
          </w:tcPr>
          <w:p w14:paraId="263A8FEC">
            <w:pPr>
              <w:keepNext w:val="0"/>
              <w:keepLines w:val="0"/>
              <w:widowControl/>
              <w:suppressLineNumbers w:val="0"/>
              <w:spacing w:line="240" w:lineRule="auto"/>
              <w:ind w:left="0" w:leftChars="0" w:firstLine="420" w:firstLineChars="20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针对本项目提供的含保障措施、供货安装等完整供货保障方案。（3分）</w:t>
            </w:r>
          </w:p>
          <w:p w14:paraId="72DA0467">
            <w:pPr>
              <w:keepNext w:val="0"/>
              <w:keepLines w:val="0"/>
              <w:widowControl/>
              <w:suppressLineNumbers w:val="0"/>
              <w:spacing w:line="240" w:lineRule="auto"/>
              <w:ind w:left="0" w:lef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（1）内容全面详实，切实可行，思路清晰，能够保证项目顺利实施；方案实施对本项目特点把握准确，要点、重点、难点的分析准确、合理，针对性强得3分；</w:t>
            </w:r>
          </w:p>
          <w:p w14:paraId="43997717">
            <w:pPr>
              <w:keepNext w:val="0"/>
              <w:keepLines w:val="0"/>
              <w:widowControl/>
              <w:suppressLineNumbers w:val="0"/>
              <w:spacing w:line="240" w:lineRule="auto"/>
              <w:ind w:left="0" w:lef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（2）内容阐述一般，内容不完整，需要经过调整后方能保证项目实施；方案实施对本项目特点把握不够，要点、重点、难点的分析不够全面，针对性不强，多方面需要进一步完善甚至重新考虑得1分；</w:t>
            </w:r>
          </w:p>
          <w:p w14:paraId="7C15B738">
            <w:pPr>
              <w:keepNext w:val="0"/>
              <w:keepLines w:val="0"/>
              <w:widowControl/>
              <w:suppressLineNumbers w:val="0"/>
              <w:spacing w:line="240" w:lineRule="auto"/>
              <w:ind w:left="0" w:lef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（3）内容阐述差，内容描述差，需要调整后方能保证项目实施；方案实施对本项目特点把握较差，要点、重点、难点的分析较差，针对性较差，得0.5分；</w:t>
            </w:r>
          </w:p>
          <w:p w14:paraId="7CEB796A">
            <w:pPr>
              <w:keepNext w:val="0"/>
              <w:keepLines w:val="0"/>
              <w:widowControl/>
              <w:suppressLineNumbers w:val="0"/>
              <w:spacing w:line="240" w:lineRule="auto"/>
              <w:ind w:left="0" w:leftChars="0" w:firstLine="0" w:firstLineChars="0"/>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（4）未提供方案得0分。</w:t>
            </w:r>
          </w:p>
        </w:tc>
      </w:tr>
      <w:tr w14:paraId="2D14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4" w:hRule="atLeast"/>
          <w:jc w:val="center"/>
        </w:trPr>
        <w:tc>
          <w:tcPr>
            <w:tcW w:w="603" w:type="dxa"/>
            <w:vMerge w:val="continue"/>
            <w:noWrap w:val="0"/>
            <w:vAlign w:val="center"/>
          </w:tcPr>
          <w:p w14:paraId="614ADEB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eastAsia" w:ascii="宋体" w:hAnsi="宋体" w:cs="宋体"/>
                <w:b/>
                <w:bCs/>
                <w:color w:val="auto"/>
                <w:sz w:val="21"/>
                <w:szCs w:val="21"/>
                <w:highlight w:val="none"/>
              </w:rPr>
            </w:pPr>
          </w:p>
        </w:tc>
        <w:tc>
          <w:tcPr>
            <w:tcW w:w="852" w:type="dxa"/>
            <w:noWrap w:val="0"/>
            <w:vAlign w:val="center"/>
          </w:tcPr>
          <w:p w14:paraId="7AF9C8E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培训</w:t>
            </w:r>
          </w:p>
          <w:p w14:paraId="00A49C27">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方案</w:t>
            </w:r>
          </w:p>
          <w:p w14:paraId="50C6A2BC">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（4分）</w:t>
            </w:r>
          </w:p>
          <w:p w14:paraId="20A619F2">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both"/>
              <w:textAlignment w:val="center"/>
              <w:rPr>
                <w:rFonts w:hint="eastAsia"/>
                <w:b/>
                <w:bCs/>
                <w:color w:val="auto"/>
                <w:sz w:val="21"/>
                <w:szCs w:val="21"/>
                <w:highlight w:val="none"/>
                <w:lang w:val="en-US" w:eastAsia="zh-CN"/>
              </w:rPr>
            </w:pPr>
          </w:p>
        </w:tc>
        <w:tc>
          <w:tcPr>
            <w:tcW w:w="7604" w:type="dxa"/>
            <w:noWrap w:val="0"/>
            <w:vAlign w:val="center"/>
          </w:tcPr>
          <w:p w14:paraId="004CAF37">
            <w:pPr>
              <w:keepNext w:val="0"/>
              <w:keepLines w:val="0"/>
              <w:widowControl/>
              <w:suppressLineNumbers w:val="0"/>
              <w:spacing w:line="240" w:lineRule="auto"/>
              <w:ind w:firstLine="420" w:firstLineChars="200"/>
              <w:jc w:val="left"/>
              <w:rPr>
                <w:rFonts w:hint="eastAsia" w:ascii="宋体" w:hAnsi="宋体" w:cs="宋体"/>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产品培训：投标人承诺为项目交付的软件产品提供培训，提供一份切实可行的培训方案，包括但不限于培训计划安排、培训内容、培训手册等，评委根据投标人的方案及承诺打分 。（4分）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（1）培训方案阐述详细完善，针对性和可执行性强得4分；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（2）培训方案阐述较详细完善，针对性和可执行性较强得2分；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（3）培训方案阐述有待完善得1分；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（4）未提供相关方案或提供差的不得分。</w:t>
            </w:r>
          </w:p>
        </w:tc>
      </w:tr>
    </w:tbl>
    <w:p w14:paraId="43774017">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Cs w:val="21"/>
          <w:highlight w:val="none"/>
        </w:rPr>
      </w:pPr>
    </w:p>
    <w:p w14:paraId="1E278E77">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评审方法</w:t>
      </w:r>
      <w:bookmarkEnd w:id="735"/>
      <w:bookmarkEnd w:id="736"/>
      <w:bookmarkEnd w:id="737"/>
      <w:bookmarkEnd w:id="738"/>
      <w:bookmarkEnd w:id="739"/>
      <w:bookmarkEnd w:id="740"/>
      <w:bookmarkEnd w:id="741"/>
      <w:bookmarkEnd w:id="742"/>
      <w:bookmarkEnd w:id="743"/>
    </w:p>
    <w:p w14:paraId="5154E18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val="en-US" w:eastAsia="zh-CN" w:bidi="en-US"/>
        </w:rPr>
        <w:t>1.1</w:t>
      </w:r>
      <w:r>
        <w:rPr>
          <w:rFonts w:hint="eastAsia" w:ascii="宋体" w:hAnsi="宋体" w:eastAsia="宋体" w:cs="宋体"/>
          <w:color w:val="auto"/>
          <w:szCs w:val="21"/>
          <w:highlight w:val="none"/>
          <w:lang w:bidi="en-US"/>
        </w:rPr>
        <w:t>提供相同品牌产品且通过资格审查、符合性审查的不同</w:t>
      </w:r>
      <w:r>
        <w:rPr>
          <w:rFonts w:hint="eastAsia" w:ascii="宋体" w:hAnsi="宋体" w:eastAsia="宋体" w:cs="宋体"/>
          <w:color w:val="auto"/>
          <w:szCs w:val="21"/>
          <w:highlight w:val="none"/>
          <w:lang w:eastAsia="zh-CN" w:bidi="en-US"/>
        </w:rPr>
        <w:t>供应商</w:t>
      </w:r>
      <w:r>
        <w:rPr>
          <w:rFonts w:hint="eastAsia" w:ascii="宋体" w:hAnsi="宋体" w:eastAsia="宋体" w:cs="宋体"/>
          <w:color w:val="auto"/>
          <w:szCs w:val="21"/>
          <w:highlight w:val="none"/>
          <w:lang w:bidi="en-US"/>
        </w:rPr>
        <w:t>参加同一合同项下投标的，按一家</w:t>
      </w:r>
      <w:r>
        <w:rPr>
          <w:rFonts w:hint="eastAsia" w:ascii="宋体" w:hAnsi="宋体" w:eastAsia="宋体" w:cs="宋体"/>
          <w:color w:val="auto"/>
          <w:szCs w:val="21"/>
          <w:highlight w:val="none"/>
          <w:lang w:eastAsia="zh-CN" w:bidi="en-US"/>
        </w:rPr>
        <w:t>供应商</w:t>
      </w:r>
      <w:r>
        <w:rPr>
          <w:rFonts w:hint="eastAsia" w:ascii="宋体" w:hAnsi="宋体" w:eastAsia="宋体" w:cs="宋体"/>
          <w:color w:val="auto"/>
          <w:szCs w:val="21"/>
          <w:highlight w:val="none"/>
          <w:lang w:bidi="en-US"/>
        </w:rPr>
        <w:t>计算，评审后得分最高的同品牌</w:t>
      </w:r>
      <w:r>
        <w:rPr>
          <w:rFonts w:hint="eastAsia" w:ascii="宋体" w:hAnsi="宋体" w:eastAsia="宋体" w:cs="宋体"/>
          <w:color w:val="auto"/>
          <w:szCs w:val="21"/>
          <w:highlight w:val="none"/>
          <w:lang w:eastAsia="zh-CN" w:bidi="en-US"/>
        </w:rPr>
        <w:t>供应商</w:t>
      </w:r>
      <w:r>
        <w:rPr>
          <w:rFonts w:hint="eastAsia" w:ascii="宋体" w:hAnsi="宋体" w:eastAsia="宋体" w:cs="宋体"/>
          <w:color w:val="auto"/>
          <w:szCs w:val="21"/>
          <w:highlight w:val="none"/>
          <w:lang w:bidi="en-US"/>
        </w:rPr>
        <w:t>获得</w:t>
      </w:r>
      <w:r>
        <w:rPr>
          <w:rFonts w:hint="eastAsia" w:ascii="宋体" w:hAnsi="宋体" w:eastAsia="宋体" w:cs="宋体"/>
          <w:color w:val="auto"/>
          <w:szCs w:val="21"/>
          <w:highlight w:val="none"/>
          <w:lang w:eastAsia="zh-CN" w:bidi="en-US"/>
        </w:rPr>
        <w:t>成交人</w:t>
      </w:r>
      <w:r>
        <w:rPr>
          <w:rFonts w:hint="eastAsia" w:ascii="宋体" w:hAnsi="宋体" w:eastAsia="宋体" w:cs="宋体"/>
          <w:color w:val="auto"/>
          <w:szCs w:val="21"/>
          <w:highlight w:val="none"/>
          <w:lang w:bidi="en-US"/>
        </w:rPr>
        <w:t>推荐资格；评审得分相同的采取随机抽取方式确定，其他同品牌</w:t>
      </w:r>
      <w:r>
        <w:rPr>
          <w:rFonts w:hint="eastAsia" w:ascii="宋体" w:hAnsi="宋体" w:eastAsia="宋体" w:cs="宋体"/>
          <w:color w:val="auto"/>
          <w:szCs w:val="21"/>
          <w:highlight w:val="none"/>
          <w:lang w:eastAsia="zh-CN" w:bidi="en-US"/>
        </w:rPr>
        <w:t>供应商</w:t>
      </w:r>
      <w:r>
        <w:rPr>
          <w:rFonts w:hint="eastAsia" w:ascii="宋体" w:hAnsi="宋体" w:eastAsia="宋体" w:cs="宋体"/>
          <w:color w:val="auto"/>
          <w:szCs w:val="21"/>
          <w:highlight w:val="none"/>
          <w:lang w:bidi="en-US"/>
        </w:rPr>
        <w:t>不作为</w:t>
      </w:r>
      <w:r>
        <w:rPr>
          <w:rFonts w:hint="eastAsia" w:ascii="宋体" w:hAnsi="宋体" w:eastAsia="宋体" w:cs="宋体"/>
          <w:color w:val="auto"/>
          <w:szCs w:val="21"/>
          <w:highlight w:val="none"/>
          <w:lang w:eastAsia="zh-CN" w:bidi="en-US"/>
        </w:rPr>
        <w:t>成交</w:t>
      </w:r>
      <w:r>
        <w:rPr>
          <w:rFonts w:hint="eastAsia" w:ascii="宋体" w:hAnsi="宋体" w:eastAsia="宋体" w:cs="宋体"/>
          <w:color w:val="auto"/>
          <w:szCs w:val="21"/>
          <w:highlight w:val="none"/>
          <w:lang w:bidi="en-US"/>
        </w:rPr>
        <w:t>候选人。</w:t>
      </w:r>
    </w:p>
    <w:p w14:paraId="50E25F8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bidi="en-US"/>
        </w:rPr>
      </w:pPr>
      <w:r>
        <w:rPr>
          <w:rFonts w:hint="eastAsia" w:ascii="宋体" w:hAnsi="宋体" w:eastAsia="宋体" w:cs="宋体"/>
          <w:color w:val="auto"/>
          <w:szCs w:val="21"/>
          <w:highlight w:val="none"/>
          <w:lang w:eastAsia="zh-CN" w:bidi="en-US"/>
        </w:rPr>
        <w:t>本项目为</w:t>
      </w:r>
      <w:r>
        <w:rPr>
          <w:rFonts w:hint="eastAsia" w:ascii="宋体" w:hAnsi="宋体" w:eastAsia="宋体" w:cs="宋体"/>
          <w:color w:val="auto"/>
          <w:szCs w:val="21"/>
          <w:highlight w:val="none"/>
          <w:lang w:bidi="en-US"/>
        </w:rPr>
        <w:t>非单一产品采购项目，多家</w:t>
      </w:r>
      <w:r>
        <w:rPr>
          <w:rFonts w:hint="eastAsia" w:ascii="宋体" w:hAnsi="宋体" w:eastAsia="宋体" w:cs="宋体"/>
          <w:color w:val="auto"/>
          <w:szCs w:val="21"/>
          <w:highlight w:val="none"/>
          <w:lang w:eastAsia="zh-CN" w:bidi="en-US"/>
        </w:rPr>
        <w:t>供应商</w:t>
      </w:r>
      <w:r>
        <w:rPr>
          <w:rFonts w:hint="eastAsia" w:ascii="宋体" w:hAnsi="宋体" w:eastAsia="宋体" w:cs="宋体"/>
          <w:color w:val="auto"/>
          <w:szCs w:val="21"/>
          <w:highlight w:val="none"/>
          <w:lang w:bidi="en-US"/>
        </w:rPr>
        <w:t>提供的核心产品品牌</w:t>
      </w:r>
      <w:r>
        <w:rPr>
          <w:rFonts w:hint="eastAsia" w:ascii="宋体" w:hAnsi="宋体" w:eastAsia="宋体" w:cs="宋体"/>
          <w:color w:val="auto"/>
          <w:szCs w:val="21"/>
          <w:highlight w:val="none"/>
          <w:lang w:eastAsia="zh-CN" w:bidi="en-US"/>
        </w:rPr>
        <w:t>全部</w:t>
      </w:r>
      <w:r>
        <w:rPr>
          <w:rFonts w:hint="eastAsia" w:ascii="宋体" w:hAnsi="宋体" w:eastAsia="宋体" w:cs="宋体"/>
          <w:color w:val="auto"/>
          <w:szCs w:val="21"/>
          <w:highlight w:val="none"/>
          <w:lang w:bidi="en-US"/>
        </w:rPr>
        <w:t>相同的，按前款规定处理</w:t>
      </w:r>
      <w:r>
        <w:rPr>
          <w:rFonts w:hint="eastAsia" w:ascii="宋体" w:hAnsi="宋体" w:eastAsia="宋体" w:cs="宋体"/>
          <w:color w:val="auto"/>
          <w:szCs w:val="21"/>
          <w:highlight w:val="none"/>
          <w:lang w:eastAsia="zh-CN" w:bidi="en-US"/>
        </w:rPr>
        <w:t>，否则，视为按多家供应商计算</w:t>
      </w:r>
      <w:r>
        <w:rPr>
          <w:rFonts w:hint="eastAsia" w:ascii="宋体" w:hAnsi="宋体" w:eastAsia="宋体" w:cs="宋体"/>
          <w:color w:val="auto"/>
          <w:sz w:val="21"/>
          <w:szCs w:val="21"/>
          <w:highlight w:val="none"/>
          <w:lang w:eastAsia="zh-CN"/>
        </w:rPr>
        <w:t>（非单一产品采购时适用）</w:t>
      </w:r>
      <w:r>
        <w:rPr>
          <w:rFonts w:hint="eastAsia" w:ascii="宋体" w:hAnsi="宋体" w:eastAsia="宋体" w:cs="宋体"/>
          <w:color w:val="auto"/>
          <w:szCs w:val="21"/>
          <w:highlight w:val="none"/>
          <w:lang w:eastAsia="zh-CN" w:bidi="en-US"/>
        </w:rPr>
        <w:t>。</w:t>
      </w:r>
    </w:p>
    <w:p w14:paraId="2743B6F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bidi="en-US"/>
        </w:rPr>
        <w:t>本次评审采用综合评分法。磋商小组对满足</w:t>
      </w:r>
      <w:r>
        <w:rPr>
          <w:rFonts w:hint="eastAsia" w:ascii="宋体" w:hAnsi="宋体" w:eastAsia="宋体" w:cs="宋体"/>
          <w:color w:val="auto"/>
          <w:szCs w:val="21"/>
          <w:highlight w:val="none"/>
          <w:lang w:eastAsia="zh-CN" w:bidi="en-US"/>
        </w:rPr>
        <w:t>竞争性磋商文件</w:t>
      </w:r>
      <w:r>
        <w:rPr>
          <w:rFonts w:hint="eastAsia" w:ascii="宋体" w:hAnsi="宋体" w:eastAsia="宋体" w:cs="宋体"/>
          <w:color w:val="auto"/>
          <w:szCs w:val="21"/>
          <w:highlight w:val="none"/>
          <w:lang w:bidi="en-US"/>
        </w:rPr>
        <w:t>实质性要求的响应文件</w:t>
      </w:r>
      <w:r>
        <w:rPr>
          <w:rFonts w:hint="eastAsia" w:ascii="宋体" w:hAnsi="宋体" w:eastAsia="宋体" w:cs="宋体"/>
          <w:color w:val="auto"/>
          <w:szCs w:val="21"/>
          <w:highlight w:val="none"/>
        </w:rPr>
        <w:t>，按照本章规定的评分标准进行打分，并按得分由高到低顺序推荐成交候选人，</w:t>
      </w:r>
      <w:r>
        <w:rPr>
          <w:rFonts w:hint="eastAsia" w:ascii="宋体" w:hAnsi="宋体" w:eastAsia="宋体" w:cs="宋体"/>
          <w:color w:val="auto"/>
          <w:kern w:val="0"/>
          <w:szCs w:val="21"/>
          <w:highlight w:val="none"/>
        </w:rPr>
        <w:t>综合评分相等时，以报价得分高的优先；报价得分也相等的，由采购人自行确定。</w:t>
      </w:r>
      <w:bookmarkStart w:id="748" w:name="_Toc152042378"/>
      <w:bookmarkStart w:id="749" w:name="_Toc26131"/>
      <w:bookmarkStart w:id="750" w:name="_Toc6612"/>
      <w:bookmarkStart w:id="751" w:name="_Toc466298140"/>
      <w:bookmarkStart w:id="752" w:name="_Toc281405529"/>
      <w:bookmarkStart w:id="753" w:name="_Toc29362"/>
      <w:bookmarkStart w:id="754" w:name="_Toc144974568"/>
      <w:bookmarkStart w:id="755" w:name="_Toc152045601"/>
      <w:bookmarkStart w:id="756" w:name="_Toc490667876"/>
      <w:bookmarkStart w:id="757" w:name="_Toc24936"/>
      <w:bookmarkStart w:id="758" w:name="_Toc20837"/>
      <w:bookmarkStart w:id="759" w:name="_Toc455867817"/>
      <w:bookmarkStart w:id="760" w:name="_Toc318450723"/>
      <w:bookmarkStart w:id="761" w:name="_Toc455080157"/>
    </w:p>
    <w:p w14:paraId="031C37D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sz w:val="21"/>
          <w:szCs w:val="21"/>
          <w:highlight w:val="none"/>
        </w:rPr>
        <w:t>经评标委员会初步评审后有效投标不足3个的，评标委员会应予废标。</w:t>
      </w:r>
    </w:p>
    <w:p w14:paraId="02E4868A">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评审标准</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Start w:id="762" w:name="_Toc152042379"/>
      <w:bookmarkStart w:id="763" w:name="_Toc21120"/>
      <w:bookmarkStart w:id="764" w:name="_Toc25637"/>
      <w:bookmarkStart w:id="765" w:name="_Toc31037"/>
      <w:bookmarkStart w:id="766" w:name="_Toc455867818"/>
      <w:bookmarkStart w:id="767" w:name="_Toc144974569"/>
      <w:bookmarkStart w:id="768" w:name="_Toc19934"/>
      <w:bookmarkStart w:id="769" w:name="_Toc6711"/>
      <w:bookmarkStart w:id="770" w:name="_Toc318450724"/>
      <w:bookmarkStart w:id="771" w:name="_Toc490667877"/>
      <w:bookmarkStart w:id="772" w:name="_Toc281405530"/>
      <w:bookmarkStart w:id="773" w:name="_Toc455080158"/>
      <w:bookmarkStart w:id="774" w:name="_Toc11223"/>
      <w:bookmarkStart w:id="775" w:name="_Toc2867"/>
      <w:bookmarkStart w:id="776" w:name="_Toc24558"/>
      <w:bookmarkStart w:id="777" w:name="_Toc466298141"/>
      <w:bookmarkStart w:id="778" w:name="_Toc152045602"/>
      <w:bookmarkStart w:id="779" w:name="_Toc15813"/>
    </w:p>
    <w:p w14:paraId="1B147857">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 初步评审标准</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6FCA0FA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资格检查评审标准：见评审办法前附表。</w:t>
      </w:r>
    </w:p>
    <w:p w14:paraId="4E112C7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符合</w:t>
      </w:r>
      <w:r>
        <w:rPr>
          <w:rFonts w:hint="eastAsia" w:ascii="宋体" w:hAnsi="宋体" w:eastAsia="宋体" w:cs="宋体"/>
          <w:color w:val="auto"/>
          <w:szCs w:val="21"/>
          <w:highlight w:val="none"/>
        </w:rPr>
        <w:t>性检查评审标准：见评审办法前附表。</w:t>
      </w:r>
    </w:p>
    <w:p w14:paraId="285F0C43">
      <w:pPr>
        <w:pStyle w:val="5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1"/>
          <w:szCs w:val="21"/>
          <w:highlight w:val="none"/>
        </w:rPr>
      </w:pPr>
      <w:bookmarkStart w:id="780" w:name="_Toc24825"/>
      <w:bookmarkStart w:id="781" w:name="_Toc25492"/>
      <w:bookmarkStart w:id="782" w:name="_Toc144974570"/>
      <w:bookmarkStart w:id="783" w:name="_Toc152042380"/>
      <w:bookmarkStart w:id="784" w:name="_Toc39"/>
      <w:bookmarkStart w:id="785" w:name="_Toc455867819"/>
      <w:bookmarkStart w:id="786" w:name="_Toc30189"/>
      <w:bookmarkStart w:id="787" w:name="_Toc318450725"/>
      <w:bookmarkStart w:id="788" w:name="_Toc466298142"/>
      <w:bookmarkStart w:id="789" w:name="_Toc21970"/>
      <w:bookmarkStart w:id="790" w:name="_Toc14435"/>
      <w:bookmarkStart w:id="791" w:name="_Toc152045603"/>
      <w:bookmarkStart w:id="792" w:name="_Toc26179"/>
      <w:bookmarkStart w:id="793" w:name="_Toc14049"/>
      <w:bookmarkStart w:id="794" w:name="_Toc7284"/>
      <w:bookmarkStart w:id="795" w:name="_Toc281405531"/>
      <w:bookmarkStart w:id="796" w:name="_Toc455080159"/>
      <w:bookmarkStart w:id="797" w:name="_Toc12013"/>
      <w:bookmarkStart w:id="798" w:name="_Toc22439"/>
      <w:bookmarkStart w:id="799" w:name="_Toc490667878"/>
      <w:bookmarkStart w:id="800" w:name="_Toc11061"/>
      <w:r>
        <w:rPr>
          <w:rFonts w:hint="eastAsia" w:ascii="宋体" w:hAnsi="宋体" w:eastAsia="宋体" w:cs="宋体"/>
          <w:b/>
          <w:bCs/>
          <w:color w:val="auto"/>
          <w:sz w:val="21"/>
          <w:szCs w:val="21"/>
          <w:highlight w:val="none"/>
        </w:rPr>
        <w:t>2.2 分值构成与评分标准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44D81489">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（1）商务标：见评审办法前附表；</w:t>
      </w:r>
    </w:p>
    <w:p w14:paraId="1BF052BF">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（2）技术标：见评审办法前附表；</w:t>
      </w:r>
    </w:p>
    <w:p w14:paraId="23223A76">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（3）综合标：见评审办法前附表。</w:t>
      </w:r>
    </w:p>
    <w:p w14:paraId="38812D07">
      <w:pPr>
        <w:pStyle w:val="48"/>
        <w:pageBreakBefore w:val="0"/>
        <w:widowControl w:val="0"/>
        <w:kinsoku/>
        <w:wordWrap/>
        <w:overflowPunct/>
        <w:topLinePunct w:val="0"/>
        <w:autoSpaceDE/>
        <w:autoSpaceDN/>
        <w:bidi w:val="0"/>
        <w:adjustRightInd/>
        <w:snapToGrid/>
        <w:spacing w:before="0" w:beforeLines="0" w:line="400" w:lineRule="exact"/>
        <w:textAlignment w:val="auto"/>
        <w:outlineLvl w:val="9"/>
        <w:rPr>
          <w:rFonts w:hint="eastAsia" w:ascii="宋体" w:hAnsi="宋体" w:eastAsia="宋体" w:cs="宋体"/>
          <w:b/>
          <w:bCs/>
          <w:color w:val="auto"/>
          <w:sz w:val="21"/>
          <w:szCs w:val="21"/>
          <w:highlight w:val="none"/>
        </w:rPr>
      </w:pPr>
      <w:bookmarkStart w:id="801" w:name="_Toc318450726"/>
      <w:bookmarkStart w:id="802" w:name="_Toc490667879"/>
      <w:bookmarkStart w:id="803" w:name="_Toc16479"/>
      <w:bookmarkStart w:id="804" w:name="_Toc18127"/>
      <w:bookmarkStart w:id="805" w:name="_Toc15782"/>
      <w:bookmarkStart w:id="806" w:name="_Toc32314"/>
      <w:bookmarkStart w:id="807" w:name="_Toc281405532"/>
      <w:bookmarkStart w:id="808" w:name="_Toc730"/>
      <w:bookmarkStart w:id="809" w:name="_Toc455080160"/>
      <w:bookmarkStart w:id="810" w:name="_Toc29297"/>
      <w:bookmarkStart w:id="811" w:name="_Toc8411"/>
      <w:bookmarkStart w:id="812" w:name="_Toc466298143"/>
      <w:bookmarkStart w:id="813" w:name="_Toc17308"/>
      <w:bookmarkStart w:id="814" w:name="_Toc455867820"/>
      <w:r>
        <w:rPr>
          <w:rFonts w:hint="eastAsia" w:ascii="宋体" w:hAnsi="宋体" w:eastAsia="宋体" w:cs="宋体"/>
          <w:b/>
          <w:bCs/>
          <w:color w:val="auto"/>
          <w:sz w:val="21"/>
          <w:szCs w:val="21"/>
          <w:highlight w:val="none"/>
        </w:rPr>
        <w:t>3. 评审程序</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677D95F6">
      <w:pPr>
        <w:pStyle w:val="5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1"/>
          <w:szCs w:val="21"/>
          <w:highlight w:val="none"/>
        </w:rPr>
      </w:pPr>
      <w:bookmarkStart w:id="815" w:name="_Toc14153"/>
      <w:bookmarkStart w:id="816" w:name="_Toc318450727"/>
      <w:bookmarkStart w:id="817" w:name="_Toc18886"/>
      <w:bookmarkStart w:id="818" w:name="_Toc455080161"/>
      <w:bookmarkStart w:id="819" w:name="_Toc9439"/>
      <w:bookmarkStart w:id="820" w:name="_Toc455867821"/>
      <w:bookmarkStart w:id="821" w:name="_Toc9433"/>
      <w:bookmarkStart w:id="822" w:name="_Toc29614"/>
      <w:bookmarkStart w:id="823" w:name="_Toc2410"/>
      <w:bookmarkStart w:id="824" w:name="_Toc29092"/>
      <w:bookmarkStart w:id="825" w:name="_Toc30986"/>
      <w:bookmarkStart w:id="826" w:name="_Toc490667880"/>
      <w:bookmarkStart w:id="827" w:name="_Toc7272"/>
      <w:bookmarkStart w:id="828" w:name="_Toc14633"/>
      <w:bookmarkStart w:id="829" w:name="_Toc22310"/>
      <w:bookmarkStart w:id="830" w:name="_Toc281405533"/>
      <w:bookmarkStart w:id="831" w:name="_Toc466298144"/>
      <w:bookmarkStart w:id="832" w:name="_Toc16892"/>
      <w:bookmarkStart w:id="833" w:name="_Toc5427"/>
      <w:r>
        <w:rPr>
          <w:rFonts w:hint="eastAsia" w:ascii="宋体" w:hAnsi="宋体" w:eastAsia="宋体" w:cs="宋体"/>
          <w:b/>
          <w:bCs/>
          <w:color w:val="auto"/>
          <w:sz w:val="21"/>
          <w:szCs w:val="21"/>
          <w:highlight w:val="none"/>
        </w:rPr>
        <w:t>3.1 初步评审</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5074212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bookmarkStart w:id="834" w:name="_Toc12406"/>
      <w:bookmarkStart w:id="835" w:name="_Toc7121"/>
      <w:bookmarkStart w:id="836" w:name="_Toc26049"/>
      <w:bookmarkStart w:id="837" w:name="_Toc490667881"/>
      <w:bookmarkStart w:id="838" w:name="_Toc21570"/>
      <w:bookmarkStart w:id="839" w:name="_Toc318450728"/>
      <w:bookmarkStart w:id="840" w:name="_Toc22101"/>
      <w:bookmarkStart w:id="841" w:name="_Toc26280"/>
      <w:bookmarkStart w:id="842" w:name="_Toc10692"/>
      <w:bookmarkStart w:id="843" w:name="_Toc16964"/>
      <w:bookmarkStart w:id="844" w:name="_Toc281405534"/>
      <w:bookmarkStart w:id="845" w:name="_Toc13386"/>
      <w:bookmarkStart w:id="846" w:name="_Toc21032"/>
      <w:bookmarkStart w:id="847" w:name="_Toc466298145"/>
      <w:bookmarkStart w:id="848" w:name="_Toc455867822"/>
      <w:bookmarkStart w:id="849" w:name="_Toc455080162"/>
      <w:r>
        <w:rPr>
          <w:rFonts w:hint="eastAsia" w:ascii="宋体" w:hAnsi="宋体" w:eastAsia="宋体" w:cs="宋体"/>
          <w:color w:val="auto"/>
          <w:sz w:val="21"/>
          <w:szCs w:val="21"/>
          <w:highlight w:val="none"/>
        </w:rPr>
        <w:t>3.1.1只有通过资格审查的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才能进入</w:t>
      </w:r>
      <w:r>
        <w:rPr>
          <w:rFonts w:hint="eastAsia" w:ascii="宋体" w:hAnsi="宋体" w:eastAsia="宋体" w:cs="宋体"/>
          <w:color w:val="auto"/>
          <w:sz w:val="21"/>
          <w:szCs w:val="21"/>
          <w:highlight w:val="none"/>
          <w:lang w:eastAsia="zh-CN"/>
        </w:rPr>
        <w:t>符合性评审</w:t>
      </w:r>
      <w:r>
        <w:rPr>
          <w:rFonts w:hint="eastAsia" w:ascii="宋体" w:hAnsi="宋体" w:eastAsia="宋体" w:cs="宋体"/>
          <w:color w:val="auto"/>
          <w:sz w:val="21"/>
          <w:szCs w:val="21"/>
          <w:highlight w:val="none"/>
        </w:rPr>
        <w:t>。评标委员会依据</w:t>
      </w: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规定的内容和标准对</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文件进行</w:t>
      </w:r>
      <w:r>
        <w:rPr>
          <w:rFonts w:hint="eastAsia" w:ascii="宋体" w:hAnsi="宋体" w:eastAsia="宋体" w:cs="宋体"/>
          <w:color w:val="auto"/>
          <w:sz w:val="21"/>
          <w:szCs w:val="21"/>
          <w:highlight w:val="none"/>
          <w:lang w:eastAsia="zh-CN"/>
        </w:rPr>
        <w:t>符合性审查</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有一项不符合评审标准的，其投标做无效</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处理，不得进入详细评审。</w:t>
      </w:r>
    </w:p>
    <w:p w14:paraId="354AC82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供应商有以下情形之一的，其响应文件作无效处理：</w:t>
      </w:r>
    </w:p>
    <w:p w14:paraId="58C4D07D">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）串通或弄虚作假或有其他违法行为的；</w:t>
      </w:r>
    </w:p>
    <w:p w14:paraId="7B2CC697">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）不按磋商小组要求澄清、说明或补正的；</w:t>
      </w:r>
    </w:p>
    <w:p w14:paraId="56A1EE14">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）未按规定格式填写、内容不全或关键字迹模糊、无法辨认的；</w:t>
      </w:r>
    </w:p>
    <w:p w14:paraId="4E269834">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）响应文件附有采购人不能接受的条件；</w:t>
      </w:r>
    </w:p>
    <w:p w14:paraId="491E8DE0">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）不符合</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规定的其他实质性要求。</w:t>
      </w:r>
    </w:p>
    <w:p w14:paraId="49BF8B6C">
      <w:pPr>
        <w:pStyle w:val="5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1"/>
          <w:szCs w:val="21"/>
          <w:highlight w:val="none"/>
        </w:rPr>
      </w:pPr>
      <w:bookmarkStart w:id="850" w:name="_Toc9114"/>
      <w:bookmarkStart w:id="851" w:name="_Toc22958"/>
      <w:bookmarkStart w:id="852" w:name="_Toc25342"/>
      <w:r>
        <w:rPr>
          <w:rFonts w:hint="eastAsia" w:ascii="宋体" w:hAnsi="宋体" w:eastAsia="宋体" w:cs="宋体"/>
          <w:b/>
          <w:bCs/>
          <w:color w:val="auto"/>
          <w:sz w:val="21"/>
          <w:szCs w:val="21"/>
          <w:highlight w:val="none"/>
        </w:rPr>
        <w:t>3.2 详细评审</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148676C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磋商小组按本章第2.2款规定的量化因素和分值进行打分，并计算出综合评分得分。</w:t>
      </w:r>
    </w:p>
    <w:p w14:paraId="0687AFF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评分分值计算保留小数点后两位，小数点后第三位“四舍五入”。</w:t>
      </w:r>
    </w:p>
    <w:p w14:paraId="6F5224FE">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3.2.3供应商的最终得分以全部小组成员打分的算术平均值为准，作为该供应商的最终得分。</w:t>
      </w:r>
    </w:p>
    <w:p w14:paraId="68AC402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3.2.4在磋商过程中，凡遇到</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中无界定或界定不清、前后不一致使磋商小组意见有分歧且又难以协商一致的问题，均由磋商小组予以表决，获半数以上同意的即为通过，未获半数同意的即为否决。</w:t>
      </w:r>
    </w:p>
    <w:p w14:paraId="16009803">
      <w:pPr>
        <w:pStyle w:val="5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1"/>
          <w:szCs w:val="21"/>
          <w:highlight w:val="none"/>
        </w:rPr>
      </w:pPr>
      <w:bookmarkStart w:id="853" w:name="_Toc24862"/>
      <w:bookmarkStart w:id="854" w:name="_Toc22084"/>
      <w:bookmarkStart w:id="855" w:name="_Toc466298146"/>
      <w:bookmarkStart w:id="856" w:name="_Toc318450729"/>
      <w:bookmarkStart w:id="857" w:name="_Toc8342"/>
      <w:bookmarkStart w:id="858" w:name="_Toc331"/>
      <w:bookmarkStart w:id="859" w:name="_Toc455867823"/>
      <w:bookmarkStart w:id="860" w:name="_Toc10153"/>
      <w:bookmarkStart w:id="861" w:name="_Toc490667882"/>
      <w:bookmarkStart w:id="862" w:name="_Toc455080163"/>
      <w:bookmarkStart w:id="863" w:name="_Toc31192"/>
      <w:bookmarkStart w:id="864" w:name="_Toc9377"/>
      <w:bookmarkStart w:id="865" w:name="_Toc12374"/>
      <w:bookmarkStart w:id="866" w:name="_Toc2657"/>
      <w:bookmarkStart w:id="867" w:name="_Toc28633"/>
      <w:bookmarkStart w:id="868" w:name="_Toc8813"/>
      <w:bookmarkStart w:id="869" w:name="_Toc17468"/>
      <w:bookmarkStart w:id="870" w:name="_Toc281405535"/>
      <w:bookmarkStart w:id="871" w:name="_Toc11958"/>
      <w:r>
        <w:rPr>
          <w:rFonts w:hint="eastAsia" w:ascii="宋体" w:hAnsi="宋体" w:eastAsia="宋体" w:cs="宋体"/>
          <w:b/>
          <w:bCs/>
          <w:color w:val="auto"/>
          <w:sz w:val="21"/>
          <w:szCs w:val="21"/>
          <w:highlight w:val="none"/>
        </w:rPr>
        <w:t>3.3 响应文件的澄清和补正</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7D6F62C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638D9DD0">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澄清、说明和补正不得超出响应文件的范围或者改变响应文件的实质性内容（算术性错误修正的除外）。供应商的书面澄清、说明和补正属于响应文件的组成部分。</w:t>
      </w:r>
    </w:p>
    <w:p w14:paraId="12F8947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磋商小组对供应商提交的澄清、说明或补正有疑问的，可以要求供应商进一步澄清、说明或补正，直至满足磋商小组的要求。</w:t>
      </w:r>
    </w:p>
    <w:p w14:paraId="7D25D9BE">
      <w:pPr>
        <w:pStyle w:val="5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bookmarkStart w:id="872" w:name="_Toc31702"/>
      <w:bookmarkStart w:id="873" w:name="_Toc22682"/>
      <w:bookmarkStart w:id="874" w:name="_Toc19453"/>
      <w:bookmarkStart w:id="875" w:name="_Toc281405536"/>
      <w:bookmarkStart w:id="876" w:name="_Toc466298147"/>
      <w:bookmarkStart w:id="877" w:name="_Toc27205"/>
      <w:bookmarkStart w:id="878" w:name="_Toc26894"/>
      <w:bookmarkStart w:id="879" w:name="_Toc32183"/>
      <w:bookmarkStart w:id="880" w:name="_Toc19938"/>
      <w:bookmarkStart w:id="881" w:name="_Toc22049"/>
      <w:bookmarkStart w:id="882" w:name="_Toc490667883"/>
      <w:bookmarkStart w:id="883" w:name="_Toc17364"/>
      <w:bookmarkStart w:id="884" w:name="_Toc455080164"/>
      <w:bookmarkStart w:id="885" w:name="_Toc318450730"/>
      <w:bookmarkStart w:id="886" w:name="_Toc30053"/>
      <w:bookmarkStart w:id="887" w:name="_Toc22986"/>
      <w:bookmarkStart w:id="888" w:name="_Toc455867824"/>
      <w:bookmarkStart w:id="889" w:name="_Toc5903"/>
      <w:bookmarkStart w:id="890" w:name="_Toc1857"/>
      <w:r>
        <w:rPr>
          <w:rFonts w:hint="eastAsia" w:ascii="宋体" w:hAnsi="宋体" w:eastAsia="宋体" w:cs="宋体"/>
          <w:color w:val="auto"/>
          <w:sz w:val="21"/>
          <w:szCs w:val="21"/>
          <w:highlight w:val="none"/>
        </w:rPr>
        <w:t>3.4 评审结果</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65445A8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3.4.1除第二章“供应商须知”前附表授权直接确定成交人外，磋商小组按照得分由高到低的顺序推荐成交候选人。</w:t>
      </w:r>
    </w:p>
    <w:p w14:paraId="2C2B737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磋商小组完成评审后，应当向采购人提交书面评审报告。</w:t>
      </w:r>
    </w:p>
    <w:p w14:paraId="19F62A3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bookmarkStart w:id="891" w:name="_Toc152045609"/>
      <w:bookmarkStart w:id="892" w:name="_Toc14024"/>
      <w:bookmarkStart w:id="893" w:name="_Toc144974577"/>
      <w:bookmarkStart w:id="894" w:name="_Toc152042387"/>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评标结果同时在</w:t>
      </w:r>
      <w:r>
        <w:rPr>
          <w:rFonts w:hint="eastAsia" w:ascii="宋体" w:hAnsi="宋体" w:eastAsia="宋体" w:cs="宋体"/>
          <w:color w:val="auto"/>
          <w:szCs w:val="21"/>
          <w:highlight w:val="none"/>
          <w:lang w:val="en-US" w:eastAsia="zh-CN"/>
        </w:rPr>
        <w:t>《河南省政府采购网》、《全国公共资源交易平台（河南省·信阳市）》、</w:t>
      </w:r>
      <w:r>
        <w:rPr>
          <w:rFonts w:hint="eastAsia" w:ascii="宋体" w:hAnsi="宋体" w:eastAsia="宋体" w:cs="宋体"/>
          <w:color w:val="auto"/>
          <w:szCs w:val="21"/>
          <w:highlight w:val="none"/>
        </w:rPr>
        <w:t>公示。</w:t>
      </w:r>
    </w:p>
    <w:p w14:paraId="30096349">
      <w:pPr>
        <w:pStyle w:val="23"/>
        <w:ind w:left="0" w:leftChars="0" w:firstLine="0" w:firstLineChars="0"/>
        <w:rPr>
          <w:rFonts w:hint="eastAsia"/>
          <w:color w:val="auto"/>
          <w:highlight w:val="none"/>
        </w:rPr>
      </w:pPr>
      <w:bookmarkStart w:id="895" w:name="_Toc30291"/>
      <w:bookmarkStart w:id="896" w:name="_Toc29062"/>
      <w:bookmarkStart w:id="897" w:name="_Toc300"/>
    </w:p>
    <w:p w14:paraId="02F411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0BCC0A8">
      <w:pPr>
        <w:pStyle w:val="4"/>
        <w:pageBreakBefore w:val="0"/>
        <w:numPr>
          <w:ilvl w:val="0"/>
          <w:numId w:val="0"/>
        </w:numPr>
        <w:kinsoku/>
        <w:wordWrap/>
        <w:overflowPunct/>
        <w:topLinePunct w:val="0"/>
        <w:bidi w:val="0"/>
        <w:spacing w:line="400" w:lineRule="exact"/>
        <w:ind w:left="459"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附件：废标条件</w:t>
      </w:r>
      <w:bookmarkEnd w:id="895"/>
      <w:bookmarkEnd w:id="896"/>
      <w:bookmarkEnd w:id="897"/>
    </w:p>
    <w:p w14:paraId="39E1906B">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本附件所集中列示的废标条件，是本章“评标办法”的组成部分，是对第二章“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须知”和本章正文部分所规定的废标条件的总结和补充，如果出现相互矛盾的情况，以第二章“</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须知”和本章正文部分的规定为准。</w:t>
      </w:r>
    </w:p>
    <w:p w14:paraId="7BFE657C">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1.未通过第三章评标办法</w:t>
      </w:r>
      <w:r>
        <w:rPr>
          <w:rFonts w:hint="eastAsia" w:ascii="宋体" w:hAnsi="宋体" w:eastAsia="宋体" w:cs="宋体"/>
          <w:b/>
          <w:color w:val="auto"/>
          <w:sz w:val="21"/>
          <w:szCs w:val="21"/>
          <w:highlight w:val="none"/>
          <w:lang w:eastAsia="zh-CN"/>
        </w:rPr>
        <w:t>资格评审、符合性评审的</w:t>
      </w:r>
      <w:r>
        <w:rPr>
          <w:rFonts w:hint="eastAsia" w:ascii="宋体" w:hAnsi="宋体" w:eastAsia="宋体" w:cs="宋体"/>
          <w:b/>
          <w:color w:val="auto"/>
          <w:sz w:val="21"/>
          <w:szCs w:val="21"/>
          <w:highlight w:val="none"/>
        </w:rPr>
        <w:t xml:space="preserve">； </w:t>
      </w:r>
    </w:p>
    <w:p w14:paraId="58ED7EA2">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.不按</w:t>
      </w:r>
      <w:r>
        <w:rPr>
          <w:rFonts w:hint="eastAsia" w:ascii="宋体" w:hAnsi="宋体" w:eastAsia="宋体" w:cs="宋体"/>
          <w:b/>
          <w:color w:val="auto"/>
          <w:sz w:val="21"/>
          <w:szCs w:val="21"/>
          <w:highlight w:val="none"/>
          <w:lang w:eastAsia="zh-CN"/>
        </w:rPr>
        <w:t>磋商小组</w:t>
      </w:r>
      <w:r>
        <w:rPr>
          <w:rFonts w:hint="eastAsia" w:ascii="宋体" w:hAnsi="宋体" w:eastAsia="宋体" w:cs="宋体"/>
          <w:b/>
          <w:color w:val="auto"/>
          <w:sz w:val="21"/>
          <w:szCs w:val="21"/>
          <w:highlight w:val="none"/>
        </w:rPr>
        <w:t>要求澄清、说明或补正的；</w:t>
      </w:r>
    </w:p>
    <w:p w14:paraId="69FF9EE1">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报价有算术性错误，投标人不接受修正价格的；</w:t>
      </w:r>
    </w:p>
    <w:p w14:paraId="5294A88D">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.以他人的名义投标、以行贿手段谋取中标或者以其他弄虚作假方式投标的；</w:t>
      </w:r>
    </w:p>
    <w:p w14:paraId="15FBAF77">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.属于串（围）标行为的；</w:t>
      </w:r>
    </w:p>
    <w:p w14:paraId="56DE37F3">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.评标委员会认定投标人以低于成本报价竞标的；</w:t>
      </w:r>
    </w:p>
    <w:p w14:paraId="600EA441">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．明显不符合技术规格、技术标准的要求；</w:t>
      </w:r>
    </w:p>
    <w:p w14:paraId="57F12D2D">
      <w:pPr>
        <w:pageBreakBefore w:val="0"/>
        <w:kinsoku/>
        <w:wordWrap/>
        <w:overflowPunct/>
        <w:topLinePunct w:val="0"/>
        <w:bidi w:val="0"/>
        <w:spacing w:line="40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  8.文件制作机器码、文件创建标识码有相同的；</w:t>
      </w:r>
    </w:p>
    <w:p w14:paraId="58B629CB">
      <w:pPr>
        <w:pageBreakBefore w:val="0"/>
        <w:kinsoku/>
        <w:wordWrap/>
        <w:overflowPunct/>
        <w:topLinePunct w:val="0"/>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．不符合</w:t>
      </w:r>
      <w:r>
        <w:rPr>
          <w:rFonts w:hint="eastAsia" w:ascii="宋体" w:hAnsi="宋体" w:eastAsia="宋体" w:cs="宋体"/>
          <w:b/>
          <w:color w:val="auto"/>
          <w:sz w:val="21"/>
          <w:szCs w:val="21"/>
          <w:highlight w:val="none"/>
          <w:lang w:eastAsia="zh-CN"/>
        </w:rPr>
        <w:t>竞争性磋商</w:t>
      </w:r>
      <w:r>
        <w:rPr>
          <w:rFonts w:hint="eastAsia" w:ascii="宋体" w:hAnsi="宋体" w:eastAsia="宋体" w:cs="宋体"/>
          <w:b/>
          <w:color w:val="auto"/>
          <w:sz w:val="21"/>
          <w:szCs w:val="21"/>
          <w:highlight w:val="none"/>
        </w:rPr>
        <w:t>文件规定的其他实质性要求及相关法律、法规或规章规定可以废标的其他情形。</w:t>
      </w:r>
    </w:p>
    <w:bookmarkEnd w:id="891"/>
    <w:bookmarkEnd w:id="892"/>
    <w:bookmarkEnd w:id="893"/>
    <w:bookmarkEnd w:id="894"/>
    <w:p w14:paraId="73C2FD95">
      <w:pPr>
        <w:spacing w:line="400" w:lineRule="exact"/>
        <w:ind w:left="0" w:leftChars="0" w:firstLine="0" w:firstLineChars="0"/>
        <w:jc w:val="center"/>
        <w:outlineLvl w:val="9"/>
        <w:rPr>
          <w:rFonts w:hint="eastAsia" w:ascii="宋体" w:hAnsi="宋体" w:cs="宋体"/>
          <w:b/>
          <w:bCs/>
          <w:color w:val="auto"/>
          <w:sz w:val="32"/>
          <w:szCs w:val="32"/>
          <w:highlight w:val="none"/>
        </w:rPr>
      </w:pPr>
      <w:bookmarkStart w:id="898" w:name="_Toc19053"/>
      <w:bookmarkStart w:id="899" w:name="_Toc14158"/>
      <w:bookmarkStart w:id="900" w:name="_Toc152045786"/>
      <w:bookmarkStart w:id="901" w:name="_Toc144974855"/>
      <w:bookmarkStart w:id="902" w:name="_Toc152042575"/>
    </w:p>
    <w:p w14:paraId="3F9C7077">
      <w:pPr>
        <w:spacing w:line="400" w:lineRule="exact"/>
        <w:ind w:left="0" w:leftChars="0" w:firstLine="0" w:firstLineChars="0"/>
        <w:jc w:val="center"/>
        <w:outlineLvl w:val="9"/>
        <w:rPr>
          <w:rFonts w:hint="eastAsia" w:ascii="宋体" w:hAnsi="宋体" w:cs="宋体"/>
          <w:b/>
          <w:bCs/>
          <w:color w:val="auto"/>
          <w:sz w:val="32"/>
          <w:szCs w:val="32"/>
          <w:highlight w:val="none"/>
        </w:rPr>
      </w:pPr>
    </w:p>
    <w:p w14:paraId="5175BFFC">
      <w:pPr>
        <w:pStyle w:val="23"/>
        <w:ind w:left="0" w:leftChars="0" w:firstLine="0" w:firstLineChars="0"/>
        <w:rPr>
          <w:rFonts w:hint="eastAsia"/>
          <w:color w:val="auto"/>
          <w:highlight w:val="none"/>
        </w:rPr>
      </w:pPr>
    </w:p>
    <w:p w14:paraId="4B0A191C">
      <w:pPr>
        <w:rPr>
          <w:rFonts w:hint="eastAsia"/>
          <w:color w:val="auto"/>
          <w:highlight w:val="none"/>
        </w:rPr>
      </w:pPr>
      <w:r>
        <w:rPr>
          <w:rFonts w:hint="eastAsia"/>
          <w:color w:val="auto"/>
          <w:highlight w:val="none"/>
        </w:rPr>
        <w:br w:type="page"/>
      </w:r>
    </w:p>
    <w:p w14:paraId="61904D06">
      <w:pPr>
        <w:pStyle w:val="24"/>
        <w:rPr>
          <w:rFonts w:hint="eastAsia"/>
          <w:color w:val="auto"/>
          <w:highlight w:val="none"/>
        </w:rPr>
      </w:pPr>
    </w:p>
    <w:p w14:paraId="69712D8B">
      <w:pPr>
        <w:spacing w:line="400" w:lineRule="exact"/>
        <w:ind w:left="0" w:leftChars="0" w:firstLine="0" w:firstLineChars="0"/>
        <w:jc w:val="center"/>
        <w:outlineLvl w:val="0"/>
        <w:rPr>
          <w:rFonts w:hint="eastAsia" w:ascii="宋体" w:hAnsi="宋体" w:cs="宋体"/>
          <w:b/>
          <w:bCs/>
          <w:color w:val="auto"/>
          <w:sz w:val="32"/>
          <w:szCs w:val="32"/>
          <w:highlight w:val="none"/>
        </w:rPr>
      </w:pPr>
      <w:bookmarkStart w:id="903" w:name="_Toc18526"/>
      <w:bookmarkStart w:id="904" w:name="_Toc18958"/>
      <w:r>
        <w:rPr>
          <w:rFonts w:hint="eastAsia" w:ascii="宋体" w:hAnsi="宋体" w:cs="宋体"/>
          <w:b/>
          <w:bCs/>
          <w:color w:val="auto"/>
          <w:sz w:val="32"/>
          <w:szCs w:val="32"/>
          <w:highlight w:val="none"/>
        </w:rPr>
        <w:t xml:space="preserve">第四章  </w:t>
      </w:r>
      <w:r>
        <w:rPr>
          <w:rFonts w:hint="eastAsia" w:ascii="宋体" w:hAnsi="宋体" w:cs="宋体"/>
          <w:b/>
          <w:color w:val="auto"/>
          <w:sz w:val="32"/>
          <w:szCs w:val="32"/>
          <w:highlight w:val="none"/>
        </w:rPr>
        <w:t>河南省政府采购合同（</w:t>
      </w:r>
      <w:r>
        <w:rPr>
          <w:rFonts w:hint="eastAsia" w:ascii="宋体" w:hAnsi="宋体" w:cs="宋体"/>
          <w:b/>
          <w:color w:val="auto"/>
          <w:sz w:val="32"/>
          <w:szCs w:val="32"/>
          <w:highlight w:val="none"/>
          <w:lang w:eastAsia="zh-CN"/>
        </w:rPr>
        <w:t>参考文本</w:t>
      </w:r>
      <w:r>
        <w:rPr>
          <w:rFonts w:hint="eastAsia" w:ascii="宋体" w:hAnsi="宋体" w:cs="宋体"/>
          <w:b/>
          <w:color w:val="auto"/>
          <w:sz w:val="32"/>
          <w:szCs w:val="32"/>
          <w:highlight w:val="none"/>
        </w:rPr>
        <w:t>）</w:t>
      </w:r>
      <w:bookmarkEnd w:id="898"/>
      <w:bookmarkEnd w:id="903"/>
      <w:bookmarkEnd w:id="904"/>
    </w:p>
    <w:p w14:paraId="5964B006">
      <w:pPr>
        <w:spacing w:line="400" w:lineRule="exact"/>
        <w:ind w:firstLine="450" w:firstLineChars="150"/>
        <w:rPr>
          <w:rFonts w:hint="eastAsia" w:ascii="宋体" w:hAnsi="宋体" w:cs="宋体"/>
          <w:color w:val="auto"/>
          <w:sz w:val="30"/>
          <w:szCs w:val="30"/>
          <w:highlight w:val="none"/>
        </w:rPr>
      </w:pPr>
    </w:p>
    <w:bookmarkEnd w:id="899"/>
    <w:p w14:paraId="6372A3A8">
      <w:pPr>
        <w:snapToGrid w:val="0"/>
        <w:spacing w:line="360" w:lineRule="auto"/>
        <w:jc w:val="center"/>
        <w:rPr>
          <w:rFonts w:ascii="仿宋" w:hAnsi="仿宋" w:eastAsia="仿宋" w:cs="仿宋"/>
          <w:b/>
          <w:bCs/>
          <w:sz w:val="24"/>
          <w:szCs w:val="24"/>
        </w:rPr>
      </w:pPr>
      <w:bookmarkStart w:id="905" w:name="_Toc25661"/>
      <w:bookmarkStart w:id="906" w:name="_Toc29292"/>
      <w:bookmarkStart w:id="907" w:name="_Toc21978"/>
      <w:r>
        <w:rPr>
          <w:rFonts w:hint="eastAsia" w:ascii="仿宋" w:hAnsi="仿宋" w:eastAsia="仿宋" w:cs="仿宋"/>
          <w:b/>
          <w:bCs/>
          <w:szCs w:val="28"/>
        </w:rPr>
        <w:t>以双方实际签订合同为准</w:t>
      </w:r>
    </w:p>
    <w:p w14:paraId="489A3D64">
      <w:pPr>
        <w:numPr>
          <w:ilvl w:val="0"/>
          <w:numId w:val="0"/>
        </w:numPr>
        <w:rPr>
          <w:lang w:val="en-US" w:eastAsia="zh-CN"/>
        </w:rPr>
      </w:pPr>
    </w:p>
    <w:p w14:paraId="437456CF">
      <w:pPr>
        <w:jc w:val="center"/>
        <w:outlineLvl w:val="1"/>
        <w:rPr>
          <w:rFonts w:hint="eastAsia" w:ascii="仿宋" w:hAnsi="仿宋" w:eastAsia="仿宋" w:cs="仿宋"/>
          <w:b/>
          <w:sz w:val="32"/>
          <w:szCs w:val="32"/>
        </w:rPr>
      </w:pPr>
    </w:p>
    <w:p w14:paraId="48DF474A">
      <w:pPr>
        <w:jc w:val="center"/>
        <w:outlineLvl w:val="1"/>
        <w:rPr>
          <w:rFonts w:hint="eastAsia" w:ascii="仿宋" w:hAnsi="仿宋" w:eastAsia="仿宋" w:cs="仿宋"/>
          <w:b/>
          <w:sz w:val="32"/>
          <w:szCs w:val="32"/>
        </w:rPr>
      </w:pPr>
    </w:p>
    <w:p w14:paraId="7189044A">
      <w:pPr>
        <w:jc w:val="center"/>
        <w:outlineLvl w:val="1"/>
        <w:rPr>
          <w:rFonts w:hint="eastAsia" w:ascii="仿宋" w:hAnsi="仿宋" w:eastAsia="仿宋" w:cs="仿宋"/>
          <w:b/>
          <w:sz w:val="32"/>
          <w:szCs w:val="32"/>
        </w:rPr>
      </w:pPr>
    </w:p>
    <w:p w14:paraId="7E090464">
      <w:pPr>
        <w:jc w:val="center"/>
        <w:outlineLvl w:val="1"/>
        <w:rPr>
          <w:rFonts w:hint="eastAsia" w:ascii="仿宋" w:hAnsi="仿宋" w:eastAsia="仿宋" w:cs="仿宋"/>
          <w:b/>
          <w:sz w:val="32"/>
          <w:szCs w:val="32"/>
        </w:rPr>
      </w:pPr>
      <w:r>
        <w:rPr>
          <w:rFonts w:hint="eastAsia" w:ascii="仿宋" w:hAnsi="仿宋" w:eastAsia="仿宋" w:cs="仿宋"/>
          <w:b/>
          <w:sz w:val="32"/>
          <w:szCs w:val="32"/>
        </w:rPr>
        <w:t>政府采购合同</w:t>
      </w:r>
    </w:p>
    <w:p w14:paraId="3A002FCF">
      <w:pPr>
        <w:jc w:val="center"/>
        <w:rPr>
          <w:rFonts w:hint="eastAsia" w:ascii="仿宋" w:hAnsi="仿宋" w:eastAsia="仿宋" w:cs="仿宋"/>
          <w:b/>
          <w:sz w:val="96"/>
          <w:szCs w:val="96"/>
        </w:rPr>
      </w:pPr>
    </w:p>
    <w:p w14:paraId="3DE6F402">
      <w:pPr>
        <w:jc w:val="center"/>
        <w:rPr>
          <w:rFonts w:hint="eastAsia" w:ascii="仿宋" w:hAnsi="仿宋" w:eastAsia="仿宋" w:cs="仿宋"/>
          <w:b/>
          <w:sz w:val="96"/>
          <w:szCs w:val="96"/>
        </w:rPr>
      </w:pPr>
    </w:p>
    <w:p w14:paraId="099FFCBD">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p>
    <w:p w14:paraId="62EBA519">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政府采购管理部门备案编号：</w:t>
      </w:r>
      <w:r>
        <w:rPr>
          <w:rFonts w:hint="eastAsia" w:ascii="仿宋" w:hAnsi="仿宋" w:eastAsia="仿宋" w:cs="仿宋"/>
          <w:sz w:val="32"/>
          <w:szCs w:val="32"/>
          <w:u w:val="single"/>
        </w:rPr>
        <w:t xml:space="preserve">                   </w:t>
      </w:r>
    </w:p>
    <w:p w14:paraId="400AD9BD">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招标采购文件编号：</w:t>
      </w:r>
      <w:r>
        <w:rPr>
          <w:rFonts w:hint="eastAsia" w:ascii="仿宋" w:hAnsi="仿宋" w:eastAsia="仿宋" w:cs="仿宋"/>
          <w:sz w:val="32"/>
          <w:szCs w:val="32"/>
          <w:u w:val="single"/>
        </w:rPr>
        <w:t xml:space="preserve">                           </w:t>
      </w:r>
    </w:p>
    <w:p w14:paraId="3951580B">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甲方合同编号：</w:t>
      </w:r>
      <w:r>
        <w:rPr>
          <w:rFonts w:hint="eastAsia" w:ascii="仿宋" w:hAnsi="仿宋" w:eastAsia="仿宋" w:cs="仿宋"/>
          <w:sz w:val="32"/>
          <w:szCs w:val="32"/>
          <w:u w:val="single"/>
        </w:rPr>
        <w:t xml:space="preserve">                               </w:t>
      </w:r>
    </w:p>
    <w:p w14:paraId="5F474454">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甲方：</w:t>
      </w:r>
      <w:r>
        <w:rPr>
          <w:rFonts w:hint="eastAsia" w:ascii="仿宋" w:hAnsi="仿宋" w:eastAsia="仿宋" w:cs="仿宋"/>
          <w:sz w:val="32"/>
          <w:szCs w:val="32"/>
          <w:u w:val="single"/>
        </w:rPr>
        <w:t xml:space="preserve">                                       </w:t>
      </w:r>
    </w:p>
    <w:p w14:paraId="13E654E8">
      <w:pPr>
        <w:ind w:firstLine="640" w:firstLineChars="200"/>
        <w:outlineLvl w:val="1"/>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u w:val="single"/>
        </w:rPr>
        <w:t xml:space="preserve">                                       </w:t>
      </w:r>
    </w:p>
    <w:p w14:paraId="7F6958BE">
      <w:pPr>
        <w:ind w:firstLine="640" w:firstLineChars="200"/>
        <w:outlineLvl w:val="1"/>
        <w:rPr>
          <w:rFonts w:hint="eastAsia" w:ascii="仿宋" w:hAnsi="仿宋" w:eastAsia="仿宋" w:cs="仿宋"/>
          <w:sz w:val="32"/>
          <w:szCs w:val="32"/>
          <w:u w:val="single"/>
        </w:rPr>
      </w:pPr>
      <w:r>
        <w:rPr>
          <w:rFonts w:hint="eastAsia" w:ascii="仿宋" w:hAnsi="仿宋" w:eastAsia="仿宋" w:cs="仿宋"/>
          <w:sz w:val="32"/>
          <w:szCs w:val="32"/>
        </w:rPr>
        <w:t>甲方合同法律审核部门：</w:t>
      </w:r>
      <w:r>
        <w:rPr>
          <w:rFonts w:hint="eastAsia" w:ascii="仿宋" w:hAnsi="仿宋" w:eastAsia="仿宋" w:cs="仿宋"/>
          <w:sz w:val="32"/>
          <w:szCs w:val="32"/>
          <w:u w:val="single"/>
        </w:rPr>
        <w:t xml:space="preserve">                       </w:t>
      </w:r>
    </w:p>
    <w:p w14:paraId="1007ACBB">
      <w:pPr>
        <w:rPr>
          <w:rFonts w:hint="eastAsia" w:ascii="仿宋" w:hAnsi="仿宋" w:eastAsia="仿宋" w:cs="仿宋"/>
          <w:sz w:val="32"/>
          <w:szCs w:val="32"/>
        </w:rPr>
      </w:pPr>
    </w:p>
    <w:p w14:paraId="0C1CD03F">
      <w:pPr>
        <w:rPr>
          <w:rFonts w:hint="eastAsia" w:ascii="仿宋" w:hAnsi="仿宋" w:eastAsia="仿宋" w:cs="仿宋"/>
          <w:sz w:val="32"/>
          <w:szCs w:val="32"/>
        </w:rPr>
      </w:pPr>
    </w:p>
    <w:p w14:paraId="233E81FE">
      <w:pPr>
        <w:rPr>
          <w:rFonts w:hint="eastAsia" w:ascii="仿宋" w:hAnsi="仿宋" w:eastAsia="仿宋" w:cs="仿宋"/>
          <w:sz w:val="32"/>
          <w:szCs w:val="32"/>
        </w:rPr>
      </w:pPr>
    </w:p>
    <w:p w14:paraId="3433DA77">
      <w:pPr>
        <w:jc w:val="center"/>
        <w:rPr>
          <w:rFonts w:hint="eastAsia" w:ascii="仿宋" w:hAnsi="仿宋" w:eastAsia="仿宋" w:cs="仿宋"/>
          <w:sz w:val="32"/>
          <w:szCs w:val="32"/>
        </w:rPr>
      </w:pPr>
      <w:r>
        <w:rPr>
          <w:rFonts w:hint="eastAsia" w:ascii="仿宋" w:hAnsi="仿宋" w:eastAsia="仿宋" w:cs="仿宋"/>
          <w:sz w:val="32"/>
          <w:szCs w:val="32"/>
        </w:rPr>
        <w:t>签订时间：      年    月    日</w:t>
      </w:r>
    </w:p>
    <w:p w14:paraId="7088974F">
      <w:pPr>
        <w:jc w:val="center"/>
        <w:rPr>
          <w:rFonts w:hint="eastAsia" w:ascii="仿宋" w:hAnsi="仿宋" w:eastAsia="仿宋" w:cs="仿宋"/>
          <w:sz w:val="32"/>
          <w:szCs w:val="32"/>
        </w:rPr>
      </w:pPr>
    </w:p>
    <w:p w14:paraId="3FC8DA11">
      <w:pPr>
        <w:spacing w:line="360" w:lineRule="auto"/>
        <w:ind w:left="0" w:leftChars="0" w:firstLine="0" w:firstLineChars="0"/>
        <w:rPr>
          <w:rFonts w:hint="eastAsia" w:ascii="仿宋" w:hAnsi="仿宋" w:eastAsia="仿宋" w:cs="仿宋"/>
          <w:sz w:val="24"/>
        </w:rPr>
      </w:pPr>
    </w:p>
    <w:p w14:paraId="2B654ABB">
      <w:pPr>
        <w:spacing w:line="360" w:lineRule="auto"/>
        <w:ind w:firstLine="480" w:firstLineChars="200"/>
        <w:rPr>
          <w:rFonts w:hint="eastAsia" w:ascii="仿宋" w:hAnsi="仿宋" w:eastAsia="仿宋" w:cs="仿宋"/>
          <w:sz w:val="24"/>
        </w:rPr>
      </w:pPr>
      <w:r>
        <w:rPr>
          <w:rFonts w:hint="eastAsia" w:ascii="仿宋" w:hAnsi="仿宋" w:eastAsia="仿宋" w:cs="仿宋"/>
          <w:sz w:val="24"/>
        </w:rPr>
        <w:t>（甲方）（××项目）委托（代理机构名称）进行了政府采购。按照评委会评审推荐、甲方确定乙方为中标单位。现甲乙双方协商同意签订本合同。</w:t>
      </w:r>
    </w:p>
    <w:p w14:paraId="2BB2FBDF">
      <w:pPr>
        <w:numPr>
          <w:ilvl w:val="0"/>
          <w:numId w:val="7"/>
        </w:numPr>
        <w:tabs>
          <w:tab w:val="left" w:pos="0"/>
          <w:tab w:val="clear" w:pos="720"/>
        </w:tabs>
        <w:spacing w:line="360" w:lineRule="auto"/>
        <w:ind w:left="0" w:firstLine="482" w:firstLineChars="200"/>
        <w:outlineLvl w:val="1"/>
        <w:rPr>
          <w:rFonts w:hint="eastAsia" w:ascii="仿宋" w:hAnsi="仿宋" w:eastAsia="仿宋" w:cs="仿宋"/>
          <w:b/>
          <w:sz w:val="24"/>
        </w:rPr>
      </w:pPr>
      <w:r>
        <w:rPr>
          <w:rFonts w:hint="eastAsia" w:ascii="仿宋" w:hAnsi="仿宋" w:eastAsia="仿宋" w:cs="仿宋"/>
          <w:b/>
          <w:sz w:val="24"/>
        </w:rPr>
        <w:t xml:space="preserve"> 合同文件</w:t>
      </w:r>
    </w:p>
    <w:p w14:paraId="0C0E03F6">
      <w:pPr>
        <w:spacing w:line="360" w:lineRule="auto"/>
        <w:ind w:firstLine="480" w:firstLineChars="200"/>
        <w:rPr>
          <w:rFonts w:hint="eastAsia" w:ascii="仿宋" w:hAnsi="仿宋" w:eastAsia="仿宋" w:cs="仿宋"/>
          <w:sz w:val="24"/>
        </w:rPr>
      </w:pPr>
      <w:r>
        <w:rPr>
          <w:rFonts w:hint="eastAsia" w:ascii="仿宋" w:hAnsi="仿宋" w:eastAsia="仿宋" w:cs="仿宋"/>
          <w:sz w:val="24"/>
        </w:rPr>
        <w:t>下列与本次采购活动有关的文件及附件是本合同不可分割的组成部分，与本合同具有同等法律效力，这些文件包括但不限于：</w:t>
      </w:r>
    </w:p>
    <w:p w14:paraId="0B4C60BE">
      <w:pPr>
        <w:spacing w:line="360" w:lineRule="auto"/>
        <w:ind w:firstLine="480" w:firstLineChars="200"/>
        <w:rPr>
          <w:rFonts w:hint="eastAsia" w:ascii="仿宋" w:hAnsi="仿宋" w:eastAsia="仿宋" w:cs="仿宋"/>
          <w:sz w:val="24"/>
        </w:rPr>
      </w:pPr>
      <w:r>
        <w:rPr>
          <w:rFonts w:hint="eastAsia" w:ascii="仿宋" w:hAnsi="仿宋" w:eastAsia="仿宋" w:cs="仿宋"/>
          <w:sz w:val="24"/>
        </w:rPr>
        <w:t>1.（××号）招标采购文件</w:t>
      </w:r>
    </w:p>
    <w:p w14:paraId="2EEF5E64">
      <w:pPr>
        <w:spacing w:line="360" w:lineRule="auto"/>
        <w:ind w:firstLine="480" w:firstLineChars="200"/>
        <w:rPr>
          <w:rFonts w:hint="eastAsia" w:ascii="仿宋" w:hAnsi="仿宋" w:eastAsia="仿宋" w:cs="仿宋"/>
          <w:sz w:val="24"/>
        </w:rPr>
      </w:pPr>
      <w:r>
        <w:rPr>
          <w:rFonts w:hint="eastAsia" w:ascii="仿宋" w:hAnsi="仿宋" w:eastAsia="仿宋" w:cs="仿宋"/>
          <w:sz w:val="24"/>
        </w:rPr>
        <w:t>2.投标文件</w:t>
      </w:r>
    </w:p>
    <w:p w14:paraId="7BAB145F">
      <w:pPr>
        <w:spacing w:line="360" w:lineRule="auto"/>
        <w:ind w:firstLine="480" w:firstLineChars="200"/>
        <w:rPr>
          <w:rFonts w:hint="eastAsia" w:ascii="仿宋" w:hAnsi="仿宋" w:eastAsia="仿宋" w:cs="仿宋"/>
          <w:sz w:val="24"/>
        </w:rPr>
      </w:pPr>
      <w:r>
        <w:rPr>
          <w:rFonts w:hint="eastAsia" w:ascii="仿宋" w:hAnsi="仿宋" w:eastAsia="仿宋" w:cs="仿宋"/>
          <w:sz w:val="24"/>
        </w:rPr>
        <w:t>3.乙方在投标时的书面承诺</w:t>
      </w:r>
    </w:p>
    <w:p w14:paraId="4A7EC404">
      <w:pPr>
        <w:spacing w:line="360" w:lineRule="auto"/>
        <w:ind w:firstLine="480" w:firstLineChars="200"/>
        <w:rPr>
          <w:rFonts w:hint="eastAsia" w:ascii="仿宋" w:hAnsi="仿宋" w:eastAsia="仿宋" w:cs="仿宋"/>
          <w:sz w:val="24"/>
        </w:rPr>
      </w:pPr>
      <w:r>
        <w:rPr>
          <w:rFonts w:hint="eastAsia" w:ascii="仿宋" w:hAnsi="仿宋" w:eastAsia="仿宋" w:cs="仿宋"/>
          <w:sz w:val="24"/>
        </w:rPr>
        <w:t>4.（××号）中标通知书</w:t>
      </w:r>
    </w:p>
    <w:p w14:paraId="67EDB650">
      <w:pPr>
        <w:spacing w:line="360" w:lineRule="auto"/>
        <w:ind w:firstLine="480" w:firstLineChars="200"/>
        <w:rPr>
          <w:rFonts w:hint="eastAsia" w:ascii="仿宋" w:hAnsi="仿宋" w:eastAsia="仿宋" w:cs="仿宋"/>
          <w:sz w:val="24"/>
        </w:rPr>
      </w:pPr>
      <w:r>
        <w:rPr>
          <w:rFonts w:hint="eastAsia" w:ascii="仿宋" w:hAnsi="仿宋" w:eastAsia="仿宋" w:cs="仿宋"/>
          <w:sz w:val="24"/>
        </w:rPr>
        <w:t>5.合同补充条款或说明</w:t>
      </w:r>
    </w:p>
    <w:p w14:paraId="698A8A13">
      <w:pPr>
        <w:spacing w:line="360" w:lineRule="auto"/>
        <w:ind w:firstLine="480" w:firstLineChars="200"/>
        <w:rPr>
          <w:rFonts w:hint="eastAsia" w:ascii="仿宋" w:hAnsi="仿宋" w:eastAsia="仿宋" w:cs="仿宋"/>
          <w:sz w:val="24"/>
        </w:rPr>
      </w:pPr>
      <w:r>
        <w:rPr>
          <w:rFonts w:hint="eastAsia" w:ascii="仿宋" w:hAnsi="仿宋" w:eastAsia="仿宋" w:cs="仿宋"/>
          <w:sz w:val="24"/>
        </w:rPr>
        <w:t>6.保密协议或条款</w:t>
      </w:r>
    </w:p>
    <w:p w14:paraId="15077364">
      <w:pPr>
        <w:spacing w:line="360" w:lineRule="auto"/>
        <w:ind w:firstLine="480" w:firstLineChars="200"/>
        <w:rPr>
          <w:rFonts w:hint="eastAsia" w:ascii="仿宋" w:hAnsi="仿宋" w:eastAsia="仿宋" w:cs="仿宋"/>
          <w:sz w:val="24"/>
        </w:rPr>
      </w:pPr>
      <w:r>
        <w:rPr>
          <w:rFonts w:hint="eastAsia" w:ascii="仿宋" w:hAnsi="仿宋" w:eastAsia="仿宋" w:cs="仿宋"/>
          <w:sz w:val="24"/>
        </w:rPr>
        <w:t>7.相关附件、图纸及电子版资料</w:t>
      </w:r>
    </w:p>
    <w:p w14:paraId="72BCE5C0">
      <w:pPr>
        <w:spacing w:line="360" w:lineRule="auto"/>
        <w:ind w:left="482"/>
        <w:outlineLvl w:val="1"/>
        <w:rPr>
          <w:rFonts w:hint="eastAsia" w:ascii="仿宋" w:hAnsi="仿宋" w:eastAsia="仿宋" w:cs="仿宋"/>
          <w:b/>
          <w:sz w:val="24"/>
        </w:rPr>
      </w:pPr>
      <w:r>
        <w:rPr>
          <w:rFonts w:hint="eastAsia" w:ascii="仿宋" w:hAnsi="仿宋" w:eastAsia="仿宋" w:cs="仿宋"/>
          <w:b/>
          <w:sz w:val="24"/>
        </w:rPr>
        <w:t>第二条  合同内容</w:t>
      </w:r>
    </w:p>
    <w:p w14:paraId="6853299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服务名称：详见合同附件中《服务一览表》  </w:t>
      </w:r>
    </w:p>
    <w:p w14:paraId="7154CDC4">
      <w:pPr>
        <w:spacing w:line="360" w:lineRule="auto"/>
        <w:ind w:left="482"/>
        <w:outlineLvl w:val="1"/>
        <w:rPr>
          <w:rFonts w:hint="eastAsia" w:ascii="仿宋" w:hAnsi="仿宋" w:eastAsia="仿宋" w:cs="仿宋"/>
          <w:b/>
          <w:sz w:val="24"/>
        </w:rPr>
      </w:pPr>
      <w:r>
        <w:rPr>
          <w:rFonts w:hint="eastAsia" w:ascii="仿宋" w:hAnsi="仿宋" w:eastAsia="仿宋" w:cs="仿宋"/>
          <w:b/>
          <w:sz w:val="24"/>
        </w:rPr>
        <w:t>第三条  合同总金额</w:t>
      </w:r>
    </w:p>
    <w:p w14:paraId="5028B2B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lang w:val="en-US" w:eastAsia="zh-CN"/>
        </w:rPr>
        <w:t>中标金额</w:t>
      </w:r>
      <w:r>
        <w:rPr>
          <w:rFonts w:hint="eastAsia" w:ascii="仿宋" w:hAnsi="仿宋" w:eastAsia="仿宋" w:cs="仿宋"/>
          <w:sz w:val="24"/>
        </w:rPr>
        <w:t>为</w:t>
      </w:r>
      <w:r>
        <w:rPr>
          <w:rFonts w:hint="eastAsia" w:ascii="仿宋" w:hAnsi="仿宋" w:eastAsia="仿宋" w:cs="仿宋"/>
          <w:sz w:val="24"/>
          <w:lang w:val="en-US" w:eastAsia="zh-CN"/>
        </w:rPr>
        <w:t xml:space="preserve">     元</w:t>
      </w:r>
      <w:r>
        <w:rPr>
          <w:rFonts w:hint="eastAsia" w:ascii="仿宋" w:hAnsi="仿宋" w:eastAsia="仿宋" w:cs="仿宋"/>
          <w:sz w:val="24"/>
        </w:rPr>
        <w:t xml:space="preserve"> 。</w:t>
      </w:r>
    </w:p>
    <w:p w14:paraId="601E167D">
      <w:pPr>
        <w:spacing w:line="360" w:lineRule="auto"/>
        <w:ind w:firstLine="480" w:firstLineChars="200"/>
        <w:rPr>
          <w:rFonts w:hint="eastAsia" w:ascii="仿宋" w:hAnsi="仿宋" w:eastAsia="仿宋" w:cs="仿宋"/>
          <w:sz w:val="24"/>
        </w:rPr>
      </w:pPr>
      <w:r>
        <w:rPr>
          <w:rFonts w:hint="eastAsia" w:ascii="仿宋" w:hAnsi="仿宋" w:eastAsia="仿宋" w:cs="仿宋"/>
          <w:sz w:val="24"/>
        </w:rPr>
        <w:t>分项价款在《服务一览表》中有明确规定。</w:t>
      </w:r>
    </w:p>
    <w:p w14:paraId="5FBD6268">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本合同总价款包括服务期间必须的日常物料、易耗品、工具、调试费、培训费等相关费用。</w:t>
      </w:r>
    </w:p>
    <w:p w14:paraId="55A2AEC6">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本合同执行期内因工作量变化而引起的服务费用的变动，在双方事先协商一致的前提下签订补充合同，但因此而增加的服务费用不得超过原中标金额的10%。</w:t>
      </w:r>
    </w:p>
    <w:p w14:paraId="499F9287">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第四条  权利义务和质量保证</w:t>
      </w:r>
    </w:p>
    <w:p w14:paraId="5E3F5A19">
      <w:pPr>
        <w:pStyle w:val="13"/>
        <w:tabs>
          <w:tab w:val="left" w:pos="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5B049531">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362F7EBC">
      <w:pPr>
        <w:spacing w:line="360" w:lineRule="auto"/>
        <w:ind w:left="482"/>
        <w:outlineLvl w:val="1"/>
        <w:rPr>
          <w:rFonts w:hint="eastAsia" w:ascii="仿宋" w:hAnsi="仿宋" w:eastAsia="仿宋" w:cs="仿宋"/>
          <w:b/>
          <w:sz w:val="24"/>
        </w:rPr>
      </w:pPr>
      <w:r>
        <w:rPr>
          <w:rFonts w:hint="eastAsia" w:ascii="仿宋" w:hAnsi="仿宋" w:eastAsia="仿宋" w:cs="仿宋"/>
          <w:b/>
          <w:sz w:val="24"/>
        </w:rPr>
        <w:t>第五条  付款方式</w:t>
      </w:r>
    </w:p>
    <w:p w14:paraId="47755792">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1.本合同项下所有款项均以人民币支付。</w:t>
      </w:r>
    </w:p>
    <w:p w14:paraId="225FFE88">
      <w:pPr>
        <w:spacing w:line="360" w:lineRule="auto"/>
        <w:ind w:firstLine="480" w:firstLineChars="200"/>
        <w:rPr>
          <w:rFonts w:hint="eastAsia" w:ascii="仿宋" w:hAnsi="仿宋" w:eastAsia="仿宋" w:cs="仿宋"/>
          <w:sz w:val="24"/>
        </w:rPr>
      </w:pPr>
      <w:r>
        <w:rPr>
          <w:rFonts w:hint="eastAsia" w:ascii="仿宋" w:hAnsi="仿宋" w:eastAsia="仿宋" w:cs="仿宋"/>
          <w:sz w:val="24"/>
        </w:rPr>
        <w:t>2.乙方向甲方提交下列文件材料，经甲方审核无误后支付采购资金：</w:t>
      </w:r>
    </w:p>
    <w:p w14:paraId="1F67677E">
      <w:pPr>
        <w:spacing w:line="360" w:lineRule="auto"/>
        <w:ind w:firstLine="480" w:firstLineChars="200"/>
        <w:rPr>
          <w:rFonts w:hint="eastAsia" w:ascii="仿宋" w:hAnsi="仿宋" w:eastAsia="仿宋" w:cs="仿宋"/>
          <w:sz w:val="24"/>
        </w:rPr>
      </w:pPr>
      <w:r>
        <w:rPr>
          <w:rFonts w:hint="eastAsia" w:ascii="仿宋" w:hAnsi="仿宋" w:eastAsia="仿宋" w:cs="仿宋"/>
          <w:sz w:val="24"/>
        </w:rPr>
        <w:t>（1）经甲方确认的发票；</w:t>
      </w:r>
    </w:p>
    <w:p w14:paraId="0383A0DF">
      <w:pPr>
        <w:spacing w:line="360" w:lineRule="auto"/>
        <w:ind w:firstLine="480" w:firstLineChars="200"/>
        <w:rPr>
          <w:rFonts w:hint="eastAsia" w:ascii="仿宋" w:hAnsi="仿宋" w:eastAsia="仿宋" w:cs="仿宋"/>
          <w:sz w:val="24"/>
        </w:rPr>
      </w:pPr>
      <w:r>
        <w:rPr>
          <w:rFonts w:hint="eastAsia" w:ascii="仿宋" w:hAnsi="仿宋" w:eastAsia="仿宋" w:cs="仿宋"/>
          <w:sz w:val="24"/>
        </w:rPr>
        <w:t>（2）经甲乙双方确认签署的《验收报告》（或按项目进度阶段性《验收报告》）；</w:t>
      </w:r>
    </w:p>
    <w:p w14:paraId="6A427BAF">
      <w:pPr>
        <w:spacing w:line="360" w:lineRule="auto"/>
        <w:ind w:firstLine="480" w:firstLineChars="200"/>
        <w:rPr>
          <w:rFonts w:hint="eastAsia" w:ascii="仿宋" w:hAnsi="仿宋" w:eastAsia="仿宋" w:cs="仿宋"/>
          <w:sz w:val="24"/>
        </w:rPr>
      </w:pPr>
      <w:r>
        <w:rPr>
          <w:rFonts w:hint="eastAsia" w:ascii="仿宋" w:hAnsi="仿宋" w:eastAsia="仿宋" w:cs="仿宋"/>
          <w:sz w:val="24"/>
        </w:rPr>
        <w:t>（3）其他材料。</w:t>
      </w:r>
    </w:p>
    <w:p w14:paraId="00AFF856">
      <w:pPr>
        <w:pStyle w:val="13"/>
        <w:tabs>
          <w:tab w:val="left" w:pos="0"/>
        </w:tabs>
        <w:spacing w:line="360" w:lineRule="auto"/>
        <w:ind w:firstLine="480" w:firstLineChars="200"/>
        <w:rPr>
          <w:rFonts w:hint="eastAsia" w:ascii="仿宋" w:hAnsi="仿宋" w:eastAsia="仿宋" w:cs="仿宋"/>
        </w:rPr>
      </w:pPr>
      <w:r>
        <w:rPr>
          <w:rFonts w:hint="eastAsia" w:ascii="仿宋" w:hAnsi="仿宋" w:eastAsia="仿宋" w:cs="仿宋"/>
          <w:sz w:val="24"/>
        </w:rPr>
        <w:t>3.</w:t>
      </w:r>
      <w:r>
        <w:rPr>
          <w:rFonts w:hint="eastAsia" w:ascii="仿宋" w:hAnsi="仿宋" w:eastAsia="仿宋" w:cs="仿宋"/>
          <w:sz w:val="24"/>
          <w:lang w:val="en-US" w:eastAsia="zh-CN"/>
        </w:rPr>
        <w:t>合同签订后付款30%，验收完成后付款70%</w:t>
      </w:r>
      <w:r>
        <w:rPr>
          <w:rFonts w:hint="eastAsia" w:ascii="仿宋" w:hAnsi="仿宋" w:eastAsia="仿宋" w:cs="仿宋"/>
          <w:sz w:val="24"/>
        </w:rPr>
        <w:t>。</w:t>
      </w:r>
    </w:p>
    <w:p w14:paraId="6527F3B3">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第六条  履约保证金</w:t>
      </w:r>
      <w:r>
        <w:rPr>
          <w:rFonts w:hint="eastAsia" w:ascii="仿宋" w:hAnsi="仿宋" w:eastAsia="仿宋" w:cs="仿宋"/>
          <w:b/>
          <w:color w:val="auto"/>
        </w:rPr>
        <w:t>（</w:t>
      </w:r>
      <w:r>
        <w:rPr>
          <w:rFonts w:hint="eastAsia" w:ascii="仿宋" w:hAnsi="仿宋" w:eastAsia="仿宋" w:cs="仿宋"/>
          <w:b/>
          <w:color w:val="auto"/>
          <w:lang w:val="en-US" w:eastAsia="zh-CN"/>
        </w:rPr>
        <w:t>本项目</w:t>
      </w:r>
      <w:r>
        <w:rPr>
          <w:rFonts w:hint="eastAsia" w:ascii="仿宋" w:hAnsi="仿宋" w:eastAsia="仿宋" w:cs="仿宋"/>
          <w:b/>
          <w:color w:val="auto"/>
        </w:rPr>
        <w:t>采购人</w:t>
      </w:r>
      <w:r>
        <w:rPr>
          <w:rFonts w:hint="eastAsia" w:ascii="仿宋" w:hAnsi="仿宋" w:eastAsia="仿宋" w:cs="仿宋"/>
          <w:b/>
          <w:color w:val="auto"/>
          <w:lang w:val="en-US" w:eastAsia="zh-CN"/>
        </w:rPr>
        <w:t>不</w:t>
      </w:r>
      <w:r>
        <w:rPr>
          <w:rFonts w:hint="eastAsia" w:ascii="仿宋" w:hAnsi="仿宋" w:eastAsia="仿宋" w:cs="仿宋"/>
          <w:b/>
          <w:color w:val="auto"/>
        </w:rPr>
        <w:t>收取履约保证金）</w:t>
      </w:r>
    </w:p>
    <w:p w14:paraId="1CB66F11">
      <w:pPr>
        <w:spacing w:line="360" w:lineRule="auto"/>
        <w:ind w:firstLine="480" w:firstLineChars="200"/>
        <w:rPr>
          <w:rFonts w:hint="eastAsia" w:ascii="仿宋" w:hAnsi="仿宋" w:eastAsia="仿宋" w:cs="仿宋"/>
          <w:sz w:val="24"/>
        </w:rPr>
      </w:pPr>
      <w:r>
        <w:rPr>
          <w:rFonts w:hint="eastAsia" w:ascii="仿宋" w:hAnsi="仿宋" w:eastAsia="仿宋" w:cs="仿宋"/>
          <w:sz w:val="24"/>
        </w:rPr>
        <w:t>1.乙方在签订本合同之日，向甲方提交合同履约保证金</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0</w:t>
      </w:r>
      <w:r>
        <w:rPr>
          <w:rFonts w:hint="eastAsia" w:ascii="仿宋" w:hAnsi="仿宋" w:eastAsia="仿宋" w:cs="仿宋"/>
          <w:sz w:val="24"/>
          <w:u w:val="single"/>
        </w:rPr>
        <w:t xml:space="preserve">      </w:t>
      </w:r>
      <w:r>
        <w:rPr>
          <w:rFonts w:hint="eastAsia" w:ascii="仿宋" w:hAnsi="仿宋" w:eastAsia="仿宋" w:cs="仿宋"/>
          <w:sz w:val="24"/>
        </w:rPr>
        <w:t>元。</w:t>
      </w:r>
    </w:p>
    <w:p w14:paraId="47BECA17">
      <w:pPr>
        <w:spacing w:line="360" w:lineRule="auto"/>
        <w:ind w:firstLine="480" w:firstLineChars="200"/>
        <w:rPr>
          <w:rFonts w:hint="eastAsia" w:ascii="仿宋" w:hAnsi="仿宋" w:eastAsia="仿宋" w:cs="仿宋"/>
          <w:strike/>
          <w:sz w:val="24"/>
        </w:rPr>
      </w:pPr>
      <w:r>
        <w:rPr>
          <w:rFonts w:hint="eastAsia" w:ascii="仿宋" w:hAnsi="仿宋" w:eastAsia="仿宋" w:cs="仿宋"/>
          <w:sz w:val="24"/>
        </w:rPr>
        <w:t>2.履约保证金有效期为甲乙双方最终验收后1个月内。到期后，甲方向乙方无息退还。</w:t>
      </w:r>
    </w:p>
    <w:p w14:paraId="6FC5285F">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3.如乙方未能履行、或未能完全履行合同规定的义务，甲方有权从履约保证金中取得补偿。履约保证金扣除甲方应得的补偿后的余额在合同期满后 </w:t>
      </w:r>
      <w:r>
        <w:rPr>
          <w:rFonts w:hint="eastAsia" w:ascii="仿宋" w:hAnsi="仿宋" w:eastAsia="仿宋" w:cs="仿宋"/>
          <w:sz w:val="24"/>
          <w:u w:val="single"/>
        </w:rPr>
        <w:t xml:space="preserve">     </w:t>
      </w:r>
      <w:r>
        <w:rPr>
          <w:rFonts w:hint="eastAsia" w:ascii="仿宋" w:hAnsi="仿宋" w:eastAsia="仿宋" w:cs="仿宋"/>
          <w:sz w:val="24"/>
        </w:rPr>
        <w:t>天内无息退还乙方。</w:t>
      </w:r>
    </w:p>
    <w:p w14:paraId="13D667B6">
      <w:pPr>
        <w:spacing w:line="360" w:lineRule="auto"/>
        <w:ind w:left="482"/>
        <w:outlineLvl w:val="1"/>
        <w:rPr>
          <w:rFonts w:hint="eastAsia" w:ascii="仿宋" w:hAnsi="仿宋" w:eastAsia="仿宋" w:cs="仿宋"/>
          <w:b/>
          <w:sz w:val="24"/>
        </w:rPr>
      </w:pPr>
      <w:r>
        <w:rPr>
          <w:rFonts w:hint="eastAsia" w:ascii="仿宋" w:hAnsi="仿宋" w:eastAsia="仿宋" w:cs="仿宋"/>
          <w:b/>
          <w:sz w:val="24"/>
        </w:rPr>
        <w:t>第七条  验收</w:t>
      </w:r>
    </w:p>
    <w:p w14:paraId="68D0DEF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1.服务期限： </w:t>
      </w:r>
      <w:r>
        <w:rPr>
          <w:rFonts w:hint="eastAsia" w:ascii="仿宋" w:hAnsi="仿宋" w:eastAsia="仿宋" w:cs="仿宋"/>
          <w:sz w:val="24"/>
          <w:u w:val="single"/>
        </w:rPr>
        <w:t xml:space="preserve">                   </w:t>
      </w:r>
      <w:r>
        <w:rPr>
          <w:rFonts w:hint="eastAsia" w:ascii="仿宋" w:hAnsi="仿宋" w:eastAsia="仿宋" w:cs="仿宋"/>
          <w:sz w:val="24"/>
        </w:rPr>
        <w:t xml:space="preserve"> 至 </w:t>
      </w:r>
      <w:r>
        <w:rPr>
          <w:rFonts w:hint="eastAsia" w:ascii="仿宋" w:hAnsi="仿宋" w:eastAsia="仿宋" w:cs="仿宋"/>
          <w:sz w:val="24"/>
          <w:u w:val="single"/>
        </w:rPr>
        <w:t xml:space="preserve">                 </w:t>
      </w:r>
      <w:r>
        <w:rPr>
          <w:rFonts w:hint="eastAsia" w:ascii="仿宋" w:hAnsi="仿宋" w:eastAsia="仿宋" w:cs="仿宋"/>
          <w:sz w:val="24"/>
        </w:rPr>
        <w:t>。</w:t>
      </w:r>
    </w:p>
    <w:p w14:paraId="1C4EB192">
      <w:pPr>
        <w:spacing w:line="360" w:lineRule="auto"/>
        <w:ind w:firstLine="720" w:firstLineChars="300"/>
        <w:rPr>
          <w:rFonts w:hint="eastAsia" w:ascii="仿宋" w:hAnsi="仿宋" w:eastAsia="仿宋" w:cs="仿宋"/>
          <w:sz w:val="24"/>
        </w:rPr>
      </w:pPr>
      <w:r>
        <w:rPr>
          <w:rFonts w:hint="eastAsia" w:ascii="仿宋" w:hAnsi="仿宋" w:eastAsia="仿宋" w:cs="仿宋"/>
          <w:sz w:val="24"/>
        </w:rPr>
        <w:t xml:space="preserve">服务地点： </w:t>
      </w:r>
      <w:r>
        <w:rPr>
          <w:rFonts w:hint="eastAsia" w:ascii="仿宋" w:hAnsi="仿宋" w:eastAsia="仿宋" w:cs="仿宋"/>
          <w:sz w:val="24"/>
          <w:u w:val="single"/>
        </w:rPr>
        <w:t xml:space="preserve">                                        </w:t>
      </w:r>
      <w:r>
        <w:rPr>
          <w:rFonts w:hint="eastAsia" w:ascii="仿宋" w:hAnsi="仿宋" w:eastAsia="仿宋" w:cs="仿宋"/>
          <w:sz w:val="24"/>
        </w:rPr>
        <w:t>。</w:t>
      </w:r>
    </w:p>
    <w:p w14:paraId="677DF89E">
      <w:pPr>
        <w:spacing w:line="360" w:lineRule="auto"/>
        <w:ind w:firstLine="720" w:firstLineChars="300"/>
        <w:rPr>
          <w:rFonts w:hint="eastAsia" w:ascii="仿宋" w:hAnsi="仿宋" w:eastAsia="仿宋" w:cs="仿宋"/>
          <w:sz w:val="24"/>
          <w:u w:val="single"/>
        </w:rPr>
      </w:pPr>
      <w:r>
        <w:rPr>
          <w:rFonts w:hint="eastAsia" w:ascii="仿宋" w:hAnsi="仿宋" w:eastAsia="仿宋" w:cs="仿宋"/>
          <w:sz w:val="24"/>
        </w:rPr>
        <w:t xml:space="preserve">验收时间： </w:t>
      </w:r>
      <w:r>
        <w:rPr>
          <w:rFonts w:hint="eastAsia" w:ascii="仿宋" w:hAnsi="仿宋" w:eastAsia="仿宋" w:cs="仿宋"/>
          <w:sz w:val="24"/>
          <w:u w:val="single"/>
        </w:rPr>
        <w:t xml:space="preserve">                                        </w:t>
      </w:r>
      <w:r>
        <w:rPr>
          <w:rFonts w:hint="eastAsia" w:ascii="仿宋" w:hAnsi="仿宋" w:eastAsia="仿宋" w:cs="仿宋"/>
          <w:sz w:val="24"/>
        </w:rPr>
        <w:t>。</w:t>
      </w:r>
    </w:p>
    <w:p w14:paraId="29F7DDAF">
      <w:pPr>
        <w:pStyle w:val="13"/>
        <w:tabs>
          <w:tab w:val="left" w:pos="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乙方应对提供的服务成果作出全面自查和整理，并列出清单，作为甲方验收和使用的服务条件依据，清单应随提供的服务成果交给甲方。</w:t>
      </w:r>
    </w:p>
    <w:p w14:paraId="10F57ADD">
      <w:pPr>
        <w:spacing w:line="360" w:lineRule="auto"/>
        <w:ind w:firstLine="480" w:firstLineChars="200"/>
        <w:rPr>
          <w:rFonts w:hint="eastAsia" w:ascii="仿宋" w:hAnsi="仿宋" w:eastAsia="仿宋" w:cs="仿宋"/>
          <w:sz w:val="24"/>
        </w:rPr>
      </w:pPr>
      <w:r>
        <w:rPr>
          <w:rFonts w:hint="eastAsia" w:ascii="仿宋" w:hAnsi="仿宋" w:eastAsia="仿宋" w:cs="仿宋"/>
          <w:sz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31B2F202">
      <w:pPr>
        <w:snapToGrid w:val="0"/>
        <w:spacing w:line="360" w:lineRule="auto"/>
        <w:ind w:firstLine="482"/>
        <w:textAlignment w:val="baseline"/>
        <w:rPr>
          <w:rFonts w:hint="eastAsia" w:ascii="仿宋" w:hAnsi="仿宋" w:eastAsia="仿宋" w:cs="仿宋"/>
          <w:sz w:val="24"/>
        </w:rPr>
      </w:pPr>
      <w:r>
        <w:rPr>
          <w:rFonts w:hint="eastAsia" w:ascii="仿宋" w:hAnsi="仿宋" w:eastAsia="仿宋" w:cs="仿宋"/>
          <w:sz w:val="24"/>
        </w:rPr>
        <w:t>4.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14:paraId="21562F9A">
      <w:pPr>
        <w:snapToGrid w:val="0"/>
        <w:spacing w:line="360" w:lineRule="auto"/>
        <w:ind w:firstLine="482"/>
        <w:textAlignment w:val="baseline"/>
        <w:rPr>
          <w:rFonts w:hint="eastAsia" w:ascii="仿宋" w:hAnsi="仿宋" w:eastAsia="仿宋" w:cs="仿宋"/>
          <w:sz w:val="24"/>
        </w:rPr>
      </w:pPr>
      <w:r>
        <w:rPr>
          <w:rFonts w:hint="eastAsia" w:ascii="仿宋" w:hAnsi="仿宋" w:eastAsia="仿宋" w:cs="仿宋"/>
          <w:sz w:val="24"/>
        </w:rPr>
        <w:t>5.如根据项目实施情况需要分阶段验收，则双方分阶段签署《验收报告》。</w:t>
      </w:r>
    </w:p>
    <w:p w14:paraId="1A6CB3F3">
      <w:pPr>
        <w:spacing w:line="360" w:lineRule="auto"/>
        <w:ind w:firstLine="480" w:firstLineChars="200"/>
        <w:rPr>
          <w:rFonts w:hint="eastAsia" w:ascii="仿宋" w:hAnsi="仿宋" w:eastAsia="仿宋" w:cs="仿宋"/>
          <w:sz w:val="24"/>
        </w:rPr>
      </w:pPr>
      <w:r>
        <w:rPr>
          <w:rFonts w:hint="eastAsia" w:ascii="仿宋" w:hAnsi="仿宋" w:eastAsia="仿宋" w:cs="仿宋"/>
          <w:sz w:val="24"/>
        </w:rPr>
        <w:t>6.如果合同双方对《验收报告》有分歧，双方须于出现分歧后</w:t>
      </w:r>
      <w:r>
        <w:rPr>
          <w:rFonts w:hint="eastAsia" w:ascii="仿宋" w:hAnsi="仿宋" w:eastAsia="仿宋" w:cs="仿宋"/>
          <w:sz w:val="24"/>
          <w:u w:val="single"/>
        </w:rPr>
        <w:t xml:space="preserve">    </w:t>
      </w:r>
      <w:r>
        <w:rPr>
          <w:rFonts w:hint="eastAsia" w:ascii="仿宋" w:hAnsi="仿宋" w:eastAsia="仿宋" w:cs="仿宋"/>
          <w:sz w:val="24"/>
        </w:rPr>
        <w:t>天内给对方书面声明，以陈述己方的理由及要求，并附有关证据。分歧应通过协商解决。</w:t>
      </w:r>
    </w:p>
    <w:p w14:paraId="17F33CEB">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第八条  项目管理服务</w:t>
      </w:r>
    </w:p>
    <w:p w14:paraId="2D65C585">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乙方应组建技术熟练、称职的团队全面履行合同,并指定不少于一人全权全程负责本项目服务的落实，包括服务的咨询、执行和后续工作。</w:t>
      </w:r>
    </w:p>
    <w:p w14:paraId="5B2C2D70">
      <w:pPr>
        <w:snapToGrid w:val="0"/>
        <w:spacing w:line="360" w:lineRule="auto"/>
        <w:ind w:firstLine="481"/>
        <w:textAlignment w:val="baseline"/>
        <w:rPr>
          <w:rFonts w:hint="eastAsia" w:ascii="仿宋" w:hAnsi="仿宋" w:eastAsia="仿宋" w:cs="仿宋"/>
        </w:rPr>
      </w:pPr>
      <w:r>
        <w:rPr>
          <w:rFonts w:hint="eastAsia" w:ascii="仿宋" w:hAnsi="仿宋" w:eastAsia="仿宋" w:cs="仿宋"/>
          <w:sz w:val="24"/>
        </w:rPr>
        <w:t xml:space="preserve">项目负责人姓名： </w:t>
      </w:r>
      <w:r>
        <w:rPr>
          <w:rFonts w:hint="eastAsia" w:ascii="仿宋" w:hAnsi="仿宋" w:eastAsia="仿宋" w:cs="仿宋"/>
          <w:sz w:val="24"/>
          <w:u w:val="single" w:color="000000"/>
        </w:rPr>
        <w:t xml:space="preserve">              </w:t>
      </w:r>
      <w:r>
        <w:rPr>
          <w:rFonts w:hint="eastAsia" w:ascii="仿宋" w:hAnsi="仿宋" w:eastAsia="仿宋" w:cs="仿宋"/>
          <w:sz w:val="24"/>
        </w:rPr>
        <w:t>； 联系电话：</w:t>
      </w:r>
      <w:r>
        <w:rPr>
          <w:rFonts w:hint="eastAsia" w:ascii="仿宋" w:hAnsi="仿宋" w:eastAsia="仿宋" w:cs="仿宋"/>
          <w:sz w:val="24"/>
          <w:u w:val="single" w:color="000000"/>
        </w:rPr>
        <w:t xml:space="preserve">                      </w:t>
      </w:r>
      <w:r>
        <w:rPr>
          <w:rFonts w:hint="eastAsia" w:ascii="仿宋" w:hAnsi="仿宋" w:eastAsia="仿宋" w:cs="仿宋"/>
          <w:sz w:val="24"/>
        </w:rPr>
        <w:t>。</w:t>
      </w:r>
    </w:p>
    <w:p w14:paraId="6C93813D">
      <w:pPr>
        <w:spacing w:line="360" w:lineRule="auto"/>
        <w:ind w:firstLine="472" w:firstLineChars="196"/>
        <w:outlineLvl w:val="1"/>
        <w:rPr>
          <w:rFonts w:hint="eastAsia" w:ascii="仿宋" w:hAnsi="仿宋" w:eastAsia="仿宋" w:cs="仿宋"/>
          <w:b/>
          <w:sz w:val="24"/>
        </w:rPr>
      </w:pPr>
      <w:r>
        <w:rPr>
          <w:rFonts w:hint="eastAsia" w:ascii="仿宋" w:hAnsi="仿宋" w:eastAsia="仿宋" w:cs="仿宋"/>
          <w:b/>
          <w:sz w:val="24"/>
        </w:rPr>
        <w:t>第九条  售后服务</w:t>
      </w:r>
    </w:p>
    <w:p w14:paraId="3BAA0DC5">
      <w:pPr>
        <w:spacing w:line="360" w:lineRule="auto"/>
        <w:ind w:firstLine="480" w:firstLineChars="200"/>
        <w:rPr>
          <w:rFonts w:hint="eastAsia" w:ascii="仿宋" w:hAnsi="仿宋" w:eastAsia="仿宋" w:cs="仿宋"/>
          <w:sz w:val="24"/>
        </w:rPr>
      </w:pPr>
      <w:r>
        <w:rPr>
          <w:rFonts w:hint="eastAsia" w:ascii="仿宋" w:hAnsi="仿宋" w:eastAsia="仿宋" w:cs="仿宋"/>
          <w:sz w:val="24"/>
        </w:rPr>
        <w:t>1.乙方提供服务的质量保证期为自服务通过最终验收之日起</w:t>
      </w:r>
      <w:r>
        <w:rPr>
          <w:rFonts w:hint="eastAsia" w:ascii="仿宋" w:hAnsi="仿宋" w:eastAsia="仿宋" w:cs="仿宋"/>
          <w:sz w:val="24"/>
          <w:u w:val="single"/>
        </w:rPr>
        <w:t xml:space="preserve">    </w:t>
      </w:r>
      <w:r>
        <w:rPr>
          <w:rFonts w:hint="eastAsia" w:ascii="仿宋" w:hAnsi="仿宋" w:eastAsia="仿宋" w:cs="仿宋"/>
          <w:sz w:val="24"/>
        </w:rPr>
        <w:t>个月。若国家有明确规定的质量保证期高于此质量保证期的，执行国家规定。</w:t>
      </w:r>
    </w:p>
    <w:p w14:paraId="5E817105">
      <w:pPr>
        <w:spacing w:line="360" w:lineRule="auto"/>
        <w:ind w:firstLine="480" w:firstLineChars="200"/>
        <w:rPr>
          <w:rFonts w:hint="eastAsia" w:ascii="仿宋" w:hAnsi="仿宋" w:eastAsia="仿宋" w:cs="仿宋"/>
          <w:sz w:val="24"/>
        </w:rPr>
      </w:pPr>
      <w:r>
        <w:rPr>
          <w:rFonts w:hint="eastAsia" w:ascii="仿宋" w:hAnsi="仿宋" w:eastAsia="仿宋" w:cs="仿宋"/>
          <w:sz w:val="24"/>
        </w:rPr>
        <w:t>2.服务期内，乙方应提供相关服务支持。对甲方所反映的任何服务问题在</w:t>
      </w:r>
      <w:r>
        <w:rPr>
          <w:rFonts w:hint="eastAsia" w:ascii="仿宋" w:hAnsi="仿宋" w:eastAsia="仿宋" w:cs="仿宋"/>
          <w:sz w:val="24"/>
          <w:u w:val="single"/>
        </w:rPr>
        <w:t>××</w:t>
      </w:r>
      <w:r>
        <w:rPr>
          <w:rFonts w:hint="eastAsia" w:ascii="仿宋" w:hAnsi="仿宋" w:eastAsia="仿宋" w:cs="仿宋"/>
          <w:sz w:val="24"/>
        </w:rPr>
        <w:t>日（小时）之内做出及时响应，在</w:t>
      </w:r>
      <w:r>
        <w:rPr>
          <w:rFonts w:hint="eastAsia" w:ascii="仿宋" w:hAnsi="仿宋" w:eastAsia="仿宋" w:cs="仿宋"/>
          <w:sz w:val="24"/>
          <w:u w:val="single"/>
        </w:rPr>
        <w:t xml:space="preserve">    </w:t>
      </w:r>
      <w:r>
        <w:rPr>
          <w:rFonts w:hint="eastAsia" w:ascii="仿宋" w:hAnsi="仿宋" w:eastAsia="仿宋" w:cs="仿宋"/>
          <w:sz w:val="24"/>
        </w:rPr>
        <w:t>日（小时）之内赶到现场实地解决问题。若问题在</w:t>
      </w:r>
      <w:r>
        <w:rPr>
          <w:rFonts w:hint="eastAsia" w:ascii="仿宋" w:hAnsi="仿宋" w:eastAsia="仿宋" w:cs="仿宋"/>
          <w:sz w:val="24"/>
          <w:u w:val="single"/>
        </w:rPr>
        <w:t xml:space="preserve">    </w:t>
      </w:r>
      <w:r>
        <w:rPr>
          <w:rFonts w:hint="eastAsia" w:ascii="仿宋" w:hAnsi="仿宋" w:eastAsia="仿宋" w:cs="仿宋"/>
          <w:sz w:val="24"/>
        </w:rPr>
        <w:t>工作日（小时）后仍无法解决，乙方应在</w:t>
      </w:r>
      <w:r>
        <w:rPr>
          <w:rFonts w:hint="eastAsia" w:ascii="仿宋" w:hAnsi="仿宋" w:eastAsia="仿宋" w:cs="仿宋"/>
          <w:sz w:val="24"/>
          <w:u w:val="single"/>
        </w:rPr>
        <w:t xml:space="preserve">     </w:t>
      </w:r>
      <w:r>
        <w:rPr>
          <w:rFonts w:hint="eastAsia" w:ascii="仿宋" w:hAnsi="仿宋" w:eastAsia="仿宋" w:cs="仿宋"/>
          <w:sz w:val="24"/>
        </w:rPr>
        <w:t>日（小时）内免费提供服务的补偿、替换方案，直至服务恢复正常。</w:t>
      </w:r>
    </w:p>
    <w:p w14:paraId="581397B5">
      <w:pPr>
        <w:spacing w:line="360" w:lineRule="auto"/>
        <w:ind w:firstLine="480" w:firstLineChars="200"/>
        <w:rPr>
          <w:rFonts w:hint="eastAsia" w:ascii="仿宋" w:hAnsi="仿宋" w:eastAsia="仿宋" w:cs="仿宋"/>
          <w:sz w:val="24"/>
        </w:rPr>
      </w:pPr>
      <w:r>
        <w:rPr>
          <w:rFonts w:hint="eastAsia" w:ascii="仿宋" w:hAnsi="仿宋" w:eastAsia="仿宋" w:cs="仿宋"/>
          <w:sz w:val="24"/>
        </w:rPr>
        <w:t>3.乙方必须遵守甲方的有关管理制度、操作规程。对于乙方违规操作造成甲方损失的，由乙方按照本合同第十二条的约定承担赔偿责任。</w:t>
      </w:r>
    </w:p>
    <w:p w14:paraId="7F11A6F0">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第十条  分包</w:t>
      </w:r>
    </w:p>
    <w:p w14:paraId="28498AAC">
      <w:pPr>
        <w:spacing w:line="360" w:lineRule="auto"/>
        <w:ind w:firstLine="480" w:firstLineChars="200"/>
        <w:rPr>
          <w:rFonts w:hint="eastAsia" w:ascii="仿宋" w:hAnsi="仿宋" w:eastAsia="仿宋" w:cs="仿宋"/>
          <w:strike/>
          <w:sz w:val="24"/>
        </w:rPr>
      </w:pPr>
      <w:r>
        <w:rPr>
          <w:rFonts w:hint="eastAsia" w:ascii="仿宋" w:hAnsi="仿宋" w:eastAsia="仿宋" w:cs="仿宋"/>
          <w:sz w:val="24"/>
        </w:rPr>
        <w:t>除招标采购文件事先说明、且经甲方事先书面同意外，乙方不得分包、转包其应履行的合同义务。</w:t>
      </w:r>
    </w:p>
    <w:p w14:paraId="10147C09">
      <w:pPr>
        <w:spacing w:line="360" w:lineRule="auto"/>
        <w:ind w:firstLine="482" w:firstLineChars="200"/>
        <w:outlineLvl w:val="1"/>
        <w:rPr>
          <w:rFonts w:hint="eastAsia" w:ascii="仿宋" w:hAnsi="仿宋" w:eastAsia="仿宋" w:cs="仿宋"/>
          <w:b/>
          <w:sz w:val="24"/>
        </w:rPr>
      </w:pPr>
      <w:r>
        <w:rPr>
          <w:rFonts w:hint="eastAsia" w:ascii="仿宋" w:hAnsi="仿宋" w:eastAsia="仿宋" w:cs="仿宋"/>
          <w:b/>
          <w:sz w:val="24"/>
        </w:rPr>
        <w:t>第十一条  合同的生效</w:t>
      </w:r>
    </w:p>
    <w:p w14:paraId="5B464908">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1.本合同经甲乙双方授权代表签字并加盖公章或合同专用章后生效。</w:t>
      </w:r>
    </w:p>
    <w:p w14:paraId="3B49E5DC">
      <w:pPr>
        <w:spacing w:line="360" w:lineRule="auto"/>
        <w:ind w:firstLine="480" w:firstLineChars="200"/>
        <w:rPr>
          <w:rFonts w:hint="eastAsia" w:ascii="仿宋" w:hAnsi="仿宋" w:eastAsia="仿宋" w:cs="仿宋"/>
          <w:sz w:val="24"/>
        </w:rPr>
      </w:pPr>
      <w:r>
        <w:rPr>
          <w:rFonts w:hint="eastAsia" w:ascii="仿宋" w:hAnsi="仿宋" w:eastAsia="仿宋" w:cs="仿宋"/>
          <w:sz w:val="24"/>
        </w:rPr>
        <w:t>2.生效后，除《政府采购法》第49条、第50条第二款规定的情形外，甲乙双方不得擅自变更、中止或终止合同。</w:t>
      </w:r>
    </w:p>
    <w:p w14:paraId="367E718C">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第十二条  违约责任</w:t>
      </w:r>
    </w:p>
    <w:p w14:paraId="663E3550">
      <w:pPr>
        <w:spacing w:line="360" w:lineRule="auto"/>
        <w:ind w:firstLine="480" w:firstLineChars="200"/>
        <w:rPr>
          <w:rFonts w:hint="eastAsia" w:ascii="仿宋" w:hAnsi="仿宋" w:eastAsia="仿宋" w:cs="仿宋"/>
          <w:sz w:val="24"/>
        </w:rPr>
      </w:pPr>
      <w:r>
        <w:rPr>
          <w:rFonts w:hint="eastAsia" w:ascii="仿宋" w:hAnsi="仿宋" w:eastAsia="仿宋" w:cs="仿宋"/>
          <w:sz w:val="24"/>
        </w:rPr>
        <w:t>1.乙方所交付服务成果不符合本合同规定的，甲方有权拒收，乙方在得到甲方通知之日起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3</w:t>
      </w:r>
      <w:r>
        <w:rPr>
          <w:rFonts w:hint="eastAsia" w:ascii="仿宋" w:hAnsi="仿宋" w:eastAsia="仿宋" w:cs="仿宋"/>
          <w:sz w:val="24"/>
          <w:u w:val="single"/>
        </w:rPr>
        <w:t xml:space="preserve">  </w:t>
      </w:r>
      <w:r>
        <w:rPr>
          <w:rFonts w:hint="eastAsia" w:ascii="仿宋" w:hAnsi="仿宋" w:eastAsia="仿宋" w:cs="仿宋"/>
          <w:sz w:val="24"/>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10</w:t>
      </w:r>
      <w:r>
        <w:rPr>
          <w:rFonts w:hint="eastAsia" w:ascii="仿宋" w:hAnsi="仿宋" w:eastAsia="仿宋" w:cs="仿宋"/>
          <w:sz w:val="24"/>
          <w:u w:val="single"/>
        </w:rPr>
        <w:t xml:space="preserve">  </w:t>
      </w:r>
      <w:r>
        <w:rPr>
          <w:rFonts w:hint="eastAsia" w:ascii="仿宋" w:hAnsi="仿宋" w:eastAsia="仿宋" w:cs="仿宋"/>
          <w:sz w:val="24"/>
        </w:rPr>
        <w:t>％的违约金。</w:t>
      </w:r>
    </w:p>
    <w:p w14:paraId="2951FC75">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2.甲方无正当理由拒收服务，甲方应向乙方偿付拒付服务费用 </w:t>
      </w:r>
      <w:r>
        <w:rPr>
          <w:rFonts w:hint="eastAsia" w:ascii="仿宋" w:hAnsi="仿宋" w:eastAsia="仿宋" w:cs="仿宋"/>
          <w:sz w:val="24"/>
          <w:u w:val="single"/>
        </w:rPr>
        <w:t xml:space="preserve">    </w:t>
      </w:r>
      <w:r>
        <w:rPr>
          <w:rFonts w:hint="eastAsia" w:ascii="仿宋" w:hAnsi="仿宋" w:eastAsia="仿宋" w:cs="仿宋"/>
          <w:sz w:val="24"/>
        </w:rPr>
        <w:t>％的违约金。</w:t>
      </w:r>
    </w:p>
    <w:p w14:paraId="19F859AD">
      <w:pPr>
        <w:spacing w:line="360" w:lineRule="auto"/>
        <w:ind w:firstLine="480" w:firstLineChars="200"/>
        <w:rPr>
          <w:rFonts w:hint="eastAsia" w:ascii="仿宋" w:hAnsi="仿宋" w:eastAsia="仿宋" w:cs="仿宋"/>
          <w:sz w:val="24"/>
        </w:rPr>
      </w:pPr>
      <w:r>
        <w:rPr>
          <w:rFonts w:hint="eastAsia" w:ascii="仿宋" w:hAnsi="仿宋" w:eastAsia="仿宋" w:cs="仿宋"/>
          <w:sz w:val="24"/>
        </w:rPr>
        <w:t>3.乙方无正当理由逾期交付服务的，每逾期1天，乙方向甲方偿付合同总额的</w:t>
      </w:r>
      <w:r>
        <w:rPr>
          <w:rFonts w:hint="eastAsia" w:ascii="仿宋" w:hAnsi="仿宋" w:eastAsia="仿宋" w:cs="仿宋"/>
          <w:sz w:val="24"/>
          <w:u w:val="single"/>
        </w:rPr>
        <w:t xml:space="preserve">    </w:t>
      </w:r>
      <w:r>
        <w:rPr>
          <w:rFonts w:hint="eastAsia" w:ascii="仿宋" w:hAnsi="仿宋" w:eastAsia="仿宋" w:cs="仿宋"/>
          <w:sz w:val="24"/>
        </w:rPr>
        <w:t>‰的违约金。如乙方逾期达</w:t>
      </w:r>
      <w:r>
        <w:rPr>
          <w:rFonts w:hint="eastAsia" w:ascii="仿宋" w:hAnsi="仿宋" w:eastAsia="仿宋" w:cs="仿宋"/>
          <w:sz w:val="24"/>
          <w:u w:val="single"/>
        </w:rPr>
        <w:t xml:space="preserve">    </w:t>
      </w:r>
      <w:r>
        <w:rPr>
          <w:rFonts w:hint="eastAsia" w:ascii="仿宋" w:hAnsi="仿宋" w:eastAsia="仿宋" w:cs="仿宋"/>
          <w:sz w:val="24"/>
        </w:rPr>
        <w:t>天，甲方有权解除合同，甲方解除合同的通知自到达乙方时生效。在此情况下，乙方给甲方造成的实际损失高于违约金的，对高出违约金的部分乙方应予以赔偿。</w:t>
      </w:r>
    </w:p>
    <w:p w14:paraId="71CC1271">
      <w:pPr>
        <w:spacing w:line="360" w:lineRule="auto"/>
        <w:ind w:firstLine="480" w:firstLineChars="200"/>
        <w:rPr>
          <w:rFonts w:hint="eastAsia" w:ascii="仿宋" w:hAnsi="仿宋" w:eastAsia="仿宋" w:cs="仿宋"/>
          <w:sz w:val="24"/>
        </w:rPr>
      </w:pPr>
      <w:r>
        <w:rPr>
          <w:rFonts w:hint="eastAsia" w:ascii="仿宋" w:hAnsi="仿宋" w:eastAsia="仿宋" w:cs="仿宋"/>
          <w:sz w:val="24"/>
        </w:rPr>
        <w:t>4.甲方未按合同规定的期限向乙方支付合同款的，每逾期1天甲方向乙方偿付欠款总额的</w:t>
      </w:r>
      <w:r>
        <w:rPr>
          <w:rFonts w:hint="eastAsia" w:ascii="仿宋" w:hAnsi="仿宋" w:eastAsia="仿宋" w:cs="仿宋"/>
          <w:sz w:val="24"/>
          <w:u w:val="single"/>
        </w:rPr>
        <w:t xml:space="preserve">    </w:t>
      </w:r>
      <w:r>
        <w:rPr>
          <w:rFonts w:hint="eastAsia" w:ascii="仿宋" w:hAnsi="仿宋" w:eastAsia="仿宋" w:cs="仿宋"/>
          <w:sz w:val="24"/>
        </w:rPr>
        <w:t>‰违约金，但累计违约金总额不超过欠款总额的</w:t>
      </w:r>
      <w:r>
        <w:rPr>
          <w:rFonts w:hint="eastAsia" w:ascii="仿宋" w:hAnsi="仿宋" w:eastAsia="仿宋" w:cs="仿宋"/>
          <w:sz w:val="24"/>
          <w:u w:val="single"/>
        </w:rPr>
        <w:t xml:space="preserve">    </w:t>
      </w:r>
      <w:r>
        <w:rPr>
          <w:rFonts w:hint="eastAsia" w:ascii="仿宋" w:hAnsi="仿宋" w:eastAsia="仿宋" w:cs="仿宋"/>
          <w:sz w:val="24"/>
        </w:rPr>
        <w:t>％。</w:t>
      </w:r>
    </w:p>
    <w:p w14:paraId="515D6D1B">
      <w:pPr>
        <w:spacing w:line="360" w:lineRule="auto"/>
        <w:ind w:firstLine="480" w:firstLineChars="200"/>
        <w:rPr>
          <w:rFonts w:hint="eastAsia" w:ascii="仿宋" w:hAnsi="仿宋" w:eastAsia="仿宋" w:cs="仿宋"/>
          <w:sz w:val="24"/>
        </w:rPr>
      </w:pPr>
      <w:r>
        <w:rPr>
          <w:rFonts w:hint="eastAsia" w:ascii="仿宋" w:hAnsi="仿宋" w:eastAsia="仿宋" w:cs="仿宋"/>
          <w:sz w:val="24"/>
        </w:rPr>
        <w:t>5.其它未尽事宜，以《合同法》和《政府采购法》等有关法律法规规定为准，无相关规定的，双方协商解决。</w:t>
      </w:r>
    </w:p>
    <w:p w14:paraId="027665AD">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第十三条  不可抗力</w:t>
      </w:r>
    </w:p>
    <w:p w14:paraId="744515E3">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甲、乙方中任何一方，因不可抗力不能按时或完全履行合同的，应及时通知对方，并在</w:t>
      </w:r>
      <w:r>
        <w:rPr>
          <w:rFonts w:hint="eastAsia" w:ascii="仿宋" w:hAnsi="仿宋" w:eastAsia="仿宋" w:cs="仿宋"/>
          <w:sz w:val="24"/>
          <w:u w:val="single"/>
        </w:rPr>
        <w:t xml:space="preserve">    </w:t>
      </w:r>
      <w:r>
        <w:rPr>
          <w:rFonts w:hint="eastAsia" w:ascii="仿宋" w:hAnsi="仿宋" w:eastAsia="仿宋" w:cs="仿宋"/>
          <w:sz w:val="24"/>
        </w:rPr>
        <w:t>个工作日内提供相应证明，结算服务费用。未履行的部分是否继续履行、如何履行等问题，可由双方初步协商，并向主管部门和政府采购管理部门报告。确定为不可抗力原因造成的损失，免予承担责任。</w:t>
      </w:r>
    </w:p>
    <w:p w14:paraId="7B28700F">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第十四条  争议的解决方式</w:t>
      </w:r>
    </w:p>
    <w:p w14:paraId="421C9E9E">
      <w:pPr>
        <w:spacing w:line="360" w:lineRule="auto"/>
        <w:ind w:firstLine="480" w:firstLineChars="200"/>
        <w:rPr>
          <w:rFonts w:hint="eastAsia" w:ascii="仿宋" w:hAnsi="仿宋" w:eastAsia="仿宋" w:cs="仿宋"/>
          <w:sz w:val="24"/>
        </w:rPr>
      </w:pPr>
      <w:r>
        <w:rPr>
          <w:rFonts w:hint="eastAsia" w:ascii="仿宋" w:hAnsi="仿宋" w:eastAsia="仿宋" w:cs="仿宋"/>
          <w:sz w:val="24"/>
        </w:rPr>
        <w:t>1.因服务质量问题发生争议的，应当邀请国家认可的质量检测机构对服务进行鉴定。服务符合标准的，鉴定费由甲方承担；不符合质量标准的，鉴定费由乙方承担。</w:t>
      </w:r>
    </w:p>
    <w:p w14:paraId="2BB75A67">
      <w:pPr>
        <w:spacing w:line="360" w:lineRule="auto"/>
        <w:ind w:firstLine="480" w:firstLineChars="200"/>
        <w:rPr>
          <w:rFonts w:hint="eastAsia" w:ascii="仿宋" w:hAnsi="仿宋" w:eastAsia="仿宋" w:cs="仿宋"/>
          <w:sz w:val="24"/>
        </w:rPr>
      </w:pPr>
      <w:r>
        <w:rPr>
          <w:rFonts w:hint="eastAsia" w:ascii="仿宋" w:hAnsi="仿宋" w:eastAsia="仿宋" w:cs="仿宋"/>
          <w:sz w:val="24"/>
        </w:rPr>
        <w:t>2.在解释或者执行本合同的过程中发生争议时，双方应通过协商方式解决。</w:t>
      </w:r>
    </w:p>
    <w:p w14:paraId="3CA68039">
      <w:pPr>
        <w:spacing w:line="480" w:lineRule="exact"/>
        <w:ind w:firstLine="480" w:firstLineChars="200"/>
        <w:rPr>
          <w:rFonts w:hint="eastAsia" w:ascii="仿宋" w:hAnsi="仿宋" w:eastAsia="仿宋" w:cs="仿宋"/>
          <w:sz w:val="24"/>
        </w:rPr>
      </w:pPr>
      <w:r>
        <w:rPr>
          <w:rFonts w:hint="eastAsia" w:ascii="仿宋" w:hAnsi="仿宋" w:eastAsia="仿宋" w:cs="仿宋"/>
          <w:sz w:val="24"/>
        </w:rPr>
        <w:t>3.经协商不能解决的争议，双方可选择以下第</w:t>
      </w:r>
      <w:r>
        <w:rPr>
          <w:rFonts w:hint="eastAsia" w:ascii="仿宋" w:hAnsi="仿宋" w:eastAsia="仿宋" w:cs="仿宋"/>
          <w:sz w:val="24"/>
          <w:u w:val="single"/>
        </w:rPr>
        <w:t xml:space="preserve">   </w:t>
      </w:r>
      <w:r>
        <w:rPr>
          <w:rFonts w:hint="eastAsia" w:ascii="仿宋" w:hAnsi="仿宋" w:eastAsia="仿宋" w:cs="仿宋"/>
          <w:sz w:val="24"/>
        </w:rPr>
        <w:t>种方式解决：</w:t>
      </w:r>
    </w:p>
    <w:p w14:paraId="35A7E4B7">
      <w:pPr>
        <w:spacing w:line="480" w:lineRule="exact"/>
        <w:ind w:firstLine="480" w:firstLineChars="200"/>
        <w:rPr>
          <w:rFonts w:hint="eastAsia" w:ascii="仿宋" w:hAnsi="仿宋" w:eastAsia="仿宋" w:cs="仿宋"/>
          <w:sz w:val="24"/>
        </w:rPr>
      </w:pPr>
      <w:r>
        <w:rPr>
          <w:rFonts w:hint="eastAsia" w:ascii="仿宋" w:hAnsi="仿宋" w:eastAsia="仿宋" w:cs="仿宋"/>
          <w:sz w:val="24"/>
        </w:rPr>
        <w:t>①向    市（县、区）有管辖权的法院提起诉讼；</w:t>
      </w:r>
    </w:p>
    <w:p w14:paraId="587107A7">
      <w:pPr>
        <w:spacing w:line="480" w:lineRule="exact"/>
        <w:ind w:firstLine="480" w:firstLineChars="200"/>
        <w:rPr>
          <w:rFonts w:hint="eastAsia" w:ascii="仿宋" w:hAnsi="仿宋" w:eastAsia="仿宋" w:cs="仿宋"/>
          <w:sz w:val="24"/>
        </w:rPr>
      </w:pPr>
      <w:r>
        <w:rPr>
          <w:rFonts w:hint="eastAsia" w:ascii="仿宋" w:hAnsi="仿宋" w:eastAsia="仿宋" w:cs="仿宋"/>
          <w:sz w:val="24"/>
        </w:rPr>
        <w:t>②向    市（县、区）仲裁委员会提出仲裁。</w:t>
      </w:r>
    </w:p>
    <w:p w14:paraId="692718B0">
      <w:pPr>
        <w:spacing w:line="480" w:lineRule="exact"/>
        <w:ind w:firstLine="480" w:firstLineChars="200"/>
        <w:rPr>
          <w:rFonts w:hint="eastAsia" w:ascii="仿宋" w:hAnsi="仿宋" w:eastAsia="仿宋" w:cs="仿宋"/>
          <w:sz w:val="24"/>
        </w:rPr>
      </w:pPr>
      <w:r>
        <w:rPr>
          <w:rFonts w:hint="eastAsia" w:ascii="仿宋" w:hAnsi="仿宋" w:eastAsia="仿宋" w:cs="仿宋"/>
          <w:sz w:val="24"/>
        </w:rPr>
        <w:t>4.在法院审理和仲裁期间，除有争议部分外，本合同其他部分可以履行的仍应按合同条款继续履行。</w:t>
      </w:r>
    </w:p>
    <w:p w14:paraId="41754749">
      <w:pPr>
        <w:spacing w:line="360" w:lineRule="auto"/>
        <w:ind w:left="482"/>
        <w:outlineLvl w:val="1"/>
        <w:rPr>
          <w:rFonts w:hint="eastAsia" w:ascii="仿宋" w:hAnsi="仿宋" w:eastAsia="仿宋" w:cs="仿宋"/>
          <w:b/>
          <w:sz w:val="24"/>
        </w:rPr>
      </w:pPr>
      <w:r>
        <w:rPr>
          <w:rFonts w:hint="eastAsia" w:ascii="仿宋" w:hAnsi="仿宋" w:eastAsia="仿宋" w:cs="仿宋"/>
          <w:b/>
          <w:sz w:val="24"/>
        </w:rPr>
        <w:t>第十五条  其他</w:t>
      </w:r>
    </w:p>
    <w:p w14:paraId="38F5AEAD">
      <w:pPr>
        <w:spacing w:line="360" w:lineRule="auto"/>
        <w:ind w:firstLine="480" w:firstLineChars="200"/>
        <w:rPr>
          <w:rFonts w:hint="eastAsia" w:ascii="仿宋" w:hAnsi="仿宋" w:eastAsia="仿宋" w:cs="仿宋"/>
          <w:sz w:val="24"/>
        </w:rPr>
      </w:pPr>
      <w:r>
        <w:rPr>
          <w:rFonts w:hint="eastAsia" w:ascii="仿宋" w:hAnsi="仿宋" w:eastAsia="仿宋" w:cs="仿宋"/>
          <w:sz w:val="24"/>
        </w:rPr>
        <w:t>符合《政府采购法》第49条规定的，经双方协商，办理政府采购手续后，可签订补充合同，所签订的补充合同与本合同具有同等法律效力。</w:t>
      </w:r>
    </w:p>
    <w:p w14:paraId="77647509">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本合同一式</w:t>
      </w:r>
      <w:r>
        <w:rPr>
          <w:rFonts w:hint="eastAsia" w:ascii="仿宋" w:hAnsi="仿宋" w:eastAsia="仿宋" w:cs="仿宋"/>
          <w:sz w:val="24"/>
          <w:u w:val="single"/>
        </w:rPr>
        <w:t xml:space="preserve">    </w:t>
      </w:r>
      <w:r>
        <w:rPr>
          <w:rFonts w:hint="eastAsia" w:ascii="仿宋" w:hAnsi="仿宋" w:eastAsia="仿宋" w:cs="仿宋"/>
          <w:sz w:val="24"/>
        </w:rPr>
        <w:t>份，甲、乙双方各执</w:t>
      </w:r>
      <w:r>
        <w:rPr>
          <w:rFonts w:hint="eastAsia" w:ascii="仿宋" w:hAnsi="仿宋" w:eastAsia="仿宋" w:cs="仿宋"/>
          <w:sz w:val="24"/>
          <w:u w:val="single"/>
        </w:rPr>
        <w:t xml:space="preserve">    </w:t>
      </w:r>
      <w:r>
        <w:rPr>
          <w:rFonts w:hint="eastAsia" w:ascii="仿宋" w:hAnsi="仿宋" w:eastAsia="仿宋" w:cs="仿宋"/>
          <w:sz w:val="24"/>
        </w:rPr>
        <w:t>份。</w:t>
      </w:r>
    </w:p>
    <w:p w14:paraId="709DF364">
      <w:pPr>
        <w:spacing w:line="360" w:lineRule="auto"/>
        <w:ind w:firstLine="480" w:firstLineChars="200"/>
        <w:rPr>
          <w:rFonts w:hint="eastAsia" w:ascii="仿宋" w:hAnsi="仿宋" w:eastAsia="仿宋" w:cs="仿宋"/>
          <w:sz w:val="24"/>
        </w:rPr>
      </w:pPr>
    </w:p>
    <w:p w14:paraId="1B4207C3">
      <w:pPr>
        <w:spacing w:line="360" w:lineRule="auto"/>
        <w:ind w:firstLine="480" w:firstLineChars="200"/>
        <w:rPr>
          <w:rFonts w:hint="eastAsia" w:ascii="仿宋" w:hAnsi="仿宋" w:eastAsia="仿宋" w:cs="仿宋"/>
          <w:sz w:val="24"/>
        </w:rPr>
      </w:pPr>
      <w:r>
        <w:rPr>
          <w:rFonts w:hint="eastAsia" w:ascii="仿宋" w:hAnsi="仿宋" w:eastAsia="仿宋" w:cs="仿宋"/>
          <w:sz w:val="24"/>
        </w:rPr>
        <w:t>甲   方：                        乙   方：</w:t>
      </w:r>
    </w:p>
    <w:p w14:paraId="00E4ECB7">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名称：（盖章）                    名称：（盖章）</w:t>
      </w:r>
    </w:p>
    <w:p w14:paraId="4239477E">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                           地址：</w:t>
      </w:r>
    </w:p>
    <w:p w14:paraId="307E9E68">
      <w:pPr>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法定代表人（签字）：              法定代表人（签字）：</w:t>
      </w:r>
    </w:p>
    <w:p w14:paraId="6EBAB406">
      <w:pPr>
        <w:spacing w:line="360" w:lineRule="auto"/>
        <w:ind w:firstLine="480" w:firstLineChars="200"/>
        <w:rPr>
          <w:rFonts w:hint="eastAsia" w:ascii="仿宋" w:hAnsi="仿宋" w:eastAsia="仿宋" w:cs="仿宋"/>
          <w:sz w:val="24"/>
        </w:rPr>
      </w:pPr>
      <w:r>
        <w:rPr>
          <w:rFonts w:hint="eastAsia" w:ascii="仿宋" w:hAnsi="仿宋" w:eastAsia="仿宋" w:cs="仿宋"/>
          <w:sz w:val="24"/>
        </w:rPr>
        <w:t>授权代表（签字）：                授权代表（签字）：</w:t>
      </w:r>
    </w:p>
    <w:p w14:paraId="1B6BD2A7">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开户银行：                       开户银行（基本账户）：</w:t>
      </w:r>
    </w:p>
    <w:p w14:paraId="05F006D8">
      <w:pPr>
        <w:spacing w:line="360" w:lineRule="auto"/>
        <w:ind w:firstLine="480" w:firstLineChars="200"/>
        <w:rPr>
          <w:rFonts w:hint="eastAsia" w:ascii="仿宋" w:hAnsi="仿宋" w:eastAsia="仿宋" w:cs="仿宋"/>
          <w:sz w:val="24"/>
        </w:rPr>
      </w:pPr>
      <w:r>
        <w:rPr>
          <w:rFonts w:hint="eastAsia" w:ascii="仿宋" w:hAnsi="仿宋" w:eastAsia="仿宋" w:cs="仿宋"/>
          <w:sz w:val="24"/>
        </w:rPr>
        <w:t>银行帐号：                       银行帐号（基本账户）：</w:t>
      </w:r>
    </w:p>
    <w:p w14:paraId="607F26F1">
      <w:pPr>
        <w:spacing w:line="360" w:lineRule="auto"/>
        <w:ind w:firstLine="480" w:firstLineChars="200"/>
        <w:rPr>
          <w:rFonts w:hint="eastAsia" w:ascii="仿宋" w:hAnsi="仿宋" w:eastAsia="仿宋" w:cs="仿宋"/>
          <w:sz w:val="24"/>
        </w:rPr>
      </w:pPr>
      <w:r>
        <w:rPr>
          <w:rFonts w:hint="eastAsia" w:ascii="仿宋" w:hAnsi="仿宋" w:eastAsia="仿宋" w:cs="仿宋"/>
          <w:sz w:val="24"/>
        </w:rPr>
        <w:t>甲方合同法律审核（盖章）：</w:t>
      </w:r>
    </w:p>
    <w:p w14:paraId="78BF12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时间：         年     月     日</w:t>
      </w:r>
    </w:p>
    <w:p w14:paraId="0ADDEB90">
      <w:pPr>
        <w:spacing w:line="360" w:lineRule="auto"/>
        <w:ind w:firstLine="422" w:firstLineChars="200"/>
        <w:rPr>
          <w:rFonts w:ascii="仿宋" w:hAnsi="仿宋" w:eastAsia="仿宋" w:cs="仿宋"/>
          <w:b/>
          <w:color w:val="auto"/>
        </w:rPr>
      </w:pPr>
      <w:bookmarkStart w:id="908" w:name="_Toc310580633"/>
      <w:r>
        <w:rPr>
          <w:rFonts w:hint="eastAsia" w:ascii="仿宋" w:hAnsi="仿宋" w:eastAsia="仿宋" w:cs="仿宋"/>
          <w:b/>
          <w:color w:val="auto"/>
        </w:rPr>
        <w:t>特别说明：</w:t>
      </w:r>
    </w:p>
    <w:p w14:paraId="6D8D1025">
      <w:pPr>
        <w:spacing w:line="360" w:lineRule="auto"/>
        <w:ind w:firstLine="422" w:firstLineChars="200"/>
        <w:rPr>
          <w:rFonts w:ascii="仿宋" w:hAnsi="仿宋" w:eastAsia="仿宋" w:cs="仿宋"/>
          <w:b/>
          <w:color w:val="auto"/>
        </w:rPr>
      </w:pPr>
      <w:r>
        <w:rPr>
          <w:rFonts w:hint="eastAsia" w:ascii="仿宋" w:hAnsi="仿宋" w:eastAsia="仿宋" w:cs="仿宋"/>
          <w:b/>
          <w:color w:val="auto"/>
        </w:rPr>
        <w:t>1.本范本根据《政府采购法》、《合同法》等法律法规制定。具体项目的采购合同条款，在本范本框架内由甲乙双方协商一致签订。空格处划横线。</w:t>
      </w:r>
    </w:p>
    <w:p w14:paraId="7065AF5C">
      <w:pPr>
        <w:spacing w:line="360" w:lineRule="auto"/>
        <w:ind w:firstLine="422" w:firstLineChars="200"/>
        <w:rPr>
          <w:rFonts w:ascii="仿宋" w:hAnsi="仿宋" w:eastAsia="仿宋" w:cs="仿宋"/>
          <w:b/>
          <w:color w:val="auto"/>
        </w:rPr>
      </w:pPr>
      <w:r>
        <w:rPr>
          <w:rFonts w:hint="eastAsia" w:ascii="仿宋" w:hAnsi="仿宋" w:eastAsia="仿宋" w:cs="仿宋"/>
          <w:b/>
          <w:color w:val="auto"/>
        </w:rPr>
        <w:t>2.收款单位名称应与本合同乙方单位名称、项目中标单位名称、开具发票单位名称相一致。</w:t>
      </w:r>
    </w:p>
    <w:p w14:paraId="6EAEFD2E">
      <w:pPr>
        <w:spacing w:line="360" w:lineRule="auto"/>
        <w:ind w:firstLine="422" w:firstLineChars="200"/>
        <w:rPr>
          <w:rFonts w:ascii="仿宋" w:hAnsi="仿宋" w:eastAsia="仿宋" w:cs="仿宋"/>
          <w:b/>
          <w:color w:val="auto"/>
        </w:rPr>
      </w:pPr>
      <w:r>
        <w:rPr>
          <w:rFonts w:hint="eastAsia" w:ascii="仿宋" w:hAnsi="仿宋" w:eastAsia="仿宋" w:cs="仿宋"/>
          <w:b/>
          <w:color w:val="auto"/>
        </w:rPr>
        <w:t>3.甲方（采购单位）应盖本单位公章（不允许盖内设科室章），乙方应盖单位公章或合同专用章，合同双方应盖骑缝章。</w:t>
      </w:r>
    </w:p>
    <w:p w14:paraId="5B67FFFB">
      <w:pPr>
        <w:spacing w:line="360" w:lineRule="auto"/>
        <w:ind w:firstLine="422" w:firstLineChars="200"/>
        <w:rPr>
          <w:rFonts w:ascii="仿宋" w:hAnsi="仿宋" w:eastAsia="仿宋" w:cs="仿宋"/>
          <w:b/>
          <w:color w:val="auto"/>
        </w:rPr>
      </w:pPr>
      <w:r>
        <w:rPr>
          <w:rFonts w:hint="eastAsia" w:ascii="仿宋" w:hAnsi="仿宋" w:eastAsia="仿宋" w:cs="仿宋"/>
          <w:b/>
          <w:color w:val="auto"/>
        </w:rPr>
        <w:t>4. 除涉密项目外，根据《政府采购法实施条例》第50条规定：采购人应当自政府采购合同签订之日起2个工作日内，将政府采购合同在省级以上人民政府财政部门指定的媒体上公告。</w:t>
      </w:r>
    </w:p>
    <w:bookmarkEnd w:id="908"/>
    <w:p w14:paraId="3E84B41C">
      <w:pPr>
        <w:spacing w:line="413" w:lineRule="auto"/>
        <w:rPr>
          <w:rFonts w:hint="eastAsia" w:ascii="仿宋" w:hAnsi="仿宋" w:eastAsia="仿宋" w:cs="仿宋"/>
          <w:b/>
          <w:color w:val="auto"/>
        </w:rPr>
      </w:pPr>
      <w:r>
        <w:rPr>
          <w:rFonts w:hint="eastAsia" w:ascii="仿宋" w:hAnsi="仿宋" w:eastAsia="仿宋" w:cs="仿宋"/>
          <w:color w:val="auto"/>
        </w:rPr>
        <w:t xml:space="preserve"> </w:t>
      </w:r>
      <w:r>
        <w:rPr>
          <w:rFonts w:ascii="仿宋" w:hAnsi="仿宋" w:eastAsia="仿宋" w:cs="仿宋"/>
          <w:color w:val="auto"/>
        </w:rPr>
        <w:t xml:space="preserve">   </w:t>
      </w:r>
      <w:r>
        <w:rPr>
          <w:rFonts w:ascii="仿宋" w:hAnsi="仿宋" w:eastAsia="仿宋" w:cs="仿宋"/>
          <w:b/>
          <w:color w:val="auto"/>
        </w:rPr>
        <w:t>5.</w:t>
      </w:r>
      <w:r>
        <w:rPr>
          <w:rFonts w:hint="eastAsia" w:ascii="仿宋" w:hAnsi="仿宋" w:eastAsia="仿宋" w:cs="仿宋"/>
          <w:b/>
          <w:color w:val="auto"/>
        </w:rPr>
        <w:t>本合同仅供参考，具体以实际签订合同为准。</w:t>
      </w:r>
    </w:p>
    <w:p w14:paraId="1EED10CF">
      <w:pPr>
        <w:spacing w:line="413" w:lineRule="auto"/>
        <w:rPr>
          <w:rFonts w:hint="eastAsia" w:ascii="仿宋" w:hAnsi="仿宋" w:eastAsia="仿宋" w:cs="仿宋"/>
          <w:b/>
          <w:color w:val="auto"/>
        </w:rPr>
      </w:pPr>
    </w:p>
    <w:p w14:paraId="10635120">
      <w:pPr>
        <w:spacing w:line="413" w:lineRule="auto"/>
        <w:rPr>
          <w:rFonts w:hint="eastAsia" w:ascii="仿宋" w:hAnsi="仿宋" w:eastAsia="仿宋" w:cs="仿宋"/>
          <w:b/>
          <w:color w:val="auto"/>
        </w:rPr>
      </w:pPr>
    </w:p>
    <w:p w14:paraId="57E43B33">
      <w:pPr>
        <w:spacing w:line="413" w:lineRule="auto"/>
        <w:rPr>
          <w:rFonts w:hint="eastAsia" w:ascii="仿宋" w:hAnsi="仿宋" w:eastAsia="仿宋" w:cs="仿宋"/>
          <w:b/>
          <w:color w:val="auto"/>
        </w:rPr>
      </w:pPr>
    </w:p>
    <w:p w14:paraId="20B90668">
      <w:pPr>
        <w:spacing w:line="413" w:lineRule="auto"/>
        <w:rPr>
          <w:rFonts w:hint="eastAsia" w:ascii="仿宋" w:hAnsi="仿宋" w:eastAsia="仿宋" w:cs="仿宋"/>
          <w:b/>
          <w:color w:val="auto"/>
        </w:rPr>
      </w:pPr>
    </w:p>
    <w:p w14:paraId="0D655483">
      <w:pPr>
        <w:spacing w:line="413" w:lineRule="auto"/>
        <w:rPr>
          <w:rFonts w:hint="eastAsia" w:ascii="仿宋" w:hAnsi="仿宋" w:eastAsia="仿宋" w:cs="仿宋"/>
          <w:b/>
          <w:color w:val="auto"/>
        </w:rPr>
      </w:pPr>
    </w:p>
    <w:p w14:paraId="2BD19D9E">
      <w:pPr>
        <w:pStyle w:val="2"/>
        <w:numPr>
          <w:ilvl w:val="0"/>
          <w:numId w:val="8"/>
        </w:numPr>
        <w:spacing w:before="120" w:beforeLines="0" w:after="120" w:afterLines="0" w:line="400" w:lineRule="exact"/>
        <w:ind w:left="1115" w:leftChars="0" w:firstLine="1405" w:firstLineChars="0"/>
        <w:jc w:val="both"/>
        <w:rPr>
          <w:rFonts w:hint="eastAsia"/>
          <w:color w:val="auto"/>
          <w:sz w:val="28"/>
          <w:szCs w:val="28"/>
          <w:highlight w:val="none"/>
          <w:lang w:eastAsia="zh-CN"/>
        </w:rPr>
      </w:pPr>
      <w:r>
        <w:rPr>
          <w:rFonts w:hint="eastAsia" w:ascii="宋体" w:hAnsi="宋体" w:cs="宋体"/>
          <w:color w:val="auto"/>
          <w:sz w:val="28"/>
          <w:szCs w:val="28"/>
          <w:highlight w:val="none"/>
          <w:lang w:val="en-US" w:eastAsia="zh-CN"/>
        </w:rPr>
        <w:t xml:space="preserve">  </w:t>
      </w:r>
      <w:bookmarkStart w:id="909" w:name="_Toc28362"/>
      <w:bookmarkStart w:id="910" w:name="_Toc24709"/>
      <w:r>
        <w:rPr>
          <w:rFonts w:hint="eastAsia" w:ascii="宋体" w:hAnsi="宋体" w:cs="宋体"/>
          <w:color w:val="auto"/>
          <w:sz w:val="28"/>
          <w:szCs w:val="28"/>
          <w:highlight w:val="none"/>
          <w:lang w:eastAsia="zh-CN"/>
        </w:rPr>
        <w:t>采购需求及技术</w:t>
      </w:r>
      <w:r>
        <w:rPr>
          <w:rFonts w:hint="eastAsia" w:ascii="宋体" w:hAnsi="宋体" w:cs="宋体"/>
          <w:color w:val="auto"/>
          <w:sz w:val="28"/>
          <w:szCs w:val="28"/>
          <w:highlight w:val="none"/>
          <w:lang w:val="en-US" w:eastAsia="zh-CN"/>
        </w:rPr>
        <w:t>参数</w:t>
      </w:r>
      <w:bookmarkEnd w:id="900"/>
      <w:bookmarkEnd w:id="901"/>
      <w:bookmarkEnd w:id="902"/>
      <w:bookmarkEnd w:id="905"/>
      <w:bookmarkEnd w:id="906"/>
      <w:bookmarkEnd w:id="907"/>
      <w:bookmarkEnd w:id="909"/>
      <w:bookmarkEnd w:id="910"/>
    </w:p>
    <w:p w14:paraId="4000A769">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auto"/>
          <w:kern w:val="0"/>
          <w:sz w:val="20"/>
          <w:szCs w:val="20"/>
          <w:highlight w:val="none"/>
          <w:u w:val="none"/>
          <w:lang w:val="en-US" w:eastAsia="zh-CN" w:bidi="ar"/>
        </w:rPr>
      </w:pPr>
      <w:bookmarkStart w:id="911" w:name="_Toc23181"/>
    </w:p>
    <w:tbl>
      <w:tblPr>
        <w:tblStyle w:val="25"/>
        <w:tblW w:w="10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14:paraId="7C2A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92" w:type="dxa"/>
            <w:tcBorders>
              <w:top w:val="nil"/>
              <w:left w:val="nil"/>
              <w:bottom w:val="nil"/>
              <w:right w:val="nil"/>
            </w:tcBorders>
            <w:noWrap/>
            <w:vAlign w:val="center"/>
          </w:tcPr>
          <w:p w14:paraId="10C8366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潢川县城区学校AI人像车辆监控设施设备系统项目</w:t>
            </w:r>
          </w:p>
          <w:p w14:paraId="496A504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val="0"/>
                <w:color w:val="auto"/>
                <w:sz w:val="21"/>
                <w:szCs w:val="21"/>
                <w:highlight w:val="none"/>
                <w:lang w:val="en-US" w:eastAsia="zh-CN"/>
              </w:rPr>
              <w:t>项目内容：</w:t>
            </w:r>
            <w:r>
              <w:rPr>
                <w:rFonts w:hint="eastAsia" w:ascii="宋体" w:hAnsi="宋体" w:eastAsia="宋体" w:cs="宋体"/>
                <w:b/>
                <w:bCs w:val="0"/>
                <w:color w:val="auto"/>
                <w:sz w:val="21"/>
                <w:szCs w:val="21"/>
                <w:highlight w:val="none"/>
              </w:rPr>
              <w:t>城区37所学校大门卡口AI人像车辆监控系统设备（人脸识别系统），五年服务</w:t>
            </w:r>
            <w:r>
              <w:rPr>
                <w:rFonts w:hint="eastAsia" w:ascii="宋体" w:hAnsi="宋体" w:eastAsia="宋体" w:cs="宋体"/>
                <w:b/>
                <w:bCs w:val="0"/>
                <w:color w:val="auto"/>
                <w:sz w:val="21"/>
                <w:szCs w:val="21"/>
                <w:highlight w:val="none"/>
                <w:lang w:eastAsia="zh-CN"/>
              </w:rPr>
              <w:t>。</w:t>
            </w:r>
          </w:p>
        </w:tc>
      </w:tr>
      <w:bookmarkEnd w:id="911"/>
    </w:tbl>
    <w:tbl>
      <w:tblPr>
        <w:tblStyle w:val="25"/>
        <w:tblpPr w:leftFromText="180" w:rightFromText="180" w:vertAnchor="text" w:horzAnchor="page" w:tblpX="1448" w:tblpY="228"/>
        <w:tblOverlap w:val="never"/>
        <w:tblW w:w="9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732"/>
        <w:gridCol w:w="1536"/>
        <w:gridCol w:w="6036"/>
        <w:gridCol w:w="564"/>
        <w:gridCol w:w="564"/>
      </w:tblGrid>
      <w:tr w14:paraId="04BA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5E56258">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序号</w:t>
            </w: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14:paraId="633D2A1A">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建设项目</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14:paraId="3AD5EFF3">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val="0"/>
                <w:i w:val="0"/>
                <w:iCs w:val="0"/>
                <w:color w:val="000000"/>
                <w:sz w:val="28"/>
                <w:szCs w:val="28"/>
                <w:u w:val="none"/>
                <w:lang w:val="en-US"/>
              </w:rPr>
            </w:pPr>
            <w:r>
              <w:rPr>
                <w:rFonts w:hint="eastAsia" w:ascii="宋体" w:hAnsi="宋体" w:eastAsia="宋体" w:cs="宋体"/>
                <w:b w:val="0"/>
                <w:bCs w:val="0"/>
                <w:i w:val="0"/>
                <w:iCs w:val="0"/>
                <w:color w:val="000000"/>
                <w:kern w:val="0"/>
                <w:sz w:val="28"/>
                <w:szCs w:val="28"/>
                <w:u w:val="none"/>
                <w:lang w:val="en-US" w:eastAsia="zh-CN" w:bidi="ar"/>
              </w:rPr>
              <w:t>建设内容及参数</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C73DE67">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val="0"/>
                <w:bCs w:val="0"/>
                <w:i w:val="0"/>
                <w:iCs w:val="0"/>
                <w:color w:val="000000"/>
                <w:sz w:val="28"/>
                <w:szCs w:val="28"/>
                <w:u w:val="none"/>
                <w:lang w:val="en-US"/>
              </w:rPr>
            </w:pPr>
            <w:r>
              <w:rPr>
                <w:rFonts w:hint="eastAsia" w:ascii="宋体" w:hAnsi="宋体" w:eastAsia="宋体" w:cs="宋体"/>
                <w:b w:val="0"/>
                <w:bCs w:val="0"/>
                <w:i w:val="0"/>
                <w:iCs w:val="0"/>
                <w:color w:val="000000"/>
                <w:kern w:val="0"/>
                <w:sz w:val="28"/>
                <w:szCs w:val="28"/>
                <w:u w:val="none"/>
                <w:lang w:val="en-US" w:eastAsia="zh-CN" w:bidi="ar"/>
              </w:rPr>
              <w:t>数量</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E51AD9A">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服务年份</w:t>
            </w:r>
          </w:p>
        </w:tc>
      </w:tr>
      <w:tr w14:paraId="1CC8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BEE1BF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1B05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视联网平台部分</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3CFA63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视联平台</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14:paraId="77DE442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平台架构：视频云平台需具备分布式视频云能力，规格不低于多区域中心+省服务节点+边缘服务节点部署架构，在全国范围可提供30个以上的视频云节点，广东省内可提供10个以上的视频云节点，各节点间实现统一调度、统一管理。视频云平台具备千万级别的终端接入能力。具备不低于10万并发能力，设备流可市内出流、省内出流，加快出流速度，减少传输链路，直播画面出流速度平均≤3s内开快速播放，各服务模块交互响应≤500ms。</w:t>
            </w:r>
          </w:p>
          <w:p w14:paraId="177A6DF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2、平台稳定性：7×24小时连续不断稳定的工作，系统可用率必须达到99.99％；系统在国家法定节假日期间，保持7×24小时连续不断稳定的工作；</w:t>
            </w:r>
          </w:p>
          <w:p w14:paraId="5705FA1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响应速度：通过视频云平台交互信息的响应时间、平台内数据交换处理的平均响应时间≤3秒/次。非网络或下级平台响应原因，视频云平台终端操作应无明显等待及卡顿，终端操作响应时间≤3秒。系统忙时系统资源占用指标：服务忙时系统资源占用率指标不高于85%。</w:t>
            </w:r>
          </w:p>
          <w:p w14:paraId="3C40B02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4、异地灾备：系统要求具备异地灾备方案，灾难恢复达到第五级，要求实现远程实时备份，数据零丢失； </w:t>
            </w:r>
          </w:p>
          <w:p w14:paraId="11140DE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平台安全：视频云平台需具备建立从数据到传输、从摄像机到APP的端到端安全管控方案，全方位防范摄像机被攻破、传输被劫持、数据被泄露、平台及APP被破解的安全风险保障。并通过等保三级认证，公安部GB35114C级安全认证。</w:t>
            </w:r>
          </w:p>
          <w:p w14:paraId="04C302A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运维能力：平台要求运维具备7*24小时专人值班支撑保障，全流程的故障升级机制，具备节点监控大屏、业务监控、网络及主机基础监控等多维度监控，具备告警触发后要求3分钟内响应，告警要求10分钟内完成处理。</w:t>
            </w:r>
          </w:p>
          <w:p w14:paraId="430C32DB">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7、音视频编码：平台支持采用H.264、H.265常用视频编码格式，支持G.711常用音频编码格式，支持RTSP、RTMP、HLS网络视频流传输，集音视频编码压缩和数据传输为一体。</w:t>
            </w:r>
          </w:p>
          <w:p w14:paraId="7D23C23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8、存储能力：平台具备对接云存S3的能力，可按需配置30天、90天、180天云存，并自动滚动覆盖存储。</w:t>
            </w:r>
          </w:p>
          <w:p w14:paraId="1630534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客户端能力：视频云平台支持多种端侧客户端，电脑平台支持CS和BS客户端，手机平台支持安卓和苹果客户端，电视和机顶盒平台支持安卓TV客户端。支持全方位的视频监控业务。具备分权分域配置权限，分配子账号，视频直播、回看、语音对讲、云台控制、设备分组、快速查找、经纬度查询、AI告警信息、设备统计、在线率统计等功能。</w:t>
            </w:r>
          </w:p>
          <w:p w14:paraId="0521AD05">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10、录像功能：支持对实时监控画面进行手动录像并存储在用户指定的位置；支持对实时监控画面进行手动抓图并以JPG文件格式存储到用户指定位置。</w:t>
            </w:r>
          </w:p>
          <w:p w14:paraId="48635A3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布局管理：支持布局管理，用户可以对浏览窗口进行单画面和多画面分屏等操作，支持显示实时视频信息。支持根据需要选择每个画面要浏览的视频通道。支持单画面固定显示、多画面固定显示、支持分组轮询。支持以多路分发的方式使多个用户同时监视同一路视频。</w:t>
            </w:r>
          </w:p>
          <w:p w14:paraId="4C679D8C">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12、权限管理：视频云平台具有独立的用户及权限管理能力，支持多类型用户、多层级用户权限管理功能。</w:t>
            </w:r>
          </w:p>
          <w:p w14:paraId="78A9B15D">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13、能力开放：支持多协议接入：支持GB28181协议、社会厂家如海康、大华、宇视、华为等厂家的私有协议、ONVIF等行标协议</w:t>
            </w:r>
          </w:p>
          <w:p w14:paraId="2174F199">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支持通过GB28181协议，与第三方视频平台对接，实现上下级级联，同步视频、图片数据。支持系统的二次开发以及和异构系统的集成；</w:t>
            </w:r>
          </w:p>
          <w:p w14:paraId="02603C8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需提供预留第三方对接的接口，用于公安视频专网对接，获取视频、图片等数据。</w:t>
            </w:r>
          </w:p>
          <w:p w14:paraId="0E7D2C8A">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需提供预留第三方对接的接口，用于各委办局对接，获取视频、图片数据。</w:t>
            </w:r>
          </w:p>
          <w:p w14:paraId="4BB39E44">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PC端：PC客户端支持呈现该帐号在平台注册的监控摄像头设备列表。支持多宫格查看视频直播，提供单画面、4、5、6、8、9、16、36及全屏的窗口布局。支持抓拍及手机录像并保存在自定义目录，支持自定义分组轮巡，支持权限管理，具有独立的用户及权限管理能力，支持多类型用户、多层级用户权限管理功能。录像查看具备多倍数播放，支持1/2、1/4、1/8、1、2、4、8、16倍数播放，支持对屏像录屏及抓图并自动保存在自定义目录，支持向左（后）向右（前）拖放。</w:t>
            </w:r>
          </w:p>
          <w:p w14:paraId="66B6B883">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移动端：移动客户端支持Android、iOS系统，支持多宫格查看视频直播、支持竖、横屏；支持与音柱联动播报，并可自定义播报内容、频率等配置；录像回看支持以时间轴列表展示、支持将回看文件下载至本地、支持录像拍照、本地录像保存至手机，具备多倍数播放，支持1/2、1、1.5、2、4、8倍数播放，支持支持向左（后）向右（前）拖放。</w:t>
            </w:r>
          </w:p>
          <w:p w14:paraId="4556BD27">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16、网络能力：支持公网、专网、混合组网能力</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D64C9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9316C6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1F30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16D38E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w:t>
            </w: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72972">
            <w:pPr>
              <w:spacing w:line="240" w:lineRule="auto"/>
              <w:ind w:firstLine="0" w:firstLineChars="0"/>
              <w:jc w:val="center"/>
              <w:rPr>
                <w:rFonts w:hint="eastAsia" w:ascii="宋体" w:hAnsi="宋体" w:eastAsia="宋体" w:cs="宋体"/>
                <w:i w:val="0"/>
                <w:iCs w:val="0"/>
                <w:color w:val="000000"/>
                <w:sz w:val="28"/>
                <w:szCs w:val="28"/>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57F0A8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平台软件运营维护</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51361DD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运营维护：定期回访客户，搜集、接收和受理客户对公司产品的咨询与意见；组建不少于五人的专业支撑团队其中市级2人、每个县区3人；指派有丰富实践经验的技术人员，通过服务热线电话话形式为客户提供项目咨询、故障诊断等指导性技术服务，达到客户满意；各单位终端软件安装、故障排除、日常巡查等，服务期内7×24小时响应机制，响应时间1小时内到达现场，一般性故障解决时间1小时内解决，复杂性故障解决时间12小时之内排除故障；特殊事件/节假时期响应，保证随时到场，确保重大特殊事件问题的处理和护航。</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973A94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7C7B97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552E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top w:val="single" w:color="000000" w:sz="4" w:space="0"/>
              <w:left w:val="single" w:color="000000" w:sz="4" w:space="0"/>
              <w:right w:val="single" w:color="000000" w:sz="4" w:space="0"/>
            </w:tcBorders>
            <w:noWrap w:val="0"/>
            <w:vAlign w:val="center"/>
          </w:tcPr>
          <w:p w14:paraId="586ABED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w:t>
            </w:r>
          </w:p>
        </w:tc>
        <w:tc>
          <w:tcPr>
            <w:tcW w:w="732" w:type="dxa"/>
            <w:vMerge w:val="restart"/>
            <w:tcBorders>
              <w:top w:val="single" w:color="000000" w:sz="4" w:space="0"/>
              <w:left w:val="single" w:color="000000" w:sz="4" w:space="0"/>
              <w:right w:val="single" w:color="000000" w:sz="4" w:space="0"/>
            </w:tcBorders>
            <w:noWrap w:val="0"/>
            <w:vAlign w:val="center"/>
          </w:tcPr>
          <w:p w14:paraId="408D5789">
            <w:pPr>
              <w:spacing w:line="240" w:lineRule="auto"/>
              <w:ind w:firstLine="0" w:firstLineChars="0"/>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安全边界部分</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684DAB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安全隔离与信息交换系统</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347B315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1、系统吞吐量不小于5000Mbps；并发连接数不小于50万；</w:t>
            </w:r>
          </w:p>
          <w:p w14:paraId="31F642C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2、内、外网主机系统分别采用冗余双系统启动模式，当A系统运行失败后，能从B系统启动，且A、B系统可互为备份；</w:t>
            </w:r>
          </w:p>
          <w:p w14:paraId="2106D05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3、支持病毒检测、文件交换、数据库同步、数据库访问、安全浏览、FTP访问、邮件传输、定制访问等基本功能；</w:t>
            </w:r>
          </w:p>
          <w:p w14:paraId="33AE56B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4、支持系统健康状态实时自我检测，且能在异常状态下进行声音报警；；</w:t>
            </w:r>
          </w:p>
          <w:p w14:paraId="3C45D90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提供专用客户端，与安全隔离与信息交换系统进行认证，支持本地用户名口令认证，支持对在线用户进行踢除、中断、查看等管理方式；支持基于动态令牌的双因子认证方式；</w:t>
            </w:r>
          </w:p>
          <w:p w14:paraId="267CB9D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5、支持对接入客户端的系统版本号和进程名进行控制；</w:t>
            </w:r>
          </w:p>
          <w:p w14:paraId="2ACE8E7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6、采用自有知识产权的病毒防护引擎</w:t>
            </w:r>
          </w:p>
          <w:p w14:paraId="54634C3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7、具备实时入侵检测机制，实时阻断入侵；具备抗DoS、DDoS攻击功能；</w:t>
            </w:r>
          </w:p>
          <w:p w14:paraId="4486E20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8、管理方式采用B/S架构的Web方式管理，基于数字证书管理；支持内外网分别采用专用管理口管理，支持专用管理主机管理；</w:t>
            </w:r>
          </w:p>
          <w:p w14:paraId="02A628F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9、安全隔离与信息交换系统满足GB35114标准 C级平台互联要求。；</w:t>
            </w:r>
          </w:p>
          <w:p w14:paraId="52F1F00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10、为保障安全产品厂商能够提供专业的信息安全服务，要求厂商具备具有CNAS标识的业务连续性管理体系证书。</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ED71C6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454206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597C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top w:val="single" w:color="000000" w:sz="4" w:space="0"/>
              <w:left w:val="single" w:color="000000" w:sz="4" w:space="0"/>
              <w:right w:val="single" w:color="000000" w:sz="4" w:space="0"/>
            </w:tcBorders>
            <w:noWrap w:val="0"/>
            <w:vAlign w:val="center"/>
          </w:tcPr>
          <w:p w14:paraId="1442F69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tc>
        <w:tc>
          <w:tcPr>
            <w:tcW w:w="732" w:type="dxa"/>
            <w:vMerge w:val="continue"/>
            <w:tcBorders>
              <w:left w:val="single" w:color="000000" w:sz="4" w:space="0"/>
              <w:right w:val="single" w:color="000000" w:sz="4" w:space="0"/>
            </w:tcBorders>
            <w:noWrap w:val="0"/>
            <w:vAlign w:val="center"/>
          </w:tcPr>
          <w:p w14:paraId="120EB5F5">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vMerge w:val="restart"/>
            <w:tcBorders>
              <w:top w:val="single" w:color="000000" w:sz="4" w:space="0"/>
              <w:left w:val="single" w:color="000000" w:sz="4" w:space="0"/>
              <w:right w:val="single" w:color="000000" w:sz="4" w:space="0"/>
            </w:tcBorders>
            <w:noWrap w:val="0"/>
            <w:vAlign w:val="center"/>
          </w:tcPr>
          <w:p w14:paraId="6E1AD5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综合安全网关系统服务</w:t>
            </w:r>
          </w:p>
        </w:tc>
        <w:tc>
          <w:tcPr>
            <w:tcW w:w="6036" w:type="dxa"/>
            <w:vMerge w:val="restart"/>
            <w:tcBorders>
              <w:top w:val="single" w:color="000000" w:sz="4" w:space="0"/>
              <w:left w:val="single" w:color="000000" w:sz="4" w:space="0"/>
              <w:right w:val="single" w:color="000000" w:sz="4" w:space="0"/>
            </w:tcBorders>
            <w:noWrap w:val="0"/>
            <w:vAlign w:val="top"/>
          </w:tcPr>
          <w:p w14:paraId="60E84BA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1、具有访问控制、入侵防御、防病毒功能。</w:t>
            </w:r>
          </w:p>
          <w:p w14:paraId="19CABD3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2、出于可靠性考虑，防火墙需要具备2个操作系统互为备份，且需要支持一个可用于恢复的操作系统。且系统切换可在web页面完成。</w:t>
            </w:r>
          </w:p>
          <w:p w14:paraId="7D91259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3、支持基于文件类型的策略路由，可实现将预定义或者自定义的文件按照不同的分类进行智能选路。</w:t>
            </w:r>
          </w:p>
          <w:p w14:paraId="00D23D8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4、支持静态路由，动态路由（OSPF、RIP、BGP、ISIS等），VLAN间路由，单臂路由，组播路由等。</w:t>
            </w:r>
          </w:p>
          <w:p w14:paraId="20143BF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5、支持数据防泄密功能，可针对SMTP协议主题、正文的敏感信息检测，支持对HTTP协议POST数据的消息体的敏感信息检测，支持对FTP协议上传下载文件内容的敏感信息检测</w:t>
            </w:r>
          </w:p>
          <w:p w14:paraId="7D711C9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6、支持针对单条策略中的源、目的地址进行新建、并发限制，可以针对单IP(或地址范围)进行新建、并发控制</w:t>
            </w:r>
          </w:p>
          <w:p w14:paraId="5764A9D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7、支持入侵场景保留，可记录入侵行为相关的网络数据报文，报文可保存至U盘或某台内网服务器</w:t>
            </w:r>
          </w:p>
          <w:p w14:paraId="793D0F9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8、支持细粒度的自定义IPS特征功能，要求支持DNS\HTTP\FTP\TFTP\TELNET\SNMP\POP3\SMTP\IMAP\等17大类应用层协议的自定义，可以精准设置各个协议字段内容，例如字符内容、偏移、长度等细粒度的参数。</w:t>
            </w:r>
          </w:p>
          <w:p w14:paraId="3A618CB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9、支持HTTP类攻击重定向功能，能够把HTTP协议的攻击类型重定向到指定蜜罐系统，便于对攻击进行审计与分析。</w:t>
            </w:r>
          </w:p>
          <w:p w14:paraId="4E7B729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10、支持主流ICMPFLOOD\SYNFLOOD\ACKFLOOD\SYNACKFLOOD\UDPFLOOD攻击防护，采用专业高效攻击防护算法，非采用简单的阈值进行攻击防护</w:t>
            </w:r>
          </w:p>
          <w:p w14:paraId="60701A6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11、支持至少3个Syslog服务器，发送流量、系统或默认3类型日志到不同服务器</w:t>
            </w:r>
          </w:p>
          <w:p w14:paraId="57457A3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12、支持端口联动，支持上下行端口组的联动，可以实现单端口决定同组中的任意接口失效启动链路切换</w:t>
            </w:r>
          </w:p>
          <w:p w14:paraId="27E7796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13、支持节能降耗电子信息技术，入围工信部《电子信息节能技术开发与应用方案推荐目录》；</w:t>
            </w:r>
          </w:p>
          <w:p w14:paraId="6630ACA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14、厂商综合安全网关IDC 国内排名连续3年前三</w:t>
            </w:r>
          </w:p>
        </w:tc>
        <w:tc>
          <w:tcPr>
            <w:tcW w:w="564" w:type="dxa"/>
            <w:vMerge w:val="restart"/>
            <w:tcBorders>
              <w:top w:val="single" w:color="000000" w:sz="4" w:space="0"/>
              <w:left w:val="single" w:color="000000" w:sz="4" w:space="0"/>
              <w:right w:val="single" w:color="000000" w:sz="4" w:space="0"/>
            </w:tcBorders>
            <w:noWrap w:val="0"/>
            <w:vAlign w:val="center"/>
          </w:tcPr>
          <w:p w14:paraId="6994A86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right w:val="single" w:color="000000" w:sz="4" w:space="0"/>
            </w:tcBorders>
            <w:noWrap w:val="0"/>
            <w:vAlign w:val="center"/>
          </w:tcPr>
          <w:p w14:paraId="322D33E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p>
        </w:tc>
      </w:tr>
      <w:tr w14:paraId="11A9E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564" w:type="dxa"/>
            <w:tcBorders>
              <w:left w:val="single" w:color="000000" w:sz="4" w:space="0"/>
              <w:right w:val="single" w:color="000000" w:sz="4" w:space="0"/>
            </w:tcBorders>
            <w:noWrap w:val="0"/>
            <w:vAlign w:val="center"/>
          </w:tcPr>
          <w:p w14:paraId="20473A4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742024E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650C742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17DF59D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6E3C830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4FFE169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7AE2B3E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2D3BC26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10B58AC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67C32FC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7B12FE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15F0DF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429113E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4</w:t>
            </w:r>
          </w:p>
        </w:tc>
        <w:tc>
          <w:tcPr>
            <w:tcW w:w="732" w:type="dxa"/>
            <w:vMerge w:val="continue"/>
            <w:tcBorders>
              <w:left w:val="single" w:color="000000" w:sz="4" w:space="0"/>
              <w:right w:val="single" w:color="000000" w:sz="4" w:space="0"/>
            </w:tcBorders>
            <w:noWrap w:val="0"/>
            <w:vAlign w:val="center"/>
          </w:tcPr>
          <w:p w14:paraId="6DE914EE">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vMerge w:val="continue"/>
            <w:tcBorders>
              <w:left w:val="single" w:color="000000" w:sz="4" w:space="0"/>
              <w:right w:val="single" w:color="000000" w:sz="4" w:space="0"/>
            </w:tcBorders>
            <w:noWrap w:val="0"/>
            <w:vAlign w:val="center"/>
          </w:tcPr>
          <w:p w14:paraId="265CBB0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6036" w:type="dxa"/>
            <w:vMerge w:val="continue"/>
            <w:tcBorders>
              <w:left w:val="single" w:color="000000" w:sz="4" w:space="0"/>
              <w:right w:val="single" w:color="000000" w:sz="4" w:space="0"/>
            </w:tcBorders>
            <w:noWrap w:val="0"/>
            <w:vAlign w:val="top"/>
          </w:tcPr>
          <w:p w14:paraId="3BFB39F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p>
        </w:tc>
        <w:tc>
          <w:tcPr>
            <w:tcW w:w="564" w:type="dxa"/>
            <w:vMerge w:val="continue"/>
            <w:tcBorders>
              <w:left w:val="single" w:color="000000" w:sz="4" w:space="0"/>
              <w:right w:val="single" w:color="000000" w:sz="4" w:space="0"/>
            </w:tcBorders>
            <w:noWrap w:val="0"/>
            <w:vAlign w:val="center"/>
          </w:tcPr>
          <w:p w14:paraId="1076F93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p>
        </w:tc>
        <w:tc>
          <w:tcPr>
            <w:tcW w:w="564" w:type="dxa"/>
            <w:tcBorders>
              <w:left w:val="single" w:color="000000" w:sz="4" w:space="0"/>
              <w:right w:val="single" w:color="000000" w:sz="4" w:space="0"/>
            </w:tcBorders>
            <w:noWrap w:val="0"/>
            <w:vAlign w:val="center"/>
          </w:tcPr>
          <w:p w14:paraId="1EE7AF4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1906BE4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1F96341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30DA330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136B841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547F4B1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1A51AEC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3AC038E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7DD4663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43219A1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325E537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p>
          <w:p w14:paraId="7AA6652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4DFD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564" w:type="dxa"/>
            <w:tcBorders>
              <w:left w:val="single" w:color="000000" w:sz="4" w:space="0"/>
              <w:bottom w:val="single" w:color="000000" w:sz="4" w:space="0"/>
              <w:right w:val="single" w:color="000000" w:sz="4" w:space="0"/>
            </w:tcBorders>
            <w:noWrap w:val="0"/>
            <w:vAlign w:val="center"/>
          </w:tcPr>
          <w:p w14:paraId="3C8CAF1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p>
        </w:tc>
        <w:tc>
          <w:tcPr>
            <w:tcW w:w="732" w:type="dxa"/>
            <w:vMerge w:val="continue"/>
            <w:tcBorders>
              <w:left w:val="single" w:color="000000" w:sz="4" w:space="0"/>
              <w:right w:val="single" w:color="000000" w:sz="4" w:space="0"/>
            </w:tcBorders>
            <w:noWrap w:val="0"/>
            <w:vAlign w:val="center"/>
          </w:tcPr>
          <w:p w14:paraId="7C436377">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vMerge w:val="continue"/>
            <w:tcBorders>
              <w:left w:val="single" w:color="000000" w:sz="4" w:space="0"/>
              <w:bottom w:val="single" w:color="000000" w:sz="4" w:space="0"/>
              <w:right w:val="single" w:color="000000" w:sz="4" w:space="0"/>
            </w:tcBorders>
            <w:noWrap w:val="0"/>
            <w:vAlign w:val="center"/>
          </w:tcPr>
          <w:p w14:paraId="2E8A480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p>
        </w:tc>
        <w:tc>
          <w:tcPr>
            <w:tcW w:w="6036" w:type="dxa"/>
            <w:vMerge w:val="continue"/>
            <w:tcBorders>
              <w:left w:val="single" w:color="000000" w:sz="4" w:space="0"/>
              <w:bottom w:val="single" w:color="000000" w:sz="4" w:space="0"/>
              <w:right w:val="single" w:color="000000" w:sz="4" w:space="0"/>
            </w:tcBorders>
            <w:noWrap w:val="0"/>
            <w:vAlign w:val="top"/>
          </w:tcPr>
          <w:p w14:paraId="364B9D9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p>
        </w:tc>
        <w:tc>
          <w:tcPr>
            <w:tcW w:w="564" w:type="dxa"/>
            <w:vMerge w:val="continue"/>
            <w:tcBorders>
              <w:left w:val="single" w:color="000000" w:sz="4" w:space="0"/>
              <w:bottom w:val="single" w:color="000000" w:sz="4" w:space="0"/>
              <w:right w:val="single" w:color="000000" w:sz="4" w:space="0"/>
            </w:tcBorders>
            <w:noWrap w:val="0"/>
            <w:vAlign w:val="center"/>
          </w:tcPr>
          <w:p w14:paraId="2C09D01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p>
        </w:tc>
        <w:tc>
          <w:tcPr>
            <w:tcW w:w="564" w:type="dxa"/>
            <w:tcBorders>
              <w:left w:val="single" w:color="000000" w:sz="4" w:space="0"/>
              <w:bottom w:val="single" w:color="000000" w:sz="4" w:space="0"/>
              <w:right w:val="single" w:color="000000" w:sz="4" w:space="0"/>
            </w:tcBorders>
            <w:noWrap w:val="0"/>
            <w:vAlign w:val="center"/>
          </w:tcPr>
          <w:p w14:paraId="7A8F67E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p>
        </w:tc>
      </w:tr>
      <w:tr w14:paraId="532A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564" w:type="dxa"/>
            <w:tcBorders>
              <w:left w:val="single" w:color="000000" w:sz="4" w:space="0"/>
              <w:bottom w:val="single" w:color="000000" w:sz="4" w:space="0"/>
              <w:right w:val="single" w:color="000000" w:sz="4" w:space="0"/>
            </w:tcBorders>
            <w:noWrap w:val="0"/>
            <w:vAlign w:val="center"/>
          </w:tcPr>
          <w:p w14:paraId="7AAA344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c>
          <w:tcPr>
            <w:tcW w:w="732" w:type="dxa"/>
            <w:vMerge w:val="continue"/>
            <w:tcBorders>
              <w:left w:val="single" w:color="000000" w:sz="4" w:space="0"/>
              <w:right w:val="single" w:color="000000" w:sz="4" w:space="0"/>
            </w:tcBorders>
            <w:noWrap w:val="0"/>
            <w:vAlign w:val="center"/>
          </w:tcPr>
          <w:p w14:paraId="53837E49">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8228E0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抗DDOS系统服务</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001839B6">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1、防御流量型flood攻击 ：SYN Flood 、SYN-ACK Flood、 ACK Flood、FIN/RST Flood、ICMP Flood、SIP Flood、UDP Flood、IP Fragment Flood、Stream flood等；防御UDP Flood攻击：提供2层防护，包括UDP防御阈值设置以及丢弃UDP碎片。</w:t>
            </w:r>
          </w:p>
          <w:p w14:paraId="609C175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2、ACK Flood攻击提供TCP防御阈值设置，同时必须提供ACK限速手段进行防护，开启时不影响客户在线业务。</w:t>
            </w:r>
          </w:p>
          <w:p w14:paraId="1EE6549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3、针对HTTP 攻击、CC应用层攻击必须提供如下防护手段：连接缓存、屏蔽HTTP代理、屏蔽搜索引擎、源IP连接数限制、源IP新建连接速率限制、源IP GET请求速率限制、源IP POST请求速率限制、源IP OTHER请求速率限制。</w:t>
            </w:r>
          </w:p>
          <w:p w14:paraId="2C294B4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4、具备抓取数据包的功能，能够进行在线分析，同时提供下载功能。</w:t>
            </w:r>
          </w:p>
          <w:p w14:paraId="65C096C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6、串行部署时进行双向会话管控，能够设置从外到内的连接阈值，同时必须能够设置从内到外的连接阈值。</w:t>
            </w:r>
          </w:p>
          <w:p w14:paraId="6C268A6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5、支持微信告警，通过微信公众号发送防护IP，接口，CPU，内存，磁盘等告警信息。</w:t>
            </w:r>
          </w:p>
          <w:p w14:paraId="4BAC919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6、支持攻击动态地图展示，显示全球范围内攻击源目IP所在地理位置。</w:t>
            </w:r>
          </w:p>
          <w:p w14:paraId="0B2D39A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7、支持多台设备集群部署，支持在大流量攻击发生时手动或自动启动集群，保证整个系统可用性；支持集群设备间数据状态同步、配置同步，支持集群无限扩容。</w:t>
            </w:r>
          </w:p>
          <w:p w14:paraId="276D8A2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8、支持导入SSL证书对HTTPS流量进行防护。</w:t>
            </w:r>
          </w:p>
          <w:p w14:paraId="125B8ED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9、恢复出厂保护设置，进行系统恢复出厂设置时必须输入管理员密码，防止误操作删除所有配置数据。</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C5FE88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316BBD4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68FF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564" w:type="dxa"/>
            <w:tcBorders>
              <w:left w:val="single" w:color="000000" w:sz="4" w:space="0"/>
              <w:bottom w:val="single" w:color="000000" w:sz="4" w:space="0"/>
              <w:right w:val="single" w:color="000000" w:sz="4" w:space="0"/>
            </w:tcBorders>
            <w:noWrap w:val="0"/>
            <w:vAlign w:val="center"/>
          </w:tcPr>
          <w:p w14:paraId="143D50C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6</w:t>
            </w:r>
          </w:p>
        </w:tc>
        <w:tc>
          <w:tcPr>
            <w:tcW w:w="732" w:type="dxa"/>
            <w:vMerge w:val="continue"/>
            <w:tcBorders>
              <w:left w:val="single" w:color="000000" w:sz="4" w:space="0"/>
              <w:bottom w:val="single" w:color="000000" w:sz="4" w:space="0"/>
              <w:right w:val="single" w:color="000000" w:sz="4" w:space="0"/>
            </w:tcBorders>
            <w:noWrap w:val="0"/>
            <w:vAlign w:val="center"/>
          </w:tcPr>
          <w:p w14:paraId="11D347BF">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0D3B9B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视频安全接入系统</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05247F1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1、稳定性运行时间(MTBF) &gt;50000小时</w:t>
            </w:r>
          </w:p>
          <w:p w14:paraId="55ABF2A8">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传输延时&lt;=10ms</w:t>
            </w:r>
          </w:p>
          <w:p w14:paraId="350F40E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视频传输能力≥4000路D1并发</w:t>
            </w:r>
          </w:p>
          <w:p w14:paraId="050CFDA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数据吞吐量≥8Gbps</w:t>
            </w:r>
          </w:p>
          <w:p w14:paraId="53BD444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并发用户数≥2000个</w:t>
            </w:r>
          </w:p>
          <w:p w14:paraId="4411D02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2、支持自主开发的终端认证机制，采用AES加密算法对视频客户端和视频终端设备进行认证；</w:t>
            </w:r>
          </w:p>
          <w:p w14:paraId="0624237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3、能直接支持海康、大华、宇视、科达 、互信互通、华为、先进视讯、天视、普天、中兴等不少于40多种视频控制协议 ；</w:t>
            </w:r>
          </w:p>
          <w:p w14:paraId="36C56DB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4、满足《公共安全视频监控联网系统信息传输、交换、控制技术要求》GB/T28181-2016标准技术要求，能够很好的实现视频系统间的互联互通；</w:t>
            </w:r>
          </w:p>
          <w:p w14:paraId="5E0AD9B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auto"/>
                <w:kern w:val="0"/>
                <w:sz w:val="21"/>
                <w:szCs w:val="21"/>
                <w:highlight w:val="none"/>
                <w:u w:val="none"/>
                <w:shd w:val="clear"/>
                <w:lang w:val="en-US" w:eastAsia="zh-CN" w:bidi="ar"/>
              </w:rPr>
              <w:t>★</w:t>
            </w:r>
            <w:r>
              <w:rPr>
                <w:rFonts w:hint="eastAsia" w:ascii="宋体" w:hAnsi="宋体" w:eastAsia="宋体" w:cs="宋体"/>
                <w:i w:val="0"/>
                <w:iCs w:val="0"/>
                <w:color w:val="000000"/>
                <w:kern w:val="0"/>
                <w:sz w:val="28"/>
                <w:szCs w:val="28"/>
                <w:u w:val="none"/>
                <w:lang w:val="en-US" w:eastAsia="zh-CN" w:bidi="ar"/>
              </w:rPr>
              <w:t>5、产品具有公安部安全与警用电子产品质量检测中心GB 35114-2017标准符合性检测报告；</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03B57C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9762E6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428B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5" w:hRule="atLeast"/>
        </w:trPr>
        <w:tc>
          <w:tcPr>
            <w:tcW w:w="564" w:type="dxa"/>
            <w:tcBorders>
              <w:left w:val="single" w:color="000000" w:sz="4" w:space="0"/>
              <w:bottom w:val="single" w:color="000000" w:sz="4" w:space="0"/>
              <w:right w:val="single" w:color="000000" w:sz="4" w:space="0"/>
            </w:tcBorders>
            <w:noWrap w:val="0"/>
            <w:vAlign w:val="center"/>
          </w:tcPr>
          <w:p w14:paraId="5E2CECF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7</w:t>
            </w:r>
          </w:p>
        </w:tc>
        <w:tc>
          <w:tcPr>
            <w:tcW w:w="732" w:type="dxa"/>
            <w:vMerge w:val="restart"/>
            <w:tcBorders>
              <w:left w:val="single" w:color="000000" w:sz="4" w:space="0"/>
              <w:right w:val="single" w:color="000000" w:sz="4" w:space="0"/>
            </w:tcBorders>
            <w:noWrap w:val="0"/>
            <w:vAlign w:val="center"/>
          </w:tcPr>
          <w:p w14:paraId="37087E08">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BD5B4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集控探针系统服务 </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7A281C1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1、专用安全加固Linux操作系统；</w:t>
            </w:r>
          </w:p>
          <w:p w14:paraId="113EDDB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2、支持采集多种设备的运行状态信息;</w:t>
            </w:r>
          </w:p>
          <w:p w14:paraId="0D4C2A4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3、支持对多种设备的流量信息采集;</w:t>
            </w:r>
          </w:p>
          <w:p w14:paraId="029F0F8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4、支持SYSLOG协议;</w:t>
            </w:r>
          </w:p>
          <w:p w14:paraId="5BC8134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5、支持SNMPv2/SNMPv3协议；</w:t>
            </w:r>
          </w:p>
          <w:p w14:paraId="6FD8833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6、每秒可接受日志条目不低于50条。</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5A874B4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E95F9E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4A90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64" w:type="dxa"/>
            <w:tcBorders>
              <w:left w:val="single" w:color="000000" w:sz="4" w:space="0"/>
              <w:bottom w:val="single" w:color="000000" w:sz="4" w:space="0"/>
              <w:right w:val="single" w:color="000000" w:sz="4" w:space="0"/>
            </w:tcBorders>
            <w:noWrap w:val="0"/>
            <w:vAlign w:val="center"/>
          </w:tcPr>
          <w:p w14:paraId="10AB737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8</w:t>
            </w:r>
          </w:p>
        </w:tc>
        <w:tc>
          <w:tcPr>
            <w:tcW w:w="732" w:type="dxa"/>
            <w:vMerge w:val="continue"/>
            <w:tcBorders>
              <w:left w:val="single" w:color="000000" w:sz="4" w:space="0"/>
              <w:right w:val="single" w:color="000000" w:sz="4" w:space="0"/>
            </w:tcBorders>
            <w:noWrap w:val="0"/>
            <w:vAlign w:val="center"/>
          </w:tcPr>
          <w:p w14:paraId="3FBD35B3">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5167FA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集中监控管理系统</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3C2DE5E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1、产品满足公安部边界安全规范要求，提供边界接入平台信息注册和管理功能模块，可以简便的录入边界接入平台的基本信息、建设信息、使用单位、运维信息等；</w:t>
            </w:r>
          </w:p>
          <w:p w14:paraId="5C1E569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2、产品具备对接入业务的一键巡检功能，通过点击按钮可主动获取展示当前接入业务状态，并提供选件日志录入记录功能模块；</w:t>
            </w:r>
          </w:p>
          <w:p w14:paraId="326E708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3、支持以标准Syslog方式来搜集边界接入点上各个服务器、前置机和网络设备（如交换机、路由器、防火墙、入侵检测、可信边界网关等）的日志信息；</w:t>
            </w:r>
          </w:p>
          <w:p w14:paraId="590C4F9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4、与集控探针设备联动完成链路外网侧设备及业务的信息的安全采集；</w:t>
            </w:r>
          </w:p>
          <w:p w14:paraId="2D0ABBC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5、能够对外提供第三方日志上报接口，支持以标准Syslog方式对接第三方日志服务器或者监控平台，上报采集到的设备和业务运行状态日志信息；</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63A5F1C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22DA62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39F56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64" w:type="dxa"/>
            <w:tcBorders>
              <w:left w:val="single" w:color="000000" w:sz="4" w:space="0"/>
              <w:bottom w:val="single" w:color="000000" w:sz="4" w:space="0"/>
              <w:right w:val="single" w:color="000000" w:sz="4" w:space="0"/>
            </w:tcBorders>
            <w:noWrap w:val="0"/>
            <w:vAlign w:val="center"/>
          </w:tcPr>
          <w:p w14:paraId="27489DC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9</w:t>
            </w:r>
          </w:p>
        </w:tc>
        <w:tc>
          <w:tcPr>
            <w:tcW w:w="732" w:type="dxa"/>
            <w:vMerge w:val="continue"/>
            <w:tcBorders>
              <w:left w:val="single" w:color="000000" w:sz="4" w:space="0"/>
              <w:bottom w:val="single" w:color="000000" w:sz="4" w:space="0"/>
              <w:right w:val="single" w:color="000000" w:sz="4" w:space="0"/>
            </w:tcBorders>
            <w:noWrap w:val="0"/>
            <w:vAlign w:val="center"/>
          </w:tcPr>
          <w:p w14:paraId="2C026C56">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8EC020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数据安全交换系统</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3EF5D6D9">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1、支持共享、客户端、FTP等多种模式的文件同步服务，支持文件实时同步；</w:t>
            </w:r>
          </w:p>
          <w:p w14:paraId="472A878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2、支持灵活的文件交换冲突选项，包括：重名策略，覆盖、放弃、重命名等处理模式；文件数据交换延时不高于1.1毫秒；</w:t>
            </w:r>
          </w:p>
          <w:p w14:paraId="1D9FD50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3、支持主流关系型数据库数据交换：Oracle、DB2、SQL Server、GreenPlum、Sybase、MYSQL的各种版本，及支持达梦、Gbase、神舟通用等国产数据库，及支持Cassandra、UDB等大数据数据库；</w:t>
            </w:r>
          </w:p>
          <w:p w14:paraId="1A3B2A7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4、支持多种数据库获取方式，包括：全表镜像模式、有序增量模式、快照日志模式、触发器模式和同表双向模式；</w:t>
            </w:r>
          </w:p>
          <w:p w14:paraId="0756117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支持各种数据库之间的异构数据转换，包括：不同数据库、同类数据库不同版本的转换、异构表、异构字段名、异构字段类型的转换、异构字符类型、异构数据库字符集的转换、大字段的异构等； </w:t>
            </w:r>
          </w:p>
          <w:p w14:paraId="2316514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5、支持纯Ipv6网络环境，且支持Ipv6过渡网络环境的双协议栈及协议转换；网络传输延时不高于0.3毫秒；</w:t>
            </w:r>
          </w:p>
          <w:p w14:paraId="79F07B1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auto"/>
                <w:kern w:val="0"/>
                <w:sz w:val="21"/>
                <w:szCs w:val="21"/>
                <w:highlight w:val="none"/>
                <w:u w:val="none"/>
                <w:shd w:val="clear"/>
                <w:lang w:val="en-US" w:eastAsia="zh-CN" w:bidi="ar"/>
              </w:rPr>
              <w:t>★</w:t>
            </w:r>
            <w:r>
              <w:rPr>
                <w:rFonts w:hint="eastAsia" w:ascii="宋体" w:hAnsi="宋体" w:eastAsia="宋体" w:cs="宋体"/>
                <w:i w:val="0"/>
                <w:iCs w:val="0"/>
                <w:color w:val="000000"/>
                <w:kern w:val="0"/>
                <w:sz w:val="28"/>
                <w:szCs w:val="28"/>
                <w:u w:val="none"/>
                <w:lang w:val="en-US" w:eastAsia="zh-CN" w:bidi="ar"/>
              </w:rPr>
              <w:t>6、满足《GA/T 1788.3-2021 公安视频图像信息系统安全要求-第 3 部分：安全交互》要求的签名验签、协议识别、内容过滤、流量管控、服务认证、双向隔离、API服务注册数、API并发数测试要求，提供公安部颁发的测试报告。</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492546E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0031E24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5</w:t>
            </w:r>
          </w:p>
        </w:tc>
      </w:tr>
      <w:tr w14:paraId="0D5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64" w:type="dxa"/>
            <w:tcBorders>
              <w:left w:val="single" w:color="000000" w:sz="4" w:space="0"/>
              <w:bottom w:val="single" w:color="000000" w:sz="4" w:space="0"/>
              <w:right w:val="single" w:color="000000" w:sz="4" w:space="0"/>
            </w:tcBorders>
            <w:noWrap w:val="0"/>
            <w:vAlign w:val="center"/>
          </w:tcPr>
          <w:p w14:paraId="6140A237">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10</w:t>
            </w:r>
          </w:p>
        </w:tc>
        <w:tc>
          <w:tcPr>
            <w:tcW w:w="732" w:type="dxa"/>
            <w:vMerge w:val="restart"/>
            <w:tcBorders>
              <w:left w:val="single" w:color="000000" w:sz="4" w:space="0"/>
              <w:right w:val="single" w:color="000000" w:sz="4" w:space="0"/>
            </w:tcBorders>
            <w:noWrap w:val="0"/>
            <w:vAlign w:val="center"/>
          </w:tcPr>
          <w:p w14:paraId="2F91BF2D">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设备建设部分</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26891A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AI多摄全结构化摄像机</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312DC29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1、设备内置双镜头，可同时采集2路不同场景的音视频码流。</w:t>
            </w:r>
          </w:p>
          <w:p w14:paraId="7462FD3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2、通道一主码流分辨率不小于3840x2160@25fps，子码流不小于704x576@25fps，第三码流不小于1920x1080@25fps。通道二主码流分辨率不小于1920x1080@25fps，子码流不小于704x576@25fps，第三码流不小于1920x1080@25fps。</w:t>
            </w:r>
          </w:p>
          <w:p w14:paraId="110CC81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3、细节通道靶面尺寸不小于1/1.8英寸。</w:t>
            </w:r>
          </w:p>
          <w:p w14:paraId="7014EAA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4、最低照度彩色不大于0.0002 lx，黑白不大于0.0001 lx。</w:t>
            </w:r>
          </w:p>
          <w:p w14:paraId="4BEAF7E3">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5、上镜头支持电动变焦。</w:t>
            </w:r>
          </w:p>
          <w:p w14:paraId="151669D1">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6、支持H.264、H.265、MJPEG视频编码格式，可将H.264  H.265格式设置为High Profile。</w:t>
            </w:r>
          </w:p>
          <w:p w14:paraId="72EF7875">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7、同一静止场景相同图像质量下，设备在H.265编码方式时，开启智能编码功能和不开启智能编码相比，码率节约≥80%。</w:t>
            </w:r>
          </w:p>
          <w:p w14:paraId="64864D87">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8、在分辨率1920x1080 @ 25fps，码流设置为1Mbps时，视频图像传输延时不大于70ms。支持亮度异常、清晰度异常、花屏、雪花、偏色、画面冻结、增益失衡、画面抖动、条纹干扰、信号丢失、视频遮挡、光晕、紫边等故障报警功能。</w:t>
            </w:r>
          </w:p>
          <w:p w14:paraId="1D32667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9、内置不少于1颗GPU芯片。</w:t>
            </w:r>
          </w:p>
          <w:p w14:paraId="3EB3A66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10、支持同时对检测区域内不少于150个移动目标（机动车、非机动车及行人）进行检测框选跟踪、筛选、抓拍，并支持人脸与人体图片、车牌与车辆图片关联显示。</w:t>
            </w:r>
          </w:p>
          <w:p w14:paraId="7C674F50">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11、支持数据感知功能，在IE 浏览器下，重启事件记录可包括正常重启和异常重启2种类型。正常重启可记录重启的时间、服务类型、用户名、IP/域名信息；异常重启可记录重启时间、异常类型信息。</w:t>
            </w:r>
          </w:p>
          <w:p w14:paraId="4E08BED2">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12、支持固件安全检验功能，摄像机uboot应采用加密存储，通过离线烧写存储器方式写入的uboot执行程序，不能被硬件微引导程序加载执行。</w:t>
            </w:r>
          </w:p>
          <w:p w14:paraId="1748A21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设备具有耀光抑制功能，耀光区域≤1%。（公安部检验报告证明）</w:t>
            </w:r>
          </w:p>
          <w:p w14:paraId="0E45380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13、内置不少于6颗混合补光灯。每颗灯由红外灯、白光灯组成，在开启白光灯或混合补光灯时，可输出彩色视频图像。</w:t>
            </w:r>
          </w:p>
          <w:p w14:paraId="33BEDE3C">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auto"/>
                <w:kern w:val="0"/>
                <w:sz w:val="21"/>
                <w:szCs w:val="21"/>
                <w:highlight w:val="none"/>
                <w:u w:val="none"/>
                <w:shd w:val="clear"/>
                <w:lang w:val="en-US" w:eastAsia="zh-CN" w:bidi="ar"/>
              </w:rPr>
              <w:t>★</w:t>
            </w:r>
            <w:r>
              <w:rPr>
                <w:rFonts w:hint="eastAsia" w:ascii="宋体" w:hAnsi="宋体" w:eastAsia="宋体" w:cs="宋体"/>
                <w:i w:val="0"/>
                <w:iCs w:val="0"/>
                <w:color w:val="000000"/>
                <w:kern w:val="0"/>
                <w:sz w:val="28"/>
                <w:szCs w:val="28"/>
                <w:u w:val="none"/>
                <w:lang w:val="en-US" w:eastAsia="zh-CN" w:bidi="ar"/>
              </w:rPr>
              <w:t>14、支持对镜头前盖玻璃加热，去除玻璃上的冰状和水状附着物。（公安部检验报告证明）</w:t>
            </w:r>
          </w:p>
          <w:p w14:paraId="0E82A6FB">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15、支持IP67防尘防水等级（公安部检验报告证明）</w:t>
            </w:r>
          </w:p>
          <w:p w14:paraId="6CD0A8AF">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16、内置不少于2个麦克风，1个扬声器，3路报警输入，2路报警输出，2路音频输入，1路音频输出，1个SD卡槽，1个DC12V电压输出接口，支持DC12V或POE供电。</w:t>
            </w:r>
          </w:p>
          <w:p w14:paraId="66A56DDD">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17、支持检出两眼瞳距20像素点以上的人脸图片。</w:t>
            </w:r>
          </w:p>
          <w:p w14:paraId="28BC3DEA">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18、支持人脸比对，比对准确率不低于99%。</w:t>
            </w:r>
          </w:p>
          <w:p w14:paraId="381150E4">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19、支持侧脸过滤功能，可过滤上下、左右角度达到预设值的人脸。</w:t>
            </w:r>
          </w:p>
          <w:p w14:paraId="688F0E9E">
            <w:pPr>
              <w:keepNext w:val="0"/>
              <w:keepLines w:val="0"/>
              <w:widowControl/>
              <w:suppressLineNumbers w:val="0"/>
              <w:spacing w:line="240" w:lineRule="auto"/>
              <w:ind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20、具有低温低气压适应性，可在不高于-45℃和气压70kPa环境下正常工作。不低于IP68、IK10防护等级。</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12BD2769">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sz w:val="28"/>
                <w:szCs w:val="28"/>
                <w:u w:val="none"/>
                <w:lang w:val="en-US" w:eastAsia="zh-CN"/>
              </w:rPr>
              <w:t>37台</w:t>
            </w:r>
          </w:p>
        </w:tc>
      </w:tr>
      <w:tr w14:paraId="13E4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564" w:type="dxa"/>
            <w:tcBorders>
              <w:left w:val="single" w:color="000000" w:sz="4" w:space="0"/>
              <w:bottom w:val="single" w:color="000000" w:sz="4" w:space="0"/>
              <w:right w:val="single" w:color="000000" w:sz="4" w:space="0"/>
            </w:tcBorders>
            <w:noWrap w:val="0"/>
            <w:vAlign w:val="center"/>
          </w:tcPr>
          <w:p w14:paraId="3D72C8E9">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11</w:t>
            </w:r>
          </w:p>
        </w:tc>
        <w:tc>
          <w:tcPr>
            <w:tcW w:w="732" w:type="dxa"/>
            <w:vMerge w:val="continue"/>
            <w:tcBorders>
              <w:left w:val="single" w:color="000000" w:sz="4" w:space="0"/>
              <w:right w:val="single" w:color="000000" w:sz="4" w:space="0"/>
            </w:tcBorders>
            <w:noWrap w:val="0"/>
            <w:vAlign w:val="center"/>
          </w:tcPr>
          <w:p w14:paraId="33A5D55D">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2FF1AB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摄像机电源</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2CF10CC9">
            <w:pPr>
              <w:keepNext w:val="0"/>
              <w:keepLines w:val="0"/>
              <w:widowControl/>
              <w:suppressLineNumbers w:val="0"/>
              <w:spacing w:line="240" w:lineRule="auto"/>
              <w:ind w:firstLine="840" w:firstLineChars="300"/>
              <w:jc w:val="center"/>
              <w:textAlignment w:val="center"/>
              <w:rPr>
                <w:rFonts w:hint="eastAsia" w:ascii="宋体" w:hAnsi="宋体" w:eastAsia="宋体" w:cs="宋体"/>
                <w:i w:val="0"/>
                <w:iCs w:val="0"/>
                <w:color w:val="000000"/>
                <w:kern w:val="0"/>
                <w:sz w:val="28"/>
                <w:szCs w:val="28"/>
                <w:u w:val="none"/>
                <w:lang w:val="en-US" w:eastAsia="zh-CN" w:bidi="ar"/>
              </w:rPr>
            </w:pPr>
          </w:p>
          <w:p w14:paraId="1319011F">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220V-DC12V/2A</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6850409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w:t>
            </w:r>
            <w:r>
              <w:rPr>
                <w:rFonts w:hint="eastAsia" w:ascii="宋体" w:hAnsi="宋体" w:eastAsia="宋体" w:cs="宋体"/>
                <w:i w:val="0"/>
                <w:iCs w:val="0"/>
                <w:color w:val="000000"/>
                <w:sz w:val="28"/>
                <w:szCs w:val="28"/>
                <w:u w:val="none"/>
              </w:rPr>
              <w:t>个</w:t>
            </w:r>
          </w:p>
        </w:tc>
      </w:tr>
      <w:tr w14:paraId="23CA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64" w:type="dxa"/>
            <w:tcBorders>
              <w:left w:val="single" w:color="000000" w:sz="4" w:space="0"/>
              <w:bottom w:val="single" w:color="000000" w:sz="4" w:space="0"/>
              <w:right w:val="single" w:color="000000" w:sz="4" w:space="0"/>
            </w:tcBorders>
            <w:noWrap w:val="0"/>
            <w:vAlign w:val="center"/>
          </w:tcPr>
          <w:p w14:paraId="3F69E5E8">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12</w:t>
            </w:r>
          </w:p>
        </w:tc>
        <w:tc>
          <w:tcPr>
            <w:tcW w:w="732" w:type="dxa"/>
            <w:vMerge w:val="continue"/>
            <w:tcBorders>
              <w:left w:val="single" w:color="000000" w:sz="4" w:space="0"/>
              <w:right w:val="single" w:color="000000" w:sz="4" w:space="0"/>
            </w:tcBorders>
            <w:noWrap w:val="0"/>
            <w:vAlign w:val="center"/>
          </w:tcPr>
          <w:p w14:paraId="019D222C">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17974E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支架</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137FBD5B">
            <w:pPr>
              <w:keepNext w:val="0"/>
              <w:keepLines w:val="0"/>
              <w:widowControl/>
              <w:suppressLineNumbers w:val="0"/>
              <w:spacing w:line="240" w:lineRule="auto"/>
              <w:ind w:left="0" w:leftChars="0" w:firstLine="0" w:firstLineChars="0"/>
              <w:jc w:val="both"/>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8"/>
                <w:szCs w:val="28"/>
                <w:u w:val="none"/>
                <w:lang w:val="en-US" w:eastAsia="zh-CN" w:bidi="ar"/>
              </w:rPr>
              <w:t>铝合金高强度支架32CM</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5DECDEC8">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37套</w:t>
            </w:r>
          </w:p>
        </w:tc>
      </w:tr>
      <w:tr w14:paraId="734C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64" w:type="dxa"/>
            <w:tcBorders>
              <w:left w:val="single" w:color="000000" w:sz="4" w:space="0"/>
              <w:bottom w:val="single" w:color="000000" w:sz="4" w:space="0"/>
              <w:right w:val="single" w:color="000000" w:sz="4" w:space="0"/>
            </w:tcBorders>
            <w:noWrap w:val="0"/>
            <w:vAlign w:val="center"/>
          </w:tcPr>
          <w:p w14:paraId="0CFBE734">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13</w:t>
            </w:r>
          </w:p>
        </w:tc>
        <w:tc>
          <w:tcPr>
            <w:tcW w:w="732" w:type="dxa"/>
            <w:vMerge w:val="continue"/>
            <w:tcBorders>
              <w:left w:val="single" w:color="000000" w:sz="4" w:space="0"/>
              <w:right w:val="single" w:color="000000" w:sz="4" w:space="0"/>
            </w:tcBorders>
            <w:noWrap w:val="0"/>
            <w:vAlign w:val="center"/>
          </w:tcPr>
          <w:p w14:paraId="2C1513C4">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31AA80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3米杆体</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595991A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监控专用立杆（含立杆地埋回填）。3米倒L型杆，支臂长度0.3-1米。</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25C8E36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w:t>
            </w:r>
            <w:r>
              <w:rPr>
                <w:rFonts w:hint="eastAsia" w:ascii="宋体" w:hAnsi="宋体" w:eastAsia="宋体" w:cs="宋体"/>
                <w:i w:val="0"/>
                <w:iCs w:val="0"/>
                <w:color w:val="000000"/>
                <w:sz w:val="28"/>
                <w:szCs w:val="28"/>
                <w:u w:val="none"/>
              </w:rPr>
              <w:t>套</w:t>
            </w:r>
          </w:p>
        </w:tc>
      </w:tr>
      <w:tr w14:paraId="1B74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564" w:type="dxa"/>
            <w:tcBorders>
              <w:left w:val="single" w:color="000000" w:sz="4" w:space="0"/>
              <w:bottom w:val="single" w:color="000000" w:sz="4" w:space="0"/>
              <w:right w:val="single" w:color="000000" w:sz="4" w:space="0"/>
            </w:tcBorders>
            <w:noWrap w:val="0"/>
            <w:vAlign w:val="center"/>
          </w:tcPr>
          <w:p w14:paraId="258F297D">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14</w:t>
            </w:r>
          </w:p>
        </w:tc>
        <w:tc>
          <w:tcPr>
            <w:tcW w:w="732" w:type="dxa"/>
            <w:vMerge w:val="continue"/>
            <w:tcBorders>
              <w:left w:val="single" w:color="000000" w:sz="4" w:space="0"/>
              <w:right w:val="single" w:color="000000" w:sz="4" w:space="0"/>
            </w:tcBorders>
            <w:noWrap w:val="0"/>
            <w:vAlign w:val="center"/>
          </w:tcPr>
          <w:p w14:paraId="2856957D">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30A860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数据线</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666F29A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8*0.5阻水超五数据线</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55CC53C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370</w:t>
            </w:r>
            <w:r>
              <w:rPr>
                <w:rFonts w:hint="eastAsia" w:ascii="宋体" w:hAnsi="宋体" w:eastAsia="宋体" w:cs="宋体"/>
                <w:i w:val="0"/>
                <w:iCs w:val="0"/>
                <w:color w:val="000000"/>
                <w:sz w:val="28"/>
                <w:szCs w:val="28"/>
                <w:u w:val="none"/>
              </w:rPr>
              <w:t>米</w:t>
            </w:r>
          </w:p>
        </w:tc>
      </w:tr>
      <w:tr w14:paraId="6032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left w:val="single" w:color="000000" w:sz="4" w:space="0"/>
              <w:bottom w:val="single" w:color="000000" w:sz="4" w:space="0"/>
              <w:right w:val="single" w:color="000000" w:sz="4" w:space="0"/>
            </w:tcBorders>
            <w:noWrap w:val="0"/>
            <w:vAlign w:val="center"/>
          </w:tcPr>
          <w:p w14:paraId="747A56E3">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15</w:t>
            </w:r>
          </w:p>
        </w:tc>
        <w:tc>
          <w:tcPr>
            <w:tcW w:w="732" w:type="dxa"/>
            <w:vMerge w:val="continue"/>
            <w:tcBorders>
              <w:left w:val="single" w:color="000000" w:sz="4" w:space="0"/>
              <w:right w:val="single" w:color="000000" w:sz="4" w:space="0"/>
            </w:tcBorders>
            <w:noWrap w:val="0"/>
            <w:vAlign w:val="center"/>
          </w:tcPr>
          <w:p w14:paraId="30530579">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692FFB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电源线</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5CB6555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RVV3*1</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76565A2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3000</w:t>
            </w:r>
            <w:r>
              <w:rPr>
                <w:rFonts w:hint="eastAsia" w:ascii="宋体" w:hAnsi="宋体" w:eastAsia="宋体" w:cs="宋体"/>
                <w:i w:val="0"/>
                <w:iCs w:val="0"/>
                <w:color w:val="000000"/>
                <w:sz w:val="28"/>
                <w:szCs w:val="28"/>
                <w:u w:val="none"/>
              </w:rPr>
              <w:t>米</w:t>
            </w:r>
          </w:p>
        </w:tc>
      </w:tr>
      <w:tr w14:paraId="02FA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left w:val="single" w:color="000000" w:sz="4" w:space="0"/>
              <w:bottom w:val="single" w:color="000000" w:sz="4" w:space="0"/>
              <w:right w:val="single" w:color="000000" w:sz="4" w:space="0"/>
            </w:tcBorders>
            <w:noWrap w:val="0"/>
            <w:vAlign w:val="center"/>
          </w:tcPr>
          <w:p w14:paraId="03401E65">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16</w:t>
            </w:r>
          </w:p>
        </w:tc>
        <w:tc>
          <w:tcPr>
            <w:tcW w:w="732" w:type="dxa"/>
            <w:vMerge w:val="continue"/>
            <w:tcBorders>
              <w:left w:val="single" w:color="000000" w:sz="4" w:space="0"/>
              <w:right w:val="single" w:color="000000" w:sz="4" w:space="0"/>
            </w:tcBorders>
            <w:noWrap w:val="0"/>
            <w:vAlign w:val="center"/>
          </w:tcPr>
          <w:p w14:paraId="570763D7">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94ABF5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光缆</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4D42C8C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蝴蝶纤</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7722E37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4000</w:t>
            </w:r>
            <w:r>
              <w:rPr>
                <w:rFonts w:hint="eastAsia" w:ascii="宋体" w:hAnsi="宋体" w:eastAsia="宋体" w:cs="宋体"/>
                <w:i w:val="0"/>
                <w:iCs w:val="0"/>
                <w:color w:val="000000"/>
                <w:sz w:val="28"/>
                <w:szCs w:val="28"/>
                <w:u w:val="none"/>
              </w:rPr>
              <w:t>米</w:t>
            </w:r>
          </w:p>
        </w:tc>
      </w:tr>
      <w:tr w14:paraId="462B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left w:val="single" w:color="000000" w:sz="4" w:space="0"/>
              <w:bottom w:val="single" w:color="000000" w:sz="4" w:space="0"/>
              <w:right w:val="single" w:color="000000" w:sz="4" w:space="0"/>
            </w:tcBorders>
            <w:noWrap w:val="0"/>
            <w:vAlign w:val="center"/>
          </w:tcPr>
          <w:p w14:paraId="4226B4BA">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17</w:t>
            </w:r>
          </w:p>
        </w:tc>
        <w:tc>
          <w:tcPr>
            <w:tcW w:w="732" w:type="dxa"/>
            <w:vMerge w:val="continue"/>
            <w:tcBorders>
              <w:left w:val="single" w:color="000000" w:sz="4" w:space="0"/>
              <w:right w:val="single" w:color="000000" w:sz="4" w:space="0"/>
            </w:tcBorders>
            <w:noWrap w:val="0"/>
            <w:vAlign w:val="center"/>
          </w:tcPr>
          <w:p w14:paraId="54156941">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01DAACE">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防雷接地配套</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6B4F2A24">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2合1防雷接地模块网络防浪涌2KV 电源防浪涌1kv、降阻剂，接地电阻不大于10欧。</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7800049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w:t>
            </w:r>
            <w:r>
              <w:rPr>
                <w:rFonts w:hint="eastAsia" w:ascii="宋体" w:hAnsi="宋体" w:eastAsia="宋体" w:cs="宋体"/>
                <w:i w:val="0"/>
                <w:iCs w:val="0"/>
                <w:color w:val="000000"/>
                <w:sz w:val="28"/>
                <w:szCs w:val="28"/>
                <w:u w:val="none"/>
              </w:rPr>
              <w:t>套</w:t>
            </w:r>
          </w:p>
        </w:tc>
      </w:tr>
      <w:tr w14:paraId="2406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64" w:type="dxa"/>
            <w:tcBorders>
              <w:left w:val="single" w:color="000000" w:sz="4" w:space="0"/>
              <w:bottom w:val="single" w:color="000000" w:sz="4" w:space="0"/>
              <w:right w:val="single" w:color="000000" w:sz="4" w:space="0"/>
            </w:tcBorders>
            <w:noWrap w:val="0"/>
            <w:vAlign w:val="center"/>
          </w:tcPr>
          <w:p w14:paraId="3E894D1A">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18</w:t>
            </w:r>
          </w:p>
        </w:tc>
        <w:tc>
          <w:tcPr>
            <w:tcW w:w="732" w:type="dxa"/>
            <w:vMerge w:val="continue"/>
            <w:tcBorders>
              <w:left w:val="single" w:color="000000" w:sz="4" w:space="0"/>
              <w:right w:val="single" w:color="000000" w:sz="4" w:space="0"/>
            </w:tcBorders>
            <w:noWrap w:val="0"/>
            <w:vAlign w:val="center"/>
          </w:tcPr>
          <w:p w14:paraId="14BD10D6">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862041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室外控制箱</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068BF57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监控设备箱280*180*120烤漆防水</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0E70265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w:t>
            </w:r>
            <w:r>
              <w:rPr>
                <w:rFonts w:hint="eastAsia" w:ascii="宋体" w:hAnsi="宋体" w:eastAsia="宋体" w:cs="宋体"/>
                <w:i w:val="0"/>
                <w:iCs w:val="0"/>
                <w:color w:val="000000"/>
                <w:sz w:val="28"/>
                <w:szCs w:val="28"/>
                <w:u w:val="none"/>
              </w:rPr>
              <w:t>个</w:t>
            </w:r>
          </w:p>
        </w:tc>
      </w:tr>
      <w:tr w14:paraId="50C4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4" w:type="dxa"/>
            <w:tcBorders>
              <w:left w:val="single" w:color="000000" w:sz="4" w:space="0"/>
              <w:bottom w:val="single" w:color="000000" w:sz="4" w:space="0"/>
              <w:right w:val="single" w:color="000000" w:sz="4" w:space="0"/>
            </w:tcBorders>
            <w:noWrap w:val="0"/>
            <w:vAlign w:val="center"/>
          </w:tcPr>
          <w:p w14:paraId="4D08FBC5">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19</w:t>
            </w:r>
          </w:p>
        </w:tc>
        <w:tc>
          <w:tcPr>
            <w:tcW w:w="732" w:type="dxa"/>
            <w:vMerge w:val="continue"/>
            <w:tcBorders>
              <w:left w:val="single" w:color="000000" w:sz="4" w:space="0"/>
              <w:right w:val="single" w:color="000000" w:sz="4" w:space="0"/>
            </w:tcBorders>
            <w:noWrap w:val="0"/>
            <w:vAlign w:val="center"/>
          </w:tcPr>
          <w:p w14:paraId="52A28843">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F5124F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电源控制</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2B110FFB">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空开电源盒明装220V16A</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2AB8B16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50</w:t>
            </w:r>
            <w:r>
              <w:rPr>
                <w:rFonts w:hint="eastAsia" w:ascii="宋体" w:hAnsi="宋体" w:eastAsia="宋体" w:cs="宋体"/>
                <w:i w:val="0"/>
                <w:iCs w:val="0"/>
                <w:color w:val="000000"/>
                <w:sz w:val="28"/>
                <w:szCs w:val="28"/>
                <w:u w:val="none"/>
              </w:rPr>
              <w:t>套</w:t>
            </w:r>
          </w:p>
        </w:tc>
      </w:tr>
      <w:tr w14:paraId="6B6E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64" w:type="dxa"/>
            <w:tcBorders>
              <w:left w:val="single" w:color="000000" w:sz="4" w:space="0"/>
              <w:bottom w:val="single" w:color="000000" w:sz="4" w:space="0"/>
              <w:right w:val="single" w:color="000000" w:sz="4" w:space="0"/>
            </w:tcBorders>
            <w:noWrap w:val="0"/>
            <w:vAlign w:val="center"/>
          </w:tcPr>
          <w:p w14:paraId="5A58EF7F">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20</w:t>
            </w:r>
          </w:p>
        </w:tc>
        <w:tc>
          <w:tcPr>
            <w:tcW w:w="732" w:type="dxa"/>
            <w:vMerge w:val="continue"/>
            <w:tcBorders>
              <w:left w:val="single" w:color="000000" w:sz="4" w:space="0"/>
              <w:right w:val="single" w:color="000000" w:sz="4" w:space="0"/>
            </w:tcBorders>
            <w:noWrap w:val="0"/>
            <w:vAlign w:val="center"/>
          </w:tcPr>
          <w:p w14:paraId="2FB0F35F">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ACD87B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交换箱小插座</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32F893E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10A9孔电源插座</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26E7824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w:t>
            </w:r>
            <w:r>
              <w:rPr>
                <w:rFonts w:hint="eastAsia" w:ascii="宋体" w:hAnsi="宋体" w:eastAsia="宋体" w:cs="宋体"/>
                <w:i w:val="0"/>
                <w:iCs w:val="0"/>
                <w:color w:val="000000"/>
                <w:sz w:val="28"/>
                <w:szCs w:val="28"/>
                <w:u w:val="none"/>
              </w:rPr>
              <w:t>个</w:t>
            </w:r>
          </w:p>
        </w:tc>
      </w:tr>
      <w:tr w14:paraId="30FC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564" w:type="dxa"/>
            <w:tcBorders>
              <w:left w:val="single" w:color="000000" w:sz="4" w:space="0"/>
              <w:bottom w:val="single" w:color="000000" w:sz="4" w:space="0"/>
              <w:right w:val="single" w:color="000000" w:sz="4" w:space="0"/>
            </w:tcBorders>
            <w:noWrap w:val="0"/>
            <w:vAlign w:val="center"/>
          </w:tcPr>
          <w:p w14:paraId="323D4E4B">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21</w:t>
            </w:r>
          </w:p>
        </w:tc>
        <w:tc>
          <w:tcPr>
            <w:tcW w:w="732" w:type="dxa"/>
            <w:vMerge w:val="continue"/>
            <w:tcBorders>
              <w:left w:val="single" w:color="000000" w:sz="4" w:space="0"/>
              <w:right w:val="single" w:color="000000" w:sz="4" w:space="0"/>
            </w:tcBorders>
            <w:noWrap w:val="0"/>
            <w:vAlign w:val="center"/>
          </w:tcPr>
          <w:p w14:paraId="7553E42F">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ED7036A">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安装辅材</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5789A9A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穿线管，各类线材、水晶头、绑扎固定辅料等</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3E9FDF0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w:t>
            </w:r>
            <w:r>
              <w:rPr>
                <w:rFonts w:hint="eastAsia" w:ascii="宋体" w:hAnsi="宋体" w:eastAsia="宋体" w:cs="宋体"/>
                <w:i w:val="0"/>
                <w:iCs w:val="0"/>
                <w:color w:val="000000"/>
                <w:sz w:val="28"/>
                <w:szCs w:val="28"/>
                <w:u w:val="none"/>
              </w:rPr>
              <w:t>套</w:t>
            </w:r>
          </w:p>
        </w:tc>
      </w:tr>
      <w:tr w14:paraId="36B8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564" w:type="dxa"/>
            <w:tcBorders>
              <w:left w:val="single" w:color="000000" w:sz="4" w:space="0"/>
              <w:bottom w:val="single" w:color="000000" w:sz="4" w:space="0"/>
              <w:right w:val="single" w:color="000000" w:sz="4" w:space="0"/>
            </w:tcBorders>
            <w:noWrap w:val="0"/>
            <w:vAlign w:val="center"/>
          </w:tcPr>
          <w:p w14:paraId="7A69CD98">
            <w:pPr>
              <w:keepNext w:val="0"/>
              <w:keepLines w:val="0"/>
              <w:widowControl/>
              <w:suppressLineNumbers w:val="0"/>
              <w:spacing w:line="240" w:lineRule="auto"/>
              <w:ind w:firstLine="0" w:firstLineChars="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22</w:t>
            </w:r>
          </w:p>
        </w:tc>
        <w:tc>
          <w:tcPr>
            <w:tcW w:w="732" w:type="dxa"/>
            <w:vMerge w:val="continue"/>
            <w:tcBorders>
              <w:left w:val="single" w:color="000000" w:sz="4" w:space="0"/>
              <w:bottom w:val="single" w:color="000000" w:sz="4" w:space="0"/>
              <w:right w:val="single" w:color="000000" w:sz="4" w:space="0"/>
            </w:tcBorders>
            <w:noWrap w:val="0"/>
            <w:vAlign w:val="center"/>
          </w:tcPr>
          <w:p w14:paraId="56CB75F7">
            <w:pPr>
              <w:spacing w:line="240" w:lineRule="auto"/>
              <w:ind w:firstLine="0" w:firstLineChars="0"/>
              <w:jc w:val="center"/>
              <w:rPr>
                <w:rFonts w:hint="eastAsia" w:ascii="宋体" w:hAnsi="宋体" w:eastAsia="宋体" w:cs="宋体"/>
                <w:i w:val="0"/>
                <w:iCs w:val="0"/>
                <w:color w:val="000000"/>
                <w:kern w:val="0"/>
                <w:sz w:val="28"/>
                <w:szCs w:val="2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0B34928">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集成服务</w:t>
            </w:r>
          </w:p>
        </w:tc>
        <w:tc>
          <w:tcPr>
            <w:tcW w:w="6036" w:type="dxa"/>
            <w:tcBorders>
              <w:top w:val="single" w:color="000000" w:sz="4" w:space="0"/>
              <w:left w:val="single" w:color="000000" w:sz="4" w:space="0"/>
              <w:bottom w:val="single" w:color="000000" w:sz="4" w:space="0"/>
              <w:right w:val="single" w:color="000000" w:sz="4" w:space="0"/>
            </w:tcBorders>
            <w:noWrap w:val="0"/>
            <w:vAlign w:val="top"/>
          </w:tcPr>
          <w:p w14:paraId="5B0AE0E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37处摄像机点位及配套设备的部署、安装、调试</w:t>
            </w:r>
          </w:p>
        </w:tc>
        <w:tc>
          <w:tcPr>
            <w:tcW w:w="1128" w:type="dxa"/>
            <w:gridSpan w:val="2"/>
            <w:tcBorders>
              <w:top w:val="single" w:color="000000" w:sz="4" w:space="0"/>
              <w:left w:val="single" w:color="000000" w:sz="4" w:space="0"/>
              <w:bottom w:val="single" w:color="000000" w:sz="4" w:space="0"/>
              <w:right w:val="single" w:color="000000" w:sz="4" w:space="0"/>
            </w:tcBorders>
            <w:noWrap w:val="0"/>
            <w:vAlign w:val="center"/>
          </w:tcPr>
          <w:p w14:paraId="2C04BC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37</w:t>
            </w:r>
            <w:r>
              <w:rPr>
                <w:rFonts w:hint="eastAsia" w:ascii="宋体" w:hAnsi="宋体" w:eastAsia="宋体" w:cs="宋体"/>
                <w:i w:val="0"/>
                <w:iCs w:val="0"/>
                <w:color w:val="000000"/>
                <w:sz w:val="28"/>
                <w:szCs w:val="28"/>
                <w:u w:val="none"/>
              </w:rPr>
              <w:t>项</w:t>
            </w:r>
          </w:p>
        </w:tc>
      </w:tr>
    </w:tbl>
    <w:p w14:paraId="26A7A40A">
      <w:pPr>
        <w:spacing w:line="240" w:lineRule="auto"/>
        <w:ind w:firstLine="422" w:firstLineChars="200"/>
        <w:jc w:val="left"/>
        <w:rPr>
          <w:rFonts w:hint="eastAsia" w:ascii="宋体" w:hAnsi="宋体" w:eastAsia="宋体" w:cs="宋体"/>
          <w:b/>
          <w:bCs w:val="0"/>
          <w:color w:val="auto"/>
          <w:sz w:val="21"/>
          <w:szCs w:val="21"/>
          <w:highlight w:val="none"/>
        </w:rPr>
      </w:pPr>
    </w:p>
    <w:p w14:paraId="7F653603">
      <w:pPr>
        <w:spacing w:line="240" w:lineRule="auto"/>
        <w:ind w:firstLine="422" w:firstLineChars="200"/>
        <w:jc w:val="left"/>
        <w:rPr>
          <w:rFonts w:hint="eastAsia" w:ascii="宋体" w:hAnsi="宋体" w:eastAsia="宋体" w:cs="宋体"/>
          <w:b/>
          <w:bCs w:val="0"/>
          <w:color w:val="auto"/>
          <w:sz w:val="21"/>
          <w:szCs w:val="21"/>
          <w:highlight w:val="none"/>
        </w:rPr>
      </w:pPr>
    </w:p>
    <w:p w14:paraId="3786CBF1">
      <w:pPr>
        <w:spacing w:line="240" w:lineRule="auto"/>
        <w:ind w:firstLine="0" w:firstLineChars="0"/>
        <w:jc w:val="both"/>
        <w:rPr>
          <w:rFonts w:hint="eastAsia" w:ascii="宋体" w:hAnsi="宋体" w:cs="宋体"/>
          <w:color w:val="auto"/>
          <w:sz w:val="32"/>
          <w:szCs w:val="32"/>
          <w:highlight w:val="none"/>
          <w:lang w:val="en-US" w:eastAsia="zh-CN"/>
        </w:rPr>
      </w:pPr>
    </w:p>
    <w:p w14:paraId="64AC6F4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0C4649A1">
      <w:pPr>
        <w:pStyle w:val="2"/>
        <w:numPr>
          <w:ilvl w:val="0"/>
          <w:numId w:val="0"/>
        </w:numPr>
        <w:spacing w:before="120" w:beforeLines="0" w:after="120" w:afterLines="0" w:line="400" w:lineRule="exact"/>
        <w:jc w:val="center"/>
        <w:rPr>
          <w:rFonts w:hint="eastAsia"/>
          <w:color w:val="auto"/>
          <w:sz w:val="36"/>
          <w:szCs w:val="24"/>
          <w:highlight w:val="none"/>
        </w:rPr>
      </w:pPr>
      <w:r>
        <w:rPr>
          <w:rFonts w:hint="eastAsia" w:ascii="宋体" w:hAnsi="宋体" w:cs="宋体"/>
          <w:color w:val="auto"/>
          <w:sz w:val="32"/>
          <w:szCs w:val="32"/>
          <w:highlight w:val="none"/>
          <w:lang w:val="en-US" w:eastAsia="zh-CN"/>
        </w:rPr>
        <w:t xml:space="preserve">第六章  </w:t>
      </w:r>
      <w:bookmarkStart w:id="912" w:name="_Toc1837"/>
      <w:r>
        <w:rPr>
          <w:rFonts w:hint="eastAsia" w:ascii="宋体" w:hAnsi="宋体" w:cs="宋体"/>
          <w:color w:val="auto"/>
          <w:sz w:val="32"/>
          <w:szCs w:val="32"/>
          <w:highlight w:val="none"/>
          <w:lang w:val="en-US" w:eastAsia="zh-CN"/>
        </w:rPr>
        <w:t>竞争性磋商响应文件格式</w:t>
      </w:r>
      <w:bookmarkEnd w:id="912"/>
    </w:p>
    <w:p w14:paraId="19D80244">
      <w:pPr>
        <w:jc w:val="center"/>
        <w:rPr>
          <w:rFonts w:hint="eastAsia" w:ascii="宋体" w:hAnsi="宋体" w:cs="宋体"/>
          <w:b/>
          <w:bCs/>
          <w:color w:val="auto"/>
          <w:sz w:val="30"/>
          <w:szCs w:val="30"/>
          <w:highlight w:val="none"/>
          <w:u w:val="single"/>
        </w:rPr>
      </w:pPr>
    </w:p>
    <w:p w14:paraId="7DF840C6">
      <w:pPr>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 xml:space="preserve"> </w:t>
      </w:r>
    </w:p>
    <w:p w14:paraId="23D4AD66">
      <w:pPr>
        <w:pStyle w:val="19"/>
        <w:rPr>
          <w:rFonts w:hint="eastAsia"/>
          <w:color w:val="auto"/>
          <w:highlight w:val="none"/>
        </w:rPr>
      </w:pPr>
    </w:p>
    <w:p w14:paraId="441ECBD5">
      <w:pPr>
        <w:jc w:val="center"/>
        <w:rPr>
          <w:rFonts w:hint="eastAsia" w:ascii="宋体" w:hAnsi="宋体" w:cs="宋体"/>
          <w:color w:val="auto"/>
          <w:sz w:val="28"/>
          <w:szCs w:val="28"/>
          <w:highlight w:val="none"/>
        </w:rPr>
      </w:pPr>
    </w:p>
    <w:p w14:paraId="5A036E0C">
      <w:pPr>
        <w:spacing w:line="360" w:lineRule="auto"/>
        <w:jc w:val="center"/>
        <w:rPr>
          <w:rFonts w:hint="eastAsia" w:ascii="宋体" w:hAnsi="宋体" w:cs="宋体"/>
          <w:color w:val="auto"/>
          <w:sz w:val="72"/>
          <w:szCs w:val="84"/>
          <w:highlight w:val="none"/>
        </w:rPr>
      </w:pPr>
      <w:r>
        <w:rPr>
          <w:rFonts w:hint="eastAsia" w:ascii="宋体" w:hAnsi="宋体" w:cs="宋体"/>
          <w:b/>
          <w:bCs/>
          <w:color w:val="auto"/>
          <w:sz w:val="72"/>
          <w:szCs w:val="84"/>
          <w:highlight w:val="none"/>
        </w:rPr>
        <w:t>响 应 文 件</w:t>
      </w:r>
    </w:p>
    <w:p w14:paraId="61DA48D5">
      <w:pPr>
        <w:spacing w:line="400" w:lineRule="exact"/>
        <w:rPr>
          <w:rFonts w:hint="eastAsia" w:ascii="宋体" w:hAnsi="宋体" w:cs="宋体"/>
          <w:color w:val="auto"/>
          <w:sz w:val="28"/>
          <w:szCs w:val="28"/>
          <w:highlight w:val="none"/>
        </w:rPr>
      </w:pPr>
    </w:p>
    <w:p w14:paraId="7BE66A43">
      <w:pPr>
        <w:spacing w:line="400" w:lineRule="exact"/>
        <w:rPr>
          <w:rFonts w:hint="eastAsia" w:ascii="宋体" w:hAnsi="宋体" w:cs="宋体"/>
          <w:color w:val="auto"/>
          <w:sz w:val="28"/>
          <w:szCs w:val="28"/>
          <w:highlight w:val="none"/>
        </w:rPr>
      </w:pPr>
    </w:p>
    <w:p w14:paraId="57DF00F7">
      <w:pPr>
        <w:spacing w:line="400" w:lineRule="exact"/>
        <w:rPr>
          <w:rFonts w:hint="eastAsia" w:ascii="宋体" w:hAnsi="宋体" w:cs="宋体"/>
          <w:color w:val="auto"/>
          <w:sz w:val="28"/>
          <w:szCs w:val="28"/>
          <w:highlight w:val="none"/>
        </w:rPr>
      </w:pPr>
    </w:p>
    <w:p w14:paraId="0D7620F2">
      <w:pPr>
        <w:spacing w:line="400" w:lineRule="exact"/>
        <w:ind w:left="0" w:leftChars="0" w:firstLine="0" w:firstLineChars="0"/>
        <w:rPr>
          <w:rFonts w:hint="eastAsia" w:ascii="宋体" w:hAnsi="宋体" w:cs="宋体"/>
          <w:color w:val="auto"/>
          <w:sz w:val="28"/>
          <w:szCs w:val="28"/>
          <w:highlight w:val="none"/>
        </w:rPr>
      </w:pPr>
    </w:p>
    <w:p w14:paraId="3A21EAB1">
      <w:pPr>
        <w:spacing w:line="400" w:lineRule="exact"/>
        <w:rPr>
          <w:rFonts w:hint="eastAsia" w:ascii="宋体" w:hAnsi="宋体" w:cs="宋体"/>
          <w:color w:val="auto"/>
          <w:sz w:val="28"/>
          <w:szCs w:val="28"/>
          <w:highlight w:val="none"/>
        </w:rPr>
      </w:pPr>
    </w:p>
    <w:p w14:paraId="5394B907">
      <w:pPr>
        <w:spacing w:line="400" w:lineRule="exact"/>
        <w:rPr>
          <w:rFonts w:hint="eastAsia" w:ascii="宋体" w:hAnsi="宋体" w:cs="宋体"/>
          <w:color w:val="auto"/>
          <w:sz w:val="28"/>
          <w:szCs w:val="28"/>
          <w:highlight w:val="none"/>
        </w:rPr>
      </w:pPr>
    </w:p>
    <w:p w14:paraId="4720B60E">
      <w:pPr>
        <w:spacing w:line="400" w:lineRule="exact"/>
        <w:rPr>
          <w:rFonts w:hint="eastAsia" w:ascii="宋体" w:hAnsi="宋体" w:cs="宋体"/>
          <w:color w:val="auto"/>
          <w:sz w:val="28"/>
          <w:szCs w:val="28"/>
          <w:highlight w:val="none"/>
        </w:rPr>
      </w:pPr>
    </w:p>
    <w:p w14:paraId="7E2CBABD">
      <w:pPr>
        <w:spacing w:line="400" w:lineRule="exact"/>
        <w:rPr>
          <w:rFonts w:hint="eastAsia" w:ascii="宋体" w:hAnsi="宋体" w:cs="宋体"/>
          <w:color w:val="auto"/>
          <w:sz w:val="28"/>
          <w:szCs w:val="28"/>
          <w:highlight w:val="none"/>
        </w:rPr>
      </w:pPr>
    </w:p>
    <w:p w14:paraId="37B06896">
      <w:pPr>
        <w:pStyle w:val="9"/>
        <w:rPr>
          <w:rFonts w:hint="eastAsia" w:ascii="宋体" w:hAnsi="宋体" w:cs="宋体"/>
          <w:color w:val="auto"/>
          <w:sz w:val="28"/>
          <w:szCs w:val="28"/>
          <w:highlight w:val="none"/>
        </w:rPr>
      </w:pPr>
    </w:p>
    <w:p w14:paraId="6C935EAF">
      <w:pPr>
        <w:spacing w:line="400" w:lineRule="exact"/>
        <w:rPr>
          <w:rFonts w:hint="eastAsia" w:ascii="宋体" w:hAnsi="宋体" w:cs="宋体"/>
          <w:color w:val="auto"/>
          <w:sz w:val="28"/>
          <w:szCs w:val="28"/>
          <w:highlight w:val="none"/>
        </w:rPr>
      </w:pPr>
    </w:p>
    <w:p w14:paraId="0DD224A6">
      <w:pPr>
        <w:spacing w:line="400" w:lineRule="exact"/>
        <w:rPr>
          <w:rFonts w:hint="eastAsia" w:ascii="宋体" w:hAnsi="宋体" w:cs="宋体"/>
          <w:b/>
          <w:bCs/>
          <w:color w:val="auto"/>
          <w:sz w:val="28"/>
          <w:szCs w:val="28"/>
          <w:highlight w:val="none"/>
        </w:rPr>
      </w:pPr>
    </w:p>
    <w:p w14:paraId="43E7A4CB">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供应商：</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（单位电子签章）</w:t>
      </w:r>
    </w:p>
    <w:p w14:paraId="0B15677B">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法定代表人或其委托代理人：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（电子签名或盖章）</w:t>
      </w:r>
    </w:p>
    <w:p w14:paraId="47E64040">
      <w:pPr>
        <w:spacing w:line="48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月</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日</w:t>
      </w:r>
    </w:p>
    <w:p w14:paraId="1AAD35B3">
      <w:pPr>
        <w:spacing w:line="400" w:lineRule="exact"/>
        <w:rPr>
          <w:rFonts w:hint="eastAsia" w:ascii="宋体" w:hAnsi="宋体" w:cs="宋体"/>
          <w:color w:val="auto"/>
          <w:sz w:val="22"/>
          <w:szCs w:val="28"/>
          <w:highlight w:val="none"/>
        </w:rPr>
      </w:pPr>
    </w:p>
    <w:p w14:paraId="36B0906B">
      <w:pPr>
        <w:pStyle w:val="48"/>
        <w:ind w:left="0" w:leftChars="0" w:firstLine="0" w:firstLineChars="0"/>
        <w:jc w:val="both"/>
        <w:rPr>
          <w:rFonts w:hint="eastAsia" w:ascii="宋体" w:hAnsi="宋体" w:eastAsia="宋体"/>
          <w:color w:val="auto"/>
          <w:sz w:val="32"/>
          <w:szCs w:val="32"/>
          <w:highlight w:val="none"/>
        </w:rPr>
      </w:pPr>
      <w:bookmarkStart w:id="913" w:name="_Toc152045787"/>
      <w:bookmarkStart w:id="914" w:name="_Toc144974856"/>
      <w:bookmarkStart w:id="915" w:name="_Toc152042576"/>
      <w:bookmarkStart w:id="916" w:name="_Toc466298157"/>
      <w:bookmarkStart w:id="917" w:name="_Toc8978"/>
      <w:bookmarkStart w:id="918" w:name="_Toc20198"/>
    </w:p>
    <w:p w14:paraId="6A21CF2B">
      <w:pPr>
        <w:pStyle w:val="48"/>
        <w:ind w:left="0" w:leftChars="0" w:firstLine="0" w:firstLineChars="0"/>
        <w:jc w:val="both"/>
        <w:rPr>
          <w:rFonts w:hint="eastAsia" w:ascii="宋体" w:hAnsi="宋体" w:eastAsia="宋体"/>
          <w:color w:val="auto"/>
          <w:sz w:val="32"/>
          <w:szCs w:val="32"/>
          <w:highlight w:val="none"/>
        </w:rPr>
      </w:pPr>
    </w:p>
    <w:bookmarkEnd w:id="913"/>
    <w:bookmarkEnd w:id="914"/>
    <w:bookmarkEnd w:id="915"/>
    <w:bookmarkEnd w:id="916"/>
    <w:bookmarkEnd w:id="917"/>
    <w:bookmarkEnd w:id="918"/>
    <w:p w14:paraId="4334B33D">
      <w:pPr>
        <w:spacing w:line="540" w:lineRule="exact"/>
        <w:rPr>
          <w:rFonts w:hint="eastAsia" w:ascii="宋体" w:hAnsi="宋体" w:cs="宋体"/>
          <w:color w:val="auto"/>
          <w:sz w:val="24"/>
          <w:szCs w:val="32"/>
          <w:highlight w:val="none"/>
        </w:rPr>
      </w:pPr>
    </w:p>
    <w:p w14:paraId="624FAC55">
      <w:pPr>
        <w:pStyle w:val="23"/>
        <w:rPr>
          <w:rFonts w:hint="eastAsia" w:ascii="宋体" w:hAnsi="宋体" w:cs="宋体"/>
          <w:color w:val="auto"/>
          <w:sz w:val="24"/>
          <w:szCs w:val="32"/>
          <w:highlight w:val="none"/>
        </w:rPr>
      </w:pPr>
    </w:p>
    <w:p w14:paraId="604CCFF2">
      <w:pPr>
        <w:pStyle w:val="48"/>
        <w:ind w:left="0" w:leftChars="0" w:firstLine="0" w:firstLineChars="0"/>
        <w:jc w:val="center"/>
        <w:rPr>
          <w:rFonts w:hint="eastAsia" w:ascii="宋体" w:hAnsi="宋体" w:eastAsia="宋体"/>
          <w:color w:val="auto"/>
          <w:sz w:val="32"/>
          <w:szCs w:val="32"/>
          <w:highlight w:val="none"/>
        </w:rPr>
      </w:pPr>
    </w:p>
    <w:p w14:paraId="1D39DC9C">
      <w:pPr>
        <w:pStyle w:val="48"/>
        <w:ind w:left="0" w:leftChars="0" w:firstLine="0" w:firstLineChars="0"/>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目    录</w:t>
      </w:r>
    </w:p>
    <w:p w14:paraId="5E39A675">
      <w:pPr>
        <w:pStyle w:val="24"/>
        <w:rPr>
          <w:rFonts w:hint="eastAsia"/>
          <w:color w:val="auto"/>
          <w:highlight w:val="none"/>
        </w:rPr>
      </w:pPr>
    </w:p>
    <w:p w14:paraId="684534FF">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lang w:eastAsia="zh-CN"/>
        </w:rPr>
        <w:t>响应函</w:t>
      </w:r>
      <w:r>
        <w:rPr>
          <w:rFonts w:hint="eastAsia" w:ascii="宋体" w:hAnsi="宋体" w:cs="宋体"/>
          <w:color w:val="auto"/>
          <w:highlight w:val="none"/>
        </w:rPr>
        <w:t>及</w:t>
      </w:r>
      <w:r>
        <w:rPr>
          <w:rFonts w:hint="eastAsia" w:ascii="宋体" w:hAnsi="宋体" w:cs="宋体"/>
          <w:color w:val="auto"/>
          <w:highlight w:val="none"/>
          <w:lang w:eastAsia="zh-CN"/>
        </w:rPr>
        <w:t>响应函附录</w:t>
      </w:r>
      <w:r>
        <w:rPr>
          <w:rFonts w:hint="eastAsia" w:ascii="宋体" w:hAnsi="宋体" w:cs="宋体"/>
          <w:color w:val="auto"/>
          <w:highlight w:val="none"/>
        </w:rPr>
        <w:t xml:space="preserve"> </w:t>
      </w:r>
    </w:p>
    <w:p w14:paraId="6BAED0E2">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二、</w:t>
      </w:r>
      <w:r>
        <w:rPr>
          <w:rFonts w:hint="eastAsia" w:ascii="宋体" w:hAnsi="宋体" w:cs="宋体"/>
          <w:color w:val="auto"/>
          <w:highlight w:val="none"/>
        </w:rPr>
        <w:t>法定代表人（单位负责人）身份证明（适用于无委托代理人的情况）</w:t>
      </w:r>
    </w:p>
    <w:p w14:paraId="7D272CC0">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 xml:space="preserve">授权委托书（适用于有委托代理人的情况） </w:t>
      </w:r>
    </w:p>
    <w:p w14:paraId="56E6B21B">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四、</w:t>
      </w:r>
      <w:r>
        <w:rPr>
          <w:rFonts w:hint="eastAsia" w:ascii="宋体" w:hAnsi="宋体" w:cs="宋体"/>
          <w:color w:val="auto"/>
          <w:highlight w:val="none"/>
        </w:rPr>
        <w:t>分项报价表</w:t>
      </w:r>
    </w:p>
    <w:p w14:paraId="4EAEBF99">
      <w:pPr>
        <w:spacing w:line="540" w:lineRule="exact"/>
        <w:rPr>
          <w:rFonts w:hint="eastAsia" w:ascii="宋体" w:hAnsi="宋体" w:cs="宋体"/>
          <w:color w:val="auto"/>
          <w:highlight w:val="none"/>
          <w:lang w:eastAsia="zh-CN"/>
        </w:rPr>
      </w:pPr>
      <w:r>
        <w:rPr>
          <w:rFonts w:hint="eastAsia" w:ascii="宋体" w:hAnsi="宋体" w:cs="宋体"/>
          <w:color w:val="auto"/>
          <w:highlight w:val="none"/>
          <w:lang w:val="en-US" w:eastAsia="zh-CN"/>
        </w:rPr>
        <w:t>五、服务编制方案</w:t>
      </w:r>
    </w:p>
    <w:p w14:paraId="3E8E89EE">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六、</w:t>
      </w:r>
      <w:r>
        <w:rPr>
          <w:rFonts w:hint="eastAsia" w:ascii="宋体" w:hAnsi="宋体" w:cs="宋体"/>
          <w:color w:val="auto"/>
          <w:highlight w:val="none"/>
        </w:rPr>
        <w:t>商务及技术偏差表</w:t>
      </w:r>
    </w:p>
    <w:p w14:paraId="64A41407">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七、</w:t>
      </w:r>
      <w:r>
        <w:rPr>
          <w:rFonts w:hint="eastAsia" w:ascii="宋体" w:hAnsi="宋体" w:cs="宋体"/>
          <w:color w:val="auto"/>
          <w:highlight w:val="none"/>
        </w:rPr>
        <w:t>资格证明材料</w:t>
      </w:r>
    </w:p>
    <w:p w14:paraId="74D1355C">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八、</w:t>
      </w:r>
      <w:r>
        <w:rPr>
          <w:rFonts w:hint="eastAsia" w:ascii="宋体" w:hAnsi="宋体" w:cs="宋体"/>
          <w:color w:val="auto"/>
          <w:highlight w:val="none"/>
        </w:rPr>
        <w:t>中小企业声明函(如有)</w:t>
      </w:r>
    </w:p>
    <w:p w14:paraId="54716A8E">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九、</w:t>
      </w:r>
      <w:r>
        <w:rPr>
          <w:rFonts w:hint="eastAsia" w:ascii="宋体" w:hAnsi="宋体" w:cs="宋体"/>
          <w:color w:val="auto"/>
          <w:highlight w:val="none"/>
        </w:rPr>
        <w:t>残疾人福利性单位声明函(如有)</w:t>
      </w:r>
      <w:r>
        <w:rPr>
          <w:rFonts w:hint="eastAsia" w:ascii="宋体" w:hAnsi="宋体" w:cs="宋体"/>
          <w:color w:val="auto"/>
          <w:highlight w:val="none"/>
          <w:lang w:eastAsia="zh-CN"/>
        </w:rPr>
        <w:t>（非专门面向中小企业适用）</w:t>
      </w:r>
    </w:p>
    <w:p w14:paraId="7CCE96BE">
      <w:pPr>
        <w:spacing w:line="540" w:lineRule="exact"/>
        <w:rPr>
          <w:rFonts w:hint="eastAsia" w:ascii="宋体" w:hAnsi="宋体" w:cs="宋体"/>
          <w:color w:val="auto"/>
          <w:highlight w:val="none"/>
          <w:lang w:eastAsia="zh-CN"/>
        </w:rPr>
      </w:pPr>
      <w:r>
        <w:rPr>
          <w:rFonts w:hint="eastAsia" w:ascii="宋体" w:hAnsi="宋体" w:cs="宋体"/>
          <w:color w:val="auto"/>
          <w:highlight w:val="none"/>
          <w:lang w:val="en-US" w:eastAsia="zh-CN"/>
        </w:rPr>
        <w:t>十、</w:t>
      </w:r>
      <w:r>
        <w:rPr>
          <w:rFonts w:hint="eastAsia" w:ascii="宋体" w:hAnsi="宋体" w:cs="宋体"/>
          <w:color w:val="auto"/>
          <w:highlight w:val="none"/>
        </w:rPr>
        <w:t>监狱企业证明文件（如有）</w:t>
      </w:r>
      <w:r>
        <w:rPr>
          <w:rFonts w:hint="eastAsia" w:ascii="宋体" w:hAnsi="宋体" w:cs="宋体"/>
          <w:color w:val="auto"/>
          <w:highlight w:val="none"/>
          <w:lang w:eastAsia="zh-CN"/>
        </w:rPr>
        <w:t>（非专门面向中小企业适用）</w:t>
      </w:r>
    </w:p>
    <w:p w14:paraId="7BF56E87">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十一、</w:t>
      </w:r>
      <w:r>
        <w:rPr>
          <w:rFonts w:hint="eastAsia" w:ascii="宋体" w:hAnsi="宋体" w:cs="宋体"/>
          <w:color w:val="auto"/>
          <w:highlight w:val="none"/>
        </w:rPr>
        <w:t>反商业贿赂承诺书</w:t>
      </w:r>
    </w:p>
    <w:p w14:paraId="2AEC6702">
      <w:pPr>
        <w:spacing w:line="540" w:lineRule="exact"/>
        <w:rPr>
          <w:rFonts w:hint="eastAsia" w:ascii="宋体" w:hAnsi="宋体" w:cs="宋体"/>
          <w:color w:val="auto"/>
          <w:highlight w:val="none"/>
        </w:rPr>
      </w:pPr>
      <w:r>
        <w:rPr>
          <w:rFonts w:hint="eastAsia" w:ascii="宋体" w:hAnsi="宋体" w:cs="宋体"/>
          <w:color w:val="auto"/>
          <w:highlight w:val="none"/>
          <w:lang w:val="en-US" w:eastAsia="zh-CN"/>
        </w:rPr>
        <w:t>十二、</w:t>
      </w:r>
      <w:r>
        <w:rPr>
          <w:rFonts w:hint="eastAsia" w:ascii="宋体" w:hAnsi="宋体" w:cs="宋体"/>
          <w:color w:val="auto"/>
          <w:highlight w:val="none"/>
        </w:rPr>
        <w:t>其他材料</w:t>
      </w:r>
    </w:p>
    <w:p w14:paraId="34C73958">
      <w:pPr>
        <w:spacing w:line="540" w:lineRule="exact"/>
        <w:rPr>
          <w:rFonts w:hint="eastAsia" w:ascii="宋体" w:hAnsi="宋体" w:cs="宋体"/>
          <w:color w:val="auto"/>
          <w:highlight w:val="none"/>
        </w:rPr>
      </w:pPr>
    </w:p>
    <w:p w14:paraId="3301B465">
      <w:pPr>
        <w:pStyle w:val="23"/>
        <w:rPr>
          <w:rFonts w:hint="eastAsia"/>
          <w:color w:val="auto"/>
          <w:highlight w:val="none"/>
        </w:rPr>
      </w:pPr>
    </w:p>
    <w:p w14:paraId="0431DCED">
      <w:pPr>
        <w:spacing w:line="540" w:lineRule="exact"/>
        <w:rPr>
          <w:rFonts w:hint="eastAsia" w:ascii="宋体" w:hAnsi="宋体" w:cs="宋体"/>
          <w:color w:val="auto"/>
          <w:highlight w:val="none"/>
        </w:rPr>
      </w:pPr>
    </w:p>
    <w:p w14:paraId="16E2A6E3">
      <w:pPr>
        <w:spacing w:line="540" w:lineRule="exact"/>
        <w:ind w:left="0" w:leftChars="0" w:firstLine="0" w:firstLineChars="0"/>
        <w:rPr>
          <w:rFonts w:hint="eastAsia" w:ascii="宋体" w:hAnsi="宋体" w:cs="宋体"/>
          <w:color w:val="auto"/>
          <w:highlight w:val="none"/>
        </w:rPr>
      </w:pPr>
    </w:p>
    <w:p w14:paraId="791DAF7A">
      <w:pPr>
        <w:pStyle w:val="40"/>
        <w:rPr>
          <w:rFonts w:hint="eastAsia" w:ascii="宋体" w:hAnsi="宋体" w:cs="宋体"/>
          <w:color w:val="auto"/>
          <w:highlight w:val="none"/>
        </w:rPr>
      </w:pPr>
    </w:p>
    <w:p w14:paraId="1977FEC1">
      <w:pPr>
        <w:pStyle w:val="19"/>
        <w:rPr>
          <w:rFonts w:hint="eastAsia" w:ascii="宋体" w:hAnsi="宋体" w:cs="宋体"/>
          <w:color w:val="auto"/>
          <w:highlight w:val="none"/>
        </w:rPr>
      </w:pPr>
    </w:p>
    <w:p w14:paraId="1C7731DD">
      <w:pPr>
        <w:pStyle w:val="19"/>
        <w:rPr>
          <w:rFonts w:hint="eastAsia" w:ascii="宋体" w:hAnsi="宋体" w:cs="宋体"/>
          <w:color w:val="auto"/>
          <w:highlight w:val="none"/>
        </w:rPr>
      </w:pPr>
    </w:p>
    <w:p w14:paraId="59B15944">
      <w:pPr>
        <w:pStyle w:val="19"/>
        <w:rPr>
          <w:rFonts w:hint="eastAsia" w:ascii="宋体" w:hAnsi="宋体" w:cs="宋体"/>
          <w:color w:val="auto"/>
          <w:highlight w:val="none"/>
        </w:rPr>
      </w:pPr>
    </w:p>
    <w:p w14:paraId="05396621">
      <w:pPr>
        <w:rPr>
          <w:rFonts w:hint="eastAsia" w:ascii="宋体" w:hAnsi="宋体" w:eastAsia="宋体"/>
          <w:b/>
          <w:color w:val="auto"/>
          <w:szCs w:val="28"/>
          <w:highlight w:val="none"/>
        </w:rPr>
      </w:pPr>
      <w:bookmarkStart w:id="919" w:name="_Toc152045788"/>
      <w:bookmarkStart w:id="920" w:name="_Toc144974857"/>
      <w:bookmarkStart w:id="921" w:name="_Toc152042577"/>
      <w:bookmarkStart w:id="922" w:name="_Toc8095"/>
      <w:bookmarkStart w:id="923" w:name="_Toc466298158"/>
      <w:bookmarkStart w:id="924" w:name="_Toc9911"/>
      <w:r>
        <w:rPr>
          <w:rFonts w:hint="eastAsia" w:ascii="宋体" w:hAnsi="宋体" w:eastAsia="宋体"/>
          <w:b/>
          <w:color w:val="auto"/>
          <w:szCs w:val="28"/>
          <w:highlight w:val="none"/>
          <w:lang w:eastAsia="zh-CN"/>
        </w:rPr>
        <w:br w:type="page"/>
      </w:r>
    </w:p>
    <w:p w14:paraId="5D217E0D">
      <w:pPr>
        <w:pStyle w:val="48"/>
        <w:numPr>
          <w:ilvl w:val="0"/>
          <w:numId w:val="9"/>
        </w:numPr>
        <w:jc w:val="center"/>
        <w:rPr>
          <w:rFonts w:hint="eastAsia" w:ascii="宋体" w:hAnsi="宋体" w:eastAsia="宋体"/>
          <w:b/>
          <w:color w:val="auto"/>
          <w:szCs w:val="28"/>
          <w:highlight w:val="none"/>
        </w:rPr>
      </w:pPr>
      <w:r>
        <w:rPr>
          <w:rFonts w:hint="eastAsia" w:ascii="宋体" w:hAnsi="宋体" w:eastAsia="宋体"/>
          <w:b/>
          <w:color w:val="auto"/>
          <w:szCs w:val="28"/>
          <w:highlight w:val="none"/>
          <w:lang w:eastAsia="zh-CN"/>
        </w:rPr>
        <w:t>响应函</w:t>
      </w:r>
      <w:r>
        <w:rPr>
          <w:rFonts w:hint="eastAsia" w:ascii="宋体" w:hAnsi="宋体" w:eastAsia="宋体"/>
          <w:b/>
          <w:color w:val="auto"/>
          <w:szCs w:val="28"/>
          <w:highlight w:val="none"/>
        </w:rPr>
        <w:t>及</w:t>
      </w:r>
      <w:bookmarkEnd w:id="919"/>
      <w:bookmarkEnd w:id="920"/>
      <w:bookmarkEnd w:id="921"/>
      <w:r>
        <w:rPr>
          <w:rFonts w:hint="eastAsia" w:ascii="宋体" w:hAnsi="宋体" w:eastAsia="宋体"/>
          <w:b/>
          <w:color w:val="auto"/>
          <w:szCs w:val="28"/>
          <w:highlight w:val="none"/>
          <w:lang w:eastAsia="zh-CN"/>
        </w:rPr>
        <w:t>响应函</w:t>
      </w:r>
      <w:r>
        <w:rPr>
          <w:rFonts w:hint="eastAsia" w:ascii="宋体" w:hAnsi="宋体" w:eastAsia="宋体"/>
          <w:b/>
          <w:color w:val="auto"/>
          <w:szCs w:val="28"/>
          <w:highlight w:val="none"/>
        </w:rPr>
        <w:t>附录</w:t>
      </w:r>
      <w:bookmarkEnd w:id="922"/>
      <w:bookmarkEnd w:id="923"/>
      <w:bookmarkEnd w:id="924"/>
    </w:p>
    <w:p w14:paraId="491FE12A">
      <w:pPr>
        <w:pStyle w:val="50"/>
        <w:numPr>
          <w:ilvl w:val="0"/>
          <w:numId w:val="10"/>
        </w:numPr>
        <w:jc w:val="center"/>
        <w:outlineLvl w:val="0"/>
        <w:rPr>
          <w:rFonts w:hint="eastAsia" w:ascii="宋体" w:hAnsi="宋体" w:eastAsia="宋体"/>
          <w:b/>
          <w:color w:val="auto"/>
          <w:szCs w:val="23"/>
          <w:highlight w:val="none"/>
        </w:rPr>
      </w:pPr>
      <w:r>
        <w:rPr>
          <w:rFonts w:hint="eastAsia" w:ascii="宋体" w:hAnsi="宋体" w:eastAsia="宋体"/>
          <w:b/>
          <w:color w:val="auto"/>
          <w:szCs w:val="23"/>
          <w:highlight w:val="none"/>
          <w:lang w:eastAsia="zh-CN"/>
        </w:rPr>
        <w:t>响应函</w:t>
      </w:r>
    </w:p>
    <w:p w14:paraId="0BC5AE31">
      <w:pPr>
        <w:pStyle w:val="11"/>
        <w:spacing w:line="420" w:lineRule="exact"/>
        <w:ind w:left="98" w:leftChars="0" w:hanging="98" w:hangingChars="47"/>
        <w:rPr>
          <w:rFonts w:hint="eastAsia" w:ascii="宋体" w:hAnsi="宋体"/>
          <w:color w:val="auto"/>
          <w:szCs w:val="21"/>
          <w:highlight w:val="none"/>
        </w:rPr>
      </w:pPr>
      <w:bookmarkStart w:id="925" w:name="_Toc19056"/>
      <w:bookmarkStart w:id="926" w:name="_Toc490667893"/>
      <w:bookmarkStart w:id="927" w:name="_Toc466298160"/>
      <w:bookmarkStart w:id="928" w:name="_Toc447888814"/>
      <w:r>
        <w:rPr>
          <w:rFonts w:hint="eastAsia" w:ascii="宋体" w:hAnsi="宋体"/>
          <w:color w:val="auto"/>
          <w:szCs w:val="21"/>
          <w:highlight w:val="none"/>
        </w:rPr>
        <w:t>致 ：</w:t>
      </w:r>
      <w:r>
        <w:rPr>
          <w:rFonts w:hint="eastAsia" w:ascii="宋体" w:hAnsi="宋体"/>
          <w:color w:val="auto"/>
          <w:szCs w:val="21"/>
          <w:highlight w:val="none"/>
          <w:u w:val="single"/>
        </w:rPr>
        <w:t>（采购人）</w:t>
      </w:r>
    </w:p>
    <w:p w14:paraId="49F5B07B">
      <w:pPr>
        <w:pStyle w:val="11"/>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．根据已收到的</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w:t>
      </w:r>
      <w:r>
        <w:rPr>
          <w:rFonts w:hint="eastAsia" w:ascii="宋体" w:hAnsi="宋体"/>
          <w:color w:val="auto"/>
          <w:szCs w:val="21"/>
          <w:highlight w:val="none"/>
        </w:rPr>
        <w:t>的</w:t>
      </w:r>
      <w:r>
        <w:rPr>
          <w:rFonts w:hint="eastAsia" w:ascii="宋体" w:hAnsi="宋体"/>
          <w:color w:val="auto"/>
          <w:szCs w:val="21"/>
          <w:highlight w:val="none"/>
          <w:lang w:eastAsia="zh-CN"/>
        </w:rPr>
        <w:t>竞争性磋商文件</w:t>
      </w:r>
      <w:r>
        <w:rPr>
          <w:rFonts w:hint="eastAsia" w:ascii="宋体" w:hAnsi="宋体"/>
          <w:color w:val="auto"/>
          <w:szCs w:val="21"/>
          <w:highlight w:val="none"/>
        </w:rPr>
        <w:t>，遵照《中华人民共和国政府采购法》等有关规定，经考察和认真研究本项目</w:t>
      </w:r>
      <w:r>
        <w:rPr>
          <w:rFonts w:hint="eastAsia" w:ascii="宋体" w:hAnsi="宋体"/>
          <w:color w:val="auto"/>
          <w:szCs w:val="21"/>
          <w:highlight w:val="none"/>
          <w:lang w:eastAsia="zh-CN"/>
        </w:rPr>
        <w:t>竞争性磋商文件及其他有关</w:t>
      </w:r>
      <w:r>
        <w:rPr>
          <w:rFonts w:hint="eastAsia" w:ascii="宋体" w:hAnsi="宋体"/>
          <w:color w:val="auto"/>
          <w:szCs w:val="21"/>
          <w:highlight w:val="none"/>
        </w:rPr>
        <w:t>文件后，愿以人民币（大写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）的磋商总报价作为第一次磋商报价，按合同约定实施和完成本项目，并承担其任何质量缺陷等问题所造成的任何损失。</w:t>
      </w:r>
    </w:p>
    <w:p w14:paraId="0B7539EF">
      <w:pPr>
        <w:pStyle w:val="11"/>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．我方已详细检查全部</w:t>
      </w:r>
      <w:r>
        <w:rPr>
          <w:rFonts w:hint="eastAsia" w:ascii="宋体" w:hAnsi="宋体"/>
          <w:color w:val="auto"/>
          <w:szCs w:val="21"/>
          <w:highlight w:val="none"/>
          <w:lang w:eastAsia="zh-CN"/>
        </w:rPr>
        <w:t>竞争性磋商文件</w:t>
      </w:r>
      <w:r>
        <w:rPr>
          <w:rFonts w:hint="eastAsia" w:ascii="宋体" w:hAnsi="宋体"/>
          <w:color w:val="auto"/>
          <w:szCs w:val="21"/>
          <w:highlight w:val="none"/>
        </w:rPr>
        <w:t>包括澄清文件、补充通知（如有的话）及有关附件，并完全理解我方必须放弃提出含糊不清或误解的权力，愿按照</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中的条款和要求按最后一次的报价做为最后报价。</w:t>
      </w:r>
    </w:p>
    <w:p w14:paraId="7D784DC7">
      <w:pPr>
        <w:pStyle w:val="11"/>
        <w:spacing w:line="420" w:lineRule="exact"/>
        <w:ind w:left="1" w:leftChars="0"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．我方在此承诺，我方若能成交，保证在服务期限内，全面履行</w:t>
      </w:r>
      <w:r>
        <w:rPr>
          <w:rFonts w:hint="eastAsia" w:ascii="宋体" w:hAnsi="宋体"/>
          <w:color w:val="auto"/>
          <w:szCs w:val="21"/>
          <w:highlight w:val="none"/>
          <w:lang w:eastAsia="zh-CN"/>
        </w:rPr>
        <w:t>竞争性磋商文件</w:t>
      </w:r>
      <w:r>
        <w:rPr>
          <w:rFonts w:hint="eastAsia" w:ascii="宋体" w:hAnsi="宋体"/>
          <w:color w:val="auto"/>
          <w:szCs w:val="21"/>
          <w:highlight w:val="none"/>
        </w:rPr>
        <w:t>中规定的职责和义务。</w:t>
      </w:r>
    </w:p>
    <w:p w14:paraId="62089BA7">
      <w:pPr>
        <w:pStyle w:val="11"/>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4．如果我方成交，我方保证按合同条款中规定的内容执行；我方保证质量达到国家及行业现行标准规范规定的合格要求，并按</w:t>
      </w:r>
      <w:r>
        <w:rPr>
          <w:rFonts w:hint="eastAsia" w:ascii="宋体" w:hAnsi="宋体"/>
          <w:color w:val="auto"/>
          <w:szCs w:val="21"/>
          <w:highlight w:val="none"/>
          <w:lang w:eastAsia="zh-CN"/>
        </w:rPr>
        <w:t>竞争性磋商文件</w:t>
      </w:r>
      <w:r>
        <w:rPr>
          <w:rFonts w:hint="eastAsia" w:ascii="宋体" w:hAnsi="宋体"/>
          <w:color w:val="auto"/>
          <w:szCs w:val="21"/>
          <w:highlight w:val="none"/>
        </w:rPr>
        <w:t>和有关规定提交一切资料。</w:t>
      </w:r>
    </w:p>
    <w:p w14:paraId="618E6785">
      <w:pPr>
        <w:pStyle w:val="11"/>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5．如果我方成交，我方将按照采购人规定提交履约保证金。</w:t>
      </w:r>
    </w:p>
    <w:p w14:paraId="54A11513">
      <w:pPr>
        <w:pStyle w:val="11"/>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6．我方同意从响应文件递交截止日期起</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日历天内保持</w:t>
      </w:r>
      <w:r>
        <w:rPr>
          <w:rFonts w:hint="eastAsia" w:ascii="宋体" w:hAnsi="宋体"/>
          <w:color w:val="auto"/>
          <w:szCs w:val="21"/>
          <w:highlight w:val="none"/>
          <w:lang w:eastAsia="zh-CN"/>
        </w:rPr>
        <w:t>响应文件</w:t>
      </w:r>
      <w:r>
        <w:rPr>
          <w:rFonts w:hint="eastAsia" w:ascii="宋体" w:hAnsi="宋体"/>
          <w:color w:val="auto"/>
          <w:szCs w:val="21"/>
          <w:highlight w:val="none"/>
        </w:rPr>
        <w:t>有效，在此有效期内，我方将严格遵守</w:t>
      </w:r>
      <w:r>
        <w:rPr>
          <w:rFonts w:hint="eastAsia" w:ascii="宋体" w:hAnsi="宋体"/>
          <w:color w:val="auto"/>
          <w:szCs w:val="21"/>
          <w:highlight w:val="none"/>
          <w:lang w:eastAsia="zh-CN"/>
        </w:rPr>
        <w:t>响应文件</w:t>
      </w:r>
      <w:r>
        <w:rPr>
          <w:rFonts w:hint="eastAsia" w:ascii="宋体" w:hAnsi="宋体"/>
          <w:color w:val="auto"/>
          <w:szCs w:val="21"/>
          <w:highlight w:val="none"/>
        </w:rPr>
        <w:t>的承诺，本</w:t>
      </w:r>
      <w:r>
        <w:rPr>
          <w:rFonts w:hint="eastAsia" w:ascii="宋体" w:hAnsi="宋体"/>
          <w:color w:val="auto"/>
          <w:szCs w:val="21"/>
          <w:highlight w:val="none"/>
          <w:lang w:eastAsia="zh-CN"/>
        </w:rPr>
        <w:t>响应文件</w:t>
      </w:r>
      <w:r>
        <w:rPr>
          <w:rFonts w:hint="eastAsia" w:ascii="宋体" w:hAnsi="宋体"/>
          <w:color w:val="auto"/>
          <w:szCs w:val="21"/>
          <w:highlight w:val="none"/>
        </w:rPr>
        <w:t>对我方具有约束力，并可随时被接受成交。</w:t>
      </w:r>
    </w:p>
    <w:p w14:paraId="32E3CA90">
      <w:pPr>
        <w:pStyle w:val="11"/>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7．除</w:t>
      </w:r>
      <w:r>
        <w:rPr>
          <w:rFonts w:hint="eastAsia" w:ascii="宋体" w:hAnsi="宋体"/>
          <w:color w:val="auto"/>
          <w:szCs w:val="21"/>
          <w:highlight w:val="none"/>
          <w:lang w:eastAsia="zh-CN"/>
        </w:rPr>
        <w:t>响应文件</w:t>
      </w:r>
      <w:r>
        <w:rPr>
          <w:rFonts w:hint="eastAsia" w:ascii="宋体" w:hAnsi="宋体"/>
          <w:color w:val="auto"/>
          <w:szCs w:val="21"/>
          <w:highlight w:val="none"/>
        </w:rPr>
        <w:t>所提交的资料外，我方同意随时接受贵方的检查、询问，并根据磋商需要补充贵方要求提交的资料。</w:t>
      </w:r>
    </w:p>
    <w:p w14:paraId="2CD98BC7">
      <w:pPr>
        <w:pStyle w:val="11"/>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8．如果我方成交后，我方没有任何正当理由而拒签合同，同时我方愿意补偿该项工作因我方延误所造成的经济损失。</w:t>
      </w:r>
    </w:p>
    <w:p w14:paraId="048F798C">
      <w:pPr>
        <w:pStyle w:val="11"/>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9．我方愿接受合同条款中规定的合同价款计算和调整方式。</w:t>
      </w:r>
    </w:p>
    <w:p w14:paraId="48A9DE43">
      <w:pPr>
        <w:pStyle w:val="11"/>
        <w:spacing w:line="420" w:lineRule="exact"/>
        <w:ind w:left="1" w:leftChars="0" w:firstLine="420" w:firstLineChars="200"/>
        <w:rPr>
          <w:rFonts w:hint="eastAsia" w:ascii="宋体" w:hAnsi="宋体"/>
          <w:color w:val="auto"/>
          <w:szCs w:val="21"/>
          <w:highlight w:val="none"/>
        </w:rPr>
      </w:pPr>
      <w:r>
        <w:rPr>
          <w:rFonts w:hint="eastAsia" w:ascii="宋体" w:hAnsi="宋体"/>
          <w:color w:val="auto"/>
          <w:szCs w:val="21"/>
          <w:highlight w:val="none"/>
        </w:rPr>
        <w:t>10．除非另外达成协议并生效，贵方的成交通知书和本</w:t>
      </w:r>
      <w:r>
        <w:rPr>
          <w:rFonts w:hint="eastAsia" w:ascii="宋体" w:hAnsi="宋体"/>
          <w:color w:val="auto"/>
          <w:szCs w:val="21"/>
          <w:highlight w:val="none"/>
          <w:lang w:eastAsia="zh-CN"/>
        </w:rPr>
        <w:t>响应文件</w:t>
      </w:r>
      <w:r>
        <w:rPr>
          <w:rFonts w:hint="eastAsia" w:ascii="宋体" w:hAnsi="宋体"/>
          <w:color w:val="auto"/>
          <w:szCs w:val="21"/>
          <w:highlight w:val="none"/>
        </w:rPr>
        <w:t>将成为约束我方的合同文件组成部分。</w:t>
      </w:r>
    </w:p>
    <w:p w14:paraId="2E3DE229">
      <w:pPr>
        <w:pStyle w:val="11"/>
        <w:spacing w:line="420" w:lineRule="exact"/>
        <w:ind w:left="0" w:leftChars="0" w:firstLine="0" w:firstLineChars="0"/>
        <w:rPr>
          <w:rFonts w:hint="eastAsia" w:ascii="宋体" w:hAnsi="宋体"/>
          <w:color w:val="auto"/>
          <w:szCs w:val="21"/>
          <w:highlight w:val="none"/>
        </w:rPr>
      </w:pPr>
    </w:p>
    <w:p w14:paraId="7E05184E">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供应商：</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（单位电子签章）</w:t>
      </w:r>
    </w:p>
    <w:p w14:paraId="76A2C18C">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法定代表人或其委托代理人：</w:t>
      </w:r>
      <w:r>
        <w:rPr>
          <w:rFonts w:hint="eastAsia" w:ascii="宋体" w:hAnsi="宋体" w:cs="宋体"/>
          <w:b/>
          <w:bCs/>
          <w:color w:val="auto"/>
          <w:szCs w:val="21"/>
          <w:u w:val="single"/>
        </w:rPr>
        <w:t xml:space="preserve">    </w:t>
      </w:r>
      <w:r>
        <w:rPr>
          <w:rFonts w:hint="eastAsia" w:ascii="宋体" w:hAnsi="宋体" w:cs="宋体"/>
          <w:b/>
          <w:bCs/>
          <w:color w:val="auto"/>
          <w:szCs w:val="21"/>
          <w:u w:val="single"/>
          <w:lang w:val="en-US" w:eastAsia="zh-CN"/>
        </w:rPr>
        <w:t xml:space="preserve"> </w:t>
      </w:r>
      <w:r>
        <w:rPr>
          <w:rFonts w:hint="eastAsia" w:ascii="宋体" w:hAnsi="宋体" w:cs="宋体"/>
          <w:b/>
          <w:bCs/>
          <w:color w:val="auto"/>
          <w:szCs w:val="21"/>
          <w:u w:val="single"/>
        </w:rPr>
        <w:t xml:space="preserve">   </w:t>
      </w:r>
      <w:r>
        <w:rPr>
          <w:rFonts w:hint="eastAsia" w:ascii="宋体" w:hAnsi="宋体" w:cs="宋体"/>
          <w:b/>
          <w:bCs/>
          <w:color w:val="auto"/>
          <w:szCs w:val="21"/>
        </w:rPr>
        <w:t>（电子签名或盖章）</w:t>
      </w:r>
    </w:p>
    <w:p w14:paraId="045C2726">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地址：</w:t>
      </w:r>
      <w:r>
        <w:rPr>
          <w:rFonts w:hint="eastAsia" w:ascii="宋体" w:hAnsi="宋体" w:cs="宋体"/>
          <w:b/>
          <w:bCs/>
          <w:color w:val="auto"/>
          <w:szCs w:val="21"/>
          <w:u w:val="single"/>
        </w:rPr>
        <w:t xml:space="preserve">                                </w:t>
      </w:r>
    </w:p>
    <w:p w14:paraId="1E05503D">
      <w:pPr>
        <w:spacing w:line="400" w:lineRule="exact"/>
        <w:ind w:firstLine="3900" w:firstLineChars="1850"/>
        <w:rPr>
          <w:rFonts w:hint="eastAsia" w:ascii="宋体" w:hAnsi="宋体" w:cs="宋体"/>
          <w:b/>
          <w:bCs/>
          <w:color w:val="auto"/>
          <w:szCs w:val="21"/>
        </w:rPr>
      </w:pPr>
      <w:r>
        <w:rPr>
          <w:rFonts w:hint="eastAsia" w:ascii="宋体" w:hAnsi="宋体" w:cs="宋体"/>
          <w:b/>
          <w:bCs/>
          <w:color w:val="auto"/>
          <w:szCs w:val="21"/>
        </w:rPr>
        <w:t>电话：</w:t>
      </w:r>
      <w:r>
        <w:rPr>
          <w:rFonts w:hint="eastAsia" w:ascii="宋体" w:hAnsi="宋体" w:cs="宋体"/>
          <w:b/>
          <w:bCs/>
          <w:color w:val="auto"/>
          <w:szCs w:val="21"/>
          <w:u w:val="single"/>
        </w:rPr>
        <w:t xml:space="preserve">                                </w:t>
      </w:r>
    </w:p>
    <w:p w14:paraId="428D077E">
      <w:pPr>
        <w:spacing w:line="400" w:lineRule="exact"/>
        <w:ind w:firstLine="4849" w:firstLineChars="2300"/>
        <w:rPr>
          <w:rFonts w:hint="eastAsia" w:ascii="宋体" w:hAnsi="宋体" w:cs="宋体"/>
          <w:b/>
          <w:bCs/>
          <w:color w:val="auto"/>
          <w:szCs w:val="21"/>
        </w:rPr>
      </w:pPr>
      <w:r>
        <w:rPr>
          <w:rFonts w:hint="eastAsia" w:ascii="宋体" w:hAnsi="宋体" w:cs="宋体"/>
          <w:b/>
          <w:bCs/>
          <w:color w:val="auto"/>
          <w:szCs w:val="21"/>
        </w:rPr>
        <w:t xml:space="preserve">  年     月    日</w:t>
      </w:r>
    </w:p>
    <w:p w14:paraId="6F206C92">
      <w:pPr>
        <w:pStyle w:val="23"/>
        <w:spacing w:line="400" w:lineRule="exact"/>
        <w:ind w:firstLine="210"/>
        <w:rPr>
          <w:rFonts w:hint="eastAsia" w:ascii="宋体" w:hAnsi="宋体" w:cs="宋体"/>
          <w:color w:val="auto"/>
          <w:szCs w:val="21"/>
        </w:rPr>
      </w:pPr>
    </w:p>
    <w:p w14:paraId="4B4F1D77">
      <w:pPr>
        <w:pStyle w:val="3"/>
        <w:numPr>
          <w:ilvl w:val="1"/>
          <w:numId w:val="0"/>
        </w:numPr>
        <w:jc w:val="center"/>
        <w:rPr>
          <w:rFonts w:hint="eastAsia" w:ascii="宋体" w:hAnsi="宋体" w:eastAsia="宋体"/>
          <w:color w:val="auto"/>
          <w:sz w:val="28"/>
          <w:szCs w:val="28"/>
          <w:highlight w:val="none"/>
          <w:lang w:eastAsia="zh-CN"/>
        </w:rPr>
      </w:pPr>
      <w:bookmarkStart w:id="929" w:name="_Toc11398"/>
      <w:r>
        <w:rPr>
          <w:rFonts w:hint="eastAsia" w:eastAsia="宋体"/>
          <w:b/>
          <w:bCs/>
          <w:color w:val="auto"/>
          <w:szCs w:val="21"/>
          <w:highlight w:val="none"/>
          <w:lang w:val="en-US" w:eastAsia="zh-CN"/>
        </w:rPr>
        <w:t xml:space="preserve"> </w:t>
      </w:r>
    </w:p>
    <w:p w14:paraId="7B09B2B5">
      <w:pPr>
        <w:pStyle w:val="24"/>
        <w:ind w:left="0" w:leftChars="0" w:firstLine="0" w:firstLineChars="0"/>
        <w:rPr>
          <w:rFonts w:hint="eastAsia" w:ascii="宋体" w:hAnsi="宋体" w:eastAsia="宋体"/>
          <w:color w:val="auto"/>
          <w:sz w:val="28"/>
          <w:szCs w:val="28"/>
          <w:highlight w:val="none"/>
        </w:rPr>
      </w:pPr>
    </w:p>
    <w:p w14:paraId="054EF84B">
      <w:pPr>
        <w:pStyle w:val="3"/>
        <w:numPr>
          <w:ilvl w:val="1"/>
          <w:numId w:val="0"/>
        </w:numPr>
        <w:jc w:val="center"/>
        <w:rPr>
          <w:rFonts w:hint="eastAsia"/>
          <w:color w:val="auto"/>
          <w:highlight w:val="none"/>
        </w:rPr>
      </w:pPr>
      <w:r>
        <w:rPr>
          <w:rFonts w:hint="eastAsia" w:ascii="宋体" w:hAnsi="宋体" w:eastAsia="宋体"/>
          <w:color w:val="auto"/>
          <w:sz w:val="28"/>
          <w:szCs w:val="28"/>
          <w:highlight w:val="none"/>
        </w:rPr>
        <w:t>（二）</w:t>
      </w:r>
      <w:r>
        <w:rPr>
          <w:rFonts w:hint="eastAsia" w:ascii="宋体" w:hAnsi="宋体" w:eastAsia="宋体"/>
          <w:color w:val="auto"/>
          <w:sz w:val="28"/>
          <w:szCs w:val="28"/>
          <w:highlight w:val="none"/>
          <w:lang w:eastAsia="zh-CN"/>
        </w:rPr>
        <w:t>响应函</w:t>
      </w:r>
      <w:r>
        <w:rPr>
          <w:rFonts w:hint="eastAsia" w:ascii="宋体" w:hAnsi="宋体" w:eastAsia="宋体"/>
          <w:color w:val="auto"/>
          <w:sz w:val="28"/>
          <w:szCs w:val="28"/>
          <w:highlight w:val="none"/>
        </w:rPr>
        <w:t>附录</w:t>
      </w:r>
    </w:p>
    <w:bookmarkEnd w:id="925"/>
    <w:bookmarkEnd w:id="926"/>
    <w:bookmarkEnd w:id="927"/>
    <w:bookmarkEnd w:id="928"/>
    <w:bookmarkEnd w:id="929"/>
    <w:tbl>
      <w:tblPr>
        <w:tblStyle w:val="2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868"/>
        <w:gridCol w:w="3219"/>
      </w:tblGrid>
      <w:tr w14:paraId="0C67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14:paraId="68CB459F">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项目名称</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303E95A6">
            <w:pPr>
              <w:rPr>
                <w:rFonts w:hint="eastAsia" w:ascii="宋体" w:hAnsi="宋体"/>
                <w:color w:val="auto"/>
                <w:szCs w:val="21"/>
                <w:highlight w:val="none"/>
              </w:rPr>
            </w:pPr>
          </w:p>
        </w:tc>
      </w:tr>
      <w:tr w14:paraId="1116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14:paraId="4B929A5E">
            <w:pPr>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供应商</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65683171">
            <w:pPr>
              <w:rPr>
                <w:rFonts w:hint="eastAsia" w:ascii="宋体" w:hAnsi="宋体"/>
                <w:color w:val="auto"/>
                <w:szCs w:val="21"/>
                <w:highlight w:val="none"/>
              </w:rPr>
            </w:pPr>
          </w:p>
        </w:tc>
      </w:tr>
      <w:tr w14:paraId="3A69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restart"/>
            <w:tcBorders>
              <w:top w:val="single" w:color="auto" w:sz="4" w:space="0"/>
              <w:left w:val="single" w:color="auto" w:sz="4" w:space="0"/>
              <w:right w:val="single" w:color="auto" w:sz="4" w:space="0"/>
            </w:tcBorders>
            <w:noWrap w:val="0"/>
            <w:vAlign w:val="center"/>
          </w:tcPr>
          <w:p w14:paraId="05511BB8">
            <w:pPr>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磋商报价（元）</w:t>
            </w:r>
          </w:p>
        </w:tc>
        <w:tc>
          <w:tcPr>
            <w:tcW w:w="2868" w:type="dxa"/>
            <w:tcBorders>
              <w:top w:val="single" w:color="auto" w:sz="4" w:space="0"/>
              <w:left w:val="single" w:color="auto" w:sz="4" w:space="0"/>
              <w:bottom w:val="single" w:color="auto" w:sz="4" w:space="0"/>
              <w:right w:val="single" w:color="auto" w:sz="4" w:space="0"/>
            </w:tcBorders>
            <w:noWrap w:val="0"/>
            <w:vAlign w:val="center"/>
          </w:tcPr>
          <w:p w14:paraId="38BEF13B">
            <w:p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（大写）</w:t>
            </w:r>
          </w:p>
        </w:tc>
        <w:tc>
          <w:tcPr>
            <w:tcW w:w="3219" w:type="dxa"/>
            <w:tcBorders>
              <w:top w:val="single" w:color="auto" w:sz="4" w:space="0"/>
              <w:left w:val="single" w:color="auto" w:sz="4" w:space="0"/>
              <w:bottom w:val="single" w:color="auto" w:sz="4" w:space="0"/>
              <w:right w:val="single" w:color="auto" w:sz="4" w:space="0"/>
            </w:tcBorders>
            <w:noWrap w:val="0"/>
            <w:vAlign w:val="center"/>
          </w:tcPr>
          <w:p w14:paraId="45EB7D84">
            <w:pPr>
              <w:ind w:left="0" w:leftChars="0" w:firstLine="0" w:firstLineChars="0"/>
              <w:rPr>
                <w:rFonts w:hint="eastAsia" w:ascii="宋体" w:hAnsi="宋体"/>
                <w:color w:val="auto"/>
                <w:szCs w:val="21"/>
                <w:highlight w:val="none"/>
              </w:rPr>
            </w:pPr>
            <w:r>
              <w:rPr>
                <w:rFonts w:hint="eastAsia" w:ascii="宋体" w:hAnsi="宋体"/>
                <w:color w:val="auto"/>
                <w:szCs w:val="21"/>
                <w:highlight w:val="none"/>
              </w:rPr>
              <w:t>（小写）</w:t>
            </w:r>
          </w:p>
        </w:tc>
      </w:tr>
      <w:tr w14:paraId="4F61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continue"/>
            <w:tcBorders>
              <w:left w:val="single" w:color="auto" w:sz="4" w:space="0"/>
              <w:bottom w:val="single" w:color="auto" w:sz="4" w:space="0"/>
              <w:right w:val="single" w:color="auto" w:sz="4" w:space="0"/>
            </w:tcBorders>
            <w:noWrap w:val="0"/>
            <w:vAlign w:val="center"/>
          </w:tcPr>
          <w:p w14:paraId="054B2760">
            <w:pPr>
              <w:spacing w:line="360" w:lineRule="exact"/>
              <w:jc w:val="center"/>
              <w:rPr>
                <w:rFonts w:hint="eastAsia" w:ascii="宋体" w:hAnsi="宋体"/>
                <w:color w:val="auto"/>
                <w:szCs w:val="21"/>
                <w:highlight w:val="none"/>
              </w:rPr>
            </w:pP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5BBF8D9D">
            <w:pPr>
              <w:ind w:left="0" w:leftChars="0" w:firstLine="0" w:firstLineChars="0"/>
              <w:rPr>
                <w:rFonts w:hint="eastAsia" w:ascii="宋体" w:hAnsi="宋体"/>
                <w:color w:val="auto"/>
                <w:szCs w:val="21"/>
                <w:highlight w:val="none"/>
              </w:rPr>
            </w:pPr>
            <w:r>
              <w:rPr>
                <w:rFonts w:hint="eastAsia" w:ascii="宋体" w:hAnsi="宋体"/>
                <w:b/>
                <w:bCs/>
                <w:color w:val="auto"/>
                <w:szCs w:val="21"/>
                <w:highlight w:val="none"/>
              </w:rPr>
              <w:t>（供应商应在此填列第一次报价，但以供应商最后一次的磋商报价为成交价）</w:t>
            </w:r>
          </w:p>
        </w:tc>
      </w:tr>
      <w:tr w14:paraId="22EC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14:paraId="57917D80">
            <w:pPr>
              <w:jc w:val="center"/>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lang w:val="en-US" w:eastAsia="zh-CN"/>
              </w:rPr>
              <w:t>要求</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6B701532">
            <w:pPr>
              <w:jc w:val="center"/>
              <w:rPr>
                <w:rFonts w:hint="eastAsia" w:ascii="宋体" w:hAnsi="宋体"/>
                <w:color w:val="auto"/>
                <w:szCs w:val="21"/>
                <w:highlight w:val="none"/>
              </w:rPr>
            </w:pPr>
          </w:p>
        </w:tc>
      </w:tr>
      <w:tr w14:paraId="23F4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14:paraId="6C89103A">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服务期</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6730BC32">
            <w:pPr>
              <w:jc w:val="center"/>
              <w:rPr>
                <w:rFonts w:hint="eastAsia" w:ascii="宋体" w:hAnsi="宋体"/>
                <w:color w:val="auto"/>
                <w:szCs w:val="21"/>
                <w:highlight w:val="none"/>
              </w:rPr>
            </w:pPr>
          </w:p>
        </w:tc>
      </w:tr>
      <w:tr w14:paraId="3CF9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14:paraId="5ACC650B">
            <w:pPr>
              <w:jc w:val="center"/>
              <w:rPr>
                <w:rFonts w:hint="eastAsia" w:ascii="宋体" w:hAnsi="宋体"/>
                <w:color w:val="auto"/>
                <w:szCs w:val="21"/>
                <w:highlight w:val="none"/>
                <w:lang w:eastAsia="zh-CN"/>
              </w:rPr>
            </w:pPr>
            <w:r>
              <w:rPr>
                <w:rFonts w:hint="eastAsia" w:ascii="宋体" w:hAnsi="宋体" w:eastAsia="宋体" w:cs="宋体"/>
                <w:color w:val="auto"/>
                <w:sz w:val="21"/>
                <w:szCs w:val="21"/>
                <w:highlight w:val="none"/>
                <w:lang w:val="en-US" w:eastAsia="zh-CN"/>
              </w:rPr>
              <w:t>合同履行期限</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77E2F402">
            <w:pPr>
              <w:jc w:val="center"/>
              <w:rPr>
                <w:rFonts w:hint="eastAsia" w:ascii="宋体" w:hAnsi="宋体"/>
                <w:color w:val="auto"/>
                <w:szCs w:val="21"/>
                <w:highlight w:val="none"/>
              </w:rPr>
            </w:pPr>
          </w:p>
        </w:tc>
      </w:tr>
      <w:tr w14:paraId="7084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14:paraId="214709AD">
            <w:pPr>
              <w:spacing w:line="4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价格折扣</w:t>
            </w:r>
          </w:p>
          <w:p w14:paraId="38DC20A4">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（非专门面向中小企业采购时使用）</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08E57973">
            <w:pPr>
              <w:pStyle w:val="52"/>
              <w:widowControl w:val="0"/>
              <w:autoSpaceDE w:val="0"/>
              <w:autoSpaceDN w:val="0"/>
              <w:spacing w:before="0" w:after="0" w:line="400" w:lineRule="exact"/>
              <w:jc w:val="center"/>
              <w:rPr>
                <w:rFonts w:hint="eastAsia" w:ascii="宋体" w:hAnsi="宋体" w:eastAsia="宋体" w:cs="宋体"/>
                <w:color w:val="auto"/>
                <w:sz w:val="21"/>
                <w:szCs w:val="21"/>
                <w:highlight w:val="none"/>
                <w:lang w:val="ru-RU" w:eastAsia="zh-CN" w:bidi="ar-SA"/>
              </w:rPr>
            </w:pPr>
            <w:r>
              <w:rPr>
                <w:rFonts w:hint="eastAsia" w:ascii="宋体" w:hAnsi="宋体" w:eastAsia="宋体" w:cs="宋体"/>
                <w:color w:val="auto"/>
                <w:spacing w:val="-1"/>
                <w:sz w:val="21"/>
                <w:szCs w:val="21"/>
                <w:highlight w:val="none"/>
                <w:lang w:eastAsia="zh-CN"/>
              </w:rPr>
              <w:t>符合小微企业价格折扣（</w:t>
            </w:r>
            <w:r>
              <w:rPr>
                <w:rFonts w:hint="eastAsia" w:ascii="宋体" w:hAnsi="宋体" w:eastAsia="宋体" w:cs="宋体"/>
                <w:color w:val="auto"/>
                <w:spacing w:val="-1"/>
                <w:sz w:val="21"/>
                <w:szCs w:val="21"/>
                <w:highlight w:val="none"/>
                <w:u w:val="single"/>
                <w:lang w:eastAsia="zh-CN"/>
              </w:rPr>
              <w:t>是</w:t>
            </w:r>
            <w:r>
              <w:rPr>
                <w:rFonts w:hint="eastAsia" w:ascii="宋体" w:hAnsi="宋体" w:eastAsia="宋体" w:cs="宋体"/>
                <w:color w:val="auto"/>
                <w:spacing w:val="-1"/>
                <w:sz w:val="21"/>
                <w:szCs w:val="21"/>
                <w:highlight w:val="none"/>
                <w:u w:val="single"/>
                <w:lang w:val="en-US" w:eastAsia="zh-CN"/>
              </w:rPr>
              <w:t>/否</w:t>
            </w:r>
            <w:r>
              <w:rPr>
                <w:rFonts w:hint="eastAsia" w:ascii="宋体" w:hAnsi="宋体" w:eastAsia="宋体" w:cs="宋体"/>
                <w:color w:val="auto"/>
                <w:spacing w:val="-1"/>
                <w:sz w:val="21"/>
                <w:szCs w:val="21"/>
                <w:highlight w:val="none"/>
                <w:lang w:eastAsia="zh-CN"/>
              </w:rPr>
              <w:t>）</w:t>
            </w:r>
          </w:p>
        </w:tc>
      </w:tr>
      <w:tr w14:paraId="331A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14:paraId="170AB06E">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  注</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14:paraId="3C4120E4">
            <w:pPr>
              <w:pStyle w:val="52"/>
              <w:widowControl w:val="0"/>
              <w:autoSpaceDE w:val="0"/>
              <w:autoSpaceDN w:val="0"/>
              <w:spacing w:before="0" w:after="0" w:line="400" w:lineRule="exact"/>
              <w:jc w:val="center"/>
              <w:rPr>
                <w:rFonts w:hint="eastAsia" w:ascii="宋体" w:hAnsi="宋体" w:eastAsia="宋体" w:cs="宋体"/>
                <w:color w:val="auto"/>
                <w:spacing w:val="-1"/>
                <w:sz w:val="21"/>
                <w:szCs w:val="21"/>
                <w:highlight w:val="none"/>
                <w:lang w:eastAsia="zh-CN"/>
              </w:rPr>
            </w:pPr>
          </w:p>
        </w:tc>
      </w:tr>
    </w:tbl>
    <w:p w14:paraId="4373ADF4">
      <w:pPr>
        <w:rPr>
          <w:rFonts w:hint="eastAsia" w:ascii="宋体" w:hAnsi="宋体"/>
          <w:color w:val="auto"/>
          <w:szCs w:val="21"/>
          <w:highlight w:val="none"/>
        </w:rPr>
      </w:pPr>
    </w:p>
    <w:p w14:paraId="433F0504">
      <w:pPr>
        <w:rPr>
          <w:rFonts w:ascii="宋体" w:hAnsi="宋体"/>
          <w:color w:val="auto"/>
          <w:szCs w:val="21"/>
          <w:highlight w:val="none"/>
        </w:rPr>
      </w:pPr>
    </w:p>
    <w:p w14:paraId="69FEB86E">
      <w:pPr>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rPr>
        <w:t>供应商法定代表人或其授权委托人(电子签名或盖章)</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p>
    <w:p w14:paraId="6D0FB124">
      <w:pPr>
        <w:spacing w:line="360" w:lineRule="auto"/>
        <w:rPr>
          <w:rFonts w:hint="eastAsia"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w:t>
      </w:r>
      <w:r>
        <w:rPr>
          <w:rFonts w:hint="eastAsia" w:ascii="宋体" w:hAnsi="宋体" w:cs="宋体"/>
          <w:color w:val="auto"/>
          <w:szCs w:val="21"/>
          <w:highlight w:val="none"/>
        </w:rPr>
        <w:t>单位电子签章</w:t>
      </w:r>
      <w:r>
        <w:rPr>
          <w:rFonts w:ascii="宋体" w:hAnsi="宋体"/>
          <w:color w:val="auto"/>
          <w:szCs w:val="21"/>
          <w:highlight w:val="none"/>
        </w:rPr>
        <w:t>):</w:t>
      </w: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ab/>
      </w:r>
    </w:p>
    <w:p w14:paraId="0CDD14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年   月   </w:t>
      </w:r>
      <w:bookmarkStart w:id="930" w:name="_Toc144974860"/>
      <w:bookmarkStart w:id="931" w:name="_Toc152045791"/>
      <w:bookmarkStart w:id="932" w:name="_Toc287367268"/>
      <w:bookmarkStart w:id="933" w:name="_Toc152042580"/>
      <w:r>
        <w:rPr>
          <w:rFonts w:hint="eastAsia" w:ascii="宋体" w:hAnsi="宋体"/>
          <w:color w:val="auto"/>
          <w:szCs w:val="21"/>
          <w:highlight w:val="none"/>
        </w:rPr>
        <w:t>日</w:t>
      </w:r>
    </w:p>
    <w:p w14:paraId="169FF3E0">
      <w:pPr>
        <w:pStyle w:val="48"/>
        <w:ind w:left="0" w:leftChars="0" w:firstLine="0" w:firstLineChars="0"/>
        <w:jc w:val="both"/>
        <w:rPr>
          <w:rFonts w:hint="eastAsia" w:ascii="宋体" w:hAnsi="宋体" w:eastAsia="宋体"/>
          <w:b/>
          <w:color w:val="auto"/>
          <w:szCs w:val="28"/>
          <w:highlight w:val="none"/>
        </w:rPr>
      </w:pPr>
      <w:bookmarkStart w:id="934" w:name="_Toc466298161"/>
      <w:bookmarkStart w:id="935" w:name="_Toc2481"/>
      <w:bookmarkStart w:id="936" w:name="_Toc31033"/>
    </w:p>
    <w:bookmarkEnd w:id="930"/>
    <w:bookmarkEnd w:id="931"/>
    <w:bookmarkEnd w:id="932"/>
    <w:bookmarkEnd w:id="933"/>
    <w:bookmarkEnd w:id="934"/>
    <w:bookmarkEnd w:id="935"/>
    <w:bookmarkEnd w:id="936"/>
    <w:p w14:paraId="28A272A5">
      <w:pPr>
        <w:rPr>
          <w:rFonts w:hint="eastAsia" w:ascii="宋体" w:hAnsi="宋体" w:eastAsia="宋体"/>
          <w:b/>
          <w:color w:val="auto"/>
          <w:szCs w:val="28"/>
          <w:highlight w:val="none"/>
        </w:rPr>
      </w:pPr>
      <w:r>
        <w:rPr>
          <w:rFonts w:hint="eastAsia" w:ascii="宋体" w:hAnsi="宋体" w:eastAsia="宋体"/>
          <w:b/>
          <w:color w:val="auto"/>
          <w:szCs w:val="28"/>
          <w:highlight w:val="none"/>
        </w:rPr>
        <w:br w:type="page"/>
      </w:r>
    </w:p>
    <w:p w14:paraId="711F07C9">
      <w:pPr>
        <w:pStyle w:val="48"/>
        <w:jc w:val="center"/>
        <w:rPr>
          <w:rFonts w:hint="eastAsia" w:ascii="宋体" w:hAnsi="宋体"/>
          <w:b/>
          <w:color w:val="auto"/>
          <w:szCs w:val="28"/>
          <w:highlight w:val="none"/>
        </w:rPr>
      </w:pPr>
      <w:r>
        <w:rPr>
          <w:rFonts w:hint="eastAsia" w:ascii="宋体" w:hAnsi="宋体" w:eastAsia="宋体"/>
          <w:b/>
          <w:color w:val="auto"/>
          <w:szCs w:val="28"/>
          <w:highlight w:val="none"/>
        </w:rPr>
        <w:t>二、法定代</w:t>
      </w:r>
      <w:r>
        <w:rPr>
          <w:rFonts w:hint="eastAsia" w:ascii="宋体" w:hAnsi="宋体" w:eastAsia="宋体"/>
          <w:b/>
          <w:color w:val="auto"/>
          <w:szCs w:val="28"/>
          <w:highlight w:val="none"/>
          <w:lang w:eastAsia="zh-CN"/>
        </w:rPr>
        <w:t>表人</w:t>
      </w:r>
      <w:r>
        <w:rPr>
          <w:rFonts w:hint="eastAsia" w:ascii="宋体" w:hAnsi="宋体" w:eastAsia="宋体"/>
          <w:b/>
          <w:color w:val="auto"/>
          <w:szCs w:val="28"/>
          <w:highlight w:val="none"/>
        </w:rPr>
        <w:t>身份证明</w:t>
      </w:r>
    </w:p>
    <w:p w14:paraId="42691E9F">
      <w:pPr>
        <w:spacing w:line="440" w:lineRule="exact"/>
        <w:jc w:val="center"/>
        <w:rPr>
          <w:rFonts w:hint="eastAsia" w:ascii="宋体" w:hAnsi="宋体" w:cs="宋体"/>
          <w:color w:val="auto"/>
          <w:szCs w:val="21"/>
          <w:highlight w:val="none"/>
        </w:rPr>
      </w:pPr>
    </w:p>
    <w:p w14:paraId="61EA2C3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EB446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A103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115C779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w:t>
      </w:r>
    </w:p>
    <w:p w14:paraId="43C7E94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13C2C71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7EF65C5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（供应商名称）的法定代表人。</w:t>
      </w:r>
    </w:p>
    <w:p w14:paraId="54BA1D5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3F555334">
      <w:pPr>
        <w:spacing w:line="440" w:lineRule="exact"/>
        <w:rPr>
          <w:rFonts w:hint="eastAsia" w:ascii="宋体" w:hAnsi="宋体" w:cs="宋体"/>
          <w:color w:val="auto"/>
          <w:szCs w:val="21"/>
          <w:highlight w:val="none"/>
        </w:rPr>
      </w:pPr>
    </w:p>
    <w:p w14:paraId="17D3B727">
      <w:pPr>
        <w:spacing w:line="440" w:lineRule="exact"/>
        <w:rPr>
          <w:rFonts w:hint="eastAsia" w:ascii="宋体" w:hAnsi="宋体" w:cs="宋体"/>
          <w:color w:val="auto"/>
          <w:szCs w:val="21"/>
          <w:highlight w:val="none"/>
        </w:rPr>
      </w:pPr>
    </w:p>
    <w:p w14:paraId="4B24FC9B">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14:paraId="382736F6">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7F7AA2B7">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247F49D6">
      <w:pPr>
        <w:spacing w:line="440" w:lineRule="exact"/>
        <w:rPr>
          <w:rFonts w:hint="eastAsia" w:ascii="宋体" w:hAnsi="宋体" w:cs="宋体"/>
          <w:color w:val="auto"/>
          <w:szCs w:val="21"/>
          <w:highlight w:val="none"/>
        </w:rPr>
      </w:pPr>
    </w:p>
    <w:p w14:paraId="6F841015">
      <w:pPr>
        <w:spacing w:line="440" w:lineRule="exact"/>
        <w:rPr>
          <w:rFonts w:hint="eastAsia" w:ascii="宋体" w:hAnsi="宋体" w:cs="宋体"/>
          <w:color w:val="auto"/>
          <w:szCs w:val="21"/>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0AA7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5D228B6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法定代表人身份证扫描件</w:t>
            </w:r>
          </w:p>
          <w:p w14:paraId="70E78E63">
            <w:pPr>
              <w:spacing w:line="440" w:lineRule="exact"/>
              <w:jc w:val="center"/>
              <w:rPr>
                <w:rFonts w:hint="eastAsia" w:ascii="宋体" w:hAnsi="宋体" w:cs="宋体"/>
                <w:color w:val="auto"/>
                <w:szCs w:val="21"/>
                <w:highlight w:val="none"/>
              </w:rPr>
            </w:pPr>
          </w:p>
        </w:tc>
      </w:tr>
    </w:tbl>
    <w:p w14:paraId="65DF4113">
      <w:pPr>
        <w:spacing w:line="440" w:lineRule="exact"/>
        <w:rPr>
          <w:rFonts w:hint="eastAsia" w:ascii="宋体" w:hAnsi="宋体" w:cs="宋体"/>
          <w:color w:val="auto"/>
          <w:szCs w:val="21"/>
          <w:highlight w:val="none"/>
        </w:rPr>
      </w:pPr>
    </w:p>
    <w:p w14:paraId="1BC87FB1">
      <w:pPr>
        <w:spacing w:line="440" w:lineRule="exact"/>
        <w:rPr>
          <w:rFonts w:hint="eastAsia" w:ascii="宋体" w:hAnsi="宋体" w:cs="宋体"/>
          <w:color w:val="auto"/>
          <w:szCs w:val="21"/>
          <w:highlight w:val="none"/>
        </w:rPr>
      </w:pPr>
    </w:p>
    <w:p w14:paraId="55126635">
      <w:pPr>
        <w:spacing w:line="440" w:lineRule="exact"/>
        <w:rPr>
          <w:rFonts w:hint="eastAsia" w:ascii="宋体" w:hAnsi="宋体" w:cs="宋体"/>
          <w:color w:val="auto"/>
          <w:sz w:val="20"/>
          <w:szCs w:val="20"/>
          <w:highlight w:val="none"/>
        </w:rPr>
      </w:pPr>
    </w:p>
    <w:p w14:paraId="62241A03">
      <w:pPr>
        <w:spacing w:line="440" w:lineRule="exact"/>
        <w:rPr>
          <w:rFonts w:hint="eastAsia" w:ascii="宋体" w:hAnsi="宋体" w:cs="宋体"/>
          <w:color w:val="auto"/>
          <w:sz w:val="20"/>
          <w:szCs w:val="20"/>
          <w:highlight w:val="none"/>
        </w:rPr>
      </w:pPr>
    </w:p>
    <w:p w14:paraId="18661AD5">
      <w:pPr>
        <w:spacing w:line="440" w:lineRule="exact"/>
        <w:rPr>
          <w:rFonts w:hint="eastAsia" w:ascii="宋体" w:hAnsi="宋体" w:cs="宋体"/>
          <w:color w:val="auto"/>
          <w:sz w:val="20"/>
          <w:szCs w:val="20"/>
          <w:highlight w:val="none"/>
        </w:rPr>
      </w:pPr>
    </w:p>
    <w:p w14:paraId="50994679">
      <w:pPr>
        <w:pStyle w:val="3"/>
        <w:numPr>
          <w:ilvl w:val="1"/>
          <w:numId w:val="0"/>
        </w:numPr>
        <w:jc w:val="center"/>
        <w:rPr>
          <w:rFonts w:ascii="Times New Roman" w:hAnsi="Times New Roman" w:eastAsia="宋体"/>
          <w:color w:val="auto"/>
          <w:sz w:val="28"/>
          <w:highlight w:val="none"/>
        </w:rPr>
      </w:pPr>
      <w:bookmarkStart w:id="937" w:name="_Toc441791190"/>
      <w:bookmarkStart w:id="938" w:name="_Toc26203"/>
      <w:bookmarkStart w:id="939" w:name="_Toc4123"/>
      <w:bookmarkStart w:id="940" w:name="_Toc202941490"/>
      <w:bookmarkStart w:id="941" w:name="_Toc318989765"/>
      <w:bookmarkStart w:id="942" w:name="_Toc466298162"/>
      <w:r>
        <w:rPr>
          <w:rFonts w:hint="eastAsia" w:ascii="Times New Roman" w:hAnsi="Times New Roman" w:eastAsia="宋体"/>
          <w:color w:val="auto"/>
          <w:sz w:val="28"/>
          <w:highlight w:val="none"/>
          <w:lang w:eastAsia="zh-CN"/>
        </w:rPr>
        <w:t>三</w:t>
      </w:r>
      <w:r>
        <w:rPr>
          <w:rFonts w:ascii="Times New Roman" w:hAnsi="Times New Roman" w:eastAsia="宋体"/>
          <w:color w:val="auto"/>
          <w:sz w:val="28"/>
          <w:highlight w:val="none"/>
        </w:rPr>
        <w:t>、授权委托书</w:t>
      </w:r>
      <w:bookmarkEnd w:id="937"/>
      <w:bookmarkEnd w:id="938"/>
      <w:bookmarkEnd w:id="939"/>
      <w:bookmarkEnd w:id="940"/>
      <w:bookmarkEnd w:id="941"/>
      <w:bookmarkEnd w:id="942"/>
    </w:p>
    <w:p w14:paraId="3ACA968A">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（项目名称）响应文件、签订合同和处理有关事宜，其法律后果由我方承担。</w:t>
      </w:r>
    </w:p>
    <w:p w14:paraId="5887F3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highlight w:val="none"/>
        </w:rPr>
        <w:t>自本委托书签署之日起至</w:t>
      </w:r>
      <w:r>
        <w:rPr>
          <w:rFonts w:hint="eastAsia" w:ascii="宋体" w:hAnsi="宋体" w:cs="宋体"/>
          <w:color w:val="auto"/>
          <w:highlight w:val="none"/>
          <w:lang w:eastAsia="zh-CN"/>
        </w:rPr>
        <w:t>磋商</w:t>
      </w:r>
      <w:r>
        <w:rPr>
          <w:rFonts w:hint="eastAsia" w:ascii="宋体" w:hAnsi="宋体" w:cs="宋体"/>
          <w:color w:val="auto"/>
          <w:highlight w:val="none"/>
        </w:rPr>
        <w:t>有效期期满。</w:t>
      </w:r>
    </w:p>
    <w:p w14:paraId="5FACBB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C7AAD72">
      <w:pPr>
        <w:spacing w:line="440" w:lineRule="exact"/>
        <w:rPr>
          <w:rFonts w:hint="eastAsia" w:ascii="宋体" w:hAnsi="宋体" w:cs="宋体"/>
          <w:color w:val="auto"/>
          <w:szCs w:val="21"/>
          <w:highlight w:val="none"/>
        </w:rPr>
      </w:pPr>
    </w:p>
    <w:p w14:paraId="14AC0DCC">
      <w:pPr>
        <w:spacing w:line="440" w:lineRule="exact"/>
        <w:rPr>
          <w:rFonts w:hint="eastAsia" w:ascii="宋体" w:hAnsi="宋体" w:cs="宋体"/>
          <w:color w:val="auto"/>
          <w:szCs w:val="21"/>
          <w:highlight w:val="none"/>
        </w:rPr>
      </w:pPr>
    </w:p>
    <w:p w14:paraId="3DA922DC">
      <w:pPr>
        <w:spacing w:line="440" w:lineRule="exact"/>
        <w:rPr>
          <w:rFonts w:hint="eastAsia" w:ascii="宋体" w:hAnsi="宋体" w:cs="宋体"/>
          <w:color w:val="auto"/>
          <w:szCs w:val="21"/>
          <w:highlight w:val="none"/>
        </w:rPr>
      </w:pPr>
    </w:p>
    <w:p w14:paraId="447A412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（单位电子签章）</w:t>
      </w:r>
    </w:p>
    <w:p w14:paraId="2B51D00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5E3C8691">
      <w:pPr>
        <w:spacing w:line="440" w:lineRule="exact"/>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ACA93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（电子签名或盖章）</w:t>
      </w:r>
    </w:p>
    <w:p w14:paraId="28ED3EDD">
      <w:pPr>
        <w:spacing w:line="440" w:lineRule="exact"/>
        <w:ind w:firstLine="3150" w:firstLineChars="15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6FD70DE9">
      <w:pPr>
        <w:spacing w:line="440" w:lineRule="exact"/>
        <w:ind w:firstLine="3150" w:firstLineChars="1500"/>
        <w:rPr>
          <w:rFonts w:hint="default" w:ascii="宋体" w:hAnsi="宋体" w:cs="宋体" w:eastAsiaTheme="minorEastAsia"/>
          <w:color w:val="auto"/>
          <w:szCs w:val="21"/>
          <w:highlight w:val="none"/>
          <w:u w:val="single"/>
          <w:lang w:val="en-US" w:eastAsia="zh-CN"/>
        </w:rPr>
      </w:pPr>
      <w:r>
        <w:rPr>
          <w:rFonts w:hint="eastAsia" w:ascii="宋体" w:hAnsi="宋体" w:cs="宋体"/>
          <w:color w:val="auto"/>
          <w:szCs w:val="21"/>
          <w:highlight w:val="none"/>
          <w:u w:val="none"/>
          <w:lang w:val="en-US" w:eastAsia="zh-CN"/>
        </w:rPr>
        <w:t xml:space="preserve">联系方式： </w:t>
      </w:r>
      <w:r>
        <w:rPr>
          <w:rFonts w:hint="eastAsia" w:ascii="宋体" w:hAnsi="宋体" w:cs="宋体"/>
          <w:color w:val="auto"/>
          <w:szCs w:val="21"/>
          <w:highlight w:val="none"/>
          <w:u w:val="single"/>
          <w:lang w:val="en-US" w:eastAsia="zh-CN"/>
        </w:rPr>
        <w:t xml:space="preserve">                                   </w:t>
      </w:r>
    </w:p>
    <w:p w14:paraId="3A46A80B">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6E7D50D">
      <w:pPr>
        <w:spacing w:line="440" w:lineRule="exact"/>
        <w:rPr>
          <w:rFonts w:hint="eastAsia" w:ascii="宋体" w:hAnsi="宋体" w:cs="宋体"/>
          <w:color w:val="auto"/>
          <w:szCs w:val="21"/>
          <w:highlight w:val="none"/>
        </w:rPr>
      </w:pPr>
    </w:p>
    <w:p w14:paraId="0F42EE49">
      <w:pPr>
        <w:pStyle w:val="9"/>
        <w:rPr>
          <w:rFonts w:hint="eastAsia"/>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A3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52F9AE5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委托代理人身份证扫描件</w:t>
            </w:r>
          </w:p>
          <w:p w14:paraId="40BA50D1">
            <w:pPr>
              <w:spacing w:line="440" w:lineRule="exact"/>
              <w:jc w:val="center"/>
              <w:rPr>
                <w:rFonts w:hint="eastAsia" w:ascii="宋体" w:hAnsi="宋体" w:cs="宋体"/>
                <w:color w:val="auto"/>
                <w:szCs w:val="21"/>
                <w:highlight w:val="none"/>
              </w:rPr>
            </w:pPr>
          </w:p>
        </w:tc>
      </w:tr>
    </w:tbl>
    <w:p w14:paraId="789E8EFD">
      <w:pPr>
        <w:spacing w:line="440" w:lineRule="exact"/>
        <w:rPr>
          <w:rFonts w:hint="eastAsia" w:ascii="宋体" w:hAnsi="宋体" w:cs="宋体"/>
          <w:color w:val="auto"/>
          <w:szCs w:val="21"/>
          <w:highlight w:val="none"/>
        </w:rPr>
      </w:pPr>
    </w:p>
    <w:p w14:paraId="5A02D26D">
      <w:pPr>
        <w:pStyle w:val="23"/>
        <w:rPr>
          <w:rFonts w:hint="eastAsia"/>
          <w:color w:val="auto"/>
          <w:highlight w:val="none"/>
        </w:rPr>
      </w:pPr>
    </w:p>
    <w:p w14:paraId="6FE94D09">
      <w:pPr>
        <w:spacing w:line="440" w:lineRule="exact"/>
        <w:ind w:firstLine="2310" w:firstLineChars="1100"/>
        <w:rPr>
          <w:rFonts w:hint="eastAsia" w:ascii="宋体" w:hAnsi="宋体" w:cs="宋体"/>
          <w:color w:val="auto"/>
          <w:szCs w:val="21"/>
          <w:highlight w:val="none"/>
        </w:rPr>
      </w:pPr>
    </w:p>
    <w:p w14:paraId="56472A3E">
      <w:pPr>
        <w:pStyle w:val="23"/>
        <w:rPr>
          <w:rFonts w:hint="eastAsia"/>
          <w:color w:val="auto"/>
          <w:highlight w:val="none"/>
        </w:rPr>
      </w:pPr>
    </w:p>
    <w:p w14:paraId="25B79859">
      <w:pPr>
        <w:pStyle w:val="3"/>
        <w:numPr>
          <w:ilvl w:val="1"/>
          <w:numId w:val="0"/>
        </w:numPr>
        <w:spacing w:before="60" w:beforeLines="0" w:after="60" w:afterLines="0" w:line="400" w:lineRule="exact"/>
        <w:jc w:val="center"/>
        <w:rPr>
          <w:rFonts w:hint="eastAsia" w:ascii="宋体" w:hAnsi="宋体" w:eastAsia="宋体" w:cs="宋体"/>
          <w:b/>
          <w:color w:val="auto"/>
          <w:szCs w:val="28"/>
          <w:highlight w:val="none"/>
        </w:rPr>
      </w:pPr>
      <w:bookmarkStart w:id="943" w:name="_Toc5437"/>
      <w:bookmarkStart w:id="944" w:name="_Toc475624458"/>
      <w:r>
        <w:rPr>
          <w:rFonts w:hint="eastAsia" w:eastAsia="宋体" w:cs="宋体"/>
          <w:b/>
          <w:color w:val="auto"/>
          <w:szCs w:val="28"/>
          <w:highlight w:val="none"/>
          <w:lang w:eastAsia="zh-CN"/>
        </w:rPr>
        <w:t>四</w:t>
      </w:r>
      <w:r>
        <w:rPr>
          <w:rFonts w:hint="eastAsia" w:ascii="宋体" w:hAnsi="宋体" w:eastAsia="宋体" w:cs="宋体"/>
          <w:b/>
          <w:color w:val="auto"/>
          <w:szCs w:val="28"/>
          <w:highlight w:val="none"/>
        </w:rPr>
        <w:t>、分项报价</w:t>
      </w:r>
    </w:p>
    <w:p w14:paraId="71CB7E7C">
      <w:pPr>
        <w:pStyle w:val="2"/>
        <w:numPr>
          <w:ilvl w:val="0"/>
          <w:numId w:val="0"/>
        </w:numPr>
        <w:spacing w:before="120" w:beforeLines="0" w:after="120" w:afterLines="0" w:line="400" w:lineRule="exact"/>
        <w:jc w:val="center"/>
        <w:rPr>
          <w:rFonts w:hint="eastAsia"/>
          <w:b w:val="0"/>
          <w:bCs w:val="0"/>
          <w:color w:val="auto"/>
          <w:sz w:val="22"/>
          <w:szCs w:val="22"/>
          <w:highlight w:val="none"/>
          <w:lang w:eastAsia="zh-CN"/>
        </w:rPr>
      </w:pPr>
      <w:r>
        <w:rPr>
          <w:rFonts w:hint="eastAsia" w:cstheme="minorBidi"/>
          <w:b w:val="0"/>
          <w:bCs w:val="0"/>
          <w:color w:val="auto"/>
          <w:kern w:val="2"/>
          <w:sz w:val="22"/>
          <w:szCs w:val="22"/>
          <w:highlight w:val="none"/>
          <w:lang w:val="en-US" w:eastAsia="zh-CN" w:bidi="ar-SA"/>
        </w:rPr>
        <w:t>（内容及格式由供应商自拟，参照</w:t>
      </w:r>
      <w:r>
        <w:rPr>
          <w:rFonts w:hint="eastAsia" w:ascii="宋体" w:hAnsi="宋体" w:cs="宋体"/>
          <w:b w:val="0"/>
          <w:bCs w:val="0"/>
          <w:color w:val="auto"/>
          <w:sz w:val="22"/>
          <w:szCs w:val="22"/>
          <w:highlight w:val="none"/>
          <w:lang w:eastAsia="zh-CN"/>
        </w:rPr>
        <w:t>采购需求及</w:t>
      </w:r>
      <w:r>
        <w:rPr>
          <w:rFonts w:hint="eastAsia" w:ascii="宋体" w:hAnsi="宋体" w:cs="宋体"/>
          <w:b w:val="0"/>
          <w:bCs w:val="0"/>
          <w:color w:val="auto"/>
          <w:sz w:val="22"/>
          <w:szCs w:val="22"/>
          <w:highlight w:val="none"/>
          <w:lang w:val="en-US" w:eastAsia="zh-CN"/>
        </w:rPr>
        <w:t>技术参数要求</w:t>
      </w:r>
      <w:r>
        <w:rPr>
          <w:rFonts w:hint="eastAsia" w:ascii="宋体" w:hAnsi="宋体" w:cs="宋体"/>
          <w:b w:val="0"/>
          <w:bCs w:val="0"/>
          <w:color w:val="auto"/>
          <w:sz w:val="22"/>
          <w:szCs w:val="22"/>
          <w:highlight w:val="none"/>
          <w:lang w:eastAsia="zh-CN"/>
        </w:rPr>
        <w:t>。）</w:t>
      </w:r>
    </w:p>
    <w:p w14:paraId="48141833">
      <w:pPr>
        <w:spacing w:line="312" w:lineRule="auto"/>
        <w:ind w:left="0" w:leftChars="0" w:firstLine="0" w:firstLineChars="0"/>
        <w:jc w:val="center"/>
        <w:rPr>
          <w:rFonts w:hint="eastAsia" w:ascii="宋体" w:hAnsi="宋体" w:eastAsia="宋体" w:cs="宋体"/>
          <w:b/>
          <w:color w:val="auto"/>
          <w:sz w:val="21"/>
          <w:szCs w:val="21"/>
          <w:highlight w:val="none"/>
          <w:lang w:eastAsia="zh-CN"/>
        </w:rPr>
      </w:pPr>
    </w:p>
    <w:p w14:paraId="6A875CFE">
      <w:pPr>
        <w:tabs>
          <w:tab w:val="left" w:pos="1365"/>
        </w:tabs>
        <w:spacing w:line="360" w:lineRule="auto"/>
        <w:ind w:firstLine="315" w:firstLineChars="150"/>
        <w:jc w:val="right"/>
        <w:rPr>
          <w:rFonts w:hint="eastAsia" w:ascii="宋体" w:hAnsi="宋体" w:eastAsia="宋体" w:cs="宋体"/>
          <w:color w:val="auto"/>
          <w:sz w:val="21"/>
          <w:szCs w:val="21"/>
          <w:highlight w:val="none"/>
        </w:rPr>
      </w:pPr>
    </w:p>
    <w:p w14:paraId="00206D6B">
      <w:pPr>
        <w:tabs>
          <w:tab w:val="left" w:pos="1365"/>
        </w:tabs>
        <w:spacing w:line="360" w:lineRule="auto"/>
        <w:ind w:firstLine="315" w:firstLineChars="150"/>
        <w:jc w:val="right"/>
        <w:rPr>
          <w:rFonts w:hint="eastAsia" w:ascii="宋体" w:hAnsi="宋体" w:eastAsia="宋体" w:cs="宋体"/>
          <w:color w:val="auto"/>
          <w:sz w:val="21"/>
          <w:szCs w:val="21"/>
          <w:highlight w:val="none"/>
        </w:rPr>
      </w:pPr>
    </w:p>
    <w:p w14:paraId="1375B24B">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3A394D5F">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6005D0BD">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0E628E54">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5D8DFB07">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3853A418">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4CFBBF58">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5CBFA66A">
      <w:pPr>
        <w:pStyle w:val="23"/>
        <w:rPr>
          <w:rFonts w:hint="eastAsia" w:ascii="宋体" w:hAnsi="宋体" w:eastAsia="宋体" w:cs="宋体"/>
          <w:color w:val="auto"/>
          <w:sz w:val="21"/>
          <w:szCs w:val="21"/>
          <w:highlight w:val="none"/>
        </w:rPr>
      </w:pPr>
    </w:p>
    <w:p w14:paraId="2B53FBF0">
      <w:pPr>
        <w:pStyle w:val="24"/>
        <w:rPr>
          <w:rFonts w:hint="eastAsia"/>
          <w:color w:val="auto"/>
          <w:highlight w:val="none"/>
        </w:rPr>
      </w:pPr>
    </w:p>
    <w:p w14:paraId="4CEBA9E1">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1E348934">
      <w:pPr>
        <w:tabs>
          <w:tab w:val="left" w:pos="1365"/>
        </w:tabs>
        <w:spacing w:line="360" w:lineRule="auto"/>
        <w:ind w:firstLine="315" w:firstLineChars="150"/>
        <w:jc w:val="center"/>
        <w:rPr>
          <w:rFonts w:hint="eastAsia" w:ascii="宋体" w:hAnsi="宋体" w:eastAsia="宋体" w:cs="宋体"/>
          <w:color w:val="auto"/>
          <w:sz w:val="21"/>
          <w:szCs w:val="21"/>
          <w:highlight w:val="none"/>
        </w:rPr>
      </w:pPr>
    </w:p>
    <w:p w14:paraId="24E3A420">
      <w:pPr>
        <w:spacing w:line="360" w:lineRule="auto"/>
        <w:ind w:left="0" w:leftChars="0"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sz w:val="21"/>
          <w:szCs w:val="21"/>
          <w:highlight w:val="none"/>
          <w:lang w:val="en-US" w:eastAsia="zh-CN"/>
        </w:rPr>
        <w:t xml:space="preserve"> </w:t>
      </w:r>
    </w:p>
    <w:p w14:paraId="4DD0B51D">
      <w:pPr>
        <w:pStyle w:val="23"/>
        <w:ind w:firstLine="540" w:firstLineChars="192"/>
        <w:jc w:val="center"/>
        <w:rPr>
          <w:rFonts w:hint="eastAsia" w:ascii="宋体" w:hAnsi="宋体" w:eastAsia="宋体" w:cs="宋体"/>
          <w:b/>
          <w:color w:val="auto"/>
          <w:sz w:val="28"/>
          <w:szCs w:val="28"/>
          <w:highlight w:val="none"/>
          <w:lang w:eastAsia="zh-CN"/>
        </w:rPr>
      </w:pPr>
    </w:p>
    <w:p w14:paraId="1975BF67">
      <w:pPr>
        <w:pStyle w:val="24"/>
        <w:rPr>
          <w:rFonts w:hint="eastAsia" w:ascii="宋体" w:hAnsi="宋体" w:eastAsia="宋体" w:cs="宋体"/>
          <w:b/>
          <w:color w:val="auto"/>
          <w:sz w:val="28"/>
          <w:szCs w:val="28"/>
          <w:highlight w:val="none"/>
          <w:lang w:eastAsia="zh-CN"/>
        </w:rPr>
      </w:pPr>
    </w:p>
    <w:p w14:paraId="41AA26C9">
      <w:pPr>
        <w:pStyle w:val="24"/>
        <w:rPr>
          <w:rFonts w:hint="eastAsia" w:ascii="宋体" w:hAnsi="宋体" w:eastAsia="宋体" w:cs="宋体"/>
          <w:b/>
          <w:color w:val="auto"/>
          <w:sz w:val="28"/>
          <w:szCs w:val="28"/>
          <w:highlight w:val="none"/>
          <w:lang w:eastAsia="zh-CN"/>
        </w:rPr>
      </w:pPr>
    </w:p>
    <w:p w14:paraId="30732028">
      <w:pPr>
        <w:rPr>
          <w:rFonts w:hint="eastAsia"/>
          <w:b/>
          <w:color w:val="auto"/>
          <w:sz w:val="28"/>
          <w:szCs w:val="28"/>
          <w:highlight w:val="none"/>
          <w:lang w:val="en-US" w:eastAsia="zh-CN"/>
        </w:rPr>
      </w:pPr>
      <w:r>
        <w:rPr>
          <w:rFonts w:hint="eastAsia"/>
          <w:b/>
          <w:color w:val="auto"/>
          <w:sz w:val="28"/>
          <w:szCs w:val="28"/>
          <w:highlight w:val="none"/>
          <w:lang w:val="en-US" w:eastAsia="zh-CN"/>
        </w:rPr>
        <w:br w:type="page"/>
      </w:r>
    </w:p>
    <w:p w14:paraId="2499C4C6">
      <w:pPr>
        <w:pStyle w:val="23"/>
        <w:numPr>
          <w:ilvl w:val="0"/>
          <w:numId w:val="0"/>
        </w:numPr>
        <w:bidi w:val="0"/>
        <w:ind w:leftChars="192" w:right="0" w:rightChars="0"/>
        <w:jc w:val="center"/>
        <w:rPr>
          <w:rFonts w:hint="eastAsia" w:ascii="宋体" w:hAnsi="宋体" w:eastAsia="宋体" w:cs="宋体"/>
          <w:b/>
          <w:color w:val="auto"/>
          <w:sz w:val="28"/>
          <w:szCs w:val="28"/>
          <w:highlight w:val="none"/>
          <w:lang w:val="en-US" w:eastAsia="zh-CN"/>
        </w:rPr>
      </w:pPr>
      <w:r>
        <w:rPr>
          <w:rFonts w:hint="eastAsia"/>
          <w:b/>
          <w:color w:val="auto"/>
          <w:sz w:val="28"/>
          <w:szCs w:val="28"/>
          <w:highlight w:val="none"/>
          <w:lang w:val="en-US" w:eastAsia="zh-CN"/>
        </w:rPr>
        <w:t xml:space="preserve"> 五、 </w:t>
      </w:r>
      <w:r>
        <w:rPr>
          <w:rFonts w:hint="eastAsia" w:ascii="宋体" w:hAnsi="宋体" w:eastAsia="宋体" w:cs="宋体"/>
          <w:b/>
          <w:color w:val="auto"/>
          <w:sz w:val="28"/>
          <w:szCs w:val="28"/>
          <w:highlight w:val="none"/>
          <w:lang w:val="en-US" w:eastAsia="zh-CN"/>
        </w:rPr>
        <w:t>服务编制方案</w:t>
      </w:r>
    </w:p>
    <w:p w14:paraId="437452F6">
      <w:pPr>
        <w:keepNext w:val="0"/>
        <w:keepLines w:val="0"/>
        <w:widowControl/>
        <w:suppressLineNumbers w:val="0"/>
        <w:bidi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b/>
          <w:color w:val="auto"/>
          <w:sz w:val="21"/>
          <w:szCs w:val="21"/>
          <w:highlight w:val="none"/>
        </w:rPr>
        <w:t>内容及格式由</w:t>
      </w:r>
      <w:r>
        <w:rPr>
          <w:rFonts w:hint="eastAsia" w:ascii="宋体" w:hAnsi="宋体"/>
          <w:b/>
          <w:color w:val="auto"/>
          <w:sz w:val="21"/>
          <w:szCs w:val="21"/>
          <w:highlight w:val="none"/>
          <w:lang w:eastAsia="zh-CN"/>
        </w:rPr>
        <w:t>供应商</w:t>
      </w:r>
      <w:r>
        <w:rPr>
          <w:rFonts w:hint="eastAsia" w:ascii="宋体" w:hAnsi="宋体"/>
          <w:b/>
          <w:color w:val="auto"/>
          <w:sz w:val="21"/>
          <w:szCs w:val="21"/>
          <w:highlight w:val="none"/>
        </w:rPr>
        <w:t>自拟</w:t>
      </w:r>
      <w:r>
        <w:rPr>
          <w:rFonts w:hint="eastAsia" w:ascii="宋体" w:hAnsi="宋体"/>
          <w:b/>
          <w:color w:val="auto"/>
          <w:sz w:val="21"/>
          <w:szCs w:val="21"/>
          <w:highlight w:val="none"/>
          <w:lang w:eastAsia="zh-CN"/>
        </w:rPr>
        <w:t>，要点参照评分办法</w:t>
      </w:r>
      <w:r>
        <w:rPr>
          <w:rFonts w:hint="eastAsia" w:ascii="宋体" w:hAnsi="宋体" w:eastAsia="宋体" w:cs="宋体"/>
          <w:color w:val="auto"/>
          <w:kern w:val="0"/>
          <w:sz w:val="21"/>
          <w:szCs w:val="21"/>
          <w:highlight w:val="none"/>
          <w:lang w:val="en-US" w:eastAsia="zh-CN" w:bidi="ar"/>
        </w:rPr>
        <w:t>）</w:t>
      </w:r>
    </w:p>
    <w:p w14:paraId="3DC71B10">
      <w:pPr>
        <w:pStyle w:val="23"/>
        <w:bidi w:val="0"/>
        <w:rPr>
          <w:rFonts w:hint="eastAsia" w:ascii="宋体" w:hAnsi="宋体" w:eastAsia="宋体" w:cs="宋体"/>
          <w:color w:val="auto"/>
          <w:kern w:val="0"/>
          <w:sz w:val="21"/>
          <w:szCs w:val="21"/>
          <w:highlight w:val="none"/>
          <w:lang w:val="en-US" w:eastAsia="zh-CN" w:bidi="ar"/>
        </w:rPr>
      </w:pPr>
    </w:p>
    <w:p w14:paraId="6BC44C6F">
      <w:pPr>
        <w:pStyle w:val="24"/>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4444B84C">
      <w:pPr>
        <w:bidi w:val="0"/>
        <w:rPr>
          <w:rFonts w:hint="eastAsia" w:ascii="宋体" w:hAnsi="宋体" w:eastAsia="宋体" w:cs="宋体"/>
          <w:color w:val="auto"/>
          <w:kern w:val="0"/>
          <w:sz w:val="21"/>
          <w:szCs w:val="21"/>
          <w:highlight w:val="none"/>
          <w:lang w:val="en-US" w:eastAsia="zh-CN" w:bidi="ar"/>
        </w:rPr>
      </w:pPr>
    </w:p>
    <w:p w14:paraId="4EF84B77">
      <w:pPr>
        <w:pStyle w:val="23"/>
        <w:bidi w:val="0"/>
        <w:rPr>
          <w:rFonts w:hint="eastAsia" w:ascii="宋体" w:hAnsi="宋体" w:eastAsia="宋体" w:cs="宋体"/>
          <w:color w:val="auto"/>
          <w:kern w:val="0"/>
          <w:sz w:val="21"/>
          <w:szCs w:val="21"/>
          <w:highlight w:val="none"/>
          <w:lang w:val="en-US" w:eastAsia="zh-CN" w:bidi="ar"/>
        </w:rPr>
      </w:pPr>
    </w:p>
    <w:p w14:paraId="21D648AC">
      <w:pPr>
        <w:pStyle w:val="24"/>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77BDBEEE">
      <w:pPr>
        <w:bidi w:val="0"/>
        <w:rPr>
          <w:rFonts w:hint="eastAsia" w:ascii="宋体" w:hAnsi="宋体" w:eastAsia="宋体" w:cs="宋体"/>
          <w:color w:val="auto"/>
          <w:kern w:val="0"/>
          <w:sz w:val="21"/>
          <w:szCs w:val="21"/>
          <w:highlight w:val="none"/>
          <w:lang w:val="en-US" w:eastAsia="zh-CN" w:bidi="ar"/>
        </w:rPr>
      </w:pPr>
    </w:p>
    <w:p w14:paraId="1002E848">
      <w:pPr>
        <w:pStyle w:val="23"/>
        <w:bidi w:val="0"/>
        <w:rPr>
          <w:rFonts w:hint="eastAsia" w:ascii="宋体" w:hAnsi="宋体" w:eastAsia="宋体" w:cs="宋体"/>
          <w:color w:val="auto"/>
          <w:kern w:val="0"/>
          <w:sz w:val="21"/>
          <w:szCs w:val="21"/>
          <w:highlight w:val="none"/>
          <w:lang w:val="en-US" w:eastAsia="zh-CN" w:bidi="ar"/>
        </w:rPr>
      </w:pPr>
    </w:p>
    <w:p w14:paraId="4E7337EA">
      <w:pPr>
        <w:pStyle w:val="24"/>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73D124C7">
      <w:pPr>
        <w:bidi w:val="0"/>
        <w:rPr>
          <w:rFonts w:hint="eastAsia" w:ascii="宋体" w:hAnsi="宋体" w:eastAsia="宋体" w:cs="宋体"/>
          <w:color w:val="auto"/>
          <w:kern w:val="0"/>
          <w:sz w:val="21"/>
          <w:szCs w:val="21"/>
          <w:highlight w:val="none"/>
          <w:lang w:val="en-US" w:eastAsia="zh-CN" w:bidi="ar"/>
        </w:rPr>
      </w:pPr>
    </w:p>
    <w:p w14:paraId="5CC980B0">
      <w:pPr>
        <w:pStyle w:val="23"/>
        <w:bidi w:val="0"/>
        <w:rPr>
          <w:rFonts w:hint="eastAsia" w:ascii="宋体" w:hAnsi="宋体" w:eastAsia="宋体" w:cs="宋体"/>
          <w:color w:val="auto"/>
          <w:kern w:val="0"/>
          <w:sz w:val="21"/>
          <w:szCs w:val="21"/>
          <w:highlight w:val="none"/>
          <w:lang w:val="en-US" w:eastAsia="zh-CN" w:bidi="ar"/>
        </w:rPr>
      </w:pPr>
    </w:p>
    <w:p w14:paraId="52271A26">
      <w:pPr>
        <w:pStyle w:val="24"/>
        <w:tabs>
          <w:tab w:val="left" w:pos="945"/>
          <w:tab w:val="left" w:pos="1155"/>
        </w:tabs>
        <w:bidi w:val="0"/>
        <w:rPr>
          <w:rFonts w:hint="eastAsia" w:ascii="宋体" w:hAnsi="宋体" w:eastAsia="宋体" w:cs="宋体"/>
          <w:color w:val="auto"/>
          <w:kern w:val="0"/>
          <w:sz w:val="21"/>
          <w:szCs w:val="21"/>
          <w:highlight w:val="none"/>
          <w:lang w:val="en-US" w:eastAsia="zh-CN" w:bidi="ar"/>
        </w:rPr>
      </w:pPr>
    </w:p>
    <w:p w14:paraId="62E51B68">
      <w:pPr>
        <w:bidi w:val="0"/>
        <w:rPr>
          <w:rFonts w:hint="eastAsia" w:ascii="宋体" w:hAnsi="宋体" w:eastAsia="宋体" w:cs="宋体"/>
          <w:color w:val="auto"/>
          <w:kern w:val="0"/>
          <w:sz w:val="21"/>
          <w:szCs w:val="21"/>
          <w:highlight w:val="none"/>
          <w:lang w:val="en-US" w:eastAsia="zh-CN" w:bidi="ar"/>
        </w:rPr>
      </w:pPr>
    </w:p>
    <w:p w14:paraId="0078BF1C">
      <w:pPr>
        <w:pStyle w:val="24"/>
        <w:tabs>
          <w:tab w:val="left" w:pos="945"/>
          <w:tab w:val="left" w:pos="1155"/>
        </w:tabs>
        <w:bidi w:val="0"/>
        <w:rPr>
          <w:rFonts w:hint="eastAsia" w:eastAsiaTheme="minorEastAsia"/>
          <w:color w:val="auto"/>
          <w:highlight w:val="none"/>
          <w:lang w:eastAsia="zh-CN"/>
        </w:rPr>
      </w:pPr>
      <w:r>
        <w:rPr>
          <w:rFonts w:hint="eastAsia" w:ascii="宋体" w:hAnsi="宋体" w:eastAsia="宋体" w:cs="宋体"/>
          <w:color w:val="auto"/>
          <w:sz w:val="21"/>
          <w:szCs w:val="21"/>
          <w:highlight w:val="none"/>
          <w:lang w:val="en-US" w:eastAsia="zh-CN"/>
        </w:rPr>
        <w:t xml:space="preserve"> </w:t>
      </w:r>
    </w:p>
    <w:p w14:paraId="39162DAF">
      <w:pPr>
        <w:pStyle w:val="24"/>
        <w:numPr>
          <w:ilvl w:val="0"/>
          <w:numId w:val="0"/>
        </w:numPr>
        <w:tabs>
          <w:tab w:val="left" w:pos="945"/>
          <w:tab w:val="left" w:pos="1155"/>
        </w:tabs>
        <w:bidi w:val="0"/>
        <w:ind w:left="840" w:leftChars="400"/>
        <w:rPr>
          <w:rFonts w:hint="eastAsia"/>
          <w:color w:val="auto"/>
          <w:highlight w:val="none"/>
          <w:lang w:val="en-US" w:eastAsia="zh-CN"/>
        </w:rPr>
      </w:pPr>
    </w:p>
    <w:p w14:paraId="64D656EE">
      <w:pPr>
        <w:pStyle w:val="23"/>
        <w:bidi w:val="0"/>
        <w:ind w:firstLine="540" w:firstLineChars="192"/>
        <w:jc w:val="center"/>
        <w:rPr>
          <w:rFonts w:hint="eastAsia" w:ascii="宋体" w:hAnsi="宋体" w:eastAsia="宋体" w:cs="宋体"/>
          <w:b/>
          <w:color w:val="auto"/>
          <w:sz w:val="28"/>
          <w:szCs w:val="28"/>
          <w:highlight w:val="none"/>
          <w:lang w:val="en-US" w:eastAsia="zh-CN"/>
        </w:rPr>
      </w:pPr>
    </w:p>
    <w:p w14:paraId="4DB13F3E">
      <w:pPr>
        <w:pStyle w:val="23"/>
        <w:bidi w:val="0"/>
        <w:ind w:firstLine="540" w:firstLineChars="192"/>
        <w:jc w:val="center"/>
        <w:rPr>
          <w:rFonts w:hint="eastAsia" w:ascii="宋体" w:hAnsi="宋体" w:eastAsia="宋体" w:cs="宋体"/>
          <w:b/>
          <w:color w:val="auto"/>
          <w:sz w:val="28"/>
          <w:szCs w:val="28"/>
          <w:highlight w:val="none"/>
          <w:lang w:val="en-US" w:eastAsia="zh-CN"/>
        </w:rPr>
      </w:pPr>
    </w:p>
    <w:p w14:paraId="70C12CB2">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DACC400">
      <w:pPr>
        <w:pStyle w:val="23"/>
        <w:bidi w:val="0"/>
        <w:ind w:left="0" w:leftChars="0" w:firstLine="0" w:firstLineChars="0"/>
        <w:jc w:val="center"/>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六、商务及</w:t>
      </w:r>
      <w:r>
        <w:rPr>
          <w:rFonts w:hint="eastAsia" w:ascii="宋体" w:hAnsi="宋体" w:eastAsia="宋体" w:cs="宋体"/>
          <w:b/>
          <w:color w:val="auto"/>
          <w:sz w:val="28"/>
          <w:szCs w:val="28"/>
          <w:highlight w:val="none"/>
          <w:lang w:eastAsia="zh-CN"/>
        </w:rPr>
        <w:t>技术偏差表</w:t>
      </w:r>
    </w:p>
    <w:p w14:paraId="4FEA1ED4">
      <w:pPr>
        <w:tabs>
          <w:tab w:val="left" w:pos="926"/>
          <w:tab w:val="left" w:pos="4335"/>
          <w:tab w:val="left" w:pos="7227"/>
        </w:tabs>
        <w:bidi w:val="0"/>
        <w:spacing w:line="400" w:lineRule="exact"/>
        <w:jc w:val="left"/>
        <w:rPr>
          <w:rFonts w:hint="eastAsia" w:ascii="宋体" w:hAnsi="宋体" w:eastAsia="宋体" w:cs="宋体"/>
          <w:color w:val="auto"/>
          <w:sz w:val="21"/>
          <w:szCs w:val="21"/>
          <w:highlight w:val="none"/>
          <w:lang w:eastAsia="zh-CN"/>
        </w:rPr>
      </w:pPr>
    </w:p>
    <w:p w14:paraId="221AF713">
      <w:pPr>
        <w:numPr>
          <w:ilvl w:val="0"/>
          <w:numId w:val="0"/>
        </w:numPr>
        <w:spacing w:line="360" w:lineRule="exact"/>
        <w:ind w:leftChars="0"/>
        <w:jc w:val="center"/>
        <w:outlineLvl w:val="1"/>
        <w:rPr>
          <w:rFonts w:hint="eastAsia" w:ascii="宋体" w:hAnsi="宋体" w:eastAsia="宋体" w:cs="宋体"/>
          <w:b/>
          <w:color w:val="auto"/>
          <w:sz w:val="24"/>
          <w:szCs w:val="24"/>
          <w:highlight w:val="none"/>
          <w:shd w:val="clear" w:color="auto" w:fill="auto"/>
        </w:rPr>
      </w:pPr>
      <w:bookmarkStart w:id="945" w:name="_Toc6970"/>
      <w:bookmarkStart w:id="946" w:name="_Toc11526"/>
      <w:bookmarkStart w:id="947" w:name="_Toc20116"/>
      <w:bookmarkStart w:id="948" w:name="_Toc18122"/>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lang w:val="en-US" w:eastAsia="zh-CN"/>
        </w:rPr>
        <w:t>一</w:t>
      </w:r>
      <w:r>
        <w:rPr>
          <w:rFonts w:hint="eastAsia" w:ascii="宋体" w:hAnsi="宋体" w:eastAsia="宋体" w:cs="宋体"/>
          <w:b/>
          <w:color w:val="auto"/>
          <w:sz w:val="24"/>
          <w:szCs w:val="24"/>
          <w:highlight w:val="none"/>
          <w:shd w:val="clear" w:color="auto" w:fill="auto"/>
          <w:lang w:eastAsia="zh-CN"/>
        </w:rPr>
        <w:t>）</w:t>
      </w:r>
      <w:r>
        <w:rPr>
          <w:rFonts w:hint="eastAsia" w:ascii="宋体" w:hAnsi="宋体" w:eastAsia="宋体" w:cs="宋体"/>
          <w:b/>
          <w:color w:val="auto"/>
          <w:sz w:val="24"/>
          <w:szCs w:val="24"/>
          <w:highlight w:val="none"/>
          <w:shd w:val="clear" w:color="auto" w:fill="auto"/>
        </w:rPr>
        <w:t>商务偏差表</w:t>
      </w:r>
      <w:bookmarkEnd w:id="945"/>
      <w:bookmarkEnd w:id="946"/>
      <w:bookmarkEnd w:id="947"/>
      <w:bookmarkEnd w:id="948"/>
    </w:p>
    <w:tbl>
      <w:tblPr>
        <w:tblStyle w:val="25"/>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751"/>
        <w:gridCol w:w="3044"/>
        <w:gridCol w:w="1159"/>
        <w:gridCol w:w="1159"/>
      </w:tblGrid>
      <w:tr w14:paraId="0B6E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exact"/>
          <w:jc w:val="center"/>
        </w:trPr>
        <w:tc>
          <w:tcPr>
            <w:tcW w:w="946" w:type="dxa"/>
            <w:noWrap w:val="0"/>
            <w:vAlign w:val="center"/>
          </w:tcPr>
          <w:p w14:paraId="40BF30E3">
            <w:pPr>
              <w:ind w:firstLine="0" w:firstLineChars="0"/>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序号</w:t>
            </w:r>
          </w:p>
        </w:tc>
        <w:tc>
          <w:tcPr>
            <w:tcW w:w="2751" w:type="dxa"/>
            <w:noWrap w:val="0"/>
            <w:vAlign w:val="center"/>
          </w:tcPr>
          <w:p w14:paraId="76F920F1">
            <w:pPr>
              <w:ind w:firstLine="0" w:firstLineChars="0"/>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lang w:val="en-US" w:eastAsia="zh-CN"/>
              </w:rPr>
              <w:t>磋商</w:t>
            </w:r>
            <w:r>
              <w:rPr>
                <w:rFonts w:hint="eastAsia" w:ascii="宋体" w:hAnsi="宋体" w:eastAsia="宋体" w:cs="宋体"/>
                <w:b/>
                <w:bCs/>
                <w:color w:val="auto"/>
                <w:szCs w:val="21"/>
                <w:highlight w:val="none"/>
                <w:shd w:val="clear" w:color="auto" w:fill="auto"/>
              </w:rPr>
              <w:t>文件要求</w:t>
            </w:r>
          </w:p>
        </w:tc>
        <w:tc>
          <w:tcPr>
            <w:tcW w:w="3044" w:type="dxa"/>
            <w:noWrap w:val="0"/>
            <w:vAlign w:val="center"/>
          </w:tcPr>
          <w:p w14:paraId="1456AC37">
            <w:pPr>
              <w:ind w:firstLine="0" w:firstLineChars="0"/>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lang w:val="en-US" w:eastAsia="zh-CN"/>
              </w:rPr>
              <w:t>响应</w:t>
            </w:r>
            <w:r>
              <w:rPr>
                <w:rFonts w:hint="eastAsia" w:ascii="宋体" w:hAnsi="宋体" w:eastAsia="宋体" w:cs="宋体"/>
                <w:b/>
                <w:bCs/>
                <w:color w:val="auto"/>
                <w:szCs w:val="21"/>
                <w:highlight w:val="none"/>
                <w:shd w:val="clear" w:color="auto" w:fill="auto"/>
              </w:rPr>
              <w:t>文件要求</w:t>
            </w:r>
          </w:p>
        </w:tc>
        <w:tc>
          <w:tcPr>
            <w:tcW w:w="1159" w:type="dxa"/>
            <w:noWrap w:val="0"/>
            <w:vAlign w:val="center"/>
          </w:tcPr>
          <w:p w14:paraId="2E6A42F1">
            <w:pPr>
              <w:ind w:firstLine="0" w:firstLineChars="0"/>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偏差说明</w:t>
            </w:r>
          </w:p>
        </w:tc>
        <w:tc>
          <w:tcPr>
            <w:tcW w:w="1159" w:type="dxa"/>
            <w:noWrap w:val="0"/>
            <w:vAlign w:val="center"/>
          </w:tcPr>
          <w:p w14:paraId="007F04A5">
            <w:pPr>
              <w:ind w:firstLine="0" w:firstLineChars="0"/>
              <w:jc w:val="center"/>
              <w:rPr>
                <w:rFonts w:hint="eastAsia" w:ascii="宋体" w:hAnsi="宋体" w:eastAsia="宋体" w:cs="宋体"/>
                <w:b/>
                <w:bCs/>
                <w:color w:val="auto"/>
                <w:szCs w:val="21"/>
                <w:highlight w:val="none"/>
                <w:shd w:val="clear" w:color="auto" w:fill="auto"/>
                <w:lang w:val="en-US" w:eastAsia="zh-CN"/>
              </w:rPr>
            </w:pPr>
            <w:r>
              <w:rPr>
                <w:rFonts w:hint="eastAsia" w:ascii="宋体" w:hAnsi="宋体" w:eastAsia="宋体" w:cs="宋体"/>
                <w:b/>
                <w:bCs/>
                <w:color w:val="auto"/>
                <w:szCs w:val="21"/>
                <w:highlight w:val="none"/>
                <w:shd w:val="clear" w:color="auto" w:fill="auto"/>
                <w:lang w:val="en-US" w:eastAsia="zh-CN"/>
              </w:rPr>
              <w:t>备注</w:t>
            </w:r>
          </w:p>
        </w:tc>
      </w:tr>
      <w:tr w14:paraId="75593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exact"/>
          <w:jc w:val="center"/>
        </w:trPr>
        <w:tc>
          <w:tcPr>
            <w:tcW w:w="946" w:type="dxa"/>
            <w:noWrap w:val="0"/>
            <w:vAlign w:val="center"/>
          </w:tcPr>
          <w:p w14:paraId="2D4C0DB4">
            <w:pPr>
              <w:ind w:firstLine="0" w:firstLineChars="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p>
        </w:tc>
        <w:tc>
          <w:tcPr>
            <w:tcW w:w="2751" w:type="dxa"/>
            <w:noWrap w:val="0"/>
            <w:vAlign w:val="top"/>
          </w:tcPr>
          <w:p w14:paraId="64F67993">
            <w:pPr>
              <w:ind w:firstLine="0" w:firstLineChars="0"/>
              <w:jc w:val="center"/>
              <w:rPr>
                <w:rFonts w:hint="eastAsia" w:ascii="宋体" w:hAnsi="宋体" w:eastAsia="宋体" w:cs="宋体"/>
                <w:color w:val="auto"/>
                <w:szCs w:val="21"/>
                <w:highlight w:val="none"/>
                <w:shd w:val="clear" w:color="auto" w:fill="auto"/>
              </w:rPr>
            </w:pPr>
          </w:p>
        </w:tc>
        <w:tc>
          <w:tcPr>
            <w:tcW w:w="3044" w:type="dxa"/>
            <w:noWrap w:val="0"/>
            <w:vAlign w:val="top"/>
          </w:tcPr>
          <w:p w14:paraId="0E552E0A">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7530204E">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7C62DE7D">
            <w:pPr>
              <w:ind w:firstLine="0" w:firstLineChars="0"/>
              <w:jc w:val="center"/>
              <w:rPr>
                <w:rFonts w:hint="eastAsia" w:ascii="宋体" w:hAnsi="宋体" w:eastAsia="宋体" w:cs="宋体"/>
                <w:color w:val="auto"/>
                <w:szCs w:val="21"/>
                <w:highlight w:val="none"/>
                <w:shd w:val="clear" w:color="auto" w:fill="auto"/>
              </w:rPr>
            </w:pPr>
          </w:p>
        </w:tc>
      </w:tr>
      <w:tr w14:paraId="79B1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18057B80">
            <w:pPr>
              <w:ind w:firstLine="0" w:firstLineChars="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w:t>
            </w:r>
          </w:p>
        </w:tc>
        <w:tc>
          <w:tcPr>
            <w:tcW w:w="2751" w:type="dxa"/>
            <w:noWrap w:val="0"/>
            <w:vAlign w:val="top"/>
          </w:tcPr>
          <w:p w14:paraId="41A7B7C2">
            <w:pPr>
              <w:ind w:firstLine="0" w:firstLineChars="0"/>
              <w:jc w:val="center"/>
              <w:rPr>
                <w:rFonts w:hint="eastAsia" w:ascii="宋体" w:hAnsi="宋体" w:eastAsia="宋体" w:cs="宋体"/>
                <w:color w:val="auto"/>
                <w:szCs w:val="21"/>
                <w:highlight w:val="none"/>
                <w:shd w:val="clear" w:color="auto" w:fill="auto"/>
              </w:rPr>
            </w:pPr>
          </w:p>
        </w:tc>
        <w:tc>
          <w:tcPr>
            <w:tcW w:w="3044" w:type="dxa"/>
            <w:noWrap w:val="0"/>
            <w:vAlign w:val="top"/>
          </w:tcPr>
          <w:p w14:paraId="610C117D">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75C56AEE">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577C91A3">
            <w:pPr>
              <w:ind w:firstLine="0" w:firstLineChars="0"/>
              <w:jc w:val="center"/>
              <w:rPr>
                <w:rFonts w:hint="eastAsia" w:ascii="宋体" w:hAnsi="宋体" w:eastAsia="宋体" w:cs="宋体"/>
                <w:color w:val="auto"/>
                <w:szCs w:val="21"/>
                <w:highlight w:val="none"/>
                <w:shd w:val="clear" w:color="auto" w:fill="auto"/>
              </w:rPr>
            </w:pPr>
          </w:p>
        </w:tc>
      </w:tr>
      <w:tr w14:paraId="20C4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4C07D3C8">
            <w:pPr>
              <w:ind w:firstLine="0" w:firstLineChars="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w:t>
            </w:r>
          </w:p>
        </w:tc>
        <w:tc>
          <w:tcPr>
            <w:tcW w:w="2751" w:type="dxa"/>
            <w:noWrap w:val="0"/>
            <w:vAlign w:val="top"/>
          </w:tcPr>
          <w:p w14:paraId="7F165D36">
            <w:pPr>
              <w:ind w:firstLine="0" w:firstLineChars="0"/>
              <w:jc w:val="center"/>
              <w:rPr>
                <w:rFonts w:hint="eastAsia" w:ascii="宋体" w:hAnsi="宋体" w:eastAsia="宋体" w:cs="宋体"/>
                <w:color w:val="auto"/>
                <w:szCs w:val="21"/>
                <w:highlight w:val="none"/>
                <w:shd w:val="clear" w:color="auto" w:fill="auto"/>
              </w:rPr>
            </w:pPr>
          </w:p>
        </w:tc>
        <w:tc>
          <w:tcPr>
            <w:tcW w:w="3044" w:type="dxa"/>
            <w:noWrap w:val="0"/>
            <w:vAlign w:val="top"/>
          </w:tcPr>
          <w:p w14:paraId="18291268">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4B4B4156">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52CA5B17">
            <w:pPr>
              <w:ind w:firstLine="0" w:firstLineChars="0"/>
              <w:jc w:val="center"/>
              <w:rPr>
                <w:rFonts w:hint="eastAsia" w:ascii="宋体" w:hAnsi="宋体" w:eastAsia="宋体" w:cs="宋体"/>
                <w:color w:val="auto"/>
                <w:szCs w:val="21"/>
                <w:highlight w:val="none"/>
                <w:shd w:val="clear" w:color="auto" w:fill="auto"/>
              </w:rPr>
            </w:pPr>
          </w:p>
        </w:tc>
      </w:tr>
      <w:tr w14:paraId="0C0D5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3AFAF43F">
            <w:pPr>
              <w:ind w:firstLine="0" w:firstLineChars="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w:t>
            </w:r>
          </w:p>
        </w:tc>
        <w:tc>
          <w:tcPr>
            <w:tcW w:w="2751" w:type="dxa"/>
            <w:noWrap w:val="0"/>
            <w:vAlign w:val="top"/>
          </w:tcPr>
          <w:p w14:paraId="21691CC1">
            <w:pPr>
              <w:ind w:firstLine="0" w:firstLineChars="0"/>
              <w:jc w:val="center"/>
              <w:rPr>
                <w:rFonts w:hint="eastAsia" w:ascii="宋体" w:hAnsi="宋体" w:eastAsia="宋体" w:cs="宋体"/>
                <w:color w:val="auto"/>
                <w:szCs w:val="21"/>
                <w:highlight w:val="none"/>
                <w:shd w:val="clear" w:color="auto" w:fill="auto"/>
              </w:rPr>
            </w:pPr>
          </w:p>
        </w:tc>
        <w:tc>
          <w:tcPr>
            <w:tcW w:w="3044" w:type="dxa"/>
            <w:noWrap w:val="0"/>
            <w:vAlign w:val="top"/>
          </w:tcPr>
          <w:p w14:paraId="728297C2">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3B7D1265">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686E0859">
            <w:pPr>
              <w:ind w:firstLine="0" w:firstLineChars="0"/>
              <w:jc w:val="center"/>
              <w:rPr>
                <w:rFonts w:hint="eastAsia" w:ascii="宋体" w:hAnsi="宋体" w:eastAsia="宋体" w:cs="宋体"/>
                <w:color w:val="auto"/>
                <w:szCs w:val="21"/>
                <w:highlight w:val="none"/>
                <w:shd w:val="clear" w:color="auto" w:fill="auto"/>
              </w:rPr>
            </w:pPr>
          </w:p>
        </w:tc>
      </w:tr>
      <w:tr w14:paraId="3C7F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17FD80C3">
            <w:pPr>
              <w:ind w:firstLine="0" w:firstLineChars="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w:t>
            </w:r>
          </w:p>
        </w:tc>
        <w:tc>
          <w:tcPr>
            <w:tcW w:w="2751" w:type="dxa"/>
            <w:noWrap w:val="0"/>
            <w:vAlign w:val="top"/>
          </w:tcPr>
          <w:p w14:paraId="6524DA8E">
            <w:pPr>
              <w:ind w:firstLine="0" w:firstLineChars="0"/>
              <w:jc w:val="center"/>
              <w:rPr>
                <w:rFonts w:hint="eastAsia" w:ascii="宋体" w:hAnsi="宋体" w:eastAsia="宋体" w:cs="宋体"/>
                <w:color w:val="auto"/>
                <w:szCs w:val="21"/>
                <w:highlight w:val="none"/>
                <w:shd w:val="clear" w:color="auto" w:fill="auto"/>
              </w:rPr>
            </w:pPr>
          </w:p>
        </w:tc>
        <w:tc>
          <w:tcPr>
            <w:tcW w:w="3044" w:type="dxa"/>
            <w:noWrap w:val="0"/>
            <w:vAlign w:val="top"/>
          </w:tcPr>
          <w:p w14:paraId="38F4E9BE">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66D0B670">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5F9588E1">
            <w:pPr>
              <w:ind w:firstLine="0" w:firstLineChars="0"/>
              <w:jc w:val="center"/>
              <w:rPr>
                <w:rFonts w:hint="eastAsia" w:ascii="宋体" w:hAnsi="宋体" w:eastAsia="宋体" w:cs="宋体"/>
                <w:color w:val="auto"/>
                <w:szCs w:val="21"/>
                <w:highlight w:val="none"/>
                <w:shd w:val="clear" w:color="auto" w:fill="auto"/>
              </w:rPr>
            </w:pPr>
          </w:p>
        </w:tc>
      </w:tr>
      <w:tr w14:paraId="214E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exact"/>
          <w:jc w:val="center"/>
        </w:trPr>
        <w:tc>
          <w:tcPr>
            <w:tcW w:w="946" w:type="dxa"/>
            <w:noWrap w:val="0"/>
            <w:vAlign w:val="center"/>
          </w:tcPr>
          <w:p w14:paraId="5CCBB9A7">
            <w:pPr>
              <w:ind w:firstLine="0" w:firstLineChars="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w:t>
            </w:r>
          </w:p>
        </w:tc>
        <w:tc>
          <w:tcPr>
            <w:tcW w:w="2751" w:type="dxa"/>
            <w:noWrap w:val="0"/>
            <w:vAlign w:val="top"/>
          </w:tcPr>
          <w:p w14:paraId="1950DEF5">
            <w:pPr>
              <w:ind w:firstLine="0" w:firstLineChars="0"/>
              <w:jc w:val="center"/>
              <w:rPr>
                <w:rFonts w:hint="eastAsia" w:ascii="宋体" w:hAnsi="宋体" w:eastAsia="宋体" w:cs="宋体"/>
                <w:color w:val="auto"/>
                <w:szCs w:val="21"/>
                <w:highlight w:val="none"/>
                <w:shd w:val="clear" w:color="auto" w:fill="auto"/>
              </w:rPr>
            </w:pPr>
          </w:p>
        </w:tc>
        <w:tc>
          <w:tcPr>
            <w:tcW w:w="3044" w:type="dxa"/>
            <w:noWrap w:val="0"/>
            <w:vAlign w:val="top"/>
          </w:tcPr>
          <w:p w14:paraId="17508577">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550E2123">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4D88278B">
            <w:pPr>
              <w:ind w:firstLine="0" w:firstLineChars="0"/>
              <w:jc w:val="center"/>
              <w:rPr>
                <w:rFonts w:hint="eastAsia" w:ascii="宋体" w:hAnsi="宋体" w:eastAsia="宋体" w:cs="宋体"/>
                <w:color w:val="auto"/>
                <w:szCs w:val="21"/>
                <w:highlight w:val="none"/>
                <w:shd w:val="clear" w:color="auto" w:fill="auto"/>
              </w:rPr>
            </w:pPr>
          </w:p>
        </w:tc>
      </w:tr>
      <w:tr w14:paraId="413F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exact"/>
          <w:jc w:val="center"/>
        </w:trPr>
        <w:tc>
          <w:tcPr>
            <w:tcW w:w="946" w:type="dxa"/>
            <w:noWrap w:val="0"/>
            <w:vAlign w:val="center"/>
          </w:tcPr>
          <w:p w14:paraId="1A3D859D">
            <w:pPr>
              <w:ind w:firstLine="0" w:firstLineChars="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w:t>
            </w:r>
          </w:p>
        </w:tc>
        <w:tc>
          <w:tcPr>
            <w:tcW w:w="2751" w:type="dxa"/>
            <w:noWrap w:val="0"/>
            <w:vAlign w:val="top"/>
          </w:tcPr>
          <w:p w14:paraId="6FC0AC92">
            <w:pPr>
              <w:ind w:firstLine="0" w:firstLineChars="0"/>
              <w:jc w:val="center"/>
              <w:rPr>
                <w:rFonts w:hint="eastAsia" w:ascii="宋体" w:hAnsi="宋体" w:eastAsia="宋体" w:cs="宋体"/>
                <w:color w:val="auto"/>
                <w:szCs w:val="21"/>
                <w:highlight w:val="none"/>
                <w:shd w:val="clear" w:color="auto" w:fill="auto"/>
              </w:rPr>
            </w:pPr>
          </w:p>
        </w:tc>
        <w:tc>
          <w:tcPr>
            <w:tcW w:w="3044" w:type="dxa"/>
            <w:noWrap w:val="0"/>
            <w:vAlign w:val="top"/>
          </w:tcPr>
          <w:p w14:paraId="08821D8E">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44E01256">
            <w:pPr>
              <w:ind w:firstLine="0" w:firstLineChars="0"/>
              <w:jc w:val="center"/>
              <w:rPr>
                <w:rFonts w:hint="eastAsia" w:ascii="宋体" w:hAnsi="宋体" w:eastAsia="宋体" w:cs="宋体"/>
                <w:color w:val="auto"/>
                <w:szCs w:val="21"/>
                <w:highlight w:val="none"/>
                <w:shd w:val="clear" w:color="auto" w:fill="auto"/>
              </w:rPr>
            </w:pPr>
          </w:p>
        </w:tc>
        <w:tc>
          <w:tcPr>
            <w:tcW w:w="1159" w:type="dxa"/>
            <w:noWrap w:val="0"/>
            <w:vAlign w:val="top"/>
          </w:tcPr>
          <w:p w14:paraId="610BCDC0">
            <w:pPr>
              <w:ind w:firstLine="0" w:firstLineChars="0"/>
              <w:jc w:val="center"/>
              <w:rPr>
                <w:rFonts w:hint="eastAsia" w:ascii="宋体" w:hAnsi="宋体" w:eastAsia="宋体" w:cs="宋体"/>
                <w:color w:val="auto"/>
                <w:szCs w:val="21"/>
                <w:highlight w:val="none"/>
                <w:shd w:val="clear" w:color="auto" w:fill="auto"/>
              </w:rPr>
            </w:pPr>
          </w:p>
        </w:tc>
      </w:tr>
    </w:tbl>
    <w:p w14:paraId="7D26402E">
      <w:pPr>
        <w:widowControl/>
        <w:snapToGrid w:val="0"/>
        <w:spacing w:line="360" w:lineRule="auto"/>
        <w:ind w:firstLine="420"/>
        <w:rPr>
          <w:rFonts w:hint="eastAsia" w:ascii="宋体" w:hAnsi="宋体" w:eastAsia="宋体" w:cs="宋体"/>
          <w:color w:val="auto"/>
          <w:sz w:val="24"/>
          <w:highlight w:val="none"/>
          <w:shd w:val="clear" w:color="auto" w:fill="auto"/>
        </w:rPr>
      </w:pPr>
      <w:r>
        <w:rPr>
          <w:rFonts w:hint="eastAsia" w:ascii="宋体" w:hAnsi="宋体" w:eastAsia="宋体" w:cs="宋体"/>
          <w:color w:val="auto"/>
          <w:szCs w:val="21"/>
          <w:highlight w:val="none"/>
          <w:shd w:val="clear" w:color="auto" w:fill="auto"/>
        </w:rPr>
        <w:t>注：1、</w:t>
      </w:r>
      <w:r>
        <w:rPr>
          <w:rFonts w:hint="eastAsia" w:ascii="宋体" w:hAnsi="宋体" w:eastAsia="宋体" w:cs="宋体"/>
          <w:bCs/>
          <w:color w:val="auto"/>
          <w:szCs w:val="21"/>
          <w:highlight w:val="none"/>
          <w:shd w:val="clear" w:color="auto" w:fill="auto"/>
        </w:rPr>
        <w:t>供应商</w:t>
      </w:r>
      <w:r>
        <w:rPr>
          <w:rFonts w:hint="eastAsia" w:ascii="宋体" w:hAnsi="宋体" w:eastAsia="宋体" w:cs="宋体"/>
          <w:color w:val="auto"/>
          <w:szCs w:val="21"/>
          <w:highlight w:val="none"/>
          <w:shd w:val="clear" w:color="auto" w:fill="auto"/>
        </w:rPr>
        <w:t>可根据本</w:t>
      </w:r>
      <w:r>
        <w:rPr>
          <w:rFonts w:hint="eastAsia" w:ascii="宋体" w:hAnsi="宋体" w:eastAsia="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rPr>
        <w:t>文件中商务要求编制此表，在此表中客观真实的做出响应及</w:t>
      </w:r>
      <w:r>
        <w:rPr>
          <w:rFonts w:hint="eastAsia" w:ascii="宋体" w:hAnsi="宋体" w:eastAsia="宋体" w:cs="宋体"/>
          <w:b/>
          <w:bCs/>
          <w:color w:val="auto"/>
          <w:szCs w:val="21"/>
          <w:highlight w:val="none"/>
          <w:shd w:val="clear" w:color="auto" w:fill="auto"/>
          <w:lang w:val="en-US" w:eastAsia="zh-CN"/>
        </w:rPr>
        <w:t>偏差说明</w:t>
      </w:r>
      <w:r>
        <w:rPr>
          <w:rFonts w:hint="eastAsia" w:ascii="宋体" w:hAnsi="宋体" w:eastAsia="宋体" w:cs="宋体"/>
          <w:color w:val="auto"/>
          <w:szCs w:val="21"/>
          <w:highlight w:val="none"/>
          <w:shd w:val="clear" w:color="auto" w:fill="auto"/>
        </w:rPr>
        <w:t>，并根据情况在偏离情况中填写“无偏离”“负偏离”“正偏离”。</w:t>
      </w:r>
    </w:p>
    <w:p w14:paraId="1B454A15">
      <w:pPr>
        <w:pStyle w:val="9"/>
        <w:spacing w:before="1"/>
        <w:ind w:firstLine="80"/>
        <w:rPr>
          <w:rFonts w:hint="eastAsia" w:ascii="宋体" w:hAnsi="宋体" w:eastAsia="宋体" w:cs="宋体"/>
          <w:b/>
          <w:color w:val="auto"/>
          <w:sz w:val="4"/>
          <w:highlight w:val="none"/>
          <w:shd w:val="clear" w:color="auto" w:fill="auto"/>
        </w:rPr>
      </w:pPr>
    </w:p>
    <w:p w14:paraId="52FCE4A2">
      <w:pPr>
        <w:pStyle w:val="23"/>
        <w:ind w:firstLine="403" w:firstLineChars="192"/>
        <w:jc w:val="center"/>
        <w:rPr>
          <w:rFonts w:hint="eastAsia" w:ascii="宋体" w:hAnsi="宋体" w:eastAsia="宋体" w:cs="宋体"/>
          <w:color w:val="auto"/>
          <w:szCs w:val="21"/>
          <w:highlight w:val="none"/>
          <w:shd w:val="clear" w:color="auto" w:fill="auto"/>
        </w:rPr>
      </w:pPr>
    </w:p>
    <w:p w14:paraId="6C380415">
      <w:pPr>
        <w:spacing w:line="360" w:lineRule="auto"/>
        <w:ind w:firstLine="422"/>
        <w:jc w:val="righ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法定代表人或授权委托人 （签字或盖章）</w:t>
      </w:r>
    </w:p>
    <w:p w14:paraId="26104160">
      <w:pPr>
        <w:spacing w:line="360" w:lineRule="auto"/>
        <w:ind w:firstLine="422"/>
        <w:jc w:val="righ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供应商：（盖单位章）</w:t>
      </w:r>
    </w:p>
    <w:p w14:paraId="608515A4">
      <w:pPr>
        <w:spacing w:line="360" w:lineRule="auto"/>
        <w:ind w:firstLine="422"/>
        <w:jc w:val="righ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日   期：  年  月  日</w:t>
      </w:r>
    </w:p>
    <w:p w14:paraId="0235C792">
      <w:pPr>
        <w:spacing w:line="360" w:lineRule="exact"/>
        <w:ind w:left="10" w:hanging="10" w:firstLineChars="0"/>
        <w:jc w:val="center"/>
        <w:outlineLvl w:val="1"/>
        <w:rPr>
          <w:rFonts w:hint="eastAsia" w:ascii="宋体" w:hAnsi="宋体" w:eastAsia="宋体" w:cs="宋体"/>
          <w:b/>
          <w:color w:val="auto"/>
          <w:sz w:val="24"/>
          <w:szCs w:val="24"/>
          <w:highlight w:val="none"/>
          <w:shd w:val="clear" w:color="auto" w:fill="auto"/>
        </w:rPr>
      </w:pPr>
      <w:r>
        <w:rPr>
          <w:rFonts w:hint="eastAsia" w:ascii="宋体" w:hAnsi="宋体" w:eastAsia="宋体" w:cs="宋体"/>
          <w:b/>
          <w:bCs/>
          <w:color w:val="auto"/>
          <w:szCs w:val="21"/>
          <w:highlight w:val="none"/>
          <w:shd w:val="clear" w:color="auto" w:fill="auto"/>
        </w:rPr>
        <w:br w:type="page"/>
      </w:r>
      <w:bookmarkStart w:id="949" w:name="_Toc7753"/>
      <w:bookmarkStart w:id="950" w:name="_Toc17182"/>
      <w:bookmarkStart w:id="951" w:name="_Toc5876"/>
      <w:bookmarkStart w:id="952" w:name="_Toc10955"/>
      <w:r>
        <w:rPr>
          <w:rFonts w:hint="eastAsia" w:ascii="宋体" w:hAnsi="宋体" w:eastAsia="宋体" w:cs="宋体"/>
          <w:b/>
          <w:color w:val="auto"/>
          <w:sz w:val="24"/>
          <w:szCs w:val="24"/>
          <w:highlight w:val="none"/>
          <w:shd w:val="clear" w:color="auto" w:fill="auto"/>
        </w:rPr>
        <w:t>（二）技术偏差表</w:t>
      </w:r>
      <w:bookmarkEnd w:id="949"/>
      <w:bookmarkEnd w:id="950"/>
      <w:bookmarkEnd w:id="951"/>
      <w:bookmarkEnd w:id="952"/>
    </w:p>
    <w:p w14:paraId="42B0DBC2">
      <w:pPr>
        <w:tabs>
          <w:tab w:val="left" w:pos="926"/>
          <w:tab w:val="left" w:pos="4335"/>
          <w:tab w:val="left" w:pos="7227"/>
        </w:tabs>
        <w:spacing w:line="400" w:lineRule="exact"/>
        <w:ind w:firstLine="420"/>
        <w:jc w:val="left"/>
        <w:rPr>
          <w:rFonts w:hint="eastAsia" w:ascii="宋体" w:hAnsi="宋体" w:eastAsia="宋体" w:cs="宋体"/>
          <w:color w:val="auto"/>
          <w:szCs w:val="21"/>
          <w:highlight w:val="none"/>
          <w:shd w:val="clear" w:color="auto" w:fill="auto"/>
        </w:rPr>
      </w:pPr>
    </w:p>
    <w:p w14:paraId="6EA1A181">
      <w:pPr>
        <w:tabs>
          <w:tab w:val="left" w:pos="926"/>
          <w:tab w:val="left" w:pos="4335"/>
          <w:tab w:val="left" w:pos="6390"/>
        </w:tabs>
        <w:spacing w:line="400" w:lineRule="exact"/>
        <w:ind w:firstLine="420"/>
        <w:jc w:val="left"/>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lang w:val="en-US" w:eastAsia="zh-CN"/>
        </w:rPr>
        <w:t xml:space="preserve"> </w:t>
      </w:r>
    </w:p>
    <w:tbl>
      <w:tblPr>
        <w:tblStyle w:val="25"/>
        <w:tblW w:w="9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1974"/>
        <w:gridCol w:w="1973"/>
        <w:gridCol w:w="1930"/>
        <w:gridCol w:w="1247"/>
        <w:gridCol w:w="901"/>
        <w:gridCol w:w="890"/>
      </w:tblGrid>
      <w:tr w14:paraId="635E4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90" w:type="dxa"/>
            <w:vMerge w:val="restart"/>
            <w:tcBorders>
              <w:top w:val="single" w:color="auto" w:sz="4" w:space="0"/>
              <w:left w:val="single" w:color="auto" w:sz="4" w:space="0"/>
              <w:right w:val="single" w:color="auto" w:sz="4" w:space="0"/>
            </w:tcBorders>
            <w:noWrap w:val="0"/>
            <w:vAlign w:val="center"/>
          </w:tcPr>
          <w:p w14:paraId="5B261B80">
            <w:pPr>
              <w:ind w:firstLine="0" w:firstLineChars="0"/>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序号</w:t>
            </w:r>
          </w:p>
        </w:tc>
        <w:tc>
          <w:tcPr>
            <w:tcW w:w="1974" w:type="dxa"/>
            <w:vMerge w:val="restart"/>
            <w:tcBorders>
              <w:top w:val="single" w:color="auto" w:sz="4" w:space="0"/>
              <w:left w:val="single" w:color="auto" w:sz="4" w:space="0"/>
              <w:right w:val="single" w:color="auto" w:sz="4" w:space="0"/>
            </w:tcBorders>
            <w:noWrap w:val="0"/>
            <w:vAlign w:val="center"/>
          </w:tcPr>
          <w:p w14:paraId="31654FF5">
            <w:pPr>
              <w:ind w:firstLine="482"/>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名称</w:t>
            </w:r>
          </w:p>
        </w:tc>
        <w:tc>
          <w:tcPr>
            <w:tcW w:w="3903" w:type="dxa"/>
            <w:gridSpan w:val="2"/>
            <w:tcBorders>
              <w:top w:val="single" w:color="auto" w:sz="4" w:space="0"/>
              <w:left w:val="single" w:color="auto" w:sz="4" w:space="0"/>
              <w:bottom w:val="single" w:color="auto" w:sz="4" w:space="0"/>
              <w:right w:val="single" w:color="auto" w:sz="4" w:space="0"/>
            </w:tcBorders>
            <w:noWrap w:val="0"/>
            <w:vAlign w:val="center"/>
          </w:tcPr>
          <w:p w14:paraId="6040FB89">
            <w:pPr>
              <w:ind w:firstLine="482"/>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采购</w:t>
            </w:r>
            <w:r>
              <w:rPr>
                <w:rFonts w:hint="eastAsia" w:ascii="宋体" w:hAnsi="宋体" w:eastAsia="宋体" w:cs="宋体"/>
                <w:b/>
                <w:color w:val="auto"/>
                <w:sz w:val="24"/>
                <w:highlight w:val="none"/>
                <w:shd w:val="clear" w:color="auto" w:fill="auto"/>
                <w:lang w:val="en-US" w:eastAsia="zh-CN"/>
              </w:rPr>
              <w:t>内容及</w:t>
            </w:r>
            <w:r>
              <w:rPr>
                <w:rFonts w:hint="eastAsia" w:ascii="宋体" w:hAnsi="宋体" w:eastAsia="宋体" w:cs="宋体"/>
                <w:b/>
                <w:color w:val="auto"/>
                <w:sz w:val="24"/>
                <w:highlight w:val="none"/>
                <w:shd w:val="clear" w:color="auto" w:fill="auto"/>
              </w:rPr>
              <w:t>要求</w:t>
            </w:r>
          </w:p>
        </w:tc>
        <w:tc>
          <w:tcPr>
            <w:tcW w:w="1247" w:type="dxa"/>
            <w:vMerge w:val="restart"/>
            <w:tcBorders>
              <w:top w:val="single" w:color="auto" w:sz="4" w:space="0"/>
              <w:left w:val="single" w:color="auto" w:sz="4" w:space="0"/>
              <w:right w:val="single" w:color="auto" w:sz="4" w:space="0"/>
            </w:tcBorders>
            <w:noWrap w:val="0"/>
            <w:vAlign w:val="center"/>
          </w:tcPr>
          <w:p w14:paraId="783643D1">
            <w:pPr>
              <w:ind w:firstLine="0" w:firstLineChars="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偏离描述</w:t>
            </w:r>
          </w:p>
        </w:tc>
        <w:tc>
          <w:tcPr>
            <w:tcW w:w="901" w:type="dxa"/>
            <w:vMerge w:val="restart"/>
            <w:tcBorders>
              <w:top w:val="single" w:color="auto" w:sz="4" w:space="0"/>
              <w:left w:val="single" w:color="auto" w:sz="4" w:space="0"/>
              <w:right w:val="single" w:color="auto" w:sz="4" w:space="0"/>
            </w:tcBorders>
            <w:noWrap w:val="0"/>
            <w:vAlign w:val="center"/>
          </w:tcPr>
          <w:p w14:paraId="2A91F5DF">
            <w:pPr>
              <w:ind w:firstLine="0" w:firstLineChars="0"/>
              <w:rPr>
                <w:rFonts w:hint="eastAsia" w:ascii="宋体" w:hAnsi="宋体" w:eastAsia="宋体" w:cs="宋体"/>
                <w:b/>
                <w:color w:val="auto"/>
                <w:sz w:val="24"/>
                <w:highlight w:val="none"/>
                <w:shd w:val="clear" w:color="auto" w:fill="auto"/>
                <w:lang w:val="en-US" w:eastAsia="zh-CN"/>
              </w:rPr>
            </w:pPr>
            <w:r>
              <w:rPr>
                <w:rFonts w:hint="eastAsia" w:ascii="宋体" w:hAnsi="宋体" w:eastAsia="宋体" w:cs="宋体"/>
                <w:b/>
                <w:color w:val="auto"/>
                <w:sz w:val="24"/>
                <w:highlight w:val="none"/>
                <w:shd w:val="clear" w:color="auto" w:fill="auto"/>
              </w:rPr>
              <w:t>结论</w:t>
            </w:r>
            <w:r>
              <w:rPr>
                <w:rFonts w:hint="eastAsia" w:ascii="宋体" w:hAnsi="宋体" w:eastAsia="宋体" w:cs="宋体"/>
                <w:b/>
                <w:color w:val="auto"/>
                <w:sz w:val="24"/>
                <w:highlight w:val="none"/>
                <w:shd w:val="clear" w:color="auto" w:fill="auto"/>
                <w:lang w:val="en-US" w:eastAsia="zh-CN"/>
              </w:rPr>
              <w:t>说 明</w:t>
            </w:r>
          </w:p>
        </w:tc>
        <w:tc>
          <w:tcPr>
            <w:tcW w:w="890" w:type="dxa"/>
            <w:vMerge w:val="restart"/>
            <w:tcBorders>
              <w:top w:val="single" w:color="auto" w:sz="4" w:space="0"/>
              <w:left w:val="single" w:color="auto" w:sz="4" w:space="0"/>
              <w:right w:val="single" w:color="auto" w:sz="4" w:space="0"/>
            </w:tcBorders>
            <w:noWrap w:val="0"/>
            <w:vAlign w:val="center"/>
          </w:tcPr>
          <w:p w14:paraId="7B531490">
            <w:pPr>
              <w:ind w:firstLine="0" w:firstLineChars="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备注</w:t>
            </w:r>
          </w:p>
        </w:tc>
      </w:tr>
      <w:tr w14:paraId="2217C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890" w:type="dxa"/>
            <w:vMerge w:val="continue"/>
            <w:tcBorders>
              <w:left w:val="single" w:color="auto" w:sz="4" w:space="0"/>
              <w:bottom w:val="single" w:color="auto" w:sz="4" w:space="0"/>
              <w:right w:val="single" w:color="auto" w:sz="4" w:space="0"/>
            </w:tcBorders>
            <w:noWrap w:val="0"/>
            <w:vAlign w:val="center"/>
          </w:tcPr>
          <w:p w14:paraId="150CF7B6">
            <w:pPr>
              <w:ind w:firstLine="480"/>
              <w:jc w:val="center"/>
              <w:rPr>
                <w:rFonts w:hint="eastAsia" w:ascii="宋体" w:hAnsi="宋体" w:eastAsia="宋体" w:cs="宋体"/>
                <w:color w:val="auto"/>
                <w:sz w:val="24"/>
                <w:highlight w:val="none"/>
                <w:shd w:val="clear" w:color="auto" w:fill="auto"/>
              </w:rPr>
            </w:pPr>
          </w:p>
        </w:tc>
        <w:tc>
          <w:tcPr>
            <w:tcW w:w="1974" w:type="dxa"/>
            <w:vMerge w:val="continue"/>
            <w:tcBorders>
              <w:left w:val="single" w:color="auto" w:sz="4" w:space="0"/>
              <w:bottom w:val="single" w:color="auto" w:sz="4" w:space="0"/>
              <w:right w:val="single" w:color="auto" w:sz="4" w:space="0"/>
            </w:tcBorders>
            <w:noWrap w:val="0"/>
            <w:vAlign w:val="center"/>
          </w:tcPr>
          <w:p w14:paraId="0175D192">
            <w:pPr>
              <w:ind w:firstLine="480"/>
              <w:jc w:val="center"/>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7D97E0AC">
            <w:pPr>
              <w:ind w:firstLine="0" w:firstLineChars="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lang w:val="en-US" w:eastAsia="zh-CN"/>
              </w:rPr>
              <w:t>磋商</w:t>
            </w:r>
            <w:r>
              <w:rPr>
                <w:rFonts w:hint="eastAsia" w:ascii="宋体" w:hAnsi="宋体" w:eastAsia="宋体" w:cs="宋体"/>
                <w:b/>
                <w:color w:val="auto"/>
                <w:sz w:val="24"/>
                <w:highlight w:val="none"/>
                <w:shd w:val="clear" w:color="auto" w:fill="auto"/>
              </w:rPr>
              <w:t>文件要求</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53236DF5">
            <w:pPr>
              <w:ind w:firstLine="0" w:firstLineChars="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lang w:val="en-US" w:eastAsia="zh-CN"/>
              </w:rPr>
              <w:t>响应</w:t>
            </w:r>
            <w:r>
              <w:rPr>
                <w:rFonts w:hint="eastAsia" w:ascii="宋体" w:hAnsi="宋体" w:eastAsia="宋体" w:cs="宋体"/>
                <w:b/>
                <w:color w:val="auto"/>
                <w:sz w:val="24"/>
                <w:highlight w:val="none"/>
                <w:shd w:val="clear" w:color="auto" w:fill="auto"/>
              </w:rPr>
              <w:t>文件指标</w:t>
            </w:r>
          </w:p>
        </w:tc>
        <w:tc>
          <w:tcPr>
            <w:tcW w:w="1247" w:type="dxa"/>
            <w:vMerge w:val="continue"/>
            <w:tcBorders>
              <w:left w:val="single" w:color="auto" w:sz="4" w:space="0"/>
              <w:bottom w:val="single" w:color="auto" w:sz="4" w:space="0"/>
              <w:right w:val="single" w:color="auto" w:sz="4" w:space="0"/>
            </w:tcBorders>
            <w:noWrap w:val="0"/>
            <w:vAlign w:val="center"/>
          </w:tcPr>
          <w:p w14:paraId="40A950F9">
            <w:pPr>
              <w:ind w:firstLine="480"/>
              <w:jc w:val="center"/>
              <w:rPr>
                <w:rFonts w:hint="eastAsia" w:ascii="宋体" w:hAnsi="宋体" w:eastAsia="宋体" w:cs="宋体"/>
                <w:color w:val="auto"/>
                <w:sz w:val="24"/>
                <w:highlight w:val="none"/>
                <w:shd w:val="clear" w:color="auto" w:fill="auto"/>
              </w:rPr>
            </w:pPr>
          </w:p>
        </w:tc>
        <w:tc>
          <w:tcPr>
            <w:tcW w:w="901" w:type="dxa"/>
            <w:vMerge w:val="continue"/>
            <w:tcBorders>
              <w:left w:val="single" w:color="auto" w:sz="4" w:space="0"/>
              <w:bottom w:val="single" w:color="auto" w:sz="4" w:space="0"/>
              <w:right w:val="single" w:color="auto" w:sz="4" w:space="0"/>
            </w:tcBorders>
            <w:noWrap w:val="0"/>
            <w:vAlign w:val="center"/>
          </w:tcPr>
          <w:p w14:paraId="756E0014">
            <w:pPr>
              <w:ind w:firstLine="480"/>
              <w:jc w:val="center"/>
              <w:rPr>
                <w:rFonts w:hint="eastAsia" w:ascii="宋体" w:hAnsi="宋体" w:eastAsia="宋体" w:cs="宋体"/>
                <w:color w:val="auto"/>
                <w:sz w:val="24"/>
                <w:highlight w:val="none"/>
                <w:shd w:val="clear" w:color="auto" w:fill="auto"/>
              </w:rPr>
            </w:pPr>
          </w:p>
        </w:tc>
        <w:tc>
          <w:tcPr>
            <w:tcW w:w="890" w:type="dxa"/>
            <w:vMerge w:val="continue"/>
            <w:tcBorders>
              <w:left w:val="single" w:color="auto" w:sz="4" w:space="0"/>
              <w:bottom w:val="single" w:color="auto" w:sz="4" w:space="0"/>
              <w:right w:val="single" w:color="auto" w:sz="4" w:space="0"/>
            </w:tcBorders>
            <w:noWrap w:val="0"/>
            <w:vAlign w:val="center"/>
          </w:tcPr>
          <w:p w14:paraId="2BC7AA62">
            <w:pPr>
              <w:ind w:firstLine="480"/>
              <w:jc w:val="center"/>
              <w:rPr>
                <w:rFonts w:hint="eastAsia" w:ascii="宋体" w:hAnsi="宋体" w:eastAsia="宋体" w:cs="宋体"/>
                <w:color w:val="auto"/>
                <w:sz w:val="24"/>
                <w:highlight w:val="none"/>
                <w:shd w:val="clear" w:color="auto" w:fill="auto"/>
              </w:rPr>
            </w:pPr>
          </w:p>
        </w:tc>
      </w:tr>
      <w:tr w14:paraId="2D310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0C1DBBAB">
            <w:pPr>
              <w:ind w:firstLine="480"/>
              <w:rPr>
                <w:rFonts w:hint="eastAsia" w:ascii="宋体" w:hAnsi="宋体" w:eastAsia="宋体" w:cs="宋体"/>
                <w:color w:val="auto"/>
                <w:sz w:val="24"/>
                <w:highlight w:val="none"/>
                <w:shd w:val="clear" w:color="auto" w:fill="auto"/>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0FE3035">
            <w:pPr>
              <w:ind w:firstLine="480"/>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7CBDC7D2">
            <w:pPr>
              <w:ind w:firstLine="480"/>
              <w:rPr>
                <w:rFonts w:hint="eastAsia" w:ascii="宋体" w:hAnsi="宋体" w:eastAsia="宋体" w:cs="宋体"/>
                <w:color w:val="auto"/>
                <w:sz w:val="24"/>
                <w:highlight w:val="none"/>
                <w:shd w:val="clear" w:color="auto" w:fill="auto"/>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4948EE71">
            <w:pPr>
              <w:ind w:firstLine="480"/>
              <w:rPr>
                <w:rFonts w:hint="eastAsia" w:ascii="宋体" w:hAnsi="宋体" w:eastAsia="宋体" w:cs="宋体"/>
                <w:color w:val="auto"/>
                <w:sz w:val="24"/>
                <w:highlight w:val="none"/>
                <w:shd w:val="clear" w:color="auto" w:fill="auto"/>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67F7DF2D">
            <w:pPr>
              <w:ind w:firstLine="480"/>
              <w:rPr>
                <w:rFonts w:hint="eastAsia" w:ascii="宋体" w:hAnsi="宋体" w:eastAsia="宋体" w:cs="宋体"/>
                <w:color w:val="auto"/>
                <w:sz w:val="24"/>
                <w:highlight w:val="none"/>
                <w:shd w:val="clear" w:color="auto" w:fill="auto"/>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39AC2592">
            <w:pPr>
              <w:ind w:firstLine="480"/>
              <w:rPr>
                <w:rFonts w:hint="eastAsia" w:ascii="宋体" w:hAnsi="宋体" w:eastAsia="宋体" w:cs="宋体"/>
                <w:color w:val="auto"/>
                <w:sz w:val="24"/>
                <w:highlight w:val="none"/>
                <w:shd w:val="clear" w:color="auto" w:fill="auto"/>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79030F61">
            <w:pPr>
              <w:ind w:firstLine="480"/>
              <w:rPr>
                <w:rFonts w:hint="eastAsia" w:ascii="宋体" w:hAnsi="宋体" w:eastAsia="宋体" w:cs="宋体"/>
                <w:color w:val="auto"/>
                <w:sz w:val="24"/>
                <w:highlight w:val="none"/>
                <w:shd w:val="clear" w:color="auto" w:fill="auto"/>
              </w:rPr>
            </w:pPr>
          </w:p>
        </w:tc>
      </w:tr>
      <w:tr w14:paraId="376CC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0A2CF288">
            <w:pPr>
              <w:ind w:firstLine="480"/>
              <w:rPr>
                <w:rFonts w:hint="eastAsia" w:ascii="宋体" w:hAnsi="宋体" w:eastAsia="宋体" w:cs="宋体"/>
                <w:color w:val="auto"/>
                <w:sz w:val="24"/>
                <w:highlight w:val="none"/>
                <w:shd w:val="clear" w:color="auto" w:fill="auto"/>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8A1BCA2">
            <w:pPr>
              <w:ind w:firstLine="480"/>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413B07DE">
            <w:pPr>
              <w:ind w:firstLine="480"/>
              <w:rPr>
                <w:rFonts w:hint="eastAsia" w:ascii="宋体" w:hAnsi="宋体" w:eastAsia="宋体" w:cs="宋体"/>
                <w:color w:val="auto"/>
                <w:sz w:val="24"/>
                <w:highlight w:val="none"/>
                <w:shd w:val="clear" w:color="auto" w:fill="auto"/>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4CF8678E">
            <w:pPr>
              <w:ind w:firstLine="480"/>
              <w:rPr>
                <w:rFonts w:hint="eastAsia" w:ascii="宋体" w:hAnsi="宋体" w:eastAsia="宋体" w:cs="宋体"/>
                <w:color w:val="auto"/>
                <w:sz w:val="24"/>
                <w:highlight w:val="none"/>
                <w:shd w:val="clear" w:color="auto" w:fill="auto"/>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56E00F31">
            <w:pPr>
              <w:ind w:firstLine="480"/>
              <w:rPr>
                <w:rFonts w:hint="eastAsia" w:ascii="宋体" w:hAnsi="宋体" w:eastAsia="宋体" w:cs="宋体"/>
                <w:color w:val="auto"/>
                <w:sz w:val="24"/>
                <w:highlight w:val="none"/>
                <w:shd w:val="clear" w:color="auto" w:fill="auto"/>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0992A9A8">
            <w:pPr>
              <w:ind w:firstLine="480"/>
              <w:rPr>
                <w:rFonts w:hint="eastAsia" w:ascii="宋体" w:hAnsi="宋体" w:eastAsia="宋体" w:cs="宋体"/>
                <w:color w:val="auto"/>
                <w:sz w:val="24"/>
                <w:highlight w:val="none"/>
                <w:shd w:val="clear" w:color="auto" w:fill="auto"/>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6012A03F">
            <w:pPr>
              <w:ind w:firstLine="480"/>
              <w:rPr>
                <w:rFonts w:hint="eastAsia" w:ascii="宋体" w:hAnsi="宋体" w:eastAsia="宋体" w:cs="宋体"/>
                <w:color w:val="auto"/>
                <w:sz w:val="24"/>
                <w:highlight w:val="none"/>
                <w:shd w:val="clear" w:color="auto" w:fill="auto"/>
              </w:rPr>
            </w:pPr>
          </w:p>
        </w:tc>
      </w:tr>
      <w:tr w14:paraId="26CD2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068656A4">
            <w:pPr>
              <w:ind w:firstLine="480"/>
              <w:rPr>
                <w:rFonts w:hint="eastAsia" w:ascii="宋体" w:hAnsi="宋体" w:eastAsia="宋体" w:cs="宋体"/>
                <w:color w:val="auto"/>
                <w:sz w:val="24"/>
                <w:highlight w:val="none"/>
                <w:shd w:val="clear" w:color="auto" w:fill="auto"/>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DF8BDB3">
            <w:pPr>
              <w:ind w:firstLine="480"/>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7BAF0495">
            <w:pPr>
              <w:ind w:firstLine="480"/>
              <w:rPr>
                <w:rFonts w:hint="eastAsia" w:ascii="宋体" w:hAnsi="宋体" w:eastAsia="宋体" w:cs="宋体"/>
                <w:color w:val="auto"/>
                <w:sz w:val="24"/>
                <w:highlight w:val="none"/>
                <w:shd w:val="clear" w:color="auto" w:fill="auto"/>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6A5C18ED">
            <w:pPr>
              <w:ind w:firstLine="480"/>
              <w:rPr>
                <w:rFonts w:hint="eastAsia" w:ascii="宋体" w:hAnsi="宋体" w:eastAsia="宋体" w:cs="宋体"/>
                <w:color w:val="auto"/>
                <w:sz w:val="24"/>
                <w:highlight w:val="none"/>
                <w:shd w:val="clear" w:color="auto" w:fill="auto"/>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7069F4B9">
            <w:pPr>
              <w:ind w:firstLine="480"/>
              <w:rPr>
                <w:rFonts w:hint="eastAsia" w:ascii="宋体" w:hAnsi="宋体" w:eastAsia="宋体" w:cs="宋体"/>
                <w:color w:val="auto"/>
                <w:sz w:val="24"/>
                <w:highlight w:val="none"/>
                <w:shd w:val="clear" w:color="auto" w:fill="auto"/>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105D6EFC">
            <w:pPr>
              <w:ind w:firstLine="480"/>
              <w:rPr>
                <w:rFonts w:hint="eastAsia" w:ascii="宋体" w:hAnsi="宋体" w:eastAsia="宋体" w:cs="宋体"/>
                <w:color w:val="auto"/>
                <w:sz w:val="24"/>
                <w:highlight w:val="none"/>
                <w:shd w:val="clear" w:color="auto" w:fill="auto"/>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1DAC1BA1">
            <w:pPr>
              <w:ind w:firstLine="480"/>
              <w:rPr>
                <w:rFonts w:hint="eastAsia" w:ascii="宋体" w:hAnsi="宋体" w:eastAsia="宋体" w:cs="宋体"/>
                <w:color w:val="auto"/>
                <w:sz w:val="24"/>
                <w:highlight w:val="none"/>
                <w:shd w:val="clear" w:color="auto" w:fill="auto"/>
              </w:rPr>
            </w:pPr>
          </w:p>
        </w:tc>
      </w:tr>
      <w:tr w14:paraId="725AF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6B4EBD78">
            <w:pPr>
              <w:ind w:firstLine="480"/>
              <w:rPr>
                <w:rFonts w:hint="eastAsia" w:ascii="宋体" w:hAnsi="宋体" w:eastAsia="宋体" w:cs="宋体"/>
                <w:color w:val="auto"/>
                <w:sz w:val="24"/>
                <w:highlight w:val="none"/>
                <w:shd w:val="clear" w:color="auto" w:fill="auto"/>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430BF4">
            <w:pPr>
              <w:ind w:firstLine="480"/>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0C1945C2">
            <w:pPr>
              <w:ind w:firstLine="480"/>
              <w:rPr>
                <w:rFonts w:hint="eastAsia" w:ascii="宋体" w:hAnsi="宋体" w:eastAsia="宋体" w:cs="宋体"/>
                <w:color w:val="auto"/>
                <w:sz w:val="24"/>
                <w:highlight w:val="none"/>
                <w:shd w:val="clear" w:color="auto" w:fill="auto"/>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7600CB92">
            <w:pPr>
              <w:ind w:firstLine="480"/>
              <w:rPr>
                <w:rFonts w:hint="eastAsia" w:ascii="宋体" w:hAnsi="宋体" w:eastAsia="宋体" w:cs="宋体"/>
                <w:color w:val="auto"/>
                <w:sz w:val="24"/>
                <w:highlight w:val="none"/>
                <w:shd w:val="clear" w:color="auto" w:fill="auto"/>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7BF5FFED">
            <w:pPr>
              <w:ind w:firstLine="480"/>
              <w:rPr>
                <w:rFonts w:hint="eastAsia" w:ascii="宋体" w:hAnsi="宋体" w:eastAsia="宋体" w:cs="宋体"/>
                <w:color w:val="auto"/>
                <w:sz w:val="24"/>
                <w:highlight w:val="none"/>
                <w:shd w:val="clear" w:color="auto" w:fill="auto"/>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2CC25593">
            <w:pPr>
              <w:ind w:firstLine="480"/>
              <w:rPr>
                <w:rFonts w:hint="eastAsia" w:ascii="宋体" w:hAnsi="宋体" w:eastAsia="宋体" w:cs="宋体"/>
                <w:color w:val="auto"/>
                <w:sz w:val="24"/>
                <w:highlight w:val="none"/>
                <w:shd w:val="clear" w:color="auto" w:fill="auto"/>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6D580D7A">
            <w:pPr>
              <w:ind w:firstLine="480"/>
              <w:rPr>
                <w:rFonts w:hint="eastAsia" w:ascii="宋体" w:hAnsi="宋体" w:eastAsia="宋体" w:cs="宋体"/>
                <w:color w:val="auto"/>
                <w:sz w:val="24"/>
                <w:highlight w:val="none"/>
                <w:shd w:val="clear" w:color="auto" w:fill="auto"/>
              </w:rPr>
            </w:pPr>
          </w:p>
        </w:tc>
      </w:tr>
      <w:tr w14:paraId="626E0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392FE46E">
            <w:pPr>
              <w:ind w:firstLine="480"/>
              <w:rPr>
                <w:rFonts w:hint="eastAsia" w:ascii="宋体" w:hAnsi="宋体" w:eastAsia="宋体" w:cs="宋体"/>
                <w:color w:val="auto"/>
                <w:sz w:val="24"/>
                <w:highlight w:val="none"/>
                <w:shd w:val="clear" w:color="auto" w:fill="auto"/>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73B6705">
            <w:pPr>
              <w:ind w:firstLine="480"/>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2F2B6547">
            <w:pPr>
              <w:ind w:firstLine="480"/>
              <w:rPr>
                <w:rFonts w:hint="eastAsia" w:ascii="宋体" w:hAnsi="宋体" w:eastAsia="宋体" w:cs="宋体"/>
                <w:color w:val="auto"/>
                <w:sz w:val="24"/>
                <w:highlight w:val="none"/>
                <w:shd w:val="clear" w:color="auto" w:fill="auto"/>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26812AE4">
            <w:pPr>
              <w:ind w:firstLine="480"/>
              <w:rPr>
                <w:rFonts w:hint="eastAsia" w:ascii="宋体" w:hAnsi="宋体" w:eastAsia="宋体" w:cs="宋体"/>
                <w:color w:val="auto"/>
                <w:sz w:val="24"/>
                <w:highlight w:val="none"/>
                <w:shd w:val="clear" w:color="auto" w:fill="auto"/>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72B47204">
            <w:pPr>
              <w:ind w:firstLine="480"/>
              <w:rPr>
                <w:rFonts w:hint="eastAsia" w:ascii="宋体" w:hAnsi="宋体" w:eastAsia="宋体" w:cs="宋体"/>
                <w:color w:val="auto"/>
                <w:sz w:val="24"/>
                <w:highlight w:val="none"/>
                <w:shd w:val="clear" w:color="auto" w:fill="auto"/>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39C8DE88">
            <w:pPr>
              <w:ind w:firstLine="480"/>
              <w:rPr>
                <w:rFonts w:hint="eastAsia" w:ascii="宋体" w:hAnsi="宋体" w:eastAsia="宋体" w:cs="宋体"/>
                <w:color w:val="auto"/>
                <w:sz w:val="24"/>
                <w:highlight w:val="none"/>
                <w:shd w:val="clear" w:color="auto" w:fill="auto"/>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35CBB295">
            <w:pPr>
              <w:ind w:firstLine="480"/>
              <w:rPr>
                <w:rFonts w:hint="eastAsia" w:ascii="宋体" w:hAnsi="宋体" w:eastAsia="宋体" w:cs="宋体"/>
                <w:color w:val="auto"/>
                <w:sz w:val="24"/>
                <w:highlight w:val="none"/>
                <w:shd w:val="clear" w:color="auto" w:fill="auto"/>
              </w:rPr>
            </w:pPr>
          </w:p>
        </w:tc>
      </w:tr>
      <w:tr w14:paraId="3378D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6924936C">
            <w:pPr>
              <w:ind w:firstLine="480"/>
              <w:rPr>
                <w:rFonts w:hint="eastAsia" w:ascii="宋体" w:hAnsi="宋体" w:eastAsia="宋体" w:cs="宋体"/>
                <w:color w:val="auto"/>
                <w:sz w:val="24"/>
                <w:highlight w:val="none"/>
                <w:shd w:val="clear" w:color="auto" w:fill="auto"/>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E67FC6">
            <w:pPr>
              <w:ind w:firstLine="480"/>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3BCECEF3">
            <w:pPr>
              <w:ind w:firstLine="480"/>
              <w:rPr>
                <w:rFonts w:hint="eastAsia" w:ascii="宋体" w:hAnsi="宋体" w:eastAsia="宋体" w:cs="宋体"/>
                <w:color w:val="auto"/>
                <w:sz w:val="24"/>
                <w:highlight w:val="none"/>
                <w:shd w:val="clear" w:color="auto" w:fill="auto"/>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4A66A4E3">
            <w:pPr>
              <w:ind w:firstLine="480"/>
              <w:rPr>
                <w:rFonts w:hint="eastAsia" w:ascii="宋体" w:hAnsi="宋体" w:eastAsia="宋体" w:cs="宋体"/>
                <w:color w:val="auto"/>
                <w:sz w:val="24"/>
                <w:highlight w:val="none"/>
                <w:shd w:val="clear" w:color="auto" w:fill="auto"/>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40E46EB1">
            <w:pPr>
              <w:ind w:firstLine="480"/>
              <w:rPr>
                <w:rFonts w:hint="eastAsia" w:ascii="宋体" w:hAnsi="宋体" w:eastAsia="宋体" w:cs="宋体"/>
                <w:color w:val="auto"/>
                <w:sz w:val="24"/>
                <w:highlight w:val="none"/>
                <w:shd w:val="clear" w:color="auto" w:fill="auto"/>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1E0888CD">
            <w:pPr>
              <w:ind w:firstLine="480"/>
              <w:rPr>
                <w:rFonts w:hint="eastAsia" w:ascii="宋体" w:hAnsi="宋体" w:eastAsia="宋体" w:cs="宋体"/>
                <w:color w:val="auto"/>
                <w:sz w:val="24"/>
                <w:highlight w:val="none"/>
                <w:shd w:val="clear" w:color="auto" w:fill="auto"/>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6092EF97">
            <w:pPr>
              <w:ind w:firstLine="480"/>
              <w:rPr>
                <w:rFonts w:hint="eastAsia" w:ascii="宋体" w:hAnsi="宋体" w:eastAsia="宋体" w:cs="宋体"/>
                <w:color w:val="auto"/>
                <w:sz w:val="24"/>
                <w:highlight w:val="none"/>
                <w:shd w:val="clear" w:color="auto" w:fill="auto"/>
              </w:rPr>
            </w:pPr>
          </w:p>
        </w:tc>
      </w:tr>
      <w:tr w14:paraId="27A17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5AEDB412">
            <w:pPr>
              <w:ind w:firstLine="480"/>
              <w:rPr>
                <w:rFonts w:hint="eastAsia" w:ascii="宋体" w:hAnsi="宋体" w:eastAsia="宋体" w:cs="宋体"/>
                <w:color w:val="auto"/>
                <w:sz w:val="24"/>
                <w:highlight w:val="none"/>
                <w:shd w:val="clear" w:color="auto" w:fill="auto"/>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95ADAB6">
            <w:pPr>
              <w:ind w:firstLine="480"/>
              <w:rPr>
                <w:rFonts w:hint="eastAsia" w:ascii="宋体" w:hAnsi="宋体" w:eastAsia="宋体" w:cs="宋体"/>
                <w:color w:val="auto"/>
                <w:sz w:val="24"/>
                <w:highlight w:val="none"/>
                <w:shd w:val="clear" w:color="auto" w:fill="auto"/>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70FD0C6C">
            <w:pPr>
              <w:ind w:firstLine="480"/>
              <w:rPr>
                <w:rFonts w:hint="eastAsia" w:ascii="宋体" w:hAnsi="宋体" w:eastAsia="宋体" w:cs="宋体"/>
                <w:color w:val="auto"/>
                <w:sz w:val="24"/>
                <w:highlight w:val="none"/>
                <w:shd w:val="clear" w:color="auto" w:fill="auto"/>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2609E77F">
            <w:pPr>
              <w:ind w:firstLine="480"/>
              <w:rPr>
                <w:rFonts w:hint="eastAsia" w:ascii="宋体" w:hAnsi="宋体" w:eastAsia="宋体" w:cs="宋体"/>
                <w:color w:val="auto"/>
                <w:sz w:val="24"/>
                <w:highlight w:val="none"/>
                <w:shd w:val="clear" w:color="auto" w:fill="auto"/>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68014E37">
            <w:pPr>
              <w:ind w:firstLine="480"/>
              <w:rPr>
                <w:rFonts w:hint="eastAsia" w:ascii="宋体" w:hAnsi="宋体" w:eastAsia="宋体" w:cs="宋体"/>
                <w:color w:val="auto"/>
                <w:sz w:val="24"/>
                <w:highlight w:val="none"/>
                <w:shd w:val="clear" w:color="auto" w:fill="auto"/>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410EEC81">
            <w:pPr>
              <w:ind w:firstLine="480"/>
              <w:rPr>
                <w:rFonts w:hint="eastAsia" w:ascii="宋体" w:hAnsi="宋体" w:eastAsia="宋体" w:cs="宋体"/>
                <w:color w:val="auto"/>
                <w:sz w:val="24"/>
                <w:highlight w:val="none"/>
                <w:shd w:val="clear" w:color="auto" w:fill="auto"/>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00D40CF8">
            <w:pPr>
              <w:ind w:firstLine="480"/>
              <w:rPr>
                <w:rFonts w:hint="eastAsia" w:ascii="宋体" w:hAnsi="宋体" w:eastAsia="宋体" w:cs="宋体"/>
                <w:color w:val="auto"/>
                <w:sz w:val="24"/>
                <w:highlight w:val="none"/>
                <w:shd w:val="clear" w:color="auto" w:fill="auto"/>
              </w:rPr>
            </w:pPr>
          </w:p>
        </w:tc>
      </w:tr>
    </w:tbl>
    <w:p w14:paraId="0E6C1FFA">
      <w:pPr>
        <w:tabs>
          <w:tab w:val="left" w:pos="926"/>
          <w:tab w:val="left" w:pos="4335"/>
          <w:tab w:val="left" w:pos="6390"/>
        </w:tabs>
        <w:spacing w:line="400" w:lineRule="exact"/>
        <w:ind w:firstLine="420"/>
        <w:jc w:val="left"/>
        <w:rPr>
          <w:rFonts w:hint="eastAsia" w:ascii="宋体" w:hAnsi="宋体" w:eastAsia="宋体" w:cs="宋体"/>
          <w:color w:val="auto"/>
          <w:szCs w:val="21"/>
          <w:highlight w:val="none"/>
          <w:shd w:val="clear" w:color="auto" w:fill="auto"/>
        </w:rPr>
      </w:pPr>
    </w:p>
    <w:p w14:paraId="7B78062C">
      <w:pPr>
        <w:widowControl/>
        <w:snapToGrid w:val="0"/>
        <w:spacing w:line="360" w:lineRule="auto"/>
        <w:ind w:firstLine="420"/>
        <w:rPr>
          <w:rFonts w:hint="eastAsia" w:ascii="宋体" w:hAnsi="宋体" w:eastAsia="宋体" w:cs="宋体"/>
          <w:color w:val="auto"/>
          <w:sz w:val="24"/>
          <w:highlight w:val="none"/>
          <w:shd w:val="clear" w:color="auto" w:fill="auto"/>
        </w:rPr>
      </w:pPr>
      <w:r>
        <w:rPr>
          <w:rFonts w:hint="eastAsia" w:ascii="宋体" w:hAnsi="宋体" w:eastAsia="宋体" w:cs="宋体"/>
          <w:color w:val="auto"/>
          <w:szCs w:val="21"/>
          <w:highlight w:val="none"/>
          <w:shd w:val="clear" w:color="auto" w:fill="auto"/>
        </w:rPr>
        <w:t>注：1、</w:t>
      </w:r>
      <w:r>
        <w:rPr>
          <w:rFonts w:hint="eastAsia" w:ascii="宋体" w:hAnsi="宋体" w:eastAsia="宋体" w:cs="宋体"/>
          <w:bCs/>
          <w:color w:val="auto"/>
          <w:szCs w:val="21"/>
          <w:highlight w:val="none"/>
          <w:shd w:val="clear" w:color="auto" w:fill="auto"/>
        </w:rPr>
        <w:t>供应商</w:t>
      </w:r>
      <w:r>
        <w:rPr>
          <w:rFonts w:hint="eastAsia" w:ascii="宋体" w:hAnsi="宋体" w:eastAsia="宋体" w:cs="宋体"/>
          <w:color w:val="auto"/>
          <w:szCs w:val="21"/>
          <w:highlight w:val="none"/>
          <w:shd w:val="clear" w:color="auto" w:fill="auto"/>
        </w:rPr>
        <w:t>可根据本</w:t>
      </w:r>
      <w:r>
        <w:rPr>
          <w:rFonts w:hint="eastAsia" w:ascii="宋体" w:hAnsi="宋体" w:eastAsia="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rPr>
        <w:t>文件中技术要求编制此表，在此表中客观真实的做出响应及</w:t>
      </w:r>
      <w:r>
        <w:rPr>
          <w:rFonts w:hint="eastAsia" w:ascii="宋体" w:hAnsi="宋体" w:eastAsia="宋体" w:cs="宋体"/>
          <w:b/>
          <w:bCs/>
          <w:color w:val="auto"/>
          <w:szCs w:val="21"/>
          <w:highlight w:val="none"/>
          <w:shd w:val="clear" w:color="auto" w:fill="auto"/>
        </w:rPr>
        <w:t>结论</w:t>
      </w:r>
      <w:r>
        <w:rPr>
          <w:rFonts w:hint="eastAsia" w:ascii="宋体" w:hAnsi="宋体" w:eastAsia="宋体" w:cs="宋体"/>
          <w:b/>
          <w:bCs/>
          <w:color w:val="auto"/>
          <w:szCs w:val="21"/>
          <w:highlight w:val="none"/>
          <w:shd w:val="clear" w:color="auto" w:fill="auto"/>
          <w:lang w:val="en-US" w:eastAsia="zh-CN"/>
        </w:rPr>
        <w:t>说明</w:t>
      </w:r>
      <w:r>
        <w:rPr>
          <w:rFonts w:hint="eastAsia" w:ascii="宋体" w:hAnsi="宋体" w:eastAsia="宋体" w:cs="宋体"/>
          <w:color w:val="auto"/>
          <w:szCs w:val="21"/>
          <w:highlight w:val="none"/>
          <w:shd w:val="clear" w:color="auto" w:fill="auto"/>
        </w:rPr>
        <w:t>，并根据情况在偏离情况中填写“无偏离”“负偏离”“正偏离”。</w:t>
      </w:r>
    </w:p>
    <w:p w14:paraId="726332B9">
      <w:pPr>
        <w:spacing w:line="400" w:lineRule="exact"/>
        <w:ind w:firstLine="3900" w:firstLineChars="1850"/>
        <w:jc w:val="right"/>
        <w:rPr>
          <w:rFonts w:hint="eastAsia" w:ascii="宋体" w:hAnsi="宋体" w:eastAsia="宋体" w:cs="宋体"/>
          <w:b/>
          <w:bCs/>
          <w:color w:val="auto"/>
          <w:szCs w:val="21"/>
          <w:highlight w:val="none"/>
          <w:shd w:val="clear" w:color="auto" w:fill="auto"/>
        </w:rPr>
      </w:pPr>
    </w:p>
    <w:p w14:paraId="4495102C">
      <w:pPr>
        <w:spacing w:line="400" w:lineRule="exact"/>
        <w:ind w:firstLine="3900" w:firstLineChars="1850"/>
        <w:jc w:val="right"/>
        <w:rPr>
          <w:rFonts w:hint="eastAsia" w:ascii="宋体" w:hAnsi="宋体" w:eastAsia="宋体" w:cs="宋体"/>
          <w:b/>
          <w:bCs/>
          <w:color w:val="auto"/>
          <w:szCs w:val="21"/>
          <w:highlight w:val="none"/>
          <w:shd w:val="clear" w:color="auto" w:fill="auto"/>
        </w:rPr>
      </w:pPr>
    </w:p>
    <w:p w14:paraId="487CBC12">
      <w:pPr>
        <w:spacing w:line="400" w:lineRule="exact"/>
        <w:ind w:firstLine="3900" w:firstLineChars="1850"/>
        <w:jc w:val="right"/>
        <w:rPr>
          <w:rFonts w:hint="eastAsia" w:ascii="宋体" w:hAnsi="宋体" w:eastAsia="宋体" w:cs="宋体"/>
          <w:b/>
          <w:bCs/>
          <w:color w:val="auto"/>
          <w:szCs w:val="21"/>
          <w:highlight w:val="none"/>
          <w:u w:val="single"/>
          <w:shd w:val="clear" w:color="auto" w:fill="auto"/>
        </w:rPr>
      </w:pPr>
      <w:r>
        <w:rPr>
          <w:rFonts w:hint="eastAsia" w:ascii="宋体" w:hAnsi="宋体" w:eastAsia="宋体" w:cs="宋体"/>
          <w:b/>
          <w:bCs/>
          <w:color w:val="auto"/>
          <w:szCs w:val="21"/>
          <w:highlight w:val="none"/>
          <w:shd w:val="clear" w:color="auto" w:fill="auto"/>
        </w:rPr>
        <w:t>供应商（单位电子签章）：</w:t>
      </w:r>
    </w:p>
    <w:p w14:paraId="7DEF9956">
      <w:pPr>
        <w:tabs>
          <w:tab w:val="left" w:pos="1365"/>
        </w:tabs>
        <w:spacing w:line="360" w:lineRule="auto"/>
        <w:ind w:firstLine="4322" w:firstLineChars="2050"/>
        <w:jc w:val="right"/>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法定代表人或其委托代理人（签字或盖章）：</w:t>
      </w:r>
    </w:p>
    <w:p w14:paraId="4ACE85EE">
      <w:pPr>
        <w:spacing w:line="312" w:lineRule="auto"/>
        <w:ind w:firstLine="420"/>
        <w:jc w:val="right"/>
        <w:rPr>
          <w:rFonts w:hint="eastAsia" w:ascii="宋体" w:hAnsi="宋体" w:eastAsia="宋体" w:cs="宋体"/>
          <w:b/>
          <w:bCs/>
          <w:color w:val="auto"/>
          <w:szCs w:val="21"/>
          <w:highlight w:val="none"/>
          <w:shd w:val="clear" w:color="auto" w:fill="auto"/>
        </w:rPr>
      </w:pPr>
    </w:p>
    <w:p w14:paraId="0F30A1F4">
      <w:pPr>
        <w:spacing w:line="312" w:lineRule="auto"/>
        <w:ind w:firstLine="420"/>
        <w:jc w:val="right"/>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Cs w:val="21"/>
          <w:highlight w:val="none"/>
          <w:shd w:val="clear" w:color="auto" w:fill="auto"/>
        </w:rPr>
        <w:t>日   期：     年    月    日</w:t>
      </w:r>
    </w:p>
    <w:p w14:paraId="184B34BA">
      <w:pPr>
        <w:keepNext w:val="0"/>
        <w:keepLines w:val="0"/>
        <w:widowControl/>
        <w:suppressLineNumbers w:val="0"/>
        <w:bidi w:val="0"/>
        <w:jc w:val="center"/>
        <w:rPr>
          <w:rFonts w:hint="eastAsia" w:ascii="宋体" w:hAnsi="宋体" w:eastAsia="宋体" w:cs="宋体"/>
          <w:color w:val="auto"/>
          <w:sz w:val="21"/>
          <w:szCs w:val="21"/>
          <w:highlight w:val="none"/>
        </w:rPr>
      </w:pPr>
    </w:p>
    <w:p w14:paraId="0AB6D628">
      <w:pPr>
        <w:ind w:left="0" w:leftChars="0" w:firstLine="0" w:firstLineChars="0"/>
        <w:jc w:val="both"/>
        <w:rPr>
          <w:rFonts w:hint="eastAsia" w:ascii="Times New Roman" w:hAnsi="Times New Roman" w:eastAsia="宋体"/>
          <w:b/>
          <w:bCs/>
          <w:color w:val="auto"/>
          <w:sz w:val="28"/>
          <w:highlight w:val="none"/>
          <w:lang w:eastAsia="zh-CN"/>
        </w:rPr>
      </w:pPr>
      <w:bookmarkStart w:id="953" w:name="_Toc11835"/>
    </w:p>
    <w:p w14:paraId="69875141">
      <w:pPr>
        <w:pStyle w:val="23"/>
        <w:rPr>
          <w:rFonts w:hint="eastAsia" w:ascii="Times New Roman" w:hAnsi="Times New Roman" w:eastAsia="宋体"/>
          <w:b/>
          <w:bCs/>
          <w:color w:val="auto"/>
          <w:sz w:val="28"/>
          <w:highlight w:val="none"/>
          <w:lang w:eastAsia="zh-CN"/>
        </w:rPr>
      </w:pPr>
    </w:p>
    <w:p w14:paraId="66665311">
      <w:pPr>
        <w:pStyle w:val="24"/>
        <w:rPr>
          <w:rFonts w:hint="eastAsia" w:ascii="Times New Roman" w:hAnsi="Times New Roman" w:eastAsia="宋体"/>
          <w:b/>
          <w:bCs/>
          <w:color w:val="auto"/>
          <w:sz w:val="28"/>
          <w:highlight w:val="none"/>
          <w:lang w:eastAsia="zh-CN"/>
        </w:rPr>
      </w:pPr>
    </w:p>
    <w:p w14:paraId="0F204933">
      <w:pPr>
        <w:numPr>
          <w:ilvl w:val="0"/>
          <w:numId w:val="0"/>
        </w:numPr>
        <w:ind w:leftChars="0"/>
        <w:jc w:val="center"/>
        <w:rPr>
          <w:rFonts w:hint="eastAsia" w:ascii="宋体" w:hAnsi="宋体"/>
          <w:b/>
          <w:color w:val="auto"/>
          <w:szCs w:val="21"/>
          <w:highlight w:val="none"/>
        </w:rPr>
      </w:pPr>
      <w:r>
        <w:rPr>
          <w:rFonts w:hint="eastAsia" w:ascii="Times New Roman" w:hAnsi="Times New Roman" w:eastAsia="宋体"/>
          <w:b/>
          <w:bCs/>
          <w:color w:val="auto"/>
          <w:sz w:val="28"/>
          <w:highlight w:val="none"/>
          <w:lang w:eastAsia="zh-CN"/>
        </w:rPr>
        <w:t>七、</w:t>
      </w:r>
      <w:r>
        <w:rPr>
          <w:rFonts w:hint="eastAsia" w:ascii="Times New Roman" w:hAnsi="Times New Roman" w:eastAsia="宋体"/>
          <w:b/>
          <w:bCs/>
          <w:color w:val="auto"/>
          <w:sz w:val="28"/>
          <w:highlight w:val="none"/>
        </w:rPr>
        <w:t>资格</w:t>
      </w:r>
      <w:bookmarkEnd w:id="943"/>
      <w:bookmarkEnd w:id="944"/>
      <w:r>
        <w:rPr>
          <w:rFonts w:hint="eastAsia" w:ascii="Times New Roman" w:hAnsi="Times New Roman" w:eastAsia="宋体"/>
          <w:b/>
          <w:bCs/>
          <w:color w:val="auto"/>
          <w:sz w:val="28"/>
          <w:highlight w:val="none"/>
          <w:lang w:eastAsia="zh-CN"/>
        </w:rPr>
        <w:t>证明材料</w:t>
      </w:r>
      <w:bookmarkEnd w:id="953"/>
      <w:bookmarkStart w:id="954" w:name="_Toc456185719"/>
    </w:p>
    <w:p w14:paraId="409CFD6F">
      <w:pPr>
        <w:numPr>
          <w:ilvl w:val="0"/>
          <w:numId w:val="0"/>
        </w:numPr>
        <w:ind w:leftChars="0"/>
        <w:jc w:val="center"/>
        <w:rPr>
          <w:rFonts w:hint="eastAsia" w:ascii="宋体" w:hAnsi="宋体"/>
          <w:b/>
          <w:color w:val="auto"/>
          <w:szCs w:val="21"/>
          <w:highlight w:val="none"/>
        </w:rPr>
      </w:pPr>
      <w:r>
        <w:rPr>
          <w:rFonts w:hint="eastAsia" w:ascii="宋体" w:hAnsi="宋体"/>
          <w:b/>
          <w:color w:val="auto"/>
          <w:szCs w:val="21"/>
          <w:highlight w:val="none"/>
          <w:lang w:val="en-US" w:eastAsia="zh-CN"/>
        </w:rPr>
        <w:t xml:space="preserve"> </w:t>
      </w:r>
      <w:r>
        <w:rPr>
          <w:rFonts w:hint="eastAsia" w:ascii="宋体" w:hAnsi="宋体"/>
          <w:b/>
          <w:color w:val="auto"/>
          <w:szCs w:val="21"/>
          <w:highlight w:val="none"/>
        </w:rPr>
        <w:t>供应商基本情况表</w:t>
      </w:r>
      <w:bookmarkEnd w:id="954"/>
    </w:p>
    <w:p w14:paraId="163313AC">
      <w:pPr>
        <w:bidi w:val="0"/>
        <w:spacing w:line="400" w:lineRule="exact"/>
        <w:rPr>
          <w:rFonts w:hint="eastAsia" w:ascii="宋体" w:hAnsi="宋体" w:eastAsia="宋体" w:cs="宋体"/>
          <w:color w:val="auto"/>
          <w:sz w:val="21"/>
          <w:szCs w:val="21"/>
          <w:highlight w:val="none"/>
        </w:rPr>
      </w:pPr>
    </w:p>
    <w:tbl>
      <w:tblPr>
        <w:tblStyle w:val="2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972"/>
        <w:gridCol w:w="1107"/>
        <w:gridCol w:w="1386"/>
        <w:gridCol w:w="216"/>
        <w:gridCol w:w="1353"/>
        <w:gridCol w:w="279"/>
        <w:gridCol w:w="768"/>
        <w:gridCol w:w="1546"/>
      </w:tblGrid>
      <w:tr w14:paraId="5828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12" w:type="dxa"/>
            <w:noWrap w:val="0"/>
            <w:vAlign w:val="center"/>
          </w:tcPr>
          <w:p w14:paraId="2D93F6AA">
            <w:pPr>
              <w:ind w:firstLine="0" w:firstLineChars="0"/>
              <w:rPr>
                <w:rFonts w:hint="eastAsia" w:ascii="宋体" w:hAnsi="宋体" w:cs="宋体"/>
                <w:color w:val="auto"/>
                <w:szCs w:val="21"/>
              </w:rPr>
            </w:pPr>
            <w:r>
              <w:rPr>
                <w:rFonts w:hint="eastAsia" w:ascii="宋体" w:hAnsi="宋体" w:cs="宋体"/>
                <w:color w:val="auto"/>
                <w:szCs w:val="21"/>
              </w:rPr>
              <w:t>供应商名称</w:t>
            </w:r>
          </w:p>
        </w:tc>
        <w:tc>
          <w:tcPr>
            <w:tcW w:w="7627" w:type="dxa"/>
            <w:gridSpan w:val="8"/>
            <w:noWrap w:val="0"/>
            <w:vAlign w:val="center"/>
          </w:tcPr>
          <w:p w14:paraId="15CF9F19">
            <w:pPr>
              <w:ind w:firstLine="420"/>
              <w:jc w:val="center"/>
              <w:rPr>
                <w:rFonts w:hint="eastAsia" w:ascii="宋体" w:hAnsi="宋体" w:cs="宋体"/>
                <w:color w:val="auto"/>
                <w:szCs w:val="21"/>
              </w:rPr>
            </w:pPr>
          </w:p>
        </w:tc>
      </w:tr>
      <w:tr w14:paraId="1A6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13D74289">
            <w:pPr>
              <w:ind w:firstLine="0" w:firstLineChars="0"/>
              <w:rPr>
                <w:rFonts w:hint="eastAsia" w:ascii="宋体" w:hAnsi="宋体" w:cs="宋体"/>
                <w:color w:val="auto"/>
                <w:szCs w:val="21"/>
              </w:rPr>
            </w:pPr>
            <w:r>
              <w:rPr>
                <w:rFonts w:hint="eastAsia" w:ascii="宋体" w:hAnsi="宋体" w:cs="宋体"/>
                <w:color w:val="auto"/>
                <w:szCs w:val="21"/>
              </w:rPr>
              <w:t>注册地址</w:t>
            </w:r>
          </w:p>
        </w:tc>
        <w:tc>
          <w:tcPr>
            <w:tcW w:w="3681" w:type="dxa"/>
            <w:gridSpan w:val="4"/>
            <w:noWrap w:val="0"/>
            <w:vAlign w:val="center"/>
          </w:tcPr>
          <w:p w14:paraId="6115282C">
            <w:pPr>
              <w:ind w:firstLine="420"/>
              <w:jc w:val="center"/>
              <w:rPr>
                <w:rFonts w:hint="eastAsia" w:ascii="宋体" w:hAnsi="宋体" w:cs="宋体"/>
                <w:color w:val="auto"/>
                <w:szCs w:val="21"/>
              </w:rPr>
            </w:pPr>
          </w:p>
        </w:tc>
        <w:tc>
          <w:tcPr>
            <w:tcW w:w="1353" w:type="dxa"/>
            <w:noWrap w:val="0"/>
            <w:vAlign w:val="center"/>
          </w:tcPr>
          <w:p w14:paraId="21E96A1F">
            <w:pPr>
              <w:ind w:firstLine="0" w:firstLineChars="0"/>
              <w:rPr>
                <w:rFonts w:hint="eastAsia" w:ascii="宋体" w:hAnsi="宋体" w:cs="宋体"/>
                <w:color w:val="auto"/>
                <w:szCs w:val="21"/>
              </w:rPr>
            </w:pPr>
            <w:r>
              <w:rPr>
                <w:rFonts w:hint="eastAsia" w:ascii="宋体" w:hAnsi="宋体" w:cs="宋体"/>
                <w:color w:val="auto"/>
                <w:szCs w:val="21"/>
              </w:rPr>
              <w:t>邮政编码</w:t>
            </w:r>
          </w:p>
        </w:tc>
        <w:tc>
          <w:tcPr>
            <w:tcW w:w="2593" w:type="dxa"/>
            <w:gridSpan w:val="3"/>
            <w:noWrap w:val="0"/>
            <w:vAlign w:val="center"/>
          </w:tcPr>
          <w:p w14:paraId="60513B63">
            <w:pPr>
              <w:ind w:firstLine="420"/>
              <w:jc w:val="center"/>
              <w:rPr>
                <w:rFonts w:hint="eastAsia" w:ascii="宋体" w:hAnsi="宋体" w:cs="宋体"/>
                <w:color w:val="auto"/>
                <w:szCs w:val="21"/>
              </w:rPr>
            </w:pPr>
          </w:p>
        </w:tc>
      </w:tr>
      <w:tr w14:paraId="13D6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vMerge w:val="restart"/>
            <w:noWrap w:val="0"/>
            <w:vAlign w:val="center"/>
          </w:tcPr>
          <w:p w14:paraId="3EA3EF2C">
            <w:pPr>
              <w:ind w:firstLine="0" w:firstLineChars="0"/>
              <w:rPr>
                <w:rFonts w:hint="eastAsia" w:ascii="宋体" w:hAnsi="宋体" w:cs="宋体"/>
                <w:color w:val="auto"/>
                <w:szCs w:val="21"/>
              </w:rPr>
            </w:pPr>
            <w:r>
              <w:rPr>
                <w:rFonts w:hint="eastAsia" w:ascii="宋体" w:hAnsi="宋体" w:cs="宋体"/>
                <w:color w:val="auto"/>
                <w:szCs w:val="21"/>
              </w:rPr>
              <w:t>联系方式</w:t>
            </w:r>
          </w:p>
        </w:tc>
        <w:tc>
          <w:tcPr>
            <w:tcW w:w="972" w:type="dxa"/>
            <w:noWrap w:val="0"/>
            <w:vAlign w:val="center"/>
          </w:tcPr>
          <w:p w14:paraId="1A9F00B1">
            <w:pPr>
              <w:ind w:firstLine="0" w:firstLineChars="0"/>
              <w:rPr>
                <w:rFonts w:hint="eastAsia" w:ascii="宋体" w:hAnsi="宋体" w:cs="宋体"/>
                <w:color w:val="auto"/>
                <w:szCs w:val="21"/>
              </w:rPr>
            </w:pPr>
            <w:r>
              <w:rPr>
                <w:rFonts w:hint="eastAsia" w:ascii="宋体" w:hAnsi="宋体" w:cs="宋体"/>
                <w:color w:val="auto"/>
                <w:szCs w:val="21"/>
              </w:rPr>
              <w:t>联系人</w:t>
            </w:r>
          </w:p>
        </w:tc>
        <w:tc>
          <w:tcPr>
            <w:tcW w:w="2709" w:type="dxa"/>
            <w:gridSpan w:val="3"/>
            <w:noWrap w:val="0"/>
            <w:vAlign w:val="center"/>
          </w:tcPr>
          <w:p w14:paraId="391E848E">
            <w:pPr>
              <w:ind w:firstLine="420"/>
              <w:jc w:val="center"/>
              <w:rPr>
                <w:rFonts w:hint="eastAsia" w:ascii="宋体" w:hAnsi="宋体" w:cs="宋体"/>
                <w:color w:val="auto"/>
                <w:szCs w:val="21"/>
              </w:rPr>
            </w:pPr>
          </w:p>
        </w:tc>
        <w:tc>
          <w:tcPr>
            <w:tcW w:w="1353" w:type="dxa"/>
            <w:noWrap w:val="0"/>
            <w:vAlign w:val="center"/>
          </w:tcPr>
          <w:p w14:paraId="144B17DC">
            <w:pPr>
              <w:ind w:firstLine="0" w:firstLineChars="0"/>
              <w:rPr>
                <w:rFonts w:hint="eastAsia" w:ascii="宋体" w:hAnsi="宋体" w:cs="宋体"/>
                <w:color w:val="auto"/>
                <w:szCs w:val="21"/>
              </w:rPr>
            </w:pPr>
            <w:r>
              <w:rPr>
                <w:rFonts w:hint="eastAsia" w:ascii="宋体" w:hAnsi="宋体" w:cs="宋体"/>
                <w:color w:val="auto"/>
                <w:szCs w:val="21"/>
              </w:rPr>
              <w:t>电  话</w:t>
            </w:r>
          </w:p>
        </w:tc>
        <w:tc>
          <w:tcPr>
            <w:tcW w:w="2593" w:type="dxa"/>
            <w:gridSpan w:val="3"/>
            <w:noWrap w:val="0"/>
            <w:vAlign w:val="center"/>
          </w:tcPr>
          <w:p w14:paraId="251E93D3">
            <w:pPr>
              <w:ind w:firstLine="420"/>
              <w:jc w:val="center"/>
              <w:rPr>
                <w:rFonts w:hint="eastAsia" w:ascii="宋体" w:hAnsi="宋体" w:cs="宋体"/>
                <w:color w:val="auto"/>
                <w:szCs w:val="21"/>
              </w:rPr>
            </w:pPr>
          </w:p>
        </w:tc>
      </w:tr>
      <w:tr w14:paraId="0EA6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vMerge w:val="continue"/>
            <w:noWrap w:val="0"/>
            <w:vAlign w:val="center"/>
          </w:tcPr>
          <w:p w14:paraId="43AD74B8">
            <w:pPr>
              <w:ind w:firstLine="420"/>
              <w:jc w:val="center"/>
              <w:rPr>
                <w:rFonts w:hint="eastAsia" w:ascii="宋体" w:hAnsi="宋体" w:cs="宋体"/>
                <w:color w:val="auto"/>
                <w:szCs w:val="21"/>
              </w:rPr>
            </w:pPr>
          </w:p>
        </w:tc>
        <w:tc>
          <w:tcPr>
            <w:tcW w:w="972" w:type="dxa"/>
            <w:noWrap w:val="0"/>
            <w:vAlign w:val="center"/>
          </w:tcPr>
          <w:p w14:paraId="3768C90D">
            <w:pPr>
              <w:ind w:firstLine="0" w:firstLineChars="0"/>
              <w:rPr>
                <w:rFonts w:hint="eastAsia" w:ascii="宋体" w:hAnsi="宋体" w:cs="宋体"/>
                <w:color w:val="auto"/>
                <w:szCs w:val="21"/>
              </w:rPr>
            </w:pPr>
            <w:r>
              <w:rPr>
                <w:rFonts w:hint="eastAsia" w:ascii="宋体" w:hAnsi="宋体" w:cs="宋体"/>
                <w:color w:val="auto"/>
                <w:szCs w:val="21"/>
              </w:rPr>
              <w:t>传  真</w:t>
            </w:r>
          </w:p>
        </w:tc>
        <w:tc>
          <w:tcPr>
            <w:tcW w:w="2709" w:type="dxa"/>
            <w:gridSpan w:val="3"/>
            <w:noWrap w:val="0"/>
            <w:vAlign w:val="center"/>
          </w:tcPr>
          <w:p w14:paraId="46959951">
            <w:pPr>
              <w:ind w:firstLine="420"/>
              <w:jc w:val="center"/>
              <w:rPr>
                <w:rFonts w:hint="eastAsia" w:ascii="宋体" w:hAnsi="宋体" w:cs="宋体"/>
                <w:color w:val="auto"/>
                <w:szCs w:val="21"/>
              </w:rPr>
            </w:pPr>
          </w:p>
        </w:tc>
        <w:tc>
          <w:tcPr>
            <w:tcW w:w="1353" w:type="dxa"/>
            <w:noWrap w:val="0"/>
            <w:vAlign w:val="center"/>
          </w:tcPr>
          <w:p w14:paraId="35790399">
            <w:pPr>
              <w:ind w:firstLine="0" w:firstLineChars="0"/>
              <w:rPr>
                <w:rFonts w:hint="eastAsia" w:ascii="宋体" w:hAnsi="宋体" w:cs="宋体"/>
                <w:color w:val="auto"/>
                <w:szCs w:val="21"/>
              </w:rPr>
            </w:pPr>
            <w:r>
              <w:rPr>
                <w:rFonts w:hint="eastAsia" w:ascii="宋体" w:hAnsi="宋体" w:cs="宋体"/>
                <w:color w:val="auto"/>
                <w:szCs w:val="21"/>
              </w:rPr>
              <w:t>网  址</w:t>
            </w:r>
          </w:p>
        </w:tc>
        <w:tc>
          <w:tcPr>
            <w:tcW w:w="2593" w:type="dxa"/>
            <w:gridSpan w:val="3"/>
            <w:noWrap w:val="0"/>
            <w:vAlign w:val="center"/>
          </w:tcPr>
          <w:p w14:paraId="0107F6FE">
            <w:pPr>
              <w:ind w:firstLine="420"/>
              <w:jc w:val="center"/>
              <w:rPr>
                <w:rFonts w:hint="eastAsia" w:ascii="宋体" w:hAnsi="宋体" w:cs="宋体"/>
                <w:color w:val="auto"/>
                <w:szCs w:val="21"/>
              </w:rPr>
            </w:pPr>
          </w:p>
        </w:tc>
      </w:tr>
      <w:tr w14:paraId="3192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12" w:type="dxa"/>
            <w:noWrap w:val="0"/>
            <w:vAlign w:val="center"/>
          </w:tcPr>
          <w:p w14:paraId="2DB90823">
            <w:pPr>
              <w:ind w:firstLine="0" w:firstLineChars="0"/>
              <w:rPr>
                <w:rFonts w:hint="eastAsia" w:ascii="宋体" w:hAnsi="宋体" w:cs="宋体"/>
                <w:color w:val="auto"/>
                <w:szCs w:val="21"/>
              </w:rPr>
            </w:pPr>
            <w:r>
              <w:rPr>
                <w:rFonts w:hint="eastAsia" w:ascii="宋体" w:hAnsi="宋体" w:cs="宋体"/>
                <w:color w:val="auto"/>
                <w:szCs w:val="21"/>
              </w:rPr>
              <w:t>组织结构</w:t>
            </w:r>
          </w:p>
        </w:tc>
        <w:tc>
          <w:tcPr>
            <w:tcW w:w="7627" w:type="dxa"/>
            <w:gridSpan w:val="8"/>
            <w:noWrap w:val="0"/>
            <w:vAlign w:val="center"/>
          </w:tcPr>
          <w:p w14:paraId="099AF3C0">
            <w:pPr>
              <w:ind w:firstLine="420"/>
              <w:jc w:val="center"/>
              <w:rPr>
                <w:rFonts w:hint="eastAsia" w:ascii="宋体" w:hAnsi="宋体" w:cs="宋体"/>
                <w:color w:val="auto"/>
                <w:szCs w:val="21"/>
              </w:rPr>
            </w:pPr>
          </w:p>
        </w:tc>
      </w:tr>
      <w:tr w14:paraId="28E0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noWrap w:val="0"/>
            <w:vAlign w:val="center"/>
          </w:tcPr>
          <w:p w14:paraId="46DC44D6">
            <w:pPr>
              <w:ind w:firstLine="0" w:firstLineChars="0"/>
              <w:rPr>
                <w:rFonts w:hint="eastAsia" w:ascii="宋体" w:hAnsi="宋体" w:cs="宋体"/>
                <w:color w:val="auto"/>
                <w:szCs w:val="21"/>
              </w:rPr>
            </w:pPr>
            <w:r>
              <w:rPr>
                <w:rFonts w:hint="eastAsia" w:ascii="宋体" w:hAnsi="宋体" w:cs="宋体"/>
                <w:color w:val="auto"/>
                <w:szCs w:val="21"/>
              </w:rPr>
              <w:t>法定代表人</w:t>
            </w:r>
          </w:p>
        </w:tc>
        <w:tc>
          <w:tcPr>
            <w:tcW w:w="972" w:type="dxa"/>
            <w:noWrap w:val="0"/>
            <w:vAlign w:val="center"/>
          </w:tcPr>
          <w:p w14:paraId="0612E9BF">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129CBF3B">
            <w:pPr>
              <w:ind w:firstLine="420"/>
              <w:jc w:val="center"/>
              <w:rPr>
                <w:rFonts w:hint="eastAsia" w:ascii="宋体" w:hAnsi="宋体" w:cs="宋体"/>
                <w:color w:val="auto"/>
                <w:szCs w:val="21"/>
              </w:rPr>
            </w:pPr>
          </w:p>
        </w:tc>
        <w:tc>
          <w:tcPr>
            <w:tcW w:w="1386" w:type="dxa"/>
            <w:noWrap w:val="0"/>
            <w:vAlign w:val="center"/>
          </w:tcPr>
          <w:p w14:paraId="74B0F258">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EA724E">
            <w:pPr>
              <w:ind w:firstLine="420"/>
              <w:jc w:val="center"/>
              <w:rPr>
                <w:rFonts w:hint="eastAsia" w:ascii="宋体" w:hAnsi="宋体" w:cs="宋体"/>
                <w:color w:val="auto"/>
                <w:szCs w:val="21"/>
              </w:rPr>
            </w:pPr>
          </w:p>
        </w:tc>
        <w:tc>
          <w:tcPr>
            <w:tcW w:w="768" w:type="dxa"/>
            <w:noWrap w:val="0"/>
            <w:vAlign w:val="center"/>
          </w:tcPr>
          <w:p w14:paraId="4A4FA1A2">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173DFF54">
            <w:pPr>
              <w:ind w:firstLine="420"/>
              <w:jc w:val="center"/>
              <w:rPr>
                <w:rFonts w:hint="eastAsia" w:ascii="宋体" w:hAnsi="宋体" w:cs="宋体"/>
                <w:color w:val="auto"/>
                <w:szCs w:val="21"/>
              </w:rPr>
            </w:pPr>
          </w:p>
        </w:tc>
      </w:tr>
      <w:tr w14:paraId="29F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00D0C0">
            <w:pPr>
              <w:ind w:firstLine="0" w:firstLineChars="0"/>
              <w:rPr>
                <w:rFonts w:hint="eastAsia" w:ascii="宋体" w:hAnsi="宋体" w:cs="宋体"/>
                <w:color w:val="auto"/>
                <w:szCs w:val="21"/>
              </w:rPr>
            </w:pPr>
            <w:r>
              <w:rPr>
                <w:rFonts w:hint="eastAsia" w:ascii="宋体" w:hAnsi="宋体" w:cs="宋体"/>
                <w:color w:val="auto"/>
                <w:szCs w:val="21"/>
              </w:rPr>
              <w:t>项目负责人</w:t>
            </w:r>
          </w:p>
        </w:tc>
        <w:tc>
          <w:tcPr>
            <w:tcW w:w="972" w:type="dxa"/>
            <w:noWrap w:val="0"/>
            <w:vAlign w:val="center"/>
          </w:tcPr>
          <w:p w14:paraId="26945820">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4019C4DF">
            <w:pPr>
              <w:ind w:firstLine="420"/>
              <w:jc w:val="center"/>
              <w:rPr>
                <w:rFonts w:hint="eastAsia" w:ascii="宋体" w:hAnsi="宋体" w:cs="宋体"/>
                <w:color w:val="auto"/>
                <w:szCs w:val="21"/>
              </w:rPr>
            </w:pPr>
          </w:p>
        </w:tc>
        <w:tc>
          <w:tcPr>
            <w:tcW w:w="1386" w:type="dxa"/>
            <w:noWrap w:val="0"/>
            <w:vAlign w:val="center"/>
          </w:tcPr>
          <w:p w14:paraId="57894C3A">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BF4C8E">
            <w:pPr>
              <w:ind w:firstLine="420"/>
              <w:jc w:val="center"/>
              <w:rPr>
                <w:rFonts w:hint="eastAsia" w:ascii="宋体" w:hAnsi="宋体" w:cs="宋体"/>
                <w:color w:val="auto"/>
                <w:szCs w:val="21"/>
              </w:rPr>
            </w:pPr>
          </w:p>
        </w:tc>
        <w:tc>
          <w:tcPr>
            <w:tcW w:w="768" w:type="dxa"/>
            <w:noWrap w:val="0"/>
            <w:vAlign w:val="center"/>
          </w:tcPr>
          <w:p w14:paraId="44AB891E">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5FEE1423">
            <w:pPr>
              <w:ind w:firstLine="420"/>
              <w:jc w:val="center"/>
              <w:rPr>
                <w:rFonts w:hint="eastAsia" w:ascii="宋体" w:hAnsi="宋体" w:cs="宋体"/>
                <w:color w:val="auto"/>
                <w:szCs w:val="21"/>
              </w:rPr>
            </w:pPr>
          </w:p>
        </w:tc>
      </w:tr>
      <w:tr w14:paraId="1F8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E5985B">
            <w:pPr>
              <w:ind w:firstLine="0" w:firstLineChars="0"/>
              <w:rPr>
                <w:rFonts w:hint="eastAsia" w:ascii="宋体" w:hAnsi="宋体" w:cs="宋体"/>
                <w:color w:val="auto"/>
                <w:szCs w:val="21"/>
              </w:rPr>
            </w:pPr>
            <w:r>
              <w:rPr>
                <w:rFonts w:hint="eastAsia" w:ascii="宋体" w:hAnsi="宋体" w:cs="宋体"/>
                <w:color w:val="auto"/>
                <w:szCs w:val="21"/>
              </w:rPr>
              <w:t>成立时间</w:t>
            </w:r>
          </w:p>
        </w:tc>
        <w:tc>
          <w:tcPr>
            <w:tcW w:w="2079" w:type="dxa"/>
            <w:gridSpan w:val="2"/>
            <w:noWrap w:val="0"/>
            <w:vAlign w:val="center"/>
          </w:tcPr>
          <w:p w14:paraId="6AF16A77">
            <w:pPr>
              <w:ind w:firstLine="420"/>
              <w:jc w:val="center"/>
              <w:rPr>
                <w:rFonts w:hint="eastAsia" w:ascii="宋体" w:hAnsi="宋体" w:cs="宋体"/>
                <w:color w:val="auto"/>
                <w:szCs w:val="21"/>
              </w:rPr>
            </w:pPr>
          </w:p>
        </w:tc>
        <w:tc>
          <w:tcPr>
            <w:tcW w:w="5548" w:type="dxa"/>
            <w:gridSpan w:val="6"/>
            <w:noWrap w:val="0"/>
            <w:vAlign w:val="center"/>
          </w:tcPr>
          <w:p w14:paraId="6FB9C8DB">
            <w:pPr>
              <w:ind w:firstLine="420"/>
              <w:jc w:val="left"/>
              <w:rPr>
                <w:rFonts w:hint="eastAsia" w:ascii="宋体" w:hAnsi="宋体" w:cs="宋体"/>
                <w:color w:val="auto"/>
                <w:szCs w:val="21"/>
              </w:rPr>
            </w:pPr>
            <w:r>
              <w:rPr>
                <w:rFonts w:hint="eastAsia" w:ascii="宋体" w:hAnsi="宋体" w:cs="宋体"/>
                <w:color w:val="auto"/>
                <w:szCs w:val="21"/>
              </w:rPr>
              <w:t>员工总人数：</w:t>
            </w:r>
          </w:p>
        </w:tc>
      </w:tr>
      <w:tr w14:paraId="2439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476BB835">
            <w:pPr>
              <w:ind w:firstLine="0" w:firstLineChars="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开户行名称</w:t>
            </w:r>
          </w:p>
        </w:tc>
        <w:tc>
          <w:tcPr>
            <w:tcW w:w="7627" w:type="dxa"/>
            <w:gridSpan w:val="8"/>
            <w:noWrap w:val="0"/>
            <w:vAlign w:val="center"/>
          </w:tcPr>
          <w:p w14:paraId="74455FB9">
            <w:pPr>
              <w:ind w:firstLine="420"/>
              <w:jc w:val="center"/>
              <w:rPr>
                <w:rFonts w:hint="eastAsia" w:ascii="宋体" w:hAnsi="宋体" w:cs="宋体"/>
                <w:color w:val="auto"/>
                <w:szCs w:val="21"/>
              </w:rPr>
            </w:pPr>
          </w:p>
        </w:tc>
      </w:tr>
      <w:tr w14:paraId="6108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73F1B24B">
            <w:pPr>
              <w:ind w:firstLine="0" w:firstLineChars="0"/>
              <w:rPr>
                <w:rFonts w:hint="default" w:ascii="宋体" w:hAnsi="宋体" w:cs="宋体"/>
                <w:color w:val="auto"/>
                <w:szCs w:val="21"/>
                <w:lang w:val="en-US" w:eastAsia="zh-CN"/>
              </w:rPr>
            </w:pPr>
            <w:r>
              <w:rPr>
                <w:rFonts w:hint="eastAsia" w:ascii="宋体" w:hAnsi="宋体" w:cs="宋体"/>
                <w:color w:val="auto"/>
                <w:szCs w:val="21"/>
                <w:lang w:val="en-US" w:eastAsia="zh-CN"/>
              </w:rPr>
              <w:t>开户行账号</w:t>
            </w:r>
          </w:p>
        </w:tc>
        <w:tc>
          <w:tcPr>
            <w:tcW w:w="7627" w:type="dxa"/>
            <w:gridSpan w:val="8"/>
            <w:noWrap w:val="0"/>
            <w:vAlign w:val="center"/>
          </w:tcPr>
          <w:p w14:paraId="3974E454">
            <w:pPr>
              <w:ind w:firstLine="420"/>
              <w:jc w:val="center"/>
              <w:rPr>
                <w:rFonts w:hint="eastAsia" w:ascii="宋体" w:hAnsi="宋体" w:cs="宋体"/>
                <w:color w:val="auto"/>
                <w:szCs w:val="21"/>
              </w:rPr>
            </w:pPr>
          </w:p>
        </w:tc>
      </w:tr>
      <w:tr w14:paraId="6A57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612" w:type="dxa"/>
            <w:noWrap w:val="0"/>
            <w:vAlign w:val="center"/>
          </w:tcPr>
          <w:p w14:paraId="21C05984">
            <w:pPr>
              <w:ind w:firstLine="0" w:firstLineChars="0"/>
              <w:rPr>
                <w:rFonts w:hint="eastAsia" w:ascii="宋体" w:hAnsi="宋体" w:cs="宋体"/>
                <w:color w:val="auto"/>
                <w:szCs w:val="21"/>
              </w:rPr>
            </w:pPr>
            <w:r>
              <w:rPr>
                <w:rFonts w:hint="eastAsia" w:ascii="宋体" w:hAnsi="宋体" w:cs="宋体"/>
                <w:color w:val="auto"/>
                <w:szCs w:val="21"/>
              </w:rPr>
              <w:t>经营范围</w:t>
            </w:r>
          </w:p>
        </w:tc>
        <w:tc>
          <w:tcPr>
            <w:tcW w:w="7627" w:type="dxa"/>
            <w:gridSpan w:val="8"/>
            <w:noWrap w:val="0"/>
            <w:vAlign w:val="center"/>
          </w:tcPr>
          <w:p w14:paraId="5F1B6975">
            <w:pPr>
              <w:ind w:firstLine="420"/>
              <w:jc w:val="center"/>
              <w:rPr>
                <w:rFonts w:hint="eastAsia" w:ascii="宋体" w:hAnsi="宋体" w:cs="宋体"/>
                <w:color w:val="auto"/>
                <w:szCs w:val="21"/>
              </w:rPr>
            </w:pPr>
          </w:p>
        </w:tc>
      </w:tr>
      <w:tr w14:paraId="16D2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12" w:type="dxa"/>
            <w:noWrap w:val="0"/>
            <w:vAlign w:val="center"/>
          </w:tcPr>
          <w:p w14:paraId="1D7F6704">
            <w:pPr>
              <w:ind w:firstLine="0" w:firstLineChars="0"/>
              <w:rPr>
                <w:rFonts w:hint="eastAsia" w:ascii="宋体" w:hAnsi="宋体" w:cs="宋体"/>
                <w:color w:val="auto"/>
                <w:szCs w:val="21"/>
              </w:rPr>
            </w:pPr>
            <w:r>
              <w:rPr>
                <w:rFonts w:hint="eastAsia" w:ascii="宋体" w:hAnsi="宋体" w:cs="宋体"/>
                <w:color w:val="auto"/>
                <w:szCs w:val="21"/>
              </w:rPr>
              <w:t>备注</w:t>
            </w:r>
          </w:p>
        </w:tc>
        <w:tc>
          <w:tcPr>
            <w:tcW w:w="7627" w:type="dxa"/>
            <w:gridSpan w:val="8"/>
            <w:noWrap w:val="0"/>
            <w:vAlign w:val="center"/>
          </w:tcPr>
          <w:p w14:paraId="406015E6">
            <w:pPr>
              <w:ind w:firstLine="420"/>
              <w:jc w:val="center"/>
              <w:rPr>
                <w:rFonts w:hint="eastAsia" w:ascii="宋体" w:hAnsi="宋体" w:cs="宋体"/>
                <w:color w:val="auto"/>
                <w:szCs w:val="21"/>
              </w:rPr>
            </w:pPr>
          </w:p>
        </w:tc>
      </w:tr>
    </w:tbl>
    <w:p w14:paraId="46057ABD">
      <w:pPr>
        <w:bidi w:val="0"/>
        <w:spacing w:line="400" w:lineRule="exact"/>
        <w:rPr>
          <w:rFonts w:hint="eastAsia" w:ascii="宋体" w:hAnsi="宋体" w:eastAsia="宋体" w:cs="宋体"/>
          <w:color w:val="auto"/>
          <w:sz w:val="21"/>
          <w:szCs w:val="21"/>
          <w:highlight w:val="none"/>
        </w:rPr>
      </w:pPr>
    </w:p>
    <w:p w14:paraId="14C147AB">
      <w:pPr>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资格</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在本表后附</w:t>
      </w:r>
      <w:r>
        <w:rPr>
          <w:rFonts w:hint="eastAsia" w:ascii="宋体" w:hAnsi="宋体" w:eastAsia="宋体" w:cs="宋体"/>
          <w:b/>
          <w:bCs/>
          <w:color w:val="auto"/>
          <w:kern w:val="0"/>
          <w:sz w:val="21"/>
          <w:szCs w:val="21"/>
          <w:highlight w:val="none"/>
          <w:lang w:val="en-US" w:eastAsia="zh-CN" w:bidi="ar"/>
        </w:rPr>
        <w:t>资格要求及承诺相关证明材料</w:t>
      </w:r>
      <w:r>
        <w:rPr>
          <w:rFonts w:hint="eastAsia" w:ascii="宋体" w:hAnsi="宋体" w:eastAsia="宋体" w:cs="宋体"/>
          <w:color w:val="auto"/>
          <w:sz w:val="21"/>
          <w:szCs w:val="21"/>
          <w:highlight w:val="none"/>
        </w:rPr>
        <w:t>。</w:t>
      </w:r>
    </w:p>
    <w:p w14:paraId="01837422">
      <w:pPr>
        <w:bidi w:val="0"/>
        <w:spacing w:line="400" w:lineRule="exact"/>
        <w:rPr>
          <w:rFonts w:hint="eastAsia" w:ascii="宋体" w:hAnsi="宋体" w:eastAsia="宋体" w:cs="宋体"/>
          <w:b/>
          <w:bCs/>
          <w:color w:val="auto"/>
          <w:sz w:val="21"/>
          <w:szCs w:val="21"/>
          <w:highlight w:val="none"/>
          <w:lang w:val="en-US" w:eastAsia="zh-CN"/>
        </w:rPr>
        <w:sectPr>
          <w:headerReference r:id="rId7" w:type="default"/>
          <w:footerReference r:id="rId8" w:type="default"/>
          <w:pgSz w:w="11905" w:h="16838"/>
          <w:pgMar w:top="1440" w:right="12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2.</w:t>
      </w:r>
      <w:r>
        <w:rPr>
          <w:rFonts w:hint="eastAsia" w:ascii="宋体" w:hAnsi="宋体" w:eastAsia="宋体" w:cs="宋体"/>
          <w:b/>
          <w:bCs/>
          <w:color w:val="auto"/>
          <w:sz w:val="21"/>
          <w:szCs w:val="21"/>
          <w:highlight w:val="none"/>
          <w:lang w:val="en-US" w:eastAsia="zh-CN"/>
        </w:rPr>
        <w:t>本项目的特定资格要求（如有）：需提供相应的证明材料。</w:t>
      </w:r>
    </w:p>
    <w:p w14:paraId="04B9B8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附件：</w:t>
      </w:r>
    </w:p>
    <w:p w14:paraId="5C2BAF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潢川县政府采购供应商信用承诺函</w:t>
      </w:r>
    </w:p>
    <w:p w14:paraId="7D1CC146">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ascii="宋体" w:hAnsi="宋体" w:eastAsia="宋体" w:cs="宋体"/>
          <w:color w:val="auto"/>
          <w:kern w:val="0"/>
          <w:sz w:val="21"/>
          <w:szCs w:val="21"/>
          <w:highlight w:val="none"/>
          <w:u w:val="single"/>
          <w:lang w:val="en-US" w:eastAsia="zh-CN" w:bidi="ar"/>
        </w:rPr>
        <w:t xml:space="preserve">（采购人或采购代理机构）：         </w:t>
      </w:r>
      <w:r>
        <w:rPr>
          <w:rFonts w:hint="eastAsia" w:ascii="宋体" w:hAnsi="宋体" w:eastAsia="宋体" w:cs="宋体"/>
          <w:color w:val="auto"/>
          <w:kern w:val="0"/>
          <w:sz w:val="21"/>
          <w:szCs w:val="21"/>
          <w:highlight w:val="none"/>
          <w:u w:val="none"/>
          <w:lang w:val="en-US" w:eastAsia="zh-CN" w:bidi="ar"/>
        </w:rPr>
        <w:t xml:space="preserve">      </w:t>
      </w:r>
    </w:p>
    <w:p w14:paraId="665E17D5">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单位名称（自然人姓名）</w:t>
      </w:r>
      <w:r>
        <w:rPr>
          <w:rFonts w:hint="eastAsia" w:ascii="宋体" w:hAnsi="宋体" w:eastAsia="宋体" w:cs="宋体"/>
          <w:color w:val="auto"/>
          <w:kern w:val="0"/>
          <w:sz w:val="21"/>
          <w:szCs w:val="21"/>
          <w:highlight w:val="none"/>
          <w:u w:val="single"/>
          <w:lang w:val="en-US" w:eastAsia="zh-CN" w:bidi="ar"/>
        </w:rPr>
        <w:t xml:space="preserve">：            </w:t>
      </w:r>
    </w:p>
    <w:p w14:paraId="25D83F90">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统一社会信用代码（身份证号码）</w:t>
      </w:r>
      <w:r>
        <w:rPr>
          <w:rFonts w:hint="eastAsia" w:ascii="宋体" w:hAnsi="宋体" w:eastAsia="宋体" w:cs="宋体"/>
          <w:color w:val="auto"/>
          <w:kern w:val="0"/>
          <w:sz w:val="21"/>
          <w:szCs w:val="21"/>
          <w:highlight w:val="none"/>
          <w:u w:val="single"/>
          <w:lang w:val="en-US" w:eastAsia="zh-CN" w:bidi="ar"/>
        </w:rPr>
        <w:t xml:space="preserve">：     </w:t>
      </w:r>
    </w:p>
    <w:p w14:paraId="5EA60458">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法定代表人（负责人）</w:t>
      </w:r>
      <w:r>
        <w:rPr>
          <w:rFonts w:hint="eastAsia" w:ascii="宋体" w:hAnsi="宋体" w:eastAsia="宋体" w:cs="宋体"/>
          <w:color w:val="auto"/>
          <w:kern w:val="0"/>
          <w:sz w:val="21"/>
          <w:szCs w:val="21"/>
          <w:highlight w:val="none"/>
          <w:u w:val="single"/>
          <w:lang w:val="en-US" w:eastAsia="zh-CN" w:bidi="ar"/>
        </w:rPr>
        <w:t xml:space="preserve">：               </w:t>
      </w:r>
    </w:p>
    <w:p w14:paraId="3BE97E0B">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联系地址和电话</w:t>
      </w:r>
      <w:r>
        <w:rPr>
          <w:rFonts w:hint="eastAsia" w:ascii="宋体" w:hAnsi="宋体" w:eastAsia="宋体" w:cs="宋体"/>
          <w:color w:val="auto"/>
          <w:kern w:val="0"/>
          <w:sz w:val="21"/>
          <w:szCs w:val="21"/>
          <w:highlight w:val="none"/>
          <w:u w:val="single"/>
          <w:lang w:val="en-US" w:eastAsia="zh-CN" w:bidi="ar"/>
        </w:rPr>
        <w:t xml:space="preserve">：              </w:t>
      </w:r>
    </w:p>
    <w:p w14:paraId="7BB86B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为维护公平、公正、公开的政府采购市场秩序，树立诚实守信的政府采购供应商形象，我单位（本人）自愿作出以下承诺：</w:t>
      </w:r>
    </w:p>
    <w:p w14:paraId="77AA6920">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0DFC256">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具有独立承担民事责任的能力；</w:t>
      </w:r>
    </w:p>
    <w:p w14:paraId="2C30C9EA">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具有良好的商业信誉和健全的财务会计制度； </w:t>
      </w:r>
    </w:p>
    <w:p w14:paraId="14A10C8D">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具有履行合同所必需的设备和专业技术能力；</w:t>
      </w:r>
    </w:p>
    <w:p w14:paraId="09F1B808">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有依法缴纳税收和社会保障资金的良好记录； </w:t>
      </w:r>
    </w:p>
    <w:p w14:paraId="49A0065A">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参加政府采购活动前三年内，在经营活动中没有重大违法记录； </w:t>
      </w:r>
    </w:p>
    <w:p w14:paraId="6A741EC9">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未被列入经营异常名录或者严重违法失信名单、失信被执行人、重大税收违法案件当事人名单、政府采购严重违法失信行为记录名单；</w:t>
      </w:r>
    </w:p>
    <w:p w14:paraId="6A9A8F96">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未被相关监管部门作出行政处罚且尚在处罚有效期内； </w:t>
      </w:r>
    </w:p>
    <w:p w14:paraId="2BC8D350">
      <w:pPr>
        <w:keepNext w:val="0"/>
        <w:keepLines w:val="0"/>
        <w:pageBreakBefore w:val="0"/>
        <w:widowControl/>
        <w:numPr>
          <w:ilvl w:val="0"/>
          <w:numId w:val="12"/>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未曾做出虚假采购承诺； </w:t>
      </w:r>
    </w:p>
    <w:p w14:paraId="19356B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（九）符合法律、行政法规规定的其他条件。</w:t>
      </w:r>
    </w:p>
    <w:p w14:paraId="7ACF76F6">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6D88537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p>
    <w:p w14:paraId="78D0BA0D">
      <w:pPr>
        <w:pStyle w:val="40"/>
        <w:rPr>
          <w:rFonts w:hint="eastAsia"/>
          <w:color w:val="auto"/>
          <w:highlight w:val="none"/>
          <w:lang w:val="en-US" w:eastAsia="zh-CN"/>
        </w:rPr>
      </w:pPr>
    </w:p>
    <w:p w14:paraId="5B5C7ED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供应商（公章）：</w:t>
      </w:r>
    </w:p>
    <w:p w14:paraId="415F4F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法定代表人（签字及盖章）：</w:t>
      </w:r>
    </w:p>
    <w:p w14:paraId="53FF076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日期：  年  月  日</w:t>
      </w:r>
    </w:p>
    <w:p w14:paraId="28202A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注：1、供应商须在响应文件中按此模板提供承诺函，未提供视为未实质性响应招标文件要求，按无效投标处理。</w:t>
      </w:r>
    </w:p>
    <w:p w14:paraId="2592D5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735" w:firstLineChars="3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2、供应商的法定代表人签字及盖章应真实、有效。</w:t>
      </w:r>
    </w:p>
    <w:p w14:paraId="6ED2782B">
      <w:pPr>
        <w:spacing w:before="312" w:beforeLines="100" w:after="156" w:afterLines="50"/>
        <w:rPr>
          <w:rFonts w:hint="eastAsia" w:ascii="宋体" w:hAnsi="宋体"/>
          <w:b/>
          <w:color w:val="auto"/>
          <w:szCs w:val="21"/>
          <w:highlight w:val="none"/>
        </w:rPr>
      </w:pPr>
    </w:p>
    <w:p w14:paraId="5652018C">
      <w:pPr>
        <w:pStyle w:val="40"/>
        <w:rPr>
          <w:rFonts w:hint="eastAsia" w:ascii="宋体" w:hAnsi="宋体"/>
          <w:b/>
          <w:color w:val="auto"/>
          <w:szCs w:val="21"/>
          <w:highlight w:val="none"/>
        </w:rPr>
      </w:pPr>
    </w:p>
    <w:p w14:paraId="6688C87E">
      <w:pPr>
        <w:pStyle w:val="19"/>
        <w:rPr>
          <w:rFonts w:hint="eastAsia" w:ascii="宋体" w:hAnsi="宋体"/>
          <w:b/>
          <w:color w:val="auto"/>
          <w:szCs w:val="21"/>
          <w:highlight w:val="none"/>
        </w:rPr>
      </w:pPr>
    </w:p>
    <w:p w14:paraId="243BFD3C">
      <w:pPr>
        <w:pStyle w:val="19"/>
        <w:rPr>
          <w:rFonts w:hint="eastAsia" w:ascii="宋体" w:hAnsi="宋体"/>
          <w:b/>
          <w:color w:val="auto"/>
          <w:szCs w:val="21"/>
          <w:highlight w:val="none"/>
        </w:rPr>
      </w:pPr>
    </w:p>
    <w:p w14:paraId="7BA44BAE">
      <w:pPr>
        <w:pStyle w:val="19"/>
        <w:rPr>
          <w:rFonts w:hint="eastAsia" w:ascii="宋体" w:hAnsi="宋体"/>
          <w:b/>
          <w:color w:val="auto"/>
          <w:szCs w:val="21"/>
          <w:highlight w:val="none"/>
        </w:rPr>
      </w:pPr>
    </w:p>
    <w:p w14:paraId="7DDCB442">
      <w:pPr>
        <w:pStyle w:val="19"/>
        <w:rPr>
          <w:rFonts w:hint="eastAsia" w:ascii="宋体" w:hAnsi="宋体"/>
          <w:b/>
          <w:color w:val="auto"/>
          <w:szCs w:val="21"/>
          <w:highlight w:val="none"/>
        </w:rPr>
      </w:pPr>
    </w:p>
    <w:p w14:paraId="7C50DC85">
      <w:pPr>
        <w:pStyle w:val="19"/>
        <w:rPr>
          <w:rFonts w:hint="eastAsia" w:ascii="宋体" w:hAnsi="宋体"/>
          <w:b/>
          <w:color w:val="auto"/>
          <w:szCs w:val="21"/>
          <w:highlight w:val="none"/>
        </w:rPr>
      </w:pPr>
    </w:p>
    <w:p w14:paraId="5788AF78">
      <w:pPr>
        <w:pStyle w:val="19"/>
        <w:rPr>
          <w:rFonts w:hint="eastAsia" w:ascii="宋体" w:hAnsi="宋体"/>
          <w:b/>
          <w:color w:val="auto"/>
          <w:szCs w:val="21"/>
          <w:highlight w:val="none"/>
        </w:rPr>
      </w:pPr>
    </w:p>
    <w:p w14:paraId="5A708680">
      <w:pPr>
        <w:pStyle w:val="19"/>
        <w:rPr>
          <w:rFonts w:hint="eastAsia" w:ascii="宋体" w:hAnsi="宋体"/>
          <w:b/>
          <w:color w:val="auto"/>
          <w:szCs w:val="21"/>
          <w:highlight w:val="none"/>
        </w:rPr>
      </w:pPr>
    </w:p>
    <w:p w14:paraId="4180CAA1">
      <w:pPr>
        <w:pStyle w:val="19"/>
        <w:rPr>
          <w:rFonts w:hint="eastAsia" w:ascii="宋体" w:hAnsi="宋体"/>
          <w:b/>
          <w:color w:val="auto"/>
          <w:szCs w:val="21"/>
          <w:highlight w:val="none"/>
        </w:rPr>
      </w:pPr>
    </w:p>
    <w:p w14:paraId="40075193">
      <w:pPr>
        <w:pStyle w:val="19"/>
        <w:rPr>
          <w:rFonts w:hint="eastAsia" w:ascii="宋体" w:hAnsi="宋体"/>
          <w:b/>
          <w:color w:val="auto"/>
          <w:szCs w:val="21"/>
          <w:highlight w:val="none"/>
        </w:rPr>
      </w:pPr>
    </w:p>
    <w:p w14:paraId="2007D775">
      <w:pPr>
        <w:pStyle w:val="19"/>
        <w:rPr>
          <w:rFonts w:hint="eastAsia" w:ascii="宋体" w:hAnsi="宋体"/>
          <w:b/>
          <w:color w:val="auto"/>
          <w:szCs w:val="21"/>
          <w:highlight w:val="none"/>
        </w:rPr>
      </w:pPr>
    </w:p>
    <w:p w14:paraId="72DE0752">
      <w:pPr>
        <w:pStyle w:val="19"/>
        <w:rPr>
          <w:rFonts w:hint="eastAsia" w:ascii="宋体" w:hAnsi="宋体"/>
          <w:b/>
          <w:color w:val="auto"/>
          <w:szCs w:val="21"/>
          <w:highlight w:val="none"/>
        </w:rPr>
      </w:pPr>
    </w:p>
    <w:p w14:paraId="5943F77E">
      <w:pPr>
        <w:pStyle w:val="19"/>
        <w:rPr>
          <w:rFonts w:hint="eastAsia" w:ascii="宋体" w:hAnsi="宋体"/>
          <w:b/>
          <w:color w:val="auto"/>
          <w:szCs w:val="21"/>
          <w:highlight w:val="none"/>
        </w:rPr>
      </w:pPr>
    </w:p>
    <w:p w14:paraId="6481B394">
      <w:pPr>
        <w:pStyle w:val="19"/>
        <w:rPr>
          <w:rFonts w:hint="eastAsia" w:ascii="宋体" w:hAnsi="宋体"/>
          <w:b/>
          <w:color w:val="auto"/>
          <w:szCs w:val="21"/>
          <w:highlight w:val="none"/>
        </w:rPr>
      </w:pPr>
    </w:p>
    <w:p w14:paraId="5B5BE902">
      <w:pPr>
        <w:pStyle w:val="19"/>
        <w:rPr>
          <w:rFonts w:hint="eastAsia" w:ascii="宋体" w:hAnsi="宋体"/>
          <w:b/>
          <w:color w:val="auto"/>
          <w:szCs w:val="21"/>
          <w:highlight w:val="none"/>
        </w:rPr>
      </w:pPr>
    </w:p>
    <w:p w14:paraId="39604B7D">
      <w:pPr>
        <w:pStyle w:val="19"/>
        <w:rPr>
          <w:rFonts w:hint="eastAsia" w:ascii="宋体" w:hAnsi="宋体"/>
          <w:b/>
          <w:color w:val="auto"/>
          <w:szCs w:val="21"/>
          <w:highlight w:val="none"/>
        </w:rPr>
      </w:pPr>
    </w:p>
    <w:p w14:paraId="77341820">
      <w:pPr>
        <w:pStyle w:val="19"/>
        <w:ind w:left="0" w:leftChars="0" w:firstLine="0" w:firstLineChars="0"/>
        <w:rPr>
          <w:rFonts w:hint="eastAsia" w:ascii="宋体" w:hAnsi="宋体"/>
          <w:b/>
          <w:color w:val="auto"/>
          <w:szCs w:val="21"/>
          <w:highlight w:val="none"/>
        </w:rPr>
      </w:pPr>
    </w:p>
    <w:p w14:paraId="2C1530B6">
      <w:pPr>
        <w:pStyle w:val="19"/>
        <w:rPr>
          <w:rFonts w:hint="eastAsia" w:ascii="宋体" w:hAnsi="宋体"/>
          <w:b/>
          <w:color w:val="auto"/>
          <w:szCs w:val="21"/>
          <w:highlight w:val="none"/>
        </w:rPr>
      </w:pPr>
    </w:p>
    <w:p w14:paraId="44D05F9D">
      <w:pPr>
        <w:bidi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8"/>
          <w:szCs w:val="28"/>
          <w:highlight w:val="none"/>
          <w:lang w:eastAsia="zh-CN"/>
        </w:rPr>
        <w:t>八、</w:t>
      </w:r>
      <w:bookmarkStart w:id="955" w:name="_bookmark1"/>
      <w:bookmarkEnd w:id="955"/>
      <w:r>
        <w:rPr>
          <w:rFonts w:hint="eastAsia" w:ascii="宋体" w:hAnsi="宋体" w:eastAsia="宋体" w:cs="宋体"/>
          <w:b/>
          <w:bCs/>
          <w:color w:val="auto"/>
          <w:sz w:val="28"/>
          <w:szCs w:val="28"/>
          <w:highlight w:val="none"/>
          <w:lang w:eastAsia="zh-CN"/>
        </w:rPr>
        <w:t>中小企业声明函（服务）</w:t>
      </w:r>
    </w:p>
    <w:p w14:paraId="69EA28F9">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0E9B9DB">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（企业名称），从业人员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万元1，属于（中型企业、小型企业、微型企业）。</w:t>
      </w:r>
    </w:p>
    <w:p w14:paraId="6D06F384">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u w:val="single"/>
          <w:lang w:val="en-US" w:eastAsia="zh-CN" w:bidi="ar-SA"/>
        </w:rPr>
        <w:t>（标的名称）</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（采购文件中明确的所属行业）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（企业名称），从业人员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ab/>
      </w:r>
      <w:r>
        <w:rPr>
          <w:rFonts w:hint="eastAsia" w:ascii="宋体" w:hAnsi="宋体" w:eastAsia="宋体" w:cs="宋体"/>
          <w:color w:val="auto"/>
          <w:kern w:val="2"/>
          <w:sz w:val="21"/>
          <w:szCs w:val="21"/>
          <w:highlight w:val="none"/>
          <w:lang w:val="en-US" w:eastAsia="zh-CN" w:bidi="ar-SA"/>
        </w:rPr>
        <w:t>万元，属于（中型企业、小型企业、微型企业）。</w:t>
      </w:r>
    </w:p>
    <w:p w14:paraId="1036BA56">
      <w:pPr>
        <w:bidi w:val="0"/>
        <w:spacing w:line="48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p w14:paraId="229BE861">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3243BDD8">
      <w:pPr>
        <w:bidi w:val="0"/>
        <w:spacing w:line="48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本企业对上述声明内容的真实性负责。如有虚假，将依法承担相应责任。</w:t>
      </w:r>
    </w:p>
    <w:p w14:paraId="41F6E674">
      <w:pPr>
        <w:bidi w:val="0"/>
        <w:spacing w:line="480" w:lineRule="auto"/>
        <w:ind w:firstLine="422" w:firstLineChars="2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企业名称（盖章）：</w:t>
      </w:r>
    </w:p>
    <w:p w14:paraId="1AC299DA">
      <w:pPr>
        <w:bidi w:val="0"/>
        <w:spacing w:line="48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lang w:val="en-US" w:eastAsia="zh-CN" w:bidi="ar-SA"/>
        </w:rPr>
        <w:t>日期：</w:t>
      </w:r>
    </w:p>
    <w:p w14:paraId="72412152">
      <w:pPr>
        <w:pStyle w:val="40"/>
        <w:bidi w:val="0"/>
        <w:spacing w:line="480" w:lineRule="auto"/>
        <w:rPr>
          <w:rFonts w:hint="eastAsia" w:ascii="宋体" w:hAnsi="宋体" w:eastAsia="宋体" w:cs="宋体"/>
          <w:color w:val="auto"/>
          <w:kern w:val="2"/>
          <w:sz w:val="21"/>
          <w:szCs w:val="21"/>
          <w:highlight w:val="none"/>
          <w:lang w:val="en-US" w:eastAsia="zh-CN" w:bidi="ar-SA"/>
        </w:rPr>
      </w:pPr>
    </w:p>
    <w:p w14:paraId="083103E7">
      <w:pPr>
        <w:pStyle w:val="40"/>
        <w:bidi w:val="0"/>
        <w:spacing w:line="48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1、从业人员、营业收入、资产总额填报上一年度数据，无上一年度数据的新成立企业可不填报。</w:t>
      </w:r>
    </w:p>
    <w:p w14:paraId="5A6C8C80">
      <w:pPr>
        <w:pStyle w:val="6"/>
        <w:bidi w:val="0"/>
        <w:spacing w:line="480" w:lineRule="auto"/>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2、所投产品制造商属于中小微企业的填写，不属于的无需填写此项内容。</w:t>
      </w:r>
    </w:p>
    <w:p w14:paraId="7B2C3A3B">
      <w:pPr>
        <w:pStyle w:val="6"/>
        <w:bidi w:val="0"/>
        <w:spacing w:line="480" w:lineRule="auto"/>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w:t>
      </w:r>
      <w:r>
        <w:rPr>
          <w:rFonts w:hint="eastAsia" w:ascii="宋体" w:hAnsi="宋体" w:eastAsia="宋体" w:cs="宋体"/>
          <w:color w:val="auto"/>
          <w:szCs w:val="24"/>
          <w:highlight w:val="none"/>
          <w:shd w:val="clear" w:color="auto" w:fill="auto"/>
          <w:lang w:val="zh-CN"/>
        </w:rPr>
        <w:t>所属行</w:t>
      </w:r>
      <w:r>
        <w:rPr>
          <w:rFonts w:hint="eastAsia" w:ascii="宋体" w:hAnsi="宋体" w:eastAsia="宋体" w:cs="宋体"/>
          <w:color w:val="auto"/>
          <w:kern w:val="2"/>
          <w:sz w:val="21"/>
          <w:szCs w:val="21"/>
          <w:highlight w:val="none"/>
          <w:lang w:val="zh-CN" w:eastAsia="zh-CN" w:bidi="ar-SA"/>
        </w:rPr>
        <w:t>业：</w:t>
      </w:r>
      <w:r>
        <w:rPr>
          <w:rFonts w:hint="eastAsia" w:ascii="宋体" w:hAnsi="宋体" w:eastAsia="宋体" w:cs="宋体"/>
          <w:color w:val="auto"/>
          <w:kern w:val="2"/>
          <w:sz w:val="21"/>
          <w:szCs w:val="21"/>
          <w:highlight w:val="none"/>
          <w:lang w:val="en-US" w:eastAsia="zh-CN" w:bidi="ar-SA"/>
        </w:rPr>
        <w:t>租赁和商务服务业。</w:t>
      </w:r>
    </w:p>
    <w:p w14:paraId="7A33D0C4">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br w:type="page"/>
      </w:r>
    </w:p>
    <w:p w14:paraId="0349C728">
      <w:pPr>
        <w:pStyle w:val="23"/>
        <w:keepNext w:val="0"/>
        <w:keepLines w:val="0"/>
        <w:pageBreakBefore w:val="0"/>
        <w:widowControl w:val="0"/>
        <w:kinsoku/>
        <w:wordWrap w:val="0"/>
        <w:overflowPunct/>
        <w:topLinePunct/>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val="0"/>
          <w:color w:val="auto"/>
          <w:kern w:val="0"/>
          <w:sz w:val="24"/>
          <w:szCs w:val="24"/>
          <w:highlight w:val="none"/>
          <w:u w:val="none"/>
          <w:lang w:val="en-US" w:eastAsia="zh-CN" w:bidi="ar-SA"/>
        </w:rPr>
      </w:pPr>
      <w:r>
        <w:rPr>
          <w:rFonts w:hint="eastAsia"/>
          <w:b/>
          <w:bCs/>
          <w:color w:val="auto"/>
          <w:sz w:val="28"/>
          <w:szCs w:val="24"/>
          <w:highlight w:val="none"/>
          <w:lang w:val="en-US" w:eastAsia="zh-CN"/>
        </w:rPr>
        <w:t xml:space="preserve"> </w:t>
      </w:r>
      <w:r>
        <w:rPr>
          <w:rFonts w:hint="eastAsia" w:ascii="宋体" w:hAnsi="宋体" w:eastAsia="宋体" w:cs="宋体"/>
          <w:b/>
          <w:bCs w:val="0"/>
          <w:color w:val="auto"/>
          <w:kern w:val="0"/>
          <w:sz w:val="24"/>
          <w:szCs w:val="24"/>
          <w:highlight w:val="none"/>
          <w:u w:val="none"/>
          <w:lang w:val="en-US" w:eastAsia="zh-CN" w:bidi="ar-SA"/>
        </w:rPr>
        <w:t>国家统计局《统计上大中小微型企业划分标准》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1506"/>
        <w:gridCol w:w="727"/>
        <w:gridCol w:w="1243"/>
        <w:gridCol w:w="1813"/>
        <w:gridCol w:w="1522"/>
        <w:gridCol w:w="1097"/>
      </w:tblGrid>
      <w:tr w14:paraId="45D8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29" w:type="pct"/>
            <w:noWrap w:val="0"/>
            <w:vAlign w:val="center"/>
          </w:tcPr>
          <w:p w14:paraId="5D52C5C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行业名称</w:t>
            </w:r>
          </w:p>
        </w:tc>
        <w:tc>
          <w:tcPr>
            <w:tcW w:w="756" w:type="pct"/>
            <w:noWrap w:val="0"/>
            <w:vAlign w:val="center"/>
          </w:tcPr>
          <w:p w14:paraId="0A5663C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指标名称</w:t>
            </w:r>
          </w:p>
        </w:tc>
        <w:tc>
          <w:tcPr>
            <w:tcW w:w="365" w:type="pct"/>
            <w:noWrap w:val="0"/>
            <w:vAlign w:val="center"/>
          </w:tcPr>
          <w:p w14:paraId="2B7747B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计量单位</w:t>
            </w:r>
          </w:p>
        </w:tc>
        <w:tc>
          <w:tcPr>
            <w:tcW w:w="624" w:type="pct"/>
            <w:noWrap w:val="0"/>
            <w:vAlign w:val="center"/>
          </w:tcPr>
          <w:p w14:paraId="4033726E">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大型</w:t>
            </w:r>
          </w:p>
        </w:tc>
        <w:tc>
          <w:tcPr>
            <w:tcW w:w="910" w:type="pct"/>
            <w:noWrap w:val="0"/>
            <w:vAlign w:val="center"/>
          </w:tcPr>
          <w:p w14:paraId="42CC622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中型</w:t>
            </w:r>
          </w:p>
        </w:tc>
        <w:tc>
          <w:tcPr>
            <w:tcW w:w="764" w:type="pct"/>
            <w:noWrap w:val="0"/>
            <w:vAlign w:val="center"/>
          </w:tcPr>
          <w:p w14:paraId="1B87BF6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小型</w:t>
            </w:r>
          </w:p>
        </w:tc>
        <w:tc>
          <w:tcPr>
            <w:tcW w:w="550" w:type="pct"/>
            <w:noWrap w:val="0"/>
            <w:vAlign w:val="center"/>
          </w:tcPr>
          <w:p w14:paraId="2263B5F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微型</w:t>
            </w:r>
          </w:p>
        </w:tc>
      </w:tr>
      <w:tr w14:paraId="5C3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0CE5D42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农、林、牧、渔业</w:t>
            </w:r>
          </w:p>
        </w:tc>
        <w:tc>
          <w:tcPr>
            <w:tcW w:w="756" w:type="pct"/>
            <w:noWrap w:val="0"/>
            <w:vAlign w:val="center"/>
          </w:tcPr>
          <w:p w14:paraId="75CEA85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营业收入（Y）</w:t>
            </w:r>
          </w:p>
        </w:tc>
        <w:tc>
          <w:tcPr>
            <w:tcW w:w="365" w:type="pct"/>
            <w:noWrap w:val="0"/>
            <w:vAlign w:val="center"/>
          </w:tcPr>
          <w:p w14:paraId="69617FB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2FF577C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Y≥20000</w:t>
            </w:r>
          </w:p>
        </w:tc>
        <w:tc>
          <w:tcPr>
            <w:tcW w:w="910" w:type="pct"/>
            <w:noWrap w:val="0"/>
            <w:vAlign w:val="center"/>
          </w:tcPr>
          <w:p w14:paraId="6540579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500≤Y＜20000</w:t>
            </w:r>
          </w:p>
        </w:tc>
        <w:tc>
          <w:tcPr>
            <w:tcW w:w="764" w:type="pct"/>
            <w:noWrap w:val="0"/>
            <w:vAlign w:val="center"/>
          </w:tcPr>
          <w:p w14:paraId="03AF5DF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50≤Y＜500</w:t>
            </w:r>
          </w:p>
        </w:tc>
        <w:tc>
          <w:tcPr>
            <w:tcW w:w="550" w:type="pct"/>
            <w:noWrap w:val="0"/>
            <w:vAlign w:val="center"/>
          </w:tcPr>
          <w:p w14:paraId="3918EA1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Y＜50</w:t>
            </w:r>
          </w:p>
        </w:tc>
      </w:tr>
      <w:tr w14:paraId="741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29" w:type="pct"/>
            <w:noWrap w:val="0"/>
            <w:vAlign w:val="center"/>
          </w:tcPr>
          <w:p w14:paraId="34FEC05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工业*</w:t>
            </w:r>
          </w:p>
        </w:tc>
        <w:tc>
          <w:tcPr>
            <w:tcW w:w="756" w:type="pct"/>
            <w:noWrap w:val="0"/>
            <w:vAlign w:val="center"/>
          </w:tcPr>
          <w:p w14:paraId="382C568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434171F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6F6015D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40415E5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X≥1000 </w:t>
            </w:r>
          </w:p>
          <w:p w14:paraId="4FBD825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Y≥40000</w:t>
            </w:r>
          </w:p>
        </w:tc>
        <w:tc>
          <w:tcPr>
            <w:tcW w:w="910" w:type="pct"/>
            <w:noWrap w:val="0"/>
            <w:vAlign w:val="center"/>
          </w:tcPr>
          <w:p w14:paraId="2473982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300≤X＜1000 </w:t>
            </w:r>
          </w:p>
          <w:p w14:paraId="16607A9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2000≤Y＜40000</w:t>
            </w:r>
          </w:p>
        </w:tc>
        <w:tc>
          <w:tcPr>
            <w:tcW w:w="764" w:type="pct"/>
            <w:noWrap w:val="0"/>
            <w:vAlign w:val="center"/>
          </w:tcPr>
          <w:p w14:paraId="79FA450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20≤X＜300 </w:t>
            </w:r>
          </w:p>
          <w:p w14:paraId="7AA936B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300≤Y＜2000</w:t>
            </w:r>
          </w:p>
        </w:tc>
        <w:tc>
          <w:tcPr>
            <w:tcW w:w="550" w:type="pct"/>
            <w:noWrap w:val="0"/>
            <w:vAlign w:val="center"/>
          </w:tcPr>
          <w:p w14:paraId="717AB48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X＜20</w:t>
            </w:r>
          </w:p>
          <w:p w14:paraId="6B335775">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Y＜300</w:t>
            </w:r>
          </w:p>
        </w:tc>
      </w:tr>
      <w:tr w14:paraId="25584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5971769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建筑业</w:t>
            </w:r>
          </w:p>
        </w:tc>
        <w:tc>
          <w:tcPr>
            <w:tcW w:w="756" w:type="pct"/>
            <w:noWrap w:val="0"/>
            <w:vAlign w:val="center"/>
          </w:tcPr>
          <w:p w14:paraId="65B4BFC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从业人员（X）资产总额（Z）</w:t>
            </w:r>
          </w:p>
        </w:tc>
        <w:tc>
          <w:tcPr>
            <w:tcW w:w="365" w:type="pct"/>
            <w:noWrap w:val="0"/>
            <w:vAlign w:val="center"/>
          </w:tcPr>
          <w:p w14:paraId="21ACFE5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6B435915">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2024BA7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Y≥80000</w:t>
            </w:r>
          </w:p>
          <w:p w14:paraId="7C2E3F1E">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Z≥80000</w:t>
            </w:r>
          </w:p>
        </w:tc>
        <w:tc>
          <w:tcPr>
            <w:tcW w:w="910" w:type="pct"/>
            <w:noWrap w:val="0"/>
            <w:vAlign w:val="center"/>
          </w:tcPr>
          <w:p w14:paraId="47D5603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6000≤Y＜80000  5000≤Z＜80000</w:t>
            </w:r>
          </w:p>
        </w:tc>
        <w:tc>
          <w:tcPr>
            <w:tcW w:w="764" w:type="pct"/>
            <w:noWrap w:val="0"/>
            <w:vAlign w:val="center"/>
          </w:tcPr>
          <w:p w14:paraId="473060F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300≤Y＜6000</w:t>
            </w:r>
          </w:p>
          <w:p w14:paraId="0EFC134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300≤Z＜5000</w:t>
            </w:r>
          </w:p>
        </w:tc>
        <w:tc>
          <w:tcPr>
            <w:tcW w:w="550" w:type="pct"/>
            <w:noWrap w:val="0"/>
            <w:vAlign w:val="center"/>
          </w:tcPr>
          <w:p w14:paraId="3C8C19A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Y＜300</w:t>
            </w:r>
          </w:p>
          <w:p w14:paraId="373E7A8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Z＜300</w:t>
            </w:r>
          </w:p>
        </w:tc>
      </w:tr>
      <w:tr w14:paraId="2C7C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5BDF58BE">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批发业</w:t>
            </w:r>
          </w:p>
        </w:tc>
        <w:tc>
          <w:tcPr>
            <w:tcW w:w="756" w:type="pct"/>
            <w:noWrap w:val="0"/>
            <w:vAlign w:val="center"/>
          </w:tcPr>
          <w:p w14:paraId="619C15E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45D6EF2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0A4150D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780A380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X≥200  </w:t>
            </w:r>
          </w:p>
          <w:p w14:paraId="0FF55D9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Y≥40000</w:t>
            </w:r>
          </w:p>
        </w:tc>
        <w:tc>
          <w:tcPr>
            <w:tcW w:w="910" w:type="pct"/>
            <w:noWrap w:val="0"/>
            <w:vAlign w:val="center"/>
          </w:tcPr>
          <w:p w14:paraId="0775D3B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20≤X＜200  </w:t>
            </w:r>
          </w:p>
          <w:p w14:paraId="4721C86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5000≤Y＜40000</w:t>
            </w:r>
          </w:p>
        </w:tc>
        <w:tc>
          <w:tcPr>
            <w:tcW w:w="764" w:type="pct"/>
            <w:noWrap w:val="0"/>
            <w:vAlign w:val="center"/>
          </w:tcPr>
          <w:p w14:paraId="5FC0751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5≤X＜20  1000≤Y＜5000</w:t>
            </w:r>
          </w:p>
        </w:tc>
        <w:tc>
          <w:tcPr>
            <w:tcW w:w="550" w:type="pct"/>
            <w:noWrap w:val="0"/>
            <w:vAlign w:val="center"/>
          </w:tcPr>
          <w:p w14:paraId="16FD3BC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X＜5</w:t>
            </w:r>
          </w:p>
          <w:p w14:paraId="72F9CFC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Y＜1000</w:t>
            </w:r>
          </w:p>
        </w:tc>
      </w:tr>
      <w:tr w14:paraId="6F57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0D1F91E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零售业</w:t>
            </w:r>
          </w:p>
        </w:tc>
        <w:tc>
          <w:tcPr>
            <w:tcW w:w="756" w:type="pct"/>
            <w:noWrap w:val="0"/>
            <w:vAlign w:val="center"/>
          </w:tcPr>
          <w:p w14:paraId="55F25E0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147457F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41ECFED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15D1B3E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X≥300  </w:t>
            </w:r>
          </w:p>
          <w:p w14:paraId="4E876FC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Y≥20000</w:t>
            </w:r>
          </w:p>
        </w:tc>
        <w:tc>
          <w:tcPr>
            <w:tcW w:w="910" w:type="pct"/>
            <w:noWrap w:val="0"/>
            <w:vAlign w:val="center"/>
          </w:tcPr>
          <w:p w14:paraId="49DC425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50≤X＜300  </w:t>
            </w:r>
          </w:p>
          <w:p w14:paraId="5AD12BA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500≤Y＜20000</w:t>
            </w:r>
          </w:p>
        </w:tc>
        <w:tc>
          <w:tcPr>
            <w:tcW w:w="764" w:type="pct"/>
            <w:noWrap w:val="0"/>
            <w:vAlign w:val="center"/>
          </w:tcPr>
          <w:p w14:paraId="533A98AE">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10≤X＜50  100≤Y＜500</w:t>
            </w:r>
          </w:p>
        </w:tc>
        <w:tc>
          <w:tcPr>
            <w:tcW w:w="550" w:type="pct"/>
            <w:noWrap w:val="0"/>
            <w:vAlign w:val="center"/>
          </w:tcPr>
          <w:p w14:paraId="73E22AD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w:t>
            </w:r>
          </w:p>
          <w:p w14:paraId="2E7405D5">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w:t>
            </w:r>
          </w:p>
        </w:tc>
      </w:tr>
      <w:tr w14:paraId="422D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59562A3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交通运输业*</w:t>
            </w:r>
          </w:p>
        </w:tc>
        <w:tc>
          <w:tcPr>
            <w:tcW w:w="756" w:type="pct"/>
            <w:noWrap w:val="0"/>
            <w:vAlign w:val="center"/>
          </w:tcPr>
          <w:p w14:paraId="1B1E7B2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43D4A62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074AD45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7245D35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X≥1000  </w:t>
            </w:r>
          </w:p>
          <w:p w14:paraId="7C4E8BB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Y≥30000</w:t>
            </w:r>
          </w:p>
        </w:tc>
        <w:tc>
          <w:tcPr>
            <w:tcW w:w="910" w:type="pct"/>
            <w:noWrap w:val="0"/>
            <w:vAlign w:val="center"/>
          </w:tcPr>
          <w:p w14:paraId="2A83BEA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300≤X＜1000  3000≤Y＜30000</w:t>
            </w:r>
          </w:p>
        </w:tc>
        <w:tc>
          <w:tcPr>
            <w:tcW w:w="764" w:type="pct"/>
            <w:noWrap w:val="0"/>
            <w:vAlign w:val="center"/>
          </w:tcPr>
          <w:p w14:paraId="6C87467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20≤X＜300 </w:t>
            </w:r>
          </w:p>
          <w:p w14:paraId="3B736AF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200≤Y＜3000</w:t>
            </w:r>
          </w:p>
        </w:tc>
        <w:tc>
          <w:tcPr>
            <w:tcW w:w="550" w:type="pct"/>
            <w:noWrap w:val="0"/>
            <w:vAlign w:val="center"/>
          </w:tcPr>
          <w:p w14:paraId="628427F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X＜20</w:t>
            </w:r>
          </w:p>
          <w:p w14:paraId="0258F43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Y＜200</w:t>
            </w:r>
          </w:p>
        </w:tc>
      </w:tr>
      <w:tr w14:paraId="392E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6CE08D3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仓储业*</w:t>
            </w:r>
          </w:p>
        </w:tc>
        <w:tc>
          <w:tcPr>
            <w:tcW w:w="756" w:type="pct"/>
            <w:noWrap w:val="0"/>
            <w:vAlign w:val="center"/>
          </w:tcPr>
          <w:p w14:paraId="7273545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76E44A3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4D7DED7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1A2EDFF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X≥200</w:t>
            </w:r>
          </w:p>
          <w:p w14:paraId="450D5B9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Y≥30000</w:t>
            </w:r>
          </w:p>
        </w:tc>
        <w:tc>
          <w:tcPr>
            <w:tcW w:w="910" w:type="pct"/>
            <w:noWrap w:val="0"/>
            <w:vAlign w:val="center"/>
          </w:tcPr>
          <w:p w14:paraId="13A394D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100≤X＜200  1000≤Y＜30000</w:t>
            </w:r>
          </w:p>
        </w:tc>
        <w:tc>
          <w:tcPr>
            <w:tcW w:w="764" w:type="pct"/>
            <w:noWrap w:val="0"/>
            <w:vAlign w:val="center"/>
          </w:tcPr>
          <w:p w14:paraId="73B0159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20≤X＜100  100≤Y＜1000</w:t>
            </w:r>
          </w:p>
        </w:tc>
        <w:tc>
          <w:tcPr>
            <w:tcW w:w="550" w:type="pct"/>
            <w:noWrap w:val="0"/>
            <w:vAlign w:val="center"/>
          </w:tcPr>
          <w:p w14:paraId="2E751B4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X＜20</w:t>
            </w:r>
          </w:p>
          <w:p w14:paraId="27736B1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w:t>
            </w:r>
          </w:p>
        </w:tc>
      </w:tr>
      <w:tr w14:paraId="39DE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49A59C0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邮政业</w:t>
            </w:r>
          </w:p>
        </w:tc>
        <w:tc>
          <w:tcPr>
            <w:tcW w:w="756" w:type="pct"/>
            <w:noWrap w:val="0"/>
            <w:vAlign w:val="center"/>
          </w:tcPr>
          <w:p w14:paraId="188C567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4B798E7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637EAF7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7618FD26">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X≥1000</w:t>
            </w:r>
          </w:p>
          <w:p w14:paraId="61283A3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Y≥30000</w:t>
            </w:r>
          </w:p>
        </w:tc>
        <w:tc>
          <w:tcPr>
            <w:tcW w:w="910" w:type="pct"/>
            <w:noWrap w:val="0"/>
            <w:vAlign w:val="center"/>
          </w:tcPr>
          <w:p w14:paraId="7474E27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300≤X＜1000</w:t>
            </w:r>
          </w:p>
          <w:p w14:paraId="4A12590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2000≤Y＜30000</w:t>
            </w:r>
          </w:p>
        </w:tc>
        <w:tc>
          <w:tcPr>
            <w:tcW w:w="764" w:type="pct"/>
            <w:noWrap w:val="0"/>
            <w:vAlign w:val="center"/>
          </w:tcPr>
          <w:p w14:paraId="431AA7E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20≤X＜300  100≤Y＜2000</w:t>
            </w:r>
          </w:p>
        </w:tc>
        <w:tc>
          <w:tcPr>
            <w:tcW w:w="550" w:type="pct"/>
            <w:noWrap w:val="0"/>
            <w:vAlign w:val="center"/>
          </w:tcPr>
          <w:p w14:paraId="6388937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X＜20</w:t>
            </w:r>
          </w:p>
          <w:p w14:paraId="3486CEA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w:t>
            </w:r>
          </w:p>
        </w:tc>
      </w:tr>
      <w:tr w14:paraId="2F9A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078E9B9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住宿业</w:t>
            </w:r>
          </w:p>
        </w:tc>
        <w:tc>
          <w:tcPr>
            <w:tcW w:w="756" w:type="pct"/>
            <w:noWrap w:val="0"/>
            <w:vAlign w:val="center"/>
          </w:tcPr>
          <w:p w14:paraId="1BC020C5">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636F6B3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00CBD7C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663FBEA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X≥300</w:t>
            </w:r>
          </w:p>
          <w:p w14:paraId="1AB3595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Y≥10000</w:t>
            </w:r>
          </w:p>
        </w:tc>
        <w:tc>
          <w:tcPr>
            <w:tcW w:w="910" w:type="pct"/>
            <w:noWrap w:val="0"/>
            <w:vAlign w:val="center"/>
          </w:tcPr>
          <w:p w14:paraId="5CC3B6F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100≤X＜300  2000≤Y＜10000</w:t>
            </w:r>
          </w:p>
        </w:tc>
        <w:tc>
          <w:tcPr>
            <w:tcW w:w="764" w:type="pct"/>
            <w:noWrap w:val="0"/>
            <w:vAlign w:val="center"/>
          </w:tcPr>
          <w:p w14:paraId="7C66E75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10≤X＜100  100≤Y＜2000</w:t>
            </w:r>
          </w:p>
        </w:tc>
        <w:tc>
          <w:tcPr>
            <w:tcW w:w="550" w:type="pct"/>
            <w:noWrap w:val="0"/>
            <w:vAlign w:val="center"/>
          </w:tcPr>
          <w:p w14:paraId="64A76A6E">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w:t>
            </w:r>
          </w:p>
          <w:p w14:paraId="45B8D44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w:t>
            </w:r>
          </w:p>
        </w:tc>
      </w:tr>
      <w:tr w14:paraId="674A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6D7A731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餐饮业</w:t>
            </w:r>
          </w:p>
        </w:tc>
        <w:tc>
          <w:tcPr>
            <w:tcW w:w="756" w:type="pct"/>
            <w:noWrap w:val="0"/>
            <w:vAlign w:val="center"/>
          </w:tcPr>
          <w:p w14:paraId="770E85D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232B32A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人 </w:t>
            </w:r>
          </w:p>
          <w:p w14:paraId="5F10228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3F98C41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X≥300</w:t>
            </w:r>
          </w:p>
          <w:p w14:paraId="5C37063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Y≥10000</w:t>
            </w:r>
          </w:p>
        </w:tc>
        <w:tc>
          <w:tcPr>
            <w:tcW w:w="910" w:type="pct"/>
            <w:noWrap w:val="0"/>
            <w:vAlign w:val="center"/>
          </w:tcPr>
          <w:p w14:paraId="190E74A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100≤X＜300  2000≤Y＜10000</w:t>
            </w:r>
          </w:p>
        </w:tc>
        <w:tc>
          <w:tcPr>
            <w:tcW w:w="764" w:type="pct"/>
            <w:noWrap w:val="0"/>
            <w:vAlign w:val="center"/>
          </w:tcPr>
          <w:p w14:paraId="71BF5EA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10≤X＜100 </w:t>
            </w:r>
          </w:p>
          <w:p w14:paraId="59619E9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100≤Y＜2000</w:t>
            </w:r>
          </w:p>
        </w:tc>
        <w:tc>
          <w:tcPr>
            <w:tcW w:w="550" w:type="pct"/>
            <w:noWrap w:val="0"/>
            <w:vAlign w:val="center"/>
          </w:tcPr>
          <w:p w14:paraId="40AB1786">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w:t>
            </w:r>
          </w:p>
          <w:p w14:paraId="13546E9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w:t>
            </w:r>
          </w:p>
        </w:tc>
      </w:tr>
      <w:tr w14:paraId="2AEA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6AA0E99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信息传输业*</w:t>
            </w:r>
          </w:p>
        </w:tc>
        <w:tc>
          <w:tcPr>
            <w:tcW w:w="756" w:type="pct"/>
            <w:noWrap w:val="0"/>
            <w:vAlign w:val="center"/>
          </w:tcPr>
          <w:p w14:paraId="0E190B4E">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7FB0463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103614F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3D537F0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X≥2000 </w:t>
            </w:r>
          </w:p>
          <w:p w14:paraId="55BAB02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Y≥100000</w:t>
            </w:r>
          </w:p>
        </w:tc>
        <w:tc>
          <w:tcPr>
            <w:tcW w:w="910" w:type="pct"/>
            <w:noWrap w:val="0"/>
            <w:vAlign w:val="center"/>
          </w:tcPr>
          <w:p w14:paraId="7AE722E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100≤X＜2000  1000≤Y＜100000</w:t>
            </w:r>
          </w:p>
        </w:tc>
        <w:tc>
          <w:tcPr>
            <w:tcW w:w="764" w:type="pct"/>
            <w:noWrap w:val="0"/>
            <w:vAlign w:val="center"/>
          </w:tcPr>
          <w:p w14:paraId="0BCA963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10≤X＜100 </w:t>
            </w:r>
          </w:p>
          <w:p w14:paraId="4CDB9226">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100≤Y＜1000</w:t>
            </w:r>
          </w:p>
        </w:tc>
        <w:tc>
          <w:tcPr>
            <w:tcW w:w="550" w:type="pct"/>
            <w:noWrap w:val="0"/>
            <w:vAlign w:val="center"/>
          </w:tcPr>
          <w:p w14:paraId="1C37254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w:t>
            </w:r>
          </w:p>
          <w:p w14:paraId="4AF7890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w:t>
            </w:r>
          </w:p>
        </w:tc>
      </w:tr>
      <w:tr w14:paraId="5778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541E36B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软件和信息技术服务业</w:t>
            </w:r>
          </w:p>
        </w:tc>
        <w:tc>
          <w:tcPr>
            <w:tcW w:w="756" w:type="pct"/>
            <w:noWrap w:val="0"/>
            <w:vAlign w:val="center"/>
          </w:tcPr>
          <w:p w14:paraId="5B50E2E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7082458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0658713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09388E8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X≥300  </w:t>
            </w:r>
          </w:p>
          <w:p w14:paraId="47C5E10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Y≥10000</w:t>
            </w:r>
          </w:p>
        </w:tc>
        <w:tc>
          <w:tcPr>
            <w:tcW w:w="910" w:type="pct"/>
            <w:noWrap w:val="0"/>
            <w:vAlign w:val="center"/>
          </w:tcPr>
          <w:p w14:paraId="6EF6B5E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100≤X＜300  1000≤Y＜10000</w:t>
            </w:r>
          </w:p>
        </w:tc>
        <w:tc>
          <w:tcPr>
            <w:tcW w:w="764" w:type="pct"/>
            <w:noWrap w:val="0"/>
            <w:vAlign w:val="center"/>
          </w:tcPr>
          <w:p w14:paraId="271F5C8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10≤X＜100 </w:t>
            </w:r>
          </w:p>
          <w:p w14:paraId="5B38D45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50≤Y＜1000</w:t>
            </w:r>
          </w:p>
        </w:tc>
        <w:tc>
          <w:tcPr>
            <w:tcW w:w="550" w:type="pct"/>
            <w:noWrap w:val="0"/>
            <w:vAlign w:val="center"/>
          </w:tcPr>
          <w:p w14:paraId="3322FF6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w:t>
            </w:r>
          </w:p>
          <w:p w14:paraId="04B46FE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Y＜50</w:t>
            </w:r>
          </w:p>
        </w:tc>
      </w:tr>
      <w:tr w14:paraId="063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029" w:type="pct"/>
            <w:noWrap w:val="0"/>
            <w:vAlign w:val="center"/>
          </w:tcPr>
          <w:p w14:paraId="4355230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房地产开发经营</w:t>
            </w:r>
          </w:p>
        </w:tc>
        <w:tc>
          <w:tcPr>
            <w:tcW w:w="756" w:type="pct"/>
            <w:noWrap w:val="0"/>
            <w:vAlign w:val="center"/>
          </w:tcPr>
          <w:p w14:paraId="137B8D1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从业人员（X）资产总额（Z）</w:t>
            </w:r>
          </w:p>
        </w:tc>
        <w:tc>
          <w:tcPr>
            <w:tcW w:w="365" w:type="pct"/>
            <w:noWrap w:val="0"/>
            <w:vAlign w:val="center"/>
          </w:tcPr>
          <w:p w14:paraId="215D533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66C551B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50A00555">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Y≥200000</w:t>
            </w:r>
          </w:p>
          <w:p w14:paraId="5F0FD43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Z≥10000</w:t>
            </w:r>
          </w:p>
        </w:tc>
        <w:tc>
          <w:tcPr>
            <w:tcW w:w="910" w:type="pct"/>
            <w:noWrap w:val="0"/>
            <w:vAlign w:val="center"/>
          </w:tcPr>
          <w:p w14:paraId="3C35139E">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1000≤Y＜200000  5000≤Z＜10000</w:t>
            </w:r>
          </w:p>
        </w:tc>
        <w:tc>
          <w:tcPr>
            <w:tcW w:w="764" w:type="pct"/>
            <w:noWrap w:val="0"/>
            <w:vAlign w:val="center"/>
          </w:tcPr>
          <w:p w14:paraId="768E0B39">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100≤Y＜1000  2000≤Z＜5000</w:t>
            </w:r>
          </w:p>
        </w:tc>
        <w:tc>
          <w:tcPr>
            <w:tcW w:w="550" w:type="pct"/>
            <w:noWrap w:val="0"/>
            <w:vAlign w:val="center"/>
          </w:tcPr>
          <w:p w14:paraId="4C60698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Y＜100</w:t>
            </w:r>
          </w:p>
          <w:p w14:paraId="06D9BB7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Z＜2000</w:t>
            </w:r>
          </w:p>
        </w:tc>
      </w:tr>
      <w:tr w14:paraId="308C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54F9D296">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物业管理</w:t>
            </w:r>
          </w:p>
        </w:tc>
        <w:tc>
          <w:tcPr>
            <w:tcW w:w="756" w:type="pct"/>
            <w:noWrap w:val="0"/>
            <w:vAlign w:val="center"/>
          </w:tcPr>
          <w:p w14:paraId="48F0C31D">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从业人员（X）营业收入（Y）</w:t>
            </w:r>
          </w:p>
        </w:tc>
        <w:tc>
          <w:tcPr>
            <w:tcW w:w="365" w:type="pct"/>
            <w:noWrap w:val="0"/>
            <w:vAlign w:val="center"/>
          </w:tcPr>
          <w:p w14:paraId="12C0B19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6D27148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7562BB64">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X≥1000</w:t>
            </w:r>
          </w:p>
          <w:p w14:paraId="3BE456C7">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Y≥5000</w:t>
            </w:r>
          </w:p>
        </w:tc>
        <w:tc>
          <w:tcPr>
            <w:tcW w:w="910" w:type="pct"/>
            <w:noWrap w:val="0"/>
            <w:vAlign w:val="center"/>
          </w:tcPr>
          <w:p w14:paraId="01E9865F">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300≤X＜1000</w:t>
            </w:r>
          </w:p>
          <w:p w14:paraId="1A4455D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1000≤Y＜5000</w:t>
            </w:r>
          </w:p>
        </w:tc>
        <w:tc>
          <w:tcPr>
            <w:tcW w:w="764" w:type="pct"/>
            <w:noWrap w:val="0"/>
            <w:vAlign w:val="center"/>
          </w:tcPr>
          <w:p w14:paraId="2FF31E2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100≤X＜300  500≤Y＜1000</w:t>
            </w:r>
          </w:p>
        </w:tc>
        <w:tc>
          <w:tcPr>
            <w:tcW w:w="550" w:type="pct"/>
            <w:noWrap w:val="0"/>
            <w:vAlign w:val="center"/>
          </w:tcPr>
          <w:p w14:paraId="64EC72DA">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X＜100</w:t>
            </w:r>
          </w:p>
          <w:p w14:paraId="44ED418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Y＜500</w:t>
            </w:r>
          </w:p>
        </w:tc>
      </w:tr>
      <w:tr w14:paraId="6119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14371596">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租赁和商务服务业</w:t>
            </w:r>
          </w:p>
        </w:tc>
        <w:tc>
          <w:tcPr>
            <w:tcW w:w="756" w:type="pct"/>
            <w:noWrap w:val="0"/>
            <w:vAlign w:val="center"/>
          </w:tcPr>
          <w:p w14:paraId="0A73084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从业人员（X）资产总额（Z）</w:t>
            </w:r>
          </w:p>
        </w:tc>
        <w:tc>
          <w:tcPr>
            <w:tcW w:w="365" w:type="pct"/>
            <w:noWrap w:val="0"/>
            <w:vAlign w:val="center"/>
          </w:tcPr>
          <w:p w14:paraId="68066E61">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p w14:paraId="2E975672">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c>
          <w:tcPr>
            <w:tcW w:w="624" w:type="pct"/>
            <w:noWrap w:val="0"/>
            <w:vAlign w:val="center"/>
          </w:tcPr>
          <w:p w14:paraId="5AF2DF7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X≥300</w:t>
            </w:r>
          </w:p>
          <w:p w14:paraId="68C49C1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Z≥120000</w:t>
            </w:r>
          </w:p>
        </w:tc>
        <w:tc>
          <w:tcPr>
            <w:tcW w:w="910" w:type="pct"/>
            <w:noWrap w:val="0"/>
            <w:vAlign w:val="center"/>
          </w:tcPr>
          <w:p w14:paraId="7D3E7BD0">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100≤X＜300  8000≤Z＜120000</w:t>
            </w:r>
          </w:p>
        </w:tc>
        <w:tc>
          <w:tcPr>
            <w:tcW w:w="764" w:type="pct"/>
            <w:noWrap w:val="0"/>
            <w:vAlign w:val="center"/>
          </w:tcPr>
          <w:p w14:paraId="65FC365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10≤X＜100  100≤Z＜8000</w:t>
            </w:r>
          </w:p>
        </w:tc>
        <w:tc>
          <w:tcPr>
            <w:tcW w:w="550" w:type="pct"/>
            <w:noWrap w:val="0"/>
            <w:vAlign w:val="center"/>
          </w:tcPr>
          <w:p w14:paraId="6104DF48">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w:t>
            </w:r>
          </w:p>
          <w:p w14:paraId="28FF801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Z＜100</w:t>
            </w:r>
          </w:p>
        </w:tc>
      </w:tr>
      <w:tr w14:paraId="1F2E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pct"/>
            <w:noWrap w:val="0"/>
            <w:vAlign w:val="center"/>
          </w:tcPr>
          <w:p w14:paraId="6A241236">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其他未列明行业</w:t>
            </w:r>
          </w:p>
        </w:tc>
        <w:tc>
          <w:tcPr>
            <w:tcW w:w="756" w:type="pct"/>
            <w:noWrap w:val="0"/>
            <w:vAlign w:val="center"/>
          </w:tcPr>
          <w:p w14:paraId="02B1D4D5">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从业人员（X）</w:t>
            </w:r>
          </w:p>
        </w:tc>
        <w:tc>
          <w:tcPr>
            <w:tcW w:w="365" w:type="pct"/>
            <w:noWrap w:val="0"/>
            <w:vAlign w:val="center"/>
          </w:tcPr>
          <w:p w14:paraId="0FD6757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w:t>
            </w:r>
          </w:p>
        </w:tc>
        <w:tc>
          <w:tcPr>
            <w:tcW w:w="624" w:type="pct"/>
            <w:noWrap w:val="0"/>
            <w:vAlign w:val="center"/>
          </w:tcPr>
          <w:p w14:paraId="1965CEAB">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X≥300</w:t>
            </w:r>
          </w:p>
        </w:tc>
        <w:tc>
          <w:tcPr>
            <w:tcW w:w="910" w:type="pct"/>
            <w:noWrap w:val="0"/>
            <w:vAlign w:val="center"/>
          </w:tcPr>
          <w:p w14:paraId="6999AD1C">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100≤X＜300</w:t>
            </w:r>
          </w:p>
        </w:tc>
        <w:tc>
          <w:tcPr>
            <w:tcW w:w="764" w:type="pct"/>
            <w:noWrap w:val="0"/>
            <w:vAlign w:val="center"/>
          </w:tcPr>
          <w:p w14:paraId="7E6A7143">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10≤X＜100</w:t>
            </w:r>
          </w:p>
        </w:tc>
        <w:tc>
          <w:tcPr>
            <w:tcW w:w="550" w:type="pct"/>
            <w:noWrap w:val="0"/>
            <w:vAlign w:val="center"/>
          </w:tcPr>
          <w:p w14:paraId="44ECEA05">
            <w:pPr>
              <w:pStyle w:val="24"/>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X＜10</w:t>
            </w:r>
          </w:p>
        </w:tc>
      </w:tr>
    </w:tbl>
    <w:p w14:paraId="2634241E">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color w:val="auto"/>
          <w:kern w:val="0"/>
          <w:sz w:val="18"/>
          <w:szCs w:val="18"/>
          <w:highlight w:val="none"/>
          <w:u w:val="none"/>
          <w:lang w:val="en-US" w:eastAsia="zh-CN" w:bidi="ar-SA"/>
        </w:rPr>
      </w:pPr>
      <w:r>
        <w:rPr>
          <w:rFonts w:hint="eastAsia" w:ascii="宋体" w:hAnsi="宋体" w:eastAsia="宋体" w:cs="宋体"/>
          <w:b w:val="0"/>
          <w:bCs/>
          <w:color w:val="auto"/>
          <w:kern w:val="0"/>
          <w:sz w:val="18"/>
          <w:szCs w:val="18"/>
          <w:highlight w:val="none"/>
          <w:u w:val="none"/>
          <w:lang w:val="en-US" w:eastAsia="zh-CN" w:bidi="ar-SA"/>
        </w:rPr>
        <w:t>说明： 1.大型、中型和小型企业须同时满足所列指标的下限， 否则下划一档；微型企业只须满足所列指标中的一项即可。</w:t>
      </w:r>
    </w:p>
    <w:p w14:paraId="6DD5C2C4">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宋体" w:hAnsi="宋体" w:eastAsia="宋体" w:cs="宋体"/>
          <w:b w:val="0"/>
          <w:bCs/>
          <w:color w:val="auto"/>
          <w:kern w:val="0"/>
          <w:sz w:val="18"/>
          <w:szCs w:val="18"/>
          <w:highlight w:val="none"/>
          <w:u w:val="none"/>
          <w:lang w:val="en-US" w:eastAsia="zh-CN" w:bidi="ar-SA"/>
        </w:rPr>
      </w:pPr>
      <w:r>
        <w:rPr>
          <w:rFonts w:hint="eastAsia" w:ascii="宋体" w:hAnsi="宋体" w:eastAsia="宋体" w:cs="宋体"/>
          <w:b w:val="0"/>
          <w:bCs/>
          <w:color w:val="auto"/>
          <w:kern w:val="0"/>
          <w:sz w:val="18"/>
          <w:szCs w:val="18"/>
          <w:highlight w:val="none"/>
          <w:u w:val="none"/>
          <w:lang w:val="en-US" w:eastAsia="zh-CN" w:bidi="ar-SA"/>
        </w:rPr>
        <w:t xml:space="preserve"> 2.附表中各行业的范围以《国民经济行业分类》 （GB/T4754-2017）为准。带*的项为行业组合类别，其中， 工业包括采矿业，制造业，电力、热力、燃气及水生产和供 应业；交通运输业包括道路运输业，水上运输业，航空运输 业，管道运输业，多式联运和运输代理业、装卸搬运，不包 括铁路运输业；仓储业包括通用仓储，低温仓储，危险品仓储，谷物、棉花等农产品仓储，中药材仓储和其他仓储业; 信息传输业包括电信、广播电视和卫星传输服务，互联网和 相关服务；其他未列明行业包括科学研究和技术服务业，水 利、环境和公共设施管理业，居民服务、修理和其他服务业， 社会工作，文化、体育和娱乐业，以及房地产中介服务，其 他房地产业等，不包括自有房地产经营活动。 3.企业划分指标以现行统计制度为准。（1）从业人员， 是指期末从业人员数，没有期末从业人员数的，采用全年平 均人员数代替。（2）营业收入，工业、建筑业、限额以上 批发和零售业、限额以上住宿和餐饮业以及其他设置主营业 务收入指标的行业，采用主营业务收入；限额以下批发与零 售业企业采用商品销售额代替；限额以下住宿与餐饮业企业 采用营业额代替；农、林、牧、渔业企业采用营业总收入代 替；其他未设置主营业务收入的行业，采用营业收入指标。</w:t>
      </w:r>
    </w:p>
    <w:p w14:paraId="3ACB0314">
      <w:pPr>
        <w:pStyle w:val="6"/>
        <w:bidi w:val="0"/>
        <w:spacing w:line="480" w:lineRule="auto"/>
        <w:ind w:left="0" w:leftChars="0" w:firstLine="0" w:firstLineChars="0"/>
        <w:rPr>
          <w:rFonts w:hint="eastAsia" w:ascii="宋体" w:hAnsi="宋体" w:eastAsia="宋体" w:cs="宋体"/>
          <w:b/>
          <w:bCs/>
          <w:color w:val="auto"/>
          <w:kern w:val="2"/>
          <w:sz w:val="21"/>
          <w:szCs w:val="21"/>
          <w:highlight w:val="none"/>
          <w:lang w:val="en-US" w:eastAsia="zh-CN" w:bidi="ar-SA"/>
        </w:rPr>
      </w:pPr>
      <w:bookmarkStart w:id="956" w:name="_Toc1587"/>
      <w:r>
        <w:rPr>
          <w:rFonts w:hint="eastAsia" w:ascii="宋体" w:hAnsi="宋体" w:eastAsia="宋体" w:cs="宋体"/>
          <w:b w:val="0"/>
          <w:bCs/>
          <w:color w:val="auto"/>
          <w:kern w:val="0"/>
          <w:sz w:val="18"/>
          <w:szCs w:val="18"/>
          <w:highlight w:val="none"/>
          <w:u w:val="none"/>
          <w:lang w:val="en-US" w:eastAsia="zh-CN" w:bidi="ar-SA"/>
        </w:rPr>
        <w:t>3.请投标单位自行核查所属行业。</w:t>
      </w:r>
      <w:r>
        <w:rPr>
          <w:rFonts w:hint="eastAsia" w:hAnsi="宋体"/>
          <w:b/>
          <w:color w:val="auto"/>
          <w:spacing w:val="6"/>
          <w:highlight w:val="none"/>
          <w:shd w:val="clear" w:color="auto" w:fill="auto"/>
        </w:rPr>
        <w:br w:type="page"/>
      </w:r>
      <w:bookmarkEnd w:id="956"/>
    </w:p>
    <w:p w14:paraId="68B13FC9">
      <w:pPr>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2"/>
          <w:sz w:val="28"/>
          <w:szCs w:val="28"/>
          <w:highlight w:val="none"/>
          <w:lang w:val="en-US" w:eastAsia="zh-CN" w:bidi="ar-SA"/>
        </w:rPr>
        <w:t>九</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lang w:eastAsia="zh-CN"/>
        </w:rPr>
        <w:t>残疾人福利性单位声明函</w:t>
      </w:r>
    </w:p>
    <w:p w14:paraId="405C3975">
      <w:pPr>
        <w:bidi w:val="0"/>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（属于残疾人福利企业的填写，不属于的无需填写此项内容）</w:t>
      </w:r>
    </w:p>
    <w:p w14:paraId="3F59AF3B">
      <w:pPr>
        <w:pStyle w:val="42"/>
        <w:bidi w:val="0"/>
        <w:rPr>
          <w:rFonts w:hint="eastAsia" w:ascii="宋体" w:hAnsi="宋体" w:eastAsia="宋体" w:cs="宋体"/>
          <w:color w:val="auto"/>
          <w:sz w:val="21"/>
          <w:szCs w:val="21"/>
          <w:highlight w:val="none"/>
        </w:rPr>
      </w:pPr>
    </w:p>
    <w:p w14:paraId="530F6929">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681C54A">
      <w:pPr>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本单位对上述声明的真实性负责。如有虚假，将承担相应的法律责任。</w:t>
      </w:r>
    </w:p>
    <w:p w14:paraId="08065115">
      <w:pPr>
        <w:bidi w:val="0"/>
        <w:spacing w:line="360" w:lineRule="auto"/>
        <w:ind w:firstLine="420" w:firstLineChars="200"/>
        <w:rPr>
          <w:rFonts w:hint="eastAsia" w:ascii="宋体" w:hAnsi="宋体" w:eastAsia="宋体" w:cs="宋体"/>
          <w:color w:val="auto"/>
          <w:sz w:val="21"/>
          <w:szCs w:val="21"/>
          <w:highlight w:val="none"/>
        </w:rPr>
      </w:pPr>
    </w:p>
    <w:p w14:paraId="573CD60C">
      <w:pPr>
        <w:bidi w:val="0"/>
        <w:spacing w:line="360" w:lineRule="auto"/>
        <w:ind w:firstLine="420" w:firstLineChars="200"/>
        <w:rPr>
          <w:rFonts w:hint="eastAsia" w:ascii="宋体" w:hAnsi="宋体" w:eastAsia="宋体" w:cs="宋体"/>
          <w:color w:val="auto"/>
          <w:sz w:val="21"/>
          <w:szCs w:val="21"/>
          <w:highlight w:val="none"/>
        </w:rPr>
      </w:pPr>
    </w:p>
    <w:p w14:paraId="22DB5704">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供应商名称（单位电子签章）：</w:t>
      </w:r>
    </w:p>
    <w:p w14:paraId="694F941F">
      <w:pPr>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日期：</w:t>
      </w:r>
    </w:p>
    <w:p w14:paraId="68FBB37D">
      <w:pPr>
        <w:pStyle w:val="2"/>
        <w:numPr>
          <w:ilvl w:val="0"/>
          <w:numId w:val="0"/>
        </w:numPr>
        <w:bidi w:val="0"/>
        <w:ind w:left="425"/>
        <w:jc w:val="center"/>
        <w:rPr>
          <w:rFonts w:hint="eastAsia" w:ascii="宋体" w:hAnsi="宋体" w:eastAsia="宋体" w:cs="宋体"/>
          <w:b/>
          <w:bCs w:val="0"/>
          <w:color w:val="auto"/>
          <w:kern w:val="2"/>
          <w:sz w:val="21"/>
          <w:szCs w:val="21"/>
          <w:highlight w:val="none"/>
          <w:lang w:val="en-US" w:eastAsia="zh-CN" w:bidi="ar-SA"/>
        </w:rPr>
      </w:pPr>
    </w:p>
    <w:p w14:paraId="746B983A">
      <w:pPr>
        <w:rPr>
          <w:rFonts w:hint="eastAsia" w:ascii="宋体" w:hAnsi="宋体" w:eastAsia="宋体" w:cs="宋体"/>
          <w:b/>
          <w:bCs w:val="0"/>
          <w:color w:val="auto"/>
          <w:kern w:val="2"/>
          <w:sz w:val="21"/>
          <w:szCs w:val="21"/>
          <w:highlight w:val="none"/>
          <w:lang w:val="en-US" w:eastAsia="zh-CN" w:bidi="ar-SA"/>
        </w:rPr>
      </w:pPr>
    </w:p>
    <w:p w14:paraId="6976A6A7">
      <w:pPr>
        <w:pStyle w:val="40"/>
        <w:rPr>
          <w:rFonts w:hint="eastAsia" w:ascii="宋体" w:hAnsi="宋体" w:eastAsia="宋体" w:cs="宋体"/>
          <w:b/>
          <w:bCs w:val="0"/>
          <w:color w:val="auto"/>
          <w:kern w:val="2"/>
          <w:sz w:val="21"/>
          <w:szCs w:val="21"/>
          <w:highlight w:val="none"/>
          <w:lang w:val="en-US" w:eastAsia="zh-CN" w:bidi="ar-SA"/>
        </w:rPr>
      </w:pPr>
    </w:p>
    <w:p w14:paraId="24A05ABB">
      <w:pPr>
        <w:pStyle w:val="19"/>
        <w:rPr>
          <w:rFonts w:hint="eastAsia" w:ascii="宋体" w:hAnsi="宋体" w:eastAsia="宋体" w:cs="宋体"/>
          <w:b/>
          <w:bCs w:val="0"/>
          <w:color w:val="auto"/>
          <w:kern w:val="2"/>
          <w:sz w:val="21"/>
          <w:szCs w:val="21"/>
          <w:highlight w:val="none"/>
          <w:lang w:val="en-US" w:eastAsia="zh-CN" w:bidi="ar-SA"/>
        </w:rPr>
      </w:pPr>
    </w:p>
    <w:p w14:paraId="55732BB4">
      <w:pPr>
        <w:pStyle w:val="19"/>
        <w:rPr>
          <w:rFonts w:hint="eastAsia" w:ascii="宋体" w:hAnsi="宋体" w:eastAsia="宋体" w:cs="宋体"/>
          <w:b/>
          <w:bCs w:val="0"/>
          <w:color w:val="auto"/>
          <w:kern w:val="2"/>
          <w:sz w:val="21"/>
          <w:szCs w:val="21"/>
          <w:highlight w:val="none"/>
          <w:lang w:val="en-US" w:eastAsia="zh-CN" w:bidi="ar-SA"/>
        </w:rPr>
      </w:pPr>
    </w:p>
    <w:p w14:paraId="28C56DEB">
      <w:pPr>
        <w:pStyle w:val="19"/>
        <w:rPr>
          <w:rFonts w:hint="eastAsia" w:ascii="宋体" w:hAnsi="宋体" w:eastAsia="宋体" w:cs="宋体"/>
          <w:b/>
          <w:bCs w:val="0"/>
          <w:color w:val="auto"/>
          <w:kern w:val="2"/>
          <w:sz w:val="21"/>
          <w:szCs w:val="21"/>
          <w:highlight w:val="none"/>
          <w:lang w:val="en-US" w:eastAsia="zh-CN" w:bidi="ar-SA"/>
        </w:rPr>
      </w:pPr>
    </w:p>
    <w:p w14:paraId="30900F03">
      <w:pPr>
        <w:pStyle w:val="19"/>
        <w:rPr>
          <w:rFonts w:hint="eastAsia" w:ascii="宋体" w:hAnsi="宋体" w:eastAsia="宋体" w:cs="宋体"/>
          <w:b/>
          <w:bCs w:val="0"/>
          <w:color w:val="auto"/>
          <w:kern w:val="2"/>
          <w:sz w:val="21"/>
          <w:szCs w:val="21"/>
          <w:highlight w:val="none"/>
          <w:lang w:val="en-US" w:eastAsia="zh-CN" w:bidi="ar-SA"/>
        </w:rPr>
      </w:pPr>
    </w:p>
    <w:p w14:paraId="5D3D239F">
      <w:pPr>
        <w:pStyle w:val="19"/>
        <w:rPr>
          <w:rFonts w:hint="eastAsia" w:ascii="宋体" w:hAnsi="宋体" w:eastAsia="宋体" w:cs="宋体"/>
          <w:b/>
          <w:bCs w:val="0"/>
          <w:color w:val="auto"/>
          <w:kern w:val="2"/>
          <w:sz w:val="21"/>
          <w:szCs w:val="21"/>
          <w:highlight w:val="none"/>
          <w:lang w:val="en-US" w:eastAsia="zh-CN" w:bidi="ar-SA"/>
        </w:rPr>
      </w:pPr>
    </w:p>
    <w:p w14:paraId="48F137C5">
      <w:pPr>
        <w:pStyle w:val="19"/>
        <w:rPr>
          <w:rFonts w:hint="eastAsia" w:ascii="宋体" w:hAnsi="宋体" w:eastAsia="宋体" w:cs="宋体"/>
          <w:b/>
          <w:bCs w:val="0"/>
          <w:color w:val="auto"/>
          <w:kern w:val="2"/>
          <w:sz w:val="21"/>
          <w:szCs w:val="21"/>
          <w:highlight w:val="none"/>
          <w:lang w:val="en-US" w:eastAsia="zh-CN" w:bidi="ar-SA"/>
        </w:rPr>
      </w:pPr>
    </w:p>
    <w:p w14:paraId="1A84ABA6">
      <w:pPr>
        <w:pStyle w:val="19"/>
        <w:rPr>
          <w:rFonts w:hint="eastAsia" w:ascii="宋体" w:hAnsi="宋体" w:eastAsia="宋体" w:cs="宋体"/>
          <w:b/>
          <w:bCs w:val="0"/>
          <w:color w:val="auto"/>
          <w:kern w:val="2"/>
          <w:sz w:val="21"/>
          <w:szCs w:val="21"/>
          <w:highlight w:val="none"/>
          <w:lang w:val="en-US" w:eastAsia="zh-CN" w:bidi="ar-SA"/>
        </w:rPr>
      </w:pPr>
    </w:p>
    <w:p w14:paraId="47930F37">
      <w:pPr>
        <w:pStyle w:val="19"/>
        <w:rPr>
          <w:rFonts w:hint="eastAsia" w:ascii="宋体" w:hAnsi="宋体" w:eastAsia="宋体" w:cs="宋体"/>
          <w:b/>
          <w:bCs w:val="0"/>
          <w:color w:val="auto"/>
          <w:kern w:val="2"/>
          <w:sz w:val="21"/>
          <w:szCs w:val="21"/>
          <w:highlight w:val="none"/>
          <w:lang w:val="en-US" w:eastAsia="zh-CN" w:bidi="ar-SA"/>
        </w:rPr>
      </w:pPr>
    </w:p>
    <w:p w14:paraId="663FB7FF">
      <w:pPr>
        <w:pStyle w:val="19"/>
        <w:rPr>
          <w:rFonts w:hint="eastAsia" w:ascii="宋体" w:hAnsi="宋体" w:eastAsia="宋体" w:cs="宋体"/>
          <w:b/>
          <w:bCs w:val="0"/>
          <w:color w:val="auto"/>
          <w:kern w:val="2"/>
          <w:sz w:val="21"/>
          <w:szCs w:val="21"/>
          <w:highlight w:val="none"/>
          <w:lang w:val="en-US" w:eastAsia="zh-CN" w:bidi="ar-SA"/>
        </w:rPr>
      </w:pPr>
    </w:p>
    <w:p w14:paraId="41763950">
      <w:pPr>
        <w:pStyle w:val="19"/>
        <w:rPr>
          <w:rFonts w:hint="eastAsia" w:ascii="宋体" w:hAnsi="宋体" w:eastAsia="宋体" w:cs="宋体"/>
          <w:b/>
          <w:bCs w:val="0"/>
          <w:color w:val="auto"/>
          <w:kern w:val="2"/>
          <w:sz w:val="21"/>
          <w:szCs w:val="21"/>
          <w:highlight w:val="none"/>
          <w:lang w:val="en-US" w:eastAsia="zh-CN" w:bidi="ar-SA"/>
        </w:rPr>
      </w:pPr>
    </w:p>
    <w:p w14:paraId="218E6155">
      <w:pPr>
        <w:pStyle w:val="2"/>
        <w:numPr>
          <w:ilvl w:val="0"/>
          <w:numId w:val="0"/>
        </w:numPr>
        <w:bidi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十、监狱企业证明文件（如有）</w:t>
      </w:r>
    </w:p>
    <w:p w14:paraId="51F21B99">
      <w:pPr>
        <w:bidi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55B49684">
      <w:pPr>
        <w:bidi w:val="0"/>
        <w:spacing w:line="360" w:lineRule="auto"/>
        <w:jc w:val="center"/>
        <w:rPr>
          <w:rFonts w:hint="eastAsia" w:ascii="宋体" w:hAnsi="宋体" w:eastAsia="宋体" w:cs="宋体"/>
          <w:color w:val="auto"/>
          <w:sz w:val="21"/>
          <w:szCs w:val="21"/>
          <w:highlight w:val="none"/>
        </w:rPr>
      </w:pPr>
    </w:p>
    <w:p w14:paraId="4A022141">
      <w:pPr>
        <w:bidi w:val="0"/>
        <w:spacing w:line="360" w:lineRule="auto"/>
        <w:jc w:val="center"/>
        <w:rPr>
          <w:rFonts w:hint="eastAsia" w:ascii="宋体" w:hAnsi="宋体" w:eastAsia="宋体" w:cs="宋体"/>
          <w:color w:val="auto"/>
          <w:sz w:val="21"/>
          <w:szCs w:val="21"/>
          <w:highlight w:val="none"/>
        </w:rPr>
      </w:pPr>
    </w:p>
    <w:p w14:paraId="400D4D6C">
      <w:pPr>
        <w:bidi w:val="0"/>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rPr>
        <w:t>注：在</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u w:val="none"/>
          <w:lang w:val="en-US"/>
        </w:rPr>
        <w:t>文件中附扫描件</w:t>
      </w:r>
      <w:r>
        <w:rPr>
          <w:rFonts w:hint="eastAsia" w:ascii="宋体" w:hAnsi="宋体" w:eastAsia="宋体" w:cs="宋体"/>
          <w:color w:val="auto"/>
          <w:sz w:val="21"/>
          <w:szCs w:val="21"/>
          <w:highlight w:val="none"/>
          <w:u w:val="none"/>
          <w:lang w:val="en-US" w:eastAsia="zh-CN"/>
        </w:rPr>
        <w:t>。</w:t>
      </w:r>
    </w:p>
    <w:p w14:paraId="622687BE">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F2AFA66">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A19C771">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7BF71BAD">
      <w:pPr>
        <w:pStyle w:val="2"/>
        <w:numPr>
          <w:ilvl w:val="0"/>
          <w:numId w:val="0"/>
        </w:numPr>
        <w:bidi w:val="0"/>
        <w:ind w:left="425"/>
        <w:jc w:val="center"/>
        <w:rPr>
          <w:rFonts w:hint="eastAsia" w:ascii="宋体" w:hAnsi="宋体" w:eastAsia="宋体" w:cs="宋体"/>
          <w:b/>
          <w:bCs/>
          <w:color w:val="auto"/>
          <w:kern w:val="2"/>
          <w:sz w:val="28"/>
          <w:szCs w:val="28"/>
          <w:highlight w:val="none"/>
          <w:lang w:val="en-US" w:eastAsia="zh-CN" w:bidi="ar-SA"/>
        </w:rPr>
      </w:pPr>
    </w:p>
    <w:p w14:paraId="3FA3BD76">
      <w:pPr>
        <w:pStyle w:val="2"/>
        <w:numPr>
          <w:ilvl w:val="0"/>
          <w:numId w:val="0"/>
        </w:numPr>
        <w:bidi w:val="0"/>
        <w:jc w:val="both"/>
        <w:rPr>
          <w:rFonts w:hint="eastAsia" w:ascii="宋体" w:hAnsi="宋体" w:eastAsia="宋体" w:cs="宋体"/>
          <w:b/>
          <w:bCs/>
          <w:color w:val="auto"/>
          <w:kern w:val="2"/>
          <w:sz w:val="28"/>
          <w:szCs w:val="28"/>
          <w:highlight w:val="none"/>
          <w:lang w:val="en-US" w:eastAsia="zh-CN" w:bidi="ar-SA"/>
        </w:rPr>
      </w:pPr>
    </w:p>
    <w:p w14:paraId="6AD0F61C">
      <w:pPr>
        <w:pStyle w:val="2"/>
        <w:numPr>
          <w:ilvl w:val="0"/>
          <w:numId w:val="0"/>
        </w:numPr>
        <w:bidi w:val="0"/>
        <w:ind w:firstLine="562" w:firstLineChars="200"/>
        <w:jc w:val="center"/>
        <w:rPr>
          <w:rFonts w:hint="eastAsia" w:ascii="宋体" w:hAnsi="宋体" w:eastAsia="宋体" w:cs="宋体"/>
          <w:b/>
          <w:bCs/>
          <w:color w:val="auto"/>
          <w:kern w:val="2"/>
          <w:sz w:val="28"/>
          <w:szCs w:val="28"/>
          <w:highlight w:val="none"/>
          <w:lang w:val="en-US" w:eastAsia="zh-CN" w:bidi="ar-SA"/>
        </w:rPr>
      </w:pPr>
    </w:p>
    <w:p w14:paraId="02C65DB5">
      <w:pPr>
        <w:rPr>
          <w:rFonts w:hint="eastAsia" w:ascii="宋体" w:hAnsi="宋体" w:eastAsia="宋体" w:cs="宋体"/>
          <w:b/>
          <w:bCs/>
          <w:color w:val="auto"/>
          <w:kern w:val="2"/>
          <w:sz w:val="28"/>
          <w:szCs w:val="28"/>
          <w:highlight w:val="none"/>
          <w:lang w:val="en-US" w:eastAsia="zh-CN" w:bidi="ar-SA"/>
        </w:rPr>
      </w:pPr>
    </w:p>
    <w:p w14:paraId="4E812ECB">
      <w:pPr>
        <w:pStyle w:val="23"/>
        <w:rPr>
          <w:rFonts w:hint="eastAsia" w:ascii="宋体" w:hAnsi="宋体" w:eastAsia="宋体" w:cs="宋体"/>
          <w:b/>
          <w:bCs/>
          <w:color w:val="auto"/>
          <w:kern w:val="2"/>
          <w:sz w:val="28"/>
          <w:szCs w:val="28"/>
          <w:highlight w:val="none"/>
          <w:lang w:val="en-US" w:eastAsia="zh-CN" w:bidi="ar-SA"/>
        </w:rPr>
      </w:pPr>
    </w:p>
    <w:p w14:paraId="0399EBD8">
      <w:pPr>
        <w:pStyle w:val="24"/>
        <w:rPr>
          <w:rFonts w:hint="eastAsia" w:ascii="宋体" w:hAnsi="宋体" w:eastAsia="宋体" w:cs="宋体"/>
          <w:b/>
          <w:bCs/>
          <w:color w:val="auto"/>
          <w:kern w:val="2"/>
          <w:sz w:val="28"/>
          <w:szCs w:val="28"/>
          <w:highlight w:val="none"/>
          <w:lang w:val="en-US" w:eastAsia="zh-CN" w:bidi="ar-SA"/>
        </w:rPr>
      </w:pPr>
    </w:p>
    <w:p w14:paraId="5A28366E">
      <w:pPr>
        <w:rPr>
          <w:rFonts w:hint="eastAsia" w:ascii="宋体" w:hAnsi="宋体" w:eastAsia="宋体" w:cs="宋体"/>
          <w:b/>
          <w:bCs/>
          <w:color w:val="auto"/>
          <w:kern w:val="2"/>
          <w:sz w:val="28"/>
          <w:szCs w:val="28"/>
          <w:highlight w:val="none"/>
          <w:lang w:val="en-US" w:eastAsia="zh-CN" w:bidi="ar-SA"/>
        </w:rPr>
      </w:pPr>
    </w:p>
    <w:p w14:paraId="79B8D1E1">
      <w:pPr>
        <w:pStyle w:val="23"/>
        <w:rPr>
          <w:rFonts w:hint="eastAsia" w:ascii="宋体" w:hAnsi="宋体" w:eastAsia="宋体" w:cs="宋体"/>
          <w:b/>
          <w:bCs/>
          <w:color w:val="auto"/>
          <w:kern w:val="2"/>
          <w:sz w:val="28"/>
          <w:szCs w:val="28"/>
          <w:highlight w:val="none"/>
          <w:lang w:val="en-US" w:eastAsia="zh-CN" w:bidi="ar-SA"/>
        </w:rPr>
      </w:pPr>
    </w:p>
    <w:p w14:paraId="5E0EB126">
      <w:pPr>
        <w:pStyle w:val="24"/>
        <w:rPr>
          <w:rFonts w:hint="eastAsia" w:ascii="宋体" w:hAnsi="宋体" w:eastAsia="宋体" w:cs="宋体"/>
          <w:b/>
          <w:bCs/>
          <w:color w:val="auto"/>
          <w:kern w:val="2"/>
          <w:sz w:val="28"/>
          <w:szCs w:val="28"/>
          <w:highlight w:val="none"/>
          <w:lang w:val="en-US" w:eastAsia="zh-CN" w:bidi="ar-SA"/>
        </w:rPr>
      </w:pPr>
    </w:p>
    <w:p w14:paraId="73C76865">
      <w:pPr>
        <w:rPr>
          <w:rFonts w:hint="eastAsia"/>
          <w:color w:val="auto"/>
          <w:highlight w:val="none"/>
          <w:lang w:val="en-US" w:eastAsia="zh-CN"/>
        </w:rPr>
      </w:pPr>
    </w:p>
    <w:p w14:paraId="4B6CCBE9">
      <w:pPr>
        <w:bidi w:val="0"/>
        <w:spacing w:line="360" w:lineRule="auto"/>
        <w:ind w:left="645"/>
        <w:outlineLvl w:val="0"/>
        <w:rPr>
          <w:rFonts w:hint="eastAsia" w:ascii="宋体" w:hAnsi="宋体" w:eastAsia="宋体" w:cs="宋体"/>
          <w:color w:val="auto"/>
          <w:sz w:val="21"/>
          <w:szCs w:val="21"/>
          <w:highlight w:val="none"/>
        </w:rPr>
      </w:pPr>
    </w:p>
    <w:p w14:paraId="11C16CED">
      <w:pPr>
        <w:pStyle w:val="23"/>
        <w:bidi w:val="0"/>
        <w:ind w:firstLine="210"/>
        <w:rPr>
          <w:rFonts w:hint="eastAsia" w:ascii="宋体" w:hAnsi="宋体" w:eastAsia="宋体" w:cs="宋体"/>
          <w:color w:val="auto"/>
          <w:sz w:val="21"/>
          <w:szCs w:val="21"/>
          <w:highlight w:val="none"/>
        </w:rPr>
      </w:pPr>
    </w:p>
    <w:p w14:paraId="2B993C1F">
      <w:pPr>
        <w:pStyle w:val="24"/>
        <w:rPr>
          <w:rFonts w:hint="eastAsia" w:ascii="宋体" w:hAnsi="宋体" w:eastAsia="宋体" w:cs="宋体"/>
          <w:color w:val="auto"/>
          <w:sz w:val="21"/>
          <w:szCs w:val="21"/>
          <w:highlight w:val="none"/>
        </w:rPr>
      </w:pPr>
    </w:p>
    <w:p w14:paraId="4076FF38">
      <w:pPr>
        <w:pStyle w:val="2"/>
        <w:numPr>
          <w:ilvl w:val="0"/>
          <w:numId w:val="0"/>
        </w:numPr>
        <w:bidi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十一、反商业贿赂承诺书</w:t>
      </w:r>
    </w:p>
    <w:p w14:paraId="7998A6BD">
      <w:pPr>
        <w:rPr>
          <w:rFonts w:hint="eastAsia"/>
          <w:color w:val="auto"/>
          <w:highlight w:val="none"/>
        </w:rPr>
      </w:pPr>
    </w:p>
    <w:p w14:paraId="3DD5B178">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我方承诺：</w:t>
      </w:r>
    </w:p>
    <w:p w14:paraId="3D05BEF9">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（项目编号：  ）</w:t>
      </w:r>
      <w:r>
        <w:rPr>
          <w:rFonts w:hint="eastAsia" w:ascii="宋体" w:hAnsi="宋体" w:eastAsia="宋体" w:cs="宋体"/>
          <w:color w:val="auto"/>
          <w:sz w:val="21"/>
          <w:szCs w:val="21"/>
          <w:highlight w:val="none"/>
          <w:lang w:val="zh-CN"/>
        </w:rPr>
        <w:t>投标活动中，我方保证做到：</w:t>
      </w:r>
    </w:p>
    <w:p w14:paraId="763828E3">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一、公平竞争参加本次公开采购活动。</w:t>
      </w:r>
    </w:p>
    <w:p w14:paraId="76308216">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915D813">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三、若出现上述行为，我方及参与投标的工作人员愿意接受按照国家法律法规等有关规定给予的处罚。</w:t>
      </w:r>
    </w:p>
    <w:p w14:paraId="0682E128">
      <w:pPr>
        <w:bidi w:val="0"/>
        <w:spacing w:line="360" w:lineRule="auto"/>
        <w:ind w:left="645"/>
        <w:outlineLvl w:val="0"/>
        <w:rPr>
          <w:rFonts w:hint="eastAsia" w:ascii="宋体" w:hAnsi="宋体" w:eastAsia="宋体" w:cs="宋体"/>
          <w:color w:val="auto"/>
          <w:sz w:val="21"/>
          <w:szCs w:val="21"/>
          <w:highlight w:val="none"/>
        </w:rPr>
      </w:pPr>
    </w:p>
    <w:p w14:paraId="126A2DD5">
      <w:pPr>
        <w:bidi w:val="0"/>
        <w:spacing w:line="360" w:lineRule="auto"/>
        <w:ind w:left="645"/>
        <w:outlineLvl w:val="0"/>
        <w:rPr>
          <w:rFonts w:hint="eastAsia" w:ascii="宋体" w:hAnsi="宋体" w:eastAsia="宋体" w:cs="宋体"/>
          <w:color w:val="auto"/>
          <w:sz w:val="21"/>
          <w:szCs w:val="21"/>
          <w:highlight w:val="none"/>
        </w:rPr>
      </w:pPr>
    </w:p>
    <w:p w14:paraId="1AB79B57">
      <w:pPr>
        <w:bidi w:val="0"/>
        <w:spacing w:line="360" w:lineRule="auto"/>
        <w:ind w:left="645"/>
        <w:outlineLvl w:val="0"/>
        <w:rPr>
          <w:rFonts w:hint="eastAsia" w:ascii="宋体" w:hAnsi="宋体" w:eastAsia="宋体" w:cs="宋体"/>
          <w:color w:val="auto"/>
          <w:sz w:val="21"/>
          <w:szCs w:val="21"/>
          <w:highlight w:val="none"/>
        </w:rPr>
      </w:pPr>
    </w:p>
    <w:p w14:paraId="156B6F42">
      <w:pPr>
        <w:bidi w:val="0"/>
        <w:spacing w:line="360" w:lineRule="auto"/>
        <w:ind w:left="645"/>
        <w:outlineLvl w:val="0"/>
        <w:rPr>
          <w:rFonts w:hint="eastAsia" w:ascii="宋体" w:hAnsi="宋体" w:eastAsia="宋体" w:cs="宋体"/>
          <w:color w:val="auto"/>
          <w:sz w:val="21"/>
          <w:szCs w:val="21"/>
          <w:highlight w:val="none"/>
        </w:rPr>
      </w:pPr>
    </w:p>
    <w:p w14:paraId="215E118E">
      <w:pPr>
        <w:bidi w:val="0"/>
        <w:spacing w:line="360" w:lineRule="auto"/>
        <w:ind w:left="645"/>
        <w:outlineLvl w:val="0"/>
        <w:rPr>
          <w:rFonts w:hint="eastAsia" w:ascii="宋体" w:hAnsi="宋体" w:eastAsia="宋体" w:cs="宋体"/>
          <w:b/>
          <w:bCs/>
          <w:color w:val="auto"/>
          <w:sz w:val="21"/>
          <w:szCs w:val="21"/>
          <w:highlight w:val="none"/>
        </w:rPr>
      </w:pPr>
    </w:p>
    <w:p w14:paraId="2FCECC3B">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供应商（单位电子签章）：　</w:t>
      </w:r>
    </w:p>
    <w:p w14:paraId="4F9508C0">
      <w:pPr>
        <w:bidi w:val="0"/>
        <w:spacing w:line="360" w:lineRule="auto"/>
        <w:ind w:left="645"/>
        <w:outlineLvl w:val="0"/>
        <w:rPr>
          <w:rFonts w:hint="eastAsia" w:ascii="宋体" w:hAnsi="宋体" w:eastAsia="宋体" w:cs="宋体"/>
          <w:b/>
          <w:bCs/>
          <w:color w:val="auto"/>
          <w:sz w:val="21"/>
          <w:szCs w:val="21"/>
          <w:highlight w:val="none"/>
        </w:rPr>
      </w:pPr>
    </w:p>
    <w:p w14:paraId="7464BCC7">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法定代表人</w:t>
      </w:r>
      <w:r>
        <w:rPr>
          <w:rFonts w:hint="eastAsia" w:ascii="宋体" w:hAnsi="宋体" w:eastAsia="宋体" w:cs="宋体"/>
          <w:b/>
          <w:bCs/>
          <w:color w:val="auto"/>
          <w:sz w:val="21"/>
          <w:szCs w:val="21"/>
          <w:highlight w:val="none"/>
        </w:rPr>
        <w:t>或授权代表（电子签名或盖章）：</w:t>
      </w:r>
    </w:p>
    <w:p w14:paraId="50F15767">
      <w:pPr>
        <w:bidi w:val="0"/>
        <w:spacing w:line="360" w:lineRule="auto"/>
        <w:ind w:left="645"/>
        <w:outlineLvl w:val="0"/>
        <w:rPr>
          <w:rFonts w:hint="eastAsia" w:ascii="宋体" w:hAnsi="宋体" w:eastAsia="宋体" w:cs="宋体"/>
          <w:b/>
          <w:bCs/>
          <w:color w:val="auto"/>
          <w:sz w:val="21"/>
          <w:szCs w:val="21"/>
          <w:highlight w:val="none"/>
        </w:rPr>
      </w:pPr>
    </w:p>
    <w:p w14:paraId="4A5A2BC5">
      <w:pPr>
        <w:bidi w:val="0"/>
        <w:spacing w:line="360" w:lineRule="auto"/>
        <w:ind w:left="645"/>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日期：    年　　月　　日</w:t>
      </w:r>
    </w:p>
    <w:p w14:paraId="14D10727">
      <w:pPr>
        <w:spacing w:line="600" w:lineRule="exact"/>
        <w:rPr>
          <w:rFonts w:hint="eastAsia" w:ascii="宋体" w:hAnsi="宋体"/>
          <w:color w:val="auto"/>
          <w:szCs w:val="21"/>
          <w:highlight w:val="none"/>
        </w:rPr>
      </w:pPr>
    </w:p>
    <w:p w14:paraId="56BC3E08">
      <w:pPr>
        <w:spacing w:line="360" w:lineRule="auto"/>
        <w:jc w:val="center"/>
        <w:rPr>
          <w:rFonts w:ascii="宋体" w:hAnsi="宋体"/>
          <w:b/>
          <w:color w:val="auto"/>
          <w:szCs w:val="21"/>
          <w:highlight w:val="none"/>
        </w:rPr>
      </w:pPr>
    </w:p>
    <w:p w14:paraId="6D3BA1C8">
      <w:pPr>
        <w:pStyle w:val="9"/>
        <w:rPr>
          <w:rFonts w:hint="eastAsia" w:ascii="宋体" w:hAnsi="宋体"/>
          <w:color w:val="auto"/>
          <w:sz w:val="21"/>
          <w:szCs w:val="21"/>
          <w:highlight w:val="none"/>
          <w:lang w:eastAsia="zh-CN"/>
        </w:rPr>
      </w:pPr>
    </w:p>
    <w:p w14:paraId="619A00F9">
      <w:pPr>
        <w:pStyle w:val="21"/>
        <w:rPr>
          <w:rFonts w:hint="eastAsia" w:ascii="宋体" w:hAnsi="宋体"/>
          <w:color w:val="auto"/>
          <w:sz w:val="21"/>
          <w:szCs w:val="21"/>
          <w:highlight w:val="none"/>
          <w:lang w:eastAsia="zh-CN"/>
        </w:rPr>
      </w:pPr>
    </w:p>
    <w:p w14:paraId="599C47F2">
      <w:pPr>
        <w:rPr>
          <w:rFonts w:hint="eastAsia"/>
          <w:color w:val="auto"/>
          <w:highlight w:val="none"/>
          <w:lang w:eastAsia="zh-CN"/>
        </w:rPr>
      </w:pPr>
    </w:p>
    <w:p w14:paraId="273230C5">
      <w:pPr>
        <w:pStyle w:val="23"/>
        <w:rPr>
          <w:rFonts w:hint="eastAsia"/>
          <w:color w:val="auto"/>
          <w:highlight w:val="none"/>
          <w:lang w:eastAsia="zh-CN"/>
        </w:rPr>
      </w:pPr>
    </w:p>
    <w:p w14:paraId="4C52C710">
      <w:pPr>
        <w:pStyle w:val="2"/>
        <w:numPr>
          <w:ilvl w:val="0"/>
          <w:numId w:val="0"/>
        </w:numPr>
        <w:bidi w:val="0"/>
        <w:ind w:firstLine="562" w:firstLineChars="20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十二、其他材料</w:t>
      </w:r>
    </w:p>
    <w:p w14:paraId="75313D3E">
      <w:pPr>
        <w:bidi w:val="0"/>
        <w:spacing w:line="360" w:lineRule="auto"/>
        <w:jc w:val="center"/>
        <w:rPr>
          <w:rFonts w:hint="eastAsia" w:ascii="宋体" w:hAnsi="宋体" w:eastAsia="宋体" w:cs="宋体"/>
          <w:b/>
          <w:color w:val="auto"/>
          <w:sz w:val="21"/>
          <w:szCs w:val="21"/>
          <w:highlight w:val="none"/>
          <w:lang w:val="en-US" w:eastAsia="zh-CN"/>
        </w:rPr>
      </w:pPr>
    </w:p>
    <w:p w14:paraId="4C34D456">
      <w:pPr>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1、采购代理服务费承诺函</w:t>
      </w:r>
    </w:p>
    <w:p w14:paraId="1C7CB497">
      <w:pPr>
        <w:pStyle w:val="22"/>
        <w:shd w:val="clear" w:color="auto" w:fill="FFFFFF"/>
        <w:bidi w:val="0"/>
        <w:spacing w:before="0" w:beforeLines="0" w:beforeAutospacing="0" w:after="0" w:afterLines="0" w:afterAutospacing="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2485274B">
      <w:pPr>
        <w:pStyle w:val="22"/>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ascii="宋体" w:hAnsi="宋体" w:eastAsia="宋体" w:cs="宋体"/>
          <w:color w:val="auto"/>
          <w:spacing w:val="8"/>
          <w:sz w:val="21"/>
          <w:szCs w:val="21"/>
          <w:highlight w:val="none"/>
          <w:u w:val="single"/>
          <w:shd w:val="clear" w:color="auto" w:fill="FFFFFF"/>
        </w:rPr>
        <w:t>（采购人及采购代理机构） </w:t>
      </w:r>
      <w:r>
        <w:rPr>
          <w:rFonts w:hint="eastAsia" w:ascii="宋体" w:hAnsi="宋体" w:eastAsia="宋体" w:cs="宋体"/>
          <w:color w:val="auto"/>
          <w:spacing w:val="8"/>
          <w:sz w:val="21"/>
          <w:szCs w:val="21"/>
          <w:highlight w:val="none"/>
          <w:shd w:val="clear" w:color="auto" w:fill="FFFFFF"/>
        </w:rPr>
        <w:t>：</w:t>
      </w:r>
    </w:p>
    <w:p w14:paraId="31DB369C">
      <w:pPr>
        <w:pStyle w:val="22"/>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，采购编号：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）招标采购中若获中标（成交），我们保证在中标</w:t>
      </w:r>
      <w:r>
        <w:rPr>
          <w:rFonts w:hint="eastAsia" w:eastAsia="宋体"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highlight w:val="none"/>
          <w:shd w:val="clear" w:color="auto" w:fill="FFFFFF"/>
          <w:lang w:eastAsia="zh-CN"/>
        </w:rPr>
        <w:t>采购代理</w:t>
      </w:r>
      <w:r>
        <w:rPr>
          <w:rFonts w:hint="eastAsia" w:ascii="宋体" w:hAnsi="宋体" w:eastAsia="宋体" w:cs="宋体"/>
          <w:color w:val="auto"/>
          <w:spacing w:val="8"/>
          <w:sz w:val="21"/>
          <w:szCs w:val="21"/>
          <w:highlight w:val="none"/>
          <w:shd w:val="clear" w:color="auto" w:fill="FFFFFF"/>
        </w:rPr>
        <w:t>服务费用。否则，由此产生的一切法律后果和责任由我公司承担。我公司声明放弃对此提出任何异议和追索的权利。</w:t>
      </w:r>
    </w:p>
    <w:p w14:paraId="35BB7FDC">
      <w:pPr>
        <w:pStyle w:val="22"/>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736A9961">
      <w:pPr>
        <w:pStyle w:val="22"/>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0DCE8BB">
      <w:pPr>
        <w:pStyle w:val="22"/>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59A9BC0">
      <w:pPr>
        <w:pStyle w:val="22"/>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供应商名称：</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（单位电子签章）</w:t>
      </w:r>
    </w:p>
    <w:p w14:paraId="21A063AC">
      <w:pPr>
        <w:pStyle w:val="22"/>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法定代表人或授权代表：</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（电子签名或盖章）</w:t>
      </w:r>
    </w:p>
    <w:p w14:paraId="48821CDB">
      <w:pPr>
        <w:pStyle w:val="22"/>
        <w:shd w:val="clear" w:color="auto" w:fill="FFFFFF"/>
        <w:bidi w:val="0"/>
        <w:spacing w:before="0" w:beforeLines="0" w:beforeAutospacing="0" w:after="0" w:afterLines="0" w:afterAutospacing="0" w:line="360" w:lineRule="auto"/>
        <w:ind w:firstLine="480"/>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日期：</w:t>
      </w:r>
      <w:r>
        <w:rPr>
          <w:rFonts w:hint="eastAsia" w:ascii="宋体" w:hAnsi="宋体" w:eastAsia="宋体" w:cs="宋体"/>
          <w:b/>
          <w:bCs/>
          <w:color w:val="auto"/>
          <w:spacing w:val="8"/>
          <w:sz w:val="21"/>
          <w:szCs w:val="21"/>
          <w:highlight w:val="none"/>
          <w:u w:val="single"/>
          <w:shd w:val="clear" w:color="auto" w:fill="FFFFFF"/>
        </w:rPr>
        <w:t>              </w:t>
      </w:r>
    </w:p>
    <w:p w14:paraId="3C9B72D9">
      <w:pPr>
        <w:pStyle w:val="22"/>
        <w:shd w:val="clear" w:color="auto" w:fill="FFFFFF"/>
        <w:bidi w:val="0"/>
        <w:spacing w:before="0" w:beforeLines="0" w:beforeAutospacing="0" w:after="0" w:afterLines="0" w:afterAutospacing="0" w:line="360" w:lineRule="auto"/>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 </w:t>
      </w:r>
    </w:p>
    <w:p w14:paraId="38846BE1">
      <w:pPr>
        <w:bidi w:val="0"/>
        <w:rPr>
          <w:rFonts w:hint="eastAsia" w:ascii="宋体" w:hAnsi="宋体" w:eastAsia="宋体" w:cs="宋体"/>
          <w:color w:val="auto"/>
          <w:sz w:val="21"/>
          <w:szCs w:val="21"/>
          <w:highlight w:val="none"/>
        </w:rPr>
      </w:pPr>
    </w:p>
    <w:p w14:paraId="2F8A0E76">
      <w:pPr>
        <w:bidi w:val="0"/>
        <w:spacing w:line="360" w:lineRule="auto"/>
        <w:jc w:val="center"/>
        <w:rPr>
          <w:rFonts w:hint="eastAsia" w:ascii="宋体" w:hAnsi="宋体" w:eastAsia="宋体" w:cs="宋体"/>
          <w:color w:val="auto"/>
          <w:sz w:val="21"/>
          <w:szCs w:val="21"/>
          <w:highlight w:val="none"/>
        </w:rPr>
      </w:pPr>
    </w:p>
    <w:p w14:paraId="1AA49F35">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、供应商认为需要的</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资料</w:t>
      </w:r>
    </w:p>
    <w:p w14:paraId="4E824F47">
      <w:pPr>
        <w:bidi w:val="0"/>
        <w:jc w:val="center"/>
        <w:rPr>
          <w:rFonts w:hint="eastAsia" w:ascii="宋体" w:hAnsi="宋体" w:eastAsia="宋体" w:cs="宋体"/>
          <w:b/>
          <w:bCs/>
          <w:color w:val="auto"/>
          <w:sz w:val="21"/>
          <w:szCs w:val="21"/>
          <w:highlight w:val="none"/>
          <w:lang w:val="en-US" w:eastAsia="zh-CN"/>
        </w:rPr>
      </w:pPr>
    </w:p>
    <w:p w14:paraId="164E5623">
      <w:pPr>
        <w:jc w:val="center"/>
        <w:rPr>
          <w:rFonts w:hint="eastAsia" w:ascii="宋体" w:hAnsi="宋体" w:eastAsia="宋体" w:cs="宋体"/>
          <w:b/>
          <w:bCs/>
          <w:color w:val="auto"/>
          <w:sz w:val="21"/>
          <w:szCs w:val="21"/>
          <w:highlight w:val="none"/>
          <w:lang w:val="en-US" w:eastAsia="zh-CN"/>
        </w:rPr>
      </w:pPr>
    </w:p>
    <w:p w14:paraId="67D085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供应商认为需要的</w:t>
      </w:r>
      <w:r>
        <w:rPr>
          <w:rFonts w:hint="eastAsia" w:ascii="宋体" w:hAnsi="宋体" w:eastAsia="宋体" w:cs="宋体"/>
          <w:b w:val="0"/>
          <w:bCs w:val="0"/>
          <w:color w:val="auto"/>
          <w:sz w:val="21"/>
          <w:szCs w:val="21"/>
          <w:highlight w:val="none"/>
          <w:lang w:eastAsia="zh-CN"/>
        </w:rPr>
        <w:t>其他</w:t>
      </w:r>
      <w:r>
        <w:rPr>
          <w:rFonts w:hint="eastAsia" w:ascii="宋体" w:hAnsi="宋体" w:eastAsia="宋体" w:cs="宋体"/>
          <w:b w:val="0"/>
          <w:bCs w:val="0"/>
          <w:color w:val="auto"/>
          <w:sz w:val="21"/>
          <w:szCs w:val="21"/>
          <w:highlight w:val="none"/>
        </w:rPr>
        <w:t>资料</w:t>
      </w:r>
      <w:r>
        <w:rPr>
          <w:rFonts w:hint="eastAsia" w:ascii="宋体" w:hAnsi="宋体" w:eastAsia="宋体" w:cs="宋体"/>
          <w:b w:val="0"/>
          <w:bCs w:val="0"/>
          <w:color w:val="auto"/>
          <w:sz w:val="21"/>
          <w:szCs w:val="21"/>
          <w:highlight w:val="none"/>
          <w:lang w:val="en-US" w:eastAsia="zh-CN"/>
        </w:rPr>
        <w:t>）</w:t>
      </w:r>
    </w:p>
    <w:p w14:paraId="05C7897D">
      <w:pPr>
        <w:jc w:val="center"/>
        <w:rPr>
          <w:rFonts w:hint="eastAsia" w:ascii="宋体" w:hAnsi="宋体" w:eastAsia="宋体" w:cs="宋体"/>
          <w:b w:val="0"/>
          <w:bCs w:val="0"/>
          <w:color w:val="auto"/>
          <w:sz w:val="21"/>
          <w:szCs w:val="21"/>
          <w:highlight w:val="none"/>
          <w:lang w:val="en-US" w:eastAsia="zh-CN"/>
        </w:rPr>
      </w:pPr>
    </w:p>
    <w:p w14:paraId="3A433F8F">
      <w:pPr>
        <w:pStyle w:val="23"/>
        <w:rPr>
          <w:rFonts w:hint="eastAsia" w:ascii="宋体" w:hAnsi="宋体" w:eastAsia="宋体" w:cs="宋体"/>
          <w:b/>
          <w:bCs/>
          <w:color w:val="auto"/>
          <w:sz w:val="21"/>
          <w:szCs w:val="21"/>
          <w:highlight w:val="none"/>
          <w:lang w:val="en-US" w:eastAsia="zh-CN"/>
        </w:rPr>
      </w:pPr>
    </w:p>
    <w:p w14:paraId="67C68D8F">
      <w:pPr>
        <w:pStyle w:val="24"/>
        <w:tabs>
          <w:tab w:val="left" w:pos="945"/>
          <w:tab w:val="left" w:pos="1155"/>
        </w:tabs>
        <w:rPr>
          <w:rFonts w:hint="eastAsia" w:ascii="宋体" w:hAnsi="宋体" w:eastAsia="宋体" w:cs="宋体"/>
          <w:b/>
          <w:bCs/>
          <w:color w:val="auto"/>
          <w:sz w:val="21"/>
          <w:szCs w:val="21"/>
          <w:highlight w:val="none"/>
          <w:lang w:val="en-US" w:eastAsia="zh-CN"/>
        </w:rPr>
      </w:pPr>
    </w:p>
    <w:p w14:paraId="60DE7502">
      <w:pPr>
        <w:rPr>
          <w:rFonts w:hint="eastAsia" w:ascii="宋体" w:hAnsi="宋体" w:eastAsia="宋体" w:cs="宋体"/>
          <w:b/>
          <w:bCs/>
          <w:color w:val="auto"/>
          <w:sz w:val="21"/>
          <w:szCs w:val="21"/>
          <w:highlight w:val="none"/>
          <w:lang w:val="en-US" w:eastAsia="zh-CN"/>
        </w:rPr>
      </w:pPr>
    </w:p>
    <w:p w14:paraId="7360E93C">
      <w:pPr>
        <w:pStyle w:val="23"/>
        <w:rPr>
          <w:rFonts w:hint="eastAsia" w:ascii="宋体" w:hAnsi="宋体" w:eastAsia="宋体" w:cs="宋体"/>
          <w:b/>
          <w:bCs/>
          <w:color w:val="auto"/>
          <w:sz w:val="21"/>
          <w:szCs w:val="21"/>
          <w:highlight w:val="none"/>
          <w:lang w:val="en-US" w:eastAsia="zh-CN"/>
        </w:rPr>
      </w:pPr>
    </w:p>
    <w:p w14:paraId="55484DE9">
      <w:pPr>
        <w:pStyle w:val="24"/>
        <w:tabs>
          <w:tab w:val="left" w:pos="945"/>
          <w:tab w:val="left" w:pos="1155"/>
        </w:tabs>
        <w:rPr>
          <w:rFonts w:hint="eastAsia" w:ascii="宋体" w:hAnsi="宋体" w:eastAsia="宋体" w:cs="宋体"/>
          <w:b/>
          <w:bCs/>
          <w:color w:val="auto"/>
          <w:sz w:val="21"/>
          <w:szCs w:val="21"/>
          <w:highlight w:val="none"/>
          <w:lang w:val="en-US" w:eastAsia="zh-CN"/>
        </w:rPr>
      </w:pPr>
    </w:p>
    <w:p w14:paraId="0B2950E5">
      <w:pPr>
        <w:rPr>
          <w:rFonts w:hint="eastAsia" w:ascii="宋体" w:hAnsi="宋体" w:eastAsia="宋体" w:cs="宋体"/>
          <w:b/>
          <w:bCs/>
          <w:color w:val="auto"/>
          <w:sz w:val="21"/>
          <w:szCs w:val="21"/>
          <w:highlight w:val="none"/>
          <w:lang w:val="en-US" w:eastAsia="zh-CN"/>
        </w:rPr>
      </w:pPr>
    </w:p>
    <w:p w14:paraId="5643B53D">
      <w:pPr>
        <w:pStyle w:val="23"/>
        <w:rPr>
          <w:rFonts w:hint="eastAsia" w:ascii="宋体" w:hAnsi="宋体" w:eastAsia="宋体" w:cs="宋体"/>
          <w:b/>
          <w:bCs/>
          <w:color w:val="auto"/>
          <w:sz w:val="21"/>
          <w:szCs w:val="21"/>
          <w:highlight w:val="none"/>
          <w:lang w:val="en-US" w:eastAsia="zh-CN"/>
        </w:rPr>
      </w:pPr>
    </w:p>
    <w:p w14:paraId="1588CE14">
      <w:pPr>
        <w:pStyle w:val="24"/>
        <w:tabs>
          <w:tab w:val="left" w:pos="945"/>
          <w:tab w:val="left" w:pos="1155"/>
        </w:tabs>
        <w:rPr>
          <w:rFonts w:hint="eastAsia" w:ascii="宋体" w:hAnsi="宋体" w:eastAsia="宋体" w:cs="宋体"/>
          <w:b/>
          <w:bCs/>
          <w:color w:val="auto"/>
          <w:sz w:val="21"/>
          <w:szCs w:val="21"/>
          <w:highlight w:val="none"/>
          <w:lang w:val="en-US" w:eastAsia="zh-CN"/>
        </w:rPr>
      </w:pPr>
    </w:p>
    <w:p w14:paraId="086B389D">
      <w:pPr>
        <w:rPr>
          <w:rFonts w:hint="eastAsia" w:ascii="宋体" w:hAnsi="宋体" w:eastAsia="宋体" w:cs="宋体"/>
          <w:b/>
          <w:bCs/>
          <w:color w:val="auto"/>
          <w:sz w:val="21"/>
          <w:szCs w:val="21"/>
          <w:highlight w:val="none"/>
          <w:lang w:val="en-US" w:eastAsia="zh-CN"/>
        </w:rPr>
      </w:pPr>
    </w:p>
    <w:p w14:paraId="7ECEF540">
      <w:pPr>
        <w:pStyle w:val="23"/>
        <w:rPr>
          <w:rFonts w:hint="eastAsia" w:ascii="宋体" w:hAnsi="宋体" w:eastAsia="宋体" w:cs="宋体"/>
          <w:b/>
          <w:bCs/>
          <w:color w:val="auto"/>
          <w:sz w:val="21"/>
          <w:szCs w:val="21"/>
          <w:highlight w:val="none"/>
          <w:lang w:val="en-US" w:eastAsia="zh-CN"/>
        </w:rPr>
      </w:pPr>
    </w:p>
    <w:p w14:paraId="0190A064">
      <w:pPr>
        <w:pStyle w:val="24"/>
        <w:tabs>
          <w:tab w:val="left" w:pos="945"/>
          <w:tab w:val="left" w:pos="1155"/>
        </w:tabs>
        <w:rPr>
          <w:rFonts w:hint="eastAsia" w:ascii="宋体" w:hAnsi="宋体" w:eastAsia="宋体" w:cs="宋体"/>
          <w:b/>
          <w:bCs/>
          <w:color w:val="auto"/>
          <w:sz w:val="21"/>
          <w:szCs w:val="21"/>
          <w:highlight w:val="none"/>
          <w:lang w:val="en-US" w:eastAsia="zh-CN"/>
        </w:rPr>
      </w:pPr>
    </w:p>
    <w:p w14:paraId="1C4328D4">
      <w:pPr>
        <w:rPr>
          <w:rFonts w:hint="eastAsia" w:ascii="宋体" w:hAnsi="宋体" w:eastAsia="宋体" w:cs="宋体"/>
          <w:b/>
          <w:bCs/>
          <w:color w:val="auto"/>
          <w:sz w:val="21"/>
          <w:szCs w:val="21"/>
          <w:highlight w:val="none"/>
          <w:lang w:val="en-US" w:eastAsia="zh-CN"/>
        </w:rPr>
      </w:pPr>
    </w:p>
    <w:p w14:paraId="2868F6AA">
      <w:pPr>
        <w:pStyle w:val="23"/>
        <w:rPr>
          <w:rFonts w:hint="eastAsia" w:ascii="宋体" w:hAnsi="宋体" w:eastAsia="宋体" w:cs="宋体"/>
          <w:b/>
          <w:bCs/>
          <w:color w:val="auto"/>
          <w:sz w:val="21"/>
          <w:szCs w:val="21"/>
          <w:highlight w:val="none"/>
          <w:lang w:val="en-US" w:eastAsia="zh-CN"/>
        </w:rPr>
      </w:pPr>
    </w:p>
    <w:p w14:paraId="390E6481">
      <w:pPr>
        <w:pStyle w:val="24"/>
        <w:tabs>
          <w:tab w:val="left" w:pos="945"/>
          <w:tab w:val="left" w:pos="1155"/>
        </w:tabs>
        <w:rPr>
          <w:rFonts w:hint="eastAsia" w:ascii="宋体" w:hAnsi="宋体" w:eastAsia="宋体" w:cs="宋体"/>
          <w:b/>
          <w:bCs/>
          <w:color w:val="auto"/>
          <w:sz w:val="21"/>
          <w:szCs w:val="21"/>
          <w:highlight w:val="none"/>
          <w:lang w:val="en-US" w:eastAsia="zh-CN"/>
        </w:rPr>
      </w:pPr>
    </w:p>
    <w:p w14:paraId="510EEC6B">
      <w:pPr>
        <w:rPr>
          <w:rFonts w:hint="eastAsia" w:ascii="宋体" w:hAnsi="宋体" w:eastAsia="宋体" w:cs="宋体"/>
          <w:b/>
          <w:bCs/>
          <w:color w:val="auto"/>
          <w:sz w:val="21"/>
          <w:szCs w:val="21"/>
          <w:highlight w:val="none"/>
          <w:lang w:val="en-US" w:eastAsia="zh-CN"/>
        </w:rPr>
      </w:pPr>
    </w:p>
    <w:p w14:paraId="0B156806">
      <w:pPr>
        <w:ind w:left="0" w:leftChars="0" w:firstLine="0" w:firstLineChars="0"/>
        <w:jc w:val="both"/>
        <w:rPr>
          <w:rFonts w:hint="eastAsia" w:ascii="宋体" w:hAnsi="宋体" w:eastAsia="宋体" w:cs="宋体"/>
          <w:b/>
          <w:bCs/>
          <w:color w:val="auto"/>
          <w:sz w:val="21"/>
          <w:szCs w:val="21"/>
          <w:highlight w:val="none"/>
          <w:lang w:val="en-US" w:eastAsia="zh-CN"/>
        </w:rPr>
      </w:pPr>
    </w:p>
    <w:p w14:paraId="531DF8EC">
      <w:pPr>
        <w:jc w:val="center"/>
        <w:rPr>
          <w:rFonts w:hint="eastAsia" w:ascii="宋体" w:hAnsi="宋体" w:eastAsia="宋体" w:cs="宋体"/>
          <w:b/>
          <w:bCs/>
          <w:color w:val="auto"/>
          <w:sz w:val="21"/>
          <w:szCs w:val="21"/>
          <w:highlight w:val="none"/>
          <w:lang w:val="en-US" w:eastAsia="zh-CN"/>
        </w:rPr>
      </w:pPr>
    </w:p>
    <w:p w14:paraId="57F0BC98">
      <w:pPr>
        <w:jc w:val="center"/>
        <w:rPr>
          <w:rFonts w:hint="eastAsia" w:ascii="宋体" w:hAnsi="宋体" w:eastAsia="宋体" w:cs="宋体"/>
          <w:b/>
          <w:color w:val="auto"/>
          <w:sz w:val="21"/>
          <w:szCs w:val="21"/>
          <w:highlight w:val="none"/>
        </w:rPr>
      </w:pPr>
    </w:p>
    <w:p w14:paraId="037642D0">
      <w:pPr>
        <w:jc w:val="center"/>
        <w:rPr>
          <w:rFonts w:hint="default" w:ascii="Calibri" w:hAnsi="Calibri" w:eastAsia="仿宋" w:cs="Calibri"/>
          <w:color w:val="auto"/>
          <w:sz w:val="21"/>
          <w:szCs w:val="21"/>
          <w:highlight w:val="none"/>
        </w:rPr>
      </w:pPr>
      <w:r>
        <w:rPr>
          <w:rFonts w:hint="eastAsia" w:ascii="宋体" w:hAnsi="宋体" w:eastAsia="宋体" w:cs="宋体"/>
          <w:b/>
          <w:color w:val="auto"/>
          <w:sz w:val="21"/>
          <w:szCs w:val="21"/>
          <w:highlight w:val="none"/>
        </w:rPr>
        <w:t>河南省政府采购合同融资政策告知函</w:t>
      </w:r>
    </w:p>
    <w:p w14:paraId="119A4EA6">
      <w:pPr>
        <w:spacing w:line="48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各供应商：</w:t>
      </w:r>
    </w:p>
    <w:p w14:paraId="60C4B398">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欢迎贵公司参与河南省政府采购活动！</w:t>
      </w:r>
    </w:p>
    <w:p w14:paraId="5BE3B5E1">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382854E">
      <w:pPr>
        <w:spacing w:line="48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贷款渠道和提供贷款的金融机构，可在河南省政府采购网“河南省政府采购合同融资平台”查询联系。政策解读网址：http://www.hngp.gov.cn/henan/content?infoId=1601449567470800&amp;channelCode=H6016</w:t>
      </w:r>
    </w:p>
    <w:p w14:paraId="327EE862">
      <w:pPr>
        <w:pStyle w:val="22"/>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rPr>
      </w:pPr>
    </w:p>
    <w:p w14:paraId="253C67E0">
      <w:pPr>
        <w:pStyle w:val="22"/>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rPr>
      </w:pPr>
    </w:p>
    <w:p w14:paraId="3B9FE18A">
      <w:pPr>
        <w:pStyle w:val="22"/>
        <w:shd w:val="clear" w:color="070000" w:fill="FFFFFF"/>
        <w:spacing w:before="0" w:beforeAutospacing="0" w:after="0" w:afterAutospacing="0" w:line="360" w:lineRule="auto"/>
        <w:jc w:val="both"/>
        <w:rPr>
          <w:rFonts w:hint="eastAsia" w:ascii="宋体" w:hAnsi="宋体" w:eastAsia="宋体" w:cs="宋体"/>
          <w:color w:val="auto"/>
          <w:spacing w:val="8"/>
          <w:sz w:val="21"/>
          <w:szCs w:val="21"/>
          <w:highlight w:val="none"/>
          <w:shd w:val="clear" w:color="080000" w:fill="FFFFFF"/>
          <w:lang w:eastAsia="zh-CN"/>
        </w:rPr>
      </w:pPr>
      <w:r>
        <w:rPr>
          <w:rFonts w:hint="eastAsia" w:ascii="宋体" w:hAnsi="宋体" w:eastAsia="宋体" w:cs="宋体"/>
          <w:color w:val="auto"/>
          <w:spacing w:val="8"/>
          <w:sz w:val="21"/>
          <w:szCs w:val="21"/>
          <w:highlight w:val="none"/>
          <w:shd w:val="clear" w:color="080000" w:fill="FFFFFF"/>
          <w:lang w:eastAsia="zh-CN"/>
        </w:rPr>
        <w:t>注：此项仅为告知，无须附到响应文件中。</w:t>
      </w:r>
    </w:p>
    <w:p w14:paraId="387A46CF">
      <w:pPr>
        <w:ind w:left="0" w:leftChars="0" w:firstLine="0" w:firstLineChars="0"/>
        <w:rPr>
          <w:rFonts w:hint="eastAsia"/>
          <w:color w:val="auto"/>
          <w:highlight w:val="none"/>
        </w:rPr>
      </w:pPr>
    </w:p>
    <w:p w14:paraId="669254D1">
      <w:pPr>
        <w:rPr>
          <w:color w:val="auto"/>
          <w:highlight w:val="none"/>
        </w:rPr>
      </w:pPr>
    </w:p>
    <w:p w14:paraId="64F377B6">
      <w:pPr>
        <w:rPr>
          <w:color w:val="auto"/>
          <w:highlight w:val="none"/>
        </w:rPr>
      </w:pPr>
    </w:p>
    <w:sectPr>
      <w:headerReference r:id="rId9" w:type="default"/>
      <w:footerReference r:id="rId10" w:type="default"/>
      <w:pgSz w:w="11906" w:h="16838"/>
      <w:pgMar w:top="1440" w:right="1080" w:bottom="1440" w:left="1080" w:header="90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83EE4">
    <w:pPr>
      <w:pStyle w:val="15"/>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CEB3">
    <w:pPr>
      <w:pStyle w:val="15"/>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DC863">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DC863">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1F1D68">
                          <w:pPr>
                            <w:pStyle w:val="1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B1F1D68">
                    <w:pPr>
                      <w:pStyle w:val="15"/>
                    </w:pP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CB80">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11F42">
                          <w:pPr>
                            <w:pStyle w:val="15"/>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311F42">
                    <w:pPr>
                      <w:pStyle w:val="15"/>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C537">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914B">
    <w:pPr>
      <w:pBdr>
        <w:bottom w:val="none" w:color="auto" w:sz="0" w:space="0"/>
      </w:pBdr>
      <w:ind w:left="0" w:leftChars="0" w:firstLine="0" w:firstLineChars="0"/>
      <w:jc w:val="right"/>
      <w:rPr>
        <w:rFonts w:hint="eastAsia" w:ascii="宋体" w:hAnsi="宋体" w:eastAsia="宋体"/>
        <w:sz w:val="15"/>
        <w:szCs w:val="15"/>
        <w:lang w:val="en-US" w:eastAsia="zh-CN"/>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902C">
    <w:pPr>
      <w:pStyle w:val="17"/>
      <w:pBdr>
        <w:bottom w:val="thinThickSmallGap" w:color="auto" w:sz="12" w:space="1"/>
      </w:pBdr>
      <w:ind w:left="0" w:leftChars="0" w:firstLine="0" w:firstLineChars="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3C953"/>
    <w:multiLevelType w:val="singleLevel"/>
    <w:tmpl w:val="8BD3C953"/>
    <w:lvl w:ilvl="0" w:tentative="0">
      <w:start w:val="1"/>
      <w:numFmt w:val="decimal"/>
      <w:suff w:val="nothing"/>
      <w:lvlText w:val="%1、"/>
      <w:lvlJc w:val="left"/>
    </w:lvl>
  </w:abstractNum>
  <w:abstractNum w:abstractNumId="1">
    <w:nsid w:val="A9905057"/>
    <w:multiLevelType w:val="singleLevel"/>
    <w:tmpl w:val="A9905057"/>
    <w:lvl w:ilvl="0" w:tentative="0">
      <w:start w:val="2"/>
      <w:numFmt w:val="chineseCounting"/>
      <w:suff w:val="space"/>
      <w:lvlText w:val="第%1章"/>
      <w:lvlJc w:val="left"/>
      <w:rPr>
        <w:rFonts w:hint="eastAsia"/>
      </w:r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C8EB662E"/>
    <w:multiLevelType w:val="singleLevel"/>
    <w:tmpl w:val="C8EB662E"/>
    <w:lvl w:ilvl="0" w:tentative="0">
      <w:start w:val="6"/>
      <w:numFmt w:val="decimal"/>
      <w:suff w:val="nothing"/>
      <w:lvlText w:val="%1、"/>
      <w:lvlJc w:val="left"/>
    </w:lvl>
  </w:abstractNum>
  <w:abstractNum w:abstractNumId="4">
    <w:nsid w:val="010A5DCE"/>
    <w:multiLevelType w:val="singleLevel"/>
    <w:tmpl w:val="010A5DCE"/>
    <w:lvl w:ilvl="0" w:tentative="0">
      <w:start w:val="3"/>
      <w:numFmt w:val="decimal"/>
      <w:suff w:val="nothing"/>
      <w:lvlText w:val="%1、"/>
      <w:lvlJc w:val="left"/>
    </w:lvl>
  </w:abstractNum>
  <w:abstractNum w:abstractNumId="5">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B36D0F7"/>
    <w:multiLevelType w:val="singleLevel"/>
    <w:tmpl w:val="3B36D0F7"/>
    <w:lvl w:ilvl="0" w:tentative="0">
      <w:start w:val="2"/>
      <w:numFmt w:val="decimal"/>
      <w:lvlText w:val="%1."/>
      <w:lvlJc w:val="left"/>
      <w:pPr>
        <w:tabs>
          <w:tab w:val="left" w:pos="312"/>
        </w:tabs>
      </w:pPr>
    </w:lvl>
  </w:abstractNum>
  <w:abstractNum w:abstractNumId="8">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9">
    <w:nsid w:val="62C25926"/>
    <w:multiLevelType w:val="singleLevel"/>
    <w:tmpl w:val="62C25926"/>
    <w:lvl w:ilvl="0" w:tentative="0">
      <w:start w:val="5"/>
      <w:numFmt w:val="chineseCounting"/>
      <w:suff w:val="space"/>
      <w:lvlText w:val="第%1章"/>
      <w:lvlJc w:val="left"/>
      <w:pPr>
        <w:ind w:left="1115"/>
      </w:pPr>
      <w:rPr>
        <w:rFonts w:hint="eastAsia"/>
      </w:rPr>
    </w:lvl>
  </w:abstractNum>
  <w:abstractNum w:abstractNumId="10">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1A7290"/>
    <w:multiLevelType w:val="singleLevel"/>
    <w:tmpl w:val="711A7290"/>
    <w:lvl w:ilvl="0" w:tentative="0">
      <w:start w:val="9"/>
      <w:numFmt w:val="chineseCounting"/>
      <w:suff w:val="nothing"/>
      <w:lvlText w:val="%1、"/>
      <w:lvlJc w:val="left"/>
      <w:rPr>
        <w:rFonts w:hint="eastAsia"/>
      </w:rPr>
    </w:lvl>
  </w:abstractNum>
  <w:num w:numId="1">
    <w:abstractNumId w:val="11"/>
  </w:num>
  <w:num w:numId="2">
    <w:abstractNumId w:val="3"/>
  </w:num>
  <w:num w:numId="3">
    <w:abstractNumId w:val="4"/>
  </w:num>
  <w:num w:numId="4">
    <w:abstractNumId w:val="1"/>
  </w:num>
  <w:num w:numId="5">
    <w:abstractNumId w:val="7"/>
  </w:num>
  <w:num w:numId="6">
    <w:abstractNumId w:val="0"/>
  </w:num>
  <w:num w:numId="7">
    <w:abstractNumId w:val="6"/>
  </w:num>
  <w:num w:numId="8">
    <w:abstractNumId w:val="9"/>
  </w:num>
  <w:num w:numId="9">
    <w:abstractNumId w:val="5"/>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16285726"/>
    <w:rsid w:val="000C3DA7"/>
    <w:rsid w:val="00A64DA2"/>
    <w:rsid w:val="00C025D1"/>
    <w:rsid w:val="00D01278"/>
    <w:rsid w:val="00DB2F6B"/>
    <w:rsid w:val="00FA00A3"/>
    <w:rsid w:val="012E65AF"/>
    <w:rsid w:val="013435B5"/>
    <w:rsid w:val="014A102B"/>
    <w:rsid w:val="01891B53"/>
    <w:rsid w:val="01A051F3"/>
    <w:rsid w:val="01DF58FF"/>
    <w:rsid w:val="02252BAB"/>
    <w:rsid w:val="022E26FA"/>
    <w:rsid w:val="024A0BB7"/>
    <w:rsid w:val="02543868"/>
    <w:rsid w:val="025A704C"/>
    <w:rsid w:val="02963DFC"/>
    <w:rsid w:val="02BC7D06"/>
    <w:rsid w:val="030E7E36"/>
    <w:rsid w:val="03123DCA"/>
    <w:rsid w:val="0355302B"/>
    <w:rsid w:val="036F3C68"/>
    <w:rsid w:val="038D1CCC"/>
    <w:rsid w:val="03A367D0"/>
    <w:rsid w:val="03F1339B"/>
    <w:rsid w:val="0422003D"/>
    <w:rsid w:val="04493D40"/>
    <w:rsid w:val="04DE21B6"/>
    <w:rsid w:val="04F96FF0"/>
    <w:rsid w:val="04FC43EA"/>
    <w:rsid w:val="05080FE1"/>
    <w:rsid w:val="050F6813"/>
    <w:rsid w:val="0517535C"/>
    <w:rsid w:val="05187DBC"/>
    <w:rsid w:val="052F1620"/>
    <w:rsid w:val="05465FAD"/>
    <w:rsid w:val="054B552D"/>
    <w:rsid w:val="05852631"/>
    <w:rsid w:val="059A3C03"/>
    <w:rsid w:val="05A607FA"/>
    <w:rsid w:val="05A76A4C"/>
    <w:rsid w:val="05E51322"/>
    <w:rsid w:val="05F4705E"/>
    <w:rsid w:val="05FB6D97"/>
    <w:rsid w:val="06096430"/>
    <w:rsid w:val="0644429B"/>
    <w:rsid w:val="064A73D7"/>
    <w:rsid w:val="06677F89"/>
    <w:rsid w:val="068C79F0"/>
    <w:rsid w:val="06AA444A"/>
    <w:rsid w:val="06B84C89"/>
    <w:rsid w:val="06E069CA"/>
    <w:rsid w:val="06F2148C"/>
    <w:rsid w:val="06F35CC1"/>
    <w:rsid w:val="06FA0DFD"/>
    <w:rsid w:val="072C3BA8"/>
    <w:rsid w:val="07BE007D"/>
    <w:rsid w:val="080C0DE8"/>
    <w:rsid w:val="08545C3E"/>
    <w:rsid w:val="08AF79C5"/>
    <w:rsid w:val="08CA47FF"/>
    <w:rsid w:val="091B505B"/>
    <w:rsid w:val="09284A19"/>
    <w:rsid w:val="095E38C5"/>
    <w:rsid w:val="09646330"/>
    <w:rsid w:val="098470A4"/>
    <w:rsid w:val="09F1642F"/>
    <w:rsid w:val="09FE0C04"/>
    <w:rsid w:val="0A053D41"/>
    <w:rsid w:val="0A426D43"/>
    <w:rsid w:val="0A854E82"/>
    <w:rsid w:val="0AB17A25"/>
    <w:rsid w:val="0ACB4F8A"/>
    <w:rsid w:val="0AD55E09"/>
    <w:rsid w:val="0AEC6CAF"/>
    <w:rsid w:val="0B042D6D"/>
    <w:rsid w:val="0B111DBA"/>
    <w:rsid w:val="0B163D2C"/>
    <w:rsid w:val="0B7373D0"/>
    <w:rsid w:val="0B8B64C8"/>
    <w:rsid w:val="0BC2044A"/>
    <w:rsid w:val="0BC263E3"/>
    <w:rsid w:val="0C8D626F"/>
    <w:rsid w:val="0CBF1A10"/>
    <w:rsid w:val="0CC51EAD"/>
    <w:rsid w:val="0CE265BB"/>
    <w:rsid w:val="0CEF17A5"/>
    <w:rsid w:val="0CF602B9"/>
    <w:rsid w:val="0CFE2CC9"/>
    <w:rsid w:val="0D0A5184"/>
    <w:rsid w:val="0D295F98"/>
    <w:rsid w:val="0D370091"/>
    <w:rsid w:val="0D4C7ED9"/>
    <w:rsid w:val="0D6A5091"/>
    <w:rsid w:val="0D7D666F"/>
    <w:rsid w:val="0D9D24E2"/>
    <w:rsid w:val="0DB717F6"/>
    <w:rsid w:val="0E016F15"/>
    <w:rsid w:val="0E0F1632"/>
    <w:rsid w:val="0E1F3D5A"/>
    <w:rsid w:val="0E3C1CFB"/>
    <w:rsid w:val="0E44378C"/>
    <w:rsid w:val="0E5E4367"/>
    <w:rsid w:val="0E605C68"/>
    <w:rsid w:val="0E9D17C6"/>
    <w:rsid w:val="0EC75A69"/>
    <w:rsid w:val="0ECE5049"/>
    <w:rsid w:val="0ED42D25"/>
    <w:rsid w:val="0ED97690"/>
    <w:rsid w:val="0F0F2125"/>
    <w:rsid w:val="0F2F515A"/>
    <w:rsid w:val="0F4F4CBB"/>
    <w:rsid w:val="0F5A4B2F"/>
    <w:rsid w:val="0F81030D"/>
    <w:rsid w:val="0F84096B"/>
    <w:rsid w:val="0F9B0CA3"/>
    <w:rsid w:val="0FBF2BE4"/>
    <w:rsid w:val="0FCC70AF"/>
    <w:rsid w:val="0FFD2EF2"/>
    <w:rsid w:val="0FFE01ED"/>
    <w:rsid w:val="0FFF254C"/>
    <w:rsid w:val="100625C1"/>
    <w:rsid w:val="10190546"/>
    <w:rsid w:val="102D5D9F"/>
    <w:rsid w:val="10687C1A"/>
    <w:rsid w:val="107734BE"/>
    <w:rsid w:val="10AA3894"/>
    <w:rsid w:val="10F52445"/>
    <w:rsid w:val="111B209C"/>
    <w:rsid w:val="111D7BC2"/>
    <w:rsid w:val="112E1DCF"/>
    <w:rsid w:val="113508C0"/>
    <w:rsid w:val="11515ABE"/>
    <w:rsid w:val="118867D4"/>
    <w:rsid w:val="119875D6"/>
    <w:rsid w:val="11B21135"/>
    <w:rsid w:val="11EE5A02"/>
    <w:rsid w:val="11FF19BD"/>
    <w:rsid w:val="12023FE5"/>
    <w:rsid w:val="1226519C"/>
    <w:rsid w:val="124D1B25"/>
    <w:rsid w:val="12692EF2"/>
    <w:rsid w:val="126C2700"/>
    <w:rsid w:val="12B72298"/>
    <w:rsid w:val="12D4140B"/>
    <w:rsid w:val="12F52503"/>
    <w:rsid w:val="12F6691D"/>
    <w:rsid w:val="130A61F8"/>
    <w:rsid w:val="131E7C21"/>
    <w:rsid w:val="13260FBE"/>
    <w:rsid w:val="133438E9"/>
    <w:rsid w:val="139879D4"/>
    <w:rsid w:val="13A10F7E"/>
    <w:rsid w:val="14055F2A"/>
    <w:rsid w:val="140E5EE8"/>
    <w:rsid w:val="14A405FA"/>
    <w:rsid w:val="14A66120"/>
    <w:rsid w:val="14AC7FAB"/>
    <w:rsid w:val="14AD74AF"/>
    <w:rsid w:val="14B720DC"/>
    <w:rsid w:val="14BA6C2A"/>
    <w:rsid w:val="14BB6070"/>
    <w:rsid w:val="14CD18FF"/>
    <w:rsid w:val="14D33E79"/>
    <w:rsid w:val="14DB04C0"/>
    <w:rsid w:val="14EC447B"/>
    <w:rsid w:val="14EF1875"/>
    <w:rsid w:val="158A3C94"/>
    <w:rsid w:val="158C3568"/>
    <w:rsid w:val="15AF7257"/>
    <w:rsid w:val="15F97EB4"/>
    <w:rsid w:val="16285726"/>
    <w:rsid w:val="1666025D"/>
    <w:rsid w:val="168048BD"/>
    <w:rsid w:val="168801D3"/>
    <w:rsid w:val="16A3500D"/>
    <w:rsid w:val="16AD3796"/>
    <w:rsid w:val="17060B05"/>
    <w:rsid w:val="17487963"/>
    <w:rsid w:val="17606A5A"/>
    <w:rsid w:val="17632761"/>
    <w:rsid w:val="17996410"/>
    <w:rsid w:val="17A0779F"/>
    <w:rsid w:val="17E458DD"/>
    <w:rsid w:val="17F17FFA"/>
    <w:rsid w:val="17F5668E"/>
    <w:rsid w:val="185C36C6"/>
    <w:rsid w:val="18610CDC"/>
    <w:rsid w:val="18771926"/>
    <w:rsid w:val="18A92683"/>
    <w:rsid w:val="1901601B"/>
    <w:rsid w:val="192D01EC"/>
    <w:rsid w:val="193B777F"/>
    <w:rsid w:val="1945415A"/>
    <w:rsid w:val="19662322"/>
    <w:rsid w:val="198D3D53"/>
    <w:rsid w:val="19A00B10"/>
    <w:rsid w:val="19C21C4E"/>
    <w:rsid w:val="19D91C69"/>
    <w:rsid w:val="1A002777"/>
    <w:rsid w:val="1A5959E3"/>
    <w:rsid w:val="1A5F56EF"/>
    <w:rsid w:val="1A845E02"/>
    <w:rsid w:val="1AD60012"/>
    <w:rsid w:val="1AFA6EF2"/>
    <w:rsid w:val="1B1A7868"/>
    <w:rsid w:val="1B1D12DD"/>
    <w:rsid w:val="1B5519F1"/>
    <w:rsid w:val="1B6034CD"/>
    <w:rsid w:val="1B6E545C"/>
    <w:rsid w:val="1B7E7DF7"/>
    <w:rsid w:val="1B861941"/>
    <w:rsid w:val="1BF87D83"/>
    <w:rsid w:val="1C24274C"/>
    <w:rsid w:val="1C250273"/>
    <w:rsid w:val="1C7F7983"/>
    <w:rsid w:val="1D0425BE"/>
    <w:rsid w:val="1D10301A"/>
    <w:rsid w:val="1D2815CA"/>
    <w:rsid w:val="1D5A03F0"/>
    <w:rsid w:val="1D5F77B4"/>
    <w:rsid w:val="1D733885"/>
    <w:rsid w:val="1DA54723"/>
    <w:rsid w:val="1DA87977"/>
    <w:rsid w:val="1DAA4ED3"/>
    <w:rsid w:val="1DAC0C4B"/>
    <w:rsid w:val="1DAD49C3"/>
    <w:rsid w:val="1E015124"/>
    <w:rsid w:val="1E6C0104"/>
    <w:rsid w:val="1E953217"/>
    <w:rsid w:val="1EB37DB8"/>
    <w:rsid w:val="1EBD4792"/>
    <w:rsid w:val="1ED81A83"/>
    <w:rsid w:val="1EE241F9"/>
    <w:rsid w:val="1EF34658"/>
    <w:rsid w:val="1F011F4E"/>
    <w:rsid w:val="1F0F7AA5"/>
    <w:rsid w:val="1F1F3C4D"/>
    <w:rsid w:val="1F5275D0"/>
    <w:rsid w:val="1F626226"/>
    <w:rsid w:val="1F7C464D"/>
    <w:rsid w:val="200B382A"/>
    <w:rsid w:val="202B1312"/>
    <w:rsid w:val="203C5B8B"/>
    <w:rsid w:val="206B4E99"/>
    <w:rsid w:val="20F611CC"/>
    <w:rsid w:val="2114265C"/>
    <w:rsid w:val="2124555B"/>
    <w:rsid w:val="21717AB6"/>
    <w:rsid w:val="217C26E3"/>
    <w:rsid w:val="21876A43"/>
    <w:rsid w:val="21C97B19"/>
    <w:rsid w:val="21DE15EF"/>
    <w:rsid w:val="22113B54"/>
    <w:rsid w:val="221768AF"/>
    <w:rsid w:val="221B24B7"/>
    <w:rsid w:val="227E06DD"/>
    <w:rsid w:val="228C3783"/>
    <w:rsid w:val="22984EBA"/>
    <w:rsid w:val="22BA5A57"/>
    <w:rsid w:val="22C72083"/>
    <w:rsid w:val="231775C2"/>
    <w:rsid w:val="23306A8D"/>
    <w:rsid w:val="2355143D"/>
    <w:rsid w:val="23762110"/>
    <w:rsid w:val="237F295E"/>
    <w:rsid w:val="239D123F"/>
    <w:rsid w:val="23D3133D"/>
    <w:rsid w:val="23DD1433"/>
    <w:rsid w:val="23E11DA7"/>
    <w:rsid w:val="24244F5F"/>
    <w:rsid w:val="247B4ED4"/>
    <w:rsid w:val="24B14D99"/>
    <w:rsid w:val="24B93C4E"/>
    <w:rsid w:val="24D64800"/>
    <w:rsid w:val="24ED56A6"/>
    <w:rsid w:val="2564005E"/>
    <w:rsid w:val="25822292"/>
    <w:rsid w:val="25A8619C"/>
    <w:rsid w:val="25AF7A72"/>
    <w:rsid w:val="25D074A1"/>
    <w:rsid w:val="25EE7927"/>
    <w:rsid w:val="26243349"/>
    <w:rsid w:val="262E41C8"/>
    <w:rsid w:val="262F1AF6"/>
    <w:rsid w:val="26722306"/>
    <w:rsid w:val="26802C75"/>
    <w:rsid w:val="269229A8"/>
    <w:rsid w:val="26933EB9"/>
    <w:rsid w:val="26B74BAD"/>
    <w:rsid w:val="26CF59AB"/>
    <w:rsid w:val="26E75C08"/>
    <w:rsid w:val="26F45411"/>
    <w:rsid w:val="270B76D9"/>
    <w:rsid w:val="27164F42"/>
    <w:rsid w:val="2725666A"/>
    <w:rsid w:val="273D4A27"/>
    <w:rsid w:val="276C2B51"/>
    <w:rsid w:val="279544FE"/>
    <w:rsid w:val="27B16FB8"/>
    <w:rsid w:val="27C2106B"/>
    <w:rsid w:val="28156F15"/>
    <w:rsid w:val="28EA087A"/>
    <w:rsid w:val="29192F0D"/>
    <w:rsid w:val="291F0DD6"/>
    <w:rsid w:val="29491A44"/>
    <w:rsid w:val="2973261D"/>
    <w:rsid w:val="297D349C"/>
    <w:rsid w:val="299F78B6"/>
    <w:rsid w:val="29A44ECD"/>
    <w:rsid w:val="29F14B13"/>
    <w:rsid w:val="29FD282F"/>
    <w:rsid w:val="2A143E3F"/>
    <w:rsid w:val="2A9A007E"/>
    <w:rsid w:val="2AB23619"/>
    <w:rsid w:val="2AD73080"/>
    <w:rsid w:val="2B111E5E"/>
    <w:rsid w:val="2B1E0CAF"/>
    <w:rsid w:val="2B2D2106"/>
    <w:rsid w:val="2B4C581C"/>
    <w:rsid w:val="2B6356A4"/>
    <w:rsid w:val="2B9F2FF6"/>
    <w:rsid w:val="2BBC3624"/>
    <w:rsid w:val="2BE23A8A"/>
    <w:rsid w:val="2C077995"/>
    <w:rsid w:val="2C500DB6"/>
    <w:rsid w:val="2CDF446E"/>
    <w:rsid w:val="2D21575B"/>
    <w:rsid w:val="2D720E3E"/>
    <w:rsid w:val="2DB604DD"/>
    <w:rsid w:val="2E0C3040"/>
    <w:rsid w:val="2E6B6DA3"/>
    <w:rsid w:val="2E6D7F83"/>
    <w:rsid w:val="2E973581"/>
    <w:rsid w:val="2EB3170E"/>
    <w:rsid w:val="2ECB6A58"/>
    <w:rsid w:val="2F05640D"/>
    <w:rsid w:val="2F462582"/>
    <w:rsid w:val="2F51646A"/>
    <w:rsid w:val="2F68699C"/>
    <w:rsid w:val="2F782E8B"/>
    <w:rsid w:val="2F803CE6"/>
    <w:rsid w:val="2F8A246F"/>
    <w:rsid w:val="30281C88"/>
    <w:rsid w:val="30760C45"/>
    <w:rsid w:val="30772519"/>
    <w:rsid w:val="308A649E"/>
    <w:rsid w:val="308C2216"/>
    <w:rsid w:val="30C04C17"/>
    <w:rsid w:val="30C3032E"/>
    <w:rsid w:val="31020EE9"/>
    <w:rsid w:val="31144CD1"/>
    <w:rsid w:val="31561413"/>
    <w:rsid w:val="31603DCF"/>
    <w:rsid w:val="3178765B"/>
    <w:rsid w:val="31A17F44"/>
    <w:rsid w:val="31CC3212"/>
    <w:rsid w:val="31CE5220"/>
    <w:rsid w:val="320B4BD2"/>
    <w:rsid w:val="32175EB4"/>
    <w:rsid w:val="32340DB8"/>
    <w:rsid w:val="325658B7"/>
    <w:rsid w:val="32801B87"/>
    <w:rsid w:val="32BA750F"/>
    <w:rsid w:val="333C6176"/>
    <w:rsid w:val="334C6481"/>
    <w:rsid w:val="33837901"/>
    <w:rsid w:val="33B14F7C"/>
    <w:rsid w:val="33B26438"/>
    <w:rsid w:val="33EF143A"/>
    <w:rsid w:val="34594B05"/>
    <w:rsid w:val="34A73AC3"/>
    <w:rsid w:val="34AD7131"/>
    <w:rsid w:val="34DA200B"/>
    <w:rsid w:val="34EC597A"/>
    <w:rsid w:val="34F565DC"/>
    <w:rsid w:val="35246EC1"/>
    <w:rsid w:val="35262C3A"/>
    <w:rsid w:val="3529097C"/>
    <w:rsid w:val="35492330"/>
    <w:rsid w:val="35725C67"/>
    <w:rsid w:val="35A95619"/>
    <w:rsid w:val="35E23FDD"/>
    <w:rsid w:val="35EC5568"/>
    <w:rsid w:val="360F36CE"/>
    <w:rsid w:val="36160F00"/>
    <w:rsid w:val="364D2448"/>
    <w:rsid w:val="366F23BE"/>
    <w:rsid w:val="367D68AE"/>
    <w:rsid w:val="368045CB"/>
    <w:rsid w:val="36873967"/>
    <w:rsid w:val="36A91D74"/>
    <w:rsid w:val="36F113BA"/>
    <w:rsid w:val="37002D16"/>
    <w:rsid w:val="370C5E5F"/>
    <w:rsid w:val="370D12E8"/>
    <w:rsid w:val="3724764D"/>
    <w:rsid w:val="37411FAD"/>
    <w:rsid w:val="37A83DDA"/>
    <w:rsid w:val="37B07132"/>
    <w:rsid w:val="380B25BB"/>
    <w:rsid w:val="381E22EE"/>
    <w:rsid w:val="381E5E4A"/>
    <w:rsid w:val="38207E14"/>
    <w:rsid w:val="382337A0"/>
    <w:rsid w:val="382D2531"/>
    <w:rsid w:val="384B4699"/>
    <w:rsid w:val="387463B2"/>
    <w:rsid w:val="38A00F55"/>
    <w:rsid w:val="38BB42B5"/>
    <w:rsid w:val="39111E53"/>
    <w:rsid w:val="392A081F"/>
    <w:rsid w:val="39D92970"/>
    <w:rsid w:val="39DF3CFF"/>
    <w:rsid w:val="3A4D0C68"/>
    <w:rsid w:val="3A8D72B7"/>
    <w:rsid w:val="3A96260F"/>
    <w:rsid w:val="3AA840F1"/>
    <w:rsid w:val="3ABB02C8"/>
    <w:rsid w:val="3ADC69EF"/>
    <w:rsid w:val="3AEE244B"/>
    <w:rsid w:val="3AF26FF1"/>
    <w:rsid w:val="3B2A71FC"/>
    <w:rsid w:val="3B2E0A9A"/>
    <w:rsid w:val="3B345984"/>
    <w:rsid w:val="3B385475"/>
    <w:rsid w:val="3B44206B"/>
    <w:rsid w:val="3B895CD0"/>
    <w:rsid w:val="3B9308FD"/>
    <w:rsid w:val="3B951892"/>
    <w:rsid w:val="3BA24FE4"/>
    <w:rsid w:val="3BEB0739"/>
    <w:rsid w:val="3BF9665A"/>
    <w:rsid w:val="3C5E0F0B"/>
    <w:rsid w:val="3C7B6B00"/>
    <w:rsid w:val="3CB60D47"/>
    <w:rsid w:val="3CC50F8A"/>
    <w:rsid w:val="3CD76F0F"/>
    <w:rsid w:val="3D0D46DF"/>
    <w:rsid w:val="3D121CF5"/>
    <w:rsid w:val="3D491BBB"/>
    <w:rsid w:val="3D594F2A"/>
    <w:rsid w:val="3D632551"/>
    <w:rsid w:val="3D8F1598"/>
    <w:rsid w:val="3DB86D41"/>
    <w:rsid w:val="3DE713D4"/>
    <w:rsid w:val="3E047890"/>
    <w:rsid w:val="3E155F41"/>
    <w:rsid w:val="3E265A58"/>
    <w:rsid w:val="3E6C3570"/>
    <w:rsid w:val="3E9739EC"/>
    <w:rsid w:val="3EA370A9"/>
    <w:rsid w:val="3ECC005C"/>
    <w:rsid w:val="3EED2A1A"/>
    <w:rsid w:val="3EF43DA9"/>
    <w:rsid w:val="3F041198"/>
    <w:rsid w:val="3F7722E4"/>
    <w:rsid w:val="3F78189A"/>
    <w:rsid w:val="3F8C5D8F"/>
    <w:rsid w:val="3FC32579"/>
    <w:rsid w:val="400718BA"/>
    <w:rsid w:val="402009FC"/>
    <w:rsid w:val="402266F3"/>
    <w:rsid w:val="40454BCA"/>
    <w:rsid w:val="405D597D"/>
    <w:rsid w:val="40F77B80"/>
    <w:rsid w:val="410339D7"/>
    <w:rsid w:val="410D4CAE"/>
    <w:rsid w:val="41126768"/>
    <w:rsid w:val="413116A3"/>
    <w:rsid w:val="41A30F3F"/>
    <w:rsid w:val="41C95079"/>
    <w:rsid w:val="41CE46F5"/>
    <w:rsid w:val="41CE6B33"/>
    <w:rsid w:val="41D774D7"/>
    <w:rsid w:val="41F1773E"/>
    <w:rsid w:val="42206E95"/>
    <w:rsid w:val="423849EE"/>
    <w:rsid w:val="42524134"/>
    <w:rsid w:val="42562684"/>
    <w:rsid w:val="42891119"/>
    <w:rsid w:val="429A07C3"/>
    <w:rsid w:val="42A15FF5"/>
    <w:rsid w:val="42CF7B09"/>
    <w:rsid w:val="42FA43F0"/>
    <w:rsid w:val="42FF4ACA"/>
    <w:rsid w:val="43036368"/>
    <w:rsid w:val="43324E9F"/>
    <w:rsid w:val="433429C6"/>
    <w:rsid w:val="436666C3"/>
    <w:rsid w:val="4373589E"/>
    <w:rsid w:val="43A01E09"/>
    <w:rsid w:val="43B753A5"/>
    <w:rsid w:val="43D917BF"/>
    <w:rsid w:val="43F565F9"/>
    <w:rsid w:val="43F959BD"/>
    <w:rsid w:val="440A7BCA"/>
    <w:rsid w:val="4440539A"/>
    <w:rsid w:val="44551D65"/>
    <w:rsid w:val="446D72CF"/>
    <w:rsid w:val="4487121B"/>
    <w:rsid w:val="44BF2164"/>
    <w:rsid w:val="44D22496"/>
    <w:rsid w:val="44D2693A"/>
    <w:rsid w:val="45BB5620"/>
    <w:rsid w:val="45C54315"/>
    <w:rsid w:val="4600407A"/>
    <w:rsid w:val="46020C7E"/>
    <w:rsid w:val="46092978"/>
    <w:rsid w:val="46154D44"/>
    <w:rsid w:val="46252A99"/>
    <w:rsid w:val="46737CA9"/>
    <w:rsid w:val="46881DBF"/>
    <w:rsid w:val="469043B7"/>
    <w:rsid w:val="46A47E62"/>
    <w:rsid w:val="46CE4EDF"/>
    <w:rsid w:val="46EE790C"/>
    <w:rsid w:val="4760647F"/>
    <w:rsid w:val="4799373F"/>
    <w:rsid w:val="47A92173"/>
    <w:rsid w:val="47B0471D"/>
    <w:rsid w:val="47BB47C3"/>
    <w:rsid w:val="47CC726D"/>
    <w:rsid w:val="47EB7590"/>
    <w:rsid w:val="47ED5134"/>
    <w:rsid w:val="4844252A"/>
    <w:rsid w:val="4856518C"/>
    <w:rsid w:val="48605BB2"/>
    <w:rsid w:val="486F6543"/>
    <w:rsid w:val="48846203"/>
    <w:rsid w:val="48D03190"/>
    <w:rsid w:val="49066BB2"/>
    <w:rsid w:val="4924528A"/>
    <w:rsid w:val="4957740E"/>
    <w:rsid w:val="49ED63DE"/>
    <w:rsid w:val="4A25750C"/>
    <w:rsid w:val="4A331C29"/>
    <w:rsid w:val="4A3B6D2F"/>
    <w:rsid w:val="4A4E5B36"/>
    <w:rsid w:val="4A534074"/>
    <w:rsid w:val="4A560560"/>
    <w:rsid w:val="4A9E2E1A"/>
    <w:rsid w:val="4AAA17BF"/>
    <w:rsid w:val="4AEB5531"/>
    <w:rsid w:val="4AFD2237"/>
    <w:rsid w:val="4B4B11F4"/>
    <w:rsid w:val="4B4B6AFE"/>
    <w:rsid w:val="4B58746D"/>
    <w:rsid w:val="4B6202EC"/>
    <w:rsid w:val="4B683B54"/>
    <w:rsid w:val="4B7F49FA"/>
    <w:rsid w:val="4B835265"/>
    <w:rsid w:val="4BA95F1B"/>
    <w:rsid w:val="4BD9235C"/>
    <w:rsid w:val="4BF03B4A"/>
    <w:rsid w:val="4BF713D8"/>
    <w:rsid w:val="4C0D1AB5"/>
    <w:rsid w:val="4C2A0E0A"/>
    <w:rsid w:val="4C3A0A4D"/>
    <w:rsid w:val="4C3B3017"/>
    <w:rsid w:val="4C3F7080"/>
    <w:rsid w:val="4C63256E"/>
    <w:rsid w:val="4C787DC7"/>
    <w:rsid w:val="4C8147A2"/>
    <w:rsid w:val="4CB46925"/>
    <w:rsid w:val="4CEF5BAF"/>
    <w:rsid w:val="4D1B69A4"/>
    <w:rsid w:val="4D3A507C"/>
    <w:rsid w:val="4D405120"/>
    <w:rsid w:val="4D471547"/>
    <w:rsid w:val="4DE33966"/>
    <w:rsid w:val="4DEA2B8B"/>
    <w:rsid w:val="4E102281"/>
    <w:rsid w:val="4E130823"/>
    <w:rsid w:val="4E4B38C7"/>
    <w:rsid w:val="4E5710C1"/>
    <w:rsid w:val="4E5B174E"/>
    <w:rsid w:val="4E85550F"/>
    <w:rsid w:val="4E9D1FB7"/>
    <w:rsid w:val="4ED84B4D"/>
    <w:rsid w:val="4EE55E42"/>
    <w:rsid w:val="4F1638C7"/>
    <w:rsid w:val="4F5166AD"/>
    <w:rsid w:val="4F79610E"/>
    <w:rsid w:val="4F9A0054"/>
    <w:rsid w:val="4FA42C81"/>
    <w:rsid w:val="4FF9121F"/>
    <w:rsid w:val="4FFA6D45"/>
    <w:rsid w:val="502B5150"/>
    <w:rsid w:val="503E1327"/>
    <w:rsid w:val="50EA0B67"/>
    <w:rsid w:val="511D692A"/>
    <w:rsid w:val="512A365A"/>
    <w:rsid w:val="51600E2A"/>
    <w:rsid w:val="518F170F"/>
    <w:rsid w:val="519D32C7"/>
    <w:rsid w:val="51C251CD"/>
    <w:rsid w:val="524E5126"/>
    <w:rsid w:val="525E35BB"/>
    <w:rsid w:val="526861E8"/>
    <w:rsid w:val="527406B9"/>
    <w:rsid w:val="52AA2CA4"/>
    <w:rsid w:val="52E53CDC"/>
    <w:rsid w:val="52EA12F3"/>
    <w:rsid w:val="53344B68"/>
    <w:rsid w:val="533E33EC"/>
    <w:rsid w:val="53F01C7A"/>
    <w:rsid w:val="54523583"/>
    <w:rsid w:val="54A51975"/>
    <w:rsid w:val="54D933CD"/>
    <w:rsid w:val="54DF6509"/>
    <w:rsid w:val="55006BAB"/>
    <w:rsid w:val="55011664"/>
    <w:rsid w:val="554A0417"/>
    <w:rsid w:val="55A0213D"/>
    <w:rsid w:val="55A51501"/>
    <w:rsid w:val="55B10A1A"/>
    <w:rsid w:val="55D911AB"/>
    <w:rsid w:val="55E555E3"/>
    <w:rsid w:val="56725887"/>
    <w:rsid w:val="56921A85"/>
    <w:rsid w:val="569C2904"/>
    <w:rsid w:val="56C67981"/>
    <w:rsid w:val="570B7A8A"/>
    <w:rsid w:val="57596A47"/>
    <w:rsid w:val="576F1DC6"/>
    <w:rsid w:val="57851FA6"/>
    <w:rsid w:val="578B2AC7"/>
    <w:rsid w:val="57B34438"/>
    <w:rsid w:val="57C9748A"/>
    <w:rsid w:val="58304C51"/>
    <w:rsid w:val="58952615"/>
    <w:rsid w:val="59125DAB"/>
    <w:rsid w:val="596A4F3B"/>
    <w:rsid w:val="59701E26"/>
    <w:rsid w:val="59975605"/>
    <w:rsid w:val="59AC5554"/>
    <w:rsid w:val="59B62599"/>
    <w:rsid w:val="59E37A7C"/>
    <w:rsid w:val="59F42A57"/>
    <w:rsid w:val="5A683600"/>
    <w:rsid w:val="5B070568"/>
    <w:rsid w:val="5B0F614B"/>
    <w:rsid w:val="5B1213E7"/>
    <w:rsid w:val="5B2335F4"/>
    <w:rsid w:val="5B6B0AF7"/>
    <w:rsid w:val="5B840409"/>
    <w:rsid w:val="5B920AA4"/>
    <w:rsid w:val="5BB64468"/>
    <w:rsid w:val="5BFB00CD"/>
    <w:rsid w:val="5C3D2493"/>
    <w:rsid w:val="5C425CFC"/>
    <w:rsid w:val="5D184CAE"/>
    <w:rsid w:val="5D331AE8"/>
    <w:rsid w:val="5D35760E"/>
    <w:rsid w:val="5D6B1282"/>
    <w:rsid w:val="5D9205BD"/>
    <w:rsid w:val="5DAB167E"/>
    <w:rsid w:val="5DAF116F"/>
    <w:rsid w:val="5DCB1D21"/>
    <w:rsid w:val="5DEA03F9"/>
    <w:rsid w:val="5DF94AE0"/>
    <w:rsid w:val="5DFE5C52"/>
    <w:rsid w:val="5E8048B9"/>
    <w:rsid w:val="5EFD5F0A"/>
    <w:rsid w:val="5F7268F8"/>
    <w:rsid w:val="5F990328"/>
    <w:rsid w:val="5FB54A36"/>
    <w:rsid w:val="601059C1"/>
    <w:rsid w:val="602045A6"/>
    <w:rsid w:val="60400885"/>
    <w:rsid w:val="6049636D"/>
    <w:rsid w:val="604A1623"/>
    <w:rsid w:val="60CB2763"/>
    <w:rsid w:val="60F021CA"/>
    <w:rsid w:val="61461DEA"/>
    <w:rsid w:val="614C3178"/>
    <w:rsid w:val="6151138E"/>
    <w:rsid w:val="615A7643"/>
    <w:rsid w:val="61616C24"/>
    <w:rsid w:val="6183303E"/>
    <w:rsid w:val="618B3D19"/>
    <w:rsid w:val="6191588E"/>
    <w:rsid w:val="61A22D98"/>
    <w:rsid w:val="61E94800"/>
    <w:rsid w:val="62045801"/>
    <w:rsid w:val="62614798"/>
    <w:rsid w:val="628B03FF"/>
    <w:rsid w:val="62970423"/>
    <w:rsid w:val="629B645D"/>
    <w:rsid w:val="62DB2A06"/>
    <w:rsid w:val="62F53B9C"/>
    <w:rsid w:val="630A6E47"/>
    <w:rsid w:val="634D329A"/>
    <w:rsid w:val="63516E49"/>
    <w:rsid w:val="6372506E"/>
    <w:rsid w:val="6379138E"/>
    <w:rsid w:val="6381535B"/>
    <w:rsid w:val="63AE1EC8"/>
    <w:rsid w:val="63D21C94"/>
    <w:rsid w:val="63D26282"/>
    <w:rsid w:val="64504D2E"/>
    <w:rsid w:val="648C1654"/>
    <w:rsid w:val="64923598"/>
    <w:rsid w:val="64A55079"/>
    <w:rsid w:val="64BA6C25"/>
    <w:rsid w:val="64BD6867"/>
    <w:rsid w:val="64C60944"/>
    <w:rsid w:val="64D12312"/>
    <w:rsid w:val="64D92F75"/>
    <w:rsid w:val="64EF09EB"/>
    <w:rsid w:val="64FF7819"/>
    <w:rsid w:val="650B31F4"/>
    <w:rsid w:val="651E6BDA"/>
    <w:rsid w:val="652A37D1"/>
    <w:rsid w:val="653B778C"/>
    <w:rsid w:val="65573688"/>
    <w:rsid w:val="655D3BA6"/>
    <w:rsid w:val="6562740E"/>
    <w:rsid w:val="656F7435"/>
    <w:rsid w:val="65E63B9C"/>
    <w:rsid w:val="65F91B21"/>
    <w:rsid w:val="6612673F"/>
    <w:rsid w:val="66173D55"/>
    <w:rsid w:val="66277AE6"/>
    <w:rsid w:val="66A650D9"/>
    <w:rsid w:val="66BB0B84"/>
    <w:rsid w:val="66CA7019"/>
    <w:rsid w:val="66CE64D9"/>
    <w:rsid w:val="66D93700"/>
    <w:rsid w:val="670536A6"/>
    <w:rsid w:val="670F2C7E"/>
    <w:rsid w:val="6717660C"/>
    <w:rsid w:val="6729120D"/>
    <w:rsid w:val="675114E9"/>
    <w:rsid w:val="675A65EF"/>
    <w:rsid w:val="676A6106"/>
    <w:rsid w:val="677551D7"/>
    <w:rsid w:val="67BF20D0"/>
    <w:rsid w:val="67D61813"/>
    <w:rsid w:val="67E4235D"/>
    <w:rsid w:val="67F26828"/>
    <w:rsid w:val="680B58AB"/>
    <w:rsid w:val="68750B51"/>
    <w:rsid w:val="687A5CD7"/>
    <w:rsid w:val="68983B76"/>
    <w:rsid w:val="68BE7D5D"/>
    <w:rsid w:val="68FB795E"/>
    <w:rsid w:val="68FE11FC"/>
    <w:rsid w:val="6907210B"/>
    <w:rsid w:val="692C753A"/>
    <w:rsid w:val="6942558D"/>
    <w:rsid w:val="697D3521"/>
    <w:rsid w:val="699D23D7"/>
    <w:rsid w:val="69D00DEB"/>
    <w:rsid w:val="69D34437"/>
    <w:rsid w:val="69FD14B4"/>
    <w:rsid w:val="6A633A0D"/>
    <w:rsid w:val="6A9C0CCD"/>
    <w:rsid w:val="6AB04778"/>
    <w:rsid w:val="6AB57FE0"/>
    <w:rsid w:val="6AB8422B"/>
    <w:rsid w:val="6AC65D4A"/>
    <w:rsid w:val="6AC81AC2"/>
    <w:rsid w:val="6AE744FB"/>
    <w:rsid w:val="6AF6750A"/>
    <w:rsid w:val="6B07083C"/>
    <w:rsid w:val="6B0D3978"/>
    <w:rsid w:val="6B364C7D"/>
    <w:rsid w:val="6B3C5138"/>
    <w:rsid w:val="6B3E196C"/>
    <w:rsid w:val="6B524A46"/>
    <w:rsid w:val="6B56531F"/>
    <w:rsid w:val="6B607318"/>
    <w:rsid w:val="6B6D4417"/>
    <w:rsid w:val="6B8579B3"/>
    <w:rsid w:val="6B8915C2"/>
    <w:rsid w:val="6B9B71D6"/>
    <w:rsid w:val="6BAE15B0"/>
    <w:rsid w:val="6BD9029D"/>
    <w:rsid w:val="6BDA5F51"/>
    <w:rsid w:val="6BE72DB2"/>
    <w:rsid w:val="6C305B70"/>
    <w:rsid w:val="6C4434DD"/>
    <w:rsid w:val="6C9003BD"/>
    <w:rsid w:val="6CC80BB0"/>
    <w:rsid w:val="6CC8224D"/>
    <w:rsid w:val="6CCD1611"/>
    <w:rsid w:val="6D013069"/>
    <w:rsid w:val="6D1322C6"/>
    <w:rsid w:val="6D6E3C55"/>
    <w:rsid w:val="6D851EEC"/>
    <w:rsid w:val="6D9143ED"/>
    <w:rsid w:val="6DCF760B"/>
    <w:rsid w:val="6DEA2A48"/>
    <w:rsid w:val="6E0E5A3E"/>
    <w:rsid w:val="6E114A4F"/>
    <w:rsid w:val="6E526272"/>
    <w:rsid w:val="6E5518BE"/>
    <w:rsid w:val="6E557B10"/>
    <w:rsid w:val="6E757551"/>
    <w:rsid w:val="6EA36ACE"/>
    <w:rsid w:val="6ED523DF"/>
    <w:rsid w:val="6ED70525"/>
    <w:rsid w:val="6EDA6267"/>
    <w:rsid w:val="6EF12A34"/>
    <w:rsid w:val="6F6D49E6"/>
    <w:rsid w:val="6F7C10CD"/>
    <w:rsid w:val="6F887A72"/>
    <w:rsid w:val="6F8F2BAE"/>
    <w:rsid w:val="6F977B87"/>
    <w:rsid w:val="6FA128E1"/>
    <w:rsid w:val="6FA348AB"/>
    <w:rsid w:val="6FB2304E"/>
    <w:rsid w:val="700C06A3"/>
    <w:rsid w:val="70175DDA"/>
    <w:rsid w:val="701B0440"/>
    <w:rsid w:val="70221C74"/>
    <w:rsid w:val="70447E3C"/>
    <w:rsid w:val="706A53C9"/>
    <w:rsid w:val="707A1AB0"/>
    <w:rsid w:val="708B5A6B"/>
    <w:rsid w:val="70943A3E"/>
    <w:rsid w:val="70CB4833"/>
    <w:rsid w:val="70D0347E"/>
    <w:rsid w:val="70EA5A33"/>
    <w:rsid w:val="712D267F"/>
    <w:rsid w:val="712E4649"/>
    <w:rsid w:val="713752AB"/>
    <w:rsid w:val="713C6D66"/>
    <w:rsid w:val="718E7DEE"/>
    <w:rsid w:val="719F5B9E"/>
    <w:rsid w:val="71BD3CC1"/>
    <w:rsid w:val="71D66B8A"/>
    <w:rsid w:val="71F15DA2"/>
    <w:rsid w:val="72263C29"/>
    <w:rsid w:val="72827AE5"/>
    <w:rsid w:val="729D1A86"/>
    <w:rsid w:val="72AB41A3"/>
    <w:rsid w:val="72E41463"/>
    <w:rsid w:val="72F86685"/>
    <w:rsid w:val="733676C5"/>
    <w:rsid w:val="73440153"/>
    <w:rsid w:val="73686F64"/>
    <w:rsid w:val="737F00D1"/>
    <w:rsid w:val="73A54D19"/>
    <w:rsid w:val="73BE3A62"/>
    <w:rsid w:val="74024296"/>
    <w:rsid w:val="74221BDF"/>
    <w:rsid w:val="74390657"/>
    <w:rsid w:val="7462590D"/>
    <w:rsid w:val="74706D7F"/>
    <w:rsid w:val="7479207F"/>
    <w:rsid w:val="747C0AA7"/>
    <w:rsid w:val="74A0585D"/>
    <w:rsid w:val="74AF784E"/>
    <w:rsid w:val="75116700"/>
    <w:rsid w:val="752E4C17"/>
    <w:rsid w:val="75720FA8"/>
    <w:rsid w:val="759233F8"/>
    <w:rsid w:val="75BE3ED3"/>
    <w:rsid w:val="75F27075"/>
    <w:rsid w:val="75F93477"/>
    <w:rsid w:val="765E152C"/>
    <w:rsid w:val="766D79C1"/>
    <w:rsid w:val="76766876"/>
    <w:rsid w:val="76B4114C"/>
    <w:rsid w:val="7715608F"/>
    <w:rsid w:val="773D3837"/>
    <w:rsid w:val="779748E5"/>
    <w:rsid w:val="77B70EF4"/>
    <w:rsid w:val="77D959A0"/>
    <w:rsid w:val="786C0CC6"/>
    <w:rsid w:val="78AF64EE"/>
    <w:rsid w:val="78B83176"/>
    <w:rsid w:val="78C7099A"/>
    <w:rsid w:val="790C1713"/>
    <w:rsid w:val="791A3E30"/>
    <w:rsid w:val="79295E21"/>
    <w:rsid w:val="793D18CD"/>
    <w:rsid w:val="79691527"/>
    <w:rsid w:val="79766B8D"/>
    <w:rsid w:val="79AC25AE"/>
    <w:rsid w:val="79F94C3A"/>
    <w:rsid w:val="7A164F61"/>
    <w:rsid w:val="7A186697"/>
    <w:rsid w:val="7A4F18B8"/>
    <w:rsid w:val="7A5549F4"/>
    <w:rsid w:val="7AAB7D1A"/>
    <w:rsid w:val="7AD23162"/>
    <w:rsid w:val="7AF406B1"/>
    <w:rsid w:val="7AFE508C"/>
    <w:rsid w:val="7B0E3521"/>
    <w:rsid w:val="7B5D6256"/>
    <w:rsid w:val="7BB46369"/>
    <w:rsid w:val="7BBD2838"/>
    <w:rsid w:val="7BEC3136"/>
    <w:rsid w:val="7C3639F5"/>
    <w:rsid w:val="7C5238E1"/>
    <w:rsid w:val="7C5B30F8"/>
    <w:rsid w:val="7C701182"/>
    <w:rsid w:val="7C8141C6"/>
    <w:rsid w:val="7C975798"/>
    <w:rsid w:val="7CB43C54"/>
    <w:rsid w:val="7CC65578"/>
    <w:rsid w:val="7CE359F9"/>
    <w:rsid w:val="7CE64029"/>
    <w:rsid w:val="7D1868D9"/>
    <w:rsid w:val="7D252DA4"/>
    <w:rsid w:val="7D2863F0"/>
    <w:rsid w:val="7D465D6F"/>
    <w:rsid w:val="7DB008BF"/>
    <w:rsid w:val="7DEC566F"/>
    <w:rsid w:val="7DF06F0E"/>
    <w:rsid w:val="7E4B683A"/>
    <w:rsid w:val="7E5A2231"/>
    <w:rsid w:val="7E635932"/>
    <w:rsid w:val="7E92219F"/>
    <w:rsid w:val="7E9A7E78"/>
    <w:rsid w:val="7ECD3704"/>
    <w:rsid w:val="7ECF2FC7"/>
    <w:rsid w:val="7ED44A81"/>
    <w:rsid w:val="7EF154EA"/>
    <w:rsid w:val="7F50002E"/>
    <w:rsid w:val="7F5259A6"/>
    <w:rsid w:val="7F5870DA"/>
    <w:rsid w:val="7F623D3D"/>
    <w:rsid w:val="7F7214D1"/>
    <w:rsid w:val="7F912972"/>
    <w:rsid w:val="7FC93EBA"/>
    <w:rsid w:val="7FD574AD"/>
    <w:rsid w:val="7FDB3BED"/>
    <w:rsid w:val="7FE44850"/>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8"/>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sz w:val="21"/>
    </w:rPr>
  </w:style>
  <w:style w:type="paragraph" w:styleId="7">
    <w:name w:val="annotation text"/>
    <w:basedOn w:val="1"/>
    <w:autoRedefine/>
    <w:qFormat/>
    <w:uiPriority w:val="99"/>
    <w:pPr>
      <w:jc w:val="left"/>
    </w:pPr>
  </w:style>
  <w:style w:type="paragraph" w:styleId="8">
    <w:name w:val="Body Text 3"/>
    <w:basedOn w:val="1"/>
    <w:autoRedefine/>
    <w:qFormat/>
    <w:uiPriority w:val="0"/>
    <w:rPr>
      <w:rFonts w:hAnsi="Times New Roman"/>
      <w:kern w:val="0"/>
      <w:sz w:val="24"/>
      <w:szCs w:val="20"/>
    </w:rPr>
  </w:style>
  <w:style w:type="paragraph" w:styleId="9">
    <w:name w:val="Body Text"/>
    <w:basedOn w:val="1"/>
    <w:next w:val="1"/>
    <w:autoRedefine/>
    <w:qFormat/>
    <w:uiPriority w:val="0"/>
    <w:pPr>
      <w:spacing w:after="120" w:afterLines="0" w:afterAutospacing="0"/>
    </w:pPr>
    <w:rPr>
      <w:sz w:val="21"/>
    </w:rPr>
  </w:style>
  <w:style w:type="paragraph" w:styleId="10">
    <w:name w:val="Body Text Indent"/>
    <w:basedOn w:val="1"/>
    <w:autoRedefine/>
    <w:qFormat/>
    <w:uiPriority w:val="0"/>
    <w:pPr>
      <w:spacing w:line="312" w:lineRule="auto"/>
      <w:ind w:firstLine="735" w:firstLineChars="245"/>
    </w:pPr>
  </w:style>
  <w:style w:type="paragraph" w:styleId="11">
    <w:name w:val="List 2"/>
    <w:basedOn w:val="1"/>
    <w:autoRedefine/>
    <w:qFormat/>
    <w:uiPriority w:val="0"/>
    <w:pPr>
      <w:ind w:left="100" w:leftChars="200" w:hanging="200" w:hangingChars="200"/>
    </w:pPr>
    <w:rPr>
      <w:sz w:val="21"/>
      <w:szCs w:val="24"/>
    </w:rPr>
  </w:style>
  <w:style w:type="paragraph" w:styleId="12">
    <w:name w:val="toc 3"/>
    <w:basedOn w:val="1"/>
    <w:next w:val="1"/>
    <w:autoRedefine/>
    <w:qFormat/>
    <w:uiPriority w:val="0"/>
    <w:pPr>
      <w:ind w:left="840" w:leftChars="400"/>
    </w:pPr>
  </w:style>
  <w:style w:type="paragraph" w:styleId="13">
    <w:name w:val="Plain Text"/>
    <w:basedOn w:val="1"/>
    <w:next w:val="9"/>
    <w:qFormat/>
    <w:uiPriority w:val="0"/>
    <w:rPr>
      <w:rFonts w:ascii="宋体" w:hAnsi="Courier New"/>
      <w:kern w:val="2"/>
      <w:sz w:val="21"/>
    </w:rPr>
  </w:style>
  <w:style w:type="paragraph" w:styleId="14">
    <w:name w:val="Body Text Indent 2"/>
    <w:basedOn w:val="1"/>
    <w:autoRedefine/>
    <w:qFormat/>
    <w:uiPriority w:val="99"/>
    <w:pPr>
      <w:spacing w:line="300" w:lineRule="auto"/>
      <w:ind w:firstLine="840" w:firstLineChars="280"/>
    </w:pPr>
    <w:rPr>
      <w:rFonts w:ascii="宋体" w:hAnsi="宋体"/>
      <w:kern w:val="0"/>
      <w:sz w:val="30"/>
      <w:szCs w:val="20"/>
    </w:rPr>
  </w:style>
  <w:style w:type="paragraph" w:styleId="15">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6">
    <w:name w:val="envelope return"/>
    <w:basedOn w:val="1"/>
    <w:autoRedefine/>
    <w:unhideWhenUsed/>
    <w:qFormat/>
    <w:uiPriority w:val="99"/>
    <w:pPr>
      <w:snapToGrid w:val="0"/>
    </w:pPr>
    <w:rPr>
      <w:rFonts w:ascii="Arial" w:hAnsi="Arial"/>
    </w:rPr>
  </w:style>
  <w:style w:type="paragraph" w:styleId="17">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autoRedefine/>
    <w:qFormat/>
    <w:uiPriority w:val="39"/>
  </w:style>
  <w:style w:type="paragraph" w:styleId="19">
    <w:name w:val="footnote text"/>
    <w:basedOn w:val="1"/>
    <w:autoRedefine/>
    <w:qFormat/>
    <w:uiPriority w:val="0"/>
    <w:pPr>
      <w:snapToGrid w:val="0"/>
      <w:jc w:val="left"/>
    </w:pPr>
    <w:rPr>
      <w:sz w:val="18"/>
      <w:szCs w:val="18"/>
    </w:rPr>
  </w:style>
  <w:style w:type="paragraph" w:styleId="20">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21">
    <w:name w:val="Body Text 2"/>
    <w:basedOn w:val="1"/>
    <w:next w:val="1"/>
    <w:autoRedefine/>
    <w:qFormat/>
    <w:uiPriority w:val="0"/>
    <w:pPr>
      <w:spacing w:after="120" w:afterLines="0" w:afterAutospacing="0" w:line="480" w:lineRule="auto"/>
    </w:pPr>
    <w:rPr>
      <w:sz w:val="21"/>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3">
    <w:name w:val="Body Text First Indent"/>
    <w:basedOn w:val="9"/>
    <w:next w:val="24"/>
    <w:autoRedefine/>
    <w:qFormat/>
    <w:uiPriority w:val="0"/>
    <w:pPr>
      <w:ind w:firstLine="420" w:firstLineChars="100"/>
    </w:pPr>
  </w:style>
  <w:style w:type="paragraph" w:styleId="24">
    <w:name w:val="Body Text First Indent 2"/>
    <w:basedOn w:val="10"/>
    <w:autoRedefine/>
    <w:qFormat/>
    <w:uiPriority w:val="0"/>
    <w:pPr>
      <w:spacing w:after="120" w:afterLines="0" w:line="240" w:lineRule="auto"/>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style>
  <w:style w:type="character" w:styleId="29">
    <w:name w:val="FollowedHyperlink"/>
    <w:basedOn w:val="27"/>
    <w:autoRedefine/>
    <w:qFormat/>
    <w:uiPriority w:val="0"/>
    <w:rPr>
      <w:color w:val="800080"/>
      <w:u w:val="none"/>
    </w:rPr>
  </w:style>
  <w:style w:type="character" w:styleId="30">
    <w:name w:val="Emphasis"/>
    <w:basedOn w:val="27"/>
    <w:autoRedefine/>
    <w:qFormat/>
    <w:uiPriority w:val="0"/>
    <w:rPr>
      <w:color w:val="F73131"/>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0000FF"/>
      <w:u w:val="none"/>
    </w:rPr>
  </w:style>
  <w:style w:type="character" w:styleId="36">
    <w:name w:val="HTML Code"/>
    <w:basedOn w:val="27"/>
    <w:autoRedefine/>
    <w:qFormat/>
    <w:uiPriority w:val="0"/>
    <w:rPr>
      <w:rFonts w:hint="default" w:ascii="monospace" w:hAnsi="monospace" w:eastAsia="monospace" w:cs="monospace"/>
      <w:sz w:val="20"/>
    </w:rPr>
  </w:style>
  <w:style w:type="character" w:styleId="37">
    <w:name w:val="HTML Cite"/>
    <w:basedOn w:val="27"/>
    <w:autoRedefine/>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autoRedefine/>
    <w:qFormat/>
    <w:uiPriority w:val="0"/>
    <w:rPr>
      <w:rFonts w:ascii="monospace" w:hAnsi="monospace" w:eastAsia="monospace" w:cs="monospace"/>
    </w:rPr>
  </w:style>
  <w:style w:type="paragraph" w:customStyle="1" w:styleId="40">
    <w:name w:val="Default"/>
    <w:next w:val="1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Body Text 21"/>
    <w:basedOn w:val="1"/>
    <w:next w:val="9"/>
    <w:autoRedefine/>
    <w:qFormat/>
    <w:uiPriority w:val="0"/>
    <w:pPr>
      <w:spacing w:after="120" w:line="480" w:lineRule="auto"/>
    </w:pPr>
  </w:style>
  <w:style w:type="paragraph" w:customStyle="1" w:styleId="42">
    <w:name w:val="无间隔1"/>
    <w:basedOn w:val="1"/>
    <w:autoRedefine/>
    <w:qFormat/>
    <w:uiPriority w:val="1"/>
    <w:pPr>
      <w:spacing w:line="400" w:lineRule="exact"/>
    </w:pPr>
  </w:style>
  <w:style w:type="paragraph" w:customStyle="1" w:styleId="43">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4">
    <w:name w:val="WPSOffice手动目录 1"/>
    <w:autoRedefine/>
    <w:qFormat/>
    <w:uiPriority w:val="0"/>
    <w:rPr>
      <w:rFonts w:ascii="Times New Roman" w:hAnsi="Times New Roman" w:eastAsia="宋体" w:cs="Times New Roman"/>
      <w:lang w:val="en-US" w:eastAsia="zh-CN" w:bidi="ar-SA"/>
    </w:rPr>
  </w:style>
  <w:style w:type="paragraph" w:customStyle="1" w:styleId="45">
    <w:name w:val="BodyText1I2"/>
    <w:basedOn w:val="46"/>
    <w:next w:val="47"/>
    <w:autoRedefine/>
    <w:qFormat/>
    <w:uiPriority w:val="0"/>
    <w:pPr>
      <w:ind w:firstLine="420" w:firstLineChars="200"/>
    </w:pPr>
    <w:rPr>
      <w:rFonts w:ascii="Calibri" w:hAnsi="Calibri" w:eastAsia="楷体_GB2312"/>
      <w:kern w:val="44"/>
      <w:sz w:val="44"/>
    </w:rPr>
  </w:style>
  <w:style w:type="paragraph" w:customStyle="1" w:styleId="46">
    <w:name w:val="BodyTextIndent"/>
    <w:basedOn w:val="1"/>
    <w:autoRedefine/>
    <w:qFormat/>
    <w:uiPriority w:val="0"/>
    <w:pPr>
      <w:spacing w:after="120"/>
      <w:ind w:left="420" w:leftChars="200"/>
    </w:pPr>
    <w:rPr>
      <w:rFonts w:ascii="Times New Roman" w:hAnsi="Times New Roman"/>
      <w:kern w:val="0"/>
      <w:sz w:val="20"/>
    </w:rPr>
  </w:style>
  <w:style w:type="paragraph" w:customStyle="1" w:styleId="47">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48">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49">
    <w:name w:val="List Paragraph"/>
    <w:basedOn w:val="1"/>
    <w:autoRedefine/>
    <w:qFormat/>
    <w:uiPriority w:val="0"/>
    <w:pPr>
      <w:ind w:firstLine="420" w:firstLineChars="200"/>
    </w:pPr>
    <w:rPr>
      <w:sz w:val="21"/>
      <w:szCs w:val="24"/>
    </w:rPr>
  </w:style>
  <w:style w:type="paragraph" w:customStyle="1" w:styleId="50">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51">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2">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55">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font71"/>
    <w:basedOn w:val="27"/>
    <w:autoRedefine/>
    <w:qFormat/>
    <w:uiPriority w:val="0"/>
    <w:rPr>
      <w:rFonts w:hint="eastAsia" w:ascii="微软雅黑" w:hAnsi="微软雅黑" w:eastAsia="微软雅黑" w:cs="微软雅黑"/>
      <w:color w:val="000000"/>
      <w:sz w:val="16"/>
      <w:szCs w:val="16"/>
      <w:u w:val="none"/>
    </w:rPr>
  </w:style>
  <w:style w:type="character" w:customStyle="1" w:styleId="57">
    <w:name w:val="font112"/>
    <w:basedOn w:val="27"/>
    <w:autoRedefine/>
    <w:qFormat/>
    <w:uiPriority w:val="0"/>
    <w:rPr>
      <w:rFonts w:hint="eastAsia" w:ascii="宋体" w:hAnsi="宋体" w:eastAsia="宋体" w:cs="宋体"/>
      <w:color w:val="000000"/>
      <w:sz w:val="16"/>
      <w:szCs w:val="16"/>
      <w:u w:val="none"/>
    </w:rPr>
  </w:style>
  <w:style w:type="character" w:customStyle="1" w:styleId="58">
    <w:name w:val="NormalCharacter"/>
    <w:link w:val="1"/>
    <w:autoRedefine/>
    <w:qFormat/>
    <w:uiPriority w:val="0"/>
    <w:rPr>
      <w:rFonts w:asciiTheme="minorHAnsi" w:hAnsiTheme="minorHAnsi" w:eastAsiaTheme="minorEastAsia" w:cstheme="minorBidi"/>
      <w:kern w:val="2"/>
      <w:sz w:val="21"/>
      <w:szCs w:val="22"/>
      <w:lang w:val="en-US" w:eastAsia="zh-CN" w:bidi="ar-SA"/>
    </w:rPr>
  </w:style>
  <w:style w:type="paragraph" w:customStyle="1" w:styleId="59">
    <w:name w:val="p0"/>
    <w:basedOn w:val="1"/>
    <w:autoRedefine/>
    <w:qFormat/>
    <w:uiPriority w:val="0"/>
    <w:pPr>
      <w:widowControl/>
    </w:pPr>
    <w:rPr>
      <w:kern w:val="0"/>
      <w:sz w:val="21"/>
      <w:szCs w:val="21"/>
    </w:rPr>
  </w:style>
  <w:style w:type="paragraph" w:customStyle="1" w:styleId="60">
    <w:name w:val="列出段落1"/>
    <w:autoRedefine/>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character" w:customStyle="1" w:styleId="61">
    <w:name w:val="font21"/>
    <w:basedOn w:val="27"/>
    <w:autoRedefine/>
    <w:qFormat/>
    <w:uiPriority w:val="0"/>
    <w:rPr>
      <w:rFonts w:hint="eastAsia" w:ascii="宋体" w:hAnsi="宋体" w:eastAsia="宋体" w:cs="宋体"/>
      <w:color w:val="000000"/>
      <w:sz w:val="20"/>
      <w:szCs w:val="20"/>
      <w:u w:val="none"/>
    </w:rPr>
  </w:style>
  <w:style w:type="character" w:customStyle="1" w:styleId="62">
    <w:name w:val="font11"/>
    <w:basedOn w:val="27"/>
    <w:autoRedefine/>
    <w:qFormat/>
    <w:uiPriority w:val="0"/>
    <w:rPr>
      <w:rFonts w:hint="eastAsia" w:ascii="宋体" w:hAnsi="宋体" w:eastAsia="宋体" w:cs="宋体"/>
      <w:color w:val="000000"/>
      <w:sz w:val="20"/>
      <w:szCs w:val="20"/>
      <w:u w:val="none"/>
      <w:vertAlign w:val="superscript"/>
    </w:rPr>
  </w:style>
  <w:style w:type="character" w:customStyle="1" w:styleId="63">
    <w:name w:val="hover26"/>
    <w:basedOn w:val="27"/>
    <w:autoRedefine/>
    <w:qFormat/>
    <w:uiPriority w:val="0"/>
  </w:style>
  <w:style w:type="character" w:customStyle="1" w:styleId="64">
    <w:name w:val="hover27"/>
    <w:basedOn w:val="27"/>
    <w:autoRedefine/>
    <w:qFormat/>
    <w:uiPriority w:val="0"/>
    <w:rPr>
      <w:color w:val="315EFB"/>
    </w:rPr>
  </w:style>
  <w:style w:type="character" w:customStyle="1" w:styleId="65">
    <w:name w:val="c-icon30"/>
    <w:basedOn w:val="27"/>
    <w:autoRedefine/>
    <w:qFormat/>
    <w:uiPriority w:val="0"/>
  </w:style>
  <w:style w:type="character" w:customStyle="1" w:styleId="66">
    <w:name w:val="font51"/>
    <w:basedOn w:val="27"/>
    <w:autoRedefine/>
    <w:qFormat/>
    <w:uiPriority w:val="0"/>
    <w:rPr>
      <w:rFonts w:ascii="仿宋_GB2312" w:eastAsia="仿宋_GB2312" w:cs="仿宋_GB2312"/>
      <w:b/>
      <w:bCs/>
      <w:color w:val="000000"/>
      <w:sz w:val="21"/>
      <w:szCs w:val="21"/>
      <w:u w:val="none"/>
    </w:rPr>
  </w:style>
  <w:style w:type="character" w:customStyle="1" w:styleId="67">
    <w:name w:val="font31"/>
    <w:basedOn w:val="27"/>
    <w:autoRedefine/>
    <w:qFormat/>
    <w:uiPriority w:val="0"/>
    <w:rPr>
      <w:rFonts w:hint="default" w:ascii="仿宋_GB2312" w:eastAsia="仿宋_GB2312" w:cs="仿宋_GB2312"/>
      <w:color w:val="000000"/>
      <w:sz w:val="21"/>
      <w:szCs w:val="21"/>
      <w:u w:val="none"/>
    </w:rPr>
  </w:style>
  <w:style w:type="character" w:customStyle="1" w:styleId="68">
    <w:name w:val="font41"/>
    <w:basedOn w:val="27"/>
    <w:autoRedefine/>
    <w:qFormat/>
    <w:uiPriority w:val="0"/>
    <w:rPr>
      <w:rFonts w:hint="default" w:ascii="Times New Roman" w:hAnsi="Times New Roman" w:cs="Times New Roman"/>
      <w:color w:val="000000"/>
      <w:sz w:val="21"/>
      <w:szCs w:val="21"/>
      <w:u w:val="none"/>
    </w:rPr>
  </w:style>
  <w:style w:type="character" w:customStyle="1" w:styleId="69">
    <w:name w:val="font61"/>
    <w:basedOn w:val="27"/>
    <w:autoRedefine/>
    <w:qFormat/>
    <w:uiPriority w:val="0"/>
    <w:rPr>
      <w:rFonts w:hint="eastAsia" w:ascii="宋体" w:hAnsi="宋体" w:eastAsia="宋体" w:cs="宋体"/>
      <w:color w:val="000000"/>
      <w:sz w:val="21"/>
      <w:szCs w:val="21"/>
      <w:u w:val="none"/>
    </w:rPr>
  </w:style>
  <w:style w:type="paragraph" w:customStyle="1" w:styleId="70">
    <w:name w:val="style4"/>
    <w:basedOn w:val="71"/>
    <w:next w:val="73"/>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71">
    <w:name w:val="正文_0"/>
    <w:next w:val="7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正文文本_0"/>
    <w:basedOn w:val="71"/>
    <w:autoRedefine/>
    <w:unhideWhenUsed/>
    <w:qFormat/>
    <w:uiPriority w:val="99"/>
    <w:pPr>
      <w:spacing w:after="120" w:afterLines="0"/>
    </w:pPr>
  </w:style>
  <w:style w:type="paragraph" w:customStyle="1" w:styleId="73">
    <w:name w:val="2"/>
    <w:next w:val="1"/>
    <w:autoRedefine/>
    <w:qFormat/>
    <w:uiPriority w:val="0"/>
    <w:pPr>
      <w:widowControl w:val="0"/>
      <w:jc w:val="both"/>
    </w:pPr>
    <w:rPr>
      <w:rFonts w:ascii="Times New Roman" w:hAnsi="Times New Roman" w:eastAsia="宋体" w:cs="Times New Roman"/>
      <w:sz w:val="21"/>
      <w:lang w:val="en-US" w:eastAsia="zh-CN" w:bidi="ar-SA"/>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76">
    <w:name w:val="正文缩进1"/>
    <w:basedOn w:val="1"/>
    <w:autoRedefine/>
    <w:qFormat/>
    <w:uiPriority w:val="0"/>
    <w:pPr>
      <w:ind w:firstLine="420" w:firstLineChars="200"/>
    </w:pPr>
  </w:style>
  <w:style w:type="paragraph" w:styleId="77">
    <w:name w:val="Quote"/>
    <w:basedOn w:val="1"/>
    <w:next w:val="1"/>
    <w:autoRedefine/>
    <w:qFormat/>
    <w:uiPriority w:val="99"/>
    <w:pPr>
      <w:ind w:left="864" w:right="864"/>
      <w:jc w:val="center"/>
    </w:pPr>
    <w:rPr>
      <w:rFonts w:ascii="Times New Roman" w:hAnsi="Times New Roman" w:cs="Times New Roman"/>
      <w:i/>
      <w:iCs/>
      <w:color w:val="404040"/>
      <w:szCs w:val="21"/>
    </w:rPr>
  </w:style>
  <w:style w:type="paragraph" w:customStyle="1" w:styleId="78">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5884</Words>
  <Characters>6545</Characters>
  <Lines>1</Lines>
  <Paragraphs>1</Paragraphs>
  <TotalTime>46</TotalTime>
  <ScaleCrop>false</ScaleCrop>
  <LinksUpToDate>false</LinksUpToDate>
  <CharactersWithSpaces>6670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大王</cp:lastModifiedBy>
  <cp:lastPrinted>2025-05-27T07:25:00Z</cp:lastPrinted>
  <dcterms:modified xsi:type="dcterms:W3CDTF">2025-06-24T01:57:09Z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8596080715424F3CB2727231B862F920_13</vt:lpwstr>
  </property>
  <property fmtid="{D5CDD505-2E9C-101B-9397-08002B2CF9AE}" pid="4" name="KSOTemplateDocerSaveRecord">
    <vt:lpwstr>eyJoZGlkIjoiNzVkOTMwMTczYzdlYzE2MTllMTA2NjdlMTIwYTJkNzAiLCJ1c2VySWQiOiIyMzI5MDUxNjQifQ==</vt:lpwstr>
  </property>
</Properties>
</file>